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4350" w14:textId="2D1961D1" w:rsidR="00957835" w:rsidRDefault="00957835" w:rsidP="00971DBF">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971DBF" w:rsidRPr="00F76D74">
        <w:rPr>
          <w:rFonts w:ascii="Arial" w:hAnsi="Arial" w:cs="Arial"/>
          <w:b/>
          <w:bCs/>
          <w:color w:val="000080"/>
          <w:sz w:val="36"/>
          <w:szCs w:val="36"/>
        </w:rPr>
        <w:t>Public Summary Document</w:t>
      </w:r>
    </w:p>
    <w:bookmarkEnd w:id="0"/>
    <w:p w14:paraId="78B31EDF" w14:textId="77777777" w:rsidR="00957835" w:rsidRPr="00CE28E3" w:rsidRDefault="00957835" w:rsidP="00957835">
      <w:pPr>
        <w:pStyle w:val="Subtitle"/>
        <w:spacing w:before="240"/>
      </w:pPr>
      <w:r w:rsidRPr="00CE28E3">
        <w:t xml:space="preserve">Application No. </w:t>
      </w:r>
      <w:r>
        <w:t xml:space="preserve">1705 – </w:t>
      </w:r>
      <w:r w:rsidRPr="00694A8D">
        <w:t>Structured Prenatal Risk Assessment for Preterm Preeclampsia</w:t>
      </w:r>
    </w:p>
    <w:p w14:paraId="0AB440E2" w14:textId="77777777" w:rsidR="00957835" w:rsidRPr="00971DBF" w:rsidRDefault="00957835" w:rsidP="00957835">
      <w:pPr>
        <w:tabs>
          <w:tab w:val="left" w:pos="3686"/>
        </w:tabs>
        <w:spacing w:before="120" w:line="256" w:lineRule="auto"/>
        <w:ind w:left="3686" w:hanging="3686"/>
        <w:rPr>
          <w:rFonts w:ascii="Arial" w:eastAsia="Calibri" w:hAnsi="Arial" w:cs="Arial"/>
          <w:b/>
          <w:sz w:val="22"/>
          <w:szCs w:val="22"/>
        </w:rPr>
      </w:pPr>
      <w:r w:rsidRPr="00971DBF">
        <w:rPr>
          <w:rFonts w:ascii="Arial" w:eastAsia="Calibri" w:hAnsi="Arial" w:cs="Arial"/>
          <w:b/>
          <w:sz w:val="22"/>
          <w:szCs w:val="22"/>
        </w:rPr>
        <w:t>Applicant:</w:t>
      </w:r>
      <w:r w:rsidRPr="00971DBF">
        <w:rPr>
          <w:rFonts w:ascii="Arial" w:eastAsia="Calibri" w:hAnsi="Arial" w:cs="Arial"/>
          <w:b/>
          <w:sz w:val="22"/>
          <w:szCs w:val="22"/>
        </w:rPr>
        <w:tab/>
      </w:r>
      <w:r w:rsidRPr="00971DBF">
        <w:rPr>
          <w:rFonts w:ascii="Arial" w:hAnsi="Arial" w:cs="Arial"/>
          <w:b/>
          <w:sz w:val="22"/>
          <w:szCs w:val="22"/>
        </w:rPr>
        <w:t>Professor REDACTED/</w:t>
      </w:r>
      <w:r w:rsidRPr="00971DBF">
        <w:rPr>
          <w:rFonts w:ascii="Arial" w:hAnsi="Arial" w:cs="Arial"/>
          <w:b/>
          <w:color w:val="000000" w:themeColor="text1"/>
          <w:sz w:val="22"/>
          <w:szCs w:val="22"/>
        </w:rPr>
        <w:t xml:space="preserve">Roche Diagnostics </w:t>
      </w:r>
      <w:r w:rsidRPr="00971DBF">
        <w:rPr>
          <w:rFonts w:ascii="Arial" w:hAnsi="Arial" w:cs="Arial"/>
          <w:b/>
          <w:sz w:val="22"/>
          <w:szCs w:val="22"/>
        </w:rPr>
        <w:t>Australia Pty Ltd</w:t>
      </w:r>
    </w:p>
    <w:p w14:paraId="7E70F759" w14:textId="46916EC1" w:rsidR="00F737CF" w:rsidRPr="00F737CF" w:rsidRDefault="00F737CF" w:rsidP="00F737CF">
      <w:pPr>
        <w:spacing w:before="320" w:after="240" w:line="259" w:lineRule="auto"/>
        <w:rPr>
          <w:rFonts w:ascii="Arial" w:hAnsi="Arial" w:cs="Arial"/>
          <w:b/>
          <w:bCs/>
          <w:color w:val="000000"/>
          <w:sz w:val="22"/>
          <w:szCs w:val="20"/>
          <w:lang w:eastAsia="en-AU"/>
        </w:rPr>
      </w:pPr>
      <w:r w:rsidRPr="00F737CF">
        <w:rPr>
          <w:rFonts w:ascii="Arial" w:hAnsi="Arial" w:cs="Arial"/>
          <w:b/>
          <w:bCs/>
          <w:color w:val="000000"/>
          <w:sz w:val="22"/>
          <w:szCs w:val="20"/>
          <w:lang w:eastAsia="en-AU"/>
        </w:rPr>
        <w:t xml:space="preserve">Date of </w:t>
      </w:r>
      <w:r w:rsidR="00971DBF">
        <w:rPr>
          <w:rFonts w:ascii="Arial" w:hAnsi="Arial" w:cs="Arial"/>
          <w:b/>
          <w:bCs/>
          <w:color w:val="000000"/>
          <w:sz w:val="22"/>
          <w:szCs w:val="20"/>
          <w:lang w:eastAsia="en-AU"/>
        </w:rPr>
        <w:t>MSAC</w:t>
      </w:r>
      <w:r w:rsidRPr="00F737CF">
        <w:rPr>
          <w:rFonts w:ascii="Arial" w:hAnsi="Arial" w:cs="Arial"/>
          <w:b/>
          <w:bCs/>
          <w:color w:val="000000"/>
          <w:sz w:val="22"/>
          <w:szCs w:val="20"/>
          <w:lang w:eastAsia="en-AU"/>
        </w:rPr>
        <w:t xml:space="preserve"> consideration:</w:t>
      </w:r>
      <w:r w:rsidRPr="00F737CF">
        <w:rPr>
          <w:rFonts w:ascii="Arial" w:hAnsi="Arial" w:cs="Arial"/>
          <w:b/>
          <w:bCs/>
          <w:color w:val="000000"/>
          <w:sz w:val="22"/>
          <w:szCs w:val="20"/>
          <w:lang w:eastAsia="en-AU"/>
        </w:rPr>
        <w:tab/>
      </w:r>
      <w:r w:rsidR="00971DBF">
        <w:rPr>
          <w:rFonts w:ascii="Arial" w:hAnsi="Arial" w:cs="Arial"/>
          <w:b/>
          <w:bCs/>
          <w:color w:val="000000"/>
          <w:sz w:val="22"/>
          <w:szCs w:val="20"/>
          <w:lang w:eastAsia="en-AU"/>
        </w:rPr>
        <w:t>23-24 November</w:t>
      </w:r>
      <w:r w:rsidRPr="00F737CF">
        <w:rPr>
          <w:rFonts w:ascii="Arial" w:hAnsi="Arial" w:cs="Arial"/>
          <w:b/>
          <w:bCs/>
          <w:color w:val="000000"/>
          <w:sz w:val="22"/>
          <w:szCs w:val="20"/>
          <w:lang w:eastAsia="en-AU"/>
        </w:rPr>
        <w:t xml:space="preserve"> 2023</w:t>
      </w:r>
    </w:p>
    <w:p w14:paraId="7EAA7262" w14:textId="77335A16" w:rsidR="00772829" w:rsidRPr="00CE28E3" w:rsidRDefault="00C36633" w:rsidP="00C36633">
      <w:pPr>
        <w:pStyle w:val="Heading2"/>
        <w:numPr>
          <w:ilvl w:val="0"/>
          <w:numId w:val="0"/>
        </w:numPr>
      </w:pPr>
      <w:bookmarkStart w:id="1" w:name="_Toc69491415"/>
      <w:r>
        <w:t>1.</w:t>
      </w:r>
      <w:r>
        <w:tab/>
      </w:r>
      <w:r w:rsidR="00772829" w:rsidRPr="00CE28E3">
        <w:t xml:space="preserve">Purpose </w:t>
      </w:r>
      <w:r w:rsidR="00772829" w:rsidRPr="00CE28E3">
        <w:rPr>
          <w:szCs w:val="32"/>
        </w:rPr>
        <w:t>of</w:t>
      </w:r>
      <w:r w:rsidR="00772829" w:rsidRPr="00CE28E3">
        <w:t xml:space="preserve"> application</w:t>
      </w:r>
      <w:bookmarkEnd w:id="1"/>
    </w:p>
    <w:p w14:paraId="6BF31FF2" w14:textId="368DECC2" w:rsidR="00772829" w:rsidRDefault="00772829" w:rsidP="00B94F5D">
      <w:pPr>
        <w:pStyle w:val="a-TEXT"/>
      </w:pPr>
      <w:bookmarkStart w:id="2" w:name="_Hlk69734469"/>
      <w:r w:rsidRPr="00EA572D">
        <w:t xml:space="preserve">An application requesting </w:t>
      </w:r>
      <w:r w:rsidR="00541EEA" w:rsidRPr="00541EEA">
        <w:t xml:space="preserve">Medicare Benefits Schedule (MBS) listing </w:t>
      </w:r>
      <w:r w:rsidRPr="00EA572D">
        <w:t>of</w:t>
      </w:r>
      <w:r w:rsidR="005802BF">
        <w:t xml:space="preserve"> </w:t>
      </w:r>
      <w:r w:rsidR="005802BF" w:rsidRPr="005802BF">
        <w:t>structured prenatal risk assessment for preterm preeclampsia</w:t>
      </w:r>
      <w:r w:rsidR="007D54A9" w:rsidRPr="00EA572D">
        <w:t xml:space="preserve"> </w:t>
      </w:r>
      <w:r w:rsidR="006D69E9">
        <w:t xml:space="preserve">in </w:t>
      </w:r>
      <w:r w:rsidR="005D6885">
        <w:t xml:space="preserve">pregnant </w:t>
      </w:r>
      <w:r w:rsidR="006D69E9">
        <w:t xml:space="preserve">women </w:t>
      </w:r>
      <w:r w:rsidR="00E02451" w:rsidRPr="00E02451">
        <w:t>at 11</w:t>
      </w:r>
      <w:r w:rsidR="00E02451" w:rsidRPr="00F1613A">
        <w:rPr>
          <w:vertAlign w:val="superscript"/>
        </w:rPr>
        <w:t>+0</w:t>
      </w:r>
      <w:r w:rsidR="00E02451" w:rsidRPr="00E02451">
        <w:t xml:space="preserve"> to 13</w:t>
      </w:r>
      <w:r w:rsidR="00E02451" w:rsidRPr="00F1613A">
        <w:rPr>
          <w:vertAlign w:val="superscript"/>
        </w:rPr>
        <w:t>+6</w:t>
      </w:r>
      <w:r w:rsidR="00E02451" w:rsidRPr="00E02451">
        <w:t xml:space="preserve"> weeks gestation</w:t>
      </w:r>
      <w:r w:rsidR="006D69E9">
        <w:t xml:space="preserve"> </w:t>
      </w:r>
      <w:r w:rsidRPr="00EA572D">
        <w:t xml:space="preserve">was received from </w:t>
      </w:r>
      <w:r w:rsidR="00F73148" w:rsidRPr="00F73148">
        <w:t>Professor REDACTED/Roche</w:t>
      </w:r>
      <w:r w:rsidR="00F73148">
        <w:t xml:space="preserve"> </w:t>
      </w:r>
      <w:r w:rsidRPr="00EA572D">
        <w:t>by the Department of Health</w:t>
      </w:r>
      <w:r w:rsidR="00E31E0C">
        <w:t xml:space="preserve"> and Aged Care</w:t>
      </w:r>
      <w:r w:rsidR="003263AA">
        <w:t xml:space="preserve"> (the Department)</w:t>
      </w:r>
      <w:r w:rsidRPr="00EA572D">
        <w:t>.</w:t>
      </w:r>
      <w:r w:rsidR="00C83846" w:rsidRPr="00EA572D">
        <w:t xml:space="preserve"> </w:t>
      </w:r>
    </w:p>
    <w:p w14:paraId="30A0FE85" w14:textId="77777777" w:rsidR="00971DBF" w:rsidRDefault="00971DBF" w:rsidP="00971DBF">
      <w:pPr>
        <w:pStyle w:val="Heading2"/>
        <w:numPr>
          <w:ilvl w:val="1"/>
          <w:numId w:val="0"/>
        </w:numPr>
      </w:pPr>
      <w:r>
        <w:t>2.</w:t>
      </w:r>
      <w:r>
        <w:tab/>
        <w:t>MSAC’s advice to the Minister</w:t>
      </w:r>
    </w:p>
    <w:p w14:paraId="093614F1" w14:textId="0282520B" w:rsidR="00581845" w:rsidRPr="00F16694" w:rsidRDefault="009D40B8" w:rsidP="00581845">
      <w:pPr>
        <w:pStyle w:val="paragraph"/>
        <w:spacing w:before="0" w:beforeAutospacing="0" w:after="0" w:afterAutospacing="0"/>
        <w:textAlignment w:val="baseline"/>
        <w:rPr>
          <w:rFonts w:ascii="Segoe UI" w:hAnsi="Segoe UI" w:cs="Segoe UI"/>
          <w:sz w:val="22"/>
          <w:szCs w:val="22"/>
        </w:rPr>
      </w:pPr>
      <w:r w:rsidRPr="00F16694">
        <w:rPr>
          <w:rFonts w:ascii="Franklin Gothic Book" w:hAnsi="Franklin Gothic Book"/>
          <w:sz w:val="22"/>
          <w:szCs w:val="22"/>
        </w:rPr>
        <w:t xml:space="preserve">After considering the strength of the available evidence in relation to comparative safety, clinical effectiveness, </w:t>
      </w:r>
      <w:proofErr w:type="gramStart"/>
      <w:r w:rsidRPr="00F16694">
        <w:rPr>
          <w:rFonts w:ascii="Franklin Gothic Book" w:hAnsi="Franklin Gothic Book"/>
          <w:sz w:val="22"/>
          <w:szCs w:val="22"/>
        </w:rPr>
        <w:t>cost-effectiveness</w:t>
      </w:r>
      <w:proofErr w:type="gramEnd"/>
      <w:r w:rsidRPr="00F16694">
        <w:rPr>
          <w:rFonts w:ascii="Franklin Gothic Book" w:hAnsi="Franklin Gothic Book"/>
          <w:sz w:val="22"/>
          <w:szCs w:val="22"/>
        </w:rPr>
        <w:t xml:space="preserve"> and total cost, </w:t>
      </w:r>
      <w:r w:rsidR="00581845" w:rsidRPr="009D40B8">
        <w:rPr>
          <w:rStyle w:val="normaltextrun"/>
          <w:rFonts w:ascii="Franklin Gothic Book" w:hAnsi="Franklin Gothic Book" w:cs="Segoe UI"/>
          <w:sz w:val="22"/>
          <w:szCs w:val="22"/>
        </w:rPr>
        <w:t>MSAC did not support the public funding of structured prenatal risk assessment for preterm preeclampsia (PE) in pregnant individuals at 11</w:t>
      </w:r>
      <w:r w:rsidR="00581845" w:rsidRPr="00F16694">
        <w:rPr>
          <w:rStyle w:val="normaltextrun"/>
          <w:rFonts w:ascii="Franklin Gothic Book" w:hAnsi="Franklin Gothic Book" w:cs="Segoe UI"/>
          <w:sz w:val="22"/>
          <w:szCs w:val="22"/>
          <w:vertAlign w:val="superscript"/>
        </w:rPr>
        <w:t>+0</w:t>
      </w:r>
      <w:r w:rsidR="00581845" w:rsidRPr="009D40B8">
        <w:rPr>
          <w:rStyle w:val="normaltextrun"/>
          <w:rFonts w:ascii="Franklin Gothic Book" w:hAnsi="Franklin Gothic Book" w:cs="Segoe UI"/>
          <w:sz w:val="22"/>
          <w:szCs w:val="22"/>
        </w:rPr>
        <w:t xml:space="preserve"> to 13</w:t>
      </w:r>
      <w:r w:rsidR="00581845" w:rsidRPr="00F16694">
        <w:rPr>
          <w:rStyle w:val="normaltextrun"/>
          <w:rFonts w:ascii="Franklin Gothic Book" w:hAnsi="Franklin Gothic Book" w:cs="Segoe UI"/>
          <w:sz w:val="22"/>
          <w:szCs w:val="22"/>
          <w:vertAlign w:val="superscript"/>
        </w:rPr>
        <w:t>+6</w:t>
      </w:r>
      <w:r w:rsidR="00581845" w:rsidRPr="009D40B8">
        <w:rPr>
          <w:rStyle w:val="normaltextrun"/>
          <w:rFonts w:ascii="Franklin Gothic Book" w:hAnsi="Franklin Gothic Book" w:cs="Segoe UI"/>
          <w:sz w:val="22"/>
          <w:szCs w:val="22"/>
        </w:rPr>
        <w:t xml:space="preserve"> weeks gestation. This was primarily because MSAC considered that the evidence presented was insufficient to show the new risk assessment would improve health outcomes. The direct evidence in the application for comparative effectiveness had a high risk of bias. The linked evidence showed that risk assessment was sensitive in predicting preterm PE and had strong negative predictive value (NPV) in ruling out preterm PE, and separately that aspirin was effective at preventing PE in at-risk pregnancies, but there was insufficient evidence that risk assessment changed management and improved health outcomes. The comparative safety of risk assessment relative to standard of care was also a concern given its high false positive rate with all the attendant costs in terms of patient anxiety and potential harm from the increased use of aspirin. MSAC considered there was substantial uncertainty about the clinical place and need for risk assessment.</w:t>
      </w:r>
      <w:r w:rsidR="00581845" w:rsidRPr="009D40B8">
        <w:rPr>
          <w:rStyle w:val="eop"/>
          <w:rFonts w:ascii="Franklin Gothic Book" w:hAnsi="Franklin Gothic Book" w:cs="Segoe UI"/>
          <w:color w:val="000000"/>
          <w:sz w:val="22"/>
          <w:szCs w:val="22"/>
        </w:rPr>
        <w:t> </w:t>
      </w:r>
    </w:p>
    <w:p w14:paraId="6D25F2E9" w14:textId="63E4B620" w:rsidR="006B6F22" w:rsidRDefault="00581845" w:rsidP="006B6F22">
      <w:pPr>
        <w:pStyle w:val="paragraph"/>
        <w:spacing w:before="240" w:beforeAutospacing="0" w:after="240" w:afterAutospacing="0"/>
        <w:textAlignment w:val="baseline"/>
        <w:rPr>
          <w:rStyle w:val="eop"/>
          <w:rFonts w:ascii="Franklin Gothic Book" w:hAnsi="Franklin Gothic Book" w:cs="Segoe UI"/>
          <w:color w:val="000000"/>
          <w:sz w:val="22"/>
          <w:szCs w:val="22"/>
        </w:rPr>
      </w:pPr>
      <w:r>
        <w:rPr>
          <w:rStyle w:val="normaltextrun"/>
          <w:rFonts w:ascii="Franklin Gothic Book" w:hAnsi="Franklin Gothic Book" w:cs="Segoe UI"/>
          <w:sz w:val="22"/>
          <w:szCs w:val="22"/>
        </w:rPr>
        <w:t xml:space="preserve">MSAC also had concerns with the structure and inputs of the economic model leading to the cost-effectiveness of risk assessment being uncertain and potentially cost-ineffective. There was also considerable uncertainty about the financial impact as the financial estimates included estimates of PE from a study with a high risk of bias, and there was a risk of leakage of the use of the test in later stages of pregnancy. MSAC noted that regulation was not in place, as the Therapeutic Goods Administration (TGA) had advised that the proposed </w:t>
      </w:r>
      <w:proofErr w:type="spellStart"/>
      <w:r>
        <w:rPr>
          <w:rStyle w:val="normaltextrun"/>
          <w:rFonts w:ascii="Franklin Gothic Book" w:hAnsi="Franklin Gothic Book" w:cs="Segoe UI"/>
          <w:sz w:val="22"/>
          <w:szCs w:val="22"/>
        </w:rPr>
        <w:t>Fetal</w:t>
      </w:r>
      <w:proofErr w:type="spellEnd"/>
      <w:r>
        <w:rPr>
          <w:rStyle w:val="normaltextrun"/>
          <w:rFonts w:ascii="Franklin Gothic Book" w:hAnsi="Franklin Gothic Book" w:cs="Segoe UI"/>
          <w:sz w:val="22"/>
          <w:szCs w:val="22"/>
        </w:rPr>
        <w:t xml:space="preserve"> Medicine Foundation (FMF) risk calculator required regulation in the Australian Register of Therapeutic Goods as ‘software as a medical device’.</w:t>
      </w:r>
      <w:r w:rsidR="006B6F22">
        <w:rPr>
          <w:rStyle w:val="eop"/>
          <w:rFonts w:ascii="Franklin Gothic Book" w:hAnsi="Franklin Gothic Book" w:cs="Segoe UI"/>
          <w:color w:val="000000"/>
          <w:sz w:val="22"/>
          <w:szCs w:val="22"/>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971DBF" w:rsidRPr="00AF46D8" w14:paraId="2582B24F" w14:textId="77777777">
        <w:trPr>
          <w:tblHeader/>
        </w:trPr>
        <w:tc>
          <w:tcPr>
            <w:tcW w:w="9016" w:type="dxa"/>
          </w:tcPr>
          <w:p w14:paraId="5E5CB46D" w14:textId="77777777" w:rsidR="00971DBF" w:rsidRPr="00AF46D8" w:rsidRDefault="00971DBF">
            <w:pPr>
              <w:pStyle w:val="Heading3"/>
              <w:spacing w:before="120"/>
              <w:ind w:left="720" w:hanging="720"/>
              <w:rPr>
                <w:iCs/>
              </w:rPr>
            </w:pPr>
            <w:r w:rsidRPr="00AF46D8">
              <w:lastRenderedPageBreak/>
              <w:t>Consumer summary</w:t>
            </w:r>
          </w:p>
        </w:tc>
      </w:tr>
      <w:tr w:rsidR="00971DBF" w:rsidRPr="00AF46D8" w14:paraId="1A1B592A" w14:textId="77777777">
        <w:tc>
          <w:tcPr>
            <w:tcW w:w="9016" w:type="dxa"/>
          </w:tcPr>
          <w:p w14:paraId="4156BD12" w14:textId="2D1FA8D7" w:rsidR="00133617" w:rsidRDefault="00133617" w:rsidP="006B6F22">
            <w:pPr>
              <w:spacing w:after="240"/>
              <w:rPr>
                <w:rFonts w:ascii="Franklin Gothic Book" w:hAnsi="Franklin Gothic Book"/>
                <w:sz w:val="22"/>
                <w:szCs w:val="22"/>
              </w:rPr>
            </w:pPr>
            <w:r w:rsidRPr="0011692E">
              <w:rPr>
                <w:rFonts w:ascii="Franklin Gothic Book" w:hAnsi="Franklin Gothic Book"/>
                <w:sz w:val="22"/>
                <w:szCs w:val="22"/>
              </w:rPr>
              <w:t xml:space="preserve">This </w:t>
            </w:r>
            <w:r w:rsidR="0076309E">
              <w:rPr>
                <w:rFonts w:ascii="Franklin Gothic Book" w:hAnsi="Franklin Gothic Book"/>
                <w:sz w:val="22"/>
                <w:szCs w:val="22"/>
              </w:rPr>
              <w:t>wa</w:t>
            </w:r>
            <w:r w:rsidRPr="0011692E">
              <w:rPr>
                <w:rFonts w:ascii="Franklin Gothic Book" w:hAnsi="Franklin Gothic Book"/>
                <w:sz w:val="22"/>
                <w:szCs w:val="22"/>
              </w:rPr>
              <w:t xml:space="preserve">s an application from </w:t>
            </w:r>
            <w:r w:rsidR="00D65AE9">
              <w:rPr>
                <w:rFonts w:ascii="Franklin Gothic Book" w:hAnsi="Franklin Gothic Book"/>
                <w:sz w:val="22"/>
                <w:szCs w:val="22"/>
              </w:rPr>
              <w:t>Professor REDACTED</w:t>
            </w:r>
            <w:r w:rsidRPr="0011692E">
              <w:rPr>
                <w:rFonts w:ascii="Franklin Gothic Book" w:hAnsi="Franklin Gothic Book"/>
                <w:sz w:val="22"/>
                <w:szCs w:val="22"/>
              </w:rPr>
              <w:t xml:space="preserve"> and Roche Diagnostics Australia requesting Medicare Benefits Schedule (MBS) listing of structured prenatal risk assessment for preterm preeclampsia. </w:t>
            </w:r>
          </w:p>
          <w:p w14:paraId="66D10521" w14:textId="4C0B17D9" w:rsidR="00BB3E76" w:rsidRDefault="00BB3E76" w:rsidP="00BB3E76">
            <w:pPr>
              <w:rPr>
                <w:rFonts w:ascii="Franklin Gothic Book" w:hAnsi="Franklin Gothic Book"/>
                <w:sz w:val="22"/>
                <w:szCs w:val="22"/>
              </w:rPr>
            </w:pPr>
            <w:r w:rsidRPr="0011692E">
              <w:rPr>
                <w:rFonts w:ascii="Franklin Gothic Book" w:hAnsi="Franklin Gothic Book"/>
                <w:sz w:val="22"/>
                <w:szCs w:val="22"/>
              </w:rPr>
              <w:t>P</w:t>
            </w:r>
            <w:r w:rsidR="0076309E">
              <w:rPr>
                <w:rFonts w:ascii="Franklin Gothic Book" w:hAnsi="Franklin Gothic Book"/>
                <w:sz w:val="22"/>
                <w:szCs w:val="22"/>
              </w:rPr>
              <w:t>reeclampsia</w:t>
            </w:r>
            <w:r w:rsidRPr="0011692E">
              <w:rPr>
                <w:rFonts w:ascii="Franklin Gothic Book" w:hAnsi="Franklin Gothic Book"/>
                <w:sz w:val="22"/>
                <w:szCs w:val="22"/>
              </w:rPr>
              <w:t xml:space="preserve"> is a complication that can happen during pregnancy. It usually includes high blood pressure in the pregnant person, as well as other signs and symptoms. If it is not managed, </w:t>
            </w:r>
            <w:r w:rsidR="0076309E" w:rsidRPr="0011692E">
              <w:rPr>
                <w:rFonts w:ascii="Franklin Gothic Book" w:hAnsi="Franklin Gothic Book"/>
                <w:sz w:val="22"/>
                <w:szCs w:val="22"/>
              </w:rPr>
              <w:t>preeclampsia</w:t>
            </w:r>
            <w:r w:rsidR="0076309E" w:rsidRPr="0011692E" w:rsidDel="0076309E">
              <w:rPr>
                <w:rFonts w:ascii="Franklin Gothic Book" w:hAnsi="Franklin Gothic Book"/>
                <w:sz w:val="22"/>
                <w:szCs w:val="22"/>
              </w:rPr>
              <w:t xml:space="preserve"> </w:t>
            </w:r>
            <w:r w:rsidRPr="0011692E">
              <w:rPr>
                <w:rFonts w:ascii="Franklin Gothic Book" w:hAnsi="Franklin Gothic Book"/>
                <w:sz w:val="22"/>
                <w:szCs w:val="22"/>
              </w:rPr>
              <w:t xml:space="preserve">can cause serious illness and death in the </w:t>
            </w:r>
            <w:r w:rsidR="00215E25">
              <w:rPr>
                <w:rFonts w:ascii="Franklin Gothic Book" w:hAnsi="Franklin Gothic Book"/>
                <w:sz w:val="22"/>
                <w:szCs w:val="22"/>
              </w:rPr>
              <w:t>pregnant person</w:t>
            </w:r>
            <w:r w:rsidRPr="0011692E">
              <w:rPr>
                <w:rFonts w:ascii="Franklin Gothic Book" w:hAnsi="Franklin Gothic Book"/>
                <w:sz w:val="22"/>
                <w:szCs w:val="22"/>
              </w:rPr>
              <w:t xml:space="preserve"> and</w:t>
            </w:r>
            <w:r w:rsidR="00854884">
              <w:rPr>
                <w:rFonts w:ascii="Franklin Gothic Book" w:hAnsi="Franklin Gothic Book"/>
                <w:sz w:val="22"/>
                <w:szCs w:val="22"/>
              </w:rPr>
              <w:t>/or</w:t>
            </w:r>
            <w:r w:rsidRPr="0011692E">
              <w:rPr>
                <w:rFonts w:ascii="Franklin Gothic Book" w:hAnsi="Franklin Gothic Book"/>
                <w:sz w:val="22"/>
                <w:szCs w:val="22"/>
              </w:rPr>
              <w:t xml:space="preserve"> the baby. The only cure </w:t>
            </w:r>
            <w:r w:rsidR="00854884">
              <w:rPr>
                <w:rFonts w:ascii="Franklin Gothic Book" w:hAnsi="Franklin Gothic Book"/>
                <w:sz w:val="22"/>
                <w:szCs w:val="22"/>
              </w:rPr>
              <w:t xml:space="preserve">for preeclampsia </w:t>
            </w:r>
            <w:r w:rsidRPr="0011692E">
              <w:rPr>
                <w:rFonts w:ascii="Franklin Gothic Book" w:hAnsi="Franklin Gothic Book"/>
                <w:sz w:val="22"/>
                <w:szCs w:val="22"/>
              </w:rPr>
              <w:t xml:space="preserve">is for the baby to be born and the placenta delivered, so it is often </w:t>
            </w:r>
            <w:r w:rsidR="0011667E">
              <w:rPr>
                <w:rFonts w:ascii="Franklin Gothic Book" w:hAnsi="Franklin Gothic Book"/>
                <w:sz w:val="22"/>
                <w:szCs w:val="22"/>
              </w:rPr>
              <w:t>necessary that</w:t>
            </w:r>
            <w:r w:rsidRPr="0011692E">
              <w:rPr>
                <w:rFonts w:ascii="Franklin Gothic Book" w:hAnsi="Franklin Gothic Book"/>
                <w:sz w:val="22"/>
                <w:szCs w:val="22"/>
              </w:rPr>
              <w:t xml:space="preserve"> the baby be born early (preterm). The earlier </w:t>
            </w:r>
            <w:r w:rsidR="00854884" w:rsidRPr="0011692E">
              <w:rPr>
                <w:rFonts w:ascii="Franklin Gothic Book" w:hAnsi="Franklin Gothic Book"/>
                <w:sz w:val="22"/>
                <w:szCs w:val="22"/>
              </w:rPr>
              <w:t>preeclampsia</w:t>
            </w:r>
            <w:r w:rsidRPr="0011692E">
              <w:rPr>
                <w:rFonts w:ascii="Franklin Gothic Book" w:hAnsi="Franklin Gothic Book"/>
                <w:sz w:val="22"/>
                <w:szCs w:val="22"/>
              </w:rPr>
              <w:t xml:space="preserve"> starts in pregnancy</w:t>
            </w:r>
            <w:r w:rsidR="00E855EA">
              <w:rPr>
                <w:rFonts w:ascii="Franklin Gothic Book" w:hAnsi="Franklin Gothic Book"/>
                <w:sz w:val="22"/>
                <w:szCs w:val="22"/>
              </w:rPr>
              <w:t xml:space="preserve"> </w:t>
            </w:r>
            <w:r w:rsidR="002C3BF7">
              <w:rPr>
                <w:rFonts w:ascii="Franklin Gothic Book" w:hAnsi="Franklin Gothic Book"/>
                <w:sz w:val="22"/>
                <w:szCs w:val="22"/>
              </w:rPr>
              <w:t xml:space="preserve">the greater </w:t>
            </w:r>
            <w:r w:rsidR="0092441C">
              <w:rPr>
                <w:rFonts w:ascii="Franklin Gothic Book" w:hAnsi="Franklin Gothic Book"/>
                <w:sz w:val="22"/>
                <w:szCs w:val="22"/>
              </w:rPr>
              <w:t xml:space="preserve">the </w:t>
            </w:r>
            <w:r w:rsidR="002C3BF7">
              <w:rPr>
                <w:rFonts w:ascii="Franklin Gothic Book" w:hAnsi="Franklin Gothic Book"/>
                <w:sz w:val="22"/>
                <w:szCs w:val="22"/>
              </w:rPr>
              <w:t xml:space="preserve">risk to the </w:t>
            </w:r>
            <w:r w:rsidR="00215E25">
              <w:rPr>
                <w:rFonts w:ascii="Franklin Gothic Book" w:hAnsi="Franklin Gothic Book"/>
                <w:sz w:val="22"/>
                <w:szCs w:val="22"/>
              </w:rPr>
              <w:t>pregnant person</w:t>
            </w:r>
            <w:r w:rsidR="002C3BF7">
              <w:rPr>
                <w:rFonts w:ascii="Franklin Gothic Book" w:hAnsi="Franklin Gothic Book"/>
                <w:sz w:val="22"/>
                <w:szCs w:val="22"/>
              </w:rPr>
              <w:t xml:space="preserve"> and baby.</w:t>
            </w:r>
            <w:r w:rsidRPr="0011692E">
              <w:rPr>
                <w:rFonts w:ascii="Franklin Gothic Book" w:hAnsi="Franklin Gothic Book"/>
                <w:sz w:val="22"/>
                <w:szCs w:val="22"/>
              </w:rPr>
              <w:t xml:space="preserve"> </w:t>
            </w:r>
          </w:p>
          <w:p w14:paraId="284459BC" w14:textId="7F60681E" w:rsidR="00405D99" w:rsidRDefault="00405D99" w:rsidP="006B6F22">
            <w:pPr>
              <w:spacing w:before="240"/>
              <w:rPr>
                <w:rFonts w:ascii="Franklin Gothic Book" w:hAnsi="Franklin Gothic Book"/>
                <w:sz w:val="22"/>
                <w:szCs w:val="22"/>
              </w:rPr>
            </w:pPr>
            <w:r w:rsidRPr="0011692E">
              <w:rPr>
                <w:rFonts w:ascii="Franklin Gothic Book" w:hAnsi="Franklin Gothic Book"/>
                <w:sz w:val="22"/>
                <w:szCs w:val="22"/>
              </w:rPr>
              <w:t xml:space="preserve">This application </w:t>
            </w:r>
            <w:r w:rsidR="00CC3FB6">
              <w:rPr>
                <w:rFonts w:ascii="Franklin Gothic Book" w:hAnsi="Franklin Gothic Book"/>
                <w:sz w:val="22"/>
                <w:szCs w:val="22"/>
              </w:rPr>
              <w:t>wa</w:t>
            </w:r>
            <w:r w:rsidRPr="0011692E">
              <w:rPr>
                <w:rFonts w:ascii="Franklin Gothic Book" w:hAnsi="Franklin Gothic Book"/>
                <w:sz w:val="22"/>
                <w:szCs w:val="22"/>
              </w:rPr>
              <w:t xml:space="preserve">s for a set of tests that measure a pregnant person’s risk of </w:t>
            </w:r>
            <w:r w:rsidR="00CC3FB6" w:rsidRPr="0011692E">
              <w:rPr>
                <w:rFonts w:ascii="Franklin Gothic Book" w:hAnsi="Franklin Gothic Book"/>
                <w:sz w:val="22"/>
                <w:szCs w:val="22"/>
              </w:rPr>
              <w:t>preeclampsia</w:t>
            </w:r>
            <w:r w:rsidRPr="0011692E">
              <w:rPr>
                <w:rFonts w:ascii="Franklin Gothic Book" w:hAnsi="Franklin Gothic Book"/>
                <w:sz w:val="22"/>
                <w:szCs w:val="22"/>
              </w:rPr>
              <w:t xml:space="preserve">. </w:t>
            </w:r>
            <w:r w:rsidR="00CC3FB6">
              <w:rPr>
                <w:rFonts w:ascii="Franklin Gothic Book" w:hAnsi="Franklin Gothic Book"/>
                <w:sz w:val="22"/>
                <w:szCs w:val="22"/>
              </w:rPr>
              <w:t>The pregnant person’s</w:t>
            </w:r>
            <w:r w:rsidRPr="0011692E">
              <w:rPr>
                <w:rFonts w:ascii="Franklin Gothic Book" w:hAnsi="Franklin Gothic Book"/>
                <w:sz w:val="22"/>
                <w:szCs w:val="22"/>
              </w:rPr>
              <w:t xml:space="preserve"> clinical history, </w:t>
            </w:r>
            <w:r w:rsidR="00CC3FB6">
              <w:rPr>
                <w:rFonts w:ascii="Franklin Gothic Book" w:hAnsi="Franklin Gothic Book"/>
                <w:sz w:val="22"/>
                <w:szCs w:val="22"/>
              </w:rPr>
              <w:t xml:space="preserve">and results from </w:t>
            </w:r>
            <w:r w:rsidRPr="0011692E">
              <w:rPr>
                <w:rFonts w:ascii="Franklin Gothic Book" w:hAnsi="Franklin Gothic Book"/>
                <w:sz w:val="22"/>
                <w:szCs w:val="22"/>
              </w:rPr>
              <w:t xml:space="preserve">blood tests and ultrasound are </w:t>
            </w:r>
            <w:r w:rsidR="002C3BF7">
              <w:rPr>
                <w:rFonts w:ascii="Franklin Gothic Book" w:hAnsi="Franklin Gothic Book"/>
                <w:sz w:val="22"/>
                <w:szCs w:val="22"/>
              </w:rPr>
              <w:t>entered</w:t>
            </w:r>
            <w:r w:rsidRPr="0011692E">
              <w:rPr>
                <w:rFonts w:ascii="Franklin Gothic Book" w:hAnsi="Franklin Gothic Book"/>
                <w:sz w:val="22"/>
                <w:szCs w:val="22"/>
              </w:rPr>
              <w:t xml:space="preserve"> into a risk calculator from the </w:t>
            </w:r>
            <w:proofErr w:type="spellStart"/>
            <w:r w:rsidRPr="0011692E">
              <w:rPr>
                <w:rFonts w:ascii="Franklin Gothic Book" w:hAnsi="Franklin Gothic Book"/>
                <w:sz w:val="22"/>
                <w:szCs w:val="22"/>
              </w:rPr>
              <w:t>Fetal</w:t>
            </w:r>
            <w:proofErr w:type="spellEnd"/>
            <w:r w:rsidRPr="0011692E">
              <w:rPr>
                <w:rFonts w:ascii="Franklin Gothic Book" w:hAnsi="Franklin Gothic Book"/>
                <w:sz w:val="22"/>
                <w:szCs w:val="22"/>
              </w:rPr>
              <w:t xml:space="preserve"> Medicine Foundation (FMF)</w:t>
            </w:r>
            <w:r w:rsidR="007716B4">
              <w:rPr>
                <w:rFonts w:ascii="Franklin Gothic Book" w:hAnsi="Franklin Gothic Book"/>
                <w:sz w:val="22"/>
                <w:szCs w:val="22"/>
              </w:rPr>
              <w:t>, a UK-based organisation</w:t>
            </w:r>
            <w:r w:rsidRPr="0011692E">
              <w:rPr>
                <w:rFonts w:ascii="Franklin Gothic Book" w:hAnsi="Franklin Gothic Book"/>
                <w:sz w:val="22"/>
                <w:szCs w:val="22"/>
              </w:rPr>
              <w:t xml:space="preserve">. The results from the FMF calculator aim to tell if a person has a high risk of </w:t>
            </w:r>
            <w:r w:rsidR="00CC3FB6" w:rsidRPr="0011692E">
              <w:rPr>
                <w:rFonts w:ascii="Franklin Gothic Book" w:hAnsi="Franklin Gothic Book"/>
                <w:sz w:val="22"/>
                <w:szCs w:val="22"/>
              </w:rPr>
              <w:t>preeclampsia</w:t>
            </w:r>
            <w:r w:rsidR="00CC3FB6" w:rsidRPr="0011692E" w:rsidDel="0076309E">
              <w:rPr>
                <w:rFonts w:ascii="Franklin Gothic Book" w:hAnsi="Franklin Gothic Book"/>
                <w:sz w:val="22"/>
                <w:szCs w:val="22"/>
              </w:rPr>
              <w:t xml:space="preserve"> </w:t>
            </w:r>
            <w:r w:rsidRPr="0011692E">
              <w:rPr>
                <w:rFonts w:ascii="Franklin Gothic Book" w:hAnsi="Franklin Gothic Book"/>
                <w:sz w:val="22"/>
                <w:szCs w:val="22"/>
              </w:rPr>
              <w:t xml:space="preserve">early in their </w:t>
            </w:r>
            <w:proofErr w:type="gramStart"/>
            <w:r w:rsidRPr="0011692E">
              <w:rPr>
                <w:rFonts w:ascii="Franklin Gothic Book" w:hAnsi="Franklin Gothic Book"/>
                <w:sz w:val="22"/>
                <w:szCs w:val="22"/>
              </w:rPr>
              <w:t>pregnancy</w:t>
            </w:r>
            <w:r w:rsidR="00827AF2">
              <w:rPr>
                <w:rFonts w:ascii="Franklin Gothic Book" w:hAnsi="Franklin Gothic Book"/>
                <w:sz w:val="22"/>
                <w:szCs w:val="22"/>
              </w:rPr>
              <w:t>, before</w:t>
            </w:r>
            <w:proofErr w:type="gramEnd"/>
            <w:r w:rsidR="00827AF2">
              <w:rPr>
                <w:rFonts w:ascii="Franklin Gothic Book" w:hAnsi="Franklin Gothic Book"/>
                <w:sz w:val="22"/>
                <w:szCs w:val="22"/>
              </w:rPr>
              <w:t xml:space="preserve"> any signs of </w:t>
            </w:r>
            <w:r w:rsidR="00CC3FB6" w:rsidRPr="0011692E">
              <w:rPr>
                <w:rFonts w:ascii="Franklin Gothic Book" w:hAnsi="Franklin Gothic Book"/>
                <w:sz w:val="22"/>
                <w:szCs w:val="22"/>
              </w:rPr>
              <w:t>preeclampsia</w:t>
            </w:r>
            <w:r w:rsidR="00CC3FB6" w:rsidRPr="0011692E" w:rsidDel="0076309E">
              <w:rPr>
                <w:rFonts w:ascii="Franklin Gothic Book" w:hAnsi="Franklin Gothic Book"/>
                <w:sz w:val="22"/>
                <w:szCs w:val="22"/>
              </w:rPr>
              <w:t xml:space="preserve"> </w:t>
            </w:r>
            <w:r w:rsidR="00827AF2">
              <w:rPr>
                <w:rFonts w:ascii="Franklin Gothic Book" w:hAnsi="Franklin Gothic Book"/>
                <w:sz w:val="22"/>
                <w:szCs w:val="22"/>
              </w:rPr>
              <w:t>develop</w:t>
            </w:r>
            <w:r w:rsidRPr="0011692E">
              <w:rPr>
                <w:rFonts w:ascii="Franklin Gothic Book" w:hAnsi="Franklin Gothic Book"/>
                <w:sz w:val="22"/>
                <w:szCs w:val="22"/>
              </w:rPr>
              <w:t xml:space="preserve">. If </w:t>
            </w:r>
            <w:r w:rsidR="00F346C2">
              <w:rPr>
                <w:rFonts w:ascii="Franklin Gothic Book" w:hAnsi="Franklin Gothic Book"/>
                <w:sz w:val="22"/>
                <w:szCs w:val="22"/>
              </w:rPr>
              <w:t xml:space="preserve">the test result shows that a person has a high risk of preeclampsia, </w:t>
            </w:r>
            <w:r w:rsidRPr="0011692E">
              <w:rPr>
                <w:rFonts w:ascii="Franklin Gothic Book" w:hAnsi="Franklin Gothic Book"/>
                <w:sz w:val="22"/>
                <w:szCs w:val="22"/>
              </w:rPr>
              <w:t xml:space="preserve">the person would be recommended to take aspirin </w:t>
            </w:r>
            <w:r w:rsidR="001E7D90">
              <w:rPr>
                <w:rFonts w:ascii="Franklin Gothic Book" w:hAnsi="Franklin Gothic Book"/>
                <w:sz w:val="22"/>
                <w:szCs w:val="22"/>
              </w:rPr>
              <w:t xml:space="preserve">from before 16 weeks gestation and </w:t>
            </w:r>
            <w:r w:rsidRPr="0011692E">
              <w:rPr>
                <w:rFonts w:ascii="Franklin Gothic Book" w:hAnsi="Franklin Gothic Book"/>
                <w:sz w:val="22"/>
                <w:szCs w:val="22"/>
              </w:rPr>
              <w:t xml:space="preserve">for the rest of their pregnancy to help reduce the </w:t>
            </w:r>
            <w:r w:rsidR="0009508B">
              <w:rPr>
                <w:rFonts w:ascii="Franklin Gothic Book" w:hAnsi="Franklin Gothic Book"/>
                <w:sz w:val="22"/>
                <w:szCs w:val="22"/>
              </w:rPr>
              <w:t xml:space="preserve">onset of </w:t>
            </w:r>
            <w:r w:rsidR="00CC3FB6" w:rsidRPr="0011692E">
              <w:rPr>
                <w:rFonts w:ascii="Franklin Gothic Book" w:hAnsi="Franklin Gothic Book"/>
                <w:sz w:val="22"/>
                <w:szCs w:val="22"/>
              </w:rPr>
              <w:t>preeclampsia</w:t>
            </w:r>
            <w:r w:rsidR="00CC3FB6" w:rsidRPr="0011692E" w:rsidDel="0076309E">
              <w:rPr>
                <w:rFonts w:ascii="Franklin Gothic Book" w:hAnsi="Franklin Gothic Book"/>
                <w:sz w:val="22"/>
                <w:szCs w:val="22"/>
              </w:rPr>
              <w:t xml:space="preserve"> </w:t>
            </w:r>
            <w:r w:rsidR="0009508B">
              <w:rPr>
                <w:rFonts w:ascii="Franklin Gothic Book" w:hAnsi="Franklin Gothic Book"/>
                <w:sz w:val="22"/>
                <w:szCs w:val="22"/>
              </w:rPr>
              <w:t xml:space="preserve">and </w:t>
            </w:r>
            <w:r w:rsidRPr="0011692E">
              <w:rPr>
                <w:rFonts w:ascii="Franklin Gothic Book" w:hAnsi="Franklin Gothic Book"/>
                <w:sz w:val="22"/>
                <w:szCs w:val="22"/>
              </w:rPr>
              <w:t>risk</w:t>
            </w:r>
            <w:r w:rsidR="00155D41">
              <w:rPr>
                <w:rFonts w:ascii="Franklin Gothic Book" w:hAnsi="Franklin Gothic Book"/>
                <w:sz w:val="22"/>
                <w:szCs w:val="22"/>
              </w:rPr>
              <w:t>s</w:t>
            </w:r>
            <w:r w:rsidRPr="0011692E">
              <w:rPr>
                <w:rFonts w:ascii="Franklin Gothic Book" w:hAnsi="Franklin Gothic Book"/>
                <w:sz w:val="22"/>
                <w:szCs w:val="22"/>
              </w:rPr>
              <w:t xml:space="preserve"> </w:t>
            </w:r>
            <w:r w:rsidR="00827AF2">
              <w:rPr>
                <w:rFonts w:ascii="Franklin Gothic Book" w:hAnsi="Franklin Gothic Book"/>
                <w:sz w:val="22"/>
                <w:szCs w:val="22"/>
              </w:rPr>
              <w:t>from</w:t>
            </w:r>
            <w:r w:rsidRPr="0011692E">
              <w:rPr>
                <w:rFonts w:ascii="Franklin Gothic Book" w:hAnsi="Franklin Gothic Book"/>
                <w:sz w:val="22"/>
                <w:szCs w:val="22"/>
              </w:rPr>
              <w:t xml:space="preserve"> </w:t>
            </w:r>
            <w:r w:rsidR="00CC3FB6" w:rsidRPr="0011692E">
              <w:rPr>
                <w:rFonts w:ascii="Franklin Gothic Book" w:hAnsi="Franklin Gothic Book"/>
                <w:sz w:val="22"/>
                <w:szCs w:val="22"/>
              </w:rPr>
              <w:t>preeclampsia</w:t>
            </w:r>
            <w:r w:rsidR="00CC3FB6" w:rsidRPr="0011692E" w:rsidDel="0076309E">
              <w:rPr>
                <w:rFonts w:ascii="Franklin Gothic Book" w:hAnsi="Franklin Gothic Book"/>
                <w:sz w:val="22"/>
                <w:szCs w:val="22"/>
              </w:rPr>
              <w:t xml:space="preserve"> </w:t>
            </w:r>
            <w:r w:rsidRPr="0011692E">
              <w:rPr>
                <w:rFonts w:ascii="Franklin Gothic Book" w:hAnsi="Franklin Gothic Book"/>
                <w:sz w:val="22"/>
                <w:szCs w:val="22"/>
              </w:rPr>
              <w:t xml:space="preserve">to both the </w:t>
            </w:r>
            <w:r w:rsidR="00215E25">
              <w:rPr>
                <w:rFonts w:ascii="Franklin Gothic Book" w:hAnsi="Franklin Gothic Book"/>
                <w:sz w:val="22"/>
                <w:szCs w:val="22"/>
              </w:rPr>
              <w:t>pregnant person</w:t>
            </w:r>
            <w:r w:rsidR="00085623">
              <w:rPr>
                <w:rFonts w:ascii="Franklin Gothic Book" w:hAnsi="Franklin Gothic Book"/>
                <w:sz w:val="22"/>
                <w:szCs w:val="22"/>
              </w:rPr>
              <w:t xml:space="preserve"> </w:t>
            </w:r>
            <w:r w:rsidRPr="0011692E">
              <w:rPr>
                <w:rFonts w:ascii="Franklin Gothic Book" w:hAnsi="Franklin Gothic Book"/>
                <w:sz w:val="22"/>
                <w:szCs w:val="22"/>
              </w:rPr>
              <w:t>and the baby.</w:t>
            </w:r>
            <w:r w:rsidR="001953FF">
              <w:rPr>
                <w:rFonts w:ascii="Franklin Gothic Book" w:hAnsi="Franklin Gothic Book"/>
                <w:sz w:val="22"/>
                <w:szCs w:val="22"/>
              </w:rPr>
              <w:t xml:space="preserve"> Currently, the risk for </w:t>
            </w:r>
            <w:r w:rsidR="00CC3FB6" w:rsidRPr="0011692E">
              <w:rPr>
                <w:rFonts w:ascii="Franklin Gothic Book" w:hAnsi="Franklin Gothic Book"/>
                <w:sz w:val="22"/>
                <w:szCs w:val="22"/>
              </w:rPr>
              <w:t>preeclampsia</w:t>
            </w:r>
            <w:r w:rsidR="00CC3FB6" w:rsidRPr="0011692E" w:rsidDel="0076309E">
              <w:rPr>
                <w:rFonts w:ascii="Franklin Gothic Book" w:hAnsi="Franklin Gothic Book"/>
                <w:sz w:val="22"/>
                <w:szCs w:val="22"/>
              </w:rPr>
              <w:t xml:space="preserve"> </w:t>
            </w:r>
            <w:r w:rsidR="001953FF">
              <w:rPr>
                <w:rFonts w:ascii="Franklin Gothic Book" w:hAnsi="Franklin Gothic Book"/>
                <w:sz w:val="22"/>
                <w:szCs w:val="22"/>
              </w:rPr>
              <w:t>is assessed using clinical history alone.</w:t>
            </w:r>
          </w:p>
          <w:p w14:paraId="21FF4C14" w14:textId="4E9A7AD1" w:rsidR="00971DBF" w:rsidRPr="0011692E" w:rsidRDefault="005F4D82" w:rsidP="006B6F22">
            <w:pPr>
              <w:spacing w:before="240"/>
              <w:rPr>
                <w:rFonts w:ascii="Franklin Gothic Book" w:hAnsi="Franklin Gothic Book"/>
                <w:sz w:val="22"/>
                <w:szCs w:val="22"/>
              </w:rPr>
            </w:pPr>
            <w:r w:rsidRPr="0011692E">
              <w:rPr>
                <w:rFonts w:ascii="Franklin Gothic Book" w:hAnsi="Franklin Gothic Book"/>
                <w:sz w:val="22"/>
                <w:szCs w:val="22"/>
              </w:rPr>
              <w:t xml:space="preserve">MSAC </w:t>
            </w:r>
            <w:r w:rsidR="00CC3FB6">
              <w:rPr>
                <w:rFonts w:ascii="Franklin Gothic Book" w:hAnsi="Franklin Gothic Book"/>
                <w:sz w:val="22"/>
                <w:szCs w:val="22"/>
              </w:rPr>
              <w:t>found</w:t>
            </w:r>
            <w:r w:rsidR="00CC3FB6" w:rsidRPr="0011692E">
              <w:rPr>
                <w:rFonts w:ascii="Franklin Gothic Book" w:hAnsi="Franklin Gothic Book"/>
                <w:sz w:val="22"/>
                <w:szCs w:val="22"/>
              </w:rPr>
              <w:t xml:space="preserve"> </w:t>
            </w:r>
            <w:r w:rsidRPr="0011692E">
              <w:rPr>
                <w:rFonts w:ascii="Franklin Gothic Book" w:hAnsi="Franklin Gothic Book"/>
                <w:sz w:val="22"/>
                <w:szCs w:val="22"/>
              </w:rPr>
              <w:t xml:space="preserve">that there was no </w:t>
            </w:r>
            <w:r w:rsidR="0028614E">
              <w:rPr>
                <w:rFonts w:ascii="Franklin Gothic Book" w:hAnsi="Franklin Gothic Book"/>
                <w:sz w:val="22"/>
                <w:szCs w:val="22"/>
              </w:rPr>
              <w:t xml:space="preserve">direct </w:t>
            </w:r>
            <w:r w:rsidRPr="0011692E">
              <w:rPr>
                <w:rFonts w:ascii="Franklin Gothic Book" w:hAnsi="Franklin Gothic Book"/>
                <w:sz w:val="22"/>
                <w:szCs w:val="22"/>
              </w:rPr>
              <w:t xml:space="preserve">evidence to show that using the FMF calculator leads to </w:t>
            </w:r>
            <w:r w:rsidR="00CC3FB6">
              <w:rPr>
                <w:rFonts w:ascii="Franklin Gothic Book" w:hAnsi="Franklin Gothic Book"/>
                <w:sz w:val="22"/>
                <w:szCs w:val="22"/>
              </w:rPr>
              <w:t>an improvement in</w:t>
            </w:r>
            <w:r w:rsidR="00CC3FB6" w:rsidRPr="0011692E">
              <w:rPr>
                <w:rFonts w:ascii="Franklin Gothic Book" w:hAnsi="Franklin Gothic Book"/>
                <w:sz w:val="22"/>
                <w:szCs w:val="22"/>
              </w:rPr>
              <w:t xml:space="preserve"> </w:t>
            </w:r>
            <w:r w:rsidRPr="0011692E">
              <w:rPr>
                <w:rFonts w:ascii="Franklin Gothic Book" w:hAnsi="Franklin Gothic Book"/>
                <w:sz w:val="22"/>
                <w:szCs w:val="22"/>
              </w:rPr>
              <w:t xml:space="preserve">health outcomes for </w:t>
            </w:r>
            <w:r w:rsidR="00215E25">
              <w:rPr>
                <w:rFonts w:ascii="Franklin Gothic Book" w:hAnsi="Franklin Gothic Book"/>
                <w:sz w:val="22"/>
                <w:szCs w:val="22"/>
              </w:rPr>
              <w:t>pregnant person</w:t>
            </w:r>
            <w:r w:rsidRPr="0011692E">
              <w:rPr>
                <w:rFonts w:ascii="Franklin Gothic Book" w:hAnsi="Franklin Gothic Book"/>
                <w:sz w:val="22"/>
                <w:szCs w:val="22"/>
              </w:rPr>
              <w:t xml:space="preserve">s </w:t>
            </w:r>
            <w:r w:rsidR="00CC3FB6">
              <w:rPr>
                <w:rFonts w:ascii="Franklin Gothic Book" w:hAnsi="Franklin Gothic Book"/>
                <w:sz w:val="22"/>
                <w:szCs w:val="22"/>
              </w:rPr>
              <w:t>or</w:t>
            </w:r>
            <w:r w:rsidR="00CC3FB6" w:rsidRPr="0011692E">
              <w:rPr>
                <w:rFonts w:ascii="Franklin Gothic Book" w:hAnsi="Franklin Gothic Book"/>
                <w:sz w:val="22"/>
                <w:szCs w:val="22"/>
              </w:rPr>
              <w:t xml:space="preserve"> </w:t>
            </w:r>
            <w:r w:rsidRPr="0011692E">
              <w:rPr>
                <w:rFonts w:ascii="Franklin Gothic Book" w:hAnsi="Franklin Gothic Book"/>
                <w:sz w:val="22"/>
                <w:szCs w:val="22"/>
              </w:rPr>
              <w:t>babies</w:t>
            </w:r>
            <w:r w:rsidR="00497507">
              <w:rPr>
                <w:rFonts w:ascii="Franklin Gothic Book" w:hAnsi="Franklin Gothic Book"/>
                <w:sz w:val="22"/>
                <w:szCs w:val="22"/>
              </w:rPr>
              <w:t xml:space="preserve"> compared to the current way risk is assessed</w:t>
            </w:r>
            <w:r w:rsidRPr="0011692E">
              <w:rPr>
                <w:rFonts w:ascii="Franklin Gothic Book" w:hAnsi="Franklin Gothic Book"/>
                <w:sz w:val="22"/>
                <w:szCs w:val="22"/>
              </w:rPr>
              <w:t>. There w</w:t>
            </w:r>
            <w:r w:rsidR="003C31DE">
              <w:rPr>
                <w:rFonts w:ascii="Franklin Gothic Book" w:hAnsi="Franklin Gothic Book"/>
                <w:sz w:val="22"/>
                <w:szCs w:val="22"/>
              </w:rPr>
              <w:t>as</w:t>
            </w:r>
            <w:r w:rsidRPr="0011692E">
              <w:rPr>
                <w:rFonts w:ascii="Franklin Gothic Book" w:hAnsi="Franklin Gothic Book"/>
                <w:sz w:val="22"/>
                <w:szCs w:val="22"/>
              </w:rPr>
              <w:t xml:space="preserve"> </w:t>
            </w:r>
            <w:r w:rsidR="0028614E">
              <w:rPr>
                <w:rFonts w:ascii="Franklin Gothic Book" w:hAnsi="Franklin Gothic Book"/>
                <w:sz w:val="22"/>
                <w:szCs w:val="22"/>
              </w:rPr>
              <w:t>insufficient</w:t>
            </w:r>
            <w:r w:rsidRPr="0011692E">
              <w:rPr>
                <w:rFonts w:ascii="Franklin Gothic Book" w:hAnsi="Franklin Gothic Book"/>
                <w:sz w:val="22"/>
                <w:szCs w:val="22"/>
              </w:rPr>
              <w:t xml:space="preserve"> data about the risks of pregnant people taking aspirin, </w:t>
            </w:r>
            <w:r w:rsidR="00CC3FB6">
              <w:rPr>
                <w:rFonts w:ascii="Franklin Gothic Book" w:hAnsi="Franklin Gothic Book"/>
                <w:sz w:val="22"/>
                <w:szCs w:val="22"/>
              </w:rPr>
              <w:t>and</w:t>
            </w:r>
            <w:r w:rsidR="00CC3FB6" w:rsidRPr="0011692E">
              <w:rPr>
                <w:rFonts w:ascii="Franklin Gothic Book" w:hAnsi="Franklin Gothic Book"/>
                <w:sz w:val="22"/>
                <w:szCs w:val="22"/>
              </w:rPr>
              <w:t xml:space="preserve"> </w:t>
            </w:r>
            <w:r w:rsidRPr="0011692E">
              <w:rPr>
                <w:rFonts w:ascii="Franklin Gothic Book" w:hAnsi="Franklin Gothic Book"/>
                <w:sz w:val="22"/>
                <w:szCs w:val="22"/>
              </w:rPr>
              <w:t xml:space="preserve">the potential effects of stress and anxiety from having </w:t>
            </w:r>
            <w:r w:rsidR="001330F1">
              <w:rPr>
                <w:rFonts w:ascii="Franklin Gothic Book" w:hAnsi="Franklin Gothic Book"/>
                <w:sz w:val="22"/>
                <w:szCs w:val="22"/>
              </w:rPr>
              <w:t xml:space="preserve">their </w:t>
            </w:r>
            <w:r w:rsidR="001330F1" w:rsidRPr="0011692E">
              <w:rPr>
                <w:rFonts w:ascii="Franklin Gothic Book" w:hAnsi="Franklin Gothic Book"/>
                <w:sz w:val="22"/>
                <w:szCs w:val="22"/>
              </w:rPr>
              <w:t>preeclampsia</w:t>
            </w:r>
            <w:r w:rsidR="001330F1" w:rsidRPr="0011692E" w:rsidDel="0076309E">
              <w:rPr>
                <w:rFonts w:ascii="Franklin Gothic Book" w:hAnsi="Franklin Gothic Book"/>
                <w:sz w:val="22"/>
                <w:szCs w:val="22"/>
              </w:rPr>
              <w:t xml:space="preserve"> </w:t>
            </w:r>
            <w:r w:rsidR="001330F1">
              <w:rPr>
                <w:rFonts w:ascii="Franklin Gothic Book" w:hAnsi="Franklin Gothic Book"/>
                <w:sz w:val="22"/>
                <w:szCs w:val="22"/>
              </w:rPr>
              <w:t xml:space="preserve">risk assessed </w:t>
            </w:r>
            <w:r w:rsidRPr="0011692E">
              <w:rPr>
                <w:rFonts w:ascii="Franklin Gothic Book" w:hAnsi="Franklin Gothic Book"/>
                <w:sz w:val="22"/>
                <w:szCs w:val="22"/>
              </w:rPr>
              <w:t xml:space="preserve">on the person’s mental health. The </w:t>
            </w:r>
            <w:r w:rsidR="001330F1">
              <w:rPr>
                <w:rFonts w:ascii="Franklin Gothic Book" w:hAnsi="Franklin Gothic Book"/>
                <w:sz w:val="22"/>
                <w:szCs w:val="22"/>
              </w:rPr>
              <w:t>value for money</w:t>
            </w:r>
            <w:r w:rsidR="001330F1" w:rsidRPr="0011692E">
              <w:rPr>
                <w:rFonts w:ascii="Franklin Gothic Book" w:hAnsi="Franklin Gothic Book"/>
                <w:sz w:val="22"/>
                <w:szCs w:val="22"/>
              </w:rPr>
              <w:t xml:space="preserve"> </w:t>
            </w:r>
            <w:r w:rsidRPr="0011692E">
              <w:rPr>
                <w:rFonts w:ascii="Franklin Gothic Book" w:hAnsi="Franklin Gothic Book"/>
                <w:sz w:val="22"/>
                <w:szCs w:val="22"/>
              </w:rPr>
              <w:t xml:space="preserve">and financial </w:t>
            </w:r>
            <w:r w:rsidR="001330F1">
              <w:rPr>
                <w:rFonts w:ascii="Franklin Gothic Book" w:hAnsi="Franklin Gothic Book"/>
                <w:sz w:val="22"/>
                <w:szCs w:val="22"/>
              </w:rPr>
              <w:t>cost of funding risk assessment</w:t>
            </w:r>
            <w:r w:rsidR="001330F1" w:rsidRPr="0011692E">
              <w:rPr>
                <w:rFonts w:ascii="Franklin Gothic Book" w:hAnsi="Franklin Gothic Book"/>
                <w:sz w:val="22"/>
                <w:szCs w:val="22"/>
              </w:rPr>
              <w:t xml:space="preserve"> </w:t>
            </w:r>
            <w:r w:rsidRPr="0011692E">
              <w:rPr>
                <w:rFonts w:ascii="Franklin Gothic Book" w:hAnsi="Franklin Gothic Book"/>
                <w:sz w:val="22"/>
                <w:szCs w:val="22"/>
              </w:rPr>
              <w:t>were also uncertain, and MSAC did not think</w:t>
            </w:r>
            <w:r w:rsidR="00EB599C">
              <w:rPr>
                <w:rFonts w:ascii="Franklin Gothic Book" w:hAnsi="Franklin Gothic Book"/>
                <w:sz w:val="22"/>
                <w:szCs w:val="22"/>
              </w:rPr>
              <w:t xml:space="preserve"> the</w:t>
            </w:r>
            <w:r w:rsidRPr="0011692E">
              <w:rPr>
                <w:rFonts w:ascii="Franklin Gothic Book" w:hAnsi="Franklin Gothic Book"/>
                <w:sz w:val="22"/>
                <w:szCs w:val="22"/>
              </w:rPr>
              <w:t xml:space="preserve"> </w:t>
            </w:r>
            <w:r w:rsidR="001330F1">
              <w:rPr>
                <w:rFonts w:ascii="Franklin Gothic Book" w:hAnsi="Franklin Gothic Book"/>
                <w:sz w:val="22"/>
                <w:szCs w:val="22"/>
              </w:rPr>
              <w:t xml:space="preserve">risk assessment </w:t>
            </w:r>
            <w:r w:rsidRPr="0011692E">
              <w:rPr>
                <w:rFonts w:ascii="Franklin Gothic Book" w:hAnsi="Franklin Gothic Book"/>
                <w:sz w:val="22"/>
                <w:szCs w:val="22"/>
              </w:rPr>
              <w:t>would be good value for money. There might also be high out-of-pocket costs.</w:t>
            </w:r>
          </w:p>
          <w:p w14:paraId="5A166AC3" w14:textId="77777777" w:rsidR="00971DBF" w:rsidRPr="00971DBF" w:rsidRDefault="00971DBF">
            <w:pPr>
              <w:pStyle w:val="Heading3"/>
              <w:ind w:left="720" w:hanging="720"/>
              <w:rPr>
                <w:sz w:val="24"/>
                <w:szCs w:val="24"/>
              </w:rPr>
            </w:pPr>
            <w:r w:rsidRPr="00971DBF">
              <w:rPr>
                <w:sz w:val="24"/>
                <w:szCs w:val="24"/>
              </w:rPr>
              <w:t xml:space="preserve">MSAC’s advice to the </w:t>
            </w:r>
            <w:proofErr w:type="gramStart"/>
            <w:r w:rsidRPr="00971DBF">
              <w:rPr>
                <w:sz w:val="24"/>
                <w:szCs w:val="24"/>
              </w:rPr>
              <w:t>Commonwealth Minister</w:t>
            </w:r>
            <w:proofErr w:type="gramEnd"/>
            <w:r w:rsidRPr="00971DBF">
              <w:rPr>
                <w:sz w:val="24"/>
                <w:szCs w:val="24"/>
              </w:rPr>
              <w:t xml:space="preserve"> for Health and Aged Care</w:t>
            </w:r>
          </w:p>
          <w:p w14:paraId="290AB054" w14:textId="4DA7A5DB" w:rsidR="00971DBF" w:rsidRPr="0011692E" w:rsidRDefault="00501376">
            <w:pPr>
              <w:spacing w:after="120"/>
              <w:rPr>
                <w:rFonts w:ascii="Franklin Gothic Book" w:hAnsi="Franklin Gothic Book"/>
                <w:sz w:val="22"/>
                <w:szCs w:val="22"/>
              </w:rPr>
            </w:pPr>
            <w:r w:rsidRPr="0011692E">
              <w:rPr>
                <w:rFonts w:ascii="Franklin Gothic Book" w:hAnsi="Franklin Gothic Book"/>
                <w:sz w:val="22"/>
                <w:szCs w:val="22"/>
              </w:rPr>
              <w:t xml:space="preserve">MSAC did not support MBS listing of structured prenatal risk assessment for preterm </w:t>
            </w:r>
            <w:r w:rsidR="001330F1" w:rsidRPr="0011692E">
              <w:rPr>
                <w:rFonts w:ascii="Franklin Gothic Book" w:hAnsi="Franklin Gothic Book"/>
                <w:sz w:val="22"/>
                <w:szCs w:val="22"/>
              </w:rPr>
              <w:t>preeclampsia</w:t>
            </w:r>
            <w:r w:rsidRPr="0011692E">
              <w:rPr>
                <w:rFonts w:ascii="Franklin Gothic Book" w:hAnsi="Franklin Gothic Book"/>
                <w:sz w:val="22"/>
                <w:szCs w:val="22"/>
              </w:rPr>
              <w:t xml:space="preserve">. This was because </w:t>
            </w:r>
            <w:r w:rsidR="001330F1">
              <w:rPr>
                <w:rFonts w:ascii="Franklin Gothic Book" w:hAnsi="Franklin Gothic Book"/>
                <w:sz w:val="22"/>
                <w:szCs w:val="22"/>
              </w:rPr>
              <w:t>there was insufficient evidence that</w:t>
            </w:r>
            <w:r w:rsidRPr="0011692E">
              <w:rPr>
                <w:rFonts w:ascii="Franklin Gothic Book" w:hAnsi="Franklin Gothic Book"/>
                <w:sz w:val="22"/>
                <w:szCs w:val="22"/>
              </w:rPr>
              <w:t xml:space="preserve"> the </w:t>
            </w:r>
            <w:r w:rsidR="001330F1">
              <w:rPr>
                <w:rFonts w:ascii="Franklin Gothic Book" w:hAnsi="Franklin Gothic Book"/>
                <w:sz w:val="22"/>
                <w:szCs w:val="22"/>
              </w:rPr>
              <w:t>risk assessment</w:t>
            </w:r>
            <w:r w:rsidR="001330F1" w:rsidRPr="0011692E">
              <w:rPr>
                <w:rFonts w:ascii="Franklin Gothic Book" w:hAnsi="Franklin Gothic Book"/>
                <w:sz w:val="22"/>
                <w:szCs w:val="22"/>
              </w:rPr>
              <w:t xml:space="preserve"> </w:t>
            </w:r>
            <w:r w:rsidRPr="0011692E">
              <w:rPr>
                <w:rFonts w:ascii="Franklin Gothic Book" w:hAnsi="Franklin Gothic Book"/>
                <w:sz w:val="22"/>
                <w:szCs w:val="22"/>
              </w:rPr>
              <w:t>would lead to better health outcomes or be good value for money.</w:t>
            </w:r>
          </w:p>
        </w:tc>
      </w:tr>
    </w:tbl>
    <w:p w14:paraId="5BF3ADD1" w14:textId="77777777" w:rsidR="00971DBF" w:rsidRDefault="00971DBF" w:rsidP="00971DBF">
      <w:pPr>
        <w:pStyle w:val="Heading2"/>
        <w:numPr>
          <w:ilvl w:val="1"/>
          <w:numId w:val="0"/>
        </w:numPr>
      </w:pPr>
      <w:r>
        <w:t>3.</w:t>
      </w:r>
      <w:r>
        <w:tab/>
        <w:t>Summary of consideration and rationale for MSAC’s advice</w:t>
      </w:r>
    </w:p>
    <w:p w14:paraId="6B662D84" w14:textId="27F5A617" w:rsidR="004E5FC8" w:rsidRDefault="004E5FC8" w:rsidP="00F16694">
      <w:pPr>
        <w:pStyle w:val="a-TEXT"/>
      </w:pPr>
      <w:r w:rsidRPr="004E5FC8">
        <w:t xml:space="preserve">MSAC noted that this application was for Medicare Benefits Schedule (MBS) listing of structured prenatal risk assessment for preterm preeclampsia (PE) in pregnant </w:t>
      </w:r>
      <w:r w:rsidR="00AC6754">
        <w:t>patients</w:t>
      </w:r>
      <w:r w:rsidR="00AC6754" w:rsidRPr="004E5FC8">
        <w:t xml:space="preserve"> </w:t>
      </w:r>
      <w:r w:rsidRPr="004E5FC8">
        <w:t>at 11</w:t>
      </w:r>
      <w:r w:rsidRPr="00F16694">
        <w:rPr>
          <w:vertAlign w:val="superscript"/>
        </w:rPr>
        <w:t>+0</w:t>
      </w:r>
      <w:r w:rsidRPr="004E5FC8">
        <w:t xml:space="preserve"> to 13</w:t>
      </w:r>
      <w:r w:rsidRPr="00F16694">
        <w:rPr>
          <w:vertAlign w:val="superscript"/>
        </w:rPr>
        <w:t>+6</w:t>
      </w:r>
      <w:r w:rsidRPr="004E5FC8">
        <w:t xml:space="preserve"> weeks gestation. The risk assessment involves a series of pathology and ultrasound measurements, with results entered</w:t>
      </w:r>
      <w:r>
        <w:t xml:space="preserve"> </w:t>
      </w:r>
      <w:r w:rsidR="00DD7200">
        <w:t>(along with clinical information about the patient)</w:t>
      </w:r>
      <w:r w:rsidRPr="004E5FC8">
        <w:t xml:space="preserve"> into a risk calculator from the </w:t>
      </w:r>
      <w:proofErr w:type="spellStart"/>
      <w:r w:rsidRPr="00F16694">
        <w:t>Fetal</w:t>
      </w:r>
      <w:proofErr w:type="spellEnd"/>
      <w:r w:rsidRPr="00F16694">
        <w:t xml:space="preserve"> Medicine Foundation (FMF)</w:t>
      </w:r>
      <w:r w:rsidR="00F357F1" w:rsidRPr="00F16694">
        <w:t>, a UK-based organisation</w:t>
      </w:r>
      <w:r w:rsidRPr="004E5FC8">
        <w:t xml:space="preserve">. A result of 1% or above </w:t>
      </w:r>
      <w:r w:rsidR="00FA3891">
        <w:t>wa</w:t>
      </w:r>
      <w:r w:rsidRPr="004E5FC8">
        <w:t xml:space="preserve">s </w:t>
      </w:r>
      <w:r w:rsidR="00FA3891">
        <w:t>propos</w:t>
      </w:r>
      <w:r w:rsidR="00FA3891" w:rsidRPr="004E5FC8">
        <w:t xml:space="preserve">ed </w:t>
      </w:r>
      <w:r w:rsidRPr="004E5FC8">
        <w:t xml:space="preserve">to be </w:t>
      </w:r>
      <w:r w:rsidR="00FA3891">
        <w:t xml:space="preserve">regarded as indicating </w:t>
      </w:r>
      <w:r w:rsidRPr="004E5FC8">
        <w:t xml:space="preserve">high risk for PE, and these </w:t>
      </w:r>
      <w:r w:rsidR="00FA3891">
        <w:t>patients</w:t>
      </w:r>
      <w:r w:rsidR="00FA3891" w:rsidRPr="004E5FC8">
        <w:t xml:space="preserve"> </w:t>
      </w:r>
      <w:r w:rsidRPr="004E5FC8">
        <w:t xml:space="preserve">would be prescribed aspirin </w:t>
      </w:r>
      <w:r w:rsidR="00E324A8">
        <w:t>from before 16 weeks gestation</w:t>
      </w:r>
      <w:r w:rsidR="00A83CE4">
        <w:t xml:space="preserve"> and</w:t>
      </w:r>
      <w:r w:rsidRPr="004E5FC8">
        <w:t xml:space="preserve"> for the rest of their pregnancy to reduce the risk of </w:t>
      </w:r>
      <w:r w:rsidR="00A83CE4">
        <w:t xml:space="preserve">onset of, and </w:t>
      </w:r>
      <w:r w:rsidRPr="004E5FC8">
        <w:t>complications from</w:t>
      </w:r>
      <w:r w:rsidR="00A83CE4">
        <w:t>,</w:t>
      </w:r>
      <w:r w:rsidRPr="004E5FC8">
        <w:t xml:space="preserve"> PE. </w:t>
      </w:r>
      <w:r w:rsidR="00AD546E">
        <w:t xml:space="preserve">MSAC considered the basis for the 1% threshold had not been made sufficiently clear, and that </w:t>
      </w:r>
      <w:r w:rsidR="00657A69">
        <w:t>the choice of threshold would be a trade-off with the risks from aspirin treatment.</w:t>
      </w:r>
    </w:p>
    <w:p w14:paraId="49ED0A3A" w14:textId="0D5E40F1" w:rsidR="004E5FC8" w:rsidRDefault="004E5FC8" w:rsidP="00F16694">
      <w:pPr>
        <w:pStyle w:val="a-TEXT"/>
      </w:pPr>
      <w:r w:rsidRPr="004E5FC8">
        <w:t>MSAC noted that the UK National Institute for Health and Care Excellence (NICE) guidelines recommend placental growth factor (</w:t>
      </w:r>
      <w:proofErr w:type="spellStart"/>
      <w:r w:rsidRPr="004E5FC8">
        <w:t>PlGF</w:t>
      </w:r>
      <w:proofErr w:type="spellEnd"/>
      <w:r w:rsidRPr="004E5FC8">
        <w:t xml:space="preserve">)-based tests in conjunction with standard clinical assessment, to help rule in or rule out suspected PE (that is, in </w:t>
      </w:r>
      <w:r w:rsidR="00B25E3A">
        <w:t>pregnant patients</w:t>
      </w:r>
      <w:r w:rsidR="00B25E3A" w:rsidRPr="004E5FC8">
        <w:t xml:space="preserve"> </w:t>
      </w:r>
      <w:r w:rsidRPr="004E5FC8">
        <w:t xml:space="preserve">presenting with signs or symptoms of PE) and help decide on care. </w:t>
      </w:r>
    </w:p>
    <w:p w14:paraId="25AE34DB" w14:textId="1766912D" w:rsidR="004E5FC8" w:rsidRDefault="004E5FC8" w:rsidP="00F16694">
      <w:pPr>
        <w:pStyle w:val="a-TEXT"/>
      </w:pPr>
      <w:r w:rsidRPr="004E5FC8">
        <w:lastRenderedPageBreak/>
        <w:t>MSAC noted the support for this application in consultation feedback.</w:t>
      </w:r>
      <w:r w:rsidR="00075BC5">
        <w:t xml:space="preserve"> MSAC considered that</w:t>
      </w:r>
      <w:r w:rsidR="00256993">
        <w:t xml:space="preserve"> people in their first trimester of pregnancy already receive a </w:t>
      </w:r>
      <w:r w:rsidR="00525C38">
        <w:t>multitude</w:t>
      </w:r>
      <w:r w:rsidR="00256993">
        <w:t xml:space="preserve"> of information and </w:t>
      </w:r>
      <w:proofErr w:type="gramStart"/>
      <w:r w:rsidR="00256993">
        <w:t>testing, and</w:t>
      </w:r>
      <w:proofErr w:type="gramEnd"/>
      <w:r w:rsidR="00256993">
        <w:t xml:space="preserve"> was concerned that adding another test would potentially create anxiety and confusion for patients.</w:t>
      </w:r>
    </w:p>
    <w:p w14:paraId="5B1F9295" w14:textId="64C98C89" w:rsidR="00AE078F" w:rsidRPr="00F16694" w:rsidRDefault="00F30248" w:rsidP="00F16694">
      <w:pPr>
        <w:pStyle w:val="a-TEXT"/>
      </w:pPr>
      <w:r>
        <w:t>MSAC noted</w:t>
      </w:r>
      <w:r w:rsidR="00335956" w:rsidRPr="004E5FC8">
        <w:t xml:space="preserve"> the Therapeutic Goods Administration</w:t>
      </w:r>
      <w:r w:rsidR="00335956">
        <w:t xml:space="preserve"> </w:t>
      </w:r>
      <w:r w:rsidR="003C6D2C">
        <w:t>(TGA)</w:t>
      </w:r>
      <w:r w:rsidR="00335956" w:rsidRPr="004E5FC8">
        <w:t xml:space="preserve"> had determined that </w:t>
      </w:r>
      <w:r w:rsidR="00335956" w:rsidRPr="00F16694">
        <w:t>the</w:t>
      </w:r>
      <w:r w:rsidR="00335956">
        <w:t xml:space="preserve"> </w:t>
      </w:r>
      <w:r w:rsidR="008526BA">
        <w:t>FMF</w:t>
      </w:r>
      <w:r w:rsidR="00335956" w:rsidRPr="00F16694">
        <w:t xml:space="preserve"> website that includes the risk calculator </w:t>
      </w:r>
      <w:r w:rsidR="008526BA">
        <w:t>meets</w:t>
      </w:r>
      <w:r w:rsidR="00335956" w:rsidRPr="00F16694">
        <w:t xml:space="preserve"> the definition of software as a medical device (</w:t>
      </w:r>
      <w:proofErr w:type="spellStart"/>
      <w:r w:rsidR="00335956" w:rsidRPr="00F16694">
        <w:t>SaMD</w:t>
      </w:r>
      <w:proofErr w:type="spellEnd"/>
      <w:r w:rsidR="00335956" w:rsidRPr="00F16694">
        <w:t xml:space="preserve">), and so is required to be </w:t>
      </w:r>
      <w:r w:rsidR="000815D1">
        <w:t xml:space="preserve">regulated through </w:t>
      </w:r>
      <w:r w:rsidR="00335956" w:rsidRPr="00F16694">
        <w:t>inclu</w:t>
      </w:r>
      <w:r w:rsidR="000815D1">
        <w:t>sion</w:t>
      </w:r>
      <w:r w:rsidR="00B04988">
        <w:t xml:space="preserve"> </w:t>
      </w:r>
      <w:r w:rsidR="00335956" w:rsidRPr="00F16694">
        <w:t xml:space="preserve">in the Australian Register of Therapeutic Goods (ARTG). </w:t>
      </w:r>
      <w:r w:rsidR="00B04988">
        <w:t>MSAC noted</w:t>
      </w:r>
      <w:r w:rsidR="00335956" w:rsidRPr="00F16694">
        <w:t xml:space="preserve"> th</w:t>
      </w:r>
      <w:r w:rsidR="00FD5019" w:rsidRPr="00F16694">
        <w:t xml:space="preserve">e applicant </w:t>
      </w:r>
      <w:r w:rsidR="008447FD" w:rsidRPr="00F16694">
        <w:t>is in discussion</w:t>
      </w:r>
      <w:r w:rsidR="005D412A" w:rsidRPr="00F16694">
        <w:t>s</w:t>
      </w:r>
      <w:r w:rsidR="008447FD" w:rsidRPr="00F16694">
        <w:t xml:space="preserve"> with the TGA and </w:t>
      </w:r>
      <w:r w:rsidR="00B04988">
        <w:t>disputes</w:t>
      </w:r>
      <w:r w:rsidR="00AE078F" w:rsidRPr="00F16694">
        <w:t xml:space="preserve"> the need for ARTG </w:t>
      </w:r>
      <w:r w:rsidR="00B04988">
        <w:t>inclusion of the risk calculator</w:t>
      </w:r>
      <w:r w:rsidR="00AE078F" w:rsidRPr="00F16694">
        <w:t>.</w:t>
      </w:r>
      <w:r w:rsidR="00B04988">
        <w:t xml:space="preserve"> MSAC considered that appropriate regulation would need to be in place before it could </w:t>
      </w:r>
      <w:r w:rsidR="00916324">
        <w:t>support public funding</w:t>
      </w:r>
      <w:r w:rsidR="00AE078F">
        <w:t>.</w:t>
      </w:r>
    </w:p>
    <w:p w14:paraId="272E6A9C" w14:textId="400A1663" w:rsidR="004E5FC8" w:rsidRPr="00F16694" w:rsidRDefault="004E5FC8" w:rsidP="00F16694">
      <w:pPr>
        <w:pStyle w:val="a-TEXT"/>
      </w:pPr>
      <w:r w:rsidRPr="004E5FC8">
        <w:t xml:space="preserve">MSAC noted the applicant’s proposed amendments to MBS items 55707, 66750 and 66751 to </w:t>
      </w:r>
      <w:r w:rsidR="00394148">
        <w:t>add</w:t>
      </w:r>
      <w:r w:rsidR="00394148" w:rsidRPr="004E5FC8">
        <w:t xml:space="preserve"> </w:t>
      </w:r>
      <w:r w:rsidRPr="004E5FC8">
        <w:t xml:space="preserve">the </w:t>
      </w:r>
      <w:r w:rsidR="0067401E">
        <w:t>tests required for</w:t>
      </w:r>
      <w:r w:rsidR="00394148" w:rsidRPr="004E5FC8">
        <w:t xml:space="preserve"> </w:t>
      </w:r>
      <w:r w:rsidRPr="004E5FC8">
        <w:t xml:space="preserve">the FMF calculator. MSAC also noted the department’s proposed </w:t>
      </w:r>
      <w:r w:rsidR="00A34326" w:rsidRPr="00A34326">
        <w:t>comprehensive new first trimester</w:t>
      </w:r>
      <w:r w:rsidR="00A34326">
        <w:t xml:space="preserve"> ultrasound </w:t>
      </w:r>
      <w:r w:rsidR="00A34326" w:rsidRPr="00A34326">
        <w:t xml:space="preserve">item as an alternative to adding mean uterine artery </w:t>
      </w:r>
      <w:proofErr w:type="spellStart"/>
      <w:r w:rsidR="00A34326" w:rsidRPr="00A34326">
        <w:t>pulsatility</w:t>
      </w:r>
      <w:proofErr w:type="spellEnd"/>
      <w:r w:rsidR="00A34326" w:rsidRPr="00A34326">
        <w:t xml:space="preserve"> index to an existing item</w:t>
      </w:r>
      <w:r w:rsidR="00A34326">
        <w:t xml:space="preserve">. This item would also </w:t>
      </w:r>
      <w:r w:rsidRPr="004E5FC8">
        <w:t xml:space="preserve">encompass </w:t>
      </w:r>
      <w:r w:rsidR="003706FA" w:rsidRPr="003706FA">
        <w:t xml:space="preserve">nuchal translucency testing </w:t>
      </w:r>
      <w:r w:rsidRPr="004E5FC8">
        <w:t xml:space="preserve">as an option for </w:t>
      </w:r>
      <w:r w:rsidR="00111857">
        <w:t>pregnant individuals</w:t>
      </w:r>
      <w:r w:rsidR="00111857" w:rsidRPr="004E5FC8">
        <w:t xml:space="preserve"> </w:t>
      </w:r>
      <w:r w:rsidRPr="004E5FC8">
        <w:t xml:space="preserve">who want to </w:t>
      </w:r>
      <w:r w:rsidR="00A34326">
        <w:t xml:space="preserve">undertake both </w:t>
      </w:r>
      <w:r w:rsidR="00002775">
        <w:t xml:space="preserve">this test and </w:t>
      </w:r>
      <w:r w:rsidR="00002775" w:rsidRPr="004E5FC8">
        <w:t>prenatal risk assessment for</w:t>
      </w:r>
      <w:r w:rsidR="00084B2C">
        <w:t xml:space="preserve"> preterm PE</w:t>
      </w:r>
      <w:r w:rsidRPr="004E5FC8">
        <w:t xml:space="preserve">. MSAC </w:t>
      </w:r>
      <w:r w:rsidR="00C91272">
        <w:t>considered</w:t>
      </w:r>
      <w:r w:rsidR="00C91272" w:rsidRPr="004E5FC8">
        <w:t xml:space="preserve"> </w:t>
      </w:r>
      <w:r w:rsidRPr="004E5FC8">
        <w:t xml:space="preserve">that it was not clear which healthcare provider </w:t>
      </w:r>
      <w:r w:rsidR="00C91272">
        <w:t>was proposed to</w:t>
      </w:r>
      <w:r w:rsidR="00C91272" w:rsidRPr="004E5FC8">
        <w:t xml:space="preserve"> </w:t>
      </w:r>
      <w:r w:rsidRPr="004E5FC8">
        <w:t xml:space="preserve">complete the final assessment and calculation of PE risk (for example, the radiologist, </w:t>
      </w:r>
      <w:proofErr w:type="gramStart"/>
      <w:r w:rsidRPr="004E5FC8">
        <w:t>pathologist</w:t>
      </w:r>
      <w:proofErr w:type="gramEnd"/>
      <w:r w:rsidRPr="004E5FC8">
        <w:t xml:space="preserve"> or referrer). </w:t>
      </w:r>
      <w:r w:rsidR="00A03BCB">
        <w:t xml:space="preserve">MSAC considered that the proposed </w:t>
      </w:r>
      <w:r w:rsidR="00912B2C">
        <w:t xml:space="preserve">fee </w:t>
      </w:r>
      <w:proofErr w:type="gramStart"/>
      <w:r w:rsidR="00912B2C">
        <w:t>increase</w:t>
      </w:r>
      <w:proofErr w:type="gramEnd"/>
      <w:r w:rsidR="00912B2C">
        <w:t xml:space="preserve"> to add pathology testing </w:t>
      </w:r>
      <w:r w:rsidR="00A03BCB">
        <w:t>was too high</w:t>
      </w:r>
      <w:r w:rsidR="00EE6550">
        <w:t xml:space="preserve">, as </w:t>
      </w:r>
      <w:r w:rsidR="00DF0DB8">
        <w:t xml:space="preserve">it would likely be performed </w:t>
      </w:r>
      <w:r w:rsidR="00C73A75">
        <w:t>along with other routine bloodwork rather than as a standalone test</w:t>
      </w:r>
      <w:r w:rsidR="007E2A3D">
        <w:t xml:space="preserve">, so the major </w:t>
      </w:r>
      <w:r w:rsidR="00912B2C">
        <w:t xml:space="preserve">incremental </w:t>
      </w:r>
      <w:r w:rsidR="007E2A3D">
        <w:t xml:space="preserve">cost </w:t>
      </w:r>
      <w:r w:rsidR="00912B2C">
        <w:t>would</w:t>
      </w:r>
      <w:r w:rsidR="007E2A3D">
        <w:t xml:space="preserve"> be only the test ca</w:t>
      </w:r>
      <w:r w:rsidR="00E7425F">
        <w:t>rtridge (around $15-20)</w:t>
      </w:r>
      <w:r w:rsidR="00C73A75">
        <w:t>.</w:t>
      </w:r>
      <w:r w:rsidRPr="004E5FC8">
        <w:t xml:space="preserve"> MSAC also considered that there would be a risk of leakage to later in pregnancy, as the FMF </w:t>
      </w:r>
      <w:r w:rsidR="00C91272">
        <w:t xml:space="preserve">website </w:t>
      </w:r>
      <w:r w:rsidRPr="00F16694">
        <w:t>provides two additional risk calculators for use later in pregnancy (testing at 19+0 to 24+6 weeks and 30+0 to 37+6 weeks) and these later gestational ages were not part of this application</w:t>
      </w:r>
      <w:r w:rsidRPr="004E5FC8">
        <w:t xml:space="preserve">. MSAC noted concerns from ESC that </w:t>
      </w:r>
      <w:r w:rsidRPr="00F16694">
        <w:t xml:space="preserve">further MBS-funded consultations would be needed to explain results and manage potential </w:t>
      </w:r>
      <w:proofErr w:type="gramStart"/>
      <w:r w:rsidRPr="00F16694">
        <w:t>anxiety, and</w:t>
      </w:r>
      <w:proofErr w:type="gramEnd"/>
      <w:r w:rsidRPr="00F16694">
        <w:t xml:space="preserve"> </w:t>
      </w:r>
      <w:r w:rsidR="00C91272">
        <w:t xml:space="preserve">considered </w:t>
      </w:r>
      <w:r w:rsidRPr="00F16694">
        <w:t>this had not been taken into account.</w:t>
      </w:r>
      <w:r w:rsidR="00826B6B" w:rsidRPr="00F16694">
        <w:t xml:space="preserve"> MSAC considered that</w:t>
      </w:r>
      <w:r w:rsidR="00C1731D">
        <w:t xml:space="preserve"> assessing pre-term PE risk was currently optional but widespread, and that public funding would result in</w:t>
      </w:r>
      <w:r w:rsidR="000B0D31">
        <w:t xml:space="preserve"> wide</w:t>
      </w:r>
      <w:r w:rsidR="00C1731D">
        <w:t>spread</w:t>
      </w:r>
      <w:r w:rsidR="000B0D31">
        <w:t xml:space="preserve"> use and effectively</w:t>
      </w:r>
      <w:r w:rsidR="0049082F">
        <w:t xml:space="preserve"> </w:t>
      </w:r>
      <w:r w:rsidR="003F26D6">
        <w:t>be</w:t>
      </w:r>
      <w:r w:rsidR="0031107E">
        <w:t>come</w:t>
      </w:r>
      <w:r w:rsidR="000B0D31">
        <w:t xml:space="preserve"> </w:t>
      </w:r>
      <w:r w:rsidR="0049082F" w:rsidRPr="00F16694">
        <w:t>a screening tool</w:t>
      </w:r>
      <w:r w:rsidR="003F26D6">
        <w:t>,</w:t>
      </w:r>
      <w:r w:rsidR="0049082F" w:rsidRPr="00F16694">
        <w:t xml:space="preserve"> although it was not characterised as such. </w:t>
      </w:r>
    </w:p>
    <w:p w14:paraId="3ABCAD3A" w14:textId="70F8CD55" w:rsidR="004E5FC8" w:rsidRDefault="004E5FC8" w:rsidP="00F16694">
      <w:pPr>
        <w:pStyle w:val="a-TEXT"/>
      </w:pPr>
      <w:r w:rsidRPr="00892582">
        <w:t xml:space="preserve">MSAC noted </w:t>
      </w:r>
      <w:r w:rsidR="00301009" w:rsidRPr="00892582">
        <w:t xml:space="preserve">ESC’s estimate </w:t>
      </w:r>
      <w:r w:rsidR="00111857" w:rsidRPr="00892582">
        <w:t>that using</w:t>
      </w:r>
      <w:r w:rsidRPr="00892582">
        <w:t xml:space="preserve"> the current algorithm around 5% of patients are classified as high risk</w:t>
      </w:r>
      <w:r w:rsidR="005A17B8" w:rsidRPr="00892582">
        <w:t xml:space="preserve"> and prescribed aspirin</w:t>
      </w:r>
      <w:r w:rsidR="00111857" w:rsidRPr="00892582">
        <w:t>, and with</w:t>
      </w:r>
      <w:r w:rsidRPr="00892582">
        <w:t xml:space="preserve"> the proposed algorithm this would increase to around 10.5%.</w:t>
      </w:r>
      <w:r w:rsidRPr="004E5FC8">
        <w:t xml:space="preserve"> The proposed population </w:t>
      </w:r>
      <w:r w:rsidR="00B40FD8">
        <w:t>wa</w:t>
      </w:r>
      <w:r w:rsidRPr="004E5FC8">
        <w:t xml:space="preserve">s all pregnant </w:t>
      </w:r>
      <w:r w:rsidR="00B40FD8">
        <w:t>individuals</w:t>
      </w:r>
      <w:r w:rsidR="00B40FD8" w:rsidRPr="004E5FC8">
        <w:t xml:space="preserve"> </w:t>
      </w:r>
      <w:r w:rsidRPr="004E5FC8">
        <w:t xml:space="preserve">(around 300,000 per year), which would equate to more than 30,000 </w:t>
      </w:r>
      <w:r w:rsidR="00B40FD8">
        <w:t>people</w:t>
      </w:r>
      <w:r w:rsidR="00B40FD8" w:rsidRPr="004E5FC8">
        <w:t xml:space="preserve"> </w:t>
      </w:r>
      <w:r w:rsidRPr="004E5FC8">
        <w:t xml:space="preserve">per year being prescribed </w:t>
      </w:r>
      <w:r w:rsidR="00E72200">
        <w:t xml:space="preserve">prophylactic </w:t>
      </w:r>
      <w:r w:rsidRPr="004E5FC8">
        <w:t>aspirin.</w:t>
      </w:r>
    </w:p>
    <w:p w14:paraId="734E59A4" w14:textId="7A0D11C1" w:rsidR="004E5FC8" w:rsidRDefault="004E5FC8" w:rsidP="00F16694">
      <w:pPr>
        <w:pStyle w:val="a-TEXT"/>
      </w:pPr>
      <w:r w:rsidRPr="004E5FC8">
        <w:t xml:space="preserve">MSAC noted the comparator </w:t>
      </w:r>
      <w:r w:rsidR="00B40FD8">
        <w:t>was</w:t>
      </w:r>
      <w:r w:rsidR="00B40FD8" w:rsidRPr="004E5FC8">
        <w:t xml:space="preserve"> </w:t>
      </w:r>
      <w:r w:rsidRPr="004E5FC8">
        <w:t xml:space="preserve">standard </w:t>
      </w:r>
      <w:r w:rsidR="00AD62B0">
        <w:t xml:space="preserve">of </w:t>
      </w:r>
      <w:r w:rsidRPr="004E5FC8">
        <w:t xml:space="preserve">care, which involves </w:t>
      </w:r>
      <w:r w:rsidR="00B40FD8">
        <w:t>assessing PE risk based on</w:t>
      </w:r>
      <w:r w:rsidRPr="004E5FC8">
        <w:t xml:space="preserve"> history and clinical signs using risk algorithms from either NICE or the </w:t>
      </w:r>
      <w:r w:rsidRPr="00F16694">
        <w:t>American College of Obstetrics and Gynaecology (</w:t>
      </w:r>
      <w:r w:rsidRPr="004E5FC8">
        <w:t xml:space="preserve">ACOG) guidelines. These guidelines differ in the number and type of risk factors that lead to a recommendation for the </w:t>
      </w:r>
      <w:r w:rsidR="00DA6FD8">
        <w:t>patient</w:t>
      </w:r>
      <w:r w:rsidR="00DA6FD8" w:rsidRPr="004E5FC8">
        <w:t xml:space="preserve"> </w:t>
      </w:r>
      <w:r w:rsidRPr="004E5FC8">
        <w:t xml:space="preserve">to take aspirin. MSAC </w:t>
      </w:r>
      <w:r w:rsidR="00B40FD8">
        <w:t>considered</w:t>
      </w:r>
      <w:r w:rsidRPr="004E5FC8">
        <w:t xml:space="preserve"> that these guidelines are not universally applied and there is significant variation in how they are applied in clinical practice.</w:t>
      </w:r>
    </w:p>
    <w:p w14:paraId="139FA663" w14:textId="6973065E" w:rsidR="009C10FD" w:rsidRDefault="004E5FC8" w:rsidP="00F16694">
      <w:pPr>
        <w:pStyle w:val="a-TEXT"/>
      </w:pPr>
      <w:r w:rsidRPr="004E5FC8">
        <w:t>MSAC noted th</w:t>
      </w:r>
      <w:r w:rsidR="00757A2B">
        <w:t>at the</w:t>
      </w:r>
      <w:r w:rsidR="002F1844">
        <w:t xml:space="preserve"> key</w:t>
      </w:r>
      <w:r w:rsidR="00757A2B">
        <w:t xml:space="preserve"> clinical</w:t>
      </w:r>
      <w:r w:rsidR="006F712C">
        <w:t xml:space="preserve"> </w:t>
      </w:r>
      <w:r w:rsidR="00757A2B">
        <w:t xml:space="preserve">evidence </w:t>
      </w:r>
      <w:r w:rsidR="002F1844">
        <w:t xml:space="preserve">cited in the Applicant Developed Assessment Report (ADAR) comprised </w:t>
      </w:r>
      <w:r w:rsidR="00507C17">
        <w:t>direct test to health outcomes evidence from Rolnik et al</w:t>
      </w:r>
      <w:r w:rsidR="002237F7">
        <w:t xml:space="preserve"> (20</w:t>
      </w:r>
      <w:r w:rsidR="009C67A0">
        <w:t>2</w:t>
      </w:r>
      <w:r w:rsidR="002237F7">
        <w:t>2)</w:t>
      </w:r>
      <w:r w:rsidR="002237F7" w:rsidRPr="00AE373B">
        <w:rPr>
          <w:vertAlign w:val="superscript"/>
        </w:rPr>
        <w:footnoteReference w:id="2"/>
      </w:r>
      <w:r w:rsidR="00507C17">
        <w:t xml:space="preserve">, </w:t>
      </w:r>
      <w:r w:rsidR="00024591">
        <w:t xml:space="preserve">as well as linked evidence: </w:t>
      </w:r>
      <w:r w:rsidR="00954F55">
        <w:t xml:space="preserve">seven </w:t>
      </w:r>
      <w:r w:rsidR="00486865">
        <w:t xml:space="preserve">studies on FMF risk </w:t>
      </w:r>
      <w:r w:rsidR="00C352A3">
        <w:t>assessment</w:t>
      </w:r>
      <w:r w:rsidR="00486865">
        <w:t xml:space="preserve"> test accuracy,</w:t>
      </w:r>
      <w:r w:rsidR="00D3588E">
        <w:t xml:space="preserve"> </w:t>
      </w:r>
      <w:r w:rsidR="00007D4F">
        <w:t xml:space="preserve">two </w:t>
      </w:r>
      <w:r w:rsidR="00D3588E">
        <w:t xml:space="preserve">studies on </w:t>
      </w:r>
      <w:r w:rsidR="00007D4F">
        <w:t xml:space="preserve">the impact of aspirin on </w:t>
      </w:r>
      <w:r w:rsidR="00785232">
        <w:t xml:space="preserve">PE-related outcomes, </w:t>
      </w:r>
      <w:r w:rsidR="004C335B">
        <w:t xml:space="preserve">one study on the impact of aspirin </w:t>
      </w:r>
      <w:r w:rsidR="00135D16">
        <w:t xml:space="preserve">in preventing preterm PE and one study on adverse events associated with </w:t>
      </w:r>
      <w:r w:rsidR="001366E2">
        <w:t xml:space="preserve">aspirin. </w:t>
      </w:r>
    </w:p>
    <w:p w14:paraId="1DEE11B5" w14:textId="386E2722" w:rsidR="007D5E45" w:rsidRDefault="003776DC" w:rsidP="008B3AF6">
      <w:pPr>
        <w:pStyle w:val="a-TEXT"/>
      </w:pPr>
      <w:r w:rsidRPr="004E5FC8">
        <w:t xml:space="preserve">MSAC </w:t>
      </w:r>
      <w:r w:rsidR="009A280A">
        <w:t>considered the</w:t>
      </w:r>
      <w:r w:rsidR="002F741A">
        <w:t xml:space="preserve"> direct evidence (</w:t>
      </w:r>
      <w:r w:rsidRPr="004E5FC8">
        <w:t xml:space="preserve">Rolnik et al. 2022) </w:t>
      </w:r>
      <w:r w:rsidR="002F741A">
        <w:t xml:space="preserve">was at high risk of </w:t>
      </w:r>
      <w:r w:rsidR="00896538">
        <w:t xml:space="preserve">selection and confounding </w:t>
      </w:r>
      <w:r w:rsidR="002F741A">
        <w:t>bias</w:t>
      </w:r>
      <w:r w:rsidR="009C10FD">
        <w:t xml:space="preserve"> and uninformative for decision-making</w:t>
      </w:r>
      <w:r w:rsidR="00896538">
        <w:t xml:space="preserve">, </w:t>
      </w:r>
      <w:r w:rsidR="00896538" w:rsidRPr="009252A9">
        <w:t xml:space="preserve">due to the intervention being administered to mainly patients at selected private centres which would result in statistically </w:t>
      </w:r>
      <w:r w:rsidR="00896538" w:rsidRPr="009252A9">
        <w:lastRenderedPageBreak/>
        <w:t>significant differences between the intervention and standard of care populations favouring the intervention</w:t>
      </w:r>
      <w:r w:rsidR="00B662E3">
        <w:t>.</w:t>
      </w:r>
      <w:r w:rsidRPr="004E5FC8">
        <w:t xml:space="preserve"> </w:t>
      </w:r>
    </w:p>
    <w:p w14:paraId="7EE014A5" w14:textId="3413FC90" w:rsidR="00352497" w:rsidRDefault="00335CD5" w:rsidP="00F16694">
      <w:pPr>
        <w:pStyle w:val="a-TEXT"/>
      </w:pPr>
      <w:r>
        <w:t xml:space="preserve">On test accuracy, MSAC noted </w:t>
      </w:r>
      <w:r w:rsidR="00983263">
        <w:t xml:space="preserve">that the evidence </w:t>
      </w:r>
      <w:r w:rsidR="0041754E">
        <w:t xml:space="preserve">suggested </w:t>
      </w:r>
      <w:r w:rsidR="00983263">
        <w:t>that</w:t>
      </w:r>
      <w:r w:rsidR="00C63A8F">
        <w:t xml:space="preserve"> </w:t>
      </w:r>
      <w:r w:rsidR="0000139D">
        <w:t xml:space="preserve">risk </w:t>
      </w:r>
      <w:r w:rsidR="00C63A8F" w:rsidRPr="00C63A8F">
        <w:t xml:space="preserve">assessment was sensitive in predicting preterm PE and </w:t>
      </w:r>
      <w:proofErr w:type="gramStart"/>
      <w:r w:rsidR="0000139D">
        <w:t xml:space="preserve">in particular </w:t>
      </w:r>
      <w:r w:rsidR="00C63A8F" w:rsidRPr="00C63A8F">
        <w:t>had</w:t>
      </w:r>
      <w:proofErr w:type="gramEnd"/>
      <w:r w:rsidR="00C63A8F" w:rsidRPr="00C63A8F">
        <w:t xml:space="preserve"> strong negative predictive value (NPV) in ruling out </w:t>
      </w:r>
      <w:r w:rsidR="00F52A48">
        <w:t>a pregnant p</w:t>
      </w:r>
      <w:r w:rsidR="00085623">
        <w:t>erson</w:t>
      </w:r>
      <w:r w:rsidR="00F52A48">
        <w:t xml:space="preserve"> at risk of </w:t>
      </w:r>
      <w:r w:rsidR="00C63A8F" w:rsidRPr="00C63A8F">
        <w:t>preterm</w:t>
      </w:r>
      <w:r w:rsidR="0000139D">
        <w:t xml:space="preserve"> PE</w:t>
      </w:r>
      <w:r w:rsidR="009415D8">
        <w:t xml:space="preserve"> relative to the comparator</w:t>
      </w:r>
      <w:r w:rsidR="0000139D">
        <w:t xml:space="preserve">. </w:t>
      </w:r>
      <w:r w:rsidR="00D0283C">
        <w:t>S</w:t>
      </w:r>
      <w:r w:rsidR="004E5FC8" w:rsidRPr="004E5FC8">
        <w:t xml:space="preserve">eparately, </w:t>
      </w:r>
      <w:r w:rsidR="00D0283C">
        <w:t>MSAC considered the evidence showed</w:t>
      </w:r>
      <w:r w:rsidR="004E5FC8" w:rsidRPr="004E5FC8">
        <w:t xml:space="preserve"> </w:t>
      </w:r>
      <w:r w:rsidR="0041754E">
        <w:t xml:space="preserve">that </w:t>
      </w:r>
      <w:r w:rsidR="004E5FC8" w:rsidRPr="004E5FC8">
        <w:t xml:space="preserve">aspirin was </w:t>
      </w:r>
      <w:r w:rsidR="0041754E">
        <w:t xml:space="preserve">effective </w:t>
      </w:r>
      <w:r w:rsidR="004E5FC8" w:rsidRPr="004E5FC8">
        <w:t xml:space="preserve">at </w:t>
      </w:r>
      <w:r w:rsidR="004B7C2E">
        <w:t>reducing the risk of</w:t>
      </w:r>
      <w:r w:rsidR="004B7C2E" w:rsidRPr="004E5FC8">
        <w:t xml:space="preserve"> </w:t>
      </w:r>
      <w:r w:rsidR="004E5FC8" w:rsidRPr="004E5FC8">
        <w:t>PE in at-risk pregnancies</w:t>
      </w:r>
      <w:r w:rsidR="00760393">
        <w:t xml:space="preserve">, reducing pregnancy-related complications from </w:t>
      </w:r>
      <w:proofErr w:type="gramStart"/>
      <w:r w:rsidR="00760393">
        <w:t>PE</w:t>
      </w:r>
      <w:proofErr w:type="gramEnd"/>
      <w:r w:rsidR="00760393">
        <w:t xml:space="preserve"> and reducing the need for preterm delivery </w:t>
      </w:r>
      <w:r w:rsidR="002E554A">
        <w:t>for those that develop PE despite aspirin use</w:t>
      </w:r>
      <w:r w:rsidR="00B87751">
        <w:t>.</w:t>
      </w:r>
      <w:r w:rsidR="004E5FC8" w:rsidRPr="004E5FC8">
        <w:t xml:space="preserve"> </w:t>
      </w:r>
      <w:proofErr w:type="gramStart"/>
      <w:r w:rsidR="0041754E">
        <w:t>However</w:t>
      </w:r>
      <w:proofErr w:type="gramEnd"/>
      <w:r w:rsidR="0041754E">
        <w:t xml:space="preserve"> MSAC noted that </w:t>
      </w:r>
      <w:r w:rsidR="00983797" w:rsidRPr="004E5FC8">
        <w:t>linkages were not demonstrated from the use of the FMF algorithm to uptake of aspirin</w:t>
      </w:r>
      <w:r w:rsidR="002E554A">
        <w:t xml:space="preserve"> </w:t>
      </w:r>
      <w:r w:rsidR="00720EBD" w:rsidRPr="004E5FC8">
        <w:t>leading to reduced incidence of PE and improved pregnancy outcomes.</w:t>
      </w:r>
      <w:r w:rsidR="00720EBD">
        <w:t xml:space="preserve"> MSAC also noted that no evidence</w:t>
      </w:r>
      <w:r w:rsidR="00D50574">
        <w:t xml:space="preserve"> was provided on outcomes of those deemed to be low risk </w:t>
      </w:r>
      <w:r w:rsidR="006F5EF4">
        <w:t>by the FMF algorithm.</w:t>
      </w:r>
      <w:r w:rsidR="00720EBD" w:rsidRPr="004E5FC8">
        <w:t xml:space="preserve"> Therefore, while the assumptions underpinning the proposal for funding (that is, that risk assessment leads to treatment, which leads to improved health outcomes) may be reasonable from first principles, they were not demonstrated by the evidence provided</w:t>
      </w:r>
      <w:r w:rsidR="006F5EF4">
        <w:t xml:space="preserve"> given the lack of some of the required linked evidence</w:t>
      </w:r>
      <w:r w:rsidR="00ED51B4">
        <w:t xml:space="preserve"> and the deficiency of the direct evidence</w:t>
      </w:r>
      <w:r w:rsidR="006F5EF4">
        <w:t xml:space="preserve">. </w:t>
      </w:r>
    </w:p>
    <w:p w14:paraId="4B9745E9" w14:textId="53E03979" w:rsidR="006D5A3E" w:rsidRDefault="00507A2B" w:rsidP="00A11D45">
      <w:pPr>
        <w:pStyle w:val="a-TEXT"/>
      </w:pPr>
      <w:r w:rsidRPr="004E5FC8">
        <w:t>MSAC agreed with the concerns from ESC regarding the lack of evidence relating to safety considerations</w:t>
      </w:r>
      <w:r>
        <w:t xml:space="preserve"> as</w:t>
      </w:r>
      <w:r w:rsidRPr="004E5FC8">
        <w:t xml:space="preserve"> there were potential harms from unnecessary aspirin use during pregnancy (</w:t>
      </w:r>
      <w:r w:rsidR="00132806">
        <w:t xml:space="preserve">given the </w:t>
      </w:r>
      <w:r w:rsidRPr="004E5FC8">
        <w:t>approximately 10% false positive rate)</w:t>
      </w:r>
      <w:r>
        <w:t xml:space="preserve"> such as placental abruption, gastrointestinal bleeding</w:t>
      </w:r>
      <w:r w:rsidRPr="004E5FC8">
        <w:t>,</w:t>
      </w:r>
      <w:r>
        <w:t xml:space="preserve"> intracerebral bleeds (for both </w:t>
      </w:r>
      <w:r w:rsidR="00085623">
        <w:t>pregnant person</w:t>
      </w:r>
      <w:r>
        <w:t xml:space="preserve"> and baby), postpartum haemorrhage and aspirin induced bronchospasm, </w:t>
      </w:r>
      <w:r w:rsidRPr="004E5FC8">
        <w:t xml:space="preserve">as well as potential psychological harms and anxiety </w:t>
      </w:r>
      <w:proofErr w:type="gramStart"/>
      <w:r w:rsidRPr="004E5FC8">
        <w:t>as a result of</w:t>
      </w:r>
      <w:proofErr w:type="gramEnd"/>
      <w:r w:rsidRPr="004E5FC8">
        <w:t xml:space="preserve"> testing.</w:t>
      </w:r>
      <w:r w:rsidR="002526F5">
        <w:t xml:space="preserve"> In its pre-MSAC response the applicant continued to assert that there were no additional safety concerns from </w:t>
      </w:r>
      <w:r w:rsidR="002407EA">
        <w:t xml:space="preserve">prenatal risk assessment </w:t>
      </w:r>
      <w:r w:rsidR="00871D58">
        <w:t>associated with aspirin use</w:t>
      </w:r>
      <w:r w:rsidR="00A11D45">
        <w:t>,</w:t>
      </w:r>
      <w:r w:rsidR="00871D58">
        <w:t xml:space="preserve"> </w:t>
      </w:r>
      <w:r w:rsidR="002407EA">
        <w:t>because</w:t>
      </w:r>
      <w:r w:rsidR="00871D58" w:rsidRPr="00871D58">
        <w:t xml:space="preserve"> </w:t>
      </w:r>
      <w:r w:rsidR="0024430B">
        <w:t xml:space="preserve">the </w:t>
      </w:r>
      <w:r w:rsidR="00871D58" w:rsidRPr="00871D58">
        <w:t>application does not seek to introduce the use of aspirin for preterm preeclampsia prophylaxis from a baseline scenario of no use of aspirin</w:t>
      </w:r>
      <w:r w:rsidR="00E81EC3">
        <w:t xml:space="preserve"> and that </w:t>
      </w:r>
      <w:r w:rsidR="00E81EC3" w:rsidRPr="00E81EC3">
        <w:t xml:space="preserve">fewer </w:t>
      </w:r>
      <w:r w:rsidR="001542C8">
        <w:t>pregnant patients</w:t>
      </w:r>
      <w:r w:rsidR="00E81EC3" w:rsidRPr="00E81EC3">
        <w:t xml:space="preserve"> would be exposed to aspirin when they are actually low risk for preterm preeclampsia using the FMF algorithm than if </w:t>
      </w:r>
      <w:r w:rsidR="00E81EC3">
        <w:t>s</w:t>
      </w:r>
      <w:r w:rsidR="00E81EC3" w:rsidRPr="00E81EC3">
        <w:t>tandard of care was applied.</w:t>
      </w:r>
      <w:r w:rsidR="00E81EC3">
        <w:t xml:space="preserve"> </w:t>
      </w:r>
      <w:proofErr w:type="gramStart"/>
      <w:r w:rsidR="00E81EC3">
        <w:t>However</w:t>
      </w:r>
      <w:proofErr w:type="gramEnd"/>
      <w:r w:rsidR="00E81EC3">
        <w:t xml:space="preserve"> MSAC </w:t>
      </w:r>
      <w:r w:rsidR="00A11D45">
        <w:t>considered</w:t>
      </w:r>
      <w:r w:rsidR="00E81EC3">
        <w:t xml:space="preserve"> that no justification or evidence was provided for this claim and that</w:t>
      </w:r>
      <w:r w:rsidR="00FA67A1">
        <w:t xml:space="preserve"> i</w:t>
      </w:r>
      <w:r w:rsidRPr="004E5FC8">
        <w:t xml:space="preserve">f the test is used in widespread </w:t>
      </w:r>
      <w:r w:rsidR="00A11D45">
        <w:t>practice</w:t>
      </w:r>
      <w:r w:rsidRPr="004E5FC8">
        <w:t xml:space="preserve"> as intended, </w:t>
      </w:r>
      <w:r w:rsidR="00A11D45">
        <w:t xml:space="preserve">then </w:t>
      </w:r>
      <w:r w:rsidRPr="004E5FC8">
        <w:t xml:space="preserve">this would result in a large number of </w:t>
      </w:r>
      <w:r w:rsidR="001542C8">
        <w:t xml:space="preserve">pregnant </w:t>
      </w:r>
      <w:r w:rsidR="00222BA0">
        <w:t>individuals</w:t>
      </w:r>
      <w:r w:rsidR="001542C8" w:rsidRPr="00E81EC3">
        <w:t xml:space="preserve"> </w:t>
      </w:r>
      <w:r w:rsidRPr="004E5FC8">
        <w:t>being potentially adversely affected</w:t>
      </w:r>
      <w:r>
        <w:t xml:space="preserve"> by the risk of false positives</w:t>
      </w:r>
      <w:r w:rsidRPr="004E5FC8">
        <w:t xml:space="preserve">. </w:t>
      </w:r>
      <w:r w:rsidR="00A11D45">
        <w:t>MSAC considered that it would also result in more patients receiving aspirin treatment, which has risks so is not undertaken lightly. MSAC therefore advised the evidence did not support t</w:t>
      </w:r>
      <w:r w:rsidRPr="004E5FC8">
        <w:t xml:space="preserve">he clinical claim of non-inferior </w:t>
      </w:r>
      <w:proofErr w:type="gramStart"/>
      <w:r w:rsidRPr="004E5FC8">
        <w:t>safety</w:t>
      </w:r>
      <w:r w:rsidR="00F07717">
        <w:t>, and</w:t>
      </w:r>
      <w:proofErr w:type="gramEnd"/>
      <w:r w:rsidR="00F07717">
        <w:t xml:space="preserve"> had not shown that risk assessment would deliver more benefit than harm</w:t>
      </w:r>
      <w:r w:rsidRPr="004E5FC8">
        <w:t xml:space="preserve">. </w:t>
      </w:r>
      <w:r w:rsidR="000D3C6E">
        <w:t xml:space="preserve">Overall MSAC agreed with the commentary’s conclusion that the </w:t>
      </w:r>
      <w:r w:rsidR="00A75A01">
        <w:t xml:space="preserve">clinical claim of superior effectiveness and non-inferior safety of prenatal risk assessment was not supported. </w:t>
      </w:r>
    </w:p>
    <w:p w14:paraId="5AB8998F" w14:textId="6195F44F" w:rsidR="000D3C6E" w:rsidRDefault="00F54748" w:rsidP="00F16694">
      <w:pPr>
        <w:pStyle w:val="a-TEXT"/>
      </w:pPr>
      <w:r>
        <w:t xml:space="preserve">MSAC questioned whether there was a clinical place for risk assessment, given </w:t>
      </w:r>
      <w:r w:rsidR="00BC3C7D">
        <w:t xml:space="preserve">the </w:t>
      </w:r>
      <w:r w:rsidR="0004671A">
        <w:t xml:space="preserve">clinical need for </w:t>
      </w:r>
      <w:r w:rsidR="00A23C6F">
        <w:t xml:space="preserve">additional testing </w:t>
      </w:r>
      <w:r w:rsidR="0004671A">
        <w:t xml:space="preserve">was unclear and </w:t>
      </w:r>
      <w:r>
        <w:t xml:space="preserve">it </w:t>
      </w:r>
      <w:r w:rsidR="0004671A">
        <w:t>would only add</w:t>
      </w:r>
      <w:r>
        <w:t xml:space="preserve"> to the </w:t>
      </w:r>
      <w:r w:rsidR="0043663F">
        <w:t>multitude</w:t>
      </w:r>
      <w:r w:rsidR="00790D52">
        <w:t xml:space="preserve"> </w:t>
      </w:r>
      <w:r>
        <w:t>of tests that people in early pregnancy already receive</w:t>
      </w:r>
      <w:r w:rsidR="0004671A">
        <w:t>, which may not be of value.</w:t>
      </w:r>
    </w:p>
    <w:p w14:paraId="1A2FDBA9" w14:textId="3E147E14" w:rsidR="008F23E2" w:rsidRPr="00F16694" w:rsidRDefault="004E5FC8" w:rsidP="00F16694">
      <w:pPr>
        <w:pStyle w:val="a-TEXT"/>
      </w:pPr>
      <w:r w:rsidRPr="004E5FC8">
        <w:t xml:space="preserve">MSAC noted the economic evaluation was a cost-utility analysis. </w:t>
      </w:r>
      <w:r w:rsidR="00F32DC8">
        <w:t xml:space="preserve">MSAC noted that the </w:t>
      </w:r>
      <w:r w:rsidR="00053F75">
        <w:t>model was driven by th</w:t>
      </w:r>
      <w:r w:rsidR="000F0BA1">
        <w:t>e direct test to health outcomes evidence from</w:t>
      </w:r>
      <w:r w:rsidR="00053F75">
        <w:t xml:space="preserve"> </w:t>
      </w:r>
      <w:r w:rsidR="00053F75" w:rsidRPr="004E5FC8">
        <w:t>Rolnik 2022</w:t>
      </w:r>
      <w:r w:rsidR="00896538">
        <w:t>,</w:t>
      </w:r>
      <w:r w:rsidR="00053F75" w:rsidRPr="004E5FC8">
        <w:t xml:space="preserve"> </w:t>
      </w:r>
      <w:r w:rsidR="00053F75">
        <w:t xml:space="preserve">which </w:t>
      </w:r>
      <w:proofErr w:type="spellStart"/>
      <w:r w:rsidR="00053F75">
        <w:t>as</w:t>
      </w:r>
      <w:proofErr w:type="spellEnd"/>
      <w:r w:rsidR="00053F75">
        <w:t xml:space="preserve"> already discussed was at high risk of</w:t>
      </w:r>
      <w:r w:rsidR="00845ACE">
        <w:t xml:space="preserve"> </w:t>
      </w:r>
      <w:r w:rsidR="00053F75">
        <w:t>bias</w:t>
      </w:r>
      <w:r w:rsidR="006231F9" w:rsidRPr="00F16694">
        <w:t>. Basing the economic model on this study therefore also</w:t>
      </w:r>
      <w:r w:rsidR="001C5281" w:rsidRPr="00F16694">
        <w:t xml:space="preserve"> </w:t>
      </w:r>
      <w:r w:rsidR="000428B3" w:rsidRPr="00F16694">
        <w:t>resu</w:t>
      </w:r>
      <w:r w:rsidR="00726CDE" w:rsidRPr="00F16694">
        <w:t>lt</w:t>
      </w:r>
      <w:r w:rsidR="009C67A0">
        <w:t>ed</w:t>
      </w:r>
      <w:r w:rsidR="001C5281" w:rsidRPr="00F16694">
        <w:t xml:space="preserve"> in </w:t>
      </w:r>
      <w:r w:rsidR="006231F9" w:rsidRPr="00F16694">
        <w:t xml:space="preserve">the use of </w:t>
      </w:r>
      <w:r w:rsidR="001C5281" w:rsidRPr="00F16694">
        <w:t>questionable transition probabilities</w:t>
      </w:r>
      <w:r w:rsidR="006231F9" w:rsidRPr="00F16694">
        <w:t xml:space="preserve"> as model inputs</w:t>
      </w:r>
      <w:r w:rsidR="00734C8E" w:rsidRPr="00F16694">
        <w:t xml:space="preserve">. </w:t>
      </w:r>
      <w:r w:rsidR="006231F9" w:rsidRPr="00F16694">
        <w:t xml:space="preserve">MSAC noted that </w:t>
      </w:r>
      <w:r w:rsidR="006231F9">
        <w:t>t</w:t>
      </w:r>
      <w:r w:rsidR="008F23E2" w:rsidRPr="004E5FC8">
        <w:t xml:space="preserve">he model used </w:t>
      </w:r>
      <w:r w:rsidR="006231F9">
        <w:t xml:space="preserve">the </w:t>
      </w:r>
      <w:r w:rsidR="009062A5">
        <w:t>crude</w:t>
      </w:r>
      <w:r w:rsidR="008F23E2" w:rsidRPr="004E5FC8">
        <w:t xml:space="preserve"> estimates</w:t>
      </w:r>
      <w:r w:rsidR="00C97013">
        <w:t xml:space="preserve"> </w:t>
      </w:r>
      <w:r w:rsidR="009062A5">
        <w:t xml:space="preserve">unadjusted for confounders </w:t>
      </w:r>
      <w:r w:rsidR="00C97013">
        <w:t>reported by Rolnik 2022</w:t>
      </w:r>
      <w:r w:rsidR="008F23E2" w:rsidRPr="004E5FC8">
        <w:t xml:space="preserve"> to inform the probability of PE, when adjusted estimates</w:t>
      </w:r>
      <w:r w:rsidR="004758AA">
        <w:t xml:space="preserve"> were also available and would have been more appropriate</w:t>
      </w:r>
      <w:r w:rsidR="008F23E2" w:rsidRPr="004E5FC8">
        <w:t>.</w:t>
      </w:r>
      <w:r w:rsidR="001C5281" w:rsidRPr="00F16694">
        <w:t xml:space="preserve"> </w:t>
      </w:r>
      <w:r w:rsidR="00316B15" w:rsidRPr="00F16694">
        <w:t xml:space="preserve">MSAC noted the sensitivity analyses also relied on </w:t>
      </w:r>
      <w:r w:rsidR="00F75031" w:rsidRPr="00F16694">
        <w:t>the</w:t>
      </w:r>
      <w:r w:rsidR="004D0639">
        <w:t>se</w:t>
      </w:r>
      <w:r w:rsidR="00F75031" w:rsidRPr="00F16694">
        <w:t xml:space="preserve"> </w:t>
      </w:r>
      <w:r w:rsidR="00316B15" w:rsidRPr="00F16694">
        <w:t>unadjusted estimates</w:t>
      </w:r>
      <w:r w:rsidR="00F75031" w:rsidRPr="00F16694">
        <w:t xml:space="preserve">. </w:t>
      </w:r>
    </w:p>
    <w:p w14:paraId="2E9596F7" w14:textId="36FB2BD7" w:rsidR="001B0512" w:rsidRDefault="00C13527" w:rsidP="00F16694">
      <w:pPr>
        <w:pStyle w:val="a-TEXT"/>
      </w:pPr>
      <w:r w:rsidRPr="00F16694">
        <w:t>Given</w:t>
      </w:r>
      <w:r w:rsidR="007A6DDF" w:rsidRPr="00F16694">
        <w:t xml:space="preserve"> the </w:t>
      </w:r>
      <w:r w:rsidR="00E226B9" w:rsidRPr="00F16694">
        <w:t xml:space="preserve">poor </w:t>
      </w:r>
      <w:r w:rsidR="007A6DDF" w:rsidRPr="00F16694">
        <w:t>applicability of th</w:t>
      </w:r>
      <w:r w:rsidR="00232BD1">
        <w:t>e</w:t>
      </w:r>
      <w:r w:rsidR="007A6DDF" w:rsidRPr="00F16694">
        <w:t xml:space="preserve"> direct test to outcomes evidence from Rolnik </w:t>
      </w:r>
      <w:r w:rsidR="009C67A0">
        <w:t>2022</w:t>
      </w:r>
      <w:r w:rsidR="007A6DDF" w:rsidRPr="00F16694">
        <w:t xml:space="preserve">, </w:t>
      </w:r>
      <w:r w:rsidR="004E5FC8" w:rsidRPr="004E5FC8">
        <w:t xml:space="preserve">MSAC agreed with the commentary and ESC that the </w:t>
      </w:r>
      <w:r w:rsidR="001E5149">
        <w:t xml:space="preserve">economic </w:t>
      </w:r>
      <w:r w:rsidR="004E5FC8" w:rsidRPr="004E5FC8">
        <w:t>model was too simplistic</w:t>
      </w:r>
      <w:r>
        <w:t xml:space="preserve">. </w:t>
      </w:r>
      <w:proofErr w:type="gramStart"/>
      <w:r>
        <w:t>In particular MSAC</w:t>
      </w:r>
      <w:proofErr w:type="gramEnd"/>
      <w:r>
        <w:t xml:space="preserve"> considered that the model was inappropriately structured </w:t>
      </w:r>
      <w:r w:rsidR="001B0512">
        <w:t>because</w:t>
      </w:r>
      <w:r w:rsidR="009C67A0">
        <w:t>:</w:t>
      </w:r>
    </w:p>
    <w:p w14:paraId="215E9BA8" w14:textId="52EF5A85" w:rsidR="00314795" w:rsidRDefault="00314795" w:rsidP="00F16694">
      <w:pPr>
        <w:pStyle w:val="ListParagraph"/>
        <w:numPr>
          <w:ilvl w:val="0"/>
          <w:numId w:val="36"/>
        </w:numPr>
        <w:spacing w:line="259" w:lineRule="auto"/>
        <w:rPr>
          <w:rFonts w:ascii="Franklin Gothic Book" w:hAnsi="Franklin Gothic Book"/>
          <w:sz w:val="22"/>
          <w:szCs w:val="22"/>
        </w:rPr>
      </w:pPr>
      <w:r>
        <w:rPr>
          <w:rFonts w:ascii="Franklin Gothic Book" w:hAnsi="Franklin Gothic Book"/>
          <w:sz w:val="22"/>
          <w:szCs w:val="22"/>
        </w:rPr>
        <w:t xml:space="preserve">It </w:t>
      </w:r>
      <w:r w:rsidRPr="004E5FC8">
        <w:rPr>
          <w:rFonts w:ascii="Franklin Gothic Book" w:hAnsi="Franklin Gothic Book"/>
          <w:sz w:val="22"/>
          <w:szCs w:val="22"/>
        </w:rPr>
        <w:t xml:space="preserve">did not separate the standard </w:t>
      </w:r>
      <w:r>
        <w:rPr>
          <w:rFonts w:ascii="Franklin Gothic Book" w:hAnsi="Franklin Gothic Book"/>
          <w:sz w:val="22"/>
          <w:szCs w:val="22"/>
        </w:rPr>
        <w:t xml:space="preserve">of </w:t>
      </w:r>
      <w:r w:rsidRPr="004E5FC8">
        <w:rPr>
          <w:rFonts w:ascii="Franklin Gothic Book" w:hAnsi="Franklin Gothic Book"/>
          <w:sz w:val="22"/>
          <w:szCs w:val="22"/>
        </w:rPr>
        <w:t>care arm into low-risk and high-risk patients</w:t>
      </w:r>
      <w:r>
        <w:rPr>
          <w:rFonts w:ascii="Franklin Gothic Book" w:hAnsi="Franklin Gothic Book"/>
          <w:sz w:val="22"/>
          <w:szCs w:val="22"/>
        </w:rPr>
        <w:t xml:space="preserve">. MSAC noted that all relevant economic models of prenatal risk assessment identified in the </w:t>
      </w:r>
      <w:r>
        <w:rPr>
          <w:rFonts w:ascii="Franklin Gothic Book" w:hAnsi="Franklin Gothic Book"/>
          <w:sz w:val="22"/>
          <w:szCs w:val="22"/>
        </w:rPr>
        <w:lastRenderedPageBreak/>
        <w:t xml:space="preserve">literature search undertaken </w:t>
      </w:r>
      <w:r w:rsidR="00734A53">
        <w:rPr>
          <w:rFonts w:ascii="Franklin Gothic Book" w:hAnsi="Franklin Gothic Book"/>
          <w:sz w:val="22"/>
          <w:szCs w:val="22"/>
        </w:rPr>
        <w:t xml:space="preserve">by the </w:t>
      </w:r>
      <w:r>
        <w:rPr>
          <w:rFonts w:ascii="Franklin Gothic Book" w:hAnsi="Franklin Gothic Book"/>
          <w:sz w:val="22"/>
          <w:szCs w:val="22"/>
        </w:rPr>
        <w:t>ADAR except one separated standard of care by a high risk and low risk arm</w:t>
      </w:r>
      <w:r w:rsidR="002D468B">
        <w:rPr>
          <w:rFonts w:ascii="Franklin Gothic Book" w:hAnsi="Franklin Gothic Book"/>
          <w:sz w:val="22"/>
          <w:szCs w:val="22"/>
        </w:rPr>
        <w:t>.</w:t>
      </w:r>
    </w:p>
    <w:p w14:paraId="4C63627A" w14:textId="6357821B" w:rsidR="006123ED" w:rsidRPr="00F16694" w:rsidRDefault="006123ED" w:rsidP="00F16694">
      <w:pPr>
        <w:pStyle w:val="ListParagraph"/>
        <w:numPr>
          <w:ilvl w:val="0"/>
          <w:numId w:val="36"/>
        </w:numPr>
        <w:spacing w:line="259" w:lineRule="auto"/>
        <w:rPr>
          <w:rFonts w:ascii="Franklin Gothic Book" w:hAnsi="Franklin Gothic Book"/>
          <w:sz w:val="22"/>
          <w:szCs w:val="22"/>
        </w:rPr>
      </w:pPr>
      <w:r>
        <w:rPr>
          <w:rFonts w:ascii="Franklin Gothic Book" w:hAnsi="Franklin Gothic Book"/>
          <w:sz w:val="22"/>
          <w:szCs w:val="22"/>
        </w:rPr>
        <w:t xml:space="preserve">It </w:t>
      </w:r>
      <w:r w:rsidRPr="004E5FC8">
        <w:rPr>
          <w:rFonts w:ascii="Franklin Gothic Book" w:hAnsi="Franklin Gothic Book"/>
          <w:sz w:val="22"/>
          <w:szCs w:val="22"/>
        </w:rPr>
        <w:t>provided limited outcomes beyond PE status</w:t>
      </w:r>
      <w:r>
        <w:rPr>
          <w:rFonts w:ascii="Franklin Gothic Book" w:hAnsi="Franklin Gothic Book"/>
          <w:sz w:val="22"/>
          <w:szCs w:val="22"/>
        </w:rPr>
        <w:t xml:space="preserve">. For </w:t>
      </w:r>
      <w:proofErr w:type="gramStart"/>
      <w:r>
        <w:rPr>
          <w:rFonts w:ascii="Franklin Gothic Book" w:hAnsi="Franklin Gothic Book"/>
          <w:sz w:val="22"/>
          <w:szCs w:val="22"/>
        </w:rPr>
        <w:t>instance</w:t>
      </w:r>
      <w:proofErr w:type="gramEnd"/>
      <w:r>
        <w:rPr>
          <w:rFonts w:ascii="Franklin Gothic Book" w:hAnsi="Franklin Gothic Book"/>
          <w:sz w:val="22"/>
          <w:szCs w:val="22"/>
        </w:rPr>
        <w:t xml:space="preserve"> outcomes </w:t>
      </w:r>
      <w:r w:rsidR="00AA02C7">
        <w:rPr>
          <w:rFonts w:ascii="Franklin Gothic Book" w:hAnsi="Franklin Gothic Book"/>
          <w:sz w:val="22"/>
          <w:szCs w:val="22"/>
        </w:rPr>
        <w:t>included in</w:t>
      </w:r>
      <w:r>
        <w:rPr>
          <w:rFonts w:ascii="Franklin Gothic Book" w:hAnsi="Franklin Gothic Book"/>
          <w:sz w:val="22"/>
          <w:szCs w:val="22"/>
        </w:rPr>
        <w:t xml:space="preserve"> the PICO </w:t>
      </w:r>
      <w:r w:rsidR="00232BD1">
        <w:rPr>
          <w:rFonts w:ascii="Franklin Gothic Book" w:hAnsi="Franklin Gothic Book"/>
          <w:sz w:val="22"/>
          <w:szCs w:val="22"/>
        </w:rPr>
        <w:t xml:space="preserve">that </w:t>
      </w:r>
      <w:r>
        <w:rPr>
          <w:rFonts w:ascii="Franklin Gothic Book" w:hAnsi="Franklin Gothic Book"/>
          <w:sz w:val="22"/>
          <w:szCs w:val="22"/>
        </w:rPr>
        <w:t xml:space="preserve">were not captured in the model included maternal outcomes, preterm birth/gestational age at birth and neonatal outcomes. </w:t>
      </w:r>
    </w:p>
    <w:p w14:paraId="1D2754BA" w14:textId="3BA54CA0" w:rsidR="00F14D64" w:rsidRDefault="00F14D64" w:rsidP="006B6F22">
      <w:pPr>
        <w:spacing w:before="240" w:line="259" w:lineRule="auto"/>
        <w:rPr>
          <w:rFonts w:ascii="Franklin Gothic Book" w:hAnsi="Franklin Gothic Book"/>
          <w:sz w:val="22"/>
          <w:szCs w:val="22"/>
        </w:rPr>
      </w:pPr>
      <w:r>
        <w:rPr>
          <w:rFonts w:ascii="Franklin Gothic Book" w:hAnsi="Franklin Gothic Book"/>
          <w:sz w:val="22"/>
          <w:szCs w:val="22"/>
        </w:rPr>
        <w:t>MSAC noted the following deficiencies in the model inputs:</w:t>
      </w:r>
    </w:p>
    <w:p w14:paraId="6EFC08C3" w14:textId="1C81038D" w:rsidR="00295F5B" w:rsidRDefault="00295F5B" w:rsidP="00F16694">
      <w:pPr>
        <w:pStyle w:val="ListParagraph"/>
        <w:numPr>
          <w:ilvl w:val="0"/>
          <w:numId w:val="36"/>
        </w:numPr>
        <w:spacing w:line="259" w:lineRule="auto"/>
        <w:rPr>
          <w:rFonts w:ascii="Franklin Gothic Book" w:hAnsi="Franklin Gothic Book"/>
          <w:sz w:val="22"/>
          <w:szCs w:val="22"/>
        </w:rPr>
      </w:pPr>
      <w:r w:rsidRPr="00F16694">
        <w:rPr>
          <w:rFonts w:ascii="Franklin Gothic Book" w:hAnsi="Franklin Gothic Book"/>
          <w:sz w:val="22"/>
          <w:szCs w:val="22"/>
        </w:rPr>
        <w:t xml:space="preserve">Safety was not considered in the model including adverse events from test results and treatment and the disutility experienced by all </w:t>
      </w:r>
      <w:r w:rsidR="001542C8">
        <w:rPr>
          <w:rFonts w:ascii="Franklin Gothic Book" w:hAnsi="Franklin Gothic Book"/>
          <w:sz w:val="22"/>
          <w:szCs w:val="22"/>
        </w:rPr>
        <w:t>pregnant patients</w:t>
      </w:r>
      <w:r w:rsidRPr="00F16694">
        <w:rPr>
          <w:rFonts w:ascii="Franklin Gothic Book" w:hAnsi="Franklin Gothic Book"/>
          <w:sz w:val="22"/>
          <w:szCs w:val="22"/>
        </w:rPr>
        <w:t xml:space="preserve"> who tested positive (whether true or false positive)</w:t>
      </w:r>
      <w:r w:rsidR="00AA02C7">
        <w:rPr>
          <w:rFonts w:ascii="Franklin Gothic Book" w:hAnsi="Franklin Gothic Book"/>
          <w:sz w:val="22"/>
          <w:szCs w:val="22"/>
        </w:rPr>
        <w:t>,</w:t>
      </w:r>
      <w:r w:rsidRPr="00F16694">
        <w:rPr>
          <w:rFonts w:ascii="Franklin Gothic Book" w:hAnsi="Franklin Gothic Book"/>
          <w:sz w:val="22"/>
          <w:szCs w:val="22"/>
        </w:rPr>
        <w:t xml:space="preserve"> such as negative anxiety related psychological effects and the inconvenience of increased frequency of monitoring. </w:t>
      </w:r>
    </w:p>
    <w:p w14:paraId="78FB64FB" w14:textId="209DA0CE" w:rsidR="00295F5B" w:rsidRDefault="00295F5B" w:rsidP="00F16694">
      <w:pPr>
        <w:pStyle w:val="ListParagraph"/>
        <w:numPr>
          <w:ilvl w:val="0"/>
          <w:numId w:val="36"/>
        </w:numPr>
        <w:spacing w:line="259" w:lineRule="auto"/>
        <w:rPr>
          <w:rFonts w:ascii="Franklin Gothic Book" w:hAnsi="Franklin Gothic Book"/>
          <w:sz w:val="22"/>
          <w:szCs w:val="22"/>
        </w:rPr>
      </w:pPr>
      <w:r w:rsidRPr="00F16694">
        <w:rPr>
          <w:rFonts w:ascii="Franklin Gothic Book" w:hAnsi="Franklin Gothic Book"/>
          <w:sz w:val="22"/>
          <w:szCs w:val="22"/>
        </w:rPr>
        <w:t>By implication</w:t>
      </w:r>
      <w:r w:rsidR="006C2786">
        <w:rPr>
          <w:rFonts w:ascii="Franklin Gothic Book" w:hAnsi="Franklin Gothic Book"/>
          <w:sz w:val="22"/>
          <w:szCs w:val="22"/>
        </w:rPr>
        <w:t xml:space="preserve"> from the above,</w:t>
      </w:r>
      <w:r w:rsidRPr="00F16694">
        <w:rPr>
          <w:rFonts w:ascii="Franklin Gothic Book" w:hAnsi="Franklin Gothic Book"/>
          <w:sz w:val="22"/>
          <w:szCs w:val="22"/>
        </w:rPr>
        <w:t xml:space="preserve"> </w:t>
      </w:r>
      <w:proofErr w:type="spellStart"/>
      <w:r w:rsidRPr="00F16694">
        <w:rPr>
          <w:rFonts w:ascii="Franklin Gothic Book" w:hAnsi="Franklin Gothic Book"/>
          <w:sz w:val="22"/>
          <w:szCs w:val="22"/>
        </w:rPr>
        <w:t>disutilities</w:t>
      </w:r>
      <w:proofErr w:type="spellEnd"/>
      <w:r w:rsidRPr="00F16694">
        <w:rPr>
          <w:rFonts w:ascii="Franklin Gothic Book" w:hAnsi="Franklin Gothic Book"/>
          <w:sz w:val="22"/>
          <w:szCs w:val="22"/>
        </w:rPr>
        <w:t xml:space="preserve"> and costs associated with false positive rates were also ignored in the modelling. These omissions favour</w:t>
      </w:r>
      <w:r w:rsidR="00AA02C7">
        <w:rPr>
          <w:rFonts w:ascii="Franklin Gothic Book" w:hAnsi="Franklin Gothic Book"/>
          <w:sz w:val="22"/>
          <w:szCs w:val="22"/>
        </w:rPr>
        <w:t>ed</w:t>
      </w:r>
      <w:r w:rsidRPr="00F16694">
        <w:rPr>
          <w:rFonts w:ascii="Franklin Gothic Book" w:hAnsi="Franklin Gothic Book"/>
          <w:sz w:val="22"/>
          <w:szCs w:val="22"/>
        </w:rPr>
        <w:t xml:space="preserve"> the intervention by ignoring factors </w:t>
      </w:r>
      <w:r w:rsidR="00AA02C7">
        <w:rPr>
          <w:rFonts w:ascii="Franklin Gothic Book" w:hAnsi="Franklin Gothic Book"/>
          <w:sz w:val="22"/>
          <w:szCs w:val="22"/>
        </w:rPr>
        <w:t>that</w:t>
      </w:r>
      <w:r w:rsidRPr="00F16694">
        <w:rPr>
          <w:rFonts w:ascii="Franklin Gothic Book" w:hAnsi="Franklin Gothic Book"/>
          <w:sz w:val="22"/>
          <w:szCs w:val="22"/>
        </w:rPr>
        <w:t xml:space="preserve"> tend to reduce utility and therefore reduce the gain in quality adjusted life years</w:t>
      </w:r>
      <w:r w:rsidR="006C2786">
        <w:rPr>
          <w:rFonts w:ascii="Franklin Gothic Book" w:hAnsi="Franklin Gothic Book"/>
          <w:sz w:val="22"/>
          <w:szCs w:val="22"/>
        </w:rPr>
        <w:t xml:space="preserve"> (QALYs)</w:t>
      </w:r>
      <w:r w:rsidR="00AA02C7">
        <w:rPr>
          <w:rFonts w:ascii="Franklin Gothic Book" w:hAnsi="Franklin Gothic Book"/>
          <w:sz w:val="22"/>
          <w:szCs w:val="22"/>
        </w:rPr>
        <w:t>.</w:t>
      </w:r>
      <w:r w:rsidR="006C2786">
        <w:rPr>
          <w:rFonts w:ascii="Franklin Gothic Book" w:hAnsi="Franklin Gothic Book"/>
          <w:sz w:val="22"/>
          <w:szCs w:val="22"/>
        </w:rPr>
        <w:t xml:space="preserve"> </w:t>
      </w:r>
    </w:p>
    <w:p w14:paraId="2A353514" w14:textId="4C89D816" w:rsidR="009F0118" w:rsidRDefault="005B462E" w:rsidP="00F16694">
      <w:pPr>
        <w:pStyle w:val="ListParagraph"/>
        <w:numPr>
          <w:ilvl w:val="0"/>
          <w:numId w:val="36"/>
        </w:numPr>
        <w:spacing w:line="259" w:lineRule="auto"/>
        <w:rPr>
          <w:rFonts w:ascii="Franklin Gothic Book" w:hAnsi="Franklin Gothic Book"/>
          <w:sz w:val="22"/>
          <w:szCs w:val="22"/>
        </w:rPr>
      </w:pPr>
      <w:r>
        <w:rPr>
          <w:rFonts w:ascii="Franklin Gothic Book" w:hAnsi="Franklin Gothic Book"/>
          <w:sz w:val="22"/>
          <w:szCs w:val="22"/>
        </w:rPr>
        <w:t>There were various overestimated costs for the comparator</w:t>
      </w:r>
      <w:r w:rsidR="009F0118">
        <w:rPr>
          <w:rFonts w:ascii="Franklin Gothic Book" w:hAnsi="Franklin Gothic Book"/>
          <w:sz w:val="22"/>
          <w:szCs w:val="22"/>
        </w:rPr>
        <w:t xml:space="preserve"> arm</w:t>
      </w:r>
      <w:r>
        <w:rPr>
          <w:rFonts w:ascii="Franklin Gothic Book" w:hAnsi="Franklin Gothic Book"/>
          <w:sz w:val="22"/>
          <w:szCs w:val="22"/>
        </w:rPr>
        <w:t xml:space="preserve"> in the model such as</w:t>
      </w:r>
      <w:r w:rsidR="00AA02C7">
        <w:rPr>
          <w:rFonts w:ascii="Franklin Gothic Book" w:hAnsi="Franklin Gothic Book"/>
          <w:sz w:val="22"/>
          <w:szCs w:val="22"/>
        </w:rPr>
        <w:t>:</w:t>
      </w:r>
    </w:p>
    <w:p w14:paraId="4ACE6113" w14:textId="11E9179A" w:rsidR="009F0118" w:rsidRDefault="00AA02C7" w:rsidP="00F16694">
      <w:pPr>
        <w:pStyle w:val="ListParagraph"/>
        <w:numPr>
          <w:ilvl w:val="1"/>
          <w:numId w:val="36"/>
        </w:numPr>
        <w:spacing w:line="259" w:lineRule="auto"/>
        <w:rPr>
          <w:rFonts w:ascii="Franklin Gothic Book" w:hAnsi="Franklin Gothic Book"/>
          <w:sz w:val="22"/>
          <w:szCs w:val="22"/>
        </w:rPr>
      </w:pPr>
      <w:r>
        <w:rPr>
          <w:rFonts w:ascii="Franklin Gothic Book" w:hAnsi="Franklin Gothic Book"/>
          <w:sz w:val="22"/>
          <w:szCs w:val="22"/>
        </w:rPr>
        <w:t>T</w:t>
      </w:r>
      <w:r w:rsidR="00E12AAF">
        <w:rPr>
          <w:rFonts w:ascii="Franklin Gothic Book" w:hAnsi="Franklin Gothic Book"/>
          <w:sz w:val="22"/>
          <w:szCs w:val="22"/>
        </w:rPr>
        <w:t xml:space="preserve">he assumption </w:t>
      </w:r>
      <w:r w:rsidR="00D33C1A">
        <w:rPr>
          <w:rFonts w:ascii="Franklin Gothic Book" w:hAnsi="Franklin Gothic Book"/>
          <w:sz w:val="22"/>
          <w:szCs w:val="22"/>
        </w:rPr>
        <w:t xml:space="preserve">that </w:t>
      </w:r>
      <w:r w:rsidR="00D57B0B" w:rsidRPr="004E5FC8">
        <w:rPr>
          <w:rFonts w:ascii="Franklin Gothic Book" w:hAnsi="Franklin Gothic Book"/>
          <w:color w:val="000000"/>
          <w:sz w:val="22"/>
          <w:szCs w:val="22"/>
          <w:lang w:eastAsia="en-AU"/>
        </w:rPr>
        <w:t>the test would result in less aspirin use</w:t>
      </w:r>
      <w:r w:rsidR="00B459FD">
        <w:rPr>
          <w:rFonts w:ascii="Franklin Gothic Book" w:hAnsi="Franklin Gothic Book"/>
          <w:color w:val="000000"/>
          <w:sz w:val="22"/>
          <w:szCs w:val="22"/>
          <w:lang w:eastAsia="en-AU"/>
        </w:rPr>
        <w:t xml:space="preserve"> because prenatal risk assessment was more specific than </w:t>
      </w:r>
      <w:r w:rsidR="00D57B0B" w:rsidRPr="004E5FC8">
        <w:rPr>
          <w:rFonts w:ascii="Franklin Gothic Book" w:hAnsi="Franklin Gothic Book"/>
          <w:color w:val="000000"/>
          <w:sz w:val="22"/>
          <w:szCs w:val="22"/>
          <w:lang w:eastAsia="en-AU"/>
        </w:rPr>
        <w:t>standard</w:t>
      </w:r>
      <w:r w:rsidR="00B459FD">
        <w:rPr>
          <w:rFonts w:ascii="Franklin Gothic Book" w:hAnsi="Franklin Gothic Book"/>
          <w:color w:val="000000"/>
          <w:sz w:val="22"/>
          <w:szCs w:val="22"/>
          <w:lang w:eastAsia="en-AU"/>
        </w:rPr>
        <w:t xml:space="preserve"> of ca</w:t>
      </w:r>
      <w:r w:rsidR="00D57B0B" w:rsidRPr="004E5FC8">
        <w:rPr>
          <w:rFonts w:ascii="Franklin Gothic Book" w:hAnsi="Franklin Gothic Book"/>
          <w:color w:val="000000"/>
          <w:sz w:val="22"/>
          <w:szCs w:val="22"/>
          <w:lang w:eastAsia="en-AU"/>
        </w:rPr>
        <w:t>re</w:t>
      </w:r>
      <w:r>
        <w:rPr>
          <w:rFonts w:ascii="Franklin Gothic Book" w:hAnsi="Franklin Gothic Book"/>
          <w:color w:val="000000"/>
          <w:sz w:val="22"/>
          <w:szCs w:val="22"/>
          <w:lang w:eastAsia="en-AU"/>
        </w:rPr>
        <w:t>,</w:t>
      </w:r>
      <w:r w:rsidR="00B459FD">
        <w:rPr>
          <w:rFonts w:ascii="Franklin Gothic Book" w:hAnsi="Franklin Gothic Book"/>
          <w:color w:val="000000"/>
          <w:sz w:val="22"/>
          <w:szCs w:val="22"/>
          <w:lang w:eastAsia="en-AU"/>
        </w:rPr>
        <w:t xml:space="preserve"> which in turn assume</w:t>
      </w:r>
      <w:r>
        <w:rPr>
          <w:rFonts w:ascii="Franklin Gothic Book" w:hAnsi="Franklin Gothic Book"/>
          <w:color w:val="000000"/>
          <w:sz w:val="22"/>
          <w:szCs w:val="22"/>
          <w:lang w:eastAsia="en-AU"/>
        </w:rPr>
        <w:t>d</w:t>
      </w:r>
      <w:r w:rsidR="00B459FD">
        <w:rPr>
          <w:rFonts w:ascii="Franklin Gothic Book" w:hAnsi="Franklin Gothic Book"/>
          <w:color w:val="000000"/>
          <w:sz w:val="22"/>
          <w:szCs w:val="22"/>
          <w:lang w:eastAsia="en-AU"/>
        </w:rPr>
        <w:t xml:space="preserve"> that </w:t>
      </w:r>
      <w:r w:rsidR="00D57B0B" w:rsidRPr="004E5FC8">
        <w:rPr>
          <w:rFonts w:ascii="Franklin Gothic Book" w:hAnsi="Franklin Gothic Book"/>
          <w:color w:val="000000"/>
          <w:sz w:val="22"/>
          <w:szCs w:val="22"/>
          <w:lang w:eastAsia="en-AU"/>
        </w:rPr>
        <w:t xml:space="preserve">all </w:t>
      </w:r>
      <w:r>
        <w:rPr>
          <w:rFonts w:ascii="Franklin Gothic Book" w:hAnsi="Franklin Gothic Book"/>
          <w:color w:val="000000"/>
          <w:sz w:val="22"/>
          <w:szCs w:val="22"/>
          <w:lang w:eastAsia="en-AU"/>
        </w:rPr>
        <w:t>patients</w:t>
      </w:r>
      <w:r w:rsidR="00D57B0B" w:rsidRPr="004E5FC8">
        <w:rPr>
          <w:rFonts w:ascii="Franklin Gothic Book" w:hAnsi="Franklin Gothic Book"/>
          <w:color w:val="000000"/>
          <w:sz w:val="22"/>
          <w:szCs w:val="22"/>
          <w:lang w:eastAsia="en-AU"/>
        </w:rPr>
        <w:t xml:space="preserve"> currently </w:t>
      </w:r>
      <w:r>
        <w:rPr>
          <w:rFonts w:ascii="Franklin Gothic Book" w:hAnsi="Franklin Gothic Book"/>
          <w:color w:val="000000"/>
          <w:sz w:val="22"/>
          <w:szCs w:val="22"/>
          <w:lang w:eastAsia="en-AU"/>
        </w:rPr>
        <w:t>have their preterm PE risk estimated</w:t>
      </w:r>
      <w:r w:rsidR="00D57B0B" w:rsidRPr="004E5FC8">
        <w:rPr>
          <w:rFonts w:ascii="Franklin Gothic Book" w:hAnsi="Franklin Gothic Book"/>
          <w:color w:val="000000"/>
          <w:sz w:val="22"/>
          <w:szCs w:val="22"/>
          <w:lang w:eastAsia="en-AU"/>
        </w:rPr>
        <w:t xml:space="preserve"> as part of standard </w:t>
      </w:r>
      <w:r w:rsidR="00B459FD">
        <w:rPr>
          <w:rFonts w:ascii="Franklin Gothic Book" w:hAnsi="Franklin Gothic Book"/>
          <w:color w:val="000000"/>
          <w:sz w:val="22"/>
          <w:szCs w:val="22"/>
          <w:lang w:eastAsia="en-AU"/>
        </w:rPr>
        <w:t>of care.</w:t>
      </w:r>
    </w:p>
    <w:p w14:paraId="17C6A2B5" w14:textId="337CE5BA" w:rsidR="005B462E" w:rsidRDefault="00AA02C7" w:rsidP="00F16694">
      <w:pPr>
        <w:pStyle w:val="ListParagraph"/>
        <w:numPr>
          <w:ilvl w:val="1"/>
          <w:numId w:val="36"/>
        </w:numPr>
        <w:spacing w:line="259" w:lineRule="auto"/>
        <w:rPr>
          <w:rFonts w:ascii="Franklin Gothic Book" w:hAnsi="Franklin Gothic Book"/>
          <w:sz w:val="22"/>
          <w:szCs w:val="22"/>
        </w:rPr>
      </w:pPr>
      <w:r>
        <w:rPr>
          <w:rFonts w:ascii="Franklin Gothic Book" w:hAnsi="Franklin Gothic Book"/>
          <w:sz w:val="22"/>
          <w:szCs w:val="22"/>
        </w:rPr>
        <w:t>T</w:t>
      </w:r>
      <w:r w:rsidR="009F0118">
        <w:rPr>
          <w:rFonts w:ascii="Franklin Gothic Book" w:hAnsi="Franklin Gothic Book"/>
          <w:sz w:val="22"/>
          <w:szCs w:val="22"/>
        </w:rPr>
        <w:t xml:space="preserve">he assumption that all </w:t>
      </w:r>
      <w:r>
        <w:rPr>
          <w:rFonts w:ascii="Franklin Gothic Book" w:hAnsi="Franklin Gothic Book"/>
          <w:sz w:val="22"/>
          <w:szCs w:val="22"/>
        </w:rPr>
        <w:t>patients</w:t>
      </w:r>
      <w:r w:rsidR="009F0118">
        <w:rPr>
          <w:rFonts w:ascii="Franklin Gothic Book" w:hAnsi="Franklin Gothic Book"/>
          <w:sz w:val="22"/>
          <w:szCs w:val="22"/>
        </w:rPr>
        <w:t xml:space="preserve"> </w:t>
      </w:r>
      <w:r>
        <w:rPr>
          <w:rFonts w:ascii="Franklin Gothic Book" w:hAnsi="Franklin Gothic Book"/>
          <w:sz w:val="22"/>
          <w:szCs w:val="22"/>
        </w:rPr>
        <w:t>currently</w:t>
      </w:r>
      <w:r w:rsidR="009F0118">
        <w:rPr>
          <w:rFonts w:ascii="Franklin Gothic Book" w:hAnsi="Franklin Gothic Book"/>
          <w:sz w:val="22"/>
          <w:szCs w:val="22"/>
        </w:rPr>
        <w:t xml:space="preserve"> receive prenatal testing including </w:t>
      </w:r>
      <w:r>
        <w:rPr>
          <w:rFonts w:ascii="Franklin Gothic Book" w:hAnsi="Franklin Gothic Book"/>
          <w:sz w:val="22"/>
          <w:szCs w:val="22"/>
        </w:rPr>
        <w:t xml:space="preserve">nuchal </w:t>
      </w:r>
      <w:r w:rsidR="009F0118" w:rsidRPr="009547C7">
        <w:rPr>
          <w:rFonts w:ascii="Franklin Gothic Book" w:hAnsi="Franklin Gothic Book"/>
          <w:sz w:val="22"/>
          <w:szCs w:val="22"/>
        </w:rPr>
        <w:t>translucency ultrasound and trisomy blood testing</w:t>
      </w:r>
      <w:r>
        <w:rPr>
          <w:rFonts w:ascii="Franklin Gothic Book" w:hAnsi="Franklin Gothic Book"/>
          <w:sz w:val="22"/>
          <w:szCs w:val="22"/>
        </w:rPr>
        <w:t>,</w:t>
      </w:r>
      <w:r w:rsidR="009F0118">
        <w:rPr>
          <w:rFonts w:ascii="Franklin Gothic Book" w:hAnsi="Franklin Gothic Book"/>
          <w:sz w:val="22"/>
          <w:szCs w:val="22"/>
        </w:rPr>
        <w:t xml:space="preserve"> where</w:t>
      </w:r>
      <w:r>
        <w:rPr>
          <w:rFonts w:ascii="Franklin Gothic Book" w:hAnsi="Franklin Gothic Book"/>
          <w:sz w:val="22"/>
          <w:szCs w:val="22"/>
        </w:rPr>
        <w:t>as</w:t>
      </w:r>
      <w:r w:rsidR="009F0118">
        <w:rPr>
          <w:rFonts w:ascii="Franklin Gothic Book" w:hAnsi="Franklin Gothic Book"/>
          <w:sz w:val="22"/>
          <w:szCs w:val="22"/>
        </w:rPr>
        <w:t xml:space="preserve"> in practice this was </w:t>
      </w:r>
      <w:r w:rsidR="009F0118" w:rsidRPr="00440B46">
        <w:rPr>
          <w:rFonts w:ascii="Franklin Gothic Book" w:hAnsi="Franklin Gothic Book"/>
          <w:sz w:val="22"/>
          <w:szCs w:val="22"/>
        </w:rPr>
        <w:t xml:space="preserve">approximately 54% of patients </w:t>
      </w:r>
      <w:r>
        <w:rPr>
          <w:rFonts w:ascii="Franklin Gothic Book" w:hAnsi="Franklin Gothic Book"/>
          <w:sz w:val="22"/>
          <w:szCs w:val="22"/>
        </w:rPr>
        <w:t>(</w:t>
      </w:r>
      <w:r w:rsidR="009F0118" w:rsidRPr="00440B46">
        <w:rPr>
          <w:rFonts w:ascii="Franklin Gothic Book" w:hAnsi="Franklin Gothic Book"/>
          <w:sz w:val="22"/>
          <w:szCs w:val="22"/>
        </w:rPr>
        <w:t xml:space="preserve">based on MBS data for item 55707 and </w:t>
      </w:r>
      <w:r w:rsidR="009F0118">
        <w:rPr>
          <w:rFonts w:ascii="Franklin Gothic Book" w:hAnsi="Franklin Gothic Book"/>
          <w:sz w:val="22"/>
          <w:szCs w:val="22"/>
        </w:rPr>
        <w:t>Australian Bureau of Statistics data</w:t>
      </w:r>
      <w:r w:rsidR="009F0118" w:rsidRPr="00440B46">
        <w:rPr>
          <w:rFonts w:ascii="Franklin Gothic Book" w:hAnsi="Franklin Gothic Book"/>
          <w:sz w:val="22"/>
          <w:szCs w:val="22"/>
        </w:rPr>
        <w:t xml:space="preserve"> for number of pregnancies</w:t>
      </w:r>
      <w:r>
        <w:rPr>
          <w:rFonts w:ascii="Franklin Gothic Book" w:hAnsi="Franklin Gothic Book"/>
          <w:sz w:val="22"/>
          <w:szCs w:val="22"/>
        </w:rPr>
        <w:t>).</w:t>
      </w:r>
      <w:r w:rsidR="00E12AAF">
        <w:rPr>
          <w:rFonts w:ascii="Franklin Gothic Book" w:hAnsi="Franklin Gothic Book"/>
          <w:sz w:val="22"/>
          <w:szCs w:val="22"/>
        </w:rPr>
        <w:t xml:space="preserve"> </w:t>
      </w:r>
    </w:p>
    <w:p w14:paraId="3D8CD01B" w14:textId="69224EE3" w:rsidR="005B462E" w:rsidRPr="00F16694" w:rsidRDefault="00AA02C7" w:rsidP="00F16694">
      <w:pPr>
        <w:pStyle w:val="ListParagraph"/>
        <w:numPr>
          <w:ilvl w:val="1"/>
          <w:numId w:val="36"/>
        </w:numPr>
        <w:spacing w:line="259" w:lineRule="auto"/>
        <w:rPr>
          <w:rFonts w:ascii="Franklin Gothic Book" w:hAnsi="Franklin Gothic Book"/>
          <w:sz w:val="22"/>
          <w:szCs w:val="22"/>
        </w:rPr>
      </w:pPr>
      <w:r w:rsidRPr="00A577C8">
        <w:rPr>
          <w:rFonts w:ascii="Franklin Gothic Book" w:hAnsi="Franklin Gothic Book"/>
          <w:sz w:val="22"/>
          <w:szCs w:val="22"/>
        </w:rPr>
        <w:t>U</w:t>
      </w:r>
      <w:r w:rsidR="00A24B1E" w:rsidRPr="00A577C8">
        <w:rPr>
          <w:rFonts w:ascii="Franklin Gothic Book" w:hAnsi="Franklin Gothic Book"/>
          <w:sz w:val="22"/>
          <w:szCs w:val="22"/>
        </w:rPr>
        <w:t>se</w:t>
      </w:r>
      <w:r w:rsidR="00A24B1E">
        <w:rPr>
          <w:rFonts w:ascii="Franklin Gothic Book" w:hAnsi="Franklin Gothic Book"/>
          <w:sz w:val="22"/>
          <w:szCs w:val="22"/>
        </w:rPr>
        <w:t xml:space="preserve"> of </w:t>
      </w:r>
      <w:r w:rsidR="007D4479">
        <w:rPr>
          <w:rFonts w:ascii="Franklin Gothic Book" w:hAnsi="Franklin Gothic Book"/>
          <w:sz w:val="22"/>
          <w:szCs w:val="22"/>
        </w:rPr>
        <w:t>diagnosis-related group (</w:t>
      </w:r>
      <w:r w:rsidR="00A24B1E">
        <w:rPr>
          <w:rFonts w:ascii="Franklin Gothic Book" w:hAnsi="Franklin Gothic Book"/>
          <w:sz w:val="22"/>
          <w:szCs w:val="22"/>
        </w:rPr>
        <w:t>DRG</w:t>
      </w:r>
      <w:r w:rsidR="007D4479">
        <w:rPr>
          <w:rFonts w:ascii="Franklin Gothic Book" w:hAnsi="Franklin Gothic Book"/>
          <w:sz w:val="22"/>
          <w:szCs w:val="22"/>
        </w:rPr>
        <w:t>)</w:t>
      </w:r>
      <w:r w:rsidR="00A24B1E">
        <w:rPr>
          <w:rFonts w:ascii="Franklin Gothic Book" w:hAnsi="Franklin Gothic Book"/>
          <w:sz w:val="22"/>
          <w:szCs w:val="22"/>
        </w:rPr>
        <w:t xml:space="preserve"> code</w:t>
      </w:r>
      <w:r w:rsidR="007D4479">
        <w:rPr>
          <w:rFonts w:ascii="Franklin Gothic Book" w:hAnsi="Franklin Gothic Book"/>
          <w:sz w:val="22"/>
          <w:szCs w:val="22"/>
        </w:rPr>
        <w:t>s</w:t>
      </w:r>
      <w:r w:rsidR="00A24B1E">
        <w:rPr>
          <w:rFonts w:ascii="Franklin Gothic Book" w:hAnsi="Franklin Gothic Book"/>
          <w:sz w:val="22"/>
          <w:szCs w:val="22"/>
        </w:rPr>
        <w:t xml:space="preserve"> for </w:t>
      </w:r>
      <w:r w:rsidR="00A24B1E" w:rsidRPr="00E44558">
        <w:rPr>
          <w:rFonts w:ascii="Franklin Gothic Book" w:hAnsi="Franklin Gothic Book"/>
          <w:sz w:val="22"/>
          <w:szCs w:val="22"/>
        </w:rPr>
        <w:t>the costing of preterm and term PE delivery and NICU admissions</w:t>
      </w:r>
      <w:r w:rsidRPr="00A577C8">
        <w:rPr>
          <w:rFonts w:ascii="Franklin Gothic Book" w:hAnsi="Franklin Gothic Book"/>
          <w:sz w:val="22"/>
          <w:szCs w:val="22"/>
        </w:rPr>
        <w:t>,</w:t>
      </w:r>
      <w:r w:rsidR="00A24B1E">
        <w:rPr>
          <w:rFonts w:ascii="Franklin Gothic Book" w:hAnsi="Franklin Gothic Book"/>
          <w:sz w:val="22"/>
          <w:szCs w:val="22"/>
        </w:rPr>
        <w:t xml:space="preserve"> which </w:t>
      </w:r>
      <w:r w:rsidRPr="00A577C8">
        <w:rPr>
          <w:rFonts w:ascii="Franklin Gothic Book" w:hAnsi="Franklin Gothic Book"/>
          <w:sz w:val="22"/>
          <w:szCs w:val="22"/>
        </w:rPr>
        <w:t>we</w:t>
      </w:r>
      <w:r w:rsidR="00A24B1E" w:rsidRPr="00A577C8">
        <w:rPr>
          <w:rFonts w:ascii="Franklin Gothic Book" w:hAnsi="Franklin Gothic Book"/>
          <w:sz w:val="22"/>
          <w:szCs w:val="22"/>
        </w:rPr>
        <w:t>re</w:t>
      </w:r>
      <w:r w:rsidR="00A24B1E" w:rsidRPr="00E44558">
        <w:rPr>
          <w:rFonts w:ascii="Franklin Gothic Book" w:hAnsi="Franklin Gothic Book"/>
          <w:sz w:val="22"/>
          <w:szCs w:val="22"/>
        </w:rPr>
        <w:t xml:space="preserve"> likely </w:t>
      </w:r>
      <w:r w:rsidR="00A24B1E">
        <w:rPr>
          <w:rFonts w:ascii="Franklin Gothic Book" w:hAnsi="Franklin Gothic Book"/>
          <w:sz w:val="22"/>
          <w:szCs w:val="22"/>
        </w:rPr>
        <w:t xml:space="preserve">to </w:t>
      </w:r>
      <w:r w:rsidRPr="00A577C8">
        <w:rPr>
          <w:rFonts w:ascii="Franklin Gothic Book" w:hAnsi="Franklin Gothic Book"/>
          <w:sz w:val="22"/>
          <w:szCs w:val="22"/>
        </w:rPr>
        <w:t xml:space="preserve">have </w:t>
      </w:r>
      <w:r w:rsidR="00A24B1E" w:rsidRPr="00A577C8">
        <w:rPr>
          <w:rFonts w:ascii="Franklin Gothic Book" w:hAnsi="Franklin Gothic Book"/>
          <w:sz w:val="22"/>
          <w:szCs w:val="22"/>
        </w:rPr>
        <w:t>overestimate</w:t>
      </w:r>
      <w:r w:rsidRPr="00A577C8">
        <w:rPr>
          <w:rFonts w:ascii="Franklin Gothic Book" w:hAnsi="Franklin Gothic Book"/>
          <w:sz w:val="22"/>
          <w:szCs w:val="22"/>
        </w:rPr>
        <w:t>d</w:t>
      </w:r>
      <w:r w:rsidR="00A24B1E" w:rsidRPr="00E44558">
        <w:rPr>
          <w:rFonts w:ascii="Franklin Gothic Book" w:hAnsi="Franklin Gothic Book"/>
          <w:sz w:val="22"/>
          <w:szCs w:val="22"/>
        </w:rPr>
        <w:t xml:space="preserve"> </w:t>
      </w:r>
      <w:r w:rsidR="00A24B1E">
        <w:rPr>
          <w:rFonts w:ascii="Franklin Gothic Book" w:hAnsi="Franklin Gothic Book"/>
          <w:sz w:val="22"/>
          <w:szCs w:val="22"/>
        </w:rPr>
        <w:t xml:space="preserve">these </w:t>
      </w:r>
      <w:r w:rsidR="00A24B1E" w:rsidRPr="00E44558">
        <w:rPr>
          <w:rFonts w:ascii="Franklin Gothic Book" w:hAnsi="Franklin Gothic Book"/>
          <w:sz w:val="22"/>
          <w:szCs w:val="22"/>
        </w:rPr>
        <w:t>costs</w:t>
      </w:r>
      <w:r w:rsidR="00892582">
        <w:rPr>
          <w:rFonts w:ascii="Franklin Gothic Book" w:hAnsi="Franklin Gothic Book"/>
          <w:sz w:val="22"/>
          <w:szCs w:val="22"/>
        </w:rPr>
        <w:t>.</w:t>
      </w:r>
    </w:p>
    <w:p w14:paraId="3B7D54D8" w14:textId="322F78CC" w:rsidR="007D4479" w:rsidRDefault="007D4479" w:rsidP="00F16694">
      <w:pPr>
        <w:pStyle w:val="ListParagraph"/>
        <w:numPr>
          <w:ilvl w:val="0"/>
          <w:numId w:val="36"/>
        </w:numPr>
        <w:spacing w:line="259" w:lineRule="auto"/>
        <w:rPr>
          <w:rFonts w:ascii="Franklin Gothic Book" w:hAnsi="Franklin Gothic Book"/>
          <w:sz w:val="22"/>
          <w:szCs w:val="22"/>
        </w:rPr>
      </w:pPr>
      <w:r>
        <w:rPr>
          <w:rFonts w:ascii="Franklin Gothic Book" w:hAnsi="Franklin Gothic Book"/>
          <w:sz w:val="22"/>
          <w:szCs w:val="22"/>
        </w:rPr>
        <w:t xml:space="preserve">There were </w:t>
      </w:r>
      <w:r w:rsidR="00A577C8">
        <w:rPr>
          <w:rFonts w:ascii="Franklin Gothic Book" w:hAnsi="Franklin Gothic Book"/>
          <w:sz w:val="22"/>
          <w:szCs w:val="22"/>
        </w:rPr>
        <w:t xml:space="preserve">also </w:t>
      </w:r>
      <w:r>
        <w:rPr>
          <w:rFonts w:ascii="Franklin Gothic Book" w:hAnsi="Franklin Gothic Book"/>
          <w:sz w:val="22"/>
          <w:szCs w:val="22"/>
        </w:rPr>
        <w:t>various underestimated costs for the intervention arm in the model such as</w:t>
      </w:r>
      <w:r w:rsidR="00A577C8">
        <w:rPr>
          <w:rFonts w:ascii="Franklin Gothic Book" w:hAnsi="Franklin Gothic Book"/>
          <w:sz w:val="22"/>
          <w:szCs w:val="22"/>
        </w:rPr>
        <w:t>:</w:t>
      </w:r>
    </w:p>
    <w:p w14:paraId="6953E157" w14:textId="6DB4793D" w:rsidR="00C95C4D" w:rsidRDefault="00C95C4D" w:rsidP="00F16694">
      <w:pPr>
        <w:pStyle w:val="ListParagraph"/>
        <w:numPr>
          <w:ilvl w:val="1"/>
          <w:numId w:val="36"/>
        </w:numPr>
        <w:spacing w:line="259" w:lineRule="auto"/>
        <w:rPr>
          <w:rFonts w:ascii="Franklin Gothic Book" w:hAnsi="Franklin Gothic Book"/>
          <w:sz w:val="22"/>
          <w:szCs w:val="22"/>
        </w:rPr>
      </w:pPr>
      <w:r>
        <w:rPr>
          <w:rFonts w:ascii="Franklin Gothic Book" w:hAnsi="Franklin Gothic Book"/>
          <w:sz w:val="22"/>
          <w:szCs w:val="22"/>
        </w:rPr>
        <w:t xml:space="preserve">Application of the same monitoring costs to high risk and low risk patients which is inappropriate given that </w:t>
      </w:r>
      <w:r w:rsidRPr="0052122C">
        <w:rPr>
          <w:rFonts w:ascii="Franklin Gothic Book" w:hAnsi="Franklin Gothic Book"/>
          <w:sz w:val="22"/>
          <w:szCs w:val="22"/>
        </w:rPr>
        <w:t>high risk</w:t>
      </w:r>
      <w:r>
        <w:rPr>
          <w:rFonts w:ascii="Franklin Gothic Book" w:hAnsi="Franklin Gothic Book"/>
          <w:sz w:val="22"/>
          <w:szCs w:val="22"/>
        </w:rPr>
        <w:t xml:space="preserve"> patients are</w:t>
      </w:r>
      <w:r w:rsidRPr="0052122C">
        <w:rPr>
          <w:rFonts w:ascii="Franklin Gothic Book" w:hAnsi="Franklin Gothic Book"/>
          <w:sz w:val="22"/>
          <w:szCs w:val="22"/>
        </w:rPr>
        <w:t xml:space="preserve"> more closely monitored and incur significantly higher costs during the antenatal period than low risk group</w:t>
      </w:r>
      <w:r>
        <w:rPr>
          <w:rFonts w:ascii="Franklin Gothic Book" w:hAnsi="Franklin Gothic Book"/>
          <w:sz w:val="22"/>
          <w:szCs w:val="22"/>
        </w:rPr>
        <w:t>s.</w:t>
      </w:r>
    </w:p>
    <w:p w14:paraId="21AF1F9E" w14:textId="41E41F60" w:rsidR="007548FE" w:rsidRDefault="007548FE" w:rsidP="00F16694">
      <w:pPr>
        <w:pStyle w:val="ListParagraph"/>
        <w:numPr>
          <w:ilvl w:val="1"/>
          <w:numId w:val="36"/>
        </w:numPr>
        <w:spacing w:line="259" w:lineRule="auto"/>
        <w:rPr>
          <w:rFonts w:ascii="Franklin Gothic Book" w:hAnsi="Franklin Gothic Book"/>
          <w:sz w:val="22"/>
          <w:szCs w:val="22"/>
        </w:rPr>
      </w:pPr>
      <w:r>
        <w:rPr>
          <w:rFonts w:ascii="Franklin Gothic Book" w:hAnsi="Franklin Gothic Book"/>
          <w:sz w:val="22"/>
          <w:szCs w:val="22"/>
        </w:rPr>
        <w:t xml:space="preserve">Omission of </w:t>
      </w:r>
      <w:r w:rsidRPr="00B3740B">
        <w:rPr>
          <w:rFonts w:ascii="Franklin Gothic Book" w:hAnsi="Franklin Gothic Book"/>
          <w:sz w:val="22"/>
          <w:szCs w:val="22"/>
        </w:rPr>
        <w:t>further MBS funded consultations to explain results and manage potential anxiety</w:t>
      </w:r>
      <w:r>
        <w:rPr>
          <w:rFonts w:ascii="Franklin Gothic Book" w:hAnsi="Franklin Gothic Book"/>
          <w:sz w:val="22"/>
          <w:szCs w:val="22"/>
        </w:rPr>
        <w:t>.</w:t>
      </w:r>
      <w:r w:rsidR="00D57B0B">
        <w:rPr>
          <w:rFonts w:ascii="Franklin Gothic Book" w:hAnsi="Franklin Gothic Book"/>
          <w:sz w:val="22"/>
          <w:szCs w:val="22"/>
        </w:rPr>
        <w:t xml:space="preserve"> MSAC disagreed with the applicant’s claim that the prenatal risk assessment would not create additional anxiety for patients. </w:t>
      </w:r>
    </w:p>
    <w:p w14:paraId="0D71CF3D" w14:textId="47A7C248" w:rsidR="007548FE" w:rsidRPr="00F16694" w:rsidRDefault="007548FE" w:rsidP="00F16694">
      <w:pPr>
        <w:pStyle w:val="ListParagraph"/>
        <w:numPr>
          <w:ilvl w:val="1"/>
          <w:numId w:val="36"/>
        </w:numPr>
        <w:spacing w:line="259" w:lineRule="auto"/>
        <w:rPr>
          <w:rFonts w:ascii="Franklin Gothic Book" w:hAnsi="Franklin Gothic Book"/>
          <w:sz w:val="22"/>
          <w:szCs w:val="22"/>
        </w:rPr>
      </w:pPr>
      <w:r>
        <w:rPr>
          <w:rFonts w:ascii="Franklin Gothic Book" w:hAnsi="Franklin Gothic Book"/>
          <w:sz w:val="22"/>
          <w:szCs w:val="22"/>
        </w:rPr>
        <w:t xml:space="preserve">Omission of consideration of the </w:t>
      </w:r>
      <w:r w:rsidRPr="000455C2">
        <w:rPr>
          <w:rFonts w:ascii="Franklin Gothic Book" w:hAnsi="Franklin Gothic Book"/>
          <w:sz w:val="22"/>
          <w:szCs w:val="22"/>
        </w:rPr>
        <w:t>risk of leakage of use of the risk assessment at later stages of pregnancy</w:t>
      </w:r>
      <w:r>
        <w:rPr>
          <w:rFonts w:ascii="Franklin Gothic Book" w:hAnsi="Franklin Gothic Book"/>
          <w:sz w:val="22"/>
          <w:szCs w:val="22"/>
        </w:rPr>
        <w:t>.</w:t>
      </w:r>
    </w:p>
    <w:p w14:paraId="5CE9839D" w14:textId="6DCA9EB3" w:rsidR="00070C9E" w:rsidRPr="00F16694" w:rsidRDefault="00070C9E" w:rsidP="00F16694">
      <w:pPr>
        <w:pStyle w:val="a-TEXT"/>
      </w:pPr>
      <w:r w:rsidRPr="00280880">
        <w:t>The main drivers of the model were the cost of the intervention when the cost of monitoring is included, and the probability of developing PE. MSAC noted that while the base case incremental cost effectiveness ratio (ICER) was dominant (meaning that the intervention was both more effective and less expensive than standard of care) the dominance of the ICER was highly un</w:t>
      </w:r>
      <w:r>
        <w:t>certain</w:t>
      </w:r>
      <w:r w:rsidRPr="00280880">
        <w:t xml:space="preserve"> given the very small incremental effectiveness</w:t>
      </w:r>
      <w:r w:rsidR="000E5D9D">
        <w:t xml:space="preserve"> of the intervention relative to standard of care</w:t>
      </w:r>
      <w:r w:rsidRPr="00280880">
        <w:t xml:space="preserve"> (0.002 </w:t>
      </w:r>
      <w:r w:rsidR="008C1068">
        <w:t>QALYs</w:t>
      </w:r>
      <w:r w:rsidR="000E5D9D">
        <w:t>)</w:t>
      </w:r>
      <w:r w:rsidRPr="00280880">
        <w:t>. This meant that even small changes in some model inputs could change the ICER from dominant to positive (and potentially large). MSAC therefore considered that the results of the economic evaluation were highly uncertain.</w:t>
      </w:r>
      <w:r w:rsidRPr="007B4DD7">
        <w:t xml:space="preserve"> </w:t>
      </w:r>
      <w:r w:rsidRPr="00280880">
        <w:t xml:space="preserve">For instance, MSAC noted that increasing the probability of pre-term PE if </w:t>
      </w:r>
      <w:r w:rsidR="00124594">
        <w:t xml:space="preserve">found to be </w:t>
      </w:r>
      <w:r w:rsidRPr="00280880">
        <w:t xml:space="preserve">high risk in the intervention arm from the base case assumption of 2.1% to 4.3% shifted the ICER from dominant to $272,006 </w:t>
      </w:r>
      <w:r w:rsidR="00C302EB">
        <w:t>per QALY</w:t>
      </w:r>
      <w:r w:rsidR="00310CA0">
        <w:t>,</w:t>
      </w:r>
      <w:r w:rsidR="00C302EB">
        <w:t xml:space="preserve"> </w:t>
      </w:r>
      <w:r w:rsidR="00310CA0">
        <w:t>and</w:t>
      </w:r>
      <w:r w:rsidRPr="00280880">
        <w:t xml:space="preserve"> increasing the probability of term PE if </w:t>
      </w:r>
      <w:r w:rsidR="00124594">
        <w:t xml:space="preserve">found to be </w:t>
      </w:r>
      <w:r w:rsidRPr="00280880">
        <w:t>high risk in the intervention arm from the base assumption of 3.6% to 7% shifted the ICER from dominant to $30,067</w:t>
      </w:r>
      <w:r w:rsidR="00C302EB">
        <w:t xml:space="preserve"> per QALY</w:t>
      </w:r>
      <w:r w:rsidRPr="00280880">
        <w:t xml:space="preserve">. </w:t>
      </w:r>
    </w:p>
    <w:p w14:paraId="77C4AF3A" w14:textId="0F648DA9" w:rsidR="00070C9E" w:rsidRDefault="00070C9E" w:rsidP="00F16694">
      <w:pPr>
        <w:pStyle w:val="a-TEXT"/>
      </w:pPr>
      <w:r w:rsidRPr="004E5FC8">
        <w:t xml:space="preserve">MSAC </w:t>
      </w:r>
      <w:r w:rsidR="00BD55A0">
        <w:t>considered</w:t>
      </w:r>
      <w:r w:rsidRPr="004E5FC8">
        <w:t xml:space="preserve"> out-of-pocket (OOP) costs</w:t>
      </w:r>
      <w:r w:rsidR="00BD55A0">
        <w:t xml:space="preserve"> to patients would be a significant issue</w:t>
      </w:r>
      <w:r w:rsidRPr="004E5FC8">
        <w:t xml:space="preserve">, particularly if the intervention is combined with nuchal translucency screening. MSAC considered that this </w:t>
      </w:r>
      <w:r w:rsidRPr="004E5FC8">
        <w:lastRenderedPageBreak/>
        <w:t xml:space="preserve">would worsen inequity, </w:t>
      </w:r>
      <w:proofErr w:type="gramStart"/>
      <w:r w:rsidRPr="004E5FC8">
        <w:t>and also</w:t>
      </w:r>
      <w:proofErr w:type="gramEnd"/>
      <w:r w:rsidRPr="004E5FC8">
        <w:t xml:space="preserve"> </w:t>
      </w:r>
      <w:r w:rsidR="00BD55A0">
        <w:t xml:space="preserve">noted it </w:t>
      </w:r>
      <w:r w:rsidRPr="004E5FC8">
        <w:t>had a large impact on the ICER.</w:t>
      </w:r>
      <w:r w:rsidRPr="00895A0C">
        <w:t xml:space="preserve"> </w:t>
      </w:r>
      <w:r w:rsidR="00F64CD8" w:rsidRPr="00D83DC3">
        <w:t>MSAC n</w:t>
      </w:r>
      <w:r w:rsidR="009F488A" w:rsidRPr="00D83DC3">
        <w:t>oted that if</w:t>
      </w:r>
      <w:r w:rsidR="009F488A">
        <w:t xml:space="preserve"> </w:t>
      </w:r>
      <w:r w:rsidRPr="004E5FC8">
        <w:t xml:space="preserve">OOP costs </w:t>
      </w:r>
      <w:r w:rsidR="00BD55A0">
        <w:t>we</w:t>
      </w:r>
      <w:r w:rsidRPr="004E5FC8">
        <w:t xml:space="preserve">re removed from the base </w:t>
      </w:r>
      <w:proofErr w:type="gramStart"/>
      <w:r w:rsidRPr="004E5FC8">
        <w:t>case</w:t>
      </w:r>
      <w:proofErr w:type="gramEnd"/>
      <w:r w:rsidR="004E6B5B">
        <w:t xml:space="preserve"> but it </w:t>
      </w:r>
      <w:r w:rsidR="00BD55A0">
        <w:t>wa</w:t>
      </w:r>
      <w:r w:rsidR="004E6B5B">
        <w:t>s assumed that 54%</w:t>
      </w:r>
      <w:r w:rsidR="009C01D6">
        <w:t xml:space="preserve"> of patients in the standard of care arm underwent testing compared to 100% in the intervention arm</w:t>
      </w:r>
      <w:r w:rsidRPr="004E5FC8">
        <w:t>, the ICER increase</w:t>
      </w:r>
      <w:r w:rsidR="00BD55A0">
        <w:t>d</w:t>
      </w:r>
      <w:r w:rsidRPr="004E5FC8">
        <w:t xml:space="preserve"> to $163,730 per QALY gained. If OOP costs</w:t>
      </w:r>
      <w:r>
        <w:t xml:space="preserve"> (of $150)</w:t>
      </w:r>
      <w:r w:rsidRPr="004E5FC8">
        <w:t xml:space="preserve"> </w:t>
      </w:r>
      <w:r w:rsidR="00BD55A0">
        <w:t>we</w:t>
      </w:r>
      <w:r w:rsidRPr="004E5FC8">
        <w:t>re included in both arms</w:t>
      </w:r>
      <w:r w:rsidR="00D5098E">
        <w:t xml:space="preserve"> and an additional antenatal consultation </w:t>
      </w:r>
      <w:r w:rsidR="00EA2E41">
        <w:t>under MBS item 16500</w:t>
      </w:r>
      <w:r w:rsidR="00007C6C">
        <w:t xml:space="preserve"> </w:t>
      </w:r>
      <w:r w:rsidR="00BD55A0">
        <w:t>wa</w:t>
      </w:r>
      <w:r w:rsidR="00007C6C">
        <w:t>s assumed in the intervention arm</w:t>
      </w:r>
      <w:r w:rsidRPr="004E5FC8">
        <w:t>, the ICER increase</w:t>
      </w:r>
      <w:r w:rsidR="00BD55A0">
        <w:t>d</w:t>
      </w:r>
      <w:r w:rsidRPr="004E5FC8">
        <w:t xml:space="preserve"> to </w:t>
      </w:r>
      <w:r>
        <w:t>a</w:t>
      </w:r>
      <w:r w:rsidR="00BD55A0">
        <w:t>n</w:t>
      </w:r>
      <w:r>
        <w:t xml:space="preserve"> ICER of </w:t>
      </w:r>
      <w:r w:rsidRPr="004E5FC8">
        <w:t>$746,960 per QALY gained</w:t>
      </w:r>
      <w:r w:rsidR="00BD55A0">
        <w:t>, which MSAC considered was large</w:t>
      </w:r>
      <w:r w:rsidRPr="004E5FC8">
        <w:t>.</w:t>
      </w:r>
    </w:p>
    <w:p w14:paraId="7523FF2E" w14:textId="2B6ABA01" w:rsidR="004A653E" w:rsidRDefault="001C2852" w:rsidP="00F16694">
      <w:pPr>
        <w:spacing w:line="259" w:lineRule="auto"/>
        <w:rPr>
          <w:rFonts w:ascii="Franklin Gothic Book" w:hAnsi="Franklin Gothic Book"/>
          <w:color w:val="000000"/>
          <w:sz w:val="22"/>
          <w:szCs w:val="22"/>
          <w:lang w:eastAsia="en-AU"/>
        </w:rPr>
      </w:pPr>
      <w:r>
        <w:rPr>
          <w:rFonts w:ascii="Franklin Gothic Book" w:hAnsi="Franklin Gothic Book"/>
          <w:color w:val="000000"/>
          <w:sz w:val="22"/>
          <w:szCs w:val="22"/>
          <w:lang w:eastAsia="en-AU"/>
        </w:rPr>
        <w:t>MSAC noted the applicant’s claim in the pre-MSAC response that ec</w:t>
      </w:r>
      <w:r w:rsidRPr="00735463">
        <w:rPr>
          <w:rFonts w:ascii="Franklin Gothic Book" w:hAnsi="Franklin Gothic Book"/>
          <w:color w:val="000000"/>
          <w:sz w:val="22"/>
          <w:szCs w:val="22"/>
          <w:lang w:eastAsia="en-AU"/>
        </w:rPr>
        <w:t xml:space="preserve">onomic modelling was retested for </w:t>
      </w:r>
      <w:r w:rsidR="00D97D01">
        <w:rPr>
          <w:rFonts w:ascii="Franklin Gothic Book" w:hAnsi="Franklin Gothic Book"/>
          <w:color w:val="000000"/>
          <w:sz w:val="22"/>
          <w:szCs w:val="22"/>
          <w:lang w:eastAsia="en-AU"/>
        </w:rPr>
        <w:t xml:space="preserve">the various concerns </w:t>
      </w:r>
      <w:r w:rsidR="004A653E">
        <w:rPr>
          <w:rFonts w:ascii="Franklin Gothic Book" w:hAnsi="Franklin Gothic Book"/>
          <w:color w:val="000000"/>
          <w:sz w:val="22"/>
          <w:szCs w:val="22"/>
          <w:lang w:eastAsia="en-AU"/>
        </w:rPr>
        <w:t>expressed about the modelling by ESC</w:t>
      </w:r>
      <w:r w:rsidR="00D97D01">
        <w:rPr>
          <w:rFonts w:ascii="Franklin Gothic Book" w:hAnsi="Franklin Gothic Book"/>
          <w:color w:val="000000"/>
          <w:sz w:val="22"/>
          <w:szCs w:val="22"/>
          <w:lang w:eastAsia="en-AU"/>
        </w:rPr>
        <w:t xml:space="preserve"> </w:t>
      </w:r>
      <w:r w:rsidR="00BD55A0">
        <w:rPr>
          <w:rFonts w:ascii="Franklin Gothic Book" w:hAnsi="Franklin Gothic Book"/>
          <w:color w:val="000000"/>
          <w:sz w:val="22"/>
          <w:szCs w:val="22"/>
          <w:lang w:eastAsia="en-AU"/>
        </w:rPr>
        <w:t>(which were</w:t>
      </w:r>
      <w:r w:rsidR="00D97D01">
        <w:rPr>
          <w:rFonts w:ascii="Franklin Gothic Book" w:hAnsi="Franklin Gothic Book"/>
          <w:color w:val="000000"/>
          <w:sz w:val="22"/>
          <w:szCs w:val="22"/>
          <w:lang w:eastAsia="en-AU"/>
        </w:rPr>
        <w:t xml:space="preserve"> reiterated by MSAC</w:t>
      </w:r>
      <w:r w:rsidR="00BD55A0">
        <w:rPr>
          <w:rFonts w:ascii="Franklin Gothic Book" w:hAnsi="Franklin Gothic Book"/>
          <w:color w:val="000000"/>
          <w:sz w:val="22"/>
          <w:szCs w:val="22"/>
          <w:lang w:eastAsia="en-AU"/>
        </w:rPr>
        <w:t>)</w:t>
      </w:r>
      <w:r w:rsidRPr="00735463">
        <w:rPr>
          <w:rFonts w:ascii="Franklin Gothic Book" w:hAnsi="Franklin Gothic Book"/>
          <w:color w:val="000000"/>
          <w:sz w:val="22"/>
          <w:szCs w:val="22"/>
          <w:lang w:eastAsia="en-AU"/>
        </w:rPr>
        <w:t xml:space="preserve"> and the intervention remained dominant</w:t>
      </w:r>
      <w:r>
        <w:rPr>
          <w:rFonts w:ascii="Franklin Gothic Book" w:hAnsi="Franklin Gothic Book"/>
          <w:color w:val="000000"/>
          <w:sz w:val="22"/>
          <w:szCs w:val="22"/>
          <w:lang w:eastAsia="en-AU"/>
        </w:rPr>
        <w:t xml:space="preserve">. </w:t>
      </w:r>
      <w:proofErr w:type="gramStart"/>
      <w:r>
        <w:rPr>
          <w:rFonts w:ascii="Franklin Gothic Book" w:hAnsi="Franklin Gothic Book"/>
          <w:color w:val="000000"/>
          <w:sz w:val="22"/>
          <w:szCs w:val="22"/>
          <w:lang w:eastAsia="en-AU"/>
        </w:rPr>
        <w:t>However</w:t>
      </w:r>
      <w:proofErr w:type="gramEnd"/>
      <w:r>
        <w:rPr>
          <w:rFonts w:ascii="Franklin Gothic Book" w:hAnsi="Franklin Gothic Book"/>
          <w:color w:val="000000"/>
          <w:sz w:val="22"/>
          <w:szCs w:val="22"/>
          <w:lang w:eastAsia="en-AU"/>
        </w:rPr>
        <w:t xml:space="preserve"> MSAC considered that some of these recalculations needed further evaluation</w:t>
      </w:r>
      <w:r w:rsidR="004A653E">
        <w:rPr>
          <w:rFonts w:ascii="Franklin Gothic Book" w:hAnsi="Franklin Gothic Book"/>
          <w:color w:val="000000"/>
          <w:sz w:val="22"/>
          <w:szCs w:val="22"/>
          <w:lang w:eastAsia="en-AU"/>
        </w:rPr>
        <w:t>. For instance</w:t>
      </w:r>
      <w:r w:rsidR="00BD55A0">
        <w:rPr>
          <w:rFonts w:ascii="Franklin Gothic Book" w:hAnsi="Franklin Gothic Book"/>
          <w:color w:val="000000"/>
          <w:sz w:val="22"/>
          <w:szCs w:val="22"/>
          <w:lang w:eastAsia="en-AU"/>
        </w:rPr>
        <w:t>:</w:t>
      </w:r>
    </w:p>
    <w:p w14:paraId="55E2E742" w14:textId="7FE100A0" w:rsidR="004A653E" w:rsidRDefault="00BD55A0" w:rsidP="00F16694">
      <w:pPr>
        <w:pStyle w:val="ListParagraph"/>
        <w:numPr>
          <w:ilvl w:val="0"/>
          <w:numId w:val="36"/>
        </w:numPr>
        <w:spacing w:line="259" w:lineRule="auto"/>
        <w:rPr>
          <w:rFonts w:ascii="Franklin Gothic Book" w:hAnsi="Franklin Gothic Book"/>
          <w:color w:val="000000"/>
          <w:sz w:val="22"/>
          <w:szCs w:val="22"/>
          <w:lang w:eastAsia="en-AU"/>
        </w:rPr>
      </w:pPr>
      <w:r>
        <w:rPr>
          <w:rFonts w:ascii="Franklin Gothic Book" w:hAnsi="Franklin Gothic Book"/>
          <w:color w:val="000000"/>
          <w:sz w:val="22"/>
          <w:szCs w:val="22"/>
          <w:lang w:eastAsia="en-AU"/>
        </w:rPr>
        <w:t>T</w:t>
      </w:r>
      <w:r w:rsidR="004A653E">
        <w:rPr>
          <w:rFonts w:ascii="Franklin Gothic Book" w:hAnsi="Franklin Gothic Book"/>
          <w:color w:val="000000"/>
          <w:sz w:val="22"/>
          <w:szCs w:val="22"/>
          <w:lang w:eastAsia="en-AU"/>
        </w:rPr>
        <w:t>he assumption of a uniform monitoring cost for both risk groups was retested simply by increasing the base case number of anten</w:t>
      </w:r>
      <w:r>
        <w:rPr>
          <w:rFonts w:ascii="Franklin Gothic Book" w:hAnsi="Franklin Gothic Book"/>
          <w:color w:val="000000"/>
          <w:sz w:val="22"/>
          <w:szCs w:val="22"/>
          <w:lang w:eastAsia="en-AU"/>
        </w:rPr>
        <w:t>a</w:t>
      </w:r>
      <w:r w:rsidR="004A653E">
        <w:rPr>
          <w:rFonts w:ascii="Franklin Gothic Book" w:hAnsi="Franklin Gothic Book"/>
          <w:color w:val="000000"/>
          <w:sz w:val="22"/>
          <w:szCs w:val="22"/>
          <w:lang w:eastAsia="en-AU"/>
        </w:rPr>
        <w:t xml:space="preserve">tal attendances </w:t>
      </w:r>
      <w:r w:rsidR="009A3476">
        <w:rPr>
          <w:rFonts w:ascii="Franklin Gothic Book" w:hAnsi="Franklin Gothic Book"/>
          <w:color w:val="000000"/>
          <w:sz w:val="22"/>
          <w:szCs w:val="22"/>
          <w:lang w:eastAsia="en-AU"/>
        </w:rPr>
        <w:t xml:space="preserve">by 1 and 2 additional visits. It </w:t>
      </w:r>
      <w:r>
        <w:rPr>
          <w:rFonts w:ascii="Franklin Gothic Book" w:hAnsi="Franklin Gothic Book"/>
          <w:color w:val="000000"/>
          <w:sz w:val="22"/>
          <w:szCs w:val="22"/>
          <w:lang w:eastAsia="en-AU"/>
        </w:rPr>
        <w:t>wa</w:t>
      </w:r>
      <w:r w:rsidR="009A3476">
        <w:rPr>
          <w:rFonts w:ascii="Franklin Gothic Book" w:hAnsi="Franklin Gothic Book"/>
          <w:color w:val="000000"/>
          <w:sz w:val="22"/>
          <w:szCs w:val="22"/>
          <w:lang w:eastAsia="en-AU"/>
        </w:rPr>
        <w:t>s unclear whether this was clinically sufficient</w:t>
      </w:r>
      <w:r w:rsidR="009F488A">
        <w:rPr>
          <w:rFonts w:ascii="Franklin Gothic Book" w:hAnsi="Franklin Gothic Book"/>
          <w:color w:val="000000"/>
          <w:sz w:val="22"/>
          <w:szCs w:val="22"/>
          <w:lang w:eastAsia="en-AU"/>
        </w:rPr>
        <w:t xml:space="preserve"> to capture the scenario of different monitoring cost for both groups</w:t>
      </w:r>
      <w:r w:rsidR="009A3476">
        <w:rPr>
          <w:rFonts w:ascii="Franklin Gothic Book" w:hAnsi="Franklin Gothic Book"/>
          <w:color w:val="000000"/>
          <w:sz w:val="22"/>
          <w:szCs w:val="22"/>
          <w:lang w:eastAsia="en-AU"/>
        </w:rPr>
        <w:t>.</w:t>
      </w:r>
    </w:p>
    <w:p w14:paraId="04AA6EAF" w14:textId="5A18B59E" w:rsidR="00BA5C48" w:rsidRDefault="00EC479E" w:rsidP="00F16694">
      <w:pPr>
        <w:pStyle w:val="ListParagraph"/>
        <w:numPr>
          <w:ilvl w:val="0"/>
          <w:numId w:val="36"/>
        </w:numPr>
        <w:spacing w:line="259" w:lineRule="auto"/>
        <w:rPr>
          <w:rFonts w:ascii="Franklin Gothic Book" w:hAnsi="Franklin Gothic Book"/>
          <w:color w:val="000000"/>
          <w:sz w:val="22"/>
          <w:szCs w:val="22"/>
          <w:lang w:eastAsia="en-AU"/>
        </w:rPr>
      </w:pPr>
      <w:r>
        <w:rPr>
          <w:rFonts w:ascii="Franklin Gothic Book" w:hAnsi="Franklin Gothic Book"/>
          <w:color w:val="000000"/>
          <w:sz w:val="22"/>
          <w:szCs w:val="22"/>
          <w:lang w:eastAsia="en-AU"/>
        </w:rPr>
        <w:t>No justification was provided for t</w:t>
      </w:r>
      <w:r w:rsidR="00BA5C48">
        <w:rPr>
          <w:rFonts w:ascii="Franklin Gothic Book" w:hAnsi="Franklin Gothic Book"/>
          <w:color w:val="000000"/>
          <w:sz w:val="22"/>
          <w:szCs w:val="22"/>
          <w:lang w:eastAsia="en-AU"/>
        </w:rPr>
        <w:t>he higher use of aspirin assumed in the comparator arm</w:t>
      </w:r>
      <w:r w:rsidR="00BB75DC">
        <w:rPr>
          <w:rFonts w:ascii="Franklin Gothic Book" w:hAnsi="Franklin Gothic Book"/>
          <w:color w:val="000000"/>
          <w:sz w:val="22"/>
          <w:szCs w:val="22"/>
          <w:lang w:eastAsia="en-AU"/>
        </w:rPr>
        <w:t xml:space="preserve"> and the pre-MSAC response did not re-test for a higher use of aspirin in the intervention arm. </w:t>
      </w:r>
    </w:p>
    <w:p w14:paraId="70B042BD" w14:textId="48C569BF" w:rsidR="00C74F1A" w:rsidRDefault="00C74F1A" w:rsidP="00F16694">
      <w:pPr>
        <w:pStyle w:val="ListParagraph"/>
        <w:numPr>
          <w:ilvl w:val="0"/>
          <w:numId w:val="36"/>
        </w:numPr>
        <w:spacing w:line="259" w:lineRule="auto"/>
        <w:rPr>
          <w:rFonts w:ascii="Franklin Gothic Book" w:hAnsi="Franklin Gothic Book"/>
          <w:color w:val="000000"/>
          <w:sz w:val="22"/>
          <w:szCs w:val="22"/>
          <w:lang w:eastAsia="en-AU"/>
        </w:rPr>
      </w:pPr>
      <w:r>
        <w:rPr>
          <w:rFonts w:ascii="Franklin Gothic Book" w:hAnsi="Franklin Gothic Book"/>
          <w:color w:val="000000"/>
          <w:sz w:val="22"/>
          <w:szCs w:val="22"/>
          <w:lang w:eastAsia="en-AU"/>
        </w:rPr>
        <w:t xml:space="preserve">The pre-MSAC response retested using hospitalisation costs </w:t>
      </w:r>
      <w:r w:rsidR="00B523DB">
        <w:rPr>
          <w:rFonts w:ascii="Franklin Gothic Book" w:hAnsi="Franklin Gothic Book"/>
          <w:color w:val="000000"/>
          <w:sz w:val="22"/>
          <w:szCs w:val="22"/>
          <w:lang w:eastAsia="en-AU"/>
        </w:rPr>
        <w:t>from application 1706 but it was unclear whether this new value was added to both arms</w:t>
      </w:r>
      <w:r w:rsidR="00C4173A">
        <w:rPr>
          <w:rFonts w:ascii="Franklin Gothic Book" w:hAnsi="Franklin Gothic Book"/>
          <w:color w:val="000000"/>
          <w:sz w:val="22"/>
          <w:szCs w:val="22"/>
          <w:lang w:eastAsia="en-AU"/>
        </w:rPr>
        <w:t>.</w:t>
      </w:r>
    </w:p>
    <w:p w14:paraId="75757C1E" w14:textId="11371FAF" w:rsidR="000B5E59" w:rsidRDefault="000B5E59" w:rsidP="00F16694">
      <w:pPr>
        <w:pStyle w:val="ListParagraph"/>
        <w:numPr>
          <w:ilvl w:val="0"/>
          <w:numId w:val="36"/>
        </w:numPr>
        <w:spacing w:line="259" w:lineRule="auto"/>
        <w:rPr>
          <w:rFonts w:ascii="Franklin Gothic Book" w:hAnsi="Franklin Gothic Book"/>
          <w:color w:val="000000"/>
          <w:sz w:val="22"/>
          <w:szCs w:val="22"/>
          <w:lang w:eastAsia="en-AU"/>
        </w:rPr>
      </w:pPr>
      <w:r>
        <w:rPr>
          <w:rFonts w:ascii="Franklin Gothic Book" w:hAnsi="Franklin Gothic Book"/>
          <w:color w:val="000000"/>
          <w:sz w:val="22"/>
          <w:szCs w:val="22"/>
          <w:lang w:eastAsia="en-AU"/>
        </w:rPr>
        <w:t xml:space="preserve">The pre-MSAC response </w:t>
      </w:r>
      <w:r w:rsidR="00915E76">
        <w:rPr>
          <w:rFonts w:ascii="Franklin Gothic Book" w:hAnsi="Franklin Gothic Book"/>
          <w:color w:val="000000"/>
          <w:sz w:val="22"/>
          <w:szCs w:val="22"/>
          <w:lang w:eastAsia="en-AU"/>
        </w:rPr>
        <w:t>reported on</w:t>
      </w:r>
      <w:r w:rsidR="00E60F16">
        <w:rPr>
          <w:rFonts w:ascii="Franklin Gothic Book" w:hAnsi="Franklin Gothic Book"/>
          <w:color w:val="000000"/>
          <w:sz w:val="22"/>
          <w:szCs w:val="22"/>
          <w:lang w:eastAsia="en-AU"/>
        </w:rPr>
        <w:t xml:space="preserve"> the results of</w:t>
      </w:r>
      <w:r>
        <w:rPr>
          <w:rFonts w:ascii="Franklin Gothic Book" w:hAnsi="Franklin Gothic Book"/>
          <w:color w:val="000000"/>
          <w:sz w:val="22"/>
          <w:szCs w:val="22"/>
          <w:lang w:eastAsia="en-AU"/>
        </w:rPr>
        <w:t xml:space="preserve"> a ‘conservative scenario’ </w:t>
      </w:r>
      <w:r w:rsidR="00915E76">
        <w:rPr>
          <w:rFonts w:ascii="Franklin Gothic Book" w:hAnsi="Franklin Gothic Book"/>
          <w:color w:val="000000"/>
          <w:sz w:val="22"/>
          <w:szCs w:val="22"/>
          <w:lang w:eastAsia="en-AU"/>
        </w:rPr>
        <w:t xml:space="preserve">analysis based on </w:t>
      </w:r>
      <w:r w:rsidR="00891F58">
        <w:rPr>
          <w:rFonts w:ascii="Franklin Gothic Book" w:hAnsi="Franklin Gothic Book"/>
          <w:color w:val="000000"/>
          <w:sz w:val="22"/>
          <w:szCs w:val="22"/>
          <w:lang w:eastAsia="en-AU"/>
        </w:rPr>
        <w:t xml:space="preserve">the use of adjusted risk </w:t>
      </w:r>
      <w:r w:rsidR="00E60F16">
        <w:rPr>
          <w:rFonts w:ascii="Franklin Gothic Book" w:hAnsi="Franklin Gothic Book"/>
          <w:color w:val="000000"/>
          <w:sz w:val="22"/>
          <w:szCs w:val="22"/>
          <w:lang w:eastAsia="en-AU"/>
        </w:rPr>
        <w:t>ratios to inform the probability of</w:t>
      </w:r>
      <w:r w:rsidR="000574A9">
        <w:rPr>
          <w:rFonts w:ascii="Franklin Gothic Book" w:hAnsi="Franklin Gothic Book"/>
          <w:color w:val="000000"/>
          <w:sz w:val="22"/>
          <w:szCs w:val="22"/>
          <w:lang w:eastAsia="en-AU"/>
        </w:rPr>
        <w:t xml:space="preserve"> PE which still found a dominant ICER. </w:t>
      </w:r>
      <w:proofErr w:type="gramStart"/>
      <w:r w:rsidR="000574A9">
        <w:rPr>
          <w:rFonts w:ascii="Franklin Gothic Book" w:hAnsi="Franklin Gothic Book"/>
          <w:color w:val="000000"/>
          <w:sz w:val="22"/>
          <w:szCs w:val="22"/>
          <w:lang w:eastAsia="en-AU"/>
        </w:rPr>
        <w:t>However</w:t>
      </w:r>
      <w:proofErr w:type="gramEnd"/>
      <w:r w:rsidR="000574A9">
        <w:rPr>
          <w:rFonts w:ascii="Franklin Gothic Book" w:hAnsi="Franklin Gothic Book"/>
          <w:color w:val="000000"/>
          <w:sz w:val="22"/>
          <w:szCs w:val="22"/>
          <w:lang w:eastAsia="en-AU"/>
        </w:rPr>
        <w:t xml:space="preserve"> MSAC considered that the premises of the modelling and the recalculation required validation. </w:t>
      </w:r>
    </w:p>
    <w:p w14:paraId="5BD863B3" w14:textId="1C886713" w:rsidR="00001F0E" w:rsidRDefault="00B44564" w:rsidP="00F16694">
      <w:pPr>
        <w:pStyle w:val="ListParagraph"/>
        <w:numPr>
          <w:ilvl w:val="0"/>
          <w:numId w:val="36"/>
        </w:numPr>
        <w:spacing w:line="259" w:lineRule="auto"/>
        <w:rPr>
          <w:rFonts w:ascii="Franklin Gothic Book" w:hAnsi="Franklin Gothic Book"/>
          <w:color w:val="000000"/>
          <w:sz w:val="22"/>
          <w:szCs w:val="22"/>
          <w:lang w:eastAsia="en-AU"/>
        </w:rPr>
      </w:pPr>
      <w:r>
        <w:rPr>
          <w:rFonts w:ascii="Franklin Gothic Book" w:hAnsi="Franklin Gothic Book"/>
          <w:color w:val="000000"/>
          <w:sz w:val="22"/>
          <w:szCs w:val="22"/>
          <w:lang w:eastAsia="en-AU"/>
        </w:rPr>
        <w:t>On the lack of false positives in the model</w:t>
      </w:r>
      <w:r w:rsidR="00380F83">
        <w:rPr>
          <w:rFonts w:ascii="Franklin Gothic Book" w:hAnsi="Franklin Gothic Book"/>
          <w:color w:val="000000"/>
          <w:sz w:val="22"/>
          <w:szCs w:val="22"/>
          <w:lang w:eastAsia="en-AU"/>
        </w:rPr>
        <w:t>,</w:t>
      </w:r>
      <w:r>
        <w:rPr>
          <w:rFonts w:ascii="Franklin Gothic Book" w:hAnsi="Franklin Gothic Book"/>
          <w:color w:val="000000"/>
          <w:sz w:val="22"/>
          <w:szCs w:val="22"/>
          <w:lang w:eastAsia="en-AU"/>
        </w:rPr>
        <w:t xml:space="preserve"> the pre-MSAC response </w:t>
      </w:r>
      <w:r w:rsidR="002E3D42">
        <w:rPr>
          <w:rFonts w:ascii="Franklin Gothic Book" w:hAnsi="Franklin Gothic Book"/>
          <w:color w:val="000000"/>
          <w:sz w:val="22"/>
          <w:szCs w:val="22"/>
          <w:lang w:eastAsia="en-AU"/>
        </w:rPr>
        <w:t>stated</w:t>
      </w:r>
      <w:r w:rsidR="007B0C09">
        <w:rPr>
          <w:rFonts w:ascii="Franklin Gothic Book" w:hAnsi="Franklin Gothic Book"/>
          <w:color w:val="000000"/>
          <w:sz w:val="22"/>
          <w:szCs w:val="22"/>
          <w:lang w:eastAsia="en-AU"/>
        </w:rPr>
        <w:t xml:space="preserve"> that these false positives were already accounted for in the outcomes captured in Rolnik 2022</w:t>
      </w:r>
      <w:r w:rsidR="002E3D42">
        <w:rPr>
          <w:rFonts w:ascii="Franklin Gothic Book" w:hAnsi="Franklin Gothic Book"/>
          <w:color w:val="000000"/>
          <w:sz w:val="22"/>
          <w:szCs w:val="22"/>
          <w:lang w:eastAsia="en-AU"/>
        </w:rPr>
        <w:t xml:space="preserve">, </w:t>
      </w:r>
      <w:r w:rsidR="007B0C09">
        <w:rPr>
          <w:rFonts w:ascii="Franklin Gothic Book" w:hAnsi="Franklin Gothic Book"/>
          <w:color w:val="000000"/>
          <w:sz w:val="22"/>
          <w:szCs w:val="22"/>
          <w:lang w:eastAsia="en-AU"/>
        </w:rPr>
        <w:t xml:space="preserve">which was the basis for the economic model. MSAC agreed with this in principle but noted </w:t>
      </w:r>
      <w:r w:rsidR="002E3D42">
        <w:rPr>
          <w:rFonts w:ascii="Franklin Gothic Book" w:hAnsi="Franklin Gothic Book"/>
          <w:color w:val="000000"/>
          <w:sz w:val="22"/>
          <w:szCs w:val="22"/>
          <w:lang w:eastAsia="en-AU"/>
        </w:rPr>
        <w:t>its</w:t>
      </w:r>
      <w:r w:rsidR="0001016E">
        <w:rPr>
          <w:rFonts w:ascii="Franklin Gothic Book" w:hAnsi="Franklin Gothic Book"/>
          <w:color w:val="000000"/>
          <w:sz w:val="22"/>
          <w:szCs w:val="22"/>
          <w:lang w:eastAsia="en-AU"/>
        </w:rPr>
        <w:t xml:space="preserve"> concerns </w:t>
      </w:r>
      <w:r w:rsidR="002E3D42">
        <w:rPr>
          <w:rFonts w:ascii="Franklin Gothic Book" w:hAnsi="Franklin Gothic Book"/>
          <w:color w:val="000000"/>
          <w:sz w:val="22"/>
          <w:szCs w:val="22"/>
          <w:lang w:eastAsia="en-AU"/>
        </w:rPr>
        <w:t>as</w:t>
      </w:r>
      <w:r w:rsidR="0001016E">
        <w:rPr>
          <w:rFonts w:ascii="Franklin Gothic Book" w:hAnsi="Franklin Gothic Book"/>
          <w:color w:val="000000"/>
          <w:sz w:val="22"/>
          <w:szCs w:val="22"/>
          <w:lang w:eastAsia="en-AU"/>
        </w:rPr>
        <w:t xml:space="preserve"> above regarding the high risk of bias associated with this study and the use of unadjusted probabilities</w:t>
      </w:r>
      <w:r w:rsidR="00C4173A">
        <w:rPr>
          <w:rFonts w:ascii="Franklin Gothic Book" w:hAnsi="Franklin Gothic Book"/>
          <w:color w:val="000000"/>
          <w:sz w:val="22"/>
          <w:szCs w:val="22"/>
          <w:lang w:eastAsia="en-AU"/>
        </w:rPr>
        <w:t xml:space="preserve"> </w:t>
      </w:r>
      <w:r w:rsidR="002E3D42">
        <w:rPr>
          <w:rFonts w:ascii="Franklin Gothic Book" w:hAnsi="Franklin Gothic Book"/>
          <w:color w:val="000000"/>
          <w:sz w:val="22"/>
          <w:szCs w:val="22"/>
          <w:lang w:eastAsia="en-AU"/>
        </w:rPr>
        <w:t>that</w:t>
      </w:r>
      <w:r w:rsidR="00C4173A">
        <w:rPr>
          <w:rFonts w:ascii="Franklin Gothic Book" w:hAnsi="Franklin Gothic Book"/>
          <w:color w:val="000000"/>
          <w:sz w:val="22"/>
          <w:szCs w:val="22"/>
          <w:lang w:eastAsia="en-AU"/>
        </w:rPr>
        <w:t xml:space="preserve"> rendered </w:t>
      </w:r>
      <w:r w:rsidR="005B7EF5">
        <w:rPr>
          <w:rFonts w:ascii="Franklin Gothic Book" w:hAnsi="Franklin Gothic Book"/>
          <w:color w:val="000000"/>
          <w:sz w:val="22"/>
          <w:szCs w:val="22"/>
          <w:lang w:eastAsia="en-AU"/>
        </w:rPr>
        <w:t>questionable the transition probabilities derived from this study</w:t>
      </w:r>
      <w:r w:rsidR="0001016E">
        <w:rPr>
          <w:rFonts w:ascii="Franklin Gothic Book" w:hAnsi="Franklin Gothic Book"/>
          <w:color w:val="000000"/>
          <w:sz w:val="22"/>
          <w:szCs w:val="22"/>
          <w:lang w:eastAsia="en-AU"/>
        </w:rPr>
        <w:t xml:space="preserve">. </w:t>
      </w:r>
    </w:p>
    <w:p w14:paraId="043E11BC" w14:textId="65AA8471" w:rsidR="004E5FC8" w:rsidRDefault="004E5FC8" w:rsidP="00F16694">
      <w:pPr>
        <w:pStyle w:val="a-TEXT"/>
      </w:pPr>
      <w:r w:rsidRPr="004E5FC8">
        <w:t>MSAC noted the financial and budgetary impacts,</w:t>
      </w:r>
      <w:r w:rsidR="008503C7">
        <w:t xml:space="preserve"> which estimated net costs to the MBS of</w:t>
      </w:r>
      <w:r w:rsidR="006B6F22">
        <w:br/>
      </w:r>
      <w:r w:rsidR="008503C7">
        <w:t xml:space="preserve">$6-7 million </w:t>
      </w:r>
      <w:r w:rsidR="002E3D42">
        <w:t>per</w:t>
      </w:r>
      <w:r w:rsidR="008503C7">
        <w:t xml:space="preserve"> year </w:t>
      </w:r>
      <w:r w:rsidR="004B7B74">
        <w:t>but reduced hospitalisation costs</w:t>
      </w:r>
      <w:r w:rsidR="002E3D42">
        <w:t>,</w:t>
      </w:r>
      <w:r w:rsidR="004B7B74">
        <w:t xml:space="preserve"> which overall led to </w:t>
      </w:r>
      <w:r w:rsidR="002E3D42">
        <w:t xml:space="preserve">a </w:t>
      </w:r>
      <w:r w:rsidR="004B7B74">
        <w:t xml:space="preserve">net saving </w:t>
      </w:r>
      <w:r w:rsidR="008610AD">
        <w:t>to Government</w:t>
      </w:r>
      <w:r w:rsidR="004B7B74">
        <w:t xml:space="preserve"> (</w:t>
      </w:r>
      <w:proofErr w:type="gramStart"/>
      <w:r w:rsidR="008610AD">
        <w:t>i.e.</w:t>
      </w:r>
      <w:proofErr w:type="gramEnd"/>
      <w:r w:rsidR="004B7B74">
        <w:t xml:space="preserve"> combined MBS and State/Territory health e</w:t>
      </w:r>
      <w:r w:rsidR="004B4C6F">
        <w:t>xpenditure) of</w:t>
      </w:r>
      <w:r w:rsidR="008A525E">
        <w:t xml:space="preserve"> approximately</w:t>
      </w:r>
      <w:r w:rsidR="006B6F22">
        <w:br/>
      </w:r>
      <w:r w:rsidR="004B4C6F">
        <w:t>$5 million per year. However</w:t>
      </w:r>
      <w:r w:rsidR="002E3D42">
        <w:t>,</w:t>
      </w:r>
      <w:r w:rsidR="004B4C6F">
        <w:t xml:space="preserve"> MSAC considered that there was considerable uncertainty in these estimates as they were </w:t>
      </w:r>
      <w:r w:rsidRPr="004E5FC8">
        <w:t>most sensitive to</w:t>
      </w:r>
      <w:r w:rsidR="004B4C6F">
        <w:t xml:space="preserve"> the assumed </w:t>
      </w:r>
      <w:r w:rsidRPr="004E5FC8">
        <w:t xml:space="preserve">clinical </w:t>
      </w:r>
      <w:r w:rsidR="004B4C6F">
        <w:t xml:space="preserve">utility of </w:t>
      </w:r>
      <w:r w:rsidR="00526EB0">
        <w:t>prenatal risk assessment in reducing the incidence of PE</w:t>
      </w:r>
      <w:r w:rsidR="008610AD">
        <w:t>,</w:t>
      </w:r>
      <w:r w:rsidR="00526EB0">
        <w:t xml:space="preserve"> which was derived from Rolnik 2022</w:t>
      </w:r>
      <w:r w:rsidR="008610AD">
        <w:t>,</w:t>
      </w:r>
      <w:r w:rsidR="00526EB0">
        <w:t xml:space="preserve"> which had a high risk of bias</w:t>
      </w:r>
      <w:r w:rsidRPr="004E5FC8">
        <w:t xml:space="preserve">. MSAC also agreed with ESC that the costs were underestimated, </w:t>
      </w:r>
      <w:r w:rsidR="008D6D36">
        <w:t>because the</w:t>
      </w:r>
      <w:r w:rsidRPr="004E5FC8">
        <w:t xml:space="preserve"> average cost of </w:t>
      </w:r>
      <w:r w:rsidR="00B57D32">
        <w:t>prenatal risk assessment per patient per pregnancy and the</w:t>
      </w:r>
      <w:r w:rsidRPr="004E5FC8">
        <w:t xml:space="preserve"> average frequency of use </w:t>
      </w:r>
      <w:r w:rsidR="008D6D36">
        <w:t>of prenatal risk assessment</w:t>
      </w:r>
      <w:r w:rsidR="002B252A">
        <w:t xml:space="preserve"> (assumed by the ADAR to only apply to 50% of pregnancies) were underestimated</w:t>
      </w:r>
      <w:r w:rsidR="008610AD">
        <w:t>,</w:t>
      </w:r>
      <w:r w:rsidR="002B252A">
        <w:t xml:space="preserve"> while </w:t>
      </w:r>
      <w:r w:rsidRPr="004E5FC8">
        <w:t>additional monitoring costs</w:t>
      </w:r>
      <w:r w:rsidR="00310FFD">
        <w:t xml:space="preserve"> were not included and provision was not made for use beyond </w:t>
      </w:r>
      <w:r w:rsidR="00287145">
        <w:t xml:space="preserve">the proposed </w:t>
      </w:r>
      <w:r w:rsidR="00310FFD">
        <w:t xml:space="preserve">indication considering that two additional risk calculators are provided </w:t>
      </w:r>
      <w:r w:rsidR="00980A4A">
        <w:t>for use later in pregnancy</w:t>
      </w:r>
      <w:r w:rsidRPr="004E5FC8">
        <w:t xml:space="preserve">. </w:t>
      </w:r>
      <w:r w:rsidR="008610AD">
        <w:t xml:space="preserve">However, as above MSAC also considered that the applicant had over-estimated the </w:t>
      </w:r>
      <w:r w:rsidR="00593381">
        <w:t>cost of adding the required pathology testing.</w:t>
      </w:r>
      <w:r w:rsidRPr="004E5FC8">
        <w:t xml:space="preserve"> Sensitivity analyses showed that cost savings were likely to be much lower than the base case and, in some cases, </w:t>
      </w:r>
      <w:r w:rsidR="00593381">
        <w:t>resulted in</w:t>
      </w:r>
      <w:r w:rsidR="00593381" w:rsidRPr="004E5FC8">
        <w:t xml:space="preserve"> </w:t>
      </w:r>
      <w:r w:rsidRPr="004E5FC8">
        <w:t>a net cost to combined government budgets rather than a net saving.</w:t>
      </w:r>
    </w:p>
    <w:p w14:paraId="4FF157CA" w14:textId="38F37D69" w:rsidR="00113543" w:rsidRDefault="004E5FC8" w:rsidP="002458F8">
      <w:pPr>
        <w:pStyle w:val="a-TEXT"/>
      </w:pPr>
      <w:r w:rsidRPr="004E5FC8">
        <w:t xml:space="preserve">Overall, MSAC did not support MBS listing of structured prenatal risk assessment for preterm PE. Significant issues were the lack of </w:t>
      </w:r>
      <w:r w:rsidR="0015402D">
        <w:t xml:space="preserve">TGA </w:t>
      </w:r>
      <w:r w:rsidR="00593381">
        <w:t>regulation of</w:t>
      </w:r>
      <w:r w:rsidR="0015402D">
        <w:t xml:space="preserve"> the FMF risk calculator, lack of </w:t>
      </w:r>
      <w:r w:rsidRPr="004E5FC8">
        <w:t xml:space="preserve">evidence supporting change in management and improved health outcomes, lack of evidence relating to safety, and </w:t>
      </w:r>
      <w:r w:rsidR="00F04F8E">
        <w:t xml:space="preserve">the </w:t>
      </w:r>
      <w:r w:rsidRPr="004E5FC8">
        <w:t>substantial problems with the economic evaluation</w:t>
      </w:r>
      <w:r w:rsidR="00F04F8E">
        <w:t xml:space="preserve"> </w:t>
      </w:r>
      <w:r w:rsidR="00593381">
        <w:t>that</w:t>
      </w:r>
      <w:r w:rsidR="00836625">
        <w:t xml:space="preserve"> also carried over into the financial</w:t>
      </w:r>
      <w:r w:rsidR="00593381">
        <w:t xml:space="preserve"> assessment</w:t>
      </w:r>
      <w:r w:rsidRPr="004E5FC8">
        <w:t xml:space="preserve">. </w:t>
      </w:r>
    </w:p>
    <w:p w14:paraId="10CB90BD" w14:textId="6743B499" w:rsidR="009706D0" w:rsidRDefault="00E403CC" w:rsidP="002458F8">
      <w:pPr>
        <w:pStyle w:val="a-TEXT"/>
      </w:pPr>
      <w:r>
        <w:lastRenderedPageBreak/>
        <w:t xml:space="preserve">MSAC </w:t>
      </w:r>
      <w:r w:rsidR="00593381">
        <w:t xml:space="preserve">considered that its concerns were </w:t>
      </w:r>
      <w:proofErr w:type="gramStart"/>
      <w:r w:rsidR="00593381">
        <w:t>substantial, and</w:t>
      </w:r>
      <w:proofErr w:type="gramEnd"/>
      <w:r w:rsidR="00593381">
        <w:t xml:space="preserve"> advised</w:t>
      </w:r>
      <w:r>
        <w:t xml:space="preserve"> that</w:t>
      </w:r>
      <w:r w:rsidR="00C96388">
        <w:t xml:space="preserve"> any reconsideration </w:t>
      </w:r>
      <w:r w:rsidR="007739F7">
        <w:t xml:space="preserve">of this application would need to </w:t>
      </w:r>
      <w:r w:rsidR="00593381">
        <w:t xml:space="preserve">comprehensively </w:t>
      </w:r>
      <w:r w:rsidR="007739F7">
        <w:t xml:space="preserve">address </w:t>
      </w:r>
      <w:r w:rsidR="006F76E0">
        <w:t xml:space="preserve">all </w:t>
      </w:r>
      <w:r w:rsidR="00802F9B">
        <w:t xml:space="preserve">concerns </w:t>
      </w:r>
      <w:r w:rsidR="006F76E0">
        <w:t>it</w:t>
      </w:r>
      <w:r w:rsidR="00D8105D">
        <w:t xml:space="preserve"> </w:t>
      </w:r>
      <w:r w:rsidR="00802F9B">
        <w:t>raised</w:t>
      </w:r>
      <w:r w:rsidR="007739F7">
        <w:t xml:space="preserve">. </w:t>
      </w:r>
      <w:r w:rsidR="00F04F8E">
        <w:t>M</w:t>
      </w:r>
      <w:r w:rsidR="00A40F98">
        <w:t xml:space="preserve">SAC </w:t>
      </w:r>
      <w:r w:rsidR="00801325">
        <w:t>emphasised that</w:t>
      </w:r>
      <w:r w:rsidR="00A40F98">
        <w:t xml:space="preserve"> </w:t>
      </w:r>
      <w:r w:rsidR="000E4A5B">
        <w:t xml:space="preserve">a </w:t>
      </w:r>
      <w:r w:rsidR="008F4C70">
        <w:t>significant</w:t>
      </w:r>
      <w:r w:rsidR="00D8105D">
        <w:t>ly</w:t>
      </w:r>
      <w:r w:rsidR="008F4C70">
        <w:t xml:space="preserve"> revis</w:t>
      </w:r>
      <w:r w:rsidR="00D8105D">
        <w:t>ed</w:t>
      </w:r>
      <w:r w:rsidR="00DC080D">
        <w:t xml:space="preserve"> economic model</w:t>
      </w:r>
      <w:r w:rsidR="000E4A5B">
        <w:t xml:space="preserve"> would be required</w:t>
      </w:r>
      <w:r w:rsidR="00DC080D">
        <w:t xml:space="preserve"> to </w:t>
      </w:r>
      <w:r w:rsidR="00D8105D">
        <w:t>sufficiently</w:t>
      </w:r>
      <w:r w:rsidR="00113543">
        <w:t xml:space="preserve"> demonstrate the</w:t>
      </w:r>
      <w:r w:rsidR="00F738C6">
        <w:t xml:space="preserve"> cost-effectiveness</w:t>
      </w:r>
      <w:r w:rsidR="00113543">
        <w:t xml:space="preserve"> o</w:t>
      </w:r>
      <w:r w:rsidR="005D16AC">
        <w:t>f structured prenatal risk assessment</w:t>
      </w:r>
      <w:r w:rsidR="00940952">
        <w:t xml:space="preserve">. </w:t>
      </w:r>
      <w:r w:rsidR="006E30C7">
        <w:t>M</w:t>
      </w:r>
      <w:r w:rsidR="006E5615">
        <w:t xml:space="preserve">SAC </w:t>
      </w:r>
      <w:r w:rsidR="006F76E0">
        <w:t>considered</w:t>
      </w:r>
      <w:r w:rsidR="006E5615">
        <w:t xml:space="preserve"> th</w:t>
      </w:r>
      <w:r w:rsidR="002458F8">
        <w:t xml:space="preserve">at </w:t>
      </w:r>
      <w:r w:rsidR="002458F8" w:rsidRPr="00D82811">
        <w:t>the true positive rate is what drives an improvement in health outcomes (</w:t>
      </w:r>
      <w:proofErr w:type="gramStart"/>
      <w:r w:rsidR="002458F8" w:rsidRPr="00D82811">
        <w:t>i.e.</w:t>
      </w:r>
      <w:proofErr w:type="gramEnd"/>
      <w:r w:rsidR="002458F8" w:rsidRPr="00D82811">
        <w:t xml:space="preserve"> detecting incrementally more true positive patients at high risk of preterm PE)</w:t>
      </w:r>
      <w:r w:rsidR="006F76E0">
        <w:t>,</w:t>
      </w:r>
      <w:r w:rsidR="002458F8" w:rsidRPr="00D82811">
        <w:t xml:space="preserve"> yet this is not aligned with the greater relative strength of structured prenatal risk assessment</w:t>
      </w:r>
      <w:r w:rsidR="00D8105D">
        <w:t>,</w:t>
      </w:r>
      <w:r w:rsidR="002458F8" w:rsidRPr="00D82811">
        <w:t xml:space="preserve"> which was in its high NPV relative to the comparator. MSAC therefore considered whether the value of prenatal risk assessment could be better demonstrated as an additional test </w:t>
      </w:r>
      <w:r w:rsidR="00D8105D">
        <w:t>for</w:t>
      </w:r>
      <w:r w:rsidR="002458F8" w:rsidRPr="00D82811">
        <w:t xml:space="preserve"> those found to be high risk by the comparator </w:t>
      </w:r>
      <w:proofErr w:type="gramStart"/>
      <w:r w:rsidR="002458F8" w:rsidRPr="00D82811">
        <w:t>i.e.</w:t>
      </w:r>
      <w:proofErr w:type="gramEnd"/>
      <w:r w:rsidR="002458F8" w:rsidRPr="00D82811">
        <w:t xml:space="preserve"> for ruling out those patients </w:t>
      </w:r>
      <w:r w:rsidR="00D8105D">
        <w:t>found through standard of care risk assessment to</w:t>
      </w:r>
      <w:r w:rsidR="002458F8" w:rsidRPr="00D82811">
        <w:t xml:space="preserve"> be at high risk</w:t>
      </w:r>
      <w:r w:rsidR="00D8105D">
        <w:t xml:space="preserve"> of preterm PE</w:t>
      </w:r>
      <w:r w:rsidR="002458F8" w:rsidRPr="00D82811">
        <w:t>.</w:t>
      </w:r>
      <w:r w:rsidR="00BD1469">
        <w:t xml:space="preserve"> MSAC noted that this alternative approach would also better align with the applicant’s claim </w:t>
      </w:r>
      <w:r w:rsidR="00D51539">
        <w:t xml:space="preserve">of less rather than more aspirin use in the intervention arm than the comparator </w:t>
      </w:r>
      <w:proofErr w:type="gramStart"/>
      <w:r w:rsidR="00D51539">
        <w:t>arm</w:t>
      </w:r>
      <w:r w:rsidR="00D8105D">
        <w:t>,</w:t>
      </w:r>
      <w:r w:rsidR="002E1FFD">
        <w:t xml:space="preserve"> but</w:t>
      </w:r>
      <w:proofErr w:type="gramEnd"/>
      <w:r w:rsidR="002E1FFD">
        <w:t xml:space="preserve"> </w:t>
      </w:r>
      <w:r w:rsidR="0049584B">
        <w:t xml:space="preserve">might also suggest that </w:t>
      </w:r>
      <w:r w:rsidR="00F738C6">
        <w:t xml:space="preserve">a cost effectiveness analysis was more appropriate than a cost utility analysis. </w:t>
      </w:r>
    </w:p>
    <w:p w14:paraId="40A29BD8" w14:textId="2F001DD8" w:rsidR="0042436F" w:rsidRPr="004E5FC8" w:rsidRDefault="003C6D2C" w:rsidP="004E5FC8">
      <w:pPr>
        <w:spacing w:line="276" w:lineRule="auto"/>
        <w:rPr>
          <w:rFonts w:ascii="Franklin Gothic Book" w:hAnsi="Franklin Gothic Book"/>
          <w:sz w:val="22"/>
          <w:szCs w:val="22"/>
        </w:rPr>
      </w:pPr>
      <w:r w:rsidRPr="004E5FC8">
        <w:rPr>
          <w:rFonts w:ascii="Franklin Gothic Book" w:hAnsi="Franklin Gothic Book"/>
          <w:sz w:val="22"/>
          <w:szCs w:val="22"/>
        </w:rPr>
        <w:t>MSAC noted the</w:t>
      </w:r>
      <w:r>
        <w:rPr>
          <w:rFonts w:ascii="Franklin Gothic Book" w:hAnsi="Franklin Gothic Book"/>
          <w:sz w:val="22"/>
          <w:szCs w:val="22"/>
        </w:rPr>
        <w:t xml:space="preserve"> applicant had indicated that the </w:t>
      </w:r>
      <w:r w:rsidRPr="004E5FC8">
        <w:rPr>
          <w:rFonts w:ascii="Franklin Gothic Book" w:hAnsi="Franklin Gothic Book"/>
          <w:sz w:val="22"/>
          <w:szCs w:val="22"/>
        </w:rPr>
        <w:t xml:space="preserve">Royal Australian and New Zealand College of Obstetricians and Gynaecologists (RANZCOG) </w:t>
      </w:r>
      <w:r>
        <w:rPr>
          <w:rFonts w:ascii="Franklin Gothic Book" w:hAnsi="Franklin Gothic Book"/>
          <w:sz w:val="22"/>
          <w:szCs w:val="22"/>
        </w:rPr>
        <w:t xml:space="preserve">had advised it is planning to update its </w:t>
      </w:r>
      <w:r w:rsidRPr="004E5FC8">
        <w:rPr>
          <w:rFonts w:ascii="Franklin Gothic Book" w:hAnsi="Franklin Gothic Book"/>
          <w:sz w:val="22"/>
          <w:szCs w:val="22"/>
        </w:rPr>
        <w:t xml:space="preserve">guidelines relating to PE </w:t>
      </w:r>
      <w:r>
        <w:rPr>
          <w:rFonts w:ascii="Franklin Gothic Book" w:hAnsi="Franklin Gothic Book"/>
          <w:sz w:val="22"/>
          <w:szCs w:val="22"/>
        </w:rPr>
        <w:t>(</w:t>
      </w:r>
      <w:r w:rsidRPr="004E5FC8">
        <w:rPr>
          <w:rFonts w:ascii="Franklin Gothic Book" w:hAnsi="Franklin Gothic Book"/>
          <w:sz w:val="22"/>
          <w:szCs w:val="22"/>
        </w:rPr>
        <w:t>last updated in 2014</w:t>
      </w:r>
      <w:r>
        <w:rPr>
          <w:rFonts w:ascii="Franklin Gothic Book" w:hAnsi="Franklin Gothic Book"/>
          <w:sz w:val="22"/>
          <w:szCs w:val="22"/>
        </w:rPr>
        <w:t>) to include a recommendation with respect to the FMF risk calculator</w:t>
      </w:r>
      <w:r w:rsidRPr="004E5FC8">
        <w:rPr>
          <w:rFonts w:ascii="Franklin Gothic Book" w:hAnsi="Franklin Gothic Book"/>
          <w:sz w:val="22"/>
          <w:szCs w:val="22"/>
        </w:rPr>
        <w:t xml:space="preserve">. MSAC </w:t>
      </w:r>
      <w:r>
        <w:rPr>
          <w:rFonts w:ascii="Franklin Gothic Book" w:hAnsi="Franklin Gothic Book"/>
          <w:sz w:val="22"/>
          <w:szCs w:val="22"/>
        </w:rPr>
        <w:t>considered that</w:t>
      </w:r>
      <w:r w:rsidRPr="004E5FC8">
        <w:rPr>
          <w:rFonts w:ascii="Franklin Gothic Book" w:hAnsi="Franklin Gothic Book"/>
          <w:sz w:val="22"/>
          <w:szCs w:val="22"/>
        </w:rPr>
        <w:t xml:space="preserve"> RANZCOG</w:t>
      </w:r>
      <w:r>
        <w:rPr>
          <w:rFonts w:ascii="Franklin Gothic Book" w:hAnsi="Franklin Gothic Book"/>
          <w:sz w:val="22"/>
          <w:szCs w:val="22"/>
        </w:rPr>
        <w:t xml:space="preserve"> should be contacted</w:t>
      </w:r>
      <w:r w:rsidRPr="004E5FC8">
        <w:rPr>
          <w:rFonts w:ascii="Franklin Gothic Book" w:hAnsi="Franklin Gothic Book"/>
          <w:sz w:val="22"/>
          <w:szCs w:val="22"/>
        </w:rPr>
        <w:t xml:space="preserve"> to </w:t>
      </w:r>
      <w:r>
        <w:rPr>
          <w:rFonts w:ascii="Franklin Gothic Book" w:hAnsi="Franklin Gothic Book"/>
          <w:sz w:val="22"/>
          <w:szCs w:val="22"/>
        </w:rPr>
        <w:t>confirm these update plans and the timing of the release of the updated guidelines</w:t>
      </w:r>
      <w:r w:rsidR="00400A2A">
        <w:rPr>
          <w:rFonts w:ascii="Franklin Gothic Book" w:hAnsi="Franklin Gothic Book"/>
          <w:sz w:val="22"/>
          <w:szCs w:val="22"/>
        </w:rPr>
        <w:t xml:space="preserve"> and noted that </w:t>
      </w:r>
      <w:r w:rsidR="00B438F1">
        <w:rPr>
          <w:rFonts w:ascii="Franklin Gothic Book" w:hAnsi="Franklin Gothic Book"/>
          <w:sz w:val="22"/>
          <w:szCs w:val="22"/>
        </w:rPr>
        <w:t>these updated guidelines</w:t>
      </w:r>
      <w:r w:rsidR="00550378">
        <w:rPr>
          <w:rFonts w:ascii="Franklin Gothic Book" w:hAnsi="Franklin Gothic Book"/>
          <w:sz w:val="22"/>
          <w:szCs w:val="22"/>
        </w:rPr>
        <w:t xml:space="preserve"> </w:t>
      </w:r>
      <w:r w:rsidR="00B438F1">
        <w:rPr>
          <w:rFonts w:ascii="Franklin Gothic Book" w:hAnsi="Franklin Gothic Book"/>
          <w:sz w:val="22"/>
          <w:szCs w:val="22"/>
        </w:rPr>
        <w:t xml:space="preserve">could be potentially relevant to any reconsideration </w:t>
      </w:r>
      <w:r w:rsidR="00C47D53">
        <w:rPr>
          <w:rFonts w:ascii="Franklin Gothic Book" w:hAnsi="Franklin Gothic Book"/>
          <w:sz w:val="22"/>
          <w:szCs w:val="22"/>
        </w:rPr>
        <w:t>of this application</w:t>
      </w:r>
      <w:r w:rsidRPr="004E5FC8">
        <w:rPr>
          <w:rFonts w:ascii="Franklin Gothic Book" w:hAnsi="Franklin Gothic Book"/>
          <w:sz w:val="22"/>
          <w:szCs w:val="22"/>
        </w:rPr>
        <w:t>.</w:t>
      </w:r>
    </w:p>
    <w:p w14:paraId="6710B69D" w14:textId="73CB29FE" w:rsidR="00772829" w:rsidRPr="00CE28E3" w:rsidRDefault="00971DBF" w:rsidP="002A18BE">
      <w:pPr>
        <w:pStyle w:val="Heading2"/>
        <w:numPr>
          <w:ilvl w:val="0"/>
          <w:numId w:val="0"/>
        </w:numPr>
      </w:pPr>
      <w:bookmarkStart w:id="3" w:name="_Toc69491416"/>
      <w:bookmarkEnd w:id="2"/>
      <w:r>
        <w:t>4</w:t>
      </w:r>
      <w:r w:rsidR="00C36633">
        <w:t>.</w:t>
      </w:r>
      <w:r w:rsidR="00C36633">
        <w:tab/>
      </w:r>
      <w:r w:rsidR="00772829" w:rsidRPr="00CE28E3">
        <w:t>Background</w:t>
      </w:r>
      <w:bookmarkEnd w:id="3"/>
    </w:p>
    <w:p w14:paraId="4C6C1AE0" w14:textId="3D0106AD" w:rsidR="008F7733" w:rsidRPr="008F7733" w:rsidRDefault="007A4AFE" w:rsidP="008F7733">
      <w:pPr>
        <w:pStyle w:val="a-TEXT"/>
        <w:rPr>
          <w:color w:val="000000" w:themeColor="text1"/>
        </w:rPr>
      </w:pPr>
      <w:bookmarkStart w:id="4" w:name="_Hlk69734494"/>
      <w:r>
        <w:rPr>
          <w:color w:val="000000" w:themeColor="text1"/>
        </w:rPr>
        <w:t>MSAC</w:t>
      </w:r>
      <w:r w:rsidR="007C16E1" w:rsidRPr="008F7733">
        <w:rPr>
          <w:color w:val="000000" w:themeColor="text1"/>
        </w:rPr>
        <w:t xml:space="preserve"> </w:t>
      </w:r>
      <w:r w:rsidR="008A6FF9">
        <w:rPr>
          <w:color w:val="000000" w:themeColor="text1"/>
        </w:rPr>
        <w:t xml:space="preserve">has not previously considered </w:t>
      </w:r>
      <w:r w:rsidR="008F7733" w:rsidRPr="008F7733">
        <w:rPr>
          <w:color w:val="000000" w:themeColor="text1"/>
        </w:rPr>
        <w:t>structured prenatal risk assessment for preterm preeclampsia</w:t>
      </w:r>
      <w:r w:rsidR="008A6FF9">
        <w:rPr>
          <w:color w:val="000000" w:themeColor="text1"/>
        </w:rPr>
        <w:t xml:space="preserve"> in</w:t>
      </w:r>
      <w:r w:rsidR="0064344F">
        <w:rPr>
          <w:color w:val="000000" w:themeColor="text1"/>
        </w:rPr>
        <w:t xml:space="preserve"> pregnant persons </w:t>
      </w:r>
      <w:r w:rsidR="008A6FF9" w:rsidRPr="00E02451">
        <w:t>at 11</w:t>
      </w:r>
      <w:r w:rsidR="008A6FF9" w:rsidRPr="00F1613A">
        <w:rPr>
          <w:vertAlign w:val="superscript"/>
        </w:rPr>
        <w:t>+0</w:t>
      </w:r>
      <w:r w:rsidR="008A6FF9" w:rsidRPr="00E02451">
        <w:t xml:space="preserve"> to 13</w:t>
      </w:r>
      <w:r w:rsidR="008A6FF9" w:rsidRPr="00F1613A">
        <w:rPr>
          <w:vertAlign w:val="superscript"/>
        </w:rPr>
        <w:t>+6</w:t>
      </w:r>
      <w:r w:rsidR="008A6FF9" w:rsidRPr="00E02451">
        <w:t xml:space="preserve"> weeks gestation</w:t>
      </w:r>
      <w:r w:rsidR="008F7733" w:rsidRPr="008F7733">
        <w:rPr>
          <w:color w:val="000000" w:themeColor="text1"/>
        </w:rPr>
        <w:t>.</w:t>
      </w:r>
    </w:p>
    <w:p w14:paraId="5CB6F779" w14:textId="6B69E6F9" w:rsidR="00E87315" w:rsidRDefault="00E87315" w:rsidP="008F7733">
      <w:pPr>
        <w:pStyle w:val="a-TEXT"/>
      </w:pPr>
      <w:r w:rsidRPr="00E41AA8">
        <w:t xml:space="preserve">The proposed intervention is </w:t>
      </w:r>
      <w:r w:rsidR="00C346B9">
        <w:t xml:space="preserve">the </w:t>
      </w:r>
      <w:proofErr w:type="spellStart"/>
      <w:r w:rsidR="00C346B9">
        <w:t>Fetal</w:t>
      </w:r>
      <w:proofErr w:type="spellEnd"/>
      <w:r w:rsidR="00C346B9">
        <w:t xml:space="preserve"> Medicine Foundation</w:t>
      </w:r>
      <w:r w:rsidRPr="00E41AA8">
        <w:t xml:space="preserve"> </w:t>
      </w:r>
      <w:r w:rsidR="00AF235A">
        <w:t xml:space="preserve">(FMF) </w:t>
      </w:r>
      <w:r w:rsidRPr="00E41AA8">
        <w:t xml:space="preserve">risk assessment algorithm </w:t>
      </w:r>
      <w:r w:rsidR="008803F2">
        <w:t>(“FMF risk calculator”</w:t>
      </w:r>
      <w:r w:rsidR="00150C45">
        <w:t xml:space="preserve"> or “FMF risk algorithm”</w:t>
      </w:r>
      <w:r w:rsidR="008803F2">
        <w:t xml:space="preserve"> henceforth) </w:t>
      </w:r>
      <w:r w:rsidRPr="00E41AA8">
        <w:t xml:space="preserve">used to </w:t>
      </w:r>
      <w:r w:rsidR="004864D8">
        <w:t>assess risk of</w:t>
      </w:r>
      <w:r w:rsidRPr="00E41AA8">
        <w:t xml:space="preserve"> preterm preeclampsia in asymptomatic pregnant </w:t>
      </w:r>
      <w:r w:rsidR="0064344F">
        <w:t>persons</w:t>
      </w:r>
      <w:r w:rsidRPr="00E41AA8">
        <w:t xml:space="preserve"> </w:t>
      </w:r>
      <w:r w:rsidRPr="00E02451">
        <w:t>at 11</w:t>
      </w:r>
      <w:r w:rsidRPr="00F1613A">
        <w:rPr>
          <w:vertAlign w:val="superscript"/>
        </w:rPr>
        <w:t>+0</w:t>
      </w:r>
      <w:r w:rsidRPr="00E02451">
        <w:t xml:space="preserve"> to 13</w:t>
      </w:r>
      <w:r w:rsidRPr="00F1613A">
        <w:rPr>
          <w:vertAlign w:val="superscript"/>
        </w:rPr>
        <w:t>+6</w:t>
      </w:r>
      <w:r w:rsidRPr="00E41AA8">
        <w:t xml:space="preserve"> gestation</w:t>
      </w:r>
      <w:r w:rsidR="00483DBB">
        <w:t>. This is</w:t>
      </w:r>
      <w:r w:rsidRPr="00E41AA8">
        <w:t xml:space="preserve"> before signs and symptoms of preeclampsia develop (</w:t>
      </w:r>
      <w:r w:rsidR="00483DBB">
        <w:t>typically</w:t>
      </w:r>
      <w:r w:rsidRPr="00E41AA8">
        <w:t xml:space="preserve"> after 20 weeks).</w:t>
      </w:r>
      <w:r w:rsidR="00502999">
        <w:t xml:space="preserve"> </w:t>
      </w:r>
    </w:p>
    <w:p w14:paraId="4AE596A3" w14:textId="173D56A9" w:rsidR="009F743B" w:rsidRDefault="009F743B" w:rsidP="008F7733">
      <w:pPr>
        <w:pStyle w:val="a-TEXT"/>
      </w:pPr>
      <w:r>
        <w:t xml:space="preserve">The </w:t>
      </w:r>
      <w:r w:rsidR="008803F2">
        <w:t xml:space="preserve">proposed </w:t>
      </w:r>
      <w:r>
        <w:t xml:space="preserve">FMF risk calculator uses the following inputs to create a </w:t>
      </w:r>
      <w:r w:rsidR="005E5617" w:rsidRPr="00E41AA8">
        <w:t xml:space="preserve">risk </w:t>
      </w:r>
      <w:r>
        <w:t>score:</w:t>
      </w:r>
    </w:p>
    <w:p w14:paraId="4EAC65E2" w14:textId="77777777" w:rsidR="007B2A32" w:rsidRPr="00C067E5" w:rsidRDefault="007B2A32" w:rsidP="002D4ECD">
      <w:pPr>
        <w:pStyle w:val="a-TEXT"/>
        <w:numPr>
          <w:ilvl w:val="0"/>
          <w:numId w:val="12"/>
        </w:numPr>
        <w:spacing w:after="0"/>
      </w:pPr>
      <w:r w:rsidRPr="00C067E5">
        <w:t>Medical history (specific characteristics)</w:t>
      </w:r>
    </w:p>
    <w:p w14:paraId="46CD7707" w14:textId="77777777" w:rsidR="007B2A32" w:rsidRPr="00C067E5" w:rsidRDefault="007B2A32" w:rsidP="002D4ECD">
      <w:pPr>
        <w:pStyle w:val="a-TEXT"/>
        <w:numPr>
          <w:ilvl w:val="0"/>
          <w:numId w:val="12"/>
        </w:numPr>
        <w:spacing w:before="0" w:after="0"/>
      </w:pPr>
      <w:r w:rsidRPr="00C067E5">
        <w:t>Maternal Mean Arterial Pressure (MAP)</w:t>
      </w:r>
    </w:p>
    <w:p w14:paraId="535C1EE9" w14:textId="77777777" w:rsidR="007B2A32" w:rsidRPr="00C067E5" w:rsidRDefault="007B2A32" w:rsidP="002D4ECD">
      <w:pPr>
        <w:pStyle w:val="a-TEXT"/>
        <w:numPr>
          <w:ilvl w:val="0"/>
          <w:numId w:val="12"/>
        </w:numPr>
        <w:spacing w:before="0" w:after="0"/>
      </w:pPr>
      <w:r w:rsidRPr="00C067E5">
        <w:t>Biochemical measurement of maternal serum concentration of Placental Growth Factor (</w:t>
      </w:r>
      <w:proofErr w:type="spellStart"/>
      <w:r w:rsidRPr="00C067E5">
        <w:t>PlGF</w:t>
      </w:r>
      <w:proofErr w:type="spellEnd"/>
      <w:r w:rsidRPr="00C067E5">
        <w:t>)</w:t>
      </w:r>
    </w:p>
    <w:p w14:paraId="101AA28B" w14:textId="064144BA" w:rsidR="007B2A32" w:rsidRPr="00C067E5" w:rsidRDefault="007B2A32" w:rsidP="002D4ECD">
      <w:pPr>
        <w:pStyle w:val="a-TEXT"/>
        <w:numPr>
          <w:ilvl w:val="0"/>
          <w:numId w:val="12"/>
        </w:numPr>
        <w:spacing w:before="0" w:after="0"/>
      </w:pPr>
      <w:r w:rsidRPr="00C067E5">
        <w:t xml:space="preserve">Ultrasound assessment of uterine perfusion (Doppler measurement of uterine artery </w:t>
      </w:r>
      <w:proofErr w:type="spellStart"/>
      <w:r w:rsidRPr="00C067E5">
        <w:t>pulsatility</w:t>
      </w:r>
      <w:proofErr w:type="spellEnd"/>
      <w:r w:rsidRPr="00C067E5">
        <w:t xml:space="preserve"> index</w:t>
      </w:r>
      <w:r w:rsidR="00D878E7">
        <w:t xml:space="preserve"> (</w:t>
      </w:r>
      <w:proofErr w:type="spellStart"/>
      <w:r w:rsidR="00D878E7">
        <w:t>UtA</w:t>
      </w:r>
      <w:proofErr w:type="spellEnd"/>
      <w:r w:rsidR="00D878E7">
        <w:t>-Pl)</w:t>
      </w:r>
      <w:r w:rsidRPr="00C067E5">
        <w:t>)</w:t>
      </w:r>
    </w:p>
    <w:p w14:paraId="120EDBE7" w14:textId="3A441A0F" w:rsidR="56751E1F" w:rsidRDefault="009F743B" w:rsidP="56751E1F">
      <w:pPr>
        <w:pStyle w:val="a-TEXT"/>
      </w:pPr>
      <w:r>
        <w:t>A</w:t>
      </w:r>
      <w:r w:rsidR="00D81447">
        <w:t>n outputted</w:t>
      </w:r>
      <w:r>
        <w:t xml:space="preserve"> risk score</w:t>
      </w:r>
      <w:r w:rsidR="008C339F">
        <w:t xml:space="preserve"> is given as a percentage</w:t>
      </w:r>
      <w:r w:rsidR="00D464E2">
        <w:t xml:space="preserve">; </w:t>
      </w:r>
      <w:r w:rsidR="00E76839">
        <w:t>a risk</w:t>
      </w:r>
      <w:r w:rsidR="00042F66">
        <w:t xml:space="preserve"> of</w:t>
      </w:r>
      <w:r w:rsidDel="00D464E2">
        <w:t xml:space="preserve"> </w:t>
      </w:r>
      <w:r w:rsidR="005E5617" w:rsidRPr="00E41AA8">
        <w:t>1 in 100 (1</w:t>
      </w:r>
      <w:r w:rsidR="00D81447">
        <w:t>.0</w:t>
      </w:r>
      <w:r w:rsidR="005E5617" w:rsidRPr="00E41AA8">
        <w:t xml:space="preserve">%) </w:t>
      </w:r>
      <w:r>
        <w:t xml:space="preserve">is </w:t>
      </w:r>
      <w:r w:rsidR="005E5617" w:rsidRPr="00E41AA8">
        <w:t xml:space="preserve">considered </w:t>
      </w:r>
      <w:r>
        <w:t>“</w:t>
      </w:r>
      <w:r w:rsidR="005E5617" w:rsidRPr="00E41AA8">
        <w:t>high risk</w:t>
      </w:r>
      <w:r w:rsidR="0082664C">
        <w:t>”</w:t>
      </w:r>
      <w:r w:rsidR="7835918A">
        <w:t xml:space="preserve"> and directs the use of </w:t>
      </w:r>
      <w:r w:rsidR="7835918A" w:rsidRPr="0007680A">
        <w:rPr>
          <w:u w:val="single"/>
        </w:rPr>
        <w:t>prophylactic</w:t>
      </w:r>
      <w:r w:rsidR="7835918A">
        <w:t xml:space="preserve"> aspirin</w:t>
      </w:r>
      <w:r w:rsidR="7516A7F0">
        <w:t xml:space="preserve"> to prevent the onset of pre</w:t>
      </w:r>
      <w:r w:rsidR="00C84CA1">
        <w:t>e</w:t>
      </w:r>
      <w:r w:rsidR="7516A7F0">
        <w:t>clampsia</w:t>
      </w:r>
      <w:bookmarkStart w:id="5" w:name="_Ref144310629"/>
      <w:r w:rsidR="00383A71">
        <w:rPr>
          <w:rStyle w:val="FootnoteReference"/>
        </w:rPr>
        <w:footnoteReference w:id="3"/>
      </w:r>
      <w:bookmarkEnd w:id="5"/>
      <w:r w:rsidR="0082664C">
        <w:t>.</w:t>
      </w:r>
    </w:p>
    <w:p w14:paraId="24358783" w14:textId="3943CAF3" w:rsidR="00881AB3" w:rsidRDefault="00AC76BF" w:rsidP="00881AB3">
      <w:pPr>
        <w:pStyle w:val="a-TEXT"/>
      </w:pPr>
      <w:r>
        <w:t>The c</w:t>
      </w:r>
      <w:r w:rsidRPr="00774AD0">
        <w:t xml:space="preserve">urrent standard of care involves </w:t>
      </w:r>
      <w:r>
        <w:t xml:space="preserve">risk </w:t>
      </w:r>
      <w:r w:rsidRPr="00774AD0">
        <w:t>assessment through clinical examination and medical history</w:t>
      </w:r>
      <w:r>
        <w:t xml:space="preserve">. The applicant has stated that there are currently </w:t>
      </w:r>
      <w:r w:rsidRPr="00774AD0">
        <w:t>no formal timelines</w:t>
      </w:r>
      <w:r>
        <w:t xml:space="preserve">, </w:t>
      </w:r>
      <w:r w:rsidRPr="00774AD0">
        <w:t>but typically</w:t>
      </w:r>
      <w:r>
        <w:t xml:space="preserve"> assessment is </w:t>
      </w:r>
      <w:r w:rsidRPr="00774AD0">
        <w:t>performed between 8- and 20-weeks’ gestation</w:t>
      </w:r>
      <w:r>
        <w:t>.</w:t>
      </w:r>
      <w:r w:rsidR="008803F2">
        <w:t xml:space="preserve"> </w:t>
      </w:r>
      <w:r w:rsidR="0086331C">
        <w:t xml:space="preserve">The FMF </w:t>
      </w:r>
      <w:r w:rsidR="0032212C">
        <w:t>provide</w:t>
      </w:r>
      <w:r w:rsidR="3004A4E3">
        <w:t>s</w:t>
      </w:r>
      <w:r w:rsidR="0032212C">
        <w:t xml:space="preserve"> two </w:t>
      </w:r>
      <w:r w:rsidR="443580F7">
        <w:t>additional</w:t>
      </w:r>
      <w:r w:rsidR="0032212C">
        <w:t xml:space="preserve"> risk calculators for </w:t>
      </w:r>
      <w:r w:rsidR="50A01E61">
        <w:t>use</w:t>
      </w:r>
      <w:r w:rsidR="0032212C">
        <w:t xml:space="preserve"> later in pregnancy (</w:t>
      </w:r>
      <w:r w:rsidR="00F56D38">
        <w:t>testing</w:t>
      </w:r>
      <w:r w:rsidR="0032212C">
        <w:t xml:space="preserve"> at 19</w:t>
      </w:r>
      <w:r w:rsidR="0032212C" w:rsidRPr="00931B54">
        <w:rPr>
          <w:vertAlign w:val="superscript"/>
        </w:rPr>
        <w:t>+0</w:t>
      </w:r>
      <w:r w:rsidR="0032212C">
        <w:t> to 24</w:t>
      </w:r>
      <w:r w:rsidR="0032212C" w:rsidRPr="00931B54">
        <w:rPr>
          <w:vertAlign w:val="superscript"/>
        </w:rPr>
        <w:t>+6</w:t>
      </w:r>
      <w:r w:rsidR="0032212C">
        <w:t xml:space="preserve"> weeks </w:t>
      </w:r>
      <w:r w:rsidR="00931B54">
        <w:t>a</w:t>
      </w:r>
      <w:r w:rsidR="0032212C">
        <w:t>nd 30</w:t>
      </w:r>
      <w:r w:rsidR="0032212C" w:rsidRPr="00931B54">
        <w:rPr>
          <w:vertAlign w:val="superscript"/>
        </w:rPr>
        <w:t>+0</w:t>
      </w:r>
      <w:r w:rsidR="0032212C">
        <w:t> to 37</w:t>
      </w:r>
      <w:r w:rsidR="0032212C" w:rsidRPr="00931B54">
        <w:rPr>
          <w:vertAlign w:val="superscript"/>
        </w:rPr>
        <w:t>+6 </w:t>
      </w:r>
      <w:r w:rsidR="0032212C">
        <w:t>weeks</w:t>
      </w:r>
      <w:r w:rsidR="00931B54">
        <w:t xml:space="preserve">). These later </w:t>
      </w:r>
      <w:r w:rsidR="00A55EAA">
        <w:t>gestational ages we</w:t>
      </w:r>
      <w:r w:rsidR="005C0EA1">
        <w:t xml:space="preserve">re not part of this </w:t>
      </w:r>
      <w:r w:rsidR="00FF5C3C">
        <w:t>assessment and may</w:t>
      </w:r>
      <w:r w:rsidR="005C0EA1">
        <w:t xml:space="preserve"> pose a </w:t>
      </w:r>
      <w:r w:rsidR="00EE0402">
        <w:t xml:space="preserve">leakage risk for </w:t>
      </w:r>
      <w:r w:rsidR="00FF5C3C">
        <w:t>testing PIGF.</w:t>
      </w:r>
      <w:r w:rsidR="008803F2">
        <w:t xml:space="preserve"> </w:t>
      </w:r>
      <w:r w:rsidR="00B83565">
        <w:t xml:space="preserve">There are also other </w:t>
      </w:r>
      <w:r w:rsidR="00A46E4D">
        <w:t xml:space="preserve">risk </w:t>
      </w:r>
      <w:r w:rsidR="00B83565">
        <w:t>p</w:t>
      </w:r>
      <w:r w:rsidRPr="00774AD0">
        <w:t>rediction algorithms which are based predominantly on patient characteristics,</w:t>
      </w:r>
      <w:r>
        <w:t xml:space="preserve"> </w:t>
      </w:r>
      <w:r w:rsidRPr="00774AD0">
        <w:t>medical and obstetric history alone</w:t>
      </w:r>
      <w:r w:rsidR="00885200">
        <w:t xml:space="preserve"> (</w:t>
      </w:r>
      <w:r w:rsidRPr="001E4F36">
        <w:t xml:space="preserve">National Institute for Health and Care </w:t>
      </w:r>
      <w:r w:rsidRPr="001E4F36">
        <w:lastRenderedPageBreak/>
        <w:t>Excellence (NICE) and</w:t>
      </w:r>
      <w:r w:rsidR="00885200">
        <w:t xml:space="preserve"> Ame</w:t>
      </w:r>
      <w:r w:rsidRPr="001E4F36">
        <w:t>rican College of Obstetrics and Gynaecology (ACOG)</w:t>
      </w:r>
      <w:r w:rsidR="00885200">
        <w:t xml:space="preserve">. </w:t>
      </w:r>
      <w:r w:rsidR="00881AB3">
        <w:t>These tools are not MBS funded</w:t>
      </w:r>
      <w:r w:rsidR="00885200">
        <w:t xml:space="preserve"> but </w:t>
      </w:r>
      <w:r w:rsidR="00A46E4D">
        <w:t xml:space="preserve">are usually implemented </w:t>
      </w:r>
      <w:r w:rsidR="00885200">
        <w:t xml:space="preserve">as part of normal clinical examination during pregnancy </w:t>
      </w:r>
      <w:r w:rsidR="00055544">
        <w:t>care and</w:t>
      </w:r>
      <w:r w:rsidR="6E61795C">
        <w:t xml:space="preserve"> </w:t>
      </w:r>
      <w:r w:rsidR="6C69A523">
        <w:t>comprise</w:t>
      </w:r>
      <w:r w:rsidR="6E61795C">
        <w:t xml:space="preserve"> the comparator</w:t>
      </w:r>
      <w:r w:rsidR="00885200">
        <w:t>.</w:t>
      </w:r>
    </w:p>
    <w:p w14:paraId="0826E8CE" w14:textId="58CECD46" w:rsidR="4839030F" w:rsidRDefault="721446C4" w:rsidP="4839030F">
      <w:pPr>
        <w:pStyle w:val="a-TEXT"/>
      </w:pPr>
      <w:r>
        <w:t xml:space="preserve">In </w:t>
      </w:r>
      <w:r w:rsidR="4B0E8971">
        <w:t>a pregnancy where</w:t>
      </w:r>
      <w:r>
        <w:t xml:space="preserve"> preeclampsia </w:t>
      </w:r>
      <w:r w:rsidR="0076641C">
        <w:t>develops</w:t>
      </w:r>
      <w:r>
        <w:t xml:space="preserve"> the only curative treatment is delivery of the baby. The </w:t>
      </w:r>
      <w:r w:rsidR="65154BCD">
        <w:t>proposed benefit</w:t>
      </w:r>
      <w:r>
        <w:t xml:space="preserve"> of prophylactic aspirin </w:t>
      </w:r>
      <w:r w:rsidR="4E0E7CA4">
        <w:t xml:space="preserve">is in </w:t>
      </w:r>
      <w:r>
        <w:t xml:space="preserve">either obviating preeclampsia onset, or deferring delivery to a later gestation </w:t>
      </w:r>
      <w:r w:rsidR="3209CF87">
        <w:t>-</w:t>
      </w:r>
      <w:r>
        <w:t xml:space="preserve"> there are benefits to both the </w:t>
      </w:r>
      <w:r w:rsidR="00085623">
        <w:t>pregnant person</w:t>
      </w:r>
      <w:r>
        <w:t xml:space="preserve"> and baby</w:t>
      </w:r>
      <w:r w:rsidR="16858F2B">
        <w:t xml:space="preserve"> in both situations</w:t>
      </w:r>
      <w:r>
        <w:t>.</w:t>
      </w:r>
      <w:r w:rsidR="003C6E61">
        <w:t xml:space="preserve"> In the Australian setting for rural and remote patients, timely antenatal transfer to a centre with appropriate neonatal intensive care should be considered in preference to post-natal transfer of a premature infant.</w:t>
      </w:r>
    </w:p>
    <w:p w14:paraId="6F52500A" w14:textId="35C8CA99" w:rsidR="00772829" w:rsidRPr="00CE28E3" w:rsidRDefault="00971DBF" w:rsidP="002A18BE">
      <w:pPr>
        <w:pStyle w:val="Heading2"/>
        <w:numPr>
          <w:ilvl w:val="0"/>
          <w:numId w:val="0"/>
        </w:numPr>
      </w:pPr>
      <w:bookmarkStart w:id="6" w:name="_Toc69491417"/>
      <w:bookmarkEnd w:id="4"/>
      <w:r>
        <w:t>5</w:t>
      </w:r>
      <w:r w:rsidR="00C36633">
        <w:t>.</w:t>
      </w:r>
      <w:r w:rsidR="00C36633">
        <w:tab/>
      </w:r>
      <w:r w:rsidR="00772829" w:rsidRPr="00CE28E3">
        <w:t>Prerequisites to implementation of any funding advice</w:t>
      </w:r>
      <w:bookmarkEnd w:id="6"/>
    </w:p>
    <w:p w14:paraId="44C93136" w14:textId="3D61EF78" w:rsidR="007D2024" w:rsidRDefault="00847770" w:rsidP="00AB7AFF">
      <w:pPr>
        <w:pStyle w:val="a-TEXT"/>
      </w:pPr>
      <w:bookmarkStart w:id="7" w:name="_Toc69491418"/>
      <w:r>
        <w:t xml:space="preserve">The structured prenatal risk assessment for preterm preeclampsia requires the use of an in-vitro diagnostic </w:t>
      </w:r>
      <w:r w:rsidR="005C1A43">
        <w:t xml:space="preserve">medical device </w:t>
      </w:r>
      <w:r>
        <w:t>(IVD)</w:t>
      </w:r>
      <w:r w:rsidR="00295CAA">
        <w:t xml:space="preserve"> </w:t>
      </w:r>
      <w:r>
        <w:t xml:space="preserve">for the quantitative determination of serum PAPP-A and/or </w:t>
      </w:r>
      <w:proofErr w:type="spellStart"/>
      <w:r>
        <w:t>PlGF</w:t>
      </w:r>
      <w:proofErr w:type="spellEnd"/>
      <w:r>
        <w:t>.</w:t>
      </w:r>
      <w:r w:rsidR="00160CAE">
        <w:t xml:space="preserve"> </w:t>
      </w:r>
      <w:r w:rsidR="00276416">
        <w:t>Although, as noted above,</w:t>
      </w:r>
      <w:r w:rsidR="00D8705E">
        <w:t xml:space="preserve"> the proposed FMF risk calculator recommends use of </w:t>
      </w:r>
      <w:r w:rsidR="00753621">
        <w:t xml:space="preserve">serum PIGF (because PIGF </w:t>
      </w:r>
      <w:proofErr w:type="gramStart"/>
      <w:r w:rsidR="00753621">
        <w:t>is considered to be</w:t>
      </w:r>
      <w:proofErr w:type="gramEnd"/>
      <w:r w:rsidR="00753621">
        <w:t xml:space="preserve"> more accurate),</w:t>
      </w:r>
      <w:r w:rsidR="00276416">
        <w:t xml:space="preserve"> </w:t>
      </w:r>
      <w:r w:rsidR="00753621">
        <w:t>e</w:t>
      </w:r>
      <w:r w:rsidR="00160CAE">
        <w:t xml:space="preserve">ither </w:t>
      </w:r>
      <w:r w:rsidR="00B976A7">
        <w:t>ser</w:t>
      </w:r>
      <w:r w:rsidR="00160CAE">
        <w:t xml:space="preserve">um PAPP-A or </w:t>
      </w:r>
      <w:proofErr w:type="spellStart"/>
      <w:r w:rsidR="00160CAE">
        <w:t>PlGF</w:t>
      </w:r>
      <w:proofErr w:type="spellEnd"/>
      <w:r w:rsidR="00B976A7">
        <w:t xml:space="preserve"> can be used,</w:t>
      </w:r>
      <w:r w:rsidR="001561D2">
        <w:t xml:space="preserve"> </w:t>
      </w:r>
      <w:r w:rsidR="000D2B6D">
        <w:t>al</w:t>
      </w:r>
      <w:r w:rsidR="001561D2">
        <w:t>though PAPP-A is only suggested to be used in the absence of PIGF</w:t>
      </w:r>
      <w:r w:rsidR="002B76FB">
        <w:t>.</w:t>
      </w:r>
      <w:r w:rsidR="004174B3">
        <w:t xml:space="preserve"> In addition</w:t>
      </w:r>
      <w:r w:rsidR="00553A15">
        <w:t xml:space="preserve"> (as </w:t>
      </w:r>
      <w:r w:rsidR="006C56A5">
        <w:t>noted in Table 1)</w:t>
      </w:r>
      <w:r w:rsidR="004174B3">
        <w:t xml:space="preserve">, PAPP-A will typically be undertaken as part of aneuploidy </w:t>
      </w:r>
      <w:r w:rsidR="00B549E3">
        <w:t>testing</w:t>
      </w:r>
      <w:r w:rsidR="004174B3">
        <w:t>.</w:t>
      </w:r>
      <w:r w:rsidR="002B76FB">
        <w:t xml:space="preserve"> A</w:t>
      </w:r>
      <w:r>
        <w:t xml:space="preserve"> summary of the regulatory status of PAPP-A and </w:t>
      </w:r>
      <w:proofErr w:type="spellStart"/>
      <w:r>
        <w:t>PlGF</w:t>
      </w:r>
      <w:proofErr w:type="spellEnd"/>
      <w:r>
        <w:t xml:space="preserve"> assays marketed by Roche Diagnostics is provided in</w:t>
      </w:r>
      <w:r w:rsidR="00B61815">
        <w:t xml:space="preserve"> Table</w:t>
      </w:r>
      <w:r w:rsidR="00892582">
        <w:t> </w:t>
      </w:r>
      <w:r w:rsidR="00B61815">
        <w:t>1</w:t>
      </w:r>
      <w:r w:rsidR="00BE5AF5">
        <w:t>.</w:t>
      </w:r>
      <w:r>
        <w:t xml:space="preserve"> </w:t>
      </w:r>
      <w:r w:rsidR="005374D0">
        <w:t xml:space="preserve">Ultrasound machines intended for use in Australia must be </w:t>
      </w:r>
      <w:r w:rsidR="00C676C2">
        <w:t>included in</w:t>
      </w:r>
      <w:r w:rsidR="005374D0">
        <w:t xml:space="preserve"> the </w:t>
      </w:r>
      <w:r w:rsidR="000D2B6D">
        <w:t>Australian Register of Therapeutic Goods (</w:t>
      </w:r>
      <w:r w:rsidR="005374D0">
        <w:t>ARTG</w:t>
      </w:r>
      <w:r w:rsidR="000D2B6D">
        <w:t>)</w:t>
      </w:r>
      <w:r w:rsidR="005374D0">
        <w:t>. This registration process involves providing the necessary information about the device, including its intended purpose, technical specifications, and evidence of safety and performance</w:t>
      </w:r>
      <w:r w:rsidR="003E3538">
        <w:t xml:space="preserve">. </w:t>
      </w:r>
      <w:bookmarkStart w:id="8" w:name="_Ref141858154"/>
    </w:p>
    <w:p w14:paraId="6C32FA42" w14:textId="7356C94E" w:rsidR="00C13129" w:rsidRDefault="004844D9" w:rsidP="00AB7AFF">
      <w:pPr>
        <w:pStyle w:val="a-TEXT"/>
      </w:pPr>
      <w:r>
        <w:t>The Therapeutic Goods Administration (</w:t>
      </w:r>
      <w:r w:rsidR="00C13129" w:rsidRPr="00C13129">
        <w:t>TGA</w:t>
      </w:r>
      <w:r>
        <w:t>)</w:t>
      </w:r>
      <w:r w:rsidR="00C13129" w:rsidRPr="00C13129">
        <w:t xml:space="preserve"> </w:t>
      </w:r>
      <w:r w:rsidR="00FE1B16" w:rsidRPr="00FE1B16">
        <w:t>ha</w:t>
      </w:r>
      <w:r w:rsidR="00FE1B16">
        <w:t>s</w:t>
      </w:r>
      <w:r w:rsidR="00FE1B16" w:rsidRPr="00FE1B16">
        <w:t xml:space="preserve"> advised that the FMF risk calculator falls within the definition of software as a medical device (</w:t>
      </w:r>
      <w:proofErr w:type="spellStart"/>
      <w:r w:rsidR="00FE1B16" w:rsidRPr="00FE1B16">
        <w:t>SaMD</w:t>
      </w:r>
      <w:proofErr w:type="spellEnd"/>
      <w:r w:rsidR="00FE1B16" w:rsidRPr="00FE1B16">
        <w:t>), and so is required to be included in the Australian Register of Therapeutic Goods (ARTG). The TGA also confirmed that the FMF calculator is not currently included in the ARTG</w:t>
      </w:r>
      <w:r w:rsidR="00C13129" w:rsidRPr="00C13129">
        <w:t>.</w:t>
      </w:r>
    </w:p>
    <w:p w14:paraId="2EF2FA03" w14:textId="3B11B1EE" w:rsidR="00BE5AF5" w:rsidRDefault="00BE5AF5" w:rsidP="00BE5AF5">
      <w:pPr>
        <w:pStyle w:val="Caption"/>
      </w:pPr>
      <w:r>
        <w:lastRenderedPageBreak/>
        <w:t xml:space="preserve">Table </w:t>
      </w:r>
      <w:r w:rsidR="006608DC">
        <w:fldChar w:fldCharType="begin"/>
      </w:r>
      <w:r w:rsidR="006608DC">
        <w:instrText xml:space="preserve"> SEQ Table \* ARABIC </w:instrText>
      </w:r>
      <w:r w:rsidR="006608DC">
        <w:fldChar w:fldCharType="separate"/>
      </w:r>
      <w:r w:rsidR="009C77BA">
        <w:rPr>
          <w:noProof/>
        </w:rPr>
        <w:t>1</w:t>
      </w:r>
      <w:r w:rsidR="006608DC">
        <w:rPr>
          <w:noProof/>
        </w:rPr>
        <w:fldChar w:fldCharType="end"/>
      </w:r>
      <w:bookmarkEnd w:id="8"/>
      <w:r w:rsidR="00272335">
        <w:tab/>
      </w:r>
      <w:r w:rsidRPr="00A811D3">
        <w:t xml:space="preserve">Regulatory details of IVDs </w:t>
      </w:r>
      <w:r w:rsidR="00CA35F2">
        <w:t>that</w:t>
      </w:r>
      <w:r w:rsidR="00CA35F2" w:rsidRPr="00A811D3">
        <w:t xml:space="preserve"> </w:t>
      </w:r>
      <w:r w:rsidRPr="00A811D3">
        <w:t>may be used as part prenatal risk assessment for preeclampsia</w:t>
      </w:r>
      <w:r w:rsidR="00272335">
        <w:t>.</w:t>
      </w:r>
    </w:p>
    <w:tbl>
      <w:tblPr>
        <w:tblStyle w:val="TableGrid"/>
        <w:tblW w:w="0" w:type="auto"/>
        <w:tblLayout w:type="fixed"/>
        <w:tblCellMar>
          <w:left w:w="113" w:type="dxa"/>
          <w:right w:w="113" w:type="dxa"/>
        </w:tblCellMar>
        <w:tblLook w:val="04A0" w:firstRow="1" w:lastRow="0" w:firstColumn="1" w:lastColumn="0" w:noHBand="0" w:noVBand="1"/>
      </w:tblPr>
      <w:tblGrid>
        <w:gridCol w:w="1129"/>
        <w:gridCol w:w="993"/>
        <w:gridCol w:w="4872"/>
        <w:gridCol w:w="2022"/>
      </w:tblGrid>
      <w:tr w:rsidR="00847770" w14:paraId="02047BC8" w14:textId="77777777" w:rsidTr="68D65C74">
        <w:tc>
          <w:tcPr>
            <w:tcW w:w="1129" w:type="dxa"/>
            <w:shd w:val="clear" w:color="auto" w:fill="FFFFFF" w:themeFill="background1"/>
          </w:tcPr>
          <w:p w14:paraId="1B92FBC1" w14:textId="77777777" w:rsidR="00847770" w:rsidRPr="0029047F" w:rsidRDefault="00847770">
            <w:pPr>
              <w:pStyle w:val="TableText"/>
              <w:keepNext/>
              <w:keepLines/>
              <w:rPr>
                <w:b/>
                <w:bCs/>
              </w:rPr>
            </w:pPr>
            <w:r w:rsidRPr="0029047F">
              <w:rPr>
                <w:b/>
                <w:bCs/>
              </w:rPr>
              <w:t>Serum biomarker</w:t>
            </w:r>
          </w:p>
        </w:tc>
        <w:tc>
          <w:tcPr>
            <w:tcW w:w="993" w:type="dxa"/>
            <w:shd w:val="clear" w:color="auto" w:fill="FFFFFF" w:themeFill="background1"/>
          </w:tcPr>
          <w:p w14:paraId="70D0DA20" w14:textId="77777777" w:rsidR="00847770" w:rsidRPr="0029047F" w:rsidRDefault="00847770">
            <w:pPr>
              <w:pStyle w:val="TableText"/>
              <w:keepNext/>
              <w:keepLines/>
              <w:rPr>
                <w:b/>
                <w:bCs/>
              </w:rPr>
            </w:pPr>
            <w:r w:rsidRPr="0029047F">
              <w:rPr>
                <w:b/>
                <w:bCs/>
              </w:rPr>
              <w:t>Assay name</w:t>
            </w:r>
          </w:p>
        </w:tc>
        <w:tc>
          <w:tcPr>
            <w:tcW w:w="4872" w:type="dxa"/>
            <w:shd w:val="clear" w:color="auto" w:fill="FFFFFF" w:themeFill="background1"/>
            <w:vAlign w:val="center"/>
          </w:tcPr>
          <w:p w14:paraId="174CF49D" w14:textId="77777777" w:rsidR="00847770" w:rsidRPr="0029047F" w:rsidRDefault="00847770">
            <w:pPr>
              <w:pStyle w:val="TableText"/>
              <w:keepNext/>
              <w:keepLines/>
              <w:rPr>
                <w:b/>
                <w:bCs/>
              </w:rPr>
            </w:pPr>
            <w:r w:rsidRPr="0029047F">
              <w:rPr>
                <w:b/>
                <w:bCs/>
              </w:rPr>
              <w:t>Intended use</w:t>
            </w:r>
          </w:p>
        </w:tc>
        <w:tc>
          <w:tcPr>
            <w:tcW w:w="2022" w:type="dxa"/>
            <w:shd w:val="clear" w:color="auto" w:fill="FFFFFF" w:themeFill="background1"/>
            <w:vAlign w:val="center"/>
          </w:tcPr>
          <w:p w14:paraId="7E50EF97" w14:textId="043355EF" w:rsidR="00847770" w:rsidRPr="0029047F" w:rsidRDefault="00847770">
            <w:pPr>
              <w:pStyle w:val="TableText"/>
              <w:keepNext/>
              <w:keepLines/>
              <w:rPr>
                <w:b/>
                <w:bCs/>
              </w:rPr>
            </w:pPr>
            <w:r w:rsidRPr="0029047F">
              <w:rPr>
                <w:b/>
                <w:bCs/>
              </w:rPr>
              <w:t>ARTG registration</w:t>
            </w:r>
          </w:p>
        </w:tc>
      </w:tr>
      <w:tr w:rsidR="00847770" w14:paraId="02A1E43E" w14:textId="77777777" w:rsidTr="68D65C74">
        <w:tc>
          <w:tcPr>
            <w:tcW w:w="1129" w:type="dxa"/>
          </w:tcPr>
          <w:p w14:paraId="010D47CE" w14:textId="1DF617FF" w:rsidR="00847770" w:rsidRPr="007C0951" w:rsidRDefault="00847770">
            <w:pPr>
              <w:pStyle w:val="TableText"/>
              <w:keepNext/>
              <w:keepLines/>
            </w:pPr>
            <w:r w:rsidRPr="007C0951">
              <w:t>PAPP-A</w:t>
            </w:r>
          </w:p>
        </w:tc>
        <w:tc>
          <w:tcPr>
            <w:tcW w:w="993" w:type="dxa"/>
          </w:tcPr>
          <w:p w14:paraId="75885A64" w14:textId="77777777" w:rsidR="00847770" w:rsidRPr="007C0951" w:rsidRDefault="00847770">
            <w:pPr>
              <w:pStyle w:val="TableText"/>
              <w:keepNext/>
              <w:keepLines/>
            </w:pPr>
            <w:proofErr w:type="spellStart"/>
            <w:r w:rsidRPr="007C0951">
              <w:t>Elecsys</w:t>
            </w:r>
            <w:proofErr w:type="spellEnd"/>
            <w:r w:rsidRPr="007C0951">
              <w:t xml:space="preserve"> PAPP-A</w:t>
            </w:r>
          </w:p>
        </w:tc>
        <w:tc>
          <w:tcPr>
            <w:tcW w:w="4872" w:type="dxa"/>
          </w:tcPr>
          <w:p w14:paraId="3031FDB4" w14:textId="52BEA769" w:rsidR="00847770" w:rsidRPr="007C0951" w:rsidRDefault="00847770">
            <w:pPr>
              <w:pStyle w:val="TableText"/>
              <w:keepNext/>
              <w:keepLines/>
            </w:pPr>
            <w:r>
              <w:t>Immunoassay for the in vitro quantitative determination of pregnancy</w:t>
            </w:r>
            <w:r w:rsidR="0250856E">
              <w:t>-</w:t>
            </w:r>
            <w:r>
              <w:t>associated plasma protein-A in human serum.</w:t>
            </w:r>
          </w:p>
          <w:p w14:paraId="08DEB604" w14:textId="4F45982A" w:rsidR="00847770" w:rsidRPr="007C0951" w:rsidRDefault="00847770">
            <w:pPr>
              <w:pStyle w:val="TableText"/>
              <w:keepNext/>
              <w:keepLines/>
            </w:pPr>
            <w:r w:rsidRPr="007C0951">
              <w:t xml:space="preserve">This assay is intended for use as one component in combination with other parameters to evaluate the risk of trisomy 21 (Down syndrome) during the first trimester of pregnancy. Further testing is required for diagnosis of </w:t>
            </w:r>
            <w:r w:rsidR="00B727E9">
              <w:t xml:space="preserve">other </w:t>
            </w:r>
            <w:r w:rsidRPr="007C0951">
              <w:t>chromosomal aberrations</w:t>
            </w:r>
          </w:p>
        </w:tc>
        <w:tc>
          <w:tcPr>
            <w:tcW w:w="2022" w:type="dxa"/>
            <w:vAlign w:val="center"/>
          </w:tcPr>
          <w:p w14:paraId="2BBF8EEB" w14:textId="349B5620" w:rsidR="00B727E9" w:rsidRDefault="00B727E9">
            <w:pPr>
              <w:pStyle w:val="TableText"/>
              <w:keepNext/>
              <w:keepLines/>
            </w:pPr>
            <w:r>
              <w:t xml:space="preserve">ARTG ID </w:t>
            </w:r>
            <w:r w:rsidR="00847770" w:rsidRPr="007C0951">
              <w:t xml:space="preserve">181221 </w:t>
            </w:r>
          </w:p>
          <w:p w14:paraId="62F95FD6" w14:textId="4C27BE62" w:rsidR="00847770" w:rsidRPr="007C0951" w:rsidRDefault="00847770">
            <w:pPr>
              <w:pStyle w:val="TableText"/>
              <w:keepNext/>
              <w:keepLines/>
            </w:pPr>
            <w:r>
              <w:t>B</w:t>
            </w:r>
            <w:r w:rsidRPr="007C0951">
              <w:t>oth assays included as part of the same ARTG entry under the ‘kind of medical device’ process.</w:t>
            </w:r>
          </w:p>
          <w:p w14:paraId="13DE9147" w14:textId="77777777" w:rsidR="00847770" w:rsidRPr="007C0951" w:rsidRDefault="00847770">
            <w:pPr>
              <w:pStyle w:val="TableText"/>
              <w:keepNext/>
              <w:keepLines/>
            </w:pPr>
          </w:p>
          <w:p w14:paraId="5C77FFEC" w14:textId="77777777" w:rsidR="00847770" w:rsidRPr="007C0951" w:rsidRDefault="00847770">
            <w:pPr>
              <w:pStyle w:val="TableText"/>
              <w:keepNext/>
              <w:keepLines/>
            </w:pPr>
            <w:r w:rsidRPr="007C0951">
              <w:t>Intended purpose: IVDs that are intended to be used for the qualitative and/or quantitative determination of clinical chemistry hormones in a clinical specimen</w:t>
            </w:r>
          </w:p>
        </w:tc>
      </w:tr>
      <w:tr w:rsidR="00847770" w14:paraId="55B2F175" w14:textId="77777777" w:rsidTr="68D65C74">
        <w:tc>
          <w:tcPr>
            <w:tcW w:w="1129" w:type="dxa"/>
          </w:tcPr>
          <w:p w14:paraId="17BDDA65" w14:textId="77777777" w:rsidR="00847770" w:rsidRPr="007C0951" w:rsidRDefault="00847770">
            <w:pPr>
              <w:pStyle w:val="TableText"/>
              <w:keepNext/>
              <w:keepLines/>
            </w:pPr>
            <w:proofErr w:type="spellStart"/>
            <w:r w:rsidRPr="007C0951">
              <w:t>PlGF</w:t>
            </w:r>
            <w:proofErr w:type="spellEnd"/>
          </w:p>
        </w:tc>
        <w:tc>
          <w:tcPr>
            <w:tcW w:w="993" w:type="dxa"/>
          </w:tcPr>
          <w:p w14:paraId="69700D30" w14:textId="77777777" w:rsidR="00847770" w:rsidRPr="007C0951" w:rsidRDefault="00847770">
            <w:pPr>
              <w:pStyle w:val="TableText"/>
              <w:keepNext/>
              <w:keepLines/>
            </w:pPr>
            <w:proofErr w:type="spellStart"/>
            <w:r w:rsidRPr="007C0951">
              <w:t>Elecsys</w:t>
            </w:r>
            <w:proofErr w:type="spellEnd"/>
            <w:r w:rsidRPr="007C0951">
              <w:t xml:space="preserve"> </w:t>
            </w:r>
            <w:proofErr w:type="spellStart"/>
            <w:r w:rsidRPr="007C0951">
              <w:t>PlGF</w:t>
            </w:r>
            <w:proofErr w:type="spellEnd"/>
          </w:p>
        </w:tc>
        <w:tc>
          <w:tcPr>
            <w:tcW w:w="4872" w:type="dxa"/>
          </w:tcPr>
          <w:p w14:paraId="23C7E49C" w14:textId="1B4FE69D" w:rsidR="00847770" w:rsidRPr="007C0951" w:rsidRDefault="00847770">
            <w:pPr>
              <w:pStyle w:val="TableText"/>
              <w:keepNext/>
              <w:keepLines/>
            </w:pPr>
            <w:r w:rsidRPr="007C0951">
              <w:t>Immunoassay for the in vitro quantitative determination of placental growth factor (</w:t>
            </w:r>
            <w:proofErr w:type="spellStart"/>
            <w:r w:rsidRPr="007C0951">
              <w:t>PlGF</w:t>
            </w:r>
            <w:proofErr w:type="spellEnd"/>
            <w:r w:rsidRPr="007C0951">
              <w:t>) in human serum.</w:t>
            </w:r>
          </w:p>
          <w:p w14:paraId="1B90D2C7" w14:textId="1E05C1E4" w:rsidR="00847770" w:rsidRPr="007C0951" w:rsidRDefault="00847770">
            <w:pPr>
              <w:pStyle w:val="TableText"/>
              <w:keepNext/>
              <w:keepLines/>
            </w:pPr>
            <w:r w:rsidRPr="007C0951">
              <w:t xml:space="preserve">The </w:t>
            </w:r>
            <w:proofErr w:type="spellStart"/>
            <w:r w:rsidRPr="007C0951">
              <w:t>Elecsys</w:t>
            </w:r>
            <w:proofErr w:type="spellEnd"/>
            <w:r w:rsidRPr="007C0951">
              <w:t xml:space="preserve"> </w:t>
            </w:r>
            <w:proofErr w:type="spellStart"/>
            <w:r w:rsidRPr="007C0951">
              <w:t>PlGF</w:t>
            </w:r>
            <w:proofErr w:type="spellEnd"/>
            <w:r w:rsidRPr="007C0951">
              <w:t xml:space="preserve"> assay is </w:t>
            </w:r>
            <w:r w:rsidR="002D68F6">
              <w:t xml:space="preserve">also </w:t>
            </w:r>
            <w:r w:rsidRPr="007C0951">
              <w:t xml:space="preserve">used in combination with the </w:t>
            </w:r>
            <w:proofErr w:type="spellStart"/>
            <w:r w:rsidRPr="007C0951">
              <w:t>Elecsys</w:t>
            </w:r>
            <w:proofErr w:type="spellEnd"/>
            <w:r w:rsidRPr="007C0951">
              <w:t xml:space="preserve"> sFlt-1 assay to determine the sFlt-1/</w:t>
            </w:r>
            <w:proofErr w:type="spellStart"/>
            <w:r w:rsidRPr="007C0951">
              <w:t>PlGF</w:t>
            </w:r>
            <w:proofErr w:type="spellEnd"/>
            <w:r w:rsidRPr="007C0951">
              <w:t xml:space="preserve"> ratio. The sFlt-1/</w:t>
            </w:r>
            <w:proofErr w:type="spellStart"/>
            <w:r w:rsidRPr="007C0951">
              <w:t>PlGF</w:t>
            </w:r>
            <w:proofErr w:type="spellEnd"/>
            <w:r w:rsidRPr="007C0951">
              <w:t xml:space="preserve"> ratio is intended for use as an aid in the diagnosis of preeclampsia in conjunction with other diagnostic and clinical information.</w:t>
            </w:r>
          </w:p>
          <w:p w14:paraId="09CE4B13" w14:textId="4773EDB3" w:rsidR="00847770" w:rsidRPr="007C0951" w:rsidRDefault="00847770">
            <w:pPr>
              <w:pStyle w:val="TableText"/>
              <w:keepNext/>
              <w:keepLines/>
            </w:pPr>
            <w:r w:rsidRPr="007C0951">
              <w:t xml:space="preserve">In </w:t>
            </w:r>
            <w:proofErr w:type="gramStart"/>
            <w:r w:rsidRPr="007C0951">
              <w:t>addition</w:t>
            </w:r>
            <w:proofErr w:type="gramEnd"/>
            <w:r w:rsidRPr="007C0951">
              <w:t xml:space="preserve"> the sFlt-1/</w:t>
            </w:r>
            <w:proofErr w:type="spellStart"/>
            <w:r w:rsidRPr="007C0951">
              <w:t>PlGF</w:t>
            </w:r>
            <w:proofErr w:type="spellEnd"/>
            <w:r w:rsidRPr="007C0951">
              <w:t xml:space="preserve"> ratio is intended for use as an aid in short-term prediction of preeclampsia (rule-out and rule-in) in pregnant </w:t>
            </w:r>
            <w:r w:rsidR="00FE5220">
              <w:t>persons</w:t>
            </w:r>
            <w:r w:rsidRPr="007C0951">
              <w:t xml:space="preserve"> with suspicion of preeclampsia in conjunction with other diagnostic and clinical information.</w:t>
            </w:r>
          </w:p>
          <w:p w14:paraId="4A22CF33" w14:textId="77777777" w:rsidR="00847770" w:rsidRPr="007C0951" w:rsidRDefault="00847770">
            <w:pPr>
              <w:pStyle w:val="TableText"/>
              <w:keepNext/>
              <w:keepLines/>
            </w:pPr>
            <w:r w:rsidRPr="007C0951">
              <w:t>This assay is intended for the use as one component, in combination with other parameters, to evaluate the risk of early</w:t>
            </w:r>
            <w:r>
              <w:t xml:space="preserve"> </w:t>
            </w:r>
            <w:r w:rsidRPr="007C0951">
              <w:t>onset preeclampsia during the first trimester of pregnancy.</w:t>
            </w:r>
          </w:p>
        </w:tc>
        <w:tc>
          <w:tcPr>
            <w:tcW w:w="2022" w:type="dxa"/>
          </w:tcPr>
          <w:p w14:paraId="3473B351" w14:textId="77777777" w:rsidR="00847770" w:rsidRPr="007C0951" w:rsidRDefault="00847770">
            <w:pPr>
              <w:pStyle w:val="TableText"/>
              <w:keepNext/>
              <w:keepLines/>
            </w:pPr>
          </w:p>
        </w:tc>
      </w:tr>
    </w:tbl>
    <w:p w14:paraId="4CE5F6D6" w14:textId="07736D8B" w:rsidR="00847770" w:rsidRDefault="00847770" w:rsidP="00847770">
      <w:pPr>
        <w:pStyle w:val="Tablenotes0"/>
      </w:pPr>
      <w:r>
        <w:t xml:space="preserve">Abbreviations: ARTG=Australian Register of Therapeutic Goods; </w:t>
      </w:r>
      <w:r w:rsidR="00CA35F2">
        <w:t xml:space="preserve">IVD=in vitro </w:t>
      </w:r>
      <w:r w:rsidR="00503E08">
        <w:t>diagnostic</w:t>
      </w:r>
      <w:r w:rsidR="00C01401">
        <w:t xml:space="preserve"> medical device</w:t>
      </w:r>
      <w:r w:rsidR="00CA35F2">
        <w:t xml:space="preserve">; </w:t>
      </w:r>
      <w:r>
        <w:t>PAPP-A=</w:t>
      </w:r>
      <w:r w:rsidRPr="00A46E4D">
        <w:t>pregnancy</w:t>
      </w:r>
      <w:r w:rsidRPr="00A46E4D">
        <w:noBreakHyphen/>
        <w:t>associated plasma protein-A</w:t>
      </w:r>
      <w:r>
        <w:t xml:space="preserve">; </w:t>
      </w:r>
      <w:proofErr w:type="spellStart"/>
      <w:r>
        <w:t>PlGF</w:t>
      </w:r>
      <w:proofErr w:type="spellEnd"/>
      <w:r>
        <w:t>=</w:t>
      </w:r>
      <w:r w:rsidRPr="00A46E4D">
        <w:t>placental growth factor</w:t>
      </w:r>
    </w:p>
    <w:p w14:paraId="415AF617" w14:textId="25B8903F" w:rsidR="0080591B" w:rsidRDefault="0080591B" w:rsidP="00847770">
      <w:pPr>
        <w:pStyle w:val="Tablenotes0"/>
      </w:pPr>
      <w:r>
        <w:t xml:space="preserve">Source: </w:t>
      </w:r>
      <w:r w:rsidR="00F1070C">
        <w:t xml:space="preserve">Table 1, </w:t>
      </w:r>
      <w:r w:rsidR="00F5032F">
        <w:t>p15 of ADAR</w:t>
      </w:r>
      <w:r w:rsidR="00C94E02">
        <w:t>.</w:t>
      </w:r>
    </w:p>
    <w:p w14:paraId="44C3B242" w14:textId="33B9B711" w:rsidR="00772829" w:rsidRPr="00CE28E3" w:rsidRDefault="00971DBF" w:rsidP="00055E1E">
      <w:pPr>
        <w:pStyle w:val="Heading2"/>
        <w:numPr>
          <w:ilvl w:val="0"/>
          <w:numId w:val="0"/>
        </w:numPr>
        <w:ind w:left="709" w:hanging="709"/>
      </w:pPr>
      <w:r>
        <w:t>6</w:t>
      </w:r>
      <w:r w:rsidR="00055E1E">
        <w:t xml:space="preserve">. </w:t>
      </w:r>
      <w:r w:rsidR="00055E1E">
        <w:tab/>
      </w:r>
      <w:r w:rsidR="00772829" w:rsidRPr="00CE28E3">
        <w:t>Proposal for public funding</w:t>
      </w:r>
      <w:bookmarkEnd w:id="7"/>
    </w:p>
    <w:p w14:paraId="2BC1AF4E" w14:textId="3A67B371" w:rsidR="0019521F" w:rsidRDefault="0019521F" w:rsidP="0019521F">
      <w:pPr>
        <w:pStyle w:val="a-TEXT"/>
      </w:pPr>
      <w:r>
        <w:t>Th</w:t>
      </w:r>
      <w:r w:rsidR="00150C45">
        <w:t>e</w:t>
      </w:r>
      <w:r>
        <w:t xml:space="preserve"> </w:t>
      </w:r>
      <w:r w:rsidR="00150C45">
        <w:t>A</w:t>
      </w:r>
      <w:r w:rsidR="0063114A">
        <w:t>pplicant-</w:t>
      </w:r>
      <w:r w:rsidR="00150C45">
        <w:t>D</w:t>
      </w:r>
      <w:r w:rsidR="0063114A">
        <w:t xml:space="preserve">eveloped </w:t>
      </w:r>
      <w:r w:rsidR="00150C45">
        <w:t>A</w:t>
      </w:r>
      <w:r w:rsidR="0063114A">
        <w:t xml:space="preserve">ssessment </w:t>
      </w:r>
      <w:r w:rsidR="00150C45">
        <w:t>R</w:t>
      </w:r>
      <w:r w:rsidR="0063114A">
        <w:t>eport (</w:t>
      </w:r>
      <w:r w:rsidR="00E76639">
        <w:t>ADAR</w:t>
      </w:r>
      <w:r w:rsidR="0063114A">
        <w:t>)</w:t>
      </w:r>
      <w:r w:rsidR="00E76639">
        <w:t xml:space="preserve"> </w:t>
      </w:r>
      <w:r>
        <w:t>propose</w:t>
      </w:r>
      <w:r w:rsidR="00E76639">
        <w:t>d</w:t>
      </w:r>
      <w:r>
        <w:t xml:space="preserve"> a model for funding </w:t>
      </w:r>
      <w:r w:rsidR="00E76639">
        <w:t xml:space="preserve">FMF risk calculation </w:t>
      </w:r>
      <w:r w:rsidR="00691852">
        <w:t>t</w:t>
      </w:r>
      <w:r>
        <w:t>hrough the MBS by</w:t>
      </w:r>
      <w:r w:rsidR="00E76639">
        <w:t xml:space="preserve"> expansion</w:t>
      </w:r>
      <w:r w:rsidR="00EF4219">
        <w:t xml:space="preserve"> of existing items</w:t>
      </w:r>
      <w:r w:rsidR="00E76639">
        <w:t xml:space="preserve"> to </w:t>
      </w:r>
      <w:r w:rsidR="00EF4219">
        <w:t>publicly fund the currently non-funded inputs</w:t>
      </w:r>
      <w:r>
        <w:t>:</w:t>
      </w:r>
    </w:p>
    <w:p w14:paraId="406F10BD" w14:textId="58F1ABBA" w:rsidR="0019521F" w:rsidRDefault="0019521F" w:rsidP="002D4ECD">
      <w:pPr>
        <w:pStyle w:val="a-TEXT"/>
        <w:numPr>
          <w:ilvl w:val="0"/>
          <w:numId w:val="13"/>
        </w:numPr>
      </w:pPr>
      <w:r>
        <w:t xml:space="preserve">Amending MBS item 55707 to incorporate the assessment of </w:t>
      </w:r>
      <w:proofErr w:type="spellStart"/>
      <w:r>
        <w:t>UtA</w:t>
      </w:r>
      <w:proofErr w:type="spellEnd"/>
      <w:r>
        <w:t>-PI</w:t>
      </w:r>
      <w:r w:rsidR="00F12ED6">
        <w:t>.</w:t>
      </w:r>
    </w:p>
    <w:p w14:paraId="7FE1EE7C" w14:textId="2A738982" w:rsidR="0019521F" w:rsidRPr="0019521F" w:rsidRDefault="0019521F" w:rsidP="002D4ECD">
      <w:pPr>
        <w:pStyle w:val="a-TEXT"/>
        <w:numPr>
          <w:ilvl w:val="1"/>
          <w:numId w:val="13"/>
        </w:numPr>
      </w:pPr>
      <w:r w:rsidRPr="0019521F">
        <w:t xml:space="preserve">An increase to the existing fee for MBS item 55707 ($72.85 to $91.06) </w:t>
      </w:r>
      <w:r w:rsidR="00287E09">
        <w:t>wa</w:t>
      </w:r>
      <w:r w:rsidRPr="0019521F">
        <w:t xml:space="preserve">s requested to reflect the increased time and complexity associated with assessing </w:t>
      </w:r>
      <w:proofErr w:type="spellStart"/>
      <w:r w:rsidRPr="0019521F">
        <w:t>UtA</w:t>
      </w:r>
      <w:proofErr w:type="spellEnd"/>
      <w:r w:rsidRPr="0019521F">
        <w:t>-PI as part of the investigations performed through MBS item 55707</w:t>
      </w:r>
      <w:r w:rsidR="00F12ED6">
        <w:t>.</w:t>
      </w:r>
    </w:p>
    <w:p w14:paraId="1987045C" w14:textId="350245E9" w:rsidR="0019521F" w:rsidRDefault="0019521F" w:rsidP="002D4ECD">
      <w:pPr>
        <w:pStyle w:val="a-TEXT"/>
        <w:numPr>
          <w:ilvl w:val="0"/>
          <w:numId w:val="13"/>
        </w:numPr>
      </w:pPr>
      <w:r>
        <w:t xml:space="preserve">Amending MBS item 66750 to incorporate </w:t>
      </w:r>
      <w:proofErr w:type="spellStart"/>
      <w:r>
        <w:t>PlGF</w:t>
      </w:r>
      <w:proofErr w:type="spellEnd"/>
      <w:r>
        <w:t>, with flow-on amendments to 66751</w:t>
      </w:r>
      <w:r w:rsidR="00F12ED6">
        <w:t>.</w:t>
      </w:r>
    </w:p>
    <w:p w14:paraId="6BBEF3E4" w14:textId="1457D8FC" w:rsidR="0019521F" w:rsidRDefault="0019521F" w:rsidP="002D4ECD">
      <w:pPr>
        <w:pStyle w:val="a-TEXT"/>
        <w:numPr>
          <w:ilvl w:val="1"/>
          <w:numId w:val="13"/>
        </w:numPr>
      </w:pPr>
      <w:r w:rsidRPr="0019521F">
        <w:t xml:space="preserve">An increase to the existing fee for MBS items 66750 ($39.75 to $69.75) and 66751 ($55.25 to $85.25) </w:t>
      </w:r>
      <w:r w:rsidR="00287E09">
        <w:t>wa</w:t>
      </w:r>
      <w:r w:rsidRPr="0019521F">
        <w:t xml:space="preserve">s requested to reflect the addition of the </w:t>
      </w:r>
      <w:proofErr w:type="spellStart"/>
      <w:r w:rsidRPr="0019521F">
        <w:t>PlGF</w:t>
      </w:r>
      <w:proofErr w:type="spellEnd"/>
      <w:r w:rsidRPr="0019521F">
        <w:t xml:space="preserve"> marker through these items</w:t>
      </w:r>
      <w:r w:rsidR="00F12ED6">
        <w:t>.</w:t>
      </w:r>
    </w:p>
    <w:p w14:paraId="34321406" w14:textId="7842A991" w:rsidR="005D65A6" w:rsidRPr="00244317" w:rsidRDefault="00315B41" w:rsidP="002B76FB">
      <w:pPr>
        <w:pStyle w:val="a-TEXT"/>
      </w:pPr>
      <w:r>
        <w:t>Note that the MBS fees have since been updated and t</w:t>
      </w:r>
      <w:r w:rsidRPr="006248F0">
        <w:t xml:space="preserve">he schedule fee is now </w:t>
      </w:r>
      <w:r>
        <w:t>$</w:t>
      </w:r>
      <w:r w:rsidRPr="006248F0">
        <w:t xml:space="preserve">75.45 </w:t>
      </w:r>
      <w:r>
        <w:t>for M</w:t>
      </w:r>
      <w:r w:rsidRPr="009A02E5">
        <w:t>BS item 55707</w:t>
      </w:r>
      <w:r>
        <w:t>.</w:t>
      </w:r>
      <w:r w:rsidR="00D16CF1">
        <w:t xml:space="preserve"> </w:t>
      </w:r>
      <w:r w:rsidR="00BB650C">
        <w:t>Modifying existing items</w:t>
      </w:r>
      <w:r w:rsidR="00AB1568">
        <w:t xml:space="preserve"> was </w:t>
      </w:r>
      <w:r w:rsidR="00D425E3">
        <w:t>preferred by PASC</w:t>
      </w:r>
      <w:r w:rsidR="00287E09">
        <w:t xml:space="preserve"> </w:t>
      </w:r>
      <w:r w:rsidR="00BE68D5">
        <w:t>as an alternat</w:t>
      </w:r>
      <w:r w:rsidR="001A4896">
        <w:t>iv</w:t>
      </w:r>
      <w:r w:rsidR="00BE68D5">
        <w:t xml:space="preserve">e to </w:t>
      </w:r>
      <w:r w:rsidR="00F57241">
        <w:t>creation of a series of new MBS items</w:t>
      </w:r>
      <w:r w:rsidR="00D425E3">
        <w:t xml:space="preserve"> (PICO page 21)</w:t>
      </w:r>
      <w:r w:rsidR="00F57241">
        <w:t xml:space="preserve">. </w:t>
      </w:r>
      <w:r w:rsidR="00AB1568">
        <w:t xml:space="preserve">The </w:t>
      </w:r>
      <w:r w:rsidR="000F0925">
        <w:t xml:space="preserve">ratified </w:t>
      </w:r>
      <w:r w:rsidR="0074337C">
        <w:t xml:space="preserve">PICO </w:t>
      </w:r>
      <w:r w:rsidR="00AB1568">
        <w:t>proposed amendments</w:t>
      </w:r>
      <w:r w:rsidR="00BD345F">
        <w:t>,</w:t>
      </w:r>
      <w:r w:rsidR="00993BA0">
        <w:t xml:space="preserve"> </w:t>
      </w:r>
      <w:r w:rsidR="0062001F">
        <w:t xml:space="preserve">which were presented </w:t>
      </w:r>
      <w:r w:rsidR="006F58C3">
        <w:t>in</w:t>
      </w:r>
      <w:r w:rsidR="00993BA0">
        <w:t xml:space="preserve"> the </w:t>
      </w:r>
      <w:r w:rsidR="006F58C3">
        <w:t>ADAR</w:t>
      </w:r>
      <w:r w:rsidR="00BD345F">
        <w:t>,</w:t>
      </w:r>
      <w:r w:rsidR="00AB1568">
        <w:t xml:space="preserve"> are identified using </w:t>
      </w:r>
      <w:r w:rsidR="00AB1568" w:rsidRPr="00F57241">
        <w:rPr>
          <w:strike/>
        </w:rPr>
        <w:t>strikethrough</w:t>
      </w:r>
      <w:r w:rsidR="00AB1568">
        <w:t xml:space="preserve"> (remove component) and </w:t>
      </w:r>
      <w:r w:rsidR="00AB1568" w:rsidRPr="00F57241">
        <w:rPr>
          <w:b/>
          <w:bCs/>
        </w:rPr>
        <w:t>bold</w:t>
      </w:r>
      <w:r w:rsidR="00AB1568" w:rsidRPr="00600EB3">
        <w:t xml:space="preserve"> (add </w:t>
      </w:r>
      <w:r w:rsidR="00AB1568" w:rsidRPr="00600EB3">
        <w:lastRenderedPageBreak/>
        <w:t>component)</w:t>
      </w:r>
      <w:r w:rsidR="00AB1568">
        <w:t xml:space="preserve"> text in </w:t>
      </w:r>
      <w:r w:rsidR="00244317">
        <w:fldChar w:fldCharType="begin"/>
      </w:r>
      <w:r w:rsidR="00244317">
        <w:instrText xml:space="preserve"> REF _Ref141859407 \h </w:instrText>
      </w:r>
      <w:r w:rsidR="002B76FB">
        <w:instrText xml:space="preserve"> \* MERGEFORMAT </w:instrText>
      </w:r>
      <w:r w:rsidR="00244317">
        <w:fldChar w:fldCharType="separate"/>
      </w:r>
      <w:r w:rsidR="00BC26C0">
        <w:t xml:space="preserve">Table </w:t>
      </w:r>
      <w:r w:rsidR="00BC26C0">
        <w:rPr>
          <w:noProof/>
        </w:rPr>
        <w:t>2</w:t>
      </w:r>
      <w:r w:rsidR="00244317">
        <w:fldChar w:fldCharType="end"/>
      </w:r>
      <w:r w:rsidR="00D878E7">
        <w:t xml:space="preserve"> and </w:t>
      </w:r>
      <w:r w:rsidR="002B76FB">
        <w:fldChar w:fldCharType="begin"/>
      </w:r>
      <w:r w:rsidR="002B76FB">
        <w:instrText xml:space="preserve"> REF _Ref144306680 \h </w:instrText>
      </w:r>
      <w:r w:rsidR="002B76FB">
        <w:fldChar w:fldCharType="separate"/>
      </w:r>
      <w:r w:rsidR="00BC26C0">
        <w:t xml:space="preserve">Table </w:t>
      </w:r>
      <w:r w:rsidR="00BC26C0">
        <w:rPr>
          <w:noProof/>
        </w:rPr>
        <w:t>3</w:t>
      </w:r>
      <w:r w:rsidR="002B76FB">
        <w:fldChar w:fldCharType="end"/>
      </w:r>
      <w:r w:rsidR="002B76FB">
        <w:t xml:space="preserve"> </w:t>
      </w:r>
      <w:r w:rsidR="00AB1568">
        <w:t>below</w:t>
      </w:r>
      <w:r w:rsidR="00BD345F">
        <w:t>. The ADAR added notes to the item descriptors</w:t>
      </w:r>
      <w:r w:rsidR="003B3EC4">
        <w:t xml:space="preserve"> (</w:t>
      </w:r>
      <w:r w:rsidR="00F27325" w:rsidRPr="00F27325">
        <w:rPr>
          <w:u w:val="single"/>
        </w:rPr>
        <w:t>underlined</w:t>
      </w:r>
      <w:r w:rsidR="003B3EC4">
        <w:t>).</w:t>
      </w:r>
      <w:r w:rsidR="006248F0">
        <w:t xml:space="preserve"> </w:t>
      </w:r>
    </w:p>
    <w:p w14:paraId="7016E80B" w14:textId="60AEF1FE" w:rsidR="00244317" w:rsidRDefault="00244317" w:rsidP="00244317">
      <w:pPr>
        <w:pStyle w:val="Caption"/>
      </w:pPr>
      <w:bookmarkStart w:id="9" w:name="_Ref141859407"/>
      <w:r>
        <w:t xml:space="preserve">Table </w:t>
      </w:r>
      <w:r w:rsidR="006608DC">
        <w:fldChar w:fldCharType="begin"/>
      </w:r>
      <w:r w:rsidR="006608DC">
        <w:instrText xml:space="preserve"> SEQ Table \* ARABIC </w:instrText>
      </w:r>
      <w:r w:rsidR="006608DC">
        <w:fldChar w:fldCharType="separate"/>
      </w:r>
      <w:r w:rsidR="009C77BA">
        <w:rPr>
          <w:noProof/>
        </w:rPr>
        <w:t>2</w:t>
      </w:r>
      <w:r w:rsidR="006608DC">
        <w:rPr>
          <w:noProof/>
        </w:rPr>
        <w:fldChar w:fldCharType="end"/>
      </w:r>
      <w:bookmarkEnd w:id="9"/>
      <w:r>
        <w:t xml:space="preserve"> </w:t>
      </w:r>
      <w:r w:rsidR="00272335">
        <w:tab/>
      </w:r>
      <w:r w:rsidRPr="00602E69">
        <w:t>Proposed amendments to MBS item 55707</w:t>
      </w:r>
      <w:r w:rsidR="00993BA0">
        <w:t xml:space="preserve"> </w:t>
      </w:r>
      <w:r w:rsidR="003054E5">
        <w:t xml:space="preserve">based on the ratified PICO and modified by </w:t>
      </w:r>
      <w:r w:rsidR="00993BA0">
        <w:t>the applicant</w:t>
      </w:r>
      <w:r w:rsidRPr="00602E69">
        <w:t>.</w:t>
      </w:r>
    </w:p>
    <w:tbl>
      <w:tblPr>
        <w:tblStyle w:val="TableGrid1"/>
        <w:tblW w:w="9359" w:type="dxa"/>
        <w:tblInd w:w="-6" w:type="dxa"/>
        <w:tblLayout w:type="fixed"/>
        <w:tblCellMar>
          <w:left w:w="113" w:type="dxa"/>
          <w:right w:w="113" w:type="dxa"/>
        </w:tblCellMar>
        <w:tblLook w:val="01E0" w:firstRow="1" w:lastRow="1" w:firstColumn="1" w:lastColumn="1" w:noHBand="0" w:noVBand="0"/>
      </w:tblPr>
      <w:tblGrid>
        <w:gridCol w:w="9359"/>
      </w:tblGrid>
      <w:tr w:rsidR="00CE62B1" w:rsidRPr="0094412F" w14:paraId="556C15FC" w14:textId="77777777" w:rsidTr="003F6058">
        <w:trPr>
          <w:cnfStyle w:val="100000000000" w:firstRow="1" w:lastRow="0" w:firstColumn="0" w:lastColumn="0" w:oddVBand="0" w:evenVBand="0" w:oddHBand="0" w:evenHBand="0" w:firstRowFirstColumn="0" w:firstRowLastColumn="0" w:lastRowFirstColumn="0" w:lastRowLastColumn="0"/>
          <w:trHeight w:val="47"/>
        </w:trPr>
        <w:tc>
          <w:tcPr>
            <w:tcW w:w="9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36E7ED" w14:textId="77777777" w:rsidR="005D65A6" w:rsidRPr="00D878E7" w:rsidRDefault="005D65A6" w:rsidP="00495858">
            <w:pPr>
              <w:pStyle w:val="TableText"/>
              <w:keepNext/>
              <w:keepLines/>
            </w:pPr>
            <w:r w:rsidRPr="00D878E7">
              <w:t>Category 5 (Diagnostic Imaging Services)</w:t>
            </w:r>
          </w:p>
        </w:tc>
      </w:tr>
      <w:tr w:rsidR="00CE62B1" w:rsidRPr="0094412F" w14:paraId="1D49B471" w14:textId="77777777" w:rsidTr="003F6058">
        <w:trPr>
          <w:trHeight w:val="20"/>
        </w:trPr>
        <w:tc>
          <w:tcPr>
            <w:tcW w:w="9359"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09B9CA0D" w14:textId="1A86EC0E" w:rsidR="005D65A6" w:rsidRDefault="005D65A6" w:rsidP="00495858">
            <w:pPr>
              <w:pStyle w:val="TableText"/>
              <w:keepNext/>
              <w:keepLines/>
            </w:pPr>
            <w:r>
              <w:t>MBS item 55707</w:t>
            </w:r>
          </w:p>
          <w:p w14:paraId="37890594" w14:textId="77777777" w:rsidR="005D65A6" w:rsidRPr="003C3933" w:rsidRDefault="005D65A6" w:rsidP="00971DBF">
            <w:pPr>
              <w:pStyle w:val="TableText"/>
              <w:keepNext/>
              <w:keepLines/>
              <w:spacing w:before="240"/>
            </w:pPr>
            <w:r w:rsidRPr="003C3933">
              <w:t xml:space="preserve">Pelvis or abdomen, pregnancy related or pregnancy complication, </w:t>
            </w:r>
            <w:proofErr w:type="spellStart"/>
            <w:r w:rsidRPr="003C3933">
              <w:t>fetal</w:t>
            </w:r>
            <w:proofErr w:type="spellEnd"/>
            <w:r w:rsidRPr="003C3933">
              <w:t xml:space="preserve"> development and anatomy,</w:t>
            </w:r>
            <w:r>
              <w:t xml:space="preserve"> </w:t>
            </w:r>
            <w:r w:rsidRPr="003C3933">
              <w:t>ultrasound (the current ultrasound) scan of, by any or all approaches, if:</w:t>
            </w:r>
          </w:p>
          <w:p w14:paraId="1EA7C2BA" w14:textId="77777777" w:rsidR="005D65A6" w:rsidRPr="003C3933" w:rsidRDefault="005D65A6" w:rsidP="002D4ECD">
            <w:pPr>
              <w:pStyle w:val="TableText"/>
              <w:keepNext/>
              <w:keepLines/>
              <w:numPr>
                <w:ilvl w:val="0"/>
                <w:numId w:val="14"/>
              </w:numPr>
            </w:pPr>
            <w:r w:rsidRPr="003C3933">
              <w:t xml:space="preserve">the pregnancy (as confirmed by the current ultrasound) is dated </w:t>
            </w:r>
            <w:r w:rsidRPr="00F77A18">
              <w:t xml:space="preserve">by a </w:t>
            </w:r>
            <w:proofErr w:type="spellStart"/>
            <w:r w:rsidRPr="00F77A18">
              <w:t>fetal</w:t>
            </w:r>
            <w:proofErr w:type="spellEnd"/>
            <w:r w:rsidRPr="00F77A18">
              <w:t xml:space="preserve"> crown-rump length of 45 to 84 mm </w:t>
            </w:r>
            <w:r w:rsidRPr="00F77A18">
              <w:rPr>
                <w:b/>
                <w:bCs/>
              </w:rPr>
              <w:t>or</w:t>
            </w:r>
            <w:r w:rsidRPr="00F77A18">
              <w:t xml:space="preserve"> </w:t>
            </w:r>
            <w:r w:rsidRPr="00FB5FE1">
              <w:rPr>
                <w:b/>
                <w:bCs/>
              </w:rPr>
              <w:t>11</w:t>
            </w:r>
            <w:r w:rsidRPr="00FB5FE1">
              <w:rPr>
                <w:b/>
                <w:bCs/>
                <w:vertAlign w:val="superscript"/>
              </w:rPr>
              <w:t>+0</w:t>
            </w:r>
            <w:r w:rsidRPr="00FB5FE1">
              <w:rPr>
                <w:b/>
                <w:bCs/>
              </w:rPr>
              <w:t xml:space="preserve"> to 13</w:t>
            </w:r>
            <w:r w:rsidRPr="00FB5FE1">
              <w:rPr>
                <w:b/>
                <w:bCs/>
                <w:vertAlign w:val="superscript"/>
              </w:rPr>
              <w:t>+6</w:t>
            </w:r>
            <w:r w:rsidRPr="00FB5FE1">
              <w:rPr>
                <w:b/>
                <w:bCs/>
              </w:rPr>
              <w:t xml:space="preserve"> weeks’ gestation</w:t>
            </w:r>
            <w:r w:rsidRPr="003C3933">
              <w:t>; and</w:t>
            </w:r>
          </w:p>
          <w:p w14:paraId="24E629BF" w14:textId="77777777" w:rsidR="005D65A6" w:rsidRDefault="005D65A6" w:rsidP="002D4ECD">
            <w:pPr>
              <w:pStyle w:val="TableText"/>
              <w:keepNext/>
              <w:keepLines/>
              <w:numPr>
                <w:ilvl w:val="0"/>
                <w:numId w:val="14"/>
              </w:numPr>
            </w:pPr>
            <w:r w:rsidRPr="003C3933">
              <w:t xml:space="preserve">nuchal translucency measurement is performed to assess the risk of </w:t>
            </w:r>
            <w:proofErr w:type="spellStart"/>
            <w:r w:rsidRPr="003C3933">
              <w:t>fetal</w:t>
            </w:r>
            <w:proofErr w:type="spellEnd"/>
            <w:r w:rsidRPr="003C3933">
              <w:t xml:space="preserve"> abnormality; </w:t>
            </w:r>
            <w:r>
              <w:t>and</w:t>
            </w:r>
            <w:r w:rsidRPr="00C61E57">
              <w:rPr>
                <w:b/>
                <w:bCs/>
              </w:rPr>
              <w:t>/or</w:t>
            </w:r>
          </w:p>
          <w:p w14:paraId="2CDC4580" w14:textId="77777777" w:rsidR="005D65A6" w:rsidRPr="00FB5FE1" w:rsidRDefault="005D65A6" w:rsidP="002D4ECD">
            <w:pPr>
              <w:pStyle w:val="TableText"/>
              <w:keepNext/>
              <w:keepLines/>
              <w:numPr>
                <w:ilvl w:val="0"/>
                <w:numId w:val="14"/>
              </w:numPr>
              <w:rPr>
                <w:b/>
                <w:bCs/>
              </w:rPr>
            </w:pPr>
            <w:r w:rsidRPr="00FB5FE1">
              <w:rPr>
                <w:b/>
                <w:bCs/>
              </w:rPr>
              <w:t xml:space="preserve">uterine artery </w:t>
            </w:r>
            <w:proofErr w:type="spellStart"/>
            <w:r w:rsidRPr="00FB5FE1">
              <w:rPr>
                <w:b/>
                <w:bCs/>
              </w:rPr>
              <w:t>pulsatility</w:t>
            </w:r>
            <w:proofErr w:type="spellEnd"/>
            <w:r w:rsidRPr="00FB5FE1">
              <w:rPr>
                <w:b/>
                <w:bCs/>
              </w:rPr>
              <w:t xml:space="preserve"> index is performed for the assessment of risk of preeclampsia; and</w:t>
            </w:r>
          </w:p>
          <w:p w14:paraId="08ECDA7F" w14:textId="76CF12D8" w:rsidR="005D65A6" w:rsidRDefault="005D65A6" w:rsidP="00495858">
            <w:pPr>
              <w:pStyle w:val="TableText"/>
              <w:keepNext/>
              <w:keepLines/>
              <w:numPr>
                <w:ilvl w:val="0"/>
                <w:numId w:val="14"/>
              </w:numPr>
            </w:pPr>
            <w:r w:rsidRPr="003C3933">
              <w:t>the current ultrasound is not performed on the same patient within 24 hours of a service mentioned</w:t>
            </w:r>
            <w:r>
              <w:t xml:space="preserve"> </w:t>
            </w:r>
            <w:r w:rsidRPr="003C3933">
              <w:t>in another item in this Subgroup (R)</w:t>
            </w:r>
          </w:p>
          <w:p w14:paraId="3310F248" w14:textId="73B4804C" w:rsidR="005D65A6" w:rsidRDefault="005D65A6" w:rsidP="00971DBF">
            <w:pPr>
              <w:pStyle w:val="TableText"/>
              <w:keepNext/>
              <w:keepLines/>
              <w:spacing w:before="240" w:after="240"/>
            </w:pPr>
            <w:r w:rsidRPr="003C3933">
              <w:t xml:space="preserve">(See </w:t>
            </w:r>
            <w:proofErr w:type="gramStart"/>
            <w:r w:rsidRPr="003C3933">
              <w:t>para IN.</w:t>
            </w:r>
            <w:proofErr w:type="gramEnd"/>
            <w:r w:rsidRPr="003C3933">
              <w:t>0.19 of explanatory notes to this Category)</w:t>
            </w:r>
          </w:p>
          <w:p w14:paraId="2C2B8994" w14:textId="591C96A4" w:rsidR="005D65A6" w:rsidRPr="0094412F" w:rsidRDefault="005D65A6" w:rsidP="00495858">
            <w:pPr>
              <w:pStyle w:val="TableText"/>
              <w:keepNext/>
              <w:keepLines/>
            </w:pPr>
            <w:r w:rsidRPr="003C3933">
              <w:t xml:space="preserve">Fee: </w:t>
            </w:r>
            <w:r w:rsidRPr="0049691A">
              <w:rPr>
                <w:strike/>
              </w:rPr>
              <w:t>$72.85</w:t>
            </w:r>
            <w:r w:rsidRPr="0049691A">
              <w:t xml:space="preserve"> </w:t>
            </w:r>
            <w:r w:rsidRPr="0049691A">
              <w:rPr>
                <w:b/>
                <w:bCs/>
              </w:rPr>
              <w:t>$91.06</w:t>
            </w:r>
            <w:r w:rsidRPr="0049691A">
              <w:t xml:space="preserve"> Benefit: 75% = </w:t>
            </w:r>
            <w:r w:rsidRPr="0049691A">
              <w:rPr>
                <w:strike/>
              </w:rPr>
              <w:t>$54.65</w:t>
            </w:r>
            <w:r w:rsidRPr="0049691A">
              <w:t xml:space="preserve"> </w:t>
            </w:r>
            <w:r w:rsidRPr="0049691A">
              <w:rPr>
                <w:b/>
                <w:bCs/>
              </w:rPr>
              <w:t>$68.30</w:t>
            </w:r>
            <w:r w:rsidRPr="0049691A">
              <w:t xml:space="preserve"> 85% = </w:t>
            </w:r>
            <w:r w:rsidRPr="0049691A">
              <w:rPr>
                <w:strike/>
              </w:rPr>
              <w:t>$61.95</w:t>
            </w:r>
            <w:r w:rsidRPr="0049691A">
              <w:t xml:space="preserve"> </w:t>
            </w:r>
            <w:r w:rsidRPr="0049691A">
              <w:rPr>
                <w:b/>
                <w:bCs/>
              </w:rPr>
              <w:t>$77.40</w:t>
            </w:r>
          </w:p>
        </w:tc>
      </w:tr>
      <w:tr w:rsidR="00CE62B1" w:rsidRPr="0094412F" w14:paraId="4A2765BD" w14:textId="77777777" w:rsidTr="003F6058">
        <w:trPr>
          <w:trHeight w:val="20"/>
        </w:trPr>
        <w:tc>
          <w:tcPr>
            <w:tcW w:w="93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C53BD6" w14:textId="1A044519" w:rsidR="005D65A6" w:rsidRPr="00F27325" w:rsidRDefault="0505FD1D" w:rsidP="00495858">
            <w:pPr>
              <w:pStyle w:val="TableText"/>
              <w:keepNext/>
              <w:keepLines/>
              <w:rPr>
                <w:u w:val="single"/>
              </w:rPr>
            </w:pPr>
            <w:r w:rsidRPr="00F27325">
              <w:rPr>
                <w:u w:val="single"/>
              </w:rPr>
              <w:t xml:space="preserve">Note: Personnel performing uterine artery </w:t>
            </w:r>
            <w:proofErr w:type="spellStart"/>
            <w:r w:rsidRPr="00F27325">
              <w:rPr>
                <w:u w:val="single"/>
              </w:rPr>
              <w:t>pulsatility</w:t>
            </w:r>
            <w:proofErr w:type="spellEnd"/>
            <w:r w:rsidRPr="00F27325">
              <w:rPr>
                <w:u w:val="single"/>
              </w:rPr>
              <w:t xml:space="preserve"> index assessments through this service must have training and certification relating to the conduct of preeclampsia </w:t>
            </w:r>
            <w:r w:rsidR="6BF9F1C4" w:rsidRPr="00F27325">
              <w:rPr>
                <w:u w:val="single"/>
              </w:rPr>
              <w:t>risk assessment</w:t>
            </w:r>
            <w:r w:rsidRPr="00F27325">
              <w:rPr>
                <w:u w:val="single"/>
              </w:rPr>
              <w:t>.</w:t>
            </w:r>
          </w:p>
          <w:p w14:paraId="1095493D" w14:textId="77777777" w:rsidR="005D65A6" w:rsidRPr="00FB5FE1" w:rsidRDefault="005D65A6" w:rsidP="00971DBF">
            <w:pPr>
              <w:pStyle w:val="TableText"/>
              <w:keepNext/>
              <w:keepLines/>
              <w:spacing w:before="240"/>
              <w:rPr>
                <w:b/>
                <w:bCs/>
              </w:rPr>
            </w:pPr>
            <w:r w:rsidRPr="00F27325">
              <w:rPr>
                <w:u w:val="single"/>
              </w:rPr>
              <w:t xml:space="preserve">Providers performing uterine artery </w:t>
            </w:r>
            <w:proofErr w:type="spellStart"/>
            <w:r w:rsidRPr="00F27325">
              <w:rPr>
                <w:u w:val="single"/>
              </w:rPr>
              <w:t>pulsatility</w:t>
            </w:r>
            <w:proofErr w:type="spellEnd"/>
            <w:r w:rsidRPr="00F27325">
              <w:rPr>
                <w:u w:val="single"/>
              </w:rPr>
              <w:t xml:space="preserve"> index assessments through this service must participate in performance audits and Quality Assurance Programs applicable to the preapproved algorithm for the risk of preeclampsia.</w:t>
            </w:r>
          </w:p>
        </w:tc>
      </w:tr>
    </w:tbl>
    <w:p w14:paraId="6C6A7C96" w14:textId="6FE06EA3" w:rsidR="000D5EFF" w:rsidRPr="007A649D" w:rsidRDefault="002B76FB" w:rsidP="000E095E">
      <w:pPr>
        <w:pStyle w:val="TableFigureFooter"/>
      </w:pPr>
      <w:bookmarkStart w:id="10" w:name="_Ref141859416"/>
      <w:r w:rsidRPr="002B76FB">
        <w:t>Source: Table 5, p30 of ADAR.</w:t>
      </w:r>
    </w:p>
    <w:p w14:paraId="0268E623" w14:textId="6B4416DF" w:rsidR="00244317" w:rsidRDefault="00244317" w:rsidP="00244317">
      <w:pPr>
        <w:pStyle w:val="Caption"/>
      </w:pPr>
      <w:bookmarkStart w:id="11" w:name="_Ref144306680"/>
      <w:r>
        <w:t xml:space="preserve">Table </w:t>
      </w:r>
      <w:r w:rsidR="006608DC">
        <w:fldChar w:fldCharType="begin"/>
      </w:r>
      <w:r w:rsidR="006608DC">
        <w:instrText xml:space="preserve"> SEQ Table \* ARABIC </w:instrText>
      </w:r>
      <w:r w:rsidR="006608DC">
        <w:fldChar w:fldCharType="separate"/>
      </w:r>
      <w:r w:rsidR="009C77BA">
        <w:rPr>
          <w:noProof/>
        </w:rPr>
        <w:t>3</w:t>
      </w:r>
      <w:r w:rsidR="006608DC">
        <w:rPr>
          <w:noProof/>
        </w:rPr>
        <w:fldChar w:fldCharType="end"/>
      </w:r>
      <w:bookmarkEnd w:id="10"/>
      <w:bookmarkEnd w:id="11"/>
      <w:r>
        <w:t xml:space="preserve"> </w:t>
      </w:r>
      <w:r w:rsidR="00272335">
        <w:tab/>
      </w:r>
      <w:r w:rsidRPr="00A24907">
        <w:t>Proposed amendments to MBS item</w:t>
      </w:r>
      <w:r w:rsidR="00A271E6">
        <w:t>s</w:t>
      </w:r>
      <w:r w:rsidRPr="00A24907">
        <w:t xml:space="preserve"> 66750</w:t>
      </w:r>
      <w:r w:rsidR="00A271E6">
        <w:t xml:space="preserve"> and </w:t>
      </w:r>
      <w:r w:rsidRPr="00A24907">
        <w:t>66751</w:t>
      </w:r>
      <w:r w:rsidR="00F456B4">
        <w:t xml:space="preserve"> </w:t>
      </w:r>
      <w:r w:rsidR="003054E5">
        <w:t xml:space="preserve">based on the ratified PICO and modified by </w:t>
      </w:r>
      <w:r w:rsidR="00F456B4">
        <w:t>the applicant</w:t>
      </w:r>
      <w:r w:rsidRPr="00A24907">
        <w:t>.</w:t>
      </w:r>
    </w:p>
    <w:tbl>
      <w:tblPr>
        <w:tblStyle w:val="TableGrid1"/>
        <w:tblW w:w="9359" w:type="dxa"/>
        <w:tblInd w:w="-6" w:type="dxa"/>
        <w:tblLayout w:type="fixed"/>
        <w:tblCellMar>
          <w:left w:w="113" w:type="dxa"/>
          <w:right w:w="113" w:type="dxa"/>
        </w:tblCellMar>
        <w:tblLook w:val="01E0" w:firstRow="1" w:lastRow="1" w:firstColumn="1" w:lastColumn="1" w:noHBand="0" w:noVBand="0"/>
      </w:tblPr>
      <w:tblGrid>
        <w:gridCol w:w="9359"/>
      </w:tblGrid>
      <w:tr w:rsidR="00E8719B" w:rsidRPr="0094412F" w14:paraId="5863E35B" w14:textId="77777777" w:rsidTr="003F6058">
        <w:trPr>
          <w:cnfStyle w:val="100000000000" w:firstRow="1" w:lastRow="0" w:firstColumn="0" w:lastColumn="0" w:oddVBand="0" w:evenVBand="0" w:oddHBand="0" w:evenHBand="0" w:firstRowFirstColumn="0" w:firstRowLastColumn="0" w:lastRowFirstColumn="0" w:lastRowLastColumn="0"/>
          <w:trHeight w:val="47"/>
        </w:trPr>
        <w:tc>
          <w:tcPr>
            <w:tcW w:w="9359" w:type="dxa"/>
            <w:tcBorders>
              <w:top w:val="single" w:sz="5" w:space="0" w:color="000000"/>
              <w:left w:val="single" w:sz="5" w:space="0" w:color="000000"/>
              <w:bottom w:val="single" w:sz="5" w:space="0" w:color="000000"/>
              <w:right w:val="single" w:sz="5" w:space="0" w:color="000000"/>
            </w:tcBorders>
            <w:shd w:val="clear" w:color="auto" w:fill="auto"/>
          </w:tcPr>
          <w:p w14:paraId="4128E19C" w14:textId="77777777" w:rsidR="005D65A6" w:rsidRPr="00D878E7" w:rsidRDefault="005D65A6" w:rsidP="00495858">
            <w:pPr>
              <w:pStyle w:val="TableText"/>
            </w:pPr>
            <w:r w:rsidRPr="00D878E7">
              <w:t>Category 6 (Pathology Services)</w:t>
            </w:r>
          </w:p>
        </w:tc>
      </w:tr>
      <w:tr w:rsidR="00E8719B" w:rsidRPr="0094412F" w14:paraId="2CF1BA7E" w14:textId="77777777" w:rsidTr="003F6058">
        <w:trPr>
          <w:trHeight w:val="20"/>
        </w:trPr>
        <w:tc>
          <w:tcPr>
            <w:tcW w:w="9359" w:type="dxa"/>
            <w:tcBorders>
              <w:top w:val="single" w:sz="5" w:space="0" w:color="000000"/>
              <w:left w:val="single" w:sz="5" w:space="0" w:color="000000"/>
              <w:bottom w:val="single" w:sz="5" w:space="0" w:color="000000"/>
              <w:right w:val="single" w:sz="5" w:space="0" w:color="000000"/>
            </w:tcBorders>
            <w:shd w:val="clear" w:color="auto" w:fill="auto"/>
          </w:tcPr>
          <w:p w14:paraId="63CD5524" w14:textId="578B6194" w:rsidR="005D65A6" w:rsidRDefault="005D65A6" w:rsidP="00495858">
            <w:pPr>
              <w:pStyle w:val="TableText"/>
            </w:pPr>
            <w:r w:rsidRPr="006269BC">
              <w:t xml:space="preserve">MBS item </w:t>
            </w:r>
            <w:r>
              <w:t>66750</w:t>
            </w:r>
          </w:p>
          <w:p w14:paraId="0564C764" w14:textId="6DA2C751" w:rsidR="005D65A6" w:rsidRPr="006269BC" w:rsidRDefault="005D65A6" w:rsidP="00971DBF">
            <w:pPr>
              <w:pStyle w:val="TableText"/>
              <w:spacing w:before="240"/>
            </w:pPr>
            <w:r>
              <w:t xml:space="preserve">Quantitation, in pregnancy, of any </w:t>
            </w:r>
            <w:r w:rsidRPr="026FD300">
              <w:rPr>
                <w:strike/>
              </w:rPr>
              <w:t>2</w:t>
            </w:r>
            <w:r>
              <w:t xml:space="preserve"> </w:t>
            </w:r>
            <w:r w:rsidRPr="026FD300">
              <w:t>3</w:t>
            </w:r>
            <w:r>
              <w:t xml:space="preserve"> of the following to detect </w:t>
            </w:r>
            <w:proofErr w:type="spellStart"/>
            <w:r>
              <w:t>fetal</w:t>
            </w:r>
            <w:proofErr w:type="spellEnd"/>
            <w:r>
              <w:t xml:space="preserve"> abnormality </w:t>
            </w:r>
            <w:r w:rsidRPr="000047FD">
              <w:rPr>
                <w:b/>
                <w:bCs/>
              </w:rPr>
              <w:t>or for the assessment of risk of preeclampsia</w:t>
            </w:r>
            <w:r>
              <w:t xml:space="preserve">- total human chorionic gonadotrophin (total HCG), free alpha human chorionic gonadotrophin (free alpha HCG), free beta human chorionic gonadotrophin (free beta HCG), pregnancy associated plasma protein A (PAPP-A), </w:t>
            </w:r>
            <w:r w:rsidRPr="00F66D31">
              <w:rPr>
                <w:b/>
                <w:bCs/>
              </w:rPr>
              <w:t>serum placental growth factor (</w:t>
            </w:r>
            <w:proofErr w:type="spellStart"/>
            <w:r w:rsidRPr="00F66D31">
              <w:rPr>
                <w:b/>
                <w:bCs/>
              </w:rPr>
              <w:t>PlGF</w:t>
            </w:r>
            <w:proofErr w:type="spellEnd"/>
            <w:r w:rsidRPr="00F66D31">
              <w:rPr>
                <w:b/>
                <w:bCs/>
              </w:rPr>
              <w:t>)</w:t>
            </w:r>
            <w:r>
              <w:t xml:space="preserve"> unconjugated oestriol (uE3), alpha-fetoprotein (AFP) - including (if performed) a service described in item 73527 or 73529 - Applicable not more than once in a pregnancy</w:t>
            </w:r>
          </w:p>
          <w:p w14:paraId="0641FF74" w14:textId="77777777" w:rsidR="005D65A6" w:rsidRPr="0094412F" w:rsidRDefault="005D65A6" w:rsidP="00971DBF">
            <w:pPr>
              <w:pStyle w:val="TableText"/>
              <w:spacing w:before="240"/>
            </w:pPr>
            <w:r w:rsidRPr="003C3933">
              <w:t xml:space="preserve">Fee: </w:t>
            </w:r>
            <w:r w:rsidRPr="00560A0D">
              <w:rPr>
                <w:strike/>
              </w:rPr>
              <w:t>$39.75</w:t>
            </w:r>
            <w:r>
              <w:rPr>
                <w:strike/>
              </w:rPr>
              <w:t xml:space="preserve"> </w:t>
            </w:r>
            <w:r w:rsidRPr="00E86DC4">
              <w:rPr>
                <w:b/>
                <w:bCs/>
              </w:rPr>
              <w:t>$69.75</w:t>
            </w:r>
            <w:r>
              <w:t xml:space="preserve"> </w:t>
            </w:r>
            <w:r w:rsidRPr="00560A0D">
              <w:t xml:space="preserve">Benefit: 75% = </w:t>
            </w:r>
            <w:r w:rsidRPr="00D26C1A">
              <w:rPr>
                <w:strike/>
              </w:rPr>
              <w:t>$</w:t>
            </w:r>
            <w:r w:rsidRPr="00560A0D">
              <w:rPr>
                <w:strike/>
              </w:rPr>
              <w:t>29.85</w:t>
            </w:r>
            <w:r w:rsidRPr="00560A0D">
              <w:t xml:space="preserve"> </w:t>
            </w:r>
            <w:r w:rsidRPr="007E0C8F">
              <w:rPr>
                <w:b/>
                <w:bCs/>
              </w:rPr>
              <w:t>$52.31</w:t>
            </w:r>
            <w:r>
              <w:t xml:space="preserve"> </w:t>
            </w:r>
            <w:r w:rsidRPr="00560A0D">
              <w:t xml:space="preserve">85% = </w:t>
            </w:r>
            <w:r w:rsidRPr="00E86DC4">
              <w:rPr>
                <w:strike/>
              </w:rPr>
              <w:t>$</w:t>
            </w:r>
            <w:r w:rsidRPr="00560A0D">
              <w:rPr>
                <w:strike/>
              </w:rPr>
              <w:t>33.80</w:t>
            </w:r>
            <w:r w:rsidRPr="007E0C8F">
              <w:t xml:space="preserve"> </w:t>
            </w:r>
            <w:r w:rsidRPr="007E0C8F">
              <w:rPr>
                <w:b/>
                <w:bCs/>
              </w:rPr>
              <w:t>$59.23</w:t>
            </w:r>
          </w:p>
        </w:tc>
      </w:tr>
      <w:tr w:rsidR="00E8719B" w:rsidRPr="0094412F" w14:paraId="2DAD7E32" w14:textId="77777777" w:rsidTr="003F6058">
        <w:trPr>
          <w:trHeight w:val="20"/>
        </w:trPr>
        <w:tc>
          <w:tcPr>
            <w:tcW w:w="9359" w:type="dxa"/>
            <w:tcBorders>
              <w:top w:val="single" w:sz="5" w:space="0" w:color="000000"/>
              <w:left w:val="single" w:sz="5" w:space="0" w:color="000000"/>
              <w:bottom w:val="single" w:sz="5" w:space="0" w:color="000000"/>
              <w:right w:val="single" w:sz="5" w:space="0" w:color="000000"/>
            </w:tcBorders>
            <w:shd w:val="clear" w:color="auto" w:fill="auto"/>
          </w:tcPr>
          <w:p w14:paraId="508C33D6" w14:textId="77777777" w:rsidR="005D65A6" w:rsidRPr="00F27325" w:rsidRDefault="005D65A6" w:rsidP="00495858">
            <w:pPr>
              <w:pStyle w:val="TableText"/>
              <w:rPr>
                <w:u w:val="single"/>
              </w:rPr>
            </w:pPr>
            <w:r w:rsidRPr="00F27325">
              <w:rPr>
                <w:u w:val="single"/>
              </w:rPr>
              <w:t>Note: Providers performing this service for assessment of risk of preeclampsia must participate in performance audits and Quality Assurance Programs applicable to the preapproved algorithm for the risk of preeclampsia</w:t>
            </w:r>
          </w:p>
        </w:tc>
      </w:tr>
      <w:tr w:rsidR="00E8719B" w:rsidRPr="0094412F" w14:paraId="7F2E5D0D" w14:textId="77777777" w:rsidTr="003F6058">
        <w:trPr>
          <w:trHeight w:val="20"/>
        </w:trPr>
        <w:tc>
          <w:tcPr>
            <w:tcW w:w="9359" w:type="dxa"/>
            <w:tcBorders>
              <w:top w:val="single" w:sz="5" w:space="0" w:color="000000"/>
              <w:left w:val="single" w:sz="5" w:space="0" w:color="000000"/>
              <w:bottom w:val="single" w:sz="5" w:space="0" w:color="000000"/>
              <w:right w:val="single" w:sz="5" w:space="0" w:color="000000"/>
            </w:tcBorders>
            <w:shd w:val="clear" w:color="auto" w:fill="auto"/>
          </w:tcPr>
          <w:p w14:paraId="6B68A1EA" w14:textId="3B86D59A" w:rsidR="005D65A6" w:rsidRPr="008D068C" w:rsidRDefault="005D65A6" w:rsidP="00495858">
            <w:pPr>
              <w:pStyle w:val="TableText"/>
            </w:pPr>
            <w:r w:rsidRPr="008D068C">
              <w:t>MBS item 66751</w:t>
            </w:r>
          </w:p>
          <w:p w14:paraId="4C8B339C" w14:textId="3EBD366F" w:rsidR="005D65A6" w:rsidRDefault="005D65A6" w:rsidP="00971DBF">
            <w:pPr>
              <w:pStyle w:val="TableText"/>
              <w:spacing w:before="240" w:after="240"/>
            </w:pPr>
            <w:r w:rsidRPr="008D068C">
              <w:t xml:space="preserve">Quantitation, in pregnancy, of any </w:t>
            </w:r>
            <w:r w:rsidRPr="000E2390">
              <w:rPr>
                <w:strike/>
              </w:rPr>
              <w:t>three</w:t>
            </w:r>
            <w:r w:rsidRPr="008D068C">
              <w:t xml:space="preserve"> </w:t>
            </w:r>
            <w:r w:rsidRPr="002B7656">
              <w:rPr>
                <w:b/>
                <w:bCs/>
              </w:rPr>
              <w:t>four</w:t>
            </w:r>
            <w:r>
              <w:t xml:space="preserve"> </w:t>
            </w:r>
            <w:r w:rsidRPr="008D068C">
              <w:t xml:space="preserve">or more tests described in </w:t>
            </w:r>
            <w:proofErr w:type="gramStart"/>
            <w:r w:rsidRPr="008D068C">
              <w:t>66750</w:t>
            </w:r>
            <w:proofErr w:type="gramEnd"/>
          </w:p>
          <w:p w14:paraId="461C0AA1" w14:textId="25FF5653" w:rsidR="005D65A6" w:rsidRPr="00971DBF" w:rsidRDefault="005D65A6" w:rsidP="00495858">
            <w:pPr>
              <w:pStyle w:val="TableText"/>
              <w:rPr>
                <w:b/>
                <w:bCs/>
              </w:rPr>
            </w:pPr>
            <w:r w:rsidRPr="002B7656">
              <w:rPr>
                <w:b/>
                <w:bCs/>
              </w:rPr>
              <w:t>Item must not be used for assessment of risk preeclampsia if pregnancy is dated later than 11</w:t>
            </w:r>
            <w:r w:rsidRPr="002B7656">
              <w:rPr>
                <w:b/>
                <w:bCs/>
                <w:vertAlign w:val="superscript"/>
              </w:rPr>
              <w:t xml:space="preserve">+0 </w:t>
            </w:r>
            <w:r w:rsidRPr="002B7656">
              <w:rPr>
                <w:b/>
                <w:bCs/>
              </w:rPr>
              <w:t>to 13</w:t>
            </w:r>
            <w:r w:rsidRPr="002B7656">
              <w:rPr>
                <w:b/>
                <w:bCs/>
                <w:vertAlign w:val="superscript"/>
              </w:rPr>
              <w:t>+6</w:t>
            </w:r>
            <w:r w:rsidRPr="002B7656">
              <w:rPr>
                <w:b/>
                <w:bCs/>
              </w:rPr>
              <w:t xml:space="preserve"> weeks’ </w:t>
            </w:r>
            <w:proofErr w:type="gramStart"/>
            <w:r w:rsidRPr="002B7656">
              <w:rPr>
                <w:b/>
                <w:bCs/>
              </w:rPr>
              <w:t>gestation</w:t>
            </w:r>
            <w:proofErr w:type="gramEnd"/>
          </w:p>
          <w:p w14:paraId="287A862A" w14:textId="32EF5273" w:rsidR="005D65A6" w:rsidRPr="008D068C" w:rsidRDefault="005D65A6" w:rsidP="00971DBF">
            <w:pPr>
              <w:pStyle w:val="TableText"/>
              <w:spacing w:before="240" w:after="240"/>
            </w:pPr>
            <w:r w:rsidRPr="008D068C">
              <w:t>(Item is subject to rule 25)</w:t>
            </w:r>
          </w:p>
          <w:p w14:paraId="7F79D005" w14:textId="77777777" w:rsidR="005D65A6" w:rsidRPr="0094412F" w:rsidRDefault="005D65A6" w:rsidP="00495858">
            <w:pPr>
              <w:pStyle w:val="TableText"/>
            </w:pPr>
            <w:r w:rsidRPr="009B0B45">
              <w:t xml:space="preserve">Fee: </w:t>
            </w:r>
            <w:r w:rsidRPr="009B0B45">
              <w:rPr>
                <w:strike/>
              </w:rPr>
              <w:t>$55.25</w:t>
            </w:r>
            <w:r>
              <w:rPr>
                <w:strike/>
              </w:rPr>
              <w:t xml:space="preserve"> </w:t>
            </w:r>
            <w:r w:rsidRPr="009B0B45">
              <w:rPr>
                <w:b/>
                <w:bCs/>
              </w:rPr>
              <w:t>$85.25</w:t>
            </w:r>
            <w:r w:rsidRPr="009B0B45">
              <w:t xml:space="preserve"> Benefit: 75% = </w:t>
            </w:r>
            <w:r w:rsidRPr="00DF6012">
              <w:rPr>
                <w:strike/>
              </w:rPr>
              <w:t>$</w:t>
            </w:r>
            <w:r w:rsidRPr="009B0B45">
              <w:rPr>
                <w:strike/>
              </w:rPr>
              <w:t>41.45</w:t>
            </w:r>
            <w:r>
              <w:t xml:space="preserve"> </w:t>
            </w:r>
            <w:r w:rsidRPr="00A458D7">
              <w:rPr>
                <w:b/>
                <w:bCs/>
              </w:rPr>
              <w:t>$63.94</w:t>
            </w:r>
            <w:r w:rsidRPr="009B0B45">
              <w:t xml:space="preserve"> 85% = </w:t>
            </w:r>
            <w:r w:rsidRPr="00A458D7">
              <w:rPr>
                <w:strike/>
              </w:rPr>
              <w:t>$</w:t>
            </w:r>
            <w:r w:rsidRPr="009B0B45">
              <w:rPr>
                <w:strike/>
              </w:rPr>
              <w:t>47.00</w:t>
            </w:r>
            <w:r w:rsidRPr="00DF6012">
              <w:rPr>
                <w:b/>
                <w:bCs/>
              </w:rPr>
              <w:t xml:space="preserve"> $72.46</w:t>
            </w:r>
          </w:p>
        </w:tc>
      </w:tr>
      <w:tr w:rsidR="00E8719B" w:rsidRPr="0094412F" w14:paraId="22DEEAB9" w14:textId="77777777" w:rsidTr="003F6058">
        <w:trPr>
          <w:trHeight w:val="274"/>
        </w:trPr>
        <w:tc>
          <w:tcPr>
            <w:tcW w:w="9359" w:type="dxa"/>
            <w:tcBorders>
              <w:top w:val="single" w:sz="5" w:space="0" w:color="000000"/>
              <w:left w:val="single" w:sz="5" w:space="0" w:color="000000"/>
              <w:bottom w:val="single" w:sz="5" w:space="0" w:color="000000"/>
              <w:right w:val="single" w:sz="5" w:space="0" w:color="000000"/>
            </w:tcBorders>
            <w:shd w:val="clear" w:color="auto" w:fill="auto"/>
          </w:tcPr>
          <w:p w14:paraId="30B4CB10" w14:textId="77777777" w:rsidR="005D65A6" w:rsidRPr="00F27325" w:rsidRDefault="005D65A6" w:rsidP="00495858">
            <w:pPr>
              <w:pStyle w:val="TableText"/>
              <w:rPr>
                <w:u w:val="single"/>
              </w:rPr>
            </w:pPr>
            <w:r w:rsidRPr="00F27325">
              <w:rPr>
                <w:u w:val="single"/>
              </w:rPr>
              <w:t>Note: Providers performing this service for assessment of risk of preeclampsia must participate in performance audits and Quality Assurance Programs applicable to the preapproved algorithm for the risk of preeclampsia</w:t>
            </w:r>
          </w:p>
        </w:tc>
      </w:tr>
    </w:tbl>
    <w:p w14:paraId="2AA63E72" w14:textId="7C7D9143" w:rsidR="0025455D" w:rsidRPr="0019521F" w:rsidRDefault="0025455D" w:rsidP="0025455D">
      <w:pPr>
        <w:pStyle w:val="Tablenotes0"/>
      </w:pPr>
      <w:r>
        <w:t xml:space="preserve">Source: </w:t>
      </w:r>
      <w:r w:rsidR="00993BB6">
        <w:t>Table 6, p</w:t>
      </w:r>
      <w:r w:rsidR="00315012">
        <w:t>31 of ADAR</w:t>
      </w:r>
      <w:r w:rsidR="00C94E02">
        <w:t>.</w:t>
      </w:r>
    </w:p>
    <w:p w14:paraId="2F1102D9" w14:textId="591E69E8" w:rsidR="00B94107" w:rsidRPr="00FA5088" w:rsidRDefault="00B94107" w:rsidP="00B94107">
      <w:pPr>
        <w:pStyle w:val="Comments"/>
        <w:rPr>
          <w:i w:val="0"/>
          <w:color w:val="auto"/>
        </w:rPr>
      </w:pPr>
      <w:r w:rsidRPr="00FA5088">
        <w:rPr>
          <w:i w:val="0"/>
          <w:color w:val="auto"/>
        </w:rPr>
        <w:lastRenderedPageBreak/>
        <w:t>The amendments to existing MBS items 55707, 66750 and 66751</w:t>
      </w:r>
      <w:r>
        <w:rPr>
          <w:i w:val="0"/>
          <w:color w:val="auto"/>
        </w:rPr>
        <w:t xml:space="preserve"> </w:t>
      </w:r>
      <w:r w:rsidR="00002AAA">
        <w:rPr>
          <w:i w:val="0"/>
          <w:iCs/>
          <w:color w:val="auto"/>
        </w:rPr>
        <w:t xml:space="preserve">proposed </w:t>
      </w:r>
      <w:r w:rsidR="00B412C3">
        <w:rPr>
          <w:i w:val="0"/>
          <w:iCs/>
          <w:color w:val="auto"/>
        </w:rPr>
        <w:t>by the ADAR</w:t>
      </w:r>
      <w:r w:rsidRPr="00FA5088">
        <w:rPr>
          <w:i w:val="0"/>
          <w:iCs/>
          <w:color w:val="auto"/>
        </w:rPr>
        <w:t xml:space="preserve"> </w:t>
      </w:r>
      <w:r w:rsidRPr="00FA5088">
        <w:rPr>
          <w:i w:val="0"/>
          <w:color w:val="auto"/>
        </w:rPr>
        <w:t xml:space="preserve">are </w:t>
      </w:r>
      <w:r w:rsidR="0019033E">
        <w:rPr>
          <w:i w:val="0"/>
          <w:color w:val="auto"/>
        </w:rPr>
        <w:t xml:space="preserve">as </w:t>
      </w:r>
      <w:r w:rsidRPr="00FA5088">
        <w:rPr>
          <w:i w:val="0"/>
          <w:color w:val="auto"/>
        </w:rPr>
        <w:t xml:space="preserve">per </w:t>
      </w:r>
      <w:r w:rsidR="00C20405">
        <w:rPr>
          <w:i w:val="0"/>
          <w:color w:val="auto"/>
        </w:rPr>
        <w:t>the</w:t>
      </w:r>
      <w:r w:rsidRPr="00FA5088">
        <w:rPr>
          <w:i w:val="0"/>
          <w:color w:val="auto"/>
        </w:rPr>
        <w:t xml:space="preserve"> </w:t>
      </w:r>
      <w:r w:rsidR="008803F2" w:rsidRPr="00FA5088">
        <w:rPr>
          <w:i w:val="0"/>
          <w:color w:val="auto"/>
        </w:rPr>
        <w:t>Department</w:t>
      </w:r>
      <w:r w:rsidR="00C20405">
        <w:rPr>
          <w:i w:val="0"/>
          <w:color w:val="auto"/>
        </w:rPr>
        <w:t xml:space="preserve">’s </w:t>
      </w:r>
      <w:r w:rsidRPr="00FA5088">
        <w:rPr>
          <w:i w:val="0"/>
          <w:color w:val="auto"/>
        </w:rPr>
        <w:t>recommendations.</w:t>
      </w:r>
      <w:r w:rsidR="00C2438B" w:rsidRPr="00FA5088">
        <w:rPr>
          <w:i w:val="0"/>
          <w:color w:val="auto"/>
        </w:rPr>
        <w:t xml:space="preserve"> However, j</w:t>
      </w:r>
      <w:r w:rsidRPr="00FA5088">
        <w:rPr>
          <w:i w:val="0"/>
          <w:color w:val="auto"/>
        </w:rPr>
        <w:t xml:space="preserve">ustification for the additional time required for </w:t>
      </w:r>
      <w:proofErr w:type="spellStart"/>
      <w:r w:rsidRPr="00FA5088">
        <w:rPr>
          <w:i w:val="0"/>
          <w:color w:val="auto"/>
        </w:rPr>
        <w:t>UtA</w:t>
      </w:r>
      <w:proofErr w:type="spellEnd"/>
      <w:r w:rsidRPr="00FA5088">
        <w:rPr>
          <w:i w:val="0"/>
          <w:color w:val="auto"/>
        </w:rPr>
        <w:t xml:space="preserve">-PI and </w:t>
      </w:r>
      <w:proofErr w:type="spellStart"/>
      <w:r w:rsidRPr="00FA5088">
        <w:rPr>
          <w:i w:val="0"/>
          <w:color w:val="auto"/>
        </w:rPr>
        <w:t>PlGF</w:t>
      </w:r>
      <w:proofErr w:type="spellEnd"/>
      <w:r w:rsidRPr="00FA5088">
        <w:rPr>
          <w:i w:val="0"/>
          <w:color w:val="auto"/>
        </w:rPr>
        <w:t xml:space="preserve"> to support the increase in MBS fee </w:t>
      </w:r>
      <w:r w:rsidR="007D3487">
        <w:rPr>
          <w:i w:val="0"/>
          <w:color w:val="auto"/>
        </w:rPr>
        <w:t>has not been</w:t>
      </w:r>
      <w:r w:rsidRPr="00FA5088">
        <w:rPr>
          <w:i w:val="0"/>
          <w:color w:val="auto"/>
        </w:rPr>
        <w:t xml:space="preserve"> </w:t>
      </w:r>
      <w:r w:rsidR="00FE0EFF">
        <w:rPr>
          <w:i w:val="0"/>
          <w:color w:val="auto"/>
        </w:rPr>
        <w:t>provided</w:t>
      </w:r>
      <w:r w:rsidRPr="00FA5088">
        <w:rPr>
          <w:i w:val="0"/>
          <w:color w:val="auto"/>
        </w:rPr>
        <w:t>.</w:t>
      </w:r>
      <w:r w:rsidR="008803F2" w:rsidRPr="00FA5088">
        <w:rPr>
          <w:i w:val="0"/>
          <w:color w:val="auto"/>
        </w:rPr>
        <w:t xml:space="preserve"> The </w:t>
      </w:r>
      <w:r w:rsidR="000170B9">
        <w:rPr>
          <w:i w:val="0"/>
          <w:color w:val="auto"/>
        </w:rPr>
        <w:t>commentary</w:t>
      </w:r>
      <w:r w:rsidR="008803F2" w:rsidRPr="00FA5088">
        <w:rPr>
          <w:i w:val="0"/>
          <w:color w:val="auto"/>
        </w:rPr>
        <w:t xml:space="preserve"> also note</w:t>
      </w:r>
      <w:r w:rsidR="00780EFA">
        <w:rPr>
          <w:i w:val="0"/>
          <w:color w:val="auto"/>
        </w:rPr>
        <w:t>d</w:t>
      </w:r>
      <w:r w:rsidR="008803F2" w:rsidRPr="00FA5088">
        <w:rPr>
          <w:i w:val="0"/>
          <w:color w:val="auto"/>
        </w:rPr>
        <w:t xml:space="preserve"> that organisations during public consultation were concerned about </w:t>
      </w:r>
      <w:r w:rsidR="00F1079E" w:rsidRPr="00FA5088">
        <w:rPr>
          <w:i w:val="0"/>
          <w:color w:val="auto"/>
        </w:rPr>
        <w:t>existing MBS funding for first trimester ultrasounds being well</w:t>
      </w:r>
      <w:r w:rsidR="00203109" w:rsidRPr="00FA5088">
        <w:rPr>
          <w:i w:val="0"/>
          <w:color w:val="auto"/>
        </w:rPr>
        <w:t xml:space="preserve"> below the c</w:t>
      </w:r>
      <w:r w:rsidR="00433793" w:rsidRPr="00FA5088">
        <w:rPr>
          <w:i w:val="0"/>
          <w:color w:val="auto"/>
        </w:rPr>
        <w:t>ost of service</w:t>
      </w:r>
      <w:r w:rsidR="00900B64">
        <w:rPr>
          <w:i w:val="0"/>
          <w:color w:val="auto"/>
        </w:rPr>
        <w:t>, and this having consequences for bulkbilling.</w:t>
      </w:r>
    </w:p>
    <w:p w14:paraId="158D6C7C" w14:textId="77777777" w:rsidR="001E5AB3" w:rsidRPr="00B9442C" w:rsidRDefault="001E5AB3" w:rsidP="00B9442C">
      <w:pPr>
        <w:pStyle w:val="a-subHeading"/>
        <w:spacing w:after="0"/>
        <w:rPr>
          <w:sz w:val="24"/>
          <w:szCs w:val="24"/>
        </w:rPr>
      </w:pPr>
      <w:r w:rsidRPr="00B9442C">
        <w:rPr>
          <w:sz w:val="24"/>
          <w:szCs w:val="24"/>
        </w:rPr>
        <w:t>Restrictions</w:t>
      </w:r>
    </w:p>
    <w:p w14:paraId="1A4A8EE4" w14:textId="0069A4C1" w:rsidR="003B5DC0" w:rsidRPr="00E41AA8" w:rsidRDefault="003B5DC0" w:rsidP="003B5DC0">
      <w:pPr>
        <w:pStyle w:val="a-TEXT"/>
      </w:pPr>
      <w:r w:rsidRPr="00E41AA8">
        <w:t xml:space="preserve">The </w:t>
      </w:r>
      <w:r>
        <w:t xml:space="preserve">proposed </w:t>
      </w:r>
      <w:r w:rsidR="00C37056">
        <w:t>FMF risk calculation</w:t>
      </w:r>
      <w:r w:rsidR="00C37056" w:rsidRPr="00E41AA8">
        <w:t xml:space="preserve"> </w:t>
      </w:r>
      <w:r w:rsidRPr="00E41AA8">
        <w:t xml:space="preserve">can be performed in an outpatient setting and does not require inpatient admission. However, the biochemical component of the test (measurement of maternal serum </w:t>
      </w:r>
      <w:proofErr w:type="spellStart"/>
      <w:r w:rsidRPr="00E41AA8">
        <w:t>PlGF</w:t>
      </w:r>
      <w:proofErr w:type="spellEnd"/>
      <w:r w:rsidRPr="00E41AA8">
        <w:t xml:space="preserve"> and/or PAPP-A) would be performed in a laboratory.</w:t>
      </w:r>
    </w:p>
    <w:p w14:paraId="1FDD3766" w14:textId="78DF5EDF" w:rsidR="00055E1E" w:rsidRPr="005B3035" w:rsidRDefault="003B5DC0" w:rsidP="00903300">
      <w:pPr>
        <w:pStyle w:val="a-TEXT"/>
      </w:pPr>
      <w:r w:rsidRPr="005B3035">
        <w:t xml:space="preserve">The applicant stated that to ensure that each </w:t>
      </w:r>
      <w:r w:rsidR="00893236">
        <w:t xml:space="preserve">input </w:t>
      </w:r>
      <w:r w:rsidRPr="005B3035">
        <w:t xml:space="preserve">variable (MABP, </w:t>
      </w:r>
      <w:proofErr w:type="spellStart"/>
      <w:r w:rsidRPr="005B3035">
        <w:t>UtA</w:t>
      </w:r>
      <w:proofErr w:type="spellEnd"/>
      <w:r w:rsidRPr="005B3035">
        <w:t xml:space="preserve">-PI and </w:t>
      </w:r>
      <w:proofErr w:type="spellStart"/>
      <w:r w:rsidRPr="005B3035">
        <w:t>PlGF</w:t>
      </w:r>
      <w:proofErr w:type="spellEnd"/>
      <w:r w:rsidRPr="005B3035">
        <w:t xml:space="preserve"> and/or PAPP-A) is measured to an appropriate standard, it is imperative that the assessments are conducted by trained members of medical staff (e.g., </w:t>
      </w:r>
      <w:proofErr w:type="spellStart"/>
      <w:r w:rsidRPr="005B3035">
        <w:t>UtA</w:t>
      </w:r>
      <w:proofErr w:type="spellEnd"/>
      <w:r w:rsidRPr="005B3035">
        <w:t>-PI should be assessed by a sonographer</w:t>
      </w:r>
      <w:r w:rsidR="00055E1E" w:rsidRPr="005B3035">
        <w:t xml:space="preserve"> or </w:t>
      </w:r>
      <w:r w:rsidRPr="005B3035">
        <w:t xml:space="preserve">sonologist with training and certification relating to the conduct of preeclampsia </w:t>
      </w:r>
      <w:r w:rsidR="00F56D38">
        <w:t>testing</w:t>
      </w:r>
      <w:r w:rsidRPr="005B3035">
        <w:t>).</w:t>
      </w:r>
      <w:r w:rsidR="00442881" w:rsidRPr="005B3035">
        <w:t xml:space="preserve"> </w:t>
      </w:r>
      <w:r w:rsidR="001B28BE" w:rsidRPr="005B3035">
        <w:t xml:space="preserve">Organisational feedback also identified </w:t>
      </w:r>
      <w:r w:rsidR="00F96C99">
        <w:t>reliance</w:t>
      </w:r>
      <w:r w:rsidR="003E2FB0" w:rsidRPr="005B3035">
        <w:t xml:space="preserve"> on all the components being done optimally and according to protocol to provide accurate and meaningful results.</w:t>
      </w:r>
    </w:p>
    <w:p w14:paraId="50707126" w14:textId="16AE8253" w:rsidR="00903300" w:rsidRPr="005E548B" w:rsidRDefault="00442881" w:rsidP="003F6058">
      <w:pPr>
        <w:pStyle w:val="a-TEXT"/>
      </w:pPr>
      <w:r w:rsidRPr="003E2FB0">
        <w:t xml:space="preserve">The </w:t>
      </w:r>
      <w:r w:rsidR="00E01E83" w:rsidRPr="003E2FB0">
        <w:t>FMF</w:t>
      </w:r>
      <w:r w:rsidRPr="003E2FB0">
        <w:t xml:space="preserve"> runs training, certification, and audit services for the assessment of MABP, </w:t>
      </w:r>
      <w:proofErr w:type="spellStart"/>
      <w:r w:rsidRPr="003E2FB0">
        <w:t>UtA</w:t>
      </w:r>
      <w:proofErr w:type="spellEnd"/>
      <w:r w:rsidRPr="003E2FB0">
        <w:t xml:space="preserve">-PI, </w:t>
      </w:r>
      <w:proofErr w:type="spellStart"/>
      <w:r w:rsidRPr="003E2FB0">
        <w:t>PlGF</w:t>
      </w:r>
      <w:proofErr w:type="spellEnd"/>
      <w:r w:rsidRPr="003E2FB0">
        <w:t xml:space="preserve"> and PAPP-A. </w:t>
      </w:r>
      <w:r w:rsidR="00903300" w:rsidRPr="003E2FB0">
        <w:t>The proposed MBS items include</w:t>
      </w:r>
      <w:r w:rsidR="00F62133">
        <w:t>d</w:t>
      </w:r>
      <w:r w:rsidR="00903300" w:rsidRPr="003E2FB0">
        <w:t xml:space="preserve"> a note </w:t>
      </w:r>
      <w:r w:rsidR="00150C45">
        <w:t xml:space="preserve">from the applicant </w:t>
      </w:r>
      <w:r w:rsidR="00903300" w:rsidRPr="003E2FB0">
        <w:t xml:space="preserve">outlining that providers must participate in performance audits and Quality Assurance Programs. The intent of this note </w:t>
      </w:r>
      <w:r w:rsidR="00F62133">
        <w:t>was</w:t>
      </w:r>
      <w:r w:rsidR="00F62133" w:rsidRPr="003E2FB0">
        <w:t xml:space="preserve"> </w:t>
      </w:r>
      <w:r w:rsidR="00903300" w:rsidRPr="003E2FB0">
        <w:t xml:space="preserve">to support best standard of care for MABP and </w:t>
      </w:r>
      <w:proofErr w:type="spellStart"/>
      <w:r w:rsidR="00903300" w:rsidRPr="003E2FB0">
        <w:t>UtA</w:t>
      </w:r>
      <w:proofErr w:type="spellEnd"/>
      <w:r w:rsidR="00903300" w:rsidRPr="003E2FB0">
        <w:t>-PI assessments funded through the MBS as suggested by PASC.</w:t>
      </w:r>
      <w:r w:rsidRPr="003E2FB0">
        <w:t xml:space="preserve"> </w:t>
      </w:r>
      <w:r w:rsidR="00150C45">
        <w:t>However, n</w:t>
      </w:r>
      <w:r w:rsidR="00903300" w:rsidRPr="005E548B">
        <w:t xml:space="preserve">o cost or resource requirement details on FMF training </w:t>
      </w:r>
      <w:r w:rsidR="00F62133">
        <w:t>were</w:t>
      </w:r>
      <w:r w:rsidR="00903300" w:rsidRPr="005E548B">
        <w:t xml:space="preserve"> provided</w:t>
      </w:r>
      <w:r w:rsidR="00150C45">
        <w:t xml:space="preserve"> as part of the ADAR</w:t>
      </w:r>
      <w:r w:rsidR="00903300" w:rsidRPr="005E548B">
        <w:t xml:space="preserve">. How these will be incorporated into the overall cost/public funding requirements should be considered. Key </w:t>
      </w:r>
      <w:r w:rsidR="008B08FF">
        <w:t>considerations</w:t>
      </w:r>
      <w:r w:rsidR="008B08FF" w:rsidRPr="005E548B">
        <w:t xml:space="preserve"> </w:t>
      </w:r>
      <w:r w:rsidR="008B08FF" w:rsidRPr="005635EB">
        <w:t>related to training included</w:t>
      </w:r>
      <w:r w:rsidR="00903300" w:rsidRPr="005E548B">
        <w:t>:</w:t>
      </w:r>
    </w:p>
    <w:p w14:paraId="04B19EDE" w14:textId="77777777" w:rsidR="00903300" w:rsidRPr="005E548B" w:rsidRDefault="00903300" w:rsidP="002D4ECD">
      <w:pPr>
        <w:pStyle w:val="Comments"/>
        <w:numPr>
          <w:ilvl w:val="0"/>
          <w:numId w:val="15"/>
        </w:numPr>
        <w:rPr>
          <w:i w:val="0"/>
          <w:color w:val="auto"/>
        </w:rPr>
      </w:pPr>
      <w:r w:rsidRPr="005E548B">
        <w:rPr>
          <w:i w:val="0"/>
          <w:color w:val="auto"/>
        </w:rPr>
        <w:t>What is the current training, certification, and performance auditing requirements? What is the time/opportunity cost in participating?</w:t>
      </w:r>
    </w:p>
    <w:p w14:paraId="2D2858E1" w14:textId="52A7F477" w:rsidR="00903300" w:rsidRPr="005E548B" w:rsidRDefault="00903300" w:rsidP="002D4ECD">
      <w:pPr>
        <w:pStyle w:val="Comments"/>
        <w:numPr>
          <w:ilvl w:val="0"/>
          <w:numId w:val="15"/>
        </w:numPr>
        <w:rPr>
          <w:i w:val="0"/>
          <w:color w:val="auto"/>
        </w:rPr>
      </w:pPr>
      <w:r w:rsidRPr="005E548B">
        <w:rPr>
          <w:i w:val="0"/>
          <w:color w:val="auto"/>
        </w:rPr>
        <w:t>How many sonographers or phlebotomists would need to participate to have the necessary number of trained staff for the population expected to use the proposed technology? Is this feasible/appropriate?</w:t>
      </w:r>
    </w:p>
    <w:p w14:paraId="19434C97" w14:textId="1F9915EF" w:rsidR="003B5DC0" w:rsidRPr="005E548B" w:rsidRDefault="00903300" w:rsidP="002D4ECD">
      <w:pPr>
        <w:pStyle w:val="Comments"/>
        <w:numPr>
          <w:ilvl w:val="0"/>
          <w:numId w:val="15"/>
        </w:numPr>
        <w:rPr>
          <w:i w:val="0"/>
          <w:color w:val="auto"/>
        </w:rPr>
      </w:pPr>
      <w:r w:rsidRPr="005E548B">
        <w:rPr>
          <w:i w:val="0"/>
          <w:color w:val="auto"/>
        </w:rPr>
        <w:t>What would be the total cost of training and compliance requirements?</w:t>
      </w:r>
    </w:p>
    <w:p w14:paraId="34E0B08F" w14:textId="487078C2" w:rsidR="00772829" w:rsidRPr="00CE28E3" w:rsidRDefault="00971DBF" w:rsidP="002A18BE">
      <w:pPr>
        <w:pStyle w:val="Heading2"/>
        <w:numPr>
          <w:ilvl w:val="0"/>
          <w:numId w:val="0"/>
        </w:numPr>
      </w:pPr>
      <w:bookmarkStart w:id="12" w:name="_Toc69491419"/>
      <w:r>
        <w:t>7</w:t>
      </w:r>
      <w:r w:rsidR="00C36633">
        <w:t>.</w:t>
      </w:r>
      <w:r w:rsidR="00C36633">
        <w:tab/>
      </w:r>
      <w:r w:rsidR="00772829" w:rsidRPr="00CE28E3">
        <w:t>Population</w:t>
      </w:r>
      <w:bookmarkEnd w:id="12"/>
      <w:r w:rsidR="00772829" w:rsidRPr="00CE28E3">
        <w:t xml:space="preserve"> </w:t>
      </w:r>
    </w:p>
    <w:p w14:paraId="2558D69E" w14:textId="03EACE0A" w:rsidR="00866337" w:rsidRDefault="003D61B1" w:rsidP="00D118CB">
      <w:pPr>
        <w:pStyle w:val="a-TEXT"/>
      </w:pPr>
      <w:r>
        <w:t>O</w:t>
      </w:r>
      <w:r w:rsidR="002A05AC">
        <w:t xml:space="preserve">ne </w:t>
      </w:r>
      <w:r>
        <w:t>population was proposed</w:t>
      </w:r>
      <w:r w:rsidR="00C83574">
        <w:t>:</w:t>
      </w:r>
      <w:r w:rsidR="00562B16">
        <w:t xml:space="preserve"> </w:t>
      </w:r>
      <w:r w:rsidR="6AFF3E01">
        <w:t xml:space="preserve">all </w:t>
      </w:r>
      <w:r w:rsidR="005D6885">
        <w:t xml:space="preserve">pregnant </w:t>
      </w:r>
      <w:r w:rsidR="00F43CB5">
        <w:t>persons</w:t>
      </w:r>
      <w:r w:rsidR="005D6885">
        <w:t xml:space="preserve"> at 11</w:t>
      </w:r>
      <w:r w:rsidR="005D6885" w:rsidRPr="1923DEB3">
        <w:rPr>
          <w:vertAlign w:val="superscript"/>
        </w:rPr>
        <w:t>+0</w:t>
      </w:r>
      <w:r w:rsidR="005D6885">
        <w:t xml:space="preserve"> to 13</w:t>
      </w:r>
      <w:r w:rsidR="005D6885" w:rsidRPr="1923DEB3">
        <w:rPr>
          <w:vertAlign w:val="superscript"/>
        </w:rPr>
        <w:t>+6</w:t>
      </w:r>
      <w:r w:rsidR="005D6885">
        <w:t xml:space="preserve"> weeks gestation</w:t>
      </w:r>
      <w:r w:rsidR="00616368" w:rsidRPr="005635EB">
        <w:t xml:space="preserve">. </w:t>
      </w:r>
      <w:r w:rsidR="002E5917">
        <w:t xml:space="preserve">The proposed technology would be used </w:t>
      </w:r>
      <w:r w:rsidR="0B0D721D">
        <w:t xml:space="preserve">in place of the current </w:t>
      </w:r>
      <w:r w:rsidR="7C56EA58">
        <w:t xml:space="preserve">clinical </w:t>
      </w:r>
      <w:r w:rsidR="0B0D721D">
        <w:t xml:space="preserve">risk assessment. </w:t>
      </w:r>
      <w:r w:rsidR="19B44648">
        <w:t xml:space="preserve">The intervention is not </w:t>
      </w:r>
      <w:r w:rsidR="00616368">
        <w:t>current</w:t>
      </w:r>
      <w:r w:rsidR="14053E70">
        <w:t>ly</w:t>
      </w:r>
      <w:r w:rsidR="00616368">
        <w:t xml:space="preserve"> publicly funded (available, but not funded).</w:t>
      </w:r>
      <w:r w:rsidR="00CE4DCE">
        <w:t xml:space="preserve"> </w:t>
      </w:r>
      <w:r w:rsidR="001A2F15">
        <w:t xml:space="preserve">The proposed technology </w:t>
      </w:r>
      <w:r w:rsidR="00CA3626">
        <w:t xml:space="preserve">would </w:t>
      </w:r>
      <w:r w:rsidR="00535291">
        <w:t xml:space="preserve">replace the existing </w:t>
      </w:r>
      <w:r w:rsidR="008F4523">
        <w:t>SoC</w:t>
      </w:r>
      <w:r w:rsidR="00535291">
        <w:t xml:space="preserve"> in the clinical management algorithm</w:t>
      </w:r>
      <w:r w:rsidR="00427A49">
        <w:t xml:space="preserve">. </w:t>
      </w:r>
      <w:r w:rsidR="00D118CB">
        <w:t>The SoC is r</w:t>
      </w:r>
      <w:r w:rsidR="00866337">
        <w:t>isk assessment for preterm preeclampsia in “</w:t>
      </w:r>
      <w:r w:rsidR="00065100">
        <w:t>early gestation” as part of clinical exam/history (typically done between 8- and 20- weeks’ gestation</w:t>
      </w:r>
      <w:r w:rsidR="00866337">
        <w:t>, though there is no formal timeline).</w:t>
      </w:r>
      <w:r w:rsidR="002F3F9A">
        <w:t xml:space="preserve"> </w:t>
      </w:r>
      <w:r w:rsidR="00C30D3F">
        <w:t>If a patient is considered “high risk”</w:t>
      </w:r>
      <w:r w:rsidR="00A64B3F">
        <w:t xml:space="preserve"> (</w:t>
      </w:r>
      <w:r w:rsidR="00FA7F90">
        <w:t xml:space="preserve">usually </w:t>
      </w:r>
      <w:r w:rsidR="00A64B3F">
        <w:t xml:space="preserve">based on </w:t>
      </w:r>
      <w:r w:rsidR="00FA7F90">
        <w:t>NICE</w:t>
      </w:r>
      <w:r w:rsidR="00084C0C">
        <w:t xml:space="preserve"> </w:t>
      </w:r>
      <w:r w:rsidR="00FA7F90">
        <w:t>or ACOG guidelines</w:t>
      </w:r>
      <w:r w:rsidR="007F4068">
        <w:t>)</w:t>
      </w:r>
      <w:r w:rsidR="00C30D3F">
        <w:t xml:space="preserve">, they are prescribed </w:t>
      </w:r>
      <w:r w:rsidR="0095533E">
        <w:t>aspirin and monitored for preeclampsia.</w:t>
      </w:r>
    </w:p>
    <w:p w14:paraId="5C3DB05D" w14:textId="2C07127F" w:rsidR="00B308C9" w:rsidRPr="00310D8E" w:rsidRDefault="0036581A" w:rsidP="00B308C9">
      <w:pPr>
        <w:pStyle w:val="a-TEXT"/>
      </w:pPr>
      <w:r w:rsidRPr="00310D8E">
        <w:t xml:space="preserve">The </w:t>
      </w:r>
      <w:r w:rsidR="00A63601">
        <w:t>ADAR</w:t>
      </w:r>
      <w:r w:rsidRPr="00310D8E">
        <w:t xml:space="preserve"> generally addresse</w:t>
      </w:r>
      <w:r w:rsidR="00ED4B26">
        <w:t>d</w:t>
      </w:r>
      <w:r w:rsidRPr="00310D8E">
        <w:t xml:space="preserve"> the requirements of the </w:t>
      </w:r>
      <w:r w:rsidR="00ED4B26">
        <w:t>ratified</w:t>
      </w:r>
      <w:r w:rsidR="00ED4B26" w:rsidRPr="00310D8E">
        <w:t xml:space="preserve"> </w:t>
      </w:r>
      <w:r w:rsidRPr="00310D8E">
        <w:t>PICO. However, t</w:t>
      </w:r>
      <w:r w:rsidR="00312ACA" w:rsidRPr="00310D8E">
        <w:t xml:space="preserve">he </w:t>
      </w:r>
      <w:r w:rsidR="00C06F4E">
        <w:t>commentary</w:t>
      </w:r>
      <w:r w:rsidR="00312ACA" w:rsidRPr="00310D8E">
        <w:t xml:space="preserve"> </w:t>
      </w:r>
      <w:r w:rsidR="00B308C9" w:rsidRPr="00310D8E">
        <w:t>identified some key issues for consideration</w:t>
      </w:r>
      <w:r w:rsidR="00451E16" w:rsidRPr="00310D8E">
        <w:t xml:space="preserve"> regarding the proposed clinical management algorithm</w:t>
      </w:r>
      <w:r w:rsidR="00A80650">
        <w:t>:</w:t>
      </w:r>
    </w:p>
    <w:p w14:paraId="5396CD40" w14:textId="6F2934F8" w:rsidR="00C27D1E" w:rsidRPr="00272335" w:rsidRDefault="00B8595B" w:rsidP="002D4ECD">
      <w:pPr>
        <w:pStyle w:val="a-TEXT"/>
        <w:numPr>
          <w:ilvl w:val="0"/>
          <w:numId w:val="19"/>
        </w:numPr>
      </w:pPr>
      <w:r w:rsidRPr="00272335">
        <w:t xml:space="preserve">It </w:t>
      </w:r>
      <w:r w:rsidR="00592147">
        <w:t>wa</w:t>
      </w:r>
      <w:r w:rsidRPr="00272335">
        <w:t xml:space="preserve">s unclear </w:t>
      </w:r>
      <w:r w:rsidR="00C27D1E" w:rsidRPr="00272335">
        <w:t>whether assessment of maternal characteristics, medical and obstetric history</w:t>
      </w:r>
      <w:r w:rsidR="002639A2" w:rsidRPr="00272335">
        <w:t xml:space="preserve"> </w:t>
      </w:r>
      <w:r w:rsidR="00592147">
        <w:t>would</w:t>
      </w:r>
      <w:r w:rsidR="00592147" w:rsidRPr="00272335">
        <w:t xml:space="preserve"> </w:t>
      </w:r>
      <w:r w:rsidR="002639A2" w:rsidRPr="00272335">
        <w:t xml:space="preserve">be conducted by </w:t>
      </w:r>
      <w:r w:rsidR="00C27D1E" w:rsidRPr="00272335">
        <w:t>the GP practice</w:t>
      </w:r>
      <w:r w:rsidR="002639A2" w:rsidRPr="00272335">
        <w:t>,</w:t>
      </w:r>
      <w:r w:rsidR="00C27D1E" w:rsidRPr="00272335">
        <w:t xml:space="preserve"> </w:t>
      </w:r>
      <w:r w:rsidR="00C60A1D" w:rsidRPr="00272335">
        <w:t>midwife,</w:t>
      </w:r>
      <w:r w:rsidR="00C27D1E" w:rsidRPr="00272335">
        <w:t xml:space="preserve"> or obstetrician</w:t>
      </w:r>
      <w:r w:rsidR="00C325F4">
        <w:t>,</w:t>
      </w:r>
      <w:r w:rsidR="00C27D1E" w:rsidRPr="00272335">
        <w:t xml:space="preserve"> </w:t>
      </w:r>
      <w:r w:rsidR="002639A2" w:rsidRPr="00272335">
        <w:t xml:space="preserve">or by sonographers/phlebotomists </w:t>
      </w:r>
      <w:r w:rsidR="00C27D1E" w:rsidRPr="00272335">
        <w:t>after referral</w:t>
      </w:r>
      <w:r w:rsidR="002639A2" w:rsidRPr="00272335">
        <w:t xml:space="preserve"> in the new clinical management algorithm</w:t>
      </w:r>
      <w:r w:rsidR="007A6DC4" w:rsidRPr="00272335">
        <w:t xml:space="preserve">. </w:t>
      </w:r>
      <w:r w:rsidR="00DD1232" w:rsidRPr="00272335">
        <w:t>In the ratified PICO, PASC queried whether a clinician</w:t>
      </w:r>
      <w:r w:rsidR="00C325F4">
        <w:t>-</w:t>
      </w:r>
      <w:r w:rsidR="00DD1232" w:rsidRPr="00272335">
        <w:t xml:space="preserve">led model should be used rather than </w:t>
      </w:r>
      <w:r w:rsidR="00DD1232" w:rsidRPr="00272335">
        <w:lastRenderedPageBreak/>
        <w:t xml:space="preserve">the proposed sonographer- or phlebotomist-led models of care. Currently, the clinical management algorithm (assessment of maternal characteristics, medical and obstetric history) is clinician or </w:t>
      </w:r>
      <w:proofErr w:type="gramStart"/>
      <w:r w:rsidR="00DD1232" w:rsidRPr="00272335">
        <w:t>midwife</w:t>
      </w:r>
      <w:r w:rsidR="00D63346">
        <w:t>-</w:t>
      </w:r>
      <w:r w:rsidR="00DD1232" w:rsidRPr="00272335">
        <w:t>led</w:t>
      </w:r>
      <w:proofErr w:type="gramEnd"/>
      <w:r w:rsidR="00DD1232" w:rsidRPr="00272335">
        <w:t>. Changing this requirement to a different practitioner may need to consider time/resource burden and how results are interpreted by the patient.</w:t>
      </w:r>
    </w:p>
    <w:p w14:paraId="1E1DED14" w14:textId="222EF012" w:rsidR="00E82CB6" w:rsidRPr="00272335" w:rsidRDefault="005D61A6" w:rsidP="002D4ECD">
      <w:pPr>
        <w:pStyle w:val="a-TEXT"/>
        <w:numPr>
          <w:ilvl w:val="0"/>
          <w:numId w:val="19"/>
        </w:numPr>
      </w:pPr>
      <w:r>
        <w:t xml:space="preserve">The </w:t>
      </w:r>
      <w:r w:rsidR="00E82CB6" w:rsidRPr="00272335">
        <w:t xml:space="preserve">ADAR </w:t>
      </w:r>
      <w:r>
        <w:t>omitted discussion of</w:t>
      </w:r>
      <w:r w:rsidRPr="00272335">
        <w:t xml:space="preserve"> </w:t>
      </w:r>
      <w:r w:rsidR="00E82CB6" w:rsidRPr="00272335">
        <w:t xml:space="preserve">how aspirin is </w:t>
      </w:r>
      <w:r>
        <w:t>prescribed</w:t>
      </w:r>
      <w:r w:rsidRPr="00272335">
        <w:t xml:space="preserve"> </w:t>
      </w:r>
      <w:r w:rsidR="00E82CB6" w:rsidRPr="00272335">
        <w:t xml:space="preserve">in </w:t>
      </w:r>
      <w:r>
        <w:t xml:space="preserve">current </w:t>
      </w:r>
      <w:r w:rsidR="00E82CB6" w:rsidRPr="00272335">
        <w:t>practice, and how this then translates to use. This has not been included in the clinical management algorithm but is a key consideration. As aspirin is over the counter does this have any impact on prescription and usage?</w:t>
      </w:r>
    </w:p>
    <w:p w14:paraId="13913B87" w14:textId="2188C418" w:rsidR="00C27D1E" w:rsidRPr="00FF6848" w:rsidRDefault="00C27D1E" w:rsidP="002D4ECD">
      <w:pPr>
        <w:pStyle w:val="a-TEXT"/>
        <w:numPr>
          <w:ilvl w:val="0"/>
          <w:numId w:val="19"/>
        </w:numPr>
      </w:pPr>
      <w:r>
        <w:t xml:space="preserve">Risk-based </w:t>
      </w:r>
      <w:r w:rsidR="00F56D38">
        <w:t>testing</w:t>
      </w:r>
      <w:r>
        <w:t xml:space="preserve"> </w:t>
      </w:r>
      <w:r w:rsidR="00AF5E04">
        <w:t>raises</w:t>
      </w:r>
      <w:r>
        <w:t xml:space="preserve"> issues around eligibility cut-offs and providing risk information to patients</w:t>
      </w:r>
      <w:r w:rsidR="00AF5E04">
        <w:t xml:space="preserve"> because </w:t>
      </w:r>
      <w:r>
        <w:t>aspirin is over the counter</w:t>
      </w:r>
      <w:r w:rsidR="006A463A">
        <w:t xml:space="preserve">, which means that </w:t>
      </w:r>
      <w:r w:rsidR="00DF77E1">
        <w:t>p</w:t>
      </w:r>
      <w:r>
        <w:t xml:space="preserve">rovision of risk information may lead to self-administration for those not </w:t>
      </w:r>
      <w:r w:rsidR="34AC6FF9">
        <w:t>actually considered</w:t>
      </w:r>
      <w:r>
        <w:t xml:space="preserve"> at high risk for preeclampsia.</w:t>
      </w:r>
    </w:p>
    <w:p w14:paraId="5B804E2E" w14:textId="35D6FED6" w:rsidR="00F964A9" w:rsidRPr="00272335" w:rsidRDefault="00F964A9" w:rsidP="002D4ECD">
      <w:pPr>
        <w:pStyle w:val="a-TEXT"/>
        <w:numPr>
          <w:ilvl w:val="0"/>
          <w:numId w:val="19"/>
        </w:numPr>
      </w:pPr>
      <w:r w:rsidRPr="00F964A9">
        <w:t xml:space="preserve">In the ratified PICO, PASC considered that the applicant needed to provide evidence that the protocol prescribed by FMF for determining MAP was superior to the standard procedure recommended by professional bodies such as the National Heart Foundation of Australia (NHFA) or the Society of Obstetric Medicine of Australia and New Zealand (SOMANZ). This point </w:t>
      </w:r>
      <w:r>
        <w:t>was not</w:t>
      </w:r>
      <w:r w:rsidRPr="00F964A9">
        <w:t xml:space="preserve"> discussed</w:t>
      </w:r>
      <w:r>
        <w:t xml:space="preserve"> in the ADAR.</w:t>
      </w:r>
    </w:p>
    <w:p w14:paraId="66BDFCC1" w14:textId="24B7984A" w:rsidR="00772829" w:rsidRPr="00CE28E3" w:rsidRDefault="00971DBF" w:rsidP="002A18BE">
      <w:pPr>
        <w:pStyle w:val="Heading2"/>
        <w:numPr>
          <w:ilvl w:val="0"/>
          <w:numId w:val="0"/>
        </w:numPr>
      </w:pPr>
      <w:bookmarkStart w:id="13" w:name="_Toc69491420"/>
      <w:r>
        <w:t>8</w:t>
      </w:r>
      <w:r w:rsidR="00C36633">
        <w:t>.</w:t>
      </w:r>
      <w:r w:rsidR="00C36633">
        <w:tab/>
      </w:r>
      <w:r w:rsidR="00772829" w:rsidRPr="00CE28E3">
        <w:t>Comparator</w:t>
      </w:r>
      <w:bookmarkEnd w:id="13"/>
    </w:p>
    <w:p w14:paraId="4D5F4DF3" w14:textId="6702D02C" w:rsidR="00A804F6" w:rsidRDefault="00B00A60" w:rsidP="00A804F6">
      <w:pPr>
        <w:pStyle w:val="a-TEXT"/>
      </w:pPr>
      <w:r w:rsidRPr="00694E9E">
        <w:rPr>
          <w:color w:val="000000" w:themeColor="text1"/>
        </w:rPr>
        <w:t xml:space="preserve">The proposed comparator </w:t>
      </w:r>
      <w:r w:rsidR="00AF74C6">
        <w:rPr>
          <w:color w:val="000000" w:themeColor="text1"/>
        </w:rPr>
        <w:t>wa</w:t>
      </w:r>
      <w:r w:rsidRPr="00694E9E">
        <w:rPr>
          <w:color w:val="000000" w:themeColor="text1"/>
        </w:rPr>
        <w:t>s the s</w:t>
      </w:r>
      <w:r w:rsidR="0052688F" w:rsidRPr="00694E9E">
        <w:rPr>
          <w:color w:val="000000" w:themeColor="text1"/>
        </w:rPr>
        <w:t xml:space="preserve">tandard of care, which </w:t>
      </w:r>
      <w:r w:rsidR="00491678" w:rsidRPr="00694E9E">
        <w:rPr>
          <w:color w:val="000000" w:themeColor="text1"/>
        </w:rPr>
        <w:t>consists</w:t>
      </w:r>
      <w:r w:rsidR="00CA30F5">
        <w:rPr>
          <w:color w:val="000000" w:themeColor="text1"/>
        </w:rPr>
        <w:t xml:space="preserve"> of</w:t>
      </w:r>
      <w:r w:rsidR="00264FDE">
        <w:rPr>
          <w:color w:val="000000" w:themeColor="text1"/>
        </w:rPr>
        <w:t xml:space="preserve"> collecting</w:t>
      </w:r>
      <w:r w:rsidR="00491678" w:rsidRPr="00694E9E">
        <w:rPr>
          <w:color w:val="000000" w:themeColor="text1"/>
        </w:rPr>
        <w:t xml:space="preserve"> </w:t>
      </w:r>
      <w:r w:rsidR="00A804F6" w:rsidRPr="00104DE0">
        <w:t>maternal characteristics</w:t>
      </w:r>
      <w:r w:rsidR="004A5C65">
        <w:t xml:space="preserve"> and </w:t>
      </w:r>
      <w:r w:rsidR="00A804F6" w:rsidRPr="00104DE0">
        <w:t>medical</w:t>
      </w:r>
      <w:r w:rsidR="009F150A">
        <w:t xml:space="preserve">/obstetric </w:t>
      </w:r>
      <w:r w:rsidR="00A804F6" w:rsidRPr="00104DE0">
        <w:t>history</w:t>
      </w:r>
      <w:r w:rsidR="00264FDE">
        <w:t xml:space="preserve"> and</w:t>
      </w:r>
      <w:r w:rsidR="00CA30F5">
        <w:t xml:space="preserve"> </w:t>
      </w:r>
      <w:r w:rsidR="00264FDE">
        <w:t>comparing this with published</w:t>
      </w:r>
      <w:r w:rsidR="00CA30F5">
        <w:t xml:space="preserve"> guidelines </w:t>
      </w:r>
      <w:r w:rsidR="00264FDE">
        <w:t xml:space="preserve">(typically NICE or ACOG) </w:t>
      </w:r>
      <w:r w:rsidR="00CA30F5">
        <w:t xml:space="preserve">to </w:t>
      </w:r>
      <w:r w:rsidR="00166A44">
        <w:t>assess</w:t>
      </w:r>
      <w:r w:rsidR="00AF74C6">
        <w:t xml:space="preserve"> </w:t>
      </w:r>
      <w:r w:rsidR="00CA30F5">
        <w:t>risk of preeclampsia</w:t>
      </w:r>
      <w:r w:rsidR="00A804F6" w:rsidRPr="00104DE0">
        <w:t xml:space="preserve">. The parameters </w:t>
      </w:r>
      <w:r w:rsidR="00B43A78">
        <w:t xml:space="preserve">for each </w:t>
      </w:r>
      <w:r w:rsidR="00A34454">
        <w:t>guideline</w:t>
      </w:r>
      <w:r w:rsidR="005A5044">
        <w:t xml:space="preserve"> and subsequent treatment recommendations</w:t>
      </w:r>
      <w:r w:rsidR="00B43A78">
        <w:t xml:space="preserve"> are</w:t>
      </w:r>
      <w:r w:rsidR="005A5044">
        <w:t xml:space="preserve"> listed in </w:t>
      </w:r>
      <w:r w:rsidR="00A34454">
        <w:fldChar w:fldCharType="begin"/>
      </w:r>
      <w:r w:rsidR="00A34454">
        <w:instrText xml:space="preserve"> REF _Ref141860130 \h </w:instrText>
      </w:r>
      <w:r w:rsidR="00A34454">
        <w:fldChar w:fldCharType="separate"/>
      </w:r>
      <w:r w:rsidR="00BC26C0">
        <w:t xml:space="preserve">Table </w:t>
      </w:r>
      <w:r w:rsidR="00BC26C0">
        <w:rPr>
          <w:noProof/>
        </w:rPr>
        <w:t>4</w:t>
      </w:r>
      <w:r w:rsidR="00A34454">
        <w:fldChar w:fldCharType="end"/>
      </w:r>
      <w:r w:rsidR="005A5044">
        <w:t>.</w:t>
      </w:r>
    </w:p>
    <w:p w14:paraId="64507609" w14:textId="75681D28" w:rsidR="00A34454" w:rsidRDefault="00A34454" w:rsidP="00A34454">
      <w:pPr>
        <w:pStyle w:val="Caption"/>
      </w:pPr>
      <w:bookmarkStart w:id="14" w:name="_Ref141860130"/>
      <w:r>
        <w:t xml:space="preserve">Table </w:t>
      </w:r>
      <w:r w:rsidR="006608DC">
        <w:fldChar w:fldCharType="begin"/>
      </w:r>
      <w:r w:rsidR="006608DC">
        <w:instrText xml:space="preserve"> SEQ Table \* ARABIC </w:instrText>
      </w:r>
      <w:r w:rsidR="006608DC">
        <w:fldChar w:fldCharType="separate"/>
      </w:r>
      <w:r w:rsidR="009C77BA">
        <w:rPr>
          <w:noProof/>
        </w:rPr>
        <w:t>4</w:t>
      </w:r>
      <w:r w:rsidR="006608DC">
        <w:rPr>
          <w:noProof/>
        </w:rPr>
        <w:fldChar w:fldCharType="end"/>
      </w:r>
      <w:bookmarkEnd w:id="14"/>
      <w:r>
        <w:t xml:space="preserve"> </w:t>
      </w:r>
      <w:r w:rsidRPr="009F2C8A">
        <w:t>Summary of NICE and ACOG assessment and recommendations for preterm preeclampsia.</w:t>
      </w:r>
    </w:p>
    <w:tbl>
      <w:tblPr>
        <w:tblStyle w:val="TableGrid"/>
        <w:tblW w:w="0" w:type="auto"/>
        <w:tblCellMar>
          <w:left w:w="85" w:type="dxa"/>
          <w:right w:w="85" w:type="dxa"/>
        </w:tblCellMar>
        <w:tblLook w:val="04A0" w:firstRow="1" w:lastRow="0" w:firstColumn="1" w:lastColumn="0" w:noHBand="0" w:noVBand="1"/>
      </w:tblPr>
      <w:tblGrid>
        <w:gridCol w:w="1228"/>
        <w:gridCol w:w="2595"/>
        <w:gridCol w:w="3402"/>
        <w:gridCol w:w="1791"/>
      </w:tblGrid>
      <w:tr w:rsidR="00117346" w14:paraId="637B0456" w14:textId="77777777" w:rsidTr="0014264E">
        <w:tc>
          <w:tcPr>
            <w:tcW w:w="1228" w:type="dxa"/>
            <w:shd w:val="clear" w:color="auto" w:fill="auto"/>
          </w:tcPr>
          <w:p w14:paraId="77C01455" w14:textId="11113E36" w:rsidR="00003A4A" w:rsidRPr="00BA699C" w:rsidRDefault="00BA699C" w:rsidP="00003A4A">
            <w:pPr>
              <w:pStyle w:val="TableText"/>
              <w:rPr>
                <w:b/>
              </w:rPr>
            </w:pPr>
            <w:r w:rsidRPr="00BA699C">
              <w:rPr>
                <w:b/>
                <w:bCs/>
              </w:rPr>
              <w:t>Organisation</w:t>
            </w:r>
          </w:p>
        </w:tc>
        <w:tc>
          <w:tcPr>
            <w:tcW w:w="2595" w:type="dxa"/>
            <w:shd w:val="clear" w:color="auto" w:fill="auto"/>
          </w:tcPr>
          <w:p w14:paraId="1ED90787" w14:textId="7B062616" w:rsidR="00003A4A" w:rsidRPr="004E60AB" w:rsidRDefault="00003A4A" w:rsidP="00003A4A">
            <w:pPr>
              <w:pStyle w:val="TableText"/>
              <w:rPr>
                <w:b/>
                <w:bCs/>
              </w:rPr>
            </w:pPr>
            <w:r w:rsidRPr="004E60AB">
              <w:rPr>
                <w:b/>
                <w:bCs/>
              </w:rPr>
              <w:t>Moderate risk factors</w:t>
            </w:r>
          </w:p>
        </w:tc>
        <w:tc>
          <w:tcPr>
            <w:tcW w:w="3402" w:type="dxa"/>
            <w:shd w:val="clear" w:color="auto" w:fill="auto"/>
          </w:tcPr>
          <w:p w14:paraId="07028942" w14:textId="539A8AD5" w:rsidR="00003A4A" w:rsidRPr="004E60AB" w:rsidRDefault="00003A4A" w:rsidP="00003A4A">
            <w:pPr>
              <w:pStyle w:val="TableText"/>
              <w:rPr>
                <w:b/>
                <w:bCs/>
              </w:rPr>
            </w:pPr>
            <w:r w:rsidRPr="004E60AB">
              <w:rPr>
                <w:b/>
                <w:bCs/>
              </w:rPr>
              <w:t>High risk factors</w:t>
            </w:r>
          </w:p>
        </w:tc>
        <w:tc>
          <w:tcPr>
            <w:tcW w:w="1791" w:type="dxa"/>
            <w:shd w:val="clear" w:color="auto" w:fill="auto"/>
          </w:tcPr>
          <w:p w14:paraId="075859D5" w14:textId="0B52782E" w:rsidR="00003A4A" w:rsidRPr="004E60AB" w:rsidRDefault="00003A4A" w:rsidP="00003A4A">
            <w:pPr>
              <w:pStyle w:val="TableText"/>
              <w:rPr>
                <w:b/>
                <w:bCs/>
              </w:rPr>
            </w:pPr>
            <w:r w:rsidRPr="004E60AB">
              <w:rPr>
                <w:b/>
                <w:bCs/>
              </w:rPr>
              <w:t>Recommendations</w:t>
            </w:r>
          </w:p>
        </w:tc>
      </w:tr>
      <w:tr w:rsidR="00AD2DBE" w14:paraId="54B94647" w14:textId="77777777" w:rsidTr="0014264E">
        <w:tc>
          <w:tcPr>
            <w:tcW w:w="1228" w:type="dxa"/>
          </w:tcPr>
          <w:p w14:paraId="01624DC8" w14:textId="3A49FA47" w:rsidR="00003A4A" w:rsidRPr="00003A4A" w:rsidRDefault="00003A4A" w:rsidP="007E58B3">
            <w:pPr>
              <w:pStyle w:val="TableText"/>
              <w:spacing w:before="0" w:after="0"/>
            </w:pPr>
            <w:r w:rsidRPr="00003A4A">
              <w:t>NICE</w:t>
            </w:r>
            <w:r w:rsidR="00427361">
              <w:t xml:space="preserve"> </w:t>
            </w:r>
            <w:r w:rsidR="008F517B">
              <w:t>guidelines</w:t>
            </w:r>
          </w:p>
        </w:tc>
        <w:tc>
          <w:tcPr>
            <w:tcW w:w="2595" w:type="dxa"/>
          </w:tcPr>
          <w:p w14:paraId="4DC0BBF4" w14:textId="77777777" w:rsidR="00781D2B" w:rsidRDefault="00003A4A" w:rsidP="002D4ECD">
            <w:pPr>
              <w:pStyle w:val="TableText"/>
              <w:numPr>
                <w:ilvl w:val="0"/>
                <w:numId w:val="18"/>
              </w:numPr>
              <w:spacing w:before="0" w:after="0"/>
              <w:ind w:left="313" w:hanging="283"/>
            </w:pPr>
            <w:r w:rsidRPr="00F173B2">
              <w:t>First pregnancy</w:t>
            </w:r>
          </w:p>
          <w:p w14:paraId="62352A89" w14:textId="1F72866E" w:rsidR="00781D2B" w:rsidRDefault="00781D2B" w:rsidP="002D4ECD">
            <w:pPr>
              <w:pStyle w:val="TableText"/>
              <w:numPr>
                <w:ilvl w:val="0"/>
                <w:numId w:val="18"/>
              </w:numPr>
              <w:spacing w:before="0" w:after="0"/>
              <w:ind w:left="313" w:hanging="283"/>
            </w:pPr>
            <w:r>
              <w:t>A</w:t>
            </w:r>
            <w:r w:rsidR="00003A4A" w:rsidRPr="00F173B2">
              <w:t>ge ≥ 40 years</w:t>
            </w:r>
          </w:p>
          <w:p w14:paraId="0FEBEAA8" w14:textId="2F076298" w:rsidR="00781D2B" w:rsidRDefault="00003A4A" w:rsidP="002D4ECD">
            <w:pPr>
              <w:pStyle w:val="TableText"/>
              <w:numPr>
                <w:ilvl w:val="0"/>
                <w:numId w:val="18"/>
              </w:numPr>
              <w:spacing w:before="0" w:after="0"/>
              <w:ind w:left="313" w:hanging="283"/>
            </w:pPr>
            <w:r w:rsidRPr="00F173B2">
              <w:t>BMI ≥35 kg</w:t>
            </w:r>
            <w:r>
              <w:t>/</w:t>
            </w:r>
            <w:r w:rsidRPr="00F173B2">
              <w:t>m</w:t>
            </w:r>
            <w:r w:rsidRPr="004C718D">
              <w:t>2</w:t>
            </w:r>
            <w:r w:rsidRPr="00F173B2">
              <w:t xml:space="preserve"> at first visit</w:t>
            </w:r>
          </w:p>
          <w:p w14:paraId="5A258D19" w14:textId="77777777" w:rsidR="00781D2B" w:rsidRDefault="00781D2B" w:rsidP="002D4ECD">
            <w:pPr>
              <w:pStyle w:val="TableText"/>
              <w:numPr>
                <w:ilvl w:val="0"/>
                <w:numId w:val="18"/>
              </w:numPr>
              <w:spacing w:before="0" w:after="0"/>
              <w:ind w:left="313" w:hanging="283"/>
            </w:pPr>
            <w:r>
              <w:t>Fa</w:t>
            </w:r>
            <w:r w:rsidR="00003A4A" w:rsidRPr="00F173B2">
              <w:t>mily history of preeclampsia</w:t>
            </w:r>
          </w:p>
          <w:p w14:paraId="150FAF5A" w14:textId="77777777" w:rsidR="004B21B8" w:rsidRDefault="004B21B8" w:rsidP="002D4ECD">
            <w:pPr>
              <w:pStyle w:val="TableText"/>
              <w:numPr>
                <w:ilvl w:val="0"/>
                <w:numId w:val="18"/>
              </w:numPr>
              <w:spacing w:before="0" w:after="0"/>
              <w:ind w:left="313" w:hanging="283"/>
            </w:pPr>
            <w:r>
              <w:t>P</w:t>
            </w:r>
            <w:r w:rsidRPr="00F173B2">
              <w:t xml:space="preserve">regnancy interval &gt;10 </w:t>
            </w:r>
            <w:proofErr w:type="gramStart"/>
            <w:r w:rsidRPr="00F173B2">
              <w:t>years</w:t>
            </w:r>
            <w:r>
              <w:t>;</w:t>
            </w:r>
            <w:proofErr w:type="gramEnd"/>
            <w:r>
              <w:t xml:space="preserve"> </w:t>
            </w:r>
          </w:p>
          <w:p w14:paraId="334EB2C5" w14:textId="6DA2CD46" w:rsidR="00003A4A" w:rsidRPr="00003A4A" w:rsidRDefault="00781D2B" w:rsidP="002D4ECD">
            <w:pPr>
              <w:pStyle w:val="TableText"/>
              <w:numPr>
                <w:ilvl w:val="0"/>
                <w:numId w:val="18"/>
              </w:numPr>
              <w:spacing w:before="0" w:after="0"/>
              <w:ind w:left="313" w:hanging="283"/>
            </w:pPr>
            <w:r>
              <w:t>M</w:t>
            </w:r>
            <w:r w:rsidR="00003A4A" w:rsidRPr="00F173B2">
              <w:t>ultiple pregnancy</w:t>
            </w:r>
          </w:p>
        </w:tc>
        <w:tc>
          <w:tcPr>
            <w:tcW w:w="3402" w:type="dxa"/>
          </w:tcPr>
          <w:p w14:paraId="1FF969C4" w14:textId="77777777" w:rsidR="00781D2B" w:rsidRDefault="00003A4A" w:rsidP="002D4ECD">
            <w:pPr>
              <w:pStyle w:val="TableText"/>
              <w:numPr>
                <w:ilvl w:val="0"/>
                <w:numId w:val="18"/>
              </w:numPr>
              <w:spacing w:before="0" w:after="0"/>
              <w:ind w:left="313" w:hanging="283"/>
            </w:pPr>
            <w:r w:rsidRPr="00F173B2">
              <w:t>Hypertensive disease during previous pregnancy</w:t>
            </w:r>
          </w:p>
          <w:p w14:paraId="754C5BC2" w14:textId="77777777" w:rsidR="00781D2B" w:rsidRDefault="00781D2B" w:rsidP="002D4ECD">
            <w:pPr>
              <w:pStyle w:val="TableText"/>
              <w:numPr>
                <w:ilvl w:val="0"/>
                <w:numId w:val="18"/>
              </w:numPr>
              <w:spacing w:before="0" w:after="0"/>
              <w:ind w:left="313" w:hanging="283"/>
            </w:pPr>
            <w:r>
              <w:t>C</w:t>
            </w:r>
            <w:r w:rsidR="00003A4A" w:rsidRPr="00F173B2">
              <w:t>hronic kidney disease (&gt;30 mg/mmol or 24-hour urine collection &gt;3000 mg protein threshold for significant proteinuria)</w:t>
            </w:r>
          </w:p>
          <w:p w14:paraId="30BD439D" w14:textId="77777777" w:rsidR="00781D2B" w:rsidRDefault="00781D2B" w:rsidP="002D4ECD">
            <w:pPr>
              <w:pStyle w:val="TableText"/>
              <w:numPr>
                <w:ilvl w:val="0"/>
                <w:numId w:val="18"/>
              </w:numPr>
              <w:spacing w:before="0" w:after="0"/>
              <w:ind w:left="313" w:hanging="283"/>
            </w:pPr>
            <w:r>
              <w:t>A</w:t>
            </w:r>
            <w:r w:rsidR="00003A4A" w:rsidRPr="00F173B2">
              <w:t>utoimmune disease such as systemic lupus erythematosus or antiphospholipid syndrome</w:t>
            </w:r>
          </w:p>
          <w:p w14:paraId="5F376315" w14:textId="77777777" w:rsidR="00781D2B" w:rsidRDefault="00003A4A" w:rsidP="002D4ECD">
            <w:pPr>
              <w:pStyle w:val="TableText"/>
              <w:numPr>
                <w:ilvl w:val="0"/>
                <w:numId w:val="18"/>
              </w:numPr>
              <w:spacing w:before="0" w:after="0"/>
              <w:ind w:left="313" w:hanging="283"/>
            </w:pPr>
            <w:r w:rsidRPr="00F173B2">
              <w:t>Type 1 or Type 2 diabetes</w:t>
            </w:r>
          </w:p>
          <w:p w14:paraId="6D2D037C" w14:textId="78B552D3" w:rsidR="00003A4A" w:rsidRPr="00003A4A" w:rsidRDefault="00003A4A" w:rsidP="002D4ECD">
            <w:pPr>
              <w:pStyle w:val="TableText"/>
              <w:numPr>
                <w:ilvl w:val="0"/>
                <w:numId w:val="18"/>
              </w:numPr>
              <w:spacing w:before="0" w:after="0"/>
              <w:ind w:left="313" w:hanging="283"/>
            </w:pPr>
            <w:r w:rsidRPr="00F173B2">
              <w:t>Chronic hypertension</w:t>
            </w:r>
          </w:p>
        </w:tc>
        <w:tc>
          <w:tcPr>
            <w:tcW w:w="1791" w:type="dxa"/>
          </w:tcPr>
          <w:p w14:paraId="72EBA22B" w14:textId="42957715" w:rsidR="00003A4A" w:rsidRPr="00003A4A" w:rsidRDefault="00003A4A" w:rsidP="007E58B3">
            <w:pPr>
              <w:pStyle w:val="TableText"/>
              <w:spacing w:before="0" w:after="0"/>
            </w:pPr>
            <w:r w:rsidRPr="00F173B2">
              <w:t>If ≥ 2 moderate risk factors or ≥ 1 high risk factor for preeclampsia advise to take aspirin 75 mg/day from 12 weeks until birth</w:t>
            </w:r>
            <w:r w:rsidR="00781D2B">
              <w:t>.</w:t>
            </w:r>
          </w:p>
        </w:tc>
      </w:tr>
      <w:tr w:rsidR="00AD2DBE" w14:paraId="1F4DEE18" w14:textId="77777777" w:rsidTr="0014264E">
        <w:tc>
          <w:tcPr>
            <w:tcW w:w="1228" w:type="dxa"/>
          </w:tcPr>
          <w:p w14:paraId="3028B04E" w14:textId="53A410E6" w:rsidR="00003A4A" w:rsidRPr="00003A4A" w:rsidRDefault="00003A4A" w:rsidP="007E58B3">
            <w:pPr>
              <w:pStyle w:val="TableText"/>
              <w:spacing w:before="0" w:after="0"/>
            </w:pPr>
            <w:r w:rsidRPr="00003A4A">
              <w:t>ACOG</w:t>
            </w:r>
            <w:r w:rsidR="004A0C09">
              <w:t xml:space="preserve"> </w:t>
            </w:r>
            <w:r w:rsidR="008F517B">
              <w:t>guidelines</w:t>
            </w:r>
          </w:p>
        </w:tc>
        <w:tc>
          <w:tcPr>
            <w:tcW w:w="2595" w:type="dxa"/>
          </w:tcPr>
          <w:p w14:paraId="4A509599" w14:textId="77777777" w:rsidR="00781D2B" w:rsidRDefault="00003A4A" w:rsidP="002D4ECD">
            <w:pPr>
              <w:pStyle w:val="TableText"/>
              <w:numPr>
                <w:ilvl w:val="0"/>
                <w:numId w:val="18"/>
              </w:numPr>
              <w:spacing w:before="0" w:after="0"/>
              <w:ind w:left="313" w:hanging="283"/>
            </w:pPr>
            <w:r w:rsidRPr="00104DE0">
              <w:t>First pregnancy</w:t>
            </w:r>
          </w:p>
          <w:p w14:paraId="46EC9EC2" w14:textId="77777777" w:rsidR="00781D2B" w:rsidRDefault="00781D2B" w:rsidP="002D4ECD">
            <w:pPr>
              <w:pStyle w:val="TableText"/>
              <w:numPr>
                <w:ilvl w:val="0"/>
                <w:numId w:val="18"/>
              </w:numPr>
              <w:spacing w:before="0" w:after="0"/>
              <w:ind w:left="313" w:hanging="283"/>
            </w:pPr>
            <w:r>
              <w:t>A</w:t>
            </w:r>
            <w:r w:rsidR="00003A4A" w:rsidRPr="00104DE0">
              <w:t>ge ≥ 35 years</w:t>
            </w:r>
          </w:p>
          <w:p w14:paraId="68335828" w14:textId="77777777" w:rsidR="00781D2B" w:rsidRDefault="00003A4A" w:rsidP="002D4ECD">
            <w:pPr>
              <w:pStyle w:val="TableText"/>
              <w:numPr>
                <w:ilvl w:val="0"/>
                <w:numId w:val="18"/>
              </w:numPr>
              <w:spacing w:before="0" w:after="0"/>
              <w:ind w:left="313" w:hanging="283"/>
            </w:pPr>
            <w:r w:rsidRPr="00104DE0">
              <w:t>BMI ≥30 kg/m</w:t>
            </w:r>
            <w:r w:rsidRPr="004C718D">
              <w:t>2</w:t>
            </w:r>
            <w:r w:rsidRPr="00104DE0">
              <w:t xml:space="preserve"> at first visit</w:t>
            </w:r>
          </w:p>
          <w:p w14:paraId="63B39F8D" w14:textId="77777777" w:rsidR="00781D2B" w:rsidRDefault="00781D2B" w:rsidP="002D4ECD">
            <w:pPr>
              <w:pStyle w:val="TableText"/>
              <w:numPr>
                <w:ilvl w:val="0"/>
                <w:numId w:val="18"/>
              </w:numPr>
              <w:spacing w:before="0" w:after="0"/>
              <w:ind w:left="313" w:hanging="283"/>
            </w:pPr>
            <w:r>
              <w:t>F</w:t>
            </w:r>
            <w:r w:rsidR="00003A4A" w:rsidRPr="00104DE0">
              <w:t>amily history of preeclampsia</w:t>
            </w:r>
          </w:p>
          <w:p w14:paraId="24005F6D" w14:textId="7CFCE313" w:rsidR="00003A4A" w:rsidRPr="00003A4A" w:rsidRDefault="00781D2B" w:rsidP="002D4ECD">
            <w:pPr>
              <w:pStyle w:val="TableText"/>
              <w:numPr>
                <w:ilvl w:val="0"/>
                <w:numId w:val="18"/>
              </w:numPr>
              <w:spacing w:before="0" w:after="0"/>
              <w:ind w:left="313" w:hanging="283"/>
            </w:pPr>
            <w:r>
              <w:t>S</w:t>
            </w:r>
            <w:r w:rsidR="00003A4A" w:rsidRPr="00104DE0">
              <w:t>ociodemographic and personal history factors (not specified)</w:t>
            </w:r>
          </w:p>
        </w:tc>
        <w:tc>
          <w:tcPr>
            <w:tcW w:w="3402" w:type="dxa"/>
          </w:tcPr>
          <w:p w14:paraId="6E9C9427" w14:textId="77777777" w:rsidR="00736FAA" w:rsidRDefault="00003A4A" w:rsidP="002D4ECD">
            <w:pPr>
              <w:pStyle w:val="TableText"/>
              <w:numPr>
                <w:ilvl w:val="0"/>
                <w:numId w:val="18"/>
              </w:numPr>
              <w:spacing w:before="0" w:after="0"/>
              <w:ind w:left="313" w:hanging="283"/>
            </w:pPr>
            <w:r w:rsidRPr="00104DE0">
              <w:t>Previous pregnancy with preeclampsia</w:t>
            </w:r>
          </w:p>
          <w:p w14:paraId="290769DB" w14:textId="77777777" w:rsidR="000F1AFF" w:rsidRDefault="00736FAA" w:rsidP="002D4ECD">
            <w:pPr>
              <w:pStyle w:val="TableText"/>
              <w:numPr>
                <w:ilvl w:val="0"/>
                <w:numId w:val="18"/>
              </w:numPr>
              <w:spacing w:before="0" w:after="0"/>
              <w:ind w:left="313" w:hanging="283"/>
            </w:pPr>
            <w:r>
              <w:t>C</w:t>
            </w:r>
            <w:r w:rsidR="00003A4A" w:rsidRPr="00104DE0">
              <w:t>hronic kidney disease</w:t>
            </w:r>
          </w:p>
          <w:p w14:paraId="4ECC8B30" w14:textId="77777777" w:rsidR="000F1AFF" w:rsidRDefault="000F1AFF" w:rsidP="002D4ECD">
            <w:pPr>
              <w:pStyle w:val="TableText"/>
              <w:numPr>
                <w:ilvl w:val="0"/>
                <w:numId w:val="18"/>
              </w:numPr>
              <w:spacing w:before="0" w:after="0"/>
              <w:ind w:left="313" w:hanging="283"/>
            </w:pPr>
            <w:r>
              <w:t>A</w:t>
            </w:r>
            <w:r w:rsidR="00003A4A" w:rsidRPr="00104DE0">
              <w:t>utoimmune disease</w:t>
            </w:r>
          </w:p>
          <w:p w14:paraId="47400800" w14:textId="77777777" w:rsidR="000F1AFF" w:rsidRDefault="00003A4A" w:rsidP="002D4ECD">
            <w:pPr>
              <w:pStyle w:val="TableText"/>
              <w:numPr>
                <w:ilvl w:val="0"/>
                <w:numId w:val="18"/>
              </w:numPr>
              <w:spacing w:before="0" w:after="0"/>
              <w:ind w:left="313" w:hanging="283"/>
            </w:pPr>
            <w:r w:rsidRPr="00104DE0">
              <w:t>Type 1 or Type 2 diabetes</w:t>
            </w:r>
          </w:p>
          <w:p w14:paraId="7D6FF9CF" w14:textId="77777777" w:rsidR="00003A4A" w:rsidRDefault="000F1AFF" w:rsidP="002D4ECD">
            <w:pPr>
              <w:pStyle w:val="TableText"/>
              <w:numPr>
                <w:ilvl w:val="0"/>
                <w:numId w:val="18"/>
              </w:numPr>
              <w:spacing w:before="0" w:after="0"/>
              <w:ind w:left="313" w:hanging="283"/>
            </w:pPr>
            <w:r>
              <w:t>C</w:t>
            </w:r>
            <w:r w:rsidR="00003A4A" w:rsidRPr="00104DE0">
              <w:t>hronic hypertension</w:t>
            </w:r>
          </w:p>
          <w:p w14:paraId="3D59B030" w14:textId="4C2D9214" w:rsidR="004B21B8" w:rsidRPr="00003A4A" w:rsidRDefault="004B21B8" w:rsidP="002D4ECD">
            <w:pPr>
              <w:pStyle w:val="TableText"/>
              <w:numPr>
                <w:ilvl w:val="0"/>
                <w:numId w:val="18"/>
              </w:numPr>
              <w:spacing w:before="0" w:after="0"/>
              <w:ind w:left="313" w:hanging="283"/>
            </w:pPr>
            <w:r>
              <w:t>M</w:t>
            </w:r>
            <w:r w:rsidRPr="00104DE0">
              <w:t>ultifetal gestation</w:t>
            </w:r>
          </w:p>
        </w:tc>
        <w:tc>
          <w:tcPr>
            <w:tcW w:w="1791" w:type="dxa"/>
          </w:tcPr>
          <w:p w14:paraId="34C9083D" w14:textId="2F469A2D" w:rsidR="00003A4A" w:rsidRPr="00003A4A" w:rsidRDefault="00003A4A" w:rsidP="007E58B3">
            <w:pPr>
              <w:pStyle w:val="TableText"/>
              <w:spacing w:before="0" w:after="0"/>
            </w:pPr>
            <w:r w:rsidRPr="00104DE0">
              <w:t xml:space="preserve">If ≥ 1 moderate risk factors or any </w:t>
            </w:r>
            <w:proofErr w:type="gramStart"/>
            <w:r w:rsidRPr="00104DE0">
              <w:t>high risk</w:t>
            </w:r>
            <w:proofErr w:type="gramEnd"/>
            <w:r w:rsidRPr="00104DE0">
              <w:t xml:space="preserve"> factor for preeclampsia advise to take aspirin 81 mg/day, initiated between 12 and 28 weeks gestation until birth</w:t>
            </w:r>
            <w:r w:rsidR="00781D2B">
              <w:t>.</w:t>
            </w:r>
          </w:p>
        </w:tc>
      </w:tr>
    </w:tbl>
    <w:p w14:paraId="2409C536" w14:textId="03C8B0E8" w:rsidR="009064EB" w:rsidRDefault="009064EB" w:rsidP="00970246">
      <w:pPr>
        <w:pStyle w:val="a-TEXT"/>
        <w:spacing w:before="0" w:after="0"/>
        <w:rPr>
          <w:rFonts w:ascii="Arial Narrow" w:hAnsi="Arial Narrow"/>
          <w:sz w:val="18"/>
          <w:szCs w:val="18"/>
        </w:rPr>
      </w:pPr>
      <w:r w:rsidRPr="00F80C5A">
        <w:rPr>
          <w:rFonts w:ascii="Arial Narrow" w:hAnsi="Arial Narrow"/>
          <w:sz w:val="18"/>
          <w:szCs w:val="18"/>
        </w:rPr>
        <w:t xml:space="preserve">Abbreviations: </w:t>
      </w:r>
      <w:r>
        <w:rPr>
          <w:rFonts w:ascii="Arial Narrow" w:hAnsi="Arial Narrow"/>
          <w:sz w:val="18"/>
          <w:szCs w:val="18"/>
        </w:rPr>
        <w:t>BMI=body mass index</w:t>
      </w:r>
    </w:p>
    <w:p w14:paraId="688DF912" w14:textId="70B70E16" w:rsidR="0080591B" w:rsidRPr="0080591B" w:rsidRDefault="0080591B" w:rsidP="00970246">
      <w:pPr>
        <w:pStyle w:val="Tablenotes0"/>
      </w:pPr>
      <w:r>
        <w:t xml:space="preserve">Source: </w:t>
      </w:r>
      <w:r w:rsidR="00F321F8">
        <w:t>Section 1.5</w:t>
      </w:r>
      <w:r w:rsidR="00166A44">
        <w:t>, p22/23</w:t>
      </w:r>
      <w:r w:rsidR="00F321F8">
        <w:t xml:space="preserve"> of ADAR</w:t>
      </w:r>
      <w:r w:rsidR="00166A44">
        <w:t>.</w:t>
      </w:r>
    </w:p>
    <w:p w14:paraId="35484C56" w14:textId="582922AB" w:rsidR="00003A4A" w:rsidRDefault="00003A4A" w:rsidP="00003A4A">
      <w:pPr>
        <w:pStyle w:val="a-TEXT"/>
      </w:pPr>
      <w:r w:rsidRPr="00104DE0">
        <w:lastRenderedPageBreak/>
        <w:t xml:space="preserve">There are no MBS items specifically for the assessment of risk of preterm preeclampsia. Currently, any assessment of risk of preterm preeclampsia would be provided through generic professional attendance items provided by a </w:t>
      </w:r>
      <w:r w:rsidR="00150C45">
        <w:t>GP</w:t>
      </w:r>
      <w:r w:rsidR="00166A44">
        <w:t xml:space="preserve"> </w:t>
      </w:r>
      <w:r w:rsidRPr="00104DE0">
        <w:t xml:space="preserve">(MBS items 3, 4, 23, 24, 36, 37, 44 and 47), specialist (MBS items 104, 105, 107, and 108) or obstetrics-related items eligible to be provided by GPs, </w:t>
      </w:r>
      <w:r w:rsidR="005A5044" w:rsidRPr="00104DE0">
        <w:t>obstetricians,</w:t>
      </w:r>
      <w:r w:rsidRPr="00104DE0">
        <w:t xml:space="preserve"> and allied health workers (MBS items 16400, 16401, 16404 and 16500).</w:t>
      </w:r>
      <w:r w:rsidR="003945BD">
        <w:t xml:space="preserve"> These were not considered in the </w:t>
      </w:r>
      <w:r w:rsidR="008012D5">
        <w:t>economic or financial impacts</w:t>
      </w:r>
      <w:r w:rsidR="00150C45">
        <w:t xml:space="preserve"> as part of the ADAR</w:t>
      </w:r>
      <w:r w:rsidR="008012D5">
        <w:t>.</w:t>
      </w:r>
    </w:p>
    <w:p w14:paraId="31A55111" w14:textId="673FEC93" w:rsidR="00003A4A" w:rsidRPr="00F67B80" w:rsidRDefault="005A5044" w:rsidP="00003A4A">
      <w:pPr>
        <w:pStyle w:val="Comments"/>
        <w:rPr>
          <w:i w:val="0"/>
          <w:color w:val="auto"/>
        </w:rPr>
      </w:pPr>
      <w:r w:rsidRPr="00F67B80">
        <w:rPr>
          <w:i w:val="0"/>
          <w:color w:val="auto"/>
        </w:rPr>
        <w:t xml:space="preserve">The </w:t>
      </w:r>
      <w:r w:rsidR="00336BCA">
        <w:rPr>
          <w:i w:val="0"/>
          <w:color w:val="auto"/>
        </w:rPr>
        <w:t xml:space="preserve">commentary agreed </w:t>
      </w:r>
      <w:r w:rsidR="007E16B7">
        <w:rPr>
          <w:i w:val="0"/>
          <w:color w:val="auto"/>
        </w:rPr>
        <w:t>that</w:t>
      </w:r>
      <w:r w:rsidR="00336BCA">
        <w:rPr>
          <w:i w:val="0"/>
          <w:color w:val="auto"/>
        </w:rPr>
        <w:t xml:space="preserve"> the </w:t>
      </w:r>
      <w:r w:rsidRPr="00F67B80">
        <w:rPr>
          <w:i w:val="0"/>
          <w:color w:val="auto"/>
        </w:rPr>
        <w:t>proposed</w:t>
      </w:r>
      <w:r w:rsidR="00003A4A" w:rsidRPr="00F67B80">
        <w:rPr>
          <w:i w:val="0"/>
          <w:color w:val="auto"/>
        </w:rPr>
        <w:t xml:space="preserve"> comparator </w:t>
      </w:r>
      <w:r w:rsidR="00E05FC2">
        <w:rPr>
          <w:i w:val="0"/>
          <w:color w:val="auto"/>
        </w:rPr>
        <w:t>was</w:t>
      </w:r>
      <w:r w:rsidR="00E05FC2" w:rsidRPr="00F67B80">
        <w:rPr>
          <w:i w:val="0"/>
          <w:color w:val="auto"/>
        </w:rPr>
        <w:t xml:space="preserve"> </w:t>
      </w:r>
      <w:r w:rsidR="00003A4A" w:rsidRPr="00F67B80">
        <w:rPr>
          <w:i w:val="0"/>
          <w:color w:val="auto"/>
        </w:rPr>
        <w:t xml:space="preserve">appropriate. </w:t>
      </w:r>
      <w:r w:rsidR="004B151E" w:rsidRPr="00F67B80">
        <w:rPr>
          <w:i w:val="0"/>
          <w:color w:val="auto"/>
        </w:rPr>
        <w:t>T</w:t>
      </w:r>
      <w:r w:rsidR="00A97E89" w:rsidRPr="00F67B80">
        <w:rPr>
          <w:i w:val="0"/>
          <w:color w:val="auto"/>
        </w:rPr>
        <w:t xml:space="preserve">he </w:t>
      </w:r>
      <w:r w:rsidR="00DE0821">
        <w:rPr>
          <w:i w:val="0"/>
          <w:iCs/>
          <w:color w:val="auto"/>
        </w:rPr>
        <w:t>ADAR</w:t>
      </w:r>
      <w:r w:rsidR="00A97E89" w:rsidRPr="00F67B80">
        <w:rPr>
          <w:i w:val="0"/>
          <w:color w:val="auto"/>
        </w:rPr>
        <w:t xml:space="preserve"> state</w:t>
      </w:r>
      <w:r w:rsidR="00336BCA">
        <w:rPr>
          <w:i w:val="0"/>
          <w:color w:val="auto"/>
        </w:rPr>
        <w:t>d</w:t>
      </w:r>
      <w:r w:rsidR="00A97E89" w:rsidRPr="00F67B80">
        <w:rPr>
          <w:i w:val="0"/>
          <w:color w:val="auto"/>
        </w:rPr>
        <w:t xml:space="preserve"> that the guidelines are “not cohesively applied in clinical practice due to lack of a framework for their application. This has a flow-on consequence of the NICE and ACOG recommendations being suboptimal”</w:t>
      </w:r>
      <w:r w:rsidR="00C10F25" w:rsidRPr="00F67B80">
        <w:rPr>
          <w:i w:val="0"/>
          <w:color w:val="auto"/>
        </w:rPr>
        <w:t xml:space="preserve">, though this </w:t>
      </w:r>
      <w:r w:rsidR="00336BCA">
        <w:rPr>
          <w:i w:val="0"/>
          <w:color w:val="auto"/>
        </w:rPr>
        <w:t>wa</w:t>
      </w:r>
      <w:r w:rsidR="00C10F25" w:rsidRPr="00F67B80">
        <w:rPr>
          <w:i w:val="0"/>
          <w:color w:val="auto"/>
        </w:rPr>
        <w:t xml:space="preserve">s not substantiated. The </w:t>
      </w:r>
      <w:r w:rsidR="00C06F4E">
        <w:rPr>
          <w:i w:val="0"/>
          <w:color w:val="auto"/>
        </w:rPr>
        <w:t>commentary</w:t>
      </w:r>
      <w:r w:rsidR="00C10F25" w:rsidRPr="00F67B80">
        <w:rPr>
          <w:i w:val="0"/>
          <w:color w:val="auto"/>
        </w:rPr>
        <w:t xml:space="preserve"> could not find evidence on the current application of preterm preeclampsia risk assessment and the use of the guidelines in the Australian setting.</w:t>
      </w:r>
    </w:p>
    <w:p w14:paraId="47BC3A84" w14:textId="423BD38B" w:rsidR="00772829" w:rsidRPr="00CE28E3" w:rsidRDefault="00971DBF" w:rsidP="002A18BE">
      <w:pPr>
        <w:pStyle w:val="Heading2"/>
        <w:numPr>
          <w:ilvl w:val="0"/>
          <w:numId w:val="0"/>
        </w:numPr>
      </w:pPr>
      <w:bookmarkStart w:id="15" w:name="_Toc69491421"/>
      <w:r>
        <w:t>9</w:t>
      </w:r>
      <w:r w:rsidR="00C36633">
        <w:t>.</w:t>
      </w:r>
      <w:r w:rsidR="00C36633">
        <w:tab/>
      </w:r>
      <w:r w:rsidR="00772829" w:rsidRPr="00CE28E3">
        <w:t xml:space="preserve">Summary of public consultation </w:t>
      </w:r>
      <w:r w:rsidR="0052575D">
        <w:t>input</w:t>
      </w:r>
      <w:bookmarkEnd w:id="15"/>
    </w:p>
    <w:p w14:paraId="07EA6A66" w14:textId="7AB8EA0A" w:rsidR="008C4555" w:rsidRPr="008C4555" w:rsidRDefault="008C4555" w:rsidP="008C4555">
      <w:pPr>
        <w:pStyle w:val="Comments"/>
        <w:rPr>
          <w:i w:val="0"/>
          <w:color w:val="auto"/>
        </w:rPr>
      </w:pPr>
      <w:bookmarkStart w:id="16" w:name="_Toc69491422"/>
      <w:r w:rsidRPr="008C4555">
        <w:rPr>
          <w:i w:val="0"/>
          <w:color w:val="auto"/>
        </w:rPr>
        <w:t>Prior to the October ESC Meeting consultation feedback deadline, consultation input was received from eight organisations and eleven individuals, with three consumers, seven medical professionals and one both a consumer and a medical professional. The organisations that submitted input were: Royal Women’s Hospital – Obstetric Medicine Unit; Australia Action on Preeclampsia (AAPEC); The Royal Australian and New Zealand College of Obstetricians and Gynaecologists (RANZCOG); The Royal College of Pathologists of Australasia (RCPA); the Society of Obstetric Medicine Australia and New Zealand (SOMANZ); The Australian Sonographers Association (ASA); The Royal Australia and New Zealand College of Radiologists (RANZCR); Royal Australian College of General Practitioners (RACGP).</w:t>
      </w:r>
    </w:p>
    <w:p w14:paraId="4700844D" w14:textId="0FF6CEE5" w:rsidR="008C4555" w:rsidRPr="008C4555" w:rsidRDefault="008C4555" w:rsidP="008C4555">
      <w:pPr>
        <w:pStyle w:val="Comments"/>
        <w:rPr>
          <w:i w:val="0"/>
          <w:color w:val="auto"/>
        </w:rPr>
      </w:pPr>
      <w:r w:rsidRPr="008C4555">
        <w:rPr>
          <w:i w:val="0"/>
          <w:color w:val="auto"/>
        </w:rPr>
        <w:t xml:space="preserve">Post ESC deadline feedback was received by two organisations and </w:t>
      </w:r>
      <w:r w:rsidR="006B6F22">
        <w:rPr>
          <w:i w:val="0"/>
          <w:color w:val="auto"/>
        </w:rPr>
        <w:t>three</w:t>
      </w:r>
      <w:r w:rsidRPr="008C4555">
        <w:rPr>
          <w:i w:val="0"/>
          <w:color w:val="auto"/>
        </w:rPr>
        <w:t xml:space="preserve"> individuals all of whom are medical professionals. The organisations that submitted input were Society of Obstetric Medicine Australia and New Zealand (SOMANZ) and The Royal Hospital for Women, Randwick, NSW.</w:t>
      </w:r>
    </w:p>
    <w:p w14:paraId="79E04F1E" w14:textId="77777777" w:rsidR="008C4555" w:rsidRPr="008C4555" w:rsidRDefault="008C4555" w:rsidP="008C4555">
      <w:pPr>
        <w:pStyle w:val="Comments"/>
        <w:rPr>
          <w:i w:val="0"/>
          <w:color w:val="auto"/>
        </w:rPr>
      </w:pPr>
      <w:r w:rsidRPr="008C4555">
        <w:rPr>
          <w:i w:val="0"/>
          <w:color w:val="auto"/>
        </w:rPr>
        <w:t xml:space="preserve">All consultation comments received indicated support for the proposal. </w:t>
      </w:r>
    </w:p>
    <w:p w14:paraId="2D48273D" w14:textId="77777777" w:rsidR="008C4555" w:rsidRPr="008C4555" w:rsidRDefault="008C4555" w:rsidP="008C4555">
      <w:pPr>
        <w:spacing w:after="120"/>
        <w:rPr>
          <w:rFonts w:ascii="Franklin Gothic Book" w:hAnsi="Franklin Gothic Book"/>
          <w:b/>
          <w:bCs/>
        </w:rPr>
      </w:pPr>
      <w:r w:rsidRPr="008C4555">
        <w:rPr>
          <w:rFonts w:ascii="Franklin Gothic Book" w:hAnsi="Franklin Gothic Book"/>
          <w:b/>
          <w:bCs/>
        </w:rPr>
        <w:t>Benefits</w:t>
      </w:r>
    </w:p>
    <w:p w14:paraId="44161405" w14:textId="77777777" w:rsidR="008C4555" w:rsidRPr="008C4555" w:rsidRDefault="008C4555" w:rsidP="008C4555">
      <w:pPr>
        <w:spacing w:line="257" w:lineRule="auto"/>
        <w:rPr>
          <w:rFonts w:ascii="Franklin Gothic Book" w:hAnsi="Franklin Gothic Book" w:cstheme="minorHAnsi"/>
          <w:sz w:val="22"/>
          <w:szCs w:val="22"/>
        </w:rPr>
      </w:pPr>
      <w:r w:rsidRPr="008C4555">
        <w:rPr>
          <w:rFonts w:ascii="Franklin Gothic Book" w:hAnsi="Franklin Gothic Book" w:cstheme="minorHAnsi"/>
          <w:sz w:val="22"/>
          <w:szCs w:val="22"/>
        </w:rPr>
        <w:t xml:space="preserve">The main benefits of public funding received in the consultation feedback included: </w:t>
      </w:r>
    </w:p>
    <w:p w14:paraId="1E0ADAE3" w14:textId="77777777"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Early identification of women at increased risk for developing preeclampsia and the severity</w:t>
      </w:r>
    </w:p>
    <w:p w14:paraId="217BEC7E" w14:textId="77777777"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 xml:space="preserve">Allows early implementation of appropriate prophylactic management, including targeted commencement of </w:t>
      </w:r>
      <w:proofErr w:type="gramStart"/>
      <w:r w:rsidRPr="008C4555">
        <w:rPr>
          <w:rFonts w:ascii="Franklin Gothic Book" w:hAnsi="Franklin Gothic Book" w:cstheme="minorHAnsi"/>
          <w:sz w:val="22"/>
          <w:szCs w:val="22"/>
        </w:rPr>
        <w:t>aspirin</w:t>
      </w:r>
      <w:proofErr w:type="gramEnd"/>
    </w:p>
    <w:p w14:paraId="2A2C4FD4" w14:textId="77777777"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 xml:space="preserve">Allows identification for when higher level surveillance is </w:t>
      </w:r>
      <w:proofErr w:type="gramStart"/>
      <w:r w:rsidRPr="008C4555">
        <w:rPr>
          <w:rFonts w:ascii="Franklin Gothic Book" w:hAnsi="Franklin Gothic Book" w:cstheme="minorHAnsi"/>
          <w:sz w:val="22"/>
          <w:szCs w:val="22"/>
        </w:rPr>
        <w:t>required</w:t>
      </w:r>
      <w:proofErr w:type="gramEnd"/>
    </w:p>
    <w:p w14:paraId="00FF3862" w14:textId="77777777"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Improved screening efficacy beyond clinical judgement</w:t>
      </w:r>
    </w:p>
    <w:p w14:paraId="5A22BC33" w14:textId="77777777"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 xml:space="preserve">Reduction in maternal and </w:t>
      </w:r>
      <w:proofErr w:type="spellStart"/>
      <w:r w:rsidRPr="008C4555">
        <w:rPr>
          <w:rFonts w:ascii="Franklin Gothic Book" w:hAnsi="Franklin Gothic Book" w:cstheme="minorHAnsi"/>
          <w:sz w:val="22"/>
          <w:szCs w:val="22"/>
        </w:rPr>
        <w:t>fetal</w:t>
      </w:r>
      <w:proofErr w:type="spellEnd"/>
      <w:r w:rsidRPr="008C4555">
        <w:rPr>
          <w:rFonts w:ascii="Franklin Gothic Book" w:hAnsi="Franklin Gothic Book" w:cstheme="minorHAnsi"/>
          <w:sz w:val="22"/>
          <w:szCs w:val="22"/>
        </w:rPr>
        <w:t xml:space="preserve"> mortality and morbidity</w:t>
      </w:r>
    </w:p>
    <w:p w14:paraId="019ADE01" w14:textId="77777777"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 xml:space="preserve">Cost savings to the health system with decreased incidence of preeclampsia </w:t>
      </w:r>
    </w:p>
    <w:p w14:paraId="2D437367" w14:textId="61EF0164" w:rsidR="008C4555" w:rsidRPr="008C4555" w:rsidRDefault="008C4555" w:rsidP="008C4555">
      <w:pPr>
        <w:pStyle w:val="ListParagraph"/>
        <w:numPr>
          <w:ilvl w:val="0"/>
          <w:numId w:val="32"/>
        </w:numPr>
        <w:spacing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 xml:space="preserve">Reduction of preeclampsia may also help reduce long-term cardiovascular risk in </w:t>
      </w:r>
      <w:r w:rsidR="00085623">
        <w:rPr>
          <w:rFonts w:ascii="Franklin Gothic Book" w:hAnsi="Franklin Gothic Book" w:cstheme="minorHAnsi"/>
          <w:sz w:val="22"/>
          <w:szCs w:val="22"/>
        </w:rPr>
        <w:t>pregnant person</w:t>
      </w:r>
      <w:r w:rsidRPr="008C4555">
        <w:rPr>
          <w:rFonts w:ascii="Franklin Gothic Book" w:hAnsi="Franklin Gothic Book" w:cstheme="minorHAnsi"/>
          <w:sz w:val="22"/>
          <w:szCs w:val="22"/>
        </w:rPr>
        <w:t xml:space="preserve">s and their </w:t>
      </w:r>
      <w:proofErr w:type="gramStart"/>
      <w:r w:rsidRPr="008C4555">
        <w:rPr>
          <w:rFonts w:ascii="Franklin Gothic Book" w:hAnsi="Franklin Gothic Book" w:cstheme="minorHAnsi"/>
          <w:sz w:val="22"/>
          <w:szCs w:val="22"/>
        </w:rPr>
        <w:t>babies</w:t>
      </w:r>
      <w:proofErr w:type="gramEnd"/>
    </w:p>
    <w:p w14:paraId="7BC24FA9" w14:textId="07218F64" w:rsidR="006B6F22" w:rsidRPr="006B6F22" w:rsidRDefault="008C4555" w:rsidP="006B6F22">
      <w:pPr>
        <w:pStyle w:val="ListParagraph"/>
        <w:numPr>
          <w:ilvl w:val="0"/>
          <w:numId w:val="32"/>
        </w:numPr>
        <w:spacing w:after="240" w:line="257" w:lineRule="auto"/>
        <w:contextualSpacing w:val="0"/>
        <w:rPr>
          <w:rFonts w:ascii="Franklin Gothic Book" w:hAnsi="Franklin Gothic Book" w:cstheme="minorHAnsi"/>
          <w:sz w:val="22"/>
          <w:szCs w:val="22"/>
        </w:rPr>
      </w:pPr>
      <w:r w:rsidRPr="008C4555">
        <w:rPr>
          <w:rFonts w:ascii="Franklin Gothic Book" w:hAnsi="Franklin Gothic Book" w:cstheme="minorHAnsi"/>
          <w:sz w:val="22"/>
          <w:szCs w:val="22"/>
        </w:rPr>
        <w:t>Outside metropolitan areas, this will assist in triaging patients to higher acuity hospitals when appropriate.</w:t>
      </w:r>
      <w:r w:rsidR="006B6F22" w:rsidRPr="006B6F22">
        <w:rPr>
          <w:rFonts w:ascii="Franklin Gothic Book" w:hAnsi="Franklin Gothic Book"/>
          <w:b/>
          <w:bCs/>
        </w:rPr>
        <w:br w:type="page"/>
      </w:r>
    </w:p>
    <w:p w14:paraId="47F60955" w14:textId="5892332E" w:rsidR="008C4555" w:rsidRPr="008C4555" w:rsidRDefault="008C4555" w:rsidP="008C4555">
      <w:pPr>
        <w:spacing w:after="120"/>
        <w:rPr>
          <w:rFonts w:ascii="Franklin Gothic Book" w:hAnsi="Franklin Gothic Book"/>
          <w:b/>
          <w:bCs/>
        </w:rPr>
      </w:pPr>
      <w:r w:rsidRPr="008C4555">
        <w:rPr>
          <w:rFonts w:ascii="Franklin Gothic Book" w:hAnsi="Franklin Gothic Book"/>
          <w:b/>
          <w:bCs/>
        </w:rPr>
        <w:lastRenderedPageBreak/>
        <w:t>Disadvantages</w:t>
      </w:r>
    </w:p>
    <w:p w14:paraId="44D0ED4A" w14:textId="77777777" w:rsidR="008C4555" w:rsidRPr="008C4555" w:rsidRDefault="008C4555" w:rsidP="008C4555">
      <w:pPr>
        <w:spacing w:line="256" w:lineRule="auto"/>
        <w:rPr>
          <w:rFonts w:ascii="Franklin Gothic Book" w:hAnsi="Franklin Gothic Book" w:cstheme="minorHAnsi"/>
          <w:sz w:val="22"/>
          <w:szCs w:val="22"/>
        </w:rPr>
      </w:pPr>
      <w:r w:rsidRPr="008C4555">
        <w:rPr>
          <w:rFonts w:ascii="Franklin Gothic Book" w:hAnsi="Franklin Gothic Book" w:cstheme="minorHAnsi"/>
          <w:sz w:val="22"/>
          <w:szCs w:val="22"/>
        </w:rPr>
        <w:t>The main disadvantages of public funding received in the consultation feedback included:</w:t>
      </w:r>
    </w:p>
    <w:p w14:paraId="1E2C0527" w14:textId="77777777" w:rsidR="008C4555" w:rsidRPr="008C4555" w:rsidRDefault="008C4555" w:rsidP="008C4555">
      <w:pPr>
        <w:pStyle w:val="ListParagraph"/>
        <w:numPr>
          <w:ilvl w:val="0"/>
          <w:numId w:val="33"/>
        </w:numPr>
        <w:contextualSpacing w:val="0"/>
        <w:rPr>
          <w:rFonts w:ascii="Franklin Gothic Book" w:hAnsi="Franklin Gothic Book"/>
          <w:sz w:val="22"/>
          <w:szCs w:val="22"/>
        </w:rPr>
      </w:pPr>
      <w:r w:rsidRPr="008C4555">
        <w:rPr>
          <w:rFonts w:ascii="Franklin Gothic Book" w:hAnsi="Franklin Gothic Book"/>
          <w:sz w:val="22"/>
          <w:szCs w:val="22"/>
        </w:rPr>
        <w:t>Potential for falsely alarming women in early pregnancy</w:t>
      </w:r>
    </w:p>
    <w:p w14:paraId="19CE77C5" w14:textId="77777777" w:rsidR="008C4555" w:rsidRPr="008C4555" w:rsidRDefault="008C4555" w:rsidP="008C4555">
      <w:pPr>
        <w:pStyle w:val="ListParagraph"/>
        <w:numPr>
          <w:ilvl w:val="0"/>
          <w:numId w:val="33"/>
        </w:numPr>
        <w:contextualSpacing w:val="0"/>
        <w:rPr>
          <w:rFonts w:ascii="Franklin Gothic Book" w:hAnsi="Franklin Gothic Book"/>
          <w:sz w:val="22"/>
          <w:szCs w:val="22"/>
        </w:rPr>
      </w:pPr>
      <w:r w:rsidRPr="008C4555">
        <w:rPr>
          <w:rFonts w:ascii="Franklin Gothic Book" w:hAnsi="Franklin Gothic Book"/>
          <w:sz w:val="22"/>
          <w:szCs w:val="22"/>
        </w:rPr>
        <w:t xml:space="preserve">May cause increased stress and worry for women with a ‘high risk’ </w:t>
      </w:r>
      <w:proofErr w:type="gramStart"/>
      <w:r w:rsidRPr="008C4555">
        <w:rPr>
          <w:rFonts w:ascii="Franklin Gothic Book" w:hAnsi="Franklin Gothic Book"/>
          <w:sz w:val="22"/>
          <w:szCs w:val="22"/>
        </w:rPr>
        <w:t>result</w:t>
      </w:r>
      <w:proofErr w:type="gramEnd"/>
    </w:p>
    <w:p w14:paraId="20D588CD" w14:textId="77777777" w:rsidR="008C4555" w:rsidRPr="008C4555" w:rsidRDefault="008C4555" w:rsidP="008C4555">
      <w:pPr>
        <w:pStyle w:val="ListParagraph"/>
        <w:numPr>
          <w:ilvl w:val="0"/>
          <w:numId w:val="33"/>
        </w:numPr>
        <w:contextualSpacing w:val="0"/>
        <w:rPr>
          <w:rFonts w:ascii="Franklin Gothic Book" w:hAnsi="Franklin Gothic Book"/>
          <w:sz w:val="22"/>
          <w:szCs w:val="22"/>
        </w:rPr>
      </w:pPr>
      <w:r w:rsidRPr="008C4555">
        <w:rPr>
          <w:rFonts w:ascii="Franklin Gothic Book" w:hAnsi="Franklin Gothic Book"/>
          <w:sz w:val="22"/>
          <w:szCs w:val="22"/>
        </w:rPr>
        <w:t>Time in getting the testing performed.</w:t>
      </w:r>
    </w:p>
    <w:p w14:paraId="517E5C39" w14:textId="77777777" w:rsidR="008C4555" w:rsidRPr="008C4555" w:rsidRDefault="008C4555" w:rsidP="006B6F22">
      <w:pPr>
        <w:spacing w:before="240"/>
        <w:rPr>
          <w:rFonts w:ascii="Franklin Gothic Book" w:hAnsi="Franklin Gothic Book"/>
          <w:b/>
          <w:bCs/>
          <w:sz w:val="22"/>
          <w:szCs w:val="22"/>
        </w:rPr>
      </w:pPr>
      <w:r w:rsidRPr="008C4555">
        <w:rPr>
          <w:rFonts w:ascii="Franklin Gothic Book" w:hAnsi="Franklin Gothic Book"/>
          <w:sz w:val="22"/>
          <w:szCs w:val="22"/>
        </w:rPr>
        <w:t>Other issues</w:t>
      </w:r>
      <w:r w:rsidRPr="008C4555">
        <w:rPr>
          <w:rFonts w:ascii="Franklin Gothic Book" w:hAnsi="Franklin Gothic Book"/>
          <w:b/>
          <w:bCs/>
          <w:sz w:val="22"/>
          <w:szCs w:val="22"/>
        </w:rPr>
        <w:t xml:space="preserve"> </w:t>
      </w:r>
      <w:r w:rsidRPr="008C4555">
        <w:rPr>
          <w:rFonts w:ascii="Franklin Gothic Book" w:hAnsi="Franklin Gothic Book" w:cstheme="minorHAnsi"/>
          <w:sz w:val="22"/>
          <w:szCs w:val="22"/>
        </w:rPr>
        <w:t>received in the consultation feedback included:</w:t>
      </w:r>
    </w:p>
    <w:p w14:paraId="77A4DFFA" w14:textId="77777777" w:rsidR="008C4555" w:rsidRPr="008C4555" w:rsidRDefault="008C4555" w:rsidP="008C4555">
      <w:pPr>
        <w:pStyle w:val="ListParagraph"/>
        <w:numPr>
          <w:ilvl w:val="0"/>
          <w:numId w:val="34"/>
        </w:numPr>
        <w:contextualSpacing w:val="0"/>
        <w:rPr>
          <w:rFonts w:ascii="Franklin Gothic Book" w:hAnsi="Franklin Gothic Book"/>
          <w:sz w:val="22"/>
          <w:szCs w:val="22"/>
        </w:rPr>
      </w:pPr>
      <w:r w:rsidRPr="008C4555">
        <w:rPr>
          <w:rFonts w:ascii="Franklin Gothic Book" w:hAnsi="Franklin Gothic Book"/>
          <w:sz w:val="22"/>
          <w:szCs w:val="22"/>
        </w:rPr>
        <w:t>Ideally this structured prenatal risk assessment would be part of a coordinated antenatal care pathway.</w:t>
      </w:r>
    </w:p>
    <w:p w14:paraId="0B3181E5" w14:textId="77777777" w:rsidR="008C4555" w:rsidRPr="008C4555" w:rsidRDefault="008C4555" w:rsidP="008C4555">
      <w:pPr>
        <w:pStyle w:val="ListParagraph"/>
        <w:numPr>
          <w:ilvl w:val="0"/>
          <w:numId w:val="34"/>
        </w:numPr>
        <w:contextualSpacing w:val="0"/>
        <w:rPr>
          <w:rFonts w:ascii="Franklin Gothic Book" w:hAnsi="Franklin Gothic Book"/>
          <w:sz w:val="22"/>
          <w:szCs w:val="22"/>
        </w:rPr>
      </w:pPr>
      <w:r w:rsidRPr="008C4555">
        <w:rPr>
          <w:rFonts w:ascii="Franklin Gothic Book" w:hAnsi="Franklin Gothic Book"/>
          <w:sz w:val="22"/>
          <w:szCs w:val="22"/>
        </w:rPr>
        <w:t>One organisation noted that the women most likely to be severely adversely affected by preeclampsia are vulnerable women who present to public hospitals.</w:t>
      </w:r>
    </w:p>
    <w:p w14:paraId="0550DC47" w14:textId="77777777" w:rsidR="008C4555" w:rsidRPr="008C4555" w:rsidRDefault="008C4555" w:rsidP="008C4555">
      <w:pPr>
        <w:pStyle w:val="ListParagraph"/>
        <w:numPr>
          <w:ilvl w:val="0"/>
          <w:numId w:val="34"/>
        </w:numPr>
        <w:contextualSpacing w:val="0"/>
        <w:rPr>
          <w:rFonts w:ascii="Franklin Gothic Book" w:hAnsi="Franklin Gothic Book"/>
          <w:sz w:val="22"/>
          <w:szCs w:val="22"/>
        </w:rPr>
      </w:pPr>
      <w:r w:rsidRPr="008C4555">
        <w:rPr>
          <w:rFonts w:ascii="Franklin Gothic Book" w:hAnsi="Franklin Gothic Book"/>
          <w:sz w:val="22"/>
          <w:szCs w:val="22"/>
        </w:rPr>
        <w:t>One organisation noted that women will need counselling prior to and after having the test, regarding the results and the implications for the pregnancy.</w:t>
      </w:r>
    </w:p>
    <w:p w14:paraId="03C7A1F1" w14:textId="384493BC" w:rsidR="00772829" w:rsidRPr="00CE28E3" w:rsidRDefault="00971DBF" w:rsidP="002A18BE">
      <w:pPr>
        <w:pStyle w:val="Heading2"/>
        <w:numPr>
          <w:ilvl w:val="0"/>
          <w:numId w:val="0"/>
        </w:numPr>
      </w:pPr>
      <w:r>
        <w:t>10</w:t>
      </w:r>
      <w:r w:rsidR="00C36633">
        <w:t>.</w:t>
      </w:r>
      <w:r w:rsidR="00C36633">
        <w:tab/>
      </w:r>
      <w:r w:rsidR="00772829" w:rsidRPr="00CE28E3">
        <w:t>Characteristics of the evidence base</w:t>
      </w:r>
      <w:bookmarkEnd w:id="16"/>
    </w:p>
    <w:p w14:paraId="1F8B3CBF" w14:textId="3BA62408" w:rsidR="006B6F22" w:rsidRPr="006B6F22" w:rsidRDefault="002D3A6D" w:rsidP="006B6F22">
      <w:pPr>
        <w:pStyle w:val="a-TEXT"/>
      </w:pPr>
      <w:r w:rsidRPr="002D3A6D">
        <w:t xml:space="preserve">The clinical analysis presented in the application was based on 5 </w:t>
      </w:r>
      <w:r w:rsidR="004F2587" w:rsidRPr="002D3A6D">
        <w:t xml:space="preserve">published </w:t>
      </w:r>
      <w:r w:rsidR="005E17A3">
        <w:t>reports</w:t>
      </w:r>
      <w:r w:rsidR="004C4809">
        <w:t xml:space="preserve"> </w:t>
      </w:r>
      <w:r w:rsidR="004F2587">
        <w:t xml:space="preserve">from </w:t>
      </w:r>
      <w:r w:rsidR="004F2587" w:rsidRPr="002D3A6D">
        <w:t xml:space="preserve">the </w:t>
      </w:r>
      <w:r w:rsidR="004F2587">
        <w:t>ASPRE</w:t>
      </w:r>
      <w:r w:rsidR="004D2EED">
        <w:t xml:space="preserve"> </w:t>
      </w:r>
      <w:r w:rsidR="004D2EED" w:rsidRPr="004D2EED">
        <w:t xml:space="preserve">(Combined </w:t>
      </w:r>
      <w:proofErr w:type="spellStart"/>
      <w:r w:rsidR="004D2EED" w:rsidRPr="004D2EED">
        <w:t>Multimarker</w:t>
      </w:r>
      <w:proofErr w:type="spellEnd"/>
      <w:r w:rsidR="004D2EED" w:rsidRPr="004D2EED">
        <w:t xml:space="preserve"> </w:t>
      </w:r>
      <w:r w:rsidR="00F56D38">
        <w:t>Testing</w:t>
      </w:r>
      <w:r w:rsidR="004D2EED" w:rsidRPr="004D2EED">
        <w:t xml:space="preserve"> and Randomized Patient Treatment with Aspirin for Evidence-Based Preeclampsia Prevention)</w:t>
      </w:r>
      <w:r w:rsidR="004F2587" w:rsidRPr="002D3A6D">
        <w:t xml:space="preserve"> trial</w:t>
      </w:r>
      <w:r w:rsidR="00383A71" w:rsidRPr="00383A71">
        <w:rPr>
          <w:vertAlign w:val="superscript"/>
        </w:rPr>
        <w:t>,</w:t>
      </w:r>
      <w:r w:rsidR="002E0D54" w:rsidRPr="00383A71" w:rsidDel="002E0D54">
        <w:rPr>
          <w:rStyle w:val="FootnoteReference"/>
        </w:rPr>
        <w:t xml:space="preserve"> </w:t>
      </w:r>
      <w:r w:rsidR="00383A71" w:rsidRPr="00383A71">
        <w:rPr>
          <w:rStyle w:val="FootnoteReference"/>
        </w:rPr>
        <w:footnoteReference w:id="4"/>
      </w:r>
      <w:r w:rsidR="00383A71" w:rsidRPr="00383A71">
        <w:rPr>
          <w:vertAlign w:val="superscript"/>
        </w:rPr>
        <w:t>,</w:t>
      </w:r>
      <w:r w:rsidR="00383A71" w:rsidRPr="00383A71">
        <w:rPr>
          <w:rStyle w:val="FootnoteReference"/>
        </w:rPr>
        <w:footnoteReference w:id="5"/>
      </w:r>
      <w:r w:rsidR="00383A71" w:rsidRPr="00383A71">
        <w:rPr>
          <w:vertAlign w:val="superscript"/>
        </w:rPr>
        <w:t>,</w:t>
      </w:r>
      <w:r w:rsidR="00383A71" w:rsidRPr="00383A71">
        <w:rPr>
          <w:rStyle w:val="FootnoteReference"/>
        </w:rPr>
        <w:footnoteReference w:id="6"/>
      </w:r>
      <w:r w:rsidR="00383A71" w:rsidRPr="00383A71">
        <w:rPr>
          <w:vertAlign w:val="superscript"/>
        </w:rPr>
        <w:t>,</w:t>
      </w:r>
      <w:r w:rsidR="00383A71" w:rsidRPr="00383A71">
        <w:rPr>
          <w:rStyle w:val="FootnoteReference"/>
        </w:rPr>
        <w:footnoteReference w:id="7"/>
      </w:r>
      <w:r w:rsidR="002E0D54">
        <w:rPr>
          <w:vertAlign w:val="superscript"/>
        </w:rPr>
        <w:t xml:space="preserve"> </w:t>
      </w:r>
      <w:r w:rsidR="002E0D54">
        <w:rPr>
          <w:rStyle w:val="FootnoteReference"/>
        </w:rPr>
        <w:footnoteReference w:id="8"/>
      </w:r>
      <w:r w:rsidRPr="002D3A6D">
        <w:t>.</w:t>
      </w:r>
      <w:r w:rsidR="001C2CCF">
        <w:t xml:space="preserve"> </w:t>
      </w:r>
      <w:r w:rsidR="00EE6F13">
        <w:t>T</w:t>
      </w:r>
      <w:r w:rsidR="00EE6F13" w:rsidRPr="00904AA0">
        <w:t xml:space="preserve">he </w:t>
      </w:r>
      <w:r w:rsidR="00CF1A34">
        <w:t>ASPRE</w:t>
      </w:r>
      <w:r w:rsidR="00CF1A34" w:rsidRPr="002D3A6D">
        <w:t xml:space="preserve"> </w:t>
      </w:r>
      <w:r w:rsidR="00EE6F13">
        <w:t>trial</w:t>
      </w:r>
      <w:r w:rsidR="006E5E48">
        <w:t xml:space="preserve"> </w:t>
      </w:r>
      <w:r w:rsidR="00323DEB">
        <w:t>was</w:t>
      </w:r>
      <w:r w:rsidR="00EE6F13">
        <w:t xml:space="preserve"> a </w:t>
      </w:r>
      <w:r w:rsidR="00EE6F13" w:rsidRPr="002E5C48">
        <w:t xml:space="preserve">high quality randomised controlled trial </w:t>
      </w:r>
      <w:r w:rsidR="006E5E48" w:rsidRPr="002E5C48">
        <w:t>(RCT)</w:t>
      </w:r>
      <w:r w:rsidR="006E5E48">
        <w:t xml:space="preserve"> </w:t>
      </w:r>
      <w:r w:rsidR="00EE6F13">
        <w:t>directly</w:t>
      </w:r>
      <w:r w:rsidR="00EE6F13" w:rsidRPr="00904AA0">
        <w:t xml:space="preserve"> comparing </w:t>
      </w:r>
      <w:r w:rsidR="00926B53">
        <w:t xml:space="preserve">prescription of </w:t>
      </w:r>
      <w:r w:rsidR="00926B53" w:rsidRPr="007958B2">
        <w:rPr>
          <w:rFonts w:eastAsia="Calibri"/>
        </w:rPr>
        <w:t>150mg of aspirin from 11-14 weeks of gestation until 36 weeks</w:t>
      </w:r>
      <w:r w:rsidR="00926B53" w:rsidRPr="00904AA0">
        <w:t xml:space="preserve"> </w:t>
      </w:r>
      <w:r w:rsidR="00EE6F13" w:rsidRPr="00904AA0">
        <w:t xml:space="preserve">to </w:t>
      </w:r>
      <w:r w:rsidR="00EE6F13">
        <w:t xml:space="preserve">SoC </w:t>
      </w:r>
      <w:r w:rsidR="00323DEB">
        <w:t xml:space="preserve">for </w:t>
      </w:r>
      <w:r w:rsidR="00EE6F13">
        <w:t xml:space="preserve">patients </w:t>
      </w:r>
      <w:r w:rsidR="00926B53">
        <w:t>identified as high</w:t>
      </w:r>
      <w:r w:rsidR="00BE48E4">
        <w:t xml:space="preserve"> </w:t>
      </w:r>
      <w:r w:rsidR="00926B53">
        <w:t xml:space="preserve">risk for preeclampsia using the </w:t>
      </w:r>
      <w:r w:rsidR="00137830">
        <w:t>FMF risk calculator</w:t>
      </w:r>
      <w:r w:rsidR="000F1416">
        <w:t>, at</w:t>
      </w:r>
      <w:r w:rsidR="00801E70">
        <w:t xml:space="preserve"> maternity hospitals in the UK, Spain, Italy, Belgium, Greece</w:t>
      </w:r>
      <w:r w:rsidR="007516BE">
        <w:t>,</w:t>
      </w:r>
      <w:r w:rsidR="00801E70">
        <w:t xml:space="preserve"> and Israel</w:t>
      </w:r>
      <w:r w:rsidR="00EE6F13">
        <w:t>.</w:t>
      </w:r>
      <w:r w:rsidR="00150C45">
        <w:t xml:space="preserve"> </w:t>
      </w:r>
      <w:r w:rsidR="00EA2379">
        <w:t xml:space="preserve">A systematic review was conducted </w:t>
      </w:r>
      <w:r w:rsidR="00150C45">
        <w:t xml:space="preserve">by the applicant </w:t>
      </w:r>
      <w:r w:rsidR="0051576B">
        <w:t xml:space="preserve">as part of the ADAR </w:t>
      </w:r>
      <w:r w:rsidR="00EA2379">
        <w:t>to identify additional</w:t>
      </w:r>
      <w:r w:rsidR="000B2ACF">
        <w:t xml:space="preserve"> evidence </w:t>
      </w:r>
      <w:r w:rsidR="00406A59">
        <w:t>rel</w:t>
      </w:r>
      <w:r w:rsidR="004F2587">
        <w:t>evant</w:t>
      </w:r>
      <w:r w:rsidR="00406A59">
        <w:t xml:space="preserve"> to the PICO.</w:t>
      </w:r>
      <w:r w:rsidR="000B2ACF">
        <w:t xml:space="preserve"> </w:t>
      </w:r>
      <w:r w:rsidR="006D2434">
        <w:t>A summary of the included evidence</w:t>
      </w:r>
      <w:r w:rsidR="00B041B7">
        <w:t xml:space="preserve"> is presented in </w:t>
      </w:r>
      <w:r w:rsidR="00AB7AFF">
        <w:fldChar w:fldCharType="begin"/>
      </w:r>
      <w:r w:rsidR="00AB7AFF">
        <w:instrText xml:space="preserve"> REF _Ref141885357 \h </w:instrText>
      </w:r>
      <w:r w:rsidR="00AB7AFF">
        <w:fldChar w:fldCharType="separate"/>
      </w:r>
      <w:r w:rsidR="00BC26C0">
        <w:t xml:space="preserve">Table </w:t>
      </w:r>
      <w:r w:rsidR="00BC26C0">
        <w:rPr>
          <w:noProof/>
        </w:rPr>
        <w:t>5</w:t>
      </w:r>
      <w:r w:rsidR="00AB7AFF">
        <w:fldChar w:fldCharType="end"/>
      </w:r>
      <w:r w:rsidR="00F35F33">
        <w:t>.</w:t>
      </w:r>
      <w:bookmarkStart w:id="17" w:name="_Ref141885357"/>
      <w:r w:rsidR="006B6F22">
        <w:br w:type="page"/>
      </w:r>
    </w:p>
    <w:p w14:paraId="05A0DBD3" w14:textId="2D86983E" w:rsidR="00F35F33" w:rsidRDefault="00D773A1" w:rsidP="00F35F33">
      <w:pPr>
        <w:pStyle w:val="Caption"/>
      </w:pPr>
      <w:r>
        <w:lastRenderedPageBreak/>
        <w:t xml:space="preserve">Table </w:t>
      </w:r>
      <w:r w:rsidR="006608DC">
        <w:fldChar w:fldCharType="begin"/>
      </w:r>
      <w:r w:rsidR="006608DC">
        <w:instrText xml:space="preserve"> SEQ Table \* ARABIC </w:instrText>
      </w:r>
      <w:r w:rsidR="006608DC">
        <w:fldChar w:fldCharType="separate"/>
      </w:r>
      <w:r w:rsidR="009C77BA">
        <w:rPr>
          <w:noProof/>
        </w:rPr>
        <w:t>5</w:t>
      </w:r>
      <w:r w:rsidR="006608DC">
        <w:rPr>
          <w:noProof/>
        </w:rPr>
        <w:fldChar w:fldCharType="end"/>
      </w:r>
      <w:bookmarkEnd w:id="17"/>
      <w:r w:rsidR="00AB7AFF">
        <w:tab/>
      </w:r>
      <w:r w:rsidR="00F35F33" w:rsidRPr="00321081">
        <w:t>Key features of the included evidence</w:t>
      </w:r>
      <w:r w:rsidR="001E55FA">
        <w:t>.</w:t>
      </w:r>
    </w:p>
    <w:tbl>
      <w:tblPr>
        <w:tblStyle w:val="TableGrid"/>
        <w:tblpPr w:leftFromText="180" w:rightFromText="180" w:vertAnchor="text" w:tblpY="1"/>
        <w:tblOverlap w:val="never"/>
        <w:tblW w:w="0" w:type="auto"/>
        <w:tblCellMar>
          <w:left w:w="85" w:type="dxa"/>
          <w:right w:w="85" w:type="dxa"/>
        </w:tblCellMar>
        <w:tblLook w:val="04A0" w:firstRow="1" w:lastRow="0" w:firstColumn="1" w:lastColumn="0" w:noHBand="0" w:noVBand="1"/>
      </w:tblPr>
      <w:tblGrid>
        <w:gridCol w:w="2391"/>
        <w:gridCol w:w="2050"/>
        <w:gridCol w:w="1611"/>
        <w:gridCol w:w="2964"/>
      </w:tblGrid>
      <w:tr w:rsidR="00821C46" w:rsidRPr="00821C46" w14:paraId="7A77C98A" w14:textId="77777777" w:rsidTr="003F6058">
        <w:trPr>
          <w:trHeight w:val="388"/>
        </w:trPr>
        <w:tc>
          <w:tcPr>
            <w:tcW w:w="2391" w:type="dxa"/>
            <w:shd w:val="clear" w:color="auto" w:fill="auto"/>
            <w:vAlign w:val="center"/>
          </w:tcPr>
          <w:p w14:paraId="42C9D03C" w14:textId="728143D8" w:rsidR="00BF13AF" w:rsidRPr="00821C46" w:rsidRDefault="00BF13AF" w:rsidP="005635EB">
            <w:pPr>
              <w:pStyle w:val="TableText"/>
              <w:keepNext/>
              <w:keepLines/>
              <w:spacing w:before="0" w:after="0"/>
              <w:rPr>
                <w:rFonts w:eastAsia="Calibri"/>
                <w:b/>
                <w:bCs/>
                <w:color w:val="000000" w:themeColor="text1"/>
                <w:szCs w:val="20"/>
                <w:lang w:eastAsia="en-AU"/>
              </w:rPr>
            </w:pPr>
            <w:r w:rsidRPr="00821C46">
              <w:rPr>
                <w:b/>
                <w:color w:val="000000" w:themeColor="text1"/>
              </w:rPr>
              <w:t>Criterion</w:t>
            </w:r>
          </w:p>
        </w:tc>
        <w:tc>
          <w:tcPr>
            <w:tcW w:w="2050" w:type="dxa"/>
            <w:shd w:val="clear" w:color="auto" w:fill="auto"/>
            <w:vAlign w:val="center"/>
          </w:tcPr>
          <w:p w14:paraId="53465BB9" w14:textId="77777777" w:rsidR="00BF13AF" w:rsidRPr="00821C46" w:rsidRDefault="00BF13AF" w:rsidP="005635EB">
            <w:pPr>
              <w:pStyle w:val="TableText"/>
              <w:keepNext/>
              <w:keepLines/>
              <w:spacing w:before="0" w:after="0"/>
              <w:rPr>
                <w:b/>
                <w:color w:val="000000" w:themeColor="text1"/>
              </w:rPr>
            </w:pPr>
            <w:r w:rsidRPr="00821C46">
              <w:rPr>
                <w:b/>
                <w:color w:val="000000" w:themeColor="text1"/>
              </w:rPr>
              <w:t>Context</w:t>
            </w:r>
          </w:p>
        </w:tc>
        <w:tc>
          <w:tcPr>
            <w:tcW w:w="1611" w:type="dxa"/>
            <w:shd w:val="clear" w:color="auto" w:fill="auto"/>
            <w:vAlign w:val="center"/>
          </w:tcPr>
          <w:p w14:paraId="4D399E73" w14:textId="31915948" w:rsidR="00BF13AF" w:rsidRPr="00821C46" w:rsidRDefault="00BF13AF" w:rsidP="005635EB">
            <w:pPr>
              <w:pStyle w:val="TableText"/>
              <w:keepNext/>
              <w:keepLines/>
              <w:spacing w:before="0" w:after="0"/>
              <w:rPr>
                <w:b/>
                <w:color w:val="000000" w:themeColor="text1"/>
              </w:rPr>
            </w:pPr>
            <w:r w:rsidRPr="00821C46">
              <w:rPr>
                <w:b/>
                <w:color w:val="000000" w:themeColor="text1"/>
              </w:rPr>
              <w:t>Study</w:t>
            </w:r>
            <w:r w:rsidR="00AA360F">
              <w:rPr>
                <w:b/>
                <w:color w:val="000000" w:themeColor="text1"/>
              </w:rPr>
              <w:t>^</w:t>
            </w:r>
          </w:p>
        </w:tc>
        <w:tc>
          <w:tcPr>
            <w:tcW w:w="2964" w:type="dxa"/>
            <w:shd w:val="clear" w:color="auto" w:fill="auto"/>
            <w:vAlign w:val="center"/>
          </w:tcPr>
          <w:p w14:paraId="36807E3D" w14:textId="30E9D2FA" w:rsidR="00BF13AF" w:rsidRPr="00821C46" w:rsidRDefault="00BF13AF" w:rsidP="005635EB">
            <w:pPr>
              <w:pStyle w:val="TableText"/>
              <w:keepNext/>
              <w:keepLines/>
              <w:spacing w:before="0" w:after="0"/>
              <w:rPr>
                <w:rFonts w:eastAsia="Calibri"/>
                <w:b/>
                <w:bCs/>
                <w:color w:val="000000" w:themeColor="text1"/>
                <w:szCs w:val="20"/>
                <w:lang w:eastAsia="en-AU"/>
              </w:rPr>
            </w:pPr>
            <w:r w:rsidRPr="00821C46">
              <w:rPr>
                <w:b/>
                <w:color w:val="000000" w:themeColor="text1"/>
              </w:rPr>
              <w:t>Type of evidence supplied</w:t>
            </w:r>
          </w:p>
        </w:tc>
      </w:tr>
      <w:tr w:rsidR="008F50D6" w:rsidRPr="00821C46" w14:paraId="57BBC015" w14:textId="77777777" w:rsidTr="003F6058">
        <w:trPr>
          <w:trHeight w:val="49"/>
        </w:trPr>
        <w:tc>
          <w:tcPr>
            <w:tcW w:w="2391" w:type="dxa"/>
          </w:tcPr>
          <w:p w14:paraId="607BBC1A" w14:textId="77777777" w:rsidR="008F50D6" w:rsidRPr="00821C46" w:rsidRDefault="008F50D6"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Direct from test to health outcomes evidence</w:t>
            </w:r>
          </w:p>
        </w:tc>
        <w:tc>
          <w:tcPr>
            <w:tcW w:w="2050" w:type="dxa"/>
          </w:tcPr>
          <w:p w14:paraId="05EC0CC9" w14:textId="0B58D02D" w:rsidR="008F50D6" w:rsidRPr="00821C46" w:rsidRDefault="008F50D6"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 xml:space="preserve">Direct evidence of the use of FMF risk algorithm [versus </w:t>
            </w:r>
            <w:r>
              <w:rPr>
                <w:rFonts w:eastAsia="Calibri"/>
                <w:color w:val="000000" w:themeColor="text1"/>
                <w:szCs w:val="20"/>
                <w:lang w:eastAsia="en-AU"/>
              </w:rPr>
              <w:t>SoC</w:t>
            </w:r>
            <w:r w:rsidRPr="00821C46">
              <w:rPr>
                <w:rFonts w:eastAsia="Calibri"/>
                <w:color w:val="000000" w:themeColor="text1"/>
                <w:szCs w:val="20"/>
                <w:lang w:eastAsia="en-AU"/>
              </w:rPr>
              <w:t>] on health outcomes.</w:t>
            </w:r>
          </w:p>
        </w:tc>
        <w:tc>
          <w:tcPr>
            <w:tcW w:w="1611" w:type="dxa"/>
          </w:tcPr>
          <w:p w14:paraId="4BB33E9B" w14:textId="5EC20B3D" w:rsidR="008F50D6" w:rsidRPr="00821C46" w:rsidRDefault="00ED3E7B" w:rsidP="005635EB">
            <w:pPr>
              <w:pStyle w:val="TableText"/>
              <w:keepNext/>
              <w:keepLines/>
              <w:spacing w:before="0" w:after="0"/>
              <w:rPr>
                <w:rFonts w:eastAsia="Calibri"/>
                <w:color w:val="000000" w:themeColor="text1"/>
                <w:szCs w:val="20"/>
                <w:lang w:eastAsia="en-AU"/>
              </w:rPr>
            </w:pPr>
            <w:r w:rsidRPr="00ED3E7B">
              <w:rPr>
                <w:rFonts w:eastAsia="Calibri"/>
                <w:color w:val="000000" w:themeColor="text1"/>
                <w:szCs w:val="20"/>
                <w:lang w:eastAsia="en-AU"/>
              </w:rPr>
              <w:t>Rolnik et al., 2021</w:t>
            </w:r>
          </w:p>
        </w:tc>
        <w:tc>
          <w:tcPr>
            <w:tcW w:w="2964" w:type="dxa"/>
          </w:tcPr>
          <w:p w14:paraId="36759401" w14:textId="6B13953E" w:rsidR="008F50D6" w:rsidRPr="00821C46" w:rsidRDefault="008F50D6" w:rsidP="005635EB">
            <w:pPr>
              <w:pStyle w:val="TableText"/>
              <w:keepNext/>
              <w:keepLines/>
              <w:spacing w:before="0" w:after="0"/>
              <w:rPr>
                <w:rFonts w:eastAsia="Calibri"/>
                <w:color w:val="000000" w:themeColor="text1"/>
                <w:lang w:eastAsia="en-AU"/>
              </w:rPr>
            </w:pPr>
            <w:r w:rsidRPr="1923DEB3">
              <w:rPr>
                <w:rFonts w:eastAsia="Calibri"/>
                <w:color w:val="000000" w:themeColor="text1"/>
                <w:lang w:eastAsia="en-AU"/>
              </w:rPr>
              <w:t xml:space="preserve">One study reported on pregnancy outcomes in those who underwent preeclampsia </w:t>
            </w:r>
            <w:r w:rsidR="5BA95CF1" w:rsidRPr="1923DEB3">
              <w:rPr>
                <w:rFonts w:eastAsia="Calibri"/>
                <w:color w:val="000000" w:themeColor="text1"/>
                <w:lang w:eastAsia="en-AU"/>
              </w:rPr>
              <w:t>assessment</w:t>
            </w:r>
            <w:r w:rsidRPr="1923DEB3">
              <w:rPr>
                <w:rFonts w:eastAsia="Calibri"/>
                <w:color w:val="000000" w:themeColor="text1"/>
                <w:lang w:eastAsia="en-AU"/>
              </w:rPr>
              <w:t xml:space="preserve"> using the </w:t>
            </w:r>
            <w:r w:rsidR="00137830" w:rsidRPr="1923DEB3">
              <w:rPr>
                <w:rFonts w:eastAsia="Calibri"/>
                <w:color w:val="000000" w:themeColor="text1"/>
                <w:lang w:eastAsia="en-AU"/>
              </w:rPr>
              <w:t xml:space="preserve">FMF risk calculator </w:t>
            </w:r>
            <w:r w:rsidRPr="1923DEB3">
              <w:rPr>
                <w:rFonts w:eastAsia="Calibri"/>
                <w:color w:val="000000" w:themeColor="text1"/>
                <w:lang w:eastAsia="en-AU"/>
              </w:rPr>
              <w:t>[versus SoC].</w:t>
            </w:r>
          </w:p>
        </w:tc>
      </w:tr>
      <w:tr w:rsidR="00BE19F4" w:rsidRPr="00821C46" w14:paraId="658D4BF9" w14:textId="77777777" w:rsidTr="003F6058">
        <w:tc>
          <w:tcPr>
            <w:tcW w:w="2391" w:type="dxa"/>
            <w:vMerge w:val="restart"/>
          </w:tcPr>
          <w:p w14:paraId="4B852AE7" w14:textId="77777777" w:rsidR="00BE19F4" w:rsidRPr="00821C46" w:rsidRDefault="00BE19F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Test accuracy</w:t>
            </w:r>
          </w:p>
        </w:tc>
        <w:tc>
          <w:tcPr>
            <w:tcW w:w="2050" w:type="dxa"/>
            <w:vMerge w:val="restart"/>
          </w:tcPr>
          <w:p w14:paraId="4ECBAA3F" w14:textId="1F50635C" w:rsidR="00BE19F4" w:rsidRPr="00821C46" w:rsidRDefault="00BE19F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of the test accuracy of FMF risk algorithm</w:t>
            </w:r>
            <w:r>
              <w:rPr>
                <w:rFonts w:eastAsia="Calibri"/>
                <w:color w:val="000000" w:themeColor="text1"/>
                <w:szCs w:val="20"/>
                <w:lang w:eastAsia="en-AU"/>
              </w:rPr>
              <w:t xml:space="preserve"> for diagnosis of preterm preeclampsia</w:t>
            </w:r>
            <w:r w:rsidRPr="00821C46">
              <w:rPr>
                <w:rFonts w:eastAsia="Calibri"/>
                <w:color w:val="000000" w:themeColor="text1"/>
                <w:szCs w:val="20"/>
                <w:lang w:eastAsia="en-AU"/>
              </w:rPr>
              <w:t xml:space="preserve"> [versus </w:t>
            </w:r>
            <w:r>
              <w:rPr>
                <w:rFonts w:eastAsia="Calibri"/>
                <w:color w:val="000000" w:themeColor="text1"/>
                <w:szCs w:val="20"/>
                <w:lang w:eastAsia="en-AU"/>
              </w:rPr>
              <w:t>SoC</w:t>
            </w:r>
            <w:r w:rsidRPr="00821C46">
              <w:rPr>
                <w:rFonts w:eastAsia="Calibri"/>
                <w:color w:val="000000" w:themeColor="text1"/>
                <w:szCs w:val="20"/>
                <w:lang w:eastAsia="en-AU"/>
              </w:rPr>
              <w:t>].</w:t>
            </w:r>
          </w:p>
        </w:tc>
        <w:tc>
          <w:tcPr>
            <w:tcW w:w="1611" w:type="dxa"/>
          </w:tcPr>
          <w:p w14:paraId="5590DE89" w14:textId="16F20FBD" w:rsidR="00B63ACD" w:rsidRPr="00B63ACD" w:rsidRDefault="00B63ACD" w:rsidP="005635EB">
            <w:pPr>
              <w:pStyle w:val="TableText"/>
              <w:keepNext/>
              <w:keepLines/>
              <w:spacing w:before="0" w:after="0"/>
              <w:rPr>
                <w:rFonts w:eastAsia="Calibri"/>
                <w:color w:val="000000" w:themeColor="text1"/>
                <w:szCs w:val="20"/>
                <w:lang w:eastAsia="en-AU"/>
              </w:rPr>
            </w:pPr>
            <w:r w:rsidRPr="00B63ACD">
              <w:rPr>
                <w:rFonts w:eastAsia="Calibri"/>
                <w:color w:val="000000" w:themeColor="text1"/>
                <w:szCs w:val="20"/>
                <w:lang w:eastAsia="en-AU"/>
              </w:rPr>
              <w:t>O'Gorman et al.</w:t>
            </w:r>
            <w:r>
              <w:rPr>
                <w:rFonts w:eastAsia="Calibri"/>
                <w:color w:val="000000" w:themeColor="text1"/>
                <w:szCs w:val="20"/>
                <w:lang w:eastAsia="en-AU"/>
              </w:rPr>
              <w:t xml:space="preserve">, </w:t>
            </w:r>
            <w:r w:rsidRPr="00B63ACD">
              <w:rPr>
                <w:rFonts w:eastAsia="Calibri"/>
                <w:color w:val="000000" w:themeColor="text1"/>
                <w:szCs w:val="20"/>
                <w:lang w:eastAsia="en-AU"/>
              </w:rPr>
              <w:t>2017</w:t>
            </w:r>
          </w:p>
          <w:p w14:paraId="1178926B" w14:textId="2308AB4B" w:rsidR="00BE19F4" w:rsidRPr="0030164D" w:rsidRDefault="00B63ACD" w:rsidP="005635EB">
            <w:pPr>
              <w:pStyle w:val="TableText"/>
              <w:keepNext/>
              <w:keepLines/>
              <w:spacing w:before="0" w:after="0"/>
              <w:rPr>
                <w:rFonts w:eastAsia="Calibri"/>
                <w:color w:val="000000" w:themeColor="text1"/>
                <w:szCs w:val="20"/>
                <w:lang w:eastAsia="en-AU"/>
              </w:rPr>
            </w:pPr>
            <w:r w:rsidRPr="00B63ACD">
              <w:rPr>
                <w:rFonts w:eastAsia="Calibri"/>
                <w:color w:val="000000" w:themeColor="text1"/>
                <w:szCs w:val="20"/>
                <w:lang w:eastAsia="en-AU"/>
              </w:rPr>
              <w:t>Poon et al.</w:t>
            </w:r>
            <w:r>
              <w:rPr>
                <w:rFonts w:eastAsia="Calibri"/>
                <w:color w:val="000000" w:themeColor="text1"/>
                <w:szCs w:val="20"/>
                <w:lang w:eastAsia="en-AU"/>
              </w:rPr>
              <w:t>,</w:t>
            </w:r>
            <w:r w:rsidRPr="00B63ACD">
              <w:rPr>
                <w:rFonts w:eastAsia="Calibri"/>
                <w:color w:val="000000" w:themeColor="text1"/>
                <w:szCs w:val="20"/>
                <w:lang w:eastAsia="en-AU"/>
              </w:rPr>
              <w:t xml:space="preserve"> 2018</w:t>
            </w:r>
          </w:p>
        </w:tc>
        <w:tc>
          <w:tcPr>
            <w:tcW w:w="2964" w:type="dxa"/>
          </w:tcPr>
          <w:p w14:paraId="5995DEB3" w14:textId="387AC85A" w:rsidR="00BE19F4" w:rsidRPr="00821C46" w:rsidRDefault="00BE19F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 xml:space="preserve">Two studies from the ASPRE program compared the performance of the </w:t>
            </w:r>
            <w:r w:rsidR="00137830" w:rsidRPr="00137830">
              <w:rPr>
                <w:rFonts w:eastAsia="Calibri"/>
                <w:color w:val="000000" w:themeColor="text1"/>
                <w:szCs w:val="20"/>
                <w:lang w:eastAsia="en-AU"/>
              </w:rPr>
              <w:t xml:space="preserve">FMF risk calculator </w:t>
            </w:r>
            <w:r w:rsidRPr="00821C46">
              <w:rPr>
                <w:rFonts w:eastAsia="Calibri"/>
                <w:color w:val="000000" w:themeColor="text1"/>
                <w:szCs w:val="20"/>
                <w:lang w:eastAsia="en-AU"/>
              </w:rPr>
              <w:t>with ACOG and NICE criteria.</w:t>
            </w:r>
          </w:p>
        </w:tc>
      </w:tr>
      <w:tr w:rsidR="00BE19F4" w:rsidRPr="00821C46" w14:paraId="4479F2E6" w14:textId="77777777" w:rsidTr="003F6058">
        <w:tc>
          <w:tcPr>
            <w:tcW w:w="2391" w:type="dxa"/>
            <w:vMerge/>
          </w:tcPr>
          <w:p w14:paraId="78A86C37" w14:textId="77777777" w:rsidR="00BE19F4" w:rsidRPr="00821C46" w:rsidRDefault="00BE19F4" w:rsidP="005635EB">
            <w:pPr>
              <w:pStyle w:val="TableText"/>
              <w:keepNext/>
              <w:keepLines/>
              <w:numPr>
                <w:ilvl w:val="6"/>
                <w:numId w:val="1"/>
              </w:numPr>
              <w:spacing w:before="0" w:after="0"/>
              <w:ind w:left="309" w:hanging="309"/>
              <w:rPr>
                <w:rFonts w:eastAsia="Calibri"/>
                <w:color w:val="000000" w:themeColor="text1"/>
                <w:szCs w:val="20"/>
                <w:lang w:eastAsia="en-AU"/>
              </w:rPr>
            </w:pPr>
          </w:p>
        </w:tc>
        <w:tc>
          <w:tcPr>
            <w:tcW w:w="2050" w:type="dxa"/>
            <w:vMerge/>
          </w:tcPr>
          <w:p w14:paraId="704C753C" w14:textId="77777777" w:rsidR="00BE19F4" w:rsidRPr="00821C46" w:rsidRDefault="00BE19F4" w:rsidP="005635EB">
            <w:pPr>
              <w:pStyle w:val="TableText"/>
              <w:keepNext/>
              <w:keepLines/>
              <w:spacing w:before="0" w:after="0"/>
              <w:rPr>
                <w:rFonts w:eastAsia="Calibri"/>
                <w:color w:val="000000" w:themeColor="text1"/>
                <w:szCs w:val="20"/>
                <w:lang w:eastAsia="en-AU"/>
              </w:rPr>
            </w:pPr>
          </w:p>
        </w:tc>
        <w:tc>
          <w:tcPr>
            <w:tcW w:w="1611" w:type="dxa"/>
          </w:tcPr>
          <w:p w14:paraId="403A775B" w14:textId="5F528593" w:rsidR="00BE19F4" w:rsidRPr="008D2CF9" w:rsidRDefault="00B63ACD" w:rsidP="005635EB">
            <w:pPr>
              <w:pStyle w:val="TableText"/>
              <w:keepNext/>
              <w:keepLines/>
              <w:spacing w:before="0" w:after="0"/>
              <w:rPr>
                <w:rFonts w:eastAsia="Calibri"/>
                <w:color w:val="000000" w:themeColor="text1"/>
                <w:szCs w:val="20"/>
                <w:lang w:eastAsia="en-AU"/>
              </w:rPr>
            </w:pPr>
            <w:r w:rsidRPr="00B63ACD">
              <w:rPr>
                <w:rFonts w:eastAsia="Calibri"/>
                <w:color w:val="000000" w:themeColor="text1"/>
                <w:szCs w:val="20"/>
                <w:lang w:eastAsia="en-AU"/>
              </w:rPr>
              <w:t>Rolnik et al.</w:t>
            </w:r>
            <w:r>
              <w:rPr>
                <w:rFonts w:eastAsia="Calibri"/>
                <w:color w:val="000000" w:themeColor="text1"/>
                <w:szCs w:val="20"/>
                <w:lang w:eastAsia="en-AU"/>
              </w:rPr>
              <w:t>,</w:t>
            </w:r>
            <w:r w:rsidRPr="00B63ACD">
              <w:rPr>
                <w:rFonts w:eastAsia="Calibri"/>
                <w:color w:val="000000" w:themeColor="text1"/>
                <w:szCs w:val="20"/>
                <w:lang w:eastAsia="en-AU"/>
              </w:rPr>
              <w:t xml:space="preserve"> 2017b</w:t>
            </w:r>
          </w:p>
        </w:tc>
        <w:tc>
          <w:tcPr>
            <w:tcW w:w="2964" w:type="dxa"/>
          </w:tcPr>
          <w:p w14:paraId="1E01C1F1" w14:textId="22AA0EEB" w:rsidR="00BE19F4" w:rsidRPr="00821C46" w:rsidRDefault="00BE19F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 xml:space="preserve">One study from the ASPRE program reported on the performance of the </w:t>
            </w:r>
            <w:r w:rsidR="00137830" w:rsidRPr="00137830">
              <w:rPr>
                <w:rFonts w:eastAsia="Calibri"/>
                <w:color w:val="000000" w:themeColor="text1"/>
                <w:szCs w:val="20"/>
                <w:lang w:eastAsia="en-AU"/>
              </w:rPr>
              <w:t xml:space="preserve">FMF risk calculator </w:t>
            </w:r>
            <w:r w:rsidRPr="00821C46">
              <w:rPr>
                <w:rFonts w:eastAsia="Calibri"/>
                <w:color w:val="000000" w:themeColor="text1"/>
                <w:szCs w:val="20"/>
                <w:lang w:eastAsia="en-AU"/>
              </w:rPr>
              <w:t xml:space="preserve">in the whole population </w:t>
            </w:r>
            <w:r w:rsidR="00B263BE">
              <w:rPr>
                <w:rFonts w:eastAsia="Calibri"/>
                <w:color w:val="000000" w:themeColor="text1"/>
                <w:szCs w:val="20"/>
                <w:lang w:eastAsia="en-AU"/>
              </w:rPr>
              <w:t>tested</w:t>
            </w:r>
            <w:r w:rsidR="00B263BE" w:rsidRPr="00821C46">
              <w:rPr>
                <w:rFonts w:eastAsia="Calibri"/>
                <w:color w:val="000000" w:themeColor="text1"/>
                <w:szCs w:val="20"/>
                <w:lang w:eastAsia="en-AU"/>
              </w:rPr>
              <w:t xml:space="preserve"> </w:t>
            </w:r>
            <w:r w:rsidRPr="00821C46">
              <w:rPr>
                <w:rFonts w:eastAsia="Calibri"/>
                <w:color w:val="000000" w:themeColor="text1"/>
                <w:szCs w:val="20"/>
                <w:lang w:eastAsia="en-AU"/>
              </w:rPr>
              <w:t>in the ASPRE trial.</w:t>
            </w:r>
          </w:p>
        </w:tc>
      </w:tr>
      <w:tr w:rsidR="003B399F" w:rsidRPr="00821C46" w14:paraId="4BDD89F9" w14:textId="77777777" w:rsidTr="003F6058">
        <w:trPr>
          <w:trHeight w:val="55"/>
        </w:trPr>
        <w:tc>
          <w:tcPr>
            <w:tcW w:w="2391" w:type="dxa"/>
            <w:vMerge/>
          </w:tcPr>
          <w:p w14:paraId="4A7B2BC7" w14:textId="77777777" w:rsidR="003B399F" w:rsidRPr="00821C46" w:rsidRDefault="003B399F" w:rsidP="005635EB">
            <w:pPr>
              <w:pStyle w:val="TableText"/>
              <w:keepNext/>
              <w:keepLines/>
              <w:numPr>
                <w:ilvl w:val="6"/>
                <w:numId w:val="1"/>
              </w:numPr>
              <w:spacing w:before="0" w:after="0"/>
              <w:ind w:left="309" w:hanging="309"/>
              <w:rPr>
                <w:rFonts w:eastAsia="Calibri"/>
                <w:color w:val="000000" w:themeColor="text1"/>
                <w:szCs w:val="20"/>
                <w:lang w:eastAsia="en-AU"/>
              </w:rPr>
            </w:pPr>
          </w:p>
        </w:tc>
        <w:tc>
          <w:tcPr>
            <w:tcW w:w="2050" w:type="dxa"/>
            <w:vMerge/>
          </w:tcPr>
          <w:p w14:paraId="724B3BEB" w14:textId="77777777" w:rsidR="003B399F" w:rsidRPr="00821C46" w:rsidRDefault="003B399F" w:rsidP="005635EB">
            <w:pPr>
              <w:pStyle w:val="TableText"/>
              <w:keepNext/>
              <w:keepLines/>
              <w:spacing w:before="0" w:after="0"/>
              <w:rPr>
                <w:rFonts w:eastAsia="Calibri"/>
                <w:color w:val="000000" w:themeColor="text1"/>
                <w:szCs w:val="20"/>
                <w:lang w:eastAsia="en-AU"/>
              </w:rPr>
            </w:pPr>
          </w:p>
        </w:tc>
        <w:tc>
          <w:tcPr>
            <w:tcW w:w="1611" w:type="dxa"/>
          </w:tcPr>
          <w:p w14:paraId="4B46A347" w14:textId="7BDB2FEA" w:rsidR="003B399F" w:rsidRPr="009B5446" w:rsidRDefault="00835E49" w:rsidP="005635EB">
            <w:pPr>
              <w:pStyle w:val="TableText"/>
              <w:keepNext/>
              <w:keepLines/>
              <w:spacing w:before="0" w:after="0"/>
              <w:rPr>
                <w:rFonts w:eastAsia="Calibri"/>
                <w:color w:val="000000" w:themeColor="text1"/>
                <w:szCs w:val="20"/>
                <w:lang w:eastAsia="en-AU"/>
              </w:rPr>
            </w:pPr>
            <w:r w:rsidRPr="00835E49">
              <w:rPr>
                <w:rFonts w:eastAsia="Calibri"/>
                <w:color w:val="000000" w:themeColor="text1"/>
                <w:szCs w:val="20"/>
                <w:lang w:eastAsia="en-AU"/>
              </w:rPr>
              <w:t>Tan et al.</w:t>
            </w:r>
            <w:r>
              <w:rPr>
                <w:rFonts w:eastAsia="Calibri"/>
                <w:color w:val="000000" w:themeColor="text1"/>
                <w:szCs w:val="20"/>
                <w:lang w:eastAsia="en-AU"/>
              </w:rPr>
              <w:t>,</w:t>
            </w:r>
            <w:r w:rsidRPr="00835E49">
              <w:rPr>
                <w:rFonts w:eastAsia="Calibri"/>
                <w:color w:val="000000" w:themeColor="text1"/>
                <w:szCs w:val="20"/>
                <w:lang w:eastAsia="en-AU"/>
              </w:rPr>
              <w:t xml:space="preserve"> 201</w:t>
            </w:r>
            <w:r w:rsidR="004C2643">
              <w:rPr>
                <w:rFonts w:eastAsia="Calibri"/>
                <w:color w:val="000000" w:themeColor="text1"/>
                <w:szCs w:val="20"/>
                <w:lang w:eastAsia="en-AU"/>
              </w:rPr>
              <w:t>7</w:t>
            </w:r>
          </w:p>
        </w:tc>
        <w:tc>
          <w:tcPr>
            <w:tcW w:w="2964" w:type="dxa"/>
          </w:tcPr>
          <w:p w14:paraId="6FF2ACD6" w14:textId="34D5AF1E" w:rsidR="003B399F" w:rsidRPr="00821C46" w:rsidRDefault="003B399F"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 xml:space="preserve">One study </w:t>
            </w:r>
            <w:r>
              <w:rPr>
                <w:rFonts w:eastAsia="Calibri"/>
                <w:color w:val="000000" w:themeColor="text1"/>
                <w:szCs w:val="20"/>
                <w:lang w:eastAsia="en-AU"/>
              </w:rPr>
              <w:t>examined</w:t>
            </w:r>
            <w:r w:rsidRPr="00821C46">
              <w:rPr>
                <w:rFonts w:eastAsia="Calibri"/>
                <w:color w:val="000000" w:themeColor="text1"/>
                <w:szCs w:val="20"/>
                <w:lang w:eastAsia="en-AU"/>
              </w:rPr>
              <w:t xml:space="preserve"> the performance of the </w:t>
            </w:r>
            <w:r w:rsidRPr="00137830">
              <w:rPr>
                <w:rFonts w:eastAsia="Calibri"/>
                <w:color w:val="000000" w:themeColor="text1"/>
                <w:szCs w:val="20"/>
                <w:lang w:eastAsia="en-AU"/>
              </w:rPr>
              <w:t xml:space="preserve">FMF risk calculator </w:t>
            </w:r>
            <w:r w:rsidRPr="00821C46">
              <w:rPr>
                <w:rFonts w:eastAsia="Calibri"/>
                <w:color w:val="000000" w:themeColor="text1"/>
                <w:szCs w:val="20"/>
                <w:lang w:eastAsia="en-AU"/>
              </w:rPr>
              <w:t>[versus NICE guidelines].</w:t>
            </w:r>
          </w:p>
        </w:tc>
      </w:tr>
      <w:tr w:rsidR="00A922D4" w:rsidRPr="00821C46" w14:paraId="5E56E9C5" w14:textId="77777777" w:rsidTr="003F6058">
        <w:trPr>
          <w:trHeight w:val="440"/>
        </w:trPr>
        <w:tc>
          <w:tcPr>
            <w:tcW w:w="2391" w:type="dxa"/>
            <w:vMerge/>
          </w:tcPr>
          <w:p w14:paraId="696F66C9"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p>
        </w:tc>
        <w:tc>
          <w:tcPr>
            <w:tcW w:w="2050" w:type="dxa"/>
            <w:vMerge/>
          </w:tcPr>
          <w:p w14:paraId="71C72EB8" w14:textId="77777777" w:rsidR="00A922D4" w:rsidRPr="00821C46" w:rsidRDefault="00A922D4" w:rsidP="005635EB">
            <w:pPr>
              <w:pStyle w:val="TableText"/>
              <w:keepNext/>
              <w:keepLines/>
              <w:spacing w:before="0" w:after="0"/>
              <w:rPr>
                <w:rFonts w:eastAsia="Calibri"/>
                <w:color w:val="000000" w:themeColor="text1"/>
                <w:szCs w:val="20"/>
                <w:lang w:eastAsia="en-AU"/>
              </w:rPr>
            </w:pPr>
          </w:p>
        </w:tc>
        <w:tc>
          <w:tcPr>
            <w:tcW w:w="1611" w:type="dxa"/>
          </w:tcPr>
          <w:p w14:paraId="06189F4F" w14:textId="470B9AC4" w:rsidR="00835E49" w:rsidRDefault="00835E49" w:rsidP="005635EB">
            <w:pPr>
              <w:pStyle w:val="TableText"/>
              <w:keepNext/>
              <w:keepLines/>
              <w:spacing w:before="0" w:after="0"/>
              <w:rPr>
                <w:rFonts w:eastAsia="Calibri"/>
                <w:noProof/>
                <w:color w:val="000000" w:themeColor="text1"/>
                <w:szCs w:val="20"/>
                <w:lang w:eastAsia="en-AU"/>
              </w:rPr>
            </w:pPr>
            <w:r w:rsidRPr="00835E49">
              <w:rPr>
                <w:rFonts w:eastAsia="Calibri"/>
                <w:noProof/>
                <w:color w:val="000000" w:themeColor="text1"/>
                <w:szCs w:val="20"/>
                <w:lang w:eastAsia="en-AU"/>
              </w:rPr>
              <w:t>Rolnik et al., 2021</w:t>
            </w:r>
          </w:p>
          <w:p w14:paraId="1BAC3192" w14:textId="7E63C2C0" w:rsidR="007753FF" w:rsidRDefault="007753FF" w:rsidP="005635EB">
            <w:pPr>
              <w:pStyle w:val="TableText"/>
              <w:keepNext/>
              <w:keepLines/>
              <w:spacing w:before="0" w:after="0"/>
              <w:rPr>
                <w:rFonts w:eastAsia="Calibri"/>
                <w:noProof/>
                <w:color w:val="000000" w:themeColor="text1"/>
                <w:szCs w:val="20"/>
                <w:lang w:eastAsia="en-AU"/>
              </w:rPr>
            </w:pPr>
            <w:r>
              <w:rPr>
                <w:rFonts w:eastAsia="Calibri"/>
                <w:noProof/>
                <w:color w:val="000000" w:themeColor="text1"/>
                <w:szCs w:val="20"/>
                <w:lang w:eastAsia="en-AU"/>
              </w:rPr>
              <w:t>Boutin</w:t>
            </w:r>
            <w:r w:rsidR="00272FFB">
              <w:rPr>
                <w:rFonts w:eastAsia="Calibri"/>
                <w:noProof/>
                <w:color w:val="000000" w:themeColor="text1"/>
                <w:szCs w:val="20"/>
                <w:lang w:eastAsia="en-AU"/>
              </w:rPr>
              <w:t xml:space="preserve"> et al</w:t>
            </w:r>
            <w:r w:rsidR="00AE2B83">
              <w:rPr>
                <w:rFonts w:eastAsia="Calibri"/>
                <w:noProof/>
                <w:color w:val="000000" w:themeColor="text1"/>
                <w:szCs w:val="20"/>
                <w:lang w:eastAsia="en-AU"/>
              </w:rPr>
              <w:t>.</w:t>
            </w:r>
            <w:r w:rsidR="00A60538">
              <w:rPr>
                <w:rFonts w:eastAsia="Calibri"/>
                <w:noProof/>
                <w:color w:val="000000" w:themeColor="text1"/>
                <w:szCs w:val="20"/>
                <w:lang w:eastAsia="en-AU"/>
              </w:rPr>
              <w:t xml:space="preserve">, </w:t>
            </w:r>
            <w:r w:rsidR="006D7C3E">
              <w:rPr>
                <w:rFonts w:eastAsia="Calibri"/>
                <w:noProof/>
                <w:color w:val="000000" w:themeColor="text1"/>
                <w:szCs w:val="20"/>
                <w:lang w:eastAsia="en-AU"/>
              </w:rPr>
              <w:t>2021</w:t>
            </w:r>
          </w:p>
          <w:p w14:paraId="015832CC" w14:textId="54332AAC" w:rsidR="00A922D4" w:rsidRDefault="004F0916" w:rsidP="005635EB">
            <w:pPr>
              <w:pStyle w:val="TableText"/>
              <w:keepNext/>
              <w:keepLines/>
              <w:spacing w:before="0" w:after="0"/>
              <w:rPr>
                <w:rFonts w:eastAsia="Calibri"/>
                <w:color w:val="000000" w:themeColor="text1"/>
                <w:szCs w:val="20"/>
                <w:lang w:eastAsia="en-AU"/>
              </w:rPr>
            </w:pPr>
            <w:r w:rsidRPr="004F0916">
              <w:rPr>
                <w:rFonts w:eastAsia="Calibri"/>
                <w:color w:val="000000" w:themeColor="text1"/>
                <w:szCs w:val="20"/>
                <w:lang w:eastAsia="en-AU"/>
              </w:rPr>
              <w:t>Chen et al.</w:t>
            </w:r>
            <w:r>
              <w:rPr>
                <w:rFonts w:eastAsia="Calibri"/>
                <w:color w:val="000000" w:themeColor="text1"/>
                <w:szCs w:val="20"/>
                <w:lang w:eastAsia="en-AU"/>
              </w:rPr>
              <w:t>,</w:t>
            </w:r>
            <w:r w:rsidRPr="004F0916">
              <w:rPr>
                <w:rFonts w:eastAsia="Calibri"/>
                <w:color w:val="000000" w:themeColor="text1"/>
                <w:szCs w:val="20"/>
                <w:lang w:eastAsia="en-AU"/>
              </w:rPr>
              <w:t xml:space="preserve"> 2021</w:t>
            </w:r>
          </w:p>
        </w:tc>
        <w:tc>
          <w:tcPr>
            <w:tcW w:w="2964" w:type="dxa"/>
          </w:tcPr>
          <w:p w14:paraId="2FA16971" w14:textId="660B498E" w:rsidR="00A922D4" w:rsidRPr="00821C46" w:rsidRDefault="00B3645D" w:rsidP="005635EB">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Three</w:t>
            </w:r>
            <w:r w:rsidR="00A922D4" w:rsidRPr="0057021C">
              <w:rPr>
                <w:rFonts w:eastAsia="Calibri"/>
                <w:color w:val="000000" w:themeColor="text1"/>
                <w:szCs w:val="20"/>
                <w:lang w:eastAsia="en-AU"/>
              </w:rPr>
              <w:t xml:space="preserve"> studies validated the </w:t>
            </w:r>
            <w:r w:rsidR="00A922D4" w:rsidRPr="00137830">
              <w:rPr>
                <w:rFonts w:eastAsia="Calibri"/>
                <w:color w:val="000000" w:themeColor="text1"/>
                <w:szCs w:val="20"/>
                <w:lang w:eastAsia="en-AU"/>
              </w:rPr>
              <w:t xml:space="preserve">FMF risk calculator </w:t>
            </w:r>
            <w:r w:rsidR="00A922D4" w:rsidRPr="0057021C">
              <w:rPr>
                <w:rFonts w:eastAsia="Calibri"/>
                <w:color w:val="000000" w:themeColor="text1"/>
                <w:szCs w:val="20"/>
                <w:lang w:eastAsia="en-AU"/>
              </w:rPr>
              <w:t>in different populations</w:t>
            </w:r>
            <w:r>
              <w:rPr>
                <w:rFonts w:eastAsia="Calibri"/>
                <w:color w:val="000000" w:themeColor="text1"/>
                <w:szCs w:val="20"/>
                <w:lang w:eastAsia="en-AU"/>
              </w:rPr>
              <w:t xml:space="preserve"> </w:t>
            </w:r>
            <w:r w:rsidR="006A32B2">
              <w:rPr>
                <w:rFonts w:eastAsia="Calibri"/>
                <w:color w:val="000000" w:themeColor="text1"/>
                <w:szCs w:val="20"/>
                <w:lang w:eastAsia="en-AU"/>
              </w:rPr>
              <w:t>(Australia, Canada, Taiwan)</w:t>
            </w:r>
            <w:r w:rsidR="00A922D4" w:rsidRPr="0057021C">
              <w:rPr>
                <w:rFonts w:eastAsia="Calibri"/>
                <w:color w:val="000000" w:themeColor="text1"/>
                <w:szCs w:val="20"/>
                <w:lang w:eastAsia="en-AU"/>
              </w:rPr>
              <w:t>.</w:t>
            </w:r>
          </w:p>
        </w:tc>
      </w:tr>
      <w:tr w:rsidR="00A42F7C" w:rsidRPr="00821C46" w14:paraId="3EC37267" w14:textId="77777777" w:rsidTr="003F6058">
        <w:tc>
          <w:tcPr>
            <w:tcW w:w="2391" w:type="dxa"/>
            <w:shd w:val="clear" w:color="auto" w:fill="F2F2F2" w:themeFill="background1" w:themeFillShade="F2"/>
          </w:tcPr>
          <w:p w14:paraId="15682BD0" w14:textId="49F8EA1E"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Change in diagnosis/ treatment/ management</w:t>
            </w:r>
          </w:p>
        </w:tc>
        <w:tc>
          <w:tcPr>
            <w:tcW w:w="2050" w:type="dxa"/>
            <w:shd w:val="clear" w:color="auto" w:fill="F2F2F2" w:themeFill="background1" w:themeFillShade="F2"/>
          </w:tcPr>
          <w:p w14:paraId="58657E43" w14:textId="420B2154"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of the impact of risk score calculated by FMF on prescription of aspirin</w:t>
            </w:r>
            <w:r>
              <w:rPr>
                <w:rFonts w:eastAsia="Calibri"/>
                <w:color w:val="000000" w:themeColor="text1"/>
                <w:szCs w:val="20"/>
                <w:lang w:eastAsia="en-AU"/>
              </w:rPr>
              <w:t xml:space="preserve"> </w:t>
            </w:r>
            <w:r w:rsidRPr="00821C46">
              <w:rPr>
                <w:rFonts w:eastAsia="Calibri"/>
                <w:color w:val="000000" w:themeColor="text1"/>
                <w:szCs w:val="20"/>
                <w:lang w:eastAsia="en-AU"/>
              </w:rPr>
              <w:t xml:space="preserve">[versus </w:t>
            </w:r>
            <w:r>
              <w:rPr>
                <w:rFonts w:eastAsia="Calibri"/>
                <w:color w:val="000000" w:themeColor="text1"/>
                <w:szCs w:val="20"/>
                <w:lang w:eastAsia="en-AU"/>
              </w:rPr>
              <w:t>SoC</w:t>
            </w:r>
            <w:r w:rsidRPr="00821C46">
              <w:rPr>
                <w:rFonts w:eastAsia="Calibri"/>
                <w:color w:val="000000" w:themeColor="text1"/>
                <w:szCs w:val="20"/>
                <w:lang w:eastAsia="en-AU"/>
              </w:rPr>
              <w:t>].</w:t>
            </w:r>
          </w:p>
        </w:tc>
        <w:tc>
          <w:tcPr>
            <w:tcW w:w="1611" w:type="dxa"/>
            <w:shd w:val="clear" w:color="auto" w:fill="F2F2F2" w:themeFill="background1" w:themeFillShade="F2"/>
          </w:tcPr>
          <w:p w14:paraId="48A9B6EB" w14:textId="113BED72" w:rsidR="00A922D4" w:rsidRPr="00821C46" w:rsidRDefault="00A922D4" w:rsidP="005635EB">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w:t>
            </w:r>
          </w:p>
        </w:tc>
        <w:tc>
          <w:tcPr>
            <w:tcW w:w="2964" w:type="dxa"/>
            <w:shd w:val="clear" w:color="auto" w:fill="F2F2F2" w:themeFill="background1" w:themeFillShade="F2"/>
          </w:tcPr>
          <w:p w14:paraId="31DB2266" w14:textId="0B778730"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 xml:space="preserve">There was no evidence provided for </w:t>
            </w:r>
            <w:r>
              <w:rPr>
                <w:rFonts w:eastAsia="Calibri"/>
                <w:color w:val="000000" w:themeColor="text1"/>
                <w:szCs w:val="20"/>
                <w:lang w:eastAsia="en-AU"/>
              </w:rPr>
              <w:t xml:space="preserve">the </w:t>
            </w:r>
            <w:r w:rsidR="00AB0511">
              <w:rPr>
                <w:rFonts w:eastAsia="Calibri"/>
                <w:color w:val="000000" w:themeColor="text1"/>
                <w:szCs w:val="20"/>
                <w:lang w:eastAsia="en-AU"/>
              </w:rPr>
              <w:t xml:space="preserve">incremental </w:t>
            </w:r>
            <w:r>
              <w:rPr>
                <w:rFonts w:eastAsia="Calibri"/>
                <w:color w:val="000000" w:themeColor="text1"/>
                <w:szCs w:val="20"/>
                <w:lang w:eastAsia="en-AU"/>
              </w:rPr>
              <w:t xml:space="preserve">impact of the </w:t>
            </w:r>
            <w:r w:rsidRPr="00137830">
              <w:rPr>
                <w:rFonts w:eastAsia="Calibri"/>
                <w:color w:val="000000" w:themeColor="text1"/>
                <w:szCs w:val="20"/>
                <w:lang w:eastAsia="en-AU"/>
              </w:rPr>
              <w:t xml:space="preserve">FMF risk calculator </w:t>
            </w:r>
            <w:r>
              <w:rPr>
                <w:rFonts w:eastAsia="Calibri"/>
                <w:color w:val="000000" w:themeColor="text1"/>
                <w:szCs w:val="20"/>
                <w:lang w:eastAsia="en-AU"/>
              </w:rPr>
              <w:t>on prescription of aspirin.</w:t>
            </w:r>
          </w:p>
        </w:tc>
      </w:tr>
      <w:tr w:rsidR="00A922D4" w:rsidRPr="00821C46" w14:paraId="670E93FF" w14:textId="77777777" w:rsidTr="003F6058">
        <w:tc>
          <w:tcPr>
            <w:tcW w:w="2391" w:type="dxa"/>
            <w:vMerge w:val="restart"/>
          </w:tcPr>
          <w:p w14:paraId="6B08C0F7"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Influence of the change in management on health outcomes</w:t>
            </w:r>
          </w:p>
        </w:tc>
        <w:tc>
          <w:tcPr>
            <w:tcW w:w="2050" w:type="dxa"/>
            <w:vMerge w:val="restart"/>
          </w:tcPr>
          <w:p w14:paraId="49DFC4FB" w14:textId="7777777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of the impact of aspirin [versus no aspirin] on preeclampsia-related health outcomes.</w:t>
            </w:r>
          </w:p>
        </w:tc>
        <w:tc>
          <w:tcPr>
            <w:tcW w:w="1611" w:type="dxa"/>
          </w:tcPr>
          <w:p w14:paraId="2894B7C3" w14:textId="6D3A4E5F" w:rsidR="00A922D4" w:rsidRPr="00CF0930" w:rsidRDefault="004F0916" w:rsidP="005635EB">
            <w:pPr>
              <w:pStyle w:val="TableText"/>
              <w:keepNext/>
              <w:keepLines/>
              <w:spacing w:before="0" w:after="0"/>
              <w:rPr>
                <w:rFonts w:eastAsia="Calibri"/>
                <w:color w:val="000000" w:themeColor="text1"/>
                <w:szCs w:val="20"/>
                <w:lang w:eastAsia="en-AU"/>
              </w:rPr>
            </w:pPr>
            <w:r w:rsidRPr="00B63ACD">
              <w:rPr>
                <w:rFonts w:eastAsia="Calibri"/>
                <w:color w:val="000000" w:themeColor="text1"/>
                <w:szCs w:val="20"/>
                <w:lang w:eastAsia="en-AU"/>
              </w:rPr>
              <w:t>Rolnik et al.</w:t>
            </w:r>
            <w:r>
              <w:rPr>
                <w:rFonts w:eastAsia="Calibri"/>
                <w:color w:val="000000" w:themeColor="text1"/>
                <w:szCs w:val="20"/>
                <w:lang w:eastAsia="en-AU"/>
              </w:rPr>
              <w:t>,</w:t>
            </w:r>
            <w:r w:rsidRPr="00B63ACD">
              <w:rPr>
                <w:rFonts w:eastAsia="Calibri"/>
                <w:color w:val="000000" w:themeColor="text1"/>
                <w:szCs w:val="20"/>
                <w:lang w:eastAsia="en-AU"/>
              </w:rPr>
              <w:t xml:space="preserve"> 2017</w:t>
            </w:r>
            <w:r>
              <w:rPr>
                <w:rFonts w:eastAsia="Calibri"/>
                <w:color w:val="000000" w:themeColor="text1"/>
                <w:szCs w:val="20"/>
                <w:lang w:eastAsia="en-AU"/>
              </w:rPr>
              <w:t>a</w:t>
            </w:r>
          </w:p>
        </w:tc>
        <w:tc>
          <w:tcPr>
            <w:tcW w:w="2964" w:type="dxa"/>
          </w:tcPr>
          <w:p w14:paraId="6C5A80DD" w14:textId="7777777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One study reported the primary and secondary outcomes of the ASPRE trial (prescription of aspirin on health outcomes).</w:t>
            </w:r>
          </w:p>
        </w:tc>
      </w:tr>
      <w:tr w:rsidR="00A922D4" w:rsidRPr="00821C46" w14:paraId="66F59B10" w14:textId="77777777" w:rsidTr="003F6058">
        <w:tc>
          <w:tcPr>
            <w:tcW w:w="2391" w:type="dxa"/>
            <w:vMerge/>
          </w:tcPr>
          <w:p w14:paraId="35508543"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p>
        </w:tc>
        <w:tc>
          <w:tcPr>
            <w:tcW w:w="2050" w:type="dxa"/>
            <w:vMerge/>
          </w:tcPr>
          <w:p w14:paraId="6D153D32" w14:textId="77777777" w:rsidR="00A922D4" w:rsidRPr="00821C46" w:rsidRDefault="00A922D4" w:rsidP="005635EB">
            <w:pPr>
              <w:pStyle w:val="TableText"/>
              <w:keepNext/>
              <w:keepLines/>
              <w:spacing w:before="0" w:after="0"/>
              <w:rPr>
                <w:rFonts w:eastAsia="Calibri"/>
                <w:color w:val="000000" w:themeColor="text1"/>
                <w:szCs w:val="20"/>
                <w:lang w:eastAsia="en-AU"/>
              </w:rPr>
            </w:pPr>
          </w:p>
        </w:tc>
        <w:tc>
          <w:tcPr>
            <w:tcW w:w="1611" w:type="dxa"/>
          </w:tcPr>
          <w:p w14:paraId="62D9898B" w14:textId="70DD8BAB" w:rsidR="00A922D4" w:rsidRPr="00821C46" w:rsidRDefault="004F0916" w:rsidP="005635EB">
            <w:pPr>
              <w:pStyle w:val="TableText"/>
              <w:keepNext/>
              <w:keepLines/>
              <w:spacing w:before="0" w:after="0"/>
              <w:rPr>
                <w:rFonts w:eastAsia="Calibri"/>
                <w:color w:val="000000" w:themeColor="text1"/>
                <w:szCs w:val="20"/>
                <w:lang w:eastAsia="en-AU"/>
              </w:rPr>
            </w:pPr>
            <w:r w:rsidRPr="004F0916">
              <w:rPr>
                <w:rFonts w:eastAsia="Calibri"/>
                <w:color w:val="000000" w:themeColor="text1"/>
                <w:szCs w:val="20"/>
                <w:lang w:eastAsia="en-AU"/>
              </w:rPr>
              <w:t>Roberge et al.</w:t>
            </w:r>
            <w:r>
              <w:rPr>
                <w:rFonts w:eastAsia="Calibri"/>
                <w:color w:val="000000" w:themeColor="text1"/>
                <w:szCs w:val="20"/>
                <w:lang w:eastAsia="en-AU"/>
              </w:rPr>
              <w:t xml:space="preserve">, </w:t>
            </w:r>
            <w:r w:rsidRPr="004F0916">
              <w:rPr>
                <w:rFonts w:eastAsia="Calibri"/>
                <w:color w:val="000000" w:themeColor="text1"/>
                <w:szCs w:val="20"/>
                <w:lang w:eastAsia="en-AU"/>
              </w:rPr>
              <w:t>2018a</w:t>
            </w:r>
          </w:p>
        </w:tc>
        <w:tc>
          <w:tcPr>
            <w:tcW w:w="2964" w:type="dxa"/>
          </w:tcPr>
          <w:p w14:paraId="4E7E865E" w14:textId="7777777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A meta-analysis on the effect of aspirin use for prevention of preeclampsia was provided.</w:t>
            </w:r>
          </w:p>
        </w:tc>
      </w:tr>
      <w:tr w:rsidR="00A922D4" w:rsidRPr="00821C46" w14:paraId="3A74C001" w14:textId="77777777" w:rsidTr="003F6058">
        <w:tc>
          <w:tcPr>
            <w:tcW w:w="2391" w:type="dxa"/>
          </w:tcPr>
          <w:p w14:paraId="774AA99F"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Influence of the change in management on intermediate outcomes</w:t>
            </w:r>
          </w:p>
        </w:tc>
        <w:tc>
          <w:tcPr>
            <w:tcW w:w="2050" w:type="dxa"/>
          </w:tcPr>
          <w:p w14:paraId="065A3FC9" w14:textId="7777777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of the impact of aspirin [versus no aspirin] on incidence of pre-term preeclampsia.</w:t>
            </w:r>
          </w:p>
        </w:tc>
        <w:tc>
          <w:tcPr>
            <w:tcW w:w="1611" w:type="dxa"/>
          </w:tcPr>
          <w:p w14:paraId="50353225" w14:textId="6DB8C375" w:rsidR="004F0916" w:rsidRPr="004F0916" w:rsidRDefault="004F0916" w:rsidP="004F0916">
            <w:pPr>
              <w:rPr>
                <w:rFonts w:ascii="Arial Narrow" w:eastAsia="Calibri" w:hAnsi="Arial Narrow"/>
                <w:color w:val="000000" w:themeColor="text1"/>
                <w:sz w:val="20"/>
                <w:szCs w:val="20"/>
                <w:lang w:eastAsia="en-AU"/>
              </w:rPr>
            </w:pPr>
            <w:r w:rsidRPr="004F0916">
              <w:rPr>
                <w:rFonts w:ascii="Arial Narrow" w:eastAsia="Calibri" w:hAnsi="Arial Narrow"/>
                <w:color w:val="000000" w:themeColor="text1"/>
                <w:sz w:val="20"/>
                <w:szCs w:val="20"/>
                <w:lang w:eastAsia="en-AU"/>
              </w:rPr>
              <w:t>Wright et al.</w:t>
            </w:r>
            <w:r>
              <w:rPr>
                <w:rFonts w:ascii="Arial Narrow" w:eastAsia="Calibri" w:hAnsi="Arial Narrow"/>
                <w:color w:val="000000" w:themeColor="text1"/>
                <w:sz w:val="20"/>
                <w:szCs w:val="20"/>
                <w:lang w:eastAsia="en-AU"/>
              </w:rPr>
              <w:t>,</w:t>
            </w:r>
            <w:r w:rsidRPr="004F0916">
              <w:rPr>
                <w:rFonts w:ascii="Arial Narrow" w:eastAsia="Calibri" w:hAnsi="Arial Narrow"/>
                <w:color w:val="000000" w:themeColor="text1"/>
                <w:sz w:val="20"/>
                <w:szCs w:val="20"/>
                <w:lang w:eastAsia="en-AU"/>
              </w:rPr>
              <w:t xml:space="preserve"> 2017</w:t>
            </w:r>
          </w:p>
          <w:p w14:paraId="4F4DC1A2" w14:textId="7E441461" w:rsidR="00A922D4" w:rsidRPr="00CF0930" w:rsidRDefault="00A922D4" w:rsidP="005635EB">
            <w:pPr>
              <w:pStyle w:val="TableText"/>
              <w:keepNext/>
              <w:keepLines/>
              <w:spacing w:before="0" w:after="0"/>
              <w:rPr>
                <w:rFonts w:eastAsia="Calibri"/>
                <w:color w:val="000000" w:themeColor="text1"/>
                <w:szCs w:val="20"/>
                <w:lang w:eastAsia="en-AU"/>
              </w:rPr>
            </w:pPr>
          </w:p>
        </w:tc>
        <w:tc>
          <w:tcPr>
            <w:tcW w:w="2964" w:type="dxa"/>
          </w:tcPr>
          <w:p w14:paraId="2626D2E1" w14:textId="0D4F22A1" w:rsidR="00A922D4" w:rsidRPr="00821C46" w:rsidRDefault="00A922D4" w:rsidP="005635EB">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One study from the ASPRE trial</w:t>
            </w:r>
            <w:r w:rsidRPr="00821C46">
              <w:rPr>
                <w:rFonts w:eastAsia="Calibri"/>
                <w:color w:val="000000" w:themeColor="text1"/>
                <w:szCs w:val="20"/>
                <w:lang w:eastAsia="en-AU"/>
              </w:rPr>
              <w:t xml:space="preserve"> reported a secondary analysis examining the influence of treatment compliance on the beneficial effect of aspirin in preventing preterm preeclampsia.</w:t>
            </w:r>
          </w:p>
        </w:tc>
      </w:tr>
      <w:tr w:rsidR="00A42F7C" w:rsidRPr="00821C46" w14:paraId="0C63BF87" w14:textId="77777777" w:rsidTr="003F6058">
        <w:tc>
          <w:tcPr>
            <w:tcW w:w="2391" w:type="dxa"/>
            <w:shd w:val="clear" w:color="auto" w:fill="F2F2F2" w:themeFill="background1" w:themeFillShade="F2"/>
          </w:tcPr>
          <w:p w14:paraId="2BF6BE08"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Association of intermediate outcomes with health outcomes</w:t>
            </w:r>
          </w:p>
        </w:tc>
        <w:tc>
          <w:tcPr>
            <w:tcW w:w="2050" w:type="dxa"/>
            <w:shd w:val="clear" w:color="auto" w:fill="F2F2F2" w:themeFill="background1" w:themeFillShade="F2"/>
          </w:tcPr>
          <w:p w14:paraId="33E50050" w14:textId="0C4FDD81"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of the impact of incidence of preterm preeclampsia on preeclampsia-related health outcomes.</w:t>
            </w:r>
          </w:p>
        </w:tc>
        <w:tc>
          <w:tcPr>
            <w:tcW w:w="1611" w:type="dxa"/>
            <w:shd w:val="clear" w:color="auto" w:fill="F2F2F2" w:themeFill="background1" w:themeFillShade="F2"/>
          </w:tcPr>
          <w:p w14:paraId="7349DADF" w14:textId="2FCDCF7E" w:rsidR="00A922D4" w:rsidRPr="00821C46" w:rsidRDefault="00A922D4" w:rsidP="005635EB">
            <w:pPr>
              <w:pStyle w:val="TableText"/>
              <w:keepNext/>
              <w:keepLines/>
              <w:spacing w:before="0" w:after="0"/>
              <w:rPr>
                <w:rFonts w:ascii="Franklin Gothic Book" w:hAnsi="Franklin Gothic Book"/>
                <w:i/>
                <w:iCs/>
                <w:color w:val="000000" w:themeColor="text1"/>
              </w:rPr>
            </w:pPr>
            <w:r>
              <w:rPr>
                <w:rFonts w:ascii="Franklin Gothic Book" w:hAnsi="Franklin Gothic Book"/>
                <w:i/>
                <w:iCs/>
                <w:color w:val="000000" w:themeColor="text1"/>
              </w:rPr>
              <w:t>-</w:t>
            </w:r>
          </w:p>
        </w:tc>
        <w:tc>
          <w:tcPr>
            <w:tcW w:w="2964" w:type="dxa"/>
            <w:shd w:val="clear" w:color="auto" w:fill="F2F2F2" w:themeFill="background1" w:themeFillShade="F2"/>
          </w:tcPr>
          <w:p w14:paraId="735E86BC" w14:textId="5C011BB8"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There was no evidence provided for the impact of incidence of preterm preeclampsia on preeclampsia-related health outcomes</w:t>
            </w:r>
            <w:r>
              <w:rPr>
                <w:rFonts w:eastAsia="Calibri"/>
                <w:color w:val="000000" w:themeColor="text1"/>
                <w:szCs w:val="20"/>
                <w:lang w:eastAsia="en-AU"/>
              </w:rPr>
              <w:t>.</w:t>
            </w:r>
          </w:p>
        </w:tc>
      </w:tr>
      <w:tr w:rsidR="00A42F7C" w:rsidRPr="00821C46" w14:paraId="6415FE8E" w14:textId="77777777" w:rsidTr="003F6058">
        <w:tc>
          <w:tcPr>
            <w:tcW w:w="2391" w:type="dxa"/>
            <w:shd w:val="clear" w:color="auto" w:fill="F2F2F2" w:themeFill="background1" w:themeFillShade="F2"/>
          </w:tcPr>
          <w:p w14:paraId="69B760CD"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Adverse events due to testing</w:t>
            </w:r>
          </w:p>
        </w:tc>
        <w:tc>
          <w:tcPr>
            <w:tcW w:w="2050" w:type="dxa"/>
            <w:shd w:val="clear" w:color="auto" w:fill="F2F2F2" w:themeFill="background1" w:themeFillShade="F2"/>
          </w:tcPr>
          <w:p w14:paraId="3B09929B" w14:textId="174F1FF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for adverse events associated with use of</w:t>
            </w:r>
            <w:r w:rsidRPr="00137830">
              <w:rPr>
                <w:rFonts w:eastAsia="Calibri"/>
                <w:color w:val="000000" w:themeColor="text1"/>
                <w:szCs w:val="20"/>
                <w:lang w:eastAsia="en-AU"/>
              </w:rPr>
              <w:t xml:space="preserve"> FMF risk calculator </w:t>
            </w:r>
            <w:r w:rsidRPr="00821C46">
              <w:rPr>
                <w:rFonts w:eastAsia="Calibri"/>
                <w:color w:val="000000" w:themeColor="text1"/>
                <w:szCs w:val="20"/>
                <w:lang w:eastAsia="en-AU"/>
              </w:rPr>
              <w:t>[</w:t>
            </w:r>
            <w:r>
              <w:rPr>
                <w:rFonts w:eastAsia="Calibri"/>
                <w:color w:val="000000" w:themeColor="text1"/>
                <w:szCs w:val="20"/>
                <w:lang w:eastAsia="en-AU"/>
              </w:rPr>
              <w:t>versus SoC</w:t>
            </w:r>
            <w:r w:rsidRPr="00821C46">
              <w:rPr>
                <w:rFonts w:eastAsia="Calibri"/>
                <w:color w:val="000000" w:themeColor="text1"/>
                <w:szCs w:val="20"/>
                <w:lang w:eastAsia="en-AU"/>
              </w:rPr>
              <w:t>].</w:t>
            </w:r>
          </w:p>
        </w:tc>
        <w:tc>
          <w:tcPr>
            <w:tcW w:w="1611" w:type="dxa"/>
            <w:shd w:val="clear" w:color="auto" w:fill="F2F2F2" w:themeFill="background1" w:themeFillShade="F2"/>
          </w:tcPr>
          <w:p w14:paraId="794A20FE" w14:textId="4310E689" w:rsidR="00A922D4" w:rsidRPr="00821C46" w:rsidRDefault="00A922D4" w:rsidP="001E55FA">
            <w:pPr>
              <w:rPr>
                <w:rFonts w:ascii="Franklin Gothic Book" w:hAnsi="Franklin Gothic Book"/>
                <w:i/>
                <w:iCs/>
                <w:color w:val="000000" w:themeColor="text1"/>
              </w:rPr>
            </w:pPr>
            <w:r>
              <w:rPr>
                <w:rFonts w:ascii="Franklin Gothic Book" w:hAnsi="Franklin Gothic Book"/>
                <w:i/>
                <w:iCs/>
                <w:color w:val="000000" w:themeColor="text1"/>
              </w:rPr>
              <w:t>-</w:t>
            </w:r>
          </w:p>
        </w:tc>
        <w:tc>
          <w:tcPr>
            <w:tcW w:w="2964" w:type="dxa"/>
            <w:shd w:val="clear" w:color="auto" w:fill="F2F2F2" w:themeFill="background1" w:themeFillShade="F2"/>
          </w:tcPr>
          <w:p w14:paraId="2BE0A490" w14:textId="7777777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There was no evidence provided for adverse events associated with testing.</w:t>
            </w:r>
          </w:p>
        </w:tc>
      </w:tr>
      <w:tr w:rsidR="00A922D4" w:rsidRPr="00821C46" w14:paraId="79A60BAC" w14:textId="77777777" w:rsidTr="003F6058">
        <w:trPr>
          <w:trHeight w:val="67"/>
        </w:trPr>
        <w:tc>
          <w:tcPr>
            <w:tcW w:w="2391" w:type="dxa"/>
          </w:tcPr>
          <w:p w14:paraId="3AD36A0C" w14:textId="77777777" w:rsidR="00A922D4" w:rsidRPr="00821C46" w:rsidRDefault="00A922D4" w:rsidP="005635EB">
            <w:pPr>
              <w:pStyle w:val="TableText"/>
              <w:keepNext/>
              <w:keepLines/>
              <w:numPr>
                <w:ilvl w:val="6"/>
                <w:numId w:val="1"/>
              </w:numPr>
              <w:spacing w:before="0" w:after="0"/>
              <w:ind w:left="309" w:hanging="309"/>
              <w:rPr>
                <w:rFonts w:eastAsia="Calibri"/>
                <w:color w:val="000000" w:themeColor="text1"/>
                <w:szCs w:val="20"/>
                <w:lang w:eastAsia="en-AU"/>
              </w:rPr>
            </w:pPr>
            <w:r w:rsidRPr="00821C46">
              <w:rPr>
                <w:rFonts w:eastAsia="Calibri"/>
                <w:color w:val="000000" w:themeColor="text1"/>
                <w:szCs w:val="20"/>
                <w:lang w:eastAsia="en-AU"/>
              </w:rPr>
              <w:t>Adverse events due to treatment</w:t>
            </w:r>
          </w:p>
        </w:tc>
        <w:tc>
          <w:tcPr>
            <w:tcW w:w="2050" w:type="dxa"/>
          </w:tcPr>
          <w:p w14:paraId="5B982DBE" w14:textId="77777777" w:rsidR="00A922D4" w:rsidRPr="00821C46" w:rsidRDefault="00A922D4" w:rsidP="005635EB">
            <w:pPr>
              <w:pStyle w:val="TableText"/>
              <w:keepNext/>
              <w:keepLines/>
              <w:spacing w:before="0" w:after="0"/>
              <w:rPr>
                <w:rFonts w:eastAsia="Calibri"/>
                <w:color w:val="000000" w:themeColor="text1"/>
                <w:szCs w:val="20"/>
                <w:lang w:eastAsia="en-AU"/>
              </w:rPr>
            </w:pPr>
            <w:r w:rsidRPr="00821C46">
              <w:rPr>
                <w:rFonts w:eastAsia="Calibri"/>
                <w:color w:val="000000" w:themeColor="text1"/>
                <w:szCs w:val="20"/>
                <w:lang w:eastAsia="en-AU"/>
              </w:rPr>
              <w:t>Evidence for adverse events associated with aspirin [versus no aspirin].</w:t>
            </w:r>
          </w:p>
        </w:tc>
        <w:tc>
          <w:tcPr>
            <w:tcW w:w="1611" w:type="dxa"/>
          </w:tcPr>
          <w:p w14:paraId="781FB4A0" w14:textId="14CED7C9" w:rsidR="00A922D4" w:rsidRPr="00821C46" w:rsidRDefault="004F0916" w:rsidP="005635EB">
            <w:pPr>
              <w:pStyle w:val="TableText"/>
              <w:keepNext/>
              <w:keepLines/>
              <w:spacing w:before="0" w:after="0"/>
              <w:rPr>
                <w:rFonts w:eastAsia="Calibri"/>
                <w:color w:val="000000" w:themeColor="text1"/>
                <w:szCs w:val="20"/>
                <w:lang w:eastAsia="en-AU"/>
              </w:rPr>
            </w:pPr>
            <w:r w:rsidRPr="00B63ACD">
              <w:rPr>
                <w:rFonts w:eastAsia="Calibri"/>
                <w:color w:val="000000" w:themeColor="text1"/>
                <w:szCs w:val="20"/>
                <w:lang w:eastAsia="en-AU"/>
              </w:rPr>
              <w:t>Rolnik et al.</w:t>
            </w:r>
            <w:r>
              <w:rPr>
                <w:rFonts w:eastAsia="Calibri"/>
                <w:color w:val="000000" w:themeColor="text1"/>
                <w:szCs w:val="20"/>
                <w:lang w:eastAsia="en-AU"/>
              </w:rPr>
              <w:t>,</w:t>
            </w:r>
            <w:r w:rsidRPr="00B63ACD">
              <w:rPr>
                <w:rFonts w:eastAsia="Calibri"/>
                <w:color w:val="000000" w:themeColor="text1"/>
                <w:szCs w:val="20"/>
                <w:lang w:eastAsia="en-AU"/>
              </w:rPr>
              <w:t xml:space="preserve"> 2017</w:t>
            </w:r>
            <w:r>
              <w:rPr>
                <w:rFonts w:eastAsia="Calibri"/>
                <w:color w:val="000000" w:themeColor="text1"/>
                <w:szCs w:val="20"/>
                <w:lang w:eastAsia="en-AU"/>
              </w:rPr>
              <w:t>a</w:t>
            </w:r>
          </w:p>
        </w:tc>
        <w:tc>
          <w:tcPr>
            <w:tcW w:w="2964" w:type="dxa"/>
          </w:tcPr>
          <w:p w14:paraId="73615FD3" w14:textId="77777777" w:rsidR="00A922D4" w:rsidRPr="00821C46" w:rsidRDefault="00A922D4" w:rsidP="001E55FA">
            <w:pPr>
              <w:rPr>
                <w:rFonts w:ascii="Arial Narrow" w:eastAsia="Calibri" w:hAnsi="Arial Narrow"/>
                <w:color w:val="000000" w:themeColor="text1"/>
                <w:sz w:val="20"/>
                <w:szCs w:val="20"/>
                <w:lang w:eastAsia="en-AU"/>
              </w:rPr>
            </w:pPr>
            <w:r w:rsidRPr="00821C46">
              <w:rPr>
                <w:rFonts w:ascii="Arial Narrow" w:eastAsia="Calibri" w:hAnsi="Arial Narrow"/>
                <w:color w:val="000000" w:themeColor="text1"/>
                <w:sz w:val="20"/>
                <w:szCs w:val="20"/>
                <w:lang w:eastAsia="en-AU"/>
              </w:rPr>
              <w:t>One study reported the adverse events associated with aspirin recorded as part of the ASPRE trial.</w:t>
            </w:r>
          </w:p>
        </w:tc>
      </w:tr>
    </w:tbl>
    <w:p w14:paraId="5E3BBD0B" w14:textId="337B9D3A" w:rsidR="00D07F50" w:rsidRDefault="00AA360F" w:rsidP="001129A9">
      <w:pPr>
        <w:spacing w:line="259" w:lineRule="auto"/>
        <w:rPr>
          <w:rFonts w:ascii="Arial Narrow" w:hAnsi="Arial Narrow"/>
          <w:sz w:val="18"/>
          <w:szCs w:val="18"/>
        </w:rPr>
      </w:pPr>
      <w:r w:rsidRPr="003F6058">
        <w:rPr>
          <w:rFonts w:ascii="Arial Narrow" w:hAnsi="Arial Narrow"/>
          <w:sz w:val="18"/>
          <w:szCs w:val="18"/>
          <w:u w:val="single"/>
        </w:rPr>
        <w:t xml:space="preserve">^Underlined studies represent those </w:t>
      </w:r>
      <w:r w:rsidR="005A0A1B" w:rsidRPr="003F6058">
        <w:rPr>
          <w:rFonts w:ascii="Arial Narrow" w:hAnsi="Arial Narrow"/>
          <w:sz w:val="18"/>
          <w:szCs w:val="18"/>
          <w:u w:val="single"/>
        </w:rPr>
        <w:t xml:space="preserve">reporting results from </w:t>
      </w:r>
      <w:r w:rsidRPr="003F6058">
        <w:rPr>
          <w:rFonts w:ascii="Arial Narrow" w:hAnsi="Arial Narrow"/>
          <w:sz w:val="18"/>
          <w:szCs w:val="18"/>
          <w:u w:val="single"/>
        </w:rPr>
        <w:t>the ASPRE trial.</w:t>
      </w:r>
      <w:r w:rsidRPr="009064EB">
        <w:rPr>
          <w:rFonts w:ascii="Arial Narrow" w:hAnsi="Arial Narrow"/>
          <w:b/>
          <w:sz w:val="18"/>
          <w:szCs w:val="18"/>
        </w:rPr>
        <w:t xml:space="preserve"> </w:t>
      </w:r>
      <w:r w:rsidR="009364A8">
        <w:rPr>
          <w:rFonts w:ascii="Arial Narrow" w:hAnsi="Arial Narrow"/>
          <w:bCs/>
          <w:sz w:val="18"/>
          <w:szCs w:val="18"/>
        </w:rPr>
        <w:t xml:space="preserve">Pale grey shading indicates </w:t>
      </w:r>
      <w:r w:rsidR="0037323D">
        <w:rPr>
          <w:rFonts w:ascii="Arial Narrow" w:hAnsi="Arial Narrow"/>
          <w:bCs/>
          <w:sz w:val="18"/>
          <w:szCs w:val="18"/>
        </w:rPr>
        <w:t>criteria for which no evidence was provided by the ADAR.</w:t>
      </w:r>
    </w:p>
    <w:p w14:paraId="60E97BD9" w14:textId="78411C0E" w:rsidR="006B6F22" w:rsidRPr="006B6F22" w:rsidRDefault="0080591B" w:rsidP="006B6F22">
      <w:pPr>
        <w:pStyle w:val="Tablenotes0"/>
      </w:pPr>
      <w:r>
        <w:t xml:space="preserve">Source: </w:t>
      </w:r>
      <w:r w:rsidR="002A4E94">
        <w:t xml:space="preserve">Table C1, </w:t>
      </w:r>
      <w:r w:rsidR="00CA3200">
        <w:t>p35 of ADAR</w:t>
      </w:r>
      <w:r w:rsidR="00B65E56">
        <w:t>.</w:t>
      </w:r>
      <w:r w:rsidR="006B6F22">
        <w:rPr>
          <w:bCs/>
          <w:iCs/>
          <w:color w:val="000000" w:themeColor="text1"/>
        </w:rPr>
        <w:br w:type="page"/>
      </w:r>
    </w:p>
    <w:p w14:paraId="6CA48E05" w14:textId="6FC12D08" w:rsidR="00326D0B" w:rsidRDefault="001E55FA" w:rsidP="001E55FA">
      <w:pPr>
        <w:pStyle w:val="a-TEXT"/>
        <w:rPr>
          <w:bCs/>
          <w:iCs w:val="0"/>
          <w:color w:val="000000" w:themeColor="text1"/>
        </w:rPr>
      </w:pPr>
      <w:r w:rsidRPr="0051576B">
        <w:rPr>
          <w:bCs/>
          <w:iCs w:val="0"/>
          <w:color w:val="000000" w:themeColor="text1"/>
        </w:rPr>
        <w:lastRenderedPageBreak/>
        <w:t>Supporting evidence was provided for some outcomes, but not others. If broader literature is being used to support the clinical claim for test accuracy (e.g.,</w:t>
      </w:r>
      <w:r w:rsidR="00C3639A">
        <w:rPr>
          <w:bCs/>
          <w:iCs w:val="0"/>
          <w:color w:val="000000" w:themeColor="text1"/>
        </w:rPr>
        <w:t xml:space="preserve"> </w:t>
      </w:r>
      <w:r w:rsidR="00C3639A" w:rsidRPr="00C3639A">
        <w:rPr>
          <w:bCs/>
          <w:iCs w:val="0"/>
          <w:color w:val="000000" w:themeColor="text1"/>
        </w:rPr>
        <w:t>Boutin et al.</w:t>
      </w:r>
      <w:r w:rsidR="00C3639A">
        <w:rPr>
          <w:bCs/>
          <w:iCs w:val="0"/>
          <w:color w:val="000000" w:themeColor="text1"/>
        </w:rPr>
        <w:t xml:space="preserve">, </w:t>
      </w:r>
      <w:r w:rsidR="00C3639A" w:rsidRPr="00C3639A">
        <w:rPr>
          <w:bCs/>
          <w:iCs w:val="0"/>
          <w:color w:val="000000" w:themeColor="text1"/>
        </w:rPr>
        <w:t>2021</w:t>
      </w:r>
      <w:r w:rsidR="003F7BA5">
        <w:rPr>
          <w:rStyle w:val="FootnoteReference"/>
          <w:bCs/>
          <w:iCs w:val="0"/>
          <w:color w:val="000000" w:themeColor="text1"/>
        </w:rPr>
        <w:footnoteReference w:id="9"/>
      </w:r>
      <w:r w:rsidR="00B75B6C" w:rsidRPr="00B75B6C" w:rsidDel="00B75B6C">
        <w:rPr>
          <w:bCs/>
          <w:iCs w:val="0"/>
          <w:color w:val="000000" w:themeColor="text1"/>
        </w:rPr>
        <w:t xml:space="preserve"> </w:t>
      </w:r>
      <w:r w:rsidRPr="0051576B">
        <w:rPr>
          <w:bCs/>
          <w:iCs w:val="0"/>
          <w:color w:val="000000" w:themeColor="text1"/>
        </w:rPr>
        <w:t>or</w:t>
      </w:r>
      <w:r w:rsidR="00C3639A">
        <w:rPr>
          <w:bCs/>
          <w:iCs w:val="0"/>
          <w:color w:val="000000" w:themeColor="text1"/>
        </w:rPr>
        <w:t xml:space="preserve"> </w:t>
      </w:r>
      <w:r w:rsidR="00C3639A" w:rsidRPr="00C3639A">
        <w:rPr>
          <w:bCs/>
          <w:iCs w:val="0"/>
          <w:color w:val="000000" w:themeColor="text1"/>
        </w:rPr>
        <w:t>Chen et al.</w:t>
      </w:r>
      <w:r w:rsidR="00C3639A">
        <w:rPr>
          <w:bCs/>
          <w:iCs w:val="0"/>
          <w:color w:val="000000" w:themeColor="text1"/>
        </w:rPr>
        <w:t xml:space="preserve">, </w:t>
      </w:r>
      <w:r w:rsidR="00C3639A" w:rsidRPr="00C3639A">
        <w:rPr>
          <w:bCs/>
          <w:iCs w:val="0"/>
          <w:color w:val="000000" w:themeColor="text1"/>
        </w:rPr>
        <w:t>2021</w:t>
      </w:r>
      <w:r w:rsidR="0017630E">
        <w:rPr>
          <w:rStyle w:val="FootnoteReference"/>
          <w:bCs/>
          <w:iCs w:val="0"/>
          <w:color w:val="000000" w:themeColor="text1"/>
        </w:rPr>
        <w:footnoteReference w:id="10"/>
      </w:r>
      <w:r w:rsidR="00150C45">
        <w:rPr>
          <w:bCs/>
          <w:iCs w:val="0"/>
          <w:color w:val="000000" w:themeColor="text1"/>
        </w:rPr>
        <w:t xml:space="preserve">) </w:t>
      </w:r>
      <w:r w:rsidRPr="0051576B">
        <w:rPr>
          <w:bCs/>
          <w:iCs w:val="0"/>
          <w:color w:val="000000" w:themeColor="text1"/>
        </w:rPr>
        <w:t>or treatment effectiveness</w:t>
      </w:r>
      <w:r w:rsidR="00C3639A">
        <w:rPr>
          <w:bCs/>
          <w:iCs w:val="0"/>
          <w:color w:val="000000" w:themeColor="text1"/>
        </w:rPr>
        <w:t xml:space="preserve"> (</w:t>
      </w:r>
      <w:r w:rsidR="00C3639A" w:rsidRPr="00C3639A">
        <w:rPr>
          <w:bCs/>
          <w:iCs w:val="0"/>
          <w:color w:val="000000" w:themeColor="text1"/>
        </w:rPr>
        <w:t>Roberge et al., 2018a</w:t>
      </w:r>
      <w:r w:rsidR="00D55C6D">
        <w:rPr>
          <w:rStyle w:val="FootnoteReference"/>
          <w:bCs/>
          <w:iCs w:val="0"/>
          <w:color w:val="000000" w:themeColor="text1"/>
        </w:rPr>
        <w:footnoteReference w:id="11"/>
      </w:r>
      <w:r w:rsidR="00C3639A">
        <w:rPr>
          <w:bCs/>
          <w:iCs w:val="0"/>
          <w:color w:val="000000" w:themeColor="text1"/>
        </w:rPr>
        <w:t>)</w:t>
      </w:r>
      <w:r w:rsidRPr="0051576B">
        <w:rPr>
          <w:bCs/>
          <w:iCs w:val="0"/>
          <w:color w:val="000000" w:themeColor="text1"/>
        </w:rPr>
        <w:t xml:space="preserve">, </w:t>
      </w:r>
      <w:r w:rsidR="00B34526">
        <w:rPr>
          <w:bCs/>
          <w:iCs w:val="0"/>
          <w:color w:val="000000" w:themeColor="text1"/>
        </w:rPr>
        <w:t>the commentary</w:t>
      </w:r>
      <w:r w:rsidR="00B34526" w:rsidRPr="0051576B">
        <w:rPr>
          <w:bCs/>
          <w:iCs w:val="0"/>
          <w:color w:val="000000" w:themeColor="text1"/>
        </w:rPr>
        <w:t xml:space="preserve"> </w:t>
      </w:r>
      <w:r w:rsidR="00B34526">
        <w:rPr>
          <w:bCs/>
          <w:iCs w:val="0"/>
          <w:color w:val="000000" w:themeColor="text1"/>
        </w:rPr>
        <w:t xml:space="preserve">considered </w:t>
      </w:r>
      <w:r w:rsidRPr="0051576B">
        <w:rPr>
          <w:bCs/>
          <w:iCs w:val="0"/>
          <w:color w:val="000000" w:themeColor="text1"/>
        </w:rPr>
        <w:t xml:space="preserve">it </w:t>
      </w:r>
      <w:r w:rsidR="00B34526">
        <w:rPr>
          <w:bCs/>
          <w:iCs w:val="0"/>
          <w:color w:val="000000" w:themeColor="text1"/>
        </w:rPr>
        <w:t>wa</w:t>
      </w:r>
      <w:r w:rsidRPr="0051576B">
        <w:rPr>
          <w:bCs/>
          <w:iCs w:val="0"/>
          <w:color w:val="000000" w:themeColor="text1"/>
        </w:rPr>
        <w:t>s also necessary to conduct a similar systematic review related to safety outcomes of the treatment.</w:t>
      </w:r>
    </w:p>
    <w:p w14:paraId="187130F0" w14:textId="0EC8D160" w:rsidR="00326D0B" w:rsidRDefault="00326D0B" w:rsidP="00326D0B">
      <w:pPr>
        <w:pStyle w:val="a-TEXT"/>
      </w:pPr>
      <w:r>
        <w:t>While evidence to support both a direct and linked evidence approach was provided, the distinction was not identified in the ADAR. A summary of the evidence, interpretation and key uncertainties is provided below.</w:t>
      </w:r>
    </w:p>
    <w:p w14:paraId="496F2D9F" w14:textId="641C1A36" w:rsidR="00326D0B" w:rsidRDefault="00326D0B" w:rsidP="00326D0B">
      <w:pPr>
        <w:pStyle w:val="Caption"/>
      </w:pPr>
      <w:r>
        <w:t xml:space="preserve">Table </w:t>
      </w:r>
      <w:r w:rsidR="006608DC">
        <w:fldChar w:fldCharType="begin"/>
      </w:r>
      <w:r w:rsidR="006608DC">
        <w:instrText xml:space="preserve"> SEQ Table \* ARABIC </w:instrText>
      </w:r>
      <w:r w:rsidR="006608DC">
        <w:fldChar w:fldCharType="separate"/>
      </w:r>
      <w:r>
        <w:rPr>
          <w:noProof/>
        </w:rPr>
        <w:t>6</w:t>
      </w:r>
      <w:r w:rsidR="006608DC">
        <w:rPr>
          <w:noProof/>
        </w:rPr>
        <w:fldChar w:fldCharType="end"/>
      </w:r>
      <w:r>
        <w:tab/>
        <w:t>Summary table of key uncertainties in investigative evidence – direct evidence.</w:t>
      </w:r>
    </w:p>
    <w:tbl>
      <w:tblPr>
        <w:tblStyle w:val="TableGrid"/>
        <w:tblpPr w:leftFromText="180" w:rightFromText="180" w:vertAnchor="text" w:tblpY="1"/>
        <w:tblOverlap w:val="never"/>
        <w:tblW w:w="9086" w:type="dxa"/>
        <w:tblCellMar>
          <w:top w:w="28" w:type="dxa"/>
          <w:left w:w="57" w:type="dxa"/>
          <w:bottom w:w="28" w:type="dxa"/>
          <w:right w:w="57" w:type="dxa"/>
        </w:tblCellMar>
        <w:tblLook w:val="04A0" w:firstRow="1" w:lastRow="0" w:firstColumn="1" w:lastColumn="0" w:noHBand="0" w:noVBand="1"/>
      </w:tblPr>
      <w:tblGrid>
        <w:gridCol w:w="1838"/>
        <w:gridCol w:w="7248"/>
      </w:tblGrid>
      <w:tr w:rsidR="00326D0B" w:rsidRPr="00CE0B97" w14:paraId="46B6D438" w14:textId="77777777">
        <w:trPr>
          <w:trHeight w:val="382"/>
        </w:trPr>
        <w:tc>
          <w:tcPr>
            <w:tcW w:w="1838" w:type="dxa"/>
            <w:shd w:val="clear" w:color="auto" w:fill="auto"/>
            <w:vAlign w:val="center"/>
          </w:tcPr>
          <w:p w14:paraId="4935FCB6" w14:textId="77777777" w:rsidR="00326D0B" w:rsidRPr="00CE0B97" w:rsidRDefault="00326D0B">
            <w:pPr>
              <w:pStyle w:val="TableHeading0"/>
              <w:keepNext/>
              <w:keepLines/>
            </w:pPr>
            <w:r>
              <w:t>Evidence component of the assessment</w:t>
            </w:r>
          </w:p>
        </w:tc>
        <w:tc>
          <w:tcPr>
            <w:tcW w:w="7248" w:type="dxa"/>
            <w:shd w:val="clear" w:color="auto" w:fill="auto"/>
            <w:vAlign w:val="center"/>
          </w:tcPr>
          <w:p w14:paraId="372CA4B0" w14:textId="77777777" w:rsidR="00326D0B" w:rsidRPr="00CE0B97" w:rsidRDefault="00326D0B">
            <w:pPr>
              <w:pStyle w:val="TableHeading0"/>
              <w:keepNext/>
              <w:keepLines/>
              <w:spacing w:before="0" w:after="0"/>
            </w:pPr>
            <w:r w:rsidRPr="00F80F1D">
              <w:t>Interpretation and key uncertainties</w:t>
            </w:r>
          </w:p>
        </w:tc>
      </w:tr>
      <w:tr w:rsidR="00326D0B" w:rsidRPr="00CE0B97" w14:paraId="132AAA01" w14:textId="77777777">
        <w:trPr>
          <w:trHeight w:val="360"/>
        </w:trPr>
        <w:tc>
          <w:tcPr>
            <w:tcW w:w="1838" w:type="dxa"/>
            <w:shd w:val="clear" w:color="auto" w:fill="auto"/>
          </w:tcPr>
          <w:p w14:paraId="6EF851D7" w14:textId="77777777" w:rsidR="00326D0B" w:rsidRPr="0047316F" w:rsidRDefault="00326D0B">
            <w:pPr>
              <w:pStyle w:val="TableHeading0"/>
              <w:keepNext/>
              <w:keepLines/>
              <w:rPr>
                <w:b w:val="0"/>
                <w:bCs/>
              </w:rPr>
            </w:pPr>
            <w:r w:rsidRPr="0047316F">
              <w:rPr>
                <w:b w:val="0"/>
                <w:bCs/>
              </w:rPr>
              <w:t>Health outcomes</w:t>
            </w:r>
          </w:p>
        </w:tc>
        <w:tc>
          <w:tcPr>
            <w:tcW w:w="7248" w:type="dxa"/>
            <w:shd w:val="clear" w:color="auto" w:fill="auto"/>
          </w:tcPr>
          <w:p w14:paraId="47689BB8" w14:textId="6CC16585" w:rsidR="00326D0B" w:rsidRPr="005442C0" w:rsidRDefault="00326D0B">
            <w:pPr>
              <w:pStyle w:val="TableHeading0"/>
              <w:keepNext/>
              <w:keepLines/>
              <w:rPr>
                <w:b w:val="0"/>
                <w:bCs/>
              </w:rPr>
            </w:pPr>
            <w:r w:rsidRPr="00B47372">
              <w:rPr>
                <w:b w:val="0"/>
                <w:bCs/>
              </w:rPr>
              <w:t>The only study that provided direct to test evidence was a large retrospective cohort study in Australia</w:t>
            </w:r>
            <w:r>
              <w:rPr>
                <w:b w:val="0"/>
                <w:bCs/>
                <w:vertAlign w:val="superscript"/>
              </w:rPr>
              <w:t>1</w:t>
            </w:r>
            <w:r w:rsidRPr="00B47372">
              <w:rPr>
                <w:b w:val="0"/>
                <w:bCs/>
              </w:rPr>
              <w:t xml:space="preserve">. There </w:t>
            </w:r>
            <w:r>
              <w:rPr>
                <w:b w:val="0"/>
                <w:bCs/>
              </w:rPr>
              <w:t>we</w:t>
            </w:r>
            <w:r w:rsidRPr="00B47372">
              <w:rPr>
                <w:b w:val="0"/>
                <w:bCs/>
              </w:rPr>
              <w:t xml:space="preserve">re significant selection bias concerns with this study. </w:t>
            </w:r>
            <w:r w:rsidR="00980F8B">
              <w:t xml:space="preserve"> </w:t>
            </w:r>
            <w:r w:rsidR="00306748" w:rsidRPr="00943784">
              <w:rPr>
                <w:b w:val="0"/>
                <w:bCs/>
              </w:rPr>
              <w:t>All but one of the</w:t>
            </w:r>
            <w:r w:rsidR="00306748">
              <w:t xml:space="preserve"> </w:t>
            </w:r>
            <w:r w:rsidR="00980F8B" w:rsidRPr="00980F8B">
              <w:rPr>
                <w:b w:val="0"/>
                <w:bCs/>
              </w:rPr>
              <w:t xml:space="preserve">sites that the patients who underwent FMF risk calculation were recruited from were part of selected private </w:t>
            </w:r>
            <w:proofErr w:type="spellStart"/>
            <w:r w:rsidR="00980F8B" w:rsidRPr="00980F8B">
              <w:rPr>
                <w:b w:val="0"/>
                <w:bCs/>
              </w:rPr>
              <w:t>fetal</w:t>
            </w:r>
            <w:proofErr w:type="spellEnd"/>
            <w:r w:rsidR="00980F8B" w:rsidRPr="00980F8B">
              <w:rPr>
                <w:b w:val="0"/>
                <w:bCs/>
              </w:rPr>
              <w:t xml:space="preserve"> medicine practices. By contrast the comparator patients for standard of care (SOC) were drawn from the general Australian patient population, making it likely that the ‘intervention’ group is not representative of the general population. Whilst adjustment was performed on relevant covariates, there were still inherent risks of the outcomes being reflective of the special characteristics of the ‘intervention’ group (including socioeconomic status and whether they held private health insurance) or related variables, rather than the test alone. </w:t>
            </w:r>
          </w:p>
        </w:tc>
      </w:tr>
    </w:tbl>
    <w:p w14:paraId="0C23B015" w14:textId="5026C6B5" w:rsidR="006B6F22" w:rsidRPr="006B6F22" w:rsidRDefault="00326D0B" w:rsidP="006B6F22">
      <w:pPr>
        <w:pStyle w:val="Tablenotes0"/>
      </w:pPr>
      <w:r>
        <w:t>Source: developed by the commentary.</w:t>
      </w:r>
      <w:r w:rsidR="006B6F22">
        <w:br w:type="page"/>
      </w:r>
    </w:p>
    <w:p w14:paraId="38997E15" w14:textId="74DE3853" w:rsidR="00326D0B" w:rsidRDefault="00326D0B" w:rsidP="00326D0B">
      <w:pPr>
        <w:pStyle w:val="Caption"/>
      </w:pPr>
      <w:r>
        <w:lastRenderedPageBreak/>
        <w:t xml:space="preserve">Table </w:t>
      </w:r>
      <w:r w:rsidR="006608DC">
        <w:fldChar w:fldCharType="begin"/>
      </w:r>
      <w:r w:rsidR="006608DC">
        <w:instrText xml:space="preserve"> SEQ Table \* ARABIC </w:instrText>
      </w:r>
      <w:r w:rsidR="006608DC">
        <w:fldChar w:fldCharType="separate"/>
      </w:r>
      <w:r>
        <w:rPr>
          <w:noProof/>
        </w:rPr>
        <w:t>7</w:t>
      </w:r>
      <w:r w:rsidR="006608DC">
        <w:rPr>
          <w:noProof/>
        </w:rPr>
        <w:fldChar w:fldCharType="end"/>
      </w:r>
      <w:r>
        <w:tab/>
        <w:t>Summary table of key uncertainties in investigative evidence – linked evidence.</w:t>
      </w:r>
    </w:p>
    <w:tbl>
      <w:tblPr>
        <w:tblStyle w:val="TableGrid"/>
        <w:tblpPr w:leftFromText="180" w:rightFromText="180" w:vertAnchor="text" w:tblpY="1"/>
        <w:tblOverlap w:val="never"/>
        <w:tblW w:w="9086" w:type="dxa"/>
        <w:tblCellMar>
          <w:top w:w="28" w:type="dxa"/>
          <w:left w:w="85" w:type="dxa"/>
          <w:bottom w:w="28" w:type="dxa"/>
          <w:right w:w="85" w:type="dxa"/>
        </w:tblCellMar>
        <w:tblLook w:val="04A0" w:firstRow="1" w:lastRow="0" w:firstColumn="1" w:lastColumn="0" w:noHBand="0" w:noVBand="1"/>
      </w:tblPr>
      <w:tblGrid>
        <w:gridCol w:w="1838"/>
        <w:gridCol w:w="7248"/>
      </w:tblGrid>
      <w:tr w:rsidR="00326D0B" w:rsidRPr="00CE0B97" w14:paraId="3F6C8C2C" w14:textId="77777777">
        <w:trPr>
          <w:trHeight w:val="678"/>
        </w:trPr>
        <w:tc>
          <w:tcPr>
            <w:tcW w:w="1838" w:type="dxa"/>
            <w:shd w:val="clear" w:color="auto" w:fill="auto"/>
            <w:vAlign w:val="center"/>
          </w:tcPr>
          <w:p w14:paraId="7386AE2A" w14:textId="77777777" w:rsidR="00326D0B" w:rsidRPr="00CE0B97" w:rsidRDefault="00326D0B">
            <w:pPr>
              <w:pStyle w:val="TableHeading0"/>
              <w:keepNext/>
              <w:keepLines/>
              <w:spacing w:before="0" w:after="0"/>
            </w:pPr>
            <w:r>
              <w:t>Evidence component of the assessment</w:t>
            </w:r>
          </w:p>
        </w:tc>
        <w:tc>
          <w:tcPr>
            <w:tcW w:w="7248" w:type="dxa"/>
            <w:shd w:val="clear" w:color="auto" w:fill="auto"/>
            <w:vAlign w:val="center"/>
          </w:tcPr>
          <w:p w14:paraId="10D4667D" w14:textId="77777777" w:rsidR="00326D0B" w:rsidRPr="00CE0B97" w:rsidRDefault="00326D0B">
            <w:pPr>
              <w:pStyle w:val="TableHeading0"/>
              <w:keepNext/>
              <w:keepLines/>
              <w:spacing w:before="0" w:after="0"/>
            </w:pPr>
            <w:r w:rsidRPr="00F80F1D">
              <w:t>Interpretation and key uncertainties</w:t>
            </w:r>
          </w:p>
        </w:tc>
      </w:tr>
      <w:tr w:rsidR="00326D0B" w:rsidRPr="00CE0B97" w14:paraId="08C5ED67" w14:textId="77777777">
        <w:trPr>
          <w:trHeight w:val="360"/>
        </w:trPr>
        <w:tc>
          <w:tcPr>
            <w:tcW w:w="1838" w:type="dxa"/>
            <w:shd w:val="clear" w:color="auto" w:fill="auto"/>
          </w:tcPr>
          <w:p w14:paraId="424A47C1" w14:textId="77777777" w:rsidR="00326D0B" w:rsidRPr="0047316F" w:rsidRDefault="00326D0B">
            <w:pPr>
              <w:pStyle w:val="TableHeading0"/>
              <w:keepNext/>
              <w:keepLines/>
              <w:spacing w:before="0" w:after="0"/>
              <w:rPr>
                <w:b w:val="0"/>
              </w:rPr>
            </w:pPr>
            <w:r w:rsidRPr="0047316F">
              <w:rPr>
                <w:b w:val="0"/>
              </w:rPr>
              <w:t>Test accuracy</w:t>
            </w:r>
          </w:p>
        </w:tc>
        <w:tc>
          <w:tcPr>
            <w:tcW w:w="7248" w:type="dxa"/>
            <w:shd w:val="clear" w:color="auto" w:fill="auto"/>
          </w:tcPr>
          <w:p w14:paraId="36AF93CD" w14:textId="77777777" w:rsidR="00326D0B" w:rsidRPr="005442C0" w:rsidRDefault="00326D0B">
            <w:pPr>
              <w:pStyle w:val="TableHeading0"/>
              <w:keepNext/>
              <w:keepLines/>
              <w:spacing w:before="0" w:after="0"/>
              <w:rPr>
                <w:b w:val="0"/>
              </w:rPr>
            </w:pPr>
            <w:r w:rsidRPr="005442C0">
              <w:rPr>
                <w:b w:val="0"/>
                <w:bCs/>
              </w:rPr>
              <w:t xml:space="preserve">The clinical claim for superior </w:t>
            </w:r>
            <w:r>
              <w:rPr>
                <w:b w:val="0"/>
                <w:bCs/>
              </w:rPr>
              <w:t>test accuracy</w:t>
            </w:r>
            <w:r w:rsidRPr="005442C0">
              <w:rPr>
                <w:b w:val="0"/>
                <w:bCs/>
              </w:rPr>
              <w:t xml:space="preserve"> of </w:t>
            </w:r>
            <w:r>
              <w:rPr>
                <w:b w:val="0"/>
                <w:bCs/>
              </w:rPr>
              <w:t xml:space="preserve">the test </w:t>
            </w:r>
            <w:r w:rsidRPr="005442C0">
              <w:rPr>
                <w:b w:val="0"/>
                <w:bCs/>
              </w:rPr>
              <w:t xml:space="preserve">compared to </w:t>
            </w:r>
            <w:r>
              <w:rPr>
                <w:b w:val="0"/>
                <w:bCs/>
              </w:rPr>
              <w:t>SoC</w:t>
            </w:r>
            <w:r w:rsidRPr="005442C0">
              <w:rPr>
                <w:b w:val="0"/>
                <w:bCs/>
              </w:rPr>
              <w:t xml:space="preserve"> was supported by the evidence, though there was significant variation in test accuracy outcome results across studies (e.g., </w:t>
            </w:r>
            <w:r w:rsidRPr="005442C0">
              <w:rPr>
                <w:b w:val="0"/>
              </w:rPr>
              <w:t>FMF risk calculator sensitivity from 50.0% to 82.4%), with some risk of bias concerns.</w:t>
            </w:r>
          </w:p>
        </w:tc>
      </w:tr>
      <w:tr w:rsidR="00326D0B" w:rsidRPr="00CE0B97" w14:paraId="5D5BC9EC" w14:textId="77777777">
        <w:trPr>
          <w:trHeight w:val="360"/>
        </w:trPr>
        <w:tc>
          <w:tcPr>
            <w:tcW w:w="1838" w:type="dxa"/>
            <w:shd w:val="clear" w:color="auto" w:fill="auto"/>
          </w:tcPr>
          <w:p w14:paraId="2C31384C" w14:textId="77777777" w:rsidR="00326D0B" w:rsidRPr="0047316F" w:rsidRDefault="00326D0B">
            <w:pPr>
              <w:pStyle w:val="TableHeading0"/>
              <w:keepNext/>
              <w:keepLines/>
              <w:spacing w:before="0" w:after="0"/>
              <w:rPr>
                <w:b w:val="0"/>
              </w:rPr>
            </w:pPr>
            <w:r w:rsidRPr="0047316F">
              <w:rPr>
                <w:b w:val="0"/>
              </w:rPr>
              <w:t>Change in management</w:t>
            </w:r>
          </w:p>
        </w:tc>
        <w:tc>
          <w:tcPr>
            <w:tcW w:w="7248" w:type="dxa"/>
            <w:shd w:val="clear" w:color="auto" w:fill="auto"/>
          </w:tcPr>
          <w:p w14:paraId="77499811" w14:textId="77777777" w:rsidR="00326D0B" w:rsidRPr="005442C0" w:rsidRDefault="00326D0B">
            <w:pPr>
              <w:pStyle w:val="TableHeading0"/>
              <w:keepNext/>
              <w:keepLines/>
              <w:spacing w:before="0" w:after="0"/>
              <w:rPr>
                <w:b w:val="0"/>
              </w:rPr>
            </w:pPr>
            <w:r w:rsidRPr="00702BFF">
              <w:rPr>
                <w:b w:val="0"/>
                <w:bCs/>
              </w:rPr>
              <w:t xml:space="preserve">There was no evidence provided for the incremental impact of the </w:t>
            </w:r>
            <w:r>
              <w:rPr>
                <w:b w:val="0"/>
                <w:bCs/>
              </w:rPr>
              <w:t>test</w:t>
            </w:r>
            <w:r w:rsidRPr="00702BFF">
              <w:rPr>
                <w:b w:val="0"/>
                <w:bCs/>
              </w:rPr>
              <w:t xml:space="preserve"> on </w:t>
            </w:r>
            <w:r>
              <w:rPr>
                <w:b w:val="0"/>
                <w:bCs/>
              </w:rPr>
              <w:t xml:space="preserve">change in management (i.e., </w:t>
            </w:r>
            <w:r w:rsidRPr="00702BFF">
              <w:rPr>
                <w:b w:val="0"/>
                <w:bCs/>
              </w:rPr>
              <w:t>prescription of aspirin in practice</w:t>
            </w:r>
            <w:r>
              <w:rPr>
                <w:b w:val="0"/>
                <w:bCs/>
              </w:rPr>
              <w:t>)</w:t>
            </w:r>
            <w:r w:rsidRPr="00702BFF">
              <w:rPr>
                <w:b w:val="0"/>
                <w:bCs/>
              </w:rPr>
              <w:t xml:space="preserve">. International </w:t>
            </w:r>
            <w:r w:rsidRPr="00EC2AC6">
              <w:rPr>
                <w:b w:val="0"/>
                <w:bCs/>
              </w:rPr>
              <w:t>literature indicated that in the absence of the FMF calculation up to 40% of women are not offered aspirin despite being at high risk of preeclampsia</w:t>
            </w:r>
            <w:r>
              <w:rPr>
                <w:rStyle w:val="FootnoteReference"/>
                <w:b w:val="0"/>
                <w:bCs/>
              </w:rPr>
              <w:footnoteReference w:id="12"/>
            </w:r>
            <w:r w:rsidRPr="00C472C0">
              <w:rPr>
                <w:b w:val="0"/>
                <w:bCs/>
                <w:vertAlign w:val="superscript"/>
              </w:rPr>
              <w:t>,</w:t>
            </w:r>
            <w:r>
              <w:rPr>
                <w:rStyle w:val="FootnoteReference"/>
                <w:b w:val="0"/>
                <w:bCs/>
              </w:rPr>
              <w:footnoteReference w:id="13"/>
            </w:r>
            <w:r w:rsidRPr="00EC2AC6">
              <w:rPr>
                <w:b w:val="0"/>
                <w:bCs/>
              </w:rPr>
              <w:t>, as well as practicality-related treatment delays experienced by approximately 20% of women</w:t>
            </w:r>
            <w:r>
              <w:rPr>
                <w:b w:val="0"/>
                <w:bCs/>
              </w:rPr>
              <w:t>.</w:t>
            </w:r>
            <w:r>
              <w:rPr>
                <w:b w:val="0"/>
                <w:bCs/>
              </w:rPr>
              <w:fldChar w:fldCharType="begin"/>
            </w:r>
            <w:r>
              <w:rPr>
                <w:b w:val="0"/>
                <w:bCs/>
              </w:rPr>
              <w:instrText xml:space="preserve"> NOTEREF _Ref144309425 \f \h </w:instrText>
            </w:r>
            <w:r>
              <w:rPr>
                <w:b w:val="0"/>
                <w:bCs/>
              </w:rPr>
            </w:r>
            <w:r>
              <w:rPr>
                <w:b w:val="0"/>
                <w:bCs/>
              </w:rPr>
              <w:fldChar w:fldCharType="separate"/>
            </w:r>
            <w:r w:rsidRPr="002C1D71">
              <w:rPr>
                <w:rStyle w:val="FootnoteReference"/>
              </w:rPr>
              <w:t>13</w:t>
            </w:r>
            <w:r>
              <w:rPr>
                <w:b w:val="0"/>
                <w:bCs/>
              </w:rPr>
              <w:fldChar w:fldCharType="end"/>
            </w:r>
          </w:p>
        </w:tc>
      </w:tr>
      <w:tr w:rsidR="00326D0B" w:rsidRPr="00CE0B97" w14:paraId="24AC7264" w14:textId="77777777">
        <w:trPr>
          <w:trHeight w:val="447"/>
        </w:trPr>
        <w:tc>
          <w:tcPr>
            <w:tcW w:w="1838" w:type="dxa"/>
            <w:shd w:val="clear" w:color="auto" w:fill="auto"/>
          </w:tcPr>
          <w:p w14:paraId="255E456B" w14:textId="77777777" w:rsidR="00326D0B" w:rsidRPr="0047316F" w:rsidRDefault="00326D0B">
            <w:pPr>
              <w:pStyle w:val="TableHeading0"/>
              <w:keepNext/>
              <w:keepLines/>
              <w:spacing w:before="0" w:after="0"/>
              <w:rPr>
                <w:b w:val="0"/>
              </w:rPr>
            </w:pPr>
            <w:r w:rsidRPr="0047316F">
              <w:rPr>
                <w:b w:val="0"/>
              </w:rPr>
              <w:t>Health outcomes</w:t>
            </w:r>
          </w:p>
        </w:tc>
        <w:tc>
          <w:tcPr>
            <w:tcW w:w="7248" w:type="dxa"/>
            <w:shd w:val="clear" w:color="auto" w:fill="auto"/>
          </w:tcPr>
          <w:p w14:paraId="2C99D5D1" w14:textId="737730D2" w:rsidR="00326D0B" w:rsidRPr="005442C0" w:rsidRDefault="00326D0B">
            <w:pPr>
              <w:pStyle w:val="TableHeading0"/>
              <w:keepNext/>
              <w:keepLines/>
              <w:spacing w:before="0" w:after="0"/>
              <w:rPr>
                <w:b w:val="0"/>
              </w:rPr>
            </w:pPr>
            <w:r w:rsidRPr="005442C0">
              <w:rPr>
                <w:b w:val="0"/>
                <w:bCs/>
              </w:rPr>
              <w:t xml:space="preserve">The </w:t>
            </w:r>
            <w:r>
              <w:rPr>
                <w:b w:val="0"/>
                <w:bCs/>
              </w:rPr>
              <w:t xml:space="preserve">evidence supported superior health outcomes in high-risk patients due to treatment with aspirin compared to </w:t>
            </w:r>
            <w:proofErr w:type="spellStart"/>
            <w:r>
              <w:rPr>
                <w:b w:val="0"/>
                <w:bCs/>
              </w:rPr>
              <w:t>SoC.</w:t>
            </w:r>
            <w:proofErr w:type="spellEnd"/>
            <w:r>
              <w:rPr>
                <w:b w:val="0"/>
                <w:bCs/>
              </w:rPr>
              <w:t xml:space="preserve"> Evidence</w:t>
            </w:r>
            <w:r w:rsidRPr="005442C0">
              <w:rPr>
                <w:b w:val="0"/>
                <w:bCs/>
              </w:rPr>
              <w:t xml:space="preserve"> presented </w:t>
            </w:r>
            <w:r>
              <w:rPr>
                <w:b w:val="0"/>
                <w:bCs/>
              </w:rPr>
              <w:t xml:space="preserve">demonstrated </w:t>
            </w:r>
            <w:r w:rsidRPr="005442C0">
              <w:rPr>
                <w:b w:val="0"/>
                <w:bCs/>
              </w:rPr>
              <w:t xml:space="preserve">that aspirin prescription for those deemed “high risk” </w:t>
            </w:r>
            <w:r>
              <w:rPr>
                <w:b w:val="0"/>
                <w:bCs/>
              </w:rPr>
              <w:t xml:space="preserve">by the test </w:t>
            </w:r>
            <w:r w:rsidRPr="005442C0">
              <w:rPr>
                <w:b w:val="0"/>
                <w:bCs/>
              </w:rPr>
              <w:t>was effective at (a) reducing incidence of preterm preeclampsia, and (b) reducing pregnancy-related complications.</w:t>
            </w:r>
            <w:r w:rsidR="00001A9E">
              <w:rPr>
                <w:b w:val="0"/>
                <w:bCs/>
              </w:rPr>
              <w:t xml:space="preserve"> </w:t>
            </w:r>
            <w:proofErr w:type="gramStart"/>
            <w:r w:rsidR="006339E4" w:rsidRPr="00943784">
              <w:rPr>
                <w:b w:val="0"/>
              </w:rPr>
              <w:t>However</w:t>
            </w:r>
            <w:proofErr w:type="gramEnd"/>
            <w:r w:rsidR="006339E4" w:rsidRPr="00943784">
              <w:rPr>
                <w:b w:val="0"/>
              </w:rPr>
              <w:t xml:space="preserve"> </w:t>
            </w:r>
            <w:r w:rsidR="002F475C" w:rsidRPr="006339E4">
              <w:rPr>
                <w:b w:val="0"/>
              </w:rPr>
              <w:t xml:space="preserve">these findings only apply to </w:t>
            </w:r>
            <w:r w:rsidR="006339E4" w:rsidRPr="006339E4">
              <w:rPr>
                <w:b w:val="0"/>
              </w:rPr>
              <w:t xml:space="preserve">patients </w:t>
            </w:r>
            <w:r w:rsidR="002F475C" w:rsidRPr="006339E4">
              <w:rPr>
                <w:b w:val="0"/>
              </w:rPr>
              <w:t xml:space="preserve">identified as high-risk </w:t>
            </w:r>
            <w:r w:rsidR="006339E4" w:rsidRPr="006339E4">
              <w:rPr>
                <w:b w:val="0"/>
              </w:rPr>
              <w:t xml:space="preserve">and </w:t>
            </w:r>
            <w:r w:rsidR="002F475C" w:rsidRPr="006339E4">
              <w:rPr>
                <w:b w:val="0"/>
              </w:rPr>
              <w:t xml:space="preserve">the superiority of the FMF risk-calculator compared to current practice for management of women identified as low-risk </w:t>
            </w:r>
            <w:r w:rsidR="006339E4">
              <w:rPr>
                <w:b w:val="0"/>
              </w:rPr>
              <w:t xml:space="preserve">(including </w:t>
            </w:r>
            <w:r w:rsidR="00AB54F6">
              <w:rPr>
                <w:b w:val="0"/>
              </w:rPr>
              <w:t xml:space="preserve">impact on false negatives) </w:t>
            </w:r>
            <w:r w:rsidR="002F475C" w:rsidRPr="006339E4">
              <w:rPr>
                <w:b w:val="0"/>
              </w:rPr>
              <w:t>cannot be assumed.</w:t>
            </w:r>
            <w:r w:rsidR="002F475C" w:rsidRPr="002F475C">
              <w:rPr>
                <w:b w:val="0"/>
                <w:bCs/>
              </w:rPr>
              <w:t xml:space="preserve">   </w:t>
            </w:r>
          </w:p>
        </w:tc>
      </w:tr>
      <w:tr w:rsidR="00326D0B" w:rsidRPr="00CE0B97" w14:paraId="2BFA70A1" w14:textId="77777777">
        <w:trPr>
          <w:trHeight w:val="360"/>
        </w:trPr>
        <w:tc>
          <w:tcPr>
            <w:tcW w:w="1838" w:type="dxa"/>
            <w:shd w:val="clear" w:color="auto" w:fill="auto"/>
          </w:tcPr>
          <w:p w14:paraId="06AD3A67" w14:textId="77777777" w:rsidR="00326D0B" w:rsidRPr="0047316F" w:rsidRDefault="00326D0B">
            <w:pPr>
              <w:pStyle w:val="TableHeading0"/>
              <w:keepNext/>
              <w:keepLines/>
              <w:spacing w:before="0" w:after="0"/>
              <w:rPr>
                <w:b w:val="0"/>
              </w:rPr>
            </w:pPr>
            <w:r w:rsidRPr="0047316F">
              <w:rPr>
                <w:b w:val="0"/>
              </w:rPr>
              <w:t>Safety of the test</w:t>
            </w:r>
          </w:p>
        </w:tc>
        <w:tc>
          <w:tcPr>
            <w:tcW w:w="7248" w:type="dxa"/>
            <w:shd w:val="clear" w:color="auto" w:fill="auto"/>
          </w:tcPr>
          <w:p w14:paraId="3EA62D40" w14:textId="51BE2D8D" w:rsidR="00326D0B" w:rsidRPr="003D5017" w:rsidRDefault="00326D0B">
            <w:pPr>
              <w:pStyle w:val="TableHeading0"/>
              <w:keepNext/>
              <w:keepLines/>
              <w:spacing w:before="0" w:after="0"/>
              <w:rPr>
                <w:b w:val="0"/>
                <w:bCs/>
              </w:rPr>
            </w:pPr>
            <w:r w:rsidRPr="003D5017">
              <w:rPr>
                <w:b w:val="0"/>
                <w:bCs/>
              </w:rPr>
              <w:t>The ADAR did not provide evidence to support the clinical claim</w:t>
            </w:r>
            <w:r>
              <w:rPr>
                <w:b w:val="0"/>
                <w:bCs/>
              </w:rPr>
              <w:t xml:space="preserve"> for non-inferior safety of the test</w:t>
            </w:r>
            <w:r w:rsidRPr="003D5017">
              <w:rPr>
                <w:b w:val="0"/>
                <w:bCs/>
              </w:rPr>
              <w:t xml:space="preserve">. The assessment team conducted </w:t>
            </w:r>
            <w:r w:rsidR="003573A8">
              <w:rPr>
                <w:b w:val="0"/>
                <w:bCs/>
              </w:rPr>
              <w:t xml:space="preserve">an </w:t>
            </w:r>
            <w:r w:rsidRPr="003D5017">
              <w:rPr>
                <w:b w:val="0"/>
                <w:bCs/>
              </w:rPr>
              <w:t>independent scop</w:t>
            </w:r>
            <w:r w:rsidR="003573A8">
              <w:rPr>
                <w:b w:val="0"/>
                <w:bCs/>
              </w:rPr>
              <w:t>ing search</w:t>
            </w:r>
            <w:r w:rsidRPr="003D5017">
              <w:rPr>
                <w:b w:val="0"/>
                <w:bCs/>
              </w:rPr>
              <w:t xml:space="preserve"> of relevant literature and concluded that the clinical claim for non-inferior safety of testing was not supported. Key </w:t>
            </w:r>
            <w:r>
              <w:rPr>
                <w:b w:val="0"/>
                <w:bCs/>
              </w:rPr>
              <w:t>safety issues related to the test are</w:t>
            </w:r>
            <w:r w:rsidRPr="003D5017">
              <w:rPr>
                <w:b w:val="0"/>
                <w:bCs/>
              </w:rPr>
              <w:t>:</w:t>
            </w:r>
          </w:p>
          <w:p w14:paraId="0822D40F" w14:textId="77777777" w:rsidR="00326D0B" w:rsidRPr="003D5017" w:rsidRDefault="00326D0B" w:rsidP="00AC337E">
            <w:pPr>
              <w:pStyle w:val="TableHeading0"/>
              <w:keepNext/>
              <w:keepLines/>
              <w:numPr>
                <w:ilvl w:val="0"/>
                <w:numId w:val="22"/>
              </w:numPr>
              <w:spacing w:before="0" w:after="0"/>
              <w:ind w:left="512"/>
              <w:rPr>
                <w:b w:val="0"/>
                <w:bCs/>
              </w:rPr>
            </w:pPr>
            <w:r w:rsidRPr="003D5017">
              <w:rPr>
                <w:b w:val="0"/>
                <w:bCs/>
              </w:rPr>
              <w:t>Psychological harm associated with risk-based testing and results (this outcome was included in the PICO</w:t>
            </w:r>
            <w:r>
              <w:rPr>
                <w:b w:val="0"/>
                <w:bCs/>
              </w:rPr>
              <w:t xml:space="preserve"> but not discussed in the ADAR)</w:t>
            </w:r>
            <w:r w:rsidRPr="003D5017">
              <w:rPr>
                <w:b w:val="0"/>
                <w:bCs/>
              </w:rPr>
              <w:t xml:space="preserve">. </w:t>
            </w:r>
          </w:p>
          <w:p w14:paraId="3B2DF4D4" w14:textId="77777777" w:rsidR="00326D0B" w:rsidRPr="003D5017" w:rsidRDefault="00326D0B" w:rsidP="00AC337E">
            <w:pPr>
              <w:pStyle w:val="TableHeading0"/>
              <w:keepNext/>
              <w:keepLines/>
              <w:numPr>
                <w:ilvl w:val="0"/>
                <w:numId w:val="22"/>
              </w:numPr>
              <w:spacing w:before="0" w:after="0"/>
              <w:ind w:left="512"/>
              <w:rPr>
                <w:b w:val="0"/>
                <w:bCs/>
              </w:rPr>
            </w:pPr>
            <w:r w:rsidRPr="003D5017">
              <w:rPr>
                <w:b w:val="0"/>
                <w:bCs/>
              </w:rPr>
              <w:t>Safety outcomes related to comparative psychological harms of having delivery at a non-viable gestation or a preterm infant, with or without the proposed intervention were not described.</w:t>
            </w:r>
          </w:p>
          <w:p w14:paraId="6D163763" w14:textId="47C73D93" w:rsidR="00326D0B" w:rsidRPr="003D5017" w:rsidRDefault="00326D0B" w:rsidP="00AC337E">
            <w:pPr>
              <w:pStyle w:val="TableHeading0"/>
              <w:keepNext/>
              <w:keepLines/>
              <w:numPr>
                <w:ilvl w:val="0"/>
                <w:numId w:val="22"/>
              </w:numPr>
              <w:spacing w:before="0" w:after="0"/>
              <w:ind w:left="512"/>
              <w:rPr>
                <w:b w:val="0"/>
                <w:bCs/>
              </w:rPr>
            </w:pPr>
            <w:r w:rsidRPr="003D5017">
              <w:rPr>
                <w:b w:val="0"/>
                <w:bCs/>
              </w:rPr>
              <w:t xml:space="preserve">Safety outcomes related to comparative physical harms to (a) the </w:t>
            </w:r>
            <w:r w:rsidR="00085623">
              <w:rPr>
                <w:b w:val="0"/>
                <w:bCs/>
              </w:rPr>
              <w:t>pregnant person</w:t>
            </w:r>
            <w:r w:rsidRPr="003D5017">
              <w:rPr>
                <w:b w:val="0"/>
                <w:bCs/>
              </w:rPr>
              <w:t xml:space="preserve"> and (b) the baby once delivered, with or without the proposed intervention were not described.</w:t>
            </w:r>
          </w:p>
          <w:p w14:paraId="0857D105" w14:textId="77777777" w:rsidR="00326D0B" w:rsidRPr="003D5017" w:rsidRDefault="00326D0B" w:rsidP="00AC337E">
            <w:pPr>
              <w:pStyle w:val="TableHeading0"/>
              <w:keepNext/>
              <w:keepLines/>
              <w:numPr>
                <w:ilvl w:val="0"/>
                <w:numId w:val="22"/>
              </w:numPr>
              <w:spacing w:before="0" w:after="0"/>
              <w:ind w:left="512"/>
              <w:rPr>
                <w:b w:val="0"/>
              </w:rPr>
            </w:pPr>
            <w:r w:rsidRPr="003D5017">
              <w:rPr>
                <w:b w:val="0"/>
                <w:bCs/>
              </w:rPr>
              <w:t xml:space="preserve">Safety consequences of unnecessary aspirin treatment in false positive cases and missed aspirin treatment in false negative cases were mentioned, though the impact was not explored. The evidence found that the false negative rate was minimal, however, the false positive rate (estimated at around 10%) </w:t>
            </w:r>
            <w:r>
              <w:rPr>
                <w:b w:val="0"/>
                <w:bCs/>
              </w:rPr>
              <w:t>wa</w:t>
            </w:r>
            <w:r w:rsidRPr="003D5017">
              <w:rPr>
                <w:b w:val="0"/>
                <w:bCs/>
              </w:rPr>
              <w:t>s practically significant due to the number of people who will be tested (estimated by the applicant at almost 260,000 per year in the PICO). The clinical impacts of false positive cases are dependent on the clinical claim for the safety of the treatment (discussed below).</w:t>
            </w:r>
          </w:p>
        </w:tc>
      </w:tr>
      <w:tr w:rsidR="00326D0B" w:rsidRPr="00CE0B97" w14:paraId="7E190144" w14:textId="77777777">
        <w:trPr>
          <w:trHeight w:val="360"/>
        </w:trPr>
        <w:tc>
          <w:tcPr>
            <w:tcW w:w="1838" w:type="dxa"/>
            <w:shd w:val="clear" w:color="auto" w:fill="auto"/>
          </w:tcPr>
          <w:p w14:paraId="41BF92BA" w14:textId="77777777" w:rsidR="00326D0B" w:rsidRPr="0047316F" w:rsidRDefault="00326D0B">
            <w:pPr>
              <w:pStyle w:val="TableHeading0"/>
              <w:keepNext/>
              <w:keepLines/>
              <w:spacing w:before="0" w:after="0"/>
              <w:rPr>
                <w:b w:val="0"/>
              </w:rPr>
            </w:pPr>
            <w:r w:rsidRPr="0047316F">
              <w:rPr>
                <w:b w:val="0"/>
              </w:rPr>
              <w:t>Safety of the treatment</w:t>
            </w:r>
          </w:p>
        </w:tc>
        <w:tc>
          <w:tcPr>
            <w:tcW w:w="7248" w:type="dxa"/>
            <w:shd w:val="clear" w:color="auto" w:fill="auto"/>
          </w:tcPr>
          <w:p w14:paraId="6D6CB2EC" w14:textId="77777777" w:rsidR="00326D0B" w:rsidRPr="00F80F1D" w:rsidRDefault="00326D0B">
            <w:pPr>
              <w:pStyle w:val="TableHeading0"/>
              <w:keepNext/>
              <w:keepLines/>
              <w:spacing w:before="0" w:after="0"/>
            </w:pPr>
            <w:r w:rsidRPr="003D5017">
              <w:rPr>
                <w:b w:val="0"/>
                <w:bCs/>
              </w:rPr>
              <w:t xml:space="preserve">The clinical claim for non-inferior safety related to treatment was not supported. While the ASPRE trial found that adverse events were no more common or more serious in the aspirin versus placebo treatment group, the applicant stated that the trial was not powered for a definitive assessment. In addition, literature from outside the ASPRE trial is inconclusive. For most complications, </w:t>
            </w:r>
            <w:r>
              <w:rPr>
                <w:b w:val="0"/>
                <w:bCs/>
              </w:rPr>
              <w:t>additional</w:t>
            </w:r>
            <w:r w:rsidRPr="003D5017">
              <w:rPr>
                <w:b w:val="0"/>
                <w:bCs/>
              </w:rPr>
              <w:t xml:space="preserve"> literature indicated no additional risk from aspirin. However, for some safety outcomes (such as placental abruption and postpartum haemorrhage and blood loss), results varied.</w:t>
            </w:r>
          </w:p>
        </w:tc>
      </w:tr>
    </w:tbl>
    <w:p w14:paraId="0FB04ECF" w14:textId="79CC03E2" w:rsidR="006B6F22" w:rsidRDefault="00326D0B" w:rsidP="006B6F22">
      <w:pPr>
        <w:pStyle w:val="Tablenotes0"/>
      </w:pPr>
      <w:r>
        <w:t>Source: developed by the commentary.</w:t>
      </w:r>
      <w:r w:rsidR="006B6F22">
        <w:br w:type="page"/>
      </w:r>
    </w:p>
    <w:p w14:paraId="3B9FC2AD" w14:textId="24FD85BB" w:rsidR="00772829" w:rsidRDefault="00971DBF" w:rsidP="009C7AF9">
      <w:pPr>
        <w:pStyle w:val="Heading2"/>
        <w:numPr>
          <w:ilvl w:val="0"/>
          <w:numId w:val="0"/>
        </w:numPr>
      </w:pPr>
      <w:bookmarkStart w:id="18" w:name="ColumnTitle_Table3"/>
      <w:bookmarkStart w:id="19" w:name="_Toc69491423"/>
      <w:bookmarkEnd w:id="18"/>
      <w:r>
        <w:lastRenderedPageBreak/>
        <w:t>11</w:t>
      </w:r>
      <w:r w:rsidR="00C36633">
        <w:t>.</w:t>
      </w:r>
      <w:r w:rsidR="009C7AF9">
        <w:tab/>
      </w:r>
      <w:r w:rsidR="00772829" w:rsidRPr="00CE28E3">
        <w:t>Comparative safety</w:t>
      </w:r>
      <w:bookmarkEnd w:id="19"/>
    </w:p>
    <w:p w14:paraId="68D82D23" w14:textId="2CBFA23B" w:rsidR="00E83109" w:rsidRPr="00643616" w:rsidRDefault="00887562" w:rsidP="00B94F5D">
      <w:pPr>
        <w:pStyle w:val="a-TEXT"/>
      </w:pPr>
      <w:r w:rsidRPr="00643616">
        <w:t xml:space="preserve">The </w:t>
      </w:r>
      <w:r w:rsidR="00F60680">
        <w:t xml:space="preserve">commentary considered </w:t>
      </w:r>
      <w:r w:rsidR="008C48DD">
        <w:t xml:space="preserve">that </w:t>
      </w:r>
      <w:r w:rsidR="00C3639A">
        <w:t>overall,</w:t>
      </w:r>
      <w:r w:rsidR="008C48DD">
        <w:t xml:space="preserve"> </w:t>
      </w:r>
      <w:r w:rsidR="00F60680">
        <w:t xml:space="preserve">the </w:t>
      </w:r>
      <w:r w:rsidRPr="00643616">
        <w:t xml:space="preserve">clinical claim for non-inferior safety of the intervention </w:t>
      </w:r>
      <w:r w:rsidR="00F222CE">
        <w:t xml:space="preserve">compared to SoC </w:t>
      </w:r>
      <w:r w:rsidRPr="00643616">
        <w:t xml:space="preserve">was </w:t>
      </w:r>
      <w:r w:rsidRPr="00643616">
        <w:rPr>
          <w:b/>
          <w:bCs/>
        </w:rPr>
        <w:t>not</w:t>
      </w:r>
      <w:r w:rsidRPr="00643616">
        <w:t xml:space="preserve"> </w:t>
      </w:r>
      <w:r w:rsidRPr="00566013">
        <w:rPr>
          <w:b/>
          <w:bCs/>
        </w:rPr>
        <w:t>supported</w:t>
      </w:r>
      <w:r w:rsidRPr="00643616">
        <w:t xml:space="preserve">. No evidence was provided </w:t>
      </w:r>
      <w:r w:rsidR="00420688">
        <w:t>in</w:t>
      </w:r>
      <w:r w:rsidR="00420688" w:rsidRPr="00643616">
        <w:t xml:space="preserve"> </w:t>
      </w:r>
      <w:r w:rsidRPr="00643616">
        <w:t xml:space="preserve">the </w:t>
      </w:r>
      <w:r w:rsidR="00F60680">
        <w:t>ADAR</w:t>
      </w:r>
      <w:r w:rsidR="00F60680" w:rsidRPr="00643616">
        <w:t xml:space="preserve"> </w:t>
      </w:r>
      <w:r w:rsidRPr="00643616">
        <w:t>for the adverse impacts of testing</w:t>
      </w:r>
      <w:r w:rsidR="006B2E8E" w:rsidRPr="00643616">
        <w:t xml:space="preserve"> (first </w:t>
      </w:r>
      <w:r w:rsidR="00643616" w:rsidRPr="00643616">
        <w:t>bullet point</w:t>
      </w:r>
      <w:r w:rsidR="00CB1DA6" w:rsidRPr="00643616">
        <w:t xml:space="preserve"> under the </w:t>
      </w:r>
      <w:r w:rsidR="001D4BDF" w:rsidRPr="00643616">
        <w:t>“S</w:t>
      </w:r>
      <w:r w:rsidR="00CB1DA6" w:rsidRPr="00643616">
        <w:t>afety outcomes</w:t>
      </w:r>
      <w:r w:rsidR="001D4BDF" w:rsidRPr="00643616">
        <w:t>”</w:t>
      </w:r>
      <w:r w:rsidR="00CB1DA6" w:rsidRPr="00643616">
        <w:t xml:space="preserve"> heading</w:t>
      </w:r>
      <w:r w:rsidR="006B2E8E" w:rsidRPr="00643616">
        <w:t xml:space="preserve"> in the PICO)</w:t>
      </w:r>
      <w:r w:rsidR="001D4BDF" w:rsidRPr="00643616">
        <w:t>.</w:t>
      </w:r>
      <w:r w:rsidR="006B2E8E" w:rsidRPr="00643616">
        <w:t xml:space="preserve"> </w:t>
      </w:r>
      <w:r w:rsidR="001D4BDF" w:rsidRPr="00643616">
        <w:t>H</w:t>
      </w:r>
      <w:r w:rsidR="00E02514" w:rsidRPr="00643616">
        <w:t>owever</w:t>
      </w:r>
      <w:r w:rsidR="001D4BDF" w:rsidRPr="00643616">
        <w:t>,</w:t>
      </w:r>
      <w:r w:rsidR="00E02514" w:rsidRPr="00643616">
        <w:t xml:space="preserve"> the </w:t>
      </w:r>
      <w:r w:rsidR="00C06F4E">
        <w:t>commentary</w:t>
      </w:r>
      <w:r w:rsidR="00463246" w:rsidRPr="00643616" w:rsidDel="006E377A">
        <w:t xml:space="preserve"> </w:t>
      </w:r>
      <w:r w:rsidR="007E26CB">
        <w:t>determined that</w:t>
      </w:r>
      <w:r w:rsidR="007E26CB" w:rsidRPr="00643616">
        <w:t xml:space="preserve"> </w:t>
      </w:r>
      <w:r w:rsidR="00463246" w:rsidRPr="00643616">
        <w:t xml:space="preserve">there </w:t>
      </w:r>
      <w:r w:rsidR="004860DC">
        <w:t>were</w:t>
      </w:r>
      <w:r w:rsidR="004860DC" w:rsidRPr="00643616">
        <w:t xml:space="preserve"> </w:t>
      </w:r>
      <w:r w:rsidR="001D4BDF" w:rsidRPr="00643616">
        <w:t>key safety</w:t>
      </w:r>
      <w:r w:rsidR="00463246" w:rsidRPr="00643616">
        <w:t xml:space="preserve"> </w:t>
      </w:r>
      <w:r w:rsidR="006E78B8" w:rsidRPr="00643616">
        <w:t xml:space="preserve">issues </w:t>
      </w:r>
      <w:r w:rsidR="006B2E8E" w:rsidRPr="00643616">
        <w:t xml:space="preserve">for </w:t>
      </w:r>
      <w:r w:rsidR="001D4BDF" w:rsidRPr="00643616">
        <w:t xml:space="preserve">MSAC </w:t>
      </w:r>
      <w:r w:rsidR="006B2E8E" w:rsidRPr="00643616">
        <w:t>consideration</w:t>
      </w:r>
      <w:r w:rsidR="007E26CB">
        <w:t>, which are discussed below.</w:t>
      </w:r>
    </w:p>
    <w:p w14:paraId="5BDD253B" w14:textId="77777777" w:rsidR="00AA7234" w:rsidRPr="00CB1DA6" w:rsidRDefault="00AA7234" w:rsidP="0051576B">
      <w:pPr>
        <w:pStyle w:val="Heading3"/>
        <w:spacing w:before="300" w:after="160" w:line="240" w:lineRule="auto"/>
        <w:rPr>
          <w:sz w:val="24"/>
          <w:szCs w:val="24"/>
          <w:lang w:eastAsia="en-US"/>
        </w:rPr>
      </w:pPr>
      <w:r w:rsidRPr="00CB1DA6">
        <w:rPr>
          <w:sz w:val="24"/>
          <w:szCs w:val="24"/>
          <w:lang w:eastAsia="en-US"/>
        </w:rPr>
        <w:t>Safety of test procedures</w:t>
      </w:r>
    </w:p>
    <w:p w14:paraId="535ECEED" w14:textId="1A943EB7" w:rsidR="00DC40B9" w:rsidRDefault="00E83109" w:rsidP="00E83109">
      <w:pPr>
        <w:pStyle w:val="a-TEXT"/>
      </w:pPr>
      <w:r>
        <w:t xml:space="preserve">The </w:t>
      </w:r>
      <w:r w:rsidR="00C06F4E">
        <w:t>commentary</w:t>
      </w:r>
      <w:r w:rsidR="00A0122E">
        <w:t xml:space="preserve"> considered the evidence</w:t>
      </w:r>
      <w:r w:rsidR="002A6FC4">
        <w:t xml:space="preserve"> </w:t>
      </w:r>
      <w:r w:rsidR="002A6FC4" w:rsidRPr="00AE5446">
        <w:rPr>
          <w:b/>
          <w:bCs/>
        </w:rPr>
        <w:t>support</w:t>
      </w:r>
      <w:r w:rsidR="00A0122E">
        <w:rPr>
          <w:b/>
          <w:bCs/>
        </w:rPr>
        <w:t>ed</w:t>
      </w:r>
      <w:r w:rsidR="002A6FC4">
        <w:t xml:space="preserve"> the clinical claim </w:t>
      </w:r>
      <w:r w:rsidR="00DC40B9">
        <w:t xml:space="preserve">for non-inferior safety related to </w:t>
      </w:r>
      <w:r>
        <w:t>direct harm of testing</w:t>
      </w:r>
      <w:r w:rsidR="00DC40B9">
        <w:t xml:space="preserve"> procedures</w:t>
      </w:r>
      <w:r>
        <w:t xml:space="preserve"> </w:t>
      </w:r>
      <w:r w:rsidR="0091463F">
        <w:rPr>
          <w:color w:val="000000" w:themeColor="text1"/>
        </w:rPr>
        <w:t>required for</w:t>
      </w:r>
      <w:r w:rsidR="0091463F" w:rsidRPr="0091463F">
        <w:rPr>
          <w:color w:val="000000" w:themeColor="text1"/>
        </w:rPr>
        <w:t xml:space="preserve"> </w:t>
      </w:r>
      <w:r w:rsidR="0091463F">
        <w:rPr>
          <w:color w:val="000000" w:themeColor="text1"/>
        </w:rPr>
        <w:t xml:space="preserve">the </w:t>
      </w:r>
      <w:r w:rsidR="00137830" w:rsidRPr="00137830">
        <w:t>FMF risk calculator</w:t>
      </w:r>
      <w:r w:rsidR="00F222CE">
        <w:t xml:space="preserve">, compared to </w:t>
      </w:r>
      <w:proofErr w:type="spellStart"/>
      <w:r w:rsidR="00F222CE">
        <w:t>SoC</w:t>
      </w:r>
      <w:r>
        <w:t>.</w:t>
      </w:r>
      <w:proofErr w:type="spellEnd"/>
      <w:r>
        <w:t xml:space="preserve"> </w:t>
      </w:r>
      <w:r w:rsidR="00DC40B9">
        <w:t>For the required</w:t>
      </w:r>
      <w:r w:rsidR="001D4BDF">
        <w:t xml:space="preserve"> inputs into the risk calculator, al</w:t>
      </w:r>
      <w:r w:rsidR="008F7D82">
        <w:t>l</w:t>
      </w:r>
      <w:r w:rsidR="00781D66">
        <w:t xml:space="preserve"> tests are </w:t>
      </w:r>
      <w:r w:rsidR="00ED0C95">
        <w:t xml:space="preserve">part of general prenatal care and are already, or can be, implemented into </w:t>
      </w:r>
      <w:r w:rsidR="00643616">
        <w:t>the normal pregnancy care pathway.</w:t>
      </w:r>
      <w:r w:rsidR="00ED0C95">
        <w:t xml:space="preserve"> </w:t>
      </w:r>
      <w:proofErr w:type="spellStart"/>
      <w:r>
        <w:t>UtA</w:t>
      </w:r>
      <w:proofErr w:type="spellEnd"/>
      <w:r>
        <w:t xml:space="preserve">-PI </w:t>
      </w:r>
      <w:r w:rsidR="005C48F8">
        <w:t>would</w:t>
      </w:r>
      <w:r>
        <w:t xml:space="preserve"> be performed as part of the routine first trimester ultrasound scan</w:t>
      </w:r>
      <w:r w:rsidR="001D4BDF">
        <w:t>;</w:t>
      </w:r>
      <w:r>
        <w:t xml:space="preserve"> </w:t>
      </w:r>
      <w:proofErr w:type="spellStart"/>
      <w:r>
        <w:t>PlGF</w:t>
      </w:r>
      <w:proofErr w:type="spellEnd"/>
      <w:r>
        <w:t xml:space="preserve"> </w:t>
      </w:r>
      <w:r w:rsidR="005C48F8">
        <w:t xml:space="preserve">would </w:t>
      </w:r>
      <w:r>
        <w:t xml:space="preserve">be an additional measurement in the general biochemical </w:t>
      </w:r>
      <w:r w:rsidR="00F56D38">
        <w:t>testing</w:t>
      </w:r>
      <w:r>
        <w:t xml:space="preserve"> of pregnant </w:t>
      </w:r>
      <w:r w:rsidR="00F43CB5">
        <w:t>persons</w:t>
      </w:r>
      <w:r>
        <w:t xml:space="preserve">, together with PAPP-A testing performed as part of the routine first trimester </w:t>
      </w:r>
      <w:r w:rsidR="00F56D38">
        <w:t>testing</w:t>
      </w:r>
      <w:r>
        <w:t>. Similarly, assessment of the maternal MAP, while requiring adherence to a protocol of blood pressure measurement, is universally carried out as part of routine pregnancy care.</w:t>
      </w:r>
      <w:r w:rsidR="00DC40B9">
        <w:t xml:space="preserve"> The </w:t>
      </w:r>
      <w:r w:rsidR="007E26CB">
        <w:t xml:space="preserve">FMF risk </w:t>
      </w:r>
      <w:r w:rsidR="00DC40B9">
        <w:t xml:space="preserve">algorithm is proposed to be used in all pregnant </w:t>
      </w:r>
      <w:r w:rsidR="00F43CB5">
        <w:t>persons</w:t>
      </w:r>
      <w:r w:rsidR="00DC40B9">
        <w:t xml:space="preserve">, </w:t>
      </w:r>
      <w:r w:rsidR="00566013">
        <w:t xml:space="preserve">which is </w:t>
      </w:r>
      <w:r w:rsidR="00DC40B9">
        <w:t>the same population as the current comparator.</w:t>
      </w:r>
    </w:p>
    <w:p w14:paraId="14F4B57C" w14:textId="4F620747" w:rsidR="00A7729A" w:rsidRPr="00CB1DA6" w:rsidRDefault="00A7729A" w:rsidP="00A93D87">
      <w:pPr>
        <w:pStyle w:val="Heading3"/>
        <w:spacing w:before="300" w:after="160" w:line="240" w:lineRule="auto"/>
        <w:rPr>
          <w:sz w:val="24"/>
          <w:szCs w:val="24"/>
          <w:lang w:eastAsia="en-US"/>
        </w:rPr>
      </w:pPr>
      <w:r w:rsidRPr="00CB1DA6">
        <w:rPr>
          <w:sz w:val="24"/>
          <w:szCs w:val="24"/>
          <w:lang w:eastAsia="en-US"/>
        </w:rPr>
        <w:t>Psychological harm from testing</w:t>
      </w:r>
    </w:p>
    <w:p w14:paraId="622DB788" w14:textId="0A3828D6" w:rsidR="00D22D0E" w:rsidRDefault="008D3FF3" w:rsidP="3EF96E1F">
      <w:pPr>
        <w:pStyle w:val="a-TEXT"/>
      </w:pPr>
      <w:r>
        <w:t xml:space="preserve">The </w:t>
      </w:r>
      <w:r w:rsidR="00C06F4E">
        <w:t>commentary</w:t>
      </w:r>
      <w:r>
        <w:t xml:space="preserve"> </w:t>
      </w:r>
      <w:r w:rsidR="00BD21AC">
        <w:t xml:space="preserve">considered that there was </w:t>
      </w:r>
      <w:r w:rsidR="00BD21AC" w:rsidRPr="00943784">
        <w:rPr>
          <w:b/>
          <w:bCs/>
          <w:iCs w:val="0"/>
        </w:rPr>
        <w:t xml:space="preserve">insufficient evidence </w:t>
      </w:r>
      <w:r w:rsidR="00D504F7">
        <w:rPr>
          <w:b/>
          <w:bCs/>
        </w:rPr>
        <w:t xml:space="preserve">provided </w:t>
      </w:r>
      <w:r w:rsidR="00BD21AC" w:rsidRPr="00943784">
        <w:rPr>
          <w:b/>
          <w:bCs/>
          <w:iCs w:val="0"/>
        </w:rPr>
        <w:t xml:space="preserve">to </w:t>
      </w:r>
      <w:r w:rsidR="00AE5446" w:rsidRPr="00D504F7">
        <w:rPr>
          <w:b/>
          <w:bCs/>
        </w:rPr>
        <w:t>support</w:t>
      </w:r>
      <w:r w:rsidR="00AE5446">
        <w:t xml:space="preserve"> </w:t>
      </w:r>
      <w:r>
        <w:t xml:space="preserve">the clinical claim for non-inferior safety related to </w:t>
      </w:r>
      <w:r w:rsidR="00AE5446">
        <w:t xml:space="preserve">psychological impacts of </w:t>
      </w:r>
      <w:r w:rsidR="00484855">
        <w:t>the proposed intervention</w:t>
      </w:r>
      <w:r w:rsidR="00E17001">
        <w:t xml:space="preserve"> compared to </w:t>
      </w:r>
      <w:proofErr w:type="spellStart"/>
      <w:r w:rsidR="00E17001">
        <w:t>SoC</w:t>
      </w:r>
      <w:r>
        <w:t>.</w:t>
      </w:r>
      <w:proofErr w:type="spellEnd"/>
      <w:r>
        <w:t xml:space="preserve"> </w:t>
      </w:r>
      <w:r w:rsidR="00A7729A" w:rsidRPr="00DC40B9">
        <w:t>The PICO include</w:t>
      </w:r>
      <w:r w:rsidR="005C48F8">
        <w:t>d</w:t>
      </w:r>
      <w:r w:rsidR="00A7729A" w:rsidRPr="00DC40B9">
        <w:t xml:space="preserve"> “Anxiety associated with the finding of increased risk of PE” as a safety outcome, but this was not addressed in the </w:t>
      </w:r>
      <w:r w:rsidR="007E26CB">
        <w:t>ADAR</w:t>
      </w:r>
      <w:r w:rsidR="00A7729A" w:rsidRPr="00DC40B9">
        <w:t xml:space="preserve">. Public consultation from organisational stakeholders identified this </w:t>
      </w:r>
      <w:r w:rsidR="007E26CB">
        <w:t xml:space="preserve">outcome </w:t>
      </w:r>
      <w:r w:rsidR="00A7729A" w:rsidRPr="00DC40B9">
        <w:t xml:space="preserve">as a key issue. Other </w:t>
      </w:r>
      <w:r w:rsidR="00F56D38">
        <w:t>testing</w:t>
      </w:r>
      <w:r w:rsidR="00A7729A" w:rsidRPr="00DC40B9">
        <w:t xml:space="preserve"> programs show that </w:t>
      </w:r>
      <w:r w:rsidR="00F56D38">
        <w:t>testing</w:t>
      </w:r>
      <w:r w:rsidR="00A7729A" w:rsidRPr="00DC40B9">
        <w:t>-induced distress is common</w:t>
      </w:r>
      <w:r w:rsidR="00715453">
        <w:rPr>
          <w:rStyle w:val="FootnoteReference"/>
        </w:rPr>
        <w:footnoteReference w:id="14"/>
      </w:r>
      <w:r w:rsidR="00062A6C">
        <w:rPr>
          <w:iCs w:val="0"/>
        </w:rPr>
        <w:fldChar w:fldCharType="begin"/>
      </w:r>
      <w:r w:rsidR="00816AE4">
        <w:instrText xml:space="preserve"> ADDIN EN.CITE &lt;EndNote&gt;&lt;Cite Hidden="1"&gt;&lt;Author&gt;Kim Tam&lt;/Author&gt;&lt;Year&gt;2021&lt;/Year&gt;&lt;RecNum&gt;17&lt;/RecNum&gt;&lt;record&gt;&lt;rec-number&gt;17&lt;/rec-number&gt;&lt;foreign-keys&gt;&lt;key app="EN" db-id="se55ezsznpwetue0zv1pvxv0de0tpe0t2vxv" timestamp="1690882048"&gt;17&lt;/key&gt;&lt;/foreign-keys&gt;&lt;ref-type name="Journal Article"&gt;17&lt;/ref-type&gt;&lt;contributors&gt;&lt;authors&gt;&lt;author&gt;Kim Tam, Bui&lt;/author&gt;&lt;author&gt;Roger, Liang&lt;/author&gt;&lt;author&gt;Belinda, E. Kiely&lt;/author&gt;&lt;author&gt;Chris, Brown&lt;/author&gt;&lt;author&gt;Haryana, M. Dhillon&lt;/author&gt;&lt;author&gt;Prunella, Blinman&lt;/author&gt;&lt;/authors&gt;&lt;/contributors&gt;&lt;titles&gt;&lt;title&gt;Scanxiety: a scoping review about scan-associated anxiety&lt;/title&gt;&lt;secondary-title&gt;BMJ Open&lt;/secondary-title&gt;&lt;/titles&gt;&lt;periodical&gt;&lt;full-title&gt;BMJ Open&lt;/full-title&gt;&lt;/periodical&gt;&lt;pages&gt;e043215&lt;/pages&gt;&lt;volume&gt;11&lt;/volume&gt;&lt;number&gt;5&lt;/number&gt;&lt;dates&gt;&lt;year&gt;2021&lt;/year&gt;&lt;/dates&gt;&lt;urls&gt;&lt;related-urls&gt;&lt;url&gt;http://bmjopen.bmj.com/content/11/5/e043215.abstract&lt;/url&gt;&lt;/related-urls&gt;&lt;/urls&gt;&lt;electronic-resource-num&gt;10.1136/bmjopen-2020-043215&lt;/electronic-resource-num&gt;&lt;/record&gt;&lt;/Cite&gt;&lt;/EndNote&gt;</w:instrText>
      </w:r>
      <w:r w:rsidR="00062A6C">
        <w:rPr>
          <w:iCs w:val="0"/>
        </w:rPr>
        <w:fldChar w:fldCharType="end"/>
      </w:r>
      <w:r w:rsidR="00A7729A" w:rsidRPr="00DC40B9">
        <w:t xml:space="preserve">; there </w:t>
      </w:r>
      <w:r w:rsidR="00601131">
        <w:t>wa</w:t>
      </w:r>
      <w:r w:rsidR="00A7729A" w:rsidRPr="00DC40B9">
        <w:t>s no discussion of this safety impact or the implications of managing this burden. Importantly, managing distress</w:t>
      </w:r>
      <w:r w:rsidR="00A7729A" w:rsidRPr="00DC40B9" w:rsidDel="00F86192">
        <w:t xml:space="preserve"> </w:t>
      </w:r>
      <w:r w:rsidR="00F86192">
        <w:t>would</w:t>
      </w:r>
      <w:r w:rsidR="00F86192" w:rsidRPr="00DC40B9">
        <w:t xml:space="preserve"> </w:t>
      </w:r>
      <w:r w:rsidR="00A7729A" w:rsidRPr="00DC40B9">
        <w:t>likely</w:t>
      </w:r>
      <w:r w:rsidR="00F86192">
        <w:t xml:space="preserve"> be</w:t>
      </w:r>
      <w:r w:rsidR="00A7729A" w:rsidRPr="00DC40B9">
        <w:t xml:space="preserve"> done by additional consultation time </w:t>
      </w:r>
      <w:r w:rsidR="004A6847">
        <w:t xml:space="preserve">with clinicians. This </w:t>
      </w:r>
      <w:r w:rsidR="00A7729A" w:rsidRPr="00DC40B9">
        <w:t xml:space="preserve">would have impacts </w:t>
      </w:r>
      <w:r w:rsidR="007E26CB">
        <w:t>on</w:t>
      </w:r>
      <w:r w:rsidR="007E26CB" w:rsidRPr="00DC40B9">
        <w:t xml:space="preserve"> </w:t>
      </w:r>
      <w:r w:rsidR="00A7729A" w:rsidRPr="00DC40B9">
        <w:t xml:space="preserve">time burden to healthcare providers and </w:t>
      </w:r>
      <w:r w:rsidR="00F86192">
        <w:t>increased cost</w:t>
      </w:r>
      <w:r w:rsidR="00A7729A" w:rsidRPr="00DC40B9">
        <w:t>.</w:t>
      </w:r>
      <w:r w:rsidR="000F654E" w:rsidRPr="000F654E">
        <w:t xml:space="preserve"> </w:t>
      </w:r>
      <w:r w:rsidR="00D22D0E">
        <w:t xml:space="preserve">The pre-ESC response argued that </w:t>
      </w:r>
      <w:r w:rsidR="00BA18CB">
        <w:t xml:space="preserve">the </w:t>
      </w:r>
      <w:r w:rsidR="00BA18CB" w:rsidRPr="00BA18CB">
        <w:t>potential for psychological harm associated with preeclampsia screening should be considered in the context of the potential psychological harms from preterm births and other preeclampsia-related outcomes at term</w:t>
      </w:r>
      <w:r w:rsidR="00BA18CB">
        <w:t xml:space="preserve">; and the </w:t>
      </w:r>
      <w:r w:rsidR="00BA18CB" w:rsidRPr="00BA18CB">
        <w:t>improved diagnostic performance of the FMF algorithm compared with SoC increases the precision with which women at high risk for preterm preeclampsia are identified</w:t>
      </w:r>
      <w:r w:rsidR="00BA18CB">
        <w:t xml:space="preserve"> and the</w:t>
      </w:r>
      <w:r w:rsidR="00BA18CB" w:rsidRPr="00BA18CB">
        <w:t xml:space="preserve"> subsequent use of low-dose aspirin in high risk pregnancies significantly reduces the incidence of preterm preeclampsia. As such, </w:t>
      </w:r>
      <w:r w:rsidR="00BA18CB">
        <w:t xml:space="preserve">the pre-ESC response argued that </w:t>
      </w:r>
      <w:r w:rsidR="00BA18CB" w:rsidRPr="00BA18CB">
        <w:t xml:space="preserve">the ability to better identify women at risk of developing preterm preeclampsia and recommended prophylactic treatment with low-dose aspirin using the FMF algorithm compared with SoC is expected to reduce rather than exacerbate psychological harm and stress associated with screening and downstream maternal and </w:t>
      </w:r>
      <w:proofErr w:type="spellStart"/>
      <w:r w:rsidR="00BA18CB" w:rsidRPr="00BA18CB">
        <w:t>fetal</w:t>
      </w:r>
      <w:proofErr w:type="spellEnd"/>
      <w:r w:rsidR="00BA18CB" w:rsidRPr="00BA18CB">
        <w:t xml:space="preserve"> outcomes</w:t>
      </w:r>
      <w:r w:rsidR="00BA18CB">
        <w:t xml:space="preserve">. </w:t>
      </w:r>
    </w:p>
    <w:p w14:paraId="4BA27960" w14:textId="22BDE725" w:rsidR="001B7830" w:rsidRDefault="005D7804" w:rsidP="3EF96E1F">
      <w:pPr>
        <w:pStyle w:val="a-TEXT"/>
      </w:pPr>
      <w:r>
        <w:t>The</w:t>
      </w:r>
      <w:r w:rsidR="00BA18CB">
        <w:t xml:space="preserve"> commentary also noted that there </w:t>
      </w:r>
      <w:r>
        <w:t>is an absence of evidence presented by the ADAR on the i</w:t>
      </w:r>
      <w:r w:rsidR="000F654E" w:rsidRPr="000F654E">
        <w:t>ncidence of preeclampsia in the low-risk pregnancies (</w:t>
      </w:r>
      <w:proofErr w:type="gramStart"/>
      <w:r>
        <w:t>i.e.</w:t>
      </w:r>
      <w:proofErr w:type="gramEnd"/>
      <w:r>
        <w:t xml:space="preserve"> </w:t>
      </w:r>
      <w:r w:rsidR="00E722A8">
        <w:t xml:space="preserve">there is no evidence to </w:t>
      </w:r>
      <w:r w:rsidR="000F654E" w:rsidRPr="000F654E">
        <w:t xml:space="preserve">ascertain the impact of false negatives made by FMF </w:t>
      </w:r>
      <w:r w:rsidR="00E722A8">
        <w:t>compared to</w:t>
      </w:r>
      <w:r w:rsidR="000F654E" w:rsidRPr="000F654E">
        <w:t xml:space="preserve"> current risk-assessment</w:t>
      </w:r>
      <w:r w:rsidR="00E722A8">
        <w:t xml:space="preserve">). </w:t>
      </w:r>
      <w:proofErr w:type="gramStart"/>
      <w:r w:rsidR="00BA18CB">
        <w:t>However</w:t>
      </w:r>
      <w:proofErr w:type="gramEnd"/>
      <w:r w:rsidR="00BA18CB">
        <w:t xml:space="preserve"> the </w:t>
      </w:r>
      <w:r w:rsidR="00D83DC1">
        <w:t xml:space="preserve">pre-ESC response argued that </w:t>
      </w:r>
      <w:r w:rsidR="00BE2E2C">
        <w:t>a</w:t>
      </w:r>
      <w:r w:rsidR="00BE2E2C" w:rsidRPr="00BE2E2C">
        <w:t xml:space="preserve">s the test sensitivity of the FMF algorithm has been shown to be higher than that of SoC, it is unlikely that the FMF algorithm will systematically miss a true high risk pregnancy that would otherwise be picked up by </w:t>
      </w:r>
      <w:proofErr w:type="spellStart"/>
      <w:r w:rsidR="00BE2E2C" w:rsidRPr="00BE2E2C">
        <w:t>SoC</w:t>
      </w:r>
      <w:r w:rsidR="00CC7551">
        <w:t>.</w:t>
      </w:r>
      <w:proofErr w:type="spellEnd"/>
      <w:r w:rsidR="00CC7551">
        <w:t xml:space="preserve"> </w:t>
      </w:r>
    </w:p>
    <w:p w14:paraId="29B04EEC" w14:textId="50E7794D" w:rsidR="00AA7234" w:rsidRPr="004A6847" w:rsidRDefault="00AA7234" w:rsidP="00A93D87">
      <w:pPr>
        <w:pStyle w:val="Heading3"/>
        <w:spacing w:before="300" w:after="160" w:line="240" w:lineRule="auto"/>
        <w:rPr>
          <w:sz w:val="24"/>
          <w:szCs w:val="24"/>
          <w:lang w:eastAsia="en-US"/>
        </w:rPr>
      </w:pPr>
      <w:r w:rsidRPr="004A6847">
        <w:rPr>
          <w:sz w:val="24"/>
          <w:szCs w:val="24"/>
          <w:lang w:eastAsia="en-US"/>
        </w:rPr>
        <w:lastRenderedPageBreak/>
        <w:t xml:space="preserve">Safety </w:t>
      </w:r>
      <w:r w:rsidR="00942945" w:rsidRPr="004A6847">
        <w:rPr>
          <w:sz w:val="24"/>
          <w:szCs w:val="24"/>
          <w:lang w:eastAsia="en-US"/>
        </w:rPr>
        <w:t xml:space="preserve">related to clinical utility of FMF </w:t>
      </w:r>
      <w:r w:rsidR="00137830" w:rsidRPr="004A6847">
        <w:rPr>
          <w:sz w:val="24"/>
          <w:szCs w:val="24"/>
          <w:lang w:eastAsia="en-US"/>
        </w:rPr>
        <w:t xml:space="preserve">risk </w:t>
      </w:r>
      <w:proofErr w:type="gramStart"/>
      <w:r w:rsidR="00137830" w:rsidRPr="004A6847">
        <w:rPr>
          <w:sz w:val="24"/>
          <w:szCs w:val="24"/>
          <w:lang w:eastAsia="en-US"/>
        </w:rPr>
        <w:t>calculator</w:t>
      </w:r>
      <w:proofErr w:type="gramEnd"/>
    </w:p>
    <w:p w14:paraId="31B8FBB6" w14:textId="727E5DAC" w:rsidR="004A6847" w:rsidRDefault="00AE5446" w:rsidP="00942945">
      <w:pPr>
        <w:pStyle w:val="a-TEXT"/>
      </w:pPr>
      <w:r>
        <w:t xml:space="preserve">The </w:t>
      </w:r>
      <w:r w:rsidR="00C06F4E">
        <w:t>commentary</w:t>
      </w:r>
      <w:r w:rsidR="00FB32AE">
        <w:t xml:space="preserve"> considered there was </w:t>
      </w:r>
      <w:r w:rsidR="00FB32AE" w:rsidRPr="00943784">
        <w:rPr>
          <w:b/>
          <w:bCs/>
        </w:rPr>
        <w:t>insufficient ev</w:t>
      </w:r>
      <w:r w:rsidR="00834F26" w:rsidRPr="00943784">
        <w:rPr>
          <w:b/>
          <w:bCs/>
        </w:rPr>
        <w:t xml:space="preserve">idence provided to </w:t>
      </w:r>
      <w:r w:rsidR="007E26CB" w:rsidRPr="00834F26">
        <w:rPr>
          <w:b/>
          <w:bCs/>
        </w:rPr>
        <w:t>support</w:t>
      </w:r>
      <w:r w:rsidR="007E26CB">
        <w:t xml:space="preserve"> </w:t>
      </w:r>
      <w:r>
        <w:t>the clinical claim for non-inferior safety related to the clinical utility of the proposed intervention</w:t>
      </w:r>
      <w:r w:rsidR="00484855">
        <w:t xml:space="preserve"> compared to </w:t>
      </w:r>
      <w:proofErr w:type="spellStart"/>
      <w:r w:rsidR="00484855">
        <w:t>SoC</w:t>
      </w:r>
      <w:r>
        <w:t>.</w:t>
      </w:r>
      <w:proofErr w:type="spellEnd"/>
      <w:r>
        <w:t xml:space="preserve"> </w:t>
      </w:r>
      <w:r w:rsidR="006877F0" w:rsidRPr="004A6847">
        <w:t xml:space="preserve">The applicant mentioned </w:t>
      </w:r>
      <w:r w:rsidR="00304BB1" w:rsidRPr="004A6847">
        <w:t>the possibility of d</w:t>
      </w:r>
      <w:r w:rsidR="006877F0" w:rsidRPr="004A6847">
        <w:t>ownstream safety consequences</w:t>
      </w:r>
      <w:r w:rsidR="004A6847">
        <w:t>,</w:t>
      </w:r>
      <w:r w:rsidR="006877F0" w:rsidRPr="004A6847">
        <w:t xml:space="preserve"> </w:t>
      </w:r>
      <w:r w:rsidR="00304BB1" w:rsidRPr="004A6847">
        <w:t>including</w:t>
      </w:r>
      <w:r w:rsidR="006877F0" w:rsidRPr="004A6847">
        <w:t xml:space="preserve"> unnecessary aspirin treatment in women falsely deemed high risk (false positive </w:t>
      </w:r>
      <w:r w:rsidR="00F56D38">
        <w:t>testing</w:t>
      </w:r>
      <w:r w:rsidR="006877F0" w:rsidRPr="004A6847">
        <w:t xml:space="preserve"> result) and missed aspirin treatment in women with a false negative </w:t>
      </w:r>
      <w:r w:rsidR="00F56D38">
        <w:t>testing</w:t>
      </w:r>
      <w:r w:rsidR="006877F0" w:rsidRPr="004A6847">
        <w:t xml:space="preserve"> test result.</w:t>
      </w:r>
      <w:r w:rsidR="000C2E52" w:rsidRPr="004A6847">
        <w:t xml:space="preserve"> However, no </w:t>
      </w:r>
      <w:r w:rsidR="00333DA6">
        <w:t xml:space="preserve">supporting </w:t>
      </w:r>
      <w:r w:rsidR="000C2E52" w:rsidRPr="004A6847">
        <w:t xml:space="preserve">evidence or modelling of these harms </w:t>
      </w:r>
      <w:r w:rsidR="007E26CB">
        <w:t>was</w:t>
      </w:r>
      <w:r w:rsidR="000C2E52" w:rsidRPr="004A6847">
        <w:t xml:space="preserve"> provided</w:t>
      </w:r>
      <w:r w:rsidR="007E26CB">
        <w:t xml:space="preserve"> in the ADAR</w:t>
      </w:r>
      <w:r w:rsidR="000C2E52" w:rsidRPr="004A6847">
        <w:t>.</w:t>
      </w:r>
      <w:r w:rsidR="00FB48BF">
        <w:t xml:space="preserve"> </w:t>
      </w:r>
    </w:p>
    <w:p w14:paraId="2575CC6C" w14:textId="7FF0B1FA" w:rsidR="00FB48BF" w:rsidRPr="006D462D" w:rsidRDefault="00D91EB4" w:rsidP="006D462D">
      <w:pPr>
        <w:pStyle w:val="a-TEXT"/>
      </w:pPr>
      <w:r w:rsidRPr="006D462D">
        <w:t xml:space="preserve">The false positive and negative rates of the FMF risk calculator are discussed </w:t>
      </w:r>
      <w:r w:rsidR="007E26CB">
        <w:t>below</w:t>
      </w:r>
      <w:r w:rsidRPr="006D462D">
        <w:t xml:space="preserve">. </w:t>
      </w:r>
      <w:r w:rsidR="00FB48BF" w:rsidRPr="006D462D">
        <w:t xml:space="preserve">Evidence </w:t>
      </w:r>
      <w:r w:rsidR="00CC4DE8" w:rsidRPr="006D462D">
        <w:t>suggested</w:t>
      </w:r>
      <w:r w:rsidR="00FB48BF" w:rsidRPr="006D462D">
        <w:t xml:space="preserve"> that the false negative rate was minimal</w:t>
      </w:r>
      <w:r w:rsidR="006D462D" w:rsidRPr="006D462D">
        <w:t xml:space="preserve">. </w:t>
      </w:r>
      <w:r w:rsidR="00FB48BF" w:rsidRPr="006D462D">
        <w:t xml:space="preserve">However, the false positive rate (estimated at around 10%) </w:t>
      </w:r>
      <w:r w:rsidR="00E41BD8">
        <w:t>wa</w:t>
      </w:r>
      <w:r w:rsidR="00FB48BF" w:rsidRPr="006D462D">
        <w:t xml:space="preserve">s </w:t>
      </w:r>
      <w:r w:rsidR="00B707B3" w:rsidRPr="006D462D">
        <w:t>operationally</w:t>
      </w:r>
      <w:r w:rsidR="00FB48BF" w:rsidRPr="006D462D">
        <w:t xml:space="preserve"> significant due to the </w:t>
      </w:r>
      <w:r w:rsidR="00B707B3" w:rsidRPr="006D462D">
        <w:t xml:space="preserve">volume </w:t>
      </w:r>
      <w:r w:rsidR="00FB48BF" w:rsidRPr="006D462D">
        <w:t xml:space="preserve">of people who will be </w:t>
      </w:r>
      <w:r w:rsidR="00F56D38">
        <w:t>tested</w:t>
      </w:r>
      <w:r w:rsidR="00FB48BF" w:rsidRPr="006D462D">
        <w:t xml:space="preserve"> (estimated by the applicant at </w:t>
      </w:r>
      <w:r w:rsidR="00542DBA">
        <w:t>almost</w:t>
      </w:r>
      <w:r w:rsidR="00FB48BF" w:rsidRPr="006D462D">
        <w:t xml:space="preserve"> </w:t>
      </w:r>
      <w:r w:rsidR="00542DBA">
        <w:t>260,000 per year in the PICO</w:t>
      </w:r>
      <w:r w:rsidR="00FB48BF" w:rsidRPr="006D462D">
        <w:t>). The clinical impacts of false positive cases are dependent on the clinical claim for the safety of the treatment (discussed below).</w:t>
      </w:r>
    </w:p>
    <w:p w14:paraId="3D305672" w14:textId="4FE8D388" w:rsidR="000C2E52" w:rsidRPr="004A6847" w:rsidRDefault="00E87D46" w:rsidP="00942945">
      <w:pPr>
        <w:pStyle w:val="a-TEXT"/>
      </w:pPr>
      <w:r>
        <w:t>The ADAR describe</w:t>
      </w:r>
      <w:r w:rsidR="00E41BD8">
        <w:t>d</w:t>
      </w:r>
      <w:r w:rsidR="000C2E52" w:rsidRPr="004A6847">
        <w:t xml:space="preserve"> the use of the current risk assessment guidelines in practice as</w:t>
      </w:r>
      <w:r>
        <w:t xml:space="preserve"> being</w:t>
      </w:r>
      <w:r w:rsidR="000C2E52" w:rsidRPr="004A6847">
        <w:t xml:space="preserve"> “not routine”. If this is the case, standardised use of </w:t>
      </w:r>
      <w:r w:rsidR="007E26CB">
        <w:t>the FMF</w:t>
      </w:r>
      <w:r w:rsidR="000C2E52" w:rsidRPr="004A6847">
        <w:t xml:space="preserve"> risk algorithm as proposed may increase the actual volume of false positives compared to </w:t>
      </w:r>
      <w:r w:rsidR="00A93D87">
        <w:t>the</w:t>
      </w:r>
      <w:r w:rsidR="000C2E52" w:rsidRPr="004A6847">
        <w:t xml:space="preserve"> </w:t>
      </w:r>
      <w:proofErr w:type="spellStart"/>
      <w:r w:rsidR="000C2E52" w:rsidRPr="004A6847">
        <w:t>SoC.</w:t>
      </w:r>
      <w:proofErr w:type="spellEnd"/>
    </w:p>
    <w:p w14:paraId="34FBD93A" w14:textId="1008A9A1" w:rsidR="005F17D1" w:rsidRPr="00333DA6" w:rsidRDefault="005F17D1" w:rsidP="00A93D87">
      <w:pPr>
        <w:pStyle w:val="Heading3"/>
        <w:spacing w:before="300" w:after="160" w:line="240" w:lineRule="auto"/>
        <w:rPr>
          <w:sz w:val="24"/>
          <w:szCs w:val="24"/>
          <w:lang w:eastAsia="en-US"/>
        </w:rPr>
      </w:pPr>
      <w:r w:rsidRPr="00333DA6">
        <w:rPr>
          <w:sz w:val="24"/>
          <w:szCs w:val="24"/>
          <w:lang w:eastAsia="en-US"/>
        </w:rPr>
        <w:t xml:space="preserve">Safety of </w:t>
      </w:r>
      <w:r w:rsidR="00B94050">
        <w:rPr>
          <w:sz w:val="24"/>
          <w:szCs w:val="24"/>
          <w:lang w:eastAsia="en-US"/>
        </w:rPr>
        <w:t xml:space="preserve">consequent </w:t>
      </w:r>
      <w:r w:rsidR="0022074E" w:rsidRPr="00333DA6">
        <w:rPr>
          <w:sz w:val="24"/>
          <w:szCs w:val="24"/>
          <w:lang w:eastAsia="en-US"/>
        </w:rPr>
        <w:t>treatment</w:t>
      </w:r>
    </w:p>
    <w:p w14:paraId="6821B747" w14:textId="40E7A39D" w:rsidR="006B33EF" w:rsidRPr="006B33EF" w:rsidRDefault="00AE5446" w:rsidP="006B33EF">
      <w:pPr>
        <w:pStyle w:val="a-TEXT"/>
      </w:pPr>
      <w:r>
        <w:t xml:space="preserve">The </w:t>
      </w:r>
      <w:r w:rsidR="00C06F4E">
        <w:t>commentary</w:t>
      </w:r>
      <w:r>
        <w:t xml:space="preserve"> </w:t>
      </w:r>
      <w:r w:rsidR="00C44D2E">
        <w:t xml:space="preserve">considered there was </w:t>
      </w:r>
      <w:r w:rsidR="00C44D2E" w:rsidRPr="00943784">
        <w:rPr>
          <w:b/>
          <w:bCs/>
        </w:rPr>
        <w:t xml:space="preserve">insufficient evidence provided to </w:t>
      </w:r>
      <w:r w:rsidRPr="00C44D2E">
        <w:rPr>
          <w:b/>
          <w:bCs/>
        </w:rPr>
        <w:t>support</w:t>
      </w:r>
      <w:r>
        <w:t xml:space="preserve"> the clinical claim for non-inferior safety of </w:t>
      </w:r>
      <w:r w:rsidR="00484855">
        <w:t xml:space="preserve">consequent </w:t>
      </w:r>
      <w:r w:rsidR="00576340">
        <w:t>aspirin</w:t>
      </w:r>
      <w:r w:rsidR="00484855">
        <w:t xml:space="preserve"> </w:t>
      </w:r>
      <w:r>
        <w:t>treatment</w:t>
      </w:r>
      <w:r w:rsidR="00F63FB0">
        <w:t xml:space="preserve"> arising from the proposed intervention</w:t>
      </w:r>
      <w:r>
        <w:t xml:space="preserve">. </w:t>
      </w:r>
      <w:r w:rsidR="00555F2F">
        <w:t>The</w:t>
      </w:r>
      <w:r w:rsidR="00972AFF" w:rsidDel="00607A89">
        <w:t xml:space="preserve"> </w:t>
      </w:r>
      <w:r w:rsidR="00607A89">
        <w:t xml:space="preserve">ADAR </w:t>
      </w:r>
      <w:r w:rsidR="00972AFF">
        <w:t xml:space="preserve">presented evidence from the </w:t>
      </w:r>
      <w:r w:rsidR="00555F2F">
        <w:t>ASPRE trial</w:t>
      </w:r>
      <w:r w:rsidR="000C641D">
        <w:t xml:space="preserve"> only</w:t>
      </w:r>
      <w:r w:rsidR="009640CF">
        <w:t>; k</w:t>
      </w:r>
      <w:r w:rsidR="006B33EF">
        <w:t xml:space="preserve">ey results are presented </w:t>
      </w:r>
      <w:r w:rsidR="000C641D">
        <w:t xml:space="preserve">in </w:t>
      </w:r>
      <w:r w:rsidR="008E042B">
        <w:t>Table 8</w:t>
      </w:r>
      <w:r w:rsidR="008A7AAE">
        <w:t xml:space="preserve"> </w:t>
      </w:r>
      <w:r w:rsidR="006B33EF">
        <w:t>below. T</w:t>
      </w:r>
      <w:r w:rsidR="006B33EF" w:rsidRPr="006B33EF">
        <w:t xml:space="preserve">here was no evidence that adverse events were more common or more serious in the aspirin </w:t>
      </w:r>
      <w:r w:rsidR="00433451">
        <w:t>(n=798)</w:t>
      </w:r>
      <w:r w:rsidR="006B33EF" w:rsidRPr="006B33EF">
        <w:t xml:space="preserve"> versus placebo treatment group</w:t>
      </w:r>
      <w:r w:rsidR="00433451">
        <w:t xml:space="preserve"> (n=822)</w:t>
      </w:r>
      <w:r w:rsidR="0087677D">
        <w:t>.</w:t>
      </w:r>
      <w:r w:rsidR="007E26CB">
        <w:t xml:space="preserve"> On balance, the commentary considered that outcomes from the ASPRE trial suggested non-inferior safety of aspirin use compared to placebo, though the ADAR</w:t>
      </w:r>
      <w:r w:rsidR="007E26CB" w:rsidDel="00B94050">
        <w:t xml:space="preserve"> </w:t>
      </w:r>
      <w:r w:rsidR="007E26CB">
        <w:t xml:space="preserve">identified that the </w:t>
      </w:r>
      <w:r w:rsidR="007E26CB" w:rsidRPr="00A06A86">
        <w:t>trial was not powered for a definitive assessment</w:t>
      </w:r>
      <w:r w:rsidR="007E26CB">
        <w:t>.</w:t>
      </w:r>
      <w:r w:rsidR="00994BF9">
        <w:t xml:space="preserve"> The incidence of adverse effects occurring at a frequency of less than 1:798 would not be expected to be identified from this study.</w:t>
      </w:r>
    </w:p>
    <w:p w14:paraId="363542D9" w14:textId="60A8BF7E" w:rsidR="00F35F33" w:rsidRDefault="00D773A1" w:rsidP="00F35F33">
      <w:pPr>
        <w:pStyle w:val="Caption"/>
      </w:pPr>
      <w:bookmarkStart w:id="20" w:name="_Ref141885387"/>
      <w:r>
        <w:t>Table</w:t>
      </w:r>
      <w:r w:rsidR="008E042B">
        <w:t xml:space="preserve"> 8</w:t>
      </w:r>
      <w:bookmarkEnd w:id="20"/>
      <w:r w:rsidR="00AB7AFF">
        <w:tab/>
      </w:r>
      <w:r w:rsidR="00F35F33" w:rsidRPr="00D16CB7">
        <w:t>Serious and non-serious adverse events reported in the ASPRE trial.</w:t>
      </w:r>
    </w:p>
    <w:tbl>
      <w:tblPr>
        <w:tblStyle w:val="TableGrid"/>
        <w:tblW w:w="9066" w:type="dxa"/>
        <w:tblCellMar>
          <w:top w:w="57" w:type="dxa"/>
          <w:left w:w="57" w:type="dxa"/>
          <w:bottom w:w="57" w:type="dxa"/>
          <w:right w:w="57" w:type="dxa"/>
        </w:tblCellMar>
        <w:tblLook w:val="04A0" w:firstRow="1" w:lastRow="0" w:firstColumn="1" w:lastColumn="0" w:noHBand="0" w:noVBand="1"/>
      </w:tblPr>
      <w:tblGrid>
        <w:gridCol w:w="4700"/>
        <w:gridCol w:w="1425"/>
        <w:gridCol w:w="1424"/>
        <w:gridCol w:w="1517"/>
      </w:tblGrid>
      <w:tr w:rsidR="00321FC0" w:rsidRPr="00821C46" w14:paraId="67A561FA" w14:textId="77777777" w:rsidTr="00970246">
        <w:trPr>
          <w:trHeight w:val="450"/>
        </w:trPr>
        <w:tc>
          <w:tcPr>
            <w:tcW w:w="4700" w:type="dxa"/>
            <w:shd w:val="clear" w:color="auto" w:fill="auto"/>
            <w:vAlign w:val="center"/>
          </w:tcPr>
          <w:p w14:paraId="30F3F07D" w14:textId="682CFD63" w:rsidR="00321FC0" w:rsidRPr="00821C46" w:rsidRDefault="005503C9" w:rsidP="000C641D">
            <w:pPr>
              <w:pStyle w:val="TableText"/>
              <w:keepNext/>
              <w:keepLines/>
              <w:spacing w:before="0" w:after="0"/>
              <w:rPr>
                <w:rFonts w:eastAsia="Calibri"/>
                <w:b/>
                <w:bCs/>
                <w:color w:val="000000" w:themeColor="text1"/>
                <w:szCs w:val="20"/>
                <w:lang w:eastAsia="en-AU"/>
              </w:rPr>
            </w:pPr>
            <w:r>
              <w:rPr>
                <w:b/>
                <w:color w:val="000000" w:themeColor="text1"/>
              </w:rPr>
              <w:t>Outcome</w:t>
            </w:r>
          </w:p>
        </w:tc>
        <w:tc>
          <w:tcPr>
            <w:tcW w:w="1425" w:type="dxa"/>
            <w:shd w:val="clear" w:color="auto" w:fill="auto"/>
            <w:vAlign w:val="center"/>
          </w:tcPr>
          <w:p w14:paraId="195DBDE9" w14:textId="69366624" w:rsidR="00321FC0" w:rsidRPr="00821C46" w:rsidRDefault="002E254B" w:rsidP="000C641D">
            <w:pPr>
              <w:pStyle w:val="TableText"/>
              <w:keepNext/>
              <w:keepLines/>
              <w:spacing w:before="0" w:after="0"/>
              <w:rPr>
                <w:b/>
                <w:color w:val="000000" w:themeColor="text1"/>
              </w:rPr>
            </w:pPr>
            <w:r>
              <w:rPr>
                <w:b/>
                <w:color w:val="000000" w:themeColor="text1"/>
              </w:rPr>
              <w:t>Intervention (Aspirin)</w:t>
            </w:r>
          </w:p>
        </w:tc>
        <w:tc>
          <w:tcPr>
            <w:tcW w:w="1424" w:type="dxa"/>
            <w:shd w:val="clear" w:color="auto" w:fill="auto"/>
            <w:vAlign w:val="center"/>
          </w:tcPr>
          <w:p w14:paraId="3C4B4699" w14:textId="3A55E4E4" w:rsidR="00321FC0" w:rsidRPr="00821C46" w:rsidRDefault="005503C9" w:rsidP="000C641D">
            <w:pPr>
              <w:pStyle w:val="TableText"/>
              <w:keepNext/>
              <w:keepLines/>
              <w:spacing w:before="0" w:after="0"/>
              <w:rPr>
                <w:b/>
                <w:color w:val="000000" w:themeColor="text1"/>
              </w:rPr>
            </w:pPr>
            <w:r>
              <w:rPr>
                <w:b/>
                <w:color w:val="000000" w:themeColor="text1"/>
              </w:rPr>
              <w:t>SoC (Placebo)</w:t>
            </w:r>
          </w:p>
        </w:tc>
        <w:tc>
          <w:tcPr>
            <w:tcW w:w="1517" w:type="dxa"/>
            <w:shd w:val="clear" w:color="auto" w:fill="auto"/>
            <w:vAlign w:val="center"/>
          </w:tcPr>
          <w:p w14:paraId="2EE022D7" w14:textId="3CE9EDBB" w:rsidR="00321FC0" w:rsidRPr="00821C46" w:rsidRDefault="005503C9" w:rsidP="000C641D">
            <w:pPr>
              <w:pStyle w:val="TableText"/>
              <w:keepNext/>
              <w:keepLines/>
              <w:spacing w:before="0" w:after="0"/>
              <w:rPr>
                <w:rFonts w:eastAsia="Calibri"/>
                <w:b/>
                <w:bCs/>
                <w:color w:val="000000" w:themeColor="text1"/>
                <w:szCs w:val="20"/>
                <w:lang w:eastAsia="en-AU"/>
              </w:rPr>
            </w:pPr>
            <w:r>
              <w:rPr>
                <w:b/>
                <w:bCs/>
                <w:color w:val="000000" w:themeColor="text1"/>
              </w:rPr>
              <w:t>Difference between groups</w:t>
            </w:r>
          </w:p>
        </w:tc>
      </w:tr>
      <w:tr w:rsidR="005503C9" w:rsidRPr="00821C46" w14:paraId="2DA15E57" w14:textId="77777777" w:rsidTr="007E58B3">
        <w:trPr>
          <w:trHeight w:val="47"/>
        </w:trPr>
        <w:tc>
          <w:tcPr>
            <w:tcW w:w="4700" w:type="dxa"/>
            <w:vAlign w:val="center"/>
          </w:tcPr>
          <w:p w14:paraId="3711ECEF" w14:textId="77777777" w:rsidR="005503C9" w:rsidRDefault="005503C9"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 xml:space="preserve">Number of participants experiencing at least 1 serious adverse </w:t>
            </w:r>
            <w:proofErr w:type="gramStart"/>
            <w:r>
              <w:rPr>
                <w:rFonts w:eastAsia="Calibri"/>
                <w:color w:val="000000" w:themeColor="text1"/>
                <w:szCs w:val="20"/>
                <w:lang w:eastAsia="en-AU"/>
              </w:rPr>
              <w:t>events</w:t>
            </w:r>
            <w:proofErr w:type="gramEnd"/>
            <w:r w:rsidR="00F12F46">
              <w:rPr>
                <w:rFonts w:eastAsia="Calibri"/>
                <w:color w:val="000000" w:themeColor="text1"/>
                <w:szCs w:val="20"/>
                <w:lang w:eastAsia="en-AU"/>
              </w:rPr>
              <w:t>, including:</w:t>
            </w:r>
          </w:p>
          <w:p w14:paraId="781C074E" w14:textId="77777777" w:rsidR="00F12F46" w:rsidRDefault="00F12F46" w:rsidP="002D4ECD">
            <w:pPr>
              <w:pStyle w:val="TableText"/>
              <w:keepNext/>
              <w:keepLines/>
              <w:numPr>
                <w:ilvl w:val="0"/>
                <w:numId w:val="13"/>
              </w:numPr>
              <w:spacing w:before="0" w:after="0"/>
              <w:ind w:left="371" w:hanging="283"/>
            </w:pPr>
            <w:r>
              <w:t xml:space="preserve">maternal appendicitis requiring </w:t>
            </w:r>
            <w:proofErr w:type="gramStart"/>
            <w:r>
              <w:t>surgery</w:t>
            </w:r>
            <w:proofErr w:type="gramEnd"/>
          </w:p>
          <w:p w14:paraId="4DF3C3DF" w14:textId="77777777" w:rsidR="00F12F46" w:rsidRDefault="00F12F46" w:rsidP="002D4ECD">
            <w:pPr>
              <w:pStyle w:val="TableText"/>
              <w:keepNext/>
              <w:keepLines/>
              <w:numPr>
                <w:ilvl w:val="0"/>
                <w:numId w:val="13"/>
              </w:numPr>
              <w:spacing w:before="0" w:after="0"/>
              <w:ind w:left="371" w:hanging="283"/>
            </w:pPr>
            <w:proofErr w:type="spellStart"/>
            <w:r>
              <w:t>fetal</w:t>
            </w:r>
            <w:proofErr w:type="spellEnd"/>
            <w:r>
              <w:t xml:space="preserve"> chromosomal abnormalities</w:t>
            </w:r>
          </w:p>
          <w:p w14:paraId="7FDA6D8C" w14:textId="77777777" w:rsidR="00F12F46" w:rsidRDefault="00F12F46" w:rsidP="002D4ECD">
            <w:pPr>
              <w:pStyle w:val="TableText"/>
              <w:keepNext/>
              <w:keepLines/>
              <w:numPr>
                <w:ilvl w:val="0"/>
                <w:numId w:val="13"/>
              </w:numPr>
              <w:spacing w:before="0" w:after="0"/>
              <w:ind w:left="371" w:hanging="283"/>
            </w:pPr>
            <w:proofErr w:type="spellStart"/>
            <w:r>
              <w:t>fetal</w:t>
            </w:r>
            <w:proofErr w:type="spellEnd"/>
            <w:r>
              <w:t xml:space="preserve"> structural defects (congenital diaphragmatic hernia</w:t>
            </w:r>
          </w:p>
          <w:p w14:paraId="4EACA5C9" w14:textId="5CD2036E" w:rsidR="00F12F46" w:rsidRPr="00821C46" w:rsidRDefault="00F12F46" w:rsidP="002D4ECD">
            <w:pPr>
              <w:pStyle w:val="TableText"/>
              <w:keepNext/>
              <w:keepLines/>
              <w:numPr>
                <w:ilvl w:val="0"/>
                <w:numId w:val="13"/>
              </w:numPr>
              <w:spacing w:before="0" w:after="0"/>
              <w:ind w:left="371" w:hanging="283"/>
              <w:rPr>
                <w:rFonts w:eastAsia="Calibri"/>
                <w:color w:val="000000" w:themeColor="text1"/>
                <w:szCs w:val="20"/>
                <w:lang w:eastAsia="en-AU"/>
              </w:rPr>
            </w:pPr>
            <w:r>
              <w:t>hypoplastic left heart syndrome, etc.).</w:t>
            </w:r>
          </w:p>
        </w:tc>
        <w:tc>
          <w:tcPr>
            <w:tcW w:w="1425" w:type="dxa"/>
            <w:vAlign w:val="center"/>
          </w:tcPr>
          <w:p w14:paraId="5060F46C" w14:textId="1B15007B" w:rsidR="005503C9" w:rsidRPr="00821C46" w:rsidRDefault="005503C9"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1.6% (13/798)</w:t>
            </w:r>
          </w:p>
        </w:tc>
        <w:tc>
          <w:tcPr>
            <w:tcW w:w="1424" w:type="dxa"/>
            <w:vAlign w:val="center"/>
          </w:tcPr>
          <w:p w14:paraId="027FE932" w14:textId="06F8D5AD" w:rsidR="005503C9" w:rsidRPr="00821C46" w:rsidRDefault="005503C9"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3.2% (26/</w:t>
            </w:r>
            <w:r w:rsidR="00DA0FD7">
              <w:rPr>
                <w:rFonts w:eastAsia="Calibri"/>
                <w:color w:val="000000" w:themeColor="text1"/>
                <w:szCs w:val="20"/>
                <w:lang w:eastAsia="en-AU"/>
              </w:rPr>
              <w:t>822</w:t>
            </w:r>
            <w:r>
              <w:rPr>
                <w:rFonts w:eastAsia="Calibri"/>
                <w:color w:val="000000" w:themeColor="text1"/>
                <w:szCs w:val="20"/>
                <w:lang w:eastAsia="en-AU"/>
              </w:rPr>
              <w:t>)</w:t>
            </w:r>
          </w:p>
        </w:tc>
        <w:tc>
          <w:tcPr>
            <w:tcW w:w="1517" w:type="dxa"/>
            <w:vAlign w:val="center"/>
          </w:tcPr>
          <w:p w14:paraId="0021D97E" w14:textId="24EF91F2" w:rsidR="005503C9" w:rsidRPr="00821C46" w:rsidRDefault="005503C9"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 xml:space="preserve">Not </w:t>
            </w:r>
            <w:r w:rsidR="00F12F46">
              <w:rPr>
                <w:rFonts w:eastAsia="Calibri"/>
                <w:color w:val="000000" w:themeColor="text1"/>
                <w:szCs w:val="20"/>
                <w:lang w:eastAsia="en-AU"/>
              </w:rPr>
              <w:t>significant</w:t>
            </w:r>
          </w:p>
        </w:tc>
      </w:tr>
      <w:tr w:rsidR="00057E95" w:rsidRPr="00821C46" w14:paraId="78876874" w14:textId="77777777" w:rsidTr="007E58B3">
        <w:trPr>
          <w:trHeight w:val="47"/>
        </w:trPr>
        <w:tc>
          <w:tcPr>
            <w:tcW w:w="4700" w:type="dxa"/>
            <w:vAlign w:val="center"/>
          </w:tcPr>
          <w:p w14:paraId="7B544E47" w14:textId="424387F8" w:rsidR="00057E95" w:rsidRDefault="00057E95"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Number of participants experiencing at least 1 non-serious adverse events, including:</w:t>
            </w:r>
          </w:p>
        </w:tc>
        <w:tc>
          <w:tcPr>
            <w:tcW w:w="1425" w:type="dxa"/>
            <w:vAlign w:val="center"/>
          </w:tcPr>
          <w:p w14:paraId="6C4BEF47" w14:textId="419A67CD" w:rsidR="00057E95" w:rsidRPr="00821C46" w:rsidRDefault="00057E95"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25.9% (207/798)</w:t>
            </w:r>
          </w:p>
        </w:tc>
        <w:tc>
          <w:tcPr>
            <w:tcW w:w="1424" w:type="dxa"/>
            <w:vAlign w:val="center"/>
          </w:tcPr>
          <w:p w14:paraId="38276FCE" w14:textId="43292452" w:rsidR="00057E95" w:rsidRPr="00821C46" w:rsidRDefault="00057E95"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25.5% (210/822)</w:t>
            </w:r>
          </w:p>
        </w:tc>
        <w:tc>
          <w:tcPr>
            <w:tcW w:w="1517" w:type="dxa"/>
            <w:vMerge w:val="restart"/>
            <w:vAlign w:val="center"/>
          </w:tcPr>
          <w:p w14:paraId="5BF8F2CC" w14:textId="3A816892" w:rsidR="00057E95" w:rsidRPr="00821C46" w:rsidRDefault="00057E95" w:rsidP="000C641D">
            <w:pPr>
              <w:pStyle w:val="TableText"/>
              <w:keepNext/>
              <w:keepLines/>
              <w:spacing w:before="0" w:after="0"/>
              <w:rPr>
                <w:rFonts w:eastAsia="Calibri"/>
                <w:color w:val="000000" w:themeColor="text1"/>
                <w:szCs w:val="20"/>
                <w:lang w:eastAsia="en-AU"/>
              </w:rPr>
            </w:pPr>
            <w:r>
              <w:rPr>
                <w:rFonts w:eastAsia="Calibri"/>
                <w:color w:val="000000" w:themeColor="text1"/>
                <w:szCs w:val="20"/>
                <w:lang w:eastAsia="en-AU"/>
              </w:rPr>
              <w:t>Not significant</w:t>
            </w:r>
          </w:p>
        </w:tc>
      </w:tr>
      <w:tr w:rsidR="00057E95" w:rsidRPr="00821C46" w14:paraId="58553EA2" w14:textId="77777777" w:rsidTr="007E58B3">
        <w:trPr>
          <w:trHeight w:val="47"/>
        </w:trPr>
        <w:tc>
          <w:tcPr>
            <w:tcW w:w="4700" w:type="dxa"/>
            <w:vAlign w:val="center"/>
          </w:tcPr>
          <w:p w14:paraId="03DB8E33" w14:textId="5F437DFD" w:rsidR="00057E95" w:rsidRPr="006B33EF" w:rsidRDefault="007E58B3" w:rsidP="007E58B3">
            <w:pPr>
              <w:pStyle w:val="TableText"/>
              <w:keepNext/>
              <w:keepLines/>
              <w:spacing w:before="0" w:after="0"/>
              <w:ind w:left="229"/>
            </w:pPr>
            <w:r>
              <w:t>H</w:t>
            </w:r>
            <w:r w:rsidR="00057E95">
              <w:t>eadache/dizziness</w:t>
            </w:r>
          </w:p>
        </w:tc>
        <w:tc>
          <w:tcPr>
            <w:tcW w:w="1425" w:type="dxa"/>
            <w:vAlign w:val="center"/>
          </w:tcPr>
          <w:p w14:paraId="18EADE1F" w14:textId="67EAF8BD" w:rsidR="00057E95" w:rsidRDefault="00057E95" w:rsidP="000C641D">
            <w:pPr>
              <w:pStyle w:val="TableText"/>
              <w:keepNext/>
              <w:keepLines/>
              <w:spacing w:before="0" w:after="0"/>
              <w:rPr>
                <w:rFonts w:eastAsia="Calibri"/>
                <w:color w:val="000000" w:themeColor="text1"/>
                <w:szCs w:val="20"/>
                <w:lang w:eastAsia="en-AU"/>
              </w:rPr>
            </w:pPr>
            <w:r>
              <w:t>9.6%</w:t>
            </w:r>
          </w:p>
        </w:tc>
        <w:tc>
          <w:tcPr>
            <w:tcW w:w="1424" w:type="dxa"/>
            <w:vAlign w:val="center"/>
          </w:tcPr>
          <w:p w14:paraId="05580975" w14:textId="4634FBA3" w:rsidR="00057E95" w:rsidRDefault="00057E95" w:rsidP="000C641D">
            <w:pPr>
              <w:pStyle w:val="TableText"/>
              <w:keepNext/>
              <w:keepLines/>
              <w:spacing w:before="0" w:after="0"/>
              <w:rPr>
                <w:rFonts w:eastAsia="Calibri"/>
                <w:color w:val="000000" w:themeColor="text1"/>
                <w:szCs w:val="20"/>
                <w:lang w:eastAsia="en-AU"/>
              </w:rPr>
            </w:pPr>
            <w:r>
              <w:t>8.8%</w:t>
            </w:r>
          </w:p>
        </w:tc>
        <w:tc>
          <w:tcPr>
            <w:tcW w:w="1517" w:type="dxa"/>
            <w:vMerge/>
          </w:tcPr>
          <w:p w14:paraId="1D6F77D7" w14:textId="77777777" w:rsidR="00057E95" w:rsidRDefault="00057E95" w:rsidP="000C641D">
            <w:pPr>
              <w:pStyle w:val="TableText"/>
              <w:keepNext/>
              <w:keepLines/>
              <w:spacing w:before="0" w:after="0"/>
              <w:rPr>
                <w:rFonts w:eastAsia="Calibri"/>
                <w:color w:val="000000" w:themeColor="text1"/>
                <w:szCs w:val="20"/>
                <w:lang w:eastAsia="en-AU"/>
              </w:rPr>
            </w:pPr>
          </w:p>
        </w:tc>
      </w:tr>
      <w:tr w:rsidR="00057E95" w:rsidRPr="00821C46" w14:paraId="166B6F5C" w14:textId="77777777" w:rsidTr="007E58B3">
        <w:trPr>
          <w:trHeight w:val="47"/>
        </w:trPr>
        <w:tc>
          <w:tcPr>
            <w:tcW w:w="4700" w:type="dxa"/>
            <w:vAlign w:val="center"/>
          </w:tcPr>
          <w:p w14:paraId="0305FDEB" w14:textId="40B5A66A" w:rsidR="00057E95" w:rsidRPr="006B33EF" w:rsidRDefault="007E58B3" w:rsidP="007E58B3">
            <w:pPr>
              <w:pStyle w:val="TableText"/>
              <w:keepNext/>
              <w:keepLines/>
              <w:spacing w:before="0" w:after="0"/>
              <w:ind w:left="229"/>
            </w:pPr>
            <w:r>
              <w:t>N</w:t>
            </w:r>
            <w:r w:rsidR="00057E95">
              <w:t>ausea/vomiting</w:t>
            </w:r>
          </w:p>
        </w:tc>
        <w:tc>
          <w:tcPr>
            <w:tcW w:w="1425" w:type="dxa"/>
            <w:vAlign w:val="center"/>
          </w:tcPr>
          <w:p w14:paraId="17EAD9D8" w14:textId="48FC514D" w:rsidR="00057E95" w:rsidRDefault="00057E95" w:rsidP="000C641D">
            <w:pPr>
              <w:pStyle w:val="TableText"/>
              <w:keepNext/>
              <w:keepLines/>
              <w:spacing w:before="0" w:after="0"/>
              <w:rPr>
                <w:rFonts w:eastAsia="Calibri"/>
                <w:color w:val="000000" w:themeColor="text1"/>
                <w:szCs w:val="20"/>
                <w:lang w:eastAsia="en-AU"/>
              </w:rPr>
            </w:pPr>
            <w:r>
              <w:t>5.0%</w:t>
            </w:r>
          </w:p>
        </w:tc>
        <w:tc>
          <w:tcPr>
            <w:tcW w:w="1424" w:type="dxa"/>
            <w:vAlign w:val="center"/>
          </w:tcPr>
          <w:p w14:paraId="27B3F329" w14:textId="2BA3F2E4" w:rsidR="00057E95" w:rsidRDefault="00057E95" w:rsidP="000C641D">
            <w:pPr>
              <w:pStyle w:val="TableText"/>
              <w:keepNext/>
              <w:keepLines/>
              <w:spacing w:before="0" w:after="0"/>
              <w:rPr>
                <w:rFonts w:eastAsia="Calibri"/>
                <w:color w:val="000000" w:themeColor="text1"/>
                <w:szCs w:val="20"/>
                <w:lang w:eastAsia="en-AU"/>
              </w:rPr>
            </w:pPr>
            <w:r>
              <w:t>4.4%</w:t>
            </w:r>
          </w:p>
        </w:tc>
        <w:tc>
          <w:tcPr>
            <w:tcW w:w="1517" w:type="dxa"/>
            <w:vMerge/>
          </w:tcPr>
          <w:p w14:paraId="3D844582" w14:textId="77777777" w:rsidR="00057E95" w:rsidRDefault="00057E95" w:rsidP="000C641D">
            <w:pPr>
              <w:pStyle w:val="TableText"/>
              <w:keepNext/>
              <w:keepLines/>
              <w:spacing w:before="0" w:after="0"/>
              <w:rPr>
                <w:rFonts w:eastAsia="Calibri"/>
                <w:color w:val="000000" w:themeColor="text1"/>
                <w:szCs w:val="20"/>
                <w:lang w:eastAsia="en-AU"/>
              </w:rPr>
            </w:pPr>
          </w:p>
        </w:tc>
      </w:tr>
      <w:tr w:rsidR="00057E95" w:rsidRPr="00821C46" w14:paraId="3E6DF71A" w14:textId="77777777" w:rsidTr="007E58B3">
        <w:trPr>
          <w:trHeight w:val="47"/>
        </w:trPr>
        <w:tc>
          <w:tcPr>
            <w:tcW w:w="4700" w:type="dxa"/>
            <w:vAlign w:val="center"/>
          </w:tcPr>
          <w:p w14:paraId="16F88CC4" w14:textId="7A865930" w:rsidR="00057E95" w:rsidRDefault="007E58B3" w:rsidP="007E58B3">
            <w:pPr>
              <w:pStyle w:val="TableText"/>
              <w:keepNext/>
              <w:keepLines/>
              <w:spacing w:before="0" w:after="0"/>
              <w:ind w:left="229"/>
            </w:pPr>
            <w:r>
              <w:t>A</w:t>
            </w:r>
            <w:r w:rsidR="00057E95">
              <w:t>bdominal and/or pelvic pain</w:t>
            </w:r>
          </w:p>
        </w:tc>
        <w:tc>
          <w:tcPr>
            <w:tcW w:w="1425" w:type="dxa"/>
            <w:vAlign w:val="center"/>
          </w:tcPr>
          <w:p w14:paraId="583D071B" w14:textId="5179CBD9" w:rsidR="00057E95" w:rsidRDefault="00057E95" w:rsidP="000C641D">
            <w:pPr>
              <w:pStyle w:val="TableText"/>
              <w:keepNext/>
              <w:keepLines/>
              <w:spacing w:before="0" w:after="0"/>
              <w:rPr>
                <w:rFonts w:eastAsia="Calibri"/>
                <w:color w:val="000000" w:themeColor="text1"/>
                <w:szCs w:val="20"/>
                <w:lang w:eastAsia="en-AU"/>
              </w:rPr>
            </w:pPr>
            <w:r>
              <w:t>3.3%</w:t>
            </w:r>
          </w:p>
        </w:tc>
        <w:tc>
          <w:tcPr>
            <w:tcW w:w="1424" w:type="dxa"/>
            <w:vAlign w:val="center"/>
          </w:tcPr>
          <w:p w14:paraId="384670B9" w14:textId="25847470" w:rsidR="00057E95" w:rsidRDefault="00057E95" w:rsidP="000C641D">
            <w:pPr>
              <w:pStyle w:val="TableText"/>
              <w:keepNext/>
              <w:keepLines/>
              <w:spacing w:before="0" w:after="0"/>
              <w:rPr>
                <w:rFonts w:eastAsia="Calibri"/>
                <w:color w:val="000000" w:themeColor="text1"/>
                <w:szCs w:val="20"/>
                <w:lang w:eastAsia="en-AU"/>
              </w:rPr>
            </w:pPr>
            <w:r>
              <w:t>4.0%</w:t>
            </w:r>
          </w:p>
        </w:tc>
        <w:tc>
          <w:tcPr>
            <w:tcW w:w="1517" w:type="dxa"/>
            <w:vMerge/>
          </w:tcPr>
          <w:p w14:paraId="015F41DA" w14:textId="77777777" w:rsidR="00057E95" w:rsidRDefault="00057E95" w:rsidP="000C641D">
            <w:pPr>
              <w:pStyle w:val="TableText"/>
              <w:keepNext/>
              <w:keepLines/>
              <w:spacing w:before="0" w:after="0"/>
              <w:rPr>
                <w:rFonts w:eastAsia="Calibri"/>
                <w:color w:val="000000" w:themeColor="text1"/>
                <w:szCs w:val="20"/>
                <w:lang w:eastAsia="en-AU"/>
              </w:rPr>
            </w:pPr>
          </w:p>
        </w:tc>
      </w:tr>
      <w:tr w:rsidR="00057E95" w:rsidRPr="00821C46" w14:paraId="6CD4E4B4" w14:textId="77777777" w:rsidTr="007E58B3">
        <w:trPr>
          <w:trHeight w:val="47"/>
        </w:trPr>
        <w:tc>
          <w:tcPr>
            <w:tcW w:w="4700" w:type="dxa"/>
            <w:vAlign w:val="center"/>
          </w:tcPr>
          <w:p w14:paraId="25A2F7E6" w14:textId="3A065DEE" w:rsidR="00057E95" w:rsidRDefault="007E58B3" w:rsidP="007E58B3">
            <w:pPr>
              <w:pStyle w:val="TableText"/>
              <w:keepNext/>
              <w:keepLines/>
              <w:spacing w:before="0" w:after="0"/>
              <w:ind w:left="229"/>
            </w:pPr>
            <w:r>
              <w:t>D</w:t>
            </w:r>
            <w:r w:rsidR="00057E95">
              <w:t>yspepsia/heartburn</w:t>
            </w:r>
          </w:p>
        </w:tc>
        <w:tc>
          <w:tcPr>
            <w:tcW w:w="1425" w:type="dxa"/>
            <w:vAlign w:val="center"/>
          </w:tcPr>
          <w:p w14:paraId="780CEA13" w14:textId="5B684657" w:rsidR="00057E95" w:rsidRDefault="00057E95" w:rsidP="000C641D">
            <w:pPr>
              <w:pStyle w:val="TableText"/>
              <w:keepNext/>
              <w:keepLines/>
              <w:spacing w:before="0" w:after="0"/>
              <w:rPr>
                <w:rFonts w:eastAsia="Calibri"/>
                <w:color w:val="000000" w:themeColor="text1"/>
                <w:szCs w:val="20"/>
                <w:lang w:eastAsia="en-AU"/>
              </w:rPr>
            </w:pPr>
            <w:r>
              <w:t>2.4%</w:t>
            </w:r>
          </w:p>
        </w:tc>
        <w:tc>
          <w:tcPr>
            <w:tcW w:w="1424" w:type="dxa"/>
            <w:vAlign w:val="center"/>
          </w:tcPr>
          <w:p w14:paraId="227CCB99" w14:textId="4ADC3A82" w:rsidR="00057E95" w:rsidRDefault="00057E95" w:rsidP="000C641D">
            <w:pPr>
              <w:pStyle w:val="TableText"/>
              <w:keepNext/>
              <w:keepLines/>
              <w:spacing w:before="0" w:after="0"/>
              <w:rPr>
                <w:rFonts w:eastAsia="Calibri"/>
                <w:color w:val="000000" w:themeColor="text1"/>
                <w:szCs w:val="20"/>
                <w:lang w:eastAsia="en-AU"/>
              </w:rPr>
            </w:pPr>
            <w:r>
              <w:t>2.7%</w:t>
            </w:r>
          </w:p>
        </w:tc>
        <w:tc>
          <w:tcPr>
            <w:tcW w:w="1517" w:type="dxa"/>
            <w:vMerge/>
          </w:tcPr>
          <w:p w14:paraId="289B6741" w14:textId="77777777" w:rsidR="00057E95" w:rsidRDefault="00057E95" w:rsidP="000C641D">
            <w:pPr>
              <w:pStyle w:val="TableText"/>
              <w:keepNext/>
              <w:keepLines/>
              <w:spacing w:before="0" w:after="0"/>
              <w:rPr>
                <w:rFonts w:eastAsia="Calibri"/>
                <w:color w:val="000000" w:themeColor="text1"/>
                <w:szCs w:val="20"/>
                <w:lang w:eastAsia="en-AU"/>
              </w:rPr>
            </w:pPr>
          </w:p>
        </w:tc>
      </w:tr>
    </w:tbl>
    <w:p w14:paraId="7B7BB7FA" w14:textId="2D001B32" w:rsidR="00C3639A" w:rsidRPr="005635EB" w:rsidRDefault="00F028ED" w:rsidP="005635EB">
      <w:pPr>
        <w:spacing w:line="259" w:lineRule="auto"/>
        <w:rPr>
          <w:rFonts w:ascii="Arial Narrow" w:hAnsi="Arial Narrow"/>
          <w:sz w:val="18"/>
          <w:szCs w:val="18"/>
        </w:rPr>
      </w:pPr>
      <w:r w:rsidRPr="005635EB">
        <w:rPr>
          <w:rFonts w:ascii="Arial Narrow" w:hAnsi="Arial Narrow"/>
          <w:sz w:val="18"/>
          <w:szCs w:val="18"/>
        </w:rPr>
        <w:t xml:space="preserve">Source: </w:t>
      </w:r>
      <w:r w:rsidR="00D52EC5" w:rsidRPr="005635EB">
        <w:rPr>
          <w:rFonts w:ascii="Arial Narrow" w:hAnsi="Arial Narrow"/>
          <w:sz w:val="18"/>
          <w:szCs w:val="18"/>
        </w:rPr>
        <w:t xml:space="preserve">Table S4, </w:t>
      </w:r>
      <w:r w:rsidR="00DC114A" w:rsidRPr="005635EB">
        <w:rPr>
          <w:rFonts w:ascii="Arial Narrow" w:hAnsi="Arial Narrow"/>
          <w:sz w:val="18"/>
          <w:szCs w:val="18"/>
        </w:rPr>
        <w:t>Rolnik et al., 2017a</w:t>
      </w:r>
    </w:p>
    <w:p w14:paraId="39231058" w14:textId="4C8F2A0D" w:rsidR="00491CFB" w:rsidRDefault="00C44D2E" w:rsidP="00971DBF">
      <w:pPr>
        <w:pStyle w:val="a-TEXT"/>
        <w:spacing w:before="240"/>
      </w:pPr>
      <w:r>
        <w:t>However, t</w:t>
      </w:r>
      <w:r w:rsidR="007E26CB">
        <w:t>he</w:t>
      </w:r>
      <w:r w:rsidR="00333DA6">
        <w:t xml:space="preserve"> </w:t>
      </w:r>
      <w:r w:rsidR="00A64907">
        <w:t>ADAR</w:t>
      </w:r>
      <w:r w:rsidR="00333DA6">
        <w:t xml:space="preserve"> did not </w:t>
      </w:r>
      <w:r w:rsidR="00A64907">
        <w:t>conduct</w:t>
      </w:r>
      <w:r w:rsidR="00333DA6">
        <w:t xml:space="preserve"> a review for additional evidence related to safety outcomes of aspirin use in pregnancy. </w:t>
      </w:r>
      <w:r w:rsidR="00EA3287">
        <w:t>T</w:t>
      </w:r>
      <w:r w:rsidR="00A02D59">
        <w:t xml:space="preserve">he </w:t>
      </w:r>
      <w:r w:rsidR="00C06F4E">
        <w:t>commentary</w:t>
      </w:r>
      <w:r w:rsidR="00EA3287">
        <w:t xml:space="preserve"> </w:t>
      </w:r>
      <w:r w:rsidR="00EB7887">
        <w:t xml:space="preserve">completed a scoping search of the literature for </w:t>
      </w:r>
      <w:r w:rsidR="007F69FF">
        <w:t>relevant supporting evidence</w:t>
      </w:r>
      <w:r w:rsidR="00EB7887">
        <w:t xml:space="preserve"> </w:t>
      </w:r>
      <w:r w:rsidR="007F69FF">
        <w:t>related</w:t>
      </w:r>
      <w:r w:rsidR="00EB7887">
        <w:t xml:space="preserve"> to this PICO</w:t>
      </w:r>
      <w:r w:rsidR="002943C1">
        <w:t xml:space="preserve"> (</w:t>
      </w:r>
      <w:r w:rsidR="008E042B">
        <w:t>Table 9</w:t>
      </w:r>
      <w:r w:rsidR="002943C1">
        <w:t>)</w:t>
      </w:r>
      <w:r w:rsidR="00EB7887">
        <w:t>.</w:t>
      </w:r>
      <w:r w:rsidR="007E26CB">
        <w:t xml:space="preserve"> E</w:t>
      </w:r>
      <w:r w:rsidR="00491CFB">
        <w:t>xternal literature point</w:t>
      </w:r>
      <w:r w:rsidR="007E26CB">
        <w:t>ed</w:t>
      </w:r>
      <w:r w:rsidR="00491CFB">
        <w:t xml:space="preserve"> to possible </w:t>
      </w:r>
      <w:r w:rsidR="00491CFB">
        <w:lastRenderedPageBreak/>
        <w:t>safety risks of aspirin use in pregnancy</w:t>
      </w:r>
      <w:r w:rsidR="00491CFB">
        <w:rPr>
          <w:rStyle w:val="FootnoteReference"/>
        </w:rPr>
        <w:footnoteReference w:id="15"/>
      </w:r>
      <w:r w:rsidR="00491CFB">
        <w:fldChar w:fldCharType="begin"/>
      </w:r>
      <w:r w:rsidR="00491CFB">
        <w:instrText xml:space="preserve"> ADDIN EN.CITE &lt;EndNote&gt;&lt;Cite Hidden="1"&gt;&lt;Author&gt;Tousty&lt;/Author&gt;&lt;Year&gt;2023&lt;/Year&gt;&lt;RecNum&gt;5&lt;/RecNum&gt;&lt;record&gt;&lt;rec-number&gt;5&lt;/rec-number&gt;&lt;foreign-keys&gt;&lt;key app="EN" db-id="se55ezsznpwetue0zv1pvxv0de0tpe0t2vxv" timestamp="1690878206"&gt;5&lt;/key&gt;&lt;/foreign-keys&gt;&lt;ref-type name="Electronic Article"&gt;43&lt;/ref-type&gt;&lt;contributors&gt;&lt;authors&gt;&lt;author&gt;Tousty, Piotr&lt;/author&gt;&lt;author&gt;Fraszczyk-Tousty, Magda&lt;/author&gt;&lt;author&gt;Dzidek, Sylwia&lt;/author&gt;&lt;author&gt;Jasiak-Jóźwik, Hanna&lt;/author&gt;&lt;author&gt;Michalczyk, Kaja&lt;/author&gt;&lt;author&gt;Kwiatkowska, Ewa&lt;/author&gt;&lt;author&gt;Cymbaluk-Płoska, Aneta&lt;/author&gt;&lt;author&gt;Torbé, Andrzej&lt;/author&gt;&lt;author&gt;Kwiatkowski, Sebastian&lt;/author&gt;&lt;/authors&gt;&lt;/contributors&gt;&lt;titles&gt;&lt;title&gt;Low-Dose Aspirin after ASPRE&amp;amp;mdash;More Questions Than Answers? Current International Approach after PE Screening in the First Trimester&lt;/title&gt;&lt;secondary-title&gt;Biomedicines&lt;/secondary-title&gt;&lt;/titles&gt;&lt;periodical&gt;&lt;full-title&gt;Biomedicines&lt;/full-title&gt;&lt;/periodical&gt;&lt;volume&gt;11&lt;/volume&gt;&lt;number&gt;6&lt;/number&gt;&lt;keywords&gt;&lt;keyword&gt;preeclampsia&lt;/keyword&gt;&lt;keyword&gt;prenatal screening&lt;/keyword&gt;&lt;keyword&gt;first trimester&lt;/keyword&gt;&lt;keyword&gt;aspirin&lt;/keyword&gt;&lt;keyword&gt;ASPRE&lt;/keyword&gt;&lt;/keywords&gt;&lt;dates&gt;&lt;year&gt;2023&lt;/year&gt;&lt;/dates&gt;&lt;isbn&gt;2227-9059&lt;/isbn&gt;&lt;urls&gt;&lt;/urls&gt;&lt;electronic-resource-num&gt;10.3390/biomedicines11061495&lt;/electronic-resource-num&gt;&lt;/record&gt;&lt;/Cite&gt;&lt;/EndNote&gt;</w:instrText>
      </w:r>
      <w:r w:rsidR="00491CFB">
        <w:fldChar w:fldCharType="end"/>
      </w:r>
      <w:r w:rsidR="00491CFB">
        <w:t>. For most treatment-related complications, the literature indicates no additional risk from aspirin. However, for some safety outcomes results vary – most saliently for placental abruption (where results across meta-analyses are conflicting</w:t>
      </w:r>
      <w:bookmarkStart w:id="21" w:name="_Ref144309425"/>
      <w:r w:rsidR="00491CFB">
        <w:rPr>
          <w:rStyle w:val="FootnoteReference"/>
        </w:rPr>
        <w:footnoteReference w:id="16"/>
      </w:r>
      <w:bookmarkEnd w:id="21"/>
      <w:r w:rsidR="00491CFB" w:rsidRPr="004D033C">
        <w:rPr>
          <w:vertAlign w:val="superscript"/>
        </w:rPr>
        <w:t>,</w:t>
      </w:r>
      <w:r w:rsidR="00491CFB">
        <w:rPr>
          <w:rStyle w:val="FootnoteReference"/>
        </w:rPr>
        <w:footnoteReference w:id="17"/>
      </w:r>
      <w:r w:rsidR="00491CFB" w:rsidRPr="004D033C">
        <w:rPr>
          <w:vertAlign w:val="superscript"/>
        </w:rPr>
        <w:t>,</w:t>
      </w:r>
      <w:r w:rsidR="00491CFB">
        <w:rPr>
          <w:rStyle w:val="FootnoteReference"/>
        </w:rPr>
        <w:footnoteReference w:id="18"/>
      </w:r>
      <w:r w:rsidR="00491CFB">
        <w:t xml:space="preserve">, and </w:t>
      </w:r>
      <w:r w:rsidR="00491CFB" w:rsidRPr="00A07D4D">
        <w:t xml:space="preserve">postpartum </w:t>
      </w:r>
      <w:r w:rsidR="00491CFB" w:rsidRPr="000F469B">
        <w:t>haemorrhage</w:t>
      </w:r>
      <w:r w:rsidR="00491CFB">
        <w:t xml:space="preserve"> and blood </w:t>
      </w:r>
      <w:r w:rsidR="00491CFB" w:rsidRPr="00A07D4D">
        <w:t>loss</w:t>
      </w:r>
      <w:r w:rsidR="00491CFB">
        <w:t xml:space="preserve"> – where results from the most recent meta-analysis point to increased risk from aspirin use</w:t>
      </w:r>
      <w:r w:rsidR="00491CFB">
        <w:rPr>
          <w:rStyle w:val="FootnoteReference"/>
        </w:rPr>
        <w:footnoteReference w:id="19"/>
      </w:r>
      <w:r w:rsidR="00491CFB">
        <w:t>.</w:t>
      </w:r>
      <w:r>
        <w:t xml:space="preserve"> </w:t>
      </w:r>
      <w:proofErr w:type="gramStart"/>
      <w:r>
        <w:t>Therefore</w:t>
      </w:r>
      <w:proofErr w:type="gramEnd"/>
      <w:r>
        <w:t xml:space="preserve"> the</w:t>
      </w:r>
      <w:r w:rsidR="00490CF9">
        <w:t xml:space="preserve"> evidence uncovered by the </w:t>
      </w:r>
      <w:r>
        <w:t xml:space="preserve">scoping search </w:t>
      </w:r>
      <w:r w:rsidR="00490CF9">
        <w:t xml:space="preserve">was inconclusive on this point. </w:t>
      </w:r>
    </w:p>
    <w:p w14:paraId="52BCC1FE" w14:textId="7E8A1116" w:rsidR="00D12064" w:rsidRPr="00F35F33" w:rsidRDefault="00A77744" w:rsidP="00F35F33">
      <w:pPr>
        <w:pStyle w:val="a-TEXT"/>
      </w:pPr>
      <w:r>
        <w:t>The pre-ESC response noted that</w:t>
      </w:r>
      <w:r w:rsidR="001870E1" w:rsidRPr="001870E1">
        <w:t xml:space="preserve"> many studies included in th</w:t>
      </w:r>
      <w:r>
        <w:t>e</w:t>
      </w:r>
      <w:r w:rsidR="001870E1" w:rsidRPr="001870E1">
        <w:t xml:space="preserve"> meta-analysis </w:t>
      </w:r>
      <w:r w:rsidR="00691B29">
        <w:t xml:space="preserve">identified in the scoping search </w:t>
      </w:r>
      <w:r w:rsidR="001870E1" w:rsidRPr="001870E1">
        <w:t>did not enrol women assessed as being high risk for preeclampsia and, thus, have different baseline risk profiles compared with women taken low-dose aspirin specifically for prophylaxis of preterm preeclampsia.</w:t>
      </w:r>
      <w:r w:rsidR="00691B29">
        <w:t xml:space="preserve"> The pre-ESC response argued that </w:t>
      </w:r>
      <w:r w:rsidR="00ED5D84" w:rsidRPr="00ED5D84">
        <w:t>th</w:t>
      </w:r>
      <w:r w:rsidR="00ED5D84">
        <w:t>e</w:t>
      </w:r>
      <w:r w:rsidR="00ED5D84" w:rsidRPr="00ED5D84">
        <w:t xml:space="preserve"> independent scoping review did not identify any compelling new evidence to conclude that low-dose aspirin is unsafe to use for the purpose of preterm preeclampsia prophylaxis.</w:t>
      </w:r>
    </w:p>
    <w:p w14:paraId="6E09DD2A" w14:textId="486502C4" w:rsidR="00F35F33" w:rsidRDefault="00F35F33" w:rsidP="00F35F33">
      <w:pPr>
        <w:pStyle w:val="Caption"/>
      </w:pPr>
      <w:bookmarkStart w:id="22" w:name="_Ref141871452"/>
      <w:r>
        <w:t>Table</w:t>
      </w:r>
      <w:r w:rsidR="008A7AAE">
        <w:t xml:space="preserve"> </w:t>
      </w:r>
      <w:r w:rsidR="008E042B">
        <w:t>9</w:t>
      </w:r>
      <w:bookmarkEnd w:id="22"/>
      <w:r w:rsidR="00AB7AFF">
        <w:tab/>
      </w:r>
      <w:r w:rsidRPr="00770581">
        <w:t xml:space="preserve">Key supporting evidence and results identified by a scoping search undertaken by the </w:t>
      </w:r>
      <w:r w:rsidR="000170B9">
        <w:t>commentary</w:t>
      </w:r>
      <w:r w:rsidRPr="00770581">
        <w:t>.</w:t>
      </w:r>
    </w:p>
    <w:tbl>
      <w:tblPr>
        <w:tblStyle w:val="TableGrid"/>
        <w:tblpPr w:leftFromText="180" w:rightFromText="180" w:vertAnchor="text" w:tblpY="1"/>
        <w:tblOverlap w:val="never"/>
        <w:tblW w:w="5107" w:type="pct"/>
        <w:tblCellMar>
          <w:top w:w="28" w:type="dxa"/>
          <w:left w:w="57" w:type="dxa"/>
          <w:bottom w:w="28" w:type="dxa"/>
          <w:right w:w="28" w:type="dxa"/>
        </w:tblCellMar>
        <w:tblLook w:val="04A0" w:firstRow="1" w:lastRow="0" w:firstColumn="1" w:lastColumn="0" w:noHBand="0" w:noVBand="1"/>
      </w:tblPr>
      <w:tblGrid>
        <w:gridCol w:w="1284"/>
        <w:gridCol w:w="2241"/>
        <w:gridCol w:w="2000"/>
        <w:gridCol w:w="3684"/>
      </w:tblGrid>
      <w:tr w:rsidR="00270BF7" w:rsidRPr="00821C46" w14:paraId="3AD5E5DF" w14:textId="77777777" w:rsidTr="003121B4">
        <w:tc>
          <w:tcPr>
            <w:tcW w:w="697" w:type="pct"/>
            <w:shd w:val="clear" w:color="auto" w:fill="auto"/>
          </w:tcPr>
          <w:p w14:paraId="09CCFB70" w14:textId="312ACDA5" w:rsidR="00540F93" w:rsidRPr="00821C46" w:rsidRDefault="00540F93" w:rsidP="003121B4">
            <w:pPr>
              <w:pStyle w:val="TableText"/>
              <w:keepNext/>
              <w:keepLines/>
              <w:rPr>
                <w:rFonts w:eastAsia="Calibri"/>
                <w:b/>
                <w:bCs/>
                <w:color w:val="000000" w:themeColor="text1"/>
                <w:szCs w:val="20"/>
                <w:lang w:eastAsia="en-AU"/>
              </w:rPr>
            </w:pPr>
            <w:r>
              <w:rPr>
                <w:b/>
                <w:color w:val="000000" w:themeColor="text1"/>
              </w:rPr>
              <w:t>Study</w:t>
            </w:r>
          </w:p>
        </w:tc>
        <w:tc>
          <w:tcPr>
            <w:tcW w:w="1217" w:type="pct"/>
            <w:shd w:val="clear" w:color="auto" w:fill="auto"/>
          </w:tcPr>
          <w:p w14:paraId="17D6B1FC" w14:textId="65C16901" w:rsidR="00540F93" w:rsidRPr="00821C46" w:rsidRDefault="00540F93" w:rsidP="003121B4">
            <w:pPr>
              <w:pStyle w:val="TableText"/>
              <w:keepNext/>
              <w:keepLines/>
              <w:rPr>
                <w:b/>
                <w:color w:val="000000" w:themeColor="text1"/>
              </w:rPr>
            </w:pPr>
            <w:r>
              <w:rPr>
                <w:b/>
                <w:color w:val="000000" w:themeColor="text1"/>
              </w:rPr>
              <w:t>Description</w:t>
            </w:r>
          </w:p>
        </w:tc>
        <w:tc>
          <w:tcPr>
            <w:tcW w:w="1086" w:type="pct"/>
            <w:shd w:val="clear" w:color="auto" w:fill="auto"/>
          </w:tcPr>
          <w:p w14:paraId="641B0DAB" w14:textId="36B91209" w:rsidR="00AA2B3C" w:rsidRPr="00821C46" w:rsidRDefault="00540F93" w:rsidP="003121B4">
            <w:pPr>
              <w:pStyle w:val="TableText"/>
              <w:keepNext/>
              <w:keepLines/>
              <w:rPr>
                <w:b/>
                <w:color w:val="000000" w:themeColor="text1"/>
              </w:rPr>
            </w:pPr>
            <w:r>
              <w:rPr>
                <w:b/>
                <w:color w:val="000000" w:themeColor="text1"/>
              </w:rPr>
              <w:t>Outcome</w:t>
            </w:r>
            <w:r w:rsidR="00AA2B3C">
              <w:rPr>
                <w:b/>
                <w:color w:val="000000" w:themeColor="text1"/>
              </w:rPr>
              <w:t>, Population</w:t>
            </w:r>
          </w:p>
        </w:tc>
        <w:tc>
          <w:tcPr>
            <w:tcW w:w="2001" w:type="pct"/>
            <w:shd w:val="clear" w:color="auto" w:fill="auto"/>
          </w:tcPr>
          <w:p w14:paraId="2276D02A" w14:textId="21FC51E6" w:rsidR="00540F93" w:rsidRPr="00AA2B3C" w:rsidRDefault="00540F93" w:rsidP="003121B4">
            <w:pPr>
              <w:pStyle w:val="TableText"/>
              <w:keepNext/>
              <w:keepLines/>
              <w:rPr>
                <w:b/>
                <w:bCs/>
                <w:color w:val="000000" w:themeColor="text1"/>
              </w:rPr>
            </w:pPr>
            <w:r w:rsidRPr="00AA2B3C">
              <w:rPr>
                <w:rFonts w:eastAsia="Calibri"/>
                <w:b/>
                <w:bCs/>
                <w:color w:val="000000" w:themeColor="text1"/>
                <w:szCs w:val="20"/>
                <w:lang w:eastAsia="en-AU"/>
              </w:rPr>
              <w:t>Key results</w:t>
            </w:r>
          </w:p>
        </w:tc>
      </w:tr>
      <w:tr w:rsidR="00D773A1" w:rsidRPr="00821C46" w14:paraId="53532FB0" w14:textId="77777777" w:rsidTr="003121B4">
        <w:trPr>
          <w:trHeight w:val="49"/>
        </w:trPr>
        <w:tc>
          <w:tcPr>
            <w:tcW w:w="697" w:type="pct"/>
            <w:vMerge w:val="restart"/>
          </w:tcPr>
          <w:p w14:paraId="4D178971" w14:textId="7116C332" w:rsidR="00E0504C" w:rsidRPr="00821C46" w:rsidRDefault="001216BC" w:rsidP="003121B4">
            <w:pPr>
              <w:pStyle w:val="TableText"/>
              <w:keepNext/>
              <w:keepLines/>
              <w:rPr>
                <w:rFonts w:eastAsia="Calibri"/>
                <w:color w:val="000000" w:themeColor="text1"/>
                <w:szCs w:val="20"/>
                <w:lang w:eastAsia="en-AU"/>
              </w:rPr>
            </w:pPr>
            <w:r w:rsidRPr="001216BC">
              <w:rPr>
                <w:rFonts w:eastAsia="Calibri"/>
                <w:color w:val="000000" w:themeColor="text1"/>
                <w:szCs w:val="20"/>
                <w:lang w:eastAsia="en-AU"/>
              </w:rPr>
              <w:t>Jiang et al.</w:t>
            </w:r>
            <w:r>
              <w:rPr>
                <w:rFonts w:eastAsia="Calibri"/>
                <w:color w:val="000000" w:themeColor="text1"/>
                <w:szCs w:val="20"/>
                <w:lang w:eastAsia="en-AU"/>
              </w:rPr>
              <w:t xml:space="preserve">, </w:t>
            </w:r>
            <w:r w:rsidRPr="001216BC">
              <w:rPr>
                <w:rFonts w:eastAsia="Calibri"/>
                <w:color w:val="000000" w:themeColor="text1"/>
                <w:szCs w:val="20"/>
                <w:lang w:eastAsia="en-AU"/>
              </w:rPr>
              <w:t>2023</w:t>
            </w:r>
          </w:p>
        </w:tc>
        <w:tc>
          <w:tcPr>
            <w:tcW w:w="1217" w:type="pct"/>
            <w:vMerge w:val="restart"/>
          </w:tcPr>
          <w:p w14:paraId="1B008773" w14:textId="037F1803" w:rsidR="00E0504C" w:rsidRPr="00821C46" w:rsidRDefault="00E0504C" w:rsidP="003121B4">
            <w:pPr>
              <w:pStyle w:val="TableText"/>
              <w:keepNext/>
              <w:keepLines/>
              <w:rPr>
                <w:rFonts w:eastAsia="Calibri"/>
                <w:color w:val="000000" w:themeColor="text1"/>
                <w:szCs w:val="20"/>
                <w:lang w:eastAsia="en-AU"/>
              </w:rPr>
            </w:pPr>
            <w:r w:rsidRPr="00F82531">
              <w:rPr>
                <w:rFonts w:eastAsia="Calibri"/>
                <w:color w:val="000000" w:themeColor="text1"/>
                <w:szCs w:val="20"/>
                <w:lang w:eastAsia="en-AU"/>
              </w:rPr>
              <w:t>S</w:t>
            </w:r>
            <w:r>
              <w:rPr>
                <w:rFonts w:eastAsia="Calibri"/>
                <w:color w:val="000000" w:themeColor="text1"/>
                <w:szCs w:val="20"/>
                <w:lang w:eastAsia="en-AU"/>
              </w:rPr>
              <w:t>ystematic review and meta-</w:t>
            </w:r>
            <w:r w:rsidR="008A567B">
              <w:rPr>
                <w:rFonts w:eastAsia="Calibri"/>
                <w:color w:val="000000" w:themeColor="text1"/>
                <w:szCs w:val="20"/>
                <w:lang w:eastAsia="en-AU"/>
              </w:rPr>
              <w:t>a</w:t>
            </w:r>
            <w:r>
              <w:rPr>
                <w:rFonts w:eastAsia="Calibri"/>
                <w:color w:val="000000" w:themeColor="text1"/>
                <w:szCs w:val="20"/>
                <w:lang w:eastAsia="en-AU"/>
              </w:rPr>
              <w:t>nalysis of s</w:t>
            </w:r>
            <w:r w:rsidRPr="00F82531">
              <w:rPr>
                <w:rFonts w:eastAsia="Calibri"/>
                <w:color w:val="000000" w:themeColor="text1"/>
                <w:szCs w:val="20"/>
                <w:lang w:eastAsia="en-AU"/>
              </w:rPr>
              <w:t>tudies comparing pregnancy outcomes that covered the incidence of postpartum haemorrhage or the amount of postpartum blood loss in pregnancies with aspirin vs placebo (or no aspirin) were included.</w:t>
            </w:r>
          </w:p>
        </w:tc>
        <w:tc>
          <w:tcPr>
            <w:tcW w:w="1086" w:type="pct"/>
            <w:shd w:val="clear" w:color="auto" w:fill="auto"/>
          </w:tcPr>
          <w:p w14:paraId="2FA90F81" w14:textId="3ACD9D51" w:rsidR="001E55FA" w:rsidRPr="00540F93" w:rsidRDefault="00E0504C" w:rsidP="003121B4">
            <w:pPr>
              <w:pStyle w:val="TableText"/>
              <w:keepNext/>
              <w:keepLines/>
              <w:rPr>
                <w:rFonts w:eastAsia="Calibri"/>
                <w:color w:val="000000" w:themeColor="text1"/>
                <w:szCs w:val="20"/>
                <w:lang w:eastAsia="en-AU"/>
              </w:rPr>
            </w:pPr>
            <w:r w:rsidRPr="00540F93">
              <w:rPr>
                <w:rFonts w:eastAsia="Calibri"/>
                <w:color w:val="000000" w:themeColor="text1"/>
                <w:szCs w:val="20"/>
                <w:lang w:eastAsia="en-AU"/>
              </w:rPr>
              <w:t>Postpartum haemorrhage</w:t>
            </w:r>
          </w:p>
          <w:p w14:paraId="4D9D5B0F" w14:textId="2B7A137E" w:rsidR="00E0504C" w:rsidRPr="00821C46" w:rsidRDefault="00E0504C" w:rsidP="003121B4">
            <w:pPr>
              <w:pStyle w:val="TableText"/>
              <w:keepNext/>
              <w:keepLines/>
              <w:rPr>
                <w:rFonts w:eastAsia="Calibri"/>
                <w:color w:val="000000" w:themeColor="text1"/>
                <w:szCs w:val="20"/>
                <w:lang w:eastAsia="en-AU"/>
              </w:rPr>
            </w:pPr>
            <w:r w:rsidRPr="00540F93">
              <w:rPr>
                <w:rFonts w:eastAsia="Calibri"/>
                <w:color w:val="000000" w:themeColor="text1"/>
                <w:szCs w:val="20"/>
                <w:lang w:eastAsia="en-AU"/>
              </w:rPr>
              <w:t>(21 studies, N=373,926)</w:t>
            </w:r>
          </w:p>
        </w:tc>
        <w:tc>
          <w:tcPr>
            <w:tcW w:w="2001" w:type="pct"/>
            <w:shd w:val="clear" w:color="auto" w:fill="auto"/>
          </w:tcPr>
          <w:p w14:paraId="7E59009E" w14:textId="033FA42F" w:rsidR="00E0504C" w:rsidRPr="000F469B" w:rsidRDefault="00E0504C" w:rsidP="003121B4">
            <w:pPr>
              <w:pStyle w:val="TableText"/>
              <w:keepNext/>
              <w:keepLines/>
            </w:pPr>
            <w:r>
              <w:t>R</w:t>
            </w:r>
            <w:r w:rsidRPr="000F469B">
              <w:t>esults suggested that aspirin (dose 60-150mg a day) use during pregnancy was associated with an increased incidence of postpartum haemorrhage (</w:t>
            </w:r>
            <w:r>
              <w:t>OR</w:t>
            </w:r>
            <w:r w:rsidRPr="000F469B">
              <w:t xml:space="preserve"> 1.20; 95% </w:t>
            </w:r>
            <w:r>
              <w:t>CI:</w:t>
            </w:r>
            <w:r w:rsidRPr="000F469B">
              <w:t xml:space="preserve"> 1.07-1.34).</w:t>
            </w:r>
          </w:p>
        </w:tc>
      </w:tr>
      <w:tr w:rsidR="00D773A1" w:rsidRPr="00821C46" w14:paraId="05C34B7A" w14:textId="77777777" w:rsidTr="003121B4">
        <w:trPr>
          <w:trHeight w:val="49"/>
        </w:trPr>
        <w:tc>
          <w:tcPr>
            <w:tcW w:w="697" w:type="pct"/>
            <w:vMerge/>
          </w:tcPr>
          <w:p w14:paraId="3B25DFCE" w14:textId="77777777" w:rsidR="00E0504C" w:rsidRPr="00D74A64" w:rsidRDefault="00E0504C" w:rsidP="003121B4">
            <w:pPr>
              <w:pStyle w:val="TableText"/>
              <w:keepNext/>
              <w:keepLines/>
              <w:rPr>
                <w:rFonts w:eastAsia="Calibri"/>
                <w:color w:val="000000" w:themeColor="text1"/>
                <w:szCs w:val="20"/>
                <w:lang w:eastAsia="en-AU"/>
              </w:rPr>
            </w:pPr>
          </w:p>
        </w:tc>
        <w:tc>
          <w:tcPr>
            <w:tcW w:w="1217" w:type="pct"/>
            <w:vMerge/>
          </w:tcPr>
          <w:p w14:paraId="3707A319" w14:textId="77777777" w:rsidR="00E0504C" w:rsidRPr="00F82531" w:rsidRDefault="00E0504C" w:rsidP="003121B4">
            <w:pPr>
              <w:pStyle w:val="TableText"/>
              <w:keepNext/>
              <w:keepLines/>
              <w:rPr>
                <w:rFonts w:eastAsia="Calibri"/>
                <w:color w:val="000000" w:themeColor="text1"/>
                <w:szCs w:val="20"/>
                <w:lang w:eastAsia="en-AU"/>
              </w:rPr>
            </w:pPr>
          </w:p>
        </w:tc>
        <w:tc>
          <w:tcPr>
            <w:tcW w:w="1086" w:type="pct"/>
            <w:shd w:val="clear" w:color="auto" w:fill="auto"/>
          </w:tcPr>
          <w:p w14:paraId="28BE909A" w14:textId="570375DE" w:rsidR="001E55FA" w:rsidRPr="00540F93" w:rsidRDefault="00E0504C" w:rsidP="003121B4">
            <w:pPr>
              <w:pStyle w:val="TableText"/>
              <w:keepNext/>
              <w:keepLines/>
              <w:rPr>
                <w:rFonts w:eastAsia="Calibri"/>
                <w:color w:val="000000" w:themeColor="text1"/>
                <w:szCs w:val="20"/>
                <w:lang w:eastAsia="en-AU"/>
              </w:rPr>
            </w:pPr>
            <w:r w:rsidRPr="00540F93">
              <w:rPr>
                <w:rFonts w:eastAsia="Calibri"/>
                <w:color w:val="000000" w:themeColor="text1"/>
                <w:szCs w:val="20"/>
                <w:lang w:eastAsia="en-AU"/>
              </w:rPr>
              <w:t>Postpartum blood loss</w:t>
            </w:r>
          </w:p>
          <w:p w14:paraId="3B08D7F0" w14:textId="0C942C74" w:rsidR="00E0504C" w:rsidRPr="00540F93" w:rsidRDefault="00E0504C" w:rsidP="003121B4">
            <w:pPr>
              <w:pStyle w:val="TableText"/>
              <w:keepNext/>
              <w:keepLines/>
              <w:rPr>
                <w:rFonts w:eastAsia="Calibri"/>
                <w:color w:val="000000" w:themeColor="text1"/>
                <w:szCs w:val="20"/>
                <w:lang w:eastAsia="en-AU"/>
              </w:rPr>
            </w:pPr>
            <w:r w:rsidRPr="00540F93">
              <w:rPr>
                <w:rFonts w:eastAsia="Calibri"/>
                <w:color w:val="000000" w:themeColor="text1"/>
                <w:szCs w:val="20"/>
                <w:lang w:eastAsia="en-AU"/>
              </w:rPr>
              <w:t>(7 studies, N=10,163)</w:t>
            </w:r>
          </w:p>
        </w:tc>
        <w:tc>
          <w:tcPr>
            <w:tcW w:w="2001" w:type="pct"/>
            <w:shd w:val="clear" w:color="auto" w:fill="auto"/>
          </w:tcPr>
          <w:p w14:paraId="5D50F491" w14:textId="0A377B4B" w:rsidR="00E0504C" w:rsidRPr="000F469B" w:rsidRDefault="00E0504C" w:rsidP="003121B4">
            <w:pPr>
              <w:pStyle w:val="TableText"/>
              <w:keepNext/>
              <w:keepLines/>
            </w:pPr>
            <w:r>
              <w:t>R</w:t>
            </w:r>
            <w:r w:rsidRPr="000F469B">
              <w:t xml:space="preserve">esults suggested that </w:t>
            </w:r>
            <w:r w:rsidRPr="00B11112">
              <w:t>aspirin use during pregnancy was associated with slightly higher postpartum blood loss (MD</w:t>
            </w:r>
            <w:r w:rsidR="00567596">
              <w:t>=</w:t>
            </w:r>
            <w:r w:rsidRPr="00B11112">
              <w:t>12.85 mL; 95% CI</w:t>
            </w:r>
            <w:r w:rsidR="00567596">
              <w:t>:</w:t>
            </w:r>
            <w:r w:rsidRPr="00B11112">
              <w:t xml:space="preserve"> 3.28–22.42) than placebo or no treatment</w:t>
            </w:r>
            <w:r>
              <w:t>.</w:t>
            </w:r>
          </w:p>
        </w:tc>
      </w:tr>
      <w:tr w:rsidR="00D773A1" w:rsidRPr="00821C46" w14:paraId="4555E406" w14:textId="77777777" w:rsidTr="003121B4">
        <w:trPr>
          <w:trHeight w:val="49"/>
        </w:trPr>
        <w:tc>
          <w:tcPr>
            <w:tcW w:w="697" w:type="pct"/>
          </w:tcPr>
          <w:p w14:paraId="6C026FE5" w14:textId="114B3C32" w:rsidR="00567596" w:rsidRPr="00D74A64" w:rsidRDefault="001216BC" w:rsidP="003121B4">
            <w:pPr>
              <w:pStyle w:val="TableText"/>
              <w:keepNext/>
              <w:keepLines/>
              <w:rPr>
                <w:rFonts w:eastAsia="Calibri"/>
                <w:color w:val="000000" w:themeColor="text1"/>
                <w:szCs w:val="20"/>
                <w:lang w:eastAsia="en-AU"/>
              </w:rPr>
            </w:pPr>
            <w:r w:rsidRPr="001216BC">
              <w:rPr>
                <w:rFonts w:eastAsia="Calibri"/>
                <w:color w:val="000000" w:themeColor="text1"/>
                <w:szCs w:val="20"/>
                <w:lang w:eastAsia="en-AU"/>
              </w:rPr>
              <w:t>Roberge et al.</w:t>
            </w:r>
            <w:r>
              <w:rPr>
                <w:rFonts w:eastAsia="Calibri"/>
                <w:color w:val="000000" w:themeColor="text1"/>
                <w:szCs w:val="20"/>
                <w:lang w:eastAsia="en-AU"/>
              </w:rPr>
              <w:t xml:space="preserve">, </w:t>
            </w:r>
            <w:r w:rsidRPr="001216BC">
              <w:rPr>
                <w:rFonts w:eastAsia="Calibri"/>
                <w:color w:val="000000" w:themeColor="text1"/>
                <w:szCs w:val="20"/>
                <w:lang w:eastAsia="en-AU"/>
              </w:rPr>
              <w:t>2018b</w:t>
            </w:r>
          </w:p>
        </w:tc>
        <w:tc>
          <w:tcPr>
            <w:tcW w:w="1217" w:type="pct"/>
          </w:tcPr>
          <w:p w14:paraId="348B8AB2" w14:textId="638D1BEA" w:rsidR="00567596" w:rsidRPr="00F82531" w:rsidRDefault="009D7C76" w:rsidP="003121B4">
            <w:pPr>
              <w:pStyle w:val="TableText"/>
              <w:keepNext/>
              <w:keepLines/>
              <w:rPr>
                <w:rFonts w:eastAsia="Calibri"/>
                <w:color w:val="000000" w:themeColor="text1"/>
                <w:szCs w:val="20"/>
                <w:lang w:eastAsia="en-AU"/>
              </w:rPr>
            </w:pPr>
            <w:r>
              <w:rPr>
                <w:rFonts w:eastAsia="Calibri"/>
                <w:color w:val="000000" w:themeColor="text1"/>
                <w:szCs w:val="20"/>
                <w:lang w:eastAsia="en-AU"/>
              </w:rPr>
              <w:t xml:space="preserve">Meta-analysis to </w:t>
            </w:r>
            <w:r w:rsidRPr="009D7C76">
              <w:rPr>
                <w:rFonts w:eastAsia="Calibri"/>
                <w:color w:val="000000" w:themeColor="text1"/>
                <w:szCs w:val="20"/>
                <w:lang w:eastAsia="en-AU"/>
              </w:rPr>
              <w:t>estimate the effect of aspirin on the risk of placental abruption or antepartum haemorrhage in relation to gestational age at onset of therapy and the dosage of the drug.</w:t>
            </w:r>
          </w:p>
        </w:tc>
        <w:tc>
          <w:tcPr>
            <w:tcW w:w="1086" w:type="pct"/>
            <w:shd w:val="clear" w:color="auto" w:fill="auto"/>
          </w:tcPr>
          <w:p w14:paraId="650856BB" w14:textId="2BF7A862" w:rsidR="001E55FA" w:rsidRPr="00A20EF8" w:rsidRDefault="00A20EF8" w:rsidP="003121B4">
            <w:pPr>
              <w:pStyle w:val="TableText"/>
              <w:keepNext/>
              <w:keepLines/>
            </w:pPr>
            <w:r>
              <w:rPr>
                <w:rFonts w:eastAsia="Calibri"/>
                <w:color w:val="000000" w:themeColor="text1"/>
                <w:szCs w:val="20"/>
                <w:lang w:eastAsia="en-AU"/>
              </w:rPr>
              <w:t>Antepartum</w:t>
            </w:r>
            <w:r w:rsidRPr="00540F93">
              <w:rPr>
                <w:rFonts w:eastAsia="Calibri"/>
                <w:color w:val="000000" w:themeColor="text1"/>
                <w:szCs w:val="20"/>
                <w:lang w:eastAsia="en-AU"/>
              </w:rPr>
              <w:t xml:space="preserve"> </w:t>
            </w:r>
            <w:r w:rsidRPr="00A20EF8">
              <w:t>haemorrhage</w:t>
            </w:r>
            <w:r w:rsidR="00297339">
              <w:t>, p</w:t>
            </w:r>
            <w:r w:rsidRPr="00A20EF8">
              <w:t>lacental abruption</w:t>
            </w:r>
          </w:p>
          <w:p w14:paraId="685494B8" w14:textId="67AD99BC" w:rsidR="00567596" w:rsidRPr="00540F93" w:rsidRDefault="00A20EF8" w:rsidP="003121B4">
            <w:pPr>
              <w:pStyle w:val="TableText"/>
              <w:keepNext/>
              <w:keepLines/>
              <w:rPr>
                <w:rFonts w:eastAsia="Calibri"/>
                <w:color w:val="000000" w:themeColor="text1"/>
                <w:szCs w:val="20"/>
                <w:lang w:eastAsia="en-AU"/>
              </w:rPr>
            </w:pPr>
            <w:r w:rsidRPr="00540F93">
              <w:rPr>
                <w:rFonts w:eastAsia="Calibri"/>
                <w:color w:val="000000" w:themeColor="text1"/>
                <w:szCs w:val="20"/>
                <w:lang w:eastAsia="en-AU"/>
              </w:rPr>
              <w:t>(2</w:t>
            </w:r>
            <w:r w:rsidR="00740065">
              <w:rPr>
                <w:rFonts w:eastAsia="Calibri"/>
                <w:color w:val="000000" w:themeColor="text1"/>
                <w:szCs w:val="20"/>
                <w:lang w:eastAsia="en-AU"/>
              </w:rPr>
              <w:t>0</w:t>
            </w:r>
            <w:r w:rsidRPr="00540F93">
              <w:rPr>
                <w:rFonts w:eastAsia="Calibri"/>
                <w:color w:val="000000" w:themeColor="text1"/>
                <w:szCs w:val="20"/>
                <w:lang w:eastAsia="en-AU"/>
              </w:rPr>
              <w:t xml:space="preserve"> studies, N=</w:t>
            </w:r>
            <w:r w:rsidR="00740065">
              <w:rPr>
                <w:rFonts w:eastAsia="Calibri"/>
                <w:color w:val="000000" w:themeColor="text1"/>
                <w:szCs w:val="20"/>
                <w:lang w:eastAsia="en-AU"/>
              </w:rPr>
              <w:t>12,585</w:t>
            </w:r>
            <w:r w:rsidRPr="00540F93">
              <w:rPr>
                <w:rFonts w:eastAsia="Calibri"/>
                <w:color w:val="000000" w:themeColor="text1"/>
                <w:szCs w:val="20"/>
                <w:lang w:eastAsia="en-AU"/>
              </w:rPr>
              <w:t>)</w:t>
            </w:r>
          </w:p>
        </w:tc>
        <w:tc>
          <w:tcPr>
            <w:tcW w:w="2001" w:type="pct"/>
            <w:shd w:val="clear" w:color="auto" w:fill="auto"/>
          </w:tcPr>
          <w:p w14:paraId="26721278" w14:textId="385F63F3" w:rsidR="00303E2E" w:rsidRDefault="0026037D" w:rsidP="003121B4">
            <w:pPr>
              <w:pStyle w:val="TableText"/>
              <w:keepNext/>
              <w:keepLines/>
            </w:pPr>
            <w:r w:rsidRPr="0026037D">
              <w:t xml:space="preserve">Aspirin </w:t>
            </w:r>
            <w:r w:rsidR="00740065">
              <w:t>(</w:t>
            </w:r>
            <w:r w:rsidRPr="0026037D">
              <w:t>&lt;100 mg per day</w:t>
            </w:r>
            <w:r w:rsidR="00740065">
              <w:t>)</w:t>
            </w:r>
            <w:r w:rsidRPr="0026037D">
              <w:t xml:space="preserve"> had no impact on the risk of placental abruption or antepartum haemorrhage</w:t>
            </w:r>
            <w:r w:rsidR="00740065">
              <w:t xml:space="preserve"> (</w:t>
            </w:r>
            <w:r w:rsidRPr="0026037D">
              <w:t>initiated at ≤16 weeks of gestation</w:t>
            </w:r>
            <w:r w:rsidR="00740065">
              <w:t>=</w:t>
            </w:r>
            <w:r w:rsidR="00303E2E">
              <w:t xml:space="preserve">RR </w:t>
            </w:r>
            <w:r w:rsidRPr="0026037D">
              <w:t xml:space="preserve">1.11; 95% </w:t>
            </w:r>
            <w:r w:rsidR="00303E2E">
              <w:t>CI:</w:t>
            </w:r>
            <w:r w:rsidRPr="0026037D">
              <w:t xml:space="preserve"> 0.52–2.36</w:t>
            </w:r>
            <w:r w:rsidR="00740065">
              <w:t>;</w:t>
            </w:r>
            <w:r w:rsidRPr="0026037D">
              <w:t xml:space="preserve"> at &gt;16 weeks of gestation</w:t>
            </w:r>
            <w:r w:rsidR="00740065">
              <w:t>=</w:t>
            </w:r>
            <w:r w:rsidR="00303E2E">
              <w:t>RR</w:t>
            </w:r>
            <w:r w:rsidRPr="0026037D">
              <w:t xml:space="preserve"> 1.32; 95% </w:t>
            </w:r>
            <w:r w:rsidR="00303E2E">
              <w:t>CI</w:t>
            </w:r>
            <w:r w:rsidRPr="0026037D">
              <w:t xml:space="preserve"> 0.73–2.39).</w:t>
            </w:r>
            <w:r w:rsidRPr="003B3874">
              <w:t> </w:t>
            </w:r>
          </w:p>
          <w:p w14:paraId="0FDA50AE" w14:textId="2EE9DC09" w:rsidR="00567596" w:rsidRDefault="00740065" w:rsidP="003121B4">
            <w:pPr>
              <w:pStyle w:val="TableText"/>
              <w:keepNext/>
              <w:keepLines/>
            </w:pPr>
            <w:r>
              <w:t>Aspirin (</w:t>
            </w:r>
            <w:r w:rsidR="003B3874" w:rsidRPr="003B3874">
              <w:t>≥100 mg per day</w:t>
            </w:r>
            <w:r>
              <w:t xml:space="preserve">) </w:t>
            </w:r>
            <w:r w:rsidR="003B3874" w:rsidRPr="003B3874">
              <w:t xml:space="preserve">was not associated with a significant change on the risk of placental abruption or antepartum </w:t>
            </w:r>
            <w:r w:rsidR="002943C1" w:rsidRPr="003B3874">
              <w:t>haemorrhage</w:t>
            </w:r>
            <w:r w:rsidR="00BF5891">
              <w:t xml:space="preserve"> (</w:t>
            </w:r>
            <w:r w:rsidR="003B3874" w:rsidRPr="003B3874">
              <w:t>initiated at ≤16 weeks of gestation</w:t>
            </w:r>
            <w:r w:rsidR="00BF5891">
              <w:t>=</w:t>
            </w:r>
            <w:r w:rsidR="00303E2E">
              <w:t>RR</w:t>
            </w:r>
            <w:r w:rsidR="003B3874" w:rsidRPr="003B3874">
              <w:t xml:space="preserve"> 95% </w:t>
            </w:r>
            <w:r w:rsidR="00303E2E">
              <w:t>CI:</w:t>
            </w:r>
            <w:r w:rsidR="003B3874" w:rsidRPr="003B3874">
              <w:t xml:space="preserve"> 0.31–1.26</w:t>
            </w:r>
            <w:r w:rsidR="00BF5891">
              <w:t>;</w:t>
            </w:r>
            <w:r w:rsidR="003B3874" w:rsidRPr="003B3874">
              <w:t xml:space="preserve"> at &gt;16 weeks of gestation</w:t>
            </w:r>
            <w:r w:rsidR="00BF5891">
              <w:t>=</w:t>
            </w:r>
            <w:r w:rsidR="00303E2E">
              <w:t>RR</w:t>
            </w:r>
            <w:r w:rsidR="003B3874" w:rsidRPr="003B3874">
              <w:t xml:space="preserve"> 2.08; 95% </w:t>
            </w:r>
            <w:r w:rsidR="00303E2E">
              <w:t>CI</w:t>
            </w:r>
            <w:r w:rsidR="003B3874" w:rsidRPr="003B3874">
              <w:t xml:space="preserve"> 0.86–5.06), but the difference between the subgroups was significant (</w:t>
            </w:r>
            <w:r w:rsidR="00303E2E">
              <w:t>p</w:t>
            </w:r>
            <w:r w:rsidR="003B3874" w:rsidRPr="003B3874">
              <w:t>=.04).</w:t>
            </w:r>
          </w:p>
        </w:tc>
      </w:tr>
      <w:tr w:rsidR="003B3874" w:rsidRPr="00821C46" w14:paraId="1311F1D3" w14:textId="77777777" w:rsidTr="003121B4">
        <w:trPr>
          <w:trHeight w:val="49"/>
        </w:trPr>
        <w:tc>
          <w:tcPr>
            <w:tcW w:w="697" w:type="pct"/>
          </w:tcPr>
          <w:p w14:paraId="575E578B" w14:textId="0E50F45A" w:rsidR="003B3874" w:rsidRDefault="001216BC" w:rsidP="003121B4">
            <w:pPr>
              <w:pStyle w:val="TableText"/>
              <w:keepNext/>
              <w:keepLines/>
              <w:rPr>
                <w:rFonts w:eastAsia="Calibri"/>
                <w:color w:val="000000" w:themeColor="text1"/>
                <w:szCs w:val="20"/>
                <w:lang w:eastAsia="en-AU"/>
              </w:rPr>
            </w:pPr>
            <w:r w:rsidRPr="001216BC">
              <w:rPr>
                <w:rFonts w:eastAsia="Calibri"/>
                <w:color w:val="000000" w:themeColor="text1"/>
                <w:szCs w:val="20"/>
                <w:lang w:eastAsia="en-AU"/>
              </w:rPr>
              <w:t>Turner et al.</w:t>
            </w:r>
            <w:r>
              <w:rPr>
                <w:rFonts w:eastAsia="Calibri"/>
                <w:color w:val="000000" w:themeColor="text1"/>
                <w:szCs w:val="20"/>
                <w:lang w:eastAsia="en-AU"/>
              </w:rPr>
              <w:t xml:space="preserve">, </w:t>
            </w:r>
            <w:r w:rsidRPr="001216BC">
              <w:rPr>
                <w:rFonts w:eastAsia="Calibri"/>
                <w:color w:val="000000" w:themeColor="text1"/>
                <w:szCs w:val="20"/>
                <w:lang w:eastAsia="en-AU"/>
              </w:rPr>
              <w:t>2020</w:t>
            </w:r>
          </w:p>
        </w:tc>
        <w:tc>
          <w:tcPr>
            <w:tcW w:w="1217" w:type="pct"/>
          </w:tcPr>
          <w:p w14:paraId="595157F2" w14:textId="15A89404" w:rsidR="003B3874" w:rsidRDefault="007A66BE" w:rsidP="003121B4">
            <w:pPr>
              <w:pStyle w:val="TableText"/>
              <w:keepNext/>
              <w:keepLines/>
              <w:rPr>
                <w:rFonts w:eastAsia="Calibri"/>
                <w:color w:val="000000" w:themeColor="text1"/>
                <w:szCs w:val="20"/>
                <w:lang w:eastAsia="en-AU"/>
              </w:rPr>
            </w:pPr>
            <w:r w:rsidRPr="007A66BE">
              <w:rPr>
                <w:rFonts w:eastAsia="Calibri"/>
                <w:color w:val="000000" w:themeColor="text1"/>
                <w:szCs w:val="20"/>
                <w:lang w:eastAsia="en-AU"/>
              </w:rPr>
              <w:t>Meta-analysis and meta-regression of RCTs to evaluate the impact of</w:t>
            </w:r>
            <w:r w:rsidR="00663EA8" w:rsidRPr="008A567B">
              <w:rPr>
                <w:rFonts w:eastAsia="Calibri"/>
                <w:color w:val="000000" w:themeColor="text1"/>
                <w:szCs w:val="20"/>
                <w:lang w:eastAsia="en-AU"/>
              </w:rPr>
              <w:t xml:space="preserve"> </w:t>
            </w:r>
            <w:r w:rsidR="00663EA8">
              <w:rPr>
                <w:rFonts w:eastAsia="Calibri"/>
                <w:color w:val="000000" w:themeColor="text1"/>
              </w:rPr>
              <w:t>l</w:t>
            </w:r>
            <w:r w:rsidR="00663EA8">
              <w:rPr>
                <w:rFonts w:eastAsia="Calibri"/>
              </w:rPr>
              <w:t>ow</w:t>
            </w:r>
            <w:r w:rsidR="00663EA8">
              <w:t xml:space="preserve"> </w:t>
            </w:r>
            <w:r w:rsidR="00663EA8">
              <w:rPr>
                <w:rFonts w:eastAsia="Calibri"/>
              </w:rPr>
              <w:t>dose aspirin</w:t>
            </w:r>
            <w:r w:rsidR="00D86FDE">
              <w:rPr>
                <w:rFonts w:eastAsia="Calibri"/>
              </w:rPr>
              <w:t xml:space="preserve"> (LDA)</w:t>
            </w:r>
            <w:r w:rsidR="00663EA8" w:rsidRPr="008A567B">
              <w:rPr>
                <w:rFonts w:eastAsia="Calibri"/>
              </w:rPr>
              <w:t xml:space="preserve"> </w:t>
            </w:r>
            <w:r w:rsidRPr="007A66BE">
              <w:rPr>
                <w:rFonts w:eastAsia="Calibri"/>
                <w:color w:val="000000" w:themeColor="text1"/>
                <w:szCs w:val="20"/>
                <w:lang w:eastAsia="en-AU"/>
              </w:rPr>
              <w:t>on perinatal outcomes</w:t>
            </w:r>
            <w:r w:rsidR="005946D5">
              <w:rPr>
                <w:rFonts w:eastAsia="Calibri"/>
                <w:color w:val="000000" w:themeColor="text1"/>
                <w:szCs w:val="20"/>
                <w:lang w:eastAsia="en-AU"/>
              </w:rPr>
              <w:t>.</w:t>
            </w:r>
          </w:p>
        </w:tc>
        <w:tc>
          <w:tcPr>
            <w:tcW w:w="1086" w:type="pct"/>
            <w:shd w:val="clear" w:color="auto" w:fill="auto"/>
          </w:tcPr>
          <w:p w14:paraId="332098D2" w14:textId="6AC1E83F" w:rsidR="001E55FA" w:rsidRDefault="00297339" w:rsidP="003121B4">
            <w:pPr>
              <w:pStyle w:val="TableText"/>
              <w:keepNext/>
              <w:keepLines/>
            </w:pPr>
            <w:r>
              <w:t>P</w:t>
            </w:r>
            <w:r w:rsidRPr="00297339">
              <w:t xml:space="preserve">lacental abruption, low 5-min Apgar score, neonatal acidosis, neonatal intensive care unit admission, periventricular </w:t>
            </w:r>
            <w:proofErr w:type="gramStart"/>
            <w:r w:rsidR="002943C1" w:rsidRPr="00297339">
              <w:lastRenderedPageBreak/>
              <w:t>haemorrhage</w:t>
            </w:r>
            <w:proofErr w:type="gramEnd"/>
            <w:r w:rsidRPr="00297339">
              <w:t xml:space="preserve"> and perinatal death </w:t>
            </w:r>
          </w:p>
          <w:p w14:paraId="20A7C0B3" w14:textId="09BC621B" w:rsidR="003B3874" w:rsidRPr="00297339" w:rsidRDefault="00E966B1" w:rsidP="003121B4">
            <w:pPr>
              <w:pStyle w:val="TableText"/>
              <w:keepNext/>
              <w:keepLines/>
            </w:pPr>
            <w:r w:rsidRPr="00297339">
              <w:t>(40 studies, N=34,807)</w:t>
            </w:r>
          </w:p>
        </w:tc>
        <w:tc>
          <w:tcPr>
            <w:tcW w:w="2001" w:type="pct"/>
            <w:shd w:val="clear" w:color="auto" w:fill="auto"/>
          </w:tcPr>
          <w:p w14:paraId="5FE930D5" w14:textId="77777777" w:rsidR="003B3874" w:rsidRDefault="005946D5" w:rsidP="003121B4">
            <w:pPr>
              <w:pStyle w:val="TableText"/>
              <w:keepNext/>
              <w:keepLines/>
            </w:pPr>
            <w:r w:rsidRPr="005946D5">
              <w:lastRenderedPageBreak/>
              <w:t>LDA was not associated with any significant increase in adverse events if commenced ≤16</w:t>
            </w:r>
            <w:r w:rsidRPr="00297339">
              <w:rPr>
                <w:rFonts w:ascii="Arial" w:hAnsi="Arial" w:cs="Arial"/>
              </w:rPr>
              <w:t> </w:t>
            </w:r>
            <w:r w:rsidRPr="005946D5">
              <w:t>weeks gestation. </w:t>
            </w:r>
          </w:p>
          <w:p w14:paraId="5E984813" w14:textId="52BADE49" w:rsidR="0006362B" w:rsidRPr="0026037D" w:rsidRDefault="0006362B" w:rsidP="003121B4">
            <w:pPr>
              <w:pStyle w:val="TableText"/>
              <w:keepNext/>
              <w:keepLines/>
            </w:pPr>
            <w:r>
              <w:t>I</w:t>
            </w:r>
            <w:r w:rsidRPr="0006362B">
              <w:t>f commenced &gt;16</w:t>
            </w:r>
            <w:r w:rsidRPr="0006362B">
              <w:rPr>
                <w:rFonts w:ascii="Arial" w:hAnsi="Arial" w:cs="Arial"/>
              </w:rPr>
              <w:t> </w:t>
            </w:r>
            <w:r w:rsidRPr="0006362B">
              <w:t xml:space="preserve">weeks' gestation, </w:t>
            </w:r>
            <w:r w:rsidR="00663EA8">
              <w:rPr>
                <w:color w:val="000000" w:themeColor="text1"/>
              </w:rPr>
              <w:t>l</w:t>
            </w:r>
            <w:r w:rsidR="00663EA8">
              <w:t>ow dose aspirin</w:t>
            </w:r>
            <w:r w:rsidR="00663EA8" w:rsidRPr="008A567B">
              <w:t xml:space="preserve"> </w:t>
            </w:r>
            <w:r w:rsidRPr="0006362B">
              <w:t xml:space="preserve">was associated with a significant reduction in 5-min Apgar score &lt;7 (RR 0.75; </w:t>
            </w:r>
            <w:r w:rsidRPr="0006362B">
              <w:lastRenderedPageBreak/>
              <w:t>95%</w:t>
            </w:r>
            <w:r w:rsidRPr="0006362B">
              <w:rPr>
                <w:rFonts w:ascii="Arial" w:hAnsi="Arial" w:cs="Arial"/>
              </w:rPr>
              <w:t> </w:t>
            </w:r>
            <w:r w:rsidRPr="0006362B">
              <w:t>CI</w:t>
            </w:r>
            <w:r>
              <w:t xml:space="preserve"> </w:t>
            </w:r>
            <w:r w:rsidRPr="0006362B">
              <w:t xml:space="preserve">0.58–0.96) and periventricular </w:t>
            </w:r>
            <w:r w:rsidR="002943C1" w:rsidRPr="0006362B">
              <w:t>haemorrhage</w:t>
            </w:r>
            <w:r w:rsidRPr="0006362B">
              <w:t xml:space="preserve"> (RR 0.68; 95%</w:t>
            </w:r>
            <w:r w:rsidRPr="0006362B">
              <w:rPr>
                <w:rFonts w:ascii="Arial" w:hAnsi="Arial" w:cs="Arial"/>
              </w:rPr>
              <w:t> </w:t>
            </w:r>
            <w:r w:rsidRPr="0006362B">
              <w:t>CI 0.47–0.99), but a trend towards an increase in the risk of placental abruption (RR 1.20; 95%</w:t>
            </w:r>
            <w:r w:rsidRPr="0006362B">
              <w:rPr>
                <w:rFonts w:ascii="Arial" w:hAnsi="Arial" w:cs="Arial"/>
              </w:rPr>
              <w:t> </w:t>
            </w:r>
            <w:r w:rsidRPr="0006362B">
              <w:t xml:space="preserve">CI 1.00–1.46; </w:t>
            </w:r>
            <w:r w:rsidR="00AE59E5">
              <w:t>p</w:t>
            </w:r>
            <w:r w:rsidRPr="0006362B">
              <w:t>=0.06) was also noted.</w:t>
            </w:r>
          </w:p>
        </w:tc>
      </w:tr>
      <w:tr w:rsidR="004753C0" w:rsidRPr="00821C46" w14:paraId="01A84B11" w14:textId="77777777" w:rsidTr="003121B4">
        <w:trPr>
          <w:trHeight w:val="49"/>
        </w:trPr>
        <w:tc>
          <w:tcPr>
            <w:tcW w:w="697" w:type="pct"/>
          </w:tcPr>
          <w:p w14:paraId="29936E38" w14:textId="65EE7C32" w:rsidR="004753C0" w:rsidRDefault="001216BC" w:rsidP="003121B4">
            <w:pPr>
              <w:pStyle w:val="TableText"/>
              <w:keepNext/>
              <w:keepLines/>
              <w:rPr>
                <w:rFonts w:eastAsia="Calibri"/>
                <w:color w:val="000000" w:themeColor="text1"/>
                <w:szCs w:val="20"/>
                <w:lang w:eastAsia="en-AU"/>
              </w:rPr>
            </w:pPr>
            <w:r w:rsidRPr="001216BC">
              <w:rPr>
                <w:rFonts w:eastAsia="Calibri"/>
                <w:color w:val="000000" w:themeColor="text1"/>
                <w:szCs w:val="20"/>
                <w:lang w:eastAsia="en-AU"/>
              </w:rPr>
              <w:lastRenderedPageBreak/>
              <w:t>Xu et al.</w:t>
            </w:r>
            <w:r>
              <w:rPr>
                <w:rFonts w:eastAsia="Calibri"/>
                <w:color w:val="000000" w:themeColor="text1"/>
                <w:szCs w:val="20"/>
                <w:lang w:eastAsia="en-AU"/>
              </w:rPr>
              <w:t xml:space="preserve">, </w:t>
            </w:r>
            <w:r w:rsidRPr="001216BC">
              <w:rPr>
                <w:rFonts w:eastAsia="Calibri"/>
                <w:color w:val="000000" w:themeColor="text1"/>
                <w:szCs w:val="20"/>
                <w:lang w:eastAsia="en-AU"/>
              </w:rPr>
              <w:t>2015</w:t>
            </w:r>
          </w:p>
        </w:tc>
        <w:tc>
          <w:tcPr>
            <w:tcW w:w="1217" w:type="pct"/>
          </w:tcPr>
          <w:p w14:paraId="17F81790" w14:textId="6D7A27DD" w:rsidR="004753C0" w:rsidRPr="007A66BE" w:rsidRDefault="008A567B" w:rsidP="003121B4">
            <w:pPr>
              <w:pStyle w:val="TableText"/>
              <w:keepNext/>
              <w:keepLines/>
              <w:rPr>
                <w:rFonts w:eastAsia="Calibri"/>
                <w:color w:val="000000" w:themeColor="text1"/>
                <w:szCs w:val="20"/>
                <w:lang w:eastAsia="en-AU"/>
              </w:rPr>
            </w:pPr>
            <w:r w:rsidRPr="007A66BE">
              <w:rPr>
                <w:rFonts w:eastAsia="Calibri"/>
                <w:color w:val="000000" w:themeColor="text1"/>
                <w:szCs w:val="20"/>
                <w:lang w:eastAsia="en-AU"/>
              </w:rPr>
              <w:t xml:space="preserve">Meta-analysis </w:t>
            </w:r>
            <w:r>
              <w:rPr>
                <w:rFonts w:eastAsia="Calibri"/>
                <w:color w:val="000000" w:themeColor="text1"/>
                <w:szCs w:val="20"/>
                <w:lang w:eastAsia="en-AU"/>
              </w:rPr>
              <w:t xml:space="preserve">of </w:t>
            </w:r>
            <w:r w:rsidRPr="008A567B">
              <w:rPr>
                <w:rFonts w:eastAsia="Calibri"/>
                <w:color w:val="000000" w:themeColor="text1"/>
                <w:szCs w:val="20"/>
                <w:lang w:eastAsia="en-AU"/>
              </w:rPr>
              <w:t xml:space="preserve">RCTs to evaluate </w:t>
            </w:r>
            <w:r w:rsidR="00663EA8">
              <w:rPr>
                <w:color w:val="000000" w:themeColor="text1"/>
              </w:rPr>
              <w:t>l</w:t>
            </w:r>
            <w:r w:rsidR="00663EA8">
              <w:t>ow dose aspirin</w:t>
            </w:r>
            <w:r w:rsidR="00663EA8" w:rsidRPr="008A567B">
              <w:rPr>
                <w:rFonts w:eastAsia="Calibri"/>
              </w:rPr>
              <w:t xml:space="preserve"> </w:t>
            </w:r>
            <w:r w:rsidRPr="008A567B">
              <w:rPr>
                <w:rFonts w:eastAsia="Calibri"/>
                <w:color w:val="000000" w:themeColor="text1"/>
                <w:szCs w:val="20"/>
                <w:lang w:eastAsia="en-AU"/>
              </w:rPr>
              <w:t>for preventing preeclampsia and its complications.</w:t>
            </w:r>
          </w:p>
        </w:tc>
        <w:tc>
          <w:tcPr>
            <w:tcW w:w="1086" w:type="pct"/>
            <w:shd w:val="clear" w:color="auto" w:fill="auto"/>
          </w:tcPr>
          <w:p w14:paraId="2AED6840" w14:textId="091F76AA" w:rsidR="001E55FA" w:rsidRDefault="00D73DC5" w:rsidP="003121B4">
            <w:pPr>
              <w:pStyle w:val="TableText"/>
              <w:keepNext/>
              <w:keepLines/>
            </w:pPr>
            <w:r>
              <w:t>P</w:t>
            </w:r>
            <w:r w:rsidR="00A77C07" w:rsidRPr="00D73DC5">
              <w:t xml:space="preserve">reterm delivery, postpartum </w:t>
            </w:r>
            <w:r w:rsidR="002943C1" w:rsidRPr="00D73DC5">
              <w:t>haemorrhage</w:t>
            </w:r>
            <w:r w:rsidR="00A77C07" w:rsidRPr="00D73DC5">
              <w:t xml:space="preserve">, placental abruption, antepartum </w:t>
            </w:r>
            <w:r w:rsidR="002943C1" w:rsidRPr="00D73DC5">
              <w:t>haemorrhage</w:t>
            </w:r>
            <w:r w:rsidR="00A77C07" w:rsidRPr="00D73DC5">
              <w:t xml:space="preserve">, </w:t>
            </w:r>
            <w:r w:rsidR="00BB6369" w:rsidRPr="00D73DC5">
              <w:t>caesarean</w:t>
            </w:r>
            <w:r w:rsidR="00A77C07" w:rsidRPr="00D73DC5">
              <w:t xml:space="preserve"> birth, perinatal death, </w:t>
            </w:r>
            <w:r w:rsidR="001051E2">
              <w:t>IUGR</w:t>
            </w:r>
            <w:r w:rsidR="00663EA8">
              <w:t>,</w:t>
            </w:r>
            <w:r w:rsidR="00A77C07" w:rsidRPr="00D73DC5">
              <w:t xml:space="preserve"> spontaneous abortion, </w:t>
            </w:r>
            <w:r w:rsidR="00663EA8">
              <w:t>NIH</w:t>
            </w:r>
            <w:r w:rsidR="00A77C07" w:rsidRPr="00D73DC5">
              <w:t xml:space="preserve">, low Apgar score (5-minute score &lt;7), transfer to </w:t>
            </w:r>
            <w:r w:rsidR="00663EA8">
              <w:t>NICU</w:t>
            </w:r>
          </w:p>
          <w:p w14:paraId="23ACB227" w14:textId="3EF82883" w:rsidR="00D73DC5" w:rsidRPr="00D73DC5" w:rsidRDefault="00D73DC5" w:rsidP="003121B4">
            <w:pPr>
              <w:pStyle w:val="TableText"/>
              <w:keepNext/>
              <w:keepLines/>
            </w:pPr>
            <w:r>
              <w:t>(29 studies)</w:t>
            </w:r>
          </w:p>
        </w:tc>
        <w:tc>
          <w:tcPr>
            <w:tcW w:w="2001" w:type="pct"/>
            <w:shd w:val="clear" w:color="auto" w:fill="auto"/>
          </w:tcPr>
          <w:p w14:paraId="333B368B" w14:textId="20E5ED34" w:rsidR="004753C0" w:rsidRPr="005946D5" w:rsidRDefault="00663EA8" w:rsidP="003121B4">
            <w:pPr>
              <w:pStyle w:val="TableText"/>
              <w:keepNext/>
              <w:keepLines/>
            </w:pPr>
            <w:r>
              <w:t>Low dose aspirin</w:t>
            </w:r>
            <w:r w:rsidR="004753C0" w:rsidRPr="008A567B">
              <w:t xml:space="preserve"> increases the incidence of placental abruption (OR 1.35; 95% CI</w:t>
            </w:r>
            <w:r w:rsidR="004845A4">
              <w:t>:</w:t>
            </w:r>
            <w:r w:rsidR="004753C0" w:rsidRPr="008A567B">
              <w:t xml:space="preserve"> 1.05–1.73)</w:t>
            </w:r>
            <w:r w:rsidR="00CC3D40">
              <w:t>,</w:t>
            </w:r>
            <w:r w:rsidR="004753C0" w:rsidRPr="008A567B">
              <w:t xml:space="preserve"> but not other major complications.</w:t>
            </w:r>
          </w:p>
        </w:tc>
      </w:tr>
    </w:tbl>
    <w:p w14:paraId="074151E6" w14:textId="72B6C17C" w:rsidR="00DF52FD" w:rsidRPr="00F80C5A" w:rsidRDefault="00CA4DCE" w:rsidP="00970246">
      <w:pPr>
        <w:spacing w:line="259" w:lineRule="auto"/>
        <w:rPr>
          <w:rFonts w:ascii="Arial Narrow" w:hAnsi="Arial Narrow"/>
          <w:sz w:val="18"/>
          <w:szCs w:val="18"/>
        </w:rPr>
      </w:pPr>
      <w:r w:rsidRPr="00F80C5A">
        <w:rPr>
          <w:rFonts w:ascii="Arial Narrow" w:hAnsi="Arial Narrow"/>
          <w:sz w:val="18"/>
          <w:szCs w:val="18"/>
        </w:rPr>
        <w:t>Abbreviations:</w:t>
      </w:r>
      <w:r w:rsidR="00663EA8" w:rsidRPr="00F80C5A">
        <w:rPr>
          <w:rFonts w:ascii="Arial Narrow" w:hAnsi="Arial Narrow"/>
          <w:sz w:val="18"/>
          <w:szCs w:val="18"/>
        </w:rPr>
        <w:t xml:space="preserve"> CI=Confidence interval; IGUR=intrauterine growth restriction (IUGR); </w:t>
      </w:r>
      <w:r w:rsidR="00567596" w:rsidRPr="00F80C5A">
        <w:rPr>
          <w:rFonts w:ascii="Arial Narrow" w:hAnsi="Arial Narrow"/>
          <w:sz w:val="18"/>
          <w:szCs w:val="18"/>
        </w:rPr>
        <w:t>MD=</w:t>
      </w:r>
      <w:r w:rsidR="00BB6369">
        <w:rPr>
          <w:rFonts w:ascii="Arial Narrow" w:hAnsi="Arial Narrow"/>
          <w:sz w:val="18"/>
          <w:szCs w:val="18"/>
        </w:rPr>
        <w:t>m</w:t>
      </w:r>
      <w:r w:rsidR="00567596" w:rsidRPr="00F80C5A">
        <w:rPr>
          <w:rFonts w:ascii="Arial Narrow" w:hAnsi="Arial Narrow"/>
          <w:sz w:val="18"/>
          <w:szCs w:val="18"/>
        </w:rPr>
        <w:t xml:space="preserve">ean difference; </w:t>
      </w:r>
      <w:r w:rsidR="00663EA8" w:rsidRPr="00F80C5A">
        <w:rPr>
          <w:rFonts w:ascii="Arial Narrow" w:hAnsi="Arial Narrow"/>
          <w:sz w:val="18"/>
          <w:szCs w:val="18"/>
        </w:rPr>
        <w:t xml:space="preserve">NICU=neonatal intensive care unit; NIH=neonatal intraventricular </w:t>
      </w:r>
      <w:r w:rsidR="002943C1" w:rsidRPr="00F80C5A">
        <w:rPr>
          <w:rFonts w:ascii="Arial Narrow" w:hAnsi="Arial Narrow"/>
          <w:sz w:val="18"/>
          <w:szCs w:val="18"/>
        </w:rPr>
        <w:t>haemorrhage</w:t>
      </w:r>
      <w:r w:rsidR="004717FC">
        <w:rPr>
          <w:rFonts w:ascii="Arial Narrow" w:hAnsi="Arial Narrow"/>
          <w:sz w:val="18"/>
          <w:szCs w:val="18"/>
        </w:rPr>
        <w:t xml:space="preserve">; </w:t>
      </w:r>
      <w:r w:rsidR="00EA085B">
        <w:rPr>
          <w:rFonts w:ascii="Arial Narrow" w:hAnsi="Arial Narrow"/>
          <w:sz w:val="18"/>
          <w:szCs w:val="18"/>
        </w:rPr>
        <w:t>LDA=low dose aspirin</w:t>
      </w:r>
      <w:r w:rsidR="00956A95">
        <w:rPr>
          <w:rFonts w:ascii="Arial Narrow" w:hAnsi="Arial Narrow"/>
          <w:sz w:val="18"/>
          <w:szCs w:val="18"/>
        </w:rPr>
        <w:t>; OR=odds ratio</w:t>
      </w:r>
      <w:r w:rsidR="007E3C17">
        <w:rPr>
          <w:rFonts w:ascii="Arial Narrow" w:hAnsi="Arial Narrow"/>
          <w:sz w:val="18"/>
          <w:szCs w:val="18"/>
        </w:rPr>
        <w:t>; RR=</w:t>
      </w:r>
      <w:r w:rsidR="0044584F">
        <w:rPr>
          <w:rFonts w:ascii="Arial Narrow" w:hAnsi="Arial Narrow"/>
          <w:sz w:val="18"/>
          <w:szCs w:val="18"/>
        </w:rPr>
        <w:t>relative risk</w:t>
      </w:r>
      <w:r w:rsidR="00B642F3">
        <w:rPr>
          <w:rFonts w:ascii="Arial Narrow" w:hAnsi="Arial Narrow"/>
          <w:sz w:val="18"/>
          <w:szCs w:val="18"/>
        </w:rPr>
        <w:t>; RCT=randomised controlled trial</w:t>
      </w:r>
      <w:r w:rsidR="00E76493">
        <w:rPr>
          <w:rFonts w:ascii="Arial Narrow" w:hAnsi="Arial Narrow"/>
          <w:sz w:val="18"/>
          <w:szCs w:val="18"/>
        </w:rPr>
        <w:t>; IGUR=</w:t>
      </w:r>
      <w:r w:rsidR="001051E2">
        <w:rPr>
          <w:rFonts w:ascii="Arial Narrow" w:hAnsi="Arial Narrow"/>
          <w:sz w:val="18"/>
          <w:szCs w:val="18"/>
        </w:rPr>
        <w:t>intrauterine</w:t>
      </w:r>
      <w:r w:rsidR="00812696">
        <w:rPr>
          <w:rFonts w:ascii="Arial Narrow" w:hAnsi="Arial Narrow"/>
          <w:sz w:val="18"/>
          <w:szCs w:val="18"/>
        </w:rPr>
        <w:t xml:space="preserve"> </w:t>
      </w:r>
      <w:r w:rsidR="00F13402">
        <w:rPr>
          <w:rFonts w:ascii="Arial Narrow" w:hAnsi="Arial Narrow"/>
          <w:sz w:val="18"/>
          <w:szCs w:val="18"/>
        </w:rPr>
        <w:t>growth restriction</w:t>
      </w:r>
    </w:p>
    <w:p w14:paraId="043FE699" w14:textId="33AA5E3B" w:rsidR="0080591B" w:rsidRPr="0080591B" w:rsidRDefault="002F0F41" w:rsidP="00970246">
      <w:pPr>
        <w:pStyle w:val="Tablenotes0"/>
      </w:pPr>
      <w:r>
        <w:t xml:space="preserve">Source: </w:t>
      </w:r>
      <w:r w:rsidR="00786A1D" w:rsidRPr="007402B7">
        <w:t>Table C2</w:t>
      </w:r>
      <w:r w:rsidR="00B642F3">
        <w:t>, p</w:t>
      </w:r>
      <w:r w:rsidR="007F4CB9">
        <w:t>46-47</w:t>
      </w:r>
      <w:r w:rsidR="00631787">
        <w:t xml:space="preserve"> of ADAR</w:t>
      </w:r>
      <w:r w:rsidR="00842402">
        <w:t>.</w:t>
      </w:r>
    </w:p>
    <w:p w14:paraId="28A5D29B" w14:textId="174E72A1" w:rsidR="00F9331C" w:rsidRDefault="00C36633" w:rsidP="00CD5080">
      <w:pPr>
        <w:pStyle w:val="Heading2"/>
        <w:numPr>
          <w:ilvl w:val="0"/>
          <w:numId w:val="0"/>
        </w:numPr>
      </w:pPr>
      <w:bookmarkStart w:id="23" w:name="_Toc69491424"/>
      <w:r>
        <w:t>1</w:t>
      </w:r>
      <w:r w:rsidR="00971DBF">
        <w:t>2</w:t>
      </w:r>
      <w:r>
        <w:t>.</w:t>
      </w:r>
      <w:r>
        <w:tab/>
      </w:r>
      <w:r w:rsidR="00772829" w:rsidRPr="00CE28E3">
        <w:t>Comparative effectiveness</w:t>
      </w:r>
      <w:bookmarkEnd w:id="23"/>
    </w:p>
    <w:p w14:paraId="1626AC0C" w14:textId="6663F025" w:rsidR="00462D1B" w:rsidRPr="002F3D5D" w:rsidRDefault="00462D1B" w:rsidP="00A64907">
      <w:pPr>
        <w:pStyle w:val="Heading3"/>
        <w:spacing w:before="300" w:after="160" w:line="240" w:lineRule="auto"/>
        <w:rPr>
          <w:sz w:val="24"/>
          <w:szCs w:val="24"/>
          <w:lang w:eastAsia="en-US"/>
        </w:rPr>
      </w:pPr>
      <w:r w:rsidRPr="002F3D5D">
        <w:rPr>
          <w:sz w:val="24"/>
          <w:szCs w:val="24"/>
          <w:lang w:eastAsia="en-US"/>
        </w:rPr>
        <w:t>Direct from test to health outcomes evidence</w:t>
      </w:r>
    </w:p>
    <w:p w14:paraId="25F8765D" w14:textId="2DBBE29C" w:rsidR="0066686E" w:rsidRPr="000F0B5E" w:rsidRDefault="008F50D6" w:rsidP="000F0B5E">
      <w:pPr>
        <w:pStyle w:val="a-TEXT"/>
      </w:pPr>
      <w:r>
        <w:t>One</w:t>
      </w:r>
      <w:r w:rsidR="00462D1B" w:rsidRPr="00462D1B">
        <w:t xml:space="preserve"> </w:t>
      </w:r>
      <w:r>
        <w:t>study</w:t>
      </w:r>
      <w:r w:rsidR="00462D1B" w:rsidRPr="00462D1B">
        <w:t xml:space="preserve"> reported </w:t>
      </w:r>
      <w:r w:rsidR="00462D1B">
        <w:t>direct from test to health outcomes evidence, that is,</w:t>
      </w:r>
      <w:r w:rsidR="00462D1B" w:rsidRPr="00462D1B">
        <w:t xml:space="preserve"> </w:t>
      </w:r>
      <w:r w:rsidR="002F3D5D">
        <w:t xml:space="preserve">reporting of </w:t>
      </w:r>
      <w:r w:rsidR="00462D1B" w:rsidRPr="00462D1B">
        <w:t xml:space="preserve">pregnancy outcomes </w:t>
      </w:r>
      <w:r w:rsidR="002F3D5D">
        <w:t>for</w:t>
      </w:r>
      <w:r w:rsidR="00462D1B" w:rsidRPr="00462D1B">
        <w:t xml:space="preserve"> those who underwent preeclampsia </w:t>
      </w:r>
      <w:r w:rsidR="00F56D38">
        <w:t>testing</w:t>
      </w:r>
      <w:r w:rsidR="00462D1B" w:rsidRPr="00462D1B">
        <w:t xml:space="preserve"> using the </w:t>
      </w:r>
      <w:r w:rsidR="00137830" w:rsidRPr="30AEB622">
        <w:rPr>
          <w:rFonts w:eastAsia="Calibri"/>
          <w:color w:val="000000" w:themeColor="text1"/>
          <w:lang w:eastAsia="en-AU"/>
        </w:rPr>
        <w:t>FMF risk calculator</w:t>
      </w:r>
      <w:r w:rsidR="00462D1B" w:rsidRPr="00462D1B">
        <w:t xml:space="preserve"> </w:t>
      </w:r>
      <w:r w:rsidR="00462D1B">
        <w:t xml:space="preserve">versus </w:t>
      </w:r>
      <w:r w:rsidR="00462D1B" w:rsidRPr="00462D1B">
        <w:t>SoC</w:t>
      </w:r>
      <w:r w:rsidR="00CC4B7F">
        <w:rPr>
          <w:vertAlign w:val="superscript"/>
        </w:rPr>
        <w:t>1</w:t>
      </w:r>
      <w:r w:rsidR="00A64907">
        <w:t>.</w:t>
      </w:r>
      <w:r w:rsidR="00DE2448">
        <w:t xml:space="preserve"> </w:t>
      </w:r>
      <w:r w:rsidR="00970A89">
        <w:t xml:space="preserve">After adjustment for potential confounders, women who were </w:t>
      </w:r>
      <w:r w:rsidR="00F56D38">
        <w:t>tested</w:t>
      </w:r>
      <w:r w:rsidR="000D4540">
        <w:t xml:space="preserve"> </w:t>
      </w:r>
      <w:r w:rsidR="00970A89">
        <w:t xml:space="preserve">with </w:t>
      </w:r>
      <w:r w:rsidR="00137830" w:rsidRPr="30AEB622">
        <w:rPr>
          <w:rFonts w:eastAsia="Calibri"/>
          <w:color w:val="000000" w:themeColor="text1"/>
          <w:lang w:eastAsia="en-AU"/>
        </w:rPr>
        <w:t xml:space="preserve">FMF risk calculator </w:t>
      </w:r>
      <w:r w:rsidR="008C7C2F">
        <w:t xml:space="preserve">versus not </w:t>
      </w:r>
      <w:r w:rsidR="00356F3C">
        <w:t>tested</w:t>
      </w:r>
      <w:r w:rsidR="008C7C2F">
        <w:t xml:space="preserve"> </w:t>
      </w:r>
      <w:r w:rsidR="00970A89">
        <w:t xml:space="preserve">were </w:t>
      </w:r>
      <w:r w:rsidR="006B4CAE">
        <w:t xml:space="preserve">significantly </w:t>
      </w:r>
      <w:r w:rsidR="00970A89">
        <w:t xml:space="preserve">less likely to have preeclampsia, preterm birth, and neonates with low birthweight. </w:t>
      </w:r>
      <w:r w:rsidR="006B4CAE">
        <w:t>Key r</w:t>
      </w:r>
      <w:r w:rsidR="00C53591">
        <w:t xml:space="preserve">esults </w:t>
      </w:r>
      <w:r w:rsidR="006B4CAE">
        <w:t xml:space="preserve">from the study </w:t>
      </w:r>
      <w:r w:rsidR="00C53591">
        <w:t xml:space="preserve">are presented </w:t>
      </w:r>
      <w:r w:rsidR="0075279A">
        <w:t xml:space="preserve">in </w:t>
      </w:r>
      <w:r w:rsidR="008976A3">
        <w:t xml:space="preserve">Table 10 </w:t>
      </w:r>
      <w:r w:rsidR="0075279A">
        <w:t xml:space="preserve">and </w:t>
      </w:r>
      <w:r w:rsidR="008976A3">
        <w:t xml:space="preserve">Table 11 </w:t>
      </w:r>
      <w:r w:rsidR="00C53591">
        <w:t>below.</w:t>
      </w:r>
      <w:r w:rsidR="00D42DE6">
        <w:t xml:space="preserve"> </w:t>
      </w:r>
    </w:p>
    <w:p w14:paraId="7D27CFF7" w14:textId="77777777" w:rsidR="00BD3332" w:rsidRDefault="00A333EA" w:rsidP="000F0B5E">
      <w:pPr>
        <w:pStyle w:val="a-TEXT"/>
      </w:pPr>
      <w:r>
        <w:t>The</w:t>
      </w:r>
      <w:r w:rsidR="00B34225">
        <w:t xml:space="preserve"> commentary considered that the</w:t>
      </w:r>
      <w:r>
        <w:t xml:space="preserve">re </w:t>
      </w:r>
      <w:r w:rsidR="00B34225">
        <w:t>we</w:t>
      </w:r>
      <w:r>
        <w:t xml:space="preserve">re significant selection bias concerns with </w:t>
      </w:r>
      <w:r w:rsidR="00DE2448">
        <w:t>this study</w:t>
      </w:r>
      <w:r w:rsidR="00A018FA">
        <w:t xml:space="preserve"> </w:t>
      </w:r>
      <w:r w:rsidR="00B34225">
        <w:t xml:space="preserve">that </w:t>
      </w:r>
      <w:r w:rsidR="00D73378">
        <w:t>limit</w:t>
      </w:r>
      <w:r w:rsidR="00B34225">
        <w:t>ed</w:t>
      </w:r>
      <w:r w:rsidR="00D73378">
        <w:t xml:space="preserve"> the reliability of results presented. Specifically, </w:t>
      </w:r>
      <w:r w:rsidR="006004C5">
        <w:t xml:space="preserve">all but one </w:t>
      </w:r>
      <w:r w:rsidR="00EC7994">
        <w:t xml:space="preserve">of the sites that the </w:t>
      </w:r>
      <w:r w:rsidR="00063465">
        <w:t>patients</w:t>
      </w:r>
      <w:r w:rsidR="00EC7994">
        <w:t xml:space="preserve"> who underwent FMF risk calculation were recruited from were </w:t>
      </w:r>
      <w:r w:rsidR="00C070EB">
        <w:t xml:space="preserve">part of </w:t>
      </w:r>
      <w:r w:rsidR="00EC7994">
        <w:t>selected private</w:t>
      </w:r>
      <w:r w:rsidR="009B7175">
        <w:t xml:space="preserve"> </w:t>
      </w:r>
      <w:proofErr w:type="spellStart"/>
      <w:r w:rsidR="009B7175">
        <w:t>fetal</w:t>
      </w:r>
      <w:proofErr w:type="spellEnd"/>
      <w:r w:rsidR="009B7175">
        <w:t xml:space="preserve"> medicine</w:t>
      </w:r>
      <w:r w:rsidR="00EC7994">
        <w:t xml:space="preserve"> practices</w:t>
      </w:r>
      <w:r w:rsidR="00BC562E">
        <w:t>. By contrast the comparator patient</w:t>
      </w:r>
      <w:r w:rsidR="001B2764">
        <w:t>s</w:t>
      </w:r>
      <w:r w:rsidR="00BC562E">
        <w:t xml:space="preserve"> for standard of care (SOC) were drawn from the general Australian patient </w:t>
      </w:r>
      <w:r w:rsidR="003C57E6">
        <w:t>population, making it likely that the ‘intervention’ group is not representative of the general population</w:t>
      </w:r>
      <w:r w:rsidR="006D4351" w:rsidRPr="006D4351">
        <w:t>.</w:t>
      </w:r>
      <w:r>
        <w:t xml:space="preserve"> </w:t>
      </w:r>
      <w:r w:rsidR="005D78AC">
        <w:t>Whilst</w:t>
      </w:r>
      <w:r w:rsidR="005D78AC" w:rsidRPr="00016E65">
        <w:t xml:space="preserve"> adjust</w:t>
      </w:r>
      <w:r w:rsidR="005D78AC">
        <w:t xml:space="preserve">ment was performed on relevant </w:t>
      </w:r>
      <w:r w:rsidR="005D78AC" w:rsidRPr="00016E65">
        <w:t>covariates</w:t>
      </w:r>
      <w:r w:rsidR="005D78AC">
        <w:t xml:space="preserve">, </w:t>
      </w:r>
      <w:r w:rsidR="00760D25">
        <w:t xml:space="preserve">there </w:t>
      </w:r>
      <w:r w:rsidR="001B2764">
        <w:t>we</w:t>
      </w:r>
      <w:r w:rsidR="00760D25">
        <w:t xml:space="preserve">re still </w:t>
      </w:r>
      <w:r w:rsidR="007E2768">
        <w:t xml:space="preserve">inherent risks of </w:t>
      </w:r>
      <w:r w:rsidR="005D53E8">
        <w:t>the outcome</w:t>
      </w:r>
      <w:r w:rsidR="00DE06D3">
        <w:t>s</w:t>
      </w:r>
      <w:r w:rsidR="005D53E8">
        <w:t xml:space="preserve"> being reflective of the</w:t>
      </w:r>
      <w:r w:rsidR="00C249AE">
        <w:t xml:space="preserve"> special characteristics of the </w:t>
      </w:r>
      <w:r w:rsidR="00A1201F">
        <w:t xml:space="preserve">‘intervention’ group (including socioeconomic status and </w:t>
      </w:r>
      <w:r w:rsidR="006C1B15">
        <w:t>whether they h</w:t>
      </w:r>
      <w:r w:rsidR="00BC2EAF">
        <w:t>e</w:t>
      </w:r>
      <w:r w:rsidR="006C1B15">
        <w:t xml:space="preserve">ld </w:t>
      </w:r>
      <w:r w:rsidR="00A1201F">
        <w:t>private health insurance</w:t>
      </w:r>
      <w:r w:rsidR="006C1B15">
        <w:t xml:space="preserve">) </w:t>
      </w:r>
      <w:r w:rsidR="00DE2448">
        <w:t>or related variables</w:t>
      </w:r>
      <w:r w:rsidR="00C81487">
        <w:t>, rather than the test alone.</w:t>
      </w:r>
      <w:r w:rsidR="006D0328">
        <w:t xml:space="preserve"> </w:t>
      </w:r>
    </w:p>
    <w:p w14:paraId="13E0320D" w14:textId="6200ECBC" w:rsidR="00A333EA" w:rsidRDefault="006D0328" w:rsidP="000F0B5E">
      <w:pPr>
        <w:pStyle w:val="a-TEXT"/>
      </w:pPr>
      <w:r>
        <w:t xml:space="preserve">In </w:t>
      </w:r>
      <w:proofErr w:type="gramStart"/>
      <w:r>
        <w:t>addition</w:t>
      </w:r>
      <w:proofErr w:type="gramEnd"/>
      <w:r>
        <w:t xml:space="preserve"> the study </w:t>
      </w:r>
      <w:r w:rsidRPr="006D0328">
        <w:t>did not report on the incremental proportion of pregnancies identified as at high-risk when using FMF versus</w:t>
      </w:r>
      <w:r>
        <w:t xml:space="preserve"> </w:t>
      </w:r>
      <w:r w:rsidRPr="006D0328">
        <w:t>current assessmen</w:t>
      </w:r>
      <w:r>
        <w:t xml:space="preserve">t. </w:t>
      </w:r>
    </w:p>
    <w:p w14:paraId="31D5A1F8" w14:textId="3E98E319" w:rsidR="00C837F8" w:rsidRPr="000F0B5E" w:rsidRDefault="00C837F8" w:rsidP="000F0B5E">
      <w:pPr>
        <w:pStyle w:val="a-TEXT"/>
      </w:pPr>
      <w:proofErr w:type="gramStart"/>
      <w:r>
        <w:t>However</w:t>
      </w:r>
      <w:proofErr w:type="gramEnd"/>
      <w:r>
        <w:t xml:space="preserve"> the pre-ESC response </w:t>
      </w:r>
      <w:r w:rsidR="000561FE">
        <w:t>argued that w</w:t>
      </w:r>
      <w:r>
        <w:t xml:space="preserve">hile differences in baseline demographic and clinical characteristics were statistically significant, </w:t>
      </w:r>
      <w:r w:rsidR="000561FE">
        <w:t xml:space="preserve">this can partly be explained </w:t>
      </w:r>
      <w:r>
        <w:t>by the very large sample sizes</w:t>
      </w:r>
      <w:r w:rsidR="000F3BBE">
        <w:t xml:space="preserve"> and the</w:t>
      </w:r>
      <w:r>
        <w:t xml:space="preserve"> magnitude of the differences is </w:t>
      </w:r>
      <w:r w:rsidR="000F3BBE">
        <w:t xml:space="preserve">not </w:t>
      </w:r>
      <w:r>
        <w:t xml:space="preserve">clinically meaningful. </w:t>
      </w:r>
      <w:r w:rsidR="000F3BBE">
        <w:t xml:space="preserve">The pre-ESC response argued that </w:t>
      </w:r>
      <w:r>
        <w:t xml:space="preserve">there is no evidence that the selection of patients </w:t>
      </w:r>
      <w:r w:rsidR="001078D7">
        <w:t>w</w:t>
      </w:r>
      <w:r>
        <w:t>as systematically favouring either cohort</w:t>
      </w:r>
      <w:r w:rsidR="001078D7">
        <w:t xml:space="preserve"> as the </w:t>
      </w:r>
      <w:r>
        <w:t xml:space="preserve">imbalances in baseline risk across cohorts (albeit negligible) </w:t>
      </w:r>
      <w:r w:rsidR="001078D7">
        <w:t>did not</w:t>
      </w:r>
      <w:r>
        <w:t xml:space="preserve"> systematically favou</w:t>
      </w:r>
      <w:r w:rsidR="001078D7">
        <w:t xml:space="preserve">r the FMF algorithm or </w:t>
      </w:r>
      <w:r>
        <w:t>SoC cohorts</w:t>
      </w:r>
      <w:r w:rsidR="001078D7">
        <w:t>.</w:t>
      </w:r>
    </w:p>
    <w:p w14:paraId="0C41246B" w14:textId="3EDDADF6" w:rsidR="000F0B5E" w:rsidRDefault="000F0B5E" w:rsidP="000F0B5E">
      <w:pPr>
        <w:pStyle w:val="Caption"/>
      </w:pPr>
      <w:bookmarkStart w:id="24" w:name="_Ref141871576"/>
      <w:r>
        <w:lastRenderedPageBreak/>
        <w:t>Table</w:t>
      </w:r>
      <w:r w:rsidR="00943784">
        <w:t xml:space="preserve"> </w:t>
      </w:r>
      <w:r w:rsidR="00DF47F5">
        <w:t>10</w:t>
      </w:r>
      <w:bookmarkEnd w:id="24"/>
      <w:r w:rsidR="00AB7AFF">
        <w:tab/>
      </w:r>
      <w:r w:rsidRPr="002C0E60">
        <w:t>Direct from test to health outcomes from Rolnik et al., 2021.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980"/>
        <w:gridCol w:w="1277"/>
        <w:gridCol w:w="1275"/>
        <w:gridCol w:w="1417"/>
        <w:gridCol w:w="851"/>
        <w:gridCol w:w="1417"/>
        <w:gridCol w:w="799"/>
      </w:tblGrid>
      <w:tr w:rsidR="00876530" w:rsidRPr="004F7F3F" w14:paraId="22F5C554" w14:textId="69F85DDA" w:rsidTr="00970246">
        <w:tc>
          <w:tcPr>
            <w:tcW w:w="1098" w:type="pct"/>
            <w:shd w:val="clear" w:color="auto" w:fill="auto"/>
          </w:tcPr>
          <w:p w14:paraId="47E185D5" w14:textId="77777777" w:rsidR="00876530" w:rsidRPr="00354301" w:rsidRDefault="00876530" w:rsidP="002F3D5D">
            <w:pPr>
              <w:pStyle w:val="TableHeading0"/>
              <w:spacing w:before="0" w:after="0"/>
            </w:pPr>
            <w:r w:rsidRPr="00354301">
              <w:t>Outcome</w:t>
            </w:r>
          </w:p>
        </w:tc>
        <w:tc>
          <w:tcPr>
            <w:tcW w:w="708" w:type="pct"/>
            <w:shd w:val="clear" w:color="auto" w:fill="auto"/>
          </w:tcPr>
          <w:p w14:paraId="31D81120" w14:textId="076E4BA4" w:rsidR="00876530" w:rsidRPr="00354301" w:rsidRDefault="00876530" w:rsidP="002F3D5D">
            <w:pPr>
              <w:pStyle w:val="TableHeading0"/>
              <w:spacing w:before="0" w:after="0"/>
            </w:pPr>
            <w:r>
              <w:t>FMF</w:t>
            </w:r>
            <w:r w:rsidRPr="00354301">
              <w:t xml:space="preserve"> </w:t>
            </w:r>
            <w:r w:rsidRPr="004806A7">
              <w:rPr>
                <w:b w:val="0"/>
                <w:bCs/>
              </w:rPr>
              <w:t>(n=29,618)</w:t>
            </w:r>
          </w:p>
        </w:tc>
        <w:tc>
          <w:tcPr>
            <w:tcW w:w="707" w:type="pct"/>
            <w:shd w:val="clear" w:color="auto" w:fill="auto"/>
          </w:tcPr>
          <w:p w14:paraId="4915BCCF" w14:textId="104F0E95" w:rsidR="00876530" w:rsidRPr="00354301" w:rsidRDefault="00876530" w:rsidP="002F3D5D">
            <w:pPr>
              <w:pStyle w:val="TableHeading0"/>
              <w:spacing w:before="0" w:after="0"/>
            </w:pPr>
            <w:r>
              <w:t>SoC</w:t>
            </w:r>
            <w:r w:rsidRPr="00354301">
              <w:t xml:space="preserve"> </w:t>
            </w:r>
            <w:r w:rsidRPr="004806A7">
              <w:rPr>
                <w:b w:val="0"/>
                <w:bCs/>
              </w:rPr>
              <w:t>(N=301,566)</w:t>
            </w:r>
          </w:p>
        </w:tc>
        <w:tc>
          <w:tcPr>
            <w:tcW w:w="1258" w:type="pct"/>
            <w:gridSpan w:val="2"/>
            <w:shd w:val="clear" w:color="auto" w:fill="auto"/>
          </w:tcPr>
          <w:p w14:paraId="13C24668" w14:textId="0719E97E" w:rsidR="00876530" w:rsidRPr="00354301" w:rsidRDefault="00876530" w:rsidP="002F3D5D">
            <w:pPr>
              <w:pStyle w:val="TableHeading0"/>
              <w:spacing w:before="0" w:after="0"/>
            </w:pPr>
            <w:r w:rsidRPr="00354301">
              <w:t xml:space="preserve">Crude </w:t>
            </w:r>
            <w:r>
              <w:t>RR</w:t>
            </w:r>
            <w:r w:rsidRPr="00354301">
              <w:t xml:space="preserve"> (95% CI)</w:t>
            </w:r>
          </w:p>
        </w:tc>
        <w:tc>
          <w:tcPr>
            <w:tcW w:w="1229" w:type="pct"/>
            <w:gridSpan w:val="2"/>
            <w:shd w:val="clear" w:color="auto" w:fill="auto"/>
          </w:tcPr>
          <w:p w14:paraId="783564F6" w14:textId="3074DBDA" w:rsidR="00876530" w:rsidRPr="00354301" w:rsidRDefault="00876530" w:rsidP="002F3D5D">
            <w:pPr>
              <w:pStyle w:val="TableHeading0"/>
              <w:spacing w:before="0" w:after="0"/>
            </w:pPr>
            <w:r w:rsidRPr="00354301">
              <w:t xml:space="preserve">Adjusted </w:t>
            </w:r>
            <w:r>
              <w:t>RR</w:t>
            </w:r>
            <w:r w:rsidRPr="00354301">
              <w:t xml:space="preserve"> (95% CI)</w:t>
            </w:r>
          </w:p>
        </w:tc>
      </w:tr>
      <w:tr w:rsidR="00876530" w:rsidRPr="004F7F3F" w14:paraId="3BB696DC" w14:textId="02D1A7D4" w:rsidTr="000F28A2">
        <w:trPr>
          <w:trHeight w:val="20"/>
        </w:trPr>
        <w:tc>
          <w:tcPr>
            <w:tcW w:w="1098" w:type="pct"/>
          </w:tcPr>
          <w:p w14:paraId="499FE136" w14:textId="77777777" w:rsidR="00876530" w:rsidRPr="00354301" w:rsidRDefault="00876530" w:rsidP="00876530">
            <w:pPr>
              <w:pStyle w:val="TableText"/>
              <w:spacing w:before="0" w:after="0"/>
            </w:pPr>
            <w:r w:rsidRPr="00354301">
              <w:t xml:space="preserve">Preterm </w:t>
            </w:r>
            <w:r>
              <w:t>preeclampsia</w:t>
            </w:r>
          </w:p>
        </w:tc>
        <w:tc>
          <w:tcPr>
            <w:tcW w:w="708" w:type="pct"/>
          </w:tcPr>
          <w:p w14:paraId="158FA937" w14:textId="77777777" w:rsidR="00876530" w:rsidRPr="00354301" w:rsidRDefault="00876530" w:rsidP="00876530">
            <w:pPr>
              <w:pStyle w:val="TableText"/>
              <w:spacing w:before="0" w:after="0"/>
            </w:pPr>
            <w:r w:rsidRPr="00354301">
              <w:t>132 (0.4)</w:t>
            </w:r>
          </w:p>
        </w:tc>
        <w:tc>
          <w:tcPr>
            <w:tcW w:w="707" w:type="pct"/>
          </w:tcPr>
          <w:p w14:paraId="435B593B" w14:textId="77777777" w:rsidR="00876530" w:rsidRPr="00354301" w:rsidRDefault="00876530" w:rsidP="00876530">
            <w:pPr>
              <w:pStyle w:val="TableText"/>
              <w:spacing w:before="0" w:after="0"/>
            </w:pPr>
            <w:r w:rsidRPr="00354301">
              <w:t>2096 (0.7)</w:t>
            </w:r>
          </w:p>
        </w:tc>
        <w:tc>
          <w:tcPr>
            <w:tcW w:w="786" w:type="pct"/>
          </w:tcPr>
          <w:p w14:paraId="61D81DB1" w14:textId="7673740D" w:rsidR="00876530" w:rsidRPr="00354301" w:rsidRDefault="00876530" w:rsidP="00876530">
            <w:pPr>
              <w:pStyle w:val="TableText"/>
              <w:spacing w:before="0" w:after="0"/>
            </w:pPr>
            <w:r w:rsidRPr="00354301">
              <w:t>0.64 (0.54</w:t>
            </w:r>
            <w:r w:rsidRPr="00354301">
              <w:rPr>
                <w:rFonts w:hint="eastAsia"/>
              </w:rPr>
              <w:t>–</w:t>
            </w:r>
            <w:r w:rsidRPr="00354301">
              <w:t>0.76)</w:t>
            </w:r>
          </w:p>
        </w:tc>
        <w:tc>
          <w:tcPr>
            <w:tcW w:w="471" w:type="pct"/>
          </w:tcPr>
          <w:p w14:paraId="3EE31484" w14:textId="34E0F380" w:rsidR="00876530" w:rsidRPr="00354301" w:rsidRDefault="00876530" w:rsidP="00876530">
            <w:pPr>
              <w:pStyle w:val="TableText"/>
              <w:spacing w:before="0" w:after="0"/>
            </w:pPr>
            <w:r>
              <w:t>p</w:t>
            </w:r>
            <w:r w:rsidRPr="00354301">
              <w:t>&lt;0.001</w:t>
            </w:r>
          </w:p>
        </w:tc>
        <w:tc>
          <w:tcPr>
            <w:tcW w:w="786" w:type="pct"/>
          </w:tcPr>
          <w:p w14:paraId="540E17DF" w14:textId="08BA14F2" w:rsidR="00876530" w:rsidRPr="00354301" w:rsidRDefault="00876530" w:rsidP="00876530">
            <w:pPr>
              <w:pStyle w:val="TableText"/>
              <w:spacing w:before="0" w:after="0"/>
            </w:pPr>
            <w:r w:rsidRPr="00354301">
              <w:t>0.70 (0.58</w:t>
            </w:r>
            <w:r w:rsidRPr="00354301">
              <w:rPr>
                <w:rFonts w:hint="eastAsia"/>
              </w:rPr>
              <w:t>–</w:t>
            </w:r>
            <w:r w:rsidRPr="00354301">
              <w:t>0.84)</w:t>
            </w:r>
          </w:p>
        </w:tc>
        <w:tc>
          <w:tcPr>
            <w:tcW w:w="443" w:type="pct"/>
          </w:tcPr>
          <w:p w14:paraId="402011F5" w14:textId="42E04A4F" w:rsidR="00876530" w:rsidRPr="00354301" w:rsidRDefault="00876530" w:rsidP="00876530">
            <w:pPr>
              <w:pStyle w:val="TableText"/>
              <w:spacing w:before="0" w:after="0"/>
            </w:pPr>
            <w:r>
              <w:t>p</w:t>
            </w:r>
            <w:r w:rsidRPr="00354301">
              <w:t>&lt;0.001</w:t>
            </w:r>
          </w:p>
        </w:tc>
      </w:tr>
      <w:tr w:rsidR="00876530" w:rsidRPr="004F7F3F" w14:paraId="200384CA" w14:textId="5B1385E9" w:rsidTr="000F28A2">
        <w:tc>
          <w:tcPr>
            <w:tcW w:w="1098" w:type="pct"/>
          </w:tcPr>
          <w:p w14:paraId="66C64F62" w14:textId="77777777" w:rsidR="00876530" w:rsidRPr="00354301" w:rsidRDefault="00876530" w:rsidP="00876530">
            <w:pPr>
              <w:pStyle w:val="TableText"/>
              <w:spacing w:before="0" w:after="0"/>
            </w:pPr>
            <w:r w:rsidRPr="00354301">
              <w:t xml:space="preserve">All </w:t>
            </w:r>
            <w:r>
              <w:t>preeclampsia</w:t>
            </w:r>
          </w:p>
        </w:tc>
        <w:tc>
          <w:tcPr>
            <w:tcW w:w="708" w:type="pct"/>
          </w:tcPr>
          <w:p w14:paraId="60E05E28" w14:textId="77777777" w:rsidR="00876530" w:rsidRPr="00354301" w:rsidRDefault="00876530" w:rsidP="00876530">
            <w:pPr>
              <w:pStyle w:val="TableText"/>
              <w:spacing w:before="0" w:after="0"/>
            </w:pPr>
            <w:r w:rsidRPr="00354301">
              <w:t>455 (1.5)</w:t>
            </w:r>
          </w:p>
        </w:tc>
        <w:tc>
          <w:tcPr>
            <w:tcW w:w="707" w:type="pct"/>
          </w:tcPr>
          <w:p w14:paraId="1A891287" w14:textId="77777777" w:rsidR="00876530" w:rsidRPr="00354301" w:rsidRDefault="00876530" w:rsidP="00876530">
            <w:pPr>
              <w:pStyle w:val="TableText"/>
              <w:spacing w:before="0" w:after="0"/>
            </w:pPr>
            <w:r w:rsidRPr="00354301">
              <w:t>7340 (2.4)</w:t>
            </w:r>
          </w:p>
        </w:tc>
        <w:tc>
          <w:tcPr>
            <w:tcW w:w="786" w:type="pct"/>
          </w:tcPr>
          <w:p w14:paraId="530EAD0D" w14:textId="5521B6F6" w:rsidR="00876530" w:rsidRPr="00354301" w:rsidRDefault="00876530" w:rsidP="00876530">
            <w:pPr>
              <w:pStyle w:val="TableText"/>
              <w:spacing w:before="0" w:after="0"/>
            </w:pPr>
            <w:r w:rsidRPr="00354301">
              <w:t>0.63 (0.57</w:t>
            </w:r>
            <w:r w:rsidRPr="00354301">
              <w:rPr>
                <w:rFonts w:hint="eastAsia"/>
              </w:rPr>
              <w:t>–</w:t>
            </w:r>
            <w:r w:rsidRPr="00354301">
              <w:t>0.89)</w:t>
            </w:r>
          </w:p>
        </w:tc>
        <w:tc>
          <w:tcPr>
            <w:tcW w:w="471" w:type="pct"/>
          </w:tcPr>
          <w:p w14:paraId="19D76334" w14:textId="01FF3619" w:rsidR="00876530" w:rsidRPr="00354301" w:rsidRDefault="00876530" w:rsidP="00876530">
            <w:pPr>
              <w:pStyle w:val="TableText"/>
              <w:spacing w:before="0" w:after="0"/>
            </w:pPr>
            <w:r>
              <w:t>p</w:t>
            </w:r>
            <w:r w:rsidRPr="00354301">
              <w:t>&lt;0.001</w:t>
            </w:r>
          </w:p>
        </w:tc>
        <w:tc>
          <w:tcPr>
            <w:tcW w:w="786" w:type="pct"/>
          </w:tcPr>
          <w:p w14:paraId="42E68184" w14:textId="688B6E67" w:rsidR="00876530" w:rsidRPr="00354301" w:rsidRDefault="00876530" w:rsidP="00876530">
            <w:pPr>
              <w:pStyle w:val="TableText"/>
              <w:spacing w:before="0" w:after="0"/>
            </w:pPr>
            <w:r w:rsidRPr="00354301">
              <w:t>0.69 (0.63</w:t>
            </w:r>
            <w:r w:rsidRPr="00354301">
              <w:rPr>
                <w:rFonts w:hint="eastAsia"/>
              </w:rPr>
              <w:t>–</w:t>
            </w:r>
            <w:r w:rsidRPr="00354301">
              <w:t>0.76)</w:t>
            </w:r>
          </w:p>
        </w:tc>
        <w:tc>
          <w:tcPr>
            <w:tcW w:w="443" w:type="pct"/>
          </w:tcPr>
          <w:p w14:paraId="17051AA8" w14:textId="318F81FB" w:rsidR="00876530" w:rsidRPr="00354301" w:rsidRDefault="00876530" w:rsidP="00876530">
            <w:pPr>
              <w:pStyle w:val="TableText"/>
              <w:spacing w:before="0" w:after="0"/>
            </w:pPr>
            <w:r>
              <w:t>p</w:t>
            </w:r>
            <w:r w:rsidRPr="00354301">
              <w:t>&lt;0.001</w:t>
            </w:r>
          </w:p>
        </w:tc>
      </w:tr>
      <w:tr w:rsidR="00876530" w:rsidRPr="004F7F3F" w14:paraId="49D399EB" w14:textId="2AD52504" w:rsidTr="000F28A2">
        <w:tc>
          <w:tcPr>
            <w:tcW w:w="1098" w:type="pct"/>
          </w:tcPr>
          <w:p w14:paraId="4209F912" w14:textId="77777777" w:rsidR="00876530" w:rsidRPr="00354301" w:rsidRDefault="00876530" w:rsidP="00876530">
            <w:pPr>
              <w:pStyle w:val="TableText"/>
              <w:spacing w:before="0" w:after="0"/>
            </w:pPr>
            <w:r w:rsidRPr="00354301">
              <w:t>Birth &lt;32 weeks</w:t>
            </w:r>
          </w:p>
        </w:tc>
        <w:tc>
          <w:tcPr>
            <w:tcW w:w="708" w:type="pct"/>
          </w:tcPr>
          <w:p w14:paraId="13A51084" w14:textId="77777777" w:rsidR="00876530" w:rsidRPr="00354301" w:rsidRDefault="00876530" w:rsidP="00876530">
            <w:pPr>
              <w:pStyle w:val="TableText"/>
              <w:spacing w:before="0" w:after="0"/>
            </w:pPr>
            <w:r w:rsidRPr="00354301">
              <w:t>278 (0.9)</w:t>
            </w:r>
          </w:p>
        </w:tc>
        <w:tc>
          <w:tcPr>
            <w:tcW w:w="707" w:type="pct"/>
          </w:tcPr>
          <w:p w14:paraId="3E775DC9" w14:textId="77777777" w:rsidR="00876530" w:rsidRPr="00354301" w:rsidRDefault="00876530" w:rsidP="00876530">
            <w:pPr>
              <w:pStyle w:val="TableText"/>
              <w:spacing w:before="0" w:after="0"/>
            </w:pPr>
            <w:r w:rsidRPr="00354301">
              <w:t>4435 (1.5)</w:t>
            </w:r>
          </w:p>
        </w:tc>
        <w:tc>
          <w:tcPr>
            <w:tcW w:w="786" w:type="pct"/>
          </w:tcPr>
          <w:p w14:paraId="6AA45374" w14:textId="643B8B3D" w:rsidR="00876530" w:rsidRPr="00354301" w:rsidRDefault="00876530" w:rsidP="00876530">
            <w:pPr>
              <w:pStyle w:val="TableText"/>
              <w:spacing w:before="0" w:after="0"/>
            </w:pPr>
            <w:r w:rsidRPr="00354301">
              <w:t>0.64 (0.57</w:t>
            </w:r>
            <w:r w:rsidRPr="00354301">
              <w:rPr>
                <w:rFonts w:hint="eastAsia"/>
              </w:rPr>
              <w:t>–</w:t>
            </w:r>
            <w:r w:rsidRPr="00354301">
              <w:t>0.72)</w:t>
            </w:r>
          </w:p>
        </w:tc>
        <w:tc>
          <w:tcPr>
            <w:tcW w:w="471" w:type="pct"/>
          </w:tcPr>
          <w:p w14:paraId="778953ED" w14:textId="36CB11C2" w:rsidR="00876530" w:rsidRPr="00354301" w:rsidRDefault="00876530" w:rsidP="00876530">
            <w:pPr>
              <w:pStyle w:val="TableText"/>
              <w:spacing w:before="0" w:after="0"/>
            </w:pPr>
            <w:r>
              <w:t>p</w:t>
            </w:r>
            <w:r w:rsidRPr="00354301">
              <w:t>&lt;0.001</w:t>
            </w:r>
          </w:p>
        </w:tc>
        <w:tc>
          <w:tcPr>
            <w:tcW w:w="786" w:type="pct"/>
          </w:tcPr>
          <w:p w14:paraId="6BC042E7" w14:textId="4E4F2E8C" w:rsidR="00876530" w:rsidRPr="00354301" w:rsidRDefault="00876530" w:rsidP="00876530">
            <w:pPr>
              <w:pStyle w:val="TableText"/>
              <w:spacing w:before="0" w:after="0"/>
            </w:pPr>
            <w:r w:rsidRPr="00354301">
              <w:t>0.83 (0.74</w:t>
            </w:r>
            <w:r w:rsidRPr="00354301">
              <w:rPr>
                <w:rFonts w:hint="eastAsia"/>
              </w:rPr>
              <w:t>–</w:t>
            </w:r>
            <w:r w:rsidRPr="00354301">
              <w:t>0.95)</w:t>
            </w:r>
          </w:p>
        </w:tc>
        <w:tc>
          <w:tcPr>
            <w:tcW w:w="443" w:type="pct"/>
          </w:tcPr>
          <w:p w14:paraId="4DF9C964" w14:textId="0B9E658E" w:rsidR="00876530" w:rsidRPr="00354301" w:rsidRDefault="00876530" w:rsidP="00876530">
            <w:pPr>
              <w:pStyle w:val="TableText"/>
              <w:spacing w:before="0" w:after="0"/>
            </w:pPr>
            <w:r>
              <w:t>p=</w:t>
            </w:r>
            <w:r w:rsidRPr="00354301">
              <w:t>0.00</w:t>
            </w:r>
            <w:r>
              <w:t>4</w:t>
            </w:r>
          </w:p>
        </w:tc>
      </w:tr>
      <w:tr w:rsidR="00876530" w:rsidRPr="004F7F3F" w14:paraId="22A4A75D" w14:textId="2435D047" w:rsidTr="000F28A2">
        <w:tc>
          <w:tcPr>
            <w:tcW w:w="1098" w:type="pct"/>
          </w:tcPr>
          <w:p w14:paraId="55C4ABE7" w14:textId="77777777" w:rsidR="00876530" w:rsidRPr="00354301" w:rsidRDefault="00876530" w:rsidP="00876530">
            <w:pPr>
              <w:pStyle w:val="TableText"/>
              <w:spacing w:before="0" w:after="0"/>
            </w:pPr>
            <w:r w:rsidRPr="00354301">
              <w:t>Birth &lt;37 weeks</w:t>
            </w:r>
          </w:p>
        </w:tc>
        <w:tc>
          <w:tcPr>
            <w:tcW w:w="708" w:type="pct"/>
          </w:tcPr>
          <w:p w14:paraId="7503AD75" w14:textId="77777777" w:rsidR="00876530" w:rsidRPr="00354301" w:rsidRDefault="00876530" w:rsidP="00876530">
            <w:pPr>
              <w:pStyle w:val="TableText"/>
              <w:spacing w:before="0" w:after="0"/>
            </w:pPr>
            <w:r w:rsidRPr="00354301">
              <w:t>1736 (5.9)</w:t>
            </w:r>
          </w:p>
        </w:tc>
        <w:tc>
          <w:tcPr>
            <w:tcW w:w="707" w:type="pct"/>
          </w:tcPr>
          <w:p w14:paraId="29225AF7" w14:textId="77777777" w:rsidR="00876530" w:rsidRPr="00354301" w:rsidRDefault="00876530" w:rsidP="00876530">
            <w:pPr>
              <w:pStyle w:val="TableText"/>
              <w:spacing w:before="0" w:after="0"/>
            </w:pPr>
            <w:r w:rsidRPr="00354301">
              <w:t>21,283 (7.1)</w:t>
            </w:r>
          </w:p>
        </w:tc>
        <w:tc>
          <w:tcPr>
            <w:tcW w:w="786" w:type="pct"/>
          </w:tcPr>
          <w:p w14:paraId="2E428AB3" w14:textId="14C1A488" w:rsidR="00876530" w:rsidRPr="00354301" w:rsidRDefault="00876530" w:rsidP="00876530">
            <w:pPr>
              <w:pStyle w:val="TableText"/>
              <w:spacing w:before="0" w:after="0"/>
            </w:pPr>
            <w:r w:rsidRPr="00354301">
              <w:t>0.83 (0.79</w:t>
            </w:r>
            <w:r w:rsidRPr="00354301">
              <w:rPr>
                <w:rFonts w:hint="eastAsia"/>
              </w:rPr>
              <w:t>–</w:t>
            </w:r>
            <w:r w:rsidRPr="00354301">
              <w:t>0.87)</w:t>
            </w:r>
          </w:p>
        </w:tc>
        <w:tc>
          <w:tcPr>
            <w:tcW w:w="471" w:type="pct"/>
          </w:tcPr>
          <w:p w14:paraId="390E789D" w14:textId="27750D8E" w:rsidR="00876530" w:rsidRPr="00354301" w:rsidRDefault="00876530" w:rsidP="00876530">
            <w:pPr>
              <w:pStyle w:val="TableText"/>
              <w:spacing w:before="0" w:after="0"/>
            </w:pPr>
            <w:r>
              <w:t>p</w:t>
            </w:r>
            <w:r w:rsidRPr="00354301">
              <w:t>&lt;0.001</w:t>
            </w:r>
          </w:p>
        </w:tc>
        <w:tc>
          <w:tcPr>
            <w:tcW w:w="786" w:type="pct"/>
          </w:tcPr>
          <w:p w14:paraId="42967F76" w14:textId="0EA26A9A" w:rsidR="00876530" w:rsidRPr="00354301" w:rsidRDefault="00876530" w:rsidP="00876530">
            <w:pPr>
              <w:pStyle w:val="TableText"/>
              <w:spacing w:before="0" w:after="0"/>
            </w:pPr>
            <w:r w:rsidRPr="00354301">
              <w:t>0.92 (0.88</w:t>
            </w:r>
            <w:r w:rsidRPr="00354301">
              <w:rPr>
                <w:rFonts w:hint="eastAsia"/>
              </w:rPr>
              <w:t>–</w:t>
            </w:r>
            <w:r w:rsidRPr="00354301">
              <w:t>0.97)</w:t>
            </w:r>
          </w:p>
        </w:tc>
        <w:tc>
          <w:tcPr>
            <w:tcW w:w="443" w:type="pct"/>
          </w:tcPr>
          <w:p w14:paraId="3F83EE76" w14:textId="63714AA0" w:rsidR="00876530" w:rsidRPr="00354301" w:rsidRDefault="00876530" w:rsidP="00876530">
            <w:pPr>
              <w:pStyle w:val="TableText"/>
              <w:spacing w:before="0" w:after="0"/>
            </w:pPr>
            <w:r>
              <w:t>p=</w:t>
            </w:r>
            <w:r w:rsidRPr="00354301">
              <w:t>0.001</w:t>
            </w:r>
          </w:p>
        </w:tc>
      </w:tr>
      <w:tr w:rsidR="00876530" w:rsidRPr="004F7F3F" w14:paraId="31EF2314" w14:textId="36EBBB6A" w:rsidTr="000F28A2">
        <w:tc>
          <w:tcPr>
            <w:tcW w:w="1098" w:type="pct"/>
          </w:tcPr>
          <w:p w14:paraId="21B557EE" w14:textId="77777777" w:rsidR="00876530" w:rsidRPr="00354301" w:rsidRDefault="00876530" w:rsidP="00876530">
            <w:pPr>
              <w:pStyle w:val="TableText"/>
              <w:spacing w:before="0" w:after="0"/>
            </w:pPr>
            <w:r w:rsidRPr="00354301">
              <w:t>Birthweight &lt;2500g</w:t>
            </w:r>
          </w:p>
        </w:tc>
        <w:tc>
          <w:tcPr>
            <w:tcW w:w="708" w:type="pct"/>
          </w:tcPr>
          <w:p w14:paraId="44FB0154" w14:textId="77777777" w:rsidR="00876530" w:rsidRPr="00354301" w:rsidRDefault="00876530" w:rsidP="00876530">
            <w:pPr>
              <w:pStyle w:val="TableText"/>
              <w:spacing w:before="0" w:after="0"/>
            </w:pPr>
            <w:r w:rsidRPr="00354301">
              <w:t>1354 (4.6)</w:t>
            </w:r>
          </w:p>
        </w:tc>
        <w:tc>
          <w:tcPr>
            <w:tcW w:w="707" w:type="pct"/>
          </w:tcPr>
          <w:p w14:paraId="6C6ED25F" w14:textId="77777777" w:rsidR="00876530" w:rsidRPr="00354301" w:rsidRDefault="00876530" w:rsidP="00876530">
            <w:pPr>
              <w:pStyle w:val="TableText"/>
              <w:spacing w:before="0" w:after="0"/>
            </w:pPr>
            <w:r w:rsidRPr="00354301">
              <w:t>17,295 (5.7)</w:t>
            </w:r>
          </w:p>
        </w:tc>
        <w:tc>
          <w:tcPr>
            <w:tcW w:w="786" w:type="pct"/>
          </w:tcPr>
          <w:p w14:paraId="20C2AF13" w14:textId="0F142369" w:rsidR="00876530" w:rsidRPr="00354301" w:rsidRDefault="00876530" w:rsidP="00876530">
            <w:pPr>
              <w:pStyle w:val="TableText"/>
              <w:spacing w:before="0" w:after="0"/>
            </w:pPr>
            <w:r w:rsidRPr="00354301">
              <w:t>0.80 (0.76</w:t>
            </w:r>
            <w:r w:rsidRPr="00354301">
              <w:rPr>
                <w:rFonts w:hint="eastAsia"/>
              </w:rPr>
              <w:t>–</w:t>
            </w:r>
            <w:r w:rsidRPr="00354301">
              <w:t>0.84)</w:t>
            </w:r>
          </w:p>
        </w:tc>
        <w:tc>
          <w:tcPr>
            <w:tcW w:w="471" w:type="pct"/>
          </w:tcPr>
          <w:p w14:paraId="10B108D3" w14:textId="5095D567" w:rsidR="00876530" w:rsidRPr="00354301" w:rsidRDefault="00876530" w:rsidP="00876530">
            <w:pPr>
              <w:pStyle w:val="TableText"/>
              <w:spacing w:before="0" w:after="0"/>
            </w:pPr>
            <w:r>
              <w:t>p</w:t>
            </w:r>
            <w:r w:rsidRPr="00354301">
              <w:t>&lt;0.001</w:t>
            </w:r>
          </w:p>
        </w:tc>
        <w:tc>
          <w:tcPr>
            <w:tcW w:w="786" w:type="pct"/>
          </w:tcPr>
          <w:p w14:paraId="46AB3A7A" w14:textId="515C7273" w:rsidR="00876530" w:rsidRPr="00354301" w:rsidRDefault="00876530" w:rsidP="00876530">
            <w:pPr>
              <w:pStyle w:val="TableText"/>
              <w:spacing w:before="0" w:after="0"/>
            </w:pPr>
            <w:r w:rsidRPr="00354301">
              <w:t>0.89 (0.85</w:t>
            </w:r>
            <w:r w:rsidRPr="00354301">
              <w:rPr>
                <w:rFonts w:hint="eastAsia"/>
              </w:rPr>
              <w:t>–</w:t>
            </w:r>
            <w:r w:rsidRPr="00354301">
              <w:t>0.94)</w:t>
            </w:r>
          </w:p>
        </w:tc>
        <w:tc>
          <w:tcPr>
            <w:tcW w:w="443" w:type="pct"/>
          </w:tcPr>
          <w:p w14:paraId="0C81A475" w14:textId="5F53AB7C" w:rsidR="00876530" w:rsidRPr="00354301" w:rsidRDefault="00876530" w:rsidP="00876530">
            <w:pPr>
              <w:pStyle w:val="TableText"/>
              <w:spacing w:before="0" w:after="0"/>
            </w:pPr>
            <w:r>
              <w:t>p</w:t>
            </w:r>
            <w:r w:rsidRPr="00354301">
              <w:t>&lt;0.001</w:t>
            </w:r>
          </w:p>
        </w:tc>
      </w:tr>
    </w:tbl>
    <w:p w14:paraId="3E21780E" w14:textId="73ECDE69" w:rsidR="0066686E" w:rsidRDefault="0066686E" w:rsidP="0066686E">
      <w:pPr>
        <w:pStyle w:val="Tablenotes0"/>
      </w:pPr>
      <w:r>
        <w:t>Source:</w:t>
      </w:r>
      <w:r w:rsidR="00537BAA">
        <w:t xml:space="preserve"> Ro</w:t>
      </w:r>
      <w:r w:rsidR="00EB75CC">
        <w:t>l</w:t>
      </w:r>
      <w:r w:rsidR="00537BAA">
        <w:t>nik et al</w:t>
      </w:r>
      <w:r w:rsidR="00491CFB">
        <w:t xml:space="preserve">., </w:t>
      </w:r>
      <w:r w:rsidR="00537BAA">
        <w:t>2021</w:t>
      </w:r>
      <w:r w:rsidR="00491CFB">
        <w:t>,</w:t>
      </w:r>
      <w:r>
        <w:t xml:space="preserve"> Table 2</w:t>
      </w:r>
      <w:r w:rsidR="00BB182F">
        <w:t>.</w:t>
      </w:r>
    </w:p>
    <w:p w14:paraId="23EC5AD8" w14:textId="611D5861" w:rsidR="004B258C" w:rsidRPr="00F566AD" w:rsidRDefault="004B258C" w:rsidP="0066686E">
      <w:pPr>
        <w:pStyle w:val="Tablenotes0"/>
      </w:pPr>
      <w:r w:rsidRPr="00F566AD">
        <w:t xml:space="preserve">Risk ratios adjusted with modified Poisson models for age, body mass index, parity, socioeconomic status as given by IRSD (Index of Relative Socioeconomic Disadvantage), smoking, chronic hypertension, systemic lupus erythematosus, antiphospholipid syndrome, and </w:t>
      </w:r>
      <w:r w:rsidR="00491CFB" w:rsidRPr="005635EB">
        <w:t>pre-existing</w:t>
      </w:r>
      <w:r w:rsidRPr="00F566AD">
        <w:t xml:space="preserve"> diabetes.</w:t>
      </w:r>
    </w:p>
    <w:p w14:paraId="461885DC" w14:textId="5C6C33D8" w:rsidR="000F0B5E" w:rsidRDefault="000F0B5E" w:rsidP="000F0B5E">
      <w:pPr>
        <w:pStyle w:val="Caption"/>
      </w:pPr>
      <w:bookmarkStart w:id="25" w:name="_Ref141871577"/>
      <w:r>
        <w:t>Table</w:t>
      </w:r>
      <w:r w:rsidR="00DF47F5">
        <w:t xml:space="preserve"> 11</w:t>
      </w:r>
      <w:bookmarkEnd w:id="25"/>
      <w:r w:rsidR="00AB7AFF">
        <w:tab/>
      </w:r>
      <w:r w:rsidRPr="008937A5">
        <w:t>Direct from test to health outcomes from Rolnik et al., 2021 (risk subgroup)</w:t>
      </w:r>
      <w:r w:rsidR="004C7544">
        <w:t>.</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272"/>
        <w:gridCol w:w="1700"/>
        <w:gridCol w:w="1560"/>
        <w:gridCol w:w="1700"/>
        <w:gridCol w:w="1560"/>
        <w:gridCol w:w="1224"/>
      </w:tblGrid>
      <w:tr w:rsidR="00876530" w:rsidRPr="004F7F3F" w14:paraId="064BE402" w14:textId="77777777" w:rsidTr="00970246">
        <w:tc>
          <w:tcPr>
            <w:tcW w:w="705" w:type="pct"/>
            <w:shd w:val="clear" w:color="auto" w:fill="auto"/>
          </w:tcPr>
          <w:p w14:paraId="2A6CDA2C" w14:textId="77777777" w:rsidR="0066686E" w:rsidRPr="004F7F3F" w:rsidRDefault="0066686E" w:rsidP="00876530">
            <w:pPr>
              <w:pStyle w:val="TableHeading0"/>
              <w:spacing w:before="0" w:after="0"/>
            </w:pPr>
            <w:r w:rsidRPr="004F7F3F">
              <w:t>Outcome</w:t>
            </w:r>
          </w:p>
        </w:tc>
        <w:tc>
          <w:tcPr>
            <w:tcW w:w="943" w:type="pct"/>
            <w:shd w:val="clear" w:color="auto" w:fill="auto"/>
          </w:tcPr>
          <w:p w14:paraId="23E7C44C" w14:textId="79199D34" w:rsidR="0066686E" w:rsidRPr="004F7F3F" w:rsidRDefault="0066686E" w:rsidP="00876530">
            <w:pPr>
              <w:pStyle w:val="TableHeading0"/>
              <w:spacing w:before="0" w:after="0"/>
            </w:pPr>
            <w:r w:rsidRPr="004F7F3F">
              <w:t xml:space="preserve">High risk </w:t>
            </w:r>
            <w:r w:rsidR="00876530">
              <w:t>(</w:t>
            </w:r>
            <w:r w:rsidRPr="004F7F3F">
              <w:rPr>
                <w:rFonts w:hint="eastAsia"/>
              </w:rPr>
              <w:t>≥</w:t>
            </w:r>
            <w:r w:rsidRPr="004F7F3F">
              <w:t>1 in</w:t>
            </w:r>
            <w:r w:rsidR="00876530">
              <w:t xml:space="preserve"> </w:t>
            </w:r>
            <w:r w:rsidRPr="004F7F3F">
              <w:t>100</w:t>
            </w:r>
            <w:r w:rsidR="00876530">
              <w:t>)</w:t>
            </w:r>
            <w:r w:rsidRPr="004F7F3F">
              <w:t xml:space="preserve"> </w:t>
            </w:r>
            <w:r w:rsidRPr="00876530">
              <w:rPr>
                <w:b w:val="0"/>
                <w:bCs/>
              </w:rPr>
              <w:t>(n=4,068)</w:t>
            </w:r>
          </w:p>
        </w:tc>
        <w:tc>
          <w:tcPr>
            <w:tcW w:w="865" w:type="pct"/>
            <w:shd w:val="clear" w:color="auto" w:fill="auto"/>
          </w:tcPr>
          <w:p w14:paraId="0D624D09" w14:textId="77777777" w:rsidR="0066686E" w:rsidRPr="004F7F3F" w:rsidRDefault="0066686E" w:rsidP="00876530">
            <w:pPr>
              <w:pStyle w:val="TableHeading0"/>
              <w:spacing w:before="0" w:after="0"/>
            </w:pPr>
            <w:r w:rsidRPr="004F7F3F">
              <w:t>Risk ratio</w:t>
            </w:r>
          </w:p>
          <w:p w14:paraId="0F32194E" w14:textId="77777777" w:rsidR="0066686E" w:rsidRPr="004F7F3F" w:rsidRDefault="0066686E" w:rsidP="00876530">
            <w:pPr>
              <w:pStyle w:val="TableHeading0"/>
              <w:spacing w:before="0" w:after="0"/>
            </w:pPr>
            <w:r w:rsidRPr="004F7F3F">
              <w:t>(95% CI)</w:t>
            </w:r>
          </w:p>
        </w:tc>
        <w:tc>
          <w:tcPr>
            <w:tcW w:w="943" w:type="pct"/>
            <w:shd w:val="clear" w:color="auto" w:fill="auto"/>
          </w:tcPr>
          <w:p w14:paraId="1001804F" w14:textId="1AC7BCD8" w:rsidR="0066686E" w:rsidRPr="004F7F3F" w:rsidRDefault="0066686E" w:rsidP="00876530">
            <w:pPr>
              <w:pStyle w:val="TableHeading0"/>
              <w:spacing w:before="0" w:after="0"/>
            </w:pPr>
            <w:r w:rsidRPr="004F7F3F">
              <w:t xml:space="preserve">Low risk </w:t>
            </w:r>
            <w:r w:rsidR="00876530">
              <w:t>(</w:t>
            </w:r>
            <w:r w:rsidRPr="004F7F3F">
              <w:t>&lt;1 in 100</w:t>
            </w:r>
            <w:r w:rsidR="00876530">
              <w:t>)</w:t>
            </w:r>
          </w:p>
          <w:p w14:paraId="24A4084E" w14:textId="009A42AF" w:rsidR="0066686E" w:rsidRPr="00876530" w:rsidRDefault="0066686E" w:rsidP="00876530">
            <w:pPr>
              <w:pStyle w:val="TableHeading0"/>
              <w:spacing w:before="0" w:after="0"/>
              <w:rPr>
                <w:b w:val="0"/>
                <w:bCs/>
              </w:rPr>
            </w:pPr>
            <w:r w:rsidRPr="00876530">
              <w:rPr>
                <w:b w:val="0"/>
                <w:bCs/>
              </w:rPr>
              <w:t>(n=25,550)</w:t>
            </w:r>
          </w:p>
        </w:tc>
        <w:tc>
          <w:tcPr>
            <w:tcW w:w="865" w:type="pct"/>
            <w:shd w:val="clear" w:color="auto" w:fill="auto"/>
          </w:tcPr>
          <w:p w14:paraId="0D241E7A" w14:textId="77777777" w:rsidR="007E26CB" w:rsidRPr="004F7F3F" w:rsidRDefault="007E26CB" w:rsidP="007E26CB">
            <w:pPr>
              <w:pStyle w:val="TableHeading0"/>
              <w:spacing w:before="0" w:after="0"/>
            </w:pPr>
            <w:r w:rsidRPr="004F7F3F">
              <w:t>Risk ratio</w:t>
            </w:r>
          </w:p>
          <w:p w14:paraId="69D66BF0" w14:textId="3DD47334" w:rsidR="0066686E" w:rsidRPr="004F7F3F" w:rsidRDefault="0066686E" w:rsidP="00876530">
            <w:pPr>
              <w:pStyle w:val="TableHeading0"/>
              <w:spacing w:before="0" w:after="0"/>
            </w:pPr>
            <w:r w:rsidRPr="004F7F3F">
              <w:t>(95% CI)</w:t>
            </w:r>
          </w:p>
        </w:tc>
        <w:tc>
          <w:tcPr>
            <w:tcW w:w="679" w:type="pct"/>
            <w:shd w:val="clear" w:color="auto" w:fill="auto"/>
          </w:tcPr>
          <w:p w14:paraId="61F7C168" w14:textId="1401A7FC" w:rsidR="0066686E" w:rsidRPr="004F7F3F" w:rsidRDefault="00876530" w:rsidP="00876530">
            <w:pPr>
              <w:pStyle w:val="TableHeading0"/>
              <w:spacing w:before="0" w:after="0"/>
            </w:pPr>
            <w:r>
              <w:t>SoC</w:t>
            </w:r>
          </w:p>
          <w:p w14:paraId="78C3B035" w14:textId="7F92FE22" w:rsidR="0066686E" w:rsidRPr="004F7F3F" w:rsidRDefault="0066686E" w:rsidP="00876530">
            <w:pPr>
              <w:pStyle w:val="TableHeading0"/>
              <w:spacing w:before="0" w:after="0"/>
            </w:pPr>
            <w:r w:rsidRPr="004F7F3F">
              <w:t>(n=301,566)</w:t>
            </w:r>
          </w:p>
        </w:tc>
      </w:tr>
      <w:tr w:rsidR="00876530" w:rsidRPr="004F7F3F" w14:paraId="51D78357" w14:textId="77777777" w:rsidTr="000F28A2">
        <w:tc>
          <w:tcPr>
            <w:tcW w:w="705" w:type="pct"/>
          </w:tcPr>
          <w:p w14:paraId="2876D2DB" w14:textId="77777777" w:rsidR="0066686E" w:rsidRPr="004F7F3F" w:rsidRDefault="0066686E" w:rsidP="00876530">
            <w:pPr>
              <w:pStyle w:val="TableText"/>
              <w:spacing w:before="0" w:after="0"/>
            </w:pPr>
            <w:r w:rsidRPr="004F7F3F">
              <w:t xml:space="preserve">Preterm </w:t>
            </w:r>
            <w:r>
              <w:t>preeclampsia</w:t>
            </w:r>
          </w:p>
        </w:tc>
        <w:tc>
          <w:tcPr>
            <w:tcW w:w="943" w:type="pct"/>
          </w:tcPr>
          <w:p w14:paraId="7183E2E3" w14:textId="77777777" w:rsidR="0066686E" w:rsidRPr="004F7F3F" w:rsidRDefault="0066686E" w:rsidP="00876530">
            <w:pPr>
              <w:pStyle w:val="TableText"/>
              <w:spacing w:before="0" w:after="0"/>
            </w:pPr>
            <w:r w:rsidRPr="004F7F3F">
              <w:t xml:space="preserve">86 (2.1) </w:t>
            </w:r>
          </w:p>
        </w:tc>
        <w:tc>
          <w:tcPr>
            <w:tcW w:w="865" w:type="pct"/>
          </w:tcPr>
          <w:p w14:paraId="6BA41BAB" w14:textId="77777777" w:rsidR="0066686E" w:rsidRPr="004F7F3F" w:rsidRDefault="0066686E" w:rsidP="00876530">
            <w:pPr>
              <w:pStyle w:val="TableText"/>
              <w:spacing w:before="0" w:after="0"/>
            </w:pPr>
            <w:r w:rsidRPr="004F7F3F">
              <w:t>3.04 (2.46</w:t>
            </w:r>
            <w:r w:rsidRPr="004F7F3F">
              <w:rPr>
                <w:rFonts w:hint="eastAsia"/>
              </w:rPr>
              <w:t>–</w:t>
            </w:r>
            <w:r w:rsidRPr="004F7F3F">
              <w:t>3.77)</w:t>
            </w:r>
          </w:p>
          <w:p w14:paraId="11C65D0B" w14:textId="389E0746" w:rsidR="0066686E" w:rsidRPr="004F7F3F" w:rsidRDefault="008D6D12" w:rsidP="00876530">
            <w:pPr>
              <w:pStyle w:val="TableText"/>
              <w:spacing w:before="0" w:after="0"/>
            </w:pPr>
            <w:r>
              <w:t>p</w:t>
            </w:r>
            <w:r w:rsidRPr="00354301">
              <w:t>&lt;0.001</w:t>
            </w:r>
          </w:p>
        </w:tc>
        <w:tc>
          <w:tcPr>
            <w:tcW w:w="943" w:type="pct"/>
          </w:tcPr>
          <w:p w14:paraId="01EC3475" w14:textId="77777777" w:rsidR="0066686E" w:rsidRPr="004F7F3F" w:rsidRDefault="0066686E" w:rsidP="00876530">
            <w:pPr>
              <w:pStyle w:val="TableText"/>
              <w:spacing w:before="0" w:after="0"/>
            </w:pPr>
            <w:r w:rsidRPr="004F7F3F">
              <w:t>46 (0.2)</w:t>
            </w:r>
          </w:p>
        </w:tc>
        <w:tc>
          <w:tcPr>
            <w:tcW w:w="865" w:type="pct"/>
          </w:tcPr>
          <w:p w14:paraId="5DA52E97" w14:textId="77777777" w:rsidR="0066686E" w:rsidRPr="004F7F3F" w:rsidRDefault="0066686E" w:rsidP="00876530">
            <w:pPr>
              <w:pStyle w:val="TableText"/>
              <w:spacing w:before="0" w:after="0"/>
            </w:pPr>
            <w:r w:rsidRPr="004F7F3F">
              <w:t>0.26 (0.19</w:t>
            </w:r>
            <w:r w:rsidRPr="004F7F3F">
              <w:rPr>
                <w:rFonts w:hint="eastAsia"/>
              </w:rPr>
              <w:t>–</w:t>
            </w:r>
            <w:r w:rsidRPr="004F7F3F">
              <w:t>0.35)</w:t>
            </w:r>
          </w:p>
          <w:p w14:paraId="24F938A4" w14:textId="7BCFBF0B" w:rsidR="0066686E" w:rsidRPr="004F7F3F" w:rsidRDefault="008D6D12" w:rsidP="00876530">
            <w:pPr>
              <w:pStyle w:val="TableText"/>
              <w:spacing w:before="0" w:after="0"/>
            </w:pPr>
            <w:r>
              <w:t>p</w:t>
            </w:r>
            <w:r w:rsidRPr="00354301">
              <w:t>&lt;0.001</w:t>
            </w:r>
          </w:p>
        </w:tc>
        <w:tc>
          <w:tcPr>
            <w:tcW w:w="679" w:type="pct"/>
          </w:tcPr>
          <w:p w14:paraId="07FEB7A2" w14:textId="77777777" w:rsidR="0066686E" w:rsidRPr="004F7F3F" w:rsidRDefault="0066686E" w:rsidP="00876530">
            <w:pPr>
              <w:pStyle w:val="TableText"/>
              <w:spacing w:before="0" w:after="0"/>
            </w:pPr>
            <w:r w:rsidRPr="004F7F3F">
              <w:t>2</w:t>
            </w:r>
            <w:r>
              <w:t>,</w:t>
            </w:r>
            <w:r w:rsidRPr="004F7F3F">
              <w:t>096 (0.7)</w:t>
            </w:r>
          </w:p>
        </w:tc>
      </w:tr>
      <w:tr w:rsidR="00876530" w:rsidRPr="004F7F3F" w14:paraId="0126DB99" w14:textId="77777777" w:rsidTr="000F28A2">
        <w:tc>
          <w:tcPr>
            <w:tcW w:w="705" w:type="pct"/>
          </w:tcPr>
          <w:p w14:paraId="53D67101" w14:textId="77777777" w:rsidR="0066686E" w:rsidRPr="004F7F3F" w:rsidRDefault="0066686E" w:rsidP="00876530">
            <w:pPr>
              <w:pStyle w:val="TableText"/>
              <w:spacing w:before="0" w:after="0"/>
            </w:pPr>
            <w:r w:rsidRPr="004F7F3F">
              <w:t>Birth &lt;37 weeks</w:t>
            </w:r>
          </w:p>
        </w:tc>
        <w:tc>
          <w:tcPr>
            <w:tcW w:w="943" w:type="pct"/>
          </w:tcPr>
          <w:p w14:paraId="64BA0961" w14:textId="77777777" w:rsidR="0066686E" w:rsidRPr="004F7F3F" w:rsidRDefault="0066686E" w:rsidP="00876530">
            <w:pPr>
              <w:pStyle w:val="TableText"/>
              <w:spacing w:before="0" w:after="0"/>
            </w:pPr>
            <w:r w:rsidRPr="004F7F3F">
              <w:t>466 (11.5)</w:t>
            </w:r>
          </w:p>
        </w:tc>
        <w:tc>
          <w:tcPr>
            <w:tcW w:w="865" w:type="pct"/>
          </w:tcPr>
          <w:p w14:paraId="5006BC28" w14:textId="77777777" w:rsidR="0066686E" w:rsidRPr="004F7F3F" w:rsidRDefault="0066686E" w:rsidP="00876530">
            <w:pPr>
              <w:pStyle w:val="TableText"/>
              <w:spacing w:before="0" w:after="0"/>
            </w:pPr>
            <w:r w:rsidRPr="004F7F3F">
              <w:t>1.62 (1.49</w:t>
            </w:r>
            <w:r w:rsidRPr="004F7F3F">
              <w:rPr>
                <w:rFonts w:hint="eastAsia"/>
              </w:rPr>
              <w:t>–</w:t>
            </w:r>
            <w:r w:rsidRPr="004F7F3F">
              <w:t>1.77)</w:t>
            </w:r>
          </w:p>
          <w:p w14:paraId="2D6D3648" w14:textId="3EA0E66F" w:rsidR="0066686E" w:rsidRPr="004F7F3F" w:rsidRDefault="008D6D12" w:rsidP="00876530">
            <w:pPr>
              <w:pStyle w:val="TableText"/>
              <w:spacing w:before="0" w:after="0"/>
            </w:pPr>
            <w:r>
              <w:t>p</w:t>
            </w:r>
            <w:r w:rsidRPr="00354301">
              <w:t>&lt;0.001</w:t>
            </w:r>
          </w:p>
        </w:tc>
        <w:tc>
          <w:tcPr>
            <w:tcW w:w="943" w:type="pct"/>
          </w:tcPr>
          <w:p w14:paraId="51C82346" w14:textId="77777777" w:rsidR="0066686E" w:rsidRPr="004F7F3F" w:rsidRDefault="0066686E" w:rsidP="00876530">
            <w:pPr>
              <w:pStyle w:val="TableText"/>
              <w:spacing w:before="0" w:after="0"/>
            </w:pPr>
            <w:r w:rsidRPr="004F7F3F">
              <w:t>1270 (5.0)</w:t>
            </w:r>
          </w:p>
        </w:tc>
        <w:tc>
          <w:tcPr>
            <w:tcW w:w="865" w:type="pct"/>
          </w:tcPr>
          <w:p w14:paraId="05FE1A56" w14:textId="77777777" w:rsidR="0066686E" w:rsidRPr="004F7F3F" w:rsidRDefault="0066686E" w:rsidP="00876530">
            <w:pPr>
              <w:pStyle w:val="TableText"/>
              <w:spacing w:before="0" w:after="0"/>
            </w:pPr>
            <w:r w:rsidRPr="004F7F3F">
              <w:t>0.70 (0.67</w:t>
            </w:r>
            <w:r w:rsidRPr="004F7F3F">
              <w:rPr>
                <w:rFonts w:hint="eastAsia"/>
              </w:rPr>
              <w:t>–</w:t>
            </w:r>
            <w:r w:rsidRPr="004F7F3F">
              <w:t>0.74)</w:t>
            </w:r>
          </w:p>
          <w:p w14:paraId="004509EC" w14:textId="69AC995D" w:rsidR="0066686E" w:rsidRPr="004F7F3F" w:rsidRDefault="008D6D12" w:rsidP="00876530">
            <w:pPr>
              <w:pStyle w:val="TableText"/>
              <w:spacing w:before="0" w:after="0"/>
            </w:pPr>
            <w:r>
              <w:t>p</w:t>
            </w:r>
            <w:r w:rsidRPr="00354301">
              <w:t>&lt;0.001</w:t>
            </w:r>
          </w:p>
        </w:tc>
        <w:tc>
          <w:tcPr>
            <w:tcW w:w="679" w:type="pct"/>
          </w:tcPr>
          <w:p w14:paraId="739A4A72" w14:textId="5B732A4E" w:rsidR="0066686E" w:rsidRPr="004F7F3F" w:rsidRDefault="0066686E" w:rsidP="00876530">
            <w:pPr>
              <w:pStyle w:val="TableText"/>
              <w:spacing w:before="0" w:after="0"/>
            </w:pPr>
            <w:r w:rsidRPr="004F7F3F">
              <w:t>21</w:t>
            </w:r>
            <w:r>
              <w:t>,</w:t>
            </w:r>
            <w:r w:rsidRPr="004F7F3F">
              <w:t>283 (7.1)</w:t>
            </w:r>
          </w:p>
        </w:tc>
      </w:tr>
      <w:tr w:rsidR="00876530" w:rsidRPr="004F7F3F" w14:paraId="430E9E0A" w14:textId="77777777" w:rsidTr="000F28A2">
        <w:tc>
          <w:tcPr>
            <w:tcW w:w="705" w:type="pct"/>
          </w:tcPr>
          <w:p w14:paraId="4AC338C0" w14:textId="77777777" w:rsidR="0066686E" w:rsidRPr="004F7F3F" w:rsidRDefault="0066686E" w:rsidP="00876530">
            <w:pPr>
              <w:pStyle w:val="TableText"/>
              <w:spacing w:before="0" w:after="0"/>
            </w:pPr>
            <w:r w:rsidRPr="004F7F3F">
              <w:t>Birthweight &lt;3</w:t>
            </w:r>
            <w:r w:rsidRPr="00943784">
              <w:rPr>
                <w:vertAlign w:val="superscript"/>
              </w:rPr>
              <w:t>rd</w:t>
            </w:r>
            <w:r w:rsidRPr="004F7F3F">
              <w:t xml:space="preserve"> percentile</w:t>
            </w:r>
          </w:p>
        </w:tc>
        <w:tc>
          <w:tcPr>
            <w:tcW w:w="943" w:type="pct"/>
          </w:tcPr>
          <w:p w14:paraId="3E64F21F" w14:textId="77777777" w:rsidR="0066686E" w:rsidRPr="004F7F3F" w:rsidRDefault="0066686E" w:rsidP="00876530">
            <w:pPr>
              <w:pStyle w:val="TableText"/>
              <w:spacing w:before="0" w:after="0"/>
            </w:pPr>
            <w:r w:rsidRPr="004F7F3F">
              <w:t>183 (4.5)</w:t>
            </w:r>
          </w:p>
        </w:tc>
        <w:tc>
          <w:tcPr>
            <w:tcW w:w="865" w:type="pct"/>
          </w:tcPr>
          <w:p w14:paraId="41A9626F" w14:textId="77777777" w:rsidR="0066686E" w:rsidRPr="004F7F3F" w:rsidRDefault="0066686E" w:rsidP="00876530">
            <w:pPr>
              <w:pStyle w:val="TableText"/>
              <w:spacing w:before="0" w:after="0"/>
            </w:pPr>
            <w:r w:rsidRPr="004F7F3F">
              <w:t>2.10 (1.82</w:t>
            </w:r>
            <w:r w:rsidRPr="004F7F3F">
              <w:rPr>
                <w:rFonts w:hint="eastAsia"/>
              </w:rPr>
              <w:t>–</w:t>
            </w:r>
            <w:r w:rsidRPr="004F7F3F">
              <w:t>2.42)</w:t>
            </w:r>
          </w:p>
          <w:p w14:paraId="1A3207A1" w14:textId="633D16FC" w:rsidR="0066686E" w:rsidRPr="004F7F3F" w:rsidRDefault="008D6D12" w:rsidP="00876530">
            <w:pPr>
              <w:pStyle w:val="TableText"/>
              <w:spacing w:before="0" w:after="0"/>
            </w:pPr>
            <w:r>
              <w:t>p</w:t>
            </w:r>
            <w:r w:rsidRPr="00354301">
              <w:t>&lt;0.001</w:t>
            </w:r>
          </w:p>
        </w:tc>
        <w:tc>
          <w:tcPr>
            <w:tcW w:w="943" w:type="pct"/>
          </w:tcPr>
          <w:p w14:paraId="0C5B7406" w14:textId="77777777" w:rsidR="0066686E" w:rsidRPr="004F7F3F" w:rsidRDefault="0066686E" w:rsidP="00876530">
            <w:pPr>
              <w:pStyle w:val="TableText"/>
              <w:spacing w:before="0" w:after="0"/>
            </w:pPr>
            <w:r w:rsidRPr="004F7F3F">
              <w:t>379 (1.5)</w:t>
            </w:r>
          </w:p>
        </w:tc>
        <w:tc>
          <w:tcPr>
            <w:tcW w:w="865" w:type="pct"/>
          </w:tcPr>
          <w:p w14:paraId="2B7EB710" w14:textId="77777777" w:rsidR="0066686E" w:rsidRPr="004F7F3F" w:rsidRDefault="0066686E" w:rsidP="00876530">
            <w:pPr>
              <w:pStyle w:val="TableText"/>
              <w:spacing w:before="0" w:after="0"/>
            </w:pPr>
            <w:r w:rsidRPr="004F7F3F">
              <w:t>0.70 (0.62</w:t>
            </w:r>
            <w:r w:rsidRPr="004F7F3F">
              <w:rPr>
                <w:rFonts w:hint="eastAsia"/>
              </w:rPr>
              <w:t>–</w:t>
            </w:r>
            <w:r w:rsidRPr="004F7F3F">
              <w:t>0.77)</w:t>
            </w:r>
          </w:p>
          <w:p w14:paraId="3741B316" w14:textId="6DD2F8B4" w:rsidR="0066686E" w:rsidRPr="004F7F3F" w:rsidRDefault="008D6D12" w:rsidP="00876530">
            <w:pPr>
              <w:pStyle w:val="TableText"/>
              <w:spacing w:before="0" w:after="0"/>
            </w:pPr>
            <w:r>
              <w:t>p</w:t>
            </w:r>
            <w:r w:rsidRPr="00354301">
              <w:t>&lt;0.001</w:t>
            </w:r>
          </w:p>
        </w:tc>
        <w:tc>
          <w:tcPr>
            <w:tcW w:w="679" w:type="pct"/>
          </w:tcPr>
          <w:p w14:paraId="6E801766" w14:textId="77777777" w:rsidR="0066686E" w:rsidRPr="004F7F3F" w:rsidRDefault="0066686E" w:rsidP="00876530">
            <w:pPr>
              <w:pStyle w:val="TableText"/>
              <w:spacing w:before="0" w:after="0"/>
            </w:pPr>
            <w:r w:rsidRPr="004F7F3F">
              <w:t>6</w:t>
            </w:r>
            <w:r>
              <w:t>,</w:t>
            </w:r>
            <w:r w:rsidRPr="004F7F3F">
              <w:t>466 (2.1)</w:t>
            </w:r>
          </w:p>
        </w:tc>
      </w:tr>
      <w:tr w:rsidR="00876530" w:rsidRPr="004F7F3F" w14:paraId="49BA4BC4" w14:textId="77777777" w:rsidTr="000F28A2">
        <w:tc>
          <w:tcPr>
            <w:tcW w:w="705" w:type="pct"/>
          </w:tcPr>
          <w:p w14:paraId="22D1B462" w14:textId="77777777" w:rsidR="0066686E" w:rsidRPr="004F7F3F" w:rsidRDefault="0066686E" w:rsidP="00876530">
            <w:pPr>
              <w:pStyle w:val="TableText"/>
              <w:spacing w:before="0" w:after="0"/>
            </w:pPr>
            <w:r w:rsidRPr="004F7F3F">
              <w:t>Neonatal death</w:t>
            </w:r>
          </w:p>
        </w:tc>
        <w:tc>
          <w:tcPr>
            <w:tcW w:w="943" w:type="pct"/>
          </w:tcPr>
          <w:p w14:paraId="6201E9C4" w14:textId="77777777" w:rsidR="0066686E" w:rsidRPr="004F7F3F" w:rsidRDefault="0066686E" w:rsidP="00876530">
            <w:pPr>
              <w:pStyle w:val="TableText"/>
              <w:spacing w:before="0" w:after="0"/>
            </w:pPr>
            <w:r w:rsidRPr="004F7F3F">
              <w:t>8 (2.0 per 1</w:t>
            </w:r>
            <w:r>
              <w:t>,</w:t>
            </w:r>
            <w:r w:rsidRPr="004F7F3F">
              <w:t>000)</w:t>
            </w:r>
          </w:p>
        </w:tc>
        <w:tc>
          <w:tcPr>
            <w:tcW w:w="865" w:type="pct"/>
          </w:tcPr>
          <w:p w14:paraId="7E72000E" w14:textId="77777777" w:rsidR="0066686E" w:rsidRPr="004F7F3F" w:rsidRDefault="0066686E" w:rsidP="00876530">
            <w:pPr>
              <w:pStyle w:val="TableText"/>
              <w:spacing w:before="0" w:after="0"/>
            </w:pPr>
            <w:r w:rsidRPr="004F7F3F">
              <w:t>1.76 (0.88</w:t>
            </w:r>
            <w:r w:rsidRPr="004F7F3F">
              <w:rPr>
                <w:rFonts w:hint="eastAsia"/>
              </w:rPr>
              <w:t>–</w:t>
            </w:r>
            <w:r w:rsidRPr="004F7F3F">
              <w:t>3.55)</w:t>
            </w:r>
          </w:p>
          <w:p w14:paraId="767922F3" w14:textId="1047F88B" w:rsidR="0066686E" w:rsidRPr="004F7F3F" w:rsidRDefault="008D6D12" w:rsidP="00876530">
            <w:pPr>
              <w:pStyle w:val="TableText"/>
              <w:spacing w:before="0" w:after="0"/>
            </w:pPr>
            <w:r>
              <w:t>p=</w:t>
            </w:r>
            <w:r w:rsidRPr="00354301">
              <w:t>0.</w:t>
            </w:r>
            <w:r>
              <w:t>11</w:t>
            </w:r>
          </w:p>
        </w:tc>
        <w:tc>
          <w:tcPr>
            <w:tcW w:w="943" w:type="pct"/>
          </w:tcPr>
          <w:p w14:paraId="203ECCE0" w14:textId="77777777" w:rsidR="0066686E" w:rsidRPr="004F7F3F" w:rsidRDefault="0066686E" w:rsidP="00876530">
            <w:pPr>
              <w:pStyle w:val="TableText"/>
              <w:spacing w:before="0" w:after="0"/>
            </w:pPr>
            <w:r w:rsidRPr="004F7F3F">
              <w:t>16 (0.6 per 1000)</w:t>
            </w:r>
          </w:p>
        </w:tc>
        <w:tc>
          <w:tcPr>
            <w:tcW w:w="865" w:type="pct"/>
          </w:tcPr>
          <w:p w14:paraId="244665F3" w14:textId="77777777" w:rsidR="0066686E" w:rsidRPr="004F7F3F" w:rsidRDefault="0066686E" w:rsidP="00876530">
            <w:pPr>
              <w:pStyle w:val="TableText"/>
              <w:spacing w:before="0" w:after="0"/>
            </w:pPr>
            <w:r w:rsidRPr="004F7F3F">
              <w:t>0.56 (0.34</w:t>
            </w:r>
            <w:r w:rsidRPr="004F7F3F">
              <w:rPr>
                <w:rFonts w:hint="eastAsia"/>
              </w:rPr>
              <w:t>–</w:t>
            </w:r>
            <w:r w:rsidRPr="004F7F3F">
              <w:t>0.92)</w:t>
            </w:r>
          </w:p>
          <w:p w14:paraId="3BC1D413" w14:textId="4700471A" w:rsidR="0066686E" w:rsidRPr="004F7F3F" w:rsidRDefault="008D6D12" w:rsidP="00876530">
            <w:pPr>
              <w:pStyle w:val="TableText"/>
              <w:spacing w:before="0" w:after="0"/>
            </w:pPr>
            <w:r>
              <w:t>p=</w:t>
            </w:r>
            <w:r w:rsidRPr="00354301">
              <w:t>0.0</w:t>
            </w:r>
            <w:r>
              <w:t>2</w:t>
            </w:r>
          </w:p>
        </w:tc>
        <w:tc>
          <w:tcPr>
            <w:tcW w:w="679" w:type="pct"/>
          </w:tcPr>
          <w:p w14:paraId="15F1AA9B" w14:textId="77777777" w:rsidR="0066686E" w:rsidRPr="004F7F3F" w:rsidRDefault="0066686E" w:rsidP="00876530">
            <w:pPr>
              <w:pStyle w:val="TableText"/>
              <w:spacing w:before="0" w:after="0"/>
            </w:pPr>
            <w:r w:rsidRPr="004F7F3F">
              <w:t>336 (1.1 per</w:t>
            </w:r>
          </w:p>
          <w:p w14:paraId="732ABDA5" w14:textId="77777777" w:rsidR="0066686E" w:rsidRPr="004F7F3F" w:rsidRDefault="0066686E" w:rsidP="00876530">
            <w:pPr>
              <w:pStyle w:val="TableText"/>
              <w:spacing w:before="0" w:after="0"/>
            </w:pPr>
            <w:r w:rsidRPr="004F7F3F">
              <w:t>1</w:t>
            </w:r>
            <w:r>
              <w:t>,</w:t>
            </w:r>
            <w:r w:rsidRPr="004F7F3F">
              <w:t>000)</w:t>
            </w:r>
          </w:p>
        </w:tc>
      </w:tr>
    </w:tbl>
    <w:p w14:paraId="0AF97C8B" w14:textId="37140E58" w:rsidR="0066686E" w:rsidRDefault="00031F8B" w:rsidP="0066686E">
      <w:pPr>
        <w:pStyle w:val="Tablenotes0"/>
      </w:pPr>
      <w:r>
        <w:t>Source:</w:t>
      </w:r>
      <w:r w:rsidR="00537BAA">
        <w:t xml:space="preserve"> Rolnik et al</w:t>
      </w:r>
      <w:r w:rsidR="00EB75CC">
        <w:t>.,</w:t>
      </w:r>
      <w:r w:rsidR="00537BAA">
        <w:t xml:space="preserve"> 2021</w:t>
      </w:r>
      <w:r>
        <w:t xml:space="preserve">, </w:t>
      </w:r>
      <w:r w:rsidR="0066686E">
        <w:t>Table 3</w:t>
      </w:r>
      <w:r w:rsidR="00447482">
        <w:t>.</w:t>
      </w:r>
    </w:p>
    <w:p w14:paraId="0BB4E465" w14:textId="1F364164" w:rsidR="00040B2A" w:rsidRPr="008B6A82" w:rsidRDefault="003D3BB6" w:rsidP="00BB182F">
      <w:pPr>
        <w:pStyle w:val="a-TEXT"/>
        <w:spacing w:before="0" w:after="0"/>
        <w:rPr>
          <w:rFonts w:eastAsia="Calibri"/>
          <w:color w:val="000000" w:themeColor="text1"/>
          <w:szCs w:val="20"/>
          <w:lang w:eastAsia="en-AU"/>
        </w:rPr>
      </w:pPr>
      <w:r w:rsidRPr="008B6A82">
        <w:rPr>
          <w:rFonts w:eastAsia="Calibri"/>
          <w:color w:val="000000" w:themeColor="text1"/>
          <w:szCs w:val="20"/>
          <w:lang w:eastAsia="en-AU"/>
        </w:rPr>
        <w:t xml:space="preserve">The ADAR </w:t>
      </w:r>
      <w:r w:rsidR="00B27254" w:rsidRPr="008B6A82">
        <w:rPr>
          <w:rFonts w:eastAsia="Calibri"/>
          <w:color w:val="000000" w:themeColor="text1"/>
          <w:szCs w:val="20"/>
          <w:lang w:eastAsia="en-AU"/>
        </w:rPr>
        <w:t>did not provide</w:t>
      </w:r>
      <w:r w:rsidR="0096401A" w:rsidRPr="008B6A82">
        <w:rPr>
          <w:rFonts w:eastAsia="Calibri"/>
          <w:color w:val="000000" w:themeColor="text1"/>
          <w:szCs w:val="20"/>
          <w:lang w:eastAsia="en-AU"/>
        </w:rPr>
        <w:t xml:space="preserve"> </w:t>
      </w:r>
      <w:r w:rsidR="00040B2A" w:rsidRPr="008B6A82">
        <w:rPr>
          <w:rFonts w:eastAsia="Calibri"/>
          <w:color w:val="000000" w:themeColor="text1"/>
          <w:szCs w:val="20"/>
          <w:lang w:eastAsia="en-AU"/>
        </w:rPr>
        <w:t>evidence</w:t>
      </w:r>
      <w:r w:rsidR="0096401A" w:rsidRPr="008B6A82">
        <w:rPr>
          <w:rFonts w:eastAsia="Calibri"/>
          <w:color w:val="000000" w:themeColor="text1"/>
          <w:szCs w:val="20"/>
          <w:lang w:eastAsia="en-AU"/>
        </w:rPr>
        <w:t xml:space="preserve"> for the following </w:t>
      </w:r>
      <w:r w:rsidR="00E61295">
        <w:rPr>
          <w:rFonts w:eastAsia="Calibri"/>
          <w:color w:val="000000" w:themeColor="text1"/>
          <w:szCs w:val="20"/>
          <w:lang w:eastAsia="en-AU"/>
        </w:rPr>
        <w:t xml:space="preserve">direct to test </w:t>
      </w:r>
      <w:r w:rsidR="00040B2A" w:rsidRPr="008B6A82">
        <w:rPr>
          <w:rFonts w:eastAsia="Calibri"/>
          <w:color w:val="000000" w:themeColor="text1"/>
          <w:szCs w:val="20"/>
          <w:lang w:eastAsia="en-AU"/>
        </w:rPr>
        <w:t>health</w:t>
      </w:r>
      <w:r w:rsidR="0096401A" w:rsidRPr="008B6A82">
        <w:rPr>
          <w:rFonts w:eastAsia="Calibri"/>
          <w:color w:val="000000" w:themeColor="text1"/>
          <w:szCs w:val="20"/>
          <w:lang w:eastAsia="en-AU"/>
        </w:rPr>
        <w:t xml:space="preserve"> </w:t>
      </w:r>
      <w:r w:rsidR="00040B2A" w:rsidRPr="008B6A82">
        <w:rPr>
          <w:rFonts w:eastAsia="Calibri"/>
          <w:color w:val="000000" w:themeColor="text1"/>
          <w:szCs w:val="20"/>
          <w:lang w:eastAsia="en-AU"/>
        </w:rPr>
        <w:t>outcomes</w:t>
      </w:r>
      <w:r w:rsidR="0021531C" w:rsidRPr="008B6A82">
        <w:rPr>
          <w:rFonts w:eastAsia="Calibri"/>
          <w:color w:val="000000" w:themeColor="text1"/>
          <w:szCs w:val="20"/>
          <w:lang w:eastAsia="en-AU"/>
        </w:rPr>
        <w:t xml:space="preserve"> </w:t>
      </w:r>
      <w:r w:rsidR="00B27254" w:rsidRPr="008B6A82">
        <w:rPr>
          <w:rFonts w:eastAsia="Calibri"/>
          <w:color w:val="000000" w:themeColor="text1"/>
          <w:szCs w:val="20"/>
          <w:lang w:eastAsia="en-AU"/>
        </w:rPr>
        <w:t>as indicated in</w:t>
      </w:r>
      <w:r w:rsidR="0021531C" w:rsidRPr="008B6A82">
        <w:rPr>
          <w:rFonts w:eastAsia="Calibri"/>
          <w:color w:val="000000" w:themeColor="text1"/>
          <w:szCs w:val="20"/>
          <w:lang w:eastAsia="en-AU"/>
        </w:rPr>
        <w:t xml:space="preserve"> the </w:t>
      </w:r>
      <w:r w:rsidR="00A35FFB" w:rsidRPr="008B6A82">
        <w:rPr>
          <w:rFonts w:eastAsia="Calibri"/>
          <w:color w:val="000000" w:themeColor="text1"/>
          <w:szCs w:val="20"/>
          <w:lang w:eastAsia="en-AU"/>
        </w:rPr>
        <w:t>PICO</w:t>
      </w:r>
      <w:r w:rsidR="00040B2A" w:rsidRPr="008B6A82">
        <w:rPr>
          <w:rFonts w:eastAsia="Calibri"/>
          <w:color w:val="000000" w:themeColor="text1"/>
          <w:szCs w:val="20"/>
          <w:lang w:eastAsia="en-AU"/>
        </w:rPr>
        <w:t>:</w:t>
      </w:r>
    </w:p>
    <w:p w14:paraId="0BD9A019" w14:textId="5EE812EE" w:rsidR="003D3BB6" w:rsidRPr="008B6A82" w:rsidRDefault="003D3BB6" w:rsidP="002D4ECD">
      <w:pPr>
        <w:pStyle w:val="a-TEXT"/>
        <w:numPr>
          <w:ilvl w:val="0"/>
          <w:numId w:val="13"/>
        </w:numPr>
        <w:spacing w:before="0" w:after="0" w:line="240" w:lineRule="auto"/>
        <w:ind w:left="714" w:hanging="357"/>
        <w:rPr>
          <w:rFonts w:eastAsia="Calibri"/>
          <w:color w:val="000000" w:themeColor="text1"/>
          <w:szCs w:val="20"/>
          <w:lang w:eastAsia="en-AU"/>
        </w:rPr>
      </w:pPr>
      <w:r w:rsidRPr="008B6A82">
        <w:rPr>
          <w:rFonts w:eastAsia="Calibri"/>
          <w:color w:val="000000" w:themeColor="text1"/>
          <w:szCs w:val="20"/>
          <w:lang w:eastAsia="en-AU"/>
        </w:rPr>
        <w:t>Reduction severity of preterm preeclampsia</w:t>
      </w:r>
    </w:p>
    <w:p w14:paraId="36DF92DC" w14:textId="7288002C" w:rsidR="003D3BB6" w:rsidRPr="008B6A82" w:rsidRDefault="003D3BB6" w:rsidP="002D4ECD">
      <w:pPr>
        <w:pStyle w:val="a-TEXT"/>
        <w:numPr>
          <w:ilvl w:val="0"/>
          <w:numId w:val="13"/>
        </w:numPr>
        <w:spacing w:before="0" w:after="0" w:line="240" w:lineRule="auto"/>
        <w:ind w:left="714" w:hanging="357"/>
        <w:rPr>
          <w:rFonts w:eastAsia="Calibri"/>
          <w:color w:val="000000" w:themeColor="text1"/>
          <w:szCs w:val="20"/>
          <w:lang w:eastAsia="en-AU"/>
        </w:rPr>
      </w:pPr>
      <w:r w:rsidRPr="008B6A82">
        <w:rPr>
          <w:rFonts w:eastAsia="Calibri"/>
          <w:color w:val="000000" w:themeColor="text1"/>
          <w:szCs w:val="20"/>
          <w:lang w:eastAsia="en-AU"/>
        </w:rPr>
        <w:t xml:space="preserve">Uptake of preeclampsia prophylaxis treatment based on risk </w:t>
      </w:r>
      <w:proofErr w:type="gramStart"/>
      <w:r w:rsidRPr="008B6A82">
        <w:rPr>
          <w:rFonts w:eastAsia="Calibri"/>
          <w:color w:val="000000" w:themeColor="text1"/>
          <w:szCs w:val="20"/>
          <w:lang w:eastAsia="en-AU"/>
        </w:rPr>
        <w:t>assessment</w:t>
      </w:r>
      <w:proofErr w:type="gramEnd"/>
    </w:p>
    <w:p w14:paraId="3A11C91B" w14:textId="1A54764C" w:rsidR="003D3BB6" w:rsidRPr="008B6A82" w:rsidRDefault="003D3BB6" w:rsidP="002D4ECD">
      <w:pPr>
        <w:pStyle w:val="a-TEXT"/>
        <w:numPr>
          <w:ilvl w:val="0"/>
          <w:numId w:val="13"/>
        </w:numPr>
        <w:spacing w:before="0" w:after="0" w:line="240" w:lineRule="auto"/>
        <w:ind w:left="714" w:hanging="357"/>
        <w:rPr>
          <w:rFonts w:eastAsia="Calibri"/>
          <w:color w:val="000000" w:themeColor="text1"/>
          <w:szCs w:val="20"/>
          <w:lang w:eastAsia="en-AU"/>
        </w:rPr>
      </w:pPr>
      <w:r w:rsidRPr="008B6A82">
        <w:rPr>
          <w:rFonts w:eastAsia="Calibri"/>
          <w:color w:val="000000" w:themeColor="text1"/>
          <w:szCs w:val="20"/>
          <w:lang w:eastAsia="en-AU"/>
        </w:rPr>
        <w:t>Preeclampsia related maternal outcomes (</w:t>
      </w:r>
      <w:r w:rsidR="00F566AD" w:rsidRPr="008B6A82">
        <w:rPr>
          <w:rFonts w:eastAsia="Calibri"/>
          <w:color w:val="000000" w:themeColor="text1"/>
          <w:szCs w:val="20"/>
          <w:lang w:eastAsia="en-AU"/>
        </w:rPr>
        <w:t>e.g.,</w:t>
      </w:r>
      <w:r w:rsidRPr="008B6A82">
        <w:rPr>
          <w:rFonts w:eastAsia="Calibri"/>
          <w:color w:val="000000" w:themeColor="text1"/>
          <w:szCs w:val="20"/>
          <w:lang w:eastAsia="en-AU"/>
        </w:rPr>
        <w:t xml:space="preserve"> eclamptic fit, renal and hepatic</w:t>
      </w:r>
      <w:r w:rsidR="008B6A82" w:rsidRPr="008B6A82">
        <w:rPr>
          <w:rFonts w:eastAsia="Calibri"/>
          <w:color w:val="000000" w:themeColor="text1"/>
          <w:szCs w:val="20"/>
          <w:lang w:eastAsia="en-AU"/>
        </w:rPr>
        <w:t xml:space="preserve"> </w:t>
      </w:r>
      <w:r w:rsidRPr="008B6A82">
        <w:rPr>
          <w:rFonts w:eastAsia="Calibri"/>
          <w:color w:val="000000" w:themeColor="text1"/>
          <w:szCs w:val="20"/>
          <w:lang w:eastAsia="en-AU"/>
        </w:rPr>
        <w:t>impairment, HELLP syndrome, placental abruption, etc.)</w:t>
      </w:r>
    </w:p>
    <w:p w14:paraId="575CD9B6" w14:textId="2F7310A3" w:rsidR="003D3BB6" w:rsidRPr="008B6A82" w:rsidRDefault="003D3BB6" w:rsidP="002D4ECD">
      <w:pPr>
        <w:pStyle w:val="a-TEXT"/>
        <w:numPr>
          <w:ilvl w:val="0"/>
          <w:numId w:val="13"/>
        </w:numPr>
        <w:spacing w:before="0" w:after="0" w:line="240" w:lineRule="auto"/>
        <w:ind w:left="714" w:hanging="357"/>
        <w:rPr>
          <w:rFonts w:eastAsia="Calibri"/>
          <w:color w:val="000000" w:themeColor="text1"/>
          <w:szCs w:val="20"/>
          <w:lang w:eastAsia="en-AU"/>
        </w:rPr>
      </w:pPr>
      <w:r w:rsidRPr="008B6A82">
        <w:rPr>
          <w:rFonts w:eastAsia="Calibri"/>
          <w:color w:val="000000" w:themeColor="text1"/>
          <w:szCs w:val="20"/>
          <w:lang w:eastAsia="en-AU"/>
        </w:rPr>
        <w:t xml:space="preserve">Preeclampsia related preterm birth/gestational age at </w:t>
      </w:r>
      <w:proofErr w:type="gramStart"/>
      <w:r w:rsidRPr="008B6A82">
        <w:rPr>
          <w:rFonts w:eastAsia="Calibri"/>
          <w:color w:val="000000" w:themeColor="text1"/>
          <w:szCs w:val="20"/>
          <w:lang w:eastAsia="en-AU"/>
        </w:rPr>
        <w:t>birth</w:t>
      </w:r>
      <w:proofErr w:type="gramEnd"/>
    </w:p>
    <w:p w14:paraId="67A57641" w14:textId="6C51FBB4" w:rsidR="003D3BB6" w:rsidRPr="008B6A82" w:rsidRDefault="003D3BB6" w:rsidP="002D4ECD">
      <w:pPr>
        <w:pStyle w:val="a-TEXT"/>
        <w:numPr>
          <w:ilvl w:val="0"/>
          <w:numId w:val="13"/>
        </w:numPr>
        <w:spacing w:before="0" w:after="60" w:line="240" w:lineRule="auto"/>
        <w:ind w:left="714" w:hanging="357"/>
        <w:rPr>
          <w:rFonts w:eastAsia="Calibri"/>
          <w:color w:val="000000" w:themeColor="text1"/>
          <w:szCs w:val="20"/>
          <w:lang w:eastAsia="en-AU"/>
        </w:rPr>
      </w:pPr>
      <w:r w:rsidRPr="008B6A82">
        <w:rPr>
          <w:rFonts w:eastAsia="Calibri"/>
          <w:color w:val="000000" w:themeColor="text1"/>
          <w:szCs w:val="20"/>
          <w:lang w:eastAsia="en-AU"/>
        </w:rPr>
        <w:t>Preeclampsia related adverse neonatal outcomes (morbidity and mortality)</w:t>
      </w:r>
    </w:p>
    <w:p w14:paraId="4096D110" w14:textId="379057F7" w:rsidR="00842A27" w:rsidRPr="00971DBF" w:rsidRDefault="00AC0D93" w:rsidP="00971DBF">
      <w:pPr>
        <w:spacing w:before="240"/>
        <w:rPr>
          <w:rFonts w:ascii="Franklin Gothic Book" w:hAnsi="Franklin Gothic Book"/>
          <w:sz w:val="22"/>
          <w:szCs w:val="22"/>
          <w:lang w:eastAsia="en-US"/>
        </w:rPr>
      </w:pPr>
      <w:proofErr w:type="gramStart"/>
      <w:r w:rsidRPr="00842844">
        <w:rPr>
          <w:rFonts w:ascii="Franklin Gothic Book" w:hAnsi="Franklin Gothic Book"/>
          <w:sz w:val="22"/>
          <w:szCs w:val="22"/>
        </w:rPr>
        <w:t>However</w:t>
      </w:r>
      <w:proofErr w:type="gramEnd"/>
      <w:r w:rsidRPr="00842844">
        <w:rPr>
          <w:rFonts w:ascii="Franklin Gothic Book" w:hAnsi="Franklin Gothic Book"/>
          <w:sz w:val="22"/>
          <w:szCs w:val="22"/>
        </w:rPr>
        <w:t xml:space="preserve"> on the lack of evidence </w:t>
      </w:r>
      <w:r w:rsidR="00490E90" w:rsidRPr="00842844">
        <w:rPr>
          <w:rFonts w:ascii="Franklin Gothic Book" w:hAnsi="Franklin Gothic Book"/>
          <w:sz w:val="22"/>
          <w:szCs w:val="22"/>
        </w:rPr>
        <w:t xml:space="preserve">that use of the FMF algorithm </w:t>
      </w:r>
      <w:r w:rsidR="00662362">
        <w:rPr>
          <w:rFonts w:ascii="Franklin Gothic Book" w:hAnsi="Franklin Gothic Book"/>
          <w:sz w:val="22"/>
          <w:szCs w:val="22"/>
        </w:rPr>
        <w:t>would reduce</w:t>
      </w:r>
      <w:r w:rsidR="00490E90" w:rsidRPr="00842844">
        <w:rPr>
          <w:rFonts w:ascii="Franklin Gothic Book" w:hAnsi="Franklin Gothic Book"/>
          <w:sz w:val="22"/>
          <w:szCs w:val="22"/>
        </w:rPr>
        <w:t xml:space="preserve"> downstream preeclampsia-related complications</w:t>
      </w:r>
      <w:r w:rsidR="00662362">
        <w:rPr>
          <w:rFonts w:ascii="Franklin Gothic Book" w:hAnsi="Franklin Gothic Book"/>
          <w:sz w:val="22"/>
          <w:szCs w:val="22"/>
        </w:rPr>
        <w:t>, th</w:t>
      </w:r>
      <w:r w:rsidR="00490E90" w:rsidRPr="00842844">
        <w:rPr>
          <w:rFonts w:ascii="Franklin Gothic Book" w:hAnsi="Franklin Gothic Book"/>
          <w:sz w:val="22"/>
          <w:szCs w:val="22"/>
        </w:rPr>
        <w:t xml:space="preserve">e </w:t>
      </w:r>
      <w:r w:rsidR="00282D6E" w:rsidRPr="00842844">
        <w:rPr>
          <w:rFonts w:ascii="Franklin Gothic Book" w:hAnsi="Franklin Gothic Book"/>
          <w:sz w:val="22"/>
          <w:szCs w:val="22"/>
        </w:rPr>
        <w:t xml:space="preserve">pre-ESC response argued that </w:t>
      </w:r>
      <w:r w:rsidRPr="00842844">
        <w:rPr>
          <w:rFonts w:ascii="Franklin Gothic Book" w:hAnsi="Franklin Gothic Book"/>
          <w:sz w:val="22"/>
          <w:szCs w:val="22"/>
        </w:rPr>
        <w:t xml:space="preserve">very large studies would be required to estimate </w:t>
      </w:r>
      <w:r w:rsidR="00282D6E" w:rsidRPr="00842844">
        <w:rPr>
          <w:rFonts w:ascii="Franklin Gothic Book" w:hAnsi="Franklin Gothic Book"/>
          <w:sz w:val="22"/>
          <w:szCs w:val="22"/>
        </w:rPr>
        <w:t xml:space="preserve">the impacts </w:t>
      </w:r>
      <w:r w:rsidR="00662362" w:rsidRPr="00842844">
        <w:rPr>
          <w:rFonts w:ascii="Franklin Gothic Book" w:hAnsi="Franklin Gothic Book"/>
          <w:sz w:val="22"/>
          <w:szCs w:val="22"/>
        </w:rPr>
        <w:t xml:space="preserve">of testing on </w:t>
      </w:r>
      <w:r w:rsidR="00662362">
        <w:rPr>
          <w:rFonts w:ascii="Franklin Gothic Book" w:hAnsi="Franklin Gothic Book"/>
          <w:sz w:val="22"/>
          <w:szCs w:val="22"/>
        </w:rPr>
        <w:t>t</w:t>
      </w:r>
      <w:r w:rsidRPr="00842844">
        <w:rPr>
          <w:rFonts w:ascii="Franklin Gothic Book" w:hAnsi="Franklin Gothic Book"/>
          <w:sz w:val="22"/>
          <w:szCs w:val="22"/>
        </w:rPr>
        <w:t>he downstream rates of these very rare events</w:t>
      </w:r>
      <w:r w:rsidR="00662362" w:rsidRPr="00842844">
        <w:rPr>
          <w:rFonts w:ascii="Franklin Gothic Book" w:hAnsi="Franklin Gothic Book"/>
          <w:sz w:val="22"/>
          <w:szCs w:val="22"/>
        </w:rPr>
        <w:t xml:space="preserve"> and as such </w:t>
      </w:r>
      <w:r w:rsidRPr="00842844">
        <w:rPr>
          <w:rFonts w:ascii="Franklin Gothic Book" w:hAnsi="Franklin Gothic Book"/>
          <w:sz w:val="22"/>
          <w:szCs w:val="22"/>
        </w:rPr>
        <w:t>comparative clinical evidence for these outcomes is unlikely to be forthcoming</w:t>
      </w:r>
      <w:r w:rsidR="00662362" w:rsidRPr="00842844">
        <w:rPr>
          <w:rFonts w:ascii="Franklin Gothic Book" w:hAnsi="Franklin Gothic Book"/>
          <w:sz w:val="22"/>
          <w:szCs w:val="22"/>
        </w:rPr>
        <w:t>.</w:t>
      </w:r>
    </w:p>
    <w:p w14:paraId="0E1404D9" w14:textId="7A1CDEA8" w:rsidR="00462D1B" w:rsidRPr="0005584F" w:rsidRDefault="006566E7" w:rsidP="006916E6">
      <w:pPr>
        <w:pStyle w:val="Heading3"/>
        <w:spacing w:before="300" w:after="160" w:line="240" w:lineRule="auto"/>
        <w:rPr>
          <w:sz w:val="24"/>
          <w:szCs w:val="24"/>
          <w:lang w:eastAsia="en-US"/>
        </w:rPr>
      </w:pPr>
      <w:r w:rsidRPr="008B6A82">
        <w:rPr>
          <w:sz w:val="24"/>
          <w:szCs w:val="24"/>
          <w:lang w:eastAsia="en-US"/>
        </w:rPr>
        <w:t xml:space="preserve">Test accuracy </w:t>
      </w:r>
    </w:p>
    <w:p w14:paraId="7948A65E" w14:textId="6A593B99" w:rsidR="007E26CB" w:rsidRPr="003E61A9" w:rsidRDefault="00CF4876" w:rsidP="007E26CB">
      <w:pPr>
        <w:pStyle w:val="a-TEXT"/>
        <w:rPr>
          <w:rFonts w:eastAsia="Calibri"/>
          <w:color w:val="000000" w:themeColor="text1"/>
          <w:szCs w:val="20"/>
          <w:lang w:eastAsia="en-AU"/>
        </w:rPr>
      </w:pPr>
      <w:r>
        <w:t xml:space="preserve">Test accuracy of the </w:t>
      </w:r>
      <w:r w:rsidR="00137830" w:rsidRPr="00137830">
        <w:rPr>
          <w:rFonts w:eastAsia="Calibri"/>
          <w:color w:val="000000" w:themeColor="text1"/>
          <w:szCs w:val="20"/>
          <w:lang w:eastAsia="en-AU"/>
        </w:rPr>
        <w:t xml:space="preserve">FMF risk calculator </w:t>
      </w:r>
      <w:r>
        <w:t xml:space="preserve">was examined in </w:t>
      </w:r>
      <w:r w:rsidR="00E61295">
        <w:t>seven</w:t>
      </w:r>
      <w:r>
        <w:t xml:space="preserve"> studies</w:t>
      </w:r>
      <w:r w:rsidR="00DE2448">
        <w:t xml:space="preserve">. </w:t>
      </w:r>
      <w:r w:rsidR="0099564C">
        <w:t>Key reported r</w:t>
      </w:r>
      <w:r w:rsidR="00C746EF">
        <w:t>esults are displayed i</w:t>
      </w:r>
      <w:r w:rsidR="00DF47F5">
        <w:t>n Table 12</w:t>
      </w:r>
      <w:r w:rsidR="00C746EF">
        <w:t xml:space="preserve">. </w:t>
      </w:r>
      <w:r w:rsidR="007E26CB">
        <w:rPr>
          <w:rFonts w:eastAsia="Calibri"/>
          <w:color w:val="000000" w:themeColor="text1"/>
          <w:szCs w:val="20"/>
          <w:lang w:eastAsia="en-AU"/>
        </w:rPr>
        <w:t xml:space="preserve">The commentary completed independent calculations of test accuracy outcomes based on confusion matrices from studies where available. </w:t>
      </w:r>
    </w:p>
    <w:p w14:paraId="57478687" w14:textId="73234AA6" w:rsidR="003E61A9" w:rsidRDefault="00C746EF" w:rsidP="003E61A9">
      <w:pPr>
        <w:pStyle w:val="a-TEXT"/>
        <w:rPr>
          <w:rFonts w:eastAsia="Calibri"/>
          <w:color w:val="000000" w:themeColor="text1"/>
          <w:szCs w:val="20"/>
          <w:lang w:eastAsia="en-AU"/>
        </w:rPr>
      </w:pPr>
      <w:r>
        <w:t xml:space="preserve">Based on assessment of </w:t>
      </w:r>
      <w:r w:rsidR="003F2E8D">
        <w:t>risk of bias and applicability</w:t>
      </w:r>
      <w:r w:rsidR="006A412B">
        <w:t xml:space="preserve">, </w:t>
      </w:r>
      <w:r w:rsidR="00642B0A">
        <w:rPr>
          <w:rFonts w:eastAsia="Calibri"/>
          <w:color w:val="000000" w:themeColor="text1"/>
          <w:szCs w:val="20"/>
          <w:lang w:eastAsia="en-AU"/>
        </w:rPr>
        <w:t>the ASPRE trial</w:t>
      </w:r>
      <w:r w:rsidR="00183ECB">
        <w:rPr>
          <w:rFonts w:eastAsia="Calibri"/>
          <w:color w:val="000000" w:themeColor="text1"/>
          <w:szCs w:val="20"/>
          <w:lang w:eastAsia="en-AU"/>
        </w:rPr>
        <w:t xml:space="preserve"> </w:t>
      </w:r>
      <w:r w:rsidR="00943D3B">
        <w:rPr>
          <w:rFonts w:eastAsia="Calibri"/>
          <w:color w:val="000000" w:themeColor="text1"/>
          <w:szCs w:val="20"/>
          <w:lang w:eastAsia="en-AU"/>
        </w:rPr>
        <w:t>provide</w:t>
      </w:r>
      <w:r w:rsidR="00ED42FD">
        <w:rPr>
          <w:rFonts w:eastAsia="Calibri"/>
          <w:color w:val="000000" w:themeColor="text1"/>
          <w:szCs w:val="20"/>
          <w:lang w:eastAsia="en-AU"/>
        </w:rPr>
        <w:t>d</w:t>
      </w:r>
      <w:r w:rsidR="00943D3B">
        <w:rPr>
          <w:rFonts w:eastAsia="Calibri"/>
          <w:color w:val="000000" w:themeColor="text1"/>
          <w:szCs w:val="20"/>
          <w:lang w:eastAsia="en-AU"/>
        </w:rPr>
        <w:t xml:space="preserve"> </w:t>
      </w:r>
      <w:r w:rsidR="001F1544">
        <w:rPr>
          <w:rFonts w:eastAsia="Calibri"/>
          <w:color w:val="000000" w:themeColor="text1"/>
          <w:szCs w:val="20"/>
          <w:lang w:eastAsia="en-AU"/>
        </w:rPr>
        <w:t xml:space="preserve">the </w:t>
      </w:r>
      <w:r w:rsidR="00642B0A">
        <w:rPr>
          <w:rFonts w:eastAsia="Calibri"/>
          <w:color w:val="000000" w:themeColor="text1"/>
          <w:szCs w:val="20"/>
          <w:lang w:eastAsia="en-AU"/>
        </w:rPr>
        <w:t>best</w:t>
      </w:r>
      <w:r w:rsidR="001F1544">
        <w:rPr>
          <w:rFonts w:eastAsia="Calibri"/>
          <w:color w:val="000000" w:themeColor="text1"/>
          <w:szCs w:val="20"/>
          <w:lang w:eastAsia="en-AU"/>
        </w:rPr>
        <w:t xml:space="preserve"> evidence for test accuracy of the </w:t>
      </w:r>
      <w:r w:rsidR="00137830" w:rsidRPr="00137830">
        <w:rPr>
          <w:rFonts w:eastAsia="Calibri"/>
          <w:color w:val="000000" w:themeColor="text1"/>
          <w:szCs w:val="20"/>
          <w:lang w:eastAsia="en-AU"/>
        </w:rPr>
        <w:t xml:space="preserve">FMF risk calculator </w:t>
      </w:r>
      <w:r w:rsidR="00642B0A">
        <w:rPr>
          <w:rFonts w:eastAsia="Calibri"/>
          <w:color w:val="000000" w:themeColor="text1"/>
          <w:szCs w:val="20"/>
          <w:lang w:eastAsia="en-AU"/>
        </w:rPr>
        <w:t>for the Australian population</w:t>
      </w:r>
      <w:r w:rsidR="001F1544">
        <w:rPr>
          <w:rFonts w:eastAsia="Calibri"/>
          <w:color w:val="000000" w:themeColor="text1"/>
          <w:szCs w:val="20"/>
          <w:lang w:eastAsia="en-AU"/>
        </w:rPr>
        <w:t>.</w:t>
      </w:r>
      <w:r w:rsidR="000A3F26">
        <w:rPr>
          <w:rFonts w:eastAsia="Calibri"/>
          <w:color w:val="000000" w:themeColor="text1"/>
          <w:szCs w:val="20"/>
          <w:lang w:eastAsia="en-AU"/>
        </w:rPr>
        <w:t xml:space="preserve"> </w:t>
      </w:r>
      <w:r w:rsidR="003E61A9">
        <w:rPr>
          <w:rFonts w:eastAsia="Calibri"/>
          <w:color w:val="000000" w:themeColor="text1"/>
          <w:szCs w:val="20"/>
          <w:lang w:eastAsia="en-AU"/>
        </w:rPr>
        <w:t xml:space="preserve">Detection rate (i.e., sensitivity) of the </w:t>
      </w:r>
      <w:r w:rsidR="007E26CB" w:rsidRPr="00137830">
        <w:rPr>
          <w:rFonts w:eastAsia="Calibri"/>
          <w:color w:val="000000" w:themeColor="text1"/>
          <w:szCs w:val="20"/>
          <w:lang w:eastAsia="en-AU"/>
        </w:rPr>
        <w:t xml:space="preserve">FMF risk </w:t>
      </w:r>
      <w:r w:rsidR="003E61A9">
        <w:rPr>
          <w:rFonts w:eastAsia="Calibri"/>
          <w:color w:val="000000" w:themeColor="text1"/>
          <w:szCs w:val="20"/>
          <w:lang w:eastAsia="en-AU"/>
        </w:rPr>
        <w:t xml:space="preserve">algorithm was reported as 76.7%; the false positive rate was </w:t>
      </w:r>
      <w:r w:rsidR="00460A4B">
        <w:rPr>
          <w:rFonts w:eastAsia="Calibri"/>
          <w:color w:val="000000" w:themeColor="text1"/>
          <w:szCs w:val="20"/>
          <w:lang w:eastAsia="en-AU"/>
        </w:rPr>
        <w:t>9.2</w:t>
      </w:r>
      <w:r w:rsidR="003E61A9">
        <w:rPr>
          <w:rFonts w:eastAsia="Calibri"/>
          <w:color w:val="000000" w:themeColor="text1"/>
          <w:szCs w:val="20"/>
          <w:lang w:eastAsia="en-AU"/>
        </w:rPr>
        <w:t>%.</w:t>
      </w:r>
    </w:p>
    <w:p w14:paraId="5D6D24E6" w14:textId="014F0129" w:rsidR="006D0298" w:rsidRDefault="006D0298" w:rsidP="006D0298">
      <w:pPr>
        <w:pStyle w:val="Caption"/>
      </w:pPr>
      <w:bookmarkStart w:id="26" w:name="_Ref141871776"/>
      <w:r>
        <w:lastRenderedPageBreak/>
        <w:t>Table</w:t>
      </w:r>
      <w:r w:rsidR="008976A3">
        <w:t xml:space="preserve"> </w:t>
      </w:r>
      <w:r w:rsidR="00DF47F5">
        <w:t>12</w:t>
      </w:r>
      <w:bookmarkEnd w:id="26"/>
      <w:r w:rsidR="00AB7AFF">
        <w:tab/>
      </w:r>
      <w:r w:rsidRPr="00E7208B">
        <w:t>Summary of key results from studies reporting test accuracy of FMF algorithm.</w:t>
      </w:r>
    </w:p>
    <w:tbl>
      <w:tblPr>
        <w:tblStyle w:val="TableGrid"/>
        <w:tblW w:w="4982" w:type="pct"/>
        <w:tblInd w:w="-5" w:type="dxa"/>
        <w:tblLayout w:type="fixed"/>
        <w:tblCellMar>
          <w:top w:w="57" w:type="dxa"/>
          <w:left w:w="57" w:type="dxa"/>
          <w:bottom w:w="28" w:type="dxa"/>
          <w:right w:w="28" w:type="dxa"/>
        </w:tblCellMar>
        <w:tblLook w:val="04A0" w:firstRow="1" w:lastRow="0" w:firstColumn="1" w:lastColumn="0" w:noHBand="0" w:noVBand="1"/>
      </w:tblPr>
      <w:tblGrid>
        <w:gridCol w:w="1134"/>
        <w:gridCol w:w="850"/>
        <w:gridCol w:w="1567"/>
        <w:gridCol w:w="703"/>
        <w:gridCol w:w="994"/>
        <w:gridCol w:w="994"/>
        <w:gridCol w:w="852"/>
        <w:gridCol w:w="992"/>
        <w:gridCol w:w="898"/>
      </w:tblGrid>
      <w:tr w:rsidR="003B05FB" w:rsidRPr="00D152E0" w14:paraId="13C07C08" w14:textId="77777777" w:rsidTr="00970246">
        <w:trPr>
          <w:trHeight w:val="274"/>
        </w:trPr>
        <w:tc>
          <w:tcPr>
            <w:tcW w:w="631" w:type="pct"/>
            <w:vMerge w:val="restart"/>
            <w:shd w:val="clear" w:color="auto" w:fill="auto"/>
            <w:vAlign w:val="center"/>
          </w:tcPr>
          <w:p w14:paraId="7B52150A" w14:textId="59FDF42D" w:rsidR="00A61127" w:rsidRPr="004C3B3F" w:rsidRDefault="00A61127" w:rsidP="008E478D">
            <w:pPr>
              <w:pStyle w:val="TableHeading0"/>
              <w:spacing w:before="0" w:after="0"/>
              <w:rPr>
                <w:color w:val="000000" w:themeColor="text1"/>
              </w:rPr>
            </w:pPr>
            <w:r w:rsidRPr="004C3B3F">
              <w:rPr>
                <w:color w:val="000000" w:themeColor="text1"/>
              </w:rPr>
              <w:t>Study</w:t>
            </w:r>
          </w:p>
        </w:tc>
        <w:tc>
          <w:tcPr>
            <w:tcW w:w="1345" w:type="pct"/>
            <w:gridSpan w:val="2"/>
            <w:vMerge w:val="restart"/>
            <w:shd w:val="clear" w:color="auto" w:fill="auto"/>
            <w:vAlign w:val="center"/>
          </w:tcPr>
          <w:p w14:paraId="16FE0963" w14:textId="3E8181E8" w:rsidR="00A61127" w:rsidRPr="004C3B3F" w:rsidRDefault="00A61127" w:rsidP="008E478D">
            <w:pPr>
              <w:pStyle w:val="TableHeading0"/>
              <w:spacing w:before="0" w:after="0"/>
              <w:rPr>
                <w:color w:val="000000" w:themeColor="text1"/>
              </w:rPr>
            </w:pPr>
            <w:r w:rsidRPr="004C3B3F">
              <w:rPr>
                <w:color w:val="000000" w:themeColor="text1"/>
              </w:rPr>
              <w:t>Population</w:t>
            </w:r>
            <w:r w:rsidR="00010D0F">
              <w:rPr>
                <w:color w:val="000000" w:themeColor="text1"/>
              </w:rPr>
              <w:t xml:space="preserve"> (trial/country, N)</w:t>
            </w:r>
          </w:p>
        </w:tc>
        <w:tc>
          <w:tcPr>
            <w:tcW w:w="391" w:type="pct"/>
            <w:vMerge w:val="restart"/>
            <w:shd w:val="clear" w:color="auto" w:fill="auto"/>
            <w:vAlign w:val="center"/>
          </w:tcPr>
          <w:p w14:paraId="2ABACBE5" w14:textId="43DECAC5" w:rsidR="00A61127" w:rsidRPr="004C3B3F" w:rsidRDefault="00A61127" w:rsidP="008E478D">
            <w:pPr>
              <w:pStyle w:val="TableHeading0"/>
              <w:spacing w:before="0" w:after="0"/>
              <w:rPr>
                <w:color w:val="000000" w:themeColor="text1"/>
              </w:rPr>
            </w:pPr>
            <w:r w:rsidRPr="004C3B3F">
              <w:rPr>
                <w:color w:val="000000" w:themeColor="text1"/>
              </w:rPr>
              <w:t>Risk cut-off</w:t>
            </w:r>
          </w:p>
        </w:tc>
        <w:tc>
          <w:tcPr>
            <w:tcW w:w="2632" w:type="pct"/>
            <w:gridSpan w:val="5"/>
            <w:shd w:val="clear" w:color="auto" w:fill="auto"/>
          </w:tcPr>
          <w:p w14:paraId="00212CCE" w14:textId="5010A5E6" w:rsidR="00A61127" w:rsidRPr="006F10F7" w:rsidRDefault="006F10F7" w:rsidP="008E478D">
            <w:pPr>
              <w:pStyle w:val="TableHeading0"/>
              <w:spacing w:before="0" w:after="0"/>
              <w:jc w:val="center"/>
              <w:rPr>
                <w:color w:val="000000" w:themeColor="text1"/>
              </w:rPr>
            </w:pPr>
            <w:r>
              <w:rPr>
                <w:color w:val="000000" w:themeColor="text1"/>
              </w:rPr>
              <w:t xml:space="preserve"> % </w:t>
            </w:r>
            <w:r w:rsidR="00A61127" w:rsidRPr="006F10F7">
              <w:rPr>
                <w:color w:val="000000" w:themeColor="text1"/>
              </w:rPr>
              <w:t>(95% CI)</w:t>
            </w:r>
          </w:p>
        </w:tc>
      </w:tr>
      <w:tr w:rsidR="008E05EE" w:rsidRPr="00D152E0" w14:paraId="375F87C1" w14:textId="77777777" w:rsidTr="00970246">
        <w:trPr>
          <w:trHeight w:val="335"/>
        </w:trPr>
        <w:tc>
          <w:tcPr>
            <w:tcW w:w="631" w:type="pct"/>
            <w:vMerge/>
            <w:shd w:val="clear" w:color="auto" w:fill="auto"/>
            <w:vAlign w:val="center"/>
          </w:tcPr>
          <w:p w14:paraId="154C1539" w14:textId="0B7F7974" w:rsidR="002078C3" w:rsidRPr="004C3B3F" w:rsidRDefault="002078C3" w:rsidP="002078C3">
            <w:pPr>
              <w:pStyle w:val="TableHeading0"/>
              <w:spacing w:before="0" w:after="0"/>
              <w:rPr>
                <w:color w:val="000000" w:themeColor="text1"/>
              </w:rPr>
            </w:pPr>
          </w:p>
        </w:tc>
        <w:tc>
          <w:tcPr>
            <w:tcW w:w="1345" w:type="pct"/>
            <w:gridSpan w:val="2"/>
            <w:vMerge/>
            <w:shd w:val="clear" w:color="auto" w:fill="auto"/>
            <w:vAlign w:val="center"/>
          </w:tcPr>
          <w:p w14:paraId="22D6F06B" w14:textId="4E0A852F" w:rsidR="002078C3" w:rsidRPr="004C3B3F" w:rsidRDefault="002078C3" w:rsidP="002078C3">
            <w:pPr>
              <w:pStyle w:val="TableHeading0"/>
              <w:spacing w:before="0" w:after="0"/>
              <w:rPr>
                <w:color w:val="000000" w:themeColor="text1"/>
              </w:rPr>
            </w:pPr>
          </w:p>
        </w:tc>
        <w:tc>
          <w:tcPr>
            <w:tcW w:w="391" w:type="pct"/>
            <w:vMerge/>
            <w:shd w:val="clear" w:color="auto" w:fill="auto"/>
            <w:vAlign w:val="center"/>
          </w:tcPr>
          <w:p w14:paraId="2AD20201" w14:textId="16D1398A" w:rsidR="002078C3" w:rsidRPr="004C3B3F" w:rsidRDefault="002078C3" w:rsidP="002078C3">
            <w:pPr>
              <w:pStyle w:val="TableHeading0"/>
              <w:spacing w:before="0" w:after="0"/>
              <w:rPr>
                <w:color w:val="000000" w:themeColor="text1"/>
              </w:rPr>
            </w:pPr>
          </w:p>
        </w:tc>
        <w:tc>
          <w:tcPr>
            <w:tcW w:w="553" w:type="pct"/>
            <w:shd w:val="clear" w:color="auto" w:fill="auto"/>
            <w:vAlign w:val="center"/>
          </w:tcPr>
          <w:p w14:paraId="01095E29" w14:textId="1694E3A0" w:rsidR="002078C3" w:rsidRPr="004C3B3F" w:rsidRDefault="002078C3" w:rsidP="002078C3">
            <w:pPr>
              <w:pStyle w:val="TableHeading0"/>
              <w:spacing w:before="0" w:after="0"/>
              <w:rPr>
                <w:color w:val="000000" w:themeColor="text1"/>
              </w:rPr>
            </w:pPr>
            <w:r w:rsidRPr="004C3B3F">
              <w:rPr>
                <w:color w:val="000000" w:themeColor="text1"/>
              </w:rPr>
              <w:t>Sensitivity</w:t>
            </w:r>
          </w:p>
        </w:tc>
        <w:tc>
          <w:tcPr>
            <w:tcW w:w="553" w:type="pct"/>
            <w:shd w:val="clear" w:color="auto" w:fill="auto"/>
            <w:vAlign w:val="center"/>
          </w:tcPr>
          <w:p w14:paraId="5F6DEBF0" w14:textId="3AEFC109" w:rsidR="002078C3" w:rsidRPr="004C3B3F" w:rsidRDefault="002078C3" w:rsidP="002078C3">
            <w:pPr>
              <w:pStyle w:val="TableHeading0"/>
              <w:spacing w:before="0" w:after="0"/>
              <w:rPr>
                <w:color w:val="000000" w:themeColor="text1"/>
              </w:rPr>
            </w:pPr>
            <w:r w:rsidRPr="004C3B3F">
              <w:rPr>
                <w:color w:val="000000" w:themeColor="text1"/>
              </w:rPr>
              <w:t>Specificity</w:t>
            </w:r>
          </w:p>
        </w:tc>
        <w:tc>
          <w:tcPr>
            <w:tcW w:w="474" w:type="pct"/>
            <w:shd w:val="clear" w:color="auto" w:fill="auto"/>
            <w:vAlign w:val="center"/>
          </w:tcPr>
          <w:p w14:paraId="17013400" w14:textId="4D0CCD8D" w:rsidR="002078C3" w:rsidRPr="004C3B3F" w:rsidRDefault="002078C3" w:rsidP="002078C3">
            <w:pPr>
              <w:pStyle w:val="TableHeading0"/>
              <w:spacing w:before="0" w:after="0"/>
              <w:rPr>
                <w:color w:val="000000" w:themeColor="text1"/>
              </w:rPr>
            </w:pPr>
            <w:r w:rsidRPr="004C3B3F">
              <w:rPr>
                <w:color w:val="000000" w:themeColor="text1"/>
              </w:rPr>
              <w:t>PPV</w:t>
            </w:r>
          </w:p>
        </w:tc>
        <w:tc>
          <w:tcPr>
            <w:tcW w:w="552" w:type="pct"/>
            <w:shd w:val="clear" w:color="auto" w:fill="auto"/>
            <w:vAlign w:val="center"/>
          </w:tcPr>
          <w:p w14:paraId="2434B2D4" w14:textId="6523DFFC" w:rsidR="002078C3" w:rsidRPr="004C3B3F" w:rsidRDefault="002078C3" w:rsidP="002078C3">
            <w:pPr>
              <w:pStyle w:val="TableHeading0"/>
              <w:spacing w:before="0" w:after="0"/>
              <w:rPr>
                <w:color w:val="000000" w:themeColor="text1"/>
              </w:rPr>
            </w:pPr>
            <w:r w:rsidRPr="004C3B3F">
              <w:rPr>
                <w:color w:val="000000" w:themeColor="text1"/>
              </w:rPr>
              <w:t>NPV</w:t>
            </w:r>
          </w:p>
        </w:tc>
        <w:tc>
          <w:tcPr>
            <w:tcW w:w="500" w:type="pct"/>
            <w:shd w:val="clear" w:color="auto" w:fill="auto"/>
            <w:vAlign w:val="center"/>
          </w:tcPr>
          <w:p w14:paraId="14BD25CB" w14:textId="46F2B81E" w:rsidR="002078C3" w:rsidRPr="004C3B3F" w:rsidRDefault="002078C3" w:rsidP="002078C3">
            <w:pPr>
              <w:pStyle w:val="TableHeading0"/>
              <w:spacing w:before="0" w:after="0"/>
              <w:rPr>
                <w:color w:val="000000" w:themeColor="text1"/>
              </w:rPr>
            </w:pPr>
            <w:r w:rsidRPr="004C3B3F">
              <w:rPr>
                <w:color w:val="000000" w:themeColor="text1"/>
              </w:rPr>
              <w:t>Accuracy</w:t>
            </w:r>
          </w:p>
        </w:tc>
      </w:tr>
      <w:tr w:rsidR="00E8719B" w14:paraId="1ED031BD" w14:textId="77777777" w:rsidTr="006F10F7">
        <w:trPr>
          <w:trHeight w:val="264"/>
        </w:trPr>
        <w:tc>
          <w:tcPr>
            <w:tcW w:w="631" w:type="pct"/>
            <w:vAlign w:val="center"/>
          </w:tcPr>
          <w:p w14:paraId="66E7DAFE" w14:textId="0AD0D45A" w:rsidR="00CA58AB" w:rsidRPr="00CA58AB" w:rsidRDefault="004C3B3F" w:rsidP="004C3B3F">
            <w:pPr>
              <w:pStyle w:val="TableText"/>
              <w:spacing w:before="0" w:after="0"/>
              <w:rPr>
                <w:color w:val="000000" w:themeColor="text1"/>
                <w:u w:val="single"/>
              </w:rPr>
            </w:pPr>
            <w:r w:rsidRPr="00CA58AB">
              <w:rPr>
                <w:rFonts w:eastAsia="Calibri"/>
                <w:color w:val="000000" w:themeColor="text1"/>
                <w:szCs w:val="20"/>
                <w:u w:val="single"/>
                <w:lang w:eastAsia="en-AU"/>
              </w:rPr>
              <w:t>Rolnik et al., 2017</w:t>
            </w:r>
          </w:p>
        </w:tc>
        <w:tc>
          <w:tcPr>
            <w:tcW w:w="1345" w:type="pct"/>
            <w:gridSpan w:val="2"/>
            <w:vAlign w:val="center"/>
          </w:tcPr>
          <w:p w14:paraId="2226BB00" w14:textId="7A064E99" w:rsidR="00CA58AB" w:rsidRDefault="008262AB" w:rsidP="004C3B3F">
            <w:pPr>
              <w:pStyle w:val="TableText"/>
              <w:keepNext/>
              <w:keepLines/>
              <w:spacing w:before="0" w:after="0"/>
              <w:rPr>
                <w:rFonts w:eastAsia="Calibri"/>
                <w:color w:val="000000" w:themeColor="text1"/>
              </w:rPr>
            </w:pPr>
            <w:r>
              <w:rPr>
                <w:rFonts w:eastAsia="Calibri"/>
                <w:color w:val="000000" w:themeColor="text1"/>
              </w:rPr>
              <w:t>ASPRE</w:t>
            </w:r>
          </w:p>
          <w:p w14:paraId="2A032DCD" w14:textId="22012CF7" w:rsidR="004C3B3F" w:rsidRPr="004C3B3F" w:rsidRDefault="004C3B3F" w:rsidP="004C3B3F">
            <w:pPr>
              <w:pStyle w:val="TableText"/>
              <w:keepNext/>
              <w:keepLines/>
              <w:spacing w:before="0" w:after="0"/>
              <w:rPr>
                <w:rFonts w:eastAsia="Calibri"/>
                <w:color w:val="000000" w:themeColor="text1"/>
              </w:rPr>
            </w:pPr>
            <w:r w:rsidRPr="004C3B3F">
              <w:rPr>
                <w:rFonts w:eastAsia="Calibri"/>
                <w:color w:val="000000" w:themeColor="text1"/>
              </w:rPr>
              <w:t>N=25,797</w:t>
            </w:r>
          </w:p>
        </w:tc>
        <w:tc>
          <w:tcPr>
            <w:tcW w:w="391" w:type="pct"/>
            <w:vAlign w:val="center"/>
          </w:tcPr>
          <w:p w14:paraId="5700EB89" w14:textId="77777777" w:rsidR="004C3B3F" w:rsidRPr="004C3B3F" w:rsidRDefault="004C3B3F" w:rsidP="004C3B3F">
            <w:pPr>
              <w:pStyle w:val="TableText"/>
              <w:spacing w:before="0" w:after="0"/>
              <w:rPr>
                <w:color w:val="000000" w:themeColor="text1"/>
              </w:rPr>
            </w:pPr>
            <w:r w:rsidRPr="004C3B3F">
              <w:rPr>
                <w:color w:val="000000" w:themeColor="text1"/>
              </w:rPr>
              <w:t>1 in 100</w:t>
            </w:r>
          </w:p>
        </w:tc>
        <w:tc>
          <w:tcPr>
            <w:tcW w:w="553" w:type="pct"/>
            <w:vAlign w:val="center"/>
          </w:tcPr>
          <w:p w14:paraId="2E23D29E" w14:textId="25E36650" w:rsidR="00AF551D" w:rsidRPr="00A61127" w:rsidRDefault="004C3B3F" w:rsidP="008E478D">
            <w:pPr>
              <w:pStyle w:val="NormalWeb"/>
              <w:spacing w:before="0" w:beforeAutospacing="0" w:after="0" w:afterAutospacing="0"/>
              <w:rPr>
                <w:rFonts w:ascii="Arial Narrow" w:hAnsi="Arial Narrow" w:cstheme="minorBidi"/>
                <w:i/>
                <w:color w:val="000000" w:themeColor="text1"/>
                <w:sz w:val="20"/>
                <w:szCs w:val="22"/>
              </w:rPr>
            </w:pPr>
            <w:r w:rsidRPr="001F544B">
              <w:rPr>
                <w:rFonts w:ascii="Arial Narrow" w:hAnsi="Arial Narrow" w:cstheme="minorBidi"/>
                <w:i/>
                <w:color w:val="000000" w:themeColor="text1"/>
                <w:sz w:val="20"/>
                <w:szCs w:val="22"/>
              </w:rPr>
              <w:t>76.7</w:t>
            </w:r>
            <w:r w:rsidR="00191903">
              <w:rPr>
                <w:rFonts w:ascii="Arial Narrow" w:hAnsi="Arial Narrow" w:cstheme="minorBidi"/>
                <w:i/>
                <w:iCs/>
                <w:color w:val="000000" w:themeColor="text1"/>
                <w:sz w:val="20"/>
                <w:szCs w:val="22"/>
              </w:rPr>
              <w:t>%</w:t>
            </w:r>
            <w:r w:rsidRPr="001F544B">
              <w:rPr>
                <w:rFonts w:ascii="Arial Narrow" w:hAnsi="Arial Narrow" w:cstheme="minorBidi"/>
                <w:i/>
                <w:color w:val="000000" w:themeColor="text1"/>
                <w:sz w:val="20"/>
                <w:szCs w:val="22"/>
              </w:rPr>
              <w:t xml:space="preserve"> </w:t>
            </w:r>
          </w:p>
          <w:p w14:paraId="3ECA9C5C" w14:textId="6E9A3D05" w:rsidR="004C3B3F" w:rsidRPr="00A61127" w:rsidRDefault="004C3B3F" w:rsidP="008E478D">
            <w:pPr>
              <w:pStyle w:val="NormalWeb"/>
              <w:spacing w:before="0" w:beforeAutospacing="0" w:after="0" w:afterAutospacing="0"/>
              <w:rPr>
                <w:rFonts w:ascii="Arial Narrow" w:hAnsi="Arial Narrow" w:cstheme="minorBidi"/>
                <w:i/>
                <w:color w:val="000000" w:themeColor="text1"/>
                <w:sz w:val="20"/>
                <w:szCs w:val="22"/>
              </w:rPr>
            </w:pPr>
            <w:r w:rsidRPr="001F544B">
              <w:rPr>
                <w:rFonts w:ascii="Arial Narrow" w:hAnsi="Arial Narrow" w:cstheme="minorBidi"/>
                <w:i/>
                <w:color w:val="000000" w:themeColor="text1"/>
                <w:sz w:val="20"/>
                <w:szCs w:val="22"/>
              </w:rPr>
              <w:t>(69.</w:t>
            </w:r>
            <w:r w:rsidR="001F544B" w:rsidRPr="00A61127">
              <w:rPr>
                <w:rFonts w:ascii="Arial Narrow" w:hAnsi="Arial Narrow" w:cstheme="minorBidi"/>
                <w:i/>
                <w:color w:val="000000" w:themeColor="text1"/>
                <w:sz w:val="20"/>
                <w:szCs w:val="22"/>
              </w:rPr>
              <w:t>8-</w:t>
            </w:r>
            <w:r w:rsidRPr="001F544B">
              <w:rPr>
                <w:rFonts w:ascii="Arial Narrow" w:hAnsi="Arial Narrow" w:cstheme="minorBidi"/>
                <w:i/>
                <w:color w:val="000000" w:themeColor="text1"/>
                <w:sz w:val="20"/>
                <w:szCs w:val="22"/>
              </w:rPr>
              <w:t>82.6)</w:t>
            </w:r>
          </w:p>
        </w:tc>
        <w:tc>
          <w:tcPr>
            <w:tcW w:w="553" w:type="pct"/>
            <w:vAlign w:val="center"/>
          </w:tcPr>
          <w:p w14:paraId="565F1DD0" w14:textId="6117342A" w:rsidR="00AF551D"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90</w:t>
            </w:r>
            <w:r w:rsidR="00191903">
              <w:rPr>
                <w:rFonts w:ascii="Arial Narrow" w:hAnsi="Arial Narrow" w:cstheme="minorBidi"/>
                <w:i/>
                <w:iCs/>
                <w:color w:val="000000" w:themeColor="text1"/>
                <w:sz w:val="20"/>
                <w:szCs w:val="22"/>
              </w:rPr>
              <w:t>.0%</w:t>
            </w:r>
          </w:p>
          <w:p w14:paraId="7DDD44C4" w14:textId="2F53BD28" w:rsidR="004C3B3F" w:rsidRPr="001F544B"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(89.6- 90.3)</w:t>
            </w:r>
          </w:p>
        </w:tc>
        <w:tc>
          <w:tcPr>
            <w:tcW w:w="474" w:type="pct"/>
            <w:vAlign w:val="center"/>
          </w:tcPr>
          <w:p w14:paraId="10C6DA34" w14:textId="523912FD" w:rsidR="00AF551D"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5.1</w:t>
            </w:r>
            <w:r w:rsidR="00191903">
              <w:rPr>
                <w:rFonts w:ascii="Arial Narrow" w:hAnsi="Arial Narrow" w:cstheme="minorBidi"/>
                <w:i/>
                <w:iCs/>
                <w:color w:val="000000" w:themeColor="text1"/>
                <w:sz w:val="20"/>
                <w:szCs w:val="22"/>
              </w:rPr>
              <w:t>%</w:t>
            </w:r>
            <w:r w:rsidRPr="001F544B">
              <w:rPr>
                <w:rFonts w:ascii="Arial Narrow" w:hAnsi="Arial Narrow" w:cstheme="minorBidi"/>
                <w:i/>
                <w:iCs/>
                <w:color w:val="000000" w:themeColor="text1"/>
                <w:sz w:val="20"/>
                <w:szCs w:val="22"/>
              </w:rPr>
              <w:t xml:space="preserve"> </w:t>
            </w:r>
          </w:p>
          <w:p w14:paraId="2CA4211E" w14:textId="29B4581F" w:rsidR="004C3B3F" w:rsidRPr="001F544B"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(4.3-</w:t>
            </w:r>
            <w:r w:rsidR="001F544B">
              <w:rPr>
                <w:rFonts w:ascii="Arial Narrow" w:hAnsi="Arial Narrow" w:cstheme="minorBidi"/>
                <w:i/>
                <w:iCs/>
                <w:color w:val="000000" w:themeColor="text1"/>
                <w:sz w:val="20"/>
                <w:szCs w:val="22"/>
              </w:rPr>
              <w:t>6</w:t>
            </w:r>
            <w:r w:rsidR="00191903">
              <w:rPr>
                <w:rFonts w:ascii="Arial Narrow" w:hAnsi="Arial Narrow" w:cstheme="minorBidi"/>
                <w:i/>
                <w:iCs/>
                <w:color w:val="000000" w:themeColor="text1"/>
                <w:sz w:val="20"/>
                <w:szCs w:val="22"/>
              </w:rPr>
              <w:t>.0</w:t>
            </w:r>
            <w:r w:rsidRPr="001F544B">
              <w:rPr>
                <w:rFonts w:ascii="Arial Narrow" w:hAnsi="Arial Narrow" w:cstheme="minorBidi"/>
                <w:i/>
                <w:iCs/>
                <w:color w:val="000000" w:themeColor="text1"/>
                <w:sz w:val="20"/>
                <w:szCs w:val="22"/>
              </w:rPr>
              <w:t>)</w:t>
            </w:r>
          </w:p>
        </w:tc>
        <w:tc>
          <w:tcPr>
            <w:tcW w:w="552" w:type="pct"/>
            <w:vAlign w:val="center"/>
          </w:tcPr>
          <w:p w14:paraId="517B7B33" w14:textId="729A44AE" w:rsidR="00076800"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99.8</w:t>
            </w:r>
            <w:r w:rsidR="00191903">
              <w:rPr>
                <w:rFonts w:ascii="Arial Narrow" w:hAnsi="Arial Narrow" w:cstheme="minorBidi"/>
                <w:i/>
                <w:iCs/>
                <w:color w:val="000000" w:themeColor="text1"/>
                <w:sz w:val="20"/>
                <w:szCs w:val="22"/>
              </w:rPr>
              <w:t>%</w:t>
            </w:r>
            <w:r w:rsidRPr="001F544B">
              <w:rPr>
                <w:rFonts w:ascii="Arial Narrow" w:hAnsi="Arial Narrow" w:cstheme="minorBidi"/>
                <w:i/>
                <w:iCs/>
                <w:color w:val="000000" w:themeColor="text1"/>
                <w:sz w:val="20"/>
                <w:szCs w:val="22"/>
              </w:rPr>
              <w:t xml:space="preserve"> </w:t>
            </w:r>
          </w:p>
          <w:p w14:paraId="2F9756CA" w14:textId="4319D7E0" w:rsidR="004C3B3F" w:rsidRPr="001F544B"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(99.</w:t>
            </w:r>
            <w:r w:rsidR="001F544B">
              <w:rPr>
                <w:rFonts w:ascii="Arial Narrow" w:hAnsi="Arial Narrow" w:cstheme="minorBidi"/>
                <w:i/>
                <w:iCs/>
                <w:color w:val="000000" w:themeColor="text1"/>
                <w:sz w:val="20"/>
                <w:szCs w:val="22"/>
              </w:rPr>
              <w:t>8</w:t>
            </w:r>
            <w:r w:rsidRPr="001F544B">
              <w:rPr>
                <w:rFonts w:ascii="Arial Narrow" w:hAnsi="Arial Narrow" w:cstheme="minorBidi"/>
                <w:i/>
                <w:iCs/>
                <w:color w:val="000000" w:themeColor="text1"/>
                <w:sz w:val="20"/>
                <w:szCs w:val="22"/>
              </w:rPr>
              <w:t>-99.9)</w:t>
            </w:r>
          </w:p>
        </w:tc>
        <w:tc>
          <w:tcPr>
            <w:tcW w:w="500" w:type="pct"/>
            <w:vAlign w:val="center"/>
          </w:tcPr>
          <w:p w14:paraId="64861BA5" w14:textId="2349C013" w:rsidR="00076800"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89.9</w:t>
            </w:r>
            <w:r w:rsidR="00191903">
              <w:rPr>
                <w:rFonts w:ascii="Arial Narrow" w:hAnsi="Arial Narrow" w:cstheme="minorBidi"/>
                <w:i/>
                <w:iCs/>
                <w:color w:val="000000" w:themeColor="text1"/>
                <w:sz w:val="20"/>
                <w:szCs w:val="22"/>
              </w:rPr>
              <w:t>%</w:t>
            </w:r>
            <w:r w:rsidRPr="001F544B">
              <w:rPr>
                <w:rFonts w:ascii="Arial Narrow" w:hAnsi="Arial Narrow" w:cstheme="minorBidi"/>
                <w:i/>
                <w:iCs/>
                <w:color w:val="000000" w:themeColor="text1"/>
                <w:sz w:val="20"/>
                <w:szCs w:val="22"/>
              </w:rPr>
              <w:t xml:space="preserve"> </w:t>
            </w:r>
          </w:p>
          <w:p w14:paraId="5BE94385" w14:textId="3ABFA0BC" w:rsidR="004C3B3F" w:rsidRPr="001F544B" w:rsidRDefault="004C3B3F" w:rsidP="008E478D">
            <w:pPr>
              <w:pStyle w:val="NormalWeb"/>
              <w:spacing w:before="0" w:beforeAutospacing="0" w:after="0" w:afterAutospacing="0"/>
              <w:rPr>
                <w:rFonts w:ascii="Arial Narrow" w:hAnsi="Arial Narrow" w:cstheme="minorBidi"/>
                <w:i/>
                <w:iCs/>
                <w:color w:val="000000" w:themeColor="text1"/>
                <w:sz w:val="20"/>
                <w:szCs w:val="22"/>
              </w:rPr>
            </w:pPr>
            <w:r w:rsidRPr="001F544B">
              <w:rPr>
                <w:rFonts w:ascii="Arial Narrow" w:hAnsi="Arial Narrow" w:cstheme="minorBidi"/>
                <w:i/>
                <w:iCs/>
                <w:color w:val="000000" w:themeColor="text1"/>
                <w:sz w:val="20"/>
                <w:szCs w:val="22"/>
              </w:rPr>
              <w:t>(89.5</w:t>
            </w:r>
            <w:r w:rsidR="001F544B">
              <w:rPr>
                <w:rFonts w:ascii="Arial Narrow" w:hAnsi="Arial Narrow" w:cstheme="minorBidi"/>
                <w:i/>
                <w:iCs/>
                <w:color w:val="000000" w:themeColor="text1"/>
                <w:sz w:val="20"/>
                <w:szCs w:val="22"/>
              </w:rPr>
              <w:t>-</w:t>
            </w:r>
            <w:r w:rsidRPr="001F544B">
              <w:rPr>
                <w:rFonts w:ascii="Arial Narrow" w:hAnsi="Arial Narrow" w:cstheme="minorBidi"/>
                <w:i/>
                <w:iCs/>
                <w:color w:val="000000" w:themeColor="text1"/>
                <w:sz w:val="20"/>
                <w:szCs w:val="22"/>
              </w:rPr>
              <w:t>90.2)</w:t>
            </w:r>
          </w:p>
        </w:tc>
      </w:tr>
      <w:tr w:rsidR="00E8719B" w14:paraId="746192D0" w14:textId="77777777" w:rsidTr="006F10F7">
        <w:trPr>
          <w:trHeight w:val="264"/>
        </w:trPr>
        <w:tc>
          <w:tcPr>
            <w:tcW w:w="631" w:type="pct"/>
            <w:vAlign w:val="center"/>
          </w:tcPr>
          <w:p w14:paraId="3410F322" w14:textId="2C093AFA" w:rsidR="009A0E81" w:rsidRPr="00C15B09" w:rsidRDefault="003E61A9" w:rsidP="009A0E81">
            <w:pPr>
              <w:pStyle w:val="TableText"/>
              <w:keepNext/>
              <w:keepLines/>
              <w:spacing w:before="0" w:after="0"/>
              <w:rPr>
                <w:rFonts w:eastAsia="Calibri"/>
                <w:color w:val="000000" w:themeColor="text1"/>
                <w:szCs w:val="20"/>
                <w:u w:val="single"/>
                <w:lang w:eastAsia="en-AU"/>
              </w:rPr>
            </w:pPr>
            <w:r w:rsidRPr="00CA58AB">
              <w:rPr>
                <w:rFonts w:eastAsia="Calibri"/>
                <w:color w:val="000000" w:themeColor="text1"/>
                <w:szCs w:val="20"/>
                <w:u w:val="single"/>
                <w:lang w:eastAsia="en-AU"/>
              </w:rPr>
              <w:t>O’Gorman et al., 2017</w:t>
            </w:r>
          </w:p>
        </w:tc>
        <w:tc>
          <w:tcPr>
            <w:tcW w:w="1345" w:type="pct"/>
            <w:gridSpan w:val="2"/>
            <w:vAlign w:val="center"/>
          </w:tcPr>
          <w:p w14:paraId="37CC7E47" w14:textId="30357C86" w:rsidR="00CA58AB" w:rsidRDefault="008262AB" w:rsidP="00CA58AB">
            <w:pPr>
              <w:pStyle w:val="TableText"/>
              <w:keepNext/>
              <w:keepLines/>
              <w:spacing w:before="0" w:after="0"/>
              <w:rPr>
                <w:rFonts w:eastAsia="Calibri"/>
                <w:color w:val="000000" w:themeColor="text1"/>
              </w:rPr>
            </w:pPr>
            <w:r>
              <w:rPr>
                <w:rFonts w:eastAsia="Calibri"/>
                <w:color w:val="000000" w:themeColor="text1"/>
              </w:rPr>
              <w:t>ASPRE</w:t>
            </w:r>
          </w:p>
          <w:p w14:paraId="487AC9AB" w14:textId="54A778A7" w:rsidR="003E61A9" w:rsidRPr="004C3B3F" w:rsidRDefault="009A0E81" w:rsidP="00CA58AB">
            <w:pPr>
              <w:pStyle w:val="TableText"/>
              <w:keepNext/>
              <w:keepLines/>
              <w:spacing w:before="0" w:after="0"/>
              <w:rPr>
                <w:color w:val="000000" w:themeColor="text1"/>
              </w:rPr>
            </w:pPr>
            <w:r w:rsidRPr="004C3B3F">
              <w:rPr>
                <w:rFonts w:eastAsia="Calibri"/>
                <w:color w:val="000000" w:themeColor="text1"/>
              </w:rPr>
              <w:t>N=8,775</w:t>
            </w:r>
          </w:p>
        </w:tc>
        <w:tc>
          <w:tcPr>
            <w:tcW w:w="391" w:type="pct"/>
            <w:vAlign w:val="center"/>
          </w:tcPr>
          <w:p w14:paraId="299779DE" w14:textId="77777777" w:rsidR="003E61A9" w:rsidRPr="004C3B3F" w:rsidRDefault="003E61A9">
            <w:pPr>
              <w:pStyle w:val="TableText"/>
              <w:spacing w:before="0" w:after="0"/>
              <w:rPr>
                <w:color w:val="000000" w:themeColor="text1"/>
              </w:rPr>
            </w:pPr>
            <w:r w:rsidRPr="004C3B3F">
              <w:rPr>
                <w:color w:val="000000" w:themeColor="text1"/>
              </w:rPr>
              <w:t>NR</w:t>
            </w:r>
          </w:p>
        </w:tc>
        <w:tc>
          <w:tcPr>
            <w:tcW w:w="553" w:type="pct"/>
            <w:vAlign w:val="center"/>
          </w:tcPr>
          <w:p w14:paraId="1358B976" w14:textId="261FB7B0" w:rsidR="003E61A9" w:rsidRPr="00191903" w:rsidRDefault="003E61A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75</w:t>
            </w:r>
            <w:r w:rsidR="00465594" w:rsidRPr="00191903">
              <w:rPr>
                <w:rFonts w:ascii="Arial Narrow" w:hAnsi="Arial Narrow" w:cstheme="minorBidi"/>
                <w:color w:val="000000" w:themeColor="text1"/>
                <w:sz w:val="20"/>
                <w:szCs w:val="22"/>
              </w:rPr>
              <w:t>.0</w:t>
            </w:r>
            <w:r w:rsidRPr="00191903">
              <w:rPr>
                <w:rFonts w:ascii="Arial Narrow" w:hAnsi="Arial Narrow" w:cstheme="minorBidi"/>
                <w:color w:val="000000" w:themeColor="text1"/>
                <w:sz w:val="20"/>
                <w:szCs w:val="22"/>
              </w:rPr>
              <w:t>%</w:t>
            </w:r>
          </w:p>
        </w:tc>
        <w:tc>
          <w:tcPr>
            <w:tcW w:w="553" w:type="pct"/>
            <w:vAlign w:val="center"/>
          </w:tcPr>
          <w:p w14:paraId="4DCF989E" w14:textId="251EFDF3" w:rsidR="003E61A9" w:rsidRPr="00191903" w:rsidRDefault="00465594" w:rsidP="008E478D">
            <w:pPr>
              <w:pStyle w:val="NormalWeb"/>
              <w:spacing w:before="0" w:beforeAutospacing="0" w:after="0" w:afterAutospacing="0"/>
              <w:rPr>
                <w:rFonts w:ascii="Arial Narrow" w:hAnsi="Arial Narrow" w:cstheme="minorBidi"/>
                <w:color w:val="000000" w:themeColor="text1"/>
                <w:sz w:val="20"/>
                <w:szCs w:val="22"/>
              </w:rPr>
            </w:pPr>
            <w:r w:rsidRPr="00465594">
              <w:rPr>
                <w:rFonts w:ascii="Arial Narrow" w:hAnsi="Arial Narrow" w:cstheme="minorBidi"/>
                <w:color w:val="000000" w:themeColor="text1"/>
                <w:sz w:val="20"/>
                <w:szCs w:val="22"/>
              </w:rPr>
              <w:t>NR</w:t>
            </w:r>
          </w:p>
        </w:tc>
        <w:tc>
          <w:tcPr>
            <w:tcW w:w="474" w:type="pct"/>
            <w:vAlign w:val="center"/>
          </w:tcPr>
          <w:p w14:paraId="301EBA71" w14:textId="5432F4C7" w:rsidR="003E61A9" w:rsidRPr="00191903" w:rsidRDefault="003E61A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10</w:t>
            </w:r>
            <w:r w:rsidR="00465594" w:rsidRPr="00191903">
              <w:rPr>
                <w:rFonts w:ascii="Arial Narrow" w:hAnsi="Arial Narrow" w:cstheme="minorBidi"/>
                <w:color w:val="000000" w:themeColor="text1"/>
                <w:sz w:val="20"/>
                <w:szCs w:val="22"/>
              </w:rPr>
              <w:t>.0</w:t>
            </w:r>
            <w:r w:rsidRPr="00191903">
              <w:rPr>
                <w:rFonts w:ascii="Arial Narrow" w:hAnsi="Arial Narrow" w:cstheme="minorBidi"/>
                <w:color w:val="000000" w:themeColor="text1"/>
                <w:sz w:val="20"/>
                <w:szCs w:val="22"/>
              </w:rPr>
              <w:t>%</w:t>
            </w:r>
          </w:p>
        </w:tc>
        <w:tc>
          <w:tcPr>
            <w:tcW w:w="552" w:type="pct"/>
            <w:vAlign w:val="center"/>
          </w:tcPr>
          <w:p w14:paraId="25E3611C" w14:textId="08DDEF09" w:rsidR="003E61A9" w:rsidRPr="00465594" w:rsidRDefault="00465594" w:rsidP="008E478D">
            <w:pPr>
              <w:pStyle w:val="NormalWeb"/>
              <w:spacing w:before="0" w:beforeAutospacing="0" w:after="0" w:afterAutospacing="0"/>
              <w:rPr>
                <w:rFonts w:ascii="Arial Narrow" w:hAnsi="Arial Narrow" w:cstheme="minorBidi"/>
                <w:color w:val="000000" w:themeColor="text1"/>
                <w:sz w:val="20"/>
                <w:szCs w:val="22"/>
              </w:rPr>
            </w:pPr>
            <w:r w:rsidRPr="00465594">
              <w:rPr>
                <w:rFonts w:ascii="Arial Narrow" w:hAnsi="Arial Narrow" w:cstheme="minorBidi"/>
                <w:color w:val="000000" w:themeColor="text1"/>
                <w:sz w:val="20"/>
                <w:szCs w:val="22"/>
              </w:rPr>
              <w:t>NR</w:t>
            </w:r>
          </w:p>
        </w:tc>
        <w:tc>
          <w:tcPr>
            <w:tcW w:w="500" w:type="pct"/>
            <w:vAlign w:val="center"/>
          </w:tcPr>
          <w:p w14:paraId="1F1143C5" w14:textId="4527E19E" w:rsidR="003E61A9" w:rsidRPr="00465594" w:rsidRDefault="00465594" w:rsidP="008E478D">
            <w:pPr>
              <w:pStyle w:val="NormalWeb"/>
              <w:spacing w:before="0" w:beforeAutospacing="0" w:after="0" w:afterAutospacing="0"/>
              <w:rPr>
                <w:rFonts w:ascii="Arial Narrow" w:hAnsi="Arial Narrow" w:cstheme="minorBidi"/>
                <w:color w:val="000000" w:themeColor="text1"/>
                <w:sz w:val="20"/>
                <w:szCs w:val="22"/>
              </w:rPr>
            </w:pPr>
            <w:r w:rsidRPr="00465594">
              <w:rPr>
                <w:rFonts w:ascii="Arial Narrow" w:hAnsi="Arial Narrow" w:cstheme="minorBidi"/>
                <w:color w:val="000000" w:themeColor="text1"/>
                <w:sz w:val="20"/>
                <w:szCs w:val="22"/>
              </w:rPr>
              <w:t>NR</w:t>
            </w:r>
          </w:p>
        </w:tc>
      </w:tr>
      <w:tr w:rsidR="001A33A0" w14:paraId="166D6A87" w14:textId="77777777" w:rsidTr="006F10F7">
        <w:trPr>
          <w:trHeight w:val="264"/>
        </w:trPr>
        <w:tc>
          <w:tcPr>
            <w:tcW w:w="631" w:type="pct"/>
            <w:vMerge w:val="restart"/>
            <w:vAlign w:val="center"/>
          </w:tcPr>
          <w:p w14:paraId="58428A33" w14:textId="1DAB5B94" w:rsidR="000B40CA" w:rsidRPr="003A3EC8" w:rsidRDefault="000B40CA" w:rsidP="00C15B09">
            <w:pPr>
              <w:pStyle w:val="TableText"/>
              <w:spacing w:before="0" w:after="0"/>
              <w:rPr>
                <w:rFonts w:eastAsia="Calibri"/>
                <w:color w:val="000000" w:themeColor="text1"/>
                <w:szCs w:val="20"/>
                <w:u w:val="single"/>
                <w:lang w:eastAsia="en-AU"/>
              </w:rPr>
            </w:pPr>
            <w:r w:rsidRPr="00CA58AB">
              <w:rPr>
                <w:rFonts w:eastAsia="Calibri"/>
                <w:color w:val="000000" w:themeColor="text1"/>
                <w:szCs w:val="20"/>
                <w:u w:val="single"/>
                <w:lang w:eastAsia="en-AU"/>
              </w:rPr>
              <w:t>Poon et al., 2018</w:t>
            </w:r>
          </w:p>
          <w:p w14:paraId="5E4A22E2" w14:textId="535C669F" w:rsidR="000B40CA" w:rsidRPr="004C3B3F" w:rsidRDefault="000B40CA" w:rsidP="00C15B09">
            <w:pPr>
              <w:pStyle w:val="TableText"/>
              <w:spacing w:before="0" w:after="0"/>
              <w:rPr>
                <w:color w:val="000000" w:themeColor="text1"/>
              </w:rPr>
            </w:pPr>
          </w:p>
        </w:tc>
        <w:tc>
          <w:tcPr>
            <w:tcW w:w="473" w:type="pct"/>
            <w:vMerge w:val="restart"/>
            <w:vAlign w:val="center"/>
          </w:tcPr>
          <w:p w14:paraId="6604BCB9" w14:textId="2FE228D1" w:rsidR="000B40CA" w:rsidRDefault="008262AB" w:rsidP="00C15B09">
            <w:pPr>
              <w:pStyle w:val="TableText"/>
              <w:keepNext/>
              <w:keepLines/>
              <w:spacing w:before="0" w:after="0"/>
              <w:rPr>
                <w:rFonts w:eastAsia="Calibri"/>
                <w:color w:val="000000" w:themeColor="text1"/>
              </w:rPr>
            </w:pPr>
            <w:r>
              <w:rPr>
                <w:rFonts w:eastAsia="Calibri"/>
                <w:color w:val="000000" w:themeColor="text1"/>
              </w:rPr>
              <w:t>ASPRE</w:t>
            </w:r>
          </w:p>
          <w:p w14:paraId="264459BA" w14:textId="5EC8F214" w:rsidR="000B40CA" w:rsidRPr="00901059" w:rsidRDefault="000B40CA" w:rsidP="00C15B09">
            <w:pPr>
              <w:pStyle w:val="TableText"/>
              <w:keepNext/>
              <w:keepLines/>
              <w:spacing w:before="0" w:after="0"/>
              <w:rPr>
                <w:rFonts w:eastAsia="Calibri"/>
                <w:color w:val="000000" w:themeColor="text1"/>
              </w:rPr>
            </w:pPr>
            <w:r w:rsidRPr="004C3B3F">
              <w:rPr>
                <w:rFonts w:eastAsia="Calibri"/>
                <w:color w:val="000000" w:themeColor="text1"/>
              </w:rPr>
              <w:t>N=34,573</w:t>
            </w:r>
          </w:p>
        </w:tc>
        <w:tc>
          <w:tcPr>
            <w:tcW w:w="872" w:type="pct"/>
            <w:vAlign w:val="center"/>
          </w:tcPr>
          <w:p w14:paraId="1DB6EEE9" w14:textId="47C64F85" w:rsidR="000B40CA" w:rsidRPr="00901059" w:rsidRDefault="00256886" w:rsidP="00C15B09">
            <w:pPr>
              <w:pStyle w:val="TableText"/>
              <w:keepNext/>
              <w:keepLines/>
              <w:spacing w:before="0" w:after="0"/>
              <w:rPr>
                <w:rFonts w:eastAsia="Calibri"/>
                <w:color w:val="000000" w:themeColor="text1"/>
              </w:rPr>
            </w:pPr>
            <w:r>
              <w:rPr>
                <w:rFonts w:eastAsia="Calibri"/>
                <w:color w:val="000000" w:themeColor="text1"/>
              </w:rPr>
              <w:t xml:space="preserve">1+ </w:t>
            </w:r>
            <w:r w:rsidR="000B40CA" w:rsidRPr="00901059">
              <w:rPr>
                <w:rFonts w:eastAsia="Calibri"/>
                <w:color w:val="000000" w:themeColor="text1"/>
              </w:rPr>
              <w:t>ACOG risk factor</w:t>
            </w:r>
          </w:p>
          <w:p w14:paraId="0BB91B31" w14:textId="0DF81E64" w:rsidR="000B40CA" w:rsidRPr="00901059" w:rsidRDefault="000B40CA" w:rsidP="00C15B09">
            <w:pPr>
              <w:pStyle w:val="TableText"/>
              <w:keepNext/>
              <w:keepLines/>
              <w:spacing w:before="0" w:after="0"/>
              <w:rPr>
                <w:rFonts w:eastAsia="Calibri"/>
                <w:color w:val="000000" w:themeColor="text1"/>
              </w:rPr>
            </w:pPr>
            <w:r w:rsidRPr="00901059">
              <w:rPr>
                <w:rFonts w:eastAsia="Calibri"/>
                <w:color w:val="000000" w:themeColor="text1"/>
              </w:rPr>
              <w:t>N=22,287</w:t>
            </w:r>
          </w:p>
        </w:tc>
        <w:tc>
          <w:tcPr>
            <w:tcW w:w="391" w:type="pct"/>
            <w:vMerge w:val="restart"/>
            <w:vAlign w:val="center"/>
          </w:tcPr>
          <w:p w14:paraId="5754DF38" w14:textId="77777777" w:rsidR="000B40CA" w:rsidRPr="004C3B3F" w:rsidRDefault="000B40CA" w:rsidP="00C15B09">
            <w:pPr>
              <w:pStyle w:val="TableText"/>
              <w:spacing w:before="0" w:after="0"/>
              <w:rPr>
                <w:color w:val="000000" w:themeColor="text1"/>
              </w:rPr>
            </w:pPr>
            <w:r w:rsidRPr="004C3B3F">
              <w:rPr>
                <w:color w:val="000000" w:themeColor="text1"/>
              </w:rPr>
              <w:t>1 in 100</w:t>
            </w:r>
          </w:p>
        </w:tc>
        <w:tc>
          <w:tcPr>
            <w:tcW w:w="553" w:type="pct"/>
            <w:vAlign w:val="center"/>
          </w:tcPr>
          <w:p w14:paraId="3031EB96" w14:textId="77777777" w:rsidR="00256886"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78.8% </w:t>
            </w:r>
          </w:p>
          <w:p w14:paraId="38BAA668" w14:textId="727C9375"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(72.8</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84</w:t>
            </w:r>
            <w:r w:rsidR="00436503">
              <w:rPr>
                <w:rFonts w:ascii="Arial Narrow" w:hAnsi="Arial Narrow" w:cstheme="minorBidi"/>
                <w:i/>
                <w:iCs/>
                <w:color w:val="000000" w:themeColor="text1"/>
                <w:sz w:val="20"/>
                <w:szCs w:val="22"/>
              </w:rPr>
              <w:t>.0</w:t>
            </w:r>
            <w:r w:rsidR="00436503" w:rsidRPr="00E600A7">
              <w:rPr>
                <w:rFonts w:ascii="Arial Narrow" w:hAnsi="Arial Narrow" w:cstheme="minorBidi"/>
                <w:i/>
                <w:iCs/>
                <w:color w:val="000000" w:themeColor="text1"/>
                <w:sz w:val="20"/>
                <w:szCs w:val="22"/>
              </w:rPr>
              <w:t>)</w:t>
            </w:r>
          </w:p>
        </w:tc>
        <w:tc>
          <w:tcPr>
            <w:tcW w:w="553" w:type="pct"/>
            <w:vAlign w:val="center"/>
          </w:tcPr>
          <w:p w14:paraId="6B8EA471" w14:textId="50CCA536"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84.6% (84.1</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85.1</w:t>
            </w:r>
            <w:r w:rsidR="00436503" w:rsidRPr="00E600A7">
              <w:rPr>
                <w:rFonts w:ascii="Arial Narrow" w:hAnsi="Arial Narrow" w:cstheme="minorBidi"/>
                <w:i/>
                <w:iCs/>
                <w:color w:val="000000" w:themeColor="text1"/>
                <w:sz w:val="20"/>
                <w:szCs w:val="22"/>
              </w:rPr>
              <w:t>)</w:t>
            </w:r>
          </w:p>
        </w:tc>
        <w:tc>
          <w:tcPr>
            <w:tcW w:w="474" w:type="pct"/>
            <w:vAlign w:val="center"/>
          </w:tcPr>
          <w:p w14:paraId="13FA062E" w14:textId="77777777"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4.8% </w:t>
            </w:r>
          </w:p>
          <w:p w14:paraId="5A4779E3" w14:textId="79CBCE93"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(4.1</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5.5</w:t>
            </w:r>
            <w:r w:rsidR="00436503" w:rsidRPr="00E600A7">
              <w:rPr>
                <w:rFonts w:ascii="Arial Narrow" w:hAnsi="Arial Narrow" w:cstheme="minorBidi"/>
                <w:i/>
                <w:iCs/>
                <w:color w:val="000000" w:themeColor="text1"/>
                <w:sz w:val="20"/>
                <w:szCs w:val="22"/>
              </w:rPr>
              <w:t>)</w:t>
            </w:r>
          </w:p>
        </w:tc>
        <w:tc>
          <w:tcPr>
            <w:tcW w:w="552" w:type="pct"/>
            <w:vAlign w:val="center"/>
          </w:tcPr>
          <w:p w14:paraId="031BD674" w14:textId="38B85964"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99.8% (99.7</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99.8</w:t>
            </w:r>
            <w:r w:rsidR="00436503" w:rsidRPr="00E600A7">
              <w:rPr>
                <w:rFonts w:ascii="Arial Narrow" w:hAnsi="Arial Narrow" w:cstheme="minorBidi"/>
                <w:i/>
                <w:iCs/>
                <w:color w:val="000000" w:themeColor="text1"/>
                <w:sz w:val="20"/>
                <w:szCs w:val="22"/>
              </w:rPr>
              <w:t>)</w:t>
            </w:r>
          </w:p>
        </w:tc>
        <w:tc>
          <w:tcPr>
            <w:tcW w:w="500" w:type="pct"/>
            <w:vAlign w:val="center"/>
          </w:tcPr>
          <w:p w14:paraId="19EC079B" w14:textId="77777777"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84.6</w:t>
            </w:r>
            <w:r w:rsidR="00436503" w:rsidRPr="00E600A7">
              <w:rPr>
                <w:rFonts w:ascii="Arial Narrow" w:hAnsi="Arial Narrow" w:cstheme="minorBidi"/>
                <w:i/>
                <w:iCs/>
                <w:color w:val="000000" w:themeColor="text1"/>
                <w:sz w:val="20"/>
                <w:szCs w:val="22"/>
              </w:rPr>
              <w:t xml:space="preserve"> </w:t>
            </w:r>
          </w:p>
          <w:p w14:paraId="5DFEE393" w14:textId="23FBF9A6"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(84.1</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85</w:t>
            </w:r>
            <w:r w:rsidR="00436503">
              <w:rPr>
                <w:rFonts w:ascii="Arial Narrow" w:hAnsi="Arial Narrow" w:cstheme="minorBidi"/>
                <w:i/>
                <w:iCs/>
                <w:color w:val="000000" w:themeColor="text1"/>
                <w:sz w:val="20"/>
                <w:szCs w:val="22"/>
              </w:rPr>
              <w:t>.0</w:t>
            </w:r>
            <w:r w:rsidR="00436503" w:rsidRPr="00E600A7">
              <w:rPr>
                <w:rFonts w:ascii="Arial Narrow" w:hAnsi="Arial Narrow" w:cstheme="minorBidi"/>
                <w:i/>
                <w:iCs/>
                <w:color w:val="000000" w:themeColor="text1"/>
                <w:sz w:val="20"/>
                <w:szCs w:val="22"/>
              </w:rPr>
              <w:t>)</w:t>
            </w:r>
          </w:p>
        </w:tc>
      </w:tr>
      <w:tr w:rsidR="001A33A0" w14:paraId="452330E3" w14:textId="77777777" w:rsidTr="006F10F7">
        <w:trPr>
          <w:trHeight w:val="264"/>
        </w:trPr>
        <w:tc>
          <w:tcPr>
            <w:tcW w:w="631" w:type="pct"/>
            <w:vMerge/>
            <w:vAlign w:val="center"/>
          </w:tcPr>
          <w:p w14:paraId="712540B1" w14:textId="77777777" w:rsidR="000B40CA" w:rsidRPr="004C3B3F" w:rsidRDefault="000B40CA" w:rsidP="00C15B09">
            <w:pPr>
              <w:pStyle w:val="TableText"/>
              <w:spacing w:before="0" w:after="0"/>
              <w:rPr>
                <w:rFonts w:eastAsia="Calibri"/>
                <w:color w:val="000000" w:themeColor="text1"/>
                <w:szCs w:val="20"/>
                <w:lang w:eastAsia="en-AU"/>
              </w:rPr>
            </w:pPr>
          </w:p>
        </w:tc>
        <w:tc>
          <w:tcPr>
            <w:tcW w:w="473" w:type="pct"/>
            <w:vMerge/>
            <w:vAlign w:val="center"/>
          </w:tcPr>
          <w:p w14:paraId="7A305006" w14:textId="77777777" w:rsidR="000B40CA" w:rsidRPr="00DF0500" w:rsidRDefault="000B40CA" w:rsidP="00C15B09">
            <w:pPr>
              <w:pStyle w:val="TableText"/>
              <w:keepNext/>
              <w:keepLines/>
              <w:spacing w:before="0" w:after="0"/>
              <w:rPr>
                <w:rFonts w:eastAsia="Calibri"/>
                <w:color w:val="000000" w:themeColor="text1"/>
              </w:rPr>
            </w:pPr>
          </w:p>
        </w:tc>
        <w:tc>
          <w:tcPr>
            <w:tcW w:w="872" w:type="pct"/>
            <w:vAlign w:val="center"/>
          </w:tcPr>
          <w:p w14:paraId="2ADB1A3F" w14:textId="54418118" w:rsidR="00256886" w:rsidRPr="00901059" w:rsidRDefault="00256886" w:rsidP="00256886">
            <w:pPr>
              <w:pStyle w:val="TableText"/>
              <w:keepNext/>
              <w:keepLines/>
              <w:spacing w:before="0" w:after="0"/>
              <w:rPr>
                <w:rFonts w:eastAsia="Calibri"/>
                <w:color w:val="000000" w:themeColor="text1"/>
              </w:rPr>
            </w:pPr>
            <w:r>
              <w:rPr>
                <w:rFonts w:eastAsia="Calibri"/>
                <w:color w:val="000000" w:themeColor="text1"/>
              </w:rPr>
              <w:t xml:space="preserve">1+ NICE </w:t>
            </w:r>
            <w:proofErr w:type="gramStart"/>
            <w:r>
              <w:rPr>
                <w:rFonts w:eastAsia="Calibri"/>
                <w:color w:val="000000" w:themeColor="text1"/>
              </w:rPr>
              <w:t>high</w:t>
            </w:r>
            <w:r w:rsidRPr="00901059">
              <w:rPr>
                <w:rFonts w:eastAsia="Calibri"/>
                <w:color w:val="000000" w:themeColor="text1"/>
              </w:rPr>
              <w:t xml:space="preserve"> risk</w:t>
            </w:r>
            <w:proofErr w:type="gramEnd"/>
            <w:r w:rsidRPr="00901059">
              <w:rPr>
                <w:rFonts w:eastAsia="Calibri"/>
                <w:color w:val="000000" w:themeColor="text1"/>
              </w:rPr>
              <w:t xml:space="preserve"> factor</w:t>
            </w:r>
          </w:p>
          <w:p w14:paraId="3D2FCBAC" w14:textId="1646E73D" w:rsidR="000B40CA" w:rsidRPr="00DF0500" w:rsidRDefault="000B40CA" w:rsidP="00C15B09">
            <w:pPr>
              <w:pStyle w:val="TableText"/>
              <w:keepNext/>
              <w:keepLines/>
              <w:spacing w:before="0" w:after="0"/>
              <w:rPr>
                <w:rFonts w:eastAsia="Calibri"/>
                <w:color w:val="000000" w:themeColor="text1"/>
              </w:rPr>
            </w:pPr>
            <w:r w:rsidRPr="00901059">
              <w:rPr>
                <w:rFonts w:eastAsia="Calibri"/>
                <w:color w:val="000000" w:themeColor="text1"/>
              </w:rPr>
              <w:t>N=1,392</w:t>
            </w:r>
          </w:p>
        </w:tc>
        <w:tc>
          <w:tcPr>
            <w:tcW w:w="391" w:type="pct"/>
            <w:vMerge/>
            <w:vAlign w:val="center"/>
          </w:tcPr>
          <w:p w14:paraId="6DA56B9C" w14:textId="77777777" w:rsidR="000B40CA" w:rsidRPr="004C3B3F" w:rsidRDefault="000B40CA" w:rsidP="00C15B09">
            <w:pPr>
              <w:pStyle w:val="TableText"/>
              <w:spacing w:before="0" w:after="0"/>
              <w:rPr>
                <w:color w:val="000000" w:themeColor="text1"/>
              </w:rPr>
            </w:pPr>
          </w:p>
        </w:tc>
        <w:tc>
          <w:tcPr>
            <w:tcW w:w="553" w:type="pct"/>
            <w:vAlign w:val="center"/>
          </w:tcPr>
          <w:p w14:paraId="3AECA300" w14:textId="77777777" w:rsidR="00256886"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94.4% </w:t>
            </w:r>
          </w:p>
          <w:p w14:paraId="7E1E2F9C" w14:textId="0627AB8B"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(86.4</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98.5</w:t>
            </w:r>
            <w:r w:rsidR="00436503" w:rsidRPr="00E600A7">
              <w:rPr>
                <w:rFonts w:ascii="Arial Narrow" w:hAnsi="Arial Narrow" w:cstheme="minorBidi"/>
                <w:i/>
                <w:iCs/>
                <w:color w:val="000000" w:themeColor="text1"/>
                <w:sz w:val="20"/>
                <w:szCs w:val="22"/>
              </w:rPr>
              <w:t>)</w:t>
            </w:r>
          </w:p>
        </w:tc>
        <w:tc>
          <w:tcPr>
            <w:tcW w:w="553" w:type="pct"/>
            <w:vAlign w:val="center"/>
          </w:tcPr>
          <w:p w14:paraId="57943564" w14:textId="16CF588A"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46</w:t>
            </w:r>
            <w:r w:rsidR="00436503">
              <w:rPr>
                <w:rFonts w:ascii="Arial Narrow" w:hAnsi="Arial Narrow" w:cstheme="minorBidi"/>
                <w:i/>
                <w:iCs/>
                <w:color w:val="000000" w:themeColor="text1"/>
                <w:sz w:val="20"/>
                <w:szCs w:val="22"/>
              </w:rPr>
              <w:t>.0</w:t>
            </w:r>
            <w:r w:rsidR="00436503" w:rsidRPr="00E600A7">
              <w:rPr>
                <w:rFonts w:ascii="Arial Narrow" w:hAnsi="Arial Narrow" w:cstheme="minorBidi"/>
                <w:i/>
                <w:iCs/>
                <w:color w:val="000000" w:themeColor="text1"/>
                <w:sz w:val="20"/>
                <w:szCs w:val="22"/>
              </w:rPr>
              <w:t xml:space="preserve">% </w:t>
            </w:r>
          </w:p>
          <w:p w14:paraId="6715821C" w14:textId="2A3B6A9D"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(43.3</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48.7</w:t>
            </w:r>
            <w:r w:rsidR="00436503" w:rsidRPr="00E600A7">
              <w:rPr>
                <w:rFonts w:ascii="Arial Narrow" w:hAnsi="Arial Narrow" w:cstheme="minorBidi"/>
                <w:i/>
                <w:iCs/>
                <w:color w:val="000000" w:themeColor="text1"/>
                <w:sz w:val="20"/>
                <w:szCs w:val="22"/>
              </w:rPr>
              <w:t>)</w:t>
            </w:r>
          </w:p>
        </w:tc>
        <w:tc>
          <w:tcPr>
            <w:tcW w:w="474" w:type="pct"/>
            <w:vAlign w:val="center"/>
          </w:tcPr>
          <w:p w14:paraId="14A057C4" w14:textId="77777777"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8.7% </w:t>
            </w:r>
          </w:p>
          <w:p w14:paraId="3F2D518D" w14:textId="79F05957"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(6.8</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10.9</w:t>
            </w:r>
            <w:r w:rsidR="00436503" w:rsidRPr="00E600A7">
              <w:rPr>
                <w:rFonts w:ascii="Arial Narrow" w:hAnsi="Arial Narrow" w:cstheme="minorBidi"/>
                <w:i/>
                <w:iCs/>
                <w:color w:val="000000" w:themeColor="text1"/>
                <w:sz w:val="20"/>
                <w:szCs w:val="22"/>
              </w:rPr>
              <w:t>)</w:t>
            </w:r>
          </w:p>
        </w:tc>
        <w:tc>
          <w:tcPr>
            <w:tcW w:w="552" w:type="pct"/>
            <w:vAlign w:val="center"/>
          </w:tcPr>
          <w:p w14:paraId="3756CE8D" w14:textId="77777777"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99.3% </w:t>
            </w:r>
          </w:p>
          <w:p w14:paraId="489E5ED8" w14:textId="2C3A04CE"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(98.3- 99.8</w:t>
            </w:r>
            <w:r w:rsidR="00436503" w:rsidRPr="00E600A7">
              <w:rPr>
                <w:rFonts w:ascii="Arial Narrow" w:hAnsi="Arial Narrow" w:cstheme="minorBidi"/>
                <w:i/>
                <w:iCs/>
                <w:color w:val="000000" w:themeColor="text1"/>
                <w:sz w:val="20"/>
                <w:szCs w:val="22"/>
              </w:rPr>
              <w:t>)</w:t>
            </w:r>
          </w:p>
        </w:tc>
        <w:tc>
          <w:tcPr>
            <w:tcW w:w="500" w:type="pct"/>
            <w:vAlign w:val="center"/>
          </w:tcPr>
          <w:p w14:paraId="56E9BD35" w14:textId="48D72ED9"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48.5% </w:t>
            </w:r>
          </w:p>
          <w:p w14:paraId="7EA96F63" w14:textId="126E208C"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(45.8</w:t>
            </w:r>
            <w:r w:rsidR="00436503">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51.2</w:t>
            </w:r>
            <w:r w:rsidR="00436503" w:rsidRPr="00E600A7">
              <w:rPr>
                <w:rFonts w:ascii="Arial Narrow" w:hAnsi="Arial Narrow" w:cstheme="minorBidi"/>
                <w:i/>
                <w:iCs/>
                <w:color w:val="000000" w:themeColor="text1"/>
                <w:sz w:val="20"/>
                <w:szCs w:val="22"/>
              </w:rPr>
              <w:t>)</w:t>
            </w:r>
          </w:p>
        </w:tc>
      </w:tr>
      <w:tr w:rsidR="001A33A0" w14:paraId="24D33E78" w14:textId="77777777" w:rsidTr="006F10F7">
        <w:trPr>
          <w:trHeight w:val="264"/>
        </w:trPr>
        <w:tc>
          <w:tcPr>
            <w:tcW w:w="631" w:type="pct"/>
            <w:vMerge/>
            <w:vAlign w:val="center"/>
          </w:tcPr>
          <w:p w14:paraId="6EE4C27C" w14:textId="77777777" w:rsidR="000B40CA" w:rsidRPr="004C3B3F" w:rsidRDefault="000B40CA" w:rsidP="00C15B09">
            <w:pPr>
              <w:pStyle w:val="TableText"/>
              <w:spacing w:before="0" w:after="0"/>
              <w:rPr>
                <w:rFonts w:eastAsia="Calibri"/>
                <w:color w:val="000000" w:themeColor="text1"/>
                <w:szCs w:val="20"/>
                <w:lang w:eastAsia="en-AU"/>
              </w:rPr>
            </w:pPr>
          </w:p>
        </w:tc>
        <w:tc>
          <w:tcPr>
            <w:tcW w:w="473" w:type="pct"/>
            <w:vMerge/>
            <w:vAlign w:val="center"/>
          </w:tcPr>
          <w:p w14:paraId="7A27EE74" w14:textId="77777777" w:rsidR="000B40CA" w:rsidRPr="00DF0500" w:rsidRDefault="000B40CA" w:rsidP="00C15B09">
            <w:pPr>
              <w:pStyle w:val="TableText"/>
              <w:keepNext/>
              <w:keepLines/>
              <w:spacing w:before="0" w:after="0"/>
              <w:rPr>
                <w:rFonts w:eastAsia="Calibri"/>
                <w:color w:val="000000" w:themeColor="text1"/>
              </w:rPr>
            </w:pPr>
          </w:p>
        </w:tc>
        <w:tc>
          <w:tcPr>
            <w:tcW w:w="872" w:type="pct"/>
            <w:vAlign w:val="center"/>
          </w:tcPr>
          <w:p w14:paraId="0595D854" w14:textId="3D157B3D" w:rsidR="00256886" w:rsidRPr="00901059" w:rsidRDefault="00256886" w:rsidP="00256886">
            <w:pPr>
              <w:pStyle w:val="TableText"/>
              <w:keepNext/>
              <w:keepLines/>
              <w:spacing w:before="0" w:after="0"/>
              <w:rPr>
                <w:rFonts w:eastAsia="Calibri"/>
                <w:color w:val="000000" w:themeColor="text1"/>
              </w:rPr>
            </w:pPr>
            <w:r>
              <w:rPr>
                <w:rFonts w:eastAsia="Calibri"/>
                <w:color w:val="000000" w:themeColor="text1"/>
              </w:rPr>
              <w:t>2+ NICE moderate</w:t>
            </w:r>
            <w:r w:rsidRPr="00901059">
              <w:rPr>
                <w:rFonts w:eastAsia="Calibri"/>
                <w:color w:val="000000" w:themeColor="text1"/>
              </w:rPr>
              <w:t xml:space="preserve"> risk factor</w:t>
            </w:r>
          </w:p>
          <w:p w14:paraId="5905FC24" w14:textId="5F688D8F" w:rsidR="000B40CA" w:rsidRPr="00DF0500" w:rsidRDefault="000B40CA" w:rsidP="00C15B09">
            <w:pPr>
              <w:pStyle w:val="TableText"/>
              <w:keepNext/>
              <w:keepLines/>
              <w:spacing w:before="0" w:after="0"/>
              <w:rPr>
                <w:rFonts w:eastAsia="Calibri"/>
                <w:color w:val="000000" w:themeColor="text1"/>
              </w:rPr>
            </w:pPr>
            <w:r w:rsidRPr="00901059">
              <w:rPr>
                <w:rFonts w:eastAsia="Calibri"/>
                <w:color w:val="000000" w:themeColor="text1"/>
              </w:rPr>
              <w:t>N=2,360</w:t>
            </w:r>
          </w:p>
        </w:tc>
        <w:tc>
          <w:tcPr>
            <w:tcW w:w="391" w:type="pct"/>
            <w:vMerge/>
            <w:vAlign w:val="center"/>
          </w:tcPr>
          <w:p w14:paraId="55A6DCE6" w14:textId="77777777" w:rsidR="000B40CA" w:rsidRPr="004C3B3F" w:rsidRDefault="000B40CA" w:rsidP="00C15B09">
            <w:pPr>
              <w:pStyle w:val="TableText"/>
              <w:spacing w:before="0" w:after="0"/>
              <w:rPr>
                <w:color w:val="000000" w:themeColor="text1"/>
              </w:rPr>
            </w:pPr>
          </w:p>
        </w:tc>
        <w:tc>
          <w:tcPr>
            <w:tcW w:w="553" w:type="pct"/>
            <w:vAlign w:val="center"/>
          </w:tcPr>
          <w:p w14:paraId="6D1C8F2C" w14:textId="77777777" w:rsidR="00256886"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82.9% </w:t>
            </w:r>
          </w:p>
          <w:p w14:paraId="7D754C00" w14:textId="233616FC"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(67.9</w:t>
            </w:r>
            <w:r w:rsidR="00436503">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92.8</w:t>
            </w:r>
            <w:r w:rsidR="00436503" w:rsidRPr="00E600A7">
              <w:rPr>
                <w:rFonts w:ascii="Arial Narrow" w:hAnsi="Arial Narrow" w:cstheme="minorBidi"/>
                <w:i/>
                <w:iCs/>
                <w:color w:val="000000" w:themeColor="text1"/>
                <w:sz w:val="20"/>
                <w:szCs w:val="22"/>
              </w:rPr>
              <w:t>)</w:t>
            </w:r>
          </w:p>
        </w:tc>
        <w:tc>
          <w:tcPr>
            <w:tcW w:w="553" w:type="pct"/>
            <w:vAlign w:val="center"/>
          </w:tcPr>
          <w:p w14:paraId="17F1A426" w14:textId="3967F48C"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71.6% (69.7</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73.5</w:t>
            </w:r>
            <w:r w:rsidR="00436503" w:rsidRPr="00E600A7">
              <w:rPr>
                <w:rFonts w:ascii="Arial Narrow" w:hAnsi="Arial Narrow" w:cstheme="minorBidi"/>
                <w:i/>
                <w:iCs/>
                <w:color w:val="000000" w:themeColor="text1"/>
                <w:sz w:val="20"/>
                <w:szCs w:val="22"/>
              </w:rPr>
              <w:t>)</w:t>
            </w:r>
          </w:p>
        </w:tc>
        <w:tc>
          <w:tcPr>
            <w:tcW w:w="474" w:type="pct"/>
            <w:vAlign w:val="center"/>
          </w:tcPr>
          <w:p w14:paraId="4AA2F01E" w14:textId="77777777"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4.9% </w:t>
            </w:r>
          </w:p>
          <w:p w14:paraId="2C32FAEE" w14:textId="66725139"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(3.4</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6.8</w:t>
            </w:r>
            <w:r w:rsidR="00436503" w:rsidRPr="00E600A7">
              <w:rPr>
                <w:rFonts w:ascii="Arial Narrow" w:hAnsi="Arial Narrow" w:cstheme="minorBidi"/>
                <w:i/>
                <w:iCs/>
                <w:color w:val="000000" w:themeColor="text1"/>
                <w:sz w:val="20"/>
                <w:szCs w:val="22"/>
              </w:rPr>
              <w:t>)</w:t>
            </w:r>
          </w:p>
        </w:tc>
        <w:tc>
          <w:tcPr>
            <w:tcW w:w="552" w:type="pct"/>
            <w:vAlign w:val="center"/>
          </w:tcPr>
          <w:p w14:paraId="3AD14DFC" w14:textId="39109FA4"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99.6% (99.1</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99.8</w:t>
            </w:r>
            <w:r w:rsidR="00436503" w:rsidRPr="00E600A7">
              <w:rPr>
                <w:rFonts w:ascii="Arial Narrow" w:hAnsi="Arial Narrow" w:cstheme="minorBidi"/>
                <w:i/>
                <w:iCs/>
                <w:color w:val="000000" w:themeColor="text1"/>
                <w:sz w:val="20"/>
                <w:szCs w:val="22"/>
              </w:rPr>
              <w:t>)</w:t>
            </w:r>
          </w:p>
        </w:tc>
        <w:tc>
          <w:tcPr>
            <w:tcW w:w="500" w:type="pct"/>
            <w:vAlign w:val="center"/>
          </w:tcPr>
          <w:p w14:paraId="3513B405" w14:textId="77777777" w:rsidR="00436503"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 xml:space="preserve">71.8% </w:t>
            </w:r>
          </w:p>
          <w:p w14:paraId="0AA98801" w14:textId="2125755A" w:rsidR="000B40CA" w:rsidRPr="00E600A7" w:rsidRDefault="000B40CA" w:rsidP="008E478D">
            <w:pPr>
              <w:pStyle w:val="NormalWeb"/>
              <w:spacing w:before="0" w:beforeAutospacing="0" w:after="0" w:afterAutospacing="0"/>
              <w:rPr>
                <w:rFonts w:ascii="Arial Narrow" w:hAnsi="Arial Narrow" w:cstheme="minorBidi"/>
                <w:i/>
                <w:iCs/>
                <w:color w:val="000000" w:themeColor="text1"/>
                <w:sz w:val="20"/>
                <w:szCs w:val="22"/>
              </w:rPr>
            </w:pPr>
            <w:r w:rsidRPr="00E600A7">
              <w:rPr>
                <w:rFonts w:ascii="Arial Narrow" w:hAnsi="Arial Narrow" w:cstheme="minorBidi"/>
                <w:i/>
                <w:iCs/>
                <w:color w:val="000000" w:themeColor="text1"/>
                <w:sz w:val="20"/>
                <w:szCs w:val="22"/>
              </w:rPr>
              <w:t>(70</w:t>
            </w:r>
            <w:r w:rsidR="00436503" w:rsidRPr="00E600A7">
              <w:rPr>
                <w:rFonts w:ascii="Arial Narrow" w:hAnsi="Arial Narrow" w:cstheme="minorBidi"/>
                <w:i/>
                <w:iCs/>
                <w:color w:val="000000" w:themeColor="text1"/>
                <w:sz w:val="20"/>
                <w:szCs w:val="22"/>
              </w:rPr>
              <w:t>-</w:t>
            </w:r>
            <w:r w:rsidRPr="00E600A7">
              <w:rPr>
                <w:rFonts w:ascii="Arial Narrow" w:hAnsi="Arial Narrow" w:cstheme="minorBidi"/>
                <w:i/>
                <w:iCs/>
                <w:color w:val="000000" w:themeColor="text1"/>
                <w:sz w:val="20"/>
                <w:szCs w:val="22"/>
              </w:rPr>
              <w:t>73.6</w:t>
            </w:r>
            <w:r w:rsidR="00436503" w:rsidRPr="00E600A7">
              <w:rPr>
                <w:rFonts w:ascii="Arial Narrow" w:hAnsi="Arial Narrow" w:cstheme="minorBidi"/>
                <w:i/>
                <w:iCs/>
                <w:color w:val="000000" w:themeColor="text1"/>
                <w:sz w:val="20"/>
                <w:szCs w:val="22"/>
              </w:rPr>
              <w:t>)</w:t>
            </w:r>
          </w:p>
        </w:tc>
      </w:tr>
      <w:tr w:rsidR="001A33A0" w14:paraId="5F5680E7" w14:textId="77777777" w:rsidTr="006F10F7">
        <w:trPr>
          <w:trHeight w:val="319"/>
        </w:trPr>
        <w:tc>
          <w:tcPr>
            <w:tcW w:w="631" w:type="pct"/>
            <w:vMerge w:val="restart"/>
            <w:vAlign w:val="center"/>
          </w:tcPr>
          <w:p w14:paraId="6DE64020" w14:textId="6894746E" w:rsidR="00C15B09" w:rsidRPr="004C3B3F" w:rsidRDefault="00C15B09" w:rsidP="00743F91">
            <w:pPr>
              <w:pStyle w:val="TableText"/>
              <w:spacing w:before="0" w:after="0"/>
              <w:rPr>
                <w:rFonts w:eastAsia="Calibri"/>
                <w:color w:val="000000" w:themeColor="text1"/>
                <w:szCs w:val="20"/>
                <w:lang w:eastAsia="en-AU"/>
              </w:rPr>
            </w:pPr>
            <w:r>
              <w:rPr>
                <w:rFonts w:eastAsia="Calibri"/>
                <w:color w:val="000000" w:themeColor="text1"/>
                <w:szCs w:val="20"/>
                <w:lang w:eastAsia="en-AU"/>
              </w:rPr>
              <w:t>Rolnik et al., 2021*</w:t>
            </w:r>
          </w:p>
        </w:tc>
        <w:tc>
          <w:tcPr>
            <w:tcW w:w="473" w:type="pct"/>
            <w:vMerge w:val="restart"/>
            <w:vAlign w:val="center"/>
          </w:tcPr>
          <w:p w14:paraId="6F4A376F" w14:textId="2B1A36B9" w:rsidR="00C15B09" w:rsidRDefault="008262AB" w:rsidP="00743F91">
            <w:pPr>
              <w:pStyle w:val="TableText"/>
              <w:keepNext/>
              <w:keepLines/>
              <w:spacing w:before="0" w:after="0"/>
              <w:rPr>
                <w:rFonts w:eastAsia="Calibri"/>
                <w:color w:val="000000" w:themeColor="text1"/>
              </w:rPr>
            </w:pPr>
            <w:r>
              <w:t>Australia</w:t>
            </w:r>
          </w:p>
          <w:p w14:paraId="7B25347F" w14:textId="0D3DA28D" w:rsidR="00C15B09" w:rsidRPr="00901059" w:rsidRDefault="00C15B09" w:rsidP="00743F91">
            <w:pPr>
              <w:pStyle w:val="TableText"/>
              <w:keepNext/>
              <w:keepLines/>
              <w:spacing w:before="0" w:after="0"/>
              <w:rPr>
                <w:rFonts w:eastAsia="Calibri"/>
                <w:color w:val="000000" w:themeColor="text1"/>
              </w:rPr>
            </w:pPr>
            <w:r w:rsidRPr="00901059">
              <w:rPr>
                <w:rFonts w:eastAsia="Calibri"/>
                <w:color w:val="000000" w:themeColor="text1"/>
              </w:rPr>
              <w:t>N= 29</w:t>
            </w:r>
            <w:r>
              <w:rPr>
                <w:rFonts w:eastAsia="Calibri"/>
                <w:color w:val="000000" w:themeColor="text1"/>
              </w:rPr>
              <w:t>,</w:t>
            </w:r>
            <w:r w:rsidRPr="00901059">
              <w:rPr>
                <w:rFonts w:eastAsia="Calibri"/>
                <w:color w:val="000000" w:themeColor="text1"/>
              </w:rPr>
              <w:t>618</w:t>
            </w:r>
          </w:p>
        </w:tc>
        <w:tc>
          <w:tcPr>
            <w:tcW w:w="872" w:type="pct"/>
            <w:vAlign w:val="center"/>
          </w:tcPr>
          <w:p w14:paraId="3536F19A" w14:textId="19D9E9FD" w:rsidR="00C15B09" w:rsidRPr="004C3B3F" w:rsidRDefault="00C15B09" w:rsidP="00743F91">
            <w:pPr>
              <w:pStyle w:val="TableText"/>
              <w:keepNext/>
              <w:keepLines/>
              <w:spacing w:before="0" w:after="0"/>
              <w:rPr>
                <w:rFonts w:eastAsia="Calibri"/>
                <w:color w:val="000000" w:themeColor="text1"/>
              </w:rPr>
            </w:pPr>
            <w:r>
              <w:rPr>
                <w:szCs w:val="20"/>
              </w:rPr>
              <w:t xml:space="preserve">Assuming 10% of </w:t>
            </w:r>
            <w:proofErr w:type="gramStart"/>
            <w:r>
              <w:rPr>
                <w:szCs w:val="20"/>
              </w:rPr>
              <w:t>high risk</w:t>
            </w:r>
            <w:proofErr w:type="gramEnd"/>
            <w:r>
              <w:rPr>
                <w:szCs w:val="20"/>
              </w:rPr>
              <w:t xml:space="preserve"> women treated with aspirin</w:t>
            </w:r>
          </w:p>
        </w:tc>
        <w:tc>
          <w:tcPr>
            <w:tcW w:w="391" w:type="pct"/>
            <w:vMerge w:val="restart"/>
            <w:vAlign w:val="center"/>
          </w:tcPr>
          <w:p w14:paraId="17DF8307" w14:textId="76B1D217" w:rsidR="00C15B09" w:rsidRPr="004C3B3F" w:rsidRDefault="00C15B09" w:rsidP="00743F91">
            <w:pPr>
              <w:pStyle w:val="TableText"/>
              <w:spacing w:before="0" w:after="0"/>
              <w:rPr>
                <w:color w:val="000000" w:themeColor="text1"/>
              </w:rPr>
            </w:pPr>
            <w:r>
              <w:rPr>
                <w:color w:val="000000" w:themeColor="text1"/>
              </w:rPr>
              <w:t>1 in 100</w:t>
            </w:r>
          </w:p>
        </w:tc>
        <w:tc>
          <w:tcPr>
            <w:tcW w:w="553" w:type="pct"/>
            <w:vAlign w:val="center"/>
          </w:tcPr>
          <w:p w14:paraId="525DB7DA" w14:textId="3D0FD8C6" w:rsidR="00465594"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66.7</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589C7924" w14:textId="4C479A04" w:rsidR="00C15B09"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(58.1</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74.5)</w:t>
            </w:r>
          </w:p>
        </w:tc>
        <w:tc>
          <w:tcPr>
            <w:tcW w:w="553" w:type="pct"/>
            <w:vAlign w:val="center"/>
          </w:tcPr>
          <w:p w14:paraId="217545E6" w14:textId="08B0A1DC" w:rsidR="00465594"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86.5</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26C9A005" w14:textId="253113C8" w:rsidR="00C15B09"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(86.1</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86.9)</w:t>
            </w:r>
          </w:p>
        </w:tc>
        <w:tc>
          <w:tcPr>
            <w:tcW w:w="474" w:type="pct"/>
            <w:vAlign w:val="center"/>
          </w:tcPr>
          <w:p w14:paraId="54315B8E" w14:textId="21104841" w:rsidR="00465594"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2.3</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200CA5F4" w14:textId="6DDF6C09" w:rsidR="00C15B09"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(1.8</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2.8)</w:t>
            </w:r>
          </w:p>
        </w:tc>
        <w:tc>
          <w:tcPr>
            <w:tcW w:w="552" w:type="pct"/>
            <w:vAlign w:val="center"/>
          </w:tcPr>
          <w:p w14:paraId="77081AE3" w14:textId="345B66AA" w:rsidR="00465594"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99.8</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204735B8" w14:textId="577A4554" w:rsidR="00C15B09" w:rsidRPr="00191903" w:rsidRDefault="00C15B09"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(99.8</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99.9)</w:t>
            </w:r>
          </w:p>
        </w:tc>
        <w:tc>
          <w:tcPr>
            <w:tcW w:w="500" w:type="pct"/>
            <w:vAlign w:val="center"/>
          </w:tcPr>
          <w:p w14:paraId="1D4446A2" w14:textId="274AB96D" w:rsidR="00C15B09" w:rsidRPr="001F544B" w:rsidRDefault="00465594"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r>
      <w:tr w:rsidR="001A33A0" w14:paraId="30EDD707" w14:textId="77777777" w:rsidTr="006F10F7">
        <w:trPr>
          <w:trHeight w:val="319"/>
        </w:trPr>
        <w:tc>
          <w:tcPr>
            <w:tcW w:w="631" w:type="pct"/>
            <w:vMerge/>
            <w:vAlign w:val="center"/>
          </w:tcPr>
          <w:p w14:paraId="187B982D" w14:textId="77777777" w:rsidR="00076800" w:rsidRDefault="00076800" w:rsidP="00076800">
            <w:pPr>
              <w:pStyle w:val="TableText"/>
              <w:spacing w:before="0" w:after="0"/>
              <w:rPr>
                <w:rFonts w:eastAsia="Calibri"/>
                <w:color w:val="000000" w:themeColor="text1"/>
                <w:szCs w:val="20"/>
                <w:lang w:eastAsia="en-AU"/>
              </w:rPr>
            </w:pPr>
          </w:p>
        </w:tc>
        <w:tc>
          <w:tcPr>
            <w:tcW w:w="473" w:type="pct"/>
            <w:vMerge/>
            <w:vAlign w:val="center"/>
          </w:tcPr>
          <w:p w14:paraId="79E5155A" w14:textId="77777777" w:rsidR="00076800" w:rsidRDefault="00076800" w:rsidP="00076800">
            <w:pPr>
              <w:pStyle w:val="TableText"/>
              <w:keepNext/>
              <w:keepLines/>
              <w:spacing w:before="0" w:after="0"/>
            </w:pPr>
          </w:p>
        </w:tc>
        <w:tc>
          <w:tcPr>
            <w:tcW w:w="872" w:type="pct"/>
            <w:vAlign w:val="center"/>
          </w:tcPr>
          <w:p w14:paraId="5889C253" w14:textId="0DD7E11D" w:rsidR="00076800" w:rsidRDefault="00076800" w:rsidP="00076800">
            <w:pPr>
              <w:pStyle w:val="TableText"/>
              <w:keepNext/>
              <w:keepLines/>
              <w:spacing w:before="0" w:after="0"/>
            </w:pPr>
            <w:r>
              <w:rPr>
                <w:szCs w:val="20"/>
              </w:rPr>
              <w:t xml:space="preserve">Assuming 90% of </w:t>
            </w:r>
            <w:proofErr w:type="gramStart"/>
            <w:r>
              <w:rPr>
                <w:szCs w:val="20"/>
              </w:rPr>
              <w:t>high risk</w:t>
            </w:r>
            <w:proofErr w:type="gramEnd"/>
            <w:r>
              <w:rPr>
                <w:szCs w:val="20"/>
              </w:rPr>
              <w:t xml:space="preserve"> women treated with aspirin</w:t>
            </w:r>
          </w:p>
        </w:tc>
        <w:tc>
          <w:tcPr>
            <w:tcW w:w="391" w:type="pct"/>
            <w:vMerge/>
            <w:vAlign w:val="center"/>
          </w:tcPr>
          <w:p w14:paraId="37F0CB09" w14:textId="77777777" w:rsidR="00076800" w:rsidRDefault="00076800" w:rsidP="00076800">
            <w:pPr>
              <w:pStyle w:val="TableText"/>
              <w:spacing w:before="0" w:after="0"/>
              <w:rPr>
                <w:color w:val="000000" w:themeColor="text1"/>
              </w:rPr>
            </w:pPr>
          </w:p>
        </w:tc>
        <w:tc>
          <w:tcPr>
            <w:tcW w:w="553" w:type="pct"/>
            <w:vAlign w:val="center"/>
          </w:tcPr>
          <w:p w14:paraId="534C96BD" w14:textId="1ADA2025" w:rsidR="00465594"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80.9</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56613849" w14:textId="5AC1D482" w:rsidR="00076800"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(75.4</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85.7)</w:t>
            </w:r>
          </w:p>
        </w:tc>
        <w:tc>
          <w:tcPr>
            <w:tcW w:w="553" w:type="pct"/>
            <w:vAlign w:val="center"/>
          </w:tcPr>
          <w:p w14:paraId="0E6FEE6E" w14:textId="7B3E29E5" w:rsidR="00465594"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86.8</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6AB939E2" w14:textId="170D67DE" w:rsidR="00076800"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(86.4</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87.2)</w:t>
            </w:r>
          </w:p>
        </w:tc>
        <w:tc>
          <w:tcPr>
            <w:tcW w:w="474" w:type="pct"/>
            <w:vAlign w:val="center"/>
          </w:tcPr>
          <w:p w14:paraId="740664F1" w14:textId="57E90276" w:rsidR="00465594"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4.8</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5EEE8C7C" w14:textId="0B97C493" w:rsidR="00076800"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(4.2</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5.5)</w:t>
            </w:r>
          </w:p>
        </w:tc>
        <w:tc>
          <w:tcPr>
            <w:tcW w:w="552" w:type="pct"/>
            <w:vAlign w:val="center"/>
          </w:tcPr>
          <w:p w14:paraId="4C5B9020" w14:textId="317E5E00" w:rsidR="00465594"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99.8</w:t>
            </w:r>
            <w:r w:rsidR="00465594">
              <w:rPr>
                <w:rFonts w:ascii="Arial Narrow" w:hAnsi="Arial Narrow" w:cstheme="minorBidi"/>
                <w:color w:val="000000" w:themeColor="text1"/>
                <w:sz w:val="20"/>
                <w:szCs w:val="22"/>
              </w:rPr>
              <w:t>%</w:t>
            </w:r>
            <w:r w:rsidR="00465594" w:rsidRPr="00191903">
              <w:rPr>
                <w:rFonts w:ascii="Arial Narrow" w:hAnsi="Arial Narrow" w:cstheme="minorBidi"/>
                <w:color w:val="000000" w:themeColor="text1"/>
                <w:sz w:val="20"/>
                <w:szCs w:val="22"/>
              </w:rPr>
              <w:t xml:space="preserve"> </w:t>
            </w:r>
          </w:p>
          <w:p w14:paraId="009054C8" w14:textId="2C224C9E" w:rsidR="00076800" w:rsidRPr="00191903" w:rsidRDefault="00076800" w:rsidP="008E478D">
            <w:pPr>
              <w:pStyle w:val="NormalWeb"/>
              <w:spacing w:before="0" w:beforeAutospacing="0" w:after="0" w:afterAutospacing="0"/>
              <w:rPr>
                <w:rFonts w:ascii="Arial Narrow" w:hAnsi="Arial Narrow" w:cstheme="minorBidi"/>
                <w:color w:val="000000" w:themeColor="text1"/>
                <w:sz w:val="20"/>
                <w:szCs w:val="22"/>
              </w:rPr>
            </w:pPr>
            <w:r w:rsidRPr="00191903">
              <w:rPr>
                <w:rFonts w:ascii="Arial Narrow" w:hAnsi="Arial Narrow" w:cstheme="minorBidi"/>
                <w:color w:val="000000" w:themeColor="text1"/>
                <w:sz w:val="20"/>
                <w:szCs w:val="22"/>
              </w:rPr>
              <w:t>(99.8</w:t>
            </w:r>
            <w:r w:rsidR="00465594">
              <w:rPr>
                <w:rFonts w:ascii="Arial Narrow" w:hAnsi="Arial Narrow" w:cstheme="minorBidi"/>
                <w:color w:val="000000" w:themeColor="text1"/>
                <w:sz w:val="20"/>
                <w:szCs w:val="22"/>
              </w:rPr>
              <w:t>-</w:t>
            </w:r>
            <w:r w:rsidRPr="00191903">
              <w:rPr>
                <w:rFonts w:ascii="Arial Narrow" w:hAnsi="Arial Narrow" w:cstheme="minorBidi"/>
                <w:color w:val="000000" w:themeColor="text1"/>
                <w:sz w:val="20"/>
                <w:szCs w:val="22"/>
              </w:rPr>
              <w:t>99.9)</w:t>
            </w:r>
          </w:p>
        </w:tc>
        <w:tc>
          <w:tcPr>
            <w:tcW w:w="500" w:type="pct"/>
            <w:vAlign w:val="center"/>
          </w:tcPr>
          <w:p w14:paraId="2BA9ECCA" w14:textId="78B84E41" w:rsidR="00076800" w:rsidRPr="00256886" w:rsidRDefault="00465594" w:rsidP="00256886">
            <w:pPr>
              <w:pStyle w:val="TableText"/>
              <w:spacing w:before="0" w:after="0"/>
              <w:rPr>
                <w:rFonts w:cstheme="minorBidi"/>
                <w:color w:val="000000" w:themeColor="text1"/>
                <w:szCs w:val="22"/>
              </w:rPr>
            </w:pPr>
            <w:r w:rsidRPr="001F544B">
              <w:rPr>
                <w:rFonts w:cstheme="minorBidi"/>
                <w:color w:val="000000" w:themeColor="text1"/>
                <w:szCs w:val="22"/>
              </w:rPr>
              <w:t>NR</w:t>
            </w:r>
          </w:p>
        </w:tc>
      </w:tr>
      <w:tr w:rsidR="00E8719B" w14:paraId="1A2F8C9D" w14:textId="77777777" w:rsidTr="006F10F7">
        <w:trPr>
          <w:trHeight w:val="264"/>
        </w:trPr>
        <w:tc>
          <w:tcPr>
            <w:tcW w:w="631" w:type="pct"/>
            <w:vAlign w:val="center"/>
          </w:tcPr>
          <w:p w14:paraId="7E9C8BA4" w14:textId="51E4F3B0" w:rsidR="00743F91" w:rsidRPr="00F566AD" w:rsidRDefault="00F566AD" w:rsidP="005635EB">
            <w:pPr>
              <w:rPr>
                <w:rFonts w:eastAsia="Calibri"/>
                <w:color w:val="000000" w:themeColor="text1"/>
                <w:szCs w:val="20"/>
                <w:lang w:eastAsia="en-AU"/>
              </w:rPr>
            </w:pPr>
            <w:r w:rsidRPr="00F566AD">
              <w:rPr>
                <w:rFonts w:ascii="Arial Narrow" w:eastAsia="Calibri" w:hAnsi="Arial Narrow"/>
                <w:color w:val="000000" w:themeColor="text1"/>
                <w:sz w:val="20"/>
                <w:szCs w:val="20"/>
                <w:lang w:eastAsia="en-AU"/>
              </w:rPr>
              <w:t>Tan et al.</w:t>
            </w:r>
            <w:r>
              <w:rPr>
                <w:rFonts w:ascii="Arial Narrow" w:eastAsia="Calibri" w:hAnsi="Arial Narrow"/>
                <w:color w:val="000000" w:themeColor="text1"/>
                <w:sz w:val="20"/>
                <w:szCs w:val="20"/>
                <w:lang w:eastAsia="en-AU"/>
              </w:rPr>
              <w:t>,</w:t>
            </w:r>
            <w:r w:rsidRPr="00F566AD">
              <w:rPr>
                <w:rFonts w:ascii="Arial Narrow" w:eastAsia="Calibri" w:hAnsi="Arial Narrow"/>
                <w:color w:val="000000" w:themeColor="text1"/>
                <w:sz w:val="20"/>
                <w:szCs w:val="20"/>
                <w:lang w:eastAsia="en-AU"/>
              </w:rPr>
              <w:t xml:space="preserve"> 201</w:t>
            </w:r>
            <w:r w:rsidR="004C2643">
              <w:rPr>
                <w:rFonts w:ascii="Arial Narrow" w:eastAsia="Calibri" w:hAnsi="Arial Narrow"/>
                <w:color w:val="000000" w:themeColor="text1"/>
                <w:sz w:val="20"/>
                <w:szCs w:val="20"/>
                <w:lang w:eastAsia="en-AU"/>
              </w:rPr>
              <w:t>7</w:t>
            </w:r>
          </w:p>
        </w:tc>
        <w:tc>
          <w:tcPr>
            <w:tcW w:w="1345" w:type="pct"/>
            <w:gridSpan w:val="2"/>
            <w:vAlign w:val="center"/>
          </w:tcPr>
          <w:p w14:paraId="56A6012C" w14:textId="75A9018E" w:rsidR="00743F91" w:rsidRPr="004C3B3F" w:rsidRDefault="008262AB" w:rsidP="00743F91">
            <w:pPr>
              <w:pStyle w:val="TableText"/>
              <w:spacing w:before="0" w:after="0"/>
              <w:rPr>
                <w:color w:val="000000" w:themeColor="text1"/>
              </w:rPr>
            </w:pPr>
            <w:r>
              <w:rPr>
                <w:color w:val="000000" w:themeColor="text1"/>
              </w:rPr>
              <w:t>UK</w:t>
            </w:r>
          </w:p>
          <w:p w14:paraId="3987D2B8" w14:textId="77777777" w:rsidR="00743F91" w:rsidRPr="004C3B3F" w:rsidRDefault="00743F91" w:rsidP="00743F91">
            <w:pPr>
              <w:pStyle w:val="TableText"/>
              <w:spacing w:before="0" w:after="0"/>
              <w:rPr>
                <w:color w:val="000000" w:themeColor="text1"/>
              </w:rPr>
            </w:pPr>
            <w:r w:rsidRPr="004C3B3F">
              <w:rPr>
                <w:color w:val="000000" w:themeColor="text1"/>
              </w:rPr>
              <w:t>N=16,747</w:t>
            </w:r>
          </w:p>
        </w:tc>
        <w:tc>
          <w:tcPr>
            <w:tcW w:w="391" w:type="pct"/>
            <w:vAlign w:val="center"/>
          </w:tcPr>
          <w:p w14:paraId="2AABBF9A" w14:textId="77777777" w:rsidR="00743F91" w:rsidRPr="004C3B3F" w:rsidRDefault="00743F91" w:rsidP="00743F91">
            <w:pPr>
              <w:pStyle w:val="TableText"/>
              <w:spacing w:before="0" w:after="0"/>
              <w:rPr>
                <w:color w:val="000000" w:themeColor="text1"/>
              </w:rPr>
            </w:pPr>
            <w:r w:rsidRPr="004C3B3F">
              <w:rPr>
                <w:color w:val="000000" w:themeColor="text1"/>
              </w:rPr>
              <w:t>1 in 100</w:t>
            </w:r>
          </w:p>
        </w:tc>
        <w:tc>
          <w:tcPr>
            <w:tcW w:w="553" w:type="pct"/>
            <w:vAlign w:val="center"/>
          </w:tcPr>
          <w:p w14:paraId="01EB8C67" w14:textId="77777777" w:rsidR="00465594" w:rsidRDefault="00743F91" w:rsidP="008E478D">
            <w:pPr>
              <w:pStyle w:val="TableText"/>
              <w:spacing w:before="0" w:after="0"/>
              <w:rPr>
                <w:rFonts w:cstheme="minorBidi"/>
                <w:color w:val="000000" w:themeColor="text1"/>
                <w:szCs w:val="22"/>
              </w:rPr>
            </w:pPr>
            <w:r w:rsidRPr="001F544B">
              <w:rPr>
                <w:rFonts w:cstheme="minorBidi"/>
                <w:color w:val="000000" w:themeColor="text1"/>
                <w:szCs w:val="22"/>
              </w:rPr>
              <w:t xml:space="preserve">82.4% </w:t>
            </w:r>
          </w:p>
          <w:p w14:paraId="16D26845" w14:textId="5B4B9DA2" w:rsidR="00743F91" w:rsidRPr="001F544B" w:rsidRDefault="00465594" w:rsidP="00743F91">
            <w:pPr>
              <w:pStyle w:val="TableText"/>
              <w:spacing w:before="0" w:after="0"/>
              <w:rPr>
                <w:rFonts w:cstheme="minorBidi"/>
                <w:color w:val="000000" w:themeColor="text1"/>
                <w:szCs w:val="22"/>
              </w:rPr>
            </w:pPr>
            <w:r w:rsidRPr="001F544B">
              <w:rPr>
                <w:rFonts w:cstheme="minorBidi"/>
                <w:color w:val="000000" w:themeColor="text1"/>
                <w:szCs w:val="22"/>
              </w:rPr>
              <w:t>(</w:t>
            </w:r>
            <w:r w:rsidR="00743F91" w:rsidRPr="001F544B">
              <w:rPr>
                <w:rFonts w:cstheme="minorBidi"/>
                <w:color w:val="000000" w:themeColor="text1"/>
                <w:szCs w:val="22"/>
              </w:rPr>
              <w:t>76.1</w:t>
            </w:r>
            <w:r>
              <w:rPr>
                <w:rFonts w:cstheme="minorBidi"/>
                <w:color w:val="000000" w:themeColor="text1"/>
                <w:szCs w:val="22"/>
              </w:rPr>
              <w:t>-</w:t>
            </w:r>
            <w:r w:rsidR="00743F91" w:rsidRPr="001F544B">
              <w:rPr>
                <w:rFonts w:cstheme="minorBidi"/>
                <w:color w:val="000000" w:themeColor="text1"/>
                <w:szCs w:val="22"/>
              </w:rPr>
              <w:t>88.7)</w:t>
            </w:r>
          </w:p>
        </w:tc>
        <w:tc>
          <w:tcPr>
            <w:tcW w:w="553" w:type="pct"/>
            <w:vAlign w:val="center"/>
          </w:tcPr>
          <w:p w14:paraId="20F6CD26" w14:textId="6296B953" w:rsidR="00743F91" w:rsidRPr="001F544B" w:rsidRDefault="00465594"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c>
          <w:tcPr>
            <w:tcW w:w="474" w:type="pct"/>
            <w:vAlign w:val="center"/>
          </w:tcPr>
          <w:p w14:paraId="3728F97B" w14:textId="4B508210" w:rsidR="00743F91" w:rsidRPr="001F544B" w:rsidRDefault="00465594"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c>
          <w:tcPr>
            <w:tcW w:w="552" w:type="pct"/>
            <w:vAlign w:val="center"/>
          </w:tcPr>
          <w:p w14:paraId="39F7B2E2" w14:textId="6A9A82A4" w:rsidR="00743F91" w:rsidRPr="001F544B" w:rsidRDefault="00465594"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c>
          <w:tcPr>
            <w:tcW w:w="500" w:type="pct"/>
            <w:vAlign w:val="center"/>
          </w:tcPr>
          <w:p w14:paraId="6E9661B7" w14:textId="4492BDD2" w:rsidR="00743F91" w:rsidRPr="001F544B" w:rsidRDefault="00465594"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r>
      <w:tr w:rsidR="00E8719B" w14:paraId="3F7C2D79" w14:textId="77777777" w:rsidTr="006F10F7">
        <w:trPr>
          <w:trHeight w:val="264"/>
        </w:trPr>
        <w:tc>
          <w:tcPr>
            <w:tcW w:w="631" w:type="pct"/>
            <w:vAlign w:val="center"/>
          </w:tcPr>
          <w:p w14:paraId="2D322280" w14:textId="5765863F" w:rsidR="00743F91" w:rsidRPr="004C3B3F" w:rsidRDefault="00F566AD" w:rsidP="00743F91">
            <w:pPr>
              <w:pStyle w:val="TableText"/>
              <w:keepNext/>
              <w:keepLines/>
              <w:spacing w:before="0" w:after="0"/>
              <w:rPr>
                <w:rFonts w:eastAsia="Calibri"/>
                <w:color w:val="000000" w:themeColor="text1"/>
                <w:szCs w:val="20"/>
                <w:lang w:eastAsia="en-AU"/>
              </w:rPr>
            </w:pPr>
            <w:r w:rsidRPr="00F566AD">
              <w:rPr>
                <w:rFonts w:eastAsia="Calibri"/>
                <w:color w:val="000000" w:themeColor="text1"/>
                <w:szCs w:val="20"/>
                <w:lang w:eastAsia="en-AU"/>
              </w:rPr>
              <w:t>Boutin et al.</w:t>
            </w:r>
            <w:r>
              <w:rPr>
                <w:rFonts w:eastAsia="Calibri"/>
                <w:color w:val="000000" w:themeColor="text1"/>
                <w:szCs w:val="20"/>
                <w:lang w:eastAsia="en-AU"/>
              </w:rPr>
              <w:t xml:space="preserve">, </w:t>
            </w:r>
            <w:r w:rsidRPr="00F566AD">
              <w:rPr>
                <w:rFonts w:eastAsia="Calibri"/>
                <w:color w:val="000000" w:themeColor="text1"/>
                <w:szCs w:val="20"/>
                <w:lang w:eastAsia="en-AU"/>
              </w:rPr>
              <w:t>2021</w:t>
            </w:r>
          </w:p>
        </w:tc>
        <w:tc>
          <w:tcPr>
            <w:tcW w:w="1345" w:type="pct"/>
            <w:gridSpan w:val="2"/>
            <w:vAlign w:val="center"/>
          </w:tcPr>
          <w:p w14:paraId="77625C91" w14:textId="6FAD9C2B" w:rsidR="00743F91" w:rsidRPr="004C3B3F" w:rsidRDefault="00465594" w:rsidP="00743F91">
            <w:pPr>
              <w:pStyle w:val="TableText"/>
              <w:spacing w:before="0" w:after="0"/>
              <w:rPr>
                <w:color w:val="000000" w:themeColor="text1"/>
              </w:rPr>
            </w:pPr>
            <w:r w:rsidRPr="004C3B3F">
              <w:rPr>
                <w:color w:val="000000" w:themeColor="text1"/>
              </w:rPr>
              <w:t>Canada</w:t>
            </w:r>
          </w:p>
          <w:p w14:paraId="13861F3D" w14:textId="77777777" w:rsidR="00743F91" w:rsidRPr="004C3B3F" w:rsidRDefault="00743F91" w:rsidP="00743F91">
            <w:pPr>
              <w:pStyle w:val="TableText"/>
              <w:spacing w:before="0" w:after="0"/>
              <w:rPr>
                <w:color w:val="000000" w:themeColor="text1"/>
              </w:rPr>
            </w:pPr>
            <w:r w:rsidRPr="004C3B3F">
              <w:rPr>
                <w:color w:val="000000" w:themeColor="text1"/>
              </w:rPr>
              <w:t>N=4,575</w:t>
            </w:r>
          </w:p>
        </w:tc>
        <w:tc>
          <w:tcPr>
            <w:tcW w:w="391" w:type="pct"/>
            <w:vAlign w:val="center"/>
          </w:tcPr>
          <w:p w14:paraId="1B6924AE" w14:textId="77777777" w:rsidR="00743F91" w:rsidRPr="004C3B3F" w:rsidRDefault="00743F91" w:rsidP="00743F91">
            <w:pPr>
              <w:pStyle w:val="TableText"/>
              <w:spacing w:before="0" w:after="0"/>
              <w:rPr>
                <w:color w:val="000000" w:themeColor="text1"/>
              </w:rPr>
            </w:pPr>
            <w:r w:rsidRPr="004C3B3F">
              <w:rPr>
                <w:color w:val="000000" w:themeColor="text1"/>
              </w:rPr>
              <w:t>1 in 100</w:t>
            </w:r>
          </w:p>
        </w:tc>
        <w:tc>
          <w:tcPr>
            <w:tcW w:w="553" w:type="pct"/>
            <w:vAlign w:val="center"/>
          </w:tcPr>
          <w:p w14:paraId="3B7D3B34"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69.0%</w:t>
            </w:r>
          </w:p>
        </w:tc>
        <w:tc>
          <w:tcPr>
            <w:tcW w:w="553" w:type="pct"/>
            <w:vAlign w:val="center"/>
          </w:tcPr>
          <w:p w14:paraId="4E5513F4"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84.4%</w:t>
            </w:r>
          </w:p>
        </w:tc>
        <w:tc>
          <w:tcPr>
            <w:tcW w:w="474" w:type="pct"/>
            <w:vAlign w:val="center"/>
          </w:tcPr>
          <w:p w14:paraId="30EB5E38"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15.6%</w:t>
            </w:r>
          </w:p>
        </w:tc>
        <w:tc>
          <w:tcPr>
            <w:tcW w:w="552" w:type="pct"/>
            <w:vAlign w:val="center"/>
          </w:tcPr>
          <w:p w14:paraId="508A575F"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2.7%</w:t>
            </w:r>
          </w:p>
        </w:tc>
        <w:tc>
          <w:tcPr>
            <w:tcW w:w="500" w:type="pct"/>
            <w:vAlign w:val="center"/>
          </w:tcPr>
          <w:p w14:paraId="6646A6DC"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99.8%</w:t>
            </w:r>
          </w:p>
        </w:tc>
      </w:tr>
      <w:tr w:rsidR="00E8719B" w14:paraId="4AC39498" w14:textId="77777777" w:rsidTr="006F10F7">
        <w:trPr>
          <w:trHeight w:val="264"/>
        </w:trPr>
        <w:tc>
          <w:tcPr>
            <w:tcW w:w="631" w:type="pct"/>
            <w:vAlign w:val="center"/>
          </w:tcPr>
          <w:p w14:paraId="19E955D9" w14:textId="6CDBFA86" w:rsidR="00743F91" w:rsidRPr="004C3B3F" w:rsidRDefault="00F566AD" w:rsidP="00743F91">
            <w:pPr>
              <w:pStyle w:val="TableText"/>
              <w:keepNext/>
              <w:keepLines/>
              <w:spacing w:before="0" w:after="0"/>
              <w:rPr>
                <w:rFonts w:eastAsia="Calibri"/>
                <w:color w:val="000000" w:themeColor="text1"/>
                <w:szCs w:val="20"/>
                <w:lang w:eastAsia="en-AU"/>
              </w:rPr>
            </w:pPr>
            <w:r w:rsidRPr="00F566AD">
              <w:rPr>
                <w:rFonts w:eastAsia="Calibri"/>
                <w:color w:val="000000" w:themeColor="text1"/>
                <w:szCs w:val="20"/>
                <w:lang w:eastAsia="en-AU"/>
              </w:rPr>
              <w:t>Chen et al.</w:t>
            </w:r>
            <w:r>
              <w:rPr>
                <w:rFonts w:eastAsia="Calibri"/>
                <w:color w:val="000000" w:themeColor="text1"/>
                <w:szCs w:val="20"/>
                <w:lang w:eastAsia="en-AU"/>
              </w:rPr>
              <w:t xml:space="preserve">, </w:t>
            </w:r>
            <w:r w:rsidRPr="00F566AD">
              <w:rPr>
                <w:rFonts w:eastAsia="Calibri"/>
                <w:color w:val="000000" w:themeColor="text1"/>
                <w:szCs w:val="20"/>
                <w:lang w:eastAsia="en-AU"/>
              </w:rPr>
              <w:t>2021</w:t>
            </w:r>
          </w:p>
        </w:tc>
        <w:tc>
          <w:tcPr>
            <w:tcW w:w="1345" w:type="pct"/>
            <w:gridSpan w:val="2"/>
            <w:vAlign w:val="center"/>
          </w:tcPr>
          <w:p w14:paraId="278F25F9" w14:textId="724D19ED" w:rsidR="00743F91" w:rsidRPr="004C3B3F" w:rsidRDefault="00465594" w:rsidP="00743F91">
            <w:pPr>
              <w:pStyle w:val="TableText"/>
              <w:spacing w:before="0" w:after="0"/>
              <w:rPr>
                <w:color w:val="000000" w:themeColor="text1"/>
              </w:rPr>
            </w:pPr>
            <w:r w:rsidRPr="004C3B3F">
              <w:rPr>
                <w:color w:val="000000" w:themeColor="text1"/>
              </w:rPr>
              <w:t>Taiwan</w:t>
            </w:r>
          </w:p>
          <w:p w14:paraId="39B08784" w14:textId="77777777" w:rsidR="00743F91" w:rsidRPr="004C3B3F" w:rsidRDefault="00743F91" w:rsidP="00743F91">
            <w:pPr>
              <w:pStyle w:val="TableText"/>
              <w:spacing w:before="0" w:after="0"/>
              <w:rPr>
                <w:color w:val="000000" w:themeColor="text1"/>
              </w:rPr>
            </w:pPr>
            <w:r w:rsidRPr="004C3B3F">
              <w:rPr>
                <w:color w:val="000000" w:themeColor="text1"/>
              </w:rPr>
              <w:t>N=700</w:t>
            </w:r>
          </w:p>
        </w:tc>
        <w:tc>
          <w:tcPr>
            <w:tcW w:w="391" w:type="pct"/>
            <w:vAlign w:val="center"/>
          </w:tcPr>
          <w:p w14:paraId="444BA66C" w14:textId="77777777" w:rsidR="00743F91" w:rsidRPr="004C3B3F" w:rsidRDefault="00743F91" w:rsidP="00743F91">
            <w:pPr>
              <w:pStyle w:val="TableText"/>
              <w:spacing w:before="0" w:after="0"/>
              <w:rPr>
                <w:color w:val="000000" w:themeColor="text1"/>
              </w:rPr>
            </w:pPr>
            <w:r w:rsidRPr="004C3B3F">
              <w:rPr>
                <w:color w:val="000000" w:themeColor="text1"/>
              </w:rPr>
              <w:t>1 in 98</w:t>
            </w:r>
          </w:p>
        </w:tc>
        <w:tc>
          <w:tcPr>
            <w:tcW w:w="553" w:type="pct"/>
            <w:vAlign w:val="center"/>
          </w:tcPr>
          <w:p w14:paraId="18E4EE8F" w14:textId="28CA62B2"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50.0% (21.</w:t>
            </w:r>
            <w:r w:rsidR="00465594" w:rsidRPr="001F544B">
              <w:rPr>
                <w:rFonts w:cstheme="minorBidi"/>
                <w:color w:val="000000" w:themeColor="text1"/>
                <w:szCs w:val="22"/>
              </w:rPr>
              <w:t>5</w:t>
            </w:r>
            <w:r w:rsidRPr="001F544B">
              <w:rPr>
                <w:rFonts w:cstheme="minorBidi"/>
                <w:color w:val="000000" w:themeColor="text1"/>
                <w:szCs w:val="22"/>
              </w:rPr>
              <w:t>-78.</w:t>
            </w:r>
            <w:r w:rsidR="00465594">
              <w:rPr>
                <w:rFonts w:cstheme="minorBidi"/>
                <w:color w:val="000000" w:themeColor="text1"/>
                <w:szCs w:val="22"/>
              </w:rPr>
              <w:t>5</w:t>
            </w:r>
            <w:r w:rsidRPr="001F544B">
              <w:rPr>
                <w:rFonts w:cstheme="minorBidi"/>
                <w:color w:val="000000" w:themeColor="text1"/>
                <w:szCs w:val="22"/>
              </w:rPr>
              <w:t>)</w:t>
            </w:r>
          </w:p>
        </w:tc>
        <w:tc>
          <w:tcPr>
            <w:tcW w:w="553" w:type="pct"/>
            <w:vAlign w:val="center"/>
          </w:tcPr>
          <w:p w14:paraId="21A09255"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90.0%</w:t>
            </w:r>
          </w:p>
        </w:tc>
        <w:tc>
          <w:tcPr>
            <w:tcW w:w="474" w:type="pct"/>
            <w:vAlign w:val="center"/>
          </w:tcPr>
          <w:p w14:paraId="281A8B11"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10%</w:t>
            </w:r>
          </w:p>
        </w:tc>
        <w:tc>
          <w:tcPr>
            <w:tcW w:w="552" w:type="pct"/>
            <w:vAlign w:val="center"/>
          </w:tcPr>
          <w:p w14:paraId="1D55C9E5"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c>
          <w:tcPr>
            <w:tcW w:w="500" w:type="pct"/>
            <w:vAlign w:val="center"/>
          </w:tcPr>
          <w:p w14:paraId="7F2F0AF0" w14:textId="77777777" w:rsidR="00743F91" w:rsidRPr="001F544B" w:rsidRDefault="00743F91" w:rsidP="00743F91">
            <w:pPr>
              <w:pStyle w:val="TableText"/>
              <w:spacing w:before="0" w:after="0"/>
              <w:rPr>
                <w:rFonts w:cstheme="minorBidi"/>
                <w:color w:val="000000" w:themeColor="text1"/>
                <w:szCs w:val="22"/>
              </w:rPr>
            </w:pPr>
            <w:r w:rsidRPr="001F544B">
              <w:rPr>
                <w:rFonts w:cstheme="minorBidi"/>
                <w:color w:val="000000" w:themeColor="text1"/>
                <w:szCs w:val="22"/>
              </w:rPr>
              <w:t>NR</w:t>
            </w:r>
          </w:p>
        </w:tc>
      </w:tr>
    </w:tbl>
    <w:p w14:paraId="64983199" w14:textId="4E26C623" w:rsidR="00AC4421" w:rsidRPr="003E00FC" w:rsidRDefault="003E61A9" w:rsidP="001F544B">
      <w:pPr>
        <w:spacing w:line="259" w:lineRule="auto"/>
        <w:rPr>
          <w:rFonts w:ascii="Arial Narrow" w:hAnsi="Arial Narrow"/>
          <w:sz w:val="18"/>
          <w:szCs w:val="18"/>
        </w:rPr>
      </w:pPr>
      <w:r w:rsidRPr="00970246">
        <w:rPr>
          <w:rFonts w:ascii="Arial Narrow" w:hAnsi="Arial Narrow"/>
          <w:sz w:val="18"/>
          <w:szCs w:val="18"/>
        </w:rPr>
        <w:t>Abbreviations: FPR=False positive rate</w:t>
      </w:r>
      <w:r w:rsidR="00CF77B8" w:rsidRPr="00970246">
        <w:rPr>
          <w:rFonts w:ascii="Arial Narrow" w:hAnsi="Arial Narrow"/>
          <w:sz w:val="18"/>
          <w:szCs w:val="18"/>
        </w:rPr>
        <w:t>;</w:t>
      </w:r>
      <w:r w:rsidR="007173B9">
        <w:rPr>
          <w:rFonts w:ascii="Arial Narrow" w:hAnsi="Arial Narrow"/>
          <w:sz w:val="18"/>
          <w:szCs w:val="18"/>
        </w:rPr>
        <w:t xml:space="preserve"> </w:t>
      </w:r>
      <w:r w:rsidR="002D770D">
        <w:rPr>
          <w:rFonts w:ascii="Arial Narrow" w:hAnsi="Arial Narrow"/>
          <w:sz w:val="18"/>
          <w:szCs w:val="18"/>
        </w:rPr>
        <w:t>NPV</w:t>
      </w:r>
      <w:r w:rsidR="006E4DD7">
        <w:rPr>
          <w:rFonts w:ascii="Arial Narrow" w:hAnsi="Arial Narrow"/>
          <w:sz w:val="18"/>
          <w:szCs w:val="18"/>
        </w:rPr>
        <w:t>=</w:t>
      </w:r>
      <w:r w:rsidR="00031AA8">
        <w:rPr>
          <w:rFonts w:ascii="Arial Narrow" w:hAnsi="Arial Narrow"/>
          <w:sz w:val="18"/>
          <w:szCs w:val="18"/>
        </w:rPr>
        <w:t xml:space="preserve">Negative </w:t>
      </w:r>
      <w:r w:rsidR="001B5C7A">
        <w:rPr>
          <w:rFonts w:ascii="Arial Narrow" w:hAnsi="Arial Narrow"/>
          <w:sz w:val="18"/>
          <w:szCs w:val="18"/>
        </w:rPr>
        <w:t>predictive</w:t>
      </w:r>
      <w:r w:rsidR="00031AA8">
        <w:rPr>
          <w:rFonts w:ascii="Arial Narrow" w:hAnsi="Arial Narrow"/>
          <w:sz w:val="18"/>
          <w:szCs w:val="18"/>
        </w:rPr>
        <w:t xml:space="preserve"> value</w:t>
      </w:r>
      <w:r w:rsidR="001B5C7A">
        <w:rPr>
          <w:rFonts w:ascii="Arial Narrow" w:hAnsi="Arial Narrow"/>
          <w:sz w:val="18"/>
          <w:szCs w:val="18"/>
        </w:rPr>
        <w:t xml:space="preserve">; </w:t>
      </w:r>
      <w:r w:rsidR="00CF77B8" w:rsidRPr="00970246">
        <w:rPr>
          <w:rFonts w:ascii="Arial Narrow" w:hAnsi="Arial Narrow"/>
          <w:sz w:val="18"/>
          <w:szCs w:val="18"/>
        </w:rPr>
        <w:t>NR=Not Reported</w:t>
      </w:r>
      <w:r w:rsidR="000F60A7">
        <w:rPr>
          <w:rFonts w:ascii="Arial Narrow" w:hAnsi="Arial Narrow"/>
          <w:sz w:val="18"/>
          <w:szCs w:val="18"/>
        </w:rPr>
        <w:t xml:space="preserve">; </w:t>
      </w:r>
      <w:r w:rsidR="000F60A7" w:rsidRPr="000F60A7">
        <w:rPr>
          <w:rFonts w:ascii="Arial Narrow" w:hAnsi="Arial Narrow"/>
          <w:sz w:val="18"/>
          <w:szCs w:val="18"/>
        </w:rPr>
        <w:t xml:space="preserve">ACOG=American College of </w:t>
      </w:r>
      <w:r w:rsidR="003E00FC" w:rsidRPr="003E00FC">
        <w:rPr>
          <w:rFonts w:ascii="Arial Narrow" w:hAnsi="Arial Narrow"/>
          <w:sz w:val="18"/>
          <w:szCs w:val="18"/>
        </w:rPr>
        <w:t>Obstetricians</w:t>
      </w:r>
      <w:r w:rsidR="000F60A7" w:rsidRPr="000F60A7">
        <w:rPr>
          <w:rFonts w:ascii="Arial Narrow" w:hAnsi="Arial Narrow"/>
          <w:sz w:val="18"/>
          <w:szCs w:val="18"/>
        </w:rPr>
        <w:t xml:space="preserve"> and </w:t>
      </w:r>
      <w:proofErr w:type="spellStart"/>
      <w:r w:rsidR="003E00FC" w:rsidRPr="003E00FC">
        <w:rPr>
          <w:rFonts w:ascii="Arial Narrow" w:hAnsi="Arial Narrow"/>
          <w:sz w:val="18"/>
          <w:szCs w:val="18"/>
        </w:rPr>
        <w:t>Gynecologists</w:t>
      </w:r>
      <w:proofErr w:type="spellEnd"/>
      <w:r w:rsidR="000F60A7" w:rsidRPr="000F60A7">
        <w:rPr>
          <w:rFonts w:ascii="Arial Narrow" w:hAnsi="Arial Narrow"/>
          <w:sz w:val="18"/>
          <w:szCs w:val="18"/>
        </w:rPr>
        <w:t xml:space="preserve">; </w:t>
      </w:r>
      <w:bookmarkStart w:id="27" w:name="_Hlk136434729"/>
      <w:r w:rsidR="000F60A7" w:rsidRPr="000F60A7">
        <w:rPr>
          <w:rFonts w:ascii="Arial Narrow" w:hAnsi="Arial Narrow"/>
          <w:sz w:val="18"/>
          <w:szCs w:val="18"/>
        </w:rPr>
        <w:t>FMF</w:t>
      </w:r>
      <w:r w:rsidR="002C5975">
        <w:rPr>
          <w:rFonts w:ascii="Arial Narrow" w:hAnsi="Arial Narrow"/>
          <w:sz w:val="18"/>
          <w:szCs w:val="18"/>
        </w:rPr>
        <w:t>=</w:t>
      </w:r>
      <w:proofErr w:type="spellStart"/>
      <w:r w:rsidR="000F60A7" w:rsidRPr="000F60A7">
        <w:rPr>
          <w:rFonts w:ascii="Arial Narrow" w:hAnsi="Arial Narrow"/>
          <w:sz w:val="18"/>
          <w:szCs w:val="18"/>
        </w:rPr>
        <w:t>Fetal</w:t>
      </w:r>
      <w:proofErr w:type="spellEnd"/>
      <w:r w:rsidR="000F60A7" w:rsidRPr="000F60A7">
        <w:rPr>
          <w:rFonts w:ascii="Arial Narrow" w:hAnsi="Arial Narrow"/>
          <w:sz w:val="18"/>
          <w:szCs w:val="18"/>
        </w:rPr>
        <w:t xml:space="preserve"> Medicine Foundation; </w:t>
      </w:r>
      <w:bookmarkEnd w:id="27"/>
      <w:r w:rsidR="000F60A7" w:rsidRPr="000F60A7">
        <w:rPr>
          <w:rFonts w:ascii="Arial Narrow" w:hAnsi="Arial Narrow"/>
          <w:sz w:val="18"/>
          <w:szCs w:val="18"/>
        </w:rPr>
        <w:t>NICE</w:t>
      </w:r>
      <w:r w:rsidR="002C5975">
        <w:rPr>
          <w:rFonts w:ascii="Arial Narrow" w:hAnsi="Arial Narrow"/>
          <w:sz w:val="18"/>
          <w:szCs w:val="18"/>
        </w:rPr>
        <w:t>=</w:t>
      </w:r>
      <w:r w:rsidR="000F60A7" w:rsidRPr="000F60A7">
        <w:rPr>
          <w:rFonts w:ascii="Arial Narrow" w:hAnsi="Arial Narrow"/>
          <w:sz w:val="18"/>
          <w:szCs w:val="18"/>
        </w:rPr>
        <w:t>National Institute for Health and Excellence; PE</w:t>
      </w:r>
      <w:r w:rsidR="002C5975">
        <w:rPr>
          <w:rFonts w:ascii="Arial Narrow" w:hAnsi="Arial Narrow"/>
          <w:sz w:val="18"/>
          <w:szCs w:val="18"/>
        </w:rPr>
        <w:t>=</w:t>
      </w:r>
      <w:r w:rsidR="000F60A7" w:rsidRPr="000F60A7">
        <w:rPr>
          <w:rFonts w:ascii="Arial Narrow" w:hAnsi="Arial Narrow"/>
          <w:sz w:val="18"/>
          <w:szCs w:val="18"/>
        </w:rPr>
        <w:t>preeclampsia</w:t>
      </w:r>
      <w:r w:rsidR="00AC4421" w:rsidRPr="003E00FC">
        <w:rPr>
          <w:rFonts w:ascii="Arial Narrow" w:hAnsi="Arial Narrow"/>
          <w:sz w:val="18"/>
          <w:szCs w:val="18"/>
        </w:rPr>
        <w:t>.</w:t>
      </w:r>
    </w:p>
    <w:p w14:paraId="4C286B5A" w14:textId="60280CF1" w:rsidR="003E61A9" w:rsidRPr="00970246" w:rsidRDefault="00AC4421" w:rsidP="001F544B">
      <w:pPr>
        <w:spacing w:line="259" w:lineRule="auto"/>
        <w:rPr>
          <w:rFonts w:ascii="Arial Narrow" w:hAnsi="Arial Narrow"/>
          <w:sz w:val="18"/>
          <w:szCs w:val="18"/>
        </w:rPr>
      </w:pPr>
      <w:r w:rsidRPr="00970246">
        <w:rPr>
          <w:rFonts w:ascii="Arial Narrow" w:hAnsi="Arial Narrow"/>
          <w:i/>
          <w:sz w:val="18"/>
          <w:szCs w:val="18"/>
        </w:rPr>
        <w:t xml:space="preserve">Italicised=results calculated by the commentary from confusion matrix where available; </w:t>
      </w:r>
      <w:r w:rsidRPr="00970246">
        <w:rPr>
          <w:rFonts w:ascii="Arial Narrow" w:hAnsi="Arial Narrow"/>
          <w:sz w:val="18"/>
          <w:szCs w:val="18"/>
          <w:u w:val="single"/>
        </w:rPr>
        <w:t>Underline=ASPRE trial</w:t>
      </w:r>
    </w:p>
    <w:p w14:paraId="3FABBF9E" w14:textId="1DFF2914" w:rsidR="00CA58AB" w:rsidRPr="00970246" w:rsidRDefault="000C5CD7" w:rsidP="000B40CA">
      <w:pPr>
        <w:spacing w:line="259" w:lineRule="auto"/>
        <w:rPr>
          <w:rFonts w:ascii="Arial Narrow" w:hAnsi="Arial Narrow"/>
          <w:sz w:val="18"/>
          <w:szCs w:val="18"/>
        </w:rPr>
      </w:pPr>
      <w:r w:rsidRPr="00EB75CC">
        <w:rPr>
          <w:rFonts w:ascii="Arial Narrow" w:hAnsi="Arial Narrow"/>
          <w:sz w:val="18"/>
          <w:szCs w:val="18"/>
        </w:rPr>
        <w:t xml:space="preserve">Source: </w:t>
      </w:r>
      <w:r w:rsidR="008F3F11" w:rsidRPr="00EB75CC">
        <w:rPr>
          <w:rFonts w:ascii="Arial Narrow" w:hAnsi="Arial Narrow"/>
          <w:sz w:val="18"/>
          <w:szCs w:val="18"/>
        </w:rPr>
        <w:t>Table 7, p38 of the ADAR</w:t>
      </w:r>
    </w:p>
    <w:p w14:paraId="1F12AF59" w14:textId="77777777" w:rsidR="00BB182F" w:rsidRPr="00BB182F" w:rsidRDefault="00BB182F" w:rsidP="006916E6">
      <w:pPr>
        <w:pStyle w:val="Heading3"/>
        <w:spacing w:before="300" w:after="160" w:line="240" w:lineRule="auto"/>
        <w:rPr>
          <w:sz w:val="24"/>
          <w:szCs w:val="24"/>
          <w:lang w:eastAsia="en-US"/>
        </w:rPr>
      </w:pPr>
      <w:r w:rsidRPr="00BB182F">
        <w:rPr>
          <w:sz w:val="24"/>
          <w:szCs w:val="24"/>
          <w:lang w:eastAsia="en-US"/>
        </w:rPr>
        <w:t>FMF risk calculator versus SoC</w:t>
      </w:r>
    </w:p>
    <w:p w14:paraId="02BA47A5" w14:textId="4B880848" w:rsidR="00CB55A1" w:rsidRDefault="00CB55A1" w:rsidP="00CB55A1">
      <w:pPr>
        <w:pStyle w:val="a-TEXT"/>
      </w:pPr>
      <w:r>
        <w:t xml:space="preserve">Test accuracy of the </w:t>
      </w:r>
      <w:r w:rsidR="00137830" w:rsidRPr="00137830">
        <w:rPr>
          <w:rFonts w:eastAsia="Calibri"/>
          <w:color w:val="000000" w:themeColor="text1"/>
          <w:szCs w:val="20"/>
          <w:lang w:eastAsia="en-AU"/>
        </w:rPr>
        <w:t xml:space="preserve">FMF risk calculator </w:t>
      </w:r>
      <w:r>
        <w:t xml:space="preserve">in comparison to </w:t>
      </w:r>
      <w:r w:rsidR="00105D01">
        <w:t xml:space="preserve">SoC </w:t>
      </w:r>
      <w:r w:rsidR="00C06615">
        <w:t xml:space="preserve">(NICE or ACOG guidelines/criteria) </w:t>
      </w:r>
      <w:r w:rsidR="00105D01">
        <w:t>was examined in three studies</w:t>
      </w:r>
      <w:r w:rsidR="004C2643" w:rsidRPr="004C2643">
        <w:rPr>
          <w:vertAlign w:val="superscript"/>
        </w:rPr>
        <w:t>4,5,</w:t>
      </w:r>
      <w:r w:rsidR="004C2643">
        <w:rPr>
          <w:rStyle w:val="FootnoteReference"/>
        </w:rPr>
        <w:footnoteReference w:id="20"/>
      </w:r>
      <w:r w:rsidR="00C06615">
        <w:t xml:space="preserve"> </w:t>
      </w:r>
      <w:r w:rsidR="00F26EEE">
        <w:t>each is summarised below</w:t>
      </w:r>
      <w:r>
        <w:t>.</w:t>
      </w:r>
    </w:p>
    <w:p w14:paraId="0E4F5493" w14:textId="6C897265" w:rsidR="001C501D" w:rsidRDefault="001C501D" w:rsidP="00970246">
      <w:pPr>
        <w:pStyle w:val="Heading4"/>
      </w:pPr>
      <w:r>
        <w:t>Poon</w:t>
      </w:r>
      <w:r w:rsidRPr="001C501D">
        <w:t xml:space="preserve"> et al., 201</w:t>
      </w:r>
      <w:r>
        <w:t>8</w:t>
      </w:r>
    </w:p>
    <w:p w14:paraId="10B52602" w14:textId="4581CF40" w:rsidR="001C501D" w:rsidRPr="003E61A9" w:rsidRDefault="001C501D" w:rsidP="001C501D">
      <w:pPr>
        <w:pStyle w:val="a-TEXT"/>
        <w:rPr>
          <w:rFonts w:eastAsia="Calibri"/>
          <w:color w:val="000000" w:themeColor="text1"/>
          <w:szCs w:val="20"/>
          <w:lang w:eastAsia="en-AU"/>
        </w:rPr>
      </w:pPr>
      <w:r>
        <w:rPr>
          <w:rFonts w:eastAsia="Calibri"/>
          <w:color w:val="000000" w:themeColor="text1"/>
          <w:szCs w:val="20"/>
          <w:lang w:eastAsia="en-AU"/>
        </w:rPr>
        <w:t xml:space="preserve">The </w:t>
      </w:r>
      <w:r w:rsidR="000170B9">
        <w:rPr>
          <w:rFonts w:eastAsia="Calibri"/>
          <w:color w:val="000000" w:themeColor="text1"/>
          <w:szCs w:val="20"/>
          <w:lang w:eastAsia="en-AU"/>
        </w:rPr>
        <w:t>commentary</w:t>
      </w:r>
      <w:r>
        <w:rPr>
          <w:rFonts w:eastAsia="Calibri"/>
          <w:color w:val="000000" w:themeColor="text1"/>
          <w:szCs w:val="20"/>
          <w:lang w:eastAsia="en-AU"/>
        </w:rPr>
        <w:t xml:space="preserve"> completed independent calculations of test accuracy outcomes based on confusion matrices from the study</w:t>
      </w:r>
      <w:r w:rsidR="00C06615">
        <w:rPr>
          <w:rFonts w:eastAsia="Calibri"/>
          <w:color w:val="000000" w:themeColor="text1"/>
          <w:szCs w:val="20"/>
          <w:lang w:eastAsia="en-AU"/>
        </w:rPr>
        <w:t>,</w:t>
      </w:r>
      <w:r>
        <w:rPr>
          <w:rFonts w:eastAsia="Calibri"/>
          <w:color w:val="000000" w:themeColor="text1"/>
          <w:szCs w:val="20"/>
          <w:lang w:eastAsia="en-AU"/>
        </w:rPr>
        <w:t xml:space="preserve"> presented </w:t>
      </w:r>
      <w:r w:rsidR="001873D3">
        <w:rPr>
          <w:rFonts w:eastAsia="Calibri"/>
          <w:color w:val="000000" w:themeColor="text1"/>
          <w:szCs w:val="20"/>
          <w:lang w:eastAsia="en-AU"/>
        </w:rPr>
        <w:t xml:space="preserve">in </w:t>
      </w:r>
      <w:r w:rsidR="00DF47F5">
        <w:rPr>
          <w:rFonts w:eastAsia="Calibri"/>
          <w:color w:val="000000" w:themeColor="text1"/>
          <w:szCs w:val="20"/>
          <w:lang w:eastAsia="en-AU"/>
        </w:rPr>
        <w:t xml:space="preserve">Table 13 </w:t>
      </w:r>
      <w:r>
        <w:rPr>
          <w:rFonts w:eastAsia="Calibri"/>
          <w:color w:val="000000" w:themeColor="text1"/>
          <w:szCs w:val="20"/>
          <w:lang w:eastAsia="en-AU"/>
        </w:rPr>
        <w:t xml:space="preserve">below. </w:t>
      </w:r>
      <w:r w:rsidR="00C06615">
        <w:rPr>
          <w:rFonts w:eastAsia="Calibri"/>
          <w:color w:val="000000" w:themeColor="text1"/>
          <w:szCs w:val="20"/>
          <w:lang w:eastAsia="en-AU"/>
        </w:rPr>
        <w:t>This</w:t>
      </w:r>
      <w:r w:rsidR="00395C22">
        <w:rPr>
          <w:rFonts w:eastAsia="Calibri"/>
          <w:color w:val="000000" w:themeColor="text1"/>
          <w:szCs w:val="20"/>
          <w:lang w:eastAsia="en-AU"/>
        </w:rPr>
        <w:t xml:space="preserve"> study only used the entire sample (N=34,573) for testing the diagnostic performance of the comparator. From those who met the comparator criteria of “high risk”, the FMF</w:t>
      </w:r>
      <w:r w:rsidR="007E26CB">
        <w:rPr>
          <w:rFonts w:eastAsia="Calibri"/>
          <w:color w:val="000000" w:themeColor="text1"/>
          <w:szCs w:val="20"/>
          <w:lang w:eastAsia="en-AU"/>
        </w:rPr>
        <w:t xml:space="preserve"> risk</w:t>
      </w:r>
      <w:r w:rsidR="00395C22">
        <w:rPr>
          <w:rFonts w:eastAsia="Calibri"/>
          <w:color w:val="000000" w:themeColor="text1"/>
          <w:szCs w:val="20"/>
          <w:lang w:eastAsia="en-AU"/>
        </w:rPr>
        <w:t xml:space="preserve"> algorithm was then </w:t>
      </w:r>
      <w:r w:rsidR="00831B2A">
        <w:rPr>
          <w:rFonts w:eastAsia="Calibri"/>
          <w:color w:val="000000" w:themeColor="text1"/>
          <w:szCs w:val="20"/>
          <w:lang w:eastAsia="en-AU"/>
        </w:rPr>
        <w:t xml:space="preserve">applied. </w:t>
      </w:r>
      <w:r w:rsidR="00522D04">
        <w:rPr>
          <w:rFonts w:eastAsia="Calibri"/>
          <w:color w:val="000000" w:themeColor="text1"/>
          <w:szCs w:val="20"/>
          <w:lang w:eastAsia="en-AU"/>
        </w:rPr>
        <w:t xml:space="preserve">This may represent a possible clinical management pathway – i.e., initial risk </w:t>
      </w:r>
      <w:r w:rsidR="00F56D38">
        <w:rPr>
          <w:rFonts w:eastAsia="Calibri"/>
          <w:color w:val="000000" w:themeColor="text1"/>
          <w:szCs w:val="20"/>
          <w:lang w:eastAsia="en-AU"/>
        </w:rPr>
        <w:t>testing</w:t>
      </w:r>
      <w:r w:rsidR="00522D04">
        <w:rPr>
          <w:rFonts w:eastAsia="Calibri"/>
          <w:color w:val="000000" w:themeColor="text1"/>
          <w:szCs w:val="20"/>
          <w:lang w:eastAsia="en-AU"/>
        </w:rPr>
        <w:t xml:space="preserve"> via </w:t>
      </w:r>
      <w:r w:rsidR="00F97D0A">
        <w:rPr>
          <w:rFonts w:eastAsia="Calibri"/>
          <w:color w:val="000000" w:themeColor="text1"/>
          <w:szCs w:val="20"/>
          <w:lang w:eastAsia="en-AU"/>
        </w:rPr>
        <w:t>guidelines without invasive testin</w:t>
      </w:r>
      <w:r w:rsidR="006A1782">
        <w:rPr>
          <w:rFonts w:eastAsia="Calibri"/>
          <w:color w:val="000000" w:themeColor="text1"/>
          <w:szCs w:val="20"/>
          <w:lang w:eastAsia="en-AU"/>
        </w:rPr>
        <w:t>g,</w:t>
      </w:r>
      <w:r w:rsidR="00F97D0A">
        <w:rPr>
          <w:rFonts w:eastAsia="Calibri"/>
          <w:color w:val="000000" w:themeColor="text1"/>
          <w:szCs w:val="20"/>
          <w:lang w:eastAsia="en-AU"/>
        </w:rPr>
        <w:t xml:space="preserve"> </w:t>
      </w:r>
      <w:r w:rsidR="00ED1ABD">
        <w:rPr>
          <w:rFonts w:eastAsia="Calibri"/>
          <w:color w:val="000000" w:themeColor="text1"/>
          <w:szCs w:val="20"/>
          <w:lang w:eastAsia="en-AU"/>
        </w:rPr>
        <w:t>followed by use of the FMF risk calculator (as suggested by RANZGP</w:t>
      </w:r>
      <w:r w:rsidR="001C0615">
        <w:rPr>
          <w:rFonts w:eastAsia="Calibri"/>
          <w:color w:val="000000" w:themeColor="text1"/>
          <w:szCs w:val="20"/>
          <w:lang w:eastAsia="en-AU"/>
        </w:rPr>
        <w:t xml:space="preserve"> in consultation</w:t>
      </w:r>
      <w:r w:rsidR="00ED1ABD">
        <w:rPr>
          <w:rFonts w:eastAsia="Calibri"/>
          <w:color w:val="000000" w:themeColor="text1"/>
          <w:szCs w:val="20"/>
          <w:lang w:eastAsia="en-AU"/>
        </w:rPr>
        <w:t xml:space="preserve">). However, it limits the ability to compare diagnostic performance across the </w:t>
      </w:r>
      <w:r w:rsidR="00BF57C3">
        <w:rPr>
          <w:rFonts w:eastAsia="Calibri"/>
          <w:color w:val="000000" w:themeColor="text1"/>
          <w:szCs w:val="20"/>
          <w:lang w:eastAsia="en-AU"/>
        </w:rPr>
        <w:t>FMF risk calculator and comparator.</w:t>
      </w:r>
    </w:p>
    <w:p w14:paraId="7BE23501" w14:textId="396299D2" w:rsidR="001C501D" w:rsidRDefault="001C501D" w:rsidP="001C501D">
      <w:pPr>
        <w:pStyle w:val="Caption"/>
      </w:pPr>
      <w:bookmarkStart w:id="28" w:name="_Ref141885435"/>
      <w:r>
        <w:lastRenderedPageBreak/>
        <w:t>Table</w:t>
      </w:r>
      <w:r w:rsidR="0098432C">
        <w:t xml:space="preserve"> </w:t>
      </w:r>
      <w:r w:rsidR="00DF47F5">
        <w:t xml:space="preserve">13 </w:t>
      </w:r>
      <w:bookmarkEnd w:id="28"/>
      <w:r w:rsidR="00AB7AFF">
        <w:tab/>
      </w:r>
      <w:r>
        <w:t>Performance of FMF algorithm vs NICE and ACOG criteria from Poon et al., 2018.</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405"/>
        <w:gridCol w:w="1700"/>
        <w:gridCol w:w="983"/>
        <w:gridCol w:w="983"/>
        <w:gridCol w:w="983"/>
        <w:gridCol w:w="983"/>
        <w:gridCol w:w="979"/>
      </w:tblGrid>
      <w:tr w:rsidR="006F10F7" w:rsidRPr="0076414C" w14:paraId="333187D7" w14:textId="77777777" w:rsidTr="00970246">
        <w:trPr>
          <w:trHeight w:val="26"/>
        </w:trPr>
        <w:tc>
          <w:tcPr>
            <w:tcW w:w="1334" w:type="pct"/>
            <w:vMerge w:val="restart"/>
            <w:shd w:val="clear" w:color="auto" w:fill="auto"/>
            <w:vAlign w:val="center"/>
          </w:tcPr>
          <w:p w14:paraId="6D18071A" w14:textId="54B74B11" w:rsidR="006F10F7" w:rsidRDefault="006F10F7" w:rsidP="006F10F7">
            <w:pPr>
              <w:pStyle w:val="TableHeading0"/>
              <w:spacing w:before="0" w:after="0"/>
              <w:rPr>
                <w:color w:val="000000" w:themeColor="text1"/>
              </w:rPr>
            </w:pPr>
            <w:r>
              <w:rPr>
                <w:color w:val="000000" w:themeColor="text1"/>
              </w:rPr>
              <w:t>Population</w:t>
            </w:r>
          </w:p>
        </w:tc>
        <w:tc>
          <w:tcPr>
            <w:tcW w:w="943" w:type="pct"/>
            <w:vMerge w:val="restart"/>
            <w:shd w:val="clear" w:color="auto" w:fill="auto"/>
            <w:vAlign w:val="center"/>
          </w:tcPr>
          <w:p w14:paraId="4DD55F6A" w14:textId="7D36694F" w:rsidR="006F10F7" w:rsidRDefault="006F10F7" w:rsidP="006F10F7">
            <w:pPr>
              <w:pStyle w:val="TableHeading0"/>
              <w:spacing w:before="0" w:after="0"/>
              <w:rPr>
                <w:color w:val="000000" w:themeColor="text1"/>
              </w:rPr>
            </w:pPr>
            <w:r>
              <w:rPr>
                <w:color w:val="000000" w:themeColor="text1"/>
              </w:rPr>
              <w:t>Risk-cut off</w:t>
            </w:r>
          </w:p>
        </w:tc>
        <w:tc>
          <w:tcPr>
            <w:tcW w:w="2723" w:type="pct"/>
            <w:gridSpan w:val="5"/>
            <w:shd w:val="clear" w:color="auto" w:fill="auto"/>
          </w:tcPr>
          <w:p w14:paraId="5C43E192" w14:textId="4F62A511" w:rsidR="006F10F7" w:rsidRPr="0076414C" w:rsidRDefault="006F10F7" w:rsidP="006F10F7">
            <w:pPr>
              <w:pStyle w:val="TableHeading0"/>
              <w:spacing w:before="0" w:after="0"/>
              <w:jc w:val="center"/>
              <w:rPr>
                <w:color w:val="000000" w:themeColor="text1"/>
              </w:rPr>
            </w:pPr>
            <w:r>
              <w:rPr>
                <w:color w:val="000000" w:themeColor="text1"/>
              </w:rPr>
              <w:t xml:space="preserve"> % </w:t>
            </w:r>
            <w:r w:rsidRPr="006F10F7">
              <w:rPr>
                <w:color w:val="000000" w:themeColor="text1"/>
              </w:rPr>
              <w:t>(95% CI)</w:t>
            </w:r>
          </w:p>
        </w:tc>
      </w:tr>
      <w:tr w:rsidR="001C501D" w:rsidRPr="0076414C" w14:paraId="7E40C1EA" w14:textId="77777777" w:rsidTr="00970246">
        <w:trPr>
          <w:trHeight w:val="367"/>
        </w:trPr>
        <w:tc>
          <w:tcPr>
            <w:tcW w:w="1334" w:type="pct"/>
            <w:vMerge/>
            <w:shd w:val="clear" w:color="auto" w:fill="auto"/>
            <w:vAlign w:val="center"/>
          </w:tcPr>
          <w:p w14:paraId="30186DA3" w14:textId="7B304FA7" w:rsidR="001C501D" w:rsidRPr="0076414C" w:rsidRDefault="001C501D">
            <w:pPr>
              <w:pStyle w:val="TableHeading0"/>
              <w:spacing w:before="0" w:after="0"/>
              <w:rPr>
                <w:color w:val="000000" w:themeColor="text1"/>
              </w:rPr>
            </w:pPr>
          </w:p>
        </w:tc>
        <w:tc>
          <w:tcPr>
            <w:tcW w:w="943" w:type="pct"/>
            <w:vMerge/>
            <w:shd w:val="clear" w:color="auto" w:fill="auto"/>
            <w:vAlign w:val="center"/>
          </w:tcPr>
          <w:p w14:paraId="7B173523" w14:textId="50705E8A" w:rsidR="000B31F7" w:rsidRDefault="000B31F7" w:rsidP="000B31F7">
            <w:pPr>
              <w:pStyle w:val="TableHeading0"/>
              <w:spacing w:before="0" w:after="0"/>
              <w:rPr>
                <w:color w:val="000000" w:themeColor="text1"/>
              </w:rPr>
            </w:pPr>
          </w:p>
        </w:tc>
        <w:tc>
          <w:tcPr>
            <w:tcW w:w="545" w:type="pct"/>
            <w:shd w:val="clear" w:color="auto" w:fill="auto"/>
            <w:vAlign w:val="center"/>
          </w:tcPr>
          <w:p w14:paraId="3432CCE0" w14:textId="77777777" w:rsidR="001C501D" w:rsidRPr="0076414C" w:rsidRDefault="001C501D" w:rsidP="00BB182F">
            <w:pPr>
              <w:pStyle w:val="TableHeading0"/>
              <w:spacing w:before="0" w:after="0"/>
              <w:jc w:val="center"/>
              <w:rPr>
                <w:color w:val="000000" w:themeColor="text1"/>
              </w:rPr>
            </w:pPr>
            <w:r w:rsidRPr="0076414C">
              <w:rPr>
                <w:color w:val="000000" w:themeColor="text1"/>
              </w:rPr>
              <w:t>Sensitivity</w:t>
            </w:r>
          </w:p>
        </w:tc>
        <w:tc>
          <w:tcPr>
            <w:tcW w:w="545" w:type="pct"/>
            <w:shd w:val="clear" w:color="auto" w:fill="auto"/>
            <w:vAlign w:val="center"/>
          </w:tcPr>
          <w:p w14:paraId="1BEA6BDE" w14:textId="77777777" w:rsidR="001C501D" w:rsidRPr="0076414C" w:rsidRDefault="001C501D" w:rsidP="00BB182F">
            <w:pPr>
              <w:pStyle w:val="TableHeading0"/>
              <w:spacing w:before="0" w:after="0"/>
              <w:jc w:val="center"/>
              <w:rPr>
                <w:color w:val="000000" w:themeColor="text1"/>
              </w:rPr>
            </w:pPr>
            <w:r w:rsidRPr="0076414C">
              <w:rPr>
                <w:color w:val="000000" w:themeColor="text1"/>
              </w:rPr>
              <w:t>Specificity</w:t>
            </w:r>
          </w:p>
        </w:tc>
        <w:tc>
          <w:tcPr>
            <w:tcW w:w="545" w:type="pct"/>
            <w:shd w:val="clear" w:color="auto" w:fill="auto"/>
            <w:vAlign w:val="center"/>
          </w:tcPr>
          <w:p w14:paraId="0B38E9DC" w14:textId="77777777" w:rsidR="001C501D" w:rsidRPr="0076414C" w:rsidRDefault="001C501D" w:rsidP="00BB182F">
            <w:pPr>
              <w:pStyle w:val="TableHeading0"/>
              <w:spacing w:before="0" w:after="0"/>
              <w:jc w:val="center"/>
              <w:rPr>
                <w:color w:val="000000" w:themeColor="text1"/>
              </w:rPr>
            </w:pPr>
            <w:r w:rsidRPr="0076414C">
              <w:rPr>
                <w:color w:val="000000" w:themeColor="text1"/>
              </w:rPr>
              <w:t>PPV</w:t>
            </w:r>
          </w:p>
        </w:tc>
        <w:tc>
          <w:tcPr>
            <w:tcW w:w="545" w:type="pct"/>
            <w:shd w:val="clear" w:color="auto" w:fill="auto"/>
            <w:vAlign w:val="center"/>
          </w:tcPr>
          <w:p w14:paraId="217057F8" w14:textId="77777777" w:rsidR="001C501D" w:rsidRPr="0076414C" w:rsidRDefault="001C501D" w:rsidP="00BB182F">
            <w:pPr>
              <w:pStyle w:val="TableHeading0"/>
              <w:spacing w:before="0" w:after="0"/>
              <w:jc w:val="center"/>
              <w:rPr>
                <w:color w:val="000000" w:themeColor="text1"/>
              </w:rPr>
            </w:pPr>
            <w:r w:rsidRPr="0076414C">
              <w:rPr>
                <w:color w:val="000000" w:themeColor="text1"/>
              </w:rPr>
              <w:t>NPV</w:t>
            </w:r>
          </w:p>
        </w:tc>
        <w:tc>
          <w:tcPr>
            <w:tcW w:w="543" w:type="pct"/>
            <w:shd w:val="clear" w:color="auto" w:fill="auto"/>
            <w:vAlign w:val="center"/>
          </w:tcPr>
          <w:p w14:paraId="6DEB7DAA" w14:textId="77777777" w:rsidR="001C501D" w:rsidRPr="0076414C" w:rsidRDefault="001C501D" w:rsidP="00BB182F">
            <w:pPr>
              <w:pStyle w:val="TableHeading0"/>
              <w:spacing w:before="0" w:after="0"/>
              <w:jc w:val="center"/>
              <w:rPr>
                <w:color w:val="000000" w:themeColor="text1"/>
              </w:rPr>
            </w:pPr>
            <w:r w:rsidRPr="0076414C">
              <w:rPr>
                <w:color w:val="000000" w:themeColor="text1"/>
              </w:rPr>
              <w:t>Accuracy</w:t>
            </w:r>
          </w:p>
        </w:tc>
      </w:tr>
      <w:tr w:rsidR="001C501D" w:rsidRPr="0076414C" w14:paraId="0A93F451" w14:textId="77777777" w:rsidTr="00970246">
        <w:trPr>
          <w:trHeight w:val="20"/>
        </w:trPr>
        <w:tc>
          <w:tcPr>
            <w:tcW w:w="5000" w:type="pct"/>
            <w:gridSpan w:val="7"/>
            <w:shd w:val="clear" w:color="auto" w:fill="auto"/>
          </w:tcPr>
          <w:p w14:paraId="155C2213" w14:textId="3C5CF186" w:rsidR="001C501D" w:rsidRPr="003F00C2" w:rsidRDefault="001C501D">
            <w:pPr>
              <w:pStyle w:val="TableText"/>
              <w:spacing w:before="0" w:after="0"/>
              <w:rPr>
                <w:rFonts w:cstheme="minorBidi"/>
                <w:b/>
                <w:bCs/>
                <w:color w:val="000000" w:themeColor="text1"/>
                <w:szCs w:val="22"/>
              </w:rPr>
            </w:pPr>
            <w:r w:rsidRPr="003F00C2">
              <w:rPr>
                <w:b/>
                <w:bCs/>
                <w:color w:val="000000" w:themeColor="text1"/>
                <w:szCs w:val="22"/>
              </w:rPr>
              <w:t xml:space="preserve">FMF </w:t>
            </w:r>
            <w:r w:rsidR="00FC6C95">
              <w:rPr>
                <w:b/>
                <w:bCs/>
                <w:color w:val="000000" w:themeColor="text1"/>
                <w:szCs w:val="22"/>
              </w:rPr>
              <w:t>risk calculator</w:t>
            </w:r>
          </w:p>
        </w:tc>
      </w:tr>
      <w:tr w:rsidR="001C501D" w:rsidRPr="0076414C" w14:paraId="69A875D2" w14:textId="77777777" w:rsidTr="006F10F7">
        <w:trPr>
          <w:trHeight w:val="20"/>
        </w:trPr>
        <w:tc>
          <w:tcPr>
            <w:tcW w:w="1334" w:type="pct"/>
          </w:tcPr>
          <w:p w14:paraId="7BA9243F" w14:textId="0788A75A" w:rsidR="000B31F7" w:rsidRPr="00BB182F" w:rsidRDefault="000B31F7" w:rsidP="000B31F7">
            <w:pPr>
              <w:pStyle w:val="TableText"/>
              <w:spacing w:before="0" w:after="0"/>
              <w:rPr>
                <w:color w:val="000000" w:themeColor="text1"/>
                <w:szCs w:val="22"/>
              </w:rPr>
            </w:pPr>
            <w:r>
              <w:rPr>
                <w:color w:val="000000" w:themeColor="text1"/>
                <w:szCs w:val="22"/>
              </w:rPr>
              <w:t>Those with a</w:t>
            </w:r>
            <w:r w:rsidRPr="00BB182F">
              <w:rPr>
                <w:color w:val="000000" w:themeColor="text1"/>
                <w:szCs w:val="22"/>
              </w:rPr>
              <w:t>ny one high risk factor in NICE guidelines</w:t>
            </w:r>
          </w:p>
          <w:p w14:paraId="3B91FBB3" w14:textId="77777777" w:rsidR="001C501D" w:rsidRPr="0076414C" w:rsidRDefault="001C501D" w:rsidP="00BB182F">
            <w:pPr>
              <w:pStyle w:val="TableText"/>
              <w:spacing w:before="0" w:after="0"/>
              <w:ind w:left="363"/>
              <w:rPr>
                <w:b/>
                <w:bCs/>
                <w:color w:val="000000" w:themeColor="text1"/>
              </w:rPr>
            </w:pPr>
            <w:r w:rsidRPr="0076414C">
              <w:rPr>
                <w:rFonts w:eastAsia="Calibri"/>
                <w:color w:val="000000" w:themeColor="text1"/>
              </w:rPr>
              <w:t>N=22,287</w:t>
            </w:r>
          </w:p>
        </w:tc>
        <w:tc>
          <w:tcPr>
            <w:tcW w:w="943" w:type="pct"/>
            <w:vAlign w:val="center"/>
          </w:tcPr>
          <w:p w14:paraId="61952010" w14:textId="206BDE01" w:rsidR="000B31F7" w:rsidRPr="004C3B3F" w:rsidRDefault="000B31F7" w:rsidP="000B31F7">
            <w:pPr>
              <w:pStyle w:val="TableText"/>
              <w:spacing w:before="0" w:after="0"/>
              <w:rPr>
                <w:color w:val="000000" w:themeColor="text1"/>
              </w:rPr>
            </w:pPr>
            <w:r w:rsidRPr="004C3B3F">
              <w:rPr>
                <w:color w:val="000000" w:themeColor="text1"/>
              </w:rPr>
              <w:t>1 in 100</w:t>
            </w:r>
          </w:p>
        </w:tc>
        <w:tc>
          <w:tcPr>
            <w:tcW w:w="545" w:type="pct"/>
            <w:vAlign w:val="center"/>
          </w:tcPr>
          <w:p w14:paraId="08FE1C60"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78.8% </w:t>
            </w:r>
          </w:p>
          <w:p w14:paraId="6A71C935" w14:textId="0A030A3D"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(72.8-84</w:t>
            </w:r>
            <w:r w:rsidR="00BB182F">
              <w:rPr>
                <w:rFonts w:cstheme="minorBidi"/>
                <w:i/>
                <w:iCs/>
                <w:color w:val="000000" w:themeColor="text1"/>
                <w:szCs w:val="22"/>
              </w:rPr>
              <w:t>.0</w:t>
            </w:r>
            <w:r w:rsidRPr="003F00C2">
              <w:rPr>
                <w:rFonts w:cstheme="minorBidi"/>
                <w:i/>
                <w:iCs/>
                <w:color w:val="000000" w:themeColor="text1"/>
                <w:szCs w:val="22"/>
              </w:rPr>
              <w:t>)</w:t>
            </w:r>
          </w:p>
        </w:tc>
        <w:tc>
          <w:tcPr>
            <w:tcW w:w="545" w:type="pct"/>
            <w:vAlign w:val="center"/>
          </w:tcPr>
          <w:p w14:paraId="76CD6019"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84.6% </w:t>
            </w:r>
          </w:p>
          <w:p w14:paraId="2A40E586" w14:textId="72BDCF7A"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(84.1-85.1)</w:t>
            </w:r>
          </w:p>
        </w:tc>
        <w:tc>
          <w:tcPr>
            <w:tcW w:w="545" w:type="pct"/>
            <w:vAlign w:val="center"/>
          </w:tcPr>
          <w:p w14:paraId="7472CA0A"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4.8% </w:t>
            </w:r>
          </w:p>
          <w:p w14:paraId="16B21568" w14:textId="5A57C6CF"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(4.1-5.5)</w:t>
            </w:r>
          </w:p>
        </w:tc>
        <w:tc>
          <w:tcPr>
            <w:tcW w:w="545" w:type="pct"/>
            <w:vAlign w:val="center"/>
          </w:tcPr>
          <w:p w14:paraId="011BFF1F"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99.8% </w:t>
            </w:r>
          </w:p>
          <w:p w14:paraId="48EBF472" w14:textId="0D82788C"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(99.7-99.8)</w:t>
            </w:r>
          </w:p>
        </w:tc>
        <w:tc>
          <w:tcPr>
            <w:tcW w:w="543" w:type="pct"/>
            <w:vAlign w:val="center"/>
          </w:tcPr>
          <w:p w14:paraId="4E097BBD"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84.6% </w:t>
            </w:r>
          </w:p>
          <w:p w14:paraId="1F0DA610" w14:textId="153725FC"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(84.1-85</w:t>
            </w:r>
            <w:r w:rsidR="00BB182F">
              <w:rPr>
                <w:rFonts w:cstheme="minorBidi"/>
                <w:i/>
                <w:iCs/>
                <w:color w:val="000000" w:themeColor="text1"/>
                <w:szCs w:val="22"/>
              </w:rPr>
              <w:t>.0</w:t>
            </w:r>
            <w:r w:rsidRPr="003F00C2">
              <w:rPr>
                <w:rFonts w:cstheme="minorBidi"/>
                <w:i/>
                <w:iCs/>
                <w:color w:val="000000" w:themeColor="text1"/>
                <w:szCs w:val="22"/>
              </w:rPr>
              <w:t>)</w:t>
            </w:r>
          </w:p>
        </w:tc>
      </w:tr>
      <w:tr w:rsidR="001C501D" w:rsidRPr="0076414C" w14:paraId="15A091A7" w14:textId="77777777" w:rsidTr="006F10F7">
        <w:trPr>
          <w:trHeight w:val="20"/>
        </w:trPr>
        <w:tc>
          <w:tcPr>
            <w:tcW w:w="1334" w:type="pct"/>
          </w:tcPr>
          <w:p w14:paraId="750BBE17" w14:textId="62039FDD" w:rsidR="000B31F7" w:rsidRPr="00BB182F" w:rsidRDefault="000B31F7" w:rsidP="000B31F7">
            <w:pPr>
              <w:pStyle w:val="TableText"/>
              <w:spacing w:before="0" w:after="0"/>
              <w:rPr>
                <w:color w:val="000000" w:themeColor="text1"/>
                <w:szCs w:val="22"/>
              </w:rPr>
            </w:pPr>
            <w:r>
              <w:rPr>
                <w:color w:val="000000" w:themeColor="text1"/>
                <w:szCs w:val="22"/>
              </w:rPr>
              <w:t xml:space="preserve">Those with </w:t>
            </w:r>
            <w:r w:rsidRPr="000B31F7">
              <w:rPr>
                <w:color w:val="000000" w:themeColor="text1"/>
              </w:rPr>
              <w:t>any</w:t>
            </w:r>
            <w:r w:rsidRPr="00BB182F">
              <w:rPr>
                <w:color w:val="000000" w:themeColor="text1"/>
                <w:szCs w:val="22"/>
              </w:rPr>
              <w:t xml:space="preserve"> two moderate risk factors in NICE guidelines</w:t>
            </w:r>
          </w:p>
          <w:p w14:paraId="32E186C4" w14:textId="77777777" w:rsidR="001C501D" w:rsidRPr="0076414C" w:rsidRDefault="001C501D" w:rsidP="00BB182F">
            <w:pPr>
              <w:pStyle w:val="TableText"/>
              <w:spacing w:before="0" w:after="0"/>
              <w:ind w:left="363"/>
              <w:rPr>
                <w:b/>
                <w:bCs/>
                <w:color w:val="000000" w:themeColor="text1"/>
              </w:rPr>
            </w:pPr>
            <w:r w:rsidRPr="0076414C">
              <w:rPr>
                <w:rFonts w:eastAsia="Calibri"/>
                <w:color w:val="000000" w:themeColor="text1"/>
              </w:rPr>
              <w:t>N=1,392</w:t>
            </w:r>
          </w:p>
        </w:tc>
        <w:tc>
          <w:tcPr>
            <w:tcW w:w="943" w:type="pct"/>
            <w:vAlign w:val="center"/>
          </w:tcPr>
          <w:p w14:paraId="777F442F" w14:textId="217AD32E" w:rsidR="000B31F7" w:rsidRPr="004C3B3F" w:rsidRDefault="000B31F7" w:rsidP="000B31F7">
            <w:pPr>
              <w:pStyle w:val="TableText"/>
              <w:spacing w:before="0" w:after="0"/>
              <w:rPr>
                <w:color w:val="000000" w:themeColor="text1"/>
              </w:rPr>
            </w:pPr>
            <w:r w:rsidRPr="004C3B3F">
              <w:rPr>
                <w:color w:val="000000" w:themeColor="text1"/>
              </w:rPr>
              <w:t>1 in 100</w:t>
            </w:r>
          </w:p>
        </w:tc>
        <w:tc>
          <w:tcPr>
            <w:tcW w:w="545" w:type="pct"/>
            <w:vAlign w:val="center"/>
          </w:tcPr>
          <w:p w14:paraId="6AD64564"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94.4% </w:t>
            </w:r>
          </w:p>
          <w:p w14:paraId="10FBD776" w14:textId="257A95EC"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(86.4</w:t>
            </w:r>
            <w:r w:rsidR="00BB182F">
              <w:rPr>
                <w:rFonts w:cstheme="minorBidi"/>
                <w:i/>
                <w:iCs/>
                <w:color w:val="000000" w:themeColor="text1"/>
                <w:szCs w:val="22"/>
              </w:rPr>
              <w:t>-</w:t>
            </w:r>
            <w:r w:rsidRPr="003F00C2">
              <w:rPr>
                <w:rFonts w:cstheme="minorBidi"/>
                <w:i/>
                <w:iCs/>
                <w:color w:val="000000" w:themeColor="text1"/>
                <w:szCs w:val="22"/>
              </w:rPr>
              <w:t>98.5)</w:t>
            </w:r>
          </w:p>
        </w:tc>
        <w:tc>
          <w:tcPr>
            <w:tcW w:w="545" w:type="pct"/>
            <w:vAlign w:val="center"/>
          </w:tcPr>
          <w:p w14:paraId="063E39F3"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46% </w:t>
            </w:r>
          </w:p>
          <w:p w14:paraId="28857D92" w14:textId="431B37F3"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(43.3-48.7)</w:t>
            </w:r>
          </w:p>
        </w:tc>
        <w:tc>
          <w:tcPr>
            <w:tcW w:w="545" w:type="pct"/>
            <w:vAlign w:val="center"/>
          </w:tcPr>
          <w:p w14:paraId="4B922700"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8.7% </w:t>
            </w:r>
          </w:p>
          <w:p w14:paraId="242F0A41" w14:textId="2BE000F9"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(6.8- 10.9)</w:t>
            </w:r>
          </w:p>
        </w:tc>
        <w:tc>
          <w:tcPr>
            <w:tcW w:w="545" w:type="pct"/>
            <w:vAlign w:val="center"/>
          </w:tcPr>
          <w:p w14:paraId="3161E2DF"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99.3% </w:t>
            </w:r>
          </w:p>
          <w:p w14:paraId="3BA92CA4" w14:textId="0F486DF6"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(98.3-99.8)</w:t>
            </w:r>
          </w:p>
        </w:tc>
        <w:tc>
          <w:tcPr>
            <w:tcW w:w="543" w:type="pct"/>
            <w:vAlign w:val="center"/>
          </w:tcPr>
          <w:p w14:paraId="216BAD4D"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48.5% </w:t>
            </w:r>
          </w:p>
          <w:p w14:paraId="64225EED" w14:textId="7C9CC34F"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(45.8-51.2)</w:t>
            </w:r>
          </w:p>
        </w:tc>
      </w:tr>
      <w:tr w:rsidR="001C501D" w:rsidRPr="0076414C" w14:paraId="50288370" w14:textId="77777777" w:rsidTr="006F10F7">
        <w:trPr>
          <w:trHeight w:val="20"/>
        </w:trPr>
        <w:tc>
          <w:tcPr>
            <w:tcW w:w="1334" w:type="pct"/>
          </w:tcPr>
          <w:p w14:paraId="601E50F3" w14:textId="14D4727E" w:rsidR="000B31F7" w:rsidRPr="00BB182F" w:rsidRDefault="000B31F7" w:rsidP="000B31F7">
            <w:pPr>
              <w:pStyle w:val="TableText"/>
              <w:spacing w:before="0" w:after="0"/>
              <w:rPr>
                <w:color w:val="000000" w:themeColor="text1"/>
                <w:szCs w:val="22"/>
              </w:rPr>
            </w:pPr>
            <w:r>
              <w:rPr>
                <w:color w:val="000000" w:themeColor="text1"/>
                <w:szCs w:val="22"/>
              </w:rPr>
              <w:t xml:space="preserve">Those with </w:t>
            </w:r>
            <w:r w:rsidRPr="000B31F7">
              <w:rPr>
                <w:color w:val="000000" w:themeColor="text1"/>
              </w:rPr>
              <w:t>any</w:t>
            </w:r>
            <w:r w:rsidRPr="00BB182F">
              <w:rPr>
                <w:color w:val="000000" w:themeColor="text1"/>
                <w:szCs w:val="22"/>
              </w:rPr>
              <w:t xml:space="preserve"> one risk factor in ACOG guidelines</w:t>
            </w:r>
          </w:p>
          <w:p w14:paraId="46AA064D" w14:textId="77777777" w:rsidR="001C501D" w:rsidRPr="0076414C" w:rsidRDefault="001C501D" w:rsidP="00BB182F">
            <w:pPr>
              <w:pStyle w:val="TableText"/>
              <w:spacing w:before="0" w:after="0"/>
              <w:ind w:left="363"/>
              <w:rPr>
                <w:b/>
                <w:bCs/>
                <w:color w:val="000000" w:themeColor="text1"/>
                <w:szCs w:val="22"/>
              </w:rPr>
            </w:pPr>
            <w:r w:rsidRPr="0076414C">
              <w:rPr>
                <w:rFonts w:eastAsia="Calibri"/>
                <w:color w:val="000000" w:themeColor="text1"/>
              </w:rPr>
              <w:t>N=2,360</w:t>
            </w:r>
          </w:p>
        </w:tc>
        <w:tc>
          <w:tcPr>
            <w:tcW w:w="943" w:type="pct"/>
            <w:vAlign w:val="center"/>
          </w:tcPr>
          <w:p w14:paraId="2440B7C7" w14:textId="3F66A5F1" w:rsidR="000B31F7" w:rsidRPr="004C3B3F" w:rsidRDefault="000B31F7" w:rsidP="000B31F7">
            <w:pPr>
              <w:pStyle w:val="TableText"/>
              <w:spacing w:before="0" w:after="0"/>
              <w:rPr>
                <w:color w:val="000000" w:themeColor="text1"/>
              </w:rPr>
            </w:pPr>
            <w:r w:rsidRPr="004C3B3F">
              <w:rPr>
                <w:color w:val="000000" w:themeColor="text1"/>
              </w:rPr>
              <w:t>1 in 100</w:t>
            </w:r>
          </w:p>
        </w:tc>
        <w:tc>
          <w:tcPr>
            <w:tcW w:w="545" w:type="pct"/>
            <w:vAlign w:val="center"/>
          </w:tcPr>
          <w:p w14:paraId="4F7F011F"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82.9% </w:t>
            </w:r>
          </w:p>
          <w:p w14:paraId="03C0A466" w14:textId="565AD6EE"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(67.9-92.8)</w:t>
            </w:r>
          </w:p>
        </w:tc>
        <w:tc>
          <w:tcPr>
            <w:tcW w:w="545" w:type="pct"/>
            <w:vAlign w:val="center"/>
          </w:tcPr>
          <w:p w14:paraId="5D0DAAB7"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71.6% </w:t>
            </w:r>
          </w:p>
          <w:p w14:paraId="106F8A2A" w14:textId="705B21CB"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(69.7-73.5)</w:t>
            </w:r>
          </w:p>
        </w:tc>
        <w:tc>
          <w:tcPr>
            <w:tcW w:w="545" w:type="pct"/>
            <w:vAlign w:val="center"/>
          </w:tcPr>
          <w:p w14:paraId="2B6BAB5C"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4.9% </w:t>
            </w:r>
          </w:p>
          <w:p w14:paraId="22142E13" w14:textId="08BE033C"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(3.4-6.8)</w:t>
            </w:r>
          </w:p>
        </w:tc>
        <w:tc>
          <w:tcPr>
            <w:tcW w:w="545" w:type="pct"/>
            <w:vAlign w:val="center"/>
          </w:tcPr>
          <w:p w14:paraId="0D886683"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99.6% </w:t>
            </w:r>
          </w:p>
          <w:p w14:paraId="7B3846F2" w14:textId="210EEA9D"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(99.1-99.8)</w:t>
            </w:r>
          </w:p>
        </w:tc>
        <w:tc>
          <w:tcPr>
            <w:tcW w:w="543" w:type="pct"/>
            <w:vAlign w:val="center"/>
          </w:tcPr>
          <w:p w14:paraId="5C661E21" w14:textId="6112A9AF"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71.8 </w:t>
            </w:r>
          </w:p>
          <w:p w14:paraId="3906AD06" w14:textId="6964F4DD" w:rsidR="001C501D" w:rsidRPr="003F00C2" w:rsidRDefault="001C501D">
            <w:pPr>
              <w:pStyle w:val="TableText"/>
              <w:spacing w:before="0" w:after="0"/>
              <w:rPr>
                <w:i/>
                <w:iCs/>
                <w:color w:val="000000" w:themeColor="text1"/>
              </w:rPr>
            </w:pPr>
            <w:r w:rsidRPr="003F00C2">
              <w:rPr>
                <w:rFonts w:cstheme="minorBidi"/>
                <w:i/>
                <w:iCs/>
                <w:color w:val="000000" w:themeColor="text1"/>
                <w:szCs w:val="22"/>
              </w:rPr>
              <w:t>(70</w:t>
            </w:r>
            <w:r w:rsidR="00BB182F">
              <w:rPr>
                <w:rFonts w:cstheme="minorBidi"/>
                <w:i/>
                <w:iCs/>
                <w:color w:val="000000" w:themeColor="text1"/>
                <w:szCs w:val="22"/>
              </w:rPr>
              <w:t>.0</w:t>
            </w:r>
            <w:r w:rsidRPr="003F00C2">
              <w:rPr>
                <w:rFonts w:cstheme="minorBidi"/>
                <w:i/>
                <w:iCs/>
                <w:color w:val="000000" w:themeColor="text1"/>
                <w:szCs w:val="22"/>
              </w:rPr>
              <w:t>-73.6)</w:t>
            </w:r>
          </w:p>
        </w:tc>
      </w:tr>
      <w:tr w:rsidR="001C501D" w:rsidRPr="0076414C" w14:paraId="73314249" w14:textId="77777777" w:rsidTr="00970246">
        <w:trPr>
          <w:trHeight w:val="20"/>
        </w:trPr>
        <w:tc>
          <w:tcPr>
            <w:tcW w:w="5000" w:type="pct"/>
            <w:gridSpan w:val="7"/>
            <w:shd w:val="clear" w:color="auto" w:fill="auto"/>
          </w:tcPr>
          <w:p w14:paraId="3D474BBC" w14:textId="4E250E5A" w:rsidR="001C501D" w:rsidRPr="003F00C2" w:rsidRDefault="001C501D">
            <w:pPr>
              <w:pStyle w:val="TableText"/>
              <w:spacing w:before="0" w:after="0"/>
              <w:rPr>
                <w:rFonts w:cstheme="minorBidi"/>
                <w:b/>
                <w:bCs/>
                <w:color w:val="000000" w:themeColor="text1"/>
                <w:szCs w:val="22"/>
              </w:rPr>
            </w:pPr>
            <w:r w:rsidRPr="003F00C2">
              <w:rPr>
                <w:b/>
                <w:bCs/>
                <w:color w:val="000000" w:themeColor="text1"/>
              </w:rPr>
              <w:t>Comparators</w:t>
            </w:r>
          </w:p>
        </w:tc>
      </w:tr>
      <w:tr w:rsidR="001C501D" w:rsidRPr="0076414C" w14:paraId="097D0997" w14:textId="77777777" w:rsidTr="006F10F7">
        <w:trPr>
          <w:trHeight w:val="26"/>
        </w:trPr>
        <w:tc>
          <w:tcPr>
            <w:tcW w:w="1334" w:type="pct"/>
          </w:tcPr>
          <w:p w14:paraId="3D08D4AC" w14:textId="767CF982" w:rsidR="000B31F7" w:rsidRDefault="000B31F7" w:rsidP="000B31F7">
            <w:pPr>
              <w:pStyle w:val="TableText"/>
              <w:spacing w:before="0" w:after="0"/>
              <w:rPr>
                <w:color w:val="000000" w:themeColor="text1"/>
              </w:rPr>
            </w:pPr>
            <w:r>
              <w:rPr>
                <w:color w:val="000000" w:themeColor="text1"/>
              </w:rPr>
              <w:t>Full study sample</w:t>
            </w:r>
          </w:p>
          <w:p w14:paraId="43C8E64D" w14:textId="5B824ADB" w:rsidR="001C501D" w:rsidRPr="003F00C2" w:rsidRDefault="00BB182F" w:rsidP="00BB182F">
            <w:pPr>
              <w:pStyle w:val="TableText"/>
              <w:spacing w:before="0" w:after="0"/>
              <w:ind w:left="363"/>
              <w:rPr>
                <w:color w:val="000000" w:themeColor="text1"/>
                <w:szCs w:val="22"/>
              </w:rPr>
            </w:pPr>
            <w:r w:rsidRPr="00BB182F">
              <w:rPr>
                <w:color w:val="000000" w:themeColor="text1"/>
              </w:rPr>
              <w:t>N=34,573</w:t>
            </w:r>
          </w:p>
        </w:tc>
        <w:tc>
          <w:tcPr>
            <w:tcW w:w="943" w:type="pct"/>
          </w:tcPr>
          <w:p w14:paraId="7C24790E" w14:textId="2E82FF23" w:rsidR="000B31F7" w:rsidRPr="00BB182F" w:rsidRDefault="000B31F7" w:rsidP="000B31F7">
            <w:pPr>
              <w:pStyle w:val="TableText"/>
              <w:spacing w:before="0" w:after="0"/>
              <w:rPr>
                <w:color w:val="000000" w:themeColor="text1"/>
                <w:szCs w:val="22"/>
              </w:rPr>
            </w:pPr>
            <w:r w:rsidRPr="00BB182F">
              <w:rPr>
                <w:color w:val="000000" w:themeColor="text1"/>
                <w:szCs w:val="22"/>
              </w:rPr>
              <w:t>Any one high risk factor in NICE guidelines</w:t>
            </w:r>
          </w:p>
        </w:tc>
        <w:tc>
          <w:tcPr>
            <w:tcW w:w="545" w:type="pct"/>
            <w:vAlign w:val="center"/>
          </w:tcPr>
          <w:p w14:paraId="5B6D7B21"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30.1% </w:t>
            </w:r>
          </w:p>
          <w:p w14:paraId="0D37F483" w14:textId="620E58B1"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(24.4- 36.4)</w:t>
            </w:r>
          </w:p>
        </w:tc>
        <w:tc>
          <w:tcPr>
            <w:tcW w:w="545" w:type="pct"/>
            <w:vAlign w:val="center"/>
          </w:tcPr>
          <w:p w14:paraId="08E8B257"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96.2% </w:t>
            </w:r>
          </w:p>
          <w:p w14:paraId="36AC0594" w14:textId="3E4F7C8F"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(95.9-96.4)</w:t>
            </w:r>
          </w:p>
        </w:tc>
        <w:tc>
          <w:tcPr>
            <w:tcW w:w="545" w:type="pct"/>
            <w:vAlign w:val="center"/>
          </w:tcPr>
          <w:p w14:paraId="38A70AAF"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5.2% </w:t>
            </w:r>
          </w:p>
          <w:p w14:paraId="005EDD41" w14:textId="65098102"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(4.1- 6.5)</w:t>
            </w:r>
          </w:p>
        </w:tc>
        <w:tc>
          <w:tcPr>
            <w:tcW w:w="545" w:type="pct"/>
            <w:vAlign w:val="center"/>
          </w:tcPr>
          <w:p w14:paraId="6D57EB82"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99.5% </w:t>
            </w:r>
          </w:p>
          <w:p w14:paraId="525ABBF6" w14:textId="1E518A20"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(99.4-99.6)</w:t>
            </w:r>
          </w:p>
        </w:tc>
        <w:tc>
          <w:tcPr>
            <w:tcW w:w="543" w:type="pct"/>
            <w:vAlign w:val="center"/>
          </w:tcPr>
          <w:p w14:paraId="5F0047B9"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95.7% </w:t>
            </w:r>
          </w:p>
          <w:p w14:paraId="7DE9B2CB" w14:textId="7E4BFAE5"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(95.5-95.9)</w:t>
            </w:r>
          </w:p>
        </w:tc>
      </w:tr>
      <w:tr w:rsidR="001C501D" w:rsidRPr="0076414C" w14:paraId="3E6162F9" w14:textId="77777777" w:rsidTr="006F10F7">
        <w:trPr>
          <w:trHeight w:val="20"/>
        </w:trPr>
        <w:tc>
          <w:tcPr>
            <w:tcW w:w="1334" w:type="pct"/>
          </w:tcPr>
          <w:p w14:paraId="5B909896" w14:textId="77777777" w:rsidR="000B31F7" w:rsidRDefault="000B31F7" w:rsidP="000B31F7">
            <w:pPr>
              <w:pStyle w:val="TableText"/>
              <w:spacing w:before="0" w:after="0"/>
              <w:rPr>
                <w:color w:val="000000" w:themeColor="text1"/>
              </w:rPr>
            </w:pPr>
            <w:r>
              <w:rPr>
                <w:color w:val="000000" w:themeColor="text1"/>
              </w:rPr>
              <w:t>Full study sample</w:t>
            </w:r>
          </w:p>
          <w:p w14:paraId="1CE5924A" w14:textId="0B662F09" w:rsidR="001C501D" w:rsidRPr="003F00C2" w:rsidRDefault="00BB182F" w:rsidP="00BB182F">
            <w:pPr>
              <w:pStyle w:val="TableText"/>
              <w:spacing w:before="0" w:after="0"/>
              <w:ind w:left="363"/>
              <w:rPr>
                <w:color w:val="000000" w:themeColor="text1"/>
                <w:szCs w:val="22"/>
              </w:rPr>
            </w:pPr>
            <w:r w:rsidRPr="00BB182F">
              <w:rPr>
                <w:color w:val="000000" w:themeColor="text1"/>
              </w:rPr>
              <w:t>N=34,573</w:t>
            </w:r>
          </w:p>
        </w:tc>
        <w:tc>
          <w:tcPr>
            <w:tcW w:w="943" w:type="pct"/>
          </w:tcPr>
          <w:p w14:paraId="76131AF1" w14:textId="548F9654" w:rsidR="000B31F7" w:rsidRPr="00BB182F" w:rsidRDefault="000B31F7" w:rsidP="000B31F7">
            <w:pPr>
              <w:pStyle w:val="TableText"/>
              <w:spacing w:before="0" w:after="0"/>
              <w:rPr>
                <w:color w:val="000000" w:themeColor="text1"/>
                <w:szCs w:val="22"/>
              </w:rPr>
            </w:pPr>
            <w:r w:rsidRPr="00BB182F">
              <w:rPr>
                <w:color w:val="000000" w:themeColor="text1"/>
                <w:szCs w:val="22"/>
              </w:rPr>
              <w:t>Any two moderate risk factors in NICE guidelines</w:t>
            </w:r>
          </w:p>
        </w:tc>
        <w:tc>
          <w:tcPr>
            <w:tcW w:w="545" w:type="pct"/>
            <w:vAlign w:val="center"/>
          </w:tcPr>
          <w:p w14:paraId="3C9F1759"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17.2% </w:t>
            </w:r>
          </w:p>
          <w:p w14:paraId="2E29EFB5" w14:textId="45392722"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(12.6-22.5)</w:t>
            </w:r>
          </w:p>
        </w:tc>
        <w:tc>
          <w:tcPr>
            <w:tcW w:w="545" w:type="pct"/>
            <w:vAlign w:val="center"/>
          </w:tcPr>
          <w:p w14:paraId="6E86CCE6"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93.2% </w:t>
            </w:r>
          </w:p>
          <w:p w14:paraId="19DDCFE4" w14:textId="7FB9016B"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(93-93.5)</w:t>
            </w:r>
          </w:p>
        </w:tc>
        <w:tc>
          <w:tcPr>
            <w:tcW w:w="545" w:type="pct"/>
            <w:vAlign w:val="center"/>
          </w:tcPr>
          <w:p w14:paraId="5D9E1848"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1.7% </w:t>
            </w:r>
          </w:p>
          <w:p w14:paraId="6D7D2F33" w14:textId="2E39A5BE"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(1.2-2.</w:t>
            </w:r>
            <w:r w:rsidR="00BB182F">
              <w:rPr>
                <w:rFonts w:cstheme="minorBidi"/>
                <w:i/>
                <w:iCs/>
                <w:color w:val="000000" w:themeColor="text1"/>
                <w:szCs w:val="22"/>
              </w:rPr>
              <w:t>0</w:t>
            </w:r>
            <w:r w:rsidRPr="003F00C2">
              <w:rPr>
                <w:rFonts w:cstheme="minorBidi"/>
                <w:i/>
                <w:iCs/>
                <w:color w:val="000000" w:themeColor="text1"/>
                <w:szCs w:val="22"/>
              </w:rPr>
              <w:t>)</w:t>
            </w:r>
          </w:p>
        </w:tc>
        <w:tc>
          <w:tcPr>
            <w:tcW w:w="545" w:type="pct"/>
            <w:vAlign w:val="center"/>
          </w:tcPr>
          <w:p w14:paraId="52BFACB5" w14:textId="50B9AEA4"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99.4%</w:t>
            </w:r>
          </w:p>
          <w:p w14:paraId="76889B67" w14:textId="74983BEB"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(99.3-99.5)</w:t>
            </w:r>
          </w:p>
        </w:tc>
        <w:tc>
          <w:tcPr>
            <w:tcW w:w="543" w:type="pct"/>
            <w:vAlign w:val="center"/>
          </w:tcPr>
          <w:p w14:paraId="48066D11"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92.7% </w:t>
            </w:r>
          </w:p>
          <w:p w14:paraId="71BEC390" w14:textId="42D46310"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(92.4-93</w:t>
            </w:r>
            <w:r w:rsidR="00BB182F">
              <w:rPr>
                <w:rFonts w:cstheme="minorBidi"/>
                <w:i/>
                <w:iCs/>
                <w:color w:val="000000" w:themeColor="text1"/>
                <w:szCs w:val="22"/>
              </w:rPr>
              <w:t>.0</w:t>
            </w:r>
            <w:r w:rsidRPr="003F00C2">
              <w:rPr>
                <w:rFonts w:cstheme="minorBidi"/>
                <w:i/>
                <w:iCs/>
                <w:color w:val="000000" w:themeColor="text1"/>
                <w:szCs w:val="22"/>
              </w:rPr>
              <w:t>)</w:t>
            </w:r>
          </w:p>
        </w:tc>
      </w:tr>
      <w:tr w:rsidR="001C501D" w:rsidRPr="0076414C" w14:paraId="6DC8343F" w14:textId="77777777" w:rsidTr="006F10F7">
        <w:trPr>
          <w:trHeight w:val="20"/>
        </w:trPr>
        <w:tc>
          <w:tcPr>
            <w:tcW w:w="1334" w:type="pct"/>
          </w:tcPr>
          <w:p w14:paraId="46BE15A8" w14:textId="77777777" w:rsidR="000B31F7" w:rsidRDefault="000B31F7" w:rsidP="000B31F7">
            <w:pPr>
              <w:pStyle w:val="TableText"/>
              <w:spacing w:before="0" w:after="0"/>
              <w:rPr>
                <w:color w:val="000000" w:themeColor="text1"/>
              </w:rPr>
            </w:pPr>
            <w:r>
              <w:rPr>
                <w:color w:val="000000" w:themeColor="text1"/>
              </w:rPr>
              <w:t>Full study sample</w:t>
            </w:r>
          </w:p>
          <w:p w14:paraId="391EC772" w14:textId="2EC35B1B" w:rsidR="001C501D" w:rsidRPr="003F00C2" w:rsidRDefault="00BB182F" w:rsidP="00BB182F">
            <w:pPr>
              <w:pStyle w:val="TableText"/>
              <w:spacing w:before="0" w:after="0"/>
              <w:ind w:left="363"/>
              <w:rPr>
                <w:color w:val="000000" w:themeColor="text1"/>
                <w:szCs w:val="22"/>
              </w:rPr>
            </w:pPr>
            <w:r w:rsidRPr="00BB182F">
              <w:rPr>
                <w:color w:val="000000" w:themeColor="text1"/>
              </w:rPr>
              <w:t>N=34,573</w:t>
            </w:r>
          </w:p>
        </w:tc>
        <w:tc>
          <w:tcPr>
            <w:tcW w:w="943" w:type="pct"/>
          </w:tcPr>
          <w:p w14:paraId="75BAA257" w14:textId="1CC5B891" w:rsidR="000B31F7" w:rsidRPr="00BB182F" w:rsidRDefault="000B31F7" w:rsidP="000B31F7">
            <w:pPr>
              <w:pStyle w:val="TableText"/>
              <w:spacing w:before="0" w:after="0"/>
              <w:rPr>
                <w:color w:val="000000" w:themeColor="text1"/>
                <w:szCs w:val="22"/>
              </w:rPr>
            </w:pPr>
            <w:r w:rsidRPr="00BB182F">
              <w:rPr>
                <w:color w:val="000000" w:themeColor="text1"/>
                <w:szCs w:val="22"/>
              </w:rPr>
              <w:t>Any one risk factor in ACOG guidelines</w:t>
            </w:r>
          </w:p>
        </w:tc>
        <w:tc>
          <w:tcPr>
            <w:tcW w:w="545" w:type="pct"/>
            <w:vAlign w:val="center"/>
          </w:tcPr>
          <w:p w14:paraId="52B8711F"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90.8% </w:t>
            </w:r>
          </w:p>
          <w:p w14:paraId="6CD623D9" w14:textId="286D842B"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(86.4-94.1)</w:t>
            </w:r>
          </w:p>
        </w:tc>
        <w:tc>
          <w:tcPr>
            <w:tcW w:w="545" w:type="pct"/>
            <w:vAlign w:val="center"/>
          </w:tcPr>
          <w:p w14:paraId="7FC8556D"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35.7% </w:t>
            </w:r>
          </w:p>
          <w:p w14:paraId="6E2A27F3" w14:textId="39A165BA"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(35.2-36.2)</w:t>
            </w:r>
          </w:p>
        </w:tc>
        <w:tc>
          <w:tcPr>
            <w:tcW w:w="545" w:type="pct"/>
            <w:vAlign w:val="center"/>
          </w:tcPr>
          <w:p w14:paraId="4B4DE80C" w14:textId="5A556DFE"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1</w:t>
            </w:r>
            <w:r w:rsidR="00BB182F">
              <w:rPr>
                <w:rFonts w:cstheme="minorBidi"/>
                <w:i/>
                <w:iCs/>
                <w:color w:val="000000" w:themeColor="text1"/>
                <w:szCs w:val="22"/>
              </w:rPr>
              <w:t>.0</w:t>
            </w:r>
            <w:r w:rsidRPr="003F00C2">
              <w:rPr>
                <w:rFonts w:cstheme="minorBidi"/>
                <w:i/>
                <w:iCs/>
                <w:color w:val="000000" w:themeColor="text1"/>
                <w:szCs w:val="22"/>
              </w:rPr>
              <w:t xml:space="preserve">% </w:t>
            </w:r>
          </w:p>
          <w:p w14:paraId="624B99AD" w14:textId="02D54893"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(0.8- 1.1)</w:t>
            </w:r>
          </w:p>
        </w:tc>
        <w:tc>
          <w:tcPr>
            <w:tcW w:w="545" w:type="pct"/>
            <w:vAlign w:val="center"/>
          </w:tcPr>
          <w:p w14:paraId="618CE959" w14:textId="7E6DAD28"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99.8%</w:t>
            </w:r>
          </w:p>
          <w:p w14:paraId="09535A31" w14:textId="7AB31706"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(99.7-99.9)</w:t>
            </w:r>
          </w:p>
        </w:tc>
        <w:tc>
          <w:tcPr>
            <w:tcW w:w="543" w:type="pct"/>
            <w:vAlign w:val="center"/>
          </w:tcPr>
          <w:p w14:paraId="59399802" w14:textId="77777777" w:rsidR="00BB182F"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 xml:space="preserve">36.1% </w:t>
            </w:r>
          </w:p>
          <w:p w14:paraId="5DB7C332" w14:textId="4D7F026E" w:rsidR="001C501D" w:rsidRPr="003F00C2" w:rsidRDefault="001C501D">
            <w:pPr>
              <w:pStyle w:val="TableText"/>
              <w:spacing w:before="0" w:after="0"/>
              <w:rPr>
                <w:rFonts w:cstheme="minorBidi"/>
                <w:i/>
                <w:iCs/>
                <w:color w:val="000000" w:themeColor="text1"/>
                <w:szCs w:val="22"/>
              </w:rPr>
            </w:pPr>
            <w:r w:rsidRPr="003F00C2">
              <w:rPr>
                <w:rFonts w:cstheme="minorBidi"/>
                <w:i/>
                <w:iCs/>
                <w:color w:val="000000" w:themeColor="text1"/>
                <w:szCs w:val="22"/>
              </w:rPr>
              <w:t>(35.6-36.6)</w:t>
            </w:r>
          </w:p>
        </w:tc>
      </w:tr>
    </w:tbl>
    <w:p w14:paraId="5A262E04" w14:textId="65C10E0B" w:rsidR="007F3952" w:rsidRDefault="007F3952" w:rsidP="007F3952">
      <w:pPr>
        <w:spacing w:line="259" w:lineRule="auto"/>
        <w:rPr>
          <w:rFonts w:ascii="Arial Narrow" w:hAnsi="Arial Narrow"/>
          <w:i/>
          <w:sz w:val="18"/>
          <w:szCs w:val="18"/>
        </w:rPr>
      </w:pPr>
      <w:r w:rsidRPr="00970246">
        <w:rPr>
          <w:rFonts w:ascii="Arial Narrow" w:hAnsi="Arial Narrow"/>
          <w:sz w:val="18"/>
          <w:szCs w:val="18"/>
        </w:rPr>
        <w:t>Abbreviations: FPR=False positive rate;</w:t>
      </w:r>
      <w:r>
        <w:rPr>
          <w:rFonts w:ascii="Arial Narrow" w:hAnsi="Arial Narrow"/>
          <w:sz w:val="18"/>
          <w:szCs w:val="18"/>
        </w:rPr>
        <w:t xml:space="preserve"> NPV=Negative predictive value; </w:t>
      </w:r>
      <w:r w:rsidRPr="00970246">
        <w:rPr>
          <w:rFonts w:ascii="Arial Narrow" w:hAnsi="Arial Narrow"/>
          <w:sz w:val="18"/>
          <w:szCs w:val="18"/>
        </w:rPr>
        <w:t>NR=Not Reported</w:t>
      </w:r>
      <w:r>
        <w:rPr>
          <w:rFonts w:ascii="Arial Narrow" w:hAnsi="Arial Narrow"/>
          <w:sz w:val="18"/>
          <w:szCs w:val="18"/>
        </w:rPr>
        <w:t xml:space="preserve">; </w:t>
      </w:r>
      <w:r w:rsidRPr="000F60A7">
        <w:rPr>
          <w:rFonts w:ascii="Arial Narrow" w:hAnsi="Arial Narrow"/>
          <w:sz w:val="18"/>
          <w:szCs w:val="18"/>
        </w:rPr>
        <w:t xml:space="preserve">ACOG = American College of </w:t>
      </w:r>
      <w:r w:rsidR="003E00FC" w:rsidRPr="003E00FC">
        <w:rPr>
          <w:rFonts w:ascii="Arial Narrow" w:hAnsi="Arial Narrow"/>
          <w:sz w:val="18"/>
          <w:szCs w:val="18"/>
        </w:rPr>
        <w:t>Obstetricians</w:t>
      </w:r>
      <w:r w:rsidRPr="000F60A7">
        <w:rPr>
          <w:rFonts w:ascii="Arial Narrow" w:hAnsi="Arial Narrow"/>
          <w:sz w:val="18"/>
          <w:szCs w:val="18"/>
        </w:rPr>
        <w:t xml:space="preserve"> and </w:t>
      </w:r>
      <w:proofErr w:type="spellStart"/>
      <w:r w:rsidR="003E00FC" w:rsidRPr="003E00FC">
        <w:rPr>
          <w:rFonts w:ascii="Arial Narrow" w:hAnsi="Arial Narrow"/>
          <w:sz w:val="18"/>
          <w:szCs w:val="18"/>
        </w:rPr>
        <w:t>Gynecologists</w:t>
      </w:r>
      <w:proofErr w:type="spellEnd"/>
      <w:r w:rsidRPr="000F60A7">
        <w:rPr>
          <w:rFonts w:ascii="Arial Narrow" w:hAnsi="Arial Narrow"/>
          <w:sz w:val="18"/>
          <w:szCs w:val="18"/>
        </w:rPr>
        <w:t xml:space="preserve">; FMF: </w:t>
      </w:r>
      <w:proofErr w:type="spellStart"/>
      <w:r w:rsidRPr="000F60A7">
        <w:rPr>
          <w:rFonts w:ascii="Arial Narrow" w:hAnsi="Arial Narrow"/>
          <w:sz w:val="18"/>
          <w:szCs w:val="18"/>
        </w:rPr>
        <w:t>Fetal</w:t>
      </w:r>
      <w:proofErr w:type="spellEnd"/>
      <w:r w:rsidRPr="000F60A7">
        <w:rPr>
          <w:rFonts w:ascii="Arial Narrow" w:hAnsi="Arial Narrow"/>
          <w:sz w:val="18"/>
          <w:szCs w:val="18"/>
        </w:rPr>
        <w:t xml:space="preserve"> Medicine Foundation; NICE: National Institute for Health and Excellence; PE: preeclampsia</w:t>
      </w:r>
      <w:r>
        <w:rPr>
          <w:rFonts w:ascii="Arial Narrow" w:hAnsi="Arial Narrow"/>
          <w:i/>
          <w:sz w:val="18"/>
          <w:szCs w:val="18"/>
        </w:rPr>
        <w:t>.</w:t>
      </w:r>
    </w:p>
    <w:p w14:paraId="5C06ACE7" w14:textId="5DC622BD" w:rsidR="00BD1AB5" w:rsidRDefault="00BD1AB5" w:rsidP="004645CC">
      <w:pPr>
        <w:pStyle w:val="Tablenotes0"/>
      </w:pPr>
      <w:r>
        <w:t>Source:</w:t>
      </w:r>
      <w:r w:rsidR="00DE592B">
        <w:t xml:space="preserve"> Table C3</w:t>
      </w:r>
      <w:r w:rsidR="00915D7A">
        <w:t>, p51-52 of the ADAR</w:t>
      </w:r>
    </w:p>
    <w:p w14:paraId="024542DB" w14:textId="369061DA" w:rsidR="001C501D" w:rsidRDefault="001C501D" w:rsidP="00970246">
      <w:pPr>
        <w:pStyle w:val="Heading4"/>
      </w:pPr>
      <w:r w:rsidRPr="001C501D">
        <w:t>O’Gorman et al., 2017</w:t>
      </w:r>
    </w:p>
    <w:p w14:paraId="41B02B6E" w14:textId="29E4B0DD" w:rsidR="001C501D" w:rsidRPr="001C501D" w:rsidRDefault="001C501D" w:rsidP="001C501D">
      <w:pPr>
        <w:pStyle w:val="a-TEXT"/>
      </w:pPr>
      <w:r>
        <w:t xml:space="preserve">The </w:t>
      </w:r>
      <w:r w:rsidR="000170B9">
        <w:t>commentary</w:t>
      </w:r>
      <w:r>
        <w:t xml:space="preserve"> was unable to independently calculate diagnostic performance outcomes from confusion matrices generated from data in the study.</w:t>
      </w:r>
      <w:r w:rsidR="00745A45">
        <w:t xml:space="preserve"> Diagnostic accuracy outcomes as reported in the study are displayed in</w:t>
      </w:r>
      <w:r w:rsidR="007762BE">
        <w:t xml:space="preserve"> Table 14</w:t>
      </w:r>
      <w:r w:rsidR="00AB7AFF">
        <w:t>.</w:t>
      </w:r>
      <w:r w:rsidR="00C06615">
        <w:t xml:space="preserve"> </w:t>
      </w:r>
      <w:r w:rsidR="00C06615" w:rsidRPr="00C06615">
        <w:t xml:space="preserve">The risk cut-off used for the FMF algorithm was not reported in </w:t>
      </w:r>
      <w:r w:rsidR="00C06615">
        <w:t>this study</w:t>
      </w:r>
      <w:r w:rsidR="00C06615" w:rsidRPr="00C06615">
        <w:t xml:space="preserve">, therefore, </w:t>
      </w:r>
      <w:r w:rsidR="007E26CB">
        <w:t>it is unclear</w:t>
      </w:r>
      <w:r w:rsidR="00C06615" w:rsidRPr="00C06615">
        <w:t xml:space="preserve"> if this is the same threshold used in practice and if test accuracy is applicable to the proposed intervention.</w:t>
      </w:r>
    </w:p>
    <w:p w14:paraId="15467F55" w14:textId="54868E2A" w:rsidR="001C501D" w:rsidRDefault="001C501D" w:rsidP="001C501D">
      <w:pPr>
        <w:pStyle w:val="Caption"/>
      </w:pPr>
      <w:bookmarkStart w:id="29" w:name="_Ref134808736"/>
      <w:r>
        <w:t>Table</w:t>
      </w:r>
      <w:r w:rsidR="008976A3">
        <w:t xml:space="preserve"> </w:t>
      </w:r>
      <w:r w:rsidR="007762BE">
        <w:t xml:space="preserve">14 </w:t>
      </w:r>
      <w:bookmarkEnd w:id="29"/>
      <w:r>
        <w:tab/>
        <w:t>Performance of FMF algorithm vs NICE and ACOG criteria from O’Gorman et al., 2017.</w:t>
      </w:r>
    </w:p>
    <w:tbl>
      <w:tblPr>
        <w:tblStyle w:val="TableGrid"/>
        <w:tblW w:w="5000" w:type="pct"/>
        <w:tblCellMar>
          <w:top w:w="57" w:type="dxa"/>
          <w:left w:w="57" w:type="dxa"/>
          <w:bottom w:w="57" w:type="dxa"/>
          <w:right w:w="28" w:type="dxa"/>
        </w:tblCellMar>
        <w:tblLook w:val="04A0" w:firstRow="1" w:lastRow="0" w:firstColumn="1" w:lastColumn="0" w:noHBand="0" w:noVBand="1"/>
      </w:tblPr>
      <w:tblGrid>
        <w:gridCol w:w="2114"/>
        <w:gridCol w:w="1406"/>
        <w:gridCol w:w="1756"/>
        <w:gridCol w:w="1839"/>
        <w:gridCol w:w="1901"/>
      </w:tblGrid>
      <w:tr w:rsidR="00364067" w:rsidRPr="00D152E0" w14:paraId="7179883B" w14:textId="77777777" w:rsidTr="00970246">
        <w:tc>
          <w:tcPr>
            <w:tcW w:w="1172" w:type="pct"/>
            <w:vMerge w:val="restart"/>
            <w:shd w:val="clear" w:color="auto" w:fill="auto"/>
            <w:vAlign w:val="center"/>
          </w:tcPr>
          <w:p w14:paraId="4C8FAFAD" w14:textId="7279E2C7" w:rsidR="00364067" w:rsidRPr="00D152E0" w:rsidRDefault="00F56D38" w:rsidP="005462F5">
            <w:pPr>
              <w:pStyle w:val="TableHeading0"/>
              <w:spacing w:before="0" w:after="0"/>
              <w:jc w:val="center"/>
            </w:pPr>
            <w:r>
              <w:t>Testing</w:t>
            </w:r>
            <w:r w:rsidR="00364067" w:rsidRPr="00D152E0">
              <w:t xml:space="preserve"> method</w:t>
            </w:r>
          </w:p>
        </w:tc>
        <w:tc>
          <w:tcPr>
            <w:tcW w:w="780" w:type="pct"/>
            <w:vMerge w:val="restart"/>
            <w:shd w:val="clear" w:color="auto" w:fill="auto"/>
            <w:vAlign w:val="center"/>
          </w:tcPr>
          <w:p w14:paraId="3F536AD8" w14:textId="3871F91F" w:rsidR="00364067" w:rsidRPr="00D152E0" w:rsidRDefault="00364067" w:rsidP="005462F5">
            <w:pPr>
              <w:pStyle w:val="TableHeading0"/>
              <w:spacing w:before="0" w:after="0"/>
              <w:jc w:val="center"/>
            </w:pPr>
            <w:r w:rsidRPr="00D152E0">
              <w:t>Specificity</w:t>
            </w:r>
          </w:p>
        </w:tc>
        <w:tc>
          <w:tcPr>
            <w:tcW w:w="3048" w:type="pct"/>
            <w:gridSpan w:val="3"/>
            <w:shd w:val="clear" w:color="auto" w:fill="auto"/>
            <w:vAlign w:val="center"/>
          </w:tcPr>
          <w:p w14:paraId="05D5ADCF" w14:textId="3FF679B3" w:rsidR="00364067" w:rsidRPr="005462F5" w:rsidRDefault="00364067" w:rsidP="005462F5">
            <w:pPr>
              <w:pStyle w:val="TableHeading0"/>
              <w:spacing w:before="0" w:after="0"/>
              <w:jc w:val="center"/>
              <w:rPr>
                <w:b w:val="0"/>
              </w:rPr>
            </w:pPr>
            <w:r w:rsidRPr="00D152E0">
              <w:t>Sensitivity</w:t>
            </w:r>
            <w:r>
              <w:t xml:space="preserve"> </w:t>
            </w:r>
            <w:r w:rsidR="005462F5">
              <w:t>(95% CI)</w:t>
            </w:r>
          </w:p>
        </w:tc>
      </w:tr>
      <w:tr w:rsidR="00364067" w14:paraId="7DB93EAD" w14:textId="77777777" w:rsidTr="00970246">
        <w:tc>
          <w:tcPr>
            <w:tcW w:w="1172" w:type="pct"/>
            <w:vMerge/>
            <w:shd w:val="clear" w:color="auto" w:fill="auto"/>
          </w:tcPr>
          <w:p w14:paraId="5E6C3BD0" w14:textId="77777777" w:rsidR="00364067" w:rsidRPr="00BF4605" w:rsidRDefault="00364067" w:rsidP="00364067">
            <w:pPr>
              <w:pStyle w:val="TableText"/>
              <w:spacing w:before="0" w:after="0"/>
            </w:pPr>
          </w:p>
        </w:tc>
        <w:tc>
          <w:tcPr>
            <w:tcW w:w="780" w:type="pct"/>
            <w:vMerge/>
            <w:shd w:val="clear" w:color="auto" w:fill="auto"/>
          </w:tcPr>
          <w:p w14:paraId="793F887B" w14:textId="77777777" w:rsidR="00364067" w:rsidRPr="00BF4605" w:rsidRDefault="00364067" w:rsidP="00364067">
            <w:pPr>
              <w:pStyle w:val="TableText"/>
              <w:spacing w:before="0" w:after="0"/>
            </w:pPr>
          </w:p>
        </w:tc>
        <w:tc>
          <w:tcPr>
            <w:tcW w:w="974" w:type="pct"/>
            <w:shd w:val="clear" w:color="auto" w:fill="auto"/>
          </w:tcPr>
          <w:p w14:paraId="1563C26F" w14:textId="425D985A" w:rsidR="00364067" w:rsidRPr="00010D0F" w:rsidRDefault="00364067" w:rsidP="00364067">
            <w:pPr>
              <w:pStyle w:val="TableText"/>
              <w:spacing w:before="0" w:after="0"/>
              <w:rPr>
                <w:b/>
              </w:rPr>
            </w:pPr>
            <w:r w:rsidRPr="00010D0F">
              <w:rPr>
                <w:b/>
              </w:rPr>
              <w:t xml:space="preserve">&lt;32 weeks </w:t>
            </w:r>
            <w:r w:rsidR="00854CAC">
              <w:rPr>
                <w:b/>
              </w:rPr>
              <w:t>of pregnancy</w:t>
            </w:r>
          </w:p>
        </w:tc>
        <w:tc>
          <w:tcPr>
            <w:tcW w:w="1020" w:type="pct"/>
            <w:shd w:val="clear" w:color="auto" w:fill="auto"/>
          </w:tcPr>
          <w:p w14:paraId="2F26D772" w14:textId="1BAA8552" w:rsidR="00364067" w:rsidRPr="00010D0F" w:rsidRDefault="00364067" w:rsidP="00364067">
            <w:pPr>
              <w:pStyle w:val="TableText"/>
              <w:spacing w:before="0" w:after="0"/>
              <w:rPr>
                <w:b/>
              </w:rPr>
            </w:pPr>
            <w:r w:rsidRPr="00010D0F">
              <w:rPr>
                <w:b/>
              </w:rPr>
              <w:t xml:space="preserve">&lt;37 weeks </w:t>
            </w:r>
            <w:r w:rsidR="00854CAC">
              <w:rPr>
                <w:b/>
              </w:rPr>
              <w:t>of pregnancy</w:t>
            </w:r>
          </w:p>
        </w:tc>
        <w:tc>
          <w:tcPr>
            <w:tcW w:w="1054" w:type="pct"/>
            <w:shd w:val="clear" w:color="auto" w:fill="auto"/>
          </w:tcPr>
          <w:p w14:paraId="0023EFF5" w14:textId="035BBAE5" w:rsidR="00364067" w:rsidRPr="00010D0F" w:rsidRDefault="00364067" w:rsidP="00364067">
            <w:pPr>
              <w:pStyle w:val="TableText"/>
              <w:spacing w:before="0" w:after="0"/>
              <w:rPr>
                <w:b/>
              </w:rPr>
            </w:pPr>
            <w:r w:rsidRPr="00010D0F">
              <w:rPr>
                <w:b/>
              </w:rPr>
              <w:t xml:space="preserve">≥37 weeks </w:t>
            </w:r>
            <w:r w:rsidR="00854CAC">
              <w:rPr>
                <w:b/>
              </w:rPr>
              <w:t>of pregnancy</w:t>
            </w:r>
          </w:p>
        </w:tc>
      </w:tr>
      <w:tr w:rsidR="00364067" w14:paraId="13B28294" w14:textId="77777777" w:rsidTr="005462F5">
        <w:tc>
          <w:tcPr>
            <w:tcW w:w="1172" w:type="pct"/>
          </w:tcPr>
          <w:p w14:paraId="46A6674A" w14:textId="518DE1E6" w:rsidR="00364067" w:rsidRPr="00BF4605" w:rsidRDefault="00364067" w:rsidP="00364067">
            <w:pPr>
              <w:pStyle w:val="TableText"/>
              <w:spacing w:before="0" w:after="0"/>
            </w:pPr>
            <w:r w:rsidRPr="00BF4605">
              <w:t>FMF algorithm</w:t>
            </w:r>
          </w:p>
        </w:tc>
        <w:tc>
          <w:tcPr>
            <w:tcW w:w="780" w:type="pct"/>
          </w:tcPr>
          <w:p w14:paraId="78D54E15" w14:textId="4936F1F7" w:rsidR="00364067" w:rsidRPr="00BF4605" w:rsidRDefault="00364067" w:rsidP="00364067">
            <w:pPr>
              <w:pStyle w:val="TableText"/>
              <w:spacing w:before="0" w:after="0"/>
            </w:pPr>
            <w:r w:rsidRPr="00BF4605">
              <w:t>90</w:t>
            </w:r>
            <w:r w:rsidR="005462F5">
              <w:t>%</w:t>
            </w:r>
          </w:p>
        </w:tc>
        <w:tc>
          <w:tcPr>
            <w:tcW w:w="974" w:type="pct"/>
          </w:tcPr>
          <w:p w14:paraId="2A21716B" w14:textId="2A0CED59" w:rsidR="00364067" w:rsidRPr="00BF4605" w:rsidRDefault="00364067" w:rsidP="00364067">
            <w:pPr>
              <w:pStyle w:val="TableText"/>
              <w:spacing w:before="0" w:after="0"/>
            </w:pPr>
            <w:r w:rsidRPr="00BF4605">
              <w:t>100</w:t>
            </w:r>
            <w:r w:rsidR="005462F5">
              <w:t>%</w:t>
            </w:r>
            <w:r w:rsidRPr="00BF4605">
              <w:t xml:space="preserve"> (80–100)</w:t>
            </w:r>
          </w:p>
        </w:tc>
        <w:tc>
          <w:tcPr>
            <w:tcW w:w="1020" w:type="pct"/>
          </w:tcPr>
          <w:p w14:paraId="6008DE07" w14:textId="35B98AC1" w:rsidR="00364067" w:rsidRPr="00BF4605" w:rsidRDefault="00364067" w:rsidP="00364067">
            <w:pPr>
              <w:pStyle w:val="TableText"/>
              <w:spacing w:before="0" w:after="0"/>
            </w:pPr>
            <w:r w:rsidRPr="00BF4605">
              <w:t>75</w:t>
            </w:r>
            <w:r w:rsidR="005462F5">
              <w:t>%</w:t>
            </w:r>
            <w:r w:rsidRPr="00BF4605">
              <w:t xml:space="preserve"> (62–85)</w:t>
            </w:r>
          </w:p>
        </w:tc>
        <w:tc>
          <w:tcPr>
            <w:tcW w:w="1054" w:type="pct"/>
          </w:tcPr>
          <w:p w14:paraId="4F3A894F" w14:textId="28974DB6" w:rsidR="00364067" w:rsidRPr="00BF4605" w:rsidRDefault="00364067" w:rsidP="00364067">
            <w:pPr>
              <w:pStyle w:val="TableText"/>
              <w:spacing w:before="0" w:after="0"/>
            </w:pPr>
            <w:r w:rsidRPr="00BF4605">
              <w:t>43</w:t>
            </w:r>
            <w:r w:rsidR="005462F5">
              <w:t>%</w:t>
            </w:r>
            <w:r w:rsidRPr="00BF4605">
              <w:t xml:space="preserve"> (35–50)</w:t>
            </w:r>
          </w:p>
        </w:tc>
      </w:tr>
      <w:tr w:rsidR="00364067" w14:paraId="488D3D99" w14:textId="77777777" w:rsidTr="005462F5">
        <w:tc>
          <w:tcPr>
            <w:tcW w:w="1172" w:type="pct"/>
          </w:tcPr>
          <w:p w14:paraId="42482A4D" w14:textId="70635E88" w:rsidR="00364067" w:rsidRPr="00BF4605" w:rsidRDefault="00364067" w:rsidP="00364067">
            <w:pPr>
              <w:pStyle w:val="TableText"/>
              <w:spacing w:before="0" w:after="0"/>
            </w:pPr>
            <w:r w:rsidRPr="00BF4605">
              <w:t>NICE guidelines</w:t>
            </w:r>
          </w:p>
        </w:tc>
        <w:tc>
          <w:tcPr>
            <w:tcW w:w="780" w:type="pct"/>
          </w:tcPr>
          <w:p w14:paraId="658BB133" w14:textId="5BED6B78" w:rsidR="00364067" w:rsidRPr="00BF4605" w:rsidRDefault="00364067" w:rsidP="00364067">
            <w:pPr>
              <w:pStyle w:val="TableText"/>
              <w:spacing w:before="0" w:after="0"/>
            </w:pPr>
            <w:r w:rsidRPr="00BF4605">
              <w:t>89.8</w:t>
            </w:r>
            <w:r w:rsidR="005462F5">
              <w:t>%</w:t>
            </w:r>
          </w:p>
        </w:tc>
        <w:tc>
          <w:tcPr>
            <w:tcW w:w="974" w:type="pct"/>
          </w:tcPr>
          <w:p w14:paraId="3B19DA94" w14:textId="4CFA4400" w:rsidR="00364067" w:rsidRPr="00BF4605" w:rsidRDefault="00364067" w:rsidP="00364067">
            <w:pPr>
              <w:pStyle w:val="TableText"/>
              <w:spacing w:before="0" w:after="0"/>
            </w:pPr>
            <w:r w:rsidRPr="00BF4605">
              <w:t>41</w:t>
            </w:r>
            <w:r w:rsidR="005462F5">
              <w:t>%</w:t>
            </w:r>
            <w:r w:rsidRPr="00BF4605">
              <w:t xml:space="preserve"> (18–67)</w:t>
            </w:r>
          </w:p>
        </w:tc>
        <w:tc>
          <w:tcPr>
            <w:tcW w:w="1020" w:type="pct"/>
          </w:tcPr>
          <w:p w14:paraId="69E32C91" w14:textId="5450AAE9" w:rsidR="00364067" w:rsidRPr="00BF4605" w:rsidRDefault="00364067" w:rsidP="00364067">
            <w:pPr>
              <w:pStyle w:val="TableText"/>
              <w:spacing w:before="0" w:after="0"/>
            </w:pPr>
            <w:r w:rsidRPr="00BF4605">
              <w:t>39</w:t>
            </w:r>
            <w:r w:rsidR="005462F5">
              <w:t>%</w:t>
            </w:r>
            <w:r w:rsidRPr="00BF4605">
              <w:t xml:space="preserve"> (27–53)</w:t>
            </w:r>
          </w:p>
        </w:tc>
        <w:tc>
          <w:tcPr>
            <w:tcW w:w="1054" w:type="pct"/>
          </w:tcPr>
          <w:p w14:paraId="4B31977C" w14:textId="4F8D16EF" w:rsidR="00364067" w:rsidRPr="00BF4605" w:rsidRDefault="00364067" w:rsidP="00364067">
            <w:pPr>
              <w:pStyle w:val="TableText"/>
              <w:spacing w:before="0" w:after="0"/>
            </w:pPr>
            <w:r w:rsidRPr="00BF4605">
              <w:t>34</w:t>
            </w:r>
            <w:r w:rsidR="005462F5">
              <w:t>%</w:t>
            </w:r>
            <w:r w:rsidRPr="00BF4605">
              <w:t xml:space="preserve"> (27–41)</w:t>
            </w:r>
          </w:p>
        </w:tc>
      </w:tr>
      <w:tr w:rsidR="00364067" w14:paraId="7E97E65B" w14:textId="77777777" w:rsidTr="005462F5">
        <w:tc>
          <w:tcPr>
            <w:tcW w:w="1172" w:type="pct"/>
          </w:tcPr>
          <w:p w14:paraId="6D80F058" w14:textId="324A7821" w:rsidR="00364067" w:rsidRPr="00BF4605" w:rsidRDefault="00364067" w:rsidP="00364067">
            <w:pPr>
              <w:pStyle w:val="TableText"/>
              <w:spacing w:before="0" w:after="0"/>
            </w:pPr>
            <w:r w:rsidRPr="00BF4605">
              <w:t>ACOG recommendations</w:t>
            </w:r>
          </w:p>
        </w:tc>
        <w:tc>
          <w:tcPr>
            <w:tcW w:w="780" w:type="pct"/>
          </w:tcPr>
          <w:p w14:paraId="0691510A" w14:textId="3E40B329" w:rsidR="00364067" w:rsidRPr="00BF4605" w:rsidRDefault="00364067" w:rsidP="00364067">
            <w:pPr>
              <w:pStyle w:val="TableText"/>
              <w:spacing w:before="0" w:after="0"/>
            </w:pPr>
            <w:r w:rsidRPr="00BF4605">
              <w:t>35.8</w:t>
            </w:r>
            <w:r w:rsidR="005462F5">
              <w:t>%</w:t>
            </w:r>
          </w:p>
        </w:tc>
        <w:tc>
          <w:tcPr>
            <w:tcW w:w="974" w:type="pct"/>
          </w:tcPr>
          <w:p w14:paraId="0FDEA3DC" w14:textId="380F9795" w:rsidR="00364067" w:rsidRPr="00BF4605" w:rsidRDefault="00364067" w:rsidP="00364067">
            <w:pPr>
              <w:pStyle w:val="TableText"/>
              <w:spacing w:before="0" w:after="0"/>
            </w:pPr>
            <w:r w:rsidRPr="00BF4605">
              <w:t>94</w:t>
            </w:r>
            <w:r w:rsidR="005462F5">
              <w:t>%</w:t>
            </w:r>
            <w:r w:rsidRPr="00BF4605">
              <w:t xml:space="preserve"> (71–100)</w:t>
            </w:r>
          </w:p>
        </w:tc>
        <w:tc>
          <w:tcPr>
            <w:tcW w:w="1020" w:type="pct"/>
          </w:tcPr>
          <w:p w14:paraId="6B40DD60" w14:textId="3D67DB31" w:rsidR="00364067" w:rsidRPr="00BF4605" w:rsidRDefault="00364067" w:rsidP="00364067">
            <w:pPr>
              <w:pStyle w:val="TableText"/>
              <w:spacing w:before="0" w:after="0"/>
            </w:pPr>
            <w:r w:rsidRPr="00BF4605">
              <w:t>90</w:t>
            </w:r>
            <w:r w:rsidR="005462F5">
              <w:t>%</w:t>
            </w:r>
            <w:r w:rsidRPr="00BF4605">
              <w:t xml:space="preserve"> (79–96)</w:t>
            </w:r>
          </w:p>
        </w:tc>
        <w:tc>
          <w:tcPr>
            <w:tcW w:w="1054" w:type="pct"/>
          </w:tcPr>
          <w:p w14:paraId="32799D64" w14:textId="72B5A42A" w:rsidR="00364067" w:rsidRPr="00BF4605" w:rsidRDefault="00364067" w:rsidP="00364067">
            <w:pPr>
              <w:pStyle w:val="TableText"/>
              <w:spacing w:before="0" w:after="0"/>
            </w:pPr>
            <w:r w:rsidRPr="00BF4605">
              <w:t>89</w:t>
            </w:r>
            <w:r w:rsidR="005462F5">
              <w:t>%</w:t>
            </w:r>
            <w:r w:rsidRPr="00BF4605">
              <w:t xml:space="preserve"> (84–94)</w:t>
            </w:r>
          </w:p>
        </w:tc>
      </w:tr>
    </w:tbl>
    <w:p w14:paraId="50DD842E" w14:textId="40BA0CB0" w:rsidR="005A11DB" w:rsidRDefault="005A11DB" w:rsidP="00BD1AB5">
      <w:pPr>
        <w:pStyle w:val="Tablenotes0"/>
      </w:pPr>
      <w:r>
        <w:t>Abbreviations</w:t>
      </w:r>
      <w:r w:rsidR="00F24D00">
        <w:t xml:space="preserve">: </w:t>
      </w:r>
      <w:r w:rsidR="00F24D00" w:rsidRPr="000F60A7">
        <w:rPr>
          <w:szCs w:val="18"/>
        </w:rPr>
        <w:t>ACOG=</w:t>
      </w:r>
      <w:r w:rsidR="008C5FB7" w:rsidRPr="008C5FB7">
        <w:t xml:space="preserve"> </w:t>
      </w:r>
      <w:r w:rsidR="00F24D00" w:rsidRPr="000F60A7">
        <w:rPr>
          <w:szCs w:val="18"/>
        </w:rPr>
        <w:t xml:space="preserve">American College of </w:t>
      </w:r>
      <w:r w:rsidR="008C5FB7">
        <w:t>Obstetricians</w:t>
      </w:r>
      <w:r w:rsidR="00F24D00" w:rsidRPr="000F60A7">
        <w:rPr>
          <w:szCs w:val="18"/>
        </w:rPr>
        <w:t xml:space="preserve"> and </w:t>
      </w:r>
      <w:proofErr w:type="spellStart"/>
      <w:r w:rsidR="008C5FB7">
        <w:t>Gynecologists</w:t>
      </w:r>
      <w:proofErr w:type="spellEnd"/>
      <w:r w:rsidR="00F24D00" w:rsidRPr="000F60A7">
        <w:rPr>
          <w:szCs w:val="18"/>
        </w:rPr>
        <w:t>; FMF</w:t>
      </w:r>
      <w:r w:rsidR="00BE71D7">
        <w:rPr>
          <w:szCs w:val="18"/>
        </w:rPr>
        <w:t>=</w:t>
      </w:r>
      <w:proofErr w:type="spellStart"/>
      <w:r w:rsidR="00F24D00" w:rsidRPr="000F60A7">
        <w:rPr>
          <w:szCs w:val="18"/>
        </w:rPr>
        <w:t>Fetal</w:t>
      </w:r>
      <w:proofErr w:type="spellEnd"/>
      <w:r w:rsidR="00F24D00" w:rsidRPr="000F60A7">
        <w:rPr>
          <w:szCs w:val="18"/>
        </w:rPr>
        <w:t xml:space="preserve"> Medicine Foundation; NICE</w:t>
      </w:r>
      <w:r w:rsidR="00BD1C36">
        <w:rPr>
          <w:szCs w:val="18"/>
        </w:rPr>
        <w:t>=</w:t>
      </w:r>
      <w:r w:rsidR="00F24D00" w:rsidRPr="000F60A7">
        <w:rPr>
          <w:szCs w:val="18"/>
        </w:rPr>
        <w:t>National Institute for Health and Excellence</w:t>
      </w:r>
      <w:r w:rsidR="00BE71D7">
        <w:rPr>
          <w:szCs w:val="18"/>
        </w:rPr>
        <w:t>; CI=</w:t>
      </w:r>
      <w:r w:rsidR="00BD1C36">
        <w:rPr>
          <w:szCs w:val="18"/>
        </w:rPr>
        <w:t>confidence interval</w:t>
      </w:r>
    </w:p>
    <w:p w14:paraId="4315D37A" w14:textId="430CA9DB" w:rsidR="00BD1AB5" w:rsidRDefault="00BD1AB5" w:rsidP="00BD1AB5">
      <w:pPr>
        <w:pStyle w:val="Tablenotes0"/>
      </w:pPr>
      <w:r>
        <w:t>Source:</w:t>
      </w:r>
      <w:r w:rsidR="00C75587">
        <w:t xml:space="preserve"> Table </w:t>
      </w:r>
      <w:r w:rsidR="00B452D2">
        <w:t xml:space="preserve">14, </w:t>
      </w:r>
      <w:r w:rsidR="00805D1B">
        <w:t>p50 of the ADAR</w:t>
      </w:r>
      <w:r w:rsidR="0014264E">
        <w:t>.</w:t>
      </w:r>
    </w:p>
    <w:p w14:paraId="30CA8A12" w14:textId="6BD39AEF" w:rsidR="00745A45" w:rsidRDefault="00745A45" w:rsidP="00970246">
      <w:pPr>
        <w:pStyle w:val="Heading4"/>
      </w:pPr>
      <w:r>
        <w:t>Tan</w:t>
      </w:r>
      <w:r w:rsidRPr="001C501D">
        <w:t xml:space="preserve"> et al., 201</w:t>
      </w:r>
      <w:r w:rsidR="004C2643">
        <w:t>7</w:t>
      </w:r>
    </w:p>
    <w:p w14:paraId="66D1B286" w14:textId="77668173" w:rsidR="001C501D" w:rsidRPr="00FA3791" w:rsidRDefault="00711402" w:rsidP="00CB55A1">
      <w:pPr>
        <w:pStyle w:val="a-TEXT"/>
      </w:pPr>
      <w:r w:rsidRPr="00711402">
        <w:t xml:space="preserve">The </w:t>
      </w:r>
      <w:r w:rsidR="000170B9">
        <w:t>commentary</w:t>
      </w:r>
      <w:r w:rsidRPr="00711402">
        <w:t xml:space="preserve"> was unable to independently calculate diagnostic performance outcomes from confusion matrices generated from data in the study. </w:t>
      </w:r>
      <w:r>
        <w:t>Diagnostic accuracy outcomes as reported in the study are displayed in</w:t>
      </w:r>
      <w:r w:rsidR="007762BE">
        <w:t xml:space="preserve"> Table 15</w:t>
      </w:r>
      <w:r w:rsidR="00AB7AFF">
        <w:t>.</w:t>
      </w:r>
    </w:p>
    <w:p w14:paraId="11B20E3E" w14:textId="7C504F85" w:rsidR="00C50FCB" w:rsidRDefault="00C50FCB" w:rsidP="00C50FCB">
      <w:pPr>
        <w:pStyle w:val="Caption"/>
      </w:pPr>
      <w:bookmarkStart w:id="30" w:name="_Ref141872110"/>
      <w:r>
        <w:lastRenderedPageBreak/>
        <w:t xml:space="preserve">Table </w:t>
      </w:r>
      <w:r w:rsidR="007762BE">
        <w:t xml:space="preserve">15 </w:t>
      </w:r>
      <w:bookmarkEnd w:id="30"/>
      <w:r w:rsidRPr="00944DE2">
        <w:t>Performance of FMF risk calculator versus NICE criteria</w:t>
      </w:r>
      <w:r w:rsidR="00F40764">
        <w:t xml:space="preserve"> from Tan et al., 201</w:t>
      </w:r>
      <w:r w:rsidR="004C2643">
        <w:t>7</w:t>
      </w:r>
      <w:r w:rsidRPr="00944DE2">
        <w:t>.</w:t>
      </w:r>
    </w:p>
    <w:tbl>
      <w:tblPr>
        <w:tblStyle w:val="TableGrid"/>
        <w:tblW w:w="4950" w:type="pct"/>
        <w:tblCellMar>
          <w:top w:w="57" w:type="dxa"/>
          <w:left w:w="57" w:type="dxa"/>
          <w:bottom w:w="57" w:type="dxa"/>
          <w:right w:w="28" w:type="dxa"/>
        </w:tblCellMar>
        <w:tblLook w:val="04A0" w:firstRow="1" w:lastRow="0" w:firstColumn="1" w:lastColumn="0" w:noHBand="0" w:noVBand="1"/>
      </w:tblPr>
      <w:tblGrid>
        <w:gridCol w:w="4535"/>
        <w:gridCol w:w="1417"/>
        <w:gridCol w:w="1558"/>
        <w:gridCol w:w="1416"/>
      </w:tblGrid>
      <w:tr w:rsidR="006D3F31" w:rsidRPr="00D152E0" w14:paraId="32F405DF" w14:textId="12411011" w:rsidTr="00970246">
        <w:tc>
          <w:tcPr>
            <w:tcW w:w="2540" w:type="pct"/>
            <w:shd w:val="clear" w:color="auto" w:fill="auto"/>
            <w:vAlign w:val="center"/>
          </w:tcPr>
          <w:p w14:paraId="60ED3BE2" w14:textId="249DFD1A" w:rsidR="006D3F31" w:rsidRPr="00D152E0" w:rsidRDefault="00F56D38">
            <w:pPr>
              <w:pStyle w:val="TableHeading0"/>
              <w:spacing w:before="0" w:after="0"/>
            </w:pPr>
            <w:r>
              <w:t>Testing</w:t>
            </w:r>
            <w:r w:rsidR="006D3F31" w:rsidRPr="00D152E0">
              <w:t xml:space="preserve"> method</w:t>
            </w:r>
          </w:p>
        </w:tc>
        <w:tc>
          <w:tcPr>
            <w:tcW w:w="794" w:type="pct"/>
            <w:shd w:val="clear" w:color="auto" w:fill="auto"/>
            <w:vAlign w:val="center"/>
          </w:tcPr>
          <w:p w14:paraId="04343C4F" w14:textId="77777777" w:rsidR="00010D0F" w:rsidRDefault="00010D0F" w:rsidP="00010D0F">
            <w:pPr>
              <w:pStyle w:val="TableHeading0"/>
              <w:spacing w:before="0" w:after="0"/>
            </w:pPr>
            <w:r w:rsidRPr="00D152E0">
              <w:t>Sensitivity</w:t>
            </w:r>
            <w:r>
              <w:t xml:space="preserve"> </w:t>
            </w:r>
          </w:p>
          <w:p w14:paraId="081F4703" w14:textId="66CDE76D" w:rsidR="006D3F31" w:rsidRPr="00D152E0" w:rsidRDefault="00010D0F">
            <w:pPr>
              <w:pStyle w:val="TableHeading0"/>
              <w:spacing w:before="0" w:after="0"/>
            </w:pPr>
            <w:r>
              <w:t>(95% CI)</w:t>
            </w:r>
          </w:p>
        </w:tc>
        <w:tc>
          <w:tcPr>
            <w:tcW w:w="873" w:type="pct"/>
            <w:shd w:val="clear" w:color="auto" w:fill="auto"/>
            <w:vAlign w:val="center"/>
          </w:tcPr>
          <w:p w14:paraId="272E7EE6" w14:textId="47960A61" w:rsidR="006D3F31" w:rsidRPr="00D152E0" w:rsidRDefault="00376C13">
            <w:pPr>
              <w:pStyle w:val="TableHeading0"/>
              <w:spacing w:before="0" w:after="0"/>
            </w:pPr>
            <w:r>
              <w:t>No a</w:t>
            </w:r>
            <w:r w:rsidRPr="00376C13">
              <w:t>djustment</w:t>
            </w:r>
            <w:r>
              <w:t xml:space="preserve"> </w:t>
            </w:r>
            <w:r w:rsidRPr="00376C13">
              <w:t>for effect of aspirin</w:t>
            </w:r>
            <w:r w:rsidR="00B76CE3">
              <w:t xml:space="preserve"> (95% CI)</w:t>
            </w:r>
          </w:p>
        </w:tc>
        <w:tc>
          <w:tcPr>
            <w:tcW w:w="794" w:type="pct"/>
            <w:shd w:val="clear" w:color="auto" w:fill="auto"/>
            <w:vAlign w:val="center"/>
          </w:tcPr>
          <w:p w14:paraId="138F87F5" w14:textId="0B4B500F" w:rsidR="006D3F31" w:rsidRPr="00D152E0" w:rsidRDefault="004272AB" w:rsidP="00376C13">
            <w:pPr>
              <w:pStyle w:val="TableHeading0"/>
              <w:spacing w:before="0" w:after="0"/>
            </w:pPr>
            <w:r w:rsidRPr="00376C13">
              <w:t>Adjustment</w:t>
            </w:r>
            <w:r w:rsidR="00376C13">
              <w:t xml:space="preserve"> </w:t>
            </w:r>
            <w:r w:rsidRPr="00376C13">
              <w:t>for effect of aspirin*</w:t>
            </w:r>
            <w:r w:rsidR="00B76CE3">
              <w:t xml:space="preserve"> (95% CI</w:t>
            </w:r>
            <w:r w:rsidR="00494F5E">
              <w:t>)</w:t>
            </w:r>
          </w:p>
        </w:tc>
      </w:tr>
      <w:tr w:rsidR="00110118" w:rsidRPr="00BF4605" w14:paraId="3137D957" w14:textId="0B2E50F6" w:rsidTr="00970246">
        <w:tc>
          <w:tcPr>
            <w:tcW w:w="2540" w:type="pct"/>
            <w:shd w:val="clear" w:color="auto" w:fill="auto"/>
          </w:tcPr>
          <w:p w14:paraId="7691DA12" w14:textId="77777777" w:rsidR="00110118" w:rsidRPr="00BF4605" w:rsidRDefault="00110118" w:rsidP="00110118">
            <w:pPr>
              <w:pStyle w:val="TableText"/>
              <w:spacing w:before="0" w:after="0"/>
            </w:pPr>
            <w:r w:rsidRPr="00BF4605">
              <w:t>FMF algorithm</w:t>
            </w:r>
          </w:p>
        </w:tc>
        <w:tc>
          <w:tcPr>
            <w:tcW w:w="794" w:type="pct"/>
            <w:shd w:val="clear" w:color="auto" w:fill="auto"/>
          </w:tcPr>
          <w:p w14:paraId="5467E7E3" w14:textId="095EAA84" w:rsidR="00110118" w:rsidRPr="00BF4605" w:rsidRDefault="00110118" w:rsidP="00110118">
            <w:pPr>
              <w:pStyle w:val="TableText"/>
              <w:spacing w:before="0" w:after="0"/>
            </w:pPr>
            <w:r w:rsidRPr="00E37A5F">
              <w:t>82.4</w:t>
            </w:r>
            <w:r>
              <w:t xml:space="preserve"> (</w:t>
            </w:r>
            <w:r w:rsidRPr="00E37A5F">
              <w:t>76.1–88.7</w:t>
            </w:r>
            <w:r>
              <w:t>)</w:t>
            </w:r>
          </w:p>
        </w:tc>
        <w:tc>
          <w:tcPr>
            <w:tcW w:w="873" w:type="pct"/>
            <w:shd w:val="clear" w:color="auto" w:fill="auto"/>
          </w:tcPr>
          <w:p w14:paraId="68348346" w14:textId="77777777" w:rsidR="00110118" w:rsidRPr="00BF4605" w:rsidRDefault="00110118" w:rsidP="00110118">
            <w:pPr>
              <w:pStyle w:val="TableText"/>
              <w:spacing w:before="0" w:after="0"/>
            </w:pPr>
          </w:p>
        </w:tc>
        <w:tc>
          <w:tcPr>
            <w:tcW w:w="794" w:type="pct"/>
            <w:shd w:val="clear" w:color="auto" w:fill="auto"/>
          </w:tcPr>
          <w:p w14:paraId="0147C26F" w14:textId="77777777" w:rsidR="00110118" w:rsidRPr="00BF4605" w:rsidRDefault="00110118" w:rsidP="00110118">
            <w:pPr>
              <w:pStyle w:val="TableText"/>
              <w:spacing w:before="0" w:after="0"/>
            </w:pPr>
          </w:p>
        </w:tc>
      </w:tr>
      <w:tr w:rsidR="00110118" w:rsidRPr="00BF4605" w14:paraId="369E2584" w14:textId="6DE7E7FC" w:rsidTr="00970246">
        <w:tc>
          <w:tcPr>
            <w:tcW w:w="2540" w:type="pct"/>
            <w:shd w:val="clear" w:color="auto" w:fill="auto"/>
          </w:tcPr>
          <w:p w14:paraId="4699AB55" w14:textId="77777777" w:rsidR="00110118" w:rsidRPr="00BF4605" w:rsidRDefault="00110118" w:rsidP="00110118">
            <w:pPr>
              <w:pStyle w:val="TableText"/>
              <w:spacing w:before="0" w:after="0"/>
            </w:pPr>
            <w:r w:rsidRPr="00BF4605">
              <w:t>NICE guidelines</w:t>
            </w:r>
          </w:p>
        </w:tc>
        <w:tc>
          <w:tcPr>
            <w:tcW w:w="794" w:type="pct"/>
            <w:shd w:val="clear" w:color="auto" w:fill="auto"/>
          </w:tcPr>
          <w:p w14:paraId="104EB5B9" w14:textId="674FF4C7" w:rsidR="00110118" w:rsidRPr="00BF4605" w:rsidRDefault="00110118" w:rsidP="00110118">
            <w:pPr>
              <w:pStyle w:val="TableText"/>
              <w:spacing w:before="0" w:after="0"/>
            </w:pPr>
            <w:r w:rsidRPr="00E37A5F">
              <w:t>40.8</w:t>
            </w:r>
            <w:r>
              <w:t xml:space="preserve"> (</w:t>
            </w:r>
            <w:r w:rsidRPr="00E37A5F">
              <w:t>32.8–48.</w:t>
            </w:r>
            <w:r>
              <w:t>9)</w:t>
            </w:r>
          </w:p>
        </w:tc>
        <w:tc>
          <w:tcPr>
            <w:tcW w:w="873" w:type="pct"/>
            <w:shd w:val="clear" w:color="auto" w:fill="auto"/>
          </w:tcPr>
          <w:p w14:paraId="73FAF389" w14:textId="77777777" w:rsidR="00110118" w:rsidRPr="00BF4605" w:rsidRDefault="00110118" w:rsidP="00110118">
            <w:pPr>
              <w:pStyle w:val="TableText"/>
              <w:spacing w:before="0" w:after="0"/>
            </w:pPr>
          </w:p>
        </w:tc>
        <w:tc>
          <w:tcPr>
            <w:tcW w:w="794" w:type="pct"/>
            <w:shd w:val="clear" w:color="auto" w:fill="auto"/>
          </w:tcPr>
          <w:p w14:paraId="6C4C79E5" w14:textId="77777777" w:rsidR="00110118" w:rsidRPr="00BF4605" w:rsidRDefault="00110118" w:rsidP="00110118">
            <w:pPr>
              <w:pStyle w:val="TableText"/>
              <w:spacing w:before="0" w:after="0"/>
            </w:pPr>
          </w:p>
        </w:tc>
      </w:tr>
      <w:tr w:rsidR="003D3832" w:rsidRPr="00BF4605" w14:paraId="69AF87ED" w14:textId="77777777" w:rsidTr="00970246">
        <w:tc>
          <w:tcPr>
            <w:tcW w:w="2540" w:type="pct"/>
            <w:shd w:val="clear" w:color="auto" w:fill="auto"/>
          </w:tcPr>
          <w:p w14:paraId="110A0928" w14:textId="1D4D2333" w:rsidR="003D3832" w:rsidRPr="00BF4605" w:rsidRDefault="003D3832" w:rsidP="003D3832">
            <w:pPr>
              <w:pStyle w:val="TableText"/>
              <w:spacing w:before="0" w:after="0"/>
            </w:pPr>
            <w:r w:rsidRPr="006D3F31">
              <w:rPr>
                <w:szCs w:val="22"/>
              </w:rPr>
              <w:t xml:space="preserve">Difference in detection rates between methods (% (95% CI)) </w:t>
            </w:r>
          </w:p>
        </w:tc>
        <w:tc>
          <w:tcPr>
            <w:tcW w:w="794" w:type="pct"/>
            <w:shd w:val="clear" w:color="auto" w:fill="auto"/>
          </w:tcPr>
          <w:p w14:paraId="490DEE9D" w14:textId="77777777" w:rsidR="003D3832" w:rsidRPr="00E37A5F" w:rsidRDefault="003D3832" w:rsidP="003D3832">
            <w:pPr>
              <w:pStyle w:val="TableText"/>
              <w:spacing w:before="0" w:after="0"/>
            </w:pPr>
          </w:p>
        </w:tc>
        <w:tc>
          <w:tcPr>
            <w:tcW w:w="873" w:type="pct"/>
            <w:shd w:val="clear" w:color="auto" w:fill="auto"/>
          </w:tcPr>
          <w:p w14:paraId="3687E7E2" w14:textId="334C154C" w:rsidR="003D3832" w:rsidRPr="00BF4605" w:rsidRDefault="003D3832" w:rsidP="003D3832">
            <w:pPr>
              <w:pStyle w:val="TableText"/>
              <w:spacing w:before="0" w:after="0"/>
            </w:pPr>
            <w:r w:rsidRPr="003D3832">
              <w:t xml:space="preserve">41.6 (33.2–49.9) </w:t>
            </w:r>
          </w:p>
        </w:tc>
        <w:tc>
          <w:tcPr>
            <w:tcW w:w="794" w:type="pct"/>
            <w:shd w:val="clear" w:color="auto" w:fill="auto"/>
          </w:tcPr>
          <w:p w14:paraId="16D7A3B1" w14:textId="08D9E02D" w:rsidR="003D3832" w:rsidRPr="00BF4605" w:rsidRDefault="003D3832" w:rsidP="003D3832">
            <w:pPr>
              <w:pStyle w:val="TableText"/>
              <w:spacing w:before="0" w:after="0"/>
            </w:pPr>
            <w:r w:rsidRPr="003D3832">
              <w:t xml:space="preserve">35.1 (25.1–45.0) </w:t>
            </w:r>
          </w:p>
        </w:tc>
      </w:tr>
    </w:tbl>
    <w:p w14:paraId="39173382" w14:textId="125472F8" w:rsidR="004B15AB" w:rsidRDefault="004B15AB" w:rsidP="004B15AB">
      <w:pPr>
        <w:pStyle w:val="Tablenotes0"/>
      </w:pPr>
      <w:r>
        <w:t xml:space="preserve">Abbreviations: </w:t>
      </w:r>
      <w:r w:rsidR="00F14907">
        <w:t>FMF=</w:t>
      </w:r>
      <w:proofErr w:type="spellStart"/>
      <w:r w:rsidR="00F14907">
        <w:t>Fetal</w:t>
      </w:r>
      <w:proofErr w:type="spellEnd"/>
      <w:r w:rsidR="00F14907">
        <w:t xml:space="preserve"> Medicine Foundation risk calculator; </w:t>
      </w:r>
      <w:r w:rsidR="00B76CE3" w:rsidRPr="000F60A7">
        <w:rPr>
          <w:szCs w:val="18"/>
        </w:rPr>
        <w:t>NICE</w:t>
      </w:r>
      <w:r w:rsidR="00B76CE3">
        <w:rPr>
          <w:szCs w:val="18"/>
        </w:rPr>
        <w:t>=</w:t>
      </w:r>
      <w:r w:rsidR="00B76CE3" w:rsidRPr="000F60A7">
        <w:rPr>
          <w:szCs w:val="18"/>
        </w:rPr>
        <w:t>National Institute for Health and Excellence</w:t>
      </w:r>
      <w:r w:rsidR="00B76CE3">
        <w:t xml:space="preserve">; </w:t>
      </w:r>
      <w:r>
        <w:t>CI=confidence interval; PE=preeclampsia</w:t>
      </w:r>
    </w:p>
    <w:p w14:paraId="1AC55E26" w14:textId="5242B37E" w:rsidR="005A5891" w:rsidRDefault="00376C13" w:rsidP="003D3832">
      <w:pPr>
        <w:pStyle w:val="Tablenotes0"/>
      </w:pPr>
      <w:r w:rsidRPr="00376C13">
        <w:t xml:space="preserve">*Assumes that aspirin reduces risk of preterm pre-eclampsia by 60%. </w:t>
      </w:r>
    </w:p>
    <w:p w14:paraId="31ECF6CE" w14:textId="0993045D" w:rsidR="00BD1AB5" w:rsidRDefault="00BD1AB5" w:rsidP="00BD1AB5">
      <w:pPr>
        <w:pStyle w:val="Tablenotes0"/>
      </w:pPr>
      <w:r>
        <w:t>Source:</w:t>
      </w:r>
      <w:r w:rsidR="00C338E4">
        <w:t xml:space="preserve"> Table C4, </w:t>
      </w:r>
      <w:r w:rsidR="00B53370">
        <w:t>p54 of the ADAR</w:t>
      </w:r>
      <w:r w:rsidR="0014264E">
        <w:t>.</w:t>
      </w:r>
    </w:p>
    <w:p w14:paraId="166879EB" w14:textId="77777777" w:rsidR="00C06615" w:rsidRPr="00C06615" w:rsidRDefault="00C06615" w:rsidP="00970246">
      <w:pPr>
        <w:pStyle w:val="Heading4"/>
      </w:pPr>
      <w:r w:rsidRPr="00C06615">
        <w:t>Summary</w:t>
      </w:r>
    </w:p>
    <w:p w14:paraId="5E20824F" w14:textId="618D1D6E" w:rsidR="00AF45EA" w:rsidRDefault="001D6455" w:rsidP="003F00C2">
      <w:pPr>
        <w:pStyle w:val="a-TEXT"/>
      </w:pPr>
      <w:r>
        <w:t>The evidence</w:t>
      </w:r>
      <w:r w:rsidR="00142238">
        <w:t xml:space="preserve"> suggested </w:t>
      </w:r>
      <w:r w:rsidR="002A4928">
        <w:t xml:space="preserve">that </w:t>
      </w:r>
      <w:r w:rsidR="0046098F">
        <w:t xml:space="preserve">the FMF risk calculator and ACOG guidelines </w:t>
      </w:r>
      <w:r w:rsidR="00D75DFC">
        <w:t>ha</w:t>
      </w:r>
      <w:r w:rsidR="00B8180F">
        <w:t>ve</w:t>
      </w:r>
      <w:r w:rsidR="0046098F">
        <w:t xml:space="preserve"> superior sensitivity compared to the NICE criteria</w:t>
      </w:r>
      <w:r w:rsidR="001B1EE5">
        <w:t>, but the FMF risk calculator and NICE criteria had superior specificity.</w:t>
      </w:r>
      <w:r w:rsidR="007F551F">
        <w:t xml:space="preserve"> </w:t>
      </w:r>
      <w:r w:rsidR="00255D27">
        <w:t>L</w:t>
      </w:r>
      <w:r w:rsidR="007F551F">
        <w:t xml:space="preserve">ow levels of sensitivity (as seen in NICE) </w:t>
      </w:r>
      <w:r w:rsidR="00255D27">
        <w:t xml:space="preserve">suggest many cases will be missed. Low levels of </w:t>
      </w:r>
      <w:r w:rsidR="007F551F">
        <w:t xml:space="preserve">specificity (as seen in ACOG) </w:t>
      </w:r>
      <w:r w:rsidR="00255D27">
        <w:t>indicate a high false positive rate</w:t>
      </w:r>
      <w:r w:rsidR="00274A57">
        <w:t xml:space="preserve"> (reported as </w:t>
      </w:r>
      <w:r w:rsidR="00734D0B">
        <w:t xml:space="preserve">62.4% in Poon et al., 2017). </w:t>
      </w:r>
      <w:r w:rsidR="00F60EC1">
        <w:t>Both</w:t>
      </w:r>
      <w:r w:rsidR="00734D0B">
        <w:t xml:space="preserve"> present potential risks </w:t>
      </w:r>
      <w:r w:rsidR="00715F96">
        <w:t xml:space="preserve">for </w:t>
      </w:r>
      <w:r w:rsidR="00D75DFC">
        <w:t>implementation</w:t>
      </w:r>
      <w:r w:rsidR="007327EB">
        <w:t>.</w:t>
      </w:r>
    </w:p>
    <w:p w14:paraId="1ACB7D96" w14:textId="64F2ECC7" w:rsidR="00A45C24" w:rsidRDefault="00DE45FE" w:rsidP="00D75DFC">
      <w:pPr>
        <w:pStyle w:val="a-TEXT"/>
      </w:pPr>
      <w:r>
        <w:t xml:space="preserve">Some limitations of the test accuracy studies included </w:t>
      </w:r>
      <w:r w:rsidR="00D41BE8">
        <w:t xml:space="preserve">no reporting of the risk cut off used, </w:t>
      </w:r>
      <w:r w:rsidR="00B8781D">
        <w:t>n</w:t>
      </w:r>
      <w:r w:rsidR="00A45C24" w:rsidRPr="00105D01">
        <w:t xml:space="preserve">o </w:t>
      </w:r>
      <w:r w:rsidR="00B8781D" w:rsidRPr="00105D01">
        <w:t xml:space="preserve">justification </w:t>
      </w:r>
      <w:r w:rsidR="00B8781D">
        <w:t xml:space="preserve">for </w:t>
      </w:r>
      <w:r w:rsidR="00A45C24" w:rsidRPr="00105D01">
        <w:t>sample size</w:t>
      </w:r>
      <w:r w:rsidR="00B8781D">
        <w:t xml:space="preserve"> or</w:t>
      </w:r>
      <w:r w:rsidR="00A45C24" w:rsidRPr="00105D01">
        <w:t xml:space="preserve"> power</w:t>
      </w:r>
      <w:r>
        <w:t xml:space="preserve">, no adjustment for treatment (aspirin), and low incidences of outcomes results in </w:t>
      </w:r>
      <w:r w:rsidR="00A45C24" w:rsidRPr="00105D01">
        <w:t xml:space="preserve">wide confidence intervals obtained for performance of </w:t>
      </w:r>
      <w:r w:rsidR="00F56D38">
        <w:t>testing</w:t>
      </w:r>
      <w:r w:rsidR="00A45C24" w:rsidRPr="00105D01">
        <w:t>.</w:t>
      </w:r>
    </w:p>
    <w:p w14:paraId="04D987FE" w14:textId="77777777" w:rsidR="00A109BF" w:rsidRDefault="00A109BF" w:rsidP="006916E6">
      <w:pPr>
        <w:pStyle w:val="Heading3"/>
        <w:spacing w:before="300" w:after="160" w:line="240" w:lineRule="auto"/>
        <w:rPr>
          <w:sz w:val="24"/>
          <w:szCs w:val="24"/>
          <w:lang w:eastAsia="en-US"/>
        </w:rPr>
      </w:pPr>
      <w:r w:rsidRPr="00A109BF">
        <w:rPr>
          <w:sz w:val="24"/>
          <w:szCs w:val="24"/>
          <w:lang w:eastAsia="en-US"/>
        </w:rPr>
        <w:t>Treatment effectiveness</w:t>
      </w:r>
    </w:p>
    <w:p w14:paraId="78B5FAEB" w14:textId="68C463E7" w:rsidR="00E25642" w:rsidRPr="00EC2697" w:rsidRDefault="007F6F8E" w:rsidP="00EC2697">
      <w:pPr>
        <w:pStyle w:val="a-TEXT"/>
      </w:pPr>
      <w:r>
        <w:t>T</w:t>
      </w:r>
      <w:r w:rsidR="000A5F0E">
        <w:t>he commentary considered the e</w:t>
      </w:r>
      <w:r w:rsidR="00EC2697">
        <w:t>vidence from the ASPRE trial support</w:t>
      </w:r>
      <w:r w:rsidR="000A5F0E">
        <w:t>ed</w:t>
      </w:r>
      <w:r w:rsidR="00EC2697">
        <w:t xml:space="preserve"> the claim that aspirin reduce</w:t>
      </w:r>
      <w:r w:rsidR="000A5F0E">
        <w:t>d</w:t>
      </w:r>
      <w:r w:rsidR="00EC2697">
        <w:t xml:space="preserve"> the risk of adverse health outcomes</w:t>
      </w:r>
      <w:r w:rsidR="197C5C4B">
        <w:t xml:space="preserve"> arising from preeclampsia</w:t>
      </w:r>
      <w:r w:rsidR="604C476D">
        <w:t>, compared to placebo, in women identified at high-risk</w:t>
      </w:r>
      <w:r w:rsidR="00EC2697">
        <w:t>.</w:t>
      </w:r>
      <w:r w:rsidR="00B2424A">
        <w:t xml:space="preserve"> </w:t>
      </w:r>
      <w:r w:rsidR="00E25642">
        <w:t>The incidence of preterm preeclampsia was 13 of 798 participants (1.6%) in the aspirin group, as compared with 35 of 822 (4.3%) in the placebo group (</w:t>
      </w:r>
      <w:r w:rsidR="00C679CB">
        <w:t>Table 16</w:t>
      </w:r>
      <w:r w:rsidR="00E25642">
        <w:t>). The incidence of preterm preeclampsia was 62% lower in the aspirin group compared with the placebo group.</w:t>
      </w:r>
      <w:r w:rsidR="00031A89">
        <w:t xml:space="preserve"> </w:t>
      </w:r>
      <w:proofErr w:type="gramStart"/>
      <w:r w:rsidR="00031A89">
        <w:t>However</w:t>
      </w:r>
      <w:proofErr w:type="gramEnd"/>
      <w:r w:rsidR="00031A89">
        <w:t xml:space="preserve"> there is an important caveat - given that these findings only apply to women identified as high-risk by the FMF risk-calculator the superiority of </w:t>
      </w:r>
      <w:r w:rsidR="000B38B9">
        <w:t xml:space="preserve">the </w:t>
      </w:r>
      <w:r w:rsidR="00031A89">
        <w:t>FMF</w:t>
      </w:r>
      <w:r w:rsidR="000B38B9">
        <w:t xml:space="preserve"> risk-calculator compared</w:t>
      </w:r>
      <w:r w:rsidR="00031A89">
        <w:t xml:space="preserve"> </w:t>
      </w:r>
      <w:r w:rsidR="00C422DC">
        <w:t xml:space="preserve">to </w:t>
      </w:r>
      <w:r w:rsidR="00031A89">
        <w:t xml:space="preserve">current practice for management of women identified as low-risk </w:t>
      </w:r>
      <w:r w:rsidR="00075D95">
        <w:t xml:space="preserve">(including impact on false negatives) </w:t>
      </w:r>
      <w:r w:rsidR="00031A89">
        <w:t xml:space="preserve">cannot be assumed. </w:t>
      </w:r>
    </w:p>
    <w:p w14:paraId="7867FDA8" w14:textId="7F6A314E" w:rsidR="00E25642" w:rsidRDefault="00E25642" w:rsidP="00E25642">
      <w:pPr>
        <w:pStyle w:val="Caption"/>
      </w:pPr>
      <w:bookmarkStart w:id="31" w:name="_Ref134968171"/>
      <w:r>
        <w:t>Table</w:t>
      </w:r>
      <w:r w:rsidR="009147A7">
        <w:t xml:space="preserve"> </w:t>
      </w:r>
      <w:r w:rsidR="00C679CB">
        <w:t>16</w:t>
      </w:r>
      <w:bookmarkEnd w:id="31"/>
      <w:r>
        <w:tab/>
        <w:t>ASPRE trial: preterm preeclampsia in aspirin and placebo groups</w:t>
      </w:r>
      <w:r w:rsidR="00EC2697">
        <w: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972"/>
        <w:gridCol w:w="1559"/>
        <w:gridCol w:w="1701"/>
        <w:gridCol w:w="1560"/>
        <w:gridCol w:w="1224"/>
      </w:tblGrid>
      <w:tr w:rsidR="00E25642" w:rsidRPr="008A3419" w14:paraId="1D67882D" w14:textId="12A31726" w:rsidTr="00D54F73">
        <w:tc>
          <w:tcPr>
            <w:tcW w:w="2972" w:type="dxa"/>
            <w:shd w:val="clear" w:color="auto" w:fill="auto"/>
          </w:tcPr>
          <w:p w14:paraId="487B12A3" w14:textId="1AD9512A" w:rsidR="00E25642" w:rsidRPr="00652DEA" w:rsidRDefault="00EE0419" w:rsidP="00EE0419">
            <w:pPr>
              <w:pStyle w:val="TableHeading0"/>
              <w:spacing w:before="0" w:after="0"/>
            </w:pPr>
            <w:r>
              <w:t>Outcome</w:t>
            </w:r>
          </w:p>
        </w:tc>
        <w:tc>
          <w:tcPr>
            <w:tcW w:w="1559" w:type="dxa"/>
            <w:shd w:val="clear" w:color="auto" w:fill="auto"/>
          </w:tcPr>
          <w:p w14:paraId="3486D3C1" w14:textId="7C8C0A3E" w:rsidR="00E25642" w:rsidRPr="00652DEA" w:rsidRDefault="00E25642" w:rsidP="00EE0419">
            <w:pPr>
              <w:pStyle w:val="TableHeading0"/>
              <w:spacing w:before="0" w:after="0"/>
            </w:pPr>
            <w:r w:rsidRPr="00652DEA">
              <w:t>Aspirin group (n=798)</w:t>
            </w:r>
            <w:r w:rsidR="005863A7">
              <w:t xml:space="preserve"> </w:t>
            </w:r>
            <w:r w:rsidR="00060D20">
              <w:t>(%)</w:t>
            </w:r>
          </w:p>
        </w:tc>
        <w:tc>
          <w:tcPr>
            <w:tcW w:w="1701" w:type="dxa"/>
            <w:shd w:val="clear" w:color="auto" w:fill="auto"/>
          </w:tcPr>
          <w:p w14:paraId="3376531A" w14:textId="14E2B202" w:rsidR="00E25642" w:rsidRPr="00652DEA" w:rsidRDefault="00E25642" w:rsidP="00EE0419">
            <w:pPr>
              <w:pStyle w:val="TableHeading0"/>
              <w:spacing w:before="0" w:after="0"/>
            </w:pPr>
            <w:r w:rsidRPr="00652DEA">
              <w:t>Placebo group (n=822)</w:t>
            </w:r>
            <w:r w:rsidR="005863A7">
              <w:t xml:space="preserve"> </w:t>
            </w:r>
            <w:r w:rsidR="00060D20">
              <w:t>(%)</w:t>
            </w:r>
          </w:p>
        </w:tc>
        <w:tc>
          <w:tcPr>
            <w:tcW w:w="1560" w:type="dxa"/>
            <w:shd w:val="clear" w:color="auto" w:fill="auto"/>
          </w:tcPr>
          <w:p w14:paraId="5D5EEAEE" w14:textId="73757E03" w:rsidR="00E25642" w:rsidRPr="00652DEA" w:rsidRDefault="00E25642" w:rsidP="00EE0419">
            <w:pPr>
              <w:pStyle w:val="TableHeading0"/>
              <w:spacing w:before="0" w:after="0"/>
            </w:pPr>
            <w:r w:rsidRPr="00652DEA">
              <w:t>Odd ratio (95% CI)</w:t>
            </w:r>
          </w:p>
        </w:tc>
        <w:tc>
          <w:tcPr>
            <w:tcW w:w="1224" w:type="dxa"/>
          </w:tcPr>
          <w:p w14:paraId="10FCAFF3" w14:textId="4CFB1D7C" w:rsidR="009047D4" w:rsidRDefault="009047D4" w:rsidP="00EE0419">
            <w:pPr>
              <w:pStyle w:val="TableHeading0"/>
              <w:spacing w:before="0" w:after="0"/>
            </w:pPr>
            <w:r>
              <w:t>NNT (95% CI)</w:t>
            </w:r>
          </w:p>
        </w:tc>
      </w:tr>
      <w:tr w:rsidR="00E25642" w14:paraId="04265EF4" w14:textId="215FE297" w:rsidTr="00D54F73">
        <w:tc>
          <w:tcPr>
            <w:tcW w:w="2972" w:type="dxa"/>
          </w:tcPr>
          <w:p w14:paraId="27DFE66A" w14:textId="77777777" w:rsidR="00E25642" w:rsidRPr="00652DEA" w:rsidRDefault="00E25642" w:rsidP="00EE0419">
            <w:pPr>
              <w:pStyle w:val="TableText"/>
              <w:spacing w:before="0" w:after="0"/>
            </w:pPr>
            <w:r w:rsidRPr="00652DEA">
              <w:t>Preterm PE at &lt;37 weeks of gestation</w:t>
            </w:r>
          </w:p>
        </w:tc>
        <w:tc>
          <w:tcPr>
            <w:tcW w:w="1559" w:type="dxa"/>
          </w:tcPr>
          <w:p w14:paraId="53972F99" w14:textId="77777777" w:rsidR="00E25642" w:rsidRPr="00652DEA" w:rsidRDefault="00E25642" w:rsidP="00EE0419">
            <w:pPr>
              <w:pStyle w:val="TableText"/>
              <w:spacing w:before="0" w:after="0"/>
            </w:pPr>
            <w:r w:rsidRPr="00652DEA">
              <w:t>13 (1.6)</w:t>
            </w:r>
          </w:p>
        </w:tc>
        <w:tc>
          <w:tcPr>
            <w:tcW w:w="1701" w:type="dxa"/>
          </w:tcPr>
          <w:p w14:paraId="6A09D82C" w14:textId="77777777" w:rsidR="00E25642" w:rsidRPr="00652DEA" w:rsidRDefault="00E25642" w:rsidP="00EE0419">
            <w:pPr>
              <w:pStyle w:val="TableText"/>
              <w:spacing w:before="0" w:after="0"/>
            </w:pPr>
            <w:r w:rsidRPr="00652DEA">
              <w:t>35 (4.3)</w:t>
            </w:r>
          </w:p>
        </w:tc>
        <w:tc>
          <w:tcPr>
            <w:tcW w:w="1560" w:type="dxa"/>
          </w:tcPr>
          <w:p w14:paraId="16B6F6CA" w14:textId="7468EC61" w:rsidR="00E25642" w:rsidRPr="00652DEA" w:rsidRDefault="00E25642" w:rsidP="00EE0419">
            <w:pPr>
              <w:pStyle w:val="TableText"/>
              <w:spacing w:before="0" w:after="0"/>
            </w:pPr>
            <w:r w:rsidRPr="00652DEA">
              <w:t>0.38 (0.20</w:t>
            </w:r>
            <w:r w:rsidRPr="00652DEA">
              <w:rPr>
                <w:rFonts w:hint="eastAsia"/>
              </w:rPr>
              <w:t>–</w:t>
            </w:r>
            <w:r w:rsidRPr="00652DEA">
              <w:t>0.74)</w:t>
            </w:r>
          </w:p>
        </w:tc>
        <w:tc>
          <w:tcPr>
            <w:tcW w:w="1224" w:type="dxa"/>
          </w:tcPr>
          <w:p w14:paraId="0DC9EB08" w14:textId="65C91984" w:rsidR="009047D4" w:rsidRDefault="009047D4" w:rsidP="00EE0419">
            <w:pPr>
              <w:pStyle w:val="TableText"/>
              <w:spacing w:before="0" w:after="0"/>
            </w:pPr>
            <w:r>
              <w:t xml:space="preserve">38 </w:t>
            </w:r>
            <w:r w:rsidR="00DA3A39">
              <w:t>(23-100)</w:t>
            </w:r>
          </w:p>
        </w:tc>
      </w:tr>
      <w:tr w:rsidR="009047D4" w14:paraId="53FDDD60" w14:textId="7B46E32F" w:rsidTr="00D54F73">
        <w:tc>
          <w:tcPr>
            <w:tcW w:w="2972" w:type="dxa"/>
          </w:tcPr>
          <w:p w14:paraId="291736F2" w14:textId="68A7EB70" w:rsidR="009047D4" w:rsidRPr="00652DEA" w:rsidRDefault="009047D4" w:rsidP="00EE0419">
            <w:pPr>
              <w:pStyle w:val="TableText"/>
              <w:spacing w:before="0" w:after="0"/>
            </w:pPr>
            <w:r>
              <w:t>Preterm PE at &lt; 34 weeks gestation</w:t>
            </w:r>
          </w:p>
        </w:tc>
        <w:tc>
          <w:tcPr>
            <w:tcW w:w="1559" w:type="dxa"/>
          </w:tcPr>
          <w:p w14:paraId="7AA3A99E" w14:textId="11923457" w:rsidR="009047D4" w:rsidRPr="00652DEA" w:rsidRDefault="003F4FE8" w:rsidP="00EE0419">
            <w:pPr>
              <w:pStyle w:val="TableText"/>
              <w:spacing w:before="0" w:after="0"/>
            </w:pPr>
            <w:r>
              <w:t>3 (</w:t>
            </w:r>
            <w:r w:rsidR="00060D20">
              <w:t>0</w:t>
            </w:r>
            <w:r>
              <w:t>.04)</w:t>
            </w:r>
          </w:p>
        </w:tc>
        <w:tc>
          <w:tcPr>
            <w:tcW w:w="1701" w:type="dxa"/>
          </w:tcPr>
          <w:p w14:paraId="73AF0C14" w14:textId="47F73BD5" w:rsidR="009047D4" w:rsidRPr="00652DEA" w:rsidRDefault="00060D20" w:rsidP="00EE0419">
            <w:pPr>
              <w:pStyle w:val="TableText"/>
              <w:spacing w:before="0" w:after="0"/>
            </w:pPr>
            <w:r>
              <w:t>15 (1.8)</w:t>
            </w:r>
          </w:p>
        </w:tc>
        <w:tc>
          <w:tcPr>
            <w:tcW w:w="1560" w:type="dxa"/>
          </w:tcPr>
          <w:p w14:paraId="1D6F5ADF" w14:textId="30E5E8F5" w:rsidR="009047D4" w:rsidRPr="00652DEA" w:rsidRDefault="00291B9A" w:rsidP="00EE0419">
            <w:pPr>
              <w:pStyle w:val="TableText"/>
              <w:spacing w:before="0" w:after="0"/>
            </w:pPr>
            <w:r>
              <w:t>0.</w:t>
            </w:r>
            <w:r w:rsidR="00B839F7">
              <w:t>18 (0.0</w:t>
            </w:r>
            <w:r w:rsidR="00CB1163">
              <w:t>5 -</w:t>
            </w:r>
            <w:r w:rsidR="005B03F6">
              <w:t>0.71)</w:t>
            </w:r>
            <w:r w:rsidR="00B839F7">
              <w:t>)</w:t>
            </w:r>
          </w:p>
        </w:tc>
        <w:tc>
          <w:tcPr>
            <w:tcW w:w="1224" w:type="dxa"/>
          </w:tcPr>
          <w:p w14:paraId="69868472" w14:textId="6AFA77F4" w:rsidR="009047D4" w:rsidRPr="00652DEA" w:rsidRDefault="000877F3" w:rsidP="00EE0419">
            <w:pPr>
              <w:pStyle w:val="TableText"/>
              <w:spacing w:before="0" w:after="0"/>
            </w:pPr>
            <w:r>
              <w:t>70</w:t>
            </w:r>
            <w:r w:rsidR="00F74BFB">
              <w:t xml:space="preserve"> (40</w:t>
            </w:r>
            <w:r w:rsidR="00A3172E">
              <w:t>-227)</w:t>
            </w:r>
          </w:p>
        </w:tc>
      </w:tr>
    </w:tbl>
    <w:p w14:paraId="7DAAECA2" w14:textId="2E6B833C" w:rsidR="004B15AB" w:rsidRDefault="004B15AB" w:rsidP="00352F38">
      <w:pPr>
        <w:pStyle w:val="Tablenotes0"/>
      </w:pPr>
      <w:r>
        <w:t>Abbreviations: CI=confidence interval; PE=preeclampsia</w:t>
      </w:r>
      <w:r w:rsidR="001539AF">
        <w:t>; NNT=num</w:t>
      </w:r>
      <w:r w:rsidR="006B251B">
        <w:t>ber needed to treat</w:t>
      </w:r>
      <w:r w:rsidR="008B55E2">
        <w:t>; OR=odds ratio</w:t>
      </w:r>
    </w:p>
    <w:p w14:paraId="50A51555" w14:textId="14445129" w:rsidR="00EC2697" w:rsidRDefault="00352F38" w:rsidP="00352F38">
      <w:pPr>
        <w:pStyle w:val="Tablenotes0"/>
      </w:pPr>
      <w:r>
        <w:t>Source:</w:t>
      </w:r>
      <w:r w:rsidRPr="00352F38">
        <w:t xml:space="preserve"> </w:t>
      </w:r>
      <w:r>
        <w:t>Rolnik et al., 2017</w:t>
      </w:r>
    </w:p>
    <w:p w14:paraId="4F1579A0" w14:textId="41C086DE" w:rsidR="00E25642" w:rsidRDefault="00E25642" w:rsidP="00EE0419">
      <w:pPr>
        <w:pStyle w:val="a-TEXT"/>
      </w:pPr>
      <w:r w:rsidRPr="00652DEA">
        <w:t>Pre</w:t>
      </w:r>
      <w:r>
        <w:t>specified</w:t>
      </w:r>
      <w:r w:rsidRPr="00652DEA">
        <w:t xml:space="preserve"> subgroup analysis showed consistent treatment effects across estimated </w:t>
      </w:r>
      <w:r w:rsidR="00F56D38">
        <w:t>testing</w:t>
      </w:r>
      <w:r w:rsidRPr="00652DEA">
        <w:t xml:space="preserve"> risk groups (test for interaction between treatment and risk group: p=0</w:t>
      </w:r>
      <w:r w:rsidR="00E64425">
        <w:t>.</w:t>
      </w:r>
      <w:r w:rsidRPr="00652DEA">
        <w:t xml:space="preserve">86) and obstetrical history (interaction between treatment and obstetric history: p=0.39), see </w:t>
      </w:r>
      <w:r w:rsidRPr="00652DEA">
        <w:fldChar w:fldCharType="begin"/>
      </w:r>
      <w:r w:rsidRPr="00652DEA">
        <w:instrText xml:space="preserve"> REF _Ref134798809 \h  \* MERGEFORMAT </w:instrText>
      </w:r>
      <w:r w:rsidRPr="00652DEA">
        <w:fldChar w:fldCharType="separate"/>
      </w:r>
      <w:r w:rsidR="00BC26C0">
        <w:t>Figure 1</w:t>
      </w:r>
      <w:r w:rsidRPr="00652DEA">
        <w:fldChar w:fldCharType="end"/>
      </w:r>
      <w:r w:rsidRPr="00652DEA">
        <w:t>.</w:t>
      </w:r>
    </w:p>
    <w:p w14:paraId="05E7D7CE" w14:textId="77777777" w:rsidR="00E25642" w:rsidRDefault="00E25642" w:rsidP="00E25642">
      <w:pPr>
        <w:pStyle w:val="NormalBeforeBullet"/>
      </w:pPr>
      <w:r>
        <w:rPr>
          <w:noProof/>
          <w:lang w:eastAsia="en-AU"/>
        </w:rPr>
        <w:lastRenderedPageBreak/>
        <w:drawing>
          <wp:inline distT="0" distB="0" distL="0" distR="0" wp14:anchorId="4D502892" wp14:editId="38E4125B">
            <wp:extent cx="4623206" cy="2946231"/>
            <wp:effectExtent l="0" t="0" r="6350" b="6985"/>
            <wp:docPr id="547511137" name="Picture 547511137" descr="ASPRE trial subgroup analysis: different risk groups and obstetric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1137" name="Picture 547511137" descr="ASPRE trial subgroup analysis: different risk groups and obstetric histor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5728" cy="2947838"/>
                    </a:xfrm>
                    <a:prstGeom prst="rect">
                      <a:avLst/>
                    </a:prstGeom>
                  </pic:spPr>
                </pic:pic>
              </a:graphicData>
            </a:graphic>
          </wp:inline>
        </w:drawing>
      </w:r>
    </w:p>
    <w:p w14:paraId="2A4EA3CC" w14:textId="4C5D7FAF" w:rsidR="00E25642" w:rsidRDefault="00E25642" w:rsidP="003E45B8">
      <w:pPr>
        <w:pStyle w:val="Caption"/>
        <w:spacing w:before="0"/>
        <w:rPr>
          <w:noProof/>
        </w:rPr>
      </w:pPr>
      <w:bookmarkStart w:id="32" w:name="_Ref134798809"/>
      <w:r>
        <w:t xml:space="preserve">Figure </w:t>
      </w:r>
      <w:r>
        <w:fldChar w:fldCharType="begin"/>
      </w:r>
      <w:r>
        <w:instrText>SEQ Figure \* ARABIC</w:instrText>
      </w:r>
      <w:r>
        <w:fldChar w:fldCharType="separate"/>
      </w:r>
      <w:r w:rsidR="00BC26C0">
        <w:rPr>
          <w:noProof/>
        </w:rPr>
        <w:t>1</w:t>
      </w:r>
      <w:r>
        <w:fldChar w:fldCharType="end"/>
      </w:r>
      <w:bookmarkEnd w:id="32"/>
      <w:r>
        <w:tab/>
        <w:t>ASPRE trial subgroup analysis: different risk groups and obstetric history</w:t>
      </w:r>
    </w:p>
    <w:p w14:paraId="79C63EF6" w14:textId="4B4998E2" w:rsidR="008824DB" w:rsidRDefault="00E25642" w:rsidP="00E25642">
      <w:pPr>
        <w:pStyle w:val="Tablenotes0"/>
      </w:pPr>
      <w:r>
        <w:t>Source:</w:t>
      </w:r>
      <w:r w:rsidR="00352F38">
        <w:t xml:space="preserve"> Rolnik et al., 2017</w:t>
      </w:r>
      <w:r w:rsidR="003E2899">
        <w:t>a</w:t>
      </w:r>
      <w:r>
        <w:t>, Figure S1 in Supplementary Appendix</w:t>
      </w:r>
    </w:p>
    <w:p w14:paraId="1A9ACAE5" w14:textId="269994C6" w:rsidR="008824DB" w:rsidRDefault="008824DB" w:rsidP="008824DB">
      <w:pPr>
        <w:pStyle w:val="a-TEXT"/>
      </w:pPr>
      <w:r>
        <w:t xml:space="preserve">Secondary outcomes reported in the ASPRE trial included adverse outcomes of pregnancy before 34 weeks of gestation, before 37 weeks of gestation, and at or after 37 weeks of gestation; stillbirth or neonatal death; death and neonatal complications; neonatal therapy; and poor </w:t>
      </w:r>
      <w:proofErr w:type="spellStart"/>
      <w:r>
        <w:t>fetal</w:t>
      </w:r>
      <w:proofErr w:type="spellEnd"/>
      <w:r>
        <w:t xml:space="preserve"> growth. No significant between group difference in the incidence of any of these outcomes was observed.</w:t>
      </w:r>
      <w:r w:rsidR="00445BC8">
        <w:t xml:space="preserve"> The outcomes relevant for this submission are tabulated in</w:t>
      </w:r>
      <w:r w:rsidR="00C679CB">
        <w:t xml:space="preserve"> Table 17</w:t>
      </w:r>
      <w:r w:rsidR="00445BC8">
        <w:t>.</w:t>
      </w:r>
      <w:r w:rsidR="00012D0A">
        <w:t xml:space="preserve"> However again the caveat applies that these findings are for women identified as high-risk by the FMF risk-calculator. </w:t>
      </w:r>
      <w:r w:rsidR="00B95211">
        <w:t>T</w:t>
      </w:r>
      <w:r w:rsidR="00012D0A">
        <w:t xml:space="preserve">he superiority of the FMF risk-calculator compared </w:t>
      </w:r>
      <w:r w:rsidR="000E261E">
        <w:t xml:space="preserve">to </w:t>
      </w:r>
      <w:r w:rsidR="00012D0A">
        <w:t xml:space="preserve">current practice for management of women identified as low-risk </w:t>
      </w:r>
      <w:r w:rsidR="000F7D97">
        <w:t>(including impact on false negatives)</w:t>
      </w:r>
      <w:r w:rsidR="00012D0A">
        <w:t xml:space="preserve"> cannot be assumed</w:t>
      </w:r>
      <w:r w:rsidR="00B95211">
        <w:t xml:space="preserve">. </w:t>
      </w:r>
    </w:p>
    <w:p w14:paraId="14FFD3C9" w14:textId="12479C53" w:rsidR="00EC2697" w:rsidRDefault="00EC2697" w:rsidP="00EC2697">
      <w:pPr>
        <w:pStyle w:val="Caption"/>
        <w:keepLines/>
      </w:pPr>
      <w:bookmarkStart w:id="33" w:name="_Ref134802051"/>
      <w:r>
        <w:t xml:space="preserve">Table </w:t>
      </w:r>
      <w:bookmarkEnd w:id="33"/>
      <w:r w:rsidR="00C679CB">
        <w:t>17</w:t>
      </w:r>
      <w:r>
        <w:tab/>
        <w:t>ASPRE trial: secondary outcome results.</w:t>
      </w:r>
    </w:p>
    <w:tbl>
      <w:tblPr>
        <w:tblStyle w:val="TableGrid"/>
        <w:tblpPr w:leftFromText="180" w:rightFromText="180" w:vertAnchor="text" w:tblpY="1"/>
        <w:tblOverlap w:val="never"/>
        <w:tblW w:w="9086" w:type="dxa"/>
        <w:tblCellMar>
          <w:top w:w="28" w:type="dxa"/>
          <w:left w:w="57" w:type="dxa"/>
          <w:bottom w:w="28" w:type="dxa"/>
          <w:right w:w="57" w:type="dxa"/>
        </w:tblCellMar>
        <w:tblLook w:val="04A0" w:firstRow="1" w:lastRow="0" w:firstColumn="1" w:lastColumn="0" w:noHBand="0" w:noVBand="1"/>
      </w:tblPr>
      <w:tblGrid>
        <w:gridCol w:w="4138"/>
        <w:gridCol w:w="1703"/>
        <w:gridCol w:w="1582"/>
        <w:gridCol w:w="1663"/>
      </w:tblGrid>
      <w:tr w:rsidR="00EC2697" w:rsidRPr="00CE0B97" w14:paraId="1EE49920" w14:textId="77777777" w:rsidTr="00970246">
        <w:trPr>
          <w:trHeight w:val="360"/>
        </w:trPr>
        <w:tc>
          <w:tcPr>
            <w:tcW w:w="4138" w:type="dxa"/>
            <w:shd w:val="clear" w:color="auto" w:fill="auto"/>
          </w:tcPr>
          <w:p w14:paraId="356C87A8" w14:textId="77777777" w:rsidR="00EC2697" w:rsidRPr="00CE0B97" w:rsidRDefault="00EC2697" w:rsidP="008C6DD1">
            <w:pPr>
              <w:pStyle w:val="TableHeading0"/>
              <w:keepNext/>
              <w:keepLines/>
              <w:spacing w:before="0" w:after="0"/>
            </w:pPr>
            <w:r w:rsidRPr="00CE0B97">
              <w:t>Outcome</w:t>
            </w:r>
          </w:p>
        </w:tc>
        <w:tc>
          <w:tcPr>
            <w:tcW w:w="1703" w:type="dxa"/>
            <w:shd w:val="clear" w:color="auto" w:fill="auto"/>
          </w:tcPr>
          <w:p w14:paraId="1F9D165E" w14:textId="77777777" w:rsidR="00EC2697" w:rsidRPr="00CE0B97" w:rsidRDefault="00EC2697" w:rsidP="008C6DD1">
            <w:pPr>
              <w:pStyle w:val="TableHeading0"/>
              <w:keepNext/>
              <w:keepLines/>
              <w:spacing w:before="0" w:after="0"/>
            </w:pPr>
            <w:r w:rsidRPr="00CE0B97">
              <w:t>Aspirin group (N=798)</w:t>
            </w:r>
          </w:p>
        </w:tc>
        <w:tc>
          <w:tcPr>
            <w:tcW w:w="1582" w:type="dxa"/>
            <w:shd w:val="clear" w:color="auto" w:fill="auto"/>
          </w:tcPr>
          <w:p w14:paraId="686FE1EC" w14:textId="77777777" w:rsidR="00EC2697" w:rsidRPr="00CE0B97" w:rsidRDefault="00EC2697" w:rsidP="008C6DD1">
            <w:pPr>
              <w:pStyle w:val="TableHeading0"/>
              <w:keepNext/>
              <w:keepLines/>
              <w:spacing w:before="0" w:after="0"/>
            </w:pPr>
            <w:r w:rsidRPr="00CE0B97">
              <w:t>Placebo group (N=822)</w:t>
            </w:r>
          </w:p>
        </w:tc>
        <w:tc>
          <w:tcPr>
            <w:tcW w:w="1662" w:type="dxa"/>
            <w:shd w:val="clear" w:color="auto" w:fill="auto"/>
          </w:tcPr>
          <w:p w14:paraId="273B0968" w14:textId="77777777" w:rsidR="00EC2697" w:rsidRPr="00CE0B97" w:rsidRDefault="00EC2697" w:rsidP="008C6DD1">
            <w:pPr>
              <w:pStyle w:val="TableHeading0"/>
              <w:keepNext/>
              <w:keepLines/>
              <w:spacing w:before="0" w:after="0"/>
            </w:pPr>
            <w:r w:rsidRPr="00CE0B97">
              <w:t>Odds ratio (99% CI)</w:t>
            </w:r>
          </w:p>
        </w:tc>
      </w:tr>
      <w:tr w:rsidR="00EC2697" w:rsidRPr="00CE0B97" w14:paraId="376EF2D7" w14:textId="77777777" w:rsidTr="00970246">
        <w:trPr>
          <w:trHeight w:val="287"/>
        </w:trPr>
        <w:tc>
          <w:tcPr>
            <w:tcW w:w="9086" w:type="dxa"/>
            <w:gridSpan w:val="4"/>
            <w:shd w:val="clear" w:color="auto" w:fill="auto"/>
          </w:tcPr>
          <w:p w14:paraId="42D318E5" w14:textId="77777777" w:rsidR="00EC2697" w:rsidRPr="00010D0F" w:rsidRDefault="00EC2697" w:rsidP="008C6DD1">
            <w:pPr>
              <w:pStyle w:val="TableText"/>
              <w:keepNext/>
              <w:keepLines/>
              <w:spacing w:before="0" w:after="0"/>
              <w:rPr>
                <w:b/>
              </w:rPr>
            </w:pPr>
            <w:r w:rsidRPr="00010D0F">
              <w:rPr>
                <w:b/>
              </w:rPr>
              <w:t>Adverse outcomes at &lt;34 weeks gestation</w:t>
            </w:r>
          </w:p>
        </w:tc>
      </w:tr>
      <w:tr w:rsidR="00EC2697" w:rsidRPr="009531BF" w14:paraId="217728AC" w14:textId="77777777" w:rsidTr="00970246">
        <w:trPr>
          <w:trHeight w:val="287"/>
        </w:trPr>
        <w:tc>
          <w:tcPr>
            <w:tcW w:w="4138" w:type="dxa"/>
            <w:shd w:val="clear" w:color="auto" w:fill="auto"/>
          </w:tcPr>
          <w:p w14:paraId="3667004B" w14:textId="77777777" w:rsidR="00EC2697" w:rsidRPr="009531BF" w:rsidRDefault="00EC2697" w:rsidP="008C6DD1">
            <w:pPr>
              <w:pStyle w:val="TableText"/>
              <w:keepNext/>
              <w:keepLines/>
              <w:spacing w:before="0" w:after="0"/>
            </w:pPr>
            <w:r w:rsidRPr="009531BF">
              <w:t>Preeclampsia</w:t>
            </w:r>
          </w:p>
        </w:tc>
        <w:tc>
          <w:tcPr>
            <w:tcW w:w="1703" w:type="dxa"/>
            <w:shd w:val="clear" w:color="auto" w:fill="auto"/>
          </w:tcPr>
          <w:p w14:paraId="2882FD16" w14:textId="77777777" w:rsidR="00EC2697" w:rsidRPr="001C5051" w:rsidRDefault="00EC2697" w:rsidP="008C6DD1">
            <w:pPr>
              <w:pStyle w:val="TableText"/>
              <w:keepNext/>
              <w:keepLines/>
              <w:spacing w:before="0" w:after="0"/>
            </w:pPr>
            <w:r w:rsidRPr="001C5051">
              <w:t>3 (0.4)</w:t>
            </w:r>
          </w:p>
        </w:tc>
        <w:tc>
          <w:tcPr>
            <w:tcW w:w="1582" w:type="dxa"/>
            <w:shd w:val="clear" w:color="auto" w:fill="auto"/>
          </w:tcPr>
          <w:p w14:paraId="4434058A" w14:textId="77777777" w:rsidR="00EC2697" w:rsidRPr="009531BF" w:rsidRDefault="00EC2697" w:rsidP="008C6DD1">
            <w:pPr>
              <w:pStyle w:val="TableText"/>
              <w:keepNext/>
              <w:keepLines/>
              <w:spacing w:before="0" w:after="0"/>
            </w:pPr>
            <w:r w:rsidRPr="009531BF">
              <w:rPr>
                <w:rFonts w:eastAsia="OTNEJMScalaSansLF"/>
              </w:rPr>
              <w:t>15 (1.8)</w:t>
            </w:r>
          </w:p>
        </w:tc>
        <w:tc>
          <w:tcPr>
            <w:tcW w:w="1662" w:type="dxa"/>
            <w:shd w:val="clear" w:color="auto" w:fill="auto"/>
          </w:tcPr>
          <w:p w14:paraId="1AC56317" w14:textId="77777777" w:rsidR="00EC2697" w:rsidRPr="009531BF" w:rsidRDefault="00EC2697" w:rsidP="008C6DD1">
            <w:pPr>
              <w:pStyle w:val="TableText"/>
              <w:keepNext/>
              <w:keepLines/>
              <w:spacing w:before="0" w:after="0"/>
            </w:pPr>
            <w:r w:rsidRPr="009531BF">
              <w:rPr>
                <w:rFonts w:eastAsia="OTNEJMScalaSansLF"/>
              </w:rPr>
              <w:t>0.18 (0.03</w:t>
            </w:r>
            <w:r w:rsidRPr="009531BF">
              <w:rPr>
                <w:rFonts w:eastAsia="OTNEJMScalaSansLF" w:hint="eastAsia"/>
              </w:rPr>
              <w:t>–</w:t>
            </w:r>
            <w:r w:rsidRPr="009531BF">
              <w:rPr>
                <w:rFonts w:eastAsia="OTNEJMScalaSansLF"/>
              </w:rPr>
              <w:t>1.03)</w:t>
            </w:r>
          </w:p>
        </w:tc>
      </w:tr>
      <w:tr w:rsidR="00EC2697" w:rsidRPr="009531BF" w14:paraId="1CF7C74F" w14:textId="77777777" w:rsidTr="00970246">
        <w:trPr>
          <w:trHeight w:val="287"/>
        </w:trPr>
        <w:tc>
          <w:tcPr>
            <w:tcW w:w="4138" w:type="dxa"/>
            <w:shd w:val="clear" w:color="auto" w:fill="auto"/>
          </w:tcPr>
          <w:p w14:paraId="7360149D" w14:textId="77777777" w:rsidR="00EC2697" w:rsidRPr="009531BF" w:rsidRDefault="00EC2697" w:rsidP="008C6DD1">
            <w:pPr>
              <w:pStyle w:val="TableText"/>
              <w:keepNext/>
              <w:keepLines/>
              <w:spacing w:before="0" w:after="0"/>
            </w:pPr>
            <w:r w:rsidRPr="009531BF">
              <w:t>Gestational hypertension</w:t>
            </w:r>
          </w:p>
        </w:tc>
        <w:tc>
          <w:tcPr>
            <w:tcW w:w="1703" w:type="dxa"/>
            <w:shd w:val="clear" w:color="auto" w:fill="auto"/>
          </w:tcPr>
          <w:p w14:paraId="4803CBD6" w14:textId="77777777" w:rsidR="00EC2697" w:rsidRPr="001C5051" w:rsidRDefault="00EC2697" w:rsidP="008C6DD1">
            <w:pPr>
              <w:pStyle w:val="TableText"/>
              <w:keepNext/>
              <w:keepLines/>
              <w:spacing w:before="0" w:after="0"/>
            </w:pPr>
            <w:r w:rsidRPr="001C5051">
              <w:t>2 (0.3)</w:t>
            </w:r>
          </w:p>
        </w:tc>
        <w:tc>
          <w:tcPr>
            <w:tcW w:w="1582" w:type="dxa"/>
            <w:shd w:val="clear" w:color="auto" w:fill="auto"/>
          </w:tcPr>
          <w:p w14:paraId="54AFB3DF" w14:textId="77777777" w:rsidR="00EC2697" w:rsidRPr="009531BF" w:rsidRDefault="00EC2697" w:rsidP="008C6DD1">
            <w:pPr>
              <w:pStyle w:val="TableText"/>
              <w:keepNext/>
              <w:keepLines/>
              <w:spacing w:before="0" w:after="0"/>
            </w:pPr>
            <w:r w:rsidRPr="009531BF">
              <w:rPr>
                <w:rFonts w:eastAsia="OTNEJMScalaSansLF"/>
              </w:rPr>
              <w:t>2 (0.2)</w:t>
            </w:r>
          </w:p>
        </w:tc>
        <w:tc>
          <w:tcPr>
            <w:tcW w:w="1662" w:type="dxa"/>
            <w:shd w:val="clear" w:color="auto" w:fill="auto"/>
          </w:tcPr>
          <w:p w14:paraId="739457C3" w14:textId="77777777" w:rsidR="00EC2697" w:rsidRPr="009531BF" w:rsidRDefault="00EC2697" w:rsidP="008C6DD1">
            <w:pPr>
              <w:pStyle w:val="TableText"/>
              <w:keepNext/>
              <w:keepLines/>
              <w:spacing w:before="0" w:after="0"/>
            </w:pPr>
            <w:r w:rsidRPr="009531BF">
              <w:rPr>
                <w:rFonts w:eastAsia="OTNEJMScalaSansLF"/>
              </w:rPr>
              <w:t>1.02 (0.08</w:t>
            </w:r>
            <w:r w:rsidRPr="009531BF">
              <w:rPr>
                <w:rFonts w:eastAsia="OTNEJMScalaSansLF" w:hint="eastAsia"/>
              </w:rPr>
              <w:t>–</w:t>
            </w:r>
            <w:r w:rsidRPr="009531BF">
              <w:rPr>
                <w:rFonts w:eastAsia="OTNEJMScalaSansLF"/>
              </w:rPr>
              <w:t>13.49)</w:t>
            </w:r>
          </w:p>
        </w:tc>
      </w:tr>
      <w:tr w:rsidR="00EC2697" w:rsidRPr="009531BF" w14:paraId="0BB5C077" w14:textId="77777777" w:rsidTr="00970246">
        <w:trPr>
          <w:trHeight w:val="287"/>
        </w:trPr>
        <w:tc>
          <w:tcPr>
            <w:tcW w:w="4138" w:type="dxa"/>
            <w:shd w:val="clear" w:color="auto" w:fill="auto"/>
          </w:tcPr>
          <w:p w14:paraId="68A5D1BA" w14:textId="77777777" w:rsidR="00EC2697" w:rsidRPr="009531BF" w:rsidRDefault="00EC2697" w:rsidP="008C6DD1">
            <w:pPr>
              <w:pStyle w:val="TableText"/>
              <w:keepNext/>
              <w:keepLines/>
              <w:spacing w:before="0" w:after="0"/>
            </w:pPr>
            <w:r w:rsidRPr="009531BF">
              <w:rPr>
                <w:rFonts w:eastAsia="OTNEJMScalaSansLF"/>
              </w:rPr>
              <w:t>Abruption without preeclampsia</w:t>
            </w:r>
          </w:p>
        </w:tc>
        <w:tc>
          <w:tcPr>
            <w:tcW w:w="1703" w:type="dxa"/>
            <w:shd w:val="clear" w:color="auto" w:fill="auto"/>
          </w:tcPr>
          <w:p w14:paraId="3C6BB6F8" w14:textId="77777777" w:rsidR="00EC2697" w:rsidRPr="001C5051" w:rsidRDefault="00EC2697" w:rsidP="008C6DD1">
            <w:pPr>
              <w:pStyle w:val="TableText"/>
              <w:keepNext/>
              <w:keepLines/>
              <w:spacing w:before="0" w:after="0"/>
            </w:pPr>
            <w:r w:rsidRPr="001C5051">
              <w:t>1 (0.1)</w:t>
            </w:r>
          </w:p>
        </w:tc>
        <w:tc>
          <w:tcPr>
            <w:tcW w:w="1582" w:type="dxa"/>
            <w:shd w:val="clear" w:color="auto" w:fill="auto"/>
          </w:tcPr>
          <w:p w14:paraId="0B571F3D" w14:textId="77777777" w:rsidR="00EC2697" w:rsidRPr="009531BF" w:rsidRDefault="00EC2697" w:rsidP="008C6DD1">
            <w:pPr>
              <w:pStyle w:val="TableText"/>
              <w:keepNext/>
              <w:keepLines/>
              <w:spacing w:before="0" w:after="0"/>
              <w:rPr>
                <w:rFonts w:eastAsia="OTNEJMScalaSansLF"/>
              </w:rPr>
            </w:pPr>
            <w:r w:rsidRPr="009531BF">
              <w:rPr>
                <w:rFonts w:eastAsia="OTNEJMScalaSansLF"/>
              </w:rPr>
              <w:t>3 (0.4)</w:t>
            </w:r>
          </w:p>
        </w:tc>
        <w:tc>
          <w:tcPr>
            <w:tcW w:w="1662" w:type="dxa"/>
            <w:shd w:val="clear" w:color="auto" w:fill="auto"/>
          </w:tcPr>
          <w:p w14:paraId="28562427" w14:textId="77777777" w:rsidR="00EC2697" w:rsidRPr="009531BF" w:rsidRDefault="00EC2697" w:rsidP="008C6DD1">
            <w:pPr>
              <w:pStyle w:val="TableText"/>
              <w:keepNext/>
              <w:keepLines/>
              <w:spacing w:before="0" w:after="0"/>
              <w:rPr>
                <w:rFonts w:eastAsia="OTNEJMScalaSansLF"/>
              </w:rPr>
            </w:pPr>
            <w:r w:rsidRPr="009531BF">
              <w:rPr>
                <w:rFonts w:eastAsia="OTNEJMScalaSansLF"/>
              </w:rPr>
              <w:t>0.36 (0.02</w:t>
            </w:r>
            <w:r w:rsidRPr="009531BF">
              <w:rPr>
                <w:rFonts w:eastAsia="OTNEJMScalaSansLF" w:hint="eastAsia"/>
              </w:rPr>
              <w:t>–</w:t>
            </w:r>
            <w:r w:rsidRPr="009531BF">
              <w:rPr>
                <w:rFonts w:eastAsia="OTNEJMScalaSansLF"/>
              </w:rPr>
              <w:t>7.14)</w:t>
            </w:r>
          </w:p>
        </w:tc>
      </w:tr>
      <w:tr w:rsidR="00EC2697" w:rsidRPr="009531BF" w14:paraId="5BDA65DA" w14:textId="77777777" w:rsidTr="00970246">
        <w:trPr>
          <w:trHeight w:val="287"/>
        </w:trPr>
        <w:tc>
          <w:tcPr>
            <w:tcW w:w="4138" w:type="dxa"/>
            <w:shd w:val="clear" w:color="auto" w:fill="auto"/>
          </w:tcPr>
          <w:p w14:paraId="56A555F8" w14:textId="77777777" w:rsidR="00EC2697" w:rsidRPr="009531BF" w:rsidRDefault="00EC2697" w:rsidP="008C6DD1">
            <w:pPr>
              <w:pStyle w:val="TableText"/>
              <w:keepNext/>
              <w:keepLines/>
              <w:spacing w:before="0" w:after="0"/>
              <w:rPr>
                <w:rFonts w:eastAsia="OTNEJMScalaSansLF"/>
              </w:rPr>
            </w:pPr>
            <w:r w:rsidRPr="009531BF">
              <w:rPr>
                <w:rFonts w:eastAsia="OTNEJMScalaSansLF"/>
              </w:rPr>
              <w:t>Spontaneous delivery without preeclampsia</w:t>
            </w:r>
          </w:p>
        </w:tc>
        <w:tc>
          <w:tcPr>
            <w:tcW w:w="1703" w:type="dxa"/>
            <w:shd w:val="clear" w:color="auto" w:fill="auto"/>
          </w:tcPr>
          <w:p w14:paraId="1FDFE28A" w14:textId="77777777" w:rsidR="00EC2697" w:rsidRPr="001C5051" w:rsidRDefault="00EC2697" w:rsidP="008C6DD1">
            <w:pPr>
              <w:pStyle w:val="TableText"/>
              <w:keepNext/>
              <w:keepLines/>
              <w:spacing w:before="0" w:after="0"/>
            </w:pPr>
            <w:r w:rsidRPr="001C5051">
              <w:t>12 (1.5)</w:t>
            </w:r>
          </w:p>
        </w:tc>
        <w:tc>
          <w:tcPr>
            <w:tcW w:w="1582" w:type="dxa"/>
            <w:shd w:val="clear" w:color="auto" w:fill="auto"/>
          </w:tcPr>
          <w:p w14:paraId="6B027AA2" w14:textId="77777777" w:rsidR="00EC2697" w:rsidRPr="009531BF" w:rsidRDefault="00EC2697" w:rsidP="008C6DD1">
            <w:pPr>
              <w:pStyle w:val="TableText"/>
              <w:keepNext/>
              <w:keepLines/>
              <w:spacing w:before="0" w:after="0"/>
              <w:rPr>
                <w:rFonts w:eastAsia="OTNEJMScalaSansLF"/>
              </w:rPr>
            </w:pPr>
            <w:r w:rsidRPr="009531BF">
              <w:rPr>
                <w:rFonts w:eastAsia="OTNEJMScalaSansLF"/>
              </w:rPr>
              <w:t>12 (1.5)</w:t>
            </w:r>
          </w:p>
        </w:tc>
        <w:tc>
          <w:tcPr>
            <w:tcW w:w="1662" w:type="dxa"/>
            <w:shd w:val="clear" w:color="auto" w:fill="auto"/>
          </w:tcPr>
          <w:p w14:paraId="59278306" w14:textId="77777777" w:rsidR="00EC2697" w:rsidRPr="009531BF" w:rsidRDefault="00EC2697" w:rsidP="008C6DD1">
            <w:pPr>
              <w:pStyle w:val="TableText"/>
              <w:keepNext/>
              <w:keepLines/>
              <w:spacing w:before="0" w:after="0"/>
              <w:rPr>
                <w:rFonts w:eastAsia="OTNEJMScalaSansLF"/>
              </w:rPr>
            </w:pPr>
            <w:r w:rsidRPr="009531BF">
              <w:rPr>
                <w:rFonts w:eastAsia="OTNEJMScalaSansLF"/>
              </w:rPr>
              <w:t>1.07 (0.37</w:t>
            </w:r>
            <w:r w:rsidRPr="009531BF">
              <w:rPr>
                <w:rFonts w:eastAsia="OTNEJMScalaSansLF" w:hint="eastAsia"/>
              </w:rPr>
              <w:t>–</w:t>
            </w:r>
            <w:r w:rsidRPr="009531BF">
              <w:rPr>
                <w:rFonts w:eastAsia="OTNEJMScalaSansLF"/>
              </w:rPr>
              <w:t>3.10)</w:t>
            </w:r>
          </w:p>
        </w:tc>
      </w:tr>
      <w:tr w:rsidR="00EC2697" w:rsidRPr="00CE0B97" w14:paraId="76B27726" w14:textId="77777777" w:rsidTr="00970246">
        <w:trPr>
          <w:trHeight w:val="287"/>
        </w:trPr>
        <w:tc>
          <w:tcPr>
            <w:tcW w:w="9086" w:type="dxa"/>
            <w:gridSpan w:val="4"/>
            <w:shd w:val="clear" w:color="auto" w:fill="auto"/>
          </w:tcPr>
          <w:p w14:paraId="648252E1" w14:textId="77777777" w:rsidR="00EC2697" w:rsidRPr="00010D0F" w:rsidRDefault="00EC2697" w:rsidP="008C6DD1">
            <w:pPr>
              <w:pStyle w:val="TableText"/>
              <w:keepNext/>
              <w:keepLines/>
              <w:spacing w:before="0" w:after="0"/>
              <w:rPr>
                <w:b/>
              </w:rPr>
            </w:pPr>
            <w:r w:rsidRPr="00010D0F">
              <w:rPr>
                <w:b/>
              </w:rPr>
              <w:t>Adverse outcomes at &lt;37 weeks gestation</w:t>
            </w:r>
          </w:p>
        </w:tc>
      </w:tr>
      <w:tr w:rsidR="00EC2697" w:rsidRPr="009531BF" w14:paraId="21539A98" w14:textId="77777777" w:rsidTr="00970246">
        <w:trPr>
          <w:trHeight w:val="287"/>
        </w:trPr>
        <w:tc>
          <w:tcPr>
            <w:tcW w:w="4138" w:type="dxa"/>
            <w:shd w:val="clear" w:color="auto" w:fill="auto"/>
          </w:tcPr>
          <w:p w14:paraId="3791DED9" w14:textId="77777777" w:rsidR="00EC2697" w:rsidRPr="009531BF" w:rsidRDefault="00EC2697" w:rsidP="008C6DD1">
            <w:pPr>
              <w:pStyle w:val="TableText"/>
              <w:keepNext/>
              <w:keepLines/>
              <w:spacing w:before="0" w:after="0"/>
            </w:pPr>
            <w:r w:rsidRPr="009531BF">
              <w:t>Gestational hypertension</w:t>
            </w:r>
          </w:p>
        </w:tc>
        <w:tc>
          <w:tcPr>
            <w:tcW w:w="1703" w:type="dxa"/>
            <w:shd w:val="clear" w:color="auto" w:fill="auto"/>
          </w:tcPr>
          <w:p w14:paraId="721EEFD7" w14:textId="77777777" w:rsidR="00EC2697" w:rsidRPr="001C5051" w:rsidRDefault="00EC2697" w:rsidP="008C6DD1">
            <w:pPr>
              <w:pStyle w:val="TableText"/>
              <w:keepNext/>
              <w:keepLines/>
              <w:spacing w:before="0" w:after="0"/>
            </w:pPr>
            <w:r w:rsidRPr="001C5051">
              <w:t>8 (1.0)</w:t>
            </w:r>
          </w:p>
        </w:tc>
        <w:tc>
          <w:tcPr>
            <w:tcW w:w="1582" w:type="dxa"/>
            <w:shd w:val="clear" w:color="auto" w:fill="auto"/>
          </w:tcPr>
          <w:p w14:paraId="27E3F01C" w14:textId="77777777" w:rsidR="00EC2697" w:rsidRPr="009531BF" w:rsidRDefault="00EC2697" w:rsidP="008C6DD1">
            <w:pPr>
              <w:pStyle w:val="TableText"/>
              <w:keepNext/>
              <w:keepLines/>
              <w:spacing w:before="0" w:after="0"/>
            </w:pPr>
            <w:r w:rsidRPr="009531BF">
              <w:rPr>
                <w:rFonts w:eastAsia="OTNEJMScalaSansLF"/>
              </w:rPr>
              <w:t>7 (0.9)</w:t>
            </w:r>
          </w:p>
        </w:tc>
        <w:tc>
          <w:tcPr>
            <w:tcW w:w="1662" w:type="dxa"/>
            <w:shd w:val="clear" w:color="auto" w:fill="auto"/>
          </w:tcPr>
          <w:p w14:paraId="6E7F3650" w14:textId="77777777" w:rsidR="00EC2697" w:rsidRPr="009531BF" w:rsidRDefault="00EC2697" w:rsidP="008C6DD1">
            <w:pPr>
              <w:pStyle w:val="TableText"/>
              <w:keepNext/>
              <w:keepLines/>
              <w:spacing w:before="0" w:after="0"/>
            </w:pPr>
            <w:r w:rsidRPr="009531BF">
              <w:rPr>
                <w:rFonts w:eastAsia="OTNEJMScalaSansLF"/>
              </w:rPr>
              <w:t>1.19 (0.31</w:t>
            </w:r>
            <w:r w:rsidRPr="009531BF">
              <w:rPr>
                <w:rFonts w:eastAsia="OTNEJMScalaSansLF" w:hint="eastAsia"/>
              </w:rPr>
              <w:t>–</w:t>
            </w:r>
            <w:r w:rsidRPr="009531BF">
              <w:rPr>
                <w:rFonts w:eastAsia="OTNEJMScalaSansLF"/>
              </w:rPr>
              <w:t>4.56)</w:t>
            </w:r>
          </w:p>
        </w:tc>
      </w:tr>
      <w:tr w:rsidR="00EC2697" w:rsidRPr="009531BF" w14:paraId="5E6848CC" w14:textId="77777777" w:rsidTr="00970246">
        <w:trPr>
          <w:trHeight w:val="287"/>
        </w:trPr>
        <w:tc>
          <w:tcPr>
            <w:tcW w:w="4138" w:type="dxa"/>
            <w:shd w:val="clear" w:color="auto" w:fill="auto"/>
          </w:tcPr>
          <w:p w14:paraId="1F5E728B" w14:textId="77777777" w:rsidR="00EC2697" w:rsidRPr="009531BF" w:rsidRDefault="00EC2697" w:rsidP="008C6DD1">
            <w:pPr>
              <w:pStyle w:val="TableText"/>
              <w:keepNext/>
              <w:keepLines/>
              <w:spacing w:before="0" w:after="0"/>
            </w:pPr>
            <w:r w:rsidRPr="009531BF">
              <w:rPr>
                <w:rFonts w:eastAsia="OTNEJMScalaSansLF"/>
              </w:rPr>
              <w:t>Abruption without preeclampsia</w:t>
            </w:r>
          </w:p>
        </w:tc>
        <w:tc>
          <w:tcPr>
            <w:tcW w:w="1703" w:type="dxa"/>
            <w:shd w:val="clear" w:color="auto" w:fill="auto"/>
          </w:tcPr>
          <w:p w14:paraId="055CF041" w14:textId="77777777" w:rsidR="00EC2697" w:rsidRPr="001C5051" w:rsidRDefault="00EC2697" w:rsidP="008C6DD1">
            <w:pPr>
              <w:pStyle w:val="TableText"/>
              <w:keepNext/>
              <w:keepLines/>
              <w:spacing w:before="0" w:after="0"/>
            </w:pPr>
            <w:r w:rsidRPr="001C5051">
              <w:t>2 (0.3)</w:t>
            </w:r>
          </w:p>
        </w:tc>
        <w:tc>
          <w:tcPr>
            <w:tcW w:w="1582" w:type="dxa"/>
            <w:shd w:val="clear" w:color="auto" w:fill="auto"/>
          </w:tcPr>
          <w:p w14:paraId="5979921A" w14:textId="77777777" w:rsidR="00EC2697" w:rsidRPr="009531BF" w:rsidRDefault="00EC2697" w:rsidP="008C6DD1">
            <w:pPr>
              <w:pStyle w:val="TableText"/>
              <w:keepNext/>
              <w:keepLines/>
              <w:spacing w:before="0" w:after="0"/>
            </w:pPr>
            <w:r w:rsidRPr="009531BF">
              <w:rPr>
                <w:rFonts w:eastAsia="OTNEJMScalaSansLF"/>
              </w:rPr>
              <w:t>4 (0.5)</w:t>
            </w:r>
          </w:p>
        </w:tc>
        <w:tc>
          <w:tcPr>
            <w:tcW w:w="1662" w:type="dxa"/>
            <w:shd w:val="clear" w:color="auto" w:fill="auto"/>
          </w:tcPr>
          <w:p w14:paraId="27E6DAE5" w14:textId="77777777" w:rsidR="00EC2697" w:rsidRPr="009531BF" w:rsidRDefault="00EC2697" w:rsidP="008C6DD1">
            <w:pPr>
              <w:pStyle w:val="TableText"/>
              <w:keepNext/>
              <w:keepLines/>
              <w:spacing w:before="0" w:after="0"/>
            </w:pPr>
            <w:r w:rsidRPr="009531BF">
              <w:rPr>
                <w:rFonts w:eastAsia="OTNEJMScalaSansLF"/>
              </w:rPr>
              <w:t>0.52 (0.06</w:t>
            </w:r>
            <w:r w:rsidRPr="009531BF">
              <w:rPr>
                <w:rFonts w:eastAsia="OTNEJMScalaSansLF" w:hint="eastAsia"/>
              </w:rPr>
              <w:t>–</w:t>
            </w:r>
            <w:r w:rsidRPr="009531BF">
              <w:rPr>
                <w:rFonts w:eastAsia="OTNEJMScalaSansLF"/>
              </w:rPr>
              <w:t>4.91)</w:t>
            </w:r>
          </w:p>
        </w:tc>
      </w:tr>
      <w:tr w:rsidR="00EC2697" w:rsidRPr="009531BF" w14:paraId="4FE164AC" w14:textId="77777777" w:rsidTr="00970246">
        <w:trPr>
          <w:trHeight w:val="287"/>
        </w:trPr>
        <w:tc>
          <w:tcPr>
            <w:tcW w:w="4138" w:type="dxa"/>
            <w:shd w:val="clear" w:color="auto" w:fill="auto"/>
          </w:tcPr>
          <w:p w14:paraId="61BDB07F" w14:textId="77777777" w:rsidR="00EC2697" w:rsidRPr="009531BF" w:rsidRDefault="00EC2697" w:rsidP="008C6DD1">
            <w:pPr>
              <w:pStyle w:val="TableText"/>
              <w:keepNext/>
              <w:keepLines/>
              <w:spacing w:before="0" w:after="0"/>
            </w:pPr>
            <w:r w:rsidRPr="009531BF">
              <w:rPr>
                <w:rFonts w:eastAsia="OTNEJMScalaSansLF"/>
              </w:rPr>
              <w:t>Spontaneous delivery without preeclampsia</w:t>
            </w:r>
          </w:p>
        </w:tc>
        <w:tc>
          <w:tcPr>
            <w:tcW w:w="1703" w:type="dxa"/>
            <w:shd w:val="clear" w:color="auto" w:fill="auto"/>
          </w:tcPr>
          <w:p w14:paraId="4528D1AD" w14:textId="77777777" w:rsidR="00EC2697" w:rsidRPr="001C5051" w:rsidRDefault="00EC2697" w:rsidP="008C6DD1">
            <w:pPr>
              <w:pStyle w:val="TableText"/>
              <w:keepNext/>
              <w:keepLines/>
              <w:spacing w:before="0" w:after="0"/>
            </w:pPr>
            <w:r w:rsidRPr="001C5051">
              <w:t>40 (5.0)</w:t>
            </w:r>
          </w:p>
        </w:tc>
        <w:tc>
          <w:tcPr>
            <w:tcW w:w="1582" w:type="dxa"/>
            <w:shd w:val="clear" w:color="auto" w:fill="auto"/>
          </w:tcPr>
          <w:p w14:paraId="4A00B602" w14:textId="77777777" w:rsidR="00EC2697" w:rsidRPr="009531BF" w:rsidRDefault="00EC2697" w:rsidP="008C6DD1">
            <w:pPr>
              <w:pStyle w:val="TableText"/>
              <w:keepNext/>
              <w:keepLines/>
              <w:spacing w:before="0" w:after="0"/>
            </w:pPr>
            <w:r w:rsidRPr="009531BF">
              <w:rPr>
                <w:rFonts w:eastAsia="OTNEJMScalaSansLF"/>
              </w:rPr>
              <w:t>49 (6.0)</w:t>
            </w:r>
          </w:p>
        </w:tc>
        <w:tc>
          <w:tcPr>
            <w:tcW w:w="1662" w:type="dxa"/>
            <w:shd w:val="clear" w:color="auto" w:fill="auto"/>
          </w:tcPr>
          <w:p w14:paraId="1853549A" w14:textId="77777777" w:rsidR="00EC2697" w:rsidRPr="009531BF" w:rsidRDefault="00EC2697" w:rsidP="008C6DD1">
            <w:pPr>
              <w:pStyle w:val="TableText"/>
              <w:keepNext/>
              <w:keepLines/>
              <w:spacing w:before="0" w:after="0"/>
            </w:pPr>
            <w:r w:rsidRPr="009531BF">
              <w:rPr>
                <w:rFonts w:eastAsia="OTNEJMScalaSansLF"/>
              </w:rPr>
              <w:t>0.83 (0.47</w:t>
            </w:r>
            <w:r w:rsidRPr="009531BF">
              <w:rPr>
                <w:rFonts w:eastAsia="OTNEJMScalaSansLF" w:hint="eastAsia"/>
              </w:rPr>
              <w:t>–</w:t>
            </w:r>
            <w:r w:rsidRPr="009531BF">
              <w:rPr>
                <w:rFonts w:eastAsia="OTNEJMScalaSansLF"/>
              </w:rPr>
              <w:t>1.47)</w:t>
            </w:r>
          </w:p>
        </w:tc>
      </w:tr>
      <w:tr w:rsidR="00EC2697" w:rsidRPr="00CE0B97" w14:paraId="6EACE5D2" w14:textId="77777777" w:rsidTr="00970246">
        <w:trPr>
          <w:trHeight w:val="287"/>
        </w:trPr>
        <w:tc>
          <w:tcPr>
            <w:tcW w:w="9086" w:type="dxa"/>
            <w:gridSpan w:val="4"/>
            <w:shd w:val="clear" w:color="auto" w:fill="auto"/>
          </w:tcPr>
          <w:p w14:paraId="14DFF454" w14:textId="77777777" w:rsidR="00EC2697" w:rsidRPr="00010D0F" w:rsidRDefault="00EC2697" w:rsidP="008C6DD1">
            <w:pPr>
              <w:pStyle w:val="TableText"/>
              <w:keepNext/>
              <w:keepLines/>
              <w:spacing w:before="0" w:after="0"/>
              <w:rPr>
                <w:b/>
              </w:rPr>
            </w:pPr>
            <w:r w:rsidRPr="00010D0F">
              <w:rPr>
                <w:b/>
              </w:rPr>
              <w:t>Adverse outcomes at ≥37 weeks gestation</w:t>
            </w:r>
          </w:p>
        </w:tc>
      </w:tr>
      <w:tr w:rsidR="00EC2697" w:rsidRPr="009531BF" w14:paraId="30E9EE51" w14:textId="77777777" w:rsidTr="00970246">
        <w:trPr>
          <w:trHeight w:val="287"/>
        </w:trPr>
        <w:tc>
          <w:tcPr>
            <w:tcW w:w="4138" w:type="dxa"/>
            <w:shd w:val="clear" w:color="auto" w:fill="auto"/>
          </w:tcPr>
          <w:p w14:paraId="79F9A90A" w14:textId="77777777" w:rsidR="00EC2697" w:rsidRPr="009531BF" w:rsidRDefault="00EC2697" w:rsidP="008C6DD1">
            <w:pPr>
              <w:pStyle w:val="TableText"/>
              <w:keepNext/>
              <w:keepLines/>
              <w:spacing w:before="0" w:after="0"/>
            </w:pPr>
            <w:r w:rsidRPr="009531BF">
              <w:t>Preeclampsia</w:t>
            </w:r>
          </w:p>
        </w:tc>
        <w:tc>
          <w:tcPr>
            <w:tcW w:w="1703" w:type="dxa"/>
            <w:shd w:val="clear" w:color="auto" w:fill="auto"/>
          </w:tcPr>
          <w:p w14:paraId="79D6D94B" w14:textId="77777777" w:rsidR="00EC2697" w:rsidRPr="001C5051" w:rsidRDefault="00EC2697" w:rsidP="008C6DD1">
            <w:pPr>
              <w:pStyle w:val="TableText"/>
              <w:keepNext/>
              <w:keepLines/>
              <w:spacing w:before="0" w:after="0"/>
            </w:pPr>
            <w:r w:rsidRPr="001C5051">
              <w:t>53 (6.6)</w:t>
            </w:r>
          </w:p>
        </w:tc>
        <w:tc>
          <w:tcPr>
            <w:tcW w:w="1582" w:type="dxa"/>
            <w:shd w:val="clear" w:color="auto" w:fill="auto"/>
          </w:tcPr>
          <w:p w14:paraId="425B0B68" w14:textId="77777777" w:rsidR="00EC2697" w:rsidRPr="009531BF" w:rsidRDefault="00EC2697" w:rsidP="008C6DD1">
            <w:pPr>
              <w:pStyle w:val="TableText"/>
              <w:keepNext/>
              <w:keepLines/>
              <w:spacing w:before="0" w:after="0"/>
            </w:pPr>
            <w:r w:rsidRPr="009531BF">
              <w:rPr>
                <w:rFonts w:eastAsia="OTNEJMScalaSansLF"/>
              </w:rPr>
              <w:t>59 (7.2)</w:t>
            </w:r>
          </w:p>
        </w:tc>
        <w:tc>
          <w:tcPr>
            <w:tcW w:w="1662" w:type="dxa"/>
            <w:shd w:val="clear" w:color="auto" w:fill="auto"/>
          </w:tcPr>
          <w:p w14:paraId="39D163AE" w14:textId="77777777" w:rsidR="00EC2697" w:rsidRPr="009531BF" w:rsidRDefault="00EC2697" w:rsidP="008C6DD1">
            <w:pPr>
              <w:pStyle w:val="TableText"/>
              <w:keepNext/>
              <w:keepLines/>
              <w:spacing w:before="0" w:after="0"/>
            </w:pPr>
            <w:r w:rsidRPr="009531BF">
              <w:rPr>
                <w:rFonts w:eastAsia="OTNEJMScalaSansLF"/>
              </w:rPr>
              <w:t>0.95 (0.57</w:t>
            </w:r>
            <w:r w:rsidRPr="009531BF">
              <w:rPr>
                <w:rFonts w:eastAsia="OTNEJMScalaSansLF" w:hint="eastAsia"/>
              </w:rPr>
              <w:t>–</w:t>
            </w:r>
            <w:r w:rsidRPr="009531BF">
              <w:rPr>
                <w:rFonts w:eastAsia="OTNEJMScalaSansLF"/>
              </w:rPr>
              <w:t>1.57)</w:t>
            </w:r>
          </w:p>
        </w:tc>
      </w:tr>
      <w:tr w:rsidR="00EC2697" w:rsidRPr="009531BF" w14:paraId="75ED6F38" w14:textId="77777777" w:rsidTr="00970246">
        <w:trPr>
          <w:trHeight w:val="287"/>
        </w:trPr>
        <w:tc>
          <w:tcPr>
            <w:tcW w:w="4138" w:type="dxa"/>
            <w:shd w:val="clear" w:color="auto" w:fill="auto"/>
          </w:tcPr>
          <w:p w14:paraId="196866AE" w14:textId="77777777" w:rsidR="00EC2697" w:rsidRPr="009531BF" w:rsidRDefault="00EC2697" w:rsidP="008C6DD1">
            <w:pPr>
              <w:pStyle w:val="TableText"/>
              <w:keepNext/>
              <w:keepLines/>
              <w:spacing w:before="0" w:after="0"/>
            </w:pPr>
            <w:r w:rsidRPr="009531BF">
              <w:t>Gestational hypertension</w:t>
            </w:r>
          </w:p>
        </w:tc>
        <w:tc>
          <w:tcPr>
            <w:tcW w:w="1703" w:type="dxa"/>
            <w:shd w:val="clear" w:color="auto" w:fill="auto"/>
          </w:tcPr>
          <w:p w14:paraId="5537DF1A" w14:textId="77777777" w:rsidR="00EC2697" w:rsidRPr="001C5051" w:rsidRDefault="00EC2697" w:rsidP="008C6DD1">
            <w:pPr>
              <w:pStyle w:val="TableText"/>
              <w:keepNext/>
              <w:keepLines/>
              <w:spacing w:before="0" w:after="0"/>
            </w:pPr>
            <w:r w:rsidRPr="001C5051">
              <w:t>72 (9.0)</w:t>
            </w:r>
          </w:p>
        </w:tc>
        <w:tc>
          <w:tcPr>
            <w:tcW w:w="1582" w:type="dxa"/>
            <w:shd w:val="clear" w:color="auto" w:fill="auto"/>
          </w:tcPr>
          <w:p w14:paraId="5B76C3A2" w14:textId="77777777" w:rsidR="00EC2697" w:rsidRPr="009531BF" w:rsidRDefault="00EC2697" w:rsidP="008C6DD1">
            <w:pPr>
              <w:pStyle w:val="TableText"/>
              <w:keepNext/>
              <w:keepLines/>
              <w:spacing w:before="0" w:after="0"/>
            </w:pPr>
            <w:r w:rsidRPr="009531BF">
              <w:rPr>
                <w:rFonts w:eastAsia="OTNEJMScalaSansLF"/>
              </w:rPr>
              <w:t>62 (7.5)</w:t>
            </w:r>
          </w:p>
        </w:tc>
        <w:tc>
          <w:tcPr>
            <w:tcW w:w="1662" w:type="dxa"/>
            <w:shd w:val="clear" w:color="auto" w:fill="auto"/>
          </w:tcPr>
          <w:p w14:paraId="763BF9DC" w14:textId="77777777" w:rsidR="00EC2697" w:rsidRPr="009531BF" w:rsidRDefault="00EC2697" w:rsidP="008C6DD1">
            <w:pPr>
              <w:pStyle w:val="TableText"/>
              <w:keepNext/>
              <w:keepLines/>
              <w:spacing w:before="0" w:after="0"/>
            </w:pPr>
            <w:r w:rsidRPr="009531BF">
              <w:rPr>
                <w:rFonts w:eastAsia="OTNEJMScalaSansLF"/>
              </w:rPr>
              <w:t>1.24 (0.78</w:t>
            </w:r>
            <w:r w:rsidRPr="009531BF">
              <w:rPr>
                <w:rFonts w:eastAsia="OTNEJMScalaSansLF" w:hint="eastAsia"/>
              </w:rPr>
              <w:t>–</w:t>
            </w:r>
            <w:r w:rsidRPr="009531BF">
              <w:rPr>
                <w:rFonts w:eastAsia="OTNEJMScalaSansLF"/>
              </w:rPr>
              <w:t>1.98)</w:t>
            </w:r>
          </w:p>
        </w:tc>
      </w:tr>
      <w:tr w:rsidR="00EC2697" w:rsidRPr="009531BF" w14:paraId="2729F495" w14:textId="77777777" w:rsidTr="00970246">
        <w:trPr>
          <w:trHeight w:val="287"/>
        </w:trPr>
        <w:tc>
          <w:tcPr>
            <w:tcW w:w="4138" w:type="dxa"/>
            <w:shd w:val="clear" w:color="auto" w:fill="auto"/>
          </w:tcPr>
          <w:p w14:paraId="30D0B2C0" w14:textId="77777777" w:rsidR="00EC2697" w:rsidRPr="009531BF" w:rsidRDefault="00EC2697" w:rsidP="008C6DD1">
            <w:pPr>
              <w:pStyle w:val="TableText"/>
              <w:keepNext/>
              <w:keepLines/>
              <w:spacing w:before="0" w:after="0"/>
            </w:pPr>
            <w:r w:rsidRPr="009531BF">
              <w:rPr>
                <w:rFonts w:eastAsia="OTNEJMScalaSansLF"/>
              </w:rPr>
              <w:lastRenderedPageBreak/>
              <w:t>Abruption without preeclampsia</w:t>
            </w:r>
          </w:p>
        </w:tc>
        <w:tc>
          <w:tcPr>
            <w:tcW w:w="1703" w:type="dxa"/>
            <w:shd w:val="clear" w:color="auto" w:fill="auto"/>
          </w:tcPr>
          <w:p w14:paraId="51664FE2" w14:textId="77777777" w:rsidR="00EC2697" w:rsidRPr="001C5051" w:rsidRDefault="00EC2697" w:rsidP="008C6DD1">
            <w:pPr>
              <w:pStyle w:val="TableText"/>
              <w:keepNext/>
              <w:keepLines/>
              <w:spacing w:before="0" w:after="0"/>
            </w:pPr>
            <w:r w:rsidRPr="001C5051">
              <w:t>2 (0.3)</w:t>
            </w:r>
          </w:p>
        </w:tc>
        <w:tc>
          <w:tcPr>
            <w:tcW w:w="1582" w:type="dxa"/>
            <w:shd w:val="clear" w:color="auto" w:fill="auto"/>
          </w:tcPr>
          <w:p w14:paraId="5D136CAA" w14:textId="77777777" w:rsidR="00EC2697" w:rsidRPr="009531BF" w:rsidRDefault="00EC2697" w:rsidP="008C6DD1">
            <w:pPr>
              <w:pStyle w:val="TableText"/>
              <w:keepNext/>
              <w:keepLines/>
              <w:spacing w:before="0" w:after="0"/>
            </w:pPr>
            <w:r w:rsidRPr="009531BF">
              <w:rPr>
                <w:rFonts w:eastAsia="OTNEJMScalaSansLF"/>
              </w:rPr>
              <w:t>2 (0.2)</w:t>
            </w:r>
          </w:p>
        </w:tc>
        <w:tc>
          <w:tcPr>
            <w:tcW w:w="1662" w:type="dxa"/>
            <w:shd w:val="clear" w:color="auto" w:fill="auto"/>
          </w:tcPr>
          <w:p w14:paraId="4D3C8E3F" w14:textId="77777777" w:rsidR="00EC2697" w:rsidRPr="009531BF" w:rsidRDefault="00EC2697" w:rsidP="008C6DD1">
            <w:pPr>
              <w:pStyle w:val="TableText"/>
              <w:keepNext/>
              <w:keepLines/>
              <w:spacing w:before="0" w:after="0"/>
            </w:pPr>
            <w:r w:rsidRPr="009531BF">
              <w:rPr>
                <w:rFonts w:eastAsia="OTNEJMScalaSansLF"/>
              </w:rPr>
              <w:t>1.01 (0.08</w:t>
            </w:r>
            <w:r w:rsidRPr="009531BF">
              <w:rPr>
                <w:rFonts w:eastAsia="OTNEJMScalaSansLF" w:hint="eastAsia"/>
              </w:rPr>
              <w:t>–</w:t>
            </w:r>
            <w:r w:rsidRPr="009531BF">
              <w:rPr>
                <w:rFonts w:eastAsia="OTNEJMScalaSansLF"/>
              </w:rPr>
              <w:t>13.40)</w:t>
            </w:r>
          </w:p>
        </w:tc>
      </w:tr>
      <w:tr w:rsidR="00EC2697" w:rsidRPr="00CE0B97" w14:paraId="7448EDF0" w14:textId="77777777" w:rsidTr="00970246">
        <w:trPr>
          <w:trHeight w:val="287"/>
        </w:trPr>
        <w:tc>
          <w:tcPr>
            <w:tcW w:w="9086" w:type="dxa"/>
            <w:gridSpan w:val="4"/>
            <w:shd w:val="clear" w:color="auto" w:fill="auto"/>
          </w:tcPr>
          <w:p w14:paraId="0F98CEF9" w14:textId="77777777" w:rsidR="00EC2697" w:rsidRPr="00010D0F" w:rsidRDefault="00EC2697" w:rsidP="008C6DD1">
            <w:pPr>
              <w:pStyle w:val="TableText"/>
              <w:keepNext/>
              <w:keepLines/>
              <w:spacing w:before="0" w:after="0"/>
              <w:rPr>
                <w:b/>
              </w:rPr>
            </w:pPr>
            <w:r w:rsidRPr="00010D0F">
              <w:rPr>
                <w:b/>
              </w:rPr>
              <w:t>Neonatal outcomes</w:t>
            </w:r>
          </w:p>
        </w:tc>
      </w:tr>
      <w:tr w:rsidR="00EC2697" w:rsidRPr="009531BF" w14:paraId="5A3F537D" w14:textId="77777777" w:rsidTr="00970246">
        <w:trPr>
          <w:trHeight w:val="287"/>
        </w:trPr>
        <w:tc>
          <w:tcPr>
            <w:tcW w:w="4138" w:type="dxa"/>
            <w:shd w:val="clear" w:color="auto" w:fill="auto"/>
          </w:tcPr>
          <w:p w14:paraId="2CDCF4F8" w14:textId="77777777" w:rsidR="00EC2697" w:rsidRPr="00CE0B97" w:rsidRDefault="00EC2697" w:rsidP="008C6DD1">
            <w:pPr>
              <w:pStyle w:val="TableText"/>
              <w:keepNext/>
              <w:keepLines/>
              <w:spacing w:before="0" w:after="0"/>
            </w:pPr>
            <w:r w:rsidRPr="00CE0B97">
              <w:t xml:space="preserve">Stillbirth or death with </w:t>
            </w:r>
            <w:r>
              <w:t>preeclampsia</w:t>
            </w:r>
            <w:r w:rsidRPr="00CE0B97">
              <w:t xml:space="preserve"> or status of SGA</w:t>
            </w:r>
          </w:p>
        </w:tc>
        <w:tc>
          <w:tcPr>
            <w:tcW w:w="1703" w:type="dxa"/>
            <w:shd w:val="clear" w:color="auto" w:fill="auto"/>
          </w:tcPr>
          <w:p w14:paraId="33AE8D69" w14:textId="77777777" w:rsidR="00EC2697" w:rsidRPr="001C5051" w:rsidRDefault="00EC2697" w:rsidP="008C6DD1">
            <w:pPr>
              <w:pStyle w:val="TableText"/>
              <w:keepNext/>
              <w:keepLines/>
              <w:spacing w:before="0" w:after="0"/>
            </w:pPr>
            <w:r w:rsidRPr="001C5051">
              <w:t>5 (0.6)</w:t>
            </w:r>
          </w:p>
        </w:tc>
        <w:tc>
          <w:tcPr>
            <w:tcW w:w="1582" w:type="dxa"/>
            <w:shd w:val="clear" w:color="auto" w:fill="auto"/>
          </w:tcPr>
          <w:p w14:paraId="4A73BB47" w14:textId="77777777" w:rsidR="00EC2697" w:rsidRPr="00CE0B97" w:rsidRDefault="00EC2697" w:rsidP="008C6DD1">
            <w:pPr>
              <w:pStyle w:val="TableText"/>
              <w:keepNext/>
              <w:keepLines/>
              <w:spacing w:before="0" w:after="0"/>
            </w:pPr>
            <w:r w:rsidRPr="00CE0B97">
              <w:t>8 (1.0)</w:t>
            </w:r>
          </w:p>
        </w:tc>
        <w:tc>
          <w:tcPr>
            <w:tcW w:w="1662" w:type="dxa"/>
            <w:shd w:val="clear" w:color="auto" w:fill="auto"/>
          </w:tcPr>
          <w:p w14:paraId="54E46D3B" w14:textId="77777777" w:rsidR="00EC2697" w:rsidRPr="00CE0B97" w:rsidRDefault="00EC2697" w:rsidP="008C6DD1">
            <w:pPr>
              <w:pStyle w:val="TableText"/>
              <w:keepNext/>
              <w:keepLines/>
              <w:spacing w:before="0" w:after="0"/>
            </w:pPr>
            <w:r w:rsidRPr="00CE0B97">
              <w:t>0.65 (0.15</w:t>
            </w:r>
            <w:r w:rsidRPr="00CE0B97">
              <w:rPr>
                <w:rFonts w:hint="eastAsia"/>
              </w:rPr>
              <w:t>–</w:t>
            </w:r>
            <w:r w:rsidRPr="00CE0B97">
              <w:t>2.90)</w:t>
            </w:r>
          </w:p>
        </w:tc>
      </w:tr>
      <w:tr w:rsidR="00EC2697" w:rsidRPr="009531BF" w14:paraId="6F35454D" w14:textId="77777777" w:rsidTr="00970246">
        <w:trPr>
          <w:trHeight w:val="287"/>
        </w:trPr>
        <w:tc>
          <w:tcPr>
            <w:tcW w:w="4138" w:type="dxa"/>
            <w:shd w:val="clear" w:color="auto" w:fill="auto"/>
          </w:tcPr>
          <w:p w14:paraId="4A72C132" w14:textId="77777777" w:rsidR="00EC2697" w:rsidRPr="00CE0B97" w:rsidRDefault="00EC2697" w:rsidP="008C6DD1">
            <w:pPr>
              <w:pStyle w:val="TableText"/>
              <w:keepNext/>
              <w:keepLines/>
              <w:spacing w:before="0" w:after="0"/>
            </w:pPr>
            <w:r w:rsidRPr="00CE0B97">
              <w:t>Stillbirth or death without PE or status of SGA</w:t>
            </w:r>
          </w:p>
        </w:tc>
        <w:tc>
          <w:tcPr>
            <w:tcW w:w="1703" w:type="dxa"/>
            <w:shd w:val="clear" w:color="auto" w:fill="auto"/>
          </w:tcPr>
          <w:p w14:paraId="2F6A6C63" w14:textId="77777777" w:rsidR="00EC2697" w:rsidRPr="00CE0B97" w:rsidRDefault="00EC2697" w:rsidP="008C6DD1">
            <w:pPr>
              <w:pStyle w:val="TableText"/>
              <w:keepNext/>
              <w:keepLines/>
              <w:spacing w:before="0" w:after="0"/>
            </w:pPr>
            <w:r w:rsidRPr="00CE0B97">
              <w:t>3 (0.4)</w:t>
            </w:r>
          </w:p>
        </w:tc>
        <w:tc>
          <w:tcPr>
            <w:tcW w:w="1582" w:type="dxa"/>
            <w:shd w:val="clear" w:color="auto" w:fill="auto"/>
          </w:tcPr>
          <w:p w14:paraId="20CCE7E9" w14:textId="77777777" w:rsidR="00EC2697" w:rsidRPr="00CE0B97" w:rsidRDefault="00EC2697" w:rsidP="008C6DD1">
            <w:pPr>
              <w:pStyle w:val="TableText"/>
              <w:keepNext/>
              <w:keepLines/>
              <w:spacing w:before="0" w:after="0"/>
            </w:pPr>
            <w:r w:rsidRPr="00CE0B97">
              <w:t>6 (0.7)</w:t>
            </w:r>
          </w:p>
        </w:tc>
        <w:tc>
          <w:tcPr>
            <w:tcW w:w="1662" w:type="dxa"/>
            <w:shd w:val="clear" w:color="auto" w:fill="auto"/>
          </w:tcPr>
          <w:p w14:paraId="6FE9963B" w14:textId="77777777" w:rsidR="00EC2697" w:rsidRPr="00CE0B97" w:rsidRDefault="00EC2697" w:rsidP="008C6DD1">
            <w:pPr>
              <w:pStyle w:val="TableText"/>
              <w:keepNext/>
              <w:keepLines/>
              <w:spacing w:before="0" w:after="0"/>
            </w:pPr>
            <w:r w:rsidRPr="00CE0B97">
              <w:t>0.51 (0.08</w:t>
            </w:r>
            <w:r w:rsidRPr="00CE0B97">
              <w:rPr>
                <w:rFonts w:hint="eastAsia"/>
              </w:rPr>
              <w:t>–</w:t>
            </w:r>
            <w:r w:rsidRPr="00CE0B97">
              <w:t>3.19)</w:t>
            </w:r>
          </w:p>
        </w:tc>
      </w:tr>
      <w:tr w:rsidR="00EC2697" w:rsidRPr="009531BF" w14:paraId="77421EDF" w14:textId="77777777" w:rsidTr="008C6DD1">
        <w:trPr>
          <w:trHeight w:val="287"/>
        </w:trPr>
        <w:tc>
          <w:tcPr>
            <w:tcW w:w="4138" w:type="dxa"/>
          </w:tcPr>
          <w:p w14:paraId="69B07C27" w14:textId="77777777" w:rsidR="00EC2697" w:rsidRPr="00CE0B97" w:rsidRDefault="00EC2697" w:rsidP="008C6DD1">
            <w:pPr>
              <w:pStyle w:val="TableText"/>
              <w:keepNext/>
              <w:keepLines/>
              <w:spacing w:before="0" w:after="0"/>
            </w:pPr>
            <w:r w:rsidRPr="00CE0B97">
              <w:t>Admission to intensive care unit</w:t>
            </w:r>
          </w:p>
        </w:tc>
        <w:tc>
          <w:tcPr>
            <w:tcW w:w="1703" w:type="dxa"/>
          </w:tcPr>
          <w:p w14:paraId="3297D4A3" w14:textId="77777777" w:rsidR="00EC2697" w:rsidRPr="00CE0B97" w:rsidRDefault="00EC2697" w:rsidP="008C6DD1">
            <w:pPr>
              <w:pStyle w:val="TableText"/>
              <w:keepNext/>
              <w:keepLines/>
              <w:spacing w:before="0" w:after="0"/>
            </w:pPr>
            <w:r w:rsidRPr="00CE0B97">
              <w:t>48 (6.0)</w:t>
            </w:r>
          </w:p>
        </w:tc>
        <w:tc>
          <w:tcPr>
            <w:tcW w:w="1582" w:type="dxa"/>
          </w:tcPr>
          <w:p w14:paraId="05C53D59" w14:textId="77777777" w:rsidR="00EC2697" w:rsidRPr="00CE0B97" w:rsidRDefault="00EC2697" w:rsidP="008C6DD1">
            <w:pPr>
              <w:pStyle w:val="TableText"/>
              <w:keepNext/>
              <w:keepLines/>
              <w:spacing w:before="0" w:after="0"/>
            </w:pPr>
            <w:r w:rsidRPr="00CE0B97">
              <w:t>54 (6.6)</w:t>
            </w:r>
          </w:p>
        </w:tc>
        <w:tc>
          <w:tcPr>
            <w:tcW w:w="1662" w:type="dxa"/>
          </w:tcPr>
          <w:p w14:paraId="7ACF216C" w14:textId="77777777" w:rsidR="00EC2697" w:rsidRPr="00CE0B97" w:rsidRDefault="00EC2697" w:rsidP="008C6DD1">
            <w:pPr>
              <w:pStyle w:val="TableText"/>
              <w:keepNext/>
              <w:keepLines/>
              <w:spacing w:before="0" w:after="0"/>
            </w:pPr>
            <w:r w:rsidRPr="00CE0B97">
              <w:t>0.93 (0.55</w:t>
            </w:r>
            <w:r w:rsidRPr="00CE0B97">
              <w:rPr>
                <w:rFonts w:hint="eastAsia"/>
              </w:rPr>
              <w:t>–</w:t>
            </w:r>
            <w:r w:rsidRPr="00CE0B97">
              <w:t>1.59)</w:t>
            </w:r>
          </w:p>
        </w:tc>
      </w:tr>
    </w:tbl>
    <w:p w14:paraId="3EA74DC5" w14:textId="68569DC6" w:rsidR="00EC2697" w:rsidRPr="003D65E3" w:rsidRDefault="008C6DD1" w:rsidP="00EC2697">
      <w:pPr>
        <w:pStyle w:val="Tablenotes0"/>
        <w:keepNext/>
        <w:keepLines/>
      </w:pPr>
      <w:r>
        <w:t xml:space="preserve">Abbreviations: </w:t>
      </w:r>
      <w:r w:rsidR="00EC2697">
        <w:t xml:space="preserve">CI=confidence interval; </w:t>
      </w:r>
      <w:r>
        <w:t xml:space="preserve">PE=preeclampsia; </w:t>
      </w:r>
      <w:r w:rsidR="00EC2697" w:rsidRPr="003D65E3">
        <w:t>SGA</w:t>
      </w:r>
      <w:r w:rsidR="00EC2697">
        <w:t>=</w:t>
      </w:r>
      <w:r w:rsidR="00EC2697" w:rsidRPr="003D65E3">
        <w:t>small for gestational age</w:t>
      </w:r>
    </w:p>
    <w:p w14:paraId="12DD5B7F" w14:textId="7081F872" w:rsidR="001170FA" w:rsidRPr="003D65E3" w:rsidRDefault="001170FA" w:rsidP="00EC2697">
      <w:pPr>
        <w:pStyle w:val="Tablenotes0"/>
        <w:keepNext/>
        <w:keepLines/>
      </w:pPr>
      <w:r>
        <w:t xml:space="preserve">Source: </w:t>
      </w:r>
      <w:r w:rsidR="006A6008">
        <w:t>Table 13, p</w:t>
      </w:r>
      <w:r w:rsidR="007A2047">
        <w:t>49 of ADAR</w:t>
      </w:r>
    </w:p>
    <w:p w14:paraId="2842E0F5" w14:textId="1310FE75" w:rsidR="00D06ECA" w:rsidRPr="00D03D1F" w:rsidRDefault="00D06ECA" w:rsidP="00970246">
      <w:pPr>
        <w:pStyle w:val="Heading4"/>
      </w:pPr>
      <w:r w:rsidRPr="00D03D1F">
        <w:t xml:space="preserve">Influence of </w:t>
      </w:r>
      <w:r w:rsidR="00D03D1F" w:rsidRPr="00D03D1F">
        <w:t xml:space="preserve">treatment </w:t>
      </w:r>
      <w:r w:rsidRPr="00D03D1F">
        <w:t>compliance</w:t>
      </w:r>
    </w:p>
    <w:p w14:paraId="5AB1669F" w14:textId="0892B464" w:rsidR="00547FBA" w:rsidRDefault="00470B6D" w:rsidP="00547FBA">
      <w:pPr>
        <w:pStyle w:val="a-TEXT"/>
      </w:pPr>
      <w:r w:rsidRPr="0048627C">
        <w:t xml:space="preserve">A secondary analysis </w:t>
      </w:r>
      <w:r w:rsidR="00D06ECA" w:rsidRPr="0048627C">
        <w:t>showed that the beneficial effect of aspirin in the prevention of preterm preeclampsia appears to</w:t>
      </w:r>
      <w:r w:rsidR="005E2F2B">
        <w:t xml:space="preserve"> be</w:t>
      </w:r>
      <w:r w:rsidR="00D06ECA" w:rsidRPr="0048627C">
        <w:t xml:space="preserve"> </w:t>
      </w:r>
      <w:r w:rsidR="00D06ECA">
        <w:t xml:space="preserve">associated with </w:t>
      </w:r>
      <w:r w:rsidR="00F902DF">
        <w:t xml:space="preserve">treatment adherence </w:t>
      </w:r>
      <w:r w:rsidR="000B293C" w:rsidRPr="000B293C">
        <w:t>(Wright et al., 2017).</w:t>
      </w:r>
      <w:r w:rsidR="003E2899">
        <w:t xml:space="preserve"> </w:t>
      </w:r>
      <w:r w:rsidR="00547FBA">
        <w:t>While the ASPRE trial reported generally high levels of compliance (</w:t>
      </w:r>
      <w:r w:rsidR="00547FBA" w:rsidRPr="003A4608">
        <w:t>&gt;90% in 85% of women</w:t>
      </w:r>
      <w:r w:rsidR="00D03D1F">
        <w:t>)</w:t>
      </w:r>
      <w:r w:rsidR="00547FBA" w:rsidRPr="003A4608">
        <w:t xml:space="preserve"> </w:t>
      </w:r>
      <w:r w:rsidR="00547FBA">
        <w:t xml:space="preserve">in the aspirin arm, true </w:t>
      </w:r>
      <w:r w:rsidR="00547FBA" w:rsidRPr="003A4608">
        <w:t xml:space="preserve">compliance </w:t>
      </w:r>
      <w:r w:rsidR="00547FBA">
        <w:t>is likely to be significantly lower. This is because</w:t>
      </w:r>
      <w:r w:rsidR="00547FBA" w:rsidRPr="003A4608" w:rsidDel="00BA70EF">
        <w:t xml:space="preserve"> </w:t>
      </w:r>
      <w:r w:rsidR="00547FBA">
        <w:t>patient interviews, diaries, and counts of returned, untaken doses have been shown by both marker and electronic monitoring methods to consistently and substantially to overestimate compliance</w:t>
      </w:r>
      <w:r w:rsidR="00C472C0">
        <w:rPr>
          <w:rStyle w:val="FootnoteReference"/>
        </w:rPr>
        <w:footnoteReference w:id="21"/>
      </w:r>
      <w:r w:rsidR="00C472C0" w:rsidRPr="00C472C0">
        <w:rPr>
          <w:vertAlign w:val="superscript"/>
        </w:rPr>
        <w:t>,</w:t>
      </w:r>
      <w:r w:rsidR="007A0CE7">
        <w:rPr>
          <w:rStyle w:val="FootnoteReference"/>
        </w:rPr>
        <w:footnoteReference w:id="22"/>
      </w:r>
      <w:r w:rsidR="00547FBA">
        <w:t xml:space="preserve">. These measurement issues were identified in the risk of bias assessment by the </w:t>
      </w:r>
      <w:r w:rsidR="00BA70EF">
        <w:t>ADAR</w:t>
      </w:r>
      <w:r w:rsidR="00547FBA">
        <w:t>. Further, as</w:t>
      </w:r>
      <w:r w:rsidR="00547FBA" w:rsidRPr="003A4608">
        <w:t xml:space="preserve"> this was a trial, aspirin compliance </w:t>
      </w:r>
      <w:r w:rsidR="0007088E">
        <w:t>wa</w:t>
      </w:r>
      <w:r w:rsidR="00547FBA" w:rsidRPr="003A4608">
        <w:t xml:space="preserve">s likely to be substantially higher than would be seen in a real-world setting. Recent studies investigating </w:t>
      </w:r>
      <w:r w:rsidR="00547FBA">
        <w:t xml:space="preserve">compliance of </w:t>
      </w:r>
      <w:r w:rsidR="00547FBA" w:rsidRPr="003A4608">
        <w:t>low-dose aspirin among women with increased preeclampsia risk have consistently demonstrated adherence rates well below 90%</w:t>
      </w:r>
      <w:r w:rsidR="00F902DF">
        <w:t>,</w:t>
      </w:r>
      <w:r w:rsidR="00547FBA" w:rsidRPr="003A4608">
        <w:t xml:space="preserve"> with one study reporting adherence as low as 29%</w:t>
      </w:r>
      <w:r w:rsidR="00020EB3">
        <w:rPr>
          <w:rStyle w:val="FootnoteReference"/>
        </w:rPr>
        <w:footnoteReference w:id="23"/>
      </w:r>
      <w:r w:rsidR="00020EB3">
        <w:t>.</w:t>
      </w:r>
    </w:p>
    <w:p w14:paraId="2E4AC0F7" w14:textId="1BE4B57A" w:rsidR="00B6158D" w:rsidRDefault="00F902DF" w:rsidP="005E2F2B">
      <w:pPr>
        <w:pStyle w:val="a-TEXT"/>
      </w:pPr>
      <w:r>
        <w:t>In the ASPRE analysis, c</w:t>
      </w:r>
      <w:r w:rsidR="00470B6D" w:rsidRPr="0048627C">
        <w:t xml:space="preserve">ompliance was </w:t>
      </w:r>
      <w:r w:rsidR="00D06ECA">
        <w:t xml:space="preserve">also </w:t>
      </w:r>
      <w:r w:rsidR="00470B6D" w:rsidRPr="0048627C">
        <w:t xml:space="preserve">positively associated with family history of preeclampsia and negatively associated with smoking, maternal age &lt;25 years, Afro-Caribbean and South Asian </w:t>
      </w:r>
      <w:r w:rsidR="00C01655">
        <w:t>ancestry</w:t>
      </w:r>
      <w:r w:rsidR="00470B6D" w:rsidRPr="0048627C">
        <w:t>, and history of preeclampsia in a previous pregnancy</w:t>
      </w:r>
      <w:r w:rsidR="00B128C2">
        <w:t xml:space="preserve"> </w:t>
      </w:r>
      <w:r w:rsidR="00B128C2">
        <w:fldChar w:fldCharType="begin">
          <w:fldData xml:space="preserve">PEVuZE5vdGU+PENpdGU+PEF1dGhvcj5XcmlnaHQ8L0F1dGhvcj48WWVhcj4yMDE3PC9ZZWFyPjxS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==
</w:fldData>
        </w:fldChar>
      </w:r>
      <w:r w:rsidR="00B128C2">
        <w:instrText xml:space="preserve"> ADDIN EN.CITE </w:instrText>
      </w:r>
      <w:r w:rsidR="00B128C2">
        <w:fldChar w:fldCharType="begin">
          <w:fldData xml:space="preserve">PEVuZE5vdGU+PENpdGU+PEF1dGhvcj5XcmlnaHQ8L0F1dGhvcj48WWVhcj4yMDE3PC9ZZWFyPjxS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==
</w:fldData>
        </w:fldChar>
      </w:r>
      <w:r w:rsidR="00B128C2">
        <w:instrText xml:space="preserve"> ADDIN EN.CITE.DATA </w:instrText>
      </w:r>
      <w:r w:rsidR="00B128C2">
        <w:fldChar w:fldCharType="end"/>
      </w:r>
      <w:r w:rsidR="00B128C2">
        <w:fldChar w:fldCharType="separate"/>
      </w:r>
      <w:r w:rsidR="00B128C2">
        <w:rPr>
          <w:noProof/>
        </w:rPr>
        <w:t>(Wright et al., 2017)</w:t>
      </w:r>
      <w:r w:rsidR="00B128C2">
        <w:fldChar w:fldCharType="end"/>
      </w:r>
      <w:r w:rsidR="00B128C2" w:rsidRPr="0048627C">
        <w:t>.</w:t>
      </w:r>
      <w:r w:rsidR="00B6158D">
        <w:t xml:space="preserve"> This suggest</w:t>
      </w:r>
      <w:r w:rsidR="00C01655">
        <w:t>ed</w:t>
      </w:r>
      <w:r w:rsidR="00B6158D">
        <w:t xml:space="preserve"> disparities</w:t>
      </w:r>
      <w:r w:rsidR="00B6158D" w:rsidRPr="007B35B7">
        <w:t xml:space="preserve"> in </w:t>
      </w:r>
      <w:r w:rsidR="00B6158D">
        <w:t>adherence</w:t>
      </w:r>
      <w:r w:rsidR="00B6158D" w:rsidRPr="007B35B7">
        <w:t xml:space="preserve"> underpinned by certain sociodemographic or health literacy levels.</w:t>
      </w:r>
    </w:p>
    <w:p w14:paraId="083071B8" w14:textId="40C4E3F0" w:rsidR="004B540E" w:rsidRPr="00970246" w:rsidRDefault="004B540E" w:rsidP="00970246">
      <w:pPr>
        <w:pStyle w:val="Heading3"/>
        <w:spacing w:before="300" w:after="160" w:line="240" w:lineRule="auto"/>
        <w:rPr>
          <w:sz w:val="24"/>
          <w:szCs w:val="24"/>
        </w:rPr>
      </w:pPr>
      <w:r w:rsidRPr="00970246">
        <w:rPr>
          <w:sz w:val="24"/>
          <w:szCs w:val="24"/>
          <w:lang w:eastAsia="en-US"/>
        </w:rPr>
        <w:t>Clinical claim</w:t>
      </w:r>
    </w:p>
    <w:p w14:paraId="5AE8F06B" w14:textId="65E07FFD" w:rsidR="005A10F4" w:rsidRDefault="00932B89" w:rsidP="005E2F2B">
      <w:pPr>
        <w:pStyle w:val="a-TEXT"/>
      </w:pPr>
      <w:r>
        <w:t>The</w:t>
      </w:r>
      <w:r w:rsidR="00B45420">
        <w:t xml:space="preserve"> </w:t>
      </w:r>
      <w:r w:rsidR="00F473A3">
        <w:t xml:space="preserve">commentary considered that overall, the </w:t>
      </w:r>
      <w:r w:rsidR="00B45420">
        <w:t xml:space="preserve">clinical claim </w:t>
      </w:r>
      <w:r w:rsidR="008419F9">
        <w:t xml:space="preserve">for superior </w:t>
      </w:r>
      <w:r w:rsidR="00D640B2">
        <w:t>health outcomes</w:t>
      </w:r>
      <w:r w:rsidR="00B45420">
        <w:t xml:space="preserve"> </w:t>
      </w:r>
      <w:r w:rsidR="002600F9">
        <w:t xml:space="preserve">of </w:t>
      </w:r>
      <w:r w:rsidR="002600F9" w:rsidRPr="00E0488F">
        <w:t>structured prenatal risk assessment (“FMF risk calculator”) in asymptomatic pregnancies at</w:t>
      </w:r>
      <w:r w:rsidR="006B6F22">
        <w:br/>
      </w:r>
      <w:r w:rsidR="002600F9" w:rsidRPr="00E0488F">
        <w:t>11</w:t>
      </w:r>
      <w:r w:rsidR="002600F9" w:rsidRPr="003F6058">
        <w:rPr>
          <w:iCs w:val="0"/>
          <w:vertAlign w:val="superscript"/>
        </w:rPr>
        <w:t>+0</w:t>
      </w:r>
      <w:r w:rsidR="002600F9" w:rsidRPr="00E0488F">
        <w:t xml:space="preserve"> to 13</w:t>
      </w:r>
      <w:r w:rsidR="002600F9" w:rsidRPr="003F6058">
        <w:rPr>
          <w:iCs w:val="0"/>
          <w:vertAlign w:val="superscript"/>
        </w:rPr>
        <w:t>+6</w:t>
      </w:r>
      <w:r w:rsidR="002600F9" w:rsidRPr="00E0488F">
        <w:t xml:space="preserve"> weeks’ gestation for identification of preterm preeclampsia compared to the standard of care (risk assessment through clinical examination and medical history</w:t>
      </w:r>
      <w:r w:rsidR="008419F9">
        <w:t xml:space="preserve">) </w:t>
      </w:r>
      <w:r w:rsidR="005A10F4">
        <w:t>was not supported</w:t>
      </w:r>
      <w:r w:rsidR="00714E8A">
        <w:t xml:space="preserve">. This </w:t>
      </w:r>
      <w:r w:rsidR="00193F16">
        <w:t xml:space="preserve">conclusion </w:t>
      </w:r>
      <w:r w:rsidR="00714E8A">
        <w:t>was</w:t>
      </w:r>
      <w:r w:rsidR="00AA626D" w:rsidRPr="00AA626D">
        <w:t xml:space="preserve"> </w:t>
      </w:r>
      <w:r w:rsidR="00C45527">
        <w:t xml:space="preserve">made </w:t>
      </w:r>
      <w:r w:rsidR="00193F16">
        <w:t>based on the commentary’s weighing of</w:t>
      </w:r>
      <w:r w:rsidR="00AA626D">
        <w:t xml:space="preserve"> the </w:t>
      </w:r>
      <w:r w:rsidR="00714E8A">
        <w:t xml:space="preserve">direct </w:t>
      </w:r>
      <w:r w:rsidR="00AA626D" w:rsidRPr="00AA626D">
        <w:t xml:space="preserve">evidence </w:t>
      </w:r>
      <w:r w:rsidR="00E31911">
        <w:t>showing</w:t>
      </w:r>
      <w:r w:rsidR="00AA626D" w:rsidRPr="00AA626D">
        <w:t xml:space="preserve"> </w:t>
      </w:r>
      <w:r w:rsidR="00E31911">
        <w:t>improved health outcomes</w:t>
      </w:r>
      <w:r w:rsidR="008D76F6">
        <w:t xml:space="preserve"> </w:t>
      </w:r>
      <w:r w:rsidR="00225358">
        <w:t xml:space="preserve">(both maternal and </w:t>
      </w:r>
      <w:r w:rsidR="006B0CCB">
        <w:t>neonatal</w:t>
      </w:r>
      <w:r w:rsidR="00193F16">
        <w:t xml:space="preserve">), </w:t>
      </w:r>
      <w:r w:rsidR="6E9D9BA8">
        <w:t>and</w:t>
      </w:r>
      <w:r w:rsidR="00E31911">
        <w:t xml:space="preserve"> the linked evidence demonstrating superior test accuracy</w:t>
      </w:r>
      <w:r w:rsidR="00193F16">
        <w:t xml:space="preserve"> and</w:t>
      </w:r>
      <w:r w:rsidR="6E9D9BA8">
        <w:t xml:space="preserve"> </w:t>
      </w:r>
      <w:r w:rsidR="00AA626D" w:rsidRPr="00AA626D">
        <w:t>superior health outcomes in high-risk patients</w:t>
      </w:r>
      <w:r w:rsidR="007B7DA1">
        <w:t>,</w:t>
      </w:r>
      <w:r w:rsidR="00AA626D" w:rsidRPr="00AA626D">
        <w:t xml:space="preserve"> </w:t>
      </w:r>
      <w:r w:rsidR="00193F16">
        <w:t>against</w:t>
      </w:r>
      <w:r w:rsidR="00AA626D">
        <w:t xml:space="preserve"> the </w:t>
      </w:r>
      <w:r w:rsidR="00193F16">
        <w:t xml:space="preserve">strength of selection </w:t>
      </w:r>
      <w:r w:rsidR="00D768AA">
        <w:t xml:space="preserve">and confounding </w:t>
      </w:r>
      <w:r w:rsidR="00193F16">
        <w:t xml:space="preserve">bias concerns with the direct evidence and the </w:t>
      </w:r>
      <w:r w:rsidR="00AA626D">
        <w:t xml:space="preserve">lack of evidence </w:t>
      </w:r>
      <w:r w:rsidR="00AA626D" w:rsidRPr="00AA626D">
        <w:t>provided for the incremental impact of the test on change in management (i.e., prescription of aspirin in practice</w:t>
      </w:r>
      <w:r w:rsidR="00AA626D">
        <w:t>)</w:t>
      </w:r>
      <w:r w:rsidR="005A10F4">
        <w:t>.</w:t>
      </w:r>
    </w:p>
    <w:p w14:paraId="72B05B21" w14:textId="7EA21621" w:rsidR="005A10F4" w:rsidRDefault="005A10F4" w:rsidP="005E2F2B">
      <w:pPr>
        <w:pStyle w:val="a-TEXT"/>
      </w:pPr>
      <w:r>
        <w:t xml:space="preserve">The </w:t>
      </w:r>
      <w:r w:rsidR="00F473A3">
        <w:t xml:space="preserve">commentary considered that overall, the </w:t>
      </w:r>
      <w:r>
        <w:t xml:space="preserve">clinical claim for non-inferior safety of </w:t>
      </w:r>
      <w:r w:rsidRPr="00FE7E1B">
        <w:t>structured prenatal risk assessment</w:t>
      </w:r>
      <w:r>
        <w:t xml:space="preserve"> (“FMF risk calculator”) </w:t>
      </w:r>
      <w:r w:rsidRPr="00FE7E1B">
        <w:t>in asymptomatic pregnancies at 11</w:t>
      </w:r>
      <w:r w:rsidRPr="005635EB">
        <w:rPr>
          <w:vertAlign w:val="superscript"/>
        </w:rPr>
        <w:t>+0</w:t>
      </w:r>
      <w:r w:rsidRPr="00FE7E1B">
        <w:t xml:space="preserve"> to 13</w:t>
      </w:r>
      <w:r w:rsidRPr="005635EB">
        <w:rPr>
          <w:vertAlign w:val="superscript"/>
        </w:rPr>
        <w:t>+6</w:t>
      </w:r>
      <w:r w:rsidRPr="00FE7E1B">
        <w:t xml:space="preserve"> weeks’ gestation</w:t>
      </w:r>
      <w:r>
        <w:t xml:space="preserve"> for identification of preterm preeclampsia compared to the standard of care (risk </w:t>
      </w:r>
      <w:r w:rsidRPr="00774AD0">
        <w:t>assessment through clinical examination and medical history</w:t>
      </w:r>
      <w:r>
        <w:t>) was not supported.</w:t>
      </w:r>
    </w:p>
    <w:p w14:paraId="0D09C9E4" w14:textId="0584B38F" w:rsidR="00772829" w:rsidRDefault="00C36633" w:rsidP="002A18BE">
      <w:pPr>
        <w:pStyle w:val="Heading2"/>
        <w:numPr>
          <w:ilvl w:val="0"/>
          <w:numId w:val="0"/>
        </w:numPr>
      </w:pPr>
      <w:bookmarkStart w:id="34" w:name="_Toc69491425"/>
      <w:r>
        <w:lastRenderedPageBreak/>
        <w:t>1</w:t>
      </w:r>
      <w:r w:rsidR="00971DBF">
        <w:t>3</w:t>
      </w:r>
      <w:r>
        <w:t>.</w:t>
      </w:r>
      <w:r>
        <w:tab/>
      </w:r>
      <w:r w:rsidR="00772829" w:rsidRPr="00CE28E3">
        <w:t>Economic evaluation</w:t>
      </w:r>
      <w:bookmarkEnd w:id="34"/>
    </w:p>
    <w:p w14:paraId="46215A04" w14:textId="77777777" w:rsidR="00EB20F2" w:rsidRPr="00083B91" w:rsidRDefault="00EB20F2" w:rsidP="00083B91">
      <w:pPr>
        <w:pStyle w:val="Heading3"/>
        <w:spacing w:before="300" w:after="160" w:line="240" w:lineRule="auto"/>
        <w:rPr>
          <w:sz w:val="24"/>
          <w:szCs w:val="24"/>
          <w:lang w:eastAsia="en-US"/>
        </w:rPr>
      </w:pPr>
      <w:r w:rsidRPr="00083B91">
        <w:rPr>
          <w:sz w:val="24"/>
          <w:szCs w:val="24"/>
          <w:lang w:eastAsia="en-US"/>
        </w:rPr>
        <w:t>Overview and rationale of the economic evaluation</w:t>
      </w:r>
    </w:p>
    <w:p w14:paraId="06B9F611" w14:textId="4436B5FE" w:rsidR="00C47FE4" w:rsidRDefault="00EB20F2" w:rsidP="00C40259">
      <w:pPr>
        <w:pStyle w:val="a-TEXT"/>
      </w:pPr>
      <w:r>
        <w:t xml:space="preserve">Based on the </w:t>
      </w:r>
      <w:r w:rsidR="004E1AC9">
        <w:t>ADAR</w:t>
      </w:r>
      <w:r w:rsidR="00B128C2">
        <w:t>’</w:t>
      </w:r>
      <w:r w:rsidR="004E1AC9">
        <w:t>s</w:t>
      </w:r>
      <w:r>
        <w:t xml:space="preserve"> clinical claim </w:t>
      </w:r>
      <w:r w:rsidR="0032341D">
        <w:t>that</w:t>
      </w:r>
      <w:r w:rsidR="00C53311">
        <w:t xml:space="preserve"> </w:t>
      </w:r>
      <w:r w:rsidR="00F56D38">
        <w:t>testing</w:t>
      </w:r>
      <w:r w:rsidR="00C47FE4" w:rsidRPr="00F6738A">
        <w:t xml:space="preserve"> asymptomatic </w:t>
      </w:r>
      <w:r w:rsidR="00C47FE4" w:rsidRPr="00CE1E38">
        <w:t xml:space="preserve">pregnant </w:t>
      </w:r>
      <w:r w:rsidR="00F43CB5">
        <w:t>persons</w:t>
      </w:r>
      <w:r w:rsidR="00C47FE4" w:rsidRPr="00CE1E38">
        <w:t xml:space="preserve"> </w:t>
      </w:r>
      <w:r w:rsidR="00C47FE4">
        <w:t xml:space="preserve">at </w:t>
      </w:r>
      <w:r w:rsidR="00C47FE4" w:rsidRPr="00CE1E38">
        <w:t>11</w:t>
      </w:r>
      <w:r w:rsidR="00C47FE4" w:rsidRPr="007613CF">
        <w:rPr>
          <w:vertAlign w:val="superscript"/>
        </w:rPr>
        <w:t>+0</w:t>
      </w:r>
      <w:r w:rsidR="00C47FE4" w:rsidRPr="00CE1E38">
        <w:t xml:space="preserve"> to 13</w:t>
      </w:r>
      <w:r w:rsidR="00C47FE4" w:rsidRPr="007613CF">
        <w:rPr>
          <w:vertAlign w:val="superscript"/>
        </w:rPr>
        <w:t>+6</w:t>
      </w:r>
      <w:r w:rsidR="00C47FE4" w:rsidRPr="00CE1E38">
        <w:t xml:space="preserve"> weeks’ gestation</w:t>
      </w:r>
      <w:r w:rsidR="00C47FE4" w:rsidRPr="00F6738A">
        <w:t xml:space="preserve"> </w:t>
      </w:r>
      <w:r w:rsidR="00C47FE4">
        <w:t xml:space="preserve">using the </w:t>
      </w:r>
      <w:r w:rsidR="00137830" w:rsidRPr="00137830">
        <w:rPr>
          <w:rFonts w:eastAsia="Calibri"/>
          <w:color w:val="000000" w:themeColor="text1"/>
          <w:szCs w:val="20"/>
          <w:lang w:eastAsia="en-AU"/>
        </w:rPr>
        <w:t xml:space="preserve">FMF risk calculator </w:t>
      </w:r>
      <w:r w:rsidR="00C47FE4" w:rsidRPr="00F6738A">
        <w:t>for predicting preterm preeclampsia</w:t>
      </w:r>
      <w:r w:rsidR="00C47FE4">
        <w:t xml:space="preserve"> </w:t>
      </w:r>
      <w:r w:rsidR="00C47FE4" w:rsidRPr="00F6738A">
        <w:t>result</w:t>
      </w:r>
      <w:r w:rsidR="007201D9">
        <w:t>ed</w:t>
      </w:r>
      <w:r w:rsidR="00C47FE4" w:rsidRPr="00F6738A">
        <w:t xml:space="preserve"> in superior health outcomes compared to current </w:t>
      </w:r>
      <w:r w:rsidR="001C7109">
        <w:t>SoC,</w:t>
      </w:r>
      <w:r w:rsidR="007F30EB">
        <w:t xml:space="preserve"> </w:t>
      </w:r>
      <w:r w:rsidR="003E2899">
        <w:t xml:space="preserve">the commentary determined that </w:t>
      </w:r>
      <w:r w:rsidR="007F30EB">
        <w:t xml:space="preserve">a cost-utility </w:t>
      </w:r>
      <w:r w:rsidR="00F91EFA">
        <w:t>analy</w:t>
      </w:r>
      <w:r w:rsidR="007D0310">
        <w:t xml:space="preserve">sis was </w:t>
      </w:r>
      <w:r w:rsidR="00C40259">
        <w:t>appropriate.</w:t>
      </w:r>
    </w:p>
    <w:p w14:paraId="0F87AF05" w14:textId="5C52DD7E" w:rsidR="00F25F75" w:rsidRDefault="0060780B" w:rsidP="000164FE">
      <w:pPr>
        <w:pStyle w:val="a-TEXT"/>
      </w:pPr>
      <w:r>
        <w:t>The ADAR present</w:t>
      </w:r>
      <w:r w:rsidR="00BC7A5C">
        <w:t>ed</w:t>
      </w:r>
      <w:r>
        <w:t xml:space="preserve"> the results of a cost-utility </w:t>
      </w:r>
      <w:r w:rsidR="001C7109">
        <w:t xml:space="preserve">analysis </w:t>
      </w:r>
      <w:r w:rsidR="006D6234">
        <w:t xml:space="preserve">of </w:t>
      </w:r>
      <w:r w:rsidR="00233A61">
        <w:t xml:space="preserve">structured risk assessment for </w:t>
      </w:r>
      <w:r w:rsidR="007A2CF2">
        <w:t>pre</w:t>
      </w:r>
      <w:r w:rsidR="00363D5B">
        <w:t xml:space="preserve">term preeclampsia using the </w:t>
      </w:r>
      <w:r w:rsidR="00137830" w:rsidRPr="00137830">
        <w:rPr>
          <w:rFonts w:eastAsia="Calibri"/>
          <w:color w:val="000000" w:themeColor="text1"/>
          <w:szCs w:val="20"/>
          <w:lang w:eastAsia="en-AU"/>
        </w:rPr>
        <w:t xml:space="preserve">FMF risk calculator </w:t>
      </w:r>
      <w:r w:rsidR="00C40259">
        <w:t>versus</w:t>
      </w:r>
      <w:r w:rsidR="0002520D">
        <w:t xml:space="preserve"> the current </w:t>
      </w:r>
      <w:proofErr w:type="spellStart"/>
      <w:r w:rsidR="001C7109">
        <w:t>SoC</w:t>
      </w:r>
      <w:r w:rsidR="00C40259">
        <w:t>.</w:t>
      </w:r>
      <w:proofErr w:type="spellEnd"/>
    </w:p>
    <w:p w14:paraId="176448DF" w14:textId="7225EDF0" w:rsidR="00190083" w:rsidRDefault="00CA45ED" w:rsidP="001A59CD">
      <w:pPr>
        <w:pStyle w:val="a-TEXT"/>
      </w:pPr>
      <w:r>
        <w:t>The economic evaluation use</w:t>
      </w:r>
      <w:r w:rsidR="00C01655">
        <w:t>d</w:t>
      </w:r>
      <w:r>
        <w:t xml:space="preserve"> outcomes for the result of structured prenatal risk assessment (</w:t>
      </w:r>
      <w:r w:rsidR="003E2899">
        <w:t>h</w:t>
      </w:r>
      <w:r>
        <w:t xml:space="preserve">igh risk vs </w:t>
      </w:r>
      <w:r w:rsidR="003E2899">
        <w:t>l</w:t>
      </w:r>
      <w:r>
        <w:t>ow risk) and clinical outcomes (preterm preeclampsia and term preeclampsia</w:t>
      </w:r>
      <w:r w:rsidRPr="00596CEB">
        <w:rPr>
          <w:color w:val="1F4E79" w:themeColor="accent1" w:themeShade="80"/>
        </w:rPr>
        <w:t>)</w:t>
      </w:r>
      <w:r>
        <w:rPr>
          <w:color w:val="1F4E79" w:themeColor="accent1" w:themeShade="80"/>
        </w:rPr>
        <w:t xml:space="preserve"> </w:t>
      </w:r>
      <w:r>
        <w:t xml:space="preserve">reported in the Australian clinical implementation study reported by </w:t>
      </w:r>
      <w:r w:rsidR="0014264E" w:rsidRPr="0014264E">
        <w:t xml:space="preserve">Rolnik et al., 2021 </w:t>
      </w:r>
      <w:r w:rsidR="003A6C61">
        <w:t>without extrapolation or transformation.</w:t>
      </w:r>
    </w:p>
    <w:p w14:paraId="216635F6" w14:textId="575677B2" w:rsidR="00C001D4" w:rsidRDefault="002A12FB" w:rsidP="001A59CD">
      <w:pPr>
        <w:pStyle w:val="a-TEXT"/>
      </w:pPr>
      <w:r>
        <w:t xml:space="preserve">A summary of the key characteristics of the economic </w:t>
      </w:r>
      <w:r w:rsidR="002C28BA">
        <w:t>evaluation</w:t>
      </w:r>
      <w:r w:rsidR="00683C95">
        <w:t xml:space="preserve"> are</w:t>
      </w:r>
      <w:r>
        <w:t xml:space="preserve"> detailed</w:t>
      </w:r>
      <w:r w:rsidR="000A0F7E">
        <w:t xml:space="preserve"> </w:t>
      </w:r>
      <w:r w:rsidR="0005462F">
        <w:t>below</w:t>
      </w:r>
      <w:r w:rsidR="00097FE6">
        <w:t>.</w:t>
      </w:r>
    </w:p>
    <w:p w14:paraId="71CE4519" w14:textId="5C890F5C" w:rsidR="00A52F51" w:rsidRPr="0001290C" w:rsidRDefault="003121B4" w:rsidP="003121B4">
      <w:pPr>
        <w:pStyle w:val="Caption"/>
      </w:pPr>
      <w:bookmarkStart w:id="35" w:name="_Ref134800910"/>
      <w:bookmarkStart w:id="36" w:name="_Hlk144309724"/>
      <w:r>
        <w:t xml:space="preserve">Table </w:t>
      </w:r>
      <w:r w:rsidR="006608DC">
        <w:fldChar w:fldCharType="begin"/>
      </w:r>
      <w:r w:rsidR="006608DC">
        <w:instrText xml:space="preserve"> SEQ Table \* ARABIC </w:instrText>
      </w:r>
      <w:r w:rsidR="006608DC">
        <w:fldChar w:fldCharType="separate"/>
      </w:r>
      <w:r w:rsidR="009C77BA">
        <w:rPr>
          <w:noProof/>
        </w:rPr>
        <w:t>18</w:t>
      </w:r>
      <w:r w:rsidR="006608DC">
        <w:rPr>
          <w:noProof/>
        </w:rPr>
        <w:fldChar w:fldCharType="end"/>
      </w:r>
      <w:r>
        <w:tab/>
        <w:t>Summary</w:t>
      </w:r>
      <w:r w:rsidR="00A52F51" w:rsidRPr="0001290C">
        <w:t xml:space="preserve"> of the economic evaluation</w:t>
      </w:r>
      <w:bookmarkEnd w:id="35"/>
      <w:r w:rsidR="00F007C7">
        <w:t>.</w:t>
      </w:r>
    </w:p>
    <w:tbl>
      <w:tblPr>
        <w:tblStyle w:val="TableGrid1"/>
        <w:tblW w:w="0" w:type="auto"/>
        <w:tblCellMar>
          <w:top w:w="57" w:type="dxa"/>
          <w:left w:w="57" w:type="dxa"/>
          <w:bottom w:w="57" w:type="dxa"/>
          <w:right w:w="57" w:type="dxa"/>
        </w:tblCellMar>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586"/>
        <w:gridCol w:w="7430"/>
      </w:tblGrid>
      <w:tr w:rsidR="00A52F51" w:rsidRPr="00F007C7" w14:paraId="3C0C5A5B" w14:textId="77777777" w:rsidTr="0097024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14:paraId="113DCF50" w14:textId="77777777" w:rsidR="00A52F51" w:rsidRPr="00F007C7" w:rsidRDefault="00A52F51" w:rsidP="00F007C7">
            <w:pPr>
              <w:pStyle w:val="TableHeading"/>
              <w:spacing w:after="0"/>
              <w:rPr>
                <w:rFonts w:cstheme="minorHAnsi"/>
                <w:szCs w:val="20"/>
              </w:rPr>
            </w:pPr>
            <w:bookmarkStart w:id="37" w:name="Title_Table32" w:colFirst="0" w:colLast="0"/>
            <w:bookmarkEnd w:id="36"/>
            <w:r w:rsidRPr="00F007C7">
              <w:rPr>
                <w:rFonts w:cstheme="minorHAnsi"/>
                <w:szCs w:val="20"/>
              </w:rPr>
              <w:t>Component</w:t>
            </w:r>
          </w:p>
        </w:tc>
        <w:tc>
          <w:tcPr>
            <w:tcW w:w="0" w:type="auto"/>
            <w:shd w:val="clear" w:color="auto" w:fill="auto"/>
            <w:vAlign w:val="center"/>
          </w:tcPr>
          <w:p w14:paraId="0B46F407" w14:textId="77777777" w:rsidR="00A52F51" w:rsidRPr="00F007C7" w:rsidRDefault="00A52F51" w:rsidP="00F007C7">
            <w:pPr>
              <w:pStyle w:val="TableHeading"/>
              <w:spacing w:after="0"/>
              <w:rPr>
                <w:rFonts w:cstheme="minorHAnsi"/>
                <w:szCs w:val="20"/>
              </w:rPr>
            </w:pPr>
            <w:r w:rsidRPr="00F007C7">
              <w:rPr>
                <w:rFonts w:cstheme="minorHAnsi"/>
                <w:szCs w:val="20"/>
              </w:rPr>
              <w:t>Description</w:t>
            </w:r>
          </w:p>
        </w:tc>
      </w:tr>
      <w:bookmarkEnd w:id="37"/>
      <w:tr w:rsidR="00A52F51" w:rsidRPr="00F007C7" w14:paraId="3339AD8B" w14:textId="77777777" w:rsidTr="1923DEB3">
        <w:tc>
          <w:tcPr>
            <w:tcW w:w="0" w:type="auto"/>
            <w:vAlign w:val="center"/>
          </w:tcPr>
          <w:p w14:paraId="40F3162C" w14:textId="77777777" w:rsidR="00A52F51" w:rsidRPr="002F2902" w:rsidRDefault="00A52F51" w:rsidP="00F007C7">
            <w:pPr>
              <w:pStyle w:val="TableText"/>
              <w:spacing w:before="0" w:after="0"/>
            </w:pPr>
            <w:r w:rsidRPr="002F2902">
              <w:t>Perspective</w:t>
            </w:r>
          </w:p>
        </w:tc>
        <w:tc>
          <w:tcPr>
            <w:tcW w:w="0" w:type="auto"/>
            <w:vAlign w:val="center"/>
          </w:tcPr>
          <w:p w14:paraId="48A669E7" w14:textId="3E7DA8A1" w:rsidR="00A52F51" w:rsidRPr="005F37E9" w:rsidRDefault="00A52F51" w:rsidP="00F007C7">
            <w:pPr>
              <w:pStyle w:val="TableText"/>
              <w:spacing w:before="0" w:after="0"/>
            </w:pPr>
            <w:r w:rsidRPr="002F2902">
              <w:t>Health care system perspective</w:t>
            </w:r>
            <w:r w:rsidRPr="005A3CAC">
              <w:rPr>
                <w:color w:val="2E74B5" w:themeColor="accent1" w:themeShade="BF"/>
              </w:rPr>
              <w:t>.</w:t>
            </w:r>
          </w:p>
        </w:tc>
      </w:tr>
      <w:tr w:rsidR="00A52F51" w:rsidRPr="00F007C7" w14:paraId="077108D0" w14:textId="77777777" w:rsidTr="1923DEB3">
        <w:trPr>
          <w:tblHeader/>
        </w:trPr>
        <w:tc>
          <w:tcPr>
            <w:tcW w:w="0" w:type="auto"/>
            <w:vAlign w:val="center"/>
          </w:tcPr>
          <w:p w14:paraId="46C3732E" w14:textId="77777777" w:rsidR="00A52F51" w:rsidRPr="002F2902" w:rsidRDefault="00A52F51" w:rsidP="00F007C7">
            <w:pPr>
              <w:pStyle w:val="TableText"/>
              <w:spacing w:before="0" w:after="0"/>
            </w:pPr>
            <w:r w:rsidRPr="002F2902">
              <w:t>Population</w:t>
            </w:r>
          </w:p>
        </w:tc>
        <w:tc>
          <w:tcPr>
            <w:tcW w:w="0" w:type="auto"/>
            <w:vAlign w:val="center"/>
          </w:tcPr>
          <w:p w14:paraId="532682B4" w14:textId="01F09E01" w:rsidR="00A52F51" w:rsidRPr="002F2902" w:rsidRDefault="00A52F51" w:rsidP="00F007C7">
            <w:pPr>
              <w:pStyle w:val="TableText"/>
              <w:spacing w:before="0" w:after="0"/>
            </w:pPr>
            <w:r>
              <w:t xml:space="preserve">Pregnant </w:t>
            </w:r>
            <w:r w:rsidR="00F43CB5">
              <w:t>persons</w:t>
            </w:r>
            <w:r>
              <w:t xml:space="preserve"> 11+0 to 13+6 weeks gestation presenting for first trimester </w:t>
            </w:r>
            <w:r w:rsidR="41E09EC1">
              <w:t xml:space="preserve">risk-based </w:t>
            </w:r>
            <w:r w:rsidR="00F56D38">
              <w:t>testing</w:t>
            </w:r>
            <w:r w:rsidR="786CBC7E">
              <w:t>.</w:t>
            </w:r>
            <w:r>
              <w:t xml:space="preserve"> </w:t>
            </w:r>
          </w:p>
        </w:tc>
      </w:tr>
      <w:tr w:rsidR="00A52F51" w:rsidRPr="00F007C7" w14:paraId="36C319CA" w14:textId="77777777" w:rsidTr="1923DEB3">
        <w:tc>
          <w:tcPr>
            <w:tcW w:w="0" w:type="auto"/>
            <w:vAlign w:val="center"/>
          </w:tcPr>
          <w:p w14:paraId="166BC9BD" w14:textId="77777777" w:rsidR="00A52F51" w:rsidRPr="002F2902" w:rsidRDefault="00A52F51" w:rsidP="00F007C7">
            <w:pPr>
              <w:pStyle w:val="TableText"/>
              <w:spacing w:before="0" w:after="0"/>
            </w:pPr>
            <w:r w:rsidRPr="002F2902">
              <w:t>Prior testing</w:t>
            </w:r>
          </w:p>
        </w:tc>
        <w:tc>
          <w:tcPr>
            <w:tcW w:w="0" w:type="auto"/>
            <w:vAlign w:val="center"/>
          </w:tcPr>
          <w:p w14:paraId="402717A6" w14:textId="77777777" w:rsidR="00A52F51" w:rsidRPr="002F2902" w:rsidRDefault="00A52F51" w:rsidP="00F007C7">
            <w:pPr>
              <w:pStyle w:val="TableText"/>
              <w:spacing w:before="0" w:after="0"/>
            </w:pPr>
            <w:r w:rsidRPr="002F2902">
              <w:t>None required</w:t>
            </w:r>
          </w:p>
        </w:tc>
      </w:tr>
      <w:tr w:rsidR="00A52F51" w:rsidRPr="00F007C7" w14:paraId="467BF9F8" w14:textId="77777777" w:rsidTr="1923DEB3">
        <w:tc>
          <w:tcPr>
            <w:tcW w:w="0" w:type="auto"/>
            <w:vAlign w:val="center"/>
          </w:tcPr>
          <w:p w14:paraId="75C13618" w14:textId="77777777" w:rsidR="00A52F51" w:rsidRPr="002F2902" w:rsidRDefault="00A52F51" w:rsidP="00F007C7">
            <w:pPr>
              <w:pStyle w:val="TableText"/>
              <w:spacing w:before="0" w:after="0"/>
            </w:pPr>
            <w:r w:rsidRPr="002F2902">
              <w:t>Comparator</w:t>
            </w:r>
          </w:p>
        </w:tc>
        <w:tc>
          <w:tcPr>
            <w:tcW w:w="0" w:type="auto"/>
            <w:vAlign w:val="center"/>
          </w:tcPr>
          <w:p w14:paraId="10451D26" w14:textId="3AF01CB5" w:rsidR="00A52F51" w:rsidRPr="002F2902" w:rsidRDefault="00A52F51" w:rsidP="00F007C7">
            <w:pPr>
              <w:pStyle w:val="TableText"/>
              <w:spacing w:before="0" w:after="0"/>
            </w:pPr>
            <w:r w:rsidRPr="002F2902">
              <w:t>Standard care (risk assessment for preeclampsia through clinical examination and medical history)</w:t>
            </w:r>
            <w:r>
              <w:t xml:space="preserve">. </w:t>
            </w:r>
          </w:p>
        </w:tc>
      </w:tr>
      <w:tr w:rsidR="00A52F51" w:rsidRPr="00F007C7" w14:paraId="509A02A3" w14:textId="77777777" w:rsidTr="1923DEB3">
        <w:tc>
          <w:tcPr>
            <w:tcW w:w="0" w:type="auto"/>
            <w:vAlign w:val="center"/>
          </w:tcPr>
          <w:p w14:paraId="1D317DA8" w14:textId="77777777" w:rsidR="00A52F51" w:rsidRPr="002F2902" w:rsidRDefault="00A52F51" w:rsidP="00F007C7">
            <w:pPr>
              <w:pStyle w:val="TableText"/>
              <w:spacing w:before="0" w:after="0"/>
            </w:pPr>
            <w:r w:rsidRPr="002F2902">
              <w:t>Type of analysis</w:t>
            </w:r>
          </w:p>
        </w:tc>
        <w:tc>
          <w:tcPr>
            <w:tcW w:w="0" w:type="auto"/>
            <w:vAlign w:val="center"/>
          </w:tcPr>
          <w:p w14:paraId="0EAE525A" w14:textId="77777777" w:rsidR="00A52F51" w:rsidRPr="002F2902" w:rsidRDefault="00A52F51" w:rsidP="00F007C7">
            <w:pPr>
              <w:pStyle w:val="TableText"/>
              <w:spacing w:before="0" w:after="0"/>
            </w:pPr>
            <w:r w:rsidRPr="002F2902">
              <w:t>Cost-utility analysis</w:t>
            </w:r>
          </w:p>
        </w:tc>
      </w:tr>
      <w:tr w:rsidR="00A52F51" w:rsidRPr="00F007C7" w14:paraId="2230D0E6" w14:textId="77777777" w:rsidTr="1923DEB3">
        <w:tc>
          <w:tcPr>
            <w:tcW w:w="0" w:type="auto"/>
            <w:vAlign w:val="center"/>
          </w:tcPr>
          <w:p w14:paraId="3F640D0B" w14:textId="77777777" w:rsidR="00A52F51" w:rsidRPr="002F2902" w:rsidRDefault="00A52F51" w:rsidP="00F007C7">
            <w:pPr>
              <w:pStyle w:val="TableText"/>
              <w:spacing w:before="0" w:after="0"/>
            </w:pPr>
            <w:r w:rsidRPr="002F2902">
              <w:t>Outcomes</w:t>
            </w:r>
          </w:p>
        </w:tc>
        <w:tc>
          <w:tcPr>
            <w:tcW w:w="0" w:type="auto"/>
            <w:vAlign w:val="center"/>
          </w:tcPr>
          <w:p w14:paraId="3043556C" w14:textId="1209CF08" w:rsidR="00A52F51" w:rsidRPr="004D2932" w:rsidRDefault="00A52F51" w:rsidP="00F007C7">
            <w:pPr>
              <w:pStyle w:val="TableText"/>
              <w:spacing w:before="0" w:after="0"/>
            </w:pPr>
            <w:r w:rsidRPr="004D2932">
              <w:t>Preterm preeclampsia, term preeclampsia, no preeclampsia, quality-adjusted life years.</w:t>
            </w:r>
          </w:p>
        </w:tc>
      </w:tr>
      <w:tr w:rsidR="00A52F51" w:rsidRPr="00F007C7" w14:paraId="501C47CD" w14:textId="77777777" w:rsidTr="1923DEB3">
        <w:tc>
          <w:tcPr>
            <w:tcW w:w="0" w:type="auto"/>
            <w:vAlign w:val="center"/>
          </w:tcPr>
          <w:p w14:paraId="45CAD807" w14:textId="77777777" w:rsidR="00A52F51" w:rsidRPr="00F007C7" w:rsidRDefault="00A52F51" w:rsidP="00F007C7">
            <w:pPr>
              <w:pStyle w:val="TableText"/>
              <w:spacing w:before="0" w:after="0"/>
              <w:rPr>
                <w:color w:val="4472C4" w:themeColor="accent5"/>
                <w:szCs w:val="20"/>
              </w:rPr>
            </w:pPr>
            <w:r w:rsidRPr="00F007C7">
              <w:rPr>
                <w:szCs w:val="20"/>
              </w:rPr>
              <w:t>Costs</w:t>
            </w:r>
          </w:p>
        </w:tc>
        <w:tc>
          <w:tcPr>
            <w:tcW w:w="0" w:type="auto"/>
            <w:vAlign w:val="center"/>
          </w:tcPr>
          <w:p w14:paraId="756C2033" w14:textId="0C1CA61E" w:rsidR="00A52F51" w:rsidRPr="00F007C7" w:rsidRDefault="00A52F51" w:rsidP="00F007C7">
            <w:pPr>
              <w:pStyle w:val="TableText"/>
              <w:spacing w:before="0" w:after="0"/>
            </w:pPr>
            <w:r>
              <w:t xml:space="preserve">Costs associated with </w:t>
            </w:r>
            <w:r w:rsidR="56ABAC9A">
              <w:t xml:space="preserve">risk-based </w:t>
            </w:r>
            <w:r w:rsidR="55AFBD6D">
              <w:t>testing</w:t>
            </w:r>
            <w:r w:rsidR="731E89B4">
              <w:t xml:space="preserve">, monitoring, </w:t>
            </w:r>
            <w:r>
              <w:t xml:space="preserve">aspirin treatment and </w:t>
            </w:r>
            <w:r w:rsidR="55939B0D">
              <w:t>hospitalisation due</w:t>
            </w:r>
            <w:r>
              <w:t xml:space="preserve"> to preeclampsia </w:t>
            </w:r>
            <w:r w:rsidR="34D2C590">
              <w:t>were included</w:t>
            </w:r>
            <w:r>
              <w:t xml:space="preserve"> in the </w:t>
            </w:r>
            <w:r w:rsidR="34D2C590">
              <w:t>model</w:t>
            </w:r>
            <w:r>
              <w:t>.</w:t>
            </w:r>
          </w:p>
        </w:tc>
      </w:tr>
      <w:tr w:rsidR="00A52F51" w:rsidRPr="00F007C7" w14:paraId="65E774EA" w14:textId="77777777" w:rsidTr="1923DEB3">
        <w:tc>
          <w:tcPr>
            <w:tcW w:w="0" w:type="auto"/>
            <w:vAlign w:val="center"/>
          </w:tcPr>
          <w:p w14:paraId="67FB664D" w14:textId="77777777" w:rsidR="00A52F51" w:rsidRPr="002F2902" w:rsidRDefault="00A52F51" w:rsidP="00F007C7">
            <w:pPr>
              <w:pStyle w:val="TableText"/>
              <w:spacing w:before="0" w:after="0"/>
            </w:pPr>
            <w:r w:rsidRPr="002F2902">
              <w:t>Time horizon</w:t>
            </w:r>
          </w:p>
        </w:tc>
        <w:tc>
          <w:tcPr>
            <w:tcW w:w="0" w:type="auto"/>
            <w:vAlign w:val="center"/>
          </w:tcPr>
          <w:p w14:paraId="32908837" w14:textId="5B50B6AF" w:rsidR="00A52F51" w:rsidRDefault="00A52F51" w:rsidP="00F007C7">
            <w:pPr>
              <w:pStyle w:val="TableText"/>
              <w:spacing w:before="0" w:after="0"/>
            </w:pPr>
            <w:r>
              <w:t xml:space="preserve">Up to 28 weeks (from </w:t>
            </w:r>
            <w:r w:rsidR="5D001E11">
              <w:t xml:space="preserve">risk-based </w:t>
            </w:r>
            <w:r w:rsidR="00F56D38">
              <w:t>testing</w:t>
            </w:r>
            <w:r w:rsidR="002B39D2">
              <w:t xml:space="preserve"> </w:t>
            </w:r>
            <w:r>
              <w:t>at 11+0 weeks gestation to term delivery at 39 weeks) in the model</w:t>
            </w:r>
          </w:p>
          <w:p w14:paraId="147BA14B" w14:textId="3B40A03B" w:rsidR="00A52F51" w:rsidRPr="002F2902" w:rsidRDefault="00A52F51" w:rsidP="002D4ECD">
            <w:pPr>
              <w:pStyle w:val="TableText"/>
              <w:numPr>
                <w:ilvl w:val="0"/>
                <w:numId w:val="17"/>
              </w:numPr>
              <w:spacing w:before="0" w:after="0"/>
            </w:pPr>
            <w:r w:rsidRPr="002F2902">
              <w:t>The time horizon used in the model aligns with the time horizon of the key trial</w:t>
            </w:r>
            <w:r>
              <w:t>.</w:t>
            </w:r>
          </w:p>
        </w:tc>
      </w:tr>
      <w:tr w:rsidR="00A52F51" w:rsidRPr="00F007C7" w14:paraId="40C46E58" w14:textId="77777777" w:rsidTr="1923DEB3">
        <w:tc>
          <w:tcPr>
            <w:tcW w:w="0" w:type="auto"/>
            <w:vAlign w:val="center"/>
          </w:tcPr>
          <w:p w14:paraId="7B7D1776" w14:textId="77777777" w:rsidR="00A52F51" w:rsidRPr="002F2902" w:rsidRDefault="00A52F51" w:rsidP="00F007C7">
            <w:pPr>
              <w:pStyle w:val="TableText"/>
              <w:spacing w:before="0" w:after="0"/>
            </w:pPr>
            <w:r w:rsidRPr="002F2902">
              <w:t>Computational method</w:t>
            </w:r>
          </w:p>
        </w:tc>
        <w:tc>
          <w:tcPr>
            <w:tcW w:w="0" w:type="auto"/>
            <w:vAlign w:val="center"/>
          </w:tcPr>
          <w:p w14:paraId="08F9FDA3" w14:textId="77777777" w:rsidR="00A52F51" w:rsidRDefault="00A52F51" w:rsidP="00F007C7">
            <w:pPr>
              <w:pStyle w:val="TableText"/>
              <w:spacing w:before="0" w:after="0"/>
            </w:pPr>
            <w:r w:rsidRPr="002F2902">
              <w:t>Cohort expected value</w:t>
            </w:r>
            <w:r>
              <w:t>. R</w:t>
            </w:r>
            <w:r w:rsidRPr="002F2902">
              <w:t xml:space="preserve">esults are reported </w:t>
            </w:r>
            <w:r>
              <w:t>at the individual (per patient) level.</w:t>
            </w:r>
          </w:p>
          <w:p w14:paraId="4A8DE62F" w14:textId="06EA3FD8" w:rsidR="00A52F51" w:rsidRPr="002F2902" w:rsidRDefault="00A52F51" w:rsidP="00F007C7">
            <w:pPr>
              <w:pStyle w:val="TableText"/>
              <w:spacing w:before="0" w:after="0"/>
            </w:pPr>
            <w:r>
              <w:t xml:space="preserve">An alternate analysis based on a </w:t>
            </w:r>
            <w:r w:rsidRPr="002F2902">
              <w:t xml:space="preserve">cohort of 100,000 pregnant </w:t>
            </w:r>
            <w:r w:rsidR="00F43CB5">
              <w:t>persons</w:t>
            </w:r>
            <w:r w:rsidRPr="002F2902">
              <w:t xml:space="preserve"> undergoing preterm preeclampsia risk assessment </w:t>
            </w:r>
            <w:r>
              <w:t>is presented to provide for broader clinical context relevant for a population</w:t>
            </w:r>
            <w:r w:rsidR="003208AF" w:rsidRPr="00841EBD">
              <w:t>-</w:t>
            </w:r>
            <w:r>
              <w:t xml:space="preserve">based </w:t>
            </w:r>
            <w:r w:rsidR="00F56D38">
              <w:t>testing</w:t>
            </w:r>
            <w:r>
              <w:t xml:space="preserve"> program.</w:t>
            </w:r>
          </w:p>
        </w:tc>
      </w:tr>
      <w:tr w:rsidR="00A52F51" w:rsidRPr="00F007C7" w14:paraId="79792DCC" w14:textId="77777777" w:rsidTr="1923DEB3">
        <w:tc>
          <w:tcPr>
            <w:tcW w:w="0" w:type="auto"/>
            <w:vAlign w:val="center"/>
          </w:tcPr>
          <w:p w14:paraId="4AC9F491" w14:textId="77777777" w:rsidR="00A52F51" w:rsidRPr="002F2902" w:rsidRDefault="00A52F51" w:rsidP="00F007C7">
            <w:pPr>
              <w:pStyle w:val="TableText"/>
              <w:spacing w:before="0" w:after="0"/>
            </w:pPr>
            <w:r w:rsidRPr="002F2902">
              <w:t>Generation of the base case</w:t>
            </w:r>
          </w:p>
        </w:tc>
        <w:tc>
          <w:tcPr>
            <w:tcW w:w="0" w:type="auto"/>
            <w:vAlign w:val="center"/>
          </w:tcPr>
          <w:p w14:paraId="40B84D45" w14:textId="7B11DCB3" w:rsidR="00A52F51" w:rsidRPr="002F2902" w:rsidRDefault="00A52F51" w:rsidP="00F007C7">
            <w:pPr>
              <w:pStyle w:val="TableText"/>
              <w:spacing w:before="0" w:after="0"/>
            </w:pPr>
            <w:r w:rsidRPr="002F2902">
              <w:t>Trial based.</w:t>
            </w:r>
            <w:r>
              <w:t xml:space="preserve"> </w:t>
            </w:r>
            <w:r w:rsidRPr="002F2902">
              <w:t>Results of an Australian clinical implementation study</w:t>
            </w:r>
            <w:r>
              <w:t xml:space="preserve"> </w:t>
            </w:r>
            <w:r w:rsidR="00F86266">
              <w:fldChar w:fldCharType="begin">
                <w:fldData xml:space="preserve">PEVuZE5vdGU+PENpdGU+PEF1dGhvcj5Sb2xuaWs8L0F1dGhvcj48WWVhcj4yMDIxPC9ZZWFyPjxS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</w:fldData>
              </w:fldChar>
            </w:r>
            <w:r w:rsidR="00816AE4">
              <w:instrText xml:space="preserve"> ADDIN EN.CITE </w:instrText>
            </w:r>
            <w:r w:rsidR="00816AE4">
              <w:fldChar w:fldCharType="begin">
                <w:fldData xml:space="preserve">PEVuZE5vdGU+PENpdGU+PEF1dGhvcj5Sb2xuaWs8L0F1dGhvcj48WWVhcj4yMDIxPC9ZZWFyPjxS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</w:fldData>
              </w:fldChar>
            </w:r>
            <w:r w:rsidR="00816AE4">
              <w:instrText xml:space="preserve"> ADDIN EN.CITE.DATA </w:instrText>
            </w:r>
            <w:r w:rsidR="00816AE4">
              <w:fldChar w:fldCharType="end"/>
            </w:r>
            <w:r w:rsidR="00F86266">
              <w:fldChar w:fldCharType="separate"/>
            </w:r>
            <w:r w:rsidR="00816AE4">
              <w:rPr>
                <w:noProof/>
              </w:rPr>
              <w:t>(Rolnik et al., 2021)</w:t>
            </w:r>
            <w:r w:rsidR="00F86266">
              <w:fldChar w:fldCharType="end"/>
            </w:r>
            <w:r w:rsidR="00F86266">
              <w:t xml:space="preserve"> </w:t>
            </w:r>
            <w:r>
              <w:t xml:space="preserve">are </w:t>
            </w:r>
            <w:r w:rsidRPr="002F2902">
              <w:t>used to generate the base case</w:t>
            </w:r>
          </w:p>
        </w:tc>
      </w:tr>
      <w:tr w:rsidR="00A52F51" w:rsidRPr="00F007C7" w14:paraId="7406576A" w14:textId="77777777" w:rsidTr="1923DEB3">
        <w:tc>
          <w:tcPr>
            <w:tcW w:w="0" w:type="auto"/>
            <w:vAlign w:val="center"/>
          </w:tcPr>
          <w:p w14:paraId="38DEF43B" w14:textId="77777777" w:rsidR="00A52F51" w:rsidRPr="002F2902" w:rsidRDefault="00A52F51" w:rsidP="00F007C7">
            <w:pPr>
              <w:pStyle w:val="TableText"/>
              <w:spacing w:before="0" w:after="0"/>
            </w:pPr>
            <w:r w:rsidRPr="002F2902">
              <w:t>Health states</w:t>
            </w:r>
          </w:p>
        </w:tc>
        <w:tc>
          <w:tcPr>
            <w:tcW w:w="0" w:type="auto"/>
            <w:vAlign w:val="center"/>
          </w:tcPr>
          <w:p w14:paraId="5C4C3E7E" w14:textId="148F8918" w:rsidR="00A52F51" w:rsidRPr="002F2902" w:rsidRDefault="00CD4FD3" w:rsidP="00F007C7">
            <w:pPr>
              <w:pStyle w:val="TableText"/>
              <w:spacing w:before="0" w:after="0"/>
            </w:pPr>
            <w:r w:rsidRPr="00CD4FD3">
              <w:t xml:space="preserve">Preterm preeclampsia, term preeclampsia, no preeclampsia </w:t>
            </w:r>
            <w:r w:rsidR="00A52F51" w:rsidRPr="00841EBD">
              <w:t>(decision tree used)</w:t>
            </w:r>
          </w:p>
        </w:tc>
      </w:tr>
      <w:tr w:rsidR="00A52F51" w:rsidRPr="00F007C7" w14:paraId="2DB8368B" w14:textId="77777777" w:rsidTr="1923DEB3">
        <w:tc>
          <w:tcPr>
            <w:tcW w:w="0" w:type="auto"/>
            <w:vAlign w:val="center"/>
          </w:tcPr>
          <w:p w14:paraId="32547013" w14:textId="77777777" w:rsidR="00A52F51" w:rsidRPr="002F2902" w:rsidRDefault="00A52F51" w:rsidP="00F007C7">
            <w:pPr>
              <w:pStyle w:val="TableText"/>
              <w:spacing w:before="0" w:after="0"/>
            </w:pPr>
            <w:r w:rsidRPr="002F2902">
              <w:t>Cycle length</w:t>
            </w:r>
          </w:p>
        </w:tc>
        <w:tc>
          <w:tcPr>
            <w:tcW w:w="0" w:type="auto"/>
            <w:vAlign w:val="center"/>
          </w:tcPr>
          <w:p w14:paraId="6C5C5866" w14:textId="77777777" w:rsidR="00A52F51" w:rsidRPr="002F2902" w:rsidRDefault="00A52F51" w:rsidP="00F007C7">
            <w:pPr>
              <w:pStyle w:val="TableText"/>
              <w:spacing w:before="0" w:after="0"/>
            </w:pPr>
            <w:r w:rsidRPr="002F2902">
              <w:t>Not applicable</w:t>
            </w:r>
          </w:p>
        </w:tc>
      </w:tr>
      <w:tr w:rsidR="00A52F51" w:rsidRPr="00F007C7" w14:paraId="1689B19B" w14:textId="77777777" w:rsidTr="1923DEB3">
        <w:tc>
          <w:tcPr>
            <w:tcW w:w="0" w:type="auto"/>
            <w:vAlign w:val="center"/>
          </w:tcPr>
          <w:p w14:paraId="0F114525" w14:textId="77777777" w:rsidR="00A52F51" w:rsidRPr="002F2902" w:rsidRDefault="00A52F51" w:rsidP="00F007C7">
            <w:pPr>
              <w:pStyle w:val="TableText"/>
              <w:spacing w:before="0" w:after="0"/>
            </w:pPr>
            <w:r w:rsidRPr="002F2902">
              <w:t>Transition probabilities</w:t>
            </w:r>
          </w:p>
        </w:tc>
        <w:tc>
          <w:tcPr>
            <w:tcW w:w="0" w:type="auto"/>
            <w:vAlign w:val="center"/>
          </w:tcPr>
          <w:p w14:paraId="24965D55" w14:textId="30D5C508" w:rsidR="00A52F51" w:rsidRDefault="00A52F51" w:rsidP="00F007C7">
            <w:pPr>
              <w:pStyle w:val="TableText"/>
              <w:spacing w:before="0" w:after="0"/>
            </w:pPr>
            <w:r w:rsidRPr="002F2902">
              <w:t xml:space="preserve">Transition probabilities allocating patients to ‘High risk’ and ‘Low risk’ branches of the </w:t>
            </w:r>
            <w:r>
              <w:t xml:space="preserve">decision tree were </w:t>
            </w:r>
            <w:r w:rsidRPr="002F2902">
              <w:t>obtained from an Australian clinical validation study</w:t>
            </w:r>
            <w:r>
              <w:t xml:space="preserve"> </w:t>
            </w:r>
            <w:r w:rsidR="00F86266">
              <w:fldChar w:fldCharType="begin">
                <w:fldData xml:space="preserve">PEVuZE5vdGU+PENpdGU+PEF1dGhvcj5Sb2xuaWs8L0F1dGhvcj48WWVhcj4yMDIxPC9ZZWFyPjxS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</w:fldData>
              </w:fldChar>
            </w:r>
            <w:r w:rsidR="00816AE4">
              <w:instrText xml:space="preserve"> ADDIN EN.CITE </w:instrText>
            </w:r>
            <w:r w:rsidR="00816AE4">
              <w:fldChar w:fldCharType="begin">
                <w:fldData xml:space="preserve">PEVuZE5vdGU+PENpdGU+PEF1dGhvcj5Sb2xuaWs8L0F1dGhvcj48WWVhcj4yMDIxPC9ZZWFyPjxS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</w:fldData>
              </w:fldChar>
            </w:r>
            <w:r w:rsidR="00816AE4">
              <w:instrText xml:space="preserve"> ADDIN EN.CITE.DATA </w:instrText>
            </w:r>
            <w:r w:rsidR="00816AE4">
              <w:fldChar w:fldCharType="end"/>
            </w:r>
            <w:r w:rsidR="00F86266">
              <w:fldChar w:fldCharType="separate"/>
            </w:r>
            <w:r w:rsidR="00816AE4">
              <w:rPr>
                <w:noProof/>
              </w:rPr>
              <w:t>(Rolnik et al., 2021)</w:t>
            </w:r>
            <w:r w:rsidR="00F86266">
              <w:fldChar w:fldCharType="end"/>
            </w:r>
            <w:r w:rsidR="00F86266">
              <w:t xml:space="preserve"> </w:t>
            </w:r>
            <w:r w:rsidRPr="002F2902">
              <w:t>and applied without transformation</w:t>
            </w:r>
            <w:r>
              <w:t>.</w:t>
            </w:r>
          </w:p>
          <w:p w14:paraId="2C99777D" w14:textId="64274F85" w:rsidR="00A52F51" w:rsidRPr="002F2902" w:rsidRDefault="00A52F51" w:rsidP="00F007C7">
            <w:pPr>
              <w:pStyle w:val="TableText"/>
              <w:spacing w:before="0" w:after="0"/>
            </w:pPr>
            <w:r w:rsidRPr="002F2902">
              <w:t>Transition probabilities allocating patients to the ‘Preterm preeclampsia</w:t>
            </w:r>
            <w:r>
              <w:t>’,</w:t>
            </w:r>
            <w:r w:rsidRPr="002F2902">
              <w:t xml:space="preserve"> ‘Term preeclampsia’ health outcomes obtained from an Australian clinical validation study </w:t>
            </w:r>
            <w:r w:rsidR="00F86266">
              <w:fldChar w:fldCharType="begin">
                <w:fldData xml:space="preserve">PEVuZE5vdGU+PENpdGU+PEF1dGhvcj5Sb2xuaWs8L0F1dGhvcj48WWVhcj4yMDIxPC9ZZWFyPjxS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</w:fldData>
              </w:fldChar>
            </w:r>
            <w:r w:rsidR="00816AE4">
              <w:instrText xml:space="preserve"> ADDIN EN.CITE </w:instrText>
            </w:r>
            <w:r w:rsidR="00816AE4">
              <w:fldChar w:fldCharType="begin">
                <w:fldData xml:space="preserve">PEVuZE5vdGU+PENpdGU+PEF1dGhvcj5Sb2xuaWs8L0F1dGhvcj48WWVhcj4yMDIxPC9ZZWFyPjxS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</w:fldData>
              </w:fldChar>
            </w:r>
            <w:r w:rsidR="00816AE4">
              <w:instrText xml:space="preserve"> ADDIN EN.CITE.DATA </w:instrText>
            </w:r>
            <w:r w:rsidR="00816AE4">
              <w:fldChar w:fldCharType="end"/>
            </w:r>
            <w:r w:rsidR="00F86266">
              <w:fldChar w:fldCharType="separate"/>
            </w:r>
            <w:r w:rsidR="00816AE4">
              <w:rPr>
                <w:noProof/>
              </w:rPr>
              <w:t>(Rolnik et al., 2021)</w:t>
            </w:r>
            <w:r w:rsidR="00F86266">
              <w:fldChar w:fldCharType="end"/>
            </w:r>
            <w:r w:rsidR="00F86266">
              <w:t xml:space="preserve"> </w:t>
            </w:r>
            <w:r w:rsidRPr="002F2902">
              <w:t>and applied without transformation</w:t>
            </w:r>
          </w:p>
        </w:tc>
      </w:tr>
      <w:tr w:rsidR="00A52F51" w:rsidRPr="00F007C7" w14:paraId="516429EB" w14:textId="77777777" w:rsidTr="1923DEB3">
        <w:tc>
          <w:tcPr>
            <w:tcW w:w="0" w:type="auto"/>
            <w:vAlign w:val="center"/>
          </w:tcPr>
          <w:p w14:paraId="3B6F4DD1" w14:textId="77777777" w:rsidR="00A52F51" w:rsidRPr="002F2902" w:rsidRDefault="00A52F51" w:rsidP="00F007C7">
            <w:pPr>
              <w:pStyle w:val="TableText"/>
              <w:spacing w:before="0" w:after="0"/>
            </w:pPr>
            <w:r w:rsidRPr="002F2902">
              <w:t>Discount rate</w:t>
            </w:r>
          </w:p>
        </w:tc>
        <w:tc>
          <w:tcPr>
            <w:tcW w:w="0" w:type="auto"/>
            <w:vAlign w:val="center"/>
          </w:tcPr>
          <w:p w14:paraId="380921D8" w14:textId="13E73A6C" w:rsidR="00A52F51" w:rsidRPr="002F2902" w:rsidRDefault="00A52F51" w:rsidP="00F007C7">
            <w:pPr>
              <w:pStyle w:val="TableText"/>
              <w:spacing w:before="0" w:after="0"/>
            </w:pPr>
            <w:r w:rsidRPr="002F2902">
              <w:t>Not applied. All costs and consequences accrued in less than 1 year</w:t>
            </w:r>
            <w:r>
              <w:t>.</w:t>
            </w:r>
          </w:p>
        </w:tc>
      </w:tr>
      <w:tr w:rsidR="00A52F51" w:rsidRPr="00F007C7" w14:paraId="65955F52" w14:textId="77777777" w:rsidTr="1923DEB3">
        <w:tc>
          <w:tcPr>
            <w:tcW w:w="0" w:type="auto"/>
            <w:vAlign w:val="center"/>
          </w:tcPr>
          <w:p w14:paraId="0AA8FD08" w14:textId="77777777" w:rsidR="00A52F51" w:rsidRPr="002F2902" w:rsidRDefault="00A52F51" w:rsidP="00F007C7">
            <w:pPr>
              <w:pStyle w:val="TableText"/>
              <w:spacing w:before="0" w:after="0"/>
            </w:pPr>
            <w:r w:rsidRPr="002F2902">
              <w:t>Software</w:t>
            </w:r>
          </w:p>
        </w:tc>
        <w:tc>
          <w:tcPr>
            <w:tcW w:w="0" w:type="auto"/>
            <w:vAlign w:val="center"/>
          </w:tcPr>
          <w:p w14:paraId="0FFFDB86" w14:textId="77777777" w:rsidR="00A52F51" w:rsidRPr="002F2902" w:rsidRDefault="00A52F51" w:rsidP="00F007C7">
            <w:pPr>
              <w:pStyle w:val="TableText"/>
              <w:spacing w:before="0" w:after="0"/>
            </w:pPr>
            <w:proofErr w:type="spellStart"/>
            <w:r w:rsidRPr="002F2902">
              <w:t>TreeAge</w:t>
            </w:r>
            <w:proofErr w:type="spellEnd"/>
            <w:r w:rsidRPr="002F2902">
              <w:t xml:space="preserve"> Pro (Healthcare Version)</w:t>
            </w:r>
          </w:p>
        </w:tc>
      </w:tr>
    </w:tbl>
    <w:p w14:paraId="435A4E60" w14:textId="3A069FE0" w:rsidR="00985167" w:rsidRPr="0014264E" w:rsidRDefault="0080591B" w:rsidP="00970246">
      <w:pPr>
        <w:pStyle w:val="Tablenotes0"/>
        <w:rPr>
          <w:rFonts w:ascii="Franklin Gothic Book" w:eastAsiaTheme="minorHAnsi" w:hAnsi="Franklin Gothic Book" w:cstheme="minorBidi"/>
          <w:sz w:val="22"/>
          <w:szCs w:val="22"/>
          <w:lang w:eastAsia="en-US"/>
        </w:rPr>
      </w:pPr>
      <w:r w:rsidRPr="0014264E">
        <w:t xml:space="preserve">Source: </w:t>
      </w:r>
      <w:r w:rsidR="004955E8" w:rsidRPr="0014264E">
        <w:t>Table 25, p</w:t>
      </w:r>
      <w:r w:rsidR="00285C11" w:rsidRPr="0014264E">
        <w:t>69 of ADAR</w:t>
      </w:r>
      <w:r w:rsidR="00E92E87" w:rsidRPr="0014264E">
        <w:t>.</w:t>
      </w:r>
    </w:p>
    <w:p w14:paraId="6239020B" w14:textId="6261122D" w:rsidR="0073448A" w:rsidRDefault="0006639B" w:rsidP="0073448A">
      <w:pPr>
        <w:pStyle w:val="a-TEXT"/>
      </w:pPr>
      <w:r w:rsidRPr="004375FC">
        <w:lastRenderedPageBreak/>
        <w:t>The</w:t>
      </w:r>
      <w:r w:rsidR="009E4BC3">
        <w:t xml:space="preserve"> commentary considered the</w:t>
      </w:r>
      <w:r w:rsidRPr="004375FC">
        <w:t xml:space="preserve"> use of a </w:t>
      </w:r>
      <w:r w:rsidR="00985167" w:rsidRPr="004375FC">
        <w:t xml:space="preserve">decision tree </w:t>
      </w:r>
      <w:r w:rsidR="00995001" w:rsidRPr="004375FC">
        <w:t>model</w:t>
      </w:r>
      <w:r w:rsidRPr="004375FC">
        <w:t xml:space="preserve"> was appropriate.</w:t>
      </w:r>
      <w:r w:rsidR="00995001" w:rsidRPr="004375FC">
        <w:t xml:space="preserve"> </w:t>
      </w:r>
    </w:p>
    <w:p w14:paraId="3AC41AF5" w14:textId="2F3FE1FB" w:rsidR="00E23C65" w:rsidRDefault="003F2D07" w:rsidP="0073448A">
      <w:pPr>
        <w:pStyle w:val="a-TEXT"/>
      </w:pPr>
      <w:r w:rsidRPr="004375FC">
        <w:t xml:space="preserve">The </w:t>
      </w:r>
      <w:r w:rsidR="000170B9">
        <w:t>commentary</w:t>
      </w:r>
      <w:r w:rsidRPr="004375FC">
        <w:t xml:space="preserve"> considered the </w:t>
      </w:r>
      <w:r w:rsidR="00F95450">
        <w:t xml:space="preserve">model </w:t>
      </w:r>
      <w:r w:rsidRPr="004375FC">
        <w:t xml:space="preserve">structure </w:t>
      </w:r>
      <w:r w:rsidR="00F95450">
        <w:t xml:space="preserve">was </w:t>
      </w:r>
      <w:r w:rsidRPr="004375FC">
        <w:t xml:space="preserve">oversimplified. Specifically, it considered that the standard care population should have been separated into low risk and </w:t>
      </w:r>
      <w:proofErr w:type="gramStart"/>
      <w:r w:rsidR="00683C95" w:rsidRPr="004375FC">
        <w:t>high</w:t>
      </w:r>
      <w:r w:rsidR="003E2899">
        <w:t xml:space="preserve"> </w:t>
      </w:r>
      <w:r w:rsidR="00683C95">
        <w:t>risk</w:t>
      </w:r>
      <w:proofErr w:type="gramEnd"/>
      <w:r w:rsidRPr="004375FC">
        <w:t xml:space="preserve"> cohorts</w:t>
      </w:r>
      <w:r w:rsidR="0073448A">
        <w:t>,</w:t>
      </w:r>
      <w:r w:rsidRPr="004375FC">
        <w:t xml:space="preserve"> rather than applying a uniform risk of preeclampsia. Current </w:t>
      </w:r>
      <w:r w:rsidR="00F56D38">
        <w:t>testing</w:t>
      </w:r>
      <w:r w:rsidRPr="004375FC">
        <w:t xml:space="preserve"> practice guidelines in Australia recommend assessment of the risk of preeclampsia using of a combination of maternal characteristics and history such as those contained in the NICE</w:t>
      </w:r>
      <w:r w:rsidR="00453AC2">
        <w:t xml:space="preserve">, </w:t>
      </w:r>
      <w:r w:rsidRPr="004375FC">
        <w:t xml:space="preserve">ACOG </w:t>
      </w:r>
      <w:r w:rsidR="00101BD0">
        <w:t>and SOMANZ</w:t>
      </w:r>
      <w:r w:rsidR="00807E43">
        <w:t xml:space="preserve"> </w:t>
      </w:r>
      <w:r w:rsidRPr="004375FC">
        <w:t xml:space="preserve">clinical risk assessment for preeclampsia guidelines. </w:t>
      </w:r>
      <w:r w:rsidR="00B306A6" w:rsidRPr="004375FC">
        <w:t xml:space="preserve">All </w:t>
      </w:r>
      <w:r w:rsidR="009544EF" w:rsidRPr="004375FC">
        <w:t xml:space="preserve">models in </w:t>
      </w:r>
      <w:r w:rsidR="00577D10" w:rsidRPr="004375FC">
        <w:t>relevant</w:t>
      </w:r>
      <w:r w:rsidR="00B306A6" w:rsidRPr="004375FC">
        <w:t xml:space="preserve"> cost-effectiveness analysis studies identified during a search of the literature</w:t>
      </w:r>
      <w:r w:rsidR="00A52D39">
        <w:rPr>
          <w:rStyle w:val="FootnoteReference"/>
        </w:rPr>
        <w:footnoteReference w:id="24"/>
      </w:r>
      <w:r w:rsidR="00694445" w:rsidRPr="004375FC">
        <w:t xml:space="preserve"> </w:t>
      </w:r>
      <w:r w:rsidR="00906E2A" w:rsidRPr="004375FC">
        <w:t xml:space="preserve">were structured so that </w:t>
      </w:r>
      <w:r w:rsidR="00175991" w:rsidRPr="004375FC">
        <w:t xml:space="preserve">the </w:t>
      </w:r>
      <w:r w:rsidR="00574F9E">
        <w:t>SoC arm</w:t>
      </w:r>
      <w:r w:rsidR="00901D2F" w:rsidRPr="004375FC">
        <w:t xml:space="preserve"> </w:t>
      </w:r>
      <w:r w:rsidR="0096555B" w:rsidRPr="004375FC">
        <w:t xml:space="preserve">was </w:t>
      </w:r>
      <w:r w:rsidR="00C17AE5" w:rsidRPr="004375FC">
        <w:t>sep</w:t>
      </w:r>
      <w:r w:rsidR="00F820CC" w:rsidRPr="004375FC">
        <w:t xml:space="preserve">arated into </w:t>
      </w:r>
      <w:r w:rsidR="00FB50C6" w:rsidRPr="004375FC">
        <w:t>groups assess</w:t>
      </w:r>
      <w:r w:rsidR="00803A26" w:rsidRPr="004375FC">
        <w:t>ed high and low risk</w:t>
      </w:r>
      <w:r w:rsidR="00C472C0" w:rsidRPr="00C472C0">
        <w:rPr>
          <w:vertAlign w:val="superscript"/>
        </w:rPr>
        <w:t>28,</w:t>
      </w:r>
      <w:r w:rsidR="00A52D39" w:rsidRPr="00C472C0">
        <w:rPr>
          <w:rStyle w:val="FootnoteReference"/>
        </w:rPr>
        <w:footnoteReference w:id="25"/>
      </w:r>
      <w:r w:rsidR="00C472C0">
        <w:rPr>
          <w:vertAlign w:val="superscript"/>
        </w:rPr>
        <w:t>,</w:t>
      </w:r>
      <w:r w:rsidR="00C472C0">
        <w:rPr>
          <w:rStyle w:val="FootnoteReference"/>
        </w:rPr>
        <w:footnoteReference w:id="26"/>
      </w:r>
      <w:r w:rsidR="00C472C0" w:rsidRPr="00C472C0">
        <w:t>.</w:t>
      </w:r>
    </w:p>
    <w:p w14:paraId="698183D6" w14:textId="16AB9165" w:rsidR="00230D7B" w:rsidRPr="00EE0228" w:rsidRDefault="00A95AD8" w:rsidP="00EE0228">
      <w:pPr>
        <w:pStyle w:val="a-TEXT"/>
        <w:rPr>
          <w:color w:val="4472C4" w:themeColor="accent5"/>
        </w:rPr>
      </w:pPr>
      <w:r w:rsidRPr="0022358D">
        <w:t>As</w:t>
      </w:r>
      <w:r w:rsidR="00E731AD" w:rsidRPr="0022358D">
        <w:t xml:space="preserve"> </w:t>
      </w:r>
      <w:r w:rsidRPr="0022358D">
        <w:t>t</w:t>
      </w:r>
      <w:r w:rsidR="008461AB" w:rsidRPr="0022358D">
        <w:t>he</w:t>
      </w:r>
      <w:r w:rsidR="006A0698" w:rsidRPr="0022358D">
        <w:t xml:space="preserve"> key study was </w:t>
      </w:r>
      <w:r w:rsidR="00230D7B" w:rsidRPr="0022358D">
        <w:t>conducted in Australia</w:t>
      </w:r>
      <w:r w:rsidR="009C7043">
        <w:t>,</w:t>
      </w:r>
      <w:r w:rsidR="00230D7B" w:rsidRPr="0022358D">
        <w:t xml:space="preserve"> the </w:t>
      </w:r>
      <w:r w:rsidR="00824F6B" w:rsidRPr="0022358D">
        <w:t>population in</w:t>
      </w:r>
      <w:r w:rsidR="00230D7B" w:rsidRPr="0022358D">
        <w:t xml:space="preserve"> the economic evaluation matches </w:t>
      </w:r>
      <w:r w:rsidR="00824F6B" w:rsidRPr="0022358D">
        <w:t>the</w:t>
      </w:r>
      <w:r w:rsidR="00230D7B" w:rsidRPr="0022358D">
        <w:t xml:space="preserve"> population in the PICO.</w:t>
      </w:r>
      <w:r w:rsidR="00482EE8" w:rsidRPr="0022358D">
        <w:t xml:space="preserve"> </w:t>
      </w:r>
      <w:r w:rsidR="0046709D" w:rsidRPr="0022358D">
        <w:t>The internal validity of the pivotal study</w:t>
      </w:r>
      <w:r w:rsidR="0046709D">
        <w:t xml:space="preserve"> </w:t>
      </w:r>
      <w:r w:rsidR="0046709D" w:rsidRPr="0022358D">
        <w:t>depends largely on whether the characteristics of the population of private patients is</w:t>
      </w:r>
      <w:r w:rsidR="005F7487" w:rsidRPr="0022358D">
        <w:t xml:space="preserve"> sufficiently</w:t>
      </w:r>
      <w:r w:rsidR="0046709D" w:rsidRPr="0022358D">
        <w:t xml:space="preserve"> </w:t>
      </w:r>
      <w:proofErr w:type="gramStart"/>
      <w:r w:rsidR="0046709D" w:rsidRPr="0022358D">
        <w:t>similar to</w:t>
      </w:r>
      <w:proofErr w:type="gramEnd"/>
      <w:r w:rsidR="0046709D" w:rsidRPr="0022358D">
        <w:t xml:space="preserve"> those of the population of public patients. </w:t>
      </w:r>
      <w:r w:rsidR="005F7487" w:rsidRPr="0022358D">
        <w:t>Th</w:t>
      </w:r>
      <w:r w:rsidR="00413146">
        <w:t>e commentary considered th</w:t>
      </w:r>
      <w:r w:rsidR="005F7487" w:rsidRPr="0022358D">
        <w:t xml:space="preserve">is </w:t>
      </w:r>
      <w:r w:rsidR="00413146">
        <w:t>wa</w:t>
      </w:r>
      <w:r w:rsidR="005F7487" w:rsidRPr="0022358D">
        <w:t>s an unreasonable</w:t>
      </w:r>
      <w:r w:rsidR="0046709D" w:rsidRPr="0022358D">
        <w:t xml:space="preserve"> assumption </w:t>
      </w:r>
      <w:r w:rsidR="00740B2C">
        <w:t>as</w:t>
      </w:r>
      <w:r w:rsidR="0046709D" w:rsidRPr="0022358D">
        <w:t xml:space="preserve"> the clinical implementation study </w:t>
      </w:r>
      <w:r w:rsidR="00740B2C">
        <w:t>itself</w:t>
      </w:r>
      <w:r w:rsidR="0046709D">
        <w:t xml:space="preserve"> </w:t>
      </w:r>
      <w:r w:rsidR="0046709D" w:rsidRPr="0022358D">
        <w:t>demonstrate</w:t>
      </w:r>
      <w:r w:rsidR="00413146">
        <w:t>d</w:t>
      </w:r>
      <w:r w:rsidR="0046709D" w:rsidRPr="0022358D">
        <w:t xml:space="preserve"> that these populations are significantly different</w:t>
      </w:r>
      <w:r w:rsidR="00E254D1" w:rsidRPr="0022358D">
        <w:t>.</w:t>
      </w:r>
      <w:r w:rsidR="00CD4FD3" w:rsidRPr="004D7833">
        <w:rPr>
          <w:i/>
        </w:rPr>
        <w:t xml:space="preserve"> </w:t>
      </w:r>
      <w:r w:rsidR="00EE0228" w:rsidRPr="004D7833">
        <w:rPr>
          <w:iCs w:val="0"/>
        </w:rPr>
        <w:t>It would have been more appropriate</w:t>
      </w:r>
      <w:r w:rsidR="004043B1" w:rsidRPr="004D7833">
        <w:t xml:space="preserve"> to </w:t>
      </w:r>
      <w:r w:rsidR="00EE0228" w:rsidRPr="004D7833">
        <w:rPr>
          <w:iCs w:val="0"/>
        </w:rPr>
        <w:t xml:space="preserve">use the </w:t>
      </w:r>
      <w:r w:rsidR="00B66DAF" w:rsidRPr="004D7833">
        <w:rPr>
          <w:iCs w:val="0"/>
        </w:rPr>
        <w:t>data from</w:t>
      </w:r>
      <w:r w:rsidR="00FC0418" w:rsidRPr="004D7833">
        <w:t xml:space="preserve"> the </w:t>
      </w:r>
      <w:r w:rsidR="00B66DAF" w:rsidRPr="004D7833">
        <w:rPr>
          <w:iCs w:val="0"/>
        </w:rPr>
        <w:t xml:space="preserve">ASPRE cohorts to drive the </w:t>
      </w:r>
      <w:r w:rsidR="009E4CC3" w:rsidRPr="004D7833">
        <w:rPr>
          <w:iCs w:val="0"/>
        </w:rPr>
        <w:t xml:space="preserve">identification of </w:t>
      </w:r>
      <w:r w:rsidR="00FC0418" w:rsidRPr="004D7833">
        <w:t>risk of preec</w:t>
      </w:r>
      <w:r w:rsidR="00044AAF" w:rsidRPr="004D7833">
        <w:t>lamp</w:t>
      </w:r>
      <w:r w:rsidR="004F136D" w:rsidRPr="004D7833">
        <w:t>sia</w:t>
      </w:r>
      <w:r w:rsidR="009E4CC3" w:rsidRPr="004D7833">
        <w:rPr>
          <w:iCs w:val="0"/>
        </w:rPr>
        <w:t xml:space="preserve"> </w:t>
      </w:r>
      <w:r w:rsidR="00374368" w:rsidRPr="004D7833">
        <w:rPr>
          <w:iCs w:val="0"/>
        </w:rPr>
        <w:t>in both arms</w:t>
      </w:r>
      <w:r w:rsidR="009C7043">
        <w:rPr>
          <w:iCs w:val="0"/>
        </w:rPr>
        <w:t>,</w:t>
      </w:r>
      <w:r w:rsidR="00374368" w:rsidRPr="004D7833">
        <w:rPr>
          <w:iCs w:val="0"/>
        </w:rPr>
        <w:t xml:space="preserve"> a</w:t>
      </w:r>
      <w:r w:rsidR="009E4CC3" w:rsidRPr="004D7833">
        <w:rPr>
          <w:iCs w:val="0"/>
        </w:rPr>
        <w:t xml:space="preserve">nd then use the Australian study to </w:t>
      </w:r>
      <w:r w:rsidR="003743E4" w:rsidRPr="004D7833">
        <w:rPr>
          <w:iCs w:val="0"/>
        </w:rPr>
        <w:t xml:space="preserve">provide the clinical outcomes based on the </w:t>
      </w:r>
      <w:r w:rsidR="008769AF">
        <w:rPr>
          <w:iCs w:val="0"/>
        </w:rPr>
        <w:t xml:space="preserve">risk of </w:t>
      </w:r>
      <w:r w:rsidR="003743E4" w:rsidRPr="004D7833">
        <w:rPr>
          <w:iCs w:val="0"/>
        </w:rPr>
        <w:t xml:space="preserve">developing preeclampsia in the structured </w:t>
      </w:r>
      <w:r w:rsidR="004D7833" w:rsidRPr="004D7833">
        <w:rPr>
          <w:iCs w:val="0"/>
        </w:rPr>
        <w:t>cohort.</w:t>
      </w:r>
    </w:p>
    <w:p w14:paraId="214F690A" w14:textId="2BCE6BA6" w:rsidR="00691522" w:rsidRDefault="005A5BB7" w:rsidP="0022358D">
      <w:pPr>
        <w:pStyle w:val="TableText"/>
        <w:spacing w:before="120" w:after="120" w:line="259" w:lineRule="auto"/>
        <w:rPr>
          <w:rFonts w:ascii="Franklin Gothic Book" w:eastAsiaTheme="minorHAnsi" w:hAnsi="Franklin Gothic Book" w:cstheme="minorBidi"/>
          <w:iCs/>
          <w:sz w:val="22"/>
          <w:szCs w:val="22"/>
          <w:lang w:eastAsia="en-US"/>
        </w:rPr>
      </w:pPr>
      <w:r w:rsidRPr="0022358D">
        <w:rPr>
          <w:rFonts w:ascii="Franklin Gothic Book" w:eastAsiaTheme="minorHAnsi" w:hAnsi="Franklin Gothic Book" w:cstheme="minorBidi"/>
          <w:iCs/>
          <w:sz w:val="22"/>
          <w:szCs w:val="22"/>
          <w:lang w:eastAsia="en-US"/>
        </w:rPr>
        <w:t xml:space="preserve">The ADAR argues that the use of preeclampsia outcomes at delivery reported in the clinical implementation study accounts for recommended (per guidelines) and actual changes in management for women being </w:t>
      </w:r>
      <w:r w:rsidR="00F56D38">
        <w:rPr>
          <w:rFonts w:ascii="Franklin Gothic Book" w:eastAsiaTheme="minorHAnsi" w:hAnsi="Franklin Gothic Book" w:cstheme="minorBidi"/>
          <w:iCs/>
          <w:sz w:val="22"/>
          <w:szCs w:val="22"/>
          <w:lang w:eastAsia="en-US"/>
        </w:rPr>
        <w:t>tested</w:t>
      </w:r>
      <w:r w:rsidRPr="0022358D">
        <w:rPr>
          <w:rFonts w:ascii="Franklin Gothic Book" w:eastAsiaTheme="minorHAnsi" w:hAnsi="Franklin Gothic Book" w:cstheme="minorBidi"/>
          <w:iCs/>
          <w:sz w:val="22"/>
          <w:szCs w:val="22"/>
          <w:lang w:eastAsia="en-US"/>
        </w:rPr>
        <w:t xml:space="preserve"> for preeclampsia (i.e., the proportion of women offered aspirin) and this negates the need to incorporate transition probabilities for the aspirin uptake.</w:t>
      </w:r>
      <w:r w:rsidR="004145FC" w:rsidRPr="0022358D">
        <w:rPr>
          <w:rFonts w:ascii="Franklin Gothic Book" w:eastAsiaTheme="minorHAnsi" w:hAnsi="Franklin Gothic Book" w:cstheme="minorBidi"/>
          <w:iCs/>
          <w:sz w:val="22"/>
          <w:szCs w:val="22"/>
          <w:lang w:eastAsia="en-US"/>
        </w:rPr>
        <w:t xml:space="preserve"> The underlying assumption of </w:t>
      </w:r>
      <w:r w:rsidR="00691522" w:rsidRPr="0022358D">
        <w:rPr>
          <w:rFonts w:ascii="Franklin Gothic Book" w:eastAsiaTheme="minorHAnsi" w:hAnsi="Franklin Gothic Book" w:cstheme="minorBidi"/>
          <w:iCs/>
          <w:sz w:val="22"/>
          <w:szCs w:val="22"/>
          <w:lang w:eastAsia="en-US"/>
        </w:rPr>
        <w:t>the</w:t>
      </w:r>
      <w:r w:rsidR="004C162E" w:rsidRPr="0022358D">
        <w:rPr>
          <w:rFonts w:ascii="Franklin Gothic Book" w:eastAsiaTheme="minorHAnsi" w:hAnsi="Franklin Gothic Book" w:cstheme="minorBidi"/>
          <w:iCs/>
          <w:sz w:val="22"/>
          <w:szCs w:val="22"/>
          <w:lang w:eastAsia="en-US"/>
        </w:rPr>
        <w:t xml:space="preserve"> economic evaluation is that all women who are </w:t>
      </w:r>
      <w:r w:rsidR="00F56D38">
        <w:rPr>
          <w:rFonts w:ascii="Franklin Gothic Book" w:eastAsiaTheme="minorHAnsi" w:hAnsi="Franklin Gothic Book" w:cstheme="minorBidi"/>
          <w:iCs/>
          <w:sz w:val="22"/>
          <w:szCs w:val="22"/>
          <w:lang w:eastAsia="en-US"/>
        </w:rPr>
        <w:t>tested</w:t>
      </w:r>
      <w:r w:rsidR="004C162E" w:rsidRPr="0022358D">
        <w:rPr>
          <w:rFonts w:ascii="Franklin Gothic Book" w:eastAsiaTheme="minorHAnsi" w:hAnsi="Franklin Gothic Book" w:cstheme="minorBidi"/>
          <w:iCs/>
          <w:sz w:val="22"/>
          <w:szCs w:val="22"/>
          <w:lang w:eastAsia="en-US"/>
        </w:rPr>
        <w:t xml:space="preserve"> as high risk of preeclampsia </w:t>
      </w:r>
      <w:r w:rsidR="009D1F4D">
        <w:rPr>
          <w:rFonts w:ascii="Franklin Gothic Book" w:eastAsiaTheme="minorHAnsi" w:hAnsi="Franklin Gothic Book" w:cstheme="minorBidi"/>
          <w:iCs/>
          <w:sz w:val="22"/>
          <w:szCs w:val="22"/>
          <w:lang w:eastAsia="en-US"/>
        </w:rPr>
        <w:t>by</w:t>
      </w:r>
      <w:r w:rsidR="00FC70B0">
        <w:rPr>
          <w:rFonts w:ascii="Franklin Gothic Book" w:eastAsiaTheme="minorHAnsi" w:hAnsi="Franklin Gothic Book" w:cstheme="minorBidi"/>
          <w:iCs/>
          <w:sz w:val="22"/>
          <w:szCs w:val="22"/>
          <w:lang w:eastAsia="en-US"/>
        </w:rPr>
        <w:t xml:space="preserve"> structured risk assessment </w:t>
      </w:r>
      <w:r w:rsidR="004C162E" w:rsidRPr="0022358D">
        <w:rPr>
          <w:rFonts w:ascii="Franklin Gothic Book" w:eastAsiaTheme="minorHAnsi" w:hAnsi="Franklin Gothic Book" w:cstheme="minorBidi"/>
          <w:iCs/>
          <w:sz w:val="22"/>
          <w:szCs w:val="22"/>
          <w:lang w:eastAsia="en-US"/>
        </w:rPr>
        <w:t>will be offered aspirin and the uptake in this population will be 100%.</w:t>
      </w:r>
      <w:r w:rsidR="00691522" w:rsidRPr="0022358D">
        <w:rPr>
          <w:rFonts w:ascii="Franklin Gothic Book" w:eastAsiaTheme="minorHAnsi" w:hAnsi="Franklin Gothic Book" w:cstheme="minorBidi"/>
          <w:iCs/>
          <w:sz w:val="22"/>
          <w:szCs w:val="22"/>
          <w:lang w:eastAsia="en-US"/>
        </w:rPr>
        <w:t xml:space="preserve"> </w:t>
      </w:r>
      <w:r w:rsidR="00792E4E">
        <w:rPr>
          <w:rFonts w:ascii="Franklin Gothic Book" w:eastAsiaTheme="minorHAnsi" w:hAnsi="Franklin Gothic Book" w:cstheme="minorBidi"/>
          <w:iCs/>
          <w:sz w:val="22"/>
          <w:szCs w:val="22"/>
          <w:lang w:eastAsia="en-US"/>
        </w:rPr>
        <w:t>During evaluation</w:t>
      </w:r>
      <w:r w:rsidR="009C7043">
        <w:rPr>
          <w:rFonts w:ascii="Franklin Gothic Book" w:eastAsiaTheme="minorHAnsi" w:hAnsi="Franklin Gothic Book" w:cstheme="minorBidi"/>
          <w:iCs/>
          <w:sz w:val="22"/>
          <w:szCs w:val="22"/>
          <w:lang w:eastAsia="en-US"/>
        </w:rPr>
        <w:t>,</w:t>
      </w:r>
      <w:r w:rsidR="00792E4E">
        <w:rPr>
          <w:rFonts w:ascii="Franklin Gothic Book" w:eastAsiaTheme="minorHAnsi" w:hAnsi="Franklin Gothic Book" w:cstheme="minorBidi"/>
          <w:iCs/>
          <w:sz w:val="22"/>
          <w:szCs w:val="22"/>
          <w:lang w:eastAsia="en-US"/>
        </w:rPr>
        <w:t xml:space="preserve"> it was </w:t>
      </w:r>
      <w:r w:rsidR="006516ED">
        <w:rPr>
          <w:rFonts w:ascii="Franklin Gothic Book" w:eastAsiaTheme="minorHAnsi" w:hAnsi="Franklin Gothic Book" w:cstheme="minorBidi"/>
          <w:iCs/>
          <w:sz w:val="22"/>
          <w:szCs w:val="22"/>
          <w:lang w:eastAsia="en-US"/>
        </w:rPr>
        <w:t xml:space="preserve">noted that </w:t>
      </w:r>
      <w:r w:rsidR="00691522" w:rsidRPr="0022358D">
        <w:rPr>
          <w:rFonts w:ascii="Franklin Gothic Book" w:eastAsiaTheme="minorHAnsi" w:hAnsi="Franklin Gothic Book" w:cstheme="minorBidi"/>
          <w:iCs/>
          <w:sz w:val="22"/>
          <w:szCs w:val="22"/>
          <w:lang w:eastAsia="en-US"/>
        </w:rPr>
        <w:t xml:space="preserve">the uptake of aspirin </w:t>
      </w:r>
      <w:r w:rsidR="006516ED">
        <w:rPr>
          <w:rFonts w:ascii="Franklin Gothic Book" w:eastAsiaTheme="minorHAnsi" w:hAnsi="Franklin Gothic Book" w:cstheme="minorBidi"/>
          <w:iCs/>
          <w:sz w:val="22"/>
          <w:szCs w:val="22"/>
          <w:lang w:eastAsia="en-US"/>
        </w:rPr>
        <w:t xml:space="preserve">in </w:t>
      </w:r>
      <w:r w:rsidR="00691522" w:rsidRPr="0022358D">
        <w:rPr>
          <w:rFonts w:ascii="Franklin Gothic Book" w:eastAsiaTheme="minorHAnsi" w:hAnsi="Franklin Gothic Book" w:cstheme="minorBidi"/>
          <w:iCs/>
          <w:sz w:val="22"/>
          <w:szCs w:val="22"/>
          <w:lang w:eastAsia="en-US"/>
        </w:rPr>
        <w:t xml:space="preserve">women undergoing </w:t>
      </w:r>
      <w:r w:rsidR="00F56D38">
        <w:rPr>
          <w:rFonts w:ascii="Franklin Gothic Book" w:eastAsiaTheme="minorHAnsi" w:hAnsi="Franklin Gothic Book" w:cstheme="minorBidi"/>
          <w:iCs/>
          <w:sz w:val="22"/>
          <w:szCs w:val="22"/>
          <w:lang w:eastAsia="en-US"/>
        </w:rPr>
        <w:t>testing</w:t>
      </w:r>
      <w:r w:rsidR="00691522" w:rsidRPr="0022358D">
        <w:rPr>
          <w:rFonts w:ascii="Franklin Gothic Book" w:eastAsiaTheme="minorHAnsi" w:hAnsi="Franklin Gothic Book" w:cstheme="minorBidi"/>
          <w:iCs/>
          <w:sz w:val="22"/>
          <w:szCs w:val="22"/>
          <w:lang w:eastAsia="en-US"/>
        </w:rPr>
        <w:t xml:space="preserve"> may </w:t>
      </w:r>
      <w:r w:rsidR="008250F4">
        <w:rPr>
          <w:rFonts w:ascii="Franklin Gothic Book" w:eastAsiaTheme="minorHAnsi" w:hAnsi="Franklin Gothic Book" w:cstheme="minorBidi"/>
          <w:iCs/>
          <w:sz w:val="22"/>
          <w:szCs w:val="22"/>
          <w:lang w:eastAsia="en-US"/>
        </w:rPr>
        <w:t>be much less than 100%</w:t>
      </w:r>
      <w:r w:rsidR="00083B91">
        <w:rPr>
          <w:rFonts w:ascii="Franklin Gothic Book" w:eastAsiaTheme="minorHAnsi" w:hAnsi="Franklin Gothic Book" w:cstheme="minorBidi"/>
          <w:iCs/>
          <w:sz w:val="22"/>
          <w:szCs w:val="22"/>
          <w:lang w:eastAsia="en-US"/>
        </w:rPr>
        <w:t>.</w:t>
      </w:r>
    </w:p>
    <w:p w14:paraId="2E023F61" w14:textId="4EF594DA" w:rsidR="00D442D4" w:rsidRDefault="007B37AB" w:rsidP="00D442D4">
      <w:pPr>
        <w:pStyle w:val="a-TEXT"/>
      </w:pPr>
      <w:r>
        <w:rPr>
          <w:iCs w:val="0"/>
        </w:rPr>
        <w:t xml:space="preserve">The ADAR acknowledged that transition probabilities related to test accuracy and changes in clinical management should be included for investigative technologies but argued that the application of transition probabilities </w:t>
      </w:r>
      <w:r w:rsidRPr="007E76C7">
        <w:t>derived from a clinical implementation study negate</w:t>
      </w:r>
      <w:r>
        <w:t>d</w:t>
      </w:r>
      <w:r w:rsidRPr="007E76C7">
        <w:t xml:space="preserve"> this requirement</w:t>
      </w:r>
      <w:r>
        <w:t>.</w:t>
      </w:r>
      <w:r w:rsidR="00621035">
        <w:t xml:space="preserve"> </w:t>
      </w:r>
      <w:r w:rsidR="00D442D4">
        <w:t>Regarding test accuracy, the ADAR argued t</w:t>
      </w:r>
      <w:r w:rsidR="00D442D4" w:rsidRPr="00B561A5">
        <w:t>he use of preeclampsia outcomes at delivery already reflect</w:t>
      </w:r>
      <w:r w:rsidR="00D442D4">
        <w:t>ed</w:t>
      </w:r>
      <w:r w:rsidR="00D442D4" w:rsidRPr="00B561A5">
        <w:t xml:space="preserve"> the potential for variation in health outcomes </w:t>
      </w:r>
      <w:r w:rsidR="00D442D4">
        <w:t xml:space="preserve">due to </w:t>
      </w:r>
      <w:r w:rsidR="00D442D4" w:rsidRPr="00B561A5">
        <w:t>false positive or false negative prenatal testing</w:t>
      </w:r>
      <w:r w:rsidR="00D442D4">
        <w:t>. Similarly, the ADAR argued that t</w:t>
      </w:r>
      <w:r w:rsidR="00D442D4" w:rsidRPr="00B561A5">
        <w:t xml:space="preserve">he use </w:t>
      </w:r>
      <w:r w:rsidR="00D442D4">
        <w:t xml:space="preserve">of </w:t>
      </w:r>
      <w:r w:rsidR="00D442D4" w:rsidRPr="00B561A5">
        <w:t>preeclampsia outcomes at delivery account</w:t>
      </w:r>
      <w:r w:rsidR="00D442D4">
        <w:t>ed</w:t>
      </w:r>
      <w:r w:rsidR="00D442D4" w:rsidRPr="00B561A5">
        <w:t xml:space="preserve"> for recommended and </w:t>
      </w:r>
      <w:r w:rsidR="00D442D4" w:rsidRPr="00B561A5">
        <w:rPr>
          <w:u w:val="single"/>
        </w:rPr>
        <w:t>actual</w:t>
      </w:r>
      <w:r w:rsidR="00D442D4" w:rsidRPr="00B561A5">
        <w:t xml:space="preserve"> changes in management </w:t>
      </w:r>
      <w:r w:rsidR="00D442D4">
        <w:t>(i.e., the uptake in aspirin treatment) and i</w:t>
      </w:r>
      <w:r w:rsidR="00D442D4" w:rsidRPr="00B561A5">
        <w:t xml:space="preserve">ncorporating </w:t>
      </w:r>
      <w:r w:rsidR="00D442D4">
        <w:t xml:space="preserve">transition probabilities for aspirin uptake to the </w:t>
      </w:r>
      <w:r w:rsidR="00D442D4" w:rsidRPr="00B561A5">
        <w:t xml:space="preserve">‘High risk’ and ‘Low risk’ </w:t>
      </w:r>
      <w:r w:rsidR="00D442D4">
        <w:t xml:space="preserve">arms </w:t>
      </w:r>
      <w:r w:rsidR="00D442D4" w:rsidRPr="00B561A5">
        <w:t>in the economic model would result in ‘double counting’ changes in management</w:t>
      </w:r>
      <w:r w:rsidR="00D442D4">
        <w:t xml:space="preserve">. </w:t>
      </w:r>
    </w:p>
    <w:p w14:paraId="27462902" w14:textId="26E7C32A" w:rsidR="00D442D4" w:rsidRPr="00255EAC" w:rsidRDefault="00D442D4" w:rsidP="00D442D4">
      <w:pPr>
        <w:pStyle w:val="a-TEXT"/>
      </w:pPr>
      <w:r>
        <w:t xml:space="preserve">The commentary agreed with these arguments in principle, but only where the relevant evidence is available. However, the significant differences in the population characteristics and settings in which testing was undertaken, and the lack of understanding of what testing for preeclampsia </w:t>
      </w:r>
      <w:proofErr w:type="gramStart"/>
      <w:r>
        <w:t>actually existed</w:t>
      </w:r>
      <w:proofErr w:type="gramEnd"/>
      <w:r>
        <w:t xml:space="preserve"> in the control cohort resulted in considerable uncertainty about the evidence used in the economic model. </w:t>
      </w:r>
    </w:p>
    <w:p w14:paraId="3FD34EEB" w14:textId="31D33E64" w:rsidR="00BA575F" w:rsidRPr="001F02F3" w:rsidRDefault="00021568" w:rsidP="00083B91">
      <w:pPr>
        <w:pStyle w:val="Heading3"/>
        <w:spacing w:before="300" w:after="160" w:line="240" w:lineRule="auto"/>
        <w:rPr>
          <w:i/>
          <w:iCs/>
          <w:sz w:val="21"/>
          <w:szCs w:val="21"/>
        </w:rPr>
      </w:pPr>
      <w:r w:rsidRPr="001F02F3">
        <w:rPr>
          <w:i/>
          <w:iCs/>
          <w:sz w:val="21"/>
          <w:szCs w:val="21"/>
        </w:rPr>
        <w:lastRenderedPageBreak/>
        <w:t xml:space="preserve">Safety </w:t>
      </w:r>
      <w:r w:rsidR="007E1B19" w:rsidRPr="001F02F3">
        <w:rPr>
          <w:i/>
          <w:iCs/>
          <w:sz w:val="21"/>
          <w:szCs w:val="21"/>
        </w:rPr>
        <w:t>o</w:t>
      </w:r>
      <w:r w:rsidR="00BA575F" w:rsidRPr="001F02F3">
        <w:rPr>
          <w:i/>
          <w:iCs/>
          <w:sz w:val="21"/>
          <w:szCs w:val="21"/>
        </w:rPr>
        <w:t>utcomes</w:t>
      </w:r>
    </w:p>
    <w:p w14:paraId="72FD898F" w14:textId="27FEE647" w:rsidR="001A2EDF" w:rsidRPr="00D20ACB" w:rsidRDefault="001A2EDF" w:rsidP="00083B91">
      <w:pPr>
        <w:pStyle w:val="TableText"/>
        <w:spacing w:before="120" w:after="120" w:line="259" w:lineRule="auto"/>
        <w:rPr>
          <w:rFonts w:ascii="Franklin Gothic Book" w:eastAsiaTheme="minorHAnsi" w:hAnsi="Franklin Gothic Book" w:cstheme="minorBidi"/>
          <w:iCs/>
          <w:sz w:val="22"/>
          <w:szCs w:val="22"/>
          <w:lang w:eastAsia="en-US"/>
        </w:rPr>
      </w:pPr>
      <w:r w:rsidRPr="00D20ACB">
        <w:rPr>
          <w:rFonts w:ascii="Franklin Gothic Book" w:eastAsiaTheme="minorHAnsi" w:hAnsi="Franklin Gothic Book" w:cstheme="minorBidi"/>
          <w:iCs/>
          <w:sz w:val="22"/>
          <w:szCs w:val="22"/>
          <w:lang w:eastAsia="en-US"/>
        </w:rPr>
        <w:t xml:space="preserve">The following </w:t>
      </w:r>
      <w:r w:rsidR="00FD3E0A" w:rsidRPr="00D20ACB">
        <w:rPr>
          <w:rFonts w:ascii="Franklin Gothic Book" w:eastAsiaTheme="minorHAnsi" w:hAnsi="Franklin Gothic Book" w:cstheme="minorBidi"/>
          <w:iCs/>
          <w:sz w:val="22"/>
          <w:szCs w:val="22"/>
          <w:lang w:eastAsia="en-US"/>
        </w:rPr>
        <w:t>outcomes included in the</w:t>
      </w:r>
      <w:r w:rsidRPr="00D20ACB">
        <w:rPr>
          <w:rFonts w:ascii="Franklin Gothic Book" w:eastAsiaTheme="minorHAnsi" w:hAnsi="Franklin Gothic Book" w:cstheme="minorBidi"/>
          <w:iCs/>
          <w:sz w:val="22"/>
          <w:szCs w:val="22"/>
          <w:lang w:eastAsia="en-US"/>
        </w:rPr>
        <w:t xml:space="preserve"> PICO were </w:t>
      </w:r>
      <w:r w:rsidR="00033C95" w:rsidRPr="00D20ACB">
        <w:rPr>
          <w:rFonts w:ascii="Franklin Gothic Book" w:eastAsiaTheme="minorHAnsi" w:hAnsi="Franklin Gothic Book" w:cstheme="minorBidi"/>
          <w:iCs/>
          <w:sz w:val="22"/>
          <w:szCs w:val="22"/>
          <w:lang w:eastAsia="en-US"/>
        </w:rPr>
        <w:t>not reported</w:t>
      </w:r>
      <w:r w:rsidR="00083B91">
        <w:rPr>
          <w:rFonts w:ascii="Franklin Gothic Book" w:eastAsiaTheme="minorHAnsi" w:hAnsi="Franklin Gothic Book" w:cstheme="minorBidi"/>
          <w:iCs/>
          <w:sz w:val="22"/>
          <w:szCs w:val="22"/>
          <w:lang w:eastAsia="en-US"/>
        </w:rPr>
        <w:t>:</w:t>
      </w:r>
    </w:p>
    <w:p w14:paraId="03933002" w14:textId="4691A965" w:rsidR="001A2EDF" w:rsidRPr="00D20ACB" w:rsidRDefault="001A2EDF" w:rsidP="00AC337E">
      <w:pPr>
        <w:pStyle w:val="TableText"/>
        <w:numPr>
          <w:ilvl w:val="0"/>
          <w:numId w:val="20"/>
        </w:numPr>
        <w:spacing w:before="120" w:after="120" w:line="259" w:lineRule="auto"/>
        <w:rPr>
          <w:rFonts w:ascii="Franklin Gothic Book" w:eastAsiaTheme="minorHAnsi" w:hAnsi="Franklin Gothic Book" w:cstheme="minorBidi"/>
          <w:iCs/>
          <w:sz w:val="22"/>
          <w:szCs w:val="22"/>
          <w:lang w:eastAsia="en-US"/>
        </w:rPr>
      </w:pPr>
      <w:r w:rsidRPr="00D20ACB">
        <w:rPr>
          <w:rFonts w:ascii="Franklin Gothic Book" w:eastAsiaTheme="minorHAnsi" w:hAnsi="Franklin Gothic Book" w:cstheme="minorBidi"/>
          <w:iCs/>
          <w:sz w:val="22"/>
          <w:szCs w:val="22"/>
          <w:lang w:eastAsia="en-US"/>
        </w:rPr>
        <w:t>Safety outcomes</w:t>
      </w:r>
      <w:r w:rsidR="00083B91">
        <w:rPr>
          <w:rFonts w:ascii="Franklin Gothic Book" w:eastAsiaTheme="minorHAnsi" w:hAnsi="Franklin Gothic Book" w:cstheme="minorBidi"/>
          <w:iCs/>
          <w:sz w:val="22"/>
          <w:szCs w:val="22"/>
          <w:lang w:eastAsia="en-US"/>
        </w:rPr>
        <w:t xml:space="preserve"> –</w:t>
      </w:r>
      <w:r w:rsidR="00DF3673" w:rsidRPr="00D20ACB">
        <w:rPr>
          <w:rFonts w:ascii="Franklin Gothic Book" w:eastAsiaTheme="minorHAnsi" w:hAnsi="Franklin Gothic Book" w:cstheme="minorBidi"/>
          <w:iCs/>
          <w:sz w:val="22"/>
          <w:szCs w:val="22"/>
          <w:lang w:eastAsia="en-US"/>
        </w:rPr>
        <w:t xml:space="preserve"> </w:t>
      </w:r>
      <w:r w:rsidRPr="00D20ACB">
        <w:rPr>
          <w:rFonts w:ascii="Franklin Gothic Book" w:eastAsiaTheme="minorHAnsi" w:hAnsi="Franklin Gothic Book" w:cstheme="minorBidi"/>
          <w:iCs/>
          <w:sz w:val="22"/>
          <w:szCs w:val="22"/>
          <w:lang w:eastAsia="en-US"/>
        </w:rPr>
        <w:t>adverse events associated with the test, anxiety associated with the finding of increased risk of preeclampsia</w:t>
      </w:r>
      <w:r w:rsidR="002C28BA">
        <w:rPr>
          <w:rFonts w:ascii="Franklin Gothic Book" w:eastAsiaTheme="minorHAnsi" w:hAnsi="Franklin Gothic Book" w:cstheme="minorBidi"/>
          <w:iCs/>
          <w:sz w:val="22"/>
          <w:szCs w:val="22"/>
          <w:lang w:eastAsia="en-US"/>
        </w:rPr>
        <w:t xml:space="preserve"> and</w:t>
      </w:r>
      <w:r w:rsidRPr="00D20ACB">
        <w:rPr>
          <w:rFonts w:ascii="Franklin Gothic Book" w:eastAsiaTheme="minorHAnsi" w:hAnsi="Franklin Gothic Book" w:cstheme="minorBidi"/>
          <w:iCs/>
          <w:sz w:val="22"/>
          <w:szCs w:val="22"/>
          <w:lang w:eastAsia="en-US"/>
        </w:rPr>
        <w:t xml:space="preserve"> adverse events associated with treatment</w:t>
      </w:r>
      <w:r w:rsidR="00DF3673" w:rsidRPr="00D20ACB">
        <w:rPr>
          <w:rFonts w:ascii="Franklin Gothic Book" w:eastAsiaTheme="minorHAnsi" w:hAnsi="Franklin Gothic Book" w:cstheme="minorBidi"/>
          <w:iCs/>
          <w:sz w:val="22"/>
          <w:szCs w:val="22"/>
          <w:lang w:eastAsia="en-US"/>
        </w:rPr>
        <w:t>.</w:t>
      </w:r>
    </w:p>
    <w:p w14:paraId="677446F3" w14:textId="708CF44A" w:rsidR="00BA575F" w:rsidRPr="00D20ACB" w:rsidRDefault="001A2EDF" w:rsidP="00AC337E">
      <w:pPr>
        <w:pStyle w:val="TableText"/>
        <w:numPr>
          <w:ilvl w:val="0"/>
          <w:numId w:val="20"/>
        </w:numPr>
        <w:spacing w:before="120" w:after="120" w:line="259" w:lineRule="auto"/>
        <w:rPr>
          <w:rFonts w:ascii="Franklin Gothic Book" w:eastAsiaTheme="minorHAnsi" w:hAnsi="Franklin Gothic Book" w:cstheme="minorBidi"/>
          <w:iCs/>
          <w:sz w:val="22"/>
          <w:szCs w:val="22"/>
          <w:lang w:eastAsia="en-US"/>
        </w:rPr>
      </w:pPr>
      <w:r w:rsidRPr="00D20ACB">
        <w:rPr>
          <w:rFonts w:ascii="Franklin Gothic Book" w:eastAsiaTheme="minorHAnsi" w:hAnsi="Franklin Gothic Book" w:cstheme="minorBidi"/>
          <w:iCs/>
          <w:sz w:val="22"/>
          <w:szCs w:val="22"/>
          <w:lang w:eastAsia="en-US"/>
        </w:rPr>
        <w:t xml:space="preserve">Disutility in </w:t>
      </w:r>
      <w:r w:rsidR="00B549E3">
        <w:rPr>
          <w:rFonts w:ascii="Franklin Gothic Book" w:eastAsiaTheme="minorHAnsi" w:hAnsi="Franklin Gothic Book" w:cstheme="minorBidi"/>
          <w:iCs/>
          <w:sz w:val="22"/>
          <w:szCs w:val="22"/>
          <w:lang w:eastAsia="en-US"/>
        </w:rPr>
        <w:t>test-</w:t>
      </w:r>
      <w:r w:rsidRPr="00D20ACB">
        <w:rPr>
          <w:rFonts w:ascii="Franklin Gothic Book" w:eastAsiaTheme="minorHAnsi" w:hAnsi="Franklin Gothic Book" w:cstheme="minorBidi"/>
          <w:iCs/>
          <w:sz w:val="22"/>
          <w:szCs w:val="22"/>
          <w:lang w:eastAsia="en-US"/>
        </w:rPr>
        <w:t xml:space="preserve">positive women associated with </w:t>
      </w:r>
      <w:r w:rsidR="00083B91">
        <w:rPr>
          <w:rFonts w:ascii="Franklin Gothic Book" w:eastAsiaTheme="minorHAnsi" w:hAnsi="Franklin Gothic Book" w:cstheme="minorBidi"/>
          <w:iCs/>
          <w:sz w:val="22"/>
          <w:szCs w:val="22"/>
          <w:lang w:eastAsia="en-US"/>
        </w:rPr>
        <w:t>a</w:t>
      </w:r>
      <w:r w:rsidR="00107297" w:rsidRPr="00D20ACB">
        <w:rPr>
          <w:rFonts w:ascii="Franklin Gothic Book" w:eastAsiaTheme="minorHAnsi" w:hAnsi="Franklin Gothic Book" w:cstheme="minorBidi"/>
          <w:iCs/>
          <w:sz w:val="22"/>
          <w:szCs w:val="22"/>
          <w:lang w:eastAsia="en-US"/>
        </w:rPr>
        <w:t>) n</w:t>
      </w:r>
      <w:r w:rsidRPr="00D20ACB">
        <w:rPr>
          <w:rFonts w:ascii="Franklin Gothic Book" w:eastAsiaTheme="minorHAnsi" w:hAnsi="Franklin Gothic Book" w:cstheme="minorBidi"/>
          <w:iCs/>
          <w:sz w:val="22"/>
          <w:szCs w:val="22"/>
          <w:lang w:eastAsia="en-US"/>
        </w:rPr>
        <w:t>egative psychological effects due to increased anxiety resulting from the knowledge they are at high risk of preeclampsia</w:t>
      </w:r>
      <w:r w:rsidR="00107297" w:rsidRPr="00D20ACB">
        <w:rPr>
          <w:rFonts w:ascii="Franklin Gothic Book" w:eastAsiaTheme="minorHAnsi" w:hAnsi="Franklin Gothic Book" w:cstheme="minorBidi"/>
          <w:iCs/>
          <w:sz w:val="22"/>
          <w:szCs w:val="22"/>
          <w:lang w:eastAsia="en-US"/>
        </w:rPr>
        <w:t xml:space="preserve">; </w:t>
      </w:r>
      <w:r w:rsidR="00083B91">
        <w:rPr>
          <w:rFonts w:ascii="Franklin Gothic Book" w:eastAsiaTheme="minorHAnsi" w:hAnsi="Franklin Gothic Book" w:cstheme="minorBidi"/>
          <w:iCs/>
          <w:sz w:val="22"/>
          <w:szCs w:val="22"/>
          <w:lang w:eastAsia="en-US"/>
        </w:rPr>
        <w:t>b</w:t>
      </w:r>
      <w:r w:rsidR="00107297" w:rsidRPr="00D20ACB">
        <w:rPr>
          <w:rFonts w:ascii="Franklin Gothic Book" w:eastAsiaTheme="minorHAnsi" w:hAnsi="Franklin Gothic Book" w:cstheme="minorBidi"/>
          <w:iCs/>
          <w:sz w:val="22"/>
          <w:szCs w:val="22"/>
          <w:lang w:eastAsia="en-US"/>
        </w:rPr>
        <w:t xml:space="preserve">) </w:t>
      </w:r>
      <w:r w:rsidR="0034627E" w:rsidRPr="00D20ACB">
        <w:rPr>
          <w:rFonts w:ascii="Franklin Gothic Book" w:eastAsiaTheme="minorHAnsi" w:hAnsi="Franklin Gothic Book" w:cstheme="minorBidi"/>
          <w:iCs/>
          <w:sz w:val="22"/>
          <w:szCs w:val="22"/>
          <w:lang w:eastAsia="en-US"/>
        </w:rPr>
        <w:t>i</w:t>
      </w:r>
      <w:r w:rsidRPr="00D20ACB">
        <w:rPr>
          <w:rFonts w:ascii="Franklin Gothic Book" w:eastAsiaTheme="minorHAnsi" w:hAnsi="Franklin Gothic Book" w:cstheme="minorBidi"/>
          <w:iCs/>
          <w:sz w:val="22"/>
          <w:szCs w:val="22"/>
          <w:lang w:eastAsia="en-US"/>
        </w:rPr>
        <w:t>nconvenience associated with increased frequency of monitoring appointments/investigations.</w:t>
      </w:r>
    </w:p>
    <w:p w14:paraId="637A9A9F" w14:textId="474AC701" w:rsidR="001D0F0C" w:rsidRPr="001F02F3" w:rsidRDefault="001D0F0C" w:rsidP="00FE44AA">
      <w:pPr>
        <w:pStyle w:val="Heading3"/>
        <w:spacing w:before="300" w:after="160" w:line="240" w:lineRule="auto"/>
        <w:rPr>
          <w:i/>
          <w:iCs/>
          <w:sz w:val="21"/>
          <w:szCs w:val="21"/>
        </w:rPr>
      </w:pPr>
      <w:r w:rsidRPr="001F02F3">
        <w:rPr>
          <w:i/>
          <w:iCs/>
          <w:sz w:val="21"/>
          <w:szCs w:val="21"/>
        </w:rPr>
        <w:t>Utility weights</w:t>
      </w:r>
    </w:p>
    <w:p w14:paraId="03C76A60" w14:textId="3EA402C8" w:rsidR="00057182" w:rsidRPr="002C28BA" w:rsidRDefault="003E0AC1" w:rsidP="008309A4">
      <w:pPr>
        <w:pStyle w:val="a-TEXT"/>
        <w:rPr>
          <w:iCs w:val="0"/>
        </w:rPr>
      </w:pPr>
      <w:r w:rsidRPr="008309A4">
        <w:rPr>
          <w:rFonts w:eastAsia="Calibri"/>
          <w:color w:val="000000" w:themeColor="text1"/>
          <w:szCs w:val="20"/>
          <w:lang w:eastAsia="en-AU"/>
        </w:rPr>
        <w:t>No c</w:t>
      </w:r>
      <w:r w:rsidRPr="002C28BA">
        <w:t xml:space="preserve">linical studies presented in </w:t>
      </w:r>
      <w:r w:rsidR="009D5C18">
        <w:t xml:space="preserve">the ADAR’s clinical assessment </w:t>
      </w:r>
      <w:r w:rsidRPr="002C28BA">
        <w:t>reported health-related quality of life (</w:t>
      </w:r>
      <w:proofErr w:type="spellStart"/>
      <w:r w:rsidRPr="002C28BA">
        <w:t>HRQoL</w:t>
      </w:r>
      <w:proofErr w:type="spellEnd"/>
      <w:r w:rsidRPr="002C28BA">
        <w:t xml:space="preserve">) outcomes. </w:t>
      </w:r>
      <w:r w:rsidR="00827B89" w:rsidRPr="002C28BA">
        <w:t>The</w:t>
      </w:r>
      <w:r w:rsidR="009D5C18">
        <w:t xml:space="preserve"> commentary considered the</w:t>
      </w:r>
      <w:r w:rsidR="00827B89" w:rsidRPr="002C28BA">
        <w:t xml:space="preserve"> </w:t>
      </w:r>
      <w:r w:rsidR="002011AE" w:rsidRPr="002C28BA">
        <w:t>utilit</w:t>
      </w:r>
      <w:r w:rsidR="00C74CD4">
        <w:t xml:space="preserve">ies </w:t>
      </w:r>
      <w:r w:rsidR="002011AE" w:rsidRPr="002C28BA">
        <w:t xml:space="preserve">identified by </w:t>
      </w:r>
      <w:r w:rsidR="00FE44AA">
        <w:t xml:space="preserve">a </w:t>
      </w:r>
      <w:r w:rsidR="00827B89" w:rsidRPr="002C28BA">
        <w:t xml:space="preserve">targeted literature review by the ADAR </w:t>
      </w:r>
      <w:r w:rsidR="00A63E9C" w:rsidRPr="002C28BA">
        <w:t xml:space="preserve">were </w:t>
      </w:r>
      <w:r w:rsidRPr="002C28BA">
        <w:t>suitable to incorporate into the economic evaluation</w:t>
      </w:r>
      <w:r w:rsidR="00F63426" w:rsidRPr="002C28BA">
        <w:t xml:space="preserve">. </w:t>
      </w:r>
      <w:r w:rsidR="00057182" w:rsidRPr="002C28BA">
        <w:t xml:space="preserve">The utility for preterm preeclampsia was calculated as the average weighted utility (by patient numbers) of women with late preterm preeclampsia assigned to planned delivery (0.761) or expectant management (0.746). The </w:t>
      </w:r>
      <w:r w:rsidR="000170B9">
        <w:t>commentary</w:t>
      </w:r>
      <w:r w:rsidR="00057182" w:rsidRPr="002C28BA">
        <w:t xml:space="preserve"> was unable to verify </w:t>
      </w:r>
      <w:r w:rsidR="00213706">
        <w:t xml:space="preserve">if </w:t>
      </w:r>
      <w:r w:rsidR="00DC71BE">
        <w:t xml:space="preserve">this </w:t>
      </w:r>
      <w:r w:rsidR="009D5C18">
        <w:t>wa</w:t>
      </w:r>
      <w:r w:rsidR="00DC71BE">
        <w:t>s a valid method</w:t>
      </w:r>
      <w:r w:rsidR="00A70B98">
        <w:t xml:space="preserve"> </w:t>
      </w:r>
      <w:r w:rsidR="00057182" w:rsidRPr="002C28BA">
        <w:t xml:space="preserve">to calculate the overall utility </w:t>
      </w:r>
      <w:r w:rsidR="00B03661">
        <w:t xml:space="preserve">in </w:t>
      </w:r>
      <w:r w:rsidR="00057182" w:rsidRPr="002C28BA">
        <w:t xml:space="preserve">women with preterm preeclampsia. </w:t>
      </w:r>
      <w:r w:rsidR="009D5C18">
        <w:t>The commentary considered i</w:t>
      </w:r>
      <w:r w:rsidR="00057182" w:rsidRPr="002C28BA">
        <w:t xml:space="preserve">t </w:t>
      </w:r>
      <w:r w:rsidR="009D5C18">
        <w:t>wa</w:t>
      </w:r>
      <w:r w:rsidR="00057182" w:rsidRPr="002C28BA">
        <w:t xml:space="preserve">s unclear how the utility for term preeclampsia was derived. Specifically, the utility decrement </w:t>
      </w:r>
      <w:r w:rsidR="009D5C18">
        <w:t>that</w:t>
      </w:r>
      <w:r w:rsidR="009D5C18" w:rsidRPr="002C28BA">
        <w:t xml:space="preserve"> </w:t>
      </w:r>
      <w:r w:rsidR="00057182" w:rsidRPr="002C28BA">
        <w:t>was applied to the utility for no preeclampsia was unable to</w:t>
      </w:r>
      <w:r w:rsidR="00095313">
        <w:t xml:space="preserve"> be</w:t>
      </w:r>
      <w:r w:rsidR="00057182" w:rsidRPr="002C28BA">
        <w:t xml:space="preserve"> </w:t>
      </w:r>
      <w:r w:rsidR="00C5300F">
        <w:rPr>
          <w:iCs w:val="0"/>
        </w:rPr>
        <w:t>identified</w:t>
      </w:r>
      <w:r w:rsidR="00057182" w:rsidRPr="002C28BA">
        <w:t xml:space="preserve"> in e</w:t>
      </w:r>
      <w:r w:rsidR="00057182" w:rsidRPr="002C28BA">
        <w:rPr>
          <w:iCs w:val="0"/>
        </w:rPr>
        <w:t>ither Hunter et al</w:t>
      </w:r>
      <w:r w:rsidR="005713F4">
        <w:rPr>
          <w:iCs w:val="0"/>
        </w:rPr>
        <w:t>.,</w:t>
      </w:r>
      <w:r w:rsidR="00057182" w:rsidRPr="002C28BA">
        <w:rPr>
          <w:iCs w:val="0"/>
        </w:rPr>
        <w:t xml:space="preserve"> 2022 or Regan et al</w:t>
      </w:r>
      <w:r w:rsidR="005713F4">
        <w:rPr>
          <w:iCs w:val="0"/>
        </w:rPr>
        <w:t>.,</w:t>
      </w:r>
      <w:r w:rsidR="00057182" w:rsidRPr="002C28BA">
        <w:rPr>
          <w:iCs w:val="0"/>
        </w:rPr>
        <w:t xml:space="preserve"> 2023. The utility value for no preeclampsia </w:t>
      </w:r>
      <w:r w:rsidR="009D5C18">
        <w:rPr>
          <w:iCs w:val="0"/>
        </w:rPr>
        <w:t>wa</w:t>
      </w:r>
      <w:r w:rsidR="00057182" w:rsidRPr="002C28BA">
        <w:rPr>
          <w:iCs w:val="0"/>
        </w:rPr>
        <w:t>s derived from a US population</w:t>
      </w:r>
      <w:r w:rsidR="009D5C18">
        <w:rPr>
          <w:iCs w:val="0"/>
        </w:rPr>
        <w:t>,</w:t>
      </w:r>
      <w:r w:rsidR="00057182" w:rsidRPr="002C28BA">
        <w:rPr>
          <w:iCs w:val="0"/>
        </w:rPr>
        <w:t xml:space="preserve"> and </w:t>
      </w:r>
      <w:r w:rsidR="009D5C18">
        <w:rPr>
          <w:iCs w:val="0"/>
        </w:rPr>
        <w:t>the commentary considered was</w:t>
      </w:r>
      <w:r w:rsidR="00663A15">
        <w:rPr>
          <w:iCs w:val="0"/>
        </w:rPr>
        <w:t xml:space="preserve"> </w:t>
      </w:r>
      <w:r w:rsidR="00057182" w:rsidRPr="002C28BA">
        <w:rPr>
          <w:iCs w:val="0"/>
        </w:rPr>
        <w:t>reflective of the population outlined in the PICO.</w:t>
      </w:r>
    </w:p>
    <w:p w14:paraId="57139A74" w14:textId="153FB813" w:rsidR="00E811BE" w:rsidRPr="001F02F3" w:rsidRDefault="002D38AB" w:rsidP="005713F4">
      <w:pPr>
        <w:pStyle w:val="Heading3"/>
        <w:spacing w:before="300" w:after="160" w:line="240" w:lineRule="auto"/>
        <w:rPr>
          <w:i/>
          <w:iCs/>
          <w:sz w:val="21"/>
          <w:szCs w:val="21"/>
        </w:rPr>
      </w:pPr>
      <w:r w:rsidRPr="001F02F3">
        <w:rPr>
          <w:i/>
          <w:iCs/>
          <w:sz w:val="21"/>
          <w:szCs w:val="21"/>
        </w:rPr>
        <w:t>Costs</w:t>
      </w:r>
    </w:p>
    <w:p w14:paraId="71119760" w14:textId="7A7E6C0E" w:rsidR="001A59E2" w:rsidRPr="00B1092B" w:rsidRDefault="001A59E2" w:rsidP="001A59E2">
      <w:pPr>
        <w:pStyle w:val="a-TEXT"/>
        <w:rPr>
          <w:iCs w:val="0"/>
        </w:rPr>
      </w:pPr>
      <w:r w:rsidRPr="008309A4">
        <w:rPr>
          <w:rFonts w:eastAsia="Calibri"/>
          <w:color w:val="000000" w:themeColor="text1"/>
          <w:szCs w:val="20"/>
          <w:lang w:eastAsia="en-AU"/>
        </w:rPr>
        <w:t xml:space="preserve">Overall, the </w:t>
      </w:r>
      <w:r w:rsidRPr="002C28BA">
        <w:rPr>
          <w:iCs w:val="0"/>
        </w:rPr>
        <w:t xml:space="preserve">resource items and unit costs </w:t>
      </w:r>
      <w:r w:rsidR="005210A7">
        <w:rPr>
          <w:iCs w:val="0"/>
        </w:rPr>
        <w:t>we</w:t>
      </w:r>
      <w:r w:rsidRPr="002C28BA">
        <w:rPr>
          <w:iCs w:val="0"/>
        </w:rPr>
        <w:t>re current and have</w:t>
      </w:r>
      <w:r>
        <w:rPr>
          <w:iCs w:val="0"/>
        </w:rPr>
        <w:t xml:space="preserve"> mostly</w:t>
      </w:r>
      <w:r w:rsidRPr="002C28BA">
        <w:rPr>
          <w:iCs w:val="0"/>
        </w:rPr>
        <w:t xml:space="preserve"> been retrieved from the appropriate sources.</w:t>
      </w:r>
    </w:p>
    <w:p w14:paraId="066D911E" w14:textId="596DD8CA" w:rsidR="005D27B2" w:rsidRPr="002C28BA" w:rsidRDefault="00753397" w:rsidP="008309A4">
      <w:pPr>
        <w:pStyle w:val="a-TEXT"/>
        <w:rPr>
          <w:iCs w:val="0"/>
        </w:rPr>
      </w:pPr>
      <w:r w:rsidRPr="008309A4">
        <w:rPr>
          <w:rFonts w:eastAsia="Calibri"/>
          <w:color w:val="000000" w:themeColor="text1"/>
          <w:szCs w:val="20"/>
          <w:lang w:eastAsia="en-AU"/>
        </w:rPr>
        <w:t>The follow</w:t>
      </w:r>
      <w:r w:rsidRPr="002C28BA">
        <w:rPr>
          <w:iCs w:val="0"/>
        </w:rPr>
        <w:t xml:space="preserve">ing </w:t>
      </w:r>
      <w:r w:rsidR="005D27B2" w:rsidRPr="002C28BA">
        <w:rPr>
          <w:iCs w:val="0"/>
        </w:rPr>
        <w:t>costs outlined in the PICO were not applied in the model</w:t>
      </w:r>
      <w:r w:rsidR="005713F4">
        <w:rPr>
          <w:iCs w:val="0"/>
        </w:rPr>
        <w:t>:</w:t>
      </w:r>
    </w:p>
    <w:p w14:paraId="3464F242" w14:textId="77777777" w:rsidR="005D27B2" w:rsidRPr="002C28BA" w:rsidRDefault="005D27B2" w:rsidP="002D4ECD">
      <w:pPr>
        <w:pStyle w:val="TableText"/>
        <w:numPr>
          <w:ilvl w:val="0"/>
          <w:numId w:val="16"/>
        </w:numPr>
        <w:rPr>
          <w:rFonts w:ascii="Franklin Gothic Book" w:eastAsiaTheme="minorHAnsi" w:hAnsi="Franklin Gothic Book" w:cstheme="minorBidi"/>
          <w:iCs/>
          <w:sz w:val="22"/>
          <w:szCs w:val="22"/>
          <w:lang w:eastAsia="en-US"/>
        </w:rPr>
      </w:pPr>
      <w:r w:rsidRPr="002C28BA">
        <w:rPr>
          <w:rFonts w:ascii="Franklin Gothic Book" w:eastAsiaTheme="minorHAnsi" w:hAnsi="Franklin Gothic Book" w:cstheme="minorBidi"/>
          <w:iCs/>
          <w:sz w:val="22"/>
          <w:szCs w:val="22"/>
          <w:lang w:eastAsia="en-US"/>
        </w:rPr>
        <w:t>Costs associated with adverse events associated with aspirin treatment.</w:t>
      </w:r>
    </w:p>
    <w:p w14:paraId="1FAE96F6" w14:textId="77777777" w:rsidR="005D27B2" w:rsidRPr="002C28BA" w:rsidRDefault="005D27B2" w:rsidP="002D4ECD">
      <w:pPr>
        <w:pStyle w:val="TableText"/>
        <w:numPr>
          <w:ilvl w:val="0"/>
          <w:numId w:val="16"/>
        </w:numPr>
        <w:rPr>
          <w:rFonts w:ascii="Franklin Gothic Book" w:eastAsiaTheme="minorHAnsi" w:hAnsi="Franklin Gothic Book" w:cstheme="minorBidi"/>
          <w:iCs/>
          <w:sz w:val="22"/>
          <w:szCs w:val="22"/>
          <w:lang w:eastAsia="en-US"/>
        </w:rPr>
      </w:pPr>
      <w:r w:rsidRPr="002C28BA">
        <w:rPr>
          <w:rFonts w:ascii="Franklin Gothic Book" w:eastAsiaTheme="minorHAnsi" w:hAnsi="Franklin Gothic Book" w:cstheme="minorBidi"/>
          <w:iCs/>
          <w:sz w:val="22"/>
          <w:szCs w:val="22"/>
          <w:lang w:eastAsia="en-US"/>
        </w:rPr>
        <w:t>Additional costs associated with pre-test counselling and post-test follow-up.</w:t>
      </w:r>
    </w:p>
    <w:p w14:paraId="3DA381FE" w14:textId="709AEACB" w:rsidR="002D00D5" w:rsidRPr="001F02F3" w:rsidRDefault="00D072FF" w:rsidP="008309A4">
      <w:pPr>
        <w:pStyle w:val="a-TEXT"/>
      </w:pPr>
      <w:r w:rsidRPr="001F02F3">
        <w:t xml:space="preserve">The ADAR </w:t>
      </w:r>
      <w:r>
        <w:t>applie</w:t>
      </w:r>
      <w:r w:rsidR="005210A7">
        <w:t>d</w:t>
      </w:r>
      <w:r>
        <w:t xml:space="preserve"> the</w:t>
      </w:r>
      <w:r w:rsidR="00787571" w:rsidRPr="002C28BA">
        <w:t xml:space="preserve"> </w:t>
      </w:r>
      <w:r w:rsidR="002D00D5" w:rsidRPr="002C28BA">
        <w:t xml:space="preserve">same </w:t>
      </w:r>
      <w:r w:rsidR="0019514B">
        <w:t>antenatal</w:t>
      </w:r>
      <w:r w:rsidR="003462DD">
        <w:t xml:space="preserve"> </w:t>
      </w:r>
      <w:r w:rsidR="002D00D5" w:rsidRPr="002C28BA">
        <w:t xml:space="preserve">monitoring costs to women who </w:t>
      </w:r>
      <w:r w:rsidR="005210A7">
        <w:t>were</w:t>
      </w:r>
      <w:r w:rsidR="005210A7" w:rsidRPr="002C28BA">
        <w:t xml:space="preserve"> </w:t>
      </w:r>
      <w:r w:rsidR="000F198B">
        <w:t xml:space="preserve">tested and </w:t>
      </w:r>
      <w:r w:rsidR="005210A7">
        <w:t>found to be</w:t>
      </w:r>
      <w:r w:rsidR="005210A7" w:rsidRPr="002C28BA">
        <w:t xml:space="preserve"> </w:t>
      </w:r>
      <w:r w:rsidR="000F198B">
        <w:t xml:space="preserve">at </w:t>
      </w:r>
      <w:r w:rsidR="002D00D5" w:rsidRPr="002C28BA">
        <w:t xml:space="preserve">high risk and low risk by </w:t>
      </w:r>
      <w:r w:rsidR="008C3711">
        <w:t>structured risk assessment</w:t>
      </w:r>
      <w:r w:rsidR="001F13CF">
        <w:t>.</w:t>
      </w:r>
      <w:r w:rsidR="002D00D5" w:rsidRPr="002C28BA">
        <w:t xml:space="preserve"> The</w:t>
      </w:r>
      <w:r w:rsidR="005210A7">
        <w:t xml:space="preserve"> commentary considered this</w:t>
      </w:r>
      <w:r w:rsidR="002D00D5" w:rsidRPr="002C28BA">
        <w:t xml:space="preserve"> </w:t>
      </w:r>
      <w:r w:rsidR="009557A2">
        <w:t>to be inappropriate</w:t>
      </w:r>
      <w:r w:rsidR="009557A2" w:rsidRPr="002C28BA">
        <w:t xml:space="preserve"> </w:t>
      </w:r>
      <w:r w:rsidR="002D00D5" w:rsidRPr="002C28BA">
        <w:t>as women</w:t>
      </w:r>
      <w:r w:rsidR="00CC76D8">
        <w:t xml:space="preserve"> </w:t>
      </w:r>
      <w:r w:rsidR="003371A6">
        <w:t xml:space="preserve">assessed </w:t>
      </w:r>
      <w:r w:rsidR="002D00D5" w:rsidRPr="002C28BA">
        <w:t>at high risk of developing preeclampsia ar</w:t>
      </w:r>
      <w:r w:rsidR="00660AD0">
        <w:t xml:space="preserve">e more closely monitored </w:t>
      </w:r>
      <w:r w:rsidR="00A14B07">
        <w:t>and incur sign</w:t>
      </w:r>
      <w:r w:rsidR="00075CAE">
        <w:t>ificantly higher costs during the antenatal period</w:t>
      </w:r>
      <w:r w:rsidR="00075CAE" w:rsidRPr="002C28BA">
        <w:t xml:space="preserve"> </w:t>
      </w:r>
      <w:r w:rsidR="005E5B5C">
        <w:t>than</w:t>
      </w:r>
      <w:r w:rsidR="00075CAE">
        <w:t xml:space="preserve"> women </w:t>
      </w:r>
      <w:r w:rsidR="00300F9C">
        <w:t>assessed as low risk of preeclampsia.</w:t>
      </w:r>
      <w:r w:rsidR="0003771B">
        <w:t xml:space="preserve"> </w:t>
      </w:r>
      <w:proofErr w:type="gramStart"/>
      <w:r w:rsidR="0003771B">
        <w:t>However</w:t>
      </w:r>
      <w:proofErr w:type="gramEnd"/>
      <w:r w:rsidR="0003771B">
        <w:t xml:space="preserve"> the pre-ESC response </w:t>
      </w:r>
      <w:r w:rsidR="001F66AC">
        <w:t>noted</w:t>
      </w:r>
      <w:r w:rsidR="0003771B">
        <w:t xml:space="preserve"> </w:t>
      </w:r>
      <w:r w:rsidR="001B461C">
        <w:t xml:space="preserve">that during </w:t>
      </w:r>
      <w:r w:rsidR="001B461C" w:rsidRPr="001B461C">
        <w:t>the model validation process the monitoring schedule and resources applied to both the SoC and FMF algorithm arms of the model were reviewed by an obstetrician and advised as being reflective of broader clinical practice</w:t>
      </w:r>
      <w:r w:rsidR="003066B1">
        <w:t xml:space="preserve">. </w:t>
      </w:r>
    </w:p>
    <w:p w14:paraId="561CE42E" w14:textId="718962DB" w:rsidR="00FB12E2" w:rsidRPr="00153465" w:rsidRDefault="009C59C8" w:rsidP="005635EB">
      <w:pPr>
        <w:pStyle w:val="a-TEXT"/>
        <w:rPr>
          <w:color w:val="4472C4" w:themeColor="accent5"/>
        </w:rPr>
      </w:pPr>
      <w:r w:rsidRPr="005635EB">
        <w:t xml:space="preserve">The commentary </w:t>
      </w:r>
      <w:r w:rsidRPr="00C472C0">
        <w:t xml:space="preserve">considered that the </w:t>
      </w:r>
      <w:r w:rsidR="00F211CA" w:rsidRPr="00C472C0">
        <w:t>Di</w:t>
      </w:r>
      <w:r w:rsidR="00DF08B2" w:rsidRPr="00C472C0">
        <w:t>agnostic Related Groups (</w:t>
      </w:r>
      <w:r w:rsidRPr="00C472C0">
        <w:t>DRGs</w:t>
      </w:r>
      <w:r w:rsidR="00B805C2" w:rsidRPr="00C472C0">
        <w:t>)</w:t>
      </w:r>
      <w:r w:rsidRPr="00C472C0">
        <w:t xml:space="preserve"> assigned for the costing of preterm and term preeclampsia delivery </w:t>
      </w:r>
      <w:r w:rsidR="00FB12E2" w:rsidRPr="00C472C0">
        <w:t xml:space="preserve">are </w:t>
      </w:r>
      <w:r w:rsidR="00602381" w:rsidRPr="00C472C0">
        <w:t>likely</w:t>
      </w:r>
      <w:r w:rsidR="00DA5A6E" w:rsidRPr="00C472C0">
        <w:t xml:space="preserve"> to</w:t>
      </w:r>
      <w:r w:rsidRPr="00C472C0">
        <w:t xml:space="preserve"> overestimate the </w:t>
      </w:r>
      <w:r w:rsidR="00FB12E2" w:rsidRPr="00C472C0">
        <w:t xml:space="preserve">true cost </w:t>
      </w:r>
      <w:r w:rsidRPr="00C472C0">
        <w:t>of delivery</w:t>
      </w:r>
      <w:r w:rsidR="00FB12E2" w:rsidRPr="00C472C0">
        <w:t xml:space="preserve"> for each.</w:t>
      </w:r>
      <w:r w:rsidR="00FB12E2" w:rsidRPr="00153465">
        <w:rPr>
          <w:color w:val="4472C4" w:themeColor="accent5"/>
        </w:rPr>
        <w:t xml:space="preserve"> </w:t>
      </w:r>
    </w:p>
    <w:p w14:paraId="2D6A9D91" w14:textId="442BDB5F" w:rsidR="00A818C5" w:rsidRPr="003121B4" w:rsidRDefault="00FB12E2" w:rsidP="005635EB">
      <w:pPr>
        <w:pStyle w:val="a-TEXT"/>
        <w:rPr>
          <w:color w:val="000000" w:themeColor="text1"/>
        </w:rPr>
      </w:pPr>
      <w:r w:rsidRPr="005635EB">
        <w:t>Whilst early-on</w:t>
      </w:r>
      <w:r w:rsidRPr="003F6058">
        <w:rPr>
          <w:color w:val="000000" w:themeColor="text1"/>
        </w:rPr>
        <w:t>set preeclampsia (onset before 34 weeks of gestation) is much more likely to be severe than preeclampsia that begins later in gestation, the onset of preterm preeclampsia</w:t>
      </w:r>
      <w:r w:rsidR="00AF6FA8">
        <w:rPr>
          <w:color w:val="000000" w:themeColor="text1"/>
        </w:rPr>
        <w:br/>
      </w:r>
      <w:r w:rsidRPr="003F6058">
        <w:rPr>
          <w:color w:val="000000" w:themeColor="text1"/>
        </w:rPr>
        <w:t>(&lt;37 weeks) is heavily skewed with the incidence of late onset (≥34 weeks) 6 times that of early onset (&lt;34 weeks)</w:t>
      </w:r>
      <w:r w:rsidR="007B5BEE" w:rsidRPr="003F6058">
        <w:rPr>
          <w:rStyle w:val="FootnoteReference"/>
          <w:color w:val="000000" w:themeColor="text1"/>
        </w:rPr>
        <w:footnoteReference w:id="27"/>
      </w:r>
      <w:r w:rsidRPr="003F6058">
        <w:rPr>
          <w:color w:val="000000" w:themeColor="text1"/>
        </w:rPr>
        <w:t xml:space="preserve">. Additionally, less than 20% of nulliparous women with severe preeclampsia </w:t>
      </w:r>
      <w:r w:rsidRPr="003F6058">
        <w:rPr>
          <w:color w:val="000000" w:themeColor="text1"/>
        </w:rPr>
        <w:lastRenderedPageBreak/>
        <w:t>deliver before 34 weeks gestational age</w:t>
      </w:r>
      <w:r w:rsidR="00416EF7" w:rsidRPr="003F6058">
        <w:rPr>
          <w:rStyle w:val="FootnoteReference"/>
          <w:color w:val="000000" w:themeColor="text1"/>
        </w:rPr>
        <w:footnoteReference w:id="28"/>
      </w:r>
      <w:r w:rsidRPr="003F6058">
        <w:rPr>
          <w:color w:val="000000" w:themeColor="text1"/>
        </w:rPr>
        <w:t>.</w:t>
      </w:r>
      <w:r w:rsidR="003E2899">
        <w:rPr>
          <w:strike/>
          <w:color w:val="000000" w:themeColor="text1"/>
        </w:rPr>
        <w:t xml:space="preserve"> </w:t>
      </w:r>
      <w:r w:rsidR="00A818C5" w:rsidRPr="003121B4">
        <w:rPr>
          <w:color w:val="000000" w:themeColor="text1"/>
        </w:rPr>
        <w:t xml:space="preserve">Since a significant proportion of women with preterm preeclampsia have uncomplicated deliveries, the commentary considered applying costs for DRGs O01A (Caesarean Delivery, Major Complexity) and O60A (Vaginal Delivery, Major Complexity) for all births in women with preterm preeclampsia likely to overestimate the costs associated with these deliveries. </w:t>
      </w:r>
      <w:r w:rsidRPr="003121B4">
        <w:rPr>
          <w:color w:val="000000" w:themeColor="text1"/>
        </w:rPr>
        <w:t>Similarly, given a significant proportion</w:t>
      </w:r>
      <w:r w:rsidR="00A818C5" w:rsidRPr="003121B4">
        <w:rPr>
          <w:color w:val="000000" w:themeColor="text1"/>
        </w:rPr>
        <w:t xml:space="preserve"> of births in women with term preeclampsia are without complication the commentary considered the application of intermediate complexity DRGs (</w:t>
      </w:r>
      <w:r w:rsidR="00196B22" w:rsidRPr="003121B4">
        <w:rPr>
          <w:iCs w:val="0"/>
          <w:color w:val="000000" w:themeColor="text1"/>
        </w:rPr>
        <w:t xml:space="preserve">i.e., </w:t>
      </w:r>
      <w:r w:rsidR="00B54417" w:rsidRPr="003121B4">
        <w:rPr>
          <w:iCs w:val="0"/>
          <w:color w:val="000000" w:themeColor="text1"/>
        </w:rPr>
        <w:t>O01B</w:t>
      </w:r>
      <w:r w:rsidR="00196B22" w:rsidRPr="003121B4">
        <w:rPr>
          <w:iCs w:val="0"/>
          <w:color w:val="000000" w:themeColor="text1"/>
        </w:rPr>
        <w:t xml:space="preserve"> </w:t>
      </w:r>
      <w:r w:rsidR="00AD049B" w:rsidRPr="003121B4">
        <w:rPr>
          <w:iCs w:val="0"/>
          <w:color w:val="000000" w:themeColor="text1"/>
        </w:rPr>
        <w:t>Caesa</w:t>
      </w:r>
      <w:r w:rsidR="00513616" w:rsidRPr="003121B4">
        <w:rPr>
          <w:iCs w:val="0"/>
          <w:color w:val="000000" w:themeColor="text1"/>
        </w:rPr>
        <w:t>rean Delivery, Intermedi</w:t>
      </w:r>
      <w:r w:rsidR="006D7A7C" w:rsidRPr="003121B4">
        <w:rPr>
          <w:iCs w:val="0"/>
          <w:color w:val="000000" w:themeColor="text1"/>
        </w:rPr>
        <w:t>ate</w:t>
      </w:r>
      <w:r w:rsidR="00265EFE" w:rsidRPr="003121B4">
        <w:rPr>
          <w:iCs w:val="0"/>
          <w:color w:val="000000" w:themeColor="text1"/>
        </w:rPr>
        <w:t xml:space="preserve"> Complexity and </w:t>
      </w:r>
      <w:r w:rsidR="002D2958" w:rsidRPr="003121B4">
        <w:rPr>
          <w:iCs w:val="0"/>
          <w:color w:val="000000" w:themeColor="text1"/>
        </w:rPr>
        <w:t xml:space="preserve">O60A </w:t>
      </w:r>
      <w:r w:rsidR="000856BA" w:rsidRPr="003121B4">
        <w:rPr>
          <w:iCs w:val="0"/>
          <w:color w:val="000000" w:themeColor="text1"/>
        </w:rPr>
        <w:t>Vaginal Delivery</w:t>
      </w:r>
      <w:r w:rsidR="00AD3622" w:rsidRPr="003121B4">
        <w:rPr>
          <w:iCs w:val="0"/>
          <w:color w:val="000000" w:themeColor="text1"/>
        </w:rPr>
        <w:t>, Intermediate Complexity</w:t>
      </w:r>
      <w:r w:rsidR="00A818C5" w:rsidRPr="003121B4">
        <w:rPr>
          <w:color w:val="000000" w:themeColor="text1"/>
        </w:rPr>
        <w:t>) likely to overestimate the costs associated with these deliveries.</w:t>
      </w:r>
    </w:p>
    <w:p w14:paraId="6E2B89E2" w14:textId="639FECC7" w:rsidR="00171F39" w:rsidRPr="003121B4" w:rsidRDefault="0028039E" w:rsidP="005635EB">
      <w:pPr>
        <w:pStyle w:val="a-TEXT"/>
        <w:rPr>
          <w:color w:val="000000" w:themeColor="text1"/>
        </w:rPr>
      </w:pPr>
      <w:r w:rsidRPr="003121B4">
        <w:rPr>
          <w:color w:val="000000" w:themeColor="text1"/>
        </w:rPr>
        <w:t xml:space="preserve">The commentary also had concerns about the costs applied to </w:t>
      </w:r>
      <w:r w:rsidR="007A5242" w:rsidRPr="003121B4">
        <w:rPr>
          <w:iCs w:val="0"/>
          <w:color w:val="000000" w:themeColor="text1"/>
        </w:rPr>
        <w:t>neonatal intensive care unit (</w:t>
      </w:r>
      <w:r w:rsidRPr="003121B4">
        <w:rPr>
          <w:iCs w:val="0"/>
          <w:color w:val="000000" w:themeColor="text1"/>
        </w:rPr>
        <w:t>NICU</w:t>
      </w:r>
      <w:r w:rsidR="007A5242" w:rsidRPr="003121B4">
        <w:rPr>
          <w:iCs w:val="0"/>
          <w:color w:val="000000" w:themeColor="text1"/>
        </w:rPr>
        <w:t>)</w:t>
      </w:r>
      <w:r w:rsidRPr="003121B4">
        <w:rPr>
          <w:iCs w:val="0"/>
          <w:color w:val="000000" w:themeColor="text1"/>
        </w:rPr>
        <w:t xml:space="preserve"> admissions.</w:t>
      </w:r>
      <w:r w:rsidRPr="003121B4">
        <w:rPr>
          <w:color w:val="000000" w:themeColor="text1"/>
        </w:rPr>
        <w:t xml:space="preserve"> </w:t>
      </w:r>
      <w:r w:rsidR="00FB12E2" w:rsidRPr="003121B4">
        <w:rPr>
          <w:color w:val="000000" w:themeColor="text1"/>
        </w:rPr>
        <w:t xml:space="preserve">Whilst acknowledging the imperfect correlation between birth weight and the need for and complexity of NICU admission, the commentary considered the application of the cost for DRG P66B (Neonate, </w:t>
      </w:r>
      <w:r w:rsidR="00A624E2" w:rsidRPr="003121B4">
        <w:rPr>
          <w:iCs w:val="0"/>
          <w:color w:val="000000" w:themeColor="text1"/>
        </w:rPr>
        <w:t>A</w:t>
      </w:r>
      <w:r w:rsidR="007A5242" w:rsidRPr="003121B4">
        <w:rPr>
          <w:iCs w:val="0"/>
          <w:color w:val="000000" w:themeColor="text1"/>
        </w:rPr>
        <w:t xml:space="preserve">dmission </w:t>
      </w:r>
      <w:r w:rsidR="00A624E2" w:rsidRPr="003121B4">
        <w:rPr>
          <w:iCs w:val="0"/>
          <w:color w:val="000000" w:themeColor="text1"/>
        </w:rPr>
        <w:t>W</w:t>
      </w:r>
      <w:r w:rsidR="007A5242" w:rsidRPr="003121B4">
        <w:rPr>
          <w:iCs w:val="0"/>
          <w:color w:val="000000" w:themeColor="text1"/>
        </w:rPr>
        <w:t>eight</w:t>
      </w:r>
      <w:r w:rsidR="00FB12E2" w:rsidRPr="003121B4">
        <w:rPr>
          <w:color w:val="000000" w:themeColor="text1"/>
        </w:rPr>
        <w:t xml:space="preserve"> 2000-</w:t>
      </w:r>
      <w:r w:rsidR="00FB12E2" w:rsidRPr="003121B4">
        <w:rPr>
          <w:iCs w:val="0"/>
          <w:color w:val="000000" w:themeColor="text1"/>
        </w:rPr>
        <w:t>2499</w:t>
      </w:r>
      <w:r w:rsidR="00DC321A" w:rsidRPr="003121B4">
        <w:rPr>
          <w:iCs w:val="0"/>
          <w:color w:val="000000" w:themeColor="text1"/>
        </w:rPr>
        <w:t xml:space="preserve"> </w:t>
      </w:r>
      <w:r w:rsidR="00FB12E2" w:rsidRPr="003121B4">
        <w:rPr>
          <w:iCs w:val="0"/>
          <w:color w:val="000000" w:themeColor="text1"/>
        </w:rPr>
        <w:t>g</w:t>
      </w:r>
      <w:r w:rsidR="00DC321A" w:rsidRPr="003121B4">
        <w:rPr>
          <w:iCs w:val="0"/>
          <w:color w:val="000000" w:themeColor="text1"/>
        </w:rPr>
        <w:t>rams</w:t>
      </w:r>
      <w:r w:rsidR="00FB12E2" w:rsidRPr="003121B4">
        <w:rPr>
          <w:color w:val="000000" w:themeColor="text1"/>
        </w:rPr>
        <w:t xml:space="preserve"> </w:t>
      </w:r>
      <w:r w:rsidR="00A86CA8" w:rsidRPr="003121B4">
        <w:rPr>
          <w:iCs w:val="0"/>
          <w:color w:val="000000" w:themeColor="text1"/>
        </w:rPr>
        <w:t>without</w:t>
      </w:r>
      <w:r w:rsidR="0055141C" w:rsidRPr="003121B4">
        <w:rPr>
          <w:iCs w:val="0"/>
          <w:color w:val="000000" w:themeColor="text1"/>
        </w:rPr>
        <w:t xml:space="preserve"> </w:t>
      </w:r>
      <w:r w:rsidR="00BC13DD" w:rsidRPr="003121B4">
        <w:rPr>
          <w:iCs w:val="0"/>
          <w:color w:val="000000" w:themeColor="text1"/>
        </w:rPr>
        <w:t>S</w:t>
      </w:r>
      <w:r w:rsidR="00FB12E2" w:rsidRPr="003121B4">
        <w:rPr>
          <w:iCs w:val="0"/>
          <w:color w:val="000000" w:themeColor="text1"/>
        </w:rPr>
        <w:t>ignificant</w:t>
      </w:r>
      <w:r w:rsidR="00FA2256" w:rsidRPr="003121B4">
        <w:rPr>
          <w:iCs w:val="0"/>
          <w:color w:val="000000" w:themeColor="text1"/>
        </w:rPr>
        <w:t xml:space="preserve"> </w:t>
      </w:r>
      <w:r w:rsidR="00BC13DD" w:rsidRPr="003121B4">
        <w:rPr>
          <w:iCs w:val="0"/>
          <w:color w:val="000000" w:themeColor="text1"/>
        </w:rPr>
        <w:t>G</w:t>
      </w:r>
      <w:r w:rsidR="00FA2256" w:rsidRPr="003121B4">
        <w:rPr>
          <w:iCs w:val="0"/>
          <w:color w:val="000000" w:themeColor="text1"/>
        </w:rPr>
        <w:t xml:space="preserve">eneral </w:t>
      </w:r>
      <w:r w:rsidR="00BC13DD" w:rsidRPr="003121B4">
        <w:rPr>
          <w:iCs w:val="0"/>
          <w:color w:val="000000" w:themeColor="text1"/>
        </w:rPr>
        <w:t>I</w:t>
      </w:r>
      <w:r w:rsidR="00FA2256" w:rsidRPr="003121B4">
        <w:rPr>
          <w:iCs w:val="0"/>
          <w:color w:val="000000" w:themeColor="text1"/>
        </w:rPr>
        <w:t xml:space="preserve">nterventions or </w:t>
      </w:r>
      <w:r w:rsidR="00BC13DD" w:rsidRPr="003121B4">
        <w:rPr>
          <w:iCs w:val="0"/>
          <w:color w:val="000000" w:themeColor="text1"/>
        </w:rPr>
        <w:t>V</w:t>
      </w:r>
      <w:r w:rsidR="00FA2256" w:rsidRPr="003121B4">
        <w:rPr>
          <w:iCs w:val="0"/>
          <w:color w:val="000000" w:themeColor="text1"/>
        </w:rPr>
        <w:t xml:space="preserve">entilation </w:t>
      </w:r>
      <w:r w:rsidR="003E2899" w:rsidRPr="00B93D07">
        <w:rPr>
          <w:color w:val="000000" w:themeColor="text1"/>
        </w:rPr>
        <w:t>≥</w:t>
      </w:r>
      <w:r w:rsidR="00FB12E2" w:rsidRPr="003121B4">
        <w:rPr>
          <w:color w:val="000000" w:themeColor="text1"/>
        </w:rPr>
        <w:t xml:space="preserve">96hrs, Major Complexity) for all neonates born to </w:t>
      </w:r>
      <w:r w:rsidR="00ED5054">
        <w:t>pregnant person</w:t>
      </w:r>
      <w:r w:rsidR="00FB12E2" w:rsidRPr="003121B4">
        <w:rPr>
          <w:color w:val="000000" w:themeColor="text1"/>
        </w:rPr>
        <w:t>s with preterm preeclampsia likely to overestimate associated cost for the following reasons:</w:t>
      </w:r>
    </w:p>
    <w:p w14:paraId="17558483" w14:textId="0164E326" w:rsidR="00FB12E2" w:rsidRPr="005635EB" w:rsidRDefault="00FB12E2" w:rsidP="00AC337E">
      <w:pPr>
        <w:pStyle w:val="a-TEXT"/>
        <w:numPr>
          <w:ilvl w:val="0"/>
          <w:numId w:val="23"/>
        </w:numPr>
      </w:pPr>
      <w:r w:rsidRPr="005635EB">
        <w:t>The occurrence of birth weights less &lt;2500 grams is only 37.0% and 11.1% in women with severe and mild preeclampsia</w:t>
      </w:r>
      <w:r w:rsidR="00C472C0">
        <w:t>.</w:t>
      </w:r>
      <w:r w:rsidR="00C472C0" w:rsidRPr="00C472C0">
        <w:rPr>
          <w:vertAlign w:val="superscript"/>
        </w:rPr>
        <w:t>32</w:t>
      </w:r>
    </w:p>
    <w:p w14:paraId="46C94E29" w14:textId="50BD14DE" w:rsidR="00FB12E2" w:rsidRPr="005635EB" w:rsidRDefault="00FB12E2" w:rsidP="00AC337E">
      <w:pPr>
        <w:pStyle w:val="a-TEXT"/>
        <w:numPr>
          <w:ilvl w:val="0"/>
          <w:numId w:val="23"/>
        </w:numPr>
      </w:pPr>
      <w:r w:rsidRPr="005635EB">
        <w:t>The mean birth weight in this study was &gt;2500 grams for both mild (3282 grams) and severe (2714 grams) preeclampsia, respectively</w:t>
      </w:r>
      <w:r w:rsidR="00C472C0">
        <w:t>.</w:t>
      </w:r>
      <w:r w:rsidR="00C472C0" w:rsidRPr="00C472C0">
        <w:rPr>
          <w:vertAlign w:val="superscript"/>
        </w:rPr>
        <w:t>32</w:t>
      </w:r>
    </w:p>
    <w:p w14:paraId="33C85A0E" w14:textId="64DBB95A" w:rsidR="00FB12E2" w:rsidRPr="00923EE5" w:rsidRDefault="00FB12E2" w:rsidP="00AC337E">
      <w:pPr>
        <w:pStyle w:val="a-TEXT"/>
        <w:numPr>
          <w:ilvl w:val="0"/>
          <w:numId w:val="23"/>
        </w:numPr>
      </w:pPr>
      <w:r w:rsidRPr="00923EE5">
        <w:t>A large, population-based study conducted in California (n~ 543,000) demonstrated the proportion of neonates with abnormal DRGs is 68% and 36% for births weights 2000-2249 grams and 2250-2499 grams, respectively</w:t>
      </w:r>
      <w:r w:rsidR="00923EE5">
        <w:rPr>
          <w:rStyle w:val="FootnoteReference"/>
        </w:rPr>
        <w:footnoteReference w:id="29"/>
      </w:r>
      <w:r w:rsidRPr="00923EE5">
        <w:t>.</w:t>
      </w:r>
    </w:p>
    <w:p w14:paraId="283398CA" w14:textId="411E081E" w:rsidR="00FB12E2" w:rsidRPr="00923EE5" w:rsidRDefault="00FB12E2" w:rsidP="00AC337E">
      <w:pPr>
        <w:pStyle w:val="a-TEXT"/>
        <w:numPr>
          <w:ilvl w:val="0"/>
          <w:numId w:val="23"/>
        </w:numPr>
      </w:pPr>
      <w:r w:rsidRPr="00923EE5">
        <w:t xml:space="preserve">Whilst 73% neonates from very early deliveries (&lt;32 weeks) have abnormal DRGs this proportion decreases at an increasing rate with only 30% assigned an abnormal DRG when delivered at 37 </w:t>
      </w:r>
      <w:r w:rsidR="00047C3C" w:rsidRPr="00923EE5">
        <w:t>weeks gestational age</w:t>
      </w:r>
      <w:r w:rsidR="00923EE5" w:rsidRPr="00923EE5">
        <w:rPr>
          <w:vertAlign w:val="superscript"/>
        </w:rPr>
        <w:t>33</w:t>
      </w:r>
      <w:r w:rsidR="00923EE5">
        <w:t>.</w:t>
      </w:r>
    </w:p>
    <w:p w14:paraId="220CB6A1" w14:textId="4CEE3DEA" w:rsidR="00AB3091" w:rsidRDefault="00AB3091" w:rsidP="003331D3">
      <w:pPr>
        <w:pStyle w:val="a-TEXT"/>
      </w:pPr>
      <w:proofErr w:type="gramStart"/>
      <w:r>
        <w:t>However</w:t>
      </w:r>
      <w:proofErr w:type="gramEnd"/>
      <w:r>
        <w:t xml:space="preserve"> the pre-ESC response </w:t>
      </w:r>
      <w:r w:rsidR="00EA7263">
        <w:t>supplied</w:t>
      </w:r>
      <w:r w:rsidR="00C02C9F">
        <w:t xml:space="preserve"> a</w:t>
      </w:r>
      <w:r w:rsidR="00EA7263" w:rsidRPr="00EA7263">
        <w:t xml:space="preserve"> comparison</w:t>
      </w:r>
      <w:r w:rsidR="00E52FAC">
        <w:t xml:space="preserve"> (Table 19)</w:t>
      </w:r>
      <w:r w:rsidR="00EA7263" w:rsidRPr="00EA7263">
        <w:t xml:space="preserve"> of the health care resources incurred for preeclamptic outcomes applied in the ADAR with those applied in a peer-reviewed economic evaluation in an Australian context (Park et al. 2021)</w:t>
      </w:r>
      <w:r w:rsidR="00C02C9F">
        <w:t xml:space="preserve"> </w:t>
      </w:r>
      <w:r w:rsidR="00EA7263" w:rsidRPr="00EA7263">
        <w:t xml:space="preserve">obtained from </w:t>
      </w:r>
      <w:proofErr w:type="spellStart"/>
      <w:r w:rsidR="00EA7263" w:rsidRPr="00EA7263">
        <w:t>eMaternity</w:t>
      </w:r>
      <w:proofErr w:type="spellEnd"/>
      <w:r w:rsidR="00EA7263" w:rsidRPr="00EA7263">
        <w:t xml:space="preserve"> electronic medical records at the Hunter New England Local Health District (NSW).</w:t>
      </w:r>
      <w:r w:rsidR="00E362C3" w:rsidRPr="00E362C3">
        <w:t xml:space="preserve"> </w:t>
      </w:r>
      <w:r w:rsidR="00E362C3">
        <w:t>The pre-ESC response a</w:t>
      </w:r>
      <w:r w:rsidR="00A52989">
        <w:t xml:space="preserve">rgued that the comparison </w:t>
      </w:r>
      <w:r w:rsidR="00E362C3" w:rsidRPr="00E362C3">
        <w:t>does not suggest that the ADAR likely overestimated cost associated with hospitalisations and NICU admissions</w:t>
      </w:r>
      <w:r w:rsidR="00AE05FA">
        <w:t>.</w:t>
      </w:r>
    </w:p>
    <w:p w14:paraId="58B96311" w14:textId="5C436903" w:rsidR="00AE05FA" w:rsidRDefault="00AE05FA" w:rsidP="00AE05FA">
      <w:pPr>
        <w:pStyle w:val="Caption"/>
      </w:pPr>
      <w:bookmarkStart w:id="38" w:name="_Ref145921479"/>
      <w:r>
        <w:t xml:space="preserve">Table </w:t>
      </w:r>
      <w:bookmarkEnd w:id="38"/>
      <w:r w:rsidR="00E52FAC">
        <w:t>19</w:t>
      </w:r>
      <w:r>
        <w:t xml:space="preserve">: Costs for delivery with preeclampsia applied in ADAR and publish Australian economic </w:t>
      </w:r>
      <w:proofErr w:type="gramStart"/>
      <w:r>
        <w:t>evaluation</w:t>
      </w:r>
      <w:proofErr w:type="gramEnd"/>
    </w:p>
    <w:tbl>
      <w:tblPr>
        <w:tblStyle w:val="TableGrid"/>
        <w:tblW w:w="0" w:type="auto"/>
        <w:tblLook w:val="04A0" w:firstRow="1" w:lastRow="0" w:firstColumn="1" w:lastColumn="0" w:noHBand="0" w:noVBand="1"/>
      </w:tblPr>
      <w:tblGrid>
        <w:gridCol w:w="3005"/>
        <w:gridCol w:w="3005"/>
        <w:gridCol w:w="3006"/>
      </w:tblGrid>
      <w:tr w:rsidR="00AE05FA" w14:paraId="22DB2CC1" w14:textId="77777777" w:rsidTr="00EC5A55">
        <w:tc>
          <w:tcPr>
            <w:tcW w:w="3005" w:type="dxa"/>
          </w:tcPr>
          <w:p w14:paraId="5B1A74B1" w14:textId="77777777" w:rsidR="00AE05FA" w:rsidRDefault="00AE05FA" w:rsidP="00EC5A55">
            <w:pPr>
              <w:pStyle w:val="TableHeading0"/>
            </w:pPr>
            <w:r>
              <w:t>Health outcome in ADAR model</w:t>
            </w:r>
          </w:p>
        </w:tc>
        <w:tc>
          <w:tcPr>
            <w:tcW w:w="3005" w:type="dxa"/>
          </w:tcPr>
          <w:p w14:paraId="20FB8B43" w14:textId="77777777" w:rsidR="00AE05FA" w:rsidRDefault="00AE05FA" w:rsidP="00EC5A55">
            <w:pPr>
              <w:pStyle w:val="TableHeading0"/>
            </w:pPr>
            <w:r>
              <w:t>Health care resource costs: ADAR (FMF algorithm arm)</w:t>
            </w:r>
          </w:p>
        </w:tc>
        <w:tc>
          <w:tcPr>
            <w:tcW w:w="3006" w:type="dxa"/>
          </w:tcPr>
          <w:p w14:paraId="6D1A3E76" w14:textId="77777777" w:rsidR="00AE05FA" w:rsidRDefault="00AE05FA" w:rsidP="00EC5A55">
            <w:pPr>
              <w:pStyle w:val="TableHeading0"/>
            </w:pPr>
            <w:r>
              <w:t xml:space="preserve">Health care resource costs: </w:t>
            </w:r>
            <w:r>
              <w:fldChar w:fldCharType="begin"/>
            </w:r>
            <w:r>
              <w:instrText xml:space="preserve"> ADDIN EN.CITE &lt;EndNote&gt;&lt;Cite&gt;&lt;Author&gt;Park&lt;/Author&gt;&lt;Year&gt;2021&lt;/Year&gt;&lt;RecNum&gt;1177&lt;/RecNum&gt;&lt;DisplayText&gt;(Park et al. 2021)&lt;/DisplayText&gt;&lt;record&gt;&lt;rec-number&gt;1177&lt;/rec-number&gt;&lt;foreign-keys&gt;&lt;key app="EN" db-id="ezvspvpphdrt93e9asepdx5etr9rf5rptvp0" timestamp="1694992805"&gt;1177&lt;/key&gt;&lt;/foreign-keys&gt;&lt;ref-type name="Journal Article"&gt;17&lt;/ref-type&gt;&lt;contributors&gt;&lt;authors&gt;&lt;author&gt;Park, F&lt;/author&gt;&lt;author&gt;Deeming, Simon&lt;/author&gt;&lt;author&gt;Bennett, Nicole&lt;/author&gt;&lt;author&gt;Hyett, J&lt;/author&gt;&lt;/authors&gt;&lt;/contributors&gt;&lt;titles&gt;&lt;title&gt;Cost</w:instrText>
            </w:r>
            <w:r>
              <w:rPr>
                <w:rFonts w:ascii="Cambria Math" w:hAnsi="Cambria Math" w:cs="Cambria Math"/>
              </w:rPr>
              <w:instrText>‐</w:instrText>
            </w:r>
            <w:r>
              <w:instrText>effectiveness analysis of a model of first</w:instrText>
            </w:r>
            <w:r>
              <w:rPr>
                <w:rFonts w:ascii="Cambria Math" w:hAnsi="Cambria Math" w:cs="Cambria Math"/>
              </w:rPr>
              <w:instrText>‐</w:instrText>
            </w:r>
            <w:r>
              <w:instrText>trimester prediction and prevention of preterm pre</w:instrText>
            </w:r>
            <w:r>
              <w:rPr>
                <w:rFonts w:ascii="Cambria Math" w:hAnsi="Cambria Math" w:cs="Cambria Math"/>
              </w:rPr>
              <w:instrText>‐</w:instrText>
            </w:r>
            <w:r>
              <w:instrText>eclampsia compared with usual care&lt;/title&gt;&lt;secondary-title&gt;Ultrasound in Obstetrics &amp;amp; Gynecology&lt;/secondary-title&gt;&lt;/titles&gt;&lt;periodical&gt;&lt;full-title&gt;Ultrasound in Obstetrics &amp;amp; Gynecology&lt;/full-title&gt;&lt;/periodical&gt;&lt;pages&gt;688-697&lt;/pages&gt;&lt;volume&gt;58&lt;/volume&gt;&lt;number&gt;5&lt;/number&gt;&lt;dates&gt;&lt;year&gt;2021&lt;/year&gt;&lt;/dates&gt;&lt;isbn&gt;0960-7692&lt;/isbn&gt;&lt;urls&gt;&lt;/urls&gt;&lt;/record&gt;&lt;/Cite&gt;&lt;/EndNote&gt;</w:instrText>
            </w:r>
            <w:r>
              <w:fldChar w:fldCharType="separate"/>
            </w:r>
            <w:r>
              <w:rPr>
                <w:noProof/>
              </w:rPr>
              <w:t>(Park et al. 2021)</w:t>
            </w:r>
            <w:r>
              <w:fldChar w:fldCharType="end"/>
            </w:r>
          </w:p>
        </w:tc>
      </w:tr>
      <w:tr w:rsidR="00AE05FA" w14:paraId="5D2A4C0D" w14:textId="77777777" w:rsidTr="00EC5A55">
        <w:tc>
          <w:tcPr>
            <w:tcW w:w="3005" w:type="dxa"/>
          </w:tcPr>
          <w:p w14:paraId="4D50B391" w14:textId="77777777" w:rsidR="00AE05FA" w:rsidRDefault="00AE05FA" w:rsidP="00EC5A55">
            <w:pPr>
              <w:pStyle w:val="Tabletext0"/>
            </w:pPr>
            <w:r>
              <w:t>Preterm preeclampsia</w:t>
            </w:r>
          </w:p>
        </w:tc>
        <w:tc>
          <w:tcPr>
            <w:tcW w:w="3005" w:type="dxa"/>
          </w:tcPr>
          <w:p w14:paraId="2C059825" w14:textId="77777777" w:rsidR="00AE05FA" w:rsidRDefault="00AE05FA" w:rsidP="00EC5A55">
            <w:pPr>
              <w:pStyle w:val="Tabletext0"/>
            </w:pPr>
            <w:r>
              <w:t>$21,230</w:t>
            </w:r>
          </w:p>
        </w:tc>
        <w:tc>
          <w:tcPr>
            <w:tcW w:w="3006" w:type="dxa"/>
          </w:tcPr>
          <w:p w14:paraId="6DAA8E71" w14:textId="77777777" w:rsidR="00AE05FA" w:rsidRDefault="00AE05FA" w:rsidP="00EC5A55">
            <w:pPr>
              <w:pStyle w:val="Tabletext0"/>
            </w:pPr>
            <w:r>
              <w:t>$34,883 (34-36</w:t>
            </w:r>
            <w:r w:rsidRPr="00F907E7">
              <w:rPr>
                <w:vertAlign w:val="superscript"/>
              </w:rPr>
              <w:t>+6</w:t>
            </w:r>
            <w:r>
              <w:t xml:space="preserve"> weeks)</w:t>
            </w:r>
          </w:p>
          <w:p w14:paraId="43277E6F" w14:textId="77777777" w:rsidR="00AE05FA" w:rsidRDefault="00AE05FA" w:rsidP="00EC5A55">
            <w:pPr>
              <w:pStyle w:val="Tabletext0"/>
            </w:pPr>
            <w:r>
              <w:t>$86,966 (&lt;34 weeks)</w:t>
            </w:r>
          </w:p>
        </w:tc>
      </w:tr>
      <w:tr w:rsidR="00AE05FA" w14:paraId="65A245B1" w14:textId="77777777" w:rsidTr="00EC5A55">
        <w:tc>
          <w:tcPr>
            <w:tcW w:w="3005" w:type="dxa"/>
          </w:tcPr>
          <w:p w14:paraId="3AB485DC" w14:textId="77777777" w:rsidR="00AE05FA" w:rsidRDefault="00AE05FA" w:rsidP="00EC5A55">
            <w:pPr>
              <w:pStyle w:val="Tabletext0"/>
            </w:pPr>
            <w:r>
              <w:t>Term preeclampsia (&gt;37 weeks)</w:t>
            </w:r>
          </w:p>
        </w:tc>
        <w:tc>
          <w:tcPr>
            <w:tcW w:w="3005" w:type="dxa"/>
          </w:tcPr>
          <w:p w14:paraId="3A801B6B" w14:textId="77777777" w:rsidR="00AE05FA" w:rsidRDefault="00AE05FA" w:rsidP="00EC5A55">
            <w:pPr>
              <w:pStyle w:val="Tabletext0"/>
            </w:pPr>
            <w:r>
              <w:t>$12,217</w:t>
            </w:r>
          </w:p>
        </w:tc>
        <w:tc>
          <w:tcPr>
            <w:tcW w:w="3006" w:type="dxa"/>
          </w:tcPr>
          <w:p w14:paraId="5FA8B12F" w14:textId="77777777" w:rsidR="00AE05FA" w:rsidRDefault="00AE05FA" w:rsidP="00EC5A55">
            <w:pPr>
              <w:pStyle w:val="Tabletext0"/>
            </w:pPr>
            <w:r>
              <w:t>$17,680</w:t>
            </w:r>
          </w:p>
        </w:tc>
      </w:tr>
    </w:tbl>
    <w:p w14:paraId="1D588D8A" w14:textId="77777777" w:rsidR="00AE05FA" w:rsidRDefault="00AE05FA" w:rsidP="00AE05FA">
      <w:pPr>
        <w:pStyle w:val="Tablenotes0"/>
      </w:pPr>
      <w:r>
        <w:t xml:space="preserve">Source: Table 35 (91) of the ADAR and Table 4 (p. 693) of </w:t>
      </w:r>
      <w:r>
        <w:fldChar w:fldCharType="begin"/>
      </w:r>
      <w:r>
        <w:instrText xml:space="preserve"> ADDIN EN.CITE &lt;EndNote&gt;&lt;Cite&gt;&lt;Author&gt;Park&lt;/Author&gt;&lt;Year&gt;2021&lt;/Year&gt;&lt;RecNum&gt;1177&lt;/RecNum&gt;&lt;DisplayText&gt;(Park et al. 2021)&lt;/DisplayText&gt;&lt;record&gt;&lt;rec-number&gt;1177&lt;/rec-number&gt;&lt;foreign-keys&gt;&lt;key app="EN" db-id="ezvspvpphdrt93e9asepdx5etr9rf5rptvp0" timestamp="1694992805"&gt;1177&lt;/key&gt;&lt;/foreign-keys&gt;&lt;ref-type name="Journal Article"&gt;17&lt;/ref-type&gt;&lt;contributors&gt;&lt;authors&gt;&lt;author&gt;Park, F&lt;/author&gt;&lt;author&gt;Deeming, Simon&lt;/author&gt;&lt;author&gt;Bennett, Nicole&lt;/author&gt;&lt;author&gt;Hyett, J&lt;/author&gt;&lt;/authors&gt;&lt;/contributors&gt;&lt;titles&gt;&lt;title&gt;Cost</w:instrText>
      </w:r>
      <w:r>
        <w:rPr>
          <w:rFonts w:ascii="Cambria Math" w:hAnsi="Cambria Math" w:cs="Cambria Math"/>
        </w:rPr>
        <w:instrText>‐</w:instrText>
      </w:r>
      <w:r>
        <w:instrText>effectiveness analysis of a model of first</w:instrText>
      </w:r>
      <w:r>
        <w:rPr>
          <w:rFonts w:ascii="Cambria Math" w:hAnsi="Cambria Math" w:cs="Cambria Math"/>
        </w:rPr>
        <w:instrText>‐</w:instrText>
      </w:r>
      <w:r>
        <w:instrText>trimester prediction and prevention of preterm pre</w:instrText>
      </w:r>
      <w:r>
        <w:rPr>
          <w:rFonts w:ascii="Cambria Math" w:hAnsi="Cambria Math" w:cs="Cambria Math"/>
        </w:rPr>
        <w:instrText>‐</w:instrText>
      </w:r>
      <w:r>
        <w:instrText>eclampsia compared with usual care&lt;/title&gt;&lt;secondary-title&gt;Ultrasound in Obstetrics &amp;amp; Gynecology&lt;/secondary-title&gt;&lt;/titles&gt;&lt;periodical&gt;&lt;full-title&gt;Ultrasound in Obstetrics &amp;amp; Gynecology&lt;/full-title&gt;&lt;/periodical&gt;&lt;pages&gt;688-697&lt;/pages&gt;&lt;volume&gt;58&lt;/volume&gt;&lt;number&gt;5&lt;/number&gt;&lt;dates&gt;&lt;year&gt;2021&lt;/year&gt;&lt;/dates&gt;&lt;isbn&gt;0960-7692&lt;/isbn&gt;&lt;urls&gt;&lt;/urls&gt;&lt;/record&gt;&lt;/Cite&gt;&lt;/EndNote&gt;</w:instrText>
      </w:r>
      <w:r>
        <w:fldChar w:fldCharType="separate"/>
      </w:r>
      <w:r>
        <w:rPr>
          <w:noProof/>
        </w:rPr>
        <w:t>(Park et al. 2021)</w:t>
      </w:r>
      <w:r>
        <w:fldChar w:fldCharType="end"/>
      </w:r>
    </w:p>
    <w:p w14:paraId="3F2C4489" w14:textId="6C1FFBD3" w:rsidR="00B237AB" w:rsidRDefault="00B237AB" w:rsidP="003331D3">
      <w:pPr>
        <w:pStyle w:val="a-TEXT"/>
      </w:pPr>
      <w:r w:rsidRPr="00B237AB">
        <w:t xml:space="preserve">Quality assessment is a requirement for the use of FMF structured risk assessment. MAP and </w:t>
      </w:r>
      <w:proofErr w:type="spellStart"/>
      <w:r w:rsidRPr="00B237AB">
        <w:t>UtA</w:t>
      </w:r>
      <w:proofErr w:type="spellEnd"/>
      <w:r w:rsidRPr="00B237AB">
        <w:t xml:space="preserve">-PI are susceptible to considerable variability in their measurements, mainly due to poor adherence to defined protocols. Quality control of biomarkers needs to be performed regularly for </w:t>
      </w:r>
      <w:r w:rsidRPr="00B237AB">
        <w:lastRenderedPageBreak/>
        <w:t xml:space="preserve">data standardization, reliability, and accuracy and retraining </w:t>
      </w:r>
      <w:r w:rsidR="004D6144">
        <w:t xml:space="preserve">is </w:t>
      </w:r>
      <w:r w:rsidRPr="00B237AB">
        <w:t xml:space="preserve">indicated if deviations are noted. As noted in </w:t>
      </w:r>
      <w:r w:rsidR="00FA5771">
        <w:t>the clinical assessment</w:t>
      </w:r>
      <w:r w:rsidRPr="00B237AB">
        <w:t>, no cost or resource requirement details on FMF training have been provided</w:t>
      </w:r>
      <w:r w:rsidR="00FA5771">
        <w:t xml:space="preserve"> in the ADAR</w:t>
      </w:r>
      <w:r w:rsidRPr="00B237AB">
        <w:t xml:space="preserve">. The </w:t>
      </w:r>
      <w:proofErr w:type="spellStart"/>
      <w:r w:rsidRPr="00B237AB">
        <w:t>Fetal</w:t>
      </w:r>
      <w:proofErr w:type="spellEnd"/>
      <w:r w:rsidRPr="00B237AB">
        <w:t xml:space="preserve"> Medicine Group stipulates the implementation of quality control regimens, specifically continuous audit of uterine artery </w:t>
      </w:r>
      <w:proofErr w:type="spellStart"/>
      <w:r w:rsidRPr="00B237AB">
        <w:t>pulsatility</w:t>
      </w:r>
      <w:proofErr w:type="spellEnd"/>
      <w:r w:rsidRPr="00B237AB">
        <w:t xml:space="preserve"> index measurements with regular feedback to sonographers to ensure reliability and accuracy. How these will be incorporated into the overall cost/public funding requirements should be considered and could be applied in the economic model. </w:t>
      </w:r>
    </w:p>
    <w:p w14:paraId="7BDF619E" w14:textId="330AC4CA" w:rsidR="00EB426A" w:rsidRPr="001F02F3" w:rsidRDefault="00EB426A" w:rsidP="001F02F3">
      <w:pPr>
        <w:pStyle w:val="Heading3"/>
        <w:spacing w:before="300" w:after="160" w:line="240" w:lineRule="auto"/>
        <w:rPr>
          <w:sz w:val="24"/>
          <w:szCs w:val="24"/>
          <w:lang w:eastAsia="en-US"/>
        </w:rPr>
      </w:pPr>
      <w:r w:rsidRPr="001F02F3">
        <w:rPr>
          <w:sz w:val="24"/>
          <w:szCs w:val="24"/>
          <w:lang w:eastAsia="en-US"/>
        </w:rPr>
        <w:t>Results of the economic evaluation</w:t>
      </w:r>
    </w:p>
    <w:p w14:paraId="156DEF49" w14:textId="0A4D04D6" w:rsidR="009B608F" w:rsidRDefault="00621035" w:rsidP="001F02F3">
      <w:pPr>
        <w:pStyle w:val="a-TEXT"/>
      </w:pPr>
      <w:r>
        <w:t xml:space="preserve">The ADAR did not present a stepped economic evaluation. </w:t>
      </w:r>
      <w:r w:rsidR="00B332A0" w:rsidRPr="005E450D">
        <w:t xml:space="preserve">The results of the </w:t>
      </w:r>
      <w:r w:rsidR="008311AF">
        <w:t xml:space="preserve">ADAR’s </w:t>
      </w:r>
      <w:r w:rsidR="004A42A9" w:rsidRPr="005E450D">
        <w:t xml:space="preserve">economic evaluation </w:t>
      </w:r>
      <w:r w:rsidR="006C1258" w:rsidRPr="005E450D">
        <w:t xml:space="preserve">presented are </w:t>
      </w:r>
      <w:r w:rsidR="005E450D" w:rsidRPr="001F02F3">
        <w:t>outlined</w:t>
      </w:r>
      <w:r w:rsidR="00044A3D" w:rsidRPr="005E450D">
        <w:rPr>
          <w:iCs w:val="0"/>
        </w:rPr>
        <w:t xml:space="preserve"> </w:t>
      </w:r>
      <w:r w:rsidR="003E2899">
        <w:t>in</w:t>
      </w:r>
      <w:r w:rsidR="00E52FAC">
        <w:t xml:space="preserve"> Table 20</w:t>
      </w:r>
      <w:r w:rsidR="005E450D" w:rsidRPr="005E450D">
        <w:rPr>
          <w:iCs w:val="0"/>
        </w:rPr>
        <w:t>.</w:t>
      </w:r>
    </w:p>
    <w:p w14:paraId="312F1BB6" w14:textId="287DD623" w:rsidR="00A0265D" w:rsidRDefault="00A0265D" w:rsidP="005635EB">
      <w:pPr>
        <w:pStyle w:val="Caption"/>
      </w:pPr>
      <w:bookmarkStart w:id="39" w:name="_Ref144306682"/>
      <w:r>
        <w:t xml:space="preserve">Table </w:t>
      </w:r>
      <w:r w:rsidR="00E52FAC">
        <w:t>20</w:t>
      </w:r>
      <w:bookmarkEnd w:id="39"/>
      <w:r>
        <w:t xml:space="preserve"> </w:t>
      </w:r>
      <w:r w:rsidRPr="00EF3493">
        <w:t xml:space="preserve">Results of base analysis presented by the </w:t>
      </w:r>
      <w:proofErr w:type="gramStart"/>
      <w:r w:rsidRPr="00EF3493">
        <w:t>ADAR</w:t>
      </w:r>
      <w:proofErr w:type="gramEnd"/>
    </w:p>
    <w:tbl>
      <w:tblPr>
        <w:tblStyle w:val="TableGrid"/>
        <w:tblpPr w:leftFromText="181" w:rightFromText="181" w:vertAnchor="text" w:horzAnchor="margin" w:tblpY="38"/>
        <w:tblW w:w="9333" w:type="dxa"/>
        <w:tblCellMar>
          <w:left w:w="113" w:type="dxa"/>
          <w:right w:w="113" w:type="dxa"/>
        </w:tblCellMar>
        <w:tblLook w:val="04A0" w:firstRow="1" w:lastRow="0" w:firstColumn="1" w:lastColumn="0" w:noHBand="0" w:noVBand="1"/>
      </w:tblPr>
      <w:tblGrid>
        <w:gridCol w:w="2966"/>
        <w:gridCol w:w="2405"/>
        <w:gridCol w:w="1698"/>
        <w:gridCol w:w="2264"/>
      </w:tblGrid>
      <w:tr w:rsidR="001F02F3" w:rsidRPr="00252CE8" w14:paraId="6F49D459" w14:textId="77777777" w:rsidTr="00943784">
        <w:trPr>
          <w:trHeight w:val="291"/>
        </w:trPr>
        <w:tc>
          <w:tcPr>
            <w:tcW w:w="2966" w:type="dxa"/>
            <w:shd w:val="clear" w:color="auto" w:fill="auto"/>
          </w:tcPr>
          <w:p w14:paraId="4EFFA19E" w14:textId="77777777" w:rsidR="001F02F3" w:rsidRPr="008309A4" w:rsidRDefault="001F02F3" w:rsidP="001F02F3">
            <w:pPr>
              <w:pStyle w:val="TableHeading0"/>
              <w:spacing w:before="0" w:after="0"/>
              <w:rPr>
                <w:color w:val="000000" w:themeColor="text1"/>
              </w:rPr>
            </w:pPr>
          </w:p>
        </w:tc>
        <w:tc>
          <w:tcPr>
            <w:tcW w:w="2405" w:type="dxa"/>
            <w:shd w:val="clear" w:color="auto" w:fill="auto"/>
          </w:tcPr>
          <w:p w14:paraId="3FE80882" w14:textId="77777777" w:rsidR="001F02F3" w:rsidRPr="008309A4" w:rsidRDefault="001F02F3" w:rsidP="00943784">
            <w:pPr>
              <w:pStyle w:val="TableHeading0"/>
              <w:spacing w:before="0" w:after="0"/>
              <w:jc w:val="center"/>
              <w:rPr>
                <w:color w:val="000000" w:themeColor="text1"/>
              </w:rPr>
            </w:pPr>
            <w:r w:rsidRPr="008309A4">
              <w:rPr>
                <w:color w:val="000000" w:themeColor="text1"/>
              </w:rPr>
              <w:t>Structured risk assessment</w:t>
            </w:r>
          </w:p>
        </w:tc>
        <w:tc>
          <w:tcPr>
            <w:tcW w:w="1698" w:type="dxa"/>
            <w:shd w:val="clear" w:color="auto" w:fill="auto"/>
          </w:tcPr>
          <w:p w14:paraId="439B4276" w14:textId="77777777" w:rsidR="001F02F3" w:rsidRPr="008309A4" w:rsidRDefault="001F02F3" w:rsidP="00943784">
            <w:pPr>
              <w:pStyle w:val="TableHeading0"/>
              <w:spacing w:before="0" w:after="0"/>
              <w:jc w:val="center"/>
              <w:rPr>
                <w:color w:val="000000" w:themeColor="text1"/>
              </w:rPr>
            </w:pPr>
            <w:r w:rsidRPr="008309A4">
              <w:rPr>
                <w:color w:val="000000" w:themeColor="text1"/>
              </w:rPr>
              <w:t>Standard care</w:t>
            </w:r>
          </w:p>
        </w:tc>
        <w:tc>
          <w:tcPr>
            <w:tcW w:w="2264" w:type="dxa"/>
            <w:shd w:val="clear" w:color="auto" w:fill="auto"/>
          </w:tcPr>
          <w:p w14:paraId="36517D89" w14:textId="334CEBE9" w:rsidR="001F02F3" w:rsidRPr="008309A4" w:rsidRDefault="001F02F3" w:rsidP="00943784">
            <w:pPr>
              <w:pStyle w:val="TableHeading0"/>
              <w:spacing w:before="0" w:after="0"/>
              <w:jc w:val="center"/>
              <w:rPr>
                <w:color w:val="000000" w:themeColor="text1"/>
              </w:rPr>
            </w:pPr>
            <w:r w:rsidRPr="008309A4">
              <w:rPr>
                <w:color w:val="000000" w:themeColor="text1"/>
              </w:rPr>
              <w:t>Increment</w:t>
            </w:r>
          </w:p>
        </w:tc>
      </w:tr>
      <w:tr w:rsidR="001F02F3" w:rsidRPr="00252CE8" w14:paraId="19B37B28" w14:textId="77777777" w:rsidTr="00943784">
        <w:trPr>
          <w:trHeight w:val="271"/>
        </w:trPr>
        <w:tc>
          <w:tcPr>
            <w:tcW w:w="2966" w:type="dxa"/>
            <w:vAlign w:val="center"/>
          </w:tcPr>
          <w:p w14:paraId="7E644387" w14:textId="77777777" w:rsidR="001F02F3" w:rsidRPr="008309A4" w:rsidRDefault="001F02F3" w:rsidP="00724CD1">
            <w:pPr>
              <w:pStyle w:val="TableHeading0"/>
              <w:spacing w:before="0" w:after="0"/>
              <w:rPr>
                <w:b w:val="0"/>
                <w:color w:val="000000" w:themeColor="text1"/>
              </w:rPr>
            </w:pPr>
            <w:r w:rsidRPr="008309A4">
              <w:rPr>
                <w:b w:val="0"/>
                <w:color w:val="000000" w:themeColor="text1"/>
              </w:rPr>
              <w:t>Costs</w:t>
            </w:r>
          </w:p>
        </w:tc>
        <w:tc>
          <w:tcPr>
            <w:tcW w:w="2405" w:type="dxa"/>
            <w:vAlign w:val="center"/>
          </w:tcPr>
          <w:p w14:paraId="677F9324"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$7,898.10</w:t>
            </w:r>
          </w:p>
        </w:tc>
        <w:tc>
          <w:tcPr>
            <w:tcW w:w="1698" w:type="dxa"/>
            <w:vAlign w:val="center"/>
          </w:tcPr>
          <w:p w14:paraId="243CCB15"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$7,914.06</w:t>
            </w:r>
          </w:p>
        </w:tc>
        <w:tc>
          <w:tcPr>
            <w:tcW w:w="2264" w:type="dxa"/>
            <w:vAlign w:val="center"/>
          </w:tcPr>
          <w:p w14:paraId="4B47B9E6"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-$15.96</w:t>
            </w:r>
          </w:p>
        </w:tc>
      </w:tr>
      <w:tr w:rsidR="001F02F3" w:rsidRPr="00252CE8" w14:paraId="10FC588C" w14:textId="77777777" w:rsidTr="00943784">
        <w:trPr>
          <w:trHeight w:val="291"/>
        </w:trPr>
        <w:tc>
          <w:tcPr>
            <w:tcW w:w="2966" w:type="dxa"/>
            <w:vAlign w:val="center"/>
          </w:tcPr>
          <w:p w14:paraId="158875C4" w14:textId="77777777" w:rsidR="001F02F3" w:rsidRPr="008309A4" w:rsidRDefault="001F02F3" w:rsidP="00724CD1">
            <w:pPr>
              <w:pStyle w:val="TableHeading0"/>
              <w:spacing w:before="0" w:after="0"/>
              <w:rPr>
                <w:b w:val="0"/>
                <w:color w:val="000000" w:themeColor="text1"/>
              </w:rPr>
            </w:pPr>
            <w:r w:rsidRPr="008309A4">
              <w:rPr>
                <w:b w:val="0"/>
                <w:color w:val="000000" w:themeColor="text1"/>
              </w:rPr>
              <w:t>Effectiveness: Preterm preeclampsia</w:t>
            </w:r>
          </w:p>
        </w:tc>
        <w:tc>
          <w:tcPr>
            <w:tcW w:w="2405" w:type="dxa"/>
            <w:vAlign w:val="center"/>
          </w:tcPr>
          <w:p w14:paraId="2F1A9794"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0.005</w:t>
            </w:r>
          </w:p>
        </w:tc>
        <w:tc>
          <w:tcPr>
            <w:tcW w:w="1698" w:type="dxa"/>
            <w:vAlign w:val="center"/>
          </w:tcPr>
          <w:p w14:paraId="2A35C529"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0.007</w:t>
            </w:r>
          </w:p>
        </w:tc>
        <w:tc>
          <w:tcPr>
            <w:tcW w:w="2264" w:type="dxa"/>
            <w:vAlign w:val="center"/>
          </w:tcPr>
          <w:p w14:paraId="6BD978CE" w14:textId="60AE2BE5" w:rsidR="001F02F3" w:rsidRPr="008309A4" w:rsidRDefault="001F02F3" w:rsidP="00943784">
            <w:pPr>
              <w:pStyle w:val="TableHeading0"/>
              <w:spacing w:before="0" w:after="0"/>
              <w:jc w:val="center"/>
              <w:rPr>
                <w:b w:val="0"/>
                <w:color w:val="000000" w:themeColor="text1"/>
              </w:rPr>
            </w:pPr>
            <w:r w:rsidRPr="008309A4">
              <w:rPr>
                <w:b w:val="0"/>
                <w:color w:val="000000" w:themeColor="text1"/>
              </w:rPr>
              <w:t>-0.002</w:t>
            </w:r>
          </w:p>
        </w:tc>
      </w:tr>
      <w:tr w:rsidR="001F02F3" w:rsidRPr="00252CE8" w14:paraId="56B92257" w14:textId="77777777" w:rsidTr="00943784">
        <w:trPr>
          <w:trHeight w:val="291"/>
        </w:trPr>
        <w:tc>
          <w:tcPr>
            <w:tcW w:w="2966" w:type="dxa"/>
            <w:vAlign w:val="center"/>
          </w:tcPr>
          <w:p w14:paraId="3BDDA0F1" w14:textId="77777777" w:rsidR="001F02F3" w:rsidRPr="008309A4" w:rsidRDefault="001F02F3" w:rsidP="00724CD1">
            <w:pPr>
              <w:pStyle w:val="TableHeading0"/>
              <w:spacing w:before="0" w:after="0"/>
              <w:rPr>
                <w:b w:val="0"/>
                <w:color w:val="000000" w:themeColor="text1"/>
              </w:rPr>
            </w:pPr>
            <w:r w:rsidRPr="008309A4">
              <w:rPr>
                <w:b w:val="0"/>
                <w:color w:val="000000" w:themeColor="text1"/>
              </w:rPr>
              <w:t>Effectiveness: Term preeclampsia</w:t>
            </w:r>
          </w:p>
        </w:tc>
        <w:tc>
          <w:tcPr>
            <w:tcW w:w="2405" w:type="dxa"/>
            <w:vAlign w:val="center"/>
          </w:tcPr>
          <w:p w14:paraId="40740C3A"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0.011</w:t>
            </w:r>
          </w:p>
        </w:tc>
        <w:tc>
          <w:tcPr>
            <w:tcW w:w="1698" w:type="dxa"/>
            <w:vAlign w:val="center"/>
          </w:tcPr>
          <w:p w14:paraId="3F05DC45"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0.017</w:t>
            </w:r>
          </w:p>
        </w:tc>
        <w:tc>
          <w:tcPr>
            <w:tcW w:w="2264" w:type="dxa"/>
            <w:vAlign w:val="center"/>
          </w:tcPr>
          <w:p w14:paraId="5EE01CAE"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-0.006</w:t>
            </w:r>
          </w:p>
        </w:tc>
      </w:tr>
      <w:tr w:rsidR="001F02F3" w:rsidRPr="00252CE8" w14:paraId="7A7C1A83" w14:textId="77777777" w:rsidTr="00943784">
        <w:trPr>
          <w:trHeight w:val="271"/>
        </w:trPr>
        <w:tc>
          <w:tcPr>
            <w:tcW w:w="2966" w:type="dxa"/>
            <w:vAlign w:val="center"/>
          </w:tcPr>
          <w:p w14:paraId="1767495C" w14:textId="77777777" w:rsidR="001F02F3" w:rsidRPr="008309A4" w:rsidRDefault="001F02F3" w:rsidP="00724CD1">
            <w:pPr>
              <w:pStyle w:val="TableHeading0"/>
              <w:spacing w:before="0" w:after="0"/>
              <w:rPr>
                <w:b w:val="0"/>
                <w:color w:val="000000" w:themeColor="text1"/>
              </w:rPr>
            </w:pPr>
            <w:r w:rsidRPr="008309A4">
              <w:rPr>
                <w:b w:val="0"/>
                <w:color w:val="000000" w:themeColor="text1"/>
              </w:rPr>
              <w:t>Effectiveness: QALYs</w:t>
            </w:r>
          </w:p>
        </w:tc>
        <w:tc>
          <w:tcPr>
            <w:tcW w:w="2405" w:type="dxa"/>
            <w:vAlign w:val="center"/>
          </w:tcPr>
          <w:p w14:paraId="70761B85"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0.3996</w:t>
            </w:r>
          </w:p>
        </w:tc>
        <w:tc>
          <w:tcPr>
            <w:tcW w:w="1698" w:type="dxa"/>
            <w:vAlign w:val="center"/>
          </w:tcPr>
          <w:p w14:paraId="7E0AB9FE"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0.3993</w:t>
            </w:r>
          </w:p>
        </w:tc>
        <w:tc>
          <w:tcPr>
            <w:tcW w:w="2264" w:type="dxa"/>
            <w:vAlign w:val="center"/>
          </w:tcPr>
          <w:p w14:paraId="7C8E4F10" w14:textId="78D4B710" w:rsidR="001F02F3" w:rsidRPr="008309A4" w:rsidRDefault="001F02F3" w:rsidP="00943784">
            <w:pPr>
              <w:pStyle w:val="TableHeading0"/>
              <w:spacing w:before="0" w:after="0"/>
              <w:jc w:val="center"/>
              <w:rPr>
                <w:b w:val="0"/>
                <w:color w:val="000000" w:themeColor="text1"/>
              </w:rPr>
            </w:pPr>
            <w:r w:rsidRPr="008309A4">
              <w:rPr>
                <w:b w:val="0"/>
                <w:color w:val="000000" w:themeColor="text1"/>
              </w:rPr>
              <w:t>0.002</w:t>
            </w:r>
          </w:p>
        </w:tc>
      </w:tr>
      <w:tr w:rsidR="001F02F3" w:rsidRPr="007E18D7" w14:paraId="1B406F69" w14:textId="77777777" w:rsidTr="00943784">
        <w:trPr>
          <w:trHeight w:val="354"/>
        </w:trPr>
        <w:tc>
          <w:tcPr>
            <w:tcW w:w="2966" w:type="dxa"/>
            <w:vAlign w:val="center"/>
          </w:tcPr>
          <w:p w14:paraId="0611FD9E" w14:textId="77777777" w:rsidR="001F02F3" w:rsidRPr="008309A4" w:rsidRDefault="001F02F3" w:rsidP="00724CD1">
            <w:pPr>
              <w:pStyle w:val="TableHeading0"/>
              <w:spacing w:before="0" w:after="0"/>
              <w:rPr>
                <w:b w:val="0"/>
                <w:color w:val="000000" w:themeColor="text1"/>
              </w:rPr>
            </w:pPr>
            <w:r w:rsidRPr="008309A4">
              <w:rPr>
                <w:b w:val="0"/>
                <w:color w:val="000000" w:themeColor="text1"/>
              </w:rPr>
              <w:t>ICER (Cost/QALY)</w:t>
            </w:r>
          </w:p>
        </w:tc>
        <w:tc>
          <w:tcPr>
            <w:tcW w:w="2405" w:type="dxa"/>
            <w:vAlign w:val="center"/>
          </w:tcPr>
          <w:p w14:paraId="7B3B4AC5"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w:t>
            </w:r>
          </w:p>
        </w:tc>
        <w:tc>
          <w:tcPr>
            <w:tcW w:w="1698" w:type="dxa"/>
            <w:vAlign w:val="center"/>
          </w:tcPr>
          <w:p w14:paraId="2CB0667F" w14:textId="77777777" w:rsidR="001F02F3" w:rsidRPr="008309A4" w:rsidRDefault="001F02F3" w:rsidP="00943784">
            <w:pPr>
              <w:pStyle w:val="TableHeading0"/>
              <w:spacing w:before="0" w:after="0"/>
              <w:jc w:val="center"/>
              <w:rPr>
                <w:b w:val="0"/>
                <w:color w:val="000000" w:themeColor="text1"/>
              </w:rPr>
            </w:pPr>
            <w:r w:rsidRPr="008309A4">
              <w:rPr>
                <w:b w:val="0"/>
                <w:color w:val="000000" w:themeColor="text1"/>
              </w:rPr>
              <w:t>-</w:t>
            </w:r>
          </w:p>
        </w:tc>
        <w:tc>
          <w:tcPr>
            <w:tcW w:w="2264" w:type="dxa"/>
            <w:vAlign w:val="center"/>
          </w:tcPr>
          <w:p w14:paraId="0658E471" w14:textId="137FD7E0" w:rsidR="001F02F3" w:rsidRPr="008309A4" w:rsidRDefault="001F02F3" w:rsidP="00943784">
            <w:pPr>
              <w:pStyle w:val="TableHeading0"/>
              <w:spacing w:before="0" w:after="0"/>
              <w:jc w:val="center"/>
              <w:rPr>
                <w:color w:val="000000" w:themeColor="text1"/>
              </w:rPr>
            </w:pPr>
            <w:r w:rsidRPr="008309A4">
              <w:rPr>
                <w:color w:val="000000" w:themeColor="text1"/>
              </w:rPr>
              <w:t>Dominant</w:t>
            </w:r>
          </w:p>
        </w:tc>
      </w:tr>
    </w:tbl>
    <w:p w14:paraId="1B8835ED" w14:textId="77777777" w:rsidR="00A509BB" w:rsidRDefault="00A509BB" w:rsidP="00A509BB">
      <w:pPr>
        <w:pStyle w:val="a-TableFOOTER"/>
        <w:spacing w:after="0"/>
      </w:pPr>
      <w:r>
        <w:t xml:space="preserve">Abbreviations: ICER=incremental cost-effectiveness ratio; QALY=quality-adjusted life year </w:t>
      </w:r>
    </w:p>
    <w:p w14:paraId="441C6B95" w14:textId="4167DC91" w:rsidR="00A27E1D" w:rsidRPr="001F02F3" w:rsidRDefault="00472F3D" w:rsidP="008A4E26">
      <w:pPr>
        <w:pStyle w:val="a-TableFOOTER"/>
        <w:spacing w:after="0"/>
      </w:pPr>
      <w:r w:rsidRPr="001F02F3">
        <w:rPr>
          <w:rFonts w:eastAsia="Times New Roman"/>
          <w:szCs w:val="24"/>
          <w:lang w:eastAsia="en-GB"/>
        </w:rPr>
        <w:t xml:space="preserve">Source: </w:t>
      </w:r>
      <w:r w:rsidR="00CF6016" w:rsidRPr="001F02F3">
        <w:rPr>
          <w:rFonts w:eastAsia="Times New Roman"/>
          <w:szCs w:val="24"/>
          <w:lang w:eastAsia="en-GB"/>
        </w:rPr>
        <w:t>Table</w:t>
      </w:r>
      <w:r w:rsidR="006C1AB6">
        <w:rPr>
          <w:rFonts w:eastAsia="Times New Roman"/>
          <w:szCs w:val="24"/>
          <w:lang w:eastAsia="en-GB"/>
        </w:rPr>
        <w:t xml:space="preserve"> </w:t>
      </w:r>
      <w:r w:rsidR="00CC2217" w:rsidRPr="001F02F3">
        <w:rPr>
          <w:rFonts w:eastAsia="Times New Roman"/>
          <w:szCs w:val="24"/>
          <w:lang w:eastAsia="en-GB"/>
        </w:rPr>
        <w:t>38</w:t>
      </w:r>
      <w:r w:rsidR="00254AFE">
        <w:t>,</w:t>
      </w:r>
      <w:r w:rsidR="008A4E26">
        <w:t xml:space="preserve"> p91 of the ADAR</w:t>
      </w:r>
      <w:r w:rsidR="006C1AB6">
        <w:t xml:space="preserve"> </w:t>
      </w:r>
    </w:p>
    <w:p w14:paraId="135A4CB6" w14:textId="5AA13837" w:rsidR="00AD7290" w:rsidRPr="00F77AB1" w:rsidRDefault="00FC1AD1" w:rsidP="00254AFE">
      <w:pPr>
        <w:pStyle w:val="a-TEXT"/>
      </w:pPr>
      <w:r w:rsidRPr="00F77AB1">
        <w:t xml:space="preserve">The results of </w:t>
      </w:r>
      <w:r w:rsidR="00EA7518" w:rsidRPr="00F77AB1">
        <w:t>the sensi</w:t>
      </w:r>
      <w:r w:rsidR="00EA0C55" w:rsidRPr="00F77AB1">
        <w:t>tivity analysis</w:t>
      </w:r>
      <w:r w:rsidR="00284E63" w:rsidRPr="00F77AB1">
        <w:t xml:space="preserve"> </w:t>
      </w:r>
      <w:r w:rsidR="0070674C" w:rsidRPr="00F77AB1">
        <w:t>characterising</w:t>
      </w:r>
      <w:r w:rsidR="00284E63" w:rsidRPr="00F77AB1">
        <w:t xml:space="preserve"> the uncertainty </w:t>
      </w:r>
      <w:r w:rsidR="008120CA" w:rsidRPr="00F77AB1">
        <w:t xml:space="preserve">around the ICER as </w:t>
      </w:r>
      <w:r w:rsidR="00663DA0" w:rsidRPr="00F77AB1">
        <w:t xml:space="preserve">presented by the ADAR are summarised </w:t>
      </w:r>
      <w:r w:rsidR="003E2899">
        <w:t xml:space="preserve">in </w:t>
      </w:r>
      <w:r w:rsidR="00E52FAC">
        <w:t>Table 21</w:t>
      </w:r>
      <w:r w:rsidR="003E2899">
        <w:t xml:space="preserve"> </w:t>
      </w:r>
      <w:r w:rsidR="00663DA0" w:rsidRPr="00F77AB1">
        <w:t>below.</w:t>
      </w:r>
    </w:p>
    <w:p w14:paraId="3B516949" w14:textId="75F66A32" w:rsidR="00CB48E6" w:rsidRDefault="00CB48E6" w:rsidP="00254AFE">
      <w:pPr>
        <w:pStyle w:val="Caption"/>
      </w:pPr>
      <w:bookmarkStart w:id="40" w:name="_Ref144306681"/>
      <w:r>
        <w:t xml:space="preserve">Table </w:t>
      </w:r>
      <w:bookmarkEnd w:id="40"/>
      <w:r w:rsidR="00E52FAC">
        <w:t>21</w:t>
      </w:r>
      <w:r>
        <w:t xml:space="preserve"> </w:t>
      </w:r>
      <w:r w:rsidR="00020EB3">
        <w:tab/>
        <w:t>R</w:t>
      </w:r>
      <w:r w:rsidRPr="00A23F23">
        <w:t>esults of the sensitivity analysis characterising uncertainty around the ICER as presented by the ADAR.</w:t>
      </w:r>
    </w:p>
    <w:tbl>
      <w:tblPr>
        <w:tblStyle w:val="TableGrid"/>
        <w:tblW w:w="0" w:type="auto"/>
        <w:tblCellMar>
          <w:left w:w="113" w:type="dxa"/>
          <w:right w:w="113" w:type="dxa"/>
        </w:tblCellMar>
        <w:tblLook w:val="04A0" w:firstRow="1" w:lastRow="0" w:firstColumn="1" w:lastColumn="0" w:noHBand="0" w:noVBand="1"/>
      </w:tblPr>
      <w:tblGrid>
        <w:gridCol w:w="1881"/>
        <w:gridCol w:w="1148"/>
        <w:gridCol w:w="1205"/>
        <w:gridCol w:w="1205"/>
        <w:gridCol w:w="1167"/>
        <w:gridCol w:w="1205"/>
        <w:gridCol w:w="1205"/>
      </w:tblGrid>
      <w:tr w:rsidR="00701527" w:rsidRPr="00007626" w14:paraId="75CA7367" w14:textId="77777777" w:rsidTr="00C425FF">
        <w:trPr>
          <w:trHeight w:val="350"/>
        </w:trPr>
        <w:tc>
          <w:tcPr>
            <w:tcW w:w="0" w:type="auto"/>
            <w:tcBorders>
              <w:bottom w:val="nil"/>
            </w:tcBorders>
          </w:tcPr>
          <w:p w14:paraId="029473BB" w14:textId="77777777" w:rsidR="00397BC0" w:rsidRPr="00F77AB1" w:rsidRDefault="00397BC0" w:rsidP="005635EB">
            <w:pPr>
              <w:pStyle w:val="TableHeading0"/>
              <w:keepNext/>
              <w:keepLines/>
              <w:spacing w:before="0" w:after="0"/>
              <w:rPr>
                <w:szCs w:val="20"/>
              </w:rPr>
            </w:pPr>
            <w:r w:rsidRPr="00F77AB1">
              <w:rPr>
                <w:szCs w:val="20"/>
              </w:rPr>
              <w:t>Variable</w:t>
            </w:r>
          </w:p>
        </w:tc>
        <w:tc>
          <w:tcPr>
            <w:tcW w:w="3681" w:type="dxa"/>
            <w:gridSpan w:val="3"/>
          </w:tcPr>
          <w:p w14:paraId="142876AC" w14:textId="77777777" w:rsidR="00397BC0" w:rsidRPr="00F77AB1" w:rsidRDefault="00397BC0" w:rsidP="005635EB">
            <w:pPr>
              <w:pStyle w:val="TableHeading0"/>
              <w:keepNext/>
              <w:keepLines/>
              <w:spacing w:before="0" w:after="0"/>
              <w:jc w:val="center"/>
              <w:rPr>
                <w:szCs w:val="20"/>
              </w:rPr>
            </w:pPr>
            <w:r w:rsidRPr="00F77AB1">
              <w:rPr>
                <w:szCs w:val="20"/>
              </w:rPr>
              <w:t>Input value</w:t>
            </w:r>
          </w:p>
        </w:tc>
        <w:tc>
          <w:tcPr>
            <w:tcW w:w="3682" w:type="dxa"/>
            <w:gridSpan w:val="3"/>
          </w:tcPr>
          <w:p w14:paraId="6F5D5EA1" w14:textId="77777777" w:rsidR="00397BC0" w:rsidRPr="00F77AB1" w:rsidRDefault="00397BC0" w:rsidP="005635EB">
            <w:pPr>
              <w:pStyle w:val="TableHeading0"/>
              <w:keepNext/>
              <w:keepLines/>
              <w:spacing w:before="0" w:after="0"/>
              <w:jc w:val="center"/>
              <w:rPr>
                <w:szCs w:val="20"/>
              </w:rPr>
            </w:pPr>
            <w:r w:rsidRPr="00F77AB1">
              <w:rPr>
                <w:szCs w:val="20"/>
              </w:rPr>
              <w:t>ICER ($/QALY)</w:t>
            </w:r>
          </w:p>
        </w:tc>
      </w:tr>
      <w:tr w:rsidR="00701527" w:rsidRPr="00007626" w14:paraId="0F4302CE" w14:textId="77777777" w:rsidTr="00943784">
        <w:trPr>
          <w:trHeight w:val="837"/>
        </w:trPr>
        <w:tc>
          <w:tcPr>
            <w:tcW w:w="0" w:type="auto"/>
            <w:tcBorders>
              <w:top w:val="nil"/>
            </w:tcBorders>
          </w:tcPr>
          <w:p w14:paraId="788683BC" w14:textId="77777777" w:rsidR="00397BC0" w:rsidRPr="00F77AB1" w:rsidRDefault="00397BC0" w:rsidP="005635EB">
            <w:pPr>
              <w:pStyle w:val="TableHeading0"/>
              <w:keepNext/>
              <w:keepLines/>
              <w:spacing w:before="0" w:after="0"/>
              <w:rPr>
                <w:szCs w:val="20"/>
              </w:rPr>
            </w:pPr>
          </w:p>
        </w:tc>
        <w:tc>
          <w:tcPr>
            <w:tcW w:w="1227" w:type="dxa"/>
            <w:vAlign w:val="center"/>
          </w:tcPr>
          <w:p w14:paraId="5B78C1B3" w14:textId="77777777" w:rsidR="00397BC0" w:rsidRPr="00F77AB1" w:rsidRDefault="00397BC0" w:rsidP="00943784">
            <w:pPr>
              <w:pStyle w:val="TableHeading0"/>
              <w:keepNext/>
              <w:keepLines/>
              <w:spacing w:before="0" w:after="0"/>
              <w:jc w:val="center"/>
              <w:rPr>
                <w:szCs w:val="20"/>
              </w:rPr>
            </w:pPr>
            <w:r w:rsidRPr="00F77AB1">
              <w:rPr>
                <w:szCs w:val="20"/>
              </w:rPr>
              <w:t>Base case</w:t>
            </w:r>
          </w:p>
        </w:tc>
        <w:tc>
          <w:tcPr>
            <w:tcW w:w="1227" w:type="dxa"/>
            <w:vAlign w:val="center"/>
          </w:tcPr>
          <w:p w14:paraId="42ABDA5A" w14:textId="77777777" w:rsidR="00397BC0" w:rsidRPr="00F77AB1" w:rsidRDefault="00397BC0" w:rsidP="00943784">
            <w:pPr>
              <w:pStyle w:val="TableHeading0"/>
              <w:keepNext/>
              <w:keepLines/>
              <w:spacing w:before="0" w:after="0"/>
              <w:jc w:val="center"/>
              <w:rPr>
                <w:szCs w:val="20"/>
              </w:rPr>
            </w:pPr>
            <w:r w:rsidRPr="00F77AB1">
              <w:rPr>
                <w:szCs w:val="20"/>
              </w:rPr>
              <w:t>Alternative value (lower bound)</w:t>
            </w:r>
          </w:p>
        </w:tc>
        <w:tc>
          <w:tcPr>
            <w:tcW w:w="1227" w:type="dxa"/>
            <w:vAlign w:val="center"/>
          </w:tcPr>
          <w:p w14:paraId="55E47EDE" w14:textId="77777777" w:rsidR="00397BC0" w:rsidRPr="00F77AB1" w:rsidRDefault="00397BC0" w:rsidP="00943784">
            <w:pPr>
              <w:pStyle w:val="TableHeading0"/>
              <w:keepNext/>
              <w:keepLines/>
              <w:spacing w:before="0" w:after="0"/>
              <w:jc w:val="center"/>
              <w:rPr>
                <w:szCs w:val="20"/>
              </w:rPr>
            </w:pPr>
            <w:r w:rsidRPr="00F77AB1">
              <w:rPr>
                <w:szCs w:val="20"/>
              </w:rPr>
              <w:t>Alternative value (upper bound)</w:t>
            </w:r>
          </w:p>
        </w:tc>
        <w:tc>
          <w:tcPr>
            <w:tcW w:w="1227" w:type="dxa"/>
            <w:vAlign w:val="center"/>
          </w:tcPr>
          <w:p w14:paraId="39E3F220" w14:textId="77777777" w:rsidR="00397BC0" w:rsidRPr="00F77AB1" w:rsidRDefault="00397BC0" w:rsidP="00943784">
            <w:pPr>
              <w:pStyle w:val="TableHeading0"/>
              <w:keepNext/>
              <w:keepLines/>
              <w:spacing w:before="0" w:after="0"/>
              <w:jc w:val="center"/>
              <w:rPr>
                <w:szCs w:val="20"/>
              </w:rPr>
            </w:pPr>
            <w:r w:rsidRPr="00F77AB1">
              <w:rPr>
                <w:szCs w:val="20"/>
              </w:rPr>
              <w:t>Base case</w:t>
            </w:r>
          </w:p>
        </w:tc>
        <w:tc>
          <w:tcPr>
            <w:tcW w:w="1227" w:type="dxa"/>
            <w:vAlign w:val="center"/>
          </w:tcPr>
          <w:p w14:paraId="78CC898B" w14:textId="77777777" w:rsidR="00397BC0" w:rsidRPr="00F77AB1" w:rsidRDefault="00397BC0" w:rsidP="00943784">
            <w:pPr>
              <w:pStyle w:val="TableHeading0"/>
              <w:keepNext/>
              <w:keepLines/>
              <w:spacing w:before="0" w:after="0"/>
              <w:jc w:val="center"/>
              <w:rPr>
                <w:szCs w:val="20"/>
              </w:rPr>
            </w:pPr>
            <w:r w:rsidRPr="00F77AB1">
              <w:rPr>
                <w:szCs w:val="20"/>
              </w:rPr>
              <w:t>Alternative value (lower bound)</w:t>
            </w:r>
          </w:p>
        </w:tc>
        <w:tc>
          <w:tcPr>
            <w:tcW w:w="1228" w:type="dxa"/>
            <w:vAlign w:val="center"/>
          </w:tcPr>
          <w:p w14:paraId="59C5841E" w14:textId="77777777" w:rsidR="00397BC0" w:rsidRPr="00F77AB1" w:rsidRDefault="00397BC0" w:rsidP="00943784">
            <w:pPr>
              <w:pStyle w:val="TableHeading0"/>
              <w:keepNext/>
              <w:keepLines/>
              <w:spacing w:before="0" w:after="0"/>
              <w:jc w:val="center"/>
              <w:rPr>
                <w:szCs w:val="20"/>
              </w:rPr>
            </w:pPr>
            <w:r w:rsidRPr="00F77AB1">
              <w:rPr>
                <w:szCs w:val="20"/>
              </w:rPr>
              <w:t>Alternative value (upper bound)</w:t>
            </w:r>
          </w:p>
        </w:tc>
      </w:tr>
      <w:tr w:rsidR="00701527" w:rsidRPr="00007626" w14:paraId="63519D37" w14:textId="77777777" w:rsidTr="00943784">
        <w:tc>
          <w:tcPr>
            <w:tcW w:w="0" w:type="auto"/>
          </w:tcPr>
          <w:p w14:paraId="50CC20C7" w14:textId="6106E69C" w:rsidR="00397BC0" w:rsidRPr="00F77AB1" w:rsidRDefault="00397BC0" w:rsidP="005635EB">
            <w:pPr>
              <w:pStyle w:val="TableText"/>
              <w:keepNext/>
              <w:keepLines/>
              <w:spacing w:before="0" w:after="0"/>
              <w:rPr>
                <w:szCs w:val="20"/>
              </w:rPr>
            </w:pPr>
            <w:proofErr w:type="spellStart"/>
            <w:r w:rsidRPr="00F77AB1">
              <w:rPr>
                <w:szCs w:val="20"/>
              </w:rPr>
              <w:t>pPreTerm_PE_High</w:t>
            </w:r>
            <w:proofErr w:type="spellEnd"/>
            <w:r w:rsidRPr="00F77AB1">
              <w:rPr>
                <w:szCs w:val="20"/>
              </w:rPr>
              <w:t xml:space="preserve"> Risk_Structured</w:t>
            </w:r>
            <w:r w:rsidR="00CF65A8" w:rsidRPr="00943784">
              <w:rPr>
                <w:szCs w:val="20"/>
                <w:vertAlign w:val="superscript"/>
              </w:rPr>
              <w:t>1</w:t>
            </w:r>
            <w:r w:rsidR="00CF65A8">
              <w:rPr>
                <w:szCs w:val="20"/>
              </w:rPr>
              <w:t xml:space="preserve"> </w:t>
            </w:r>
          </w:p>
        </w:tc>
        <w:tc>
          <w:tcPr>
            <w:tcW w:w="1227" w:type="dxa"/>
            <w:vAlign w:val="center"/>
          </w:tcPr>
          <w:p w14:paraId="42124397" w14:textId="77777777" w:rsidR="00397BC0" w:rsidRPr="00F77AB1" w:rsidRDefault="00397BC0" w:rsidP="00943784">
            <w:pPr>
              <w:pStyle w:val="TableText"/>
              <w:keepNext/>
              <w:keepLines/>
              <w:spacing w:before="0" w:after="0"/>
              <w:jc w:val="center"/>
              <w:rPr>
                <w:szCs w:val="20"/>
              </w:rPr>
            </w:pPr>
            <w:r w:rsidRPr="00F77AB1">
              <w:rPr>
                <w:szCs w:val="20"/>
              </w:rPr>
              <w:t>2.1%</w:t>
            </w:r>
          </w:p>
        </w:tc>
        <w:tc>
          <w:tcPr>
            <w:tcW w:w="1227" w:type="dxa"/>
            <w:vAlign w:val="center"/>
          </w:tcPr>
          <w:p w14:paraId="51B7D4C4" w14:textId="77777777" w:rsidR="00397BC0" w:rsidRPr="00F77AB1" w:rsidRDefault="00397BC0" w:rsidP="00943784">
            <w:pPr>
              <w:pStyle w:val="TableText"/>
              <w:keepNext/>
              <w:keepLines/>
              <w:spacing w:before="0" w:after="0"/>
              <w:jc w:val="center"/>
              <w:rPr>
                <w:szCs w:val="20"/>
              </w:rPr>
            </w:pPr>
            <w:r w:rsidRPr="00F77AB1">
              <w:rPr>
                <w:szCs w:val="20"/>
              </w:rPr>
              <w:t>1.6%</w:t>
            </w:r>
          </w:p>
        </w:tc>
        <w:tc>
          <w:tcPr>
            <w:tcW w:w="1227" w:type="dxa"/>
            <w:vAlign w:val="center"/>
          </w:tcPr>
          <w:p w14:paraId="146A4609" w14:textId="77777777" w:rsidR="00397BC0" w:rsidRPr="00F77AB1" w:rsidRDefault="00397BC0" w:rsidP="00943784">
            <w:pPr>
              <w:pStyle w:val="TableText"/>
              <w:keepNext/>
              <w:keepLines/>
              <w:spacing w:before="0" w:after="0"/>
              <w:jc w:val="center"/>
              <w:rPr>
                <w:szCs w:val="20"/>
              </w:rPr>
            </w:pPr>
            <w:r w:rsidRPr="00F77AB1">
              <w:rPr>
                <w:szCs w:val="20"/>
              </w:rPr>
              <w:t>2.3%</w:t>
            </w:r>
          </w:p>
        </w:tc>
        <w:tc>
          <w:tcPr>
            <w:tcW w:w="1227" w:type="dxa"/>
            <w:vAlign w:val="center"/>
          </w:tcPr>
          <w:p w14:paraId="4C0D9126" w14:textId="77777777" w:rsidR="00397BC0" w:rsidRPr="00F77AB1" w:rsidRDefault="00397BC0" w:rsidP="00943784">
            <w:pPr>
              <w:pStyle w:val="TableText"/>
              <w:keepNext/>
              <w:keepLines/>
              <w:spacing w:before="0" w:after="0"/>
              <w:jc w:val="center"/>
              <w:rPr>
                <w:szCs w:val="20"/>
              </w:rPr>
            </w:pPr>
            <w:r w:rsidRPr="00F77AB1">
              <w:rPr>
                <w:szCs w:val="20"/>
              </w:rPr>
              <w:t>-$66,397</w:t>
            </w:r>
          </w:p>
        </w:tc>
        <w:tc>
          <w:tcPr>
            <w:tcW w:w="1227" w:type="dxa"/>
            <w:vAlign w:val="center"/>
          </w:tcPr>
          <w:p w14:paraId="3F863C64" w14:textId="77777777" w:rsidR="00397BC0" w:rsidRPr="00F77AB1" w:rsidRDefault="00397BC0" w:rsidP="00943784">
            <w:pPr>
              <w:pStyle w:val="TableText"/>
              <w:keepNext/>
              <w:keepLines/>
              <w:spacing w:before="0" w:after="0"/>
              <w:jc w:val="center"/>
              <w:rPr>
                <w:szCs w:val="20"/>
              </w:rPr>
            </w:pPr>
            <w:r w:rsidRPr="00F77AB1">
              <w:rPr>
                <w:szCs w:val="20"/>
              </w:rPr>
              <w:t>-$91,514</w:t>
            </w:r>
          </w:p>
          <w:p w14:paraId="1BC79D26" w14:textId="77777777" w:rsidR="00397BC0" w:rsidRPr="00F77AB1" w:rsidRDefault="00397BC0" w:rsidP="00943784">
            <w:pPr>
              <w:pStyle w:val="TableText"/>
              <w:keepNext/>
              <w:keepLines/>
              <w:spacing w:before="0" w:after="0"/>
              <w:jc w:val="center"/>
              <w:rPr>
                <w:szCs w:val="20"/>
              </w:rPr>
            </w:pPr>
            <w:r w:rsidRPr="00F77AB1">
              <w:rPr>
                <w:szCs w:val="20"/>
              </w:rPr>
              <w:t>(↓38%)</w:t>
            </w:r>
          </w:p>
        </w:tc>
        <w:tc>
          <w:tcPr>
            <w:tcW w:w="1228" w:type="dxa"/>
            <w:vAlign w:val="center"/>
          </w:tcPr>
          <w:p w14:paraId="53E485F5" w14:textId="77777777" w:rsidR="00397BC0" w:rsidRPr="00F77AB1" w:rsidRDefault="00397BC0" w:rsidP="00943784">
            <w:pPr>
              <w:pStyle w:val="TableText"/>
              <w:keepNext/>
              <w:keepLines/>
              <w:spacing w:before="0" w:after="0"/>
              <w:jc w:val="center"/>
              <w:rPr>
                <w:szCs w:val="20"/>
              </w:rPr>
            </w:pPr>
            <w:r w:rsidRPr="00F77AB1">
              <w:rPr>
                <w:szCs w:val="20"/>
              </w:rPr>
              <w:t>-$54226</w:t>
            </w:r>
          </w:p>
          <w:p w14:paraId="00F3E8F7" w14:textId="77777777" w:rsidR="00397BC0" w:rsidRPr="00F77AB1" w:rsidRDefault="00397BC0" w:rsidP="00943784">
            <w:pPr>
              <w:pStyle w:val="TableText"/>
              <w:keepNext/>
              <w:keepLines/>
              <w:spacing w:before="0" w:after="0"/>
              <w:jc w:val="center"/>
              <w:rPr>
                <w:szCs w:val="20"/>
              </w:rPr>
            </w:pPr>
            <w:r w:rsidRPr="00F77AB1">
              <w:rPr>
                <w:szCs w:val="20"/>
              </w:rPr>
              <w:t>(↑18%)</w:t>
            </w:r>
          </w:p>
        </w:tc>
      </w:tr>
      <w:tr w:rsidR="00701527" w:rsidRPr="00007626" w14:paraId="00DC38F2" w14:textId="77777777" w:rsidTr="00943784">
        <w:tc>
          <w:tcPr>
            <w:tcW w:w="0" w:type="auto"/>
          </w:tcPr>
          <w:p w14:paraId="4756A315" w14:textId="1148E6F9" w:rsidR="00397BC0" w:rsidRPr="00F77AB1" w:rsidRDefault="00397BC0" w:rsidP="005635EB">
            <w:pPr>
              <w:pStyle w:val="TableText"/>
              <w:keepNext/>
              <w:keepLines/>
              <w:spacing w:before="0" w:after="0"/>
              <w:rPr>
                <w:szCs w:val="20"/>
              </w:rPr>
            </w:pPr>
            <w:proofErr w:type="spellStart"/>
            <w:r w:rsidRPr="00F77AB1">
              <w:rPr>
                <w:szCs w:val="20"/>
              </w:rPr>
              <w:t>pPreTerm_PE_Low</w:t>
            </w:r>
            <w:proofErr w:type="spellEnd"/>
            <w:r w:rsidRPr="00F77AB1">
              <w:rPr>
                <w:szCs w:val="20"/>
              </w:rPr>
              <w:t xml:space="preserve"> Risk_Structured</w:t>
            </w:r>
            <w:r w:rsidR="002A1B6B" w:rsidRPr="00943784">
              <w:rPr>
                <w:szCs w:val="20"/>
                <w:vertAlign w:val="superscript"/>
              </w:rPr>
              <w:t>2</w:t>
            </w:r>
            <w:r w:rsidR="002A1B6B">
              <w:rPr>
                <w:szCs w:val="20"/>
              </w:rPr>
              <w:t xml:space="preserve"> </w:t>
            </w:r>
          </w:p>
        </w:tc>
        <w:tc>
          <w:tcPr>
            <w:tcW w:w="1227" w:type="dxa"/>
            <w:vAlign w:val="center"/>
          </w:tcPr>
          <w:p w14:paraId="61BB3395" w14:textId="77777777" w:rsidR="00397BC0" w:rsidRPr="00F77AB1" w:rsidRDefault="00397BC0" w:rsidP="00943784">
            <w:pPr>
              <w:pStyle w:val="TableText"/>
              <w:keepNext/>
              <w:keepLines/>
              <w:spacing w:before="0" w:after="0"/>
              <w:jc w:val="center"/>
              <w:rPr>
                <w:szCs w:val="20"/>
              </w:rPr>
            </w:pPr>
            <w:r w:rsidRPr="00F77AB1">
              <w:rPr>
                <w:szCs w:val="20"/>
              </w:rPr>
              <w:t>0.2%</w:t>
            </w:r>
          </w:p>
        </w:tc>
        <w:tc>
          <w:tcPr>
            <w:tcW w:w="1227" w:type="dxa"/>
            <w:vAlign w:val="center"/>
          </w:tcPr>
          <w:p w14:paraId="65B6C048" w14:textId="77777777" w:rsidR="00397BC0" w:rsidRPr="00F77AB1" w:rsidRDefault="00397BC0" w:rsidP="00943784">
            <w:pPr>
              <w:pStyle w:val="TableText"/>
              <w:keepNext/>
              <w:keepLines/>
              <w:spacing w:before="0" w:after="0"/>
              <w:jc w:val="center"/>
              <w:rPr>
                <w:szCs w:val="20"/>
              </w:rPr>
            </w:pPr>
            <w:r w:rsidRPr="00F77AB1">
              <w:rPr>
                <w:szCs w:val="20"/>
              </w:rPr>
              <w:t>0.1%</w:t>
            </w:r>
          </w:p>
        </w:tc>
        <w:tc>
          <w:tcPr>
            <w:tcW w:w="1227" w:type="dxa"/>
            <w:vAlign w:val="center"/>
          </w:tcPr>
          <w:p w14:paraId="2EFB6C3D" w14:textId="02F2724A" w:rsidR="00397BC0" w:rsidRPr="00F77AB1" w:rsidRDefault="009A4AA0" w:rsidP="00943784">
            <w:pPr>
              <w:pStyle w:val="TableText"/>
              <w:keepNext/>
              <w:keepLines/>
              <w:spacing w:before="0" w:after="0"/>
              <w:jc w:val="center"/>
              <w:rPr>
                <w:szCs w:val="20"/>
              </w:rPr>
            </w:pPr>
            <w:r>
              <w:rPr>
                <w:szCs w:val="20"/>
              </w:rPr>
              <w:t>-</w:t>
            </w:r>
          </w:p>
        </w:tc>
        <w:tc>
          <w:tcPr>
            <w:tcW w:w="1227" w:type="dxa"/>
            <w:vAlign w:val="center"/>
          </w:tcPr>
          <w:p w14:paraId="7E743114" w14:textId="77777777" w:rsidR="00397BC0" w:rsidRPr="00F77AB1" w:rsidRDefault="00397BC0" w:rsidP="00943784">
            <w:pPr>
              <w:pStyle w:val="TableText"/>
              <w:keepNext/>
              <w:keepLines/>
              <w:spacing w:before="0" w:after="0"/>
              <w:jc w:val="center"/>
              <w:rPr>
                <w:szCs w:val="20"/>
              </w:rPr>
            </w:pPr>
            <w:r w:rsidRPr="00F77AB1">
              <w:rPr>
                <w:szCs w:val="20"/>
              </w:rPr>
              <w:t>-$66,397</w:t>
            </w:r>
          </w:p>
        </w:tc>
        <w:tc>
          <w:tcPr>
            <w:tcW w:w="1227" w:type="dxa"/>
            <w:vAlign w:val="center"/>
          </w:tcPr>
          <w:p w14:paraId="4A8BD310" w14:textId="77777777" w:rsidR="00397BC0" w:rsidRPr="00F77AB1" w:rsidRDefault="00397BC0" w:rsidP="00943784">
            <w:pPr>
              <w:pStyle w:val="TableText"/>
              <w:keepNext/>
              <w:keepLines/>
              <w:spacing w:before="0" w:after="0"/>
              <w:jc w:val="center"/>
              <w:rPr>
                <w:szCs w:val="20"/>
              </w:rPr>
            </w:pPr>
            <w:r w:rsidRPr="00F77AB1">
              <w:rPr>
                <w:szCs w:val="20"/>
              </w:rPr>
              <w:t>-$97,047</w:t>
            </w:r>
          </w:p>
          <w:p w14:paraId="712CDDF5" w14:textId="77777777" w:rsidR="00397BC0" w:rsidRPr="00F77AB1" w:rsidRDefault="00397BC0" w:rsidP="00943784">
            <w:pPr>
              <w:pStyle w:val="TableText"/>
              <w:keepNext/>
              <w:keepLines/>
              <w:spacing w:before="0" w:after="0"/>
              <w:jc w:val="center"/>
              <w:rPr>
                <w:szCs w:val="20"/>
              </w:rPr>
            </w:pPr>
            <w:r w:rsidRPr="00F77AB1">
              <w:rPr>
                <w:szCs w:val="20"/>
              </w:rPr>
              <w:t>(↓46%)</w:t>
            </w:r>
          </w:p>
        </w:tc>
        <w:tc>
          <w:tcPr>
            <w:tcW w:w="1228" w:type="dxa"/>
            <w:vAlign w:val="center"/>
          </w:tcPr>
          <w:p w14:paraId="614BF557" w14:textId="77777777" w:rsidR="00397BC0" w:rsidRPr="00F77AB1" w:rsidRDefault="00397BC0" w:rsidP="00943784">
            <w:pPr>
              <w:pStyle w:val="TableText"/>
              <w:keepNext/>
              <w:keepLines/>
              <w:spacing w:before="0" w:after="0"/>
              <w:jc w:val="center"/>
              <w:rPr>
                <w:szCs w:val="20"/>
              </w:rPr>
            </w:pPr>
            <w:r w:rsidRPr="00F77AB1">
              <w:rPr>
                <w:szCs w:val="20"/>
              </w:rPr>
              <w:t>-</w:t>
            </w:r>
          </w:p>
        </w:tc>
      </w:tr>
      <w:tr w:rsidR="00701527" w:rsidRPr="00007626" w14:paraId="59B51CDD" w14:textId="77777777" w:rsidTr="00943784">
        <w:tc>
          <w:tcPr>
            <w:tcW w:w="0" w:type="auto"/>
          </w:tcPr>
          <w:p w14:paraId="11569D16" w14:textId="2F0B3C03" w:rsidR="00397BC0" w:rsidRPr="00F77AB1" w:rsidRDefault="00397BC0" w:rsidP="005635EB">
            <w:pPr>
              <w:pStyle w:val="TableText"/>
              <w:keepNext/>
              <w:keepLines/>
              <w:spacing w:before="0" w:after="0"/>
              <w:rPr>
                <w:szCs w:val="20"/>
              </w:rPr>
            </w:pPr>
            <w:r w:rsidRPr="00F77AB1">
              <w:rPr>
                <w:szCs w:val="20"/>
              </w:rPr>
              <w:t>pHighRisk_Structured</w:t>
            </w:r>
            <w:r w:rsidR="00D51D3E" w:rsidRPr="00943784">
              <w:rPr>
                <w:szCs w:val="20"/>
                <w:vertAlign w:val="superscript"/>
              </w:rPr>
              <w:t>3</w:t>
            </w:r>
          </w:p>
        </w:tc>
        <w:tc>
          <w:tcPr>
            <w:tcW w:w="1227" w:type="dxa"/>
            <w:vAlign w:val="center"/>
          </w:tcPr>
          <w:p w14:paraId="42D50B04" w14:textId="77777777" w:rsidR="00397BC0" w:rsidRPr="00F77AB1" w:rsidRDefault="00397BC0" w:rsidP="00943784">
            <w:pPr>
              <w:pStyle w:val="TableText"/>
              <w:keepNext/>
              <w:keepLines/>
              <w:spacing w:before="0" w:after="0"/>
              <w:jc w:val="center"/>
              <w:rPr>
                <w:szCs w:val="20"/>
              </w:rPr>
            </w:pPr>
            <w:r w:rsidRPr="00F77AB1">
              <w:rPr>
                <w:szCs w:val="20"/>
              </w:rPr>
              <w:t>13.7%</w:t>
            </w:r>
          </w:p>
        </w:tc>
        <w:tc>
          <w:tcPr>
            <w:tcW w:w="1227" w:type="dxa"/>
            <w:vAlign w:val="center"/>
          </w:tcPr>
          <w:p w14:paraId="021470DF" w14:textId="77777777" w:rsidR="00397BC0" w:rsidRPr="00F77AB1" w:rsidRDefault="00397BC0" w:rsidP="00943784">
            <w:pPr>
              <w:pStyle w:val="TableText"/>
              <w:keepNext/>
              <w:keepLines/>
              <w:spacing w:before="0" w:after="0"/>
              <w:jc w:val="center"/>
              <w:rPr>
                <w:szCs w:val="20"/>
              </w:rPr>
            </w:pPr>
            <w:r w:rsidRPr="00F77AB1">
              <w:rPr>
                <w:szCs w:val="20"/>
              </w:rPr>
              <w:t>10.5%</w:t>
            </w:r>
          </w:p>
        </w:tc>
        <w:tc>
          <w:tcPr>
            <w:tcW w:w="1227" w:type="dxa"/>
            <w:vAlign w:val="center"/>
          </w:tcPr>
          <w:p w14:paraId="653ADB60" w14:textId="715EEF22" w:rsidR="00397BC0" w:rsidRPr="00F77AB1" w:rsidRDefault="009A4AA0" w:rsidP="00943784">
            <w:pPr>
              <w:pStyle w:val="TableText"/>
              <w:keepNext/>
              <w:keepLines/>
              <w:spacing w:before="0" w:after="0"/>
              <w:jc w:val="center"/>
              <w:rPr>
                <w:szCs w:val="20"/>
              </w:rPr>
            </w:pPr>
            <w:r>
              <w:rPr>
                <w:szCs w:val="20"/>
              </w:rPr>
              <w:t>-</w:t>
            </w:r>
          </w:p>
        </w:tc>
        <w:tc>
          <w:tcPr>
            <w:tcW w:w="1227" w:type="dxa"/>
            <w:vAlign w:val="center"/>
          </w:tcPr>
          <w:p w14:paraId="1DFECCD8" w14:textId="77777777" w:rsidR="00397BC0" w:rsidRPr="00F77AB1" w:rsidRDefault="00397BC0" w:rsidP="00943784">
            <w:pPr>
              <w:pStyle w:val="TableText"/>
              <w:keepNext/>
              <w:keepLines/>
              <w:spacing w:before="0" w:after="0"/>
              <w:jc w:val="center"/>
              <w:rPr>
                <w:szCs w:val="20"/>
              </w:rPr>
            </w:pPr>
            <w:r w:rsidRPr="00F77AB1">
              <w:rPr>
                <w:szCs w:val="20"/>
              </w:rPr>
              <w:t>-$66,397</w:t>
            </w:r>
          </w:p>
        </w:tc>
        <w:tc>
          <w:tcPr>
            <w:tcW w:w="1227" w:type="dxa"/>
            <w:vAlign w:val="center"/>
          </w:tcPr>
          <w:p w14:paraId="53053237" w14:textId="77777777" w:rsidR="00397BC0" w:rsidRPr="00F77AB1" w:rsidRDefault="00397BC0" w:rsidP="00943784">
            <w:pPr>
              <w:pStyle w:val="TableText"/>
              <w:keepNext/>
              <w:keepLines/>
              <w:spacing w:before="0" w:after="0"/>
              <w:jc w:val="center"/>
              <w:rPr>
                <w:szCs w:val="20"/>
              </w:rPr>
            </w:pPr>
            <w:r w:rsidRPr="00F77AB1">
              <w:rPr>
                <w:szCs w:val="20"/>
              </w:rPr>
              <w:t>-$103,966</w:t>
            </w:r>
          </w:p>
          <w:p w14:paraId="09644738" w14:textId="77777777" w:rsidR="00397BC0" w:rsidRPr="00F77AB1" w:rsidRDefault="00397BC0" w:rsidP="00943784">
            <w:pPr>
              <w:pStyle w:val="TableText"/>
              <w:keepNext/>
              <w:keepLines/>
              <w:spacing w:before="0" w:after="0"/>
              <w:jc w:val="center"/>
              <w:rPr>
                <w:szCs w:val="20"/>
              </w:rPr>
            </w:pPr>
            <w:r w:rsidRPr="00F77AB1">
              <w:rPr>
                <w:szCs w:val="20"/>
              </w:rPr>
              <w:t>(↓57%)</w:t>
            </w:r>
          </w:p>
        </w:tc>
        <w:tc>
          <w:tcPr>
            <w:tcW w:w="1228" w:type="dxa"/>
            <w:vAlign w:val="center"/>
          </w:tcPr>
          <w:p w14:paraId="670CDDA6" w14:textId="77777777" w:rsidR="00397BC0" w:rsidRPr="00F77AB1" w:rsidRDefault="00397BC0" w:rsidP="00943784">
            <w:pPr>
              <w:pStyle w:val="TableText"/>
              <w:keepNext/>
              <w:keepLines/>
              <w:spacing w:before="0" w:after="0"/>
              <w:jc w:val="center"/>
              <w:rPr>
                <w:szCs w:val="20"/>
              </w:rPr>
            </w:pPr>
            <w:r w:rsidRPr="00F77AB1">
              <w:rPr>
                <w:szCs w:val="20"/>
              </w:rPr>
              <w:t>-</w:t>
            </w:r>
          </w:p>
        </w:tc>
      </w:tr>
      <w:tr w:rsidR="00701527" w:rsidRPr="00007626" w14:paraId="0DBAB472" w14:textId="77777777" w:rsidTr="00943784">
        <w:tc>
          <w:tcPr>
            <w:tcW w:w="0" w:type="auto"/>
          </w:tcPr>
          <w:p w14:paraId="5E1B234D" w14:textId="70818E13" w:rsidR="00397BC0" w:rsidRPr="00F77AB1" w:rsidRDefault="00397BC0" w:rsidP="005635EB">
            <w:pPr>
              <w:pStyle w:val="TableText"/>
              <w:keepNext/>
              <w:keepLines/>
              <w:spacing w:before="0" w:after="0"/>
              <w:rPr>
                <w:szCs w:val="20"/>
              </w:rPr>
            </w:pPr>
            <w:r w:rsidRPr="00F77AB1">
              <w:rPr>
                <w:szCs w:val="20"/>
              </w:rPr>
              <w:t>pAspirin_Standard</w:t>
            </w:r>
            <w:r w:rsidR="00D51D3E" w:rsidRPr="00943784">
              <w:rPr>
                <w:szCs w:val="20"/>
                <w:vertAlign w:val="superscript"/>
              </w:rPr>
              <w:t>4</w:t>
            </w:r>
          </w:p>
        </w:tc>
        <w:tc>
          <w:tcPr>
            <w:tcW w:w="1227" w:type="dxa"/>
            <w:vAlign w:val="center"/>
          </w:tcPr>
          <w:p w14:paraId="52261BB6" w14:textId="77777777" w:rsidR="00397BC0" w:rsidRPr="00F77AB1" w:rsidRDefault="00397BC0" w:rsidP="00943784">
            <w:pPr>
              <w:pStyle w:val="TableText"/>
              <w:keepNext/>
              <w:keepLines/>
              <w:spacing w:before="0" w:after="0"/>
              <w:jc w:val="center"/>
              <w:rPr>
                <w:szCs w:val="20"/>
              </w:rPr>
            </w:pPr>
            <w:r w:rsidRPr="00F77AB1">
              <w:rPr>
                <w:szCs w:val="20"/>
              </w:rPr>
              <w:t>23.2%</w:t>
            </w:r>
          </w:p>
        </w:tc>
        <w:tc>
          <w:tcPr>
            <w:tcW w:w="1227" w:type="dxa"/>
            <w:vAlign w:val="center"/>
          </w:tcPr>
          <w:p w14:paraId="1B01EDAF" w14:textId="77777777" w:rsidR="00397BC0" w:rsidRPr="00F77AB1" w:rsidRDefault="00397BC0" w:rsidP="00943784">
            <w:pPr>
              <w:pStyle w:val="TableText"/>
              <w:keepNext/>
              <w:keepLines/>
              <w:spacing w:before="0" w:after="0"/>
              <w:jc w:val="center"/>
              <w:rPr>
                <w:szCs w:val="20"/>
              </w:rPr>
            </w:pPr>
            <w:r w:rsidRPr="00F77AB1">
              <w:rPr>
                <w:szCs w:val="20"/>
              </w:rPr>
              <w:t>0%</w:t>
            </w:r>
          </w:p>
        </w:tc>
        <w:tc>
          <w:tcPr>
            <w:tcW w:w="1227" w:type="dxa"/>
            <w:vAlign w:val="center"/>
          </w:tcPr>
          <w:p w14:paraId="340820E0" w14:textId="77777777" w:rsidR="00397BC0" w:rsidRPr="00F77AB1" w:rsidRDefault="00397BC0" w:rsidP="00943784">
            <w:pPr>
              <w:pStyle w:val="TableText"/>
              <w:keepNext/>
              <w:keepLines/>
              <w:spacing w:before="0" w:after="0"/>
              <w:jc w:val="center"/>
              <w:rPr>
                <w:szCs w:val="20"/>
              </w:rPr>
            </w:pPr>
            <w:r w:rsidRPr="00F77AB1">
              <w:rPr>
                <w:szCs w:val="20"/>
              </w:rPr>
              <w:t>24.3%</w:t>
            </w:r>
          </w:p>
        </w:tc>
        <w:tc>
          <w:tcPr>
            <w:tcW w:w="1227" w:type="dxa"/>
            <w:vAlign w:val="center"/>
          </w:tcPr>
          <w:p w14:paraId="36E20419" w14:textId="77777777" w:rsidR="00397BC0" w:rsidRPr="00F77AB1" w:rsidRDefault="00397BC0" w:rsidP="00943784">
            <w:pPr>
              <w:pStyle w:val="TableText"/>
              <w:keepNext/>
              <w:keepLines/>
              <w:spacing w:before="0" w:after="0"/>
              <w:jc w:val="center"/>
              <w:rPr>
                <w:szCs w:val="20"/>
              </w:rPr>
            </w:pPr>
            <w:r w:rsidRPr="00F77AB1">
              <w:rPr>
                <w:szCs w:val="20"/>
              </w:rPr>
              <w:t>-$66,397</w:t>
            </w:r>
          </w:p>
        </w:tc>
        <w:tc>
          <w:tcPr>
            <w:tcW w:w="1227" w:type="dxa"/>
            <w:vAlign w:val="center"/>
          </w:tcPr>
          <w:p w14:paraId="17C3FAF1" w14:textId="77777777" w:rsidR="00397BC0" w:rsidRPr="00F77AB1" w:rsidRDefault="00397BC0" w:rsidP="00943784">
            <w:pPr>
              <w:pStyle w:val="TableText"/>
              <w:keepNext/>
              <w:keepLines/>
              <w:spacing w:before="0" w:after="0"/>
              <w:jc w:val="center"/>
              <w:rPr>
                <w:szCs w:val="20"/>
              </w:rPr>
            </w:pPr>
            <w:r w:rsidRPr="00F77AB1">
              <w:rPr>
                <w:szCs w:val="20"/>
              </w:rPr>
              <w:t>-$69,141 (↓4%)</w:t>
            </w:r>
          </w:p>
        </w:tc>
        <w:tc>
          <w:tcPr>
            <w:tcW w:w="1228" w:type="dxa"/>
            <w:vAlign w:val="center"/>
          </w:tcPr>
          <w:p w14:paraId="547EAA72" w14:textId="77777777" w:rsidR="00397BC0" w:rsidRPr="00F77AB1" w:rsidRDefault="00397BC0" w:rsidP="00943784">
            <w:pPr>
              <w:pStyle w:val="TableText"/>
              <w:keepNext/>
              <w:keepLines/>
              <w:spacing w:before="0" w:after="0"/>
              <w:jc w:val="center"/>
              <w:rPr>
                <w:szCs w:val="20"/>
              </w:rPr>
            </w:pPr>
            <w:r w:rsidRPr="00F77AB1">
              <w:rPr>
                <w:szCs w:val="20"/>
              </w:rPr>
              <w:t>-$8,540 (↑87%)</w:t>
            </w:r>
          </w:p>
        </w:tc>
      </w:tr>
    </w:tbl>
    <w:p w14:paraId="5B8109BA" w14:textId="79410E38" w:rsidR="00446A42" w:rsidRDefault="00254AFE" w:rsidP="00D51D3E">
      <w:pPr>
        <w:pStyle w:val="a-TableFOOTER"/>
        <w:tabs>
          <w:tab w:val="left" w:pos="6452"/>
        </w:tabs>
        <w:spacing w:after="0"/>
      </w:pPr>
      <w:r w:rsidRPr="00254AFE">
        <w:t>Abbreviations</w:t>
      </w:r>
      <w:r w:rsidR="00517196" w:rsidRPr="00254AFE">
        <w:t xml:space="preserve">: </w:t>
      </w:r>
      <w:r w:rsidR="002548E5" w:rsidRPr="00254AFE">
        <w:t>ICER=</w:t>
      </w:r>
      <w:r w:rsidRPr="00254AFE">
        <w:t>incremental</w:t>
      </w:r>
      <w:r w:rsidR="002548E5" w:rsidRPr="00254AFE">
        <w:t xml:space="preserve"> cost effectiveness ratio</w:t>
      </w:r>
      <w:r w:rsidR="009732BC" w:rsidRPr="00254AFE">
        <w:t xml:space="preserve">; QALY=quality </w:t>
      </w:r>
      <w:r w:rsidR="00A9785C" w:rsidRPr="00254AFE">
        <w:t>adjusted life years</w:t>
      </w:r>
      <w:r w:rsidR="00D51D3E">
        <w:tab/>
      </w:r>
    </w:p>
    <w:p w14:paraId="0D02B48F" w14:textId="022E5E71" w:rsidR="00D51D3E" w:rsidRPr="00D51D3E" w:rsidRDefault="00424D3D" w:rsidP="00943784">
      <w:pPr>
        <w:pStyle w:val="a-TableFOOTER"/>
        <w:tabs>
          <w:tab w:val="left" w:pos="6452"/>
        </w:tabs>
        <w:spacing w:after="0"/>
        <w:rPr>
          <w:szCs w:val="18"/>
        </w:rPr>
      </w:pPr>
      <w:r>
        <w:rPr>
          <w:szCs w:val="18"/>
        </w:rPr>
        <w:t>1.</w:t>
      </w:r>
      <w:r w:rsidRPr="00424D3D">
        <w:rPr>
          <w:szCs w:val="18"/>
        </w:rPr>
        <w:t>Probability of developing preterm preeclampsia if</w:t>
      </w:r>
      <w:r w:rsidR="00996FFE">
        <w:rPr>
          <w:szCs w:val="18"/>
        </w:rPr>
        <w:t xml:space="preserve"> </w:t>
      </w:r>
      <w:r w:rsidR="00EA5BFB">
        <w:rPr>
          <w:szCs w:val="18"/>
        </w:rPr>
        <w:t>assessed</w:t>
      </w:r>
      <w:r w:rsidR="00996FFE">
        <w:rPr>
          <w:szCs w:val="18"/>
        </w:rPr>
        <w:t xml:space="preserve"> as</w:t>
      </w:r>
      <w:r w:rsidRPr="00424D3D">
        <w:rPr>
          <w:szCs w:val="18"/>
        </w:rPr>
        <w:t xml:space="preserve"> high risk </w:t>
      </w:r>
      <w:r w:rsidR="00996FFE">
        <w:rPr>
          <w:szCs w:val="18"/>
        </w:rPr>
        <w:t>by s</w:t>
      </w:r>
      <w:r w:rsidRPr="00424D3D">
        <w:rPr>
          <w:szCs w:val="18"/>
        </w:rPr>
        <w:t>tructured risk assessment</w:t>
      </w:r>
      <w:r>
        <w:rPr>
          <w:szCs w:val="18"/>
        </w:rPr>
        <w:t xml:space="preserve"> 2.</w:t>
      </w:r>
      <w:r w:rsidR="00996FFE" w:rsidRPr="00996FFE">
        <w:t xml:space="preserve"> </w:t>
      </w:r>
      <w:r w:rsidR="00996FFE" w:rsidRPr="0080371B">
        <w:t xml:space="preserve">Probability of developing preterm preeclampsia if </w:t>
      </w:r>
      <w:r w:rsidR="00EA5BFB">
        <w:t>assessed</w:t>
      </w:r>
      <w:r w:rsidR="00996FFE">
        <w:t xml:space="preserve"> as </w:t>
      </w:r>
      <w:r w:rsidR="00996FFE" w:rsidRPr="0080371B">
        <w:t xml:space="preserve">low risk by </w:t>
      </w:r>
      <w:r w:rsidR="00996FFE">
        <w:t>s</w:t>
      </w:r>
      <w:r w:rsidR="00996FFE" w:rsidRPr="0080371B">
        <w:t xml:space="preserve">tructured </w:t>
      </w:r>
      <w:r w:rsidR="00996FFE">
        <w:t>risk assessment 3.</w:t>
      </w:r>
      <w:r w:rsidR="00EA5BFB" w:rsidRPr="00EA5BFB">
        <w:t xml:space="preserve"> Probability of being assessed as high risk (&gt;1 in 100) by </w:t>
      </w:r>
      <w:r w:rsidR="00EA5BFB">
        <w:t>s</w:t>
      </w:r>
      <w:r w:rsidR="00EA5BFB" w:rsidRPr="00EA5BFB">
        <w:t>tructured risk assessment</w:t>
      </w:r>
      <w:r w:rsidR="00EA5BFB">
        <w:t xml:space="preserve"> 4,</w:t>
      </w:r>
      <w:r w:rsidR="00AA757C" w:rsidRPr="00AA757C">
        <w:t xml:space="preserve"> Probability of</w:t>
      </w:r>
      <w:r w:rsidR="00AA757C">
        <w:t xml:space="preserve"> </w:t>
      </w:r>
      <w:r w:rsidR="0086342D">
        <w:t xml:space="preserve">being </w:t>
      </w:r>
      <w:r w:rsidR="00D2483B">
        <w:t>prescribed aspirin</w:t>
      </w:r>
      <w:r w:rsidR="00AA757C" w:rsidRPr="00AA757C">
        <w:t xml:space="preserve"> if </w:t>
      </w:r>
      <w:r w:rsidR="00AA757C">
        <w:t>assessed</w:t>
      </w:r>
      <w:r w:rsidR="00AA757C" w:rsidRPr="00AA757C">
        <w:t xml:space="preserve"> with Standard </w:t>
      </w:r>
      <w:proofErr w:type="gramStart"/>
      <w:r w:rsidR="00AA757C" w:rsidRPr="00AA757C">
        <w:t>care</w:t>
      </w:r>
      <w:proofErr w:type="gramEnd"/>
    </w:p>
    <w:p w14:paraId="1612AB8C" w14:textId="2D3814C1" w:rsidR="00397BC0" w:rsidRPr="00D51D3E" w:rsidRDefault="00397BC0" w:rsidP="005635EB">
      <w:pPr>
        <w:pStyle w:val="a-TableFOOTER"/>
        <w:spacing w:after="0"/>
        <w:rPr>
          <w:szCs w:val="18"/>
        </w:rPr>
      </w:pPr>
      <w:r w:rsidRPr="00D51D3E">
        <w:rPr>
          <w:szCs w:val="18"/>
        </w:rPr>
        <w:t xml:space="preserve">Source: </w:t>
      </w:r>
      <w:r w:rsidR="004B6214" w:rsidRPr="00D51D3E">
        <w:rPr>
          <w:szCs w:val="18"/>
        </w:rPr>
        <w:t>Table 41, p</w:t>
      </w:r>
      <w:r w:rsidR="00E35A81" w:rsidRPr="00D51D3E">
        <w:rPr>
          <w:szCs w:val="18"/>
        </w:rPr>
        <w:t>97 of the ADAR</w:t>
      </w:r>
    </w:p>
    <w:p w14:paraId="3A51F2FA" w14:textId="4B300C2E" w:rsidR="004F25A8" w:rsidRPr="003F6058" w:rsidRDefault="004F25A8" w:rsidP="00971DBF">
      <w:pPr>
        <w:pStyle w:val="a-TEXT"/>
        <w:spacing w:before="240"/>
        <w:rPr>
          <w:color w:val="000000" w:themeColor="text1"/>
        </w:rPr>
      </w:pPr>
      <w:r w:rsidRPr="005635EB">
        <w:t xml:space="preserve">The key drivers in the </w:t>
      </w:r>
      <w:r w:rsidRPr="003F6058">
        <w:rPr>
          <w:color w:val="000000" w:themeColor="text1"/>
        </w:rPr>
        <w:t xml:space="preserve">model </w:t>
      </w:r>
      <w:r w:rsidR="00C509A2" w:rsidRPr="003F6058">
        <w:rPr>
          <w:rFonts w:eastAsia="Times New Roman" w:cs="Times New Roman"/>
          <w:color w:val="000000" w:themeColor="text1"/>
        </w:rPr>
        <w:t>presented</w:t>
      </w:r>
      <w:r w:rsidRPr="003F6058">
        <w:rPr>
          <w:rFonts w:eastAsia="Times New Roman" w:cs="Times New Roman"/>
          <w:color w:val="000000" w:themeColor="text1"/>
        </w:rPr>
        <w:t xml:space="preserve"> by the </w:t>
      </w:r>
      <w:r w:rsidR="00C509A2" w:rsidRPr="003F6058">
        <w:rPr>
          <w:rFonts w:eastAsia="Times New Roman" w:cs="Times New Roman"/>
          <w:color w:val="000000" w:themeColor="text1"/>
        </w:rPr>
        <w:t xml:space="preserve">ADAR </w:t>
      </w:r>
      <w:r w:rsidRPr="003F6058">
        <w:rPr>
          <w:rFonts w:eastAsia="Times New Roman"/>
          <w:color w:val="000000" w:themeColor="text1"/>
        </w:rPr>
        <w:t xml:space="preserve">were probability of developing preterm preeclampsia if </w:t>
      </w:r>
      <w:r w:rsidR="00BF2612">
        <w:rPr>
          <w:rFonts w:eastAsia="Times New Roman"/>
          <w:color w:val="000000" w:themeColor="text1"/>
        </w:rPr>
        <w:t>assessed as</w:t>
      </w:r>
      <w:r w:rsidRPr="003F6058">
        <w:rPr>
          <w:rFonts w:eastAsia="Times New Roman"/>
          <w:color w:val="000000" w:themeColor="text1"/>
        </w:rPr>
        <w:t xml:space="preserve"> high risk by structured care, the probability of developing preterm preeclampsia if </w:t>
      </w:r>
      <w:r w:rsidR="00BF2612">
        <w:rPr>
          <w:rFonts w:eastAsia="Times New Roman"/>
          <w:color w:val="000000" w:themeColor="text1"/>
        </w:rPr>
        <w:t xml:space="preserve">assessed as </w:t>
      </w:r>
      <w:r w:rsidRPr="003F6058">
        <w:rPr>
          <w:rFonts w:eastAsia="Times New Roman"/>
          <w:color w:val="000000" w:themeColor="text1"/>
        </w:rPr>
        <w:t>low risk by structured care</w:t>
      </w:r>
      <w:r w:rsidR="00537E2B">
        <w:rPr>
          <w:rFonts w:eastAsia="Times New Roman"/>
          <w:color w:val="000000" w:themeColor="text1"/>
        </w:rPr>
        <w:t xml:space="preserve">, </w:t>
      </w:r>
      <w:r w:rsidR="00537E2B">
        <w:t xml:space="preserve">the </w:t>
      </w:r>
      <w:r w:rsidR="00537E2B">
        <w:rPr>
          <w:rFonts w:eastAsia="Times New Roman"/>
          <w:color w:val="000000" w:themeColor="text1"/>
        </w:rPr>
        <w:t>p</w:t>
      </w:r>
      <w:r w:rsidR="00537E2B" w:rsidRPr="00537E2B">
        <w:rPr>
          <w:rFonts w:eastAsia="Times New Roman"/>
          <w:color w:val="000000" w:themeColor="text1"/>
        </w:rPr>
        <w:t xml:space="preserve">robability of being assessed as high risk by structured </w:t>
      </w:r>
      <w:r w:rsidR="005D5DE2">
        <w:rPr>
          <w:rFonts w:eastAsia="Times New Roman"/>
          <w:color w:val="000000" w:themeColor="text1"/>
        </w:rPr>
        <w:t>care</w:t>
      </w:r>
      <w:r w:rsidR="00624226">
        <w:rPr>
          <w:rFonts w:eastAsia="Times New Roman"/>
          <w:color w:val="000000" w:themeColor="text1"/>
        </w:rPr>
        <w:t xml:space="preserve"> </w:t>
      </w:r>
      <w:r w:rsidRPr="003F6058">
        <w:rPr>
          <w:rFonts w:eastAsia="Times New Roman"/>
          <w:color w:val="000000" w:themeColor="text1"/>
        </w:rPr>
        <w:t>and the probability of being prescribed aspirin in standard care.</w:t>
      </w:r>
    </w:p>
    <w:p w14:paraId="6B2AE447" w14:textId="378D7C3B" w:rsidR="00606A23" w:rsidRPr="001F02F3" w:rsidRDefault="00606A23" w:rsidP="001F02F3">
      <w:pPr>
        <w:pStyle w:val="Heading3"/>
        <w:spacing w:before="300" w:after="160" w:line="240" w:lineRule="auto"/>
        <w:rPr>
          <w:i/>
          <w:iCs/>
          <w:sz w:val="21"/>
          <w:szCs w:val="21"/>
        </w:rPr>
      </w:pPr>
      <w:r w:rsidRPr="001F02F3">
        <w:rPr>
          <w:i/>
          <w:iCs/>
          <w:sz w:val="21"/>
          <w:szCs w:val="21"/>
        </w:rPr>
        <w:lastRenderedPageBreak/>
        <w:t>Uncertainty analysis: model inputs and assumptions</w:t>
      </w:r>
    </w:p>
    <w:p w14:paraId="3656F142" w14:textId="04AE4303" w:rsidR="00D07664" w:rsidRPr="005635EB" w:rsidRDefault="00A520BA" w:rsidP="00D07664">
      <w:pPr>
        <w:pStyle w:val="a-TEXT"/>
      </w:pPr>
      <w:r w:rsidRPr="005635EB">
        <w:t>A</w:t>
      </w:r>
      <w:r w:rsidR="009D3EFC" w:rsidRPr="005635EB">
        <w:t>dditional</w:t>
      </w:r>
      <w:r w:rsidR="00CA6461" w:rsidRPr="005635EB">
        <w:t xml:space="preserve"> sensitivity analys</w:t>
      </w:r>
      <w:r w:rsidR="009D3EFC" w:rsidRPr="005635EB">
        <w:t>e</w:t>
      </w:r>
      <w:r w:rsidR="00CA6461" w:rsidRPr="005635EB">
        <w:t xml:space="preserve">s </w:t>
      </w:r>
      <w:r w:rsidR="00EC3B4B" w:rsidRPr="005635EB">
        <w:t xml:space="preserve">were </w:t>
      </w:r>
      <w:r w:rsidR="00C509A2" w:rsidRPr="005635EB">
        <w:t>performed</w:t>
      </w:r>
      <w:r w:rsidR="000B2590" w:rsidRPr="005635EB">
        <w:t xml:space="preserve"> </w:t>
      </w:r>
      <w:r w:rsidR="00EC3B4B" w:rsidRPr="005635EB">
        <w:t xml:space="preserve">during </w:t>
      </w:r>
      <w:r w:rsidR="00C509A2" w:rsidRPr="005635EB">
        <w:t>evaluation</w:t>
      </w:r>
      <w:r w:rsidR="00CA6461" w:rsidRPr="005635EB">
        <w:t xml:space="preserve"> </w:t>
      </w:r>
      <w:r w:rsidR="00D07664" w:rsidRPr="005635EB">
        <w:t xml:space="preserve">using alternate lower and upper bounds identified by targeted literature search to reflect the significant uncertainty of the results from the clinical implementation study. The ADAR assumed that all patients received translucency ultrasound and trisomy blood testing. This was likely to overestimate the costs of the standard care arm as in practice approximately 54% of patients (based on MBS data for item 55707 and ABS for number of pregnancies) would have received these treatments. </w:t>
      </w:r>
      <w:r w:rsidR="00020EB3" w:rsidRPr="00020EB3">
        <w:t>Additionally,</w:t>
      </w:r>
      <w:r w:rsidR="00D07664" w:rsidRPr="005635EB">
        <w:t xml:space="preserve"> it may be inappropriate to include these costs in the cost-effectiveness analysis as they are not associated with pre-eclampsia testing. During evaluation</w:t>
      </w:r>
      <w:r w:rsidR="002A32F7">
        <w:t>,</w:t>
      </w:r>
      <w:r w:rsidR="00D07664" w:rsidRPr="005635EB">
        <w:t xml:space="preserve"> sensitivity analyses around the proportion of patients receiving ultrasound and blood testing was </w:t>
      </w:r>
      <w:r w:rsidR="00020EB3" w:rsidRPr="00020EB3">
        <w:t>performed</w:t>
      </w:r>
      <w:r w:rsidR="00D07664" w:rsidRPr="005635EB">
        <w:t>. The requirement for a follow up appointment after structured risk testing for risk of preeclampsia to discuss the test results and management options was considered reasonable and the cost of an additional practitioner consultation (MBS item 16500 at $49.85) was also included into the total cost of FMF testing.</w:t>
      </w:r>
    </w:p>
    <w:p w14:paraId="5CE51BEF" w14:textId="0D76115B" w:rsidR="00B46DAE" w:rsidRDefault="00EC037F" w:rsidP="00B46DAE">
      <w:pPr>
        <w:pStyle w:val="a-TEXT"/>
      </w:pPr>
      <w:r>
        <w:t xml:space="preserve">The key results of the sensitivity analyses </w:t>
      </w:r>
      <w:r w:rsidR="0034086B">
        <w:t>performed during evaluation</w:t>
      </w:r>
      <w:r w:rsidR="00967349">
        <w:t xml:space="preserve"> </w:t>
      </w:r>
      <w:r w:rsidR="0034086B">
        <w:t>are outline</w:t>
      </w:r>
      <w:r w:rsidR="005C4DA0">
        <w:t>d</w:t>
      </w:r>
      <w:r w:rsidR="0034086B">
        <w:t xml:space="preserve"> in </w:t>
      </w:r>
      <w:r w:rsidR="00D07664">
        <w:t>T</w:t>
      </w:r>
      <w:r w:rsidR="0034086B">
        <w:t>able</w:t>
      </w:r>
      <w:r w:rsidR="00BA258B">
        <w:t xml:space="preserve"> </w:t>
      </w:r>
      <w:r w:rsidR="00E52FAC">
        <w:t>22</w:t>
      </w:r>
      <w:r w:rsidR="00D07664">
        <w:t xml:space="preserve"> and Table </w:t>
      </w:r>
      <w:r w:rsidR="00E52FAC">
        <w:t>23</w:t>
      </w:r>
      <w:r w:rsidR="0034086B">
        <w:t>.</w:t>
      </w:r>
    </w:p>
    <w:p w14:paraId="26C93AB2" w14:textId="6E1FB5EF" w:rsidR="00CB48E6" w:rsidRDefault="00F362CD" w:rsidP="00115374">
      <w:pPr>
        <w:pStyle w:val="Caption"/>
      </w:pPr>
      <w:r w:rsidDel="00CB48E6">
        <w:t>Table</w:t>
      </w:r>
      <w:r w:rsidR="00313665" w:rsidDel="00CB48E6">
        <w:t xml:space="preserve"> </w:t>
      </w:r>
      <w:r w:rsidR="00E52FAC">
        <w:t xml:space="preserve">22 </w:t>
      </w:r>
      <w:r w:rsidR="00CB48E6" w:rsidRPr="00700F05">
        <w:t xml:space="preserve">Key results of </w:t>
      </w:r>
      <w:r w:rsidR="009A389D">
        <w:t xml:space="preserve">one-way </w:t>
      </w:r>
      <w:r w:rsidR="00CB48E6" w:rsidRPr="00700F05">
        <w:t xml:space="preserve">sensitivity analyses preformed during </w:t>
      </w:r>
      <w:proofErr w:type="gramStart"/>
      <w:r w:rsidR="00CB48E6" w:rsidRPr="00700F05">
        <w:t>evaluation</w:t>
      </w:r>
      <w:proofErr w:type="gramEnd"/>
    </w:p>
    <w:tbl>
      <w:tblPr>
        <w:tblStyle w:val="TableGrid1"/>
        <w:tblpPr w:leftFromText="181" w:rightFromText="181" w:vertAnchor="text" w:tblpY="1"/>
        <w:tblW w:w="5016" w:type="pct"/>
        <w:tblLayout w:type="fixed"/>
        <w:tblLook w:val="04A0" w:firstRow="1" w:lastRow="0" w:firstColumn="1" w:lastColumn="0" w:noHBand="0" w:noVBand="1"/>
      </w:tblPr>
      <w:tblGrid>
        <w:gridCol w:w="5257"/>
        <w:gridCol w:w="1279"/>
        <w:gridCol w:w="1281"/>
        <w:gridCol w:w="1228"/>
      </w:tblGrid>
      <w:tr w:rsidR="00661325" w:rsidRPr="00020EB3" w14:paraId="3E79468D" w14:textId="77777777">
        <w:trPr>
          <w:cnfStyle w:val="100000000000" w:firstRow="1" w:lastRow="0" w:firstColumn="0" w:lastColumn="0" w:oddVBand="0" w:evenVBand="0" w:oddHBand="0" w:evenHBand="0" w:firstRowFirstColumn="0" w:firstRowLastColumn="0" w:lastRowFirstColumn="0" w:lastRowLastColumn="0"/>
          <w:cantSplit/>
          <w:trHeight w:val="486"/>
          <w:tblHeader/>
        </w:trPr>
        <w:tc>
          <w:tcPr>
            <w:tcW w:w="2906" w:type="pct"/>
            <w:vAlign w:val="center"/>
          </w:tcPr>
          <w:p w14:paraId="6C79CDA9" w14:textId="77777777" w:rsidR="00661325" w:rsidRPr="005635EB" w:rsidRDefault="00661325" w:rsidP="00892582">
            <w:pPr>
              <w:spacing w:before="0"/>
              <w:contextualSpacing/>
              <w:rPr>
                <w:rFonts w:ascii="Arial Narrow" w:hAnsi="Arial Narrow"/>
                <w:b/>
                <w:color w:val="000000" w:themeColor="text1"/>
                <w:sz w:val="20"/>
                <w:szCs w:val="20"/>
              </w:rPr>
            </w:pPr>
            <w:bookmarkStart w:id="41" w:name="Title_Table11" w:colFirst="0" w:colLast="0"/>
            <w:r w:rsidRPr="005635EB">
              <w:rPr>
                <w:rFonts w:ascii="Arial Narrow" w:hAnsi="Arial Narrow"/>
                <w:b/>
                <w:color w:val="000000" w:themeColor="text1"/>
                <w:sz w:val="20"/>
                <w:szCs w:val="20"/>
              </w:rPr>
              <w:t>Analyses</w:t>
            </w:r>
          </w:p>
        </w:tc>
        <w:tc>
          <w:tcPr>
            <w:tcW w:w="707" w:type="pct"/>
            <w:vAlign w:val="center"/>
          </w:tcPr>
          <w:p w14:paraId="17D3B080" w14:textId="77777777" w:rsidR="00661325" w:rsidRPr="005635EB" w:rsidRDefault="00661325" w:rsidP="00892582">
            <w:pPr>
              <w:spacing w:before="0"/>
              <w:contextualSpacing/>
              <w:jc w:val="center"/>
              <w:rPr>
                <w:rFonts w:ascii="Arial Narrow" w:hAnsi="Arial Narrow"/>
                <w:b/>
                <w:color w:val="000000" w:themeColor="text1"/>
                <w:sz w:val="20"/>
                <w:szCs w:val="20"/>
              </w:rPr>
            </w:pPr>
            <w:r w:rsidRPr="005635EB">
              <w:rPr>
                <w:rFonts w:ascii="Arial Narrow" w:hAnsi="Arial Narrow"/>
                <w:b/>
                <w:color w:val="000000" w:themeColor="text1"/>
                <w:sz w:val="20"/>
                <w:szCs w:val="20"/>
              </w:rPr>
              <w:t>Incremental cost</w:t>
            </w:r>
          </w:p>
        </w:tc>
        <w:tc>
          <w:tcPr>
            <w:tcW w:w="708" w:type="pct"/>
            <w:vAlign w:val="center"/>
          </w:tcPr>
          <w:p w14:paraId="2F26EBC1" w14:textId="77777777" w:rsidR="00661325" w:rsidRPr="005635EB" w:rsidRDefault="00661325" w:rsidP="00892582">
            <w:pPr>
              <w:spacing w:before="0"/>
              <w:contextualSpacing/>
              <w:jc w:val="center"/>
              <w:rPr>
                <w:rFonts w:ascii="Arial Narrow" w:hAnsi="Arial Narrow"/>
                <w:b/>
                <w:color w:val="000000" w:themeColor="text1"/>
                <w:sz w:val="20"/>
                <w:szCs w:val="20"/>
              </w:rPr>
            </w:pPr>
            <w:r w:rsidRPr="005635EB">
              <w:rPr>
                <w:rFonts w:ascii="Arial Narrow" w:hAnsi="Arial Narrow"/>
                <w:b/>
                <w:color w:val="000000" w:themeColor="text1"/>
                <w:sz w:val="20"/>
                <w:szCs w:val="20"/>
              </w:rPr>
              <w:t>Incremental QALY</w:t>
            </w:r>
          </w:p>
        </w:tc>
        <w:tc>
          <w:tcPr>
            <w:tcW w:w="679" w:type="pct"/>
            <w:vAlign w:val="center"/>
          </w:tcPr>
          <w:p w14:paraId="032F0902" w14:textId="77777777" w:rsidR="00661325" w:rsidRPr="005635EB" w:rsidRDefault="00661325" w:rsidP="00892582">
            <w:pPr>
              <w:spacing w:before="0"/>
              <w:contextualSpacing/>
              <w:jc w:val="center"/>
              <w:rPr>
                <w:rFonts w:ascii="Arial Narrow" w:hAnsi="Arial Narrow"/>
                <w:b/>
                <w:color w:val="000000" w:themeColor="text1"/>
                <w:sz w:val="20"/>
                <w:szCs w:val="20"/>
              </w:rPr>
            </w:pPr>
            <w:r w:rsidRPr="005635EB">
              <w:rPr>
                <w:rFonts w:ascii="Arial Narrow" w:hAnsi="Arial Narrow"/>
                <w:b/>
                <w:color w:val="000000" w:themeColor="text1"/>
                <w:sz w:val="20"/>
                <w:szCs w:val="20"/>
              </w:rPr>
              <w:t>ICER</w:t>
            </w:r>
          </w:p>
        </w:tc>
      </w:tr>
      <w:bookmarkEnd w:id="41"/>
      <w:tr w:rsidR="00661325" w:rsidRPr="00020EB3" w14:paraId="4C40D363" w14:textId="77777777">
        <w:trPr>
          <w:cantSplit/>
          <w:trHeight w:val="513"/>
        </w:trPr>
        <w:tc>
          <w:tcPr>
            <w:tcW w:w="2906" w:type="pct"/>
            <w:vAlign w:val="center"/>
          </w:tcPr>
          <w:p w14:paraId="4D946B3D" w14:textId="77777777" w:rsidR="00661325" w:rsidRPr="005635EB" w:rsidRDefault="00661325" w:rsidP="00892582">
            <w:pPr>
              <w:spacing w:before="0"/>
              <w:contextualSpacing/>
              <w:rPr>
                <w:rFonts w:ascii="Arial Narrow" w:hAnsi="Arial Narrow"/>
                <w:b/>
                <w:color w:val="000000" w:themeColor="text1"/>
                <w:sz w:val="20"/>
                <w:szCs w:val="20"/>
              </w:rPr>
            </w:pPr>
            <w:r w:rsidRPr="005635EB">
              <w:rPr>
                <w:rFonts w:ascii="Arial Narrow" w:hAnsi="Arial Narrow"/>
                <w:b/>
                <w:color w:val="000000" w:themeColor="text1"/>
                <w:sz w:val="20"/>
                <w:szCs w:val="20"/>
              </w:rPr>
              <w:t>Base case</w:t>
            </w:r>
          </w:p>
        </w:tc>
        <w:tc>
          <w:tcPr>
            <w:tcW w:w="707" w:type="pct"/>
            <w:vAlign w:val="center"/>
          </w:tcPr>
          <w:p w14:paraId="51E2CFBC" w14:textId="77777777" w:rsidR="00661325" w:rsidRPr="005635EB" w:rsidRDefault="00661325" w:rsidP="00892582">
            <w:pPr>
              <w:spacing w:before="0"/>
              <w:contextualSpacing/>
              <w:jc w:val="center"/>
              <w:rPr>
                <w:rFonts w:ascii="Arial Narrow" w:hAnsi="Arial Narrow"/>
                <w:b/>
                <w:color w:val="000000" w:themeColor="text1"/>
                <w:sz w:val="20"/>
                <w:szCs w:val="20"/>
              </w:rPr>
            </w:pPr>
            <w:r>
              <w:rPr>
                <w:rFonts w:ascii="Arial Narrow" w:hAnsi="Arial Narrow"/>
                <w:b/>
                <w:color w:val="000000" w:themeColor="text1"/>
                <w:sz w:val="20"/>
                <w:szCs w:val="20"/>
              </w:rPr>
              <w:t>-</w:t>
            </w:r>
            <w:r w:rsidRPr="005635EB">
              <w:rPr>
                <w:rFonts w:ascii="Arial Narrow" w:hAnsi="Arial Narrow"/>
                <w:b/>
                <w:color w:val="000000" w:themeColor="text1"/>
                <w:sz w:val="20"/>
                <w:szCs w:val="20"/>
              </w:rPr>
              <w:t>$15.96</w:t>
            </w:r>
          </w:p>
        </w:tc>
        <w:tc>
          <w:tcPr>
            <w:tcW w:w="708" w:type="pct"/>
            <w:vAlign w:val="center"/>
          </w:tcPr>
          <w:p w14:paraId="05485191" w14:textId="77777777" w:rsidR="00661325" w:rsidRPr="005635EB" w:rsidRDefault="00661325" w:rsidP="00892582">
            <w:pPr>
              <w:spacing w:before="0"/>
              <w:contextualSpacing/>
              <w:jc w:val="center"/>
              <w:rPr>
                <w:rFonts w:ascii="Arial Narrow" w:hAnsi="Arial Narrow"/>
                <w:b/>
                <w:color w:val="000000" w:themeColor="text1"/>
                <w:sz w:val="20"/>
                <w:szCs w:val="20"/>
              </w:rPr>
            </w:pPr>
            <w:r w:rsidRPr="005635EB">
              <w:rPr>
                <w:rFonts w:ascii="Arial Narrow" w:eastAsia="Calibri" w:hAnsi="Arial Narrow"/>
                <w:b/>
                <w:color w:val="000000" w:themeColor="text1"/>
                <w:sz w:val="20"/>
                <w:szCs w:val="20"/>
              </w:rPr>
              <w:t>0.0002</w:t>
            </w:r>
          </w:p>
        </w:tc>
        <w:tc>
          <w:tcPr>
            <w:tcW w:w="679" w:type="pct"/>
            <w:vAlign w:val="center"/>
          </w:tcPr>
          <w:p w14:paraId="426DDB3A"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0B8018B7" w14:textId="77777777" w:rsidR="00661325" w:rsidRPr="005635EB" w:rsidRDefault="00661325" w:rsidP="00892582">
            <w:pPr>
              <w:spacing w:before="0"/>
              <w:contextualSpacing/>
              <w:jc w:val="center"/>
              <w:rPr>
                <w:rFonts w:ascii="Arial Narrow" w:hAnsi="Arial Narrow"/>
                <w:b/>
                <w:color w:val="000000" w:themeColor="text1"/>
                <w:sz w:val="20"/>
                <w:szCs w:val="20"/>
              </w:rPr>
            </w:pPr>
            <w:r w:rsidRPr="005635EB">
              <w:rPr>
                <w:rFonts w:ascii="Arial Narrow" w:eastAsia="Calibri" w:hAnsi="Arial Narrow"/>
                <w:b/>
                <w:color w:val="000000" w:themeColor="text1"/>
                <w:sz w:val="20"/>
                <w:szCs w:val="20"/>
              </w:rPr>
              <w:t>-$66,397.35</w:t>
            </w:r>
          </w:p>
        </w:tc>
      </w:tr>
      <w:tr w:rsidR="00661325" w:rsidRPr="00020EB3" w14:paraId="3631C1E8" w14:textId="77777777">
        <w:trPr>
          <w:cantSplit/>
          <w:trHeight w:val="388"/>
        </w:trPr>
        <w:tc>
          <w:tcPr>
            <w:tcW w:w="5000" w:type="pct"/>
            <w:gridSpan w:val="4"/>
            <w:vAlign w:val="center"/>
          </w:tcPr>
          <w:p w14:paraId="6DFA4B90" w14:textId="3EB99C29"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Cost of SoC (base case $179.81)</w:t>
            </w:r>
            <w:r w:rsidR="008A0F77" w:rsidRPr="00F16694">
              <w:rPr>
                <w:rFonts w:ascii="Arial Narrow" w:hAnsi="Arial Narrow"/>
                <w:color w:val="000000" w:themeColor="text1"/>
                <w:sz w:val="20"/>
                <w:szCs w:val="20"/>
                <w:vertAlign w:val="superscript"/>
              </w:rPr>
              <w:t>1</w:t>
            </w:r>
          </w:p>
        </w:tc>
      </w:tr>
      <w:tr w:rsidR="00661325" w:rsidRPr="00020EB3" w14:paraId="72AA4B31" w14:textId="77777777">
        <w:trPr>
          <w:cantSplit/>
          <w:trHeight w:val="247"/>
        </w:trPr>
        <w:tc>
          <w:tcPr>
            <w:tcW w:w="2906" w:type="pct"/>
            <w:vAlign w:val="center"/>
          </w:tcPr>
          <w:p w14:paraId="2DE8BF05"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$124.49 (No OOP)</w:t>
            </w:r>
          </w:p>
        </w:tc>
        <w:tc>
          <w:tcPr>
            <w:tcW w:w="707" w:type="pct"/>
            <w:vAlign w:val="center"/>
          </w:tcPr>
          <w:p w14:paraId="54F4DF35"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$39.36</w:t>
            </w:r>
          </w:p>
        </w:tc>
        <w:tc>
          <w:tcPr>
            <w:tcW w:w="708" w:type="pct"/>
            <w:vAlign w:val="center"/>
          </w:tcPr>
          <w:p w14:paraId="5123DD87"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67F665BF"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$163,730</w:t>
            </w:r>
          </w:p>
        </w:tc>
      </w:tr>
      <w:tr w:rsidR="00661325" w:rsidRPr="00020EB3" w14:paraId="61CE3A9B" w14:textId="77777777">
        <w:trPr>
          <w:cantSplit/>
          <w:trHeight w:val="532"/>
        </w:trPr>
        <w:tc>
          <w:tcPr>
            <w:tcW w:w="2906" w:type="pct"/>
            <w:vAlign w:val="center"/>
          </w:tcPr>
          <w:p w14:paraId="0A138BD8"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$205.49 ($150 OOP)</w:t>
            </w:r>
          </w:p>
        </w:tc>
        <w:tc>
          <w:tcPr>
            <w:tcW w:w="707" w:type="pct"/>
            <w:vAlign w:val="center"/>
          </w:tcPr>
          <w:p w14:paraId="2AE88675"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-$41.64</w:t>
            </w:r>
          </w:p>
        </w:tc>
        <w:tc>
          <w:tcPr>
            <w:tcW w:w="708" w:type="pct"/>
            <w:vAlign w:val="center"/>
          </w:tcPr>
          <w:p w14:paraId="357AF7B1"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497D1C30"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5FAF43F0"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-$173,224</w:t>
            </w:r>
          </w:p>
        </w:tc>
      </w:tr>
      <w:tr w:rsidR="00661325" w:rsidRPr="00020EB3" w14:paraId="5537C73C" w14:textId="77777777">
        <w:trPr>
          <w:cantSplit/>
          <w:trHeight w:val="532"/>
        </w:trPr>
        <w:tc>
          <w:tcPr>
            <w:tcW w:w="2906" w:type="pct"/>
            <w:vAlign w:val="center"/>
          </w:tcPr>
          <w:p w14:paraId="3FAB4624"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$332.85 ($385.50 OOP)</w:t>
            </w:r>
          </w:p>
        </w:tc>
        <w:tc>
          <w:tcPr>
            <w:tcW w:w="707" w:type="pct"/>
            <w:vAlign w:val="center"/>
          </w:tcPr>
          <w:p w14:paraId="28AEBA42"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-$169.00</w:t>
            </w:r>
          </w:p>
        </w:tc>
        <w:tc>
          <w:tcPr>
            <w:tcW w:w="708" w:type="pct"/>
            <w:vAlign w:val="center"/>
          </w:tcPr>
          <w:p w14:paraId="522C2E06"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03EE70ED"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6D6EF848"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-$703,029</w:t>
            </w:r>
          </w:p>
        </w:tc>
      </w:tr>
      <w:tr w:rsidR="00661325" w:rsidRPr="00020EB3" w14:paraId="3FE8568F" w14:textId="77777777">
        <w:trPr>
          <w:cantSplit/>
          <w:trHeight w:val="379"/>
        </w:trPr>
        <w:tc>
          <w:tcPr>
            <w:tcW w:w="5000" w:type="pct"/>
            <w:gridSpan w:val="4"/>
            <w:vAlign w:val="center"/>
          </w:tcPr>
          <w:p w14:paraId="57E323FC" w14:textId="1390B809" w:rsidR="00661325" w:rsidRPr="009B49D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Cost of structured risk assessment testing (base case $228.02)</w:t>
            </w:r>
            <w:r w:rsidR="009C4DDB" w:rsidRPr="00F16694">
              <w:rPr>
                <w:rFonts w:ascii="Arial Narrow" w:hAnsi="Arial Narrow"/>
                <w:color w:val="000000" w:themeColor="text1"/>
                <w:sz w:val="20"/>
                <w:szCs w:val="20"/>
                <w:vertAlign w:val="superscript"/>
              </w:rPr>
              <w:t>2</w:t>
            </w:r>
          </w:p>
        </w:tc>
      </w:tr>
      <w:tr w:rsidR="00661325" w:rsidRPr="00020EB3" w14:paraId="574D3CD0" w14:textId="77777777">
        <w:trPr>
          <w:cantSplit/>
          <w:trHeight w:val="247"/>
        </w:trPr>
        <w:tc>
          <w:tcPr>
            <w:tcW w:w="2906" w:type="pct"/>
            <w:vAlign w:val="center"/>
          </w:tcPr>
          <w:p w14:paraId="4F4D87E3"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$277.87 (No OOP + 1 consultation $49.85)</w:t>
            </w:r>
          </w:p>
        </w:tc>
        <w:tc>
          <w:tcPr>
            <w:tcW w:w="707" w:type="pct"/>
            <w:vAlign w:val="center"/>
          </w:tcPr>
          <w:p w14:paraId="6C62E46E"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$33.89</w:t>
            </w:r>
          </w:p>
        </w:tc>
        <w:tc>
          <w:tcPr>
            <w:tcW w:w="708" w:type="pct"/>
            <w:vAlign w:val="center"/>
          </w:tcPr>
          <w:p w14:paraId="28E24F6A"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0D0D6E4D"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$140,974</w:t>
            </w:r>
          </w:p>
        </w:tc>
      </w:tr>
      <w:tr w:rsidR="00661325" w:rsidRPr="00020EB3" w14:paraId="66B5B5C6" w14:textId="77777777">
        <w:trPr>
          <w:cantSplit/>
          <w:trHeight w:val="265"/>
        </w:trPr>
        <w:tc>
          <w:tcPr>
            <w:tcW w:w="2906" w:type="pct"/>
            <w:vAlign w:val="center"/>
          </w:tcPr>
          <w:p w14:paraId="4922E449"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$427.87 ($150 OOP + 1 consultation $49.85)</w:t>
            </w:r>
          </w:p>
        </w:tc>
        <w:tc>
          <w:tcPr>
            <w:tcW w:w="707" w:type="pct"/>
            <w:vAlign w:val="center"/>
          </w:tcPr>
          <w:p w14:paraId="5A9C8D80"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$183.89</w:t>
            </w:r>
          </w:p>
        </w:tc>
        <w:tc>
          <w:tcPr>
            <w:tcW w:w="708" w:type="pct"/>
            <w:vAlign w:val="center"/>
          </w:tcPr>
          <w:p w14:paraId="42ED3E31"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2277BDB6"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$764,960</w:t>
            </w:r>
          </w:p>
        </w:tc>
      </w:tr>
      <w:tr w:rsidR="00661325" w:rsidRPr="00020EB3" w14:paraId="587E03C5" w14:textId="77777777">
        <w:trPr>
          <w:cantSplit/>
          <w:trHeight w:val="265"/>
        </w:trPr>
        <w:tc>
          <w:tcPr>
            <w:tcW w:w="2906" w:type="pct"/>
            <w:vAlign w:val="center"/>
          </w:tcPr>
          <w:p w14:paraId="640B51C8"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$663.72 ($385.50 OOP + 1 consultation $49.85</w:t>
            </w:r>
            <w:r>
              <w:rPr>
                <w:rFonts w:ascii="Arial Narrow" w:hAnsi="Arial Narrow"/>
                <w:color w:val="000000" w:themeColor="text1"/>
                <w:sz w:val="20"/>
                <w:szCs w:val="20"/>
              </w:rPr>
              <w:t>)</w:t>
            </w:r>
          </w:p>
        </w:tc>
        <w:tc>
          <w:tcPr>
            <w:tcW w:w="707" w:type="pct"/>
            <w:vAlign w:val="center"/>
          </w:tcPr>
          <w:p w14:paraId="214D523B"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$419.74</w:t>
            </w:r>
          </w:p>
        </w:tc>
        <w:tc>
          <w:tcPr>
            <w:tcW w:w="708" w:type="pct"/>
            <w:vAlign w:val="center"/>
          </w:tcPr>
          <w:p w14:paraId="2E585C7A"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0EE09342"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$1,746,074</w:t>
            </w:r>
          </w:p>
        </w:tc>
      </w:tr>
      <w:tr w:rsidR="00661325" w:rsidRPr="00020EB3" w14:paraId="07B05831" w14:textId="77777777">
        <w:trPr>
          <w:cantSplit/>
          <w:trHeight w:val="81"/>
        </w:trPr>
        <w:tc>
          <w:tcPr>
            <w:tcW w:w="5000" w:type="pct"/>
            <w:gridSpan w:val="4"/>
            <w:vAlign w:val="center"/>
          </w:tcPr>
          <w:p w14:paraId="756390A1" w14:textId="77777777" w:rsidR="00661325" w:rsidRPr="009B49DB" w:rsidRDefault="00661325" w:rsidP="00892582">
            <w:pPr>
              <w:spacing w:before="0"/>
              <w:contextualSpacing/>
              <w:rPr>
                <w:rFonts w:ascii="Arial Narrow" w:eastAsia="Calibri" w:hAnsi="Arial Narrow"/>
                <w:color w:val="000000" w:themeColor="text1"/>
                <w:sz w:val="20"/>
                <w:szCs w:val="20"/>
              </w:rPr>
            </w:pPr>
            <w:r w:rsidRPr="005635EB">
              <w:rPr>
                <w:rFonts w:ascii="Arial Narrow" w:hAnsi="Arial Narrow"/>
                <w:color w:val="000000" w:themeColor="text1"/>
                <w:sz w:val="20"/>
                <w:szCs w:val="20"/>
              </w:rPr>
              <w:t>Probability of developing preterm PE if high risk by structured risk testing (base case 0.</w:t>
            </w:r>
            <w:r>
              <w:rPr>
                <w:rFonts w:ascii="Arial Narrow" w:hAnsi="Arial Narrow"/>
                <w:color w:val="000000" w:themeColor="text1"/>
                <w:sz w:val="20"/>
                <w:szCs w:val="20"/>
              </w:rPr>
              <w:t>0</w:t>
            </w:r>
            <w:r w:rsidRPr="005635EB">
              <w:rPr>
                <w:rFonts w:ascii="Arial Narrow" w:hAnsi="Arial Narrow"/>
                <w:color w:val="000000" w:themeColor="text1"/>
                <w:sz w:val="20"/>
                <w:szCs w:val="20"/>
              </w:rPr>
              <w:t>21</w:t>
            </w:r>
            <w:r>
              <w:rPr>
                <w:rFonts w:ascii="Arial Narrow" w:hAnsi="Arial Narrow"/>
                <w:color w:val="000000" w:themeColor="text1"/>
                <w:sz w:val="20"/>
                <w:szCs w:val="20"/>
              </w:rPr>
              <w:t>;</w:t>
            </w:r>
            <w:r w:rsidRPr="005635EB">
              <w:rPr>
                <w:rFonts w:ascii="Arial Narrow" w:hAnsi="Arial Narrow"/>
                <w:color w:val="000000" w:themeColor="text1"/>
                <w:sz w:val="20"/>
                <w:szCs w:val="20"/>
              </w:rPr>
              <w:t xml:space="preserve"> </w:t>
            </w:r>
            <w:r>
              <w:rPr>
                <w:rFonts w:ascii="Arial Narrow" w:hAnsi="Arial Narrow"/>
                <w:color w:val="000000" w:themeColor="text1"/>
                <w:sz w:val="20"/>
                <w:szCs w:val="20"/>
              </w:rPr>
              <w:t>Rolnik</w:t>
            </w:r>
            <w:r w:rsidRPr="005635EB">
              <w:rPr>
                <w:rFonts w:ascii="Arial Narrow" w:hAnsi="Arial Narrow"/>
                <w:color w:val="000000" w:themeColor="text1"/>
                <w:sz w:val="20"/>
                <w:szCs w:val="20"/>
              </w:rPr>
              <w:t xml:space="preserve"> et al 2017))</w:t>
            </w:r>
          </w:p>
        </w:tc>
      </w:tr>
      <w:tr w:rsidR="00661325" w:rsidRPr="00020EB3" w14:paraId="2811671A" w14:textId="77777777">
        <w:trPr>
          <w:cantSplit/>
          <w:trHeight w:val="532"/>
        </w:trPr>
        <w:tc>
          <w:tcPr>
            <w:tcW w:w="2906" w:type="pct"/>
            <w:vAlign w:val="center"/>
          </w:tcPr>
          <w:p w14:paraId="13341244"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Low (0.016) (Tan et al., 201</w:t>
            </w:r>
            <w:r>
              <w:rPr>
                <w:rFonts w:ascii="Arial Narrow" w:hAnsi="Arial Narrow"/>
                <w:color w:val="000000" w:themeColor="text1"/>
                <w:sz w:val="20"/>
                <w:szCs w:val="20"/>
              </w:rPr>
              <w:t>7</w:t>
            </w:r>
            <w:r w:rsidRPr="005635EB">
              <w:rPr>
                <w:rFonts w:ascii="Arial Narrow" w:hAnsi="Arial Narrow"/>
                <w:color w:val="000000" w:themeColor="text1"/>
                <w:sz w:val="20"/>
                <w:szCs w:val="20"/>
              </w:rPr>
              <w:t>)</w:t>
            </w:r>
          </w:p>
        </w:tc>
        <w:tc>
          <w:tcPr>
            <w:tcW w:w="707" w:type="pct"/>
            <w:vAlign w:val="center"/>
          </w:tcPr>
          <w:p w14:paraId="4FAD7299"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-$25.13</w:t>
            </w:r>
          </w:p>
        </w:tc>
        <w:tc>
          <w:tcPr>
            <w:tcW w:w="708" w:type="pct"/>
            <w:vAlign w:val="center"/>
          </w:tcPr>
          <w:p w14:paraId="4C1244C1"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0.0003</w:t>
            </w:r>
          </w:p>
        </w:tc>
        <w:tc>
          <w:tcPr>
            <w:tcW w:w="679" w:type="pct"/>
            <w:vAlign w:val="center"/>
          </w:tcPr>
          <w:p w14:paraId="73E46C8A"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1D24CE77"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-$91,514</w:t>
            </w:r>
          </w:p>
        </w:tc>
      </w:tr>
      <w:tr w:rsidR="00661325" w:rsidRPr="00020EB3" w14:paraId="37C0D418" w14:textId="77777777">
        <w:trPr>
          <w:cantSplit/>
          <w:trHeight w:val="247"/>
        </w:trPr>
        <w:tc>
          <w:tcPr>
            <w:tcW w:w="2906" w:type="pct"/>
            <w:vAlign w:val="center"/>
          </w:tcPr>
          <w:p w14:paraId="3EAD08F1"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High (0.043) (Rolnik et al.,2017)</w:t>
            </w:r>
          </w:p>
        </w:tc>
        <w:tc>
          <w:tcPr>
            <w:tcW w:w="707" w:type="pct"/>
            <w:vAlign w:val="center"/>
          </w:tcPr>
          <w:p w14:paraId="0F3CDDBF"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$24.40</w:t>
            </w:r>
          </w:p>
        </w:tc>
        <w:tc>
          <w:tcPr>
            <w:tcW w:w="708" w:type="pct"/>
            <w:vAlign w:val="center"/>
          </w:tcPr>
          <w:p w14:paraId="2D1393D9"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0.0001</w:t>
            </w:r>
          </w:p>
        </w:tc>
        <w:tc>
          <w:tcPr>
            <w:tcW w:w="679" w:type="pct"/>
            <w:vAlign w:val="center"/>
          </w:tcPr>
          <w:p w14:paraId="631BACCB"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$272,006</w:t>
            </w:r>
          </w:p>
        </w:tc>
      </w:tr>
      <w:tr w:rsidR="00661325" w:rsidRPr="00020EB3" w14:paraId="2DF274A4" w14:textId="77777777">
        <w:trPr>
          <w:cantSplit/>
          <w:trHeight w:val="265"/>
        </w:trPr>
        <w:tc>
          <w:tcPr>
            <w:tcW w:w="5000" w:type="pct"/>
            <w:gridSpan w:val="4"/>
            <w:vAlign w:val="center"/>
          </w:tcPr>
          <w:p w14:paraId="7B956938" w14:textId="77777777" w:rsidR="00661325" w:rsidRPr="009B49DB" w:rsidRDefault="00661325" w:rsidP="00892582">
            <w:pPr>
              <w:spacing w:before="0"/>
              <w:contextualSpacing/>
              <w:rPr>
                <w:rFonts w:ascii="Arial Narrow" w:eastAsia="Calibri" w:hAnsi="Arial Narrow"/>
                <w:color w:val="000000" w:themeColor="text1"/>
                <w:sz w:val="20"/>
                <w:szCs w:val="20"/>
              </w:rPr>
            </w:pPr>
            <w:r w:rsidRPr="005635EB">
              <w:rPr>
                <w:rFonts w:ascii="Arial Narrow" w:hAnsi="Arial Narrow"/>
                <w:color w:val="000000" w:themeColor="text1"/>
                <w:sz w:val="20"/>
                <w:szCs w:val="20"/>
              </w:rPr>
              <w:t>Probability of taking aspirin if tested in SoC (base case 0.232</w:t>
            </w:r>
            <w:r>
              <w:rPr>
                <w:rFonts w:ascii="Arial Narrow" w:hAnsi="Arial Narrow"/>
                <w:color w:val="000000" w:themeColor="text1"/>
                <w:sz w:val="20"/>
                <w:szCs w:val="20"/>
              </w:rPr>
              <w:t>;</w:t>
            </w:r>
            <w:r w:rsidRPr="005635EB">
              <w:rPr>
                <w:rFonts w:ascii="Arial Narrow" w:hAnsi="Arial Narrow"/>
                <w:color w:val="000000" w:themeColor="text1"/>
                <w:sz w:val="20"/>
                <w:szCs w:val="20"/>
              </w:rPr>
              <w:t xml:space="preserve"> Rolnik et al., 2021)</w:t>
            </w:r>
          </w:p>
        </w:tc>
      </w:tr>
      <w:tr w:rsidR="00661325" w:rsidRPr="00020EB3" w14:paraId="1A62CBD4" w14:textId="77777777">
        <w:trPr>
          <w:cantSplit/>
          <w:trHeight w:val="532"/>
        </w:trPr>
        <w:tc>
          <w:tcPr>
            <w:tcW w:w="2906" w:type="pct"/>
            <w:vAlign w:val="center"/>
          </w:tcPr>
          <w:p w14:paraId="4971959D"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Low (0.0)</w:t>
            </w:r>
          </w:p>
        </w:tc>
        <w:tc>
          <w:tcPr>
            <w:tcW w:w="707" w:type="pct"/>
            <w:vAlign w:val="center"/>
          </w:tcPr>
          <w:p w14:paraId="2585804D"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-$2.05</w:t>
            </w:r>
          </w:p>
        </w:tc>
        <w:tc>
          <w:tcPr>
            <w:tcW w:w="708" w:type="pct"/>
            <w:vAlign w:val="center"/>
          </w:tcPr>
          <w:p w14:paraId="0D97E2C4"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16E3360C"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259D30B8"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-$8,540</w:t>
            </w:r>
          </w:p>
        </w:tc>
      </w:tr>
      <w:tr w:rsidR="00661325" w:rsidRPr="00020EB3" w14:paraId="0076E2A9" w14:textId="77777777">
        <w:trPr>
          <w:cantSplit/>
          <w:trHeight w:val="780"/>
        </w:trPr>
        <w:tc>
          <w:tcPr>
            <w:tcW w:w="2906" w:type="pct"/>
            <w:vAlign w:val="center"/>
          </w:tcPr>
          <w:p w14:paraId="5B323458"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 xml:space="preserve">High (0.645) This was considered a more reasonable value corresponding to the proportion of women </w:t>
            </w:r>
            <w:r>
              <w:rPr>
                <w:rFonts w:ascii="Arial Narrow" w:hAnsi="Arial Narrow"/>
                <w:color w:val="000000" w:themeColor="text1"/>
                <w:sz w:val="20"/>
                <w:szCs w:val="20"/>
              </w:rPr>
              <w:t>assessed as being</w:t>
            </w:r>
            <w:r w:rsidRPr="005635EB">
              <w:rPr>
                <w:rFonts w:ascii="Arial Narrow" w:hAnsi="Arial Narrow"/>
                <w:color w:val="000000" w:themeColor="text1"/>
                <w:sz w:val="20"/>
                <w:szCs w:val="20"/>
              </w:rPr>
              <w:t xml:space="preserve"> at high risk using ACOG criteria) (Poon et al, 2017).</w:t>
            </w:r>
          </w:p>
        </w:tc>
        <w:tc>
          <w:tcPr>
            <w:tcW w:w="707" w:type="pct"/>
            <w:vAlign w:val="center"/>
          </w:tcPr>
          <w:p w14:paraId="300EF3E1"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-$40.72</w:t>
            </w:r>
          </w:p>
        </w:tc>
        <w:tc>
          <w:tcPr>
            <w:tcW w:w="708" w:type="pct"/>
            <w:vAlign w:val="center"/>
          </w:tcPr>
          <w:p w14:paraId="48AEC565"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73D7988B"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3103F912"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-$169,394</w:t>
            </w:r>
          </w:p>
        </w:tc>
      </w:tr>
      <w:tr w:rsidR="00661325" w:rsidRPr="00020EB3" w14:paraId="5EE2A7DD" w14:textId="77777777">
        <w:trPr>
          <w:cantSplit/>
          <w:trHeight w:val="532"/>
        </w:trPr>
        <w:tc>
          <w:tcPr>
            <w:tcW w:w="5000" w:type="pct"/>
            <w:gridSpan w:val="4"/>
            <w:vAlign w:val="center"/>
          </w:tcPr>
          <w:p w14:paraId="6BE22CEE" w14:textId="77777777" w:rsidR="00661325" w:rsidRPr="009B49DB" w:rsidRDefault="00661325" w:rsidP="00892582">
            <w:pPr>
              <w:spacing w:before="0"/>
              <w:contextualSpacing/>
              <w:rPr>
                <w:rFonts w:ascii="Arial Narrow" w:eastAsia="Calibri" w:hAnsi="Arial Narrow"/>
                <w:color w:val="000000" w:themeColor="text1"/>
                <w:sz w:val="20"/>
                <w:szCs w:val="20"/>
              </w:rPr>
            </w:pPr>
            <w:r w:rsidRPr="005635EB">
              <w:rPr>
                <w:rFonts w:ascii="Arial Narrow" w:hAnsi="Arial Narrow"/>
                <w:color w:val="000000" w:themeColor="text1"/>
                <w:sz w:val="20"/>
                <w:szCs w:val="20"/>
              </w:rPr>
              <w:t>Probability of being assessed as high (&gt;1 in 100) by structured risk assessment testing (base case 0.</w:t>
            </w:r>
            <w:r>
              <w:rPr>
                <w:rFonts w:ascii="Arial Narrow" w:hAnsi="Arial Narrow"/>
                <w:color w:val="000000" w:themeColor="text1"/>
                <w:sz w:val="20"/>
                <w:szCs w:val="20"/>
              </w:rPr>
              <w:t>137;</w:t>
            </w:r>
            <w:r w:rsidRPr="005635EB">
              <w:rPr>
                <w:rFonts w:ascii="Arial Narrow" w:hAnsi="Arial Narrow"/>
                <w:color w:val="000000" w:themeColor="text1"/>
                <w:sz w:val="20"/>
                <w:szCs w:val="20"/>
              </w:rPr>
              <w:t xml:space="preserve"> Rolnik et al. 2021)</w:t>
            </w:r>
          </w:p>
        </w:tc>
      </w:tr>
      <w:tr w:rsidR="00661325" w:rsidRPr="00020EB3" w14:paraId="2CE7F3D1" w14:textId="77777777">
        <w:trPr>
          <w:cantSplit/>
          <w:trHeight w:val="532"/>
        </w:trPr>
        <w:tc>
          <w:tcPr>
            <w:tcW w:w="2906" w:type="pct"/>
            <w:vAlign w:val="center"/>
          </w:tcPr>
          <w:p w14:paraId="384EA2FA"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Low 0.105 (</w:t>
            </w:r>
            <w:r>
              <w:rPr>
                <w:rFonts w:ascii="Arial Narrow" w:hAnsi="Arial Narrow"/>
                <w:color w:val="000000" w:themeColor="text1"/>
                <w:sz w:val="20"/>
                <w:szCs w:val="20"/>
              </w:rPr>
              <w:t>Rolnik</w:t>
            </w:r>
            <w:r w:rsidRPr="005635EB">
              <w:rPr>
                <w:rFonts w:ascii="Arial Narrow" w:hAnsi="Arial Narrow"/>
                <w:color w:val="000000" w:themeColor="text1"/>
                <w:sz w:val="20"/>
                <w:szCs w:val="20"/>
              </w:rPr>
              <w:t xml:space="preserve"> et al., 2017</w:t>
            </w:r>
            <w:r>
              <w:rPr>
                <w:rFonts w:ascii="Arial Narrow" w:hAnsi="Arial Narrow"/>
                <w:color w:val="000000" w:themeColor="text1"/>
                <w:sz w:val="20"/>
                <w:szCs w:val="20"/>
              </w:rPr>
              <w:t>a</w:t>
            </w:r>
            <w:r w:rsidRPr="005635EB">
              <w:rPr>
                <w:rFonts w:ascii="Arial Narrow" w:hAnsi="Arial Narrow"/>
                <w:color w:val="000000" w:themeColor="text1"/>
                <w:sz w:val="20"/>
                <w:szCs w:val="20"/>
              </w:rPr>
              <w:t>)</w:t>
            </w:r>
          </w:p>
        </w:tc>
        <w:tc>
          <w:tcPr>
            <w:tcW w:w="707" w:type="pct"/>
            <w:vAlign w:val="center"/>
          </w:tcPr>
          <w:p w14:paraId="3BCF148E"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-$30.08</w:t>
            </w:r>
          </w:p>
        </w:tc>
        <w:tc>
          <w:tcPr>
            <w:tcW w:w="708" w:type="pct"/>
            <w:vAlign w:val="center"/>
          </w:tcPr>
          <w:p w14:paraId="12546D38"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0.0003</w:t>
            </w:r>
          </w:p>
        </w:tc>
        <w:tc>
          <w:tcPr>
            <w:tcW w:w="679" w:type="pct"/>
            <w:vAlign w:val="center"/>
          </w:tcPr>
          <w:p w14:paraId="4BEECAD2" w14:textId="77777777" w:rsidR="00661325" w:rsidRPr="009B49DB" w:rsidRDefault="00661325" w:rsidP="00892582">
            <w:pPr>
              <w:spacing w:before="0"/>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22E7AD16"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-$103,966</w:t>
            </w:r>
          </w:p>
        </w:tc>
      </w:tr>
      <w:tr w:rsidR="00661325" w:rsidRPr="00020EB3" w14:paraId="0654E0F4" w14:textId="77777777">
        <w:trPr>
          <w:cantSplit/>
          <w:trHeight w:val="247"/>
        </w:trPr>
        <w:tc>
          <w:tcPr>
            <w:tcW w:w="2906" w:type="pct"/>
            <w:vAlign w:val="center"/>
          </w:tcPr>
          <w:p w14:paraId="5981760F"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High 0.18</w:t>
            </w:r>
            <w:r>
              <w:rPr>
                <w:rStyle w:val="FootnoteReference"/>
                <w:rFonts w:ascii="Arial Narrow" w:hAnsi="Arial Narrow"/>
                <w:color w:val="000000" w:themeColor="text1"/>
                <w:sz w:val="20"/>
                <w:szCs w:val="20"/>
              </w:rPr>
              <w:footnoteReference w:id="30"/>
            </w:r>
          </w:p>
        </w:tc>
        <w:tc>
          <w:tcPr>
            <w:tcW w:w="707" w:type="pct"/>
            <w:vAlign w:val="center"/>
          </w:tcPr>
          <w:p w14:paraId="569B152F"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$3.01</w:t>
            </w:r>
          </w:p>
        </w:tc>
        <w:tc>
          <w:tcPr>
            <w:tcW w:w="708" w:type="pct"/>
            <w:vAlign w:val="center"/>
          </w:tcPr>
          <w:p w14:paraId="16888FF5"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0.0002</w:t>
            </w:r>
          </w:p>
        </w:tc>
        <w:tc>
          <w:tcPr>
            <w:tcW w:w="679" w:type="pct"/>
            <w:vAlign w:val="center"/>
          </w:tcPr>
          <w:p w14:paraId="1007625A"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$17,264</w:t>
            </w:r>
          </w:p>
        </w:tc>
      </w:tr>
      <w:tr w:rsidR="00661325" w:rsidRPr="00020EB3" w14:paraId="0E1B8430" w14:textId="77777777">
        <w:trPr>
          <w:cantSplit/>
          <w:trHeight w:val="265"/>
        </w:trPr>
        <w:tc>
          <w:tcPr>
            <w:tcW w:w="5000" w:type="pct"/>
            <w:gridSpan w:val="4"/>
            <w:vAlign w:val="center"/>
          </w:tcPr>
          <w:p w14:paraId="0146A458" w14:textId="77777777" w:rsidR="00661325" w:rsidRPr="009B49DB" w:rsidRDefault="00661325" w:rsidP="00892582">
            <w:pPr>
              <w:spacing w:before="0"/>
              <w:contextualSpacing/>
              <w:rPr>
                <w:rFonts w:ascii="Arial Narrow" w:eastAsia="Calibri" w:hAnsi="Arial Narrow"/>
                <w:color w:val="000000" w:themeColor="text1"/>
                <w:sz w:val="20"/>
                <w:szCs w:val="20"/>
              </w:rPr>
            </w:pPr>
            <w:r w:rsidRPr="005635EB">
              <w:rPr>
                <w:rFonts w:ascii="Arial Narrow" w:hAnsi="Arial Narrow"/>
                <w:color w:val="000000" w:themeColor="text1"/>
                <w:sz w:val="20"/>
                <w:szCs w:val="20"/>
              </w:rPr>
              <w:lastRenderedPageBreak/>
              <w:t>Probability of developing term PE if assessed high risk by structure risk assessment (base case 0.036 Rolnik et al., 2021)</w:t>
            </w:r>
          </w:p>
        </w:tc>
      </w:tr>
      <w:tr w:rsidR="00661325" w:rsidRPr="00020EB3" w14:paraId="3F4AFBB5" w14:textId="77777777">
        <w:trPr>
          <w:cantSplit/>
          <w:trHeight w:val="327"/>
        </w:trPr>
        <w:tc>
          <w:tcPr>
            <w:tcW w:w="2906" w:type="pct"/>
            <w:vAlign w:val="center"/>
          </w:tcPr>
          <w:p w14:paraId="50AACC1A" w14:textId="77777777" w:rsidR="00661325" w:rsidRPr="005635EB" w:rsidRDefault="00661325" w:rsidP="00892582">
            <w:pPr>
              <w:spacing w:before="0"/>
              <w:contextualSpacing/>
              <w:rPr>
                <w:rFonts w:ascii="Arial Narrow" w:hAnsi="Arial Narrow"/>
                <w:color w:val="000000" w:themeColor="text1"/>
                <w:sz w:val="20"/>
                <w:szCs w:val="20"/>
              </w:rPr>
            </w:pPr>
            <w:r w:rsidRPr="005635EB">
              <w:rPr>
                <w:rFonts w:ascii="Arial Narrow" w:hAnsi="Arial Narrow"/>
                <w:color w:val="000000" w:themeColor="text1"/>
                <w:sz w:val="20"/>
                <w:szCs w:val="20"/>
              </w:rPr>
              <w:t>High 0.070 (Rolnik et al., 2017</w:t>
            </w:r>
            <w:r>
              <w:rPr>
                <w:rFonts w:ascii="Arial Narrow" w:hAnsi="Arial Narrow"/>
                <w:color w:val="000000" w:themeColor="text1"/>
                <w:sz w:val="20"/>
                <w:szCs w:val="20"/>
              </w:rPr>
              <w:t>a</w:t>
            </w:r>
            <w:r w:rsidRPr="005635EB">
              <w:rPr>
                <w:rFonts w:ascii="Arial Narrow" w:hAnsi="Arial Narrow"/>
                <w:color w:val="000000" w:themeColor="text1"/>
                <w:sz w:val="20"/>
                <w:szCs w:val="20"/>
              </w:rPr>
              <w:t>)</w:t>
            </w:r>
          </w:p>
        </w:tc>
        <w:tc>
          <w:tcPr>
            <w:tcW w:w="707" w:type="pct"/>
            <w:vAlign w:val="center"/>
          </w:tcPr>
          <w:p w14:paraId="4364DC4C"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$4.43</w:t>
            </w:r>
          </w:p>
        </w:tc>
        <w:tc>
          <w:tcPr>
            <w:tcW w:w="708" w:type="pct"/>
            <w:vAlign w:val="center"/>
          </w:tcPr>
          <w:p w14:paraId="0F641F7C"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0.0001</w:t>
            </w:r>
          </w:p>
        </w:tc>
        <w:tc>
          <w:tcPr>
            <w:tcW w:w="679" w:type="pct"/>
            <w:vAlign w:val="center"/>
          </w:tcPr>
          <w:p w14:paraId="0F18A3A7" w14:textId="77777777" w:rsidR="00661325" w:rsidRPr="009B49DB" w:rsidRDefault="00661325" w:rsidP="00892582">
            <w:pPr>
              <w:spacing w:before="0"/>
              <w:contextualSpacing/>
              <w:jc w:val="center"/>
              <w:rPr>
                <w:rFonts w:ascii="Arial Narrow" w:eastAsia="Calibri" w:hAnsi="Arial Narrow"/>
                <w:color w:val="000000" w:themeColor="text1"/>
                <w:sz w:val="20"/>
                <w:szCs w:val="20"/>
              </w:rPr>
            </w:pPr>
            <w:r w:rsidRPr="009B49DB">
              <w:rPr>
                <w:rFonts w:ascii="Arial Narrow" w:hAnsi="Arial Narrow"/>
                <w:color w:val="000000" w:themeColor="text1"/>
                <w:sz w:val="20"/>
                <w:szCs w:val="20"/>
              </w:rPr>
              <w:t>$30,067</w:t>
            </w:r>
          </w:p>
        </w:tc>
      </w:tr>
    </w:tbl>
    <w:p w14:paraId="3AA737E1" w14:textId="77777777" w:rsidR="00661325" w:rsidRDefault="00661325" w:rsidP="00661325">
      <w:pPr>
        <w:pStyle w:val="TableFigureFooter"/>
        <w:spacing w:after="0"/>
        <w:rPr>
          <w:rFonts w:eastAsia="Calibri"/>
          <w:szCs w:val="20"/>
        </w:rPr>
      </w:pPr>
      <w:r>
        <w:rPr>
          <w:rFonts w:eastAsia="Calibri"/>
          <w:szCs w:val="20"/>
        </w:rPr>
        <w:t xml:space="preserve">Abbreviations: </w:t>
      </w:r>
      <w:r w:rsidRPr="0045093D">
        <w:rPr>
          <w:rFonts w:eastAsia="Calibri"/>
          <w:szCs w:val="20"/>
        </w:rPr>
        <w:t xml:space="preserve">ICER = incremental cost-effectiveness ratio; </w:t>
      </w:r>
      <w:r w:rsidRPr="00CE28E3">
        <w:rPr>
          <w:rFonts w:eastAsia="Calibri"/>
          <w:szCs w:val="20"/>
        </w:rPr>
        <w:t>QALY = quality adjusted life year</w:t>
      </w:r>
      <w:r>
        <w:rPr>
          <w:rFonts w:eastAsia="Calibri"/>
          <w:szCs w:val="20"/>
        </w:rPr>
        <w:t>; ACOG=</w:t>
      </w:r>
      <w:r w:rsidRPr="005B3F00">
        <w:rPr>
          <w:rFonts w:ascii="Times New Roman" w:hAnsi="Times New Roman" w:cs="Times New Roman"/>
          <w:snapToGrid/>
          <w:sz w:val="24"/>
          <w:lang w:eastAsia="en-GB"/>
        </w:rPr>
        <w:t xml:space="preserve"> </w:t>
      </w:r>
      <w:r w:rsidRPr="005B3F00">
        <w:rPr>
          <w:rFonts w:eastAsia="Calibri"/>
          <w:szCs w:val="20"/>
        </w:rPr>
        <w:t>American College of Obstetric</w:t>
      </w:r>
      <w:r>
        <w:rPr>
          <w:rFonts w:eastAsia="Calibri"/>
          <w:szCs w:val="20"/>
        </w:rPr>
        <w:t>ian</w:t>
      </w:r>
      <w:r w:rsidRPr="005B3F00">
        <w:rPr>
          <w:rFonts w:eastAsia="Calibri"/>
          <w:szCs w:val="20"/>
        </w:rPr>
        <w:t>s and Gynaecolog</w:t>
      </w:r>
      <w:r>
        <w:rPr>
          <w:rFonts w:eastAsia="Calibri"/>
          <w:szCs w:val="20"/>
        </w:rPr>
        <w:t>ists; PE=preeclampsia; OOP=out of pocket expense; SoC=standard of care</w:t>
      </w:r>
    </w:p>
    <w:p w14:paraId="1B7A82F9" w14:textId="47E9CFB8" w:rsidR="009C4DDB" w:rsidRDefault="009C4DDB" w:rsidP="009C4DDB">
      <w:pPr>
        <w:pStyle w:val="TableFigureFooter"/>
        <w:spacing w:after="0"/>
        <w:rPr>
          <w:rFonts w:eastAsia="Calibri"/>
          <w:szCs w:val="20"/>
        </w:rPr>
      </w:pPr>
      <w:r>
        <w:rPr>
          <w:rFonts w:eastAsia="Calibri"/>
          <w:szCs w:val="20"/>
        </w:rPr>
        <w:t xml:space="preserve">1 This cost assumes that 54% of patients are tested </w:t>
      </w:r>
      <w:r w:rsidR="007F211F">
        <w:rPr>
          <w:rFonts w:eastAsia="Calibri"/>
          <w:szCs w:val="20"/>
        </w:rPr>
        <w:t xml:space="preserve">in the </w:t>
      </w:r>
      <w:r>
        <w:rPr>
          <w:rFonts w:eastAsia="Calibri"/>
          <w:szCs w:val="20"/>
        </w:rPr>
        <w:t>standard of care</w:t>
      </w:r>
      <w:r w:rsidR="007F211F">
        <w:rPr>
          <w:rFonts w:eastAsia="Calibri"/>
          <w:szCs w:val="20"/>
        </w:rPr>
        <w:t xml:space="preserve"> arm. </w:t>
      </w:r>
      <w:r>
        <w:rPr>
          <w:rFonts w:eastAsia="Calibri"/>
          <w:szCs w:val="20"/>
        </w:rPr>
        <w:t xml:space="preserve"> 2. This cost assumes that 100% of patients are tested in the intervention arm</w:t>
      </w:r>
      <w:r w:rsidR="007F211F">
        <w:rPr>
          <w:rFonts w:eastAsia="Calibri"/>
          <w:szCs w:val="20"/>
        </w:rPr>
        <w:t xml:space="preserve">. </w:t>
      </w:r>
    </w:p>
    <w:p w14:paraId="65CA39E1" w14:textId="61AE5456" w:rsidR="001D7564" w:rsidRDefault="00661325" w:rsidP="00F16694">
      <w:pPr>
        <w:pStyle w:val="TableFigureFooter"/>
        <w:spacing w:after="0"/>
      </w:pPr>
      <w:r>
        <w:rPr>
          <w:rFonts w:eastAsia="Calibri"/>
          <w:szCs w:val="20"/>
        </w:rPr>
        <w:t>Source: Table C7, p97 of the ADAR</w:t>
      </w:r>
    </w:p>
    <w:p w14:paraId="0A310B92" w14:textId="51938118" w:rsidR="00EE7C69" w:rsidRDefault="00EE7C69" w:rsidP="005E0EAB">
      <w:pPr>
        <w:pStyle w:val="Caption"/>
        <w:spacing w:after="0"/>
      </w:pPr>
      <w:r>
        <w:t xml:space="preserve">Table </w:t>
      </w:r>
      <w:r w:rsidR="00E52FAC">
        <w:t>23</w:t>
      </w:r>
      <w:r>
        <w:t xml:space="preserve"> </w:t>
      </w:r>
      <w:r w:rsidRPr="00700F05">
        <w:t xml:space="preserve">Key results of </w:t>
      </w:r>
      <w:r>
        <w:t xml:space="preserve">two-way </w:t>
      </w:r>
      <w:r w:rsidRPr="00700F05">
        <w:t xml:space="preserve">sensitivity analyses </w:t>
      </w:r>
      <w:r w:rsidR="00FE6367" w:rsidRPr="00FE6367">
        <w:t xml:space="preserve">of costs of SoC and structured risk assessment testing </w:t>
      </w:r>
      <w:r w:rsidRPr="00700F05">
        <w:t xml:space="preserve">preformed during </w:t>
      </w:r>
      <w:proofErr w:type="gramStart"/>
      <w:r w:rsidRPr="00700F05">
        <w:t>evaluation</w:t>
      </w:r>
      <w:proofErr w:type="gramEnd"/>
    </w:p>
    <w:tbl>
      <w:tblPr>
        <w:tblStyle w:val="TableGrid1"/>
        <w:tblpPr w:leftFromText="181" w:rightFromText="181" w:vertAnchor="text" w:tblpY="1"/>
        <w:tblW w:w="5000" w:type="pct"/>
        <w:tblLayout w:type="fixed"/>
        <w:tblLook w:val="04A0" w:firstRow="1" w:lastRow="0" w:firstColumn="1" w:lastColumn="0" w:noHBand="0" w:noVBand="1"/>
      </w:tblPr>
      <w:tblGrid>
        <w:gridCol w:w="5383"/>
        <w:gridCol w:w="1277"/>
        <w:gridCol w:w="1132"/>
        <w:gridCol w:w="1224"/>
      </w:tblGrid>
      <w:tr w:rsidR="00071A00" w:rsidRPr="004144E0" w14:paraId="022D918B" w14:textId="77777777">
        <w:trPr>
          <w:cnfStyle w:val="100000000000" w:firstRow="1" w:lastRow="0" w:firstColumn="0" w:lastColumn="0" w:oddVBand="0" w:evenVBand="0" w:oddHBand="0" w:evenHBand="0" w:firstRowFirstColumn="0" w:firstRowLastColumn="0" w:lastRowFirstColumn="0" w:lastRowLastColumn="0"/>
          <w:cantSplit/>
          <w:trHeight w:val="543"/>
          <w:tblHeader/>
        </w:trPr>
        <w:tc>
          <w:tcPr>
            <w:tcW w:w="2985" w:type="pct"/>
            <w:vAlign w:val="center"/>
          </w:tcPr>
          <w:p w14:paraId="3CB93946" w14:textId="77777777" w:rsidR="00071A00" w:rsidRPr="005635EB" w:rsidRDefault="00071A00">
            <w:pPr>
              <w:contextualSpacing/>
              <w:rPr>
                <w:rFonts w:ascii="Arial Narrow" w:hAnsi="Arial Narrow"/>
                <w:b/>
                <w:color w:val="000000" w:themeColor="text1"/>
                <w:sz w:val="20"/>
                <w:szCs w:val="20"/>
              </w:rPr>
            </w:pPr>
            <w:r w:rsidRPr="005635EB">
              <w:rPr>
                <w:rFonts w:ascii="Arial Narrow" w:hAnsi="Arial Narrow"/>
                <w:b/>
                <w:color w:val="000000" w:themeColor="text1"/>
                <w:sz w:val="20"/>
                <w:szCs w:val="20"/>
              </w:rPr>
              <w:t>Analyses</w:t>
            </w:r>
          </w:p>
        </w:tc>
        <w:tc>
          <w:tcPr>
            <w:tcW w:w="708" w:type="pct"/>
            <w:vAlign w:val="center"/>
          </w:tcPr>
          <w:p w14:paraId="28D70693" w14:textId="77777777" w:rsidR="00071A00" w:rsidRPr="005635EB" w:rsidRDefault="00071A00">
            <w:pPr>
              <w:contextualSpacing/>
              <w:jc w:val="center"/>
              <w:rPr>
                <w:rFonts w:ascii="Arial Narrow" w:hAnsi="Arial Narrow"/>
                <w:b/>
                <w:color w:val="000000" w:themeColor="text1"/>
                <w:sz w:val="20"/>
                <w:szCs w:val="20"/>
              </w:rPr>
            </w:pPr>
            <w:r w:rsidRPr="005635EB">
              <w:rPr>
                <w:rFonts w:ascii="Arial Narrow" w:hAnsi="Arial Narrow"/>
                <w:b/>
                <w:color w:val="000000" w:themeColor="text1"/>
                <w:sz w:val="20"/>
                <w:szCs w:val="20"/>
              </w:rPr>
              <w:t>Incr. cost</w:t>
            </w:r>
          </w:p>
        </w:tc>
        <w:tc>
          <w:tcPr>
            <w:tcW w:w="628" w:type="pct"/>
            <w:vAlign w:val="center"/>
          </w:tcPr>
          <w:p w14:paraId="5C240E91" w14:textId="77777777" w:rsidR="00071A00" w:rsidRPr="005635EB" w:rsidRDefault="00071A00">
            <w:pPr>
              <w:contextualSpacing/>
              <w:jc w:val="center"/>
              <w:rPr>
                <w:rFonts w:ascii="Arial Narrow" w:hAnsi="Arial Narrow"/>
                <w:b/>
                <w:color w:val="000000" w:themeColor="text1"/>
                <w:sz w:val="20"/>
                <w:szCs w:val="20"/>
              </w:rPr>
            </w:pPr>
            <w:r w:rsidRPr="005635EB">
              <w:rPr>
                <w:rFonts w:ascii="Arial Narrow" w:hAnsi="Arial Narrow"/>
                <w:b/>
                <w:color w:val="000000" w:themeColor="text1"/>
                <w:sz w:val="20"/>
                <w:szCs w:val="20"/>
              </w:rPr>
              <w:t>Incr. QALY</w:t>
            </w:r>
          </w:p>
        </w:tc>
        <w:tc>
          <w:tcPr>
            <w:tcW w:w="679" w:type="pct"/>
            <w:vAlign w:val="center"/>
          </w:tcPr>
          <w:p w14:paraId="6E4FB05B" w14:textId="77777777" w:rsidR="00071A00" w:rsidRPr="005635EB" w:rsidRDefault="00071A00">
            <w:pPr>
              <w:contextualSpacing/>
              <w:jc w:val="center"/>
              <w:rPr>
                <w:rFonts w:ascii="Arial Narrow" w:hAnsi="Arial Narrow"/>
                <w:b/>
                <w:color w:val="000000" w:themeColor="text1"/>
                <w:sz w:val="20"/>
                <w:szCs w:val="20"/>
              </w:rPr>
            </w:pPr>
            <w:r w:rsidRPr="005635EB">
              <w:rPr>
                <w:rFonts w:ascii="Arial Narrow" w:hAnsi="Arial Narrow"/>
                <w:b/>
                <w:color w:val="000000" w:themeColor="text1"/>
                <w:sz w:val="20"/>
                <w:szCs w:val="20"/>
              </w:rPr>
              <w:t>ICER</w:t>
            </w:r>
          </w:p>
        </w:tc>
      </w:tr>
      <w:tr w:rsidR="00071A00" w:rsidRPr="00EF4E30" w14:paraId="3562C4A3" w14:textId="77777777">
        <w:trPr>
          <w:cantSplit/>
          <w:trHeight w:val="595"/>
        </w:trPr>
        <w:tc>
          <w:tcPr>
            <w:tcW w:w="2985" w:type="pct"/>
            <w:vAlign w:val="center"/>
          </w:tcPr>
          <w:p w14:paraId="293525FD" w14:textId="77777777" w:rsidR="00071A00" w:rsidRPr="005635EB" w:rsidRDefault="00071A00">
            <w:pPr>
              <w:contextualSpacing/>
              <w:rPr>
                <w:rFonts w:ascii="Arial Narrow" w:hAnsi="Arial Narrow"/>
                <w:b/>
                <w:color w:val="000000" w:themeColor="text1"/>
                <w:sz w:val="20"/>
                <w:szCs w:val="20"/>
              </w:rPr>
            </w:pPr>
            <w:r w:rsidRPr="005635EB">
              <w:rPr>
                <w:rFonts w:ascii="Arial Narrow" w:hAnsi="Arial Narrow"/>
                <w:b/>
                <w:color w:val="000000" w:themeColor="text1"/>
                <w:sz w:val="20"/>
                <w:szCs w:val="20"/>
              </w:rPr>
              <w:t>Base case</w:t>
            </w:r>
          </w:p>
        </w:tc>
        <w:tc>
          <w:tcPr>
            <w:tcW w:w="708" w:type="pct"/>
            <w:vAlign w:val="center"/>
          </w:tcPr>
          <w:p w14:paraId="76FF1FFE" w14:textId="77777777" w:rsidR="00071A00" w:rsidRPr="005635EB" w:rsidRDefault="00071A00">
            <w:pPr>
              <w:contextualSpacing/>
              <w:jc w:val="center"/>
              <w:rPr>
                <w:rFonts w:ascii="Arial Narrow" w:hAnsi="Arial Narrow"/>
                <w:b/>
                <w:color w:val="000000" w:themeColor="text1"/>
                <w:sz w:val="20"/>
                <w:szCs w:val="20"/>
              </w:rPr>
            </w:pPr>
            <w:r>
              <w:rPr>
                <w:rFonts w:ascii="Arial Narrow" w:hAnsi="Arial Narrow"/>
                <w:b/>
                <w:color w:val="000000" w:themeColor="text1"/>
                <w:sz w:val="20"/>
                <w:szCs w:val="20"/>
              </w:rPr>
              <w:t>-</w:t>
            </w:r>
            <w:r w:rsidRPr="005635EB">
              <w:rPr>
                <w:rFonts w:ascii="Arial Narrow" w:hAnsi="Arial Narrow"/>
                <w:b/>
                <w:color w:val="000000" w:themeColor="text1"/>
                <w:sz w:val="20"/>
                <w:szCs w:val="20"/>
              </w:rPr>
              <w:t>$15.96</w:t>
            </w:r>
          </w:p>
        </w:tc>
        <w:tc>
          <w:tcPr>
            <w:tcW w:w="628" w:type="pct"/>
            <w:vAlign w:val="center"/>
          </w:tcPr>
          <w:p w14:paraId="347B5640" w14:textId="77777777" w:rsidR="00071A00" w:rsidRPr="005635EB" w:rsidRDefault="00071A00">
            <w:pPr>
              <w:contextualSpacing/>
              <w:jc w:val="center"/>
              <w:rPr>
                <w:rFonts w:ascii="Arial Narrow" w:hAnsi="Arial Narrow"/>
                <w:b/>
                <w:color w:val="000000" w:themeColor="text1"/>
                <w:sz w:val="20"/>
                <w:szCs w:val="20"/>
              </w:rPr>
            </w:pPr>
            <w:r w:rsidRPr="005635EB">
              <w:rPr>
                <w:rFonts w:ascii="Arial Narrow" w:eastAsia="Calibri" w:hAnsi="Arial Narrow"/>
                <w:b/>
                <w:color w:val="000000" w:themeColor="text1"/>
                <w:sz w:val="20"/>
                <w:szCs w:val="20"/>
              </w:rPr>
              <w:t>0.0002</w:t>
            </w:r>
          </w:p>
        </w:tc>
        <w:tc>
          <w:tcPr>
            <w:tcW w:w="679" w:type="pct"/>
            <w:vAlign w:val="center"/>
          </w:tcPr>
          <w:p w14:paraId="7AA89C34" w14:textId="77777777" w:rsidR="00071A00" w:rsidRPr="009B49DB" w:rsidRDefault="00071A00">
            <w:pPr>
              <w:contextualSpacing/>
              <w:jc w:val="center"/>
              <w:rPr>
                <w:rFonts w:ascii="Arial Narrow" w:hAnsi="Arial Narrow"/>
                <w:color w:val="000000" w:themeColor="text1"/>
                <w:sz w:val="20"/>
                <w:szCs w:val="20"/>
              </w:rPr>
            </w:pPr>
            <w:r w:rsidRPr="009B49DB">
              <w:rPr>
                <w:rFonts w:ascii="Arial Narrow" w:hAnsi="Arial Narrow"/>
                <w:color w:val="000000" w:themeColor="text1"/>
                <w:sz w:val="20"/>
                <w:szCs w:val="20"/>
              </w:rPr>
              <w:t>Dominant</w:t>
            </w:r>
          </w:p>
          <w:p w14:paraId="317D779E" w14:textId="77777777" w:rsidR="00071A00" w:rsidRPr="005635EB" w:rsidRDefault="00071A00">
            <w:pPr>
              <w:contextualSpacing/>
              <w:jc w:val="center"/>
              <w:rPr>
                <w:rFonts w:ascii="Arial Narrow" w:hAnsi="Arial Narrow"/>
                <w:b/>
                <w:color w:val="000000" w:themeColor="text1"/>
                <w:sz w:val="20"/>
                <w:szCs w:val="20"/>
              </w:rPr>
            </w:pPr>
            <w:r w:rsidRPr="005635EB">
              <w:rPr>
                <w:rFonts w:ascii="Arial Narrow" w:eastAsia="Calibri" w:hAnsi="Arial Narrow"/>
                <w:b/>
                <w:color w:val="000000" w:themeColor="text1"/>
                <w:sz w:val="20"/>
                <w:szCs w:val="20"/>
              </w:rPr>
              <w:t>-$66,397.35</w:t>
            </w:r>
          </w:p>
        </w:tc>
      </w:tr>
      <w:tr w:rsidR="00071A00" w:rsidRPr="00EF4E30" w14:paraId="5FACF07B" w14:textId="77777777">
        <w:trPr>
          <w:cantSplit/>
          <w:trHeight w:val="277"/>
        </w:trPr>
        <w:tc>
          <w:tcPr>
            <w:tcW w:w="2985" w:type="pct"/>
            <w:vAlign w:val="center"/>
          </w:tcPr>
          <w:p w14:paraId="291E6BB2" w14:textId="77777777" w:rsidR="00071A00" w:rsidRPr="005635EB" w:rsidRDefault="00071A00">
            <w:pPr>
              <w:contextualSpacing/>
              <w:rPr>
                <w:rFonts w:ascii="Arial Narrow" w:hAnsi="Arial Narrow"/>
                <w:color w:val="000000" w:themeColor="text1"/>
                <w:sz w:val="20"/>
                <w:szCs w:val="20"/>
              </w:rPr>
            </w:pPr>
            <w:r w:rsidRPr="005635EB">
              <w:rPr>
                <w:rFonts w:ascii="Arial Narrow" w:hAnsi="Arial Narrow"/>
                <w:color w:val="000000" w:themeColor="text1"/>
                <w:sz w:val="20"/>
                <w:szCs w:val="20"/>
              </w:rPr>
              <w:t>SoC cost $124.49 and FMF testing cost $277.87</w:t>
            </w:r>
          </w:p>
        </w:tc>
        <w:tc>
          <w:tcPr>
            <w:tcW w:w="708" w:type="pct"/>
            <w:vAlign w:val="center"/>
          </w:tcPr>
          <w:p w14:paraId="0F165446"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$89.21</w:t>
            </w:r>
          </w:p>
        </w:tc>
        <w:tc>
          <w:tcPr>
            <w:tcW w:w="628" w:type="pct"/>
            <w:vAlign w:val="center"/>
          </w:tcPr>
          <w:p w14:paraId="66ABB547"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0.0002</w:t>
            </w:r>
          </w:p>
        </w:tc>
        <w:tc>
          <w:tcPr>
            <w:tcW w:w="679" w:type="pct"/>
            <w:vAlign w:val="center"/>
          </w:tcPr>
          <w:p w14:paraId="6456594E"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$371,100</w:t>
            </w:r>
          </w:p>
        </w:tc>
      </w:tr>
      <w:tr w:rsidR="00071A00" w:rsidRPr="00EF4E30" w14:paraId="562ADCEC" w14:textId="77777777">
        <w:trPr>
          <w:cantSplit/>
          <w:trHeight w:val="297"/>
        </w:trPr>
        <w:tc>
          <w:tcPr>
            <w:tcW w:w="2985" w:type="pct"/>
            <w:vAlign w:val="center"/>
          </w:tcPr>
          <w:p w14:paraId="08929526" w14:textId="77777777" w:rsidR="00071A00" w:rsidRPr="005635EB" w:rsidRDefault="00071A00">
            <w:pPr>
              <w:contextualSpacing/>
              <w:rPr>
                <w:rFonts w:ascii="Arial Narrow" w:hAnsi="Arial Narrow"/>
                <w:color w:val="000000" w:themeColor="text1"/>
                <w:sz w:val="20"/>
                <w:szCs w:val="20"/>
              </w:rPr>
            </w:pPr>
            <w:r w:rsidRPr="005635EB">
              <w:rPr>
                <w:rFonts w:ascii="Arial Narrow" w:hAnsi="Arial Narrow"/>
                <w:color w:val="000000" w:themeColor="text1"/>
                <w:sz w:val="20"/>
                <w:szCs w:val="20"/>
              </w:rPr>
              <w:t>SoC cost $205.49 and FMF testing cost $427.87</w:t>
            </w:r>
          </w:p>
        </w:tc>
        <w:tc>
          <w:tcPr>
            <w:tcW w:w="708" w:type="pct"/>
            <w:vAlign w:val="center"/>
          </w:tcPr>
          <w:p w14:paraId="7A708CF2"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$158.21</w:t>
            </w:r>
          </w:p>
        </w:tc>
        <w:tc>
          <w:tcPr>
            <w:tcW w:w="628" w:type="pct"/>
            <w:vAlign w:val="center"/>
          </w:tcPr>
          <w:p w14:paraId="4ADC1E51"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0.0002</w:t>
            </w:r>
          </w:p>
        </w:tc>
        <w:tc>
          <w:tcPr>
            <w:tcW w:w="679" w:type="pct"/>
            <w:vAlign w:val="center"/>
          </w:tcPr>
          <w:p w14:paraId="7983F3BF"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$658,134</w:t>
            </w:r>
          </w:p>
        </w:tc>
      </w:tr>
      <w:tr w:rsidR="00071A00" w:rsidRPr="00EF4E30" w14:paraId="47C64A9B" w14:textId="77777777">
        <w:trPr>
          <w:cantSplit/>
          <w:trHeight w:val="277"/>
        </w:trPr>
        <w:tc>
          <w:tcPr>
            <w:tcW w:w="2985" w:type="pct"/>
            <w:vAlign w:val="center"/>
          </w:tcPr>
          <w:p w14:paraId="456A315C" w14:textId="77777777" w:rsidR="00071A00" w:rsidRPr="005635EB" w:rsidRDefault="00071A00">
            <w:pPr>
              <w:contextualSpacing/>
              <w:rPr>
                <w:rFonts w:ascii="Arial Narrow" w:hAnsi="Arial Narrow"/>
                <w:color w:val="000000" w:themeColor="text1"/>
                <w:sz w:val="20"/>
                <w:szCs w:val="20"/>
              </w:rPr>
            </w:pPr>
            <w:r w:rsidRPr="005635EB">
              <w:rPr>
                <w:rFonts w:ascii="Arial Narrow" w:hAnsi="Arial Narrow"/>
                <w:color w:val="000000" w:themeColor="text1"/>
                <w:sz w:val="20"/>
                <w:szCs w:val="20"/>
              </w:rPr>
              <w:t>SoC cost $332.85 and FMF testing cost $663.72</w:t>
            </w:r>
          </w:p>
        </w:tc>
        <w:tc>
          <w:tcPr>
            <w:tcW w:w="708" w:type="pct"/>
            <w:vAlign w:val="center"/>
          </w:tcPr>
          <w:p w14:paraId="15F47848"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$266.70</w:t>
            </w:r>
          </w:p>
        </w:tc>
        <w:tc>
          <w:tcPr>
            <w:tcW w:w="628" w:type="pct"/>
            <w:vAlign w:val="center"/>
          </w:tcPr>
          <w:p w14:paraId="5EB71E2C"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0.0002</w:t>
            </w:r>
          </w:p>
        </w:tc>
        <w:tc>
          <w:tcPr>
            <w:tcW w:w="679" w:type="pct"/>
            <w:vAlign w:val="center"/>
          </w:tcPr>
          <w:p w14:paraId="320D6AC8" w14:textId="77777777" w:rsidR="00071A00" w:rsidRPr="005635EB" w:rsidRDefault="00071A00">
            <w:pPr>
              <w:contextualSpacing/>
              <w:jc w:val="center"/>
              <w:rPr>
                <w:rFonts w:ascii="Arial Narrow" w:hAnsi="Arial Narrow"/>
                <w:color w:val="000000" w:themeColor="text1"/>
                <w:sz w:val="20"/>
                <w:szCs w:val="20"/>
              </w:rPr>
            </w:pPr>
            <w:r w:rsidRPr="005635EB">
              <w:rPr>
                <w:rFonts w:ascii="Arial Narrow" w:hAnsi="Arial Narrow"/>
                <w:color w:val="000000" w:themeColor="text1"/>
                <w:sz w:val="20"/>
                <w:szCs w:val="20"/>
              </w:rPr>
              <w:t>$1,109,442</w:t>
            </w:r>
          </w:p>
        </w:tc>
      </w:tr>
    </w:tbl>
    <w:p w14:paraId="1D28EEE2" w14:textId="77777777" w:rsidR="00071A00" w:rsidRDefault="00071A00" w:rsidP="00071A00">
      <w:pPr>
        <w:pStyle w:val="TableFigureFooter"/>
        <w:spacing w:after="0"/>
        <w:rPr>
          <w:rFonts w:eastAsia="Calibri"/>
          <w:szCs w:val="20"/>
        </w:rPr>
      </w:pPr>
      <w:r>
        <w:rPr>
          <w:rFonts w:eastAsia="Calibri"/>
          <w:szCs w:val="20"/>
        </w:rPr>
        <w:t xml:space="preserve">Abbreviations: SoC=standard of care; </w:t>
      </w:r>
      <w:proofErr w:type="spellStart"/>
      <w:r>
        <w:rPr>
          <w:rFonts w:eastAsia="Calibri"/>
          <w:szCs w:val="20"/>
        </w:rPr>
        <w:t>Incr</w:t>
      </w:r>
      <w:proofErr w:type="spellEnd"/>
      <w:r>
        <w:rPr>
          <w:rFonts w:eastAsia="Calibri"/>
          <w:szCs w:val="20"/>
        </w:rPr>
        <w:t>=Incremental; QALY=quality adjusted life years; FMF=</w:t>
      </w:r>
      <w:proofErr w:type="spellStart"/>
      <w:r>
        <w:rPr>
          <w:rFonts w:eastAsia="Calibri"/>
          <w:szCs w:val="20"/>
        </w:rPr>
        <w:t>Fetal</w:t>
      </w:r>
      <w:proofErr w:type="spellEnd"/>
      <w:r>
        <w:rPr>
          <w:rFonts w:eastAsia="Calibri"/>
          <w:szCs w:val="20"/>
        </w:rPr>
        <w:t xml:space="preserve"> Medicine Foundation</w:t>
      </w:r>
    </w:p>
    <w:p w14:paraId="2BC47648" w14:textId="3ACC61E0" w:rsidR="00071A00" w:rsidRPr="00071A00" w:rsidRDefault="00071A00" w:rsidP="00F16694">
      <w:pPr>
        <w:pStyle w:val="TableFigureFooter"/>
        <w:spacing w:after="0"/>
      </w:pPr>
      <w:r>
        <w:rPr>
          <w:rFonts w:eastAsia="Calibri"/>
          <w:szCs w:val="20"/>
        </w:rPr>
        <w:t>Source: Table C8, p97 of the ADAR</w:t>
      </w:r>
    </w:p>
    <w:p w14:paraId="1449AA11" w14:textId="0CD2D643" w:rsidR="008B5B67" w:rsidRPr="00424A3A" w:rsidRDefault="00DC6A18" w:rsidP="00BD04D5">
      <w:pPr>
        <w:pStyle w:val="a-TEXT"/>
        <w:spacing w:before="360"/>
      </w:pPr>
      <w:bookmarkStart w:id="42" w:name="_Hlk68276759"/>
      <w:r>
        <w:t xml:space="preserve">Key drivers of the model were the </w:t>
      </w:r>
      <w:r w:rsidR="00B411DC">
        <w:t xml:space="preserve">cost of the structured </w:t>
      </w:r>
      <w:r w:rsidR="00F56D38">
        <w:t>testing</w:t>
      </w:r>
      <w:r w:rsidR="00B411DC">
        <w:t xml:space="preserve"> intervention, </w:t>
      </w:r>
      <w:r w:rsidR="0019223B">
        <w:t>the probability of developing preterm preeclampsia if high risk by structured risk assessment</w:t>
      </w:r>
      <w:r w:rsidR="00CC7D8D">
        <w:t>, the</w:t>
      </w:r>
      <w:r w:rsidR="0019223B">
        <w:t xml:space="preserve"> </w:t>
      </w:r>
      <w:r>
        <w:t xml:space="preserve">probability of being assessed as high risk by structured risk assessment, the probability of </w:t>
      </w:r>
      <w:r w:rsidR="00CD4BD1">
        <w:t xml:space="preserve">developing term preeclampsia if assessed low risk by structured </w:t>
      </w:r>
      <w:r w:rsidR="00F56D38">
        <w:t>testing</w:t>
      </w:r>
      <w:r w:rsidR="00CD4BD1">
        <w:t xml:space="preserve"> and </w:t>
      </w:r>
      <w:r>
        <w:t xml:space="preserve">the probability of taking aspirin if </w:t>
      </w:r>
      <w:r w:rsidR="00F56D38">
        <w:t>tested</w:t>
      </w:r>
      <w:r>
        <w:t xml:space="preserve"> with standard care and</w:t>
      </w:r>
      <w:r w:rsidR="59D49BFC">
        <w:t xml:space="preserve"> the likelihood of pre-term delivery</w:t>
      </w:r>
      <w:r w:rsidR="00B36560">
        <w:t xml:space="preserve"> if assessed as high risk by </w:t>
      </w:r>
      <w:r w:rsidR="00932DFE">
        <w:t>structured</w:t>
      </w:r>
      <w:r w:rsidR="00CF7B0C">
        <w:t xml:space="preserve"> </w:t>
      </w:r>
      <w:r w:rsidR="00561FCA">
        <w:t xml:space="preserve">risk </w:t>
      </w:r>
      <w:r w:rsidR="00932DFE">
        <w:t>assessment</w:t>
      </w:r>
      <w:r>
        <w:t>.</w:t>
      </w:r>
      <w:r w:rsidR="00424A3A">
        <w:t xml:space="preserve"> The sensitivity analysis showed the dominance of structured prenatal risk assessment for preterm preeclampsia </w:t>
      </w:r>
      <w:r w:rsidR="00286343">
        <w:t xml:space="preserve">reported by the ADAR </w:t>
      </w:r>
      <w:r w:rsidR="00424A3A">
        <w:t xml:space="preserve">was maintained. However, during evaluation it was demonstrated that </w:t>
      </w:r>
      <w:r w:rsidR="00E272AD">
        <w:t>the ICER was sensitive</w:t>
      </w:r>
      <w:r w:rsidR="00424A3A">
        <w:t xml:space="preserve"> </w:t>
      </w:r>
      <w:r w:rsidR="009E6443">
        <w:t xml:space="preserve">to </w:t>
      </w:r>
      <w:r w:rsidR="00424A3A">
        <w:t xml:space="preserve">changes to the cost of structured </w:t>
      </w:r>
      <w:r w:rsidR="00F56D38">
        <w:t>testing</w:t>
      </w:r>
      <w:r w:rsidR="00424A3A">
        <w:t xml:space="preserve"> </w:t>
      </w:r>
      <w:r w:rsidR="001E1BF3">
        <w:t>such</w:t>
      </w:r>
      <w:r w:rsidR="00424A3A">
        <w:t xml:space="preserve"> that the technology was no longer dominant and may not be cost effective</w:t>
      </w:r>
      <w:r w:rsidR="00B10083">
        <w:t xml:space="preserve"> if </w:t>
      </w:r>
      <w:r w:rsidR="009576DF">
        <w:t xml:space="preserve">its cost </w:t>
      </w:r>
      <w:r w:rsidR="00F56D38">
        <w:t>wa</w:t>
      </w:r>
      <w:r w:rsidR="009576DF">
        <w:t>s increased.</w:t>
      </w:r>
      <w:r w:rsidR="00424A3A">
        <w:t xml:space="preserve"> Additionally, </w:t>
      </w:r>
      <w:r w:rsidR="00C26AF9">
        <w:t xml:space="preserve">increasing </w:t>
      </w:r>
      <w:r w:rsidR="00424A3A">
        <w:t xml:space="preserve">the probability of developing preterm preeclampsia </w:t>
      </w:r>
      <w:r w:rsidR="00B473E7">
        <w:t xml:space="preserve">also led to the technology </w:t>
      </w:r>
      <w:r w:rsidR="00424A3A">
        <w:t>ha</w:t>
      </w:r>
      <w:r w:rsidR="00F56D38">
        <w:t>ving</w:t>
      </w:r>
      <w:r w:rsidR="00424A3A">
        <w:t xml:space="preserve"> similar effects on the model</w:t>
      </w:r>
      <w:r w:rsidR="00C26AF9">
        <w:t xml:space="preserve"> (in terms of</w:t>
      </w:r>
      <w:r w:rsidR="007E46BA">
        <w:t xml:space="preserve"> shifting the cost effectiveness result away from dominance</w:t>
      </w:r>
      <w:r w:rsidR="00655F43">
        <w:t>)</w:t>
      </w:r>
      <w:r w:rsidR="00424A3A">
        <w:t xml:space="preserve"> and given the issues with the </w:t>
      </w:r>
      <w:r w:rsidR="002E5547">
        <w:t xml:space="preserve">key </w:t>
      </w:r>
      <w:r w:rsidR="00424A3A">
        <w:t>study</w:t>
      </w:r>
      <w:r w:rsidR="00BF5741">
        <w:t xml:space="preserve"> underpinning the model</w:t>
      </w:r>
      <w:r w:rsidR="00424A3A">
        <w:t xml:space="preserve">, </w:t>
      </w:r>
      <w:r w:rsidR="00F56D38">
        <w:t xml:space="preserve">the commentary considered that </w:t>
      </w:r>
      <w:r w:rsidR="00424A3A">
        <w:t>this could be a real concern</w:t>
      </w:r>
      <w:r w:rsidR="00C96B16">
        <w:t xml:space="preserve"> and mean that the cost </w:t>
      </w:r>
      <w:r w:rsidR="00F56D38">
        <w:t xml:space="preserve">utility </w:t>
      </w:r>
      <w:r w:rsidR="00C96B16">
        <w:t xml:space="preserve">analysis </w:t>
      </w:r>
      <w:r w:rsidR="00F56D38">
        <w:t>wa</w:t>
      </w:r>
      <w:r w:rsidR="00C96B16">
        <w:t>s unreliable</w:t>
      </w:r>
      <w:r w:rsidR="00424A3A">
        <w:t>.</w:t>
      </w:r>
    </w:p>
    <w:p w14:paraId="25AE2BAC" w14:textId="6281F2E4" w:rsidR="00772829" w:rsidRPr="00CE28E3" w:rsidRDefault="00C36633" w:rsidP="00CE307E">
      <w:pPr>
        <w:pStyle w:val="Heading2"/>
        <w:numPr>
          <w:ilvl w:val="0"/>
          <w:numId w:val="0"/>
        </w:numPr>
        <w:spacing w:before="240" w:after="120"/>
      </w:pPr>
      <w:bookmarkStart w:id="43" w:name="_Toc69491426"/>
      <w:bookmarkEnd w:id="42"/>
      <w:r>
        <w:t>1</w:t>
      </w:r>
      <w:r w:rsidR="00503420">
        <w:t>4</w:t>
      </w:r>
      <w:r>
        <w:t>.</w:t>
      </w:r>
      <w:r>
        <w:tab/>
      </w:r>
      <w:r w:rsidR="00772829" w:rsidRPr="00CE28E3">
        <w:t>Financial/budgetary impacts</w:t>
      </w:r>
      <w:bookmarkEnd w:id="43"/>
    </w:p>
    <w:p w14:paraId="5BD9975D" w14:textId="1FD9AF90" w:rsidR="00920047" w:rsidRPr="003A74C6" w:rsidRDefault="00920047" w:rsidP="003A74C6">
      <w:pPr>
        <w:pStyle w:val="Heading3"/>
        <w:spacing w:before="300" w:after="160" w:line="240" w:lineRule="auto"/>
        <w:rPr>
          <w:i/>
          <w:iCs/>
          <w:sz w:val="21"/>
          <w:szCs w:val="21"/>
        </w:rPr>
      </w:pPr>
      <w:r w:rsidRPr="003A74C6">
        <w:rPr>
          <w:i/>
          <w:iCs/>
          <w:sz w:val="21"/>
          <w:szCs w:val="21"/>
        </w:rPr>
        <w:t>Justification of the approach and data sources</w:t>
      </w:r>
    </w:p>
    <w:p w14:paraId="6566A4B1" w14:textId="094B7EAE" w:rsidR="00AC6B81" w:rsidRDefault="002C6A96" w:rsidP="00B94F5D">
      <w:pPr>
        <w:pStyle w:val="a-TEXT"/>
      </w:pPr>
      <w:r>
        <w:t xml:space="preserve">A market </w:t>
      </w:r>
      <w:r w:rsidR="00AC6B81">
        <w:t>s</w:t>
      </w:r>
      <w:r>
        <w:t xml:space="preserve">hare approach </w:t>
      </w:r>
      <w:r w:rsidR="00577A96">
        <w:t xml:space="preserve">was </w:t>
      </w:r>
      <w:r w:rsidR="00854078">
        <w:t>used to estimate the uptake of the proposed technology</w:t>
      </w:r>
      <w:r w:rsidR="00AC6B81">
        <w:t xml:space="preserve"> in the ADAR</w:t>
      </w:r>
      <w:r w:rsidR="00D81350">
        <w:t xml:space="preserve">. The market share </w:t>
      </w:r>
      <w:r w:rsidR="00740244">
        <w:t>was</w:t>
      </w:r>
      <w:r w:rsidR="00AC6B81">
        <w:t xml:space="preserve"> based on </w:t>
      </w:r>
      <w:r w:rsidR="00F56D38">
        <w:t xml:space="preserve">utilisation of </w:t>
      </w:r>
      <w:r w:rsidR="00AC6B81">
        <w:t xml:space="preserve">the </w:t>
      </w:r>
      <w:r w:rsidR="008D56E1">
        <w:t xml:space="preserve">currently listed items </w:t>
      </w:r>
      <w:r w:rsidR="00F56D38">
        <w:t xml:space="preserve">proposed </w:t>
      </w:r>
      <w:r w:rsidR="008D56E1">
        <w:t>to be changed (</w:t>
      </w:r>
      <w:r w:rsidR="00DE7C5C" w:rsidRPr="00DE7C5C">
        <w:t>items 55707, 66750 and 66751</w:t>
      </w:r>
      <w:r w:rsidR="00DE7C5C">
        <w:t>)</w:t>
      </w:r>
      <w:r w:rsidR="009F0B50">
        <w:t xml:space="preserve">, assuming a </w:t>
      </w:r>
      <w:r w:rsidR="006245F7">
        <w:t>10% increase driven by the addition of preeclampsia testing</w:t>
      </w:r>
      <w:r w:rsidR="00577A96">
        <w:t xml:space="preserve">. </w:t>
      </w:r>
      <w:r w:rsidR="009F46EF">
        <w:t>Th</w:t>
      </w:r>
      <w:r w:rsidR="00F56D38">
        <w:t>e commentary considered th</w:t>
      </w:r>
      <w:r w:rsidR="009F46EF">
        <w:t xml:space="preserve">is was appropriate, </w:t>
      </w:r>
      <w:r w:rsidR="00F56D38">
        <w:t>al</w:t>
      </w:r>
      <w:r w:rsidR="009F46EF">
        <w:t xml:space="preserve">though an epidemiological approach based on the number of pregnant </w:t>
      </w:r>
      <w:r w:rsidR="00755542">
        <w:t>persons</w:t>
      </w:r>
      <w:r w:rsidR="009F46EF">
        <w:t xml:space="preserve"> opting to uptake the </w:t>
      </w:r>
      <w:r w:rsidR="00F56D38">
        <w:t>testing</w:t>
      </w:r>
      <w:r w:rsidR="009F46EF">
        <w:t xml:space="preserve"> could also have been used for validation.</w:t>
      </w:r>
    </w:p>
    <w:p w14:paraId="3806987B" w14:textId="4589D687" w:rsidR="00824AA2" w:rsidRPr="003A74C6" w:rsidRDefault="00690946" w:rsidP="003A74C6">
      <w:pPr>
        <w:pStyle w:val="Heading3"/>
        <w:spacing w:before="300" w:after="160" w:line="240" w:lineRule="auto"/>
        <w:rPr>
          <w:i/>
          <w:iCs/>
          <w:sz w:val="21"/>
          <w:szCs w:val="21"/>
        </w:rPr>
      </w:pPr>
      <w:r w:rsidRPr="003A74C6">
        <w:rPr>
          <w:i/>
          <w:iCs/>
          <w:sz w:val="21"/>
          <w:szCs w:val="21"/>
        </w:rPr>
        <w:t xml:space="preserve">Key </w:t>
      </w:r>
      <w:r w:rsidR="00824AA2" w:rsidRPr="003A74C6">
        <w:rPr>
          <w:i/>
          <w:iCs/>
          <w:sz w:val="21"/>
          <w:szCs w:val="21"/>
        </w:rPr>
        <w:t>assumptions</w:t>
      </w:r>
    </w:p>
    <w:p w14:paraId="7BD62A59" w14:textId="6EC6AA19" w:rsidR="0013342C" w:rsidRPr="00330A0A" w:rsidRDefault="0013342C" w:rsidP="00B94F5D">
      <w:pPr>
        <w:pStyle w:val="a-TEXT"/>
      </w:pPr>
      <w:r>
        <w:t>The following key cost assumptions/</w:t>
      </w:r>
      <w:r w:rsidRPr="00F347BD">
        <w:t>drivers</w:t>
      </w:r>
      <w:r>
        <w:t xml:space="preserve"> were used for the budgetary impact analysis:</w:t>
      </w:r>
    </w:p>
    <w:p w14:paraId="0CAE2671" w14:textId="261275FA" w:rsidR="00AC6B81" w:rsidRPr="003A74C6" w:rsidRDefault="00AC6B81" w:rsidP="00AC337E">
      <w:pPr>
        <w:pStyle w:val="TableText"/>
        <w:numPr>
          <w:ilvl w:val="0"/>
          <w:numId w:val="20"/>
        </w:numPr>
        <w:spacing w:before="120" w:after="120" w:line="259" w:lineRule="auto"/>
        <w:rPr>
          <w:rFonts w:ascii="Franklin Gothic Book" w:eastAsiaTheme="minorHAnsi" w:hAnsi="Franklin Gothic Book" w:cstheme="minorBidi"/>
          <w:iCs/>
          <w:sz w:val="22"/>
          <w:szCs w:val="22"/>
          <w:lang w:eastAsia="en-US"/>
        </w:rPr>
      </w:pPr>
      <w:r w:rsidRPr="003A74C6">
        <w:rPr>
          <w:rFonts w:ascii="Franklin Gothic Book" w:eastAsiaTheme="minorHAnsi" w:hAnsi="Franklin Gothic Book" w:cstheme="minorBidi"/>
          <w:iCs/>
          <w:sz w:val="22"/>
          <w:szCs w:val="22"/>
          <w:lang w:eastAsia="en-US"/>
        </w:rPr>
        <w:lastRenderedPageBreak/>
        <w:t xml:space="preserve">The ADAR estimated that there would be an increase in use of the items </w:t>
      </w:r>
      <w:r w:rsidR="00DE7C5C" w:rsidRPr="003A74C6">
        <w:rPr>
          <w:rFonts w:ascii="Franklin Gothic Book" w:eastAsiaTheme="minorHAnsi" w:hAnsi="Franklin Gothic Book" w:cstheme="minorBidi"/>
          <w:iCs/>
          <w:sz w:val="22"/>
          <w:szCs w:val="22"/>
          <w:lang w:eastAsia="en-US"/>
        </w:rPr>
        <w:t xml:space="preserve">due to </w:t>
      </w:r>
      <w:r w:rsidR="00EC64A1">
        <w:rPr>
          <w:rFonts w:ascii="Franklin Gothic Book" w:eastAsiaTheme="minorHAnsi" w:hAnsi="Franklin Gothic Book" w:cstheme="minorBidi"/>
          <w:iCs/>
          <w:sz w:val="22"/>
          <w:szCs w:val="22"/>
          <w:lang w:eastAsia="en-US"/>
        </w:rPr>
        <w:t xml:space="preserve">some </w:t>
      </w:r>
      <w:r w:rsidR="00E42942" w:rsidRPr="003A74C6">
        <w:rPr>
          <w:rFonts w:ascii="Franklin Gothic Book" w:eastAsiaTheme="minorHAnsi" w:hAnsi="Franklin Gothic Book" w:cstheme="minorBidi"/>
          <w:iCs/>
          <w:sz w:val="22"/>
          <w:szCs w:val="22"/>
          <w:lang w:eastAsia="en-US"/>
        </w:rPr>
        <w:t xml:space="preserve">women </w:t>
      </w:r>
      <w:r w:rsidR="00F56D38">
        <w:rPr>
          <w:rFonts w:ascii="Franklin Gothic Book" w:eastAsiaTheme="minorHAnsi" w:hAnsi="Franklin Gothic Book" w:cstheme="minorBidi"/>
          <w:iCs/>
          <w:sz w:val="22"/>
          <w:szCs w:val="22"/>
          <w:lang w:eastAsia="en-US"/>
        </w:rPr>
        <w:t xml:space="preserve">currently </w:t>
      </w:r>
      <w:r w:rsidR="00E42942" w:rsidRPr="003A74C6">
        <w:rPr>
          <w:rFonts w:ascii="Franklin Gothic Book" w:eastAsiaTheme="minorHAnsi" w:hAnsi="Franklin Gothic Book" w:cstheme="minorBidi"/>
          <w:iCs/>
          <w:sz w:val="22"/>
          <w:szCs w:val="22"/>
          <w:lang w:eastAsia="en-US"/>
        </w:rPr>
        <w:t>not using the items due to choosing</w:t>
      </w:r>
      <w:r w:rsidR="00FE3701">
        <w:rPr>
          <w:rFonts w:ascii="Franklin Gothic Book" w:eastAsiaTheme="minorHAnsi" w:hAnsi="Franklin Gothic Book" w:cstheme="minorBidi"/>
          <w:iCs/>
          <w:sz w:val="22"/>
          <w:szCs w:val="22"/>
          <w:lang w:eastAsia="en-US"/>
        </w:rPr>
        <w:t xml:space="preserve"> not</w:t>
      </w:r>
      <w:r w:rsidR="00E42942" w:rsidRPr="003A74C6">
        <w:rPr>
          <w:rFonts w:ascii="Franklin Gothic Book" w:eastAsiaTheme="minorHAnsi" w:hAnsi="Franklin Gothic Book" w:cstheme="minorBidi"/>
          <w:iCs/>
          <w:sz w:val="22"/>
          <w:szCs w:val="22"/>
          <w:lang w:eastAsia="en-US"/>
        </w:rPr>
        <w:t xml:space="preserve"> to be </w:t>
      </w:r>
      <w:r w:rsidR="00F56D38">
        <w:rPr>
          <w:rFonts w:ascii="Franklin Gothic Book" w:eastAsiaTheme="minorHAnsi" w:hAnsi="Franklin Gothic Book" w:cstheme="minorBidi"/>
          <w:iCs/>
          <w:sz w:val="22"/>
          <w:szCs w:val="22"/>
          <w:lang w:eastAsia="en-US"/>
        </w:rPr>
        <w:t>tested</w:t>
      </w:r>
      <w:r w:rsidR="00E42942" w:rsidRPr="003A74C6">
        <w:rPr>
          <w:rFonts w:ascii="Franklin Gothic Book" w:eastAsiaTheme="minorHAnsi" w:hAnsi="Franklin Gothic Book" w:cstheme="minorBidi"/>
          <w:iCs/>
          <w:sz w:val="22"/>
          <w:szCs w:val="22"/>
          <w:lang w:eastAsia="en-US"/>
        </w:rPr>
        <w:t xml:space="preserve"> for chromosomal or anatomic abnormalities.</w:t>
      </w:r>
    </w:p>
    <w:p w14:paraId="5F4A2F25" w14:textId="74054622" w:rsidR="00C025EB" w:rsidRPr="003A74C6" w:rsidRDefault="00C025EB" w:rsidP="00AC337E">
      <w:pPr>
        <w:pStyle w:val="TableText"/>
        <w:numPr>
          <w:ilvl w:val="1"/>
          <w:numId w:val="20"/>
        </w:numPr>
        <w:spacing w:before="120" w:after="120" w:line="259" w:lineRule="auto"/>
        <w:rPr>
          <w:rFonts w:ascii="Franklin Gothic Book" w:eastAsiaTheme="minorHAnsi" w:hAnsi="Franklin Gothic Book" w:cstheme="minorBidi"/>
          <w:iCs/>
          <w:sz w:val="22"/>
          <w:szCs w:val="22"/>
          <w:lang w:eastAsia="en-US"/>
        </w:rPr>
      </w:pPr>
      <w:r w:rsidRPr="003A74C6">
        <w:rPr>
          <w:rFonts w:ascii="Franklin Gothic Book" w:eastAsiaTheme="minorHAnsi" w:hAnsi="Franklin Gothic Book" w:cstheme="minorBidi"/>
          <w:iCs/>
          <w:sz w:val="22"/>
          <w:szCs w:val="22"/>
          <w:lang w:eastAsia="en-US"/>
        </w:rPr>
        <w:t xml:space="preserve">This increase in use </w:t>
      </w:r>
      <w:r w:rsidR="00F827AE" w:rsidRPr="003A74C6">
        <w:rPr>
          <w:rFonts w:ascii="Franklin Gothic Book" w:eastAsiaTheme="minorHAnsi" w:hAnsi="Franklin Gothic Book" w:cstheme="minorBidi"/>
          <w:iCs/>
          <w:sz w:val="22"/>
          <w:szCs w:val="22"/>
          <w:lang w:eastAsia="en-US"/>
        </w:rPr>
        <w:t xml:space="preserve">(10%) </w:t>
      </w:r>
      <w:r w:rsidRPr="003A74C6">
        <w:rPr>
          <w:rFonts w:ascii="Franklin Gothic Book" w:eastAsiaTheme="minorHAnsi" w:hAnsi="Franklin Gothic Book" w:cstheme="minorBidi"/>
          <w:iCs/>
          <w:sz w:val="22"/>
          <w:szCs w:val="22"/>
          <w:lang w:eastAsia="en-US"/>
        </w:rPr>
        <w:t>was based on expert opinion</w:t>
      </w:r>
      <w:r w:rsidR="00EB771D" w:rsidRPr="003A74C6">
        <w:rPr>
          <w:rFonts w:ascii="Franklin Gothic Book" w:eastAsiaTheme="minorHAnsi" w:hAnsi="Franklin Gothic Book" w:cstheme="minorBidi"/>
          <w:iCs/>
          <w:sz w:val="22"/>
          <w:szCs w:val="22"/>
          <w:lang w:eastAsia="en-US"/>
        </w:rPr>
        <w:t xml:space="preserve"> of </w:t>
      </w:r>
      <w:r w:rsidR="001814D4" w:rsidRPr="003A74C6">
        <w:rPr>
          <w:rFonts w:ascii="Franklin Gothic Book" w:eastAsiaTheme="minorHAnsi" w:hAnsi="Franklin Gothic Book" w:cstheme="minorBidi"/>
          <w:iCs/>
          <w:sz w:val="22"/>
          <w:szCs w:val="22"/>
          <w:lang w:eastAsia="en-US"/>
        </w:rPr>
        <w:t>one clinician</w:t>
      </w:r>
      <w:r w:rsidR="00FE3701">
        <w:rPr>
          <w:rFonts w:ascii="Franklin Gothic Book" w:eastAsiaTheme="minorHAnsi" w:hAnsi="Franklin Gothic Book" w:cstheme="minorBidi"/>
          <w:iCs/>
          <w:sz w:val="22"/>
          <w:szCs w:val="22"/>
          <w:lang w:eastAsia="en-US"/>
        </w:rPr>
        <w:t>,</w:t>
      </w:r>
      <w:r w:rsidR="001814D4" w:rsidRPr="003A74C6">
        <w:rPr>
          <w:rFonts w:ascii="Franklin Gothic Book" w:eastAsiaTheme="minorHAnsi" w:hAnsi="Franklin Gothic Book" w:cstheme="minorBidi"/>
          <w:iCs/>
          <w:sz w:val="22"/>
          <w:szCs w:val="22"/>
          <w:lang w:eastAsia="en-US"/>
        </w:rPr>
        <w:t xml:space="preserve"> who is on</w:t>
      </w:r>
      <w:r w:rsidR="003A74C6">
        <w:rPr>
          <w:rFonts w:ascii="Franklin Gothic Book" w:eastAsiaTheme="minorHAnsi" w:hAnsi="Franklin Gothic Book" w:cstheme="minorBidi"/>
          <w:iCs/>
          <w:sz w:val="22"/>
          <w:szCs w:val="22"/>
          <w:lang w:eastAsia="en-US"/>
        </w:rPr>
        <w:t>e</w:t>
      </w:r>
      <w:r w:rsidR="001814D4" w:rsidRPr="003A74C6">
        <w:rPr>
          <w:rFonts w:ascii="Franklin Gothic Book" w:eastAsiaTheme="minorHAnsi" w:hAnsi="Franklin Gothic Book" w:cstheme="minorBidi"/>
          <w:iCs/>
          <w:sz w:val="22"/>
          <w:szCs w:val="22"/>
          <w:lang w:eastAsia="en-US"/>
        </w:rPr>
        <w:t xml:space="preserve"> of the ADAR applicants.</w:t>
      </w:r>
    </w:p>
    <w:p w14:paraId="3590AA92" w14:textId="61EB3684" w:rsidR="00D45A34" w:rsidRPr="003A74C6" w:rsidRDefault="0007313E" w:rsidP="00AC337E">
      <w:pPr>
        <w:pStyle w:val="TableText"/>
        <w:numPr>
          <w:ilvl w:val="0"/>
          <w:numId w:val="20"/>
        </w:numPr>
        <w:spacing w:before="120" w:after="120" w:line="259" w:lineRule="auto"/>
        <w:rPr>
          <w:rFonts w:ascii="Franklin Gothic Book" w:eastAsiaTheme="minorHAnsi" w:hAnsi="Franklin Gothic Book" w:cstheme="minorBidi"/>
          <w:iCs/>
          <w:sz w:val="22"/>
          <w:szCs w:val="22"/>
          <w:lang w:eastAsia="en-US"/>
        </w:rPr>
      </w:pPr>
      <w:r w:rsidRPr="003A74C6">
        <w:rPr>
          <w:rFonts w:ascii="Franklin Gothic Book" w:eastAsiaTheme="minorHAnsi" w:hAnsi="Franklin Gothic Book" w:cstheme="minorBidi"/>
          <w:iCs/>
          <w:sz w:val="22"/>
          <w:szCs w:val="22"/>
          <w:lang w:eastAsia="en-US"/>
        </w:rPr>
        <w:t xml:space="preserve">No patients would take up </w:t>
      </w:r>
      <w:r w:rsidR="00F56D38">
        <w:rPr>
          <w:rFonts w:ascii="Franklin Gothic Book" w:eastAsiaTheme="minorHAnsi" w:hAnsi="Franklin Gothic Book" w:cstheme="minorBidi"/>
          <w:iCs/>
          <w:sz w:val="22"/>
          <w:szCs w:val="22"/>
          <w:lang w:eastAsia="en-US"/>
        </w:rPr>
        <w:t>testing</w:t>
      </w:r>
      <w:r w:rsidRPr="003A74C6">
        <w:rPr>
          <w:rFonts w:ascii="Franklin Gothic Book" w:eastAsiaTheme="minorHAnsi" w:hAnsi="Franklin Gothic Book" w:cstheme="minorBidi"/>
          <w:iCs/>
          <w:sz w:val="22"/>
          <w:szCs w:val="22"/>
          <w:lang w:eastAsia="en-US"/>
        </w:rPr>
        <w:t xml:space="preserve"> for chromosomal or anatomic abnormalities</w:t>
      </w:r>
      <w:r w:rsidR="00D45A34" w:rsidRPr="003A74C6">
        <w:rPr>
          <w:rFonts w:ascii="Franklin Gothic Book" w:eastAsiaTheme="minorHAnsi" w:hAnsi="Franklin Gothic Book" w:cstheme="minorBidi"/>
          <w:iCs/>
          <w:sz w:val="22"/>
          <w:szCs w:val="22"/>
          <w:lang w:eastAsia="en-US"/>
        </w:rPr>
        <w:t xml:space="preserve"> and not take up </w:t>
      </w:r>
      <w:r w:rsidR="00AE12FF" w:rsidRPr="003A74C6">
        <w:rPr>
          <w:rFonts w:ascii="Franklin Gothic Book" w:eastAsiaTheme="minorHAnsi" w:hAnsi="Franklin Gothic Book" w:cstheme="minorBidi"/>
          <w:iCs/>
          <w:sz w:val="22"/>
          <w:szCs w:val="22"/>
          <w:lang w:eastAsia="en-US"/>
        </w:rPr>
        <w:t>structured prenatal risk assessment for preterm preeclampsia.</w:t>
      </w:r>
    </w:p>
    <w:p w14:paraId="62239FA7" w14:textId="621F4535" w:rsidR="0013342C" w:rsidRPr="003A74C6" w:rsidRDefault="00EC135D" w:rsidP="00AC337E">
      <w:pPr>
        <w:pStyle w:val="TableText"/>
        <w:numPr>
          <w:ilvl w:val="0"/>
          <w:numId w:val="20"/>
        </w:numPr>
        <w:spacing w:before="120" w:after="120" w:line="259" w:lineRule="auto"/>
        <w:rPr>
          <w:rFonts w:ascii="Franklin Gothic Book" w:eastAsiaTheme="minorHAnsi" w:hAnsi="Franklin Gothic Book" w:cstheme="minorBidi"/>
          <w:iCs/>
          <w:sz w:val="22"/>
          <w:szCs w:val="22"/>
          <w:lang w:eastAsia="en-US"/>
        </w:rPr>
      </w:pPr>
      <w:r w:rsidRPr="003A74C6">
        <w:rPr>
          <w:rFonts w:ascii="Franklin Gothic Book" w:eastAsiaTheme="minorHAnsi" w:hAnsi="Franklin Gothic Book" w:cstheme="minorBidi"/>
          <w:iCs/>
          <w:sz w:val="22"/>
          <w:szCs w:val="22"/>
          <w:lang w:eastAsia="en-US"/>
        </w:rPr>
        <w:t>The estimates o</w:t>
      </w:r>
      <w:r w:rsidR="00E676A2">
        <w:rPr>
          <w:rFonts w:ascii="Franklin Gothic Book" w:eastAsiaTheme="minorHAnsi" w:hAnsi="Franklin Gothic Book" w:cstheme="minorBidi"/>
          <w:iCs/>
          <w:sz w:val="22"/>
          <w:szCs w:val="22"/>
          <w:lang w:eastAsia="en-US"/>
        </w:rPr>
        <w:t>f</w:t>
      </w:r>
      <w:r w:rsidRPr="003A74C6">
        <w:rPr>
          <w:rFonts w:ascii="Franklin Gothic Book" w:eastAsiaTheme="minorHAnsi" w:hAnsi="Franklin Gothic Book" w:cstheme="minorBidi"/>
          <w:iCs/>
          <w:sz w:val="22"/>
          <w:szCs w:val="22"/>
          <w:lang w:eastAsia="en-US"/>
        </w:rPr>
        <w:t xml:space="preserve"> preeclampsia are based on the cohort study by Rolnik </w:t>
      </w:r>
      <w:r w:rsidR="00290472">
        <w:rPr>
          <w:rFonts w:ascii="Franklin Gothic Book" w:eastAsiaTheme="minorHAnsi" w:hAnsi="Franklin Gothic Book" w:cstheme="minorBidi"/>
          <w:iCs/>
          <w:sz w:val="22"/>
          <w:szCs w:val="22"/>
          <w:lang w:eastAsia="en-US"/>
        </w:rPr>
        <w:t xml:space="preserve">et al., 2021, </w:t>
      </w:r>
      <w:r w:rsidR="00707A01" w:rsidRPr="003A74C6">
        <w:rPr>
          <w:rFonts w:ascii="Franklin Gothic Book" w:eastAsiaTheme="minorHAnsi" w:hAnsi="Franklin Gothic Book" w:cstheme="minorBidi"/>
          <w:iCs/>
          <w:sz w:val="22"/>
          <w:szCs w:val="22"/>
          <w:lang w:eastAsia="en-US"/>
        </w:rPr>
        <w:t>and not on the trial data, which incorporate</w:t>
      </w:r>
      <w:r w:rsidR="00F56D38">
        <w:rPr>
          <w:rFonts w:ascii="Franklin Gothic Book" w:eastAsiaTheme="minorHAnsi" w:hAnsi="Franklin Gothic Book" w:cstheme="minorBidi"/>
          <w:iCs/>
          <w:sz w:val="22"/>
          <w:szCs w:val="22"/>
          <w:lang w:eastAsia="en-US"/>
        </w:rPr>
        <w:t>d</w:t>
      </w:r>
      <w:r w:rsidR="00707A01" w:rsidRPr="003A74C6">
        <w:rPr>
          <w:rFonts w:ascii="Franklin Gothic Book" w:eastAsiaTheme="minorHAnsi" w:hAnsi="Franklin Gothic Book" w:cstheme="minorBidi"/>
          <w:iCs/>
          <w:sz w:val="22"/>
          <w:szCs w:val="22"/>
          <w:lang w:eastAsia="en-US"/>
        </w:rPr>
        <w:t xml:space="preserve"> the biases noted above.</w:t>
      </w:r>
    </w:p>
    <w:p w14:paraId="616CAF01" w14:textId="51371991" w:rsidR="0076549F" w:rsidRPr="003A74C6" w:rsidRDefault="009B5759" w:rsidP="003A74C6">
      <w:pPr>
        <w:pStyle w:val="Heading3"/>
        <w:spacing w:before="300" w:after="160" w:line="240" w:lineRule="auto"/>
        <w:rPr>
          <w:i/>
          <w:iCs/>
          <w:sz w:val="21"/>
          <w:szCs w:val="21"/>
        </w:rPr>
      </w:pPr>
      <w:r w:rsidRPr="003A74C6">
        <w:rPr>
          <w:i/>
          <w:iCs/>
          <w:sz w:val="21"/>
          <w:szCs w:val="21"/>
        </w:rPr>
        <w:t>R</w:t>
      </w:r>
      <w:r w:rsidR="00DB26C9" w:rsidRPr="003A74C6">
        <w:rPr>
          <w:i/>
          <w:iCs/>
          <w:sz w:val="21"/>
          <w:szCs w:val="21"/>
        </w:rPr>
        <w:t>esults</w:t>
      </w:r>
    </w:p>
    <w:p w14:paraId="1FEA0914" w14:textId="1193C3F4" w:rsidR="006639FD" w:rsidRDefault="0076549F" w:rsidP="00C6043A">
      <w:pPr>
        <w:pStyle w:val="a-TEXT"/>
      </w:pPr>
      <w:r w:rsidRPr="00187ACB">
        <w:t xml:space="preserve">The financial implications to the </w:t>
      </w:r>
      <w:r w:rsidR="00D95874">
        <w:t xml:space="preserve">MBS </w:t>
      </w:r>
      <w:r w:rsidRPr="00187ACB">
        <w:t xml:space="preserve">resulting from the proposed listing of </w:t>
      </w:r>
      <w:r w:rsidR="00BD6649" w:rsidRPr="00BD6649">
        <w:t xml:space="preserve">structured prenatal risk assessment for preterm preeclampsia </w:t>
      </w:r>
      <w:r w:rsidRPr="00187ACB">
        <w:t>are summarised in</w:t>
      </w:r>
      <w:r w:rsidR="00E52FAC">
        <w:t xml:space="preserve"> Table 24</w:t>
      </w:r>
      <w:r w:rsidR="00A25FBA">
        <w:t>.</w:t>
      </w:r>
      <w:r w:rsidR="00C6043A">
        <w:t xml:space="preserve"> </w:t>
      </w:r>
      <w:r w:rsidR="00104242">
        <w:t>The ADAR</w:t>
      </w:r>
      <w:r w:rsidR="00C6043A">
        <w:t xml:space="preserve"> estimated that the modification of MBS items 55707, 66750 and 66751 </w:t>
      </w:r>
      <w:r w:rsidR="00104242">
        <w:t xml:space="preserve">and </w:t>
      </w:r>
      <w:r w:rsidR="00EA1D6E">
        <w:t>inc</w:t>
      </w:r>
      <w:r w:rsidR="00C22EE1">
        <w:t xml:space="preserve">reased use with the addition of preeclampsia testing </w:t>
      </w:r>
      <w:r w:rsidR="00C6043A">
        <w:t xml:space="preserve">would lead to a cost of </w:t>
      </w:r>
      <w:r w:rsidR="006C0921">
        <w:t>just under $7</w:t>
      </w:r>
      <w:r w:rsidR="00C22EE1">
        <w:t xml:space="preserve"> </w:t>
      </w:r>
      <w:r w:rsidR="006C0921">
        <w:t>million in the first year of listing</w:t>
      </w:r>
      <w:r w:rsidR="003121B4">
        <w:t>,</w:t>
      </w:r>
      <w:r w:rsidR="006C0921">
        <w:t xml:space="preserve"> with an estimate</w:t>
      </w:r>
      <w:r w:rsidR="00837AE6">
        <w:t>d cost of $39</w:t>
      </w:r>
      <w:r w:rsidR="00C22EE1">
        <w:t xml:space="preserve"> </w:t>
      </w:r>
      <w:r w:rsidR="00837AE6">
        <w:t>million over the first six years of listing.</w:t>
      </w:r>
    </w:p>
    <w:p w14:paraId="4174F820" w14:textId="6CD129CD" w:rsidR="00C633B8" w:rsidRDefault="00C633B8" w:rsidP="00C633B8">
      <w:pPr>
        <w:pStyle w:val="Caption"/>
      </w:pPr>
      <w:bookmarkStart w:id="44" w:name="_Ref144306684"/>
      <w:r>
        <w:t xml:space="preserve">Table </w:t>
      </w:r>
      <w:r w:rsidR="00E52FAC">
        <w:t>24</w:t>
      </w:r>
      <w:bookmarkEnd w:id="44"/>
      <w:r>
        <w:t xml:space="preserve"> </w:t>
      </w:r>
      <w:r w:rsidRPr="00E310AA">
        <w:t>Net financial implications of structured prenatal risk assessment for preterm preeclampsia to the MBS presented in the ADAR.</w:t>
      </w:r>
    </w:p>
    <w:tbl>
      <w:tblPr>
        <w:tblStyle w:val="TableGrid1"/>
        <w:tblpPr w:leftFromText="180" w:rightFromText="180" w:vertAnchor="text" w:tblpY="1"/>
        <w:tblOverlap w:val="never"/>
        <w:tblW w:w="5000" w:type="pct"/>
        <w:tblCellMar>
          <w:left w:w="28" w:type="dxa"/>
          <w:right w:w="28" w:type="dxa"/>
        </w:tblCellMar>
        <w:tblLook w:val="04A0" w:firstRow="1" w:lastRow="0" w:firstColumn="1" w:lastColumn="0" w:noHBand="0" w:noVBand="1"/>
      </w:tblPr>
      <w:tblGrid>
        <w:gridCol w:w="2239"/>
        <w:gridCol w:w="1129"/>
        <w:gridCol w:w="1129"/>
        <w:gridCol w:w="1129"/>
        <w:gridCol w:w="1129"/>
        <w:gridCol w:w="1129"/>
        <w:gridCol w:w="1132"/>
      </w:tblGrid>
      <w:tr w:rsidR="00391D46" w:rsidRPr="00F04A26" w14:paraId="5B64BE8C" w14:textId="77777777" w:rsidTr="00943784">
        <w:trPr>
          <w:cnfStyle w:val="100000000000" w:firstRow="1" w:lastRow="0" w:firstColumn="0" w:lastColumn="0" w:oddVBand="0" w:evenVBand="0" w:oddHBand="0" w:evenHBand="0" w:firstRowFirstColumn="0" w:firstRowLastColumn="0" w:lastRowFirstColumn="0" w:lastRowLastColumn="0"/>
          <w:trHeight w:val="415"/>
          <w:tblHeader/>
        </w:trPr>
        <w:tc>
          <w:tcPr>
            <w:tcW w:w="1242" w:type="pct"/>
            <w:shd w:val="clear" w:color="auto" w:fill="auto"/>
            <w:tcMar>
              <w:top w:w="0" w:type="dxa"/>
              <w:left w:w="108" w:type="dxa"/>
              <w:bottom w:w="0" w:type="dxa"/>
              <w:right w:w="108" w:type="dxa"/>
            </w:tcMar>
            <w:vAlign w:val="center"/>
            <w:hideMark/>
          </w:tcPr>
          <w:p w14:paraId="237BF489" w14:textId="77777777" w:rsidR="00B067C3" w:rsidRPr="00F04A26" w:rsidRDefault="00B067C3" w:rsidP="003121B4">
            <w:pPr>
              <w:pStyle w:val="TableText"/>
              <w:keepNext/>
              <w:spacing w:before="0" w:after="0" w:line="256" w:lineRule="auto"/>
              <w:rPr>
                <w:b/>
                <w:bCs/>
                <w:szCs w:val="20"/>
                <w:lang w:eastAsia="en-US"/>
              </w:rPr>
            </w:pPr>
            <w:r w:rsidRPr="00F04A26">
              <w:rPr>
                <w:b/>
                <w:bCs/>
                <w:szCs w:val="20"/>
              </w:rPr>
              <w:t xml:space="preserve">Parameter </w:t>
            </w:r>
          </w:p>
        </w:tc>
        <w:tc>
          <w:tcPr>
            <w:tcW w:w="626" w:type="pct"/>
            <w:shd w:val="clear" w:color="auto" w:fill="auto"/>
            <w:tcMar>
              <w:top w:w="0" w:type="dxa"/>
              <w:left w:w="108" w:type="dxa"/>
              <w:bottom w:w="0" w:type="dxa"/>
              <w:right w:w="108" w:type="dxa"/>
            </w:tcMar>
            <w:vAlign w:val="center"/>
            <w:hideMark/>
          </w:tcPr>
          <w:p w14:paraId="6560FAF7" w14:textId="799DF010" w:rsidR="00B067C3" w:rsidRPr="00F04A26" w:rsidRDefault="00B067C3" w:rsidP="003121B4">
            <w:pPr>
              <w:pStyle w:val="TableText"/>
              <w:keepNext/>
              <w:spacing w:before="0" w:after="0" w:line="256" w:lineRule="auto"/>
              <w:rPr>
                <w:b/>
                <w:bCs/>
                <w:szCs w:val="20"/>
              </w:rPr>
            </w:pPr>
            <w:r w:rsidRPr="00F04A26">
              <w:rPr>
                <w:b/>
                <w:bCs/>
                <w:szCs w:val="20"/>
              </w:rPr>
              <w:t>Year 20</w:t>
            </w:r>
            <w:r w:rsidR="002E1F9D" w:rsidRPr="00F04A26">
              <w:rPr>
                <w:b/>
                <w:bCs/>
                <w:szCs w:val="20"/>
              </w:rPr>
              <w:t>24</w:t>
            </w:r>
          </w:p>
        </w:tc>
        <w:tc>
          <w:tcPr>
            <w:tcW w:w="626" w:type="pct"/>
            <w:shd w:val="clear" w:color="auto" w:fill="auto"/>
            <w:tcMar>
              <w:top w:w="0" w:type="dxa"/>
              <w:left w:w="108" w:type="dxa"/>
              <w:bottom w:w="0" w:type="dxa"/>
              <w:right w:w="108" w:type="dxa"/>
            </w:tcMar>
            <w:vAlign w:val="center"/>
            <w:hideMark/>
          </w:tcPr>
          <w:p w14:paraId="5488D5B5" w14:textId="3B11CBE4" w:rsidR="00B067C3" w:rsidRPr="00F04A26" w:rsidRDefault="00B067C3" w:rsidP="003121B4">
            <w:pPr>
              <w:pStyle w:val="TableText"/>
              <w:keepNext/>
              <w:spacing w:before="0" w:after="0" w:line="256" w:lineRule="auto"/>
              <w:rPr>
                <w:b/>
                <w:bCs/>
                <w:szCs w:val="20"/>
              </w:rPr>
            </w:pPr>
            <w:r w:rsidRPr="00F04A26">
              <w:rPr>
                <w:b/>
                <w:bCs/>
                <w:szCs w:val="20"/>
              </w:rPr>
              <w:t>Year 20</w:t>
            </w:r>
            <w:r w:rsidR="002E1F9D" w:rsidRPr="00F04A26">
              <w:rPr>
                <w:b/>
                <w:bCs/>
                <w:szCs w:val="20"/>
              </w:rPr>
              <w:t>25</w:t>
            </w:r>
          </w:p>
        </w:tc>
        <w:tc>
          <w:tcPr>
            <w:tcW w:w="626" w:type="pct"/>
            <w:shd w:val="clear" w:color="auto" w:fill="auto"/>
            <w:tcMar>
              <w:top w:w="0" w:type="dxa"/>
              <w:left w:w="108" w:type="dxa"/>
              <w:bottom w:w="0" w:type="dxa"/>
              <w:right w:w="108" w:type="dxa"/>
            </w:tcMar>
            <w:vAlign w:val="center"/>
            <w:hideMark/>
          </w:tcPr>
          <w:p w14:paraId="207B63E3" w14:textId="5CB52069" w:rsidR="00B067C3" w:rsidRPr="00F04A26" w:rsidRDefault="00B067C3" w:rsidP="003121B4">
            <w:pPr>
              <w:pStyle w:val="TableText"/>
              <w:keepNext/>
              <w:spacing w:before="0" w:after="0" w:line="256" w:lineRule="auto"/>
              <w:rPr>
                <w:b/>
                <w:bCs/>
                <w:szCs w:val="20"/>
              </w:rPr>
            </w:pPr>
            <w:r w:rsidRPr="00F04A26">
              <w:rPr>
                <w:b/>
                <w:bCs/>
                <w:szCs w:val="20"/>
              </w:rPr>
              <w:t>Year 20</w:t>
            </w:r>
            <w:r w:rsidR="002E1F9D" w:rsidRPr="00F04A26">
              <w:rPr>
                <w:b/>
                <w:bCs/>
                <w:szCs w:val="20"/>
              </w:rPr>
              <w:t>26</w:t>
            </w:r>
          </w:p>
        </w:tc>
        <w:tc>
          <w:tcPr>
            <w:tcW w:w="626" w:type="pct"/>
            <w:shd w:val="clear" w:color="auto" w:fill="auto"/>
            <w:tcMar>
              <w:top w:w="0" w:type="dxa"/>
              <w:left w:w="108" w:type="dxa"/>
              <w:bottom w:w="0" w:type="dxa"/>
              <w:right w:w="108" w:type="dxa"/>
            </w:tcMar>
            <w:vAlign w:val="center"/>
            <w:hideMark/>
          </w:tcPr>
          <w:p w14:paraId="38B3BADB" w14:textId="396D80F3" w:rsidR="00B067C3" w:rsidRPr="00F04A26" w:rsidRDefault="00B067C3" w:rsidP="003121B4">
            <w:pPr>
              <w:pStyle w:val="TableText"/>
              <w:keepNext/>
              <w:spacing w:before="0" w:after="0" w:line="256" w:lineRule="auto"/>
              <w:rPr>
                <w:b/>
                <w:bCs/>
                <w:szCs w:val="20"/>
              </w:rPr>
            </w:pPr>
            <w:r w:rsidRPr="00F04A26">
              <w:rPr>
                <w:b/>
                <w:bCs/>
                <w:szCs w:val="20"/>
              </w:rPr>
              <w:t>Year 20</w:t>
            </w:r>
            <w:r w:rsidR="002E1F9D" w:rsidRPr="00F04A26">
              <w:rPr>
                <w:b/>
                <w:bCs/>
                <w:szCs w:val="20"/>
              </w:rPr>
              <w:t>27</w:t>
            </w:r>
          </w:p>
        </w:tc>
        <w:tc>
          <w:tcPr>
            <w:tcW w:w="626" w:type="pct"/>
            <w:shd w:val="clear" w:color="auto" w:fill="auto"/>
            <w:tcMar>
              <w:top w:w="0" w:type="dxa"/>
              <w:left w:w="108" w:type="dxa"/>
              <w:bottom w:w="0" w:type="dxa"/>
              <w:right w:w="108" w:type="dxa"/>
            </w:tcMar>
            <w:vAlign w:val="center"/>
            <w:hideMark/>
          </w:tcPr>
          <w:p w14:paraId="621430A8" w14:textId="7FA31B62" w:rsidR="00B067C3" w:rsidRPr="00F04A26" w:rsidRDefault="00B067C3" w:rsidP="003121B4">
            <w:pPr>
              <w:pStyle w:val="TableText"/>
              <w:keepNext/>
              <w:spacing w:before="0" w:after="0" w:line="256" w:lineRule="auto"/>
              <w:rPr>
                <w:b/>
                <w:bCs/>
                <w:szCs w:val="20"/>
              </w:rPr>
            </w:pPr>
            <w:r w:rsidRPr="00F04A26">
              <w:rPr>
                <w:b/>
                <w:bCs/>
                <w:szCs w:val="20"/>
              </w:rPr>
              <w:t>Year 20</w:t>
            </w:r>
            <w:r w:rsidR="002E1F9D" w:rsidRPr="00F04A26">
              <w:rPr>
                <w:b/>
                <w:bCs/>
                <w:szCs w:val="20"/>
              </w:rPr>
              <w:t>28</w:t>
            </w:r>
          </w:p>
        </w:tc>
        <w:tc>
          <w:tcPr>
            <w:tcW w:w="628" w:type="pct"/>
            <w:shd w:val="clear" w:color="auto" w:fill="auto"/>
            <w:tcMar>
              <w:top w:w="0" w:type="dxa"/>
              <w:left w:w="108" w:type="dxa"/>
              <w:bottom w:w="0" w:type="dxa"/>
              <w:right w:w="108" w:type="dxa"/>
            </w:tcMar>
            <w:vAlign w:val="center"/>
            <w:hideMark/>
          </w:tcPr>
          <w:p w14:paraId="3B9B99B6" w14:textId="3F23C7D3" w:rsidR="00B067C3" w:rsidRPr="00F04A26" w:rsidRDefault="00B067C3" w:rsidP="003121B4">
            <w:pPr>
              <w:pStyle w:val="TableText"/>
              <w:keepNext/>
              <w:spacing w:before="0" w:after="0" w:line="256" w:lineRule="auto"/>
              <w:rPr>
                <w:b/>
                <w:bCs/>
                <w:szCs w:val="20"/>
              </w:rPr>
            </w:pPr>
            <w:r w:rsidRPr="00F04A26">
              <w:rPr>
                <w:b/>
                <w:bCs/>
                <w:szCs w:val="20"/>
              </w:rPr>
              <w:t>Year 20</w:t>
            </w:r>
            <w:r w:rsidR="002E1F9D" w:rsidRPr="00F04A26">
              <w:rPr>
                <w:b/>
                <w:bCs/>
                <w:szCs w:val="20"/>
              </w:rPr>
              <w:t>29</w:t>
            </w:r>
          </w:p>
        </w:tc>
      </w:tr>
      <w:tr w:rsidR="00B067C3" w:rsidRPr="00F4764D" w14:paraId="607F743E" w14:textId="77777777" w:rsidTr="003121B4">
        <w:trPr>
          <w:trHeight w:val="83"/>
        </w:trPr>
        <w:tc>
          <w:tcPr>
            <w:tcW w:w="5000" w:type="pct"/>
            <w:gridSpan w:val="7"/>
            <w:shd w:val="clear" w:color="auto" w:fill="auto"/>
            <w:tcMar>
              <w:top w:w="0" w:type="dxa"/>
              <w:left w:w="108" w:type="dxa"/>
              <w:bottom w:w="0" w:type="dxa"/>
              <w:right w:w="108" w:type="dxa"/>
            </w:tcMar>
            <w:hideMark/>
          </w:tcPr>
          <w:p w14:paraId="42EEDC1F" w14:textId="53CB5837" w:rsidR="00B067C3" w:rsidRPr="00F4764D" w:rsidRDefault="00B067C3" w:rsidP="003121B4">
            <w:pPr>
              <w:pStyle w:val="TableText"/>
              <w:keepNext/>
              <w:spacing w:before="0" w:after="0" w:line="256" w:lineRule="auto"/>
              <w:rPr>
                <w:b/>
                <w:bCs/>
                <w:szCs w:val="20"/>
              </w:rPr>
            </w:pPr>
            <w:r w:rsidRPr="00F4764D">
              <w:rPr>
                <w:b/>
                <w:bCs/>
                <w:szCs w:val="20"/>
              </w:rPr>
              <w:t xml:space="preserve">Estimated use and cost of </w:t>
            </w:r>
            <w:r w:rsidR="00FF1AA1">
              <w:rPr>
                <w:b/>
                <w:bCs/>
                <w:szCs w:val="20"/>
              </w:rPr>
              <w:t xml:space="preserve">MBS items </w:t>
            </w:r>
            <w:r w:rsidR="002616A5">
              <w:rPr>
                <w:b/>
                <w:bCs/>
                <w:szCs w:val="20"/>
              </w:rPr>
              <w:t xml:space="preserve">proposed to be </w:t>
            </w:r>
            <w:r w:rsidR="007F2EA2">
              <w:rPr>
                <w:b/>
                <w:bCs/>
                <w:szCs w:val="20"/>
              </w:rPr>
              <w:t>amended to</w:t>
            </w:r>
            <w:r w:rsidR="00FF1AA1">
              <w:rPr>
                <w:b/>
                <w:bCs/>
                <w:szCs w:val="20"/>
              </w:rPr>
              <w:t xml:space="preserve"> include </w:t>
            </w:r>
            <w:r w:rsidR="00B804EB" w:rsidRPr="00B804EB">
              <w:rPr>
                <w:b/>
                <w:bCs/>
                <w:szCs w:val="20"/>
              </w:rPr>
              <w:t>structured prenatal risk assessment</w:t>
            </w:r>
          </w:p>
        </w:tc>
      </w:tr>
      <w:tr w:rsidR="00391D46" w:rsidRPr="00616362" w14:paraId="1EDA931D" w14:textId="77777777" w:rsidTr="00943784">
        <w:tc>
          <w:tcPr>
            <w:tcW w:w="1242" w:type="pct"/>
            <w:shd w:val="clear" w:color="auto" w:fill="auto"/>
            <w:tcMar>
              <w:top w:w="0" w:type="dxa"/>
              <w:left w:w="108" w:type="dxa"/>
              <w:bottom w:w="0" w:type="dxa"/>
              <w:right w:w="108" w:type="dxa"/>
            </w:tcMar>
            <w:hideMark/>
          </w:tcPr>
          <w:p w14:paraId="149B4658" w14:textId="41CB4641" w:rsidR="00675D64" w:rsidRPr="00616362" w:rsidRDefault="00675D64" w:rsidP="003121B4">
            <w:pPr>
              <w:pStyle w:val="TableText"/>
              <w:keepNext/>
              <w:spacing w:before="0" w:after="0" w:line="256" w:lineRule="auto"/>
              <w:rPr>
                <w:i/>
                <w:iCs/>
                <w:szCs w:val="20"/>
              </w:rPr>
            </w:pPr>
            <w:r w:rsidRPr="00616362">
              <w:rPr>
                <w:i/>
                <w:iCs/>
                <w:szCs w:val="20"/>
              </w:rPr>
              <w:t>Number of people eligible for risk assessment</w:t>
            </w:r>
            <w:r w:rsidR="00C96D8C" w:rsidRPr="00616362">
              <w:rPr>
                <w:i/>
                <w:iCs/>
                <w:szCs w:val="20"/>
              </w:rPr>
              <w:t xml:space="preserve"> (Evaluation estimates based on ABS Births Series B pr</w:t>
            </w:r>
            <w:r w:rsidR="00D6673A" w:rsidRPr="00616362">
              <w:rPr>
                <w:i/>
                <w:iCs/>
                <w:szCs w:val="20"/>
              </w:rPr>
              <w:t>edictions)</w:t>
            </w:r>
          </w:p>
        </w:tc>
        <w:tc>
          <w:tcPr>
            <w:tcW w:w="626" w:type="pct"/>
            <w:shd w:val="clear" w:color="auto" w:fill="auto"/>
            <w:tcMar>
              <w:top w:w="0" w:type="dxa"/>
              <w:left w:w="108" w:type="dxa"/>
              <w:bottom w:w="0" w:type="dxa"/>
              <w:right w:w="108" w:type="dxa"/>
            </w:tcMar>
            <w:vAlign w:val="center"/>
          </w:tcPr>
          <w:p w14:paraId="23E64CF3" w14:textId="138D4B37" w:rsidR="00675D64" w:rsidRPr="00616362" w:rsidRDefault="00675D64" w:rsidP="003121B4">
            <w:pPr>
              <w:pStyle w:val="TableText"/>
              <w:keepNext/>
              <w:spacing w:before="0" w:after="0" w:line="256" w:lineRule="auto"/>
              <w:jc w:val="right"/>
              <w:rPr>
                <w:i/>
                <w:iCs/>
                <w:szCs w:val="20"/>
              </w:rPr>
            </w:pPr>
            <w:r w:rsidRPr="00616362">
              <w:rPr>
                <w:rFonts w:cs="Arial"/>
                <w:i/>
                <w:iCs/>
                <w:color w:val="000000"/>
                <w:szCs w:val="20"/>
              </w:rPr>
              <w:t xml:space="preserve">353,848 </w:t>
            </w:r>
          </w:p>
        </w:tc>
        <w:tc>
          <w:tcPr>
            <w:tcW w:w="626" w:type="pct"/>
            <w:shd w:val="clear" w:color="auto" w:fill="auto"/>
            <w:tcMar>
              <w:top w:w="0" w:type="dxa"/>
              <w:left w:w="108" w:type="dxa"/>
              <w:bottom w:w="0" w:type="dxa"/>
              <w:right w:w="108" w:type="dxa"/>
            </w:tcMar>
            <w:vAlign w:val="center"/>
          </w:tcPr>
          <w:p w14:paraId="5522DBD8" w14:textId="6DFA1FE9" w:rsidR="00675D64" w:rsidRPr="00616362" w:rsidRDefault="00675D64" w:rsidP="003121B4">
            <w:pPr>
              <w:pStyle w:val="TableText"/>
              <w:keepNext/>
              <w:spacing w:before="0" w:after="0" w:line="256" w:lineRule="auto"/>
              <w:jc w:val="right"/>
              <w:rPr>
                <w:i/>
                <w:iCs/>
                <w:szCs w:val="20"/>
              </w:rPr>
            </w:pPr>
            <w:r w:rsidRPr="00616362">
              <w:rPr>
                <w:rFonts w:cs="Arial"/>
                <w:i/>
                <w:iCs/>
                <w:color w:val="000000"/>
                <w:szCs w:val="20"/>
              </w:rPr>
              <w:t xml:space="preserve">358,184 </w:t>
            </w:r>
          </w:p>
        </w:tc>
        <w:tc>
          <w:tcPr>
            <w:tcW w:w="626" w:type="pct"/>
            <w:shd w:val="clear" w:color="auto" w:fill="auto"/>
            <w:tcMar>
              <w:top w:w="0" w:type="dxa"/>
              <w:left w:w="108" w:type="dxa"/>
              <w:bottom w:w="0" w:type="dxa"/>
              <w:right w:w="108" w:type="dxa"/>
            </w:tcMar>
            <w:vAlign w:val="center"/>
          </w:tcPr>
          <w:p w14:paraId="3558D7F1" w14:textId="07016E85" w:rsidR="00675D64" w:rsidRPr="00616362" w:rsidRDefault="00675D64" w:rsidP="003121B4">
            <w:pPr>
              <w:pStyle w:val="TableText"/>
              <w:keepNext/>
              <w:spacing w:before="0" w:after="0" w:line="256" w:lineRule="auto"/>
              <w:jc w:val="right"/>
              <w:rPr>
                <w:i/>
                <w:iCs/>
                <w:szCs w:val="20"/>
              </w:rPr>
            </w:pPr>
            <w:r w:rsidRPr="00616362">
              <w:rPr>
                <w:rFonts w:cs="Arial"/>
                <w:i/>
                <w:iCs/>
                <w:color w:val="000000"/>
                <w:szCs w:val="20"/>
              </w:rPr>
              <w:t xml:space="preserve">     362,105 </w:t>
            </w:r>
          </w:p>
        </w:tc>
        <w:tc>
          <w:tcPr>
            <w:tcW w:w="626" w:type="pct"/>
            <w:shd w:val="clear" w:color="auto" w:fill="auto"/>
            <w:tcMar>
              <w:top w:w="0" w:type="dxa"/>
              <w:left w:w="108" w:type="dxa"/>
              <w:bottom w:w="0" w:type="dxa"/>
              <w:right w:w="108" w:type="dxa"/>
            </w:tcMar>
            <w:vAlign w:val="center"/>
          </w:tcPr>
          <w:p w14:paraId="2C6116AA" w14:textId="5CF99CE3" w:rsidR="00675D64" w:rsidRPr="00616362" w:rsidRDefault="00675D64" w:rsidP="003121B4">
            <w:pPr>
              <w:pStyle w:val="TableText"/>
              <w:keepNext/>
              <w:spacing w:before="0" w:after="0" w:line="256" w:lineRule="auto"/>
              <w:jc w:val="right"/>
              <w:rPr>
                <w:i/>
                <w:iCs/>
                <w:szCs w:val="20"/>
              </w:rPr>
            </w:pPr>
            <w:r w:rsidRPr="00616362">
              <w:rPr>
                <w:rFonts w:cs="Arial"/>
                <w:i/>
                <w:iCs/>
                <w:color w:val="000000"/>
                <w:szCs w:val="20"/>
              </w:rPr>
              <w:t xml:space="preserve">     365,620 </w:t>
            </w:r>
          </w:p>
        </w:tc>
        <w:tc>
          <w:tcPr>
            <w:tcW w:w="626" w:type="pct"/>
            <w:shd w:val="clear" w:color="auto" w:fill="auto"/>
            <w:tcMar>
              <w:top w:w="0" w:type="dxa"/>
              <w:left w:w="108" w:type="dxa"/>
              <w:bottom w:w="0" w:type="dxa"/>
              <w:right w:w="108" w:type="dxa"/>
            </w:tcMar>
            <w:vAlign w:val="center"/>
          </w:tcPr>
          <w:p w14:paraId="23AF30A1" w14:textId="6F048F9F" w:rsidR="00675D64" w:rsidRPr="00616362" w:rsidRDefault="00675D64" w:rsidP="003121B4">
            <w:pPr>
              <w:pStyle w:val="TableText"/>
              <w:keepNext/>
              <w:spacing w:before="0" w:after="0" w:line="256" w:lineRule="auto"/>
              <w:jc w:val="right"/>
              <w:rPr>
                <w:i/>
                <w:iCs/>
                <w:szCs w:val="20"/>
              </w:rPr>
            </w:pPr>
            <w:r w:rsidRPr="00616362">
              <w:rPr>
                <w:rFonts w:cs="Arial"/>
                <w:i/>
                <w:iCs/>
                <w:color w:val="000000"/>
                <w:szCs w:val="20"/>
              </w:rPr>
              <w:t xml:space="preserve">     368,746 </w:t>
            </w:r>
          </w:p>
        </w:tc>
        <w:tc>
          <w:tcPr>
            <w:tcW w:w="628" w:type="pct"/>
            <w:shd w:val="clear" w:color="auto" w:fill="auto"/>
            <w:tcMar>
              <w:top w:w="0" w:type="dxa"/>
              <w:left w:w="108" w:type="dxa"/>
              <w:bottom w:w="0" w:type="dxa"/>
              <w:right w:w="108" w:type="dxa"/>
            </w:tcMar>
            <w:vAlign w:val="center"/>
          </w:tcPr>
          <w:p w14:paraId="12E96529" w14:textId="1D06BAD4" w:rsidR="00675D64" w:rsidRPr="00616362" w:rsidRDefault="00675D64" w:rsidP="003121B4">
            <w:pPr>
              <w:pStyle w:val="TableText"/>
              <w:keepNext/>
              <w:spacing w:before="0" w:after="0" w:line="256" w:lineRule="auto"/>
              <w:jc w:val="right"/>
              <w:rPr>
                <w:i/>
                <w:iCs/>
                <w:szCs w:val="20"/>
              </w:rPr>
            </w:pPr>
            <w:r w:rsidRPr="00616362">
              <w:rPr>
                <w:rFonts w:cs="Arial"/>
                <w:i/>
                <w:iCs/>
                <w:color w:val="000000"/>
                <w:szCs w:val="20"/>
              </w:rPr>
              <w:t xml:space="preserve">     371,583 </w:t>
            </w:r>
          </w:p>
        </w:tc>
      </w:tr>
      <w:tr w:rsidR="00391D46" w:rsidRPr="00616362" w14:paraId="5B9702E3" w14:textId="77777777" w:rsidTr="00943784">
        <w:tc>
          <w:tcPr>
            <w:tcW w:w="1242" w:type="pct"/>
            <w:shd w:val="clear" w:color="auto" w:fill="auto"/>
            <w:tcMar>
              <w:top w:w="0" w:type="dxa"/>
              <w:left w:w="108" w:type="dxa"/>
              <w:bottom w:w="0" w:type="dxa"/>
              <w:right w:w="108" w:type="dxa"/>
            </w:tcMar>
            <w:hideMark/>
          </w:tcPr>
          <w:p w14:paraId="424A825F" w14:textId="24E2C858" w:rsidR="00C15E27" w:rsidRPr="00616362" w:rsidRDefault="00C15E27" w:rsidP="003121B4">
            <w:pPr>
              <w:pStyle w:val="TableText"/>
              <w:keepNext/>
              <w:spacing w:before="0" w:after="0" w:line="256" w:lineRule="auto"/>
              <w:rPr>
                <w:szCs w:val="20"/>
              </w:rPr>
            </w:pPr>
            <w:r w:rsidRPr="00616362">
              <w:rPr>
                <w:szCs w:val="20"/>
              </w:rPr>
              <w:t xml:space="preserve">Number of </w:t>
            </w:r>
            <w:r w:rsidR="00B60AD0">
              <w:rPr>
                <w:szCs w:val="20"/>
              </w:rPr>
              <w:t xml:space="preserve">services </w:t>
            </w:r>
            <w:r w:rsidR="00D6673A" w:rsidRPr="00616362">
              <w:rPr>
                <w:szCs w:val="20"/>
              </w:rPr>
              <w:t>(</w:t>
            </w:r>
            <w:r w:rsidR="001C1D0D">
              <w:rPr>
                <w:szCs w:val="20"/>
              </w:rPr>
              <w:t xml:space="preserve">amended </w:t>
            </w:r>
            <w:r w:rsidR="00D6673A" w:rsidRPr="00616362">
              <w:rPr>
                <w:szCs w:val="20"/>
              </w:rPr>
              <w:t xml:space="preserve">MBS Item </w:t>
            </w:r>
            <w:r w:rsidR="000745C9" w:rsidRPr="00616362">
              <w:rPr>
                <w:szCs w:val="20"/>
              </w:rPr>
              <w:t>55707</w:t>
            </w:r>
            <w:r w:rsidR="00784D98">
              <w:rPr>
                <w:szCs w:val="20"/>
              </w:rPr>
              <w:t>; 85% = $77.40</w:t>
            </w:r>
            <w:r w:rsidR="000745C9" w:rsidRPr="00616362">
              <w:rPr>
                <w:szCs w:val="20"/>
              </w:rPr>
              <w:t>)</w:t>
            </w:r>
          </w:p>
        </w:tc>
        <w:tc>
          <w:tcPr>
            <w:tcW w:w="626" w:type="pct"/>
            <w:shd w:val="clear" w:color="auto" w:fill="auto"/>
            <w:tcMar>
              <w:top w:w="0" w:type="dxa"/>
              <w:left w:w="108" w:type="dxa"/>
              <w:bottom w:w="0" w:type="dxa"/>
              <w:right w:w="108" w:type="dxa"/>
            </w:tcMar>
            <w:vAlign w:val="center"/>
          </w:tcPr>
          <w:p w14:paraId="3F785140" w14:textId="7618F684" w:rsidR="00C15E27" w:rsidRPr="00616362" w:rsidRDefault="00C15E27" w:rsidP="003121B4">
            <w:pPr>
              <w:pStyle w:val="TableText"/>
              <w:keepNext/>
              <w:spacing w:before="0" w:after="0" w:line="256" w:lineRule="auto"/>
              <w:jc w:val="right"/>
              <w:rPr>
                <w:szCs w:val="20"/>
              </w:rPr>
            </w:pPr>
            <w:r w:rsidRPr="00616362">
              <w:rPr>
                <w:szCs w:val="20"/>
              </w:rPr>
              <w:t xml:space="preserve">175,476 </w:t>
            </w:r>
          </w:p>
        </w:tc>
        <w:tc>
          <w:tcPr>
            <w:tcW w:w="626" w:type="pct"/>
            <w:shd w:val="clear" w:color="auto" w:fill="auto"/>
            <w:tcMar>
              <w:top w:w="0" w:type="dxa"/>
              <w:left w:w="108" w:type="dxa"/>
              <w:bottom w:w="0" w:type="dxa"/>
              <w:right w:w="108" w:type="dxa"/>
            </w:tcMar>
            <w:vAlign w:val="center"/>
          </w:tcPr>
          <w:p w14:paraId="05D1DCD2" w14:textId="36B60BC8" w:rsidR="00C15E27" w:rsidRPr="00616362" w:rsidRDefault="00C15E27" w:rsidP="003121B4">
            <w:pPr>
              <w:pStyle w:val="TableText"/>
              <w:keepNext/>
              <w:spacing w:before="0" w:after="0" w:line="256" w:lineRule="auto"/>
              <w:jc w:val="right"/>
              <w:rPr>
                <w:szCs w:val="20"/>
              </w:rPr>
            </w:pPr>
            <w:r w:rsidRPr="00616362">
              <w:rPr>
                <w:szCs w:val="20"/>
              </w:rPr>
              <w:t xml:space="preserve">176,139 </w:t>
            </w:r>
          </w:p>
        </w:tc>
        <w:tc>
          <w:tcPr>
            <w:tcW w:w="626" w:type="pct"/>
            <w:shd w:val="clear" w:color="auto" w:fill="auto"/>
            <w:tcMar>
              <w:top w:w="0" w:type="dxa"/>
              <w:left w:w="108" w:type="dxa"/>
              <w:bottom w:w="0" w:type="dxa"/>
              <w:right w:w="108" w:type="dxa"/>
            </w:tcMar>
            <w:vAlign w:val="center"/>
          </w:tcPr>
          <w:p w14:paraId="5F110C39" w14:textId="00EECBCE" w:rsidR="00C15E27" w:rsidRPr="00616362" w:rsidRDefault="00C15E27" w:rsidP="003121B4">
            <w:pPr>
              <w:pStyle w:val="TableText"/>
              <w:keepNext/>
              <w:spacing w:before="0" w:after="0" w:line="256" w:lineRule="auto"/>
              <w:jc w:val="right"/>
              <w:rPr>
                <w:szCs w:val="20"/>
              </w:rPr>
            </w:pPr>
            <w:r w:rsidRPr="00616362">
              <w:rPr>
                <w:szCs w:val="20"/>
              </w:rPr>
              <w:t xml:space="preserve">176,802 </w:t>
            </w:r>
          </w:p>
        </w:tc>
        <w:tc>
          <w:tcPr>
            <w:tcW w:w="626" w:type="pct"/>
            <w:shd w:val="clear" w:color="auto" w:fill="auto"/>
            <w:tcMar>
              <w:top w:w="0" w:type="dxa"/>
              <w:left w:w="108" w:type="dxa"/>
              <w:bottom w:w="0" w:type="dxa"/>
              <w:right w:w="108" w:type="dxa"/>
            </w:tcMar>
            <w:vAlign w:val="center"/>
          </w:tcPr>
          <w:p w14:paraId="2C0EDFCB" w14:textId="640D50A3" w:rsidR="00C15E27" w:rsidRPr="00616362" w:rsidRDefault="00C15E27" w:rsidP="003121B4">
            <w:pPr>
              <w:pStyle w:val="TableText"/>
              <w:keepNext/>
              <w:spacing w:before="0" w:after="0" w:line="256" w:lineRule="auto"/>
              <w:jc w:val="right"/>
              <w:rPr>
                <w:szCs w:val="20"/>
              </w:rPr>
            </w:pPr>
            <w:r w:rsidRPr="00616362">
              <w:rPr>
                <w:szCs w:val="20"/>
              </w:rPr>
              <w:t xml:space="preserve">177,465 </w:t>
            </w:r>
          </w:p>
        </w:tc>
        <w:tc>
          <w:tcPr>
            <w:tcW w:w="626" w:type="pct"/>
            <w:shd w:val="clear" w:color="auto" w:fill="auto"/>
            <w:tcMar>
              <w:top w:w="0" w:type="dxa"/>
              <w:left w:w="108" w:type="dxa"/>
              <w:bottom w:w="0" w:type="dxa"/>
              <w:right w:w="108" w:type="dxa"/>
            </w:tcMar>
            <w:vAlign w:val="center"/>
          </w:tcPr>
          <w:p w14:paraId="51AC369A" w14:textId="6DDB5CE6" w:rsidR="00C15E27" w:rsidRPr="00616362" w:rsidRDefault="00C15E27" w:rsidP="003121B4">
            <w:pPr>
              <w:pStyle w:val="TableText"/>
              <w:keepNext/>
              <w:spacing w:before="0" w:after="0" w:line="256" w:lineRule="auto"/>
              <w:jc w:val="right"/>
              <w:rPr>
                <w:szCs w:val="20"/>
              </w:rPr>
            </w:pPr>
            <w:r w:rsidRPr="00616362">
              <w:rPr>
                <w:szCs w:val="20"/>
              </w:rPr>
              <w:t xml:space="preserve">178,129 </w:t>
            </w:r>
          </w:p>
        </w:tc>
        <w:tc>
          <w:tcPr>
            <w:tcW w:w="628" w:type="pct"/>
            <w:shd w:val="clear" w:color="auto" w:fill="auto"/>
            <w:tcMar>
              <w:top w:w="0" w:type="dxa"/>
              <w:left w:w="108" w:type="dxa"/>
              <w:bottom w:w="0" w:type="dxa"/>
              <w:right w:w="108" w:type="dxa"/>
            </w:tcMar>
            <w:vAlign w:val="center"/>
          </w:tcPr>
          <w:p w14:paraId="56B79334" w14:textId="1387C723" w:rsidR="00C15E27" w:rsidRPr="00616362" w:rsidRDefault="00C15E27" w:rsidP="003121B4">
            <w:pPr>
              <w:pStyle w:val="TableText"/>
              <w:keepNext/>
              <w:spacing w:before="0" w:after="0" w:line="256" w:lineRule="auto"/>
              <w:jc w:val="right"/>
              <w:rPr>
                <w:szCs w:val="20"/>
              </w:rPr>
            </w:pPr>
            <w:r w:rsidRPr="00616362">
              <w:rPr>
                <w:szCs w:val="20"/>
              </w:rPr>
              <w:t xml:space="preserve">178,792 </w:t>
            </w:r>
          </w:p>
        </w:tc>
      </w:tr>
      <w:tr w:rsidR="00391D46" w:rsidRPr="00616362" w14:paraId="469A6D72" w14:textId="77777777" w:rsidTr="00943784">
        <w:tc>
          <w:tcPr>
            <w:tcW w:w="1242" w:type="pct"/>
            <w:shd w:val="clear" w:color="auto" w:fill="auto"/>
            <w:tcMar>
              <w:top w:w="0" w:type="dxa"/>
              <w:left w:w="108" w:type="dxa"/>
              <w:bottom w:w="0" w:type="dxa"/>
              <w:right w:w="108" w:type="dxa"/>
            </w:tcMar>
          </w:tcPr>
          <w:p w14:paraId="1A9A1347" w14:textId="2B2C9C61" w:rsidR="00983A2C" w:rsidRPr="00616362" w:rsidRDefault="00983A2C" w:rsidP="003121B4">
            <w:pPr>
              <w:pStyle w:val="TableText"/>
              <w:keepNext/>
              <w:spacing w:before="0" w:after="0" w:line="256" w:lineRule="auto"/>
              <w:rPr>
                <w:szCs w:val="20"/>
              </w:rPr>
            </w:pPr>
            <w:r w:rsidRPr="00616362">
              <w:rPr>
                <w:szCs w:val="20"/>
              </w:rPr>
              <w:t xml:space="preserve">Number of </w:t>
            </w:r>
            <w:r w:rsidR="00B60AD0">
              <w:rPr>
                <w:szCs w:val="20"/>
              </w:rPr>
              <w:t>services</w:t>
            </w:r>
            <w:r w:rsidRPr="00616362">
              <w:rPr>
                <w:szCs w:val="20"/>
              </w:rPr>
              <w:t xml:space="preserve"> (</w:t>
            </w:r>
            <w:r w:rsidR="001C1D0D">
              <w:rPr>
                <w:szCs w:val="20"/>
              </w:rPr>
              <w:t xml:space="preserve">amended </w:t>
            </w:r>
            <w:r w:rsidRPr="00616362">
              <w:rPr>
                <w:szCs w:val="20"/>
              </w:rPr>
              <w:t xml:space="preserve">MBS Item </w:t>
            </w:r>
            <w:r w:rsidR="00A81DFD" w:rsidRPr="00616362">
              <w:rPr>
                <w:szCs w:val="20"/>
              </w:rPr>
              <w:t>66750</w:t>
            </w:r>
            <w:r w:rsidR="004605A3">
              <w:rPr>
                <w:szCs w:val="20"/>
              </w:rPr>
              <w:t>; 85% =</w:t>
            </w:r>
            <w:r w:rsidR="00000474">
              <w:rPr>
                <w:szCs w:val="20"/>
              </w:rPr>
              <w:t xml:space="preserve"> $59.23</w:t>
            </w:r>
            <w:r w:rsidRPr="00616362">
              <w:rPr>
                <w:szCs w:val="20"/>
              </w:rPr>
              <w:t>)</w:t>
            </w:r>
          </w:p>
        </w:tc>
        <w:tc>
          <w:tcPr>
            <w:tcW w:w="626" w:type="pct"/>
            <w:shd w:val="clear" w:color="auto" w:fill="auto"/>
            <w:tcMar>
              <w:top w:w="0" w:type="dxa"/>
              <w:left w:w="108" w:type="dxa"/>
              <w:bottom w:w="0" w:type="dxa"/>
              <w:right w:w="108" w:type="dxa"/>
            </w:tcMar>
            <w:vAlign w:val="center"/>
          </w:tcPr>
          <w:p w14:paraId="23E23E7F" w14:textId="5DCEC63F" w:rsidR="00983A2C" w:rsidRPr="00616362" w:rsidRDefault="00983A2C" w:rsidP="003121B4">
            <w:pPr>
              <w:pStyle w:val="TableText"/>
              <w:keepNext/>
              <w:spacing w:before="0" w:after="0" w:line="256" w:lineRule="auto"/>
              <w:jc w:val="right"/>
              <w:rPr>
                <w:szCs w:val="20"/>
              </w:rPr>
            </w:pPr>
            <w:r w:rsidRPr="00616362">
              <w:rPr>
                <w:szCs w:val="20"/>
              </w:rPr>
              <w:t xml:space="preserve">42,425 </w:t>
            </w:r>
          </w:p>
        </w:tc>
        <w:tc>
          <w:tcPr>
            <w:tcW w:w="626" w:type="pct"/>
            <w:shd w:val="clear" w:color="auto" w:fill="auto"/>
            <w:tcMar>
              <w:top w:w="0" w:type="dxa"/>
              <w:left w:w="108" w:type="dxa"/>
              <w:bottom w:w="0" w:type="dxa"/>
              <w:right w:w="108" w:type="dxa"/>
            </w:tcMar>
            <w:vAlign w:val="center"/>
          </w:tcPr>
          <w:p w14:paraId="39844E5A" w14:textId="60984649" w:rsidR="00983A2C" w:rsidRPr="00616362" w:rsidRDefault="00983A2C" w:rsidP="003121B4">
            <w:pPr>
              <w:pStyle w:val="TableText"/>
              <w:keepNext/>
              <w:spacing w:before="0" w:after="0" w:line="256" w:lineRule="auto"/>
              <w:jc w:val="right"/>
              <w:rPr>
                <w:szCs w:val="20"/>
              </w:rPr>
            </w:pPr>
            <w:r w:rsidRPr="00616362">
              <w:rPr>
                <w:szCs w:val="20"/>
              </w:rPr>
              <w:t xml:space="preserve">33,006 </w:t>
            </w:r>
          </w:p>
        </w:tc>
        <w:tc>
          <w:tcPr>
            <w:tcW w:w="626" w:type="pct"/>
            <w:shd w:val="clear" w:color="auto" w:fill="auto"/>
            <w:tcMar>
              <w:top w:w="0" w:type="dxa"/>
              <w:left w:w="108" w:type="dxa"/>
              <w:bottom w:w="0" w:type="dxa"/>
              <w:right w:w="108" w:type="dxa"/>
            </w:tcMar>
            <w:vAlign w:val="center"/>
          </w:tcPr>
          <w:p w14:paraId="23BE9FB9" w14:textId="4CCD51D5" w:rsidR="00983A2C" w:rsidRPr="00616362" w:rsidRDefault="00983A2C" w:rsidP="003121B4">
            <w:pPr>
              <w:pStyle w:val="TableText"/>
              <w:keepNext/>
              <w:spacing w:before="0" w:after="0" w:line="256" w:lineRule="auto"/>
              <w:jc w:val="right"/>
              <w:rPr>
                <w:szCs w:val="20"/>
              </w:rPr>
            </w:pPr>
            <w:r w:rsidRPr="00616362">
              <w:rPr>
                <w:szCs w:val="20"/>
              </w:rPr>
              <w:t xml:space="preserve">23,587 </w:t>
            </w:r>
          </w:p>
        </w:tc>
        <w:tc>
          <w:tcPr>
            <w:tcW w:w="626" w:type="pct"/>
            <w:shd w:val="clear" w:color="auto" w:fill="auto"/>
            <w:tcMar>
              <w:top w:w="0" w:type="dxa"/>
              <w:left w:w="108" w:type="dxa"/>
              <w:bottom w:w="0" w:type="dxa"/>
              <w:right w:w="108" w:type="dxa"/>
            </w:tcMar>
            <w:vAlign w:val="center"/>
          </w:tcPr>
          <w:p w14:paraId="63024B8E" w14:textId="7BC9471F" w:rsidR="00983A2C" w:rsidRPr="00616362" w:rsidRDefault="00983A2C" w:rsidP="003121B4">
            <w:pPr>
              <w:pStyle w:val="TableText"/>
              <w:keepNext/>
              <w:spacing w:before="0" w:after="0" w:line="256" w:lineRule="auto"/>
              <w:jc w:val="right"/>
              <w:rPr>
                <w:szCs w:val="20"/>
              </w:rPr>
            </w:pPr>
            <w:r w:rsidRPr="00616362">
              <w:rPr>
                <w:szCs w:val="20"/>
              </w:rPr>
              <w:t xml:space="preserve">14,168 </w:t>
            </w:r>
          </w:p>
        </w:tc>
        <w:tc>
          <w:tcPr>
            <w:tcW w:w="626" w:type="pct"/>
            <w:shd w:val="clear" w:color="auto" w:fill="auto"/>
            <w:tcMar>
              <w:top w:w="0" w:type="dxa"/>
              <w:left w:w="108" w:type="dxa"/>
              <w:bottom w:w="0" w:type="dxa"/>
              <w:right w:w="108" w:type="dxa"/>
            </w:tcMar>
            <w:vAlign w:val="center"/>
          </w:tcPr>
          <w:p w14:paraId="6A196E22" w14:textId="73BA5BEE" w:rsidR="00983A2C" w:rsidRPr="00616362" w:rsidRDefault="00983A2C" w:rsidP="003121B4">
            <w:pPr>
              <w:pStyle w:val="TableText"/>
              <w:keepNext/>
              <w:spacing w:before="0" w:after="0" w:line="256" w:lineRule="auto"/>
              <w:jc w:val="right"/>
              <w:rPr>
                <w:szCs w:val="20"/>
              </w:rPr>
            </w:pPr>
            <w:r w:rsidRPr="00616362">
              <w:rPr>
                <w:szCs w:val="20"/>
              </w:rPr>
              <w:t xml:space="preserve">4,750 </w:t>
            </w:r>
          </w:p>
        </w:tc>
        <w:tc>
          <w:tcPr>
            <w:tcW w:w="628" w:type="pct"/>
            <w:shd w:val="clear" w:color="auto" w:fill="auto"/>
            <w:tcMar>
              <w:top w:w="0" w:type="dxa"/>
              <w:left w:w="108" w:type="dxa"/>
              <w:bottom w:w="0" w:type="dxa"/>
              <w:right w:w="108" w:type="dxa"/>
            </w:tcMar>
            <w:vAlign w:val="center"/>
          </w:tcPr>
          <w:p w14:paraId="6CA30F9A" w14:textId="0CAD3F37" w:rsidR="00983A2C" w:rsidRPr="00616362" w:rsidRDefault="00983A2C" w:rsidP="003121B4">
            <w:pPr>
              <w:pStyle w:val="TableText"/>
              <w:keepNext/>
              <w:spacing w:before="0" w:after="0" w:line="256" w:lineRule="auto"/>
              <w:jc w:val="right"/>
              <w:rPr>
                <w:szCs w:val="20"/>
              </w:rPr>
            </w:pPr>
            <w:r w:rsidRPr="00616362">
              <w:rPr>
                <w:szCs w:val="20"/>
              </w:rPr>
              <w:t xml:space="preserve">4,750 </w:t>
            </w:r>
          </w:p>
        </w:tc>
      </w:tr>
      <w:tr w:rsidR="00391D46" w:rsidRPr="00616362" w14:paraId="4C424BB2" w14:textId="77777777" w:rsidTr="00943784">
        <w:tc>
          <w:tcPr>
            <w:tcW w:w="1242" w:type="pct"/>
            <w:shd w:val="clear" w:color="auto" w:fill="auto"/>
            <w:tcMar>
              <w:top w:w="0" w:type="dxa"/>
              <w:left w:w="108" w:type="dxa"/>
              <w:bottom w:w="0" w:type="dxa"/>
              <w:right w:w="108" w:type="dxa"/>
            </w:tcMar>
          </w:tcPr>
          <w:p w14:paraId="20998319" w14:textId="697808DB" w:rsidR="00092289" w:rsidRPr="00616362" w:rsidRDefault="000D6FF9" w:rsidP="003121B4">
            <w:pPr>
              <w:pStyle w:val="TableText"/>
              <w:keepNext/>
              <w:spacing w:before="0" w:after="0" w:line="256" w:lineRule="auto"/>
              <w:rPr>
                <w:szCs w:val="20"/>
              </w:rPr>
            </w:pPr>
            <w:r w:rsidRPr="00616362">
              <w:rPr>
                <w:szCs w:val="20"/>
              </w:rPr>
              <w:t xml:space="preserve">Number of </w:t>
            </w:r>
            <w:r w:rsidR="00B60AD0">
              <w:rPr>
                <w:szCs w:val="20"/>
              </w:rPr>
              <w:t>services</w:t>
            </w:r>
            <w:r w:rsidRPr="00616362">
              <w:rPr>
                <w:szCs w:val="20"/>
              </w:rPr>
              <w:t xml:space="preserve"> (</w:t>
            </w:r>
            <w:r w:rsidR="001C1D0D">
              <w:rPr>
                <w:szCs w:val="20"/>
              </w:rPr>
              <w:t xml:space="preserve">amended </w:t>
            </w:r>
            <w:r w:rsidRPr="00616362">
              <w:rPr>
                <w:szCs w:val="20"/>
              </w:rPr>
              <w:t>MBS Item 66751</w:t>
            </w:r>
            <w:r w:rsidR="00000474">
              <w:rPr>
                <w:szCs w:val="20"/>
              </w:rPr>
              <w:t>; 85% = $72.46</w:t>
            </w:r>
            <w:r w:rsidRPr="00616362">
              <w:rPr>
                <w:szCs w:val="20"/>
              </w:rPr>
              <w:t>)</w:t>
            </w:r>
          </w:p>
        </w:tc>
        <w:tc>
          <w:tcPr>
            <w:tcW w:w="626" w:type="pct"/>
            <w:shd w:val="clear" w:color="auto" w:fill="auto"/>
            <w:tcMar>
              <w:top w:w="0" w:type="dxa"/>
              <w:left w:w="108" w:type="dxa"/>
              <w:bottom w:w="0" w:type="dxa"/>
              <w:right w:w="108" w:type="dxa"/>
            </w:tcMar>
            <w:vAlign w:val="center"/>
          </w:tcPr>
          <w:p w14:paraId="3C4706F0" w14:textId="4E10BC3B" w:rsidR="00092289" w:rsidRPr="00616362" w:rsidRDefault="00092289" w:rsidP="003121B4">
            <w:pPr>
              <w:pStyle w:val="TableText"/>
              <w:keepNext/>
              <w:spacing w:before="0" w:after="0" w:line="256" w:lineRule="auto"/>
              <w:jc w:val="right"/>
              <w:rPr>
                <w:szCs w:val="20"/>
              </w:rPr>
            </w:pPr>
            <w:r w:rsidRPr="00616362">
              <w:rPr>
                <w:szCs w:val="20"/>
              </w:rPr>
              <w:t xml:space="preserve">67,662 </w:t>
            </w:r>
          </w:p>
        </w:tc>
        <w:tc>
          <w:tcPr>
            <w:tcW w:w="626" w:type="pct"/>
            <w:shd w:val="clear" w:color="auto" w:fill="auto"/>
            <w:tcMar>
              <w:top w:w="0" w:type="dxa"/>
              <w:left w:w="108" w:type="dxa"/>
              <w:bottom w:w="0" w:type="dxa"/>
              <w:right w:w="108" w:type="dxa"/>
            </w:tcMar>
            <w:vAlign w:val="center"/>
          </w:tcPr>
          <w:p w14:paraId="0BE1E927" w14:textId="7311FDA5" w:rsidR="00092289" w:rsidRPr="00616362" w:rsidRDefault="00092289" w:rsidP="003121B4">
            <w:pPr>
              <w:pStyle w:val="TableText"/>
              <w:keepNext/>
              <w:spacing w:before="0" w:after="0" w:line="256" w:lineRule="auto"/>
              <w:jc w:val="right"/>
              <w:rPr>
                <w:szCs w:val="20"/>
              </w:rPr>
            </w:pPr>
            <w:r w:rsidRPr="00616362">
              <w:rPr>
                <w:szCs w:val="20"/>
              </w:rPr>
              <w:t xml:space="preserve">70,167 </w:t>
            </w:r>
          </w:p>
        </w:tc>
        <w:tc>
          <w:tcPr>
            <w:tcW w:w="626" w:type="pct"/>
            <w:shd w:val="clear" w:color="auto" w:fill="auto"/>
            <w:tcMar>
              <w:top w:w="0" w:type="dxa"/>
              <w:left w:w="108" w:type="dxa"/>
              <w:bottom w:w="0" w:type="dxa"/>
              <w:right w:w="108" w:type="dxa"/>
            </w:tcMar>
            <w:vAlign w:val="center"/>
          </w:tcPr>
          <w:p w14:paraId="74BA26FA" w14:textId="143C9775" w:rsidR="00092289" w:rsidRPr="00616362" w:rsidRDefault="00092289" w:rsidP="003121B4">
            <w:pPr>
              <w:pStyle w:val="TableText"/>
              <w:keepNext/>
              <w:spacing w:before="0" w:after="0" w:line="256" w:lineRule="auto"/>
              <w:jc w:val="right"/>
              <w:rPr>
                <w:szCs w:val="20"/>
              </w:rPr>
            </w:pPr>
            <w:r w:rsidRPr="00616362">
              <w:rPr>
                <w:szCs w:val="20"/>
              </w:rPr>
              <w:t xml:space="preserve">72,671 </w:t>
            </w:r>
          </w:p>
        </w:tc>
        <w:tc>
          <w:tcPr>
            <w:tcW w:w="626" w:type="pct"/>
            <w:shd w:val="clear" w:color="auto" w:fill="auto"/>
            <w:tcMar>
              <w:top w:w="0" w:type="dxa"/>
              <w:left w:w="108" w:type="dxa"/>
              <w:bottom w:w="0" w:type="dxa"/>
              <w:right w:w="108" w:type="dxa"/>
            </w:tcMar>
            <w:vAlign w:val="center"/>
          </w:tcPr>
          <w:p w14:paraId="24762C4C" w14:textId="738B285C" w:rsidR="00092289" w:rsidRPr="00616362" w:rsidRDefault="00092289" w:rsidP="003121B4">
            <w:pPr>
              <w:pStyle w:val="TableText"/>
              <w:keepNext/>
              <w:spacing w:before="0" w:after="0" w:line="256" w:lineRule="auto"/>
              <w:jc w:val="right"/>
              <w:rPr>
                <w:szCs w:val="20"/>
              </w:rPr>
            </w:pPr>
            <w:r w:rsidRPr="00616362">
              <w:rPr>
                <w:szCs w:val="20"/>
              </w:rPr>
              <w:t xml:space="preserve">75,176 </w:t>
            </w:r>
          </w:p>
        </w:tc>
        <w:tc>
          <w:tcPr>
            <w:tcW w:w="626" w:type="pct"/>
            <w:shd w:val="clear" w:color="auto" w:fill="auto"/>
            <w:tcMar>
              <w:top w:w="0" w:type="dxa"/>
              <w:left w:w="108" w:type="dxa"/>
              <w:bottom w:w="0" w:type="dxa"/>
              <w:right w:w="108" w:type="dxa"/>
            </w:tcMar>
            <w:vAlign w:val="center"/>
          </w:tcPr>
          <w:p w14:paraId="648E339A" w14:textId="3C984EDA" w:rsidR="00092289" w:rsidRPr="00616362" w:rsidRDefault="00092289" w:rsidP="003121B4">
            <w:pPr>
              <w:pStyle w:val="TableText"/>
              <w:keepNext/>
              <w:spacing w:before="0" w:after="0" w:line="256" w:lineRule="auto"/>
              <w:jc w:val="right"/>
              <w:rPr>
                <w:szCs w:val="20"/>
              </w:rPr>
            </w:pPr>
            <w:r w:rsidRPr="00616362">
              <w:rPr>
                <w:szCs w:val="20"/>
              </w:rPr>
              <w:t xml:space="preserve">77,681 </w:t>
            </w:r>
          </w:p>
        </w:tc>
        <w:tc>
          <w:tcPr>
            <w:tcW w:w="628" w:type="pct"/>
            <w:shd w:val="clear" w:color="auto" w:fill="auto"/>
            <w:tcMar>
              <w:top w:w="0" w:type="dxa"/>
              <w:left w:w="108" w:type="dxa"/>
              <w:bottom w:w="0" w:type="dxa"/>
              <w:right w:w="108" w:type="dxa"/>
            </w:tcMar>
            <w:vAlign w:val="center"/>
          </w:tcPr>
          <w:p w14:paraId="3E5E8C89" w14:textId="3A15DDBC" w:rsidR="00092289" w:rsidRPr="00616362" w:rsidRDefault="00092289" w:rsidP="003121B4">
            <w:pPr>
              <w:pStyle w:val="TableText"/>
              <w:keepNext/>
              <w:spacing w:before="0" w:after="0" w:line="256" w:lineRule="auto"/>
              <w:jc w:val="right"/>
              <w:rPr>
                <w:szCs w:val="20"/>
              </w:rPr>
            </w:pPr>
            <w:r w:rsidRPr="00616362">
              <w:rPr>
                <w:szCs w:val="20"/>
              </w:rPr>
              <w:t xml:space="preserve">80,186 </w:t>
            </w:r>
          </w:p>
        </w:tc>
      </w:tr>
      <w:tr w:rsidR="00391D46" w:rsidRPr="00616362" w14:paraId="7DD8EAD2" w14:textId="77777777" w:rsidTr="00943784">
        <w:tc>
          <w:tcPr>
            <w:tcW w:w="1242" w:type="pct"/>
            <w:shd w:val="clear" w:color="auto" w:fill="auto"/>
            <w:tcMar>
              <w:top w:w="0" w:type="dxa"/>
              <w:left w:w="108" w:type="dxa"/>
              <w:bottom w:w="0" w:type="dxa"/>
              <w:right w:w="108" w:type="dxa"/>
            </w:tcMar>
            <w:hideMark/>
          </w:tcPr>
          <w:p w14:paraId="7ECED6E2" w14:textId="61E96751" w:rsidR="00147411" w:rsidRPr="005445BF" w:rsidRDefault="002F0F8A" w:rsidP="003121B4">
            <w:pPr>
              <w:pStyle w:val="TableText"/>
              <w:keepNext/>
              <w:spacing w:before="0" w:after="0" w:line="256" w:lineRule="auto"/>
              <w:rPr>
                <w:i/>
                <w:iCs/>
                <w:szCs w:val="20"/>
              </w:rPr>
            </w:pPr>
            <w:r>
              <w:rPr>
                <w:i/>
                <w:iCs/>
                <w:szCs w:val="20"/>
              </w:rPr>
              <w:t>Total c</w:t>
            </w:r>
            <w:r w:rsidR="00147411" w:rsidRPr="005445BF">
              <w:rPr>
                <w:i/>
                <w:iCs/>
                <w:szCs w:val="20"/>
              </w:rPr>
              <w:t>ost to the MBS (with appropriate copayments excluded)</w:t>
            </w:r>
          </w:p>
        </w:tc>
        <w:tc>
          <w:tcPr>
            <w:tcW w:w="626" w:type="pct"/>
            <w:shd w:val="clear" w:color="auto" w:fill="auto"/>
            <w:tcMar>
              <w:top w:w="0" w:type="dxa"/>
              <w:left w:w="108" w:type="dxa"/>
              <w:bottom w:w="0" w:type="dxa"/>
              <w:right w:w="108" w:type="dxa"/>
            </w:tcMar>
            <w:vAlign w:val="center"/>
          </w:tcPr>
          <w:p w14:paraId="601694CF" w14:textId="58DDEEC9" w:rsidR="00147411" w:rsidRPr="005445BF" w:rsidRDefault="00147411" w:rsidP="003121B4">
            <w:pPr>
              <w:pStyle w:val="TableText"/>
              <w:keepNext/>
              <w:spacing w:before="0" w:after="0" w:line="256" w:lineRule="auto"/>
              <w:jc w:val="right"/>
              <w:rPr>
                <w:i/>
                <w:iCs/>
                <w:szCs w:val="20"/>
              </w:rPr>
            </w:pPr>
            <w:r w:rsidRPr="005445BF">
              <w:rPr>
                <w:rFonts w:cs="Calibri"/>
                <w:i/>
                <w:iCs/>
                <w:color w:val="000000"/>
                <w:szCs w:val="20"/>
              </w:rPr>
              <w:t>$21,000,212</w:t>
            </w:r>
          </w:p>
        </w:tc>
        <w:tc>
          <w:tcPr>
            <w:tcW w:w="626" w:type="pct"/>
            <w:shd w:val="clear" w:color="auto" w:fill="auto"/>
            <w:tcMar>
              <w:top w:w="0" w:type="dxa"/>
              <w:left w:w="108" w:type="dxa"/>
              <w:bottom w:w="0" w:type="dxa"/>
              <w:right w:w="108" w:type="dxa"/>
            </w:tcMar>
            <w:vAlign w:val="center"/>
          </w:tcPr>
          <w:p w14:paraId="5D57BB04" w14:textId="551E6C76" w:rsidR="00147411" w:rsidRPr="005445BF" w:rsidRDefault="00147411" w:rsidP="003121B4">
            <w:pPr>
              <w:pStyle w:val="TableText"/>
              <w:keepNext/>
              <w:spacing w:before="0" w:after="0" w:line="256" w:lineRule="auto"/>
              <w:jc w:val="right"/>
              <w:rPr>
                <w:i/>
                <w:iCs/>
                <w:szCs w:val="20"/>
              </w:rPr>
            </w:pPr>
            <w:r w:rsidRPr="005445BF">
              <w:rPr>
                <w:rFonts w:cs="Calibri"/>
                <w:i/>
                <w:iCs/>
                <w:color w:val="000000"/>
                <w:szCs w:val="20"/>
              </w:rPr>
              <w:t>$20,674,634</w:t>
            </w:r>
          </w:p>
        </w:tc>
        <w:tc>
          <w:tcPr>
            <w:tcW w:w="626" w:type="pct"/>
            <w:shd w:val="clear" w:color="auto" w:fill="auto"/>
            <w:tcMar>
              <w:top w:w="0" w:type="dxa"/>
              <w:left w:w="108" w:type="dxa"/>
              <w:bottom w:w="0" w:type="dxa"/>
              <w:right w:w="108" w:type="dxa"/>
            </w:tcMar>
            <w:vAlign w:val="center"/>
          </w:tcPr>
          <w:p w14:paraId="09AE5EED" w14:textId="0B33C3BC" w:rsidR="00147411" w:rsidRPr="005445BF" w:rsidRDefault="00147411" w:rsidP="003121B4">
            <w:pPr>
              <w:pStyle w:val="TableText"/>
              <w:keepNext/>
              <w:spacing w:before="0" w:after="0" w:line="256" w:lineRule="auto"/>
              <w:jc w:val="right"/>
              <w:rPr>
                <w:i/>
                <w:iCs/>
                <w:szCs w:val="20"/>
              </w:rPr>
            </w:pPr>
            <w:r w:rsidRPr="005445BF">
              <w:rPr>
                <w:rFonts w:cs="Calibri"/>
                <w:i/>
                <w:iCs/>
                <w:color w:val="000000"/>
                <w:szCs w:val="20"/>
              </w:rPr>
              <w:t>$20,349,055</w:t>
            </w:r>
          </w:p>
        </w:tc>
        <w:tc>
          <w:tcPr>
            <w:tcW w:w="626" w:type="pct"/>
            <w:shd w:val="clear" w:color="auto" w:fill="auto"/>
            <w:tcMar>
              <w:top w:w="0" w:type="dxa"/>
              <w:left w:w="108" w:type="dxa"/>
              <w:bottom w:w="0" w:type="dxa"/>
              <w:right w:w="108" w:type="dxa"/>
            </w:tcMar>
            <w:vAlign w:val="center"/>
          </w:tcPr>
          <w:p w14:paraId="017C4EBE" w14:textId="5BE8C71B" w:rsidR="00147411" w:rsidRPr="005445BF" w:rsidRDefault="00147411" w:rsidP="003121B4">
            <w:pPr>
              <w:pStyle w:val="TableText"/>
              <w:keepNext/>
              <w:spacing w:before="0" w:after="0" w:line="256" w:lineRule="auto"/>
              <w:jc w:val="right"/>
              <w:rPr>
                <w:i/>
                <w:iCs/>
                <w:szCs w:val="20"/>
              </w:rPr>
            </w:pPr>
            <w:r w:rsidRPr="005445BF">
              <w:rPr>
                <w:rFonts w:cs="Calibri"/>
                <w:i/>
                <w:iCs/>
                <w:color w:val="000000"/>
                <w:szCs w:val="20"/>
              </w:rPr>
              <w:t>$20,023,477</w:t>
            </w:r>
          </w:p>
        </w:tc>
        <w:tc>
          <w:tcPr>
            <w:tcW w:w="626" w:type="pct"/>
            <w:shd w:val="clear" w:color="auto" w:fill="auto"/>
            <w:tcMar>
              <w:top w:w="0" w:type="dxa"/>
              <w:left w:w="108" w:type="dxa"/>
              <w:bottom w:w="0" w:type="dxa"/>
              <w:right w:w="108" w:type="dxa"/>
            </w:tcMar>
            <w:vAlign w:val="center"/>
          </w:tcPr>
          <w:p w14:paraId="18E57BAF" w14:textId="0C2B3F69" w:rsidR="00147411" w:rsidRPr="005445BF" w:rsidRDefault="00147411" w:rsidP="003121B4">
            <w:pPr>
              <w:pStyle w:val="TableText"/>
              <w:keepNext/>
              <w:spacing w:before="0" w:after="0" w:line="256" w:lineRule="auto"/>
              <w:jc w:val="right"/>
              <w:rPr>
                <w:i/>
                <w:iCs/>
                <w:szCs w:val="20"/>
              </w:rPr>
            </w:pPr>
            <w:r w:rsidRPr="005445BF">
              <w:rPr>
                <w:rFonts w:cs="Calibri"/>
                <w:i/>
                <w:iCs/>
                <w:color w:val="000000"/>
                <w:szCs w:val="20"/>
              </w:rPr>
              <w:t>$19,697,899</w:t>
            </w:r>
          </w:p>
        </w:tc>
        <w:tc>
          <w:tcPr>
            <w:tcW w:w="628" w:type="pct"/>
            <w:shd w:val="clear" w:color="auto" w:fill="auto"/>
            <w:tcMar>
              <w:top w:w="0" w:type="dxa"/>
              <w:left w:w="108" w:type="dxa"/>
              <w:bottom w:w="0" w:type="dxa"/>
              <w:right w:w="108" w:type="dxa"/>
            </w:tcMar>
            <w:vAlign w:val="center"/>
          </w:tcPr>
          <w:p w14:paraId="36C6A5F1" w14:textId="722C687F" w:rsidR="00147411" w:rsidRPr="005445BF" w:rsidRDefault="00147411" w:rsidP="003121B4">
            <w:pPr>
              <w:pStyle w:val="TableText"/>
              <w:keepNext/>
              <w:spacing w:before="0" w:after="0" w:line="256" w:lineRule="auto"/>
              <w:jc w:val="right"/>
              <w:rPr>
                <w:i/>
                <w:iCs/>
                <w:szCs w:val="20"/>
              </w:rPr>
            </w:pPr>
            <w:r w:rsidRPr="005445BF">
              <w:rPr>
                <w:rFonts w:cs="Calibri"/>
                <w:i/>
                <w:iCs/>
                <w:color w:val="000000"/>
                <w:szCs w:val="20"/>
              </w:rPr>
              <w:t>$19,930,735</w:t>
            </w:r>
          </w:p>
        </w:tc>
      </w:tr>
      <w:tr w:rsidR="00147411" w:rsidRPr="00F4764D" w14:paraId="1F3FD8E7" w14:textId="77777777" w:rsidTr="003121B4">
        <w:tc>
          <w:tcPr>
            <w:tcW w:w="5000" w:type="pct"/>
            <w:gridSpan w:val="7"/>
            <w:shd w:val="clear" w:color="auto" w:fill="auto"/>
            <w:tcMar>
              <w:top w:w="0" w:type="dxa"/>
              <w:left w:w="108" w:type="dxa"/>
              <w:bottom w:w="0" w:type="dxa"/>
              <w:right w:w="108" w:type="dxa"/>
            </w:tcMar>
            <w:hideMark/>
          </w:tcPr>
          <w:p w14:paraId="05B581C3" w14:textId="7D0B2628" w:rsidR="00147411" w:rsidRPr="00F4764D" w:rsidRDefault="00147411" w:rsidP="003121B4">
            <w:pPr>
              <w:pStyle w:val="TableText"/>
              <w:keepNext/>
              <w:spacing w:before="0" w:after="0" w:line="256" w:lineRule="auto"/>
              <w:rPr>
                <w:b/>
                <w:bCs/>
                <w:szCs w:val="20"/>
              </w:rPr>
            </w:pPr>
            <w:r w:rsidRPr="00F4764D">
              <w:rPr>
                <w:b/>
                <w:bCs/>
                <w:szCs w:val="20"/>
              </w:rPr>
              <w:t xml:space="preserve">Change in use and cost of </w:t>
            </w:r>
            <w:r w:rsidR="004F5C2B">
              <w:rPr>
                <w:b/>
                <w:bCs/>
                <w:szCs w:val="20"/>
              </w:rPr>
              <w:t xml:space="preserve">unamended </w:t>
            </w:r>
            <w:r w:rsidR="00E947C5">
              <w:rPr>
                <w:b/>
                <w:bCs/>
                <w:szCs w:val="20"/>
              </w:rPr>
              <w:t>MBS items</w:t>
            </w:r>
            <w:r w:rsidR="00BD7FB5">
              <w:rPr>
                <w:b/>
                <w:bCs/>
                <w:szCs w:val="20"/>
              </w:rPr>
              <w:t xml:space="preserve"> </w:t>
            </w:r>
            <w:r w:rsidR="00AF6C2D">
              <w:rPr>
                <w:b/>
                <w:bCs/>
                <w:szCs w:val="20"/>
              </w:rPr>
              <w:t xml:space="preserve">currently delivering standard of care </w:t>
            </w:r>
          </w:p>
        </w:tc>
      </w:tr>
      <w:tr w:rsidR="00391D46" w:rsidRPr="00616362" w14:paraId="470EB138" w14:textId="77777777" w:rsidTr="00943784">
        <w:tc>
          <w:tcPr>
            <w:tcW w:w="1242" w:type="pct"/>
            <w:shd w:val="clear" w:color="auto" w:fill="auto"/>
            <w:tcMar>
              <w:top w:w="0" w:type="dxa"/>
              <w:left w:w="108" w:type="dxa"/>
              <w:bottom w:w="0" w:type="dxa"/>
              <w:right w:w="108" w:type="dxa"/>
            </w:tcMar>
            <w:hideMark/>
          </w:tcPr>
          <w:p w14:paraId="6F70DF32" w14:textId="2D9F0625" w:rsidR="00E27412" w:rsidRPr="00616362" w:rsidRDefault="00895A2E" w:rsidP="003121B4">
            <w:pPr>
              <w:pStyle w:val="TableText"/>
              <w:keepNext/>
              <w:spacing w:before="0" w:after="0" w:line="256" w:lineRule="auto"/>
              <w:rPr>
                <w:szCs w:val="20"/>
              </w:rPr>
            </w:pPr>
            <w:r>
              <w:rPr>
                <w:szCs w:val="20"/>
              </w:rPr>
              <w:t xml:space="preserve">Number of </w:t>
            </w:r>
            <w:r w:rsidR="00315385">
              <w:rPr>
                <w:szCs w:val="20"/>
              </w:rPr>
              <w:t xml:space="preserve">unamended </w:t>
            </w:r>
            <w:r w:rsidR="00E27412" w:rsidRPr="00616362">
              <w:rPr>
                <w:szCs w:val="20"/>
              </w:rPr>
              <w:t>MBS Item 55707</w:t>
            </w:r>
            <w:r w:rsidR="004B50A6">
              <w:rPr>
                <w:szCs w:val="20"/>
              </w:rPr>
              <w:t xml:space="preserve"> replaced</w:t>
            </w:r>
            <w:r w:rsidR="00AC56FE">
              <w:rPr>
                <w:szCs w:val="20"/>
              </w:rPr>
              <w:t xml:space="preserve"> (</w:t>
            </w:r>
            <w:r w:rsidR="00205F96">
              <w:rPr>
                <w:szCs w:val="20"/>
              </w:rPr>
              <w:t>85% = $61.95)</w:t>
            </w:r>
          </w:p>
        </w:tc>
        <w:tc>
          <w:tcPr>
            <w:tcW w:w="626" w:type="pct"/>
            <w:shd w:val="clear" w:color="auto" w:fill="auto"/>
            <w:tcMar>
              <w:top w:w="0" w:type="dxa"/>
              <w:left w:w="108" w:type="dxa"/>
              <w:bottom w:w="0" w:type="dxa"/>
              <w:right w:w="108" w:type="dxa"/>
            </w:tcMar>
            <w:vAlign w:val="center"/>
          </w:tcPr>
          <w:p w14:paraId="582F73BA" w14:textId="2EDF599F" w:rsidR="00E27412" w:rsidRPr="00616362" w:rsidRDefault="00E27412" w:rsidP="00975075">
            <w:pPr>
              <w:pStyle w:val="TableText"/>
              <w:keepNext/>
              <w:spacing w:before="0" w:after="0" w:line="256" w:lineRule="auto"/>
              <w:jc w:val="right"/>
              <w:rPr>
                <w:szCs w:val="20"/>
              </w:rPr>
            </w:pPr>
            <w:r w:rsidRPr="00616362">
              <w:rPr>
                <w:rFonts w:cs="Arial"/>
                <w:color w:val="000000"/>
                <w:szCs w:val="20"/>
              </w:rPr>
              <w:t xml:space="preserve">159,524 </w:t>
            </w:r>
          </w:p>
        </w:tc>
        <w:tc>
          <w:tcPr>
            <w:tcW w:w="626" w:type="pct"/>
            <w:shd w:val="clear" w:color="auto" w:fill="auto"/>
            <w:tcMar>
              <w:top w:w="0" w:type="dxa"/>
              <w:left w:w="108" w:type="dxa"/>
              <w:bottom w:w="0" w:type="dxa"/>
              <w:right w:w="108" w:type="dxa"/>
            </w:tcMar>
            <w:vAlign w:val="center"/>
          </w:tcPr>
          <w:p w14:paraId="2F779C6F" w14:textId="497DEB99" w:rsidR="00E27412" w:rsidRPr="00616362" w:rsidRDefault="00E27412" w:rsidP="00975075">
            <w:pPr>
              <w:pStyle w:val="TableText"/>
              <w:keepNext/>
              <w:spacing w:before="0" w:after="0" w:line="256" w:lineRule="auto"/>
              <w:jc w:val="right"/>
              <w:rPr>
                <w:szCs w:val="20"/>
              </w:rPr>
            </w:pPr>
            <w:r w:rsidRPr="00616362">
              <w:rPr>
                <w:rFonts w:cs="Arial"/>
                <w:color w:val="000000"/>
                <w:szCs w:val="20"/>
              </w:rPr>
              <w:t xml:space="preserve">160,127 </w:t>
            </w:r>
          </w:p>
        </w:tc>
        <w:tc>
          <w:tcPr>
            <w:tcW w:w="626" w:type="pct"/>
            <w:shd w:val="clear" w:color="auto" w:fill="auto"/>
            <w:tcMar>
              <w:top w:w="0" w:type="dxa"/>
              <w:left w:w="108" w:type="dxa"/>
              <w:bottom w:w="0" w:type="dxa"/>
              <w:right w:w="108" w:type="dxa"/>
            </w:tcMar>
            <w:vAlign w:val="center"/>
          </w:tcPr>
          <w:p w14:paraId="1AB91D73" w14:textId="7EC42751" w:rsidR="00E27412" w:rsidRPr="00616362" w:rsidRDefault="00E27412" w:rsidP="00975075">
            <w:pPr>
              <w:pStyle w:val="TableText"/>
              <w:keepNext/>
              <w:spacing w:before="0" w:after="0" w:line="256" w:lineRule="auto"/>
              <w:jc w:val="right"/>
              <w:rPr>
                <w:szCs w:val="20"/>
              </w:rPr>
            </w:pPr>
            <w:r w:rsidRPr="00616362">
              <w:rPr>
                <w:rFonts w:cs="Arial"/>
                <w:color w:val="000000"/>
                <w:szCs w:val="20"/>
              </w:rPr>
              <w:t xml:space="preserve">160,729 </w:t>
            </w:r>
          </w:p>
        </w:tc>
        <w:tc>
          <w:tcPr>
            <w:tcW w:w="626" w:type="pct"/>
            <w:shd w:val="clear" w:color="auto" w:fill="auto"/>
            <w:tcMar>
              <w:top w:w="0" w:type="dxa"/>
              <w:left w:w="108" w:type="dxa"/>
              <w:bottom w:w="0" w:type="dxa"/>
              <w:right w:w="108" w:type="dxa"/>
            </w:tcMar>
            <w:vAlign w:val="center"/>
          </w:tcPr>
          <w:p w14:paraId="4AAB976C" w14:textId="46254D5B" w:rsidR="00E27412" w:rsidRPr="00616362" w:rsidRDefault="00E27412" w:rsidP="00975075">
            <w:pPr>
              <w:pStyle w:val="TableText"/>
              <w:keepNext/>
              <w:spacing w:before="0" w:after="0" w:line="256" w:lineRule="auto"/>
              <w:jc w:val="right"/>
              <w:rPr>
                <w:szCs w:val="20"/>
              </w:rPr>
            </w:pPr>
            <w:r w:rsidRPr="00616362">
              <w:rPr>
                <w:rFonts w:cs="Arial"/>
                <w:color w:val="000000"/>
                <w:szCs w:val="20"/>
              </w:rPr>
              <w:t xml:space="preserve">161,332 </w:t>
            </w:r>
          </w:p>
        </w:tc>
        <w:tc>
          <w:tcPr>
            <w:tcW w:w="626" w:type="pct"/>
            <w:shd w:val="clear" w:color="auto" w:fill="auto"/>
            <w:tcMar>
              <w:top w:w="0" w:type="dxa"/>
              <w:left w:w="108" w:type="dxa"/>
              <w:bottom w:w="0" w:type="dxa"/>
              <w:right w:w="108" w:type="dxa"/>
            </w:tcMar>
            <w:vAlign w:val="center"/>
          </w:tcPr>
          <w:p w14:paraId="33DCF17D" w14:textId="20156A83" w:rsidR="00E27412" w:rsidRPr="00616362" w:rsidRDefault="00E27412" w:rsidP="00975075">
            <w:pPr>
              <w:pStyle w:val="TableText"/>
              <w:keepNext/>
              <w:spacing w:before="0" w:after="0" w:line="256" w:lineRule="auto"/>
              <w:jc w:val="right"/>
              <w:rPr>
                <w:szCs w:val="20"/>
              </w:rPr>
            </w:pPr>
            <w:r w:rsidRPr="00616362">
              <w:rPr>
                <w:rFonts w:cs="Arial"/>
                <w:color w:val="000000"/>
                <w:szCs w:val="20"/>
              </w:rPr>
              <w:t xml:space="preserve">161,935 </w:t>
            </w:r>
          </w:p>
        </w:tc>
        <w:tc>
          <w:tcPr>
            <w:tcW w:w="628" w:type="pct"/>
            <w:shd w:val="clear" w:color="auto" w:fill="auto"/>
            <w:tcMar>
              <w:top w:w="0" w:type="dxa"/>
              <w:left w:w="108" w:type="dxa"/>
              <w:bottom w:w="0" w:type="dxa"/>
              <w:right w:w="108" w:type="dxa"/>
            </w:tcMar>
            <w:vAlign w:val="center"/>
          </w:tcPr>
          <w:p w14:paraId="3E29076D" w14:textId="70A3DDE2" w:rsidR="00E27412" w:rsidRPr="00616362" w:rsidRDefault="00E27412" w:rsidP="00975075">
            <w:pPr>
              <w:pStyle w:val="TableText"/>
              <w:keepNext/>
              <w:spacing w:before="0" w:after="0" w:line="256" w:lineRule="auto"/>
              <w:jc w:val="right"/>
              <w:rPr>
                <w:szCs w:val="20"/>
              </w:rPr>
            </w:pPr>
            <w:r w:rsidRPr="00616362">
              <w:rPr>
                <w:rFonts w:cs="Arial"/>
                <w:color w:val="000000"/>
                <w:szCs w:val="20"/>
              </w:rPr>
              <w:t xml:space="preserve">162,538 </w:t>
            </w:r>
          </w:p>
        </w:tc>
      </w:tr>
      <w:tr w:rsidR="00227E46" w:rsidRPr="009A54CC" w14:paraId="03BA4277" w14:textId="77777777" w:rsidTr="00943784">
        <w:tc>
          <w:tcPr>
            <w:tcW w:w="1242" w:type="pct"/>
            <w:shd w:val="clear" w:color="auto" w:fill="auto"/>
            <w:tcMar>
              <w:top w:w="0" w:type="dxa"/>
              <w:left w:w="108" w:type="dxa"/>
              <w:bottom w:w="0" w:type="dxa"/>
              <w:right w:w="108" w:type="dxa"/>
            </w:tcMar>
          </w:tcPr>
          <w:p w14:paraId="60E4D0E2" w14:textId="2CC77251" w:rsidR="00227E46" w:rsidRPr="00943784" w:rsidRDefault="00227E46" w:rsidP="00227E46">
            <w:pPr>
              <w:pStyle w:val="TableText"/>
              <w:keepNext/>
              <w:spacing w:before="0" w:after="0" w:line="256" w:lineRule="auto"/>
              <w:rPr>
                <w:i/>
                <w:iCs/>
                <w:szCs w:val="20"/>
              </w:rPr>
            </w:pPr>
            <w:r w:rsidRPr="00943784">
              <w:rPr>
                <w:i/>
                <w:iCs/>
                <w:szCs w:val="20"/>
              </w:rPr>
              <w:t>Change in number of 55707 services</w:t>
            </w:r>
          </w:p>
        </w:tc>
        <w:tc>
          <w:tcPr>
            <w:tcW w:w="626" w:type="pct"/>
            <w:shd w:val="clear" w:color="auto" w:fill="auto"/>
            <w:tcMar>
              <w:top w:w="0" w:type="dxa"/>
              <w:left w:w="108" w:type="dxa"/>
              <w:bottom w:w="0" w:type="dxa"/>
              <w:right w:w="108" w:type="dxa"/>
            </w:tcMar>
            <w:vAlign w:val="center"/>
          </w:tcPr>
          <w:p w14:paraId="452E5940" w14:textId="701FBC55" w:rsidR="00227E46" w:rsidRPr="00943784" w:rsidRDefault="00227E46"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15,952 </w:t>
            </w:r>
          </w:p>
        </w:tc>
        <w:tc>
          <w:tcPr>
            <w:tcW w:w="626" w:type="pct"/>
            <w:shd w:val="clear" w:color="auto" w:fill="auto"/>
            <w:tcMar>
              <w:top w:w="0" w:type="dxa"/>
              <w:left w:w="108" w:type="dxa"/>
              <w:bottom w:w="0" w:type="dxa"/>
              <w:right w:w="108" w:type="dxa"/>
            </w:tcMar>
            <w:vAlign w:val="center"/>
          </w:tcPr>
          <w:p w14:paraId="1E22BC5A" w14:textId="0C89032A" w:rsidR="00227E46" w:rsidRPr="00943784" w:rsidRDefault="00227E46"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16,013 </w:t>
            </w:r>
          </w:p>
        </w:tc>
        <w:tc>
          <w:tcPr>
            <w:tcW w:w="626" w:type="pct"/>
            <w:shd w:val="clear" w:color="auto" w:fill="auto"/>
            <w:tcMar>
              <w:top w:w="0" w:type="dxa"/>
              <w:left w:w="108" w:type="dxa"/>
              <w:bottom w:w="0" w:type="dxa"/>
              <w:right w:w="108" w:type="dxa"/>
            </w:tcMar>
            <w:vAlign w:val="center"/>
          </w:tcPr>
          <w:p w14:paraId="35A082D7" w14:textId="7F4B2684" w:rsidR="00227E46" w:rsidRPr="00943784" w:rsidRDefault="00227E46"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16,073 </w:t>
            </w:r>
          </w:p>
        </w:tc>
        <w:tc>
          <w:tcPr>
            <w:tcW w:w="626" w:type="pct"/>
            <w:shd w:val="clear" w:color="auto" w:fill="auto"/>
            <w:tcMar>
              <w:top w:w="0" w:type="dxa"/>
              <w:left w:w="108" w:type="dxa"/>
              <w:bottom w:w="0" w:type="dxa"/>
              <w:right w:w="108" w:type="dxa"/>
            </w:tcMar>
            <w:vAlign w:val="center"/>
          </w:tcPr>
          <w:p w14:paraId="69C84A25" w14:textId="01118201" w:rsidR="00227E46" w:rsidRPr="00943784" w:rsidRDefault="00227E46"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16,133 </w:t>
            </w:r>
          </w:p>
        </w:tc>
        <w:tc>
          <w:tcPr>
            <w:tcW w:w="626" w:type="pct"/>
            <w:shd w:val="clear" w:color="auto" w:fill="auto"/>
            <w:tcMar>
              <w:top w:w="0" w:type="dxa"/>
              <w:left w:w="108" w:type="dxa"/>
              <w:bottom w:w="0" w:type="dxa"/>
              <w:right w:w="108" w:type="dxa"/>
            </w:tcMar>
            <w:vAlign w:val="center"/>
          </w:tcPr>
          <w:p w14:paraId="43D157B1" w14:textId="17B51125" w:rsidR="00227E46" w:rsidRPr="00943784" w:rsidRDefault="00227E46"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16,194 </w:t>
            </w:r>
          </w:p>
        </w:tc>
        <w:tc>
          <w:tcPr>
            <w:tcW w:w="628" w:type="pct"/>
            <w:shd w:val="clear" w:color="auto" w:fill="auto"/>
            <w:tcMar>
              <w:top w:w="0" w:type="dxa"/>
              <w:left w:w="108" w:type="dxa"/>
              <w:bottom w:w="0" w:type="dxa"/>
              <w:right w:w="108" w:type="dxa"/>
            </w:tcMar>
            <w:vAlign w:val="center"/>
          </w:tcPr>
          <w:p w14:paraId="511DEA81" w14:textId="185F7570" w:rsidR="00227E46" w:rsidRPr="00943784" w:rsidRDefault="00227E46"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16,254 </w:t>
            </w:r>
          </w:p>
        </w:tc>
      </w:tr>
      <w:tr w:rsidR="00391D46" w:rsidRPr="00616362" w14:paraId="7656A55A" w14:textId="77777777" w:rsidTr="00943784">
        <w:tc>
          <w:tcPr>
            <w:tcW w:w="1242" w:type="pct"/>
            <w:shd w:val="clear" w:color="auto" w:fill="auto"/>
            <w:tcMar>
              <w:top w:w="0" w:type="dxa"/>
              <w:left w:w="108" w:type="dxa"/>
              <w:bottom w:w="0" w:type="dxa"/>
              <w:right w:w="108" w:type="dxa"/>
            </w:tcMar>
          </w:tcPr>
          <w:p w14:paraId="772353E5" w14:textId="2FC3D667" w:rsidR="00742F34" w:rsidRPr="00616362" w:rsidRDefault="004B50A6" w:rsidP="003121B4">
            <w:pPr>
              <w:pStyle w:val="TableText"/>
              <w:keepNext/>
              <w:spacing w:before="0" w:after="0" w:line="256" w:lineRule="auto"/>
              <w:rPr>
                <w:szCs w:val="20"/>
              </w:rPr>
            </w:pPr>
            <w:r>
              <w:rPr>
                <w:szCs w:val="20"/>
              </w:rPr>
              <w:t>Number</w:t>
            </w:r>
            <w:r w:rsidR="00742F34" w:rsidRPr="00616362">
              <w:rPr>
                <w:szCs w:val="20"/>
              </w:rPr>
              <w:t xml:space="preserve"> of </w:t>
            </w:r>
            <w:r w:rsidR="00315385">
              <w:rPr>
                <w:szCs w:val="20"/>
              </w:rPr>
              <w:t xml:space="preserve">unamended </w:t>
            </w:r>
            <w:r w:rsidR="00742F34" w:rsidRPr="00616362">
              <w:rPr>
                <w:szCs w:val="20"/>
              </w:rPr>
              <w:t>MBS Item 66750</w:t>
            </w:r>
            <w:r>
              <w:rPr>
                <w:szCs w:val="20"/>
              </w:rPr>
              <w:t xml:space="preserve"> replaced</w:t>
            </w:r>
            <w:r w:rsidR="00205F96">
              <w:rPr>
                <w:szCs w:val="20"/>
              </w:rPr>
              <w:t xml:space="preserve"> (85% = 33.80)</w:t>
            </w:r>
          </w:p>
        </w:tc>
        <w:tc>
          <w:tcPr>
            <w:tcW w:w="626" w:type="pct"/>
            <w:shd w:val="clear" w:color="auto" w:fill="auto"/>
            <w:tcMar>
              <w:top w:w="0" w:type="dxa"/>
              <w:left w:w="108" w:type="dxa"/>
              <w:bottom w:w="0" w:type="dxa"/>
              <w:right w:w="108" w:type="dxa"/>
            </w:tcMar>
            <w:vAlign w:val="center"/>
          </w:tcPr>
          <w:p w14:paraId="21567C71" w14:textId="1792DCB2"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38,568 </w:t>
            </w:r>
          </w:p>
        </w:tc>
        <w:tc>
          <w:tcPr>
            <w:tcW w:w="626" w:type="pct"/>
            <w:shd w:val="clear" w:color="auto" w:fill="auto"/>
            <w:tcMar>
              <w:top w:w="0" w:type="dxa"/>
              <w:left w:w="108" w:type="dxa"/>
              <w:bottom w:w="0" w:type="dxa"/>
              <w:right w:w="108" w:type="dxa"/>
            </w:tcMar>
            <w:vAlign w:val="center"/>
          </w:tcPr>
          <w:p w14:paraId="0DF0C575" w14:textId="78294CE3"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30,005 </w:t>
            </w:r>
          </w:p>
        </w:tc>
        <w:tc>
          <w:tcPr>
            <w:tcW w:w="626" w:type="pct"/>
            <w:shd w:val="clear" w:color="auto" w:fill="auto"/>
            <w:tcMar>
              <w:top w:w="0" w:type="dxa"/>
              <w:left w:w="108" w:type="dxa"/>
              <w:bottom w:w="0" w:type="dxa"/>
              <w:right w:w="108" w:type="dxa"/>
            </w:tcMar>
            <w:vAlign w:val="center"/>
          </w:tcPr>
          <w:p w14:paraId="68D3DB24" w14:textId="63779174"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21,443 </w:t>
            </w:r>
          </w:p>
        </w:tc>
        <w:tc>
          <w:tcPr>
            <w:tcW w:w="626" w:type="pct"/>
            <w:shd w:val="clear" w:color="auto" w:fill="auto"/>
            <w:tcMar>
              <w:top w:w="0" w:type="dxa"/>
              <w:left w:w="108" w:type="dxa"/>
              <w:bottom w:w="0" w:type="dxa"/>
              <w:right w:w="108" w:type="dxa"/>
            </w:tcMar>
            <w:vAlign w:val="center"/>
          </w:tcPr>
          <w:p w14:paraId="228AD26A" w14:textId="7D140C0B"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12,880 </w:t>
            </w:r>
          </w:p>
        </w:tc>
        <w:tc>
          <w:tcPr>
            <w:tcW w:w="626" w:type="pct"/>
            <w:shd w:val="clear" w:color="auto" w:fill="auto"/>
            <w:tcMar>
              <w:top w:w="0" w:type="dxa"/>
              <w:left w:w="108" w:type="dxa"/>
              <w:bottom w:w="0" w:type="dxa"/>
              <w:right w:w="108" w:type="dxa"/>
            </w:tcMar>
            <w:vAlign w:val="center"/>
          </w:tcPr>
          <w:p w14:paraId="42B6FA49" w14:textId="051EFA56"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4,318 </w:t>
            </w:r>
          </w:p>
        </w:tc>
        <w:tc>
          <w:tcPr>
            <w:tcW w:w="628" w:type="pct"/>
            <w:shd w:val="clear" w:color="auto" w:fill="auto"/>
            <w:tcMar>
              <w:top w:w="0" w:type="dxa"/>
              <w:left w:w="108" w:type="dxa"/>
              <w:bottom w:w="0" w:type="dxa"/>
              <w:right w:w="108" w:type="dxa"/>
            </w:tcMar>
            <w:vAlign w:val="center"/>
          </w:tcPr>
          <w:p w14:paraId="00AC8AD4" w14:textId="10765DEE"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4,318 </w:t>
            </w:r>
          </w:p>
        </w:tc>
      </w:tr>
      <w:tr w:rsidR="00B43FA5" w:rsidRPr="009A54CC" w14:paraId="382EB19D" w14:textId="77777777" w:rsidTr="00943784">
        <w:tc>
          <w:tcPr>
            <w:tcW w:w="1242" w:type="pct"/>
            <w:shd w:val="clear" w:color="auto" w:fill="auto"/>
            <w:tcMar>
              <w:top w:w="0" w:type="dxa"/>
              <w:left w:w="108" w:type="dxa"/>
              <w:bottom w:w="0" w:type="dxa"/>
              <w:right w:w="108" w:type="dxa"/>
            </w:tcMar>
          </w:tcPr>
          <w:p w14:paraId="318E3CFC" w14:textId="28A7CD9C" w:rsidR="00B43FA5" w:rsidRPr="00943784" w:rsidRDefault="00B43FA5" w:rsidP="00B43FA5">
            <w:pPr>
              <w:pStyle w:val="TableText"/>
              <w:keepNext/>
              <w:spacing w:before="0" w:after="0" w:line="256" w:lineRule="auto"/>
              <w:rPr>
                <w:i/>
                <w:iCs/>
                <w:szCs w:val="20"/>
              </w:rPr>
            </w:pPr>
            <w:r w:rsidRPr="00943784">
              <w:rPr>
                <w:i/>
                <w:iCs/>
                <w:szCs w:val="20"/>
              </w:rPr>
              <w:t>Change in number of 66570 services</w:t>
            </w:r>
          </w:p>
        </w:tc>
        <w:tc>
          <w:tcPr>
            <w:tcW w:w="626" w:type="pct"/>
            <w:shd w:val="clear" w:color="auto" w:fill="auto"/>
            <w:tcMar>
              <w:top w:w="0" w:type="dxa"/>
              <w:left w:w="108" w:type="dxa"/>
              <w:bottom w:w="0" w:type="dxa"/>
              <w:right w:w="108" w:type="dxa"/>
            </w:tcMar>
            <w:vAlign w:val="center"/>
          </w:tcPr>
          <w:p w14:paraId="38C660FF" w14:textId="4022386B"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3,857 </w:t>
            </w:r>
          </w:p>
        </w:tc>
        <w:tc>
          <w:tcPr>
            <w:tcW w:w="626" w:type="pct"/>
            <w:shd w:val="clear" w:color="auto" w:fill="auto"/>
            <w:tcMar>
              <w:top w:w="0" w:type="dxa"/>
              <w:left w:w="108" w:type="dxa"/>
              <w:bottom w:w="0" w:type="dxa"/>
              <w:right w:w="108" w:type="dxa"/>
            </w:tcMar>
            <w:vAlign w:val="center"/>
          </w:tcPr>
          <w:p w14:paraId="2D83DB1F" w14:textId="7BDB4353"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3,001 </w:t>
            </w:r>
          </w:p>
        </w:tc>
        <w:tc>
          <w:tcPr>
            <w:tcW w:w="626" w:type="pct"/>
            <w:shd w:val="clear" w:color="auto" w:fill="auto"/>
            <w:tcMar>
              <w:top w:w="0" w:type="dxa"/>
              <w:left w:w="108" w:type="dxa"/>
              <w:bottom w:w="0" w:type="dxa"/>
              <w:right w:w="108" w:type="dxa"/>
            </w:tcMar>
            <w:vAlign w:val="center"/>
          </w:tcPr>
          <w:p w14:paraId="367A0EDA" w14:textId="25B2BAEB"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2,144 </w:t>
            </w:r>
          </w:p>
        </w:tc>
        <w:tc>
          <w:tcPr>
            <w:tcW w:w="626" w:type="pct"/>
            <w:shd w:val="clear" w:color="auto" w:fill="auto"/>
            <w:tcMar>
              <w:top w:w="0" w:type="dxa"/>
              <w:left w:w="108" w:type="dxa"/>
              <w:bottom w:w="0" w:type="dxa"/>
              <w:right w:w="108" w:type="dxa"/>
            </w:tcMar>
            <w:vAlign w:val="center"/>
          </w:tcPr>
          <w:p w14:paraId="03988BD4" w14:textId="54B99546"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1,288 </w:t>
            </w:r>
          </w:p>
        </w:tc>
        <w:tc>
          <w:tcPr>
            <w:tcW w:w="626" w:type="pct"/>
            <w:shd w:val="clear" w:color="auto" w:fill="auto"/>
            <w:tcMar>
              <w:top w:w="0" w:type="dxa"/>
              <w:left w:w="108" w:type="dxa"/>
              <w:bottom w:w="0" w:type="dxa"/>
              <w:right w:w="108" w:type="dxa"/>
            </w:tcMar>
            <w:vAlign w:val="center"/>
          </w:tcPr>
          <w:p w14:paraId="0E38F433" w14:textId="6EA07857"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432 </w:t>
            </w:r>
          </w:p>
        </w:tc>
        <w:tc>
          <w:tcPr>
            <w:tcW w:w="628" w:type="pct"/>
            <w:shd w:val="clear" w:color="auto" w:fill="auto"/>
            <w:tcMar>
              <w:top w:w="0" w:type="dxa"/>
              <w:left w:w="108" w:type="dxa"/>
              <w:bottom w:w="0" w:type="dxa"/>
              <w:right w:w="108" w:type="dxa"/>
            </w:tcMar>
            <w:vAlign w:val="center"/>
          </w:tcPr>
          <w:p w14:paraId="39FCF423" w14:textId="1D35A09D"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432 </w:t>
            </w:r>
          </w:p>
        </w:tc>
      </w:tr>
      <w:tr w:rsidR="00391D46" w:rsidRPr="00616362" w14:paraId="37EA1BBB" w14:textId="77777777" w:rsidTr="00943784">
        <w:tc>
          <w:tcPr>
            <w:tcW w:w="1242" w:type="pct"/>
            <w:shd w:val="clear" w:color="auto" w:fill="auto"/>
            <w:tcMar>
              <w:top w:w="0" w:type="dxa"/>
              <w:left w:w="108" w:type="dxa"/>
              <w:bottom w:w="0" w:type="dxa"/>
              <w:right w:w="108" w:type="dxa"/>
            </w:tcMar>
            <w:hideMark/>
          </w:tcPr>
          <w:p w14:paraId="19B19C45" w14:textId="520027AC" w:rsidR="00742F34" w:rsidRPr="00616362" w:rsidRDefault="004B50A6" w:rsidP="003121B4">
            <w:pPr>
              <w:pStyle w:val="TableText"/>
              <w:keepNext/>
              <w:spacing w:before="0" w:after="0" w:line="256" w:lineRule="auto"/>
              <w:rPr>
                <w:szCs w:val="20"/>
              </w:rPr>
            </w:pPr>
            <w:r>
              <w:rPr>
                <w:szCs w:val="20"/>
              </w:rPr>
              <w:lastRenderedPageBreak/>
              <w:t>Number</w:t>
            </w:r>
            <w:r w:rsidR="00742F34" w:rsidRPr="00616362">
              <w:rPr>
                <w:szCs w:val="20"/>
              </w:rPr>
              <w:t xml:space="preserve"> of </w:t>
            </w:r>
            <w:r w:rsidR="00315385">
              <w:rPr>
                <w:szCs w:val="20"/>
              </w:rPr>
              <w:t xml:space="preserve">unamended </w:t>
            </w:r>
            <w:r w:rsidR="00742F34" w:rsidRPr="00616362">
              <w:rPr>
                <w:szCs w:val="20"/>
              </w:rPr>
              <w:t>MBS Item 66751</w:t>
            </w:r>
            <w:r>
              <w:rPr>
                <w:szCs w:val="20"/>
              </w:rPr>
              <w:t xml:space="preserve"> replaced</w:t>
            </w:r>
            <w:r w:rsidR="00205F96">
              <w:rPr>
                <w:szCs w:val="20"/>
              </w:rPr>
              <w:t xml:space="preserve"> (85% = 47.00)</w:t>
            </w:r>
          </w:p>
        </w:tc>
        <w:tc>
          <w:tcPr>
            <w:tcW w:w="626" w:type="pct"/>
            <w:shd w:val="clear" w:color="auto" w:fill="auto"/>
            <w:tcMar>
              <w:top w:w="0" w:type="dxa"/>
              <w:left w:w="108" w:type="dxa"/>
              <w:bottom w:w="0" w:type="dxa"/>
              <w:right w:w="108" w:type="dxa"/>
            </w:tcMar>
            <w:vAlign w:val="center"/>
          </w:tcPr>
          <w:p w14:paraId="4DC4BE42" w14:textId="7F801506"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61,511 </w:t>
            </w:r>
          </w:p>
        </w:tc>
        <w:tc>
          <w:tcPr>
            <w:tcW w:w="626" w:type="pct"/>
            <w:shd w:val="clear" w:color="auto" w:fill="auto"/>
            <w:tcMar>
              <w:top w:w="0" w:type="dxa"/>
              <w:left w:w="108" w:type="dxa"/>
              <w:bottom w:w="0" w:type="dxa"/>
              <w:right w:w="108" w:type="dxa"/>
            </w:tcMar>
            <w:vAlign w:val="center"/>
          </w:tcPr>
          <w:p w14:paraId="0FC3D6DA" w14:textId="6FB380C9"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63,788 </w:t>
            </w:r>
          </w:p>
        </w:tc>
        <w:tc>
          <w:tcPr>
            <w:tcW w:w="626" w:type="pct"/>
            <w:shd w:val="clear" w:color="auto" w:fill="auto"/>
            <w:tcMar>
              <w:top w:w="0" w:type="dxa"/>
              <w:left w:w="108" w:type="dxa"/>
              <w:bottom w:w="0" w:type="dxa"/>
              <w:right w:w="108" w:type="dxa"/>
            </w:tcMar>
            <w:vAlign w:val="center"/>
          </w:tcPr>
          <w:p w14:paraId="671619BF" w14:textId="546097BA"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66,065 </w:t>
            </w:r>
          </w:p>
        </w:tc>
        <w:tc>
          <w:tcPr>
            <w:tcW w:w="626" w:type="pct"/>
            <w:shd w:val="clear" w:color="auto" w:fill="auto"/>
            <w:tcMar>
              <w:top w:w="0" w:type="dxa"/>
              <w:left w:w="108" w:type="dxa"/>
              <w:bottom w:w="0" w:type="dxa"/>
              <w:right w:w="108" w:type="dxa"/>
            </w:tcMar>
            <w:vAlign w:val="center"/>
          </w:tcPr>
          <w:p w14:paraId="55E6A933" w14:textId="18A9AC64"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68,342 </w:t>
            </w:r>
          </w:p>
        </w:tc>
        <w:tc>
          <w:tcPr>
            <w:tcW w:w="626" w:type="pct"/>
            <w:shd w:val="clear" w:color="auto" w:fill="auto"/>
            <w:tcMar>
              <w:top w:w="0" w:type="dxa"/>
              <w:left w:w="108" w:type="dxa"/>
              <w:bottom w:w="0" w:type="dxa"/>
              <w:right w:w="108" w:type="dxa"/>
            </w:tcMar>
            <w:vAlign w:val="center"/>
          </w:tcPr>
          <w:p w14:paraId="0CF5EA30" w14:textId="4047286F"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70,619 </w:t>
            </w:r>
          </w:p>
        </w:tc>
        <w:tc>
          <w:tcPr>
            <w:tcW w:w="628" w:type="pct"/>
            <w:shd w:val="clear" w:color="auto" w:fill="auto"/>
            <w:tcMar>
              <w:top w:w="0" w:type="dxa"/>
              <w:left w:w="108" w:type="dxa"/>
              <w:bottom w:w="0" w:type="dxa"/>
              <w:right w:w="108" w:type="dxa"/>
            </w:tcMar>
            <w:vAlign w:val="center"/>
          </w:tcPr>
          <w:p w14:paraId="5125F30D" w14:textId="04E6F555" w:rsidR="00742F34" w:rsidRPr="00943784" w:rsidRDefault="00742F34" w:rsidP="00975075">
            <w:pPr>
              <w:pStyle w:val="TableText"/>
              <w:keepNext/>
              <w:spacing w:before="0" w:after="0" w:line="256" w:lineRule="auto"/>
              <w:jc w:val="right"/>
              <w:rPr>
                <w:rFonts w:cs="Arial"/>
                <w:color w:val="000000"/>
                <w:szCs w:val="20"/>
              </w:rPr>
            </w:pPr>
            <w:r w:rsidRPr="00616362">
              <w:rPr>
                <w:rFonts w:cs="Arial"/>
                <w:color w:val="000000"/>
                <w:szCs w:val="20"/>
              </w:rPr>
              <w:t xml:space="preserve">72,897 </w:t>
            </w:r>
          </w:p>
        </w:tc>
      </w:tr>
      <w:tr w:rsidR="00B43FA5" w:rsidRPr="009A54CC" w14:paraId="565BA981" w14:textId="77777777" w:rsidTr="00943784">
        <w:tc>
          <w:tcPr>
            <w:tcW w:w="1242" w:type="pct"/>
            <w:shd w:val="clear" w:color="auto" w:fill="auto"/>
            <w:tcMar>
              <w:top w:w="0" w:type="dxa"/>
              <w:left w:w="108" w:type="dxa"/>
              <w:bottom w:w="0" w:type="dxa"/>
              <w:right w:w="108" w:type="dxa"/>
            </w:tcMar>
          </w:tcPr>
          <w:p w14:paraId="1B21EDC3" w14:textId="7EB25914" w:rsidR="00B43FA5" w:rsidRPr="00943784" w:rsidRDefault="00B43FA5" w:rsidP="00B43FA5">
            <w:pPr>
              <w:pStyle w:val="TableText"/>
              <w:keepNext/>
              <w:spacing w:before="0" w:after="0" w:line="256" w:lineRule="auto"/>
              <w:rPr>
                <w:i/>
                <w:iCs/>
                <w:szCs w:val="20"/>
              </w:rPr>
            </w:pPr>
            <w:r w:rsidRPr="00943784">
              <w:rPr>
                <w:i/>
                <w:iCs/>
                <w:szCs w:val="20"/>
              </w:rPr>
              <w:t>Change in number of 66751 services</w:t>
            </w:r>
          </w:p>
        </w:tc>
        <w:tc>
          <w:tcPr>
            <w:tcW w:w="626" w:type="pct"/>
            <w:shd w:val="clear" w:color="auto" w:fill="auto"/>
            <w:tcMar>
              <w:top w:w="0" w:type="dxa"/>
              <w:left w:w="108" w:type="dxa"/>
              <w:bottom w:w="0" w:type="dxa"/>
              <w:right w:w="108" w:type="dxa"/>
            </w:tcMar>
            <w:vAlign w:val="center"/>
          </w:tcPr>
          <w:p w14:paraId="7FAB1F03" w14:textId="6620048F"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6,151 </w:t>
            </w:r>
          </w:p>
        </w:tc>
        <w:tc>
          <w:tcPr>
            <w:tcW w:w="626" w:type="pct"/>
            <w:shd w:val="clear" w:color="auto" w:fill="auto"/>
            <w:tcMar>
              <w:top w:w="0" w:type="dxa"/>
              <w:left w:w="108" w:type="dxa"/>
              <w:bottom w:w="0" w:type="dxa"/>
              <w:right w:w="108" w:type="dxa"/>
            </w:tcMar>
            <w:vAlign w:val="center"/>
          </w:tcPr>
          <w:p w14:paraId="62D1B9BD" w14:textId="755BD33D"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6,379 </w:t>
            </w:r>
          </w:p>
        </w:tc>
        <w:tc>
          <w:tcPr>
            <w:tcW w:w="626" w:type="pct"/>
            <w:shd w:val="clear" w:color="auto" w:fill="auto"/>
            <w:tcMar>
              <w:top w:w="0" w:type="dxa"/>
              <w:left w:w="108" w:type="dxa"/>
              <w:bottom w:w="0" w:type="dxa"/>
              <w:right w:w="108" w:type="dxa"/>
            </w:tcMar>
            <w:vAlign w:val="center"/>
          </w:tcPr>
          <w:p w14:paraId="22CF670C" w14:textId="5EC3BD93"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6,606 </w:t>
            </w:r>
          </w:p>
        </w:tc>
        <w:tc>
          <w:tcPr>
            <w:tcW w:w="626" w:type="pct"/>
            <w:shd w:val="clear" w:color="auto" w:fill="auto"/>
            <w:tcMar>
              <w:top w:w="0" w:type="dxa"/>
              <w:left w:w="108" w:type="dxa"/>
              <w:bottom w:w="0" w:type="dxa"/>
              <w:right w:w="108" w:type="dxa"/>
            </w:tcMar>
            <w:vAlign w:val="center"/>
          </w:tcPr>
          <w:p w14:paraId="09B0F39B" w14:textId="164C9855"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6,834 </w:t>
            </w:r>
          </w:p>
        </w:tc>
        <w:tc>
          <w:tcPr>
            <w:tcW w:w="626" w:type="pct"/>
            <w:shd w:val="clear" w:color="auto" w:fill="auto"/>
            <w:tcMar>
              <w:top w:w="0" w:type="dxa"/>
              <w:left w:w="108" w:type="dxa"/>
              <w:bottom w:w="0" w:type="dxa"/>
              <w:right w:w="108" w:type="dxa"/>
            </w:tcMar>
            <w:vAlign w:val="center"/>
          </w:tcPr>
          <w:p w14:paraId="647E3648" w14:textId="137CA5E3"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7,062 </w:t>
            </w:r>
          </w:p>
        </w:tc>
        <w:tc>
          <w:tcPr>
            <w:tcW w:w="628" w:type="pct"/>
            <w:shd w:val="clear" w:color="auto" w:fill="auto"/>
            <w:tcMar>
              <w:top w:w="0" w:type="dxa"/>
              <w:left w:w="108" w:type="dxa"/>
              <w:bottom w:w="0" w:type="dxa"/>
              <w:right w:w="108" w:type="dxa"/>
            </w:tcMar>
            <w:vAlign w:val="center"/>
          </w:tcPr>
          <w:p w14:paraId="58F5521B" w14:textId="2FF4A100" w:rsidR="00B43FA5" w:rsidRPr="00943784" w:rsidRDefault="00B43FA5" w:rsidP="00975075">
            <w:pPr>
              <w:pStyle w:val="TableText"/>
              <w:keepNext/>
              <w:spacing w:before="0" w:after="0" w:line="256" w:lineRule="auto"/>
              <w:jc w:val="right"/>
              <w:rPr>
                <w:rFonts w:cs="Arial"/>
                <w:i/>
                <w:iCs/>
                <w:color w:val="000000"/>
                <w:szCs w:val="20"/>
              </w:rPr>
            </w:pPr>
            <w:r w:rsidRPr="00943784">
              <w:rPr>
                <w:rFonts w:cs="Arial"/>
                <w:i/>
                <w:iCs/>
                <w:color w:val="000000"/>
                <w:szCs w:val="20"/>
              </w:rPr>
              <w:t xml:space="preserve">7,290 </w:t>
            </w:r>
          </w:p>
        </w:tc>
      </w:tr>
      <w:tr w:rsidR="00391D46" w:rsidRPr="00616362" w14:paraId="3718362A" w14:textId="77777777" w:rsidTr="00943784">
        <w:tc>
          <w:tcPr>
            <w:tcW w:w="1242" w:type="pct"/>
            <w:shd w:val="clear" w:color="auto" w:fill="auto"/>
            <w:tcMar>
              <w:top w:w="0" w:type="dxa"/>
              <w:left w:w="108" w:type="dxa"/>
              <w:bottom w:w="0" w:type="dxa"/>
              <w:right w:w="108" w:type="dxa"/>
            </w:tcMar>
            <w:hideMark/>
          </w:tcPr>
          <w:p w14:paraId="2B369EE4" w14:textId="3F4A45FC" w:rsidR="00404970" w:rsidRPr="000C3C05" w:rsidRDefault="009A54CC" w:rsidP="003121B4">
            <w:pPr>
              <w:pStyle w:val="TableText"/>
              <w:keepNext/>
              <w:spacing w:before="0" w:after="0" w:line="256" w:lineRule="auto"/>
              <w:rPr>
                <w:i/>
                <w:iCs/>
                <w:szCs w:val="20"/>
              </w:rPr>
            </w:pPr>
            <w:r>
              <w:rPr>
                <w:szCs w:val="20"/>
              </w:rPr>
              <w:t>Total</w:t>
            </w:r>
            <w:r w:rsidRPr="00B80784">
              <w:rPr>
                <w:szCs w:val="20"/>
              </w:rPr>
              <w:t xml:space="preserve"> </w:t>
            </w:r>
            <w:r w:rsidR="00404970" w:rsidRPr="00B80784">
              <w:rPr>
                <w:szCs w:val="20"/>
              </w:rPr>
              <w:t>costs</w:t>
            </w:r>
            <w:r w:rsidR="007E703E">
              <w:rPr>
                <w:i/>
                <w:iCs/>
                <w:szCs w:val="20"/>
              </w:rPr>
              <w:t xml:space="preserve"> </w:t>
            </w:r>
            <w:r w:rsidR="003F1EA9">
              <w:rPr>
                <w:i/>
                <w:iCs/>
                <w:szCs w:val="20"/>
              </w:rPr>
              <w:t xml:space="preserve">of </w:t>
            </w:r>
            <w:r w:rsidR="00DA59B6">
              <w:rPr>
                <w:i/>
                <w:iCs/>
                <w:szCs w:val="20"/>
              </w:rPr>
              <w:t>unamended</w:t>
            </w:r>
            <w:r w:rsidR="007E703E">
              <w:rPr>
                <w:i/>
                <w:iCs/>
                <w:szCs w:val="20"/>
              </w:rPr>
              <w:t xml:space="preserve"> MBS items </w:t>
            </w:r>
          </w:p>
        </w:tc>
        <w:tc>
          <w:tcPr>
            <w:tcW w:w="626" w:type="pct"/>
            <w:shd w:val="clear" w:color="auto" w:fill="auto"/>
            <w:tcMar>
              <w:top w:w="0" w:type="dxa"/>
              <w:left w:w="108" w:type="dxa"/>
              <w:bottom w:w="0" w:type="dxa"/>
              <w:right w:w="108" w:type="dxa"/>
            </w:tcMar>
            <w:vAlign w:val="center"/>
          </w:tcPr>
          <w:p w14:paraId="697A4F04" w14:textId="7F9D670F" w:rsidR="00404970" w:rsidRPr="000C3C05" w:rsidRDefault="00404970" w:rsidP="009A54CC">
            <w:pPr>
              <w:pStyle w:val="TableText"/>
              <w:keepNext/>
              <w:spacing w:before="0" w:after="0" w:line="256" w:lineRule="auto"/>
              <w:jc w:val="right"/>
              <w:rPr>
                <w:i/>
                <w:iCs/>
                <w:szCs w:val="20"/>
              </w:rPr>
            </w:pPr>
            <w:r w:rsidRPr="000C3C05">
              <w:rPr>
                <w:rFonts w:cs="Calibri"/>
                <w:i/>
                <w:iCs/>
                <w:szCs w:val="20"/>
              </w:rPr>
              <w:t>$14,069,914</w:t>
            </w:r>
          </w:p>
        </w:tc>
        <w:tc>
          <w:tcPr>
            <w:tcW w:w="626" w:type="pct"/>
            <w:shd w:val="clear" w:color="auto" w:fill="auto"/>
            <w:tcMar>
              <w:top w:w="0" w:type="dxa"/>
              <w:left w:w="108" w:type="dxa"/>
              <w:bottom w:w="0" w:type="dxa"/>
              <w:right w:w="108" w:type="dxa"/>
            </w:tcMar>
            <w:vAlign w:val="center"/>
          </w:tcPr>
          <w:p w14:paraId="14364384" w14:textId="54879B5D" w:rsidR="00404970" w:rsidRPr="000C3C05" w:rsidRDefault="00404970" w:rsidP="009A54CC">
            <w:pPr>
              <w:pStyle w:val="TableText"/>
              <w:keepNext/>
              <w:spacing w:before="0" w:after="0" w:line="256" w:lineRule="auto"/>
              <w:jc w:val="right"/>
              <w:rPr>
                <w:i/>
                <w:iCs/>
                <w:szCs w:val="20"/>
              </w:rPr>
            </w:pPr>
            <w:r w:rsidRPr="000C3C05">
              <w:rPr>
                <w:rFonts w:cs="Calibri"/>
                <w:i/>
                <w:iCs/>
                <w:szCs w:val="20"/>
              </w:rPr>
              <w:t>$13,924,878</w:t>
            </w:r>
          </w:p>
        </w:tc>
        <w:tc>
          <w:tcPr>
            <w:tcW w:w="626" w:type="pct"/>
            <w:shd w:val="clear" w:color="auto" w:fill="auto"/>
            <w:tcMar>
              <w:top w:w="0" w:type="dxa"/>
              <w:left w:w="108" w:type="dxa"/>
              <w:bottom w:w="0" w:type="dxa"/>
              <w:right w:w="108" w:type="dxa"/>
            </w:tcMar>
            <w:vAlign w:val="center"/>
          </w:tcPr>
          <w:p w14:paraId="00C8EA7C" w14:textId="716034CB" w:rsidR="00404970" w:rsidRPr="000C3C05" w:rsidRDefault="00404970" w:rsidP="009A54CC">
            <w:pPr>
              <w:pStyle w:val="TableText"/>
              <w:keepNext/>
              <w:spacing w:before="0" w:after="0" w:line="256" w:lineRule="auto"/>
              <w:jc w:val="right"/>
              <w:rPr>
                <w:i/>
                <w:iCs/>
                <w:szCs w:val="20"/>
              </w:rPr>
            </w:pPr>
            <w:r w:rsidRPr="000C3C05">
              <w:rPr>
                <w:rFonts w:cs="Calibri"/>
                <w:i/>
                <w:iCs/>
                <w:szCs w:val="20"/>
              </w:rPr>
              <w:t>$13,779,842</w:t>
            </w:r>
          </w:p>
        </w:tc>
        <w:tc>
          <w:tcPr>
            <w:tcW w:w="626" w:type="pct"/>
            <w:shd w:val="clear" w:color="auto" w:fill="auto"/>
            <w:tcMar>
              <w:top w:w="0" w:type="dxa"/>
              <w:left w:w="108" w:type="dxa"/>
              <w:bottom w:w="0" w:type="dxa"/>
              <w:right w:w="108" w:type="dxa"/>
            </w:tcMar>
            <w:vAlign w:val="center"/>
          </w:tcPr>
          <w:p w14:paraId="36D84E1F" w14:textId="12D6532C" w:rsidR="00404970" w:rsidRPr="000C3C05" w:rsidRDefault="00404970" w:rsidP="009A54CC">
            <w:pPr>
              <w:pStyle w:val="TableText"/>
              <w:keepNext/>
              <w:spacing w:before="0" w:after="0" w:line="256" w:lineRule="auto"/>
              <w:jc w:val="right"/>
              <w:rPr>
                <w:i/>
                <w:iCs/>
                <w:szCs w:val="20"/>
              </w:rPr>
            </w:pPr>
            <w:r w:rsidRPr="000C3C05">
              <w:rPr>
                <w:rFonts w:cs="Calibri"/>
                <w:i/>
                <w:iCs/>
                <w:szCs w:val="20"/>
              </w:rPr>
              <w:t>$13,634,807</w:t>
            </w:r>
          </w:p>
        </w:tc>
        <w:tc>
          <w:tcPr>
            <w:tcW w:w="626" w:type="pct"/>
            <w:shd w:val="clear" w:color="auto" w:fill="auto"/>
            <w:tcMar>
              <w:top w:w="0" w:type="dxa"/>
              <w:left w:w="108" w:type="dxa"/>
              <w:bottom w:w="0" w:type="dxa"/>
              <w:right w:w="108" w:type="dxa"/>
            </w:tcMar>
            <w:vAlign w:val="center"/>
          </w:tcPr>
          <w:p w14:paraId="2339C226" w14:textId="43418963" w:rsidR="00404970" w:rsidRPr="000C3C05" w:rsidRDefault="00404970" w:rsidP="009A54CC">
            <w:pPr>
              <w:pStyle w:val="TableText"/>
              <w:keepNext/>
              <w:spacing w:before="0" w:after="0" w:line="256" w:lineRule="auto"/>
              <w:jc w:val="right"/>
              <w:rPr>
                <w:i/>
                <w:iCs/>
                <w:szCs w:val="20"/>
              </w:rPr>
            </w:pPr>
            <w:r w:rsidRPr="000C3C05">
              <w:rPr>
                <w:rFonts w:cs="Calibri"/>
                <w:i/>
                <w:iCs/>
                <w:szCs w:val="20"/>
              </w:rPr>
              <w:t>$13,489,771</w:t>
            </w:r>
          </w:p>
        </w:tc>
        <w:tc>
          <w:tcPr>
            <w:tcW w:w="628" w:type="pct"/>
            <w:shd w:val="clear" w:color="auto" w:fill="auto"/>
            <w:tcMar>
              <w:top w:w="0" w:type="dxa"/>
              <w:left w:w="108" w:type="dxa"/>
              <w:bottom w:w="0" w:type="dxa"/>
              <w:right w:w="108" w:type="dxa"/>
            </w:tcMar>
            <w:vAlign w:val="center"/>
          </w:tcPr>
          <w:p w14:paraId="79D9E44C" w14:textId="444082F7" w:rsidR="00404970" w:rsidRPr="000C3C05" w:rsidRDefault="00404970" w:rsidP="009A54CC">
            <w:pPr>
              <w:pStyle w:val="TableText"/>
              <w:keepNext/>
              <w:spacing w:before="0" w:after="0" w:line="256" w:lineRule="auto"/>
              <w:jc w:val="right"/>
              <w:rPr>
                <w:i/>
                <w:iCs/>
                <w:szCs w:val="20"/>
              </w:rPr>
            </w:pPr>
            <w:r w:rsidRPr="000C3C05">
              <w:rPr>
                <w:rFonts w:cs="Calibri"/>
                <w:i/>
                <w:iCs/>
                <w:szCs w:val="20"/>
              </w:rPr>
              <w:t>$13,634,041</w:t>
            </w:r>
          </w:p>
        </w:tc>
      </w:tr>
      <w:tr w:rsidR="00391D46" w:rsidRPr="00F4764D" w14:paraId="4DC14B9B" w14:textId="77777777" w:rsidTr="00943784">
        <w:tc>
          <w:tcPr>
            <w:tcW w:w="1242" w:type="pct"/>
            <w:shd w:val="clear" w:color="auto" w:fill="auto"/>
            <w:tcMar>
              <w:top w:w="0" w:type="dxa"/>
              <w:left w:w="108" w:type="dxa"/>
              <w:bottom w:w="0" w:type="dxa"/>
              <w:right w:w="108" w:type="dxa"/>
            </w:tcMar>
            <w:vAlign w:val="center"/>
            <w:hideMark/>
          </w:tcPr>
          <w:p w14:paraId="36E2BB28" w14:textId="6518F294" w:rsidR="00616362" w:rsidRPr="00F4764D" w:rsidRDefault="003B05FB" w:rsidP="003121B4">
            <w:pPr>
              <w:pStyle w:val="TableText"/>
              <w:keepNext/>
              <w:spacing w:before="0" w:after="0" w:line="256" w:lineRule="auto"/>
              <w:rPr>
                <w:b/>
                <w:bCs/>
                <w:szCs w:val="20"/>
              </w:rPr>
            </w:pPr>
            <w:r>
              <w:rPr>
                <w:b/>
                <w:bCs/>
                <w:szCs w:val="20"/>
              </w:rPr>
              <w:t>Net</w:t>
            </w:r>
            <w:r w:rsidRPr="00F4764D">
              <w:rPr>
                <w:b/>
                <w:bCs/>
                <w:szCs w:val="20"/>
              </w:rPr>
              <w:t xml:space="preserve"> </w:t>
            </w:r>
            <w:r w:rsidR="00616362" w:rsidRPr="00F4764D">
              <w:rPr>
                <w:b/>
                <w:bCs/>
                <w:szCs w:val="20"/>
              </w:rPr>
              <w:t>financial impact to the MBS</w:t>
            </w:r>
            <w:r w:rsidR="00B80784">
              <w:rPr>
                <w:b/>
                <w:bCs/>
                <w:szCs w:val="20"/>
              </w:rPr>
              <w:t xml:space="preserve"> </w:t>
            </w:r>
            <w:r w:rsidR="00B80784" w:rsidRPr="00943784">
              <w:rPr>
                <w:szCs w:val="20"/>
              </w:rPr>
              <w:t>(total costs to MBS</w:t>
            </w:r>
            <w:r w:rsidR="003F7F1A" w:rsidRPr="00943784">
              <w:rPr>
                <w:szCs w:val="20"/>
              </w:rPr>
              <w:t xml:space="preserve"> with </w:t>
            </w:r>
            <w:r w:rsidR="00391D46" w:rsidRPr="00943784">
              <w:rPr>
                <w:szCs w:val="20"/>
              </w:rPr>
              <w:t>pre-eclampsia</w:t>
            </w:r>
            <w:r w:rsidR="003F7F1A" w:rsidRPr="00943784">
              <w:rPr>
                <w:szCs w:val="20"/>
              </w:rPr>
              <w:t xml:space="preserve"> </w:t>
            </w:r>
            <w:r w:rsidR="00391D46" w:rsidRPr="00943784">
              <w:rPr>
                <w:szCs w:val="20"/>
              </w:rPr>
              <w:t>testing</w:t>
            </w:r>
            <w:r w:rsidR="00B80784" w:rsidRPr="00943784">
              <w:rPr>
                <w:szCs w:val="20"/>
              </w:rPr>
              <w:t xml:space="preserve">, minus </w:t>
            </w:r>
            <w:r w:rsidR="009A54CC">
              <w:rPr>
                <w:szCs w:val="20"/>
              </w:rPr>
              <w:t xml:space="preserve">total </w:t>
            </w:r>
            <w:r w:rsidR="00B80784" w:rsidRPr="00943784">
              <w:rPr>
                <w:szCs w:val="20"/>
              </w:rPr>
              <w:t>costs</w:t>
            </w:r>
            <w:r w:rsidR="00391D46" w:rsidRPr="00943784">
              <w:rPr>
                <w:szCs w:val="20"/>
              </w:rPr>
              <w:t xml:space="preserve"> without pre-eclampsia testing</w:t>
            </w:r>
            <w:r w:rsidR="00B80784" w:rsidRPr="00943784">
              <w:rPr>
                <w:szCs w:val="20"/>
              </w:rPr>
              <w:t>)</w:t>
            </w:r>
          </w:p>
        </w:tc>
        <w:tc>
          <w:tcPr>
            <w:tcW w:w="626" w:type="pct"/>
            <w:shd w:val="clear" w:color="auto" w:fill="auto"/>
            <w:tcMar>
              <w:top w:w="0" w:type="dxa"/>
              <w:left w:w="108" w:type="dxa"/>
              <w:bottom w:w="0" w:type="dxa"/>
              <w:right w:w="108" w:type="dxa"/>
            </w:tcMar>
            <w:vAlign w:val="center"/>
          </w:tcPr>
          <w:p w14:paraId="3332B577" w14:textId="240C39C6" w:rsidR="00616362" w:rsidRPr="00F4764D" w:rsidRDefault="00616362" w:rsidP="00943784">
            <w:pPr>
              <w:pStyle w:val="TableText"/>
              <w:keepNext/>
              <w:spacing w:before="0" w:after="0" w:line="256" w:lineRule="auto"/>
              <w:jc w:val="right"/>
              <w:rPr>
                <w:b/>
                <w:bCs/>
                <w:szCs w:val="20"/>
              </w:rPr>
            </w:pPr>
            <w:r w:rsidRPr="00F4764D">
              <w:rPr>
                <w:rFonts w:cs="Calibri"/>
                <w:b/>
                <w:bCs/>
                <w:szCs w:val="20"/>
              </w:rPr>
              <w:t>$6,930,299</w:t>
            </w:r>
          </w:p>
        </w:tc>
        <w:tc>
          <w:tcPr>
            <w:tcW w:w="626" w:type="pct"/>
            <w:shd w:val="clear" w:color="auto" w:fill="auto"/>
            <w:tcMar>
              <w:top w:w="0" w:type="dxa"/>
              <w:left w:w="108" w:type="dxa"/>
              <w:bottom w:w="0" w:type="dxa"/>
              <w:right w:w="108" w:type="dxa"/>
            </w:tcMar>
            <w:vAlign w:val="center"/>
          </w:tcPr>
          <w:p w14:paraId="3B685818" w14:textId="04111D40" w:rsidR="00616362" w:rsidRPr="00F4764D" w:rsidRDefault="00616362" w:rsidP="00943784">
            <w:pPr>
              <w:pStyle w:val="TableText"/>
              <w:keepNext/>
              <w:spacing w:before="0" w:after="0" w:line="256" w:lineRule="auto"/>
              <w:jc w:val="right"/>
              <w:rPr>
                <w:b/>
                <w:bCs/>
                <w:szCs w:val="20"/>
              </w:rPr>
            </w:pPr>
            <w:r w:rsidRPr="00F4764D">
              <w:rPr>
                <w:rFonts w:cs="Calibri"/>
                <w:b/>
                <w:bCs/>
                <w:szCs w:val="20"/>
              </w:rPr>
              <w:t>$6,749,756</w:t>
            </w:r>
          </w:p>
        </w:tc>
        <w:tc>
          <w:tcPr>
            <w:tcW w:w="626" w:type="pct"/>
            <w:shd w:val="clear" w:color="auto" w:fill="auto"/>
            <w:tcMar>
              <w:top w:w="0" w:type="dxa"/>
              <w:left w:w="108" w:type="dxa"/>
              <w:bottom w:w="0" w:type="dxa"/>
              <w:right w:w="108" w:type="dxa"/>
            </w:tcMar>
            <w:vAlign w:val="center"/>
          </w:tcPr>
          <w:p w14:paraId="2D085D99" w14:textId="1F9BDC32" w:rsidR="00616362" w:rsidRPr="00F4764D" w:rsidRDefault="00616362" w:rsidP="00943784">
            <w:pPr>
              <w:pStyle w:val="TableText"/>
              <w:keepNext/>
              <w:spacing w:before="0" w:after="0" w:line="256" w:lineRule="auto"/>
              <w:jc w:val="right"/>
              <w:rPr>
                <w:b/>
                <w:bCs/>
                <w:szCs w:val="20"/>
              </w:rPr>
            </w:pPr>
            <w:r w:rsidRPr="00F4764D">
              <w:rPr>
                <w:rFonts w:cs="Calibri"/>
                <w:b/>
                <w:bCs/>
                <w:szCs w:val="20"/>
              </w:rPr>
              <w:t>$6,569,213</w:t>
            </w:r>
          </w:p>
        </w:tc>
        <w:tc>
          <w:tcPr>
            <w:tcW w:w="626" w:type="pct"/>
            <w:shd w:val="clear" w:color="auto" w:fill="auto"/>
            <w:tcMar>
              <w:top w:w="0" w:type="dxa"/>
              <w:left w:w="108" w:type="dxa"/>
              <w:bottom w:w="0" w:type="dxa"/>
              <w:right w:w="108" w:type="dxa"/>
            </w:tcMar>
            <w:vAlign w:val="center"/>
          </w:tcPr>
          <w:p w14:paraId="34FB77FF" w14:textId="395B29A1" w:rsidR="00616362" w:rsidRPr="00F4764D" w:rsidRDefault="00616362" w:rsidP="00943784">
            <w:pPr>
              <w:pStyle w:val="TableText"/>
              <w:keepNext/>
              <w:spacing w:before="0" w:after="0" w:line="256" w:lineRule="auto"/>
              <w:jc w:val="right"/>
              <w:rPr>
                <w:b/>
                <w:bCs/>
                <w:szCs w:val="20"/>
              </w:rPr>
            </w:pPr>
            <w:r w:rsidRPr="00F4764D">
              <w:rPr>
                <w:rFonts w:cs="Calibri"/>
                <w:b/>
                <w:bCs/>
                <w:szCs w:val="20"/>
              </w:rPr>
              <w:t>$6,388,670</w:t>
            </w:r>
          </w:p>
        </w:tc>
        <w:tc>
          <w:tcPr>
            <w:tcW w:w="626" w:type="pct"/>
            <w:shd w:val="clear" w:color="auto" w:fill="auto"/>
            <w:tcMar>
              <w:top w:w="0" w:type="dxa"/>
              <w:left w:w="108" w:type="dxa"/>
              <w:bottom w:w="0" w:type="dxa"/>
              <w:right w:w="108" w:type="dxa"/>
            </w:tcMar>
            <w:vAlign w:val="center"/>
          </w:tcPr>
          <w:p w14:paraId="2E373B11" w14:textId="7958D98E" w:rsidR="00616362" w:rsidRPr="00F4764D" w:rsidRDefault="00616362" w:rsidP="00943784">
            <w:pPr>
              <w:pStyle w:val="TableText"/>
              <w:keepNext/>
              <w:spacing w:before="0" w:after="0" w:line="256" w:lineRule="auto"/>
              <w:jc w:val="right"/>
              <w:rPr>
                <w:b/>
                <w:bCs/>
                <w:szCs w:val="20"/>
              </w:rPr>
            </w:pPr>
            <w:r w:rsidRPr="00F4764D">
              <w:rPr>
                <w:rFonts w:cs="Calibri"/>
                <w:b/>
                <w:bCs/>
                <w:szCs w:val="20"/>
              </w:rPr>
              <w:t>$6,208,128</w:t>
            </w:r>
          </w:p>
        </w:tc>
        <w:tc>
          <w:tcPr>
            <w:tcW w:w="628" w:type="pct"/>
            <w:shd w:val="clear" w:color="auto" w:fill="auto"/>
            <w:tcMar>
              <w:top w:w="0" w:type="dxa"/>
              <w:left w:w="108" w:type="dxa"/>
              <w:bottom w:w="0" w:type="dxa"/>
              <w:right w:w="108" w:type="dxa"/>
            </w:tcMar>
            <w:vAlign w:val="center"/>
          </w:tcPr>
          <w:p w14:paraId="17E1D551" w14:textId="609F1525" w:rsidR="00616362" w:rsidRPr="00F4764D" w:rsidRDefault="00616362" w:rsidP="00943784">
            <w:pPr>
              <w:pStyle w:val="TableText"/>
              <w:keepNext/>
              <w:spacing w:before="0" w:after="0" w:line="256" w:lineRule="auto"/>
              <w:jc w:val="right"/>
              <w:rPr>
                <w:b/>
                <w:bCs/>
                <w:szCs w:val="20"/>
              </w:rPr>
            </w:pPr>
            <w:r w:rsidRPr="00F4764D">
              <w:rPr>
                <w:rFonts w:cs="Calibri"/>
                <w:b/>
                <w:bCs/>
                <w:szCs w:val="20"/>
              </w:rPr>
              <w:t>$6,296,694</w:t>
            </w:r>
          </w:p>
        </w:tc>
      </w:tr>
    </w:tbl>
    <w:p w14:paraId="67836E01" w14:textId="61613433" w:rsidR="00F56D38" w:rsidRDefault="002420BF" w:rsidP="00EF2A20">
      <w:pPr>
        <w:pStyle w:val="a-TableFOOTER"/>
      </w:pPr>
      <w:bookmarkStart w:id="45" w:name="_Hlk68276814"/>
      <w:r w:rsidRPr="0056185C">
        <w:t xml:space="preserve">Abbreviations: </w:t>
      </w:r>
      <w:r w:rsidR="0034090F" w:rsidRPr="0056185C">
        <w:t xml:space="preserve">ABS=Australian Bureau of Statistics; </w:t>
      </w:r>
      <w:r w:rsidR="00616362" w:rsidRPr="0056185C">
        <w:t>MBS=Medicare Benefits Scheme</w:t>
      </w:r>
      <w:r w:rsidR="00F56D38" w:rsidRPr="000C3C05">
        <w:rPr>
          <w:i/>
          <w:iCs/>
        </w:rPr>
        <w:br/>
        <w:t>Italics indicate</w:t>
      </w:r>
      <w:r w:rsidR="000460DF" w:rsidRPr="000C3C05">
        <w:rPr>
          <w:i/>
          <w:iCs/>
        </w:rPr>
        <w:t xml:space="preserve"> </w:t>
      </w:r>
      <w:r w:rsidR="005A44B4">
        <w:rPr>
          <w:i/>
          <w:iCs/>
        </w:rPr>
        <w:t>calculated</w:t>
      </w:r>
      <w:r w:rsidR="00A70E77" w:rsidRPr="000C3C05">
        <w:rPr>
          <w:i/>
          <w:iCs/>
        </w:rPr>
        <w:t xml:space="preserve"> during evaluation</w:t>
      </w:r>
      <w:r w:rsidR="005A44B4">
        <w:rPr>
          <w:i/>
          <w:iCs/>
        </w:rPr>
        <w:t xml:space="preserve"> from </w:t>
      </w:r>
      <w:r w:rsidR="00C633CF">
        <w:rPr>
          <w:i/>
          <w:iCs/>
        </w:rPr>
        <w:t xml:space="preserve">spreadsheet “MSAC Application 1705 and 1706 Section 4 </w:t>
      </w:r>
      <w:proofErr w:type="spellStart"/>
      <w:r w:rsidR="00C633CF">
        <w:rPr>
          <w:i/>
          <w:iCs/>
        </w:rPr>
        <w:t>Workbook.xlxs</w:t>
      </w:r>
      <w:proofErr w:type="spellEnd"/>
      <w:r w:rsidR="00C633CF">
        <w:rPr>
          <w:i/>
          <w:iCs/>
        </w:rPr>
        <w:t>”</w:t>
      </w:r>
      <w:r w:rsidR="002E265F">
        <w:rPr>
          <w:i/>
          <w:iCs/>
        </w:rPr>
        <w:t>.</w:t>
      </w:r>
      <w:r w:rsidR="00A70E77">
        <w:t xml:space="preserve"> </w:t>
      </w:r>
      <w:r w:rsidR="0080591B">
        <w:br/>
        <w:t xml:space="preserve">Source: </w:t>
      </w:r>
      <w:r w:rsidR="00B60AD0">
        <w:t xml:space="preserve">Based on </w:t>
      </w:r>
      <w:r w:rsidR="00A70E77">
        <w:t>Tables</w:t>
      </w:r>
      <w:r w:rsidR="00D20328">
        <w:t xml:space="preserve"> </w:t>
      </w:r>
      <w:r w:rsidR="00ED1551">
        <w:t xml:space="preserve">44 </w:t>
      </w:r>
      <w:r w:rsidR="00C633CF">
        <w:t xml:space="preserve">and </w:t>
      </w:r>
      <w:r w:rsidR="004E7B5B">
        <w:t>44</w:t>
      </w:r>
      <w:r w:rsidR="00470870">
        <w:t>; p</w:t>
      </w:r>
      <w:r w:rsidR="00B72AD2">
        <w:t>90-91</w:t>
      </w:r>
      <w:r w:rsidR="00B72AD2" w:rsidRPr="00B72AD2">
        <w:t xml:space="preserve"> </w:t>
      </w:r>
      <w:r w:rsidR="00B72AD2">
        <w:t xml:space="preserve">of the ADAR and </w:t>
      </w:r>
      <w:r w:rsidR="00B72AD2" w:rsidRPr="00B72AD2">
        <w:t xml:space="preserve">spreadsheet “MSAC Application 1705 and 1706 Section 4 </w:t>
      </w:r>
      <w:proofErr w:type="spellStart"/>
      <w:r w:rsidR="00B72AD2" w:rsidRPr="00B72AD2">
        <w:t>Workbook.xlxs</w:t>
      </w:r>
      <w:proofErr w:type="spellEnd"/>
    </w:p>
    <w:p w14:paraId="69C52197" w14:textId="38841F31" w:rsidR="00BF0E20" w:rsidRDefault="00BF0E20" w:rsidP="009B5759">
      <w:pPr>
        <w:pStyle w:val="a-TEXT"/>
      </w:pPr>
      <w:r>
        <w:t>Key drivers of the financial cost analysis include</w:t>
      </w:r>
      <w:r w:rsidR="00F56D38">
        <w:t>d</w:t>
      </w:r>
      <w:r>
        <w:t>:</w:t>
      </w:r>
    </w:p>
    <w:p w14:paraId="7EBE1636" w14:textId="311EDA35" w:rsidR="009B5759" w:rsidRPr="00DA2C56" w:rsidRDefault="00F04A26" w:rsidP="00AC337E">
      <w:pPr>
        <w:pStyle w:val="a-TEXT"/>
        <w:numPr>
          <w:ilvl w:val="0"/>
          <w:numId w:val="21"/>
        </w:numPr>
      </w:pPr>
      <w:r w:rsidRPr="00DA2C56">
        <w:t>T</w:t>
      </w:r>
      <w:r w:rsidR="009B5759" w:rsidRPr="00DA2C56">
        <w:t xml:space="preserve">he average cost of the proposed technology per patient per </w:t>
      </w:r>
      <w:r w:rsidR="007B6868" w:rsidRPr="00DA2C56">
        <w:t>pregnancy</w:t>
      </w:r>
      <w:r w:rsidR="009B5759" w:rsidRPr="00DA2C56">
        <w:t xml:space="preserve"> </w:t>
      </w:r>
      <w:r w:rsidR="00F56D38">
        <w:t>wa</w:t>
      </w:r>
      <w:r w:rsidR="009B5759" w:rsidRPr="00DA2C56">
        <w:t>s $</w:t>
      </w:r>
      <w:r w:rsidR="00081290" w:rsidRPr="00DA2C56">
        <w:t>120</w:t>
      </w:r>
      <w:r w:rsidR="00F56D38">
        <w:t xml:space="preserve"> in the ADAR</w:t>
      </w:r>
      <w:r w:rsidR="00C44294">
        <w:t>, t</w:t>
      </w:r>
      <w:r w:rsidR="00081290" w:rsidRPr="00DA2C56">
        <w:t xml:space="preserve">hough this is likely to be underestimated. </w:t>
      </w:r>
    </w:p>
    <w:p w14:paraId="5D67088E" w14:textId="032A59D6" w:rsidR="009B5759" w:rsidRPr="00DA2C56" w:rsidRDefault="009B5759" w:rsidP="00AC337E">
      <w:pPr>
        <w:pStyle w:val="a-TEXT"/>
        <w:numPr>
          <w:ilvl w:val="0"/>
          <w:numId w:val="21"/>
        </w:numPr>
      </w:pPr>
      <w:r w:rsidRPr="00DA2C56">
        <w:t>The average frequency of use of the proposed technology is</w:t>
      </w:r>
      <w:r w:rsidR="00F52BF8" w:rsidRPr="00DA2C56">
        <w:t xml:space="preserve"> once per pregnancy, but </w:t>
      </w:r>
      <w:r w:rsidR="00E022D7" w:rsidRPr="00DA2C56">
        <w:t>the ADAR</w:t>
      </w:r>
      <w:r w:rsidR="00F52BF8" w:rsidRPr="00DA2C56">
        <w:t xml:space="preserve"> estimated that only 50% of pregnancies would </w:t>
      </w:r>
      <w:r w:rsidR="005E486D" w:rsidRPr="00DA2C56">
        <w:t xml:space="preserve">receive the test. </w:t>
      </w:r>
    </w:p>
    <w:p w14:paraId="54C02200" w14:textId="7D718D9D" w:rsidR="009B5759" w:rsidRPr="00DA2C56" w:rsidRDefault="009B5759" w:rsidP="00AC337E">
      <w:pPr>
        <w:pStyle w:val="a-TEXT"/>
        <w:numPr>
          <w:ilvl w:val="0"/>
          <w:numId w:val="21"/>
        </w:numPr>
      </w:pPr>
      <w:r w:rsidRPr="00DA2C56">
        <w:t xml:space="preserve">The out-of-pocket cost per patient </w:t>
      </w:r>
      <w:r w:rsidR="0069149B">
        <w:t>could</w:t>
      </w:r>
      <w:r w:rsidR="00394E7D" w:rsidRPr="00DA2C56">
        <w:t xml:space="preserve"> be in the </w:t>
      </w:r>
      <w:r w:rsidR="004D7D30" w:rsidRPr="00DA2C56">
        <w:t xml:space="preserve">range of </w:t>
      </w:r>
      <w:r w:rsidR="00394E7D" w:rsidRPr="00DA2C56">
        <w:t>$</w:t>
      </w:r>
      <w:r w:rsidR="004D7D30" w:rsidRPr="00DA2C56">
        <w:t xml:space="preserve">380 </w:t>
      </w:r>
      <w:r w:rsidRPr="00DA2C56">
        <w:t xml:space="preserve">per </w:t>
      </w:r>
      <w:r w:rsidR="004D7D30" w:rsidRPr="00DA2C56">
        <w:t xml:space="preserve">pregnancy based on </w:t>
      </w:r>
      <w:r w:rsidR="00F04A26" w:rsidRPr="00DA2C56">
        <w:t>out-of-pocket</w:t>
      </w:r>
      <w:r w:rsidR="004D7D30" w:rsidRPr="00DA2C56">
        <w:t xml:space="preserve"> costs for a standard anatomy scan</w:t>
      </w:r>
      <w:r w:rsidR="00F04A26" w:rsidRPr="00DA2C56">
        <w:t xml:space="preserve"> based on commercial pricing</w:t>
      </w:r>
      <w:r w:rsidRPr="00DA2C56">
        <w:t>.</w:t>
      </w:r>
      <w:r w:rsidR="0069149B">
        <w:t xml:space="preserve"> </w:t>
      </w:r>
      <w:r w:rsidR="00C339A5">
        <w:rPr>
          <w:rStyle w:val="FootnoteReference"/>
        </w:rPr>
        <w:footnoteReference w:id="31"/>
      </w:r>
    </w:p>
    <w:p w14:paraId="1B1C1899" w14:textId="7D54391D" w:rsidR="009B5759" w:rsidRPr="00DA2C56" w:rsidRDefault="001014FC" w:rsidP="00AC337E">
      <w:pPr>
        <w:pStyle w:val="a-TEXT"/>
        <w:numPr>
          <w:ilvl w:val="0"/>
          <w:numId w:val="21"/>
        </w:numPr>
      </w:pPr>
      <w:r w:rsidRPr="00DA2C56">
        <w:t xml:space="preserve">It is likely that the </w:t>
      </w:r>
      <w:r w:rsidR="009B5759" w:rsidRPr="00DA2C56">
        <w:t xml:space="preserve">Extended Medicare Safety Net </w:t>
      </w:r>
      <w:r w:rsidRPr="00DA2C56">
        <w:t xml:space="preserve">will not be </w:t>
      </w:r>
      <w:r w:rsidR="00CD3387" w:rsidRPr="00DA2C56">
        <w:t>affected</w:t>
      </w:r>
      <w:r w:rsidR="00A23230" w:rsidRPr="00DA2C56">
        <w:t xml:space="preserve"> </w:t>
      </w:r>
      <w:r w:rsidR="00E45E35" w:rsidRPr="00DA2C56">
        <w:t xml:space="preserve">for this </w:t>
      </w:r>
      <w:r w:rsidR="00F04A26" w:rsidRPr="00DA2C56">
        <w:t>service but</w:t>
      </w:r>
      <w:r w:rsidR="00E45E35" w:rsidRPr="00DA2C56">
        <w:t xml:space="preserve"> may cause later services to be covered under the EMSN. </w:t>
      </w:r>
      <w:r w:rsidR="00361496" w:rsidRPr="00DA2C56">
        <w:t>This was explored using MBS data for 2022/23 and only MBS item 66751</w:t>
      </w:r>
      <w:r w:rsidR="004A70F1" w:rsidRPr="00DA2C56">
        <w:t xml:space="preserve"> was paid out higher than the </w:t>
      </w:r>
      <w:r w:rsidR="003D5AF2" w:rsidRPr="00DA2C56">
        <w:t xml:space="preserve">85% </w:t>
      </w:r>
      <w:r w:rsidR="0067793D" w:rsidRPr="00DA2C56">
        <w:t>benefit (</w:t>
      </w:r>
      <w:r w:rsidR="00277A23" w:rsidRPr="00DA2C56">
        <w:t>$1).</w:t>
      </w:r>
    </w:p>
    <w:p w14:paraId="0B41ADB3" w14:textId="71B16126" w:rsidR="00AF6FA8" w:rsidRPr="00AF6FA8" w:rsidRDefault="004E0A13" w:rsidP="00AF6FA8">
      <w:pPr>
        <w:pStyle w:val="a-TEXT"/>
      </w:pPr>
      <w:r w:rsidRPr="00DA2C56">
        <w:t>The ADAR</w:t>
      </w:r>
      <w:r w:rsidR="00F56D38">
        <w:t>’s analysis</w:t>
      </w:r>
      <w:r w:rsidRPr="00DA2C56">
        <w:t xml:space="preserve"> </w:t>
      </w:r>
      <w:r w:rsidR="00F56D38">
        <w:t>included</w:t>
      </w:r>
      <w:r w:rsidRPr="00DA2C56">
        <w:t xml:space="preserve"> cost offsets for </w:t>
      </w:r>
      <w:r w:rsidR="00F56D38">
        <w:t>state</w:t>
      </w:r>
      <w:r w:rsidR="00D34237">
        <w:t xml:space="preserve"> and territory</w:t>
      </w:r>
      <w:r w:rsidR="00F56D38">
        <w:t xml:space="preserve"> </w:t>
      </w:r>
      <w:r w:rsidR="00524B54" w:rsidRPr="00DA2C56">
        <w:t>hospital</w:t>
      </w:r>
      <w:r w:rsidR="00F56D38">
        <w:t>s</w:t>
      </w:r>
      <w:r w:rsidR="00524B54" w:rsidRPr="00DA2C56">
        <w:t xml:space="preserve"> due to a reduction in </w:t>
      </w:r>
      <w:r w:rsidR="00273794" w:rsidRPr="00DA2C56">
        <w:t>hospitalisation cost</w:t>
      </w:r>
      <w:r w:rsidR="00F56D38">
        <w:t>s</w:t>
      </w:r>
      <w:r w:rsidR="00273794" w:rsidRPr="00DA2C56">
        <w:t xml:space="preserve"> </w:t>
      </w:r>
      <w:r w:rsidR="00F56D38">
        <w:t>from</w:t>
      </w:r>
      <w:r w:rsidR="00273794" w:rsidRPr="00DA2C56">
        <w:t xml:space="preserve"> </w:t>
      </w:r>
      <w:r w:rsidR="0087662B" w:rsidRPr="00DA2C56">
        <w:t>pre-eclampsia</w:t>
      </w:r>
      <w:r w:rsidR="00F56D38" w:rsidRPr="00F56D38">
        <w:t xml:space="preserve"> </w:t>
      </w:r>
      <w:r w:rsidR="00F56D38" w:rsidRPr="00DA2C56">
        <w:t>avoided</w:t>
      </w:r>
      <w:r w:rsidR="002230FB">
        <w:t xml:space="preserve"> (</w:t>
      </w:r>
      <w:r w:rsidR="00442B93">
        <w:t xml:space="preserve">Table </w:t>
      </w:r>
      <w:r w:rsidR="00E52FAC">
        <w:t>25</w:t>
      </w:r>
      <w:r w:rsidR="00442B93">
        <w:t>)</w:t>
      </w:r>
      <w:r w:rsidR="00D34237">
        <w:t xml:space="preserve">. </w:t>
      </w:r>
      <w:r w:rsidR="00194890" w:rsidRPr="00194890">
        <w:t>It was estimated</w:t>
      </w:r>
      <w:r w:rsidR="000327D9">
        <w:t xml:space="preserve"> by the ADAR</w:t>
      </w:r>
      <w:r w:rsidR="00194890" w:rsidRPr="00194890">
        <w:t xml:space="preserve"> that the </w:t>
      </w:r>
      <w:r w:rsidR="00194890">
        <w:t xml:space="preserve">addition of </w:t>
      </w:r>
      <w:r w:rsidR="00413A4A">
        <w:t xml:space="preserve">structured testing for pre-eclampsia </w:t>
      </w:r>
      <w:r w:rsidR="00194890" w:rsidRPr="00194890">
        <w:t xml:space="preserve">would lead to a </w:t>
      </w:r>
      <w:r w:rsidR="00D34237">
        <w:t xml:space="preserve">net </w:t>
      </w:r>
      <w:r w:rsidR="000327D9">
        <w:t>saving</w:t>
      </w:r>
      <w:r w:rsidR="00FE4BA2">
        <w:t xml:space="preserve"> to </w:t>
      </w:r>
      <w:r w:rsidR="00174362">
        <w:t>G</w:t>
      </w:r>
      <w:r w:rsidR="00D34237">
        <w:t>overnment</w:t>
      </w:r>
      <w:r w:rsidR="00AF6FA8">
        <w:br/>
      </w:r>
      <w:r w:rsidR="00D34237">
        <w:t>(</w:t>
      </w:r>
      <w:proofErr w:type="gramStart"/>
      <w:r w:rsidR="00D34237">
        <w:t>i.e.</w:t>
      </w:r>
      <w:proofErr w:type="gramEnd"/>
      <w:r w:rsidR="00D34237">
        <w:t xml:space="preserve"> MBS plus </w:t>
      </w:r>
      <w:r w:rsidR="00BD7CE1">
        <w:t xml:space="preserve">state and </w:t>
      </w:r>
      <w:r w:rsidR="00D34237">
        <w:t xml:space="preserve">territory </w:t>
      </w:r>
      <w:r w:rsidR="00174362">
        <w:t xml:space="preserve">health </w:t>
      </w:r>
      <w:r w:rsidR="00BD7CE1">
        <w:t>budgets</w:t>
      </w:r>
      <w:r w:rsidR="00D34237">
        <w:t>)</w:t>
      </w:r>
      <w:r w:rsidR="00194890" w:rsidRPr="00194890">
        <w:t xml:space="preserve"> of just under $</w:t>
      </w:r>
      <w:r w:rsidR="000327D9">
        <w:t>5</w:t>
      </w:r>
      <w:r w:rsidR="00194890" w:rsidRPr="00194890">
        <w:t xml:space="preserve"> million in the first year of listing with an estimated </w:t>
      </w:r>
      <w:r w:rsidR="000327D9">
        <w:t>saving</w:t>
      </w:r>
      <w:r w:rsidR="00194890" w:rsidRPr="00194890">
        <w:t xml:space="preserve"> of $3</w:t>
      </w:r>
      <w:r w:rsidR="00FE4BA2">
        <w:t>1.5</w:t>
      </w:r>
      <w:r w:rsidR="00194890" w:rsidRPr="00194890">
        <w:t xml:space="preserve"> million over the first six years of listing.</w:t>
      </w:r>
      <w:r w:rsidR="00AF6FA8">
        <w:br w:type="page"/>
      </w:r>
    </w:p>
    <w:p w14:paraId="1CD5809B" w14:textId="306419E2" w:rsidR="009C77BA" w:rsidRDefault="009C77BA" w:rsidP="00943784">
      <w:pPr>
        <w:pStyle w:val="Caption"/>
      </w:pPr>
      <w:r>
        <w:lastRenderedPageBreak/>
        <w:t>Table</w:t>
      </w:r>
      <w:r w:rsidR="00E52FAC">
        <w:t>25</w:t>
      </w:r>
      <w:r>
        <w:tab/>
      </w:r>
      <w:r w:rsidRPr="00CB3E3A">
        <w:t xml:space="preserve">Net financial </w:t>
      </w:r>
      <w:r>
        <w:t xml:space="preserve">implications of </w:t>
      </w:r>
      <w:r w:rsidRPr="00F04A26">
        <w:t xml:space="preserve">structured prenatal risk assessment for preterm preeclampsia </w:t>
      </w:r>
      <w:r w:rsidRPr="00CB3E3A">
        <w:t xml:space="preserve">to </w:t>
      </w:r>
      <w:r w:rsidR="005F5060">
        <w:t xml:space="preserve">the </w:t>
      </w:r>
      <w:r w:rsidR="002251B1">
        <w:t>Government</w:t>
      </w:r>
      <w:r w:rsidR="005F5060">
        <w:t xml:space="preserve"> (MBS + states and territor</w:t>
      </w:r>
      <w:r w:rsidR="002251B1">
        <w:t>y health budgets</w:t>
      </w:r>
      <w:r w:rsidR="005F5060">
        <w:t>)</w:t>
      </w:r>
      <w:r w:rsidRPr="00CB3E3A">
        <w:t>.</w:t>
      </w:r>
    </w:p>
    <w:tbl>
      <w:tblPr>
        <w:tblStyle w:val="TableGrid1"/>
        <w:tblW w:w="5000" w:type="pct"/>
        <w:tblLayout w:type="fixed"/>
        <w:tblCellMar>
          <w:top w:w="57" w:type="dxa"/>
          <w:left w:w="57" w:type="dxa"/>
          <w:bottom w:w="57" w:type="dxa"/>
          <w:right w:w="57" w:type="dxa"/>
        </w:tblCellMar>
        <w:tblLook w:val="04A0" w:firstRow="1" w:lastRow="0" w:firstColumn="1" w:lastColumn="0" w:noHBand="0" w:noVBand="1"/>
      </w:tblPr>
      <w:tblGrid>
        <w:gridCol w:w="1978"/>
        <w:gridCol w:w="1172"/>
        <w:gridCol w:w="1174"/>
        <w:gridCol w:w="1174"/>
        <w:gridCol w:w="1174"/>
        <w:gridCol w:w="1174"/>
        <w:gridCol w:w="1170"/>
      </w:tblGrid>
      <w:tr w:rsidR="00891554" w:rsidRPr="00891554" w14:paraId="1514AE40" w14:textId="77777777" w:rsidTr="00F16694">
        <w:trPr>
          <w:cnfStyle w:val="100000000000" w:firstRow="1" w:lastRow="0" w:firstColumn="0" w:lastColumn="0" w:oddVBand="0" w:evenVBand="0" w:oddHBand="0" w:evenHBand="0" w:firstRowFirstColumn="0" w:firstRowLastColumn="0" w:lastRowFirstColumn="0" w:lastRowLastColumn="0"/>
          <w:trHeight w:val="49"/>
        </w:trPr>
        <w:tc>
          <w:tcPr>
            <w:tcW w:w="1097" w:type="pct"/>
            <w:shd w:val="clear" w:color="auto" w:fill="auto"/>
          </w:tcPr>
          <w:p w14:paraId="46A1B535" w14:textId="77777777" w:rsidR="00891554" w:rsidRPr="00891554" w:rsidRDefault="00891554">
            <w:pPr>
              <w:rPr>
                <w:rFonts w:ascii="Arial Narrow" w:hAnsi="Arial Narrow" w:cs="Calibri"/>
                <w:b/>
                <w:bCs/>
                <w:sz w:val="20"/>
                <w:szCs w:val="20"/>
              </w:rPr>
            </w:pPr>
            <w:r w:rsidRPr="00891554">
              <w:rPr>
                <w:rFonts w:ascii="Arial Narrow" w:hAnsi="Arial Narrow"/>
                <w:b/>
                <w:bCs/>
                <w:sz w:val="20"/>
                <w:szCs w:val="20"/>
              </w:rPr>
              <w:t xml:space="preserve">Parameter </w:t>
            </w:r>
          </w:p>
        </w:tc>
        <w:tc>
          <w:tcPr>
            <w:tcW w:w="650" w:type="pct"/>
            <w:shd w:val="clear" w:color="auto" w:fill="auto"/>
            <w:noWrap/>
          </w:tcPr>
          <w:p w14:paraId="44B1880C" w14:textId="77777777" w:rsidR="00891554" w:rsidRPr="00891554" w:rsidRDefault="00891554">
            <w:pPr>
              <w:jc w:val="center"/>
              <w:rPr>
                <w:rFonts w:ascii="Arial Narrow" w:hAnsi="Arial Narrow" w:cs="Calibri"/>
                <w:b/>
                <w:bCs/>
                <w:sz w:val="20"/>
                <w:szCs w:val="20"/>
              </w:rPr>
            </w:pPr>
            <w:r w:rsidRPr="00891554">
              <w:rPr>
                <w:rFonts w:ascii="Arial Narrow" w:hAnsi="Arial Narrow"/>
                <w:b/>
                <w:bCs/>
                <w:sz w:val="20"/>
                <w:szCs w:val="20"/>
              </w:rPr>
              <w:t>Year 2024</w:t>
            </w:r>
          </w:p>
        </w:tc>
        <w:tc>
          <w:tcPr>
            <w:tcW w:w="651" w:type="pct"/>
            <w:shd w:val="clear" w:color="auto" w:fill="auto"/>
            <w:noWrap/>
          </w:tcPr>
          <w:p w14:paraId="69BD0D5F" w14:textId="77777777" w:rsidR="00891554" w:rsidRPr="00891554" w:rsidRDefault="00891554">
            <w:pPr>
              <w:jc w:val="center"/>
              <w:rPr>
                <w:rFonts w:ascii="Arial Narrow" w:hAnsi="Arial Narrow" w:cs="Calibri"/>
                <w:b/>
                <w:bCs/>
                <w:sz w:val="20"/>
                <w:szCs w:val="20"/>
              </w:rPr>
            </w:pPr>
            <w:r w:rsidRPr="00891554">
              <w:rPr>
                <w:rFonts w:ascii="Arial Narrow" w:hAnsi="Arial Narrow"/>
                <w:b/>
                <w:bCs/>
                <w:sz w:val="20"/>
                <w:szCs w:val="20"/>
              </w:rPr>
              <w:t>Year 2025</w:t>
            </w:r>
          </w:p>
        </w:tc>
        <w:tc>
          <w:tcPr>
            <w:tcW w:w="651" w:type="pct"/>
            <w:shd w:val="clear" w:color="auto" w:fill="auto"/>
            <w:noWrap/>
          </w:tcPr>
          <w:p w14:paraId="14B6EDA0" w14:textId="77777777" w:rsidR="00891554" w:rsidRPr="00891554" w:rsidRDefault="00891554">
            <w:pPr>
              <w:jc w:val="center"/>
              <w:rPr>
                <w:rFonts w:ascii="Arial Narrow" w:hAnsi="Arial Narrow" w:cs="Calibri"/>
                <w:b/>
                <w:bCs/>
                <w:sz w:val="20"/>
                <w:szCs w:val="20"/>
              </w:rPr>
            </w:pPr>
            <w:r w:rsidRPr="00891554">
              <w:rPr>
                <w:rFonts w:ascii="Arial Narrow" w:hAnsi="Arial Narrow"/>
                <w:b/>
                <w:bCs/>
                <w:sz w:val="20"/>
                <w:szCs w:val="20"/>
              </w:rPr>
              <w:t>Year 2026</w:t>
            </w:r>
          </w:p>
        </w:tc>
        <w:tc>
          <w:tcPr>
            <w:tcW w:w="651" w:type="pct"/>
            <w:shd w:val="clear" w:color="auto" w:fill="auto"/>
            <w:noWrap/>
          </w:tcPr>
          <w:p w14:paraId="48C6CD1F" w14:textId="77777777" w:rsidR="00891554" w:rsidRPr="00891554" w:rsidRDefault="00891554">
            <w:pPr>
              <w:jc w:val="center"/>
              <w:rPr>
                <w:rFonts w:ascii="Arial Narrow" w:hAnsi="Arial Narrow" w:cs="Calibri"/>
                <w:b/>
                <w:bCs/>
                <w:sz w:val="20"/>
                <w:szCs w:val="20"/>
              </w:rPr>
            </w:pPr>
            <w:r w:rsidRPr="00891554">
              <w:rPr>
                <w:rFonts w:ascii="Arial Narrow" w:hAnsi="Arial Narrow"/>
                <w:b/>
                <w:bCs/>
                <w:sz w:val="20"/>
                <w:szCs w:val="20"/>
              </w:rPr>
              <w:t>Year 2027</w:t>
            </w:r>
          </w:p>
        </w:tc>
        <w:tc>
          <w:tcPr>
            <w:tcW w:w="651" w:type="pct"/>
            <w:shd w:val="clear" w:color="auto" w:fill="auto"/>
            <w:noWrap/>
          </w:tcPr>
          <w:p w14:paraId="0DB7E85F" w14:textId="77777777" w:rsidR="00891554" w:rsidRPr="00891554" w:rsidRDefault="00891554">
            <w:pPr>
              <w:jc w:val="center"/>
              <w:rPr>
                <w:rFonts w:ascii="Arial Narrow" w:hAnsi="Arial Narrow" w:cs="Calibri"/>
                <w:b/>
                <w:bCs/>
                <w:sz w:val="20"/>
                <w:szCs w:val="20"/>
              </w:rPr>
            </w:pPr>
            <w:r w:rsidRPr="00891554">
              <w:rPr>
                <w:rFonts w:ascii="Arial Narrow" w:hAnsi="Arial Narrow"/>
                <w:b/>
                <w:bCs/>
                <w:sz w:val="20"/>
                <w:szCs w:val="20"/>
              </w:rPr>
              <w:t>Year 2028</w:t>
            </w:r>
          </w:p>
        </w:tc>
        <w:tc>
          <w:tcPr>
            <w:tcW w:w="651" w:type="pct"/>
            <w:shd w:val="clear" w:color="auto" w:fill="auto"/>
            <w:noWrap/>
          </w:tcPr>
          <w:p w14:paraId="635A2A46" w14:textId="77777777" w:rsidR="00891554" w:rsidRPr="00891554" w:rsidRDefault="00891554">
            <w:pPr>
              <w:jc w:val="center"/>
              <w:rPr>
                <w:rFonts w:ascii="Arial Narrow" w:hAnsi="Arial Narrow" w:cs="Calibri"/>
                <w:b/>
                <w:bCs/>
                <w:sz w:val="20"/>
                <w:szCs w:val="20"/>
              </w:rPr>
            </w:pPr>
            <w:r w:rsidRPr="00891554">
              <w:rPr>
                <w:rFonts w:ascii="Arial Narrow" w:hAnsi="Arial Narrow"/>
                <w:b/>
                <w:bCs/>
                <w:sz w:val="20"/>
                <w:szCs w:val="20"/>
              </w:rPr>
              <w:t>Year 2029</w:t>
            </w:r>
          </w:p>
        </w:tc>
      </w:tr>
      <w:tr w:rsidR="00891554" w:rsidRPr="00891554" w14:paraId="195AB4A6" w14:textId="77777777" w:rsidTr="00F16694">
        <w:trPr>
          <w:trHeight w:val="49"/>
        </w:trPr>
        <w:tc>
          <w:tcPr>
            <w:tcW w:w="1097" w:type="pct"/>
          </w:tcPr>
          <w:p w14:paraId="556D9987" w14:textId="77777777" w:rsidR="00891554" w:rsidRPr="00891554" w:rsidRDefault="00891554">
            <w:pPr>
              <w:rPr>
                <w:rFonts w:ascii="Arial Narrow" w:hAnsi="Arial Narrow" w:cs="Calibri"/>
                <w:sz w:val="20"/>
                <w:szCs w:val="20"/>
              </w:rPr>
            </w:pPr>
            <w:r w:rsidRPr="00891554">
              <w:rPr>
                <w:rFonts w:ascii="Arial Narrow" w:hAnsi="Arial Narrow"/>
                <w:sz w:val="20"/>
                <w:szCs w:val="20"/>
              </w:rPr>
              <w:t>Incremental hospital admissions: preeclampsia &lt;37 weeks</w:t>
            </w:r>
          </w:p>
        </w:tc>
        <w:tc>
          <w:tcPr>
            <w:tcW w:w="650" w:type="pct"/>
            <w:noWrap/>
          </w:tcPr>
          <w:p w14:paraId="68A7A66F"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-526</w:t>
            </w:r>
          </w:p>
        </w:tc>
        <w:tc>
          <w:tcPr>
            <w:tcW w:w="651" w:type="pct"/>
            <w:noWrap/>
          </w:tcPr>
          <w:p w14:paraId="02A8DABA"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-528</w:t>
            </w:r>
          </w:p>
        </w:tc>
        <w:tc>
          <w:tcPr>
            <w:tcW w:w="651" w:type="pct"/>
            <w:noWrap/>
          </w:tcPr>
          <w:p w14:paraId="22DBC25A"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-530</w:t>
            </w:r>
          </w:p>
        </w:tc>
        <w:tc>
          <w:tcPr>
            <w:tcW w:w="651" w:type="pct"/>
            <w:noWrap/>
          </w:tcPr>
          <w:p w14:paraId="63BBB3B0"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-532</w:t>
            </w:r>
          </w:p>
        </w:tc>
        <w:tc>
          <w:tcPr>
            <w:tcW w:w="651" w:type="pct"/>
            <w:noWrap/>
          </w:tcPr>
          <w:p w14:paraId="32E9523C"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-534</w:t>
            </w:r>
          </w:p>
        </w:tc>
        <w:tc>
          <w:tcPr>
            <w:tcW w:w="651" w:type="pct"/>
            <w:noWrap/>
          </w:tcPr>
          <w:p w14:paraId="3C04A5D5"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-536</w:t>
            </w:r>
          </w:p>
        </w:tc>
      </w:tr>
      <w:tr w:rsidR="00891554" w:rsidRPr="00891554" w14:paraId="0BAFC3E4" w14:textId="77777777" w:rsidTr="00F16694">
        <w:trPr>
          <w:trHeight w:val="320"/>
        </w:trPr>
        <w:tc>
          <w:tcPr>
            <w:tcW w:w="1097" w:type="pct"/>
          </w:tcPr>
          <w:p w14:paraId="47D0F6BB" w14:textId="359C1BA9" w:rsidR="00891554" w:rsidRPr="00891554" w:rsidRDefault="00891554">
            <w:pPr>
              <w:rPr>
                <w:rFonts w:ascii="Arial Narrow" w:hAnsi="Arial Narrow" w:cs="Calibri"/>
                <w:sz w:val="20"/>
                <w:szCs w:val="20"/>
              </w:rPr>
            </w:pPr>
            <w:r w:rsidRPr="00891554">
              <w:rPr>
                <w:rFonts w:ascii="Arial Narrow" w:hAnsi="Arial Narrow"/>
                <w:sz w:val="20"/>
                <w:szCs w:val="20"/>
              </w:rPr>
              <w:t xml:space="preserve">Incremental hospital admissions: preeclampsia </w:t>
            </w:r>
            <w:r w:rsidR="00837AE6">
              <w:rPr>
                <w:rFonts w:ascii="Arial Narrow" w:hAnsi="Arial Narrow"/>
                <w:sz w:val="20"/>
                <w:szCs w:val="20"/>
              </w:rPr>
              <w:t>≥</w:t>
            </w:r>
            <w:r w:rsidRPr="00891554">
              <w:rPr>
                <w:rFonts w:ascii="Arial Narrow" w:hAnsi="Arial Narrow"/>
                <w:sz w:val="20"/>
                <w:szCs w:val="20"/>
              </w:rPr>
              <w:t>37 weeks</w:t>
            </w:r>
          </w:p>
        </w:tc>
        <w:tc>
          <w:tcPr>
            <w:tcW w:w="650" w:type="pct"/>
            <w:noWrap/>
          </w:tcPr>
          <w:p w14:paraId="36964724"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-1,053</w:t>
            </w:r>
          </w:p>
        </w:tc>
        <w:tc>
          <w:tcPr>
            <w:tcW w:w="651" w:type="pct"/>
            <w:noWrap/>
          </w:tcPr>
          <w:p w14:paraId="3E33F670"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-1,057</w:t>
            </w:r>
          </w:p>
        </w:tc>
        <w:tc>
          <w:tcPr>
            <w:tcW w:w="651" w:type="pct"/>
            <w:noWrap/>
          </w:tcPr>
          <w:p w14:paraId="6A81EFAA"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-1,061</w:t>
            </w:r>
          </w:p>
        </w:tc>
        <w:tc>
          <w:tcPr>
            <w:tcW w:w="651" w:type="pct"/>
            <w:noWrap/>
          </w:tcPr>
          <w:p w14:paraId="15D449D1"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-1,065</w:t>
            </w:r>
          </w:p>
        </w:tc>
        <w:tc>
          <w:tcPr>
            <w:tcW w:w="651" w:type="pct"/>
            <w:noWrap/>
          </w:tcPr>
          <w:p w14:paraId="0C209079"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-1,069</w:t>
            </w:r>
          </w:p>
        </w:tc>
        <w:tc>
          <w:tcPr>
            <w:tcW w:w="651" w:type="pct"/>
            <w:noWrap/>
          </w:tcPr>
          <w:p w14:paraId="5853389D" w14:textId="77777777" w:rsidR="00891554" w:rsidRPr="00891554" w:rsidRDefault="00891554">
            <w:pPr>
              <w:jc w:val="center"/>
              <w:rPr>
                <w:rFonts w:ascii="Arial Narrow" w:hAnsi="Arial Narrow" w:cs="Calibri"/>
                <w:sz w:val="20"/>
                <w:szCs w:val="20"/>
              </w:rPr>
            </w:pPr>
            <w:r w:rsidRPr="00891554">
              <w:rPr>
                <w:rFonts w:ascii="Arial Narrow" w:hAnsi="Arial Narrow"/>
                <w:sz w:val="20"/>
                <w:szCs w:val="20"/>
              </w:rPr>
              <w:t>-1,073</w:t>
            </w:r>
          </w:p>
        </w:tc>
      </w:tr>
      <w:tr w:rsidR="00891554" w:rsidRPr="00891554" w14:paraId="6EC2FD94" w14:textId="77777777" w:rsidTr="00F16694">
        <w:trPr>
          <w:trHeight w:val="580"/>
        </w:trPr>
        <w:tc>
          <w:tcPr>
            <w:tcW w:w="1097" w:type="pct"/>
          </w:tcPr>
          <w:p w14:paraId="70FAC809" w14:textId="40DDF351" w:rsidR="00891554" w:rsidRPr="00891554" w:rsidRDefault="00891554">
            <w:pPr>
              <w:rPr>
                <w:rFonts w:ascii="Arial Narrow" w:hAnsi="Arial Narrow" w:cs="Calibri"/>
                <w:sz w:val="20"/>
                <w:szCs w:val="20"/>
              </w:rPr>
            </w:pPr>
            <w:r w:rsidRPr="1923DEB3">
              <w:rPr>
                <w:rFonts w:ascii="Arial Narrow" w:hAnsi="Arial Narrow"/>
                <w:sz w:val="20"/>
                <w:szCs w:val="20"/>
              </w:rPr>
              <w:t xml:space="preserve">Incremental hospital admissions: </w:t>
            </w:r>
            <w:r w:rsidR="09C47A5E" w:rsidRPr="1923DEB3">
              <w:rPr>
                <w:rFonts w:ascii="Arial Narrow" w:hAnsi="Arial Narrow"/>
                <w:sz w:val="20"/>
                <w:szCs w:val="20"/>
              </w:rPr>
              <w:t>for</w:t>
            </w:r>
            <w:r w:rsidRPr="1923DEB3">
              <w:rPr>
                <w:rFonts w:ascii="Arial Narrow" w:hAnsi="Arial Narrow"/>
                <w:sz w:val="20"/>
                <w:szCs w:val="20"/>
              </w:rPr>
              <w:t xml:space="preserve"> preeclampsia</w:t>
            </w:r>
            <w:r w:rsidR="0D010686" w:rsidRPr="1923DEB3">
              <w:rPr>
                <w:rFonts w:ascii="Arial Narrow" w:hAnsi="Arial Narrow"/>
                <w:sz w:val="20"/>
                <w:szCs w:val="20"/>
              </w:rPr>
              <w:t xml:space="preserve"> management</w:t>
            </w:r>
          </w:p>
        </w:tc>
        <w:tc>
          <w:tcPr>
            <w:tcW w:w="650" w:type="pct"/>
            <w:noWrap/>
          </w:tcPr>
          <w:p w14:paraId="5FD8E2AD" w14:textId="618EFF1E" w:rsidR="00891554" w:rsidRPr="00891554" w:rsidRDefault="21577800">
            <w:pPr>
              <w:jc w:val="center"/>
              <w:rPr>
                <w:rFonts w:ascii="Arial Narrow" w:hAnsi="Arial Narrow" w:cs="Calibri"/>
                <w:sz w:val="20"/>
                <w:szCs w:val="20"/>
              </w:rPr>
            </w:pPr>
            <w:r w:rsidRPr="1923DEB3">
              <w:rPr>
                <w:rFonts w:ascii="Arial Narrow" w:hAnsi="Arial Narrow"/>
                <w:sz w:val="20"/>
                <w:szCs w:val="20"/>
              </w:rPr>
              <w:t>-</w:t>
            </w:r>
            <w:r w:rsidR="00891554" w:rsidRPr="1923DEB3">
              <w:rPr>
                <w:rFonts w:ascii="Arial Narrow" w:hAnsi="Arial Narrow"/>
                <w:sz w:val="20"/>
                <w:szCs w:val="20"/>
              </w:rPr>
              <w:t>1,579</w:t>
            </w:r>
          </w:p>
        </w:tc>
        <w:tc>
          <w:tcPr>
            <w:tcW w:w="651" w:type="pct"/>
            <w:noWrap/>
          </w:tcPr>
          <w:p w14:paraId="1E7CE5C9" w14:textId="66B8701F" w:rsidR="00891554" w:rsidRPr="00891554" w:rsidRDefault="2831A316">
            <w:pPr>
              <w:jc w:val="center"/>
              <w:rPr>
                <w:rFonts w:ascii="Arial Narrow" w:hAnsi="Arial Narrow" w:cs="Calibri"/>
                <w:sz w:val="20"/>
                <w:szCs w:val="20"/>
              </w:rPr>
            </w:pPr>
            <w:r w:rsidRPr="1923DEB3">
              <w:rPr>
                <w:rFonts w:ascii="Arial Narrow" w:hAnsi="Arial Narrow"/>
                <w:sz w:val="20"/>
                <w:szCs w:val="20"/>
              </w:rPr>
              <w:t>-</w:t>
            </w:r>
            <w:r w:rsidR="00891554" w:rsidRPr="1923DEB3">
              <w:rPr>
                <w:rFonts w:ascii="Arial Narrow" w:hAnsi="Arial Narrow"/>
                <w:sz w:val="20"/>
                <w:szCs w:val="20"/>
              </w:rPr>
              <w:t>1,585</w:t>
            </w:r>
          </w:p>
        </w:tc>
        <w:tc>
          <w:tcPr>
            <w:tcW w:w="651" w:type="pct"/>
            <w:noWrap/>
          </w:tcPr>
          <w:p w14:paraId="388808D1" w14:textId="051B138E" w:rsidR="00891554" w:rsidRPr="00891554" w:rsidRDefault="74C4607C">
            <w:pPr>
              <w:jc w:val="center"/>
              <w:rPr>
                <w:rFonts w:ascii="Arial Narrow" w:hAnsi="Arial Narrow" w:cs="Calibri"/>
                <w:sz w:val="20"/>
                <w:szCs w:val="20"/>
              </w:rPr>
            </w:pPr>
            <w:r w:rsidRPr="1923DEB3">
              <w:rPr>
                <w:rFonts w:ascii="Arial Narrow" w:hAnsi="Arial Narrow"/>
                <w:sz w:val="20"/>
                <w:szCs w:val="20"/>
              </w:rPr>
              <w:t>-</w:t>
            </w:r>
            <w:r w:rsidR="00891554" w:rsidRPr="1923DEB3">
              <w:rPr>
                <w:rFonts w:ascii="Arial Narrow" w:hAnsi="Arial Narrow"/>
                <w:sz w:val="20"/>
                <w:szCs w:val="20"/>
              </w:rPr>
              <w:t>1,591</w:t>
            </w:r>
          </w:p>
        </w:tc>
        <w:tc>
          <w:tcPr>
            <w:tcW w:w="651" w:type="pct"/>
            <w:noWrap/>
          </w:tcPr>
          <w:p w14:paraId="55C707A0" w14:textId="01F9E23B" w:rsidR="00891554" w:rsidRPr="00891554" w:rsidRDefault="36534503">
            <w:pPr>
              <w:jc w:val="center"/>
              <w:rPr>
                <w:rFonts w:ascii="Arial Narrow" w:hAnsi="Arial Narrow" w:cs="Calibri"/>
                <w:sz w:val="20"/>
                <w:szCs w:val="20"/>
              </w:rPr>
            </w:pPr>
            <w:r w:rsidRPr="1923DEB3">
              <w:rPr>
                <w:rFonts w:ascii="Arial Narrow" w:hAnsi="Arial Narrow"/>
                <w:sz w:val="20"/>
                <w:szCs w:val="20"/>
              </w:rPr>
              <w:t>-</w:t>
            </w:r>
            <w:r w:rsidR="00891554" w:rsidRPr="1923DEB3">
              <w:rPr>
                <w:rFonts w:ascii="Arial Narrow" w:hAnsi="Arial Narrow"/>
                <w:sz w:val="20"/>
                <w:szCs w:val="20"/>
              </w:rPr>
              <w:t>1,597</w:t>
            </w:r>
          </w:p>
        </w:tc>
        <w:tc>
          <w:tcPr>
            <w:tcW w:w="651" w:type="pct"/>
            <w:noWrap/>
          </w:tcPr>
          <w:p w14:paraId="4F7C6CD3" w14:textId="0CA86884" w:rsidR="00891554" w:rsidRPr="00891554" w:rsidRDefault="36534503">
            <w:pPr>
              <w:jc w:val="center"/>
              <w:rPr>
                <w:rFonts w:ascii="Arial Narrow" w:hAnsi="Arial Narrow" w:cs="Calibri"/>
                <w:sz w:val="20"/>
                <w:szCs w:val="20"/>
              </w:rPr>
            </w:pPr>
            <w:r w:rsidRPr="1923DEB3">
              <w:rPr>
                <w:rFonts w:ascii="Arial Narrow" w:hAnsi="Arial Narrow"/>
                <w:sz w:val="20"/>
                <w:szCs w:val="20"/>
              </w:rPr>
              <w:t>-</w:t>
            </w:r>
            <w:r w:rsidR="00891554" w:rsidRPr="1923DEB3">
              <w:rPr>
                <w:rFonts w:ascii="Arial Narrow" w:hAnsi="Arial Narrow"/>
                <w:sz w:val="20"/>
                <w:szCs w:val="20"/>
              </w:rPr>
              <w:t>1,603</w:t>
            </w:r>
          </w:p>
        </w:tc>
        <w:tc>
          <w:tcPr>
            <w:tcW w:w="651" w:type="pct"/>
            <w:noWrap/>
          </w:tcPr>
          <w:p w14:paraId="7367C379" w14:textId="0CC367A9" w:rsidR="00891554" w:rsidRPr="00891554" w:rsidRDefault="750F22A9">
            <w:pPr>
              <w:jc w:val="center"/>
              <w:rPr>
                <w:rFonts w:ascii="Arial Narrow" w:hAnsi="Arial Narrow" w:cs="Calibri"/>
                <w:sz w:val="20"/>
                <w:szCs w:val="20"/>
              </w:rPr>
            </w:pPr>
            <w:r w:rsidRPr="1923DEB3">
              <w:rPr>
                <w:rFonts w:ascii="Arial Narrow" w:hAnsi="Arial Narrow"/>
                <w:sz w:val="20"/>
                <w:szCs w:val="20"/>
              </w:rPr>
              <w:t>-</w:t>
            </w:r>
            <w:r w:rsidR="00891554" w:rsidRPr="1923DEB3">
              <w:rPr>
                <w:rFonts w:ascii="Arial Narrow" w:hAnsi="Arial Narrow"/>
                <w:sz w:val="20"/>
                <w:szCs w:val="20"/>
              </w:rPr>
              <w:t>1,609</w:t>
            </w:r>
          </w:p>
        </w:tc>
      </w:tr>
      <w:tr w:rsidR="00891554" w:rsidRPr="00C30471" w14:paraId="5DC21F6E" w14:textId="77777777" w:rsidTr="00F16694">
        <w:trPr>
          <w:trHeight w:val="55"/>
        </w:trPr>
        <w:tc>
          <w:tcPr>
            <w:tcW w:w="1097" w:type="pct"/>
          </w:tcPr>
          <w:p w14:paraId="49870416" w14:textId="77777777" w:rsidR="00891554" w:rsidRPr="00891554" w:rsidRDefault="00891554">
            <w:pPr>
              <w:rPr>
                <w:rFonts w:ascii="Arial Narrow" w:hAnsi="Arial Narrow"/>
                <w:sz w:val="20"/>
                <w:szCs w:val="20"/>
              </w:rPr>
            </w:pPr>
            <w:r w:rsidRPr="00891554">
              <w:rPr>
                <w:rFonts w:ascii="Arial Narrow" w:hAnsi="Arial Narrow"/>
                <w:sz w:val="20"/>
                <w:szCs w:val="20"/>
              </w:rPr>
              <w:t>Hospital costs: Standard care</w:t>
            </w:r>
          </w:p>
        </w:tc>
        <w:tc>
          <w:tcPr>
            <w:tcW w:w="650" w:type="pct"/>
            <w:noWrap/>
          </w:tcPr>
          <w:p w14:paraId="5BB49A6E"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$1,251,988,480</w:t>
            </w:r>
          </w:p>
        </w:tc>
        <w:tc>
          <w:tcPr>
            <w:tcW w:w="651" w:type="pct"/>
            <w:noWrap/>
          </w:tcPr>
          <w:p w14:paraId="3A955104"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$1,256,719,427</w:t>
            </w:r>
          </w:p>
        </w:tc>
        <w:tc>
          <w:tcPr>
            <w:tcW w:w="651" w:type="pct"/>
            <w:noWrap/>
          </w:tcPr>
          <w:p w14:paraId="0D51E53E"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$1,261,450,374</w:t>
            </w:r>
          </w:p>
        </w:tc>
        <w:tc>
          <w:tcPr>
            <w:tcW w:w="651" w:type="pct"/>
            <w:noWrap/>
          </w:tcPr>
          <w:p w14:paraId="19D42663"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$1,266,181,321</w:t>
            </w:r>
          </w:p>
        </w:tc>
        <w:tc>
          <w:tcPr>
            <w:tcW w:w="651" w:type="pct"/>
            <w:noWrap/>
          </w:tcPr>
          <w:p w14:paraId="7AD1538B"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$1,270,912,268</w:t>
            </w:r>
          </w:p>
        </w:tc>
        <w:tc>
          <w:tcPr>
            <w:tcW w:w="651" w:type="pct"/>
            <w:noWrap/>
          </w:tcPr>
          <w:p w14:paraId="4B7EE272"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$1,275,643,215</w:t>
            </w:r>
          </w:p>
        </w:tc>
      </w:tr>
      <w:tr w:rsidR="00891554" w:rsidRPr="00C30471" w14:paraId="274A655E" w14:textId="77777777" w:rsidTr="00F16694">
        <w:trPr>
          <w:trHeight w:val="580"/>
        </w:trPr>
        <w:tc>
          <w:tcPr>
            <w:tcW w:w="1097" w:type="pct"/>
          </w:tcPr>
          <w:p w14:paraId="7B3CAE00" w14:textId="77777777" w:rsidR="00891554" w:rsidRPr="00891554" w:rsidRDefault="00891554">
            <w:pPr>
              <w:rPr>
                <w:rFonts w:ascii="Arial Narrow" w:hAnsi="Arial Narrow"/>
                <w:sz w:val="20"/>
                <w:szCs w:val="20"/>
              </w:rPr>
            </w:pPr>
            <w:r w:rsidRPr="00891554">
              <w:rPr>
                <w:rFonts w:ascii="Arial Narrow" w:hAnsi="Arial Narrow"/>
                <w:sz w:val="20"/>
                <w:szCs w:val="20"/>
              </w:rPr>
              <w:t>Hospital costs: Structured prenatal risk assessment</w:t>
            </w:r>
          </w:p>
        </w:tc>
        <w:tc>
          <w:tcPr>
            <w:tcW w:w="650" w:type="pct"/>
            <w:noWrap/>
          </w:tcPr>
          <w:p w14:paraId="61EC3D8B"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$1,240,330,366</w:t>
            </w:r>
          </w:p>
        </w:tc>
        <w:tc>
          <w:tcPr>
            <w:tcW w:w="651" w:type="pct"/>
            <w:noWrap/>
          </w:tcPr>
          <w:p w14:paraId="3F01EDF7"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$1,245,017,260</w:t>
            </w:r>
          </w:p>
        </w:tc>
        <w:tc>
          <w:tcPr>
            <w:tcW w:w="651" w:type="pct"/>
            <w:noWrap/>
          </w:tcPr>
          <w:p w14:paraId="4812E8DC"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$1,249,704,154</w:t>
            </w:r>
          </w:p>
        </w:tc>
        <w:tc>
          <w:tcPr>
            <w:tcW w:w="651" w:type="pct"/>
            <w:noWrap/>
          </w:tcPr>
          <w:p w14:paraId="187C0861"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$1,254,391,048</w:t>
            </w:r>
          </w:p>
        </w:tc>
        <w:tc>
          <w:tcPr>
            <w:tcW w:w="651" w:type="pct"/>
            <w:noWrap/>
          </w:tcPr>
          <w:p w14:paraId="695A3D83"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$1,259,077,943</w:t>
            </w:r>
          </w:p>
        </w:tc>
        <w:tc>
          <w:tcPr>
            <w:tcW w:w="651" w:type="pct"/>
            <w:noWrap/>
          </w:tcPr>
          <w:p w14:paraId="45F6C758" w14:textId="77777777" w:rsidR="00891554" w:rsidRPr="00F16694" w:rsidRDefault="00891554">
            <w:pPr>
              <w:jc w:val="center"/>
              <w:rPr>
                <w:rFonts w:ascii="Arial Narrow" w:hAnsi="Arial Narrow"/>
                <w:sz w:val="18"/>
                <w:szCs w:val="18"/>
              </w:rPr>
            </w:pPr>
            <w:r w:rsidRPr="00F16694">
              <w:rPr>
                <w:rFonts w:ascii="Arial Narrow" w:hAnsi="Arial Narrow"/>
                <w:sz w:val="18"/>
                <w:szCs w:val="18"/>
              </w:rPr>
              <w:t>$1,263,764,837</w:t>
            </w:r>
          </w:p>
        </w:tc>
      </w:tr>
      <w:tr w:rsidR="00891554" w:rsidRPr="00D34237" w14:paraId="014EA9BF" w14:textId="77777777" w:rsidTr="00F16694">
        <w:trPr>
          <w:trHeight w:val="26"/>
        </w:trPr>
        <w:tc>
          <w:tcPr>
            <w:tcW w:w="1097" w:type="pct"/>
          </w:tcPr>
          <w:p w14:paraId="6C1F9E4A" w14:textId="5EA5F282" w:rsidR="00891554" w:rsidRPr="00943784" w:rsidRDefault="00D34237">
            <w:pPr>
              <w:rPr>
                <w:rFonts w:ascii="Arial Narrow" w:hAnsi="Arial Narrow"/>
                <w:b/>
                <w:bCs/>
                <w:sz w:val="20"/>
                <w:szCs w:val="20"/>
              </w:rPr>
            </w:pPr>
            <w:r w:rsidRPr="00943784">
              <w:rPr>
                <w:rFonts w:ascii="Arial Narrow" w:hAnsi="Arial Narrow"/>
                <w:b/>
                <w:bCs/>
                <w:sz w:val="20"/>
                <w:szCs w:val="20"/>
              </w:rPr>
              <w:t>N</w:t>
            </w:r>
            <w:r w:rsidR="007A7003" w:rsidRPr="00943784">
              <w:rPr>
                <w:rFonts w:ascii="Arial Narrow" w:hAnsi="Arial Narrow"/>
                <w:b/>
                <w:bCs/>
                <w:sz w:val="20"/>
                <w:szCs w:val="20"/>
              </w:rPr>
              <w:t xml:space="preserve">et </w:t>
            </w:r>
            <w:r w:rsidRPr="00943784">
              <w:rPr>
                <w:rFonts w:ascii="Arial Narrow" w:hAnsi="Arial Narrow"/>
                <w:b/>
                <w:bCs/>
                <w:sz w:val="20"/>
                <w:szCs w:val="20"/>
              </w:rPr>
              <w:t xml:space="preserve">financial impact </w:t>
            </w:r>
            <w:r w:rsidR="007A7003" w:rsidRPr="00943784">
              <w:rPr>
                <w:rFonts w:ascii="Arial Narrow" w:hAnsi="Arial Narrow"/>
                <w:b/>
                <w:bCs/>
                <w:sz w:val="20"/>
                <w:szCs w:val="20"/>
              </w:rPr>
              <w:t xml:space="preserve">to state and territory governments </w:t>
            </w:r>
            <w:r w:rsidR="007A7003" w:rsidRPr="00D34237">
              <w:rPr>
                <w:rFonts w:ascii="Arial Narrow" w:hAnsi="Arial Narrow"/>
                <w:sz w:val="20"/>
                <w:szCs w:val="20"/>
              </w:rPr>
              <w:t>(</w:t>
            </w:r>
            <w:r w:rsidR="00891554" w:rsidRPr="00D34237">
              <w:rPr>
                <w:rFonts w:ascii="Arial Narrow" w:hAnsi="Arial Narrow"/>
                <w:sz w:val="20"/>
                <w:szCs w:val="20"/>
              </w:rPr>
              <w:t>Incremental hospital costs</w:t>
            </w:r>
            <w:r w:rsidR="007A7003" w:rsidRPr="00D34237">
              <w:rPr>
                <w:rFonts w:ascii="Arial Narrow" w:hAnsi="Arial Narrow"/>
                <w:sz w:val="20"/>
                <w:szCs w:val="20"/>
              </w:rPr>
              <w:t>)</w:t>
            </w:r>
          </w:p>
        </w:tc>
        <w:tc>
          <w:tcPr>
            <w:tcW w:w="650" w:type="pct"/>
            <w:noWrap/>
          </w:tcPr>
          <w:p w14:paraId="1408603E" w14:textId="77777777" w:rsidR="00891554" w:rsidRPr="00943784" w:rsidRDefault="00891554">
            <w:pPr>
              <w:jc w:val="center"/>
              <w:rPr>
                <w:rFonts w:ascii="Arial Narrow" w:hAnsi="Arial Narrow"/>
                <w:b/>
                <w:bCs/>
                <w:sz w:val="20"/>
                <w:szCs w:val="20"/>
              </w:rPr>
            </w:pPr>
            <w:r w:rsidRPr="00943784">
              <w:rPr>
                <w:rFonts w:ascii="Arial Narrow" w:hAnsi="Arial Narrow"/>
                <w:b/>
                <w:bCs/>
                <w:sz w:val="20"/>
                <w:szCs w:val="20"/>
              </w:rPr>
              <w:t>-$11,658,113</w:t>
            </w:r>
          </w:p>
        </w:tc>
        <w:tc>
          <w:tcPr>
            <w:tcW w:w="651" w:type="pct"/>
            <w:noWrap/>
          </w:tcPr>
          <w:p w14:paraId="2060D89B" w14:textId="77777777" w:rsidR="00891554" w:rsidRPr="00943784" w:rsidRDefault="00891554">
            <w:pPr>
              <w:jc w:val="center"/>
              <w:rPr>
                <w:rFonts w:ascii="Arial Narrow" w:hAnsi="Arial Narrow"/>
                <w:b/>
                <w:bCs/>
                <w:sz w:val="20"/>
                <w:szCs w:val="20"/>
              </w:rPr>
            </w:pPr>
            <w:r w:rsidRPr="00943784">
              <w:rPr>
                <w:rFonts w:ascii="Arial Narrow" w:hAnsi="Arial Narrow"/>
                <w:b/>
                <w:bCs/>
                <w:sz w:val="20"/>
                <w:szCs w:val="20"/>
              </w:rPr>
              <w:t>-$11,702,166</w:t>
            </w:r>
          </w:p>
        </w:tc>
        <w:tc>
          <w:tcPr>
            <w:tcW w:w="651" w:type="pct"/>
            <w:noWrap/>
          </w:tcPr>
          <w:p w14:paraId="3E6280FC" w14:textId="77777777" w:rsidR="00891554" w:rsidRPr="00943784" w:rsidRDefault="00891554">
            <w:pPr>
              <w:jc w:val="center"/>
              <w:rPr>
                <w:rFonts w:ascii="Arial Narrow" w:hAnsi="Arial Narrow"/>
                <w:b/>
                <w:bCs/>
                <w:sz w:val="20"/>
                <w:szCs w:val="20"/>
              </w:rPr>
            </w:pPr>
            <w:r w:rsidRPr="00943784">
              <w:rPr>
                <w:rFonts w:ascii="Arial Narrow" w:hAnsi="Arial Narrow"/>
                <w:b/>
                <w:bCs/>
                <w:sz w:val="20"/>
                <w:szCs w:val="20"/>
              </w:rPr>
              <w:t>-$11,746,219</w:t>
            </w:r>
          </w:p>
        </w:tc>
        <w:tc>
          <w:tcPr>
            <w:tcW w:w="651" w:type="pct"/>
            <w:noWrap/>
          </w:tcPr>
          <w:p w14:paraId="63FB12BF" w14:textId="77777777" w:rsidR="00891554" w:rsidRPr="00943784" w:rsidRDefault="00891554">
            <w:pPr>
              <w:jc w:val="center"/>
              <w:rPr>
                <w:rFonts w:ascii="Arial Narrow" w:hAnsi="Arial Narrow"/>
                <w:b/>
                <w:bCs/>
                <w:sz w:val="20"/>
                <w:szCs w:val="20"/>
              </w:rPr>
            </w:pPr>
            <w:r w:rsidRPr="00943784">
              <w:rPr>
                <w:rFonts w:ascii="Arial Narrow" w:hAnsi="Arial Narrow"/>
                <w:b/>
                <w:bCs/>
                <w:sz w:val="20"/>
                <w:szCs w:val="20"/>
              </w:rPr>
              <w:t>-$11,790,273</w:t>
            </w:r>
          </w:p>
        </w:tc>
        <w:tc>
          <w:tcPr>
            <w:tcW w:w="651" w:type="pct"/>
            <w:noWrap/>
          </w:tcPr>
          <w:p w14:paraId="320B0301" w14:textId="77777777" w:rsidR="00891554" w:rsidRPr="00943784" w:rsidRDefault="00891554">
            <w:pPr>
              <w:jc w:val="center"/>
              <w:rPr>
                <w:rFonts w:ascii="Arial Narrow" w:hAnsi="Arial Narrow"/>
                <w:b/>
                <w:bCs/>
                <w:sz w:val="20"/>
                <w:szCs w:val="20"/>
              </w:rPr>
            </w:pPr>
            <w:r w:rsidRPr="00943784">
              <w:rPr>
                <w:rFonts w:ascii="Arial Narrow" w:hAnsi="Arial Narrow"/>
                <w:b/>
                <w:bCs/>
                <w:sz w:val="20"/>
                <w:szCs w:val="20"/>
              </w:rPr>
              <w:t>-$11,834,326</w:t>
            </w:r>
          </w:p>
        </w:tc>
        <w:tc>
          <w:tcPr>
            <w:tcW w:w="651" w:type="pct"/>
            <w:noWrap/>
          </w:tcPr>
          <w:p w14:paraId="6B7EFA21" w14:textId="77777777" w:rsidR="00891554" w:rsidRPr="00943784" w:rsidRDefault="00891554">
            <w:pPr>
              <w:jc w:val="center"/>
              <w:rPr>
                <w:rFonts w:ascii="Arial Narrow" w:hAnsi="Arial Narrow"/>
                <w:b/>
                <w:bCs/>
                <w:sz w:val="20"/>
                <w:szCs w:val="20"/>
              </w:rPr>
            </w:pPr>
            <w:r w:rsidRPr="00943784">
              <w:rPr>
                <w:rFonts w:ascii="Arial Narrow" w:hAnsi="Arial Narrow"/>
                <w:b/>
                <w:bCs/>
                <w:sz w:val="20"/>
                <w:szCs w:val="20"/>
              </w:rPr>
              <w:t>-$11,878,379</w:t>
            </w:r>
          </w:p>
        </w:tc>
      </w:tr>
      <w:tr w:rsidR="002251B1" w:rsidRPr="002251B1" w14:paraId="77E7B1CA" w14:textId="77777777" w:rsidTr="00F16694">
        <w:trPr>
          <w:trHeight w:val="26"/>
        </w:trPr>
        <w:tc>
          <w:tcPr>
            <w:tcW w:w="1097" w:type="pct"/>
          </w:tcPr>
          <w:p w14:paraId="633D0A5D" w14:textId="291AC907" w:rsidR="002251B1" w:rsidRPr="002251B1" w:rsidDel="00D34237" w:rsidRDefault="002251B1" w:rsidP="002251B1">
            <w:pPr>
              <w:rPr>
                <w:rFonts w:ascii="Arial Narrow" w:hAnsi="Arial Narrow"/>
                <w:b/>
                <w:bCs/>
                <w:sz w:val="20"/>
                <w:szCs w:val="20"/>
              </w:rPr>
            </w:pPr>
            <w:r>
              <w:rPr>
                <w:rFonts w:ascii="Arial Narrow" w:hAnsi="Arial Narrow"/>
                <w:b/>
                <w:bCs/>
                <w:sz w:val="20"/>
                <w:szCs w:val="20"/>
              </w:rPr>
              <w:t>Net financial impact to the MBS</w:t>
            </w:r>
          </w:p>
        </w:tc>
        <w:tc>
          <w:tcPr>
            <w:tcW w:w="650" w:type="pct"/>
            <w:noWrap/>
            <w:vAlign w:val="center"/>
          </w:tcPr>
          <w:p w14:paraId="37C37E82" w14:textId="5BB6CEF9" w:rsidR="002251B1" w:rsidRPr="002251B1" w:rsidRDefault="002251B1" w:rsidP="002251B1">
            <w:pPr>
              <w:jc w:val="center"/>
              <w:rPr>
                <w:rFonts w:ascii="Arial Narrow" w:hAnsi="Arial Narrow"/>
                <w:b/>
                <w:bCs/>
                <w:sz w:val="20"/>
                <w:szCs w:val="20"/>
              </w:rPr>
            </w:pPr>
            <w:r w:rsidRPr="00943784">
              <w:rPr>
                <w:rFonts w:ascii="Arial Narrow" w:hAnsi="Arial Narrow"/>
                <w:b/>
                <w:bCs/>
                <w:sz w:val="20"/>
                <w:szCs w:val="20"/>
              </w:rPr>
              <w:t>$6,930,299</w:t>
            </w:r>
          </w:p>
        </w:tc>
        <w:tc>
          <w:tcPr>
            <w:tcW w:w="651" w:type="pct"/>
            <w:noWrap/>
            <w:vAlign w:val="center"/>
          </w:tcPr>
          <w:p w14:paraId="61D90A34" w14:textId="0F2F0745" w:rsidR="002251B1" w:rsidRPr="002251B1" w:rsidRDefault="002251B1" w:rsidP="002251B1">
            <w:pPr>
              <w:jc w:val="center"/>
              <w:rPr>
                <w:rFonts w:ascii="Arial Narrow" w:hAnsi="Arial Narrow"/>
                <w:b/>
                <w:bCs/>
                <w:sz w:val="20"/>
                <w:szCs w:val="20"/>
              </w:rPr>
            </w:pPr>
            <w:r w:rsidRPr="00943784">
              <w:rPr>
                <w:rFonts w:ascii="Arial Narrow" w:hAnsi="Arial Narrow"/>
                <w:b/>
                <w:bCs/>
                <w:sz w:val="20"/>
                <w:szCs w:val="20"/>
              </w:rPr>
              <w:t>$6,749,756</w:t>
            </w:r>
          </w:p>
        </w:tc>
        <w:tc>
          <w:tcPr>
            <w:tcW w:w="651" w:type="pct"/>
            <w:noWrap/>
            <w:vAlign w:val="center"/>
          </w:tcPr>
          <w:p w14:paraId="5E6969F2" w14:textId="1A368942" w:rsidR="002251B1" w:rsidRPr="002251B1" w:rsidRDefault="002251B1" w:rsidP="002251B1">
            <w:pPr>
              <w:jc w:val="center"/>
              <w:rPr>
                <w:rFonts w:ascii="Arial Narrow" w:hAnsi="Arial Narrow"/>
                <w:b/>
                <w:bCs/>
                <w:sz w:val="20"/>
                <w:szCs w:val="20"/>
              </w:rPr>
            </w:pPr>
            <w:r w:rsidRPr="00943784">
              <w:rPr>
                <w:rFonts w:ascii="Arial Narrow" w:hAnsi="Arial Narrow"/>
                <w:b/>
                <w:bCs/>
                <w:sz w:val="20"/>
                <w:szCs w:val="20"/>
              </w:rPr>
              <w:t>$6,569,213</w:t>
            </w:r>
          </w:p>
        </w:tc>
        <w:tc>
          <w:tcPr>
            <w:tcW w:w="651" w:type="pct"/>
            <w:noWrap/>
            <w:vAlign w:val="center"/>
          </w:tcPr>
          <w:p w14:paraId="0D1248D3" w14:textId="393C5C61" w:rsidR="002251B1" w:rsidRPr="002251B1" w:rsidRDefault="002251B1" w:rsidP="002251B1">
            <w:pPr>
              <w:jc w:val="center"/>
              <w:rPr>
                <w:rFonts w:ascii="Arial Narrow" w:hAnsi="Arial Narrow"/>
                <w:b/>
                <w:bCs/>
                <w:sz w:val="20"/>
                <w:szCs w:val="20"/>
              </w:rPr>
            </w:pPr>
            <w:r w:rsidRPr="00943784">
              <w:rPr>
                <w:rFonts w:ascii="Arial Narrow" w:hAnsi="Arial Narrow"/>
                <w:b/>
                <w:bCs/>
                <w:sz w:val="20"/>
                <w:szCs w:val="20"/>
              </w:rPr>
              <w:t>$6,388,670</w:t>
            </w:r>
          </w:p>
        </w:tc>
        <w:tc>
          <w:tcPr>
            <w:tcW w:w="651" w:type="pct"/>
            <w:noWrap/>
            <w:vAlign w:val="center"/>
          </w:tcPr>
          <w:p w14:paraId="11808D50" w14:textId="5BB0BFF1" w:rsidR="002251B1" w:rsidRPr="002251B1" w:rsidRDefault="002251B1" w:rsidP="002251B1">
            <w:pPr>
              <w:jc w:val="center"/>
              <w:rPr>
                <w:rFonts w:ascii="Arial Narrow" w:hAnsi="Arial Narrow"/>
                <w:b/>
                <w:bCs/>
                <w:sz w:val="20"/>
                <w:szCs w:val="20"/>
              </w:rPr>
            </w:pPr>
            <w:r w:rsidRPr="00943784">
              <w:rPr>
                <w:rFonts w:ascii="Arial Narrow" w:hAnsi="Arial Narrow"/>
                <w:b/>
                <w:bCs/>
                <w:sz w:val="20"/>
                <w:szCs w:val="20"/>
              </w:rPr>
              <w:t>$6,208,128</w:t>
            </w:r>
          </w:p>
        </w:tc>
        <w:tc>
          <w:tcPr>
            <w:tcW w:w="651" w:type="pct"/>
            <w:noWrap/>
            <w:vAlign w:val="center"/>
          </w:tcPr>
          <w:p w14:paraId="0BB9F48E" w14:textId="26C05E10" w:rsidR="002251B1" w:rsidRPr="002251B1" w:rsidRDefault="002251B1" w:rsidP="002251B1">
            <w:pPr>
              <w:jc w:val="center"/>
              <w:rPr>
                <w:rFonts w:ascii="Arial Narrow" w:hAnsi="Arial Narrow"/>
                <w:b/>
                <w:bCs/>
                <w:sz w:val="20"/>
                <w:szCs w:val="20"/>
              </w:rPr>
            </w:pPr>
            <w:r w:rsidRPr="00943784">
              <w:rPr>
                <w:rFonts w:ascii="Arial Narrow" w:hAnsi="Arial Narrow"/>
                <w:b/>
                <w:bCs/>
                <w:sz w:val="20"/>
                <w:szCs w:val="20"/>
              </w:rPr>
              <w:t>$6,296,694</w:t>
            </w:r>
          </w:p>
        </w:tc>
      </w:tr>
      <w:tr w:rsidR="00585FF4" w:rsidRPr="00891554" w14:paraId="61D6FEFE" w14:textId="77777777" w:rsidTr="00F16694">
        <w:trPr>
          <w:trHeight w:val="26"/>
        </w:trPr>
        <w:tc>
          <w:tcPr>
            <w:tcW w:w="1097" w:type="pct"/>
          </w:tcPr>
          <w:p w14:paraId="2D5EC855" w14:textId="1F5554F2" w:rsidR="00585FF4" w:rsidRPr="00F12511" w:rsidRDefault="00585FF4" w:rsidP="00585FF4">
            <w:pPr>
              <w:rPr>
                <w:rFonts w:ascii="Arial Narrow" w:hAnsi="Arial Narrow"/>
                <w:b/>
                <w:bCs/>
                <w:sz w:val="20"/>
                <w:szCs w:val="20"/>
              </w:rPr>
            </w:pPr>
            <w:r>
              <w:rPr>
                <w:rFonts w:ascii="Arial Narrow" w:hAnsi="Arial Narrow"/>
                <w:b/>
                <w:bCs/>
                <w:sz w:val="20"/>
                <w:szCs w:val="20"/>
              </w:rPr>
              <w:t xml:space="preserve">Net financial impact to the </w:t>
            </w:r>
            <w:r w:rsidR="002251B1">
              <w:rPr>
                <w:rFonts w:ascii="Arial Narrow" w:hAnsi="Arial Narrow"/>
                <w:b/>
                <w:bCs/>
                <w:sz w:val="20"/>
                <w:szCs w:val="20"/>
              </w:rPr>
              <w:t>G</w:t>
            </w:r>
            <w:r>
              <w:rPr>
                <w:rFonts w:ascii="Arial Narrow" w:hAnsi="Arial Narrow"/>
                <w:b/>
                <w:bCs/>
                <w:sz w:val="20"/>
                <w:szCs w:val="20"/>
              </w:rPr>
              <w:t xml:space="preserve">overnment </w:t>
            </w:r>
            <w:r w:rsidRPr="00943784">
              <w:rPr>
                <w:rFonts w:ascii="Arial Narrow" w:hAnsi="Arial Narrow"/>
                <w:sz w:val="20"/>
                <w:szCs w:val="20"/>
              </w:rPr>
              <w:t>(MBS + State and Territory)</w:t>
            </w:r>
          </w:p>
        </w:tc>
        <w:tc>
          <w:tcPr>
            <w:tcW w:w="650" w:type="pct"/>
            <w:noWrap/>
          </w:tcPr>
          <w:p w14:paraId="283841B8" w14:textId="19791CA2" w:rsidR="00585FF4" w:rsidRPr="00943784" w:rsidRDefault="00585FF4" w:rsidP="00585FF4">
            <w:pPr>
              <w:jc w:val="center"/>
              <w:rPr>
                <w:rFonts w:ascii="Arial Narrow" w:hAnsi="Arial Narrow"/>
                <w:b/>
                <w:bCs/>
                <w:sz w:val="20"/>
                <w:szCs w:val="20"/>
              </w:rPr>
            </w:pPr>
            <w:r w:rsidRPr="00943784">
              <w:rPr>
                <w:rFonts w:ascii="Arial Narrow" w:hAnsi="Arial Narrow"/>
                <w:b/>
                <w:bCs/>
                <w:sz w:val="20"/>
                <w:szCs w:val="20"/>
              </w:rPr>
              <w:t>-$4,727,815</w:t>
            </w:r>
          </w:p>
        </w:tc>
        <w:tc>
          <w:tcPr>
            <w:tcW w:w="651" w:type="pct"/>
            <w:noWrap/>
          </w:tcPr>
          <w:p w14:paraId="113DE559" w14:textId="564C3802" w:rsidR="00585FF4" w:rsidRPr="00943784" w:rsidRDefault="00585FF4" w:rsidP="00585FF4">
            <w:pPr>
              <w:jc w:val="center"/>
              <w:rPr>
                <w:rFonts w:ascii="Arial Narrow" w:hAnsi="Arial Narrow"/>
                <w:b/>
                <w:bCs/>
                <w:sz w:val="20"/>
                <w:szCs w:val="20"/>
              </w:rPr>
            </w:pPr>
            <w:r w:rsidRPr="00943784">
              <w:rPr>
                <w:rFonts w:ascii="Arial Narrow" w:hAnsi="Arial Narrow"/>
                <w:b/>
                <w:bCs/>
                <w:sz w:val="20"/>
                <w:szCs w:val="20"/>
              </w:rPr>
              <w:t>-$4,952,411</w:t>
            </w:r>
          </w:p>
        </w:tc>
        <w:tc>
          <w:tcPr>
            <w:tcW w:w="651" w:type="pct"/>
            <w:noWrap/>
          </w:tcPr>
          <w:p w14:paraId="0E942EF9" w14:textId="450D97AB" w:rsidR="00585FF4" w:rsidRPr="00943784" w:rsidRDefault="00585FF4" w:rsidP="00585FF4">
            <w:pPr>
              <w:jc w:val="center"/>
              <w:rPr>
                <w:rFonts w:ascii="Arial Narrow" w:hAnsi="Arial Narrow"/>
                <w:b/>
                <w:bCs/>
                <w:sz w:val="20"/>
                <w:szCs w:val="20"/>
              </w:rPr>
            </w:pPr>
            <w:r w:rsidRPr="00943784">
              <w:rPr>
                <w:rFonts w:ascii="Arial Narrow" w:hAnsi="Arial Narrow"/>
                <w:b/>
                <w:bCs/>
                <w:sz w:val="20"/>
                <w:szCs w:val="20"/>
              </w:rPr>
              <w:t>-$5,177,006</w:t>
            </w:r>
          </w:p>
        </w:tc>
        <w:tc>
          <w:tcPr>
            <w:tcW w:w="651" w:type="pct"/>
            <w:noWrap/>
          </w:tcPr>
          <w:p w14:paraId="65DABD4D" w14:textId="35804706" w:rsidR="00585FF4" w:rsidRPr="00943784" w:rsidRDefault="00585FF4" w:rsidP="00585FF4">
            <w:pPr>
              <w:jc w:val="center"/>
              <w:rPr>
                <w:rFonts w:ascii="Arial Narrow" w:hAnsi="Arial Narrow"/>
                <w:b/>
                <w:bCs/>
                <w:sz w:val="20"/>
                <w:szCs w:val="20"/>
              </w:rPr>
            </w:pPr>
            <w:r w:rsidRPr="00943784">
              <w:rPr>
                <w:rFonts w:ascii="Arial Narrow" w:hAnsi="Arial Narrow"/>
                <w:b/>
                <w:bCs/>
                <w:sz w:val="20"/>
                <w:szCs w:val="20"/>
              </w:rPr>
              <w:t>-$5,401,602</w:t>
            </w:r>
          </w:p>
        </w:tc>
        <w:tc>
          <w:tcPr>
            <w:tcW w:w="651" w:type="pct"/>
            <w:noWrap/>
          </w:tcPr>
          <w:p w14:paraId="139D31AE" w14:textId="15318B19" w:rsidR="00585FF4" w:rsidRPr="00943784" w:rsidRDefault="00585FF4" w:rsidP="00585FF4">
            <w:pPr>
              <w:jc w:val="center"/>
              <w:rPr>
                <w:rFonts w:ascii="Arial Narrow" w:hAnsi="Arial Narrow"/>
                <w:b/>
                <w:bCs/>
                <w:sz w:val="20"/>
                <w:szCs w:val="20"/>
              </w:rPr>
            </w:pPr>
            <w:r w:rsidRPr="00943784">
              <w:rPr>
                <w:rFonts w:ascii="Arial Narrow" w:hAnsi="Arial Narrow"/>
                <w:b/>
                <w:bCs/>
                <w:sz w:val="20"/>
                <w:szCs w:val="20"/>
              </w:rPr>
              <w:t>-$5,626,198</w:t>
            </w:r>
          </w:p>
        </w:tc>
        <w:tc>
          <w:tcPr>
            <w:tcW w:w="651" w:type="pct"/>
            <w:noWrap/>
          </w:tcPr>
          <w:p w14:paraId="1087999C" w14:textId="28B1F05C" w:rsidR="00585FF4" w:rsidRPr="00943784" w:rsidRDefault="00585FF4" w:rsidP="00585FF4">
            <w:pPr>
              <w:jc w:val="center"/>
              <w:rPr>
                <w:rFonts w:ascii="Arial Narrow" w:hAnsi="Arial Narrow"/>
                <w:b/>
                <w:bCs/>
                <w:sz w:val="20"/>
                <w:szCs w:val="20"/>
              </w:rPr>
            </w:pPr>
            <w:r w:rsidRPr="00943784">
              <w:rPr>
                <w:rFonts w:ascii="Arial Narrow" w:hAnsi="Arial Narrow"/>
                <w:b/>
                <w:bCs/>
                <w:sz w:val="20"/>
                <w:szCs w:val="20"/>
              </w:rPr>
              <w:t>-$5,581,685</w:t>
            </w:r>
          </w:p>
        </w:tc>
      </w:tr>
    </w:tbl>
    <w:p w14:paraId="26CA5FFE" w14:textId="03BB656F" w:rsidR="009B414C" w:rsidRDefault="009B414C" w:rsidP="0080591B">
      <w:pPr>
        <w:pStyle w:val="Tablenotes0"/>
      </w:pPr>
      <w:r w:rsidRPr="000F2655">
        <w:t>Abbreviations: MBS=Medicare Benefits Scheme</w:t>
      </w:r>
      <w:r>
        <w:t xml:space="preserve"> </w:t>
      </w:r>
    </w:p>
    <w:p w14:paraId="610B7249" w14:textId="348CC0A5" w:rsidR="00F12511" w:rsidRDefault="009B414C" w:rsidP="0080591B">
      <w:pPr>
        <w:pStyle w:val="Tablenotes0"/>
      </w:pPr>
      <w:r>
        <w:t>Source: Tables 4</w:t>
      </w:r>
      <w:r w:rsidR="00F12511">
        <w:t>6</w:t>
      </w:r>
      <w:r>
        <w:t xml:space="preserve"> </w:t>
      </w:r>
      <w:r w:rsidR="00F12511">
        <w:t>to</w:t>
      </w:r>
      <w:r>
        <w:t xml:space="preserve"> 4</w:t>
      </w:r>
      <w:r w:rsidR="00F12511">
        <w:t>8</w:t>
      </w:r>
      <w:r w:rsidR="00422DBC">
        <w:t>,</w:t>
      </w:r>
      <w:r>
        <w:t xml:space="preserve"> p9</w:t>
      </w:r>
      <w:r w:rsidR="00F12511">
        <w:t>2</w:t>
      </w:r>
      <w:r>
        <w:t>-9</w:t>
      </w:r>
      <w:r w:rsidR="00F12511">
        <w:t>4</w:t>
      </w:r>
      <w:r w:rsidRPr="00B72AD2">
        <w:t xml:space="preserve"> </w:t>
      </w:r>
      <w:r>
        <w:t>of the ADAR</w:t>
      </w:r>
      <w:r w:rsidR="00F12511">
        <w:t>.</w:t>
      </w:r>
      <w:r>
        <w:t xml:space="preserve"> </w:t>
      </w:r>
    </w:p>
    <w:p w14:paraId="50310263" w14:textId="77777777" w:rsidR="007F5276" w:rsidRPr="003A74C6" w:rsidRDefault="007F5276" w:rsidP="007F5276">
      <w:pPr>
        <w:pStyle w:val="Heading3"/>
        <w:spacing w:before="300" w:after="160" w:line="240" w:lineRule="auto"/>
        <w:rPr>
          <w:i/>
          <w:iCs/>
          <w:sz w:val="21"/>
          <w:szCs w:val="21"/>
        </w:rPr>
      </w:pPr>
      <w:r>
        <w:rPr>
          <w:i/>
          <w:iCs/>
          <w:sz w:val="21"/>
          <w:szCs w:val="21"/>
        </w:rPr>
        <w:t>Out of pocket costs</w:t>
      </w:r>
    </w:p>
    <w:p w14:paraId="033565FD" w14:textId="3D08B286" w:rsidR="007F5276" w:rsidRDefault="007F5276" w:rsidP="007F5276">
      <w:pPr>
        <w:pStyle w:val="a-TEXT"/>
      </w:pPr>
      <w:r>
        <w:t xml:space="preserve">During evaluation it was determined that there is likely to be substantial out of pocket costs associated with the proposed technologies especially ultrasound for </w:t>
      </w:r>
      <w:proofErr w:type="spellStart"/>
      <w:r w:rsidRPr="003045D3">
        <w:t>UtA</w:t>
      </w:r>
      <w:proofErr w:type="spellEnd"/>
      <w:r w:rsidRPr="003045D3">
        <w:t>-Pl</w:t>
      </w:r>
      <w:r>
        <w:t xml:space="preserve"> as there already exists substantial out of pocket costs for anatomy ultrasound; however, the true out of pocket costs are unclear. Commercially available pricing presented an out-of-pocket cost of $385.85 and the Department of Health Medical cost finder estimating an expected out of pocket cost of $150. </w:t>
      </w:r>
      <w:r>
        <w:rPr>
          <w:rStyle w:val="FootnoteReference"/>
        </w:rPr>
        <w:footnoteReference w:id="32"/>
      </w:r>
      <w:r>
        <w:t xml:space="preserve"> The out-of-pocket calculations included the $12.79 (for Item 66750) and $10.46 (for item 66751). </w:t>
      </w:r>
      <w:r w:rsidRPr="00187ACB">
        <w:t>The financial implications</w:t>
      </w:r>
      <w:r>
        <w:t xml:space="preserve"> to the patients are outlined </w:t>
      </w:r>
      <w:r w:rsidR="00FE1295">
        <w:t xml:space="preserve">in Table 26 </w:t>
      </w:r>
      <w:r>
        <w:t>below. It was estimated that the out-of-pocket cost to the Australian population could be between</w:t>
      </w:r>
      <w:r w:rsidR="00FE1295">
        <w:br/>
      </w:r>
      <w:r>
        <w:t>$27.5 million and</w:t>
      </w:r>
      <w:r w:rsidR="00FE1295">
        <w:t xml:space="preserve"> </w:t>
      </w:r>
      <w:r>
        <w:t>$69 million in the first year of listing with an estimated cost of between $166 million and</w:t>
      </w:r>
      <w:r w:rsidR="00FE1295">
        <w:t xml:space="preserve"> </w:t>
      </w:r>
      <w:r>
        <w:t>$416 million over the first six years of listing.</w:t>
      </w:r>
    </w:p>
    <w:p w14:paraId="2476A7F8" w14:textId="287222C4" w:rsidR="009C77BA" w:rsidRDefault="009C77BA" w:rsidP="00943784">
      <w:pPr>
        <w:pStyle w:val="Caption"/>
      </w:pPr>
      <w:r>
        <w:lastRenderedPageBreak/>
        <w:t>Table</w:t>
      </w:r>
      <w:r w:rsidR="00E52FAC">
        <w:t>26</w:t>
      </w:r>
      <w:r>
        <w:tab/>
        <w:t>F</w:t>
      </w:r>
      <w:r w:rsidRPr="00924B21">
        <w:t xml:space="preserve">inancial </w:t>
      </w:r>
      <w:r>
        <w:t>implications</w:t>
      </w:r>
      <w:r w:rsidRPr="00924B21">
        <w:t xml:space="preserve"> of </w:t>
      </w:r>
      <w:r w:rsidRPr="00BD6649">
        <w:t xml:space="preserve">structured prenatal risk assessment </w:t>
      </w:r>
      <w:r w:rsidRPr="00D732A6">
        <w:t xml:space="preserve">for preterm preeclampsia </w:t>
      </w:r>
      <w:r w:rsidRPr="00924B21">
        <w:t xml:space="preserve">to the </w:t>
      </w:r>
      <w:r>
        <w:t>Australian population due to co-payments.</w:t>
      </w:r>
    </w:p>
    <w:tbl>
      <w:tblPr>
        <w:tblStyle w:val="TableGrid1"/>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2239"/>
        <w:gridCol w:w="1129"/>
        <w:gridCol w:w="1129"/>
        <w:gridCol w:w="1129"/>
        <w:gridCol w:w="1129"/>
        <w:gridCol w:w="1129"/>
        <w:gridCol w:w="1132"/>
      </w:tblGrid>
      <w:tr w:rsidR="007F5276" w:rsidRPr="00A6391C" w14:paraId="2F780183" w14:textId="77777777" w:rsidTr="00A32701">
        <w:trPr>
          <w:cnfStyle w:val="100000000000" w:firstRow="1" w:lastRow="0" w:firstColumn="0" w:lastColumn="0" w:oddVBand="0" w:evenVBand="0" w:oddHBand="0" w:evenHBand="0" w:firstRowFirstColumn="0" w:firstRowLastColumn="0" w:lastRowFirstColumn="0" w:lastRowLastColumn="0"/>
          <w:trHeight w:val="176"/>
          <w:tblHeader/>
        </w:trPr>
        <w:tc>
          <w:tcPr>
            <w:tcW w:w="1242" w:type="pct"/>
            <w:shd w:val="clear" w:color="auto" w:fill="auto"/>
            <w:tcMar>
              <w:top w:w="0" w:type="dxa"/>
              <w:left w:w="108" w:type="dxa"/>
              <w:bottom w:w="0" w:type="dxa"/>
              <w:right w:w="108" w:type="dxa"/>
            </w:tcMar>
            <w:hideMark/>
          </w:tcPr>
          <w:p w14:paraId="488C9D32" w14:textId="77777777" w:rsidR="007F5276" w:rsidRPr="00A6391C" w:rsidRDefault="007F5276">
            <w:pPr>
              <w:pStyle w:val="TableText"/>
              <w:keepNext/>
              <w:spacing w:line="256" w:lineRule="auto"/>
              <w:rPr>
                <w:b/>
                <w:bCs/>
                <w:color w:val="000000" w:themeColor="text1"/>
                <w:szCs w:val="20"/>
                <w:lang w:eastAsia="en-US"/>
              </w:rPr>
            </w:pPr>
            <w:r w:rsidRPr="00A6391C">
              <w:rPr>
                <w:b/>
                <w:bCs/>
                <w:color w:val="000000" w:themeColor="text1"/>
                <w:szCs w:val="20"/>
              </w:rPr>
              <w:t xml:space="preserve">Parameter </w:t>
            </w:r>
          </w:p>
        </w:tc>
        <w:tc>
          <w:tcPr>
            <w:tcW w:w="626" w:type="pct"/>
            <w:shd w:val="clear" w:color="auto" w:fill="auto"/>
            <w:tcMar>
              <w:top w:w="0" w:type="dxa"/>
              <w:left w:w="108" w:type="dxa"/>
              <w:bottom w:w="0" w:type="dxa"/>
              <w:right w:w="108" w:type="dxa"/>
            </w:tcMar>
            <w:hideMark/>
          </w:tcPr>
          <w:p w14:paraId="55775949" w14:textId="77777777" w:rsidR="007F5276" w:rsidRPr="00A6391C" w:rsidRDefault="007F5276">
            <w:pPr>
              <w:pStyle w:val="TableText"/>
              <w:keepNext/>
              <w:spacing w:line="256" w:lineRule="auto"/>
              <w:rPr>
                <w:b/>
                <w:bCs/>
                <w:color w:val="000000" w:themeColor="text1"/>
                <w:szCs w:val="20"/>
              </w:rPr>
            </w:pPr>
            <w:r w:rsidRPr="00A6391C">
              <w:rPr>
                <w:b/>
                <w:bCs/>
                <w:color w:val="000000" w:themeColor="text1"/>
                <w:szCs w:val="20"/>
              </w:rPr>
              <w:t>Year 2024</w:t>
            </w:r>
          </w:p>
        </w:tc>
        <w:tc>
          <w:tcPr>
            <w:tcW w:w="626" w:type="pct"/>
            <w:shd w:val="clear" w:color="auto" w:fill="auto"/>
            <w:tcMar>
              <w:top w:w="0" w:type="dxa"/>
              <w:left w:w="108" w:type="dxa"/>
              <w:bottom w:w="0" w:type="dxa"/>
              <w:right w:w="108" w:type="dxa"/>
            </w:tcMar>
            <w:hideMark/>
          </w:tcPr>
          <w:p w14:paraId="5EA9225B" w14:textId="77777777" w:rsidR="007F5276" w:rsidRPr="00A6391C" w:rsidRDefault="007F5276">
            <w:pPr>
              <w:pStyle w:val="TableText"/>
              <w:keepNext/>
              <w:spacing w:line="256" w:lineRule="auto"/>
              <w:rPr>
                <w:b/>
                <w:bCs/>
                <w:color w:val="000000" w:themeColor="text1"/>
                <w:szCs w:val="20"/>
              </w:rPr>
            </w:pPr>
            <w:r w:rsidRPr="00A6391C">
              <w:rPr>
                <w:b/>
                <w:bCs/>
                <w:color w:val="000000" w:themeColor="text1"/>
                <w:szCs w:val="20"/>
              </w:rPr>
              <w:t>Year 2025</w:t>
            </w:r>
          </w:p>
        </w:tc>
        <w:tc>
          <w:tcPr>
            <w:tcW w:w="626" w:type="pct"/>
            <w:shd w:val="clear" w:color="auto" w:fill="auto"/>
            <w:tcMar>
              <w:top w:w="0" w:type="dxa"/>
              <w:left w:w="108" w:type="dxa"/>
              <w:bottom w:w="0" w:type="dxa"/>
              <w:right w:w="108" w:type="dxa"/>
            </w:tcMar>
            <w:hideMark/>
          </w:tcPr>
          <w:p w14:paraId="1997D8EC" w14:textId="77777777" w:rsidR="007F5276" w:rsidRPr="00A6391C" w:rsidRDefault="007F5276">
            <w:pPr>
              <w:pStyle w:val="TableText"/>
              <w:keepNext/>
              <w:spacing w:line="256" w:lineRule="auto"/>
              <w:rPr>
                <w:b/>
                <w:bCs/>
                <w:color w:val="000000" w:themeColor="text1"/>
                <w:szCs w:val="20"/>
              </w:rPr>
            </w:pPr>
            <w:r w:rsidRPr="00A6391C">
              <w:rPr>
                <w:b/>
                <w:bCs/>
                <w:color w:val="000000" w:themeColor="text1"/>
                <w:szCs w:val="20"/>
              </w:rPr>
              <w:t>Year 2026</w:t>
            </w:r>
          </w:p>
        </w:tc>
        <w:tc>
          <w:tcPr>
            <w:tcW w:w="626" w:type="pct"/>
            <w:shd w:val="clear" w:color="auto" w:fill="auto"/>
            <w:tcMar>
              <w:top w:w="0" w:type="dxa"/>
              <w:left w:w="108" w:type="dxa"/>
              <w:bottom w:w="0" w:type="dxa"/>
              <w:right w:w="108" w:type="dxa"/>
            </w:tcMar>
            <w:hideMark/>
          </w:tcPr>
          <w:p w14:paraId="7169A3BB" w14:textId="77777777" w:rsidR="007F5276" w:rsidRPr="00A6391C" w:rsidRDefault="007F5276">
            <w:pPr>
              <w:pStyle w:val="TableText"/>
              <w:keepNext/>
              <w:spacing w:line="256" w:lineRule="auto"/>
              <w:rPr>
                <w:b/>
                <w:bCs/>
                <w:color w:val="000000" w:themeColor="text1"/>
                <w:szCs w:val="20"/>
              </w:rPr>
            </w:pPr>
            <w:r w:rsidRPr="00A6391C">
              <w:rPr>
                <w:b/>
                <w:bCs/>
                <w:color w:val="000000" w:themeColor="text1"/>
                <w:szCs w:val="20"/>
              </w:rPr>
              <w:t>Year 2027</w:t>
            </w:r>
          </w:p>
        </w:tc>
        <w:tc>
          <w:tcPr>
            <w:tcW w:w="626" w:type="pct"/>
            <w:shd w:val="clear" w:color="auto" w:fill="auto"/>
            <w:tcMar>
              <w:top w:w="0" w:type="dxa"/>
              <w:left w:w="108" w:type="dxa"/>
              <w:bottom w:w="0" w:type="dxa"/>
              <w:right w:w="108" w:type="dxa"/>
            </w:tcMar>
            <w:hideMark/>
          </w:tcPr>
          <w:p w14:paraId="7CBB4081" w14:textId="77777777" w:rsidR="007F5276" w:rsidRPr="00A6391C" w:rsidRDefault="007F5276">
            <w:pPr>
              <w:pStyle w:val="TableText"/>
              <w:keepNext/>
              <w:spacing w:line="256" w:lineRule="auto"/>
              <w:rPr>
                <w:b/>
                <w:bCs/>
                <w:color w:val="000000" w:themeColor="text1"/>
                <w:szCs w:val="20"/>
              </w:rPr>
            </w:pPr>
            <w:r w:rsidRPr="00A6391C">
              <w:rPr>
                <w:b/>
                <w:bCs/>
                <w:color w:val="000000" w:themeColor="text1"/>
                <w:szCs w:val="20"/>
              </w:rPr>
              <w:t>Year 2028</w:t>
            </w:r>
          </w:p>
        </w:tc>
        <w:tc>
          <w:tcPr>
            <w:tcW w:w="628" w:type="pct"/>
            <w:shd w:val="clear" w:color="auto" w:fill="auto"/>
            <w:tcMar>
              <w:top w:w="0" w:type="dxa"/>
              <w:left w:w="108" w:type="dxa"/>
              <w:bottom w:w="0" w:type="dxa"/>
              <w:right w:w="108" w:type="dxa"/>
            </w:tcMar>
            <w:hideMark/>
          </w:tcPr>
          <w:p w14:paraId="36A69391" w14:textId="77777777" w:rsidR="007F5276" w:rsidRPr="00A6391C" w:rsidRDefault="007F5276">
            <w:pPr>
              <w:pStyle w:val="TableText"/>
              <w:keepNext/>
              <w:spacing w:line="256" w:lineRule="auto"/>
              <w:rPr>
                <w:b/>
                <w:bCs/>
                <w:color w:val="000000" w:themeColor="text1"/>
                <w:szCs w:val="20"/>
              </w:rPr>
            </w:pPr>
            <w:r w:rsidRPr="00A6391C">
              <w:rPr>
                <w:b/>
                <w:bCs/>
                <w:color w:val="000000" w:themeColor="text1"/>
                <w:szCs w:val="20"/>
              </w:rPr>
              <w:t>Year 2029</w:t>
            </w:r>
          </w:p>
        </w:tc>
      </w:tr>
      <w:tr w:rsidR="007F5276" w:rsidRPr="00A6391C" w14:paraId="0EA32245" w14:textId="77777777" w:rsidTr="00A32701">
        <w:tc>
          <w:tcPr>
            <w:tcW w:w="1242" w:type="pct"/>
            <w:shd w:val="clear" w:color="auto" w:fill="auto"/>
            <w:tcMar>
              <w:top w:w="0" w:type="dxa"/>
              <w:left w:w="108" w:type="dxa"/>
              <w:bottom w:w="0" w:type="dxa"/>
              <w:right w:w="108" w:type="dxa"/>
            </w:tcMar>
            <w:hideMark/>
          </w:tcPr>
          <w:p w14:paraId="29DEBE48" w14:textId="77777777" w:rsidR="007F5276" w:rsidRPr="00A6391C" w:rsidRDefault="007F5276">
            <w:pPr>
              <w:pStyle w:val="TableText"/>
              <w:keepNext/>
              <w:spacing w:line="256" w:lineRule="auto"/>
              <w:rPr>
                <w:i/>
                <w:iCs/>
                <w:color w:val="000000" w:themeColor="text1"/>
                <w:szCs w:val="20"/>
              </w:rPr>
            </w:pPr>
            <w:r w:rsidRPr="00A6391C">
              <w:rPr>
                <w:i/>
                <w:iCs/>
                <w:color w:val="000000" w:themeColor="text1"/>
                <w:szCs w:val="20"/>
              </w:rPr>
              <w:t>Out of pocket costs based on the ADAR base case and a $385.85 co pay.</w:t>
            </w:r>
          </w:p>
        </w:tc>
        <w:tc>
          <w:tcPr>
            <w:tcW w:w="626" w:type="pct"/>
            <w:shd w:val="clear" w:color="auto" w:fill="auto"/>
            <w:tcMar>
              <w:top w:w="0" w:type="dxa"/>
              <w:left w:w="108" w:type="dxa"/>
              <w:bottom w:w="0" w:type="dxa"/>
              <w:right w:w="108" w:type="dxa"/>
            </w:tcMar>
            <w:vAlign w:val="bottom"/>
          </w:tcPr>
          <w:p w14:paraId="613692C4" w14:textId="77777777" w:rsidR="007F5276" w:rsidRPr="007F5276" w:rsidRDefault="007F5276">
            <w:pPr>
              <w:pStyle w:val="TableText"/>
              <w:keepNext/>
              <w:spacing w:line="256" w:lineRule="auto"/>
              <w:jc w:val="right"/>
              <w:rPr>
                <w:i/>
                <w:iCs/>
                <w:color w:val="000000" w:themeColor="text1"/>
                <w:szCs w:val="20"/>
              </w:rPr>
            </w:pPr>
            <w:r w:rsidRPr="00A32701">
              <w:rPr>
                <w:rFonts w:cs="Calibri"/>
                <w:i/>
                <w:color w:val="000000" w:themeColor="text1"/>
                <w:szCs w:val="20"/>
              </w:rPr>
              <w:t>$68,957,898</w:t>
            </w:r>
          </w:p>
        </w:tc>
        <w:tc>
          <w:tcPr>
            <w:tcW w:w="626" w:type="pct"/>
            <w:shd w:val="clear" w:color="auto" w:fill="auto"/>
            <w:tcMar>
              <w:top w:w="0" w:type="dxa"/>
              <w:left w:w="108" w:type="dxa"/>
              <w:bottom w:w="0" w:type="dxa"/>
              <w:right w:w="108" w:type="dxa"/>
            </w:tcMar>
            <w:vAlign w:val="bottom"/>
          </w:tcPr>
          <w:p w14:paraId="05A95567" w14:textId="77777777" w:rsidR="007F5276" w:rsidRPr="007F5276" w:rsidRDefault="007F5276">
            <w:pPr>
              <w:pStyle w:val="TableText"/>
              <w:keepNext/>
              <w:spacing w:line="256" w:lineRule="auto"/>
              <w:jc w:val="right"/>
              <w:rPr>
                <w:i/>
                <w:iCs/>
                <w:color w:val="000000" w:themeColor="text1"/>
                <w:szCs w:val="20"/>
              </w:rPr>
            </w:pPr>
            <w:r w:rsidRPr="00A32701">
              <w:rPr>
                <w:rFonts w:cs="Calibri"/>
                <w:i/>
                <w:color w:val="000000" w:themeColor="text1"/>
                <w:szCs w:val="20"/>
              </w:rPr>
              <w:t>$69,119,513</w:t>
            </w:r>
          </w:p>
        </w:tc>
        <w:tc>
          <w:tcPr>
            <w:tcW w:w="626" w:type="pct"/>
            <w:shd w:val="clear" w:color="auto" w:fill="auto"/>
            <w:tcMar>
              <w:top w:w="0" w:type="dxa"/>
              <w:left w:w="108" w:type="dxa"/>
              <w:bottom w:w="0" w:type="dxa"/>
              <w:right w:w="108" w:type="dxa"/>
            </w:tcMar>
            <w:vAlign w:val="bottom"/>
          </w:tcPr>
          <w:p w14:paraId="4C3E0EFC" w14:textId="77777777" w:rsidR="007F5276" w:rsidRPr="007F5276" w:rsidRDefault="007F5276">
            <w:pPr>
              <w:pStyle w:val="TableText"/>
              <w:keepNext/>
              <w:spacing w:line="256" w:lineRule="auto"/>
              <w:jc w:val="right"/>
              <w:rPr>
                <w:i/>
                <w:iCs/>
                <w:color w:val="000000" w:themeColor="text1"/>
                <w:szCs w:val="20"/>
              </w:rPr>
            </w:pPr>
            <w:r w:rsidRPr="00A32701">
              <w:rPr>
                <w:rFonts w:cs="Calibri"/>
                <w:i/>
                <w:color w:val="000000" w:themeColor="text1"/>
                <w:szCs w:val="20"/>
              </w:rPr>
              <w:t>$69,281,128</w:t>
            </w:r>
          </w:p>
        </w:tc>
        <w:tc>
          <w:tcPr>
            <w:tcW w:w="626" w:type="pct"/>
            <w:shd w:val="clear" w:color="auto" w:fill="auto"/>
            <w:tcMar>
              <w:top w:w="0" w:type="dxa"/>
              <w:left w:w="108" w:type="dxa"/>
              <w:bottom w:w="0" w:type="dxa"/>
              <w:right w:w="108" w:type="dxa"/>
            </w:tcMar>
            <w:vAlign w:val="bottom"/>
          </w:tcPr>
          <w:p w14:paraId="03D1A6BA" w14:textId="77777777" w:rsidR="007F5276" w:rsidRPr="007F5276" w:rsidRDefault="007F5276">
            <w:pPr>
              <w:pStyle w:val="TableText"/>
              <w:keepNext/>
              <w:spacing w:line="256" w:lineRule="auto"/>
              <w:jc w:val="right"/>
              <w:rPr>
                <w:i/>
                <w:iCs/>
                <w:color w:val="000000" w:themeColor="text1"/>
                <w:szCs w:val="20"/>
              </w:rPr>
            </w:pPr>
            <w:r w:rsidRPr="00A32701">
              <w:rPr>
                <w:rFonts w:cs="Calibri"/>
                <w:i/>
                <w:color w:val="000000" w:themeColor="text1"/>
                <w:szCs w:val="20"/>
              </w:rPr>
              <w:t>$69,442,743</w:t>
            </w:r>
          </w:p>
        </w:tc>
        <w:tc>
          <w:tcPr>
            <w:tcW w:w="626" w:type="pct"/>
            <w:shd w:val="clear" w:color="auto" w:fill="auto"/>
            <w:tcMar>
              <w:top w:w="0" w:type="dxa"/>
              <w:left w:w="108" w:type="dxa"/>
              <w:bottom w:w="0" w:type="dxa"/>
              <w:right w:w="108" w:type="dxa"/>
            </w:tcMar>
            <w:vAlign w:val="bottom"/>
          </w:tcPr>
          <w:p w14:paraId="1CF5E47F" w14:textId="77777777" w:rsidR="007F5276" w:rsidRPr="007F5276" w:rsidRDefault="007F5276">
            <w:pPr>
              <w:pStyle w:val="TableText"/>
              <w:keepNext/>
              <w:spacing w:line="256" w:lineRule="auto"/>
              <w:jc w:val="right"/>
              <w:rPr>
                <w:i/>
                <w:iCs/>
                <w:color w:val="000000" w:themeColor="text1"/>
                <w:szCs w:val="20"/>
              </w:rPr>
            </w:pPr>
            <w:r w:rsidRPr="00A32701">
              <w:rPr>
                <w:rFonts w:cs="Calibri"/>
                <w:i/>
                <w:color w:val="000000" w:themeColor="text1"/>
                <w:szCs w:val="20"/>
              </w:rPr>
              <w:t>$69,604,358</w:t>
            </w:r>
          </w:p>
        </w:tc>
        <w:tc>
          <w:tcPr>
            <w:tcW w:w="628" w:type="pct"/>
            <w:shd w:val="clear" w:color="auto" w:fill="auto"/>
            <w:tcMar>
              <w:top w:w="0" w:type="dxa"/>
              <w:left w:w="108" w:type="dxa"/>
              <w:bottom w:w="0" w:type="dxa"/>
              <w:right w:w="108" w:type="dxa"/>
            </w:tcMar>
            <w:vAlign w:val="bottom"/>
          </w:tcPr>
          <w:p w14:paraId="204B9516" w14:textId="77777777" w:rsidR="007F5276" w:rsidRPr="007F5276" w:rsidRDefault="007F5276">
            <w:pPr>
              <w:pStyle w:val="TableText"/>
              <w:keepNext/>
              <w:spacing w:line="256" w:lineRule="auto"/>
              <w:jc w:val="right"/>
              <w:rPr>
                <w:i/>
                <w:iCs/>
                <w:color w:val="000000" w:themeColor="text1"/>
                <w:szCs w:val="20"/>
              </w:rPr>
            </w:pPr>
            <w:r w:rsidRPr="00A32701">
              <w:rPr>
                <w:rFonts w:cs="Calibri"/>
                <w:i/>
                <w:color w:val="000000" w:themeColor="text1"/>
                <w:szCs w:val="20"/>
              </w:rPr>
              <w:t>$69,886,415</w:t>
            </w:r>
          </w:p>
        </w:tc>
      </w:tr>
      <w:tr w:rsidR="007F5276" w:rsidRPr="00A6391C" w14:paraId="6074FB0A" w14:textId="77777777" w:rsidTr="00A32701">
        <w:tc>
          <w:tcPr>
            <w:tcW w:w="1242" w:type="pct"/>
            <w:shd w:val="clear" w:color="auto" w:fill="auto"/>
            <w:tcMar>
              <w:top w:w="0" w:type="dxa"/>
              <w:left w:w="108" w:type="dxa"/>
              <w:bottom w:w="0" w:type="dxa"/>
              <w:right w:w="108" w:type="dxa"/>
            </w:tcMar>
            <w:hideMark/>
          </w:tcPr>
          <w:p w14:paraId="23666A2A" w14:textId="77777777" w:rsidR="007F5276" w:rsidRPr="00A6391C" w:rsidRDefault="007F5276">
            <w:pPr>
              <w:pStyle w:val="TableText"/>
              <w:keepNext/>
              <w:spacing w:line="256" w:lineRule="auto"/>
              <w:rPr>
                <w:color w:val="000000" w:themeColor="text1"/>
                <w:szCs w:val="20"/>
              </w:rPr>
            </w:pPr>
            <w:r w:rsidRPr="00A6391C">
              <w:rPr>
                <w:color w:val="000000" w:themeColor="text1"/>
                <w:szCs w:val="20"/>
              </w:rPr>
              <w:t>Out of pocket costs based on the ADAR base case and a $150 co pay.</w:t>
            </w:r>
          </w:p>
        </w:tc>
        <w:tc>
          <w:tcPr>
            <w:tcW w:w="626" w:type="pct"/>
            <w:shd w:val="clear" w:color="auto" w:fill="auto"/>
            <w:tcMar>
              <w:top w:w="0" w:type="dxa"/>
              <w:left w:w="108" w:type="dxa"/>
              <w:bottom w:w="0" w:type="dxa"/>
              <w:right w:w="108" w:type="dxa"/>
            </w:tcMar>
            <w:vAlign w:val="bottom"/>
          </w:tcPr>
          <w:p w14:paraId="2B039078" w14:textId="77777777" w:rsidR="007F5276" w:rsidRPr="00A32701" w:rsidRDefault="007F5276">
            <w:pPr>
              <w:pStyle w:val="TableText"/>
              <w:keepNext/>
              <w:spacing w:line="256" w:lineRule="auto"/>
              <w:jc w:val="right"/>
              <w:rPr>
                <w:i/>
                <w:color w:val="000000" w:themeColor="text1"/>
                <w:szCs w:val="20"/>
              </w:rPr>
            </w:pPr>
            <w:r w:rsidRPr="00A32701">
              <w:rPr>
                <w:rFonts w:cs="Calibri"/>
                <w:i/>
                <w:color w:val="000000" w:themeColor="text1"/>
                <w:szCs w:val="20"/>
              </w:rPr>
              <w:t>$27,571,841</w:t>
            </w:r>
          </w:p>
        </w:tc>
        <w:tc>
          <w:tcPr>
            <w:tcW w:w="626" w:type="pct"/>
            <w:shd w:val="clear" w:color="auto" w:fill="auto"/>
            <w:tcMar>
              <w:top w:w="0" w:type="dxa"/>
              <w:left w:w="108" w:type="dxa"/>
              <w:bottom w:w="0" w:type="dxa"/>
              <w:right w:w="108" w:type="dxa"/>
            </w:tcMar>
            <w:vAlign w:val="bottom"/>
          </w:tcPr>
          <w:p w14:paraId="42CA22CF" w14:textId="77777777" w:rsidR="007F5276" w:rsidRPr="00A32701" w:rsidRDefault="007F5276">
            <w:pPr>
              <w:pStyle w:val="TableText"/>
              <w:keepNext/>
              <w:spacing w:line="256" w:lineRule="auto"/>
              <w:jc w:val="right"/>
              <w:rPr>
                <w:i/>
                <w:color w:val="000000" w:themeColor="text1"/>
                <w:szCs w:val="20"/>
              </w:rPr>
            </w:pPr>
            <w:r w:rsidRPr="00A32701">
              <w:rPr>
                <w:rFonts w:cs="Calibri"/>
                <w:i/>
                <w:color w:val="000000" w:themeColor="text1"/>
                <w:szCs w:val="20"/>
              </w:rPr>
              <w:t>$27,577,069</w:t>
            </w:r>
          </w:p>
        </w:tc>
        <w:tc>
          <w:tcPr>
            <w:tcW w:w="626" w:type="pct"/>
            <w:shd w:val="clear" w:color="auto" w:fill="auto"/>
            <w:tcMar>
              <w:top w:w="0" w:type="dxa"/>
              <w:left w:w="108" w:type="dxa"/>
              <w:bottom w:w="0" w:type="dxa"/>
              <w:right w:w="108" w:type="dxa"/>
            </w:tcMar>
            <w:vAlign w:val="bottom"/>
          </w:tcPr>
          <w:p w14:paraId="5FA64985" w14:textId="77777777" w:rsidR="007F5276" w:rsidRPr="00A32701" w:rsidRDefault="007F5276">
            <w:pPr>
              <w:pStyle w:val="TableText"/>
              <w:keepNext/>
              <w:spacing w:line="256" w:lineRule="auto"/>
              <w:jc w:val="right"/>
              <w:rPr>
                <w:i/>
                <w:color w:val="000000" w:themeColor="text1"/>
                <w:szCs w:val="20"/>
              </w:rPr>
            </w:pPr>
            <w:r w:rsidRPr="00A32701">
              <w:rPr>
                <w:rFonts w:cs="Calibri"/>
                <w:i/>
                <w:color w:val="000000" w:themeColor="text1"/>
                <w:szCs w:val="20"/>
              </w:rPr>
              <w:t>$27,582,296</w:t>
            </w:r>
          </w:p>
        </w:tc>
        <w:tc>
          <w:tcPr>
            <w:tcW w:w="626" w:type="pct"/>
            <w:shd w:val="clear" w:color="auto" w:fill="auto"/>
            <w:tcMar>
              <w:top w:w="0" w:type="dxa"/>
              <w:left w:w="108" w:type="dxa"/>
              <w:bottom w:w="0" w:type="dxa"/>
              <w:right w:w="108" w:type="dxa"/>
            </w:tcMar>
            <w:vAlign w:val="bottom"/>
          </w:tcPr>
          <w:p w14:paraId="095F69DB" w14:textId="77777777" w:rsidR="007F5276" w:rsidRPr="00A32701" w:rsidRDefault="007F5276">
            <w:pPr>
              <w:pStyle w:val="TableText"/>
              <w:keepNext/>
              <w:spacing w:line="256" w:lineRule="auto"/>
              <w:jc w:val="right"/>
              <w:rPr>
                <w:i/>
                <w:color w:val="000000" w:themeColor="text1"/>
                <w:szCs w:val="20"/>
              </w:rPr>
            </w:pPr>
            <w:r w:rsidRPr="00A32701">
              <w:rPr>
                <w:rFonts w:cs="Calibri"/>
                <w:i/>
                <w:color w:val="000000" w:themeColor="text1"/>
                <w:szCs w:val="20"/>
              </w:rPr>
              <w:t>$27,587,524</w:t>
            </w:r>
          </w:p>
        </w:tc>
        <w:tc>
          <w:tcPr>
            <w:tcW w:w="626" w:type="pct"/>
            <w:shd w:val="clear" w:color="auto" w:fill="auto"/>
            <w:tcMar>
              <w:top w:w="0" w:type="dxa"/>
              <w:left w:w="108" w:type="dxa"/>
              <w:bottom w:w="0" w:type="dxa"/>
              <w:right w:w="108" w:type="dxa"/>
            </w:tcMar>
            <w:vAlign w:val="bottom"/>
          </w:tcPr>
          <w:p w14:paraId="2C6CB7AC" w14:textId="77777777" w:rsidR="007F5276" w:rsidRPr="00A32701" w:rsidRDefault="007F5276">
            <w:pPr>
              <w:pStyle w:val="TableText"/>
              <w:keepNext/>
              <w:spacing w:line="256" w:lineRule="auto"/>
              <w:jc w:val="right"/>
              <w:rPr>
                <w:i/>
                <w:color w:val="000000" w:themeColor="text1"/>
                <w:szCs w:val="20"/>
              </w:rPr>
            </w:pPr>
            <w:r w:rsidRPr="00A32701">
              <w:rPr>
                <w:rFonts w:cs="Calibri"/>
                <w:i/>
                <w:color w:val="000000" w:themeColor="text1"/>
                <w:szCs w:val="20"/>
              </w:rPr>
              <w:t>$27,592,751</w:t>
            </w:r>
          </w:p>
        </w:tc>
        <w:tc>
          <w:tcPr>
            <w:tcW w:w="628" w:type="pct"/>
            <w:shd w:val="clear" w:color="auto" w:fill="auto"/>
            <w:tcMar>
              <w:top w:w="0" w:type="dxa"/>
              <w:left w:w="108" w:type="dxa"/>
              <w:bottom w:w="0" w:type="dxa"/>
              <w:right w:w="108" w:type="dxa"/>
            </w:tcMar>
            <w:vAlign w:val="bottom"/>
          </w:tcPr>
          <w:p w14:paraId="61CF1567" w14:textId="77777777" w:rsidR="007F5276" w:rsidRPr="00A32701" w:rsidRDefault="007F5276">
            <w:pPr>
              <w:pStyle w:val="TableText"/>
              <w:keepNext/>
              <w:spacing w:line="256" w:lineRule="auto"/>
              <w:jc w:val="right"/>
              <w:rPr>
                <w:i/>
                <w:color w:val="000000" w:themeColor="text1"/>
                <w:szCs w:val="20"/>
              </w:rPr>
            </w:pPr>
            <w:r w:rsidRPr="00A32701">
              <w:rPr>
                <w:rFonts w:cs="Calibri"/>
                <w:i/>
                <w:color w:val="000000" w:themeColor="text1"/>
                <w:szCs w:val="20"/>
              </w:rPr>
              <w:t>$27,718,421</w:t>
            </w:r>
          </w:p>
        </w:tc>
      </w:tr>
    </w:tbl>
    <w:p w14:paraId="6D208516" w14:textId="28263439" w:rsidR="00F12511" w:rsidRDefault="007F5276" w:rsidP="00A6391C">
      <w:pPr>
        <w:pStyle w:val="a-TableFOOTER"/>
      </w:pPr>
      <w:r w:rsidRPr="00A32701">
        <w:t xml:space="preserve">Abbreviations: </w:t>
      </w:r>
      <w:r>
        <w:t>ADAR</w:t>
      </w:r>
      <w:r w:rsidR="00A32701">
        <w:t>=</w:t>
      </w:r>
      <w:r>
        <w:t xml:space="preserve">Applicant developed assessment report. </w:t>
      </w:r>
      <w:r w:rsidRPr="000C3C05">
        <w:rPr>
          <w:i/>
          <w:iCs/>
        </w:rPr>
        <w:br/>
        <w:t xml:space="preserve">Italics indicate </w:t>
      </w:r>
      <w:r>
        <w:rPr>
          <w:i/>
          <w:iCs/>
        </w:rPr>
        <w:t>calculated</w:t>
      </w:r>
      <w:r w:rsidRPr="000C3C05">
        <w:rPr>
          <w:i/>
          <w:iCs/>
        </w:rPr>
        <w:t xml:space="preserve"> during evaluation</w:t>
      </w:r>
      <w:r>
        <w:rPr>
          <w:i/>
          <w:iCs/>
        </w:rPr>
        <w:t xml:space="preserve"> using spreadsheet “MSAC Application 1705 and 1706 Section 4 </w:t>
      </w:r>
      <w:proofErr w:type="spellStart"/>
      <w:r>
        <w:rPr>
          <w:i/>
          <w:iCs/>
        </w:rPr>
        <w:t>Workbook.xlxs</w:t>
      </w:r>
      <w:proofErr w:type="spellEnd"/>
      <w:r>
        <w:rPr>
          <w:i/>
          <w:iCs/>
        </w:rPr>
        <w:t>”.</w:t>
      </w:r>
    </w:p>
    <w:p w14:paraId="1BBEBB11" w14:textId="4E68D404" w:rsidR="00182599" w:rsidRPr="003A74C6" w:rsidRDefault="00182599" w:rsidP="00182599">
      <w:pPr>
        <w:pStyle w:val="Heading3"/>
        <w:spacing w:before="300" w:after="160" w:line="240" w:lineRule="auto"/>
        <w:rPr>
          <w:i/>
          <w:iCs/>
          <w:sz w:val="21"/>
          <w:szCs w:val="21"/>
        </w:rPr>
      </w:pPr>
      <w:r>
        <w:rPr>
          <w:i/>
          <w:iCs/>
          <w:sz w:val="21"/>
          <w:szCs w:val="21"/>
        </w:rPr>
        <w:t>Sensitivity analys</w:t>
      </w:r>
      <w:r w:rsidR="007C7428">
        <w:rPr>
          <w:i/>
          <w:iCs/>
          <w:sz w:val="21"/>
          <w:szCs w:val="21"/>
        </w:rPr>
        <w:t>e</w:t>
      </w:r>
      <w:r>
        <w:rPr>
          <w:i/>
          <w:iCs/>
          <w:sz w:val="21"/>
          <w:szCs w:val="21"/>
        </w:rPr>
        <w:t>s</w:t>
      </w:r>
    </w:p>
    <w:p w14:paraId="7F0213FA" w14:textId="0DC550EA" w:rsidR="00FE1295" w:rsidRPr="00FE1295" w:rsidRDefault="00891554" w:rsidP="00FE1295">
      <w:pPr>
        <w:pStyle w:val="a-TEXT"/>
      </w:pPr>
      <w:r w:rsidRPr="00182599">
        <w:t>The ADAR provided sensitivity analys</w:t>
      </w:r>
      <w:r w:rsidR="007C7428">
        <w:t>e</w:t>
      </w:r>
      <w:r w:rsidRPr="00182599">
        <w:t>s of the net financial implication, with further additions from the evaluation group (</w:t>
      </w:r>
      <w:r w:rsidR="006840C6">
        <w:t xml:space="preserve">Table </w:t>
      </w:r>
      <w:r w:rsidR="00D02D1E">
        <w:t>27</w:t>
      </w:r>
      <w:r w:rsidRPr="00182599">
        <w:t xml:space="preserve">). </w:t>
      </w:r>
      <w:r w:rsidR="00C64AD4" w:rsidRPr="00182599">
        <w:t>The lower and upper bounds for the parameters and alternate value tested in sensitivity analysis presented</w:t>
      </w:r>
      <w:r w:rsidR="00EC2281" w:rsidRPr="00182599">
        <w:t xml:space="preserve"> by the ADAR were limited</w:t>
      </w:r>
      <w:r w:rsidR="00C64AD4" w:rsidRPr="00182599">
        <w:t xml:space="preserve">. Anatomy ultrasound </w:t>
      </w:r>
      <w:r w:rsidR="00F56D38">
        <w:t>testing</w:t>
      </w:r>
      <w:r w:rsidR="00C64AD4" w:rsidRPr="00182599">
        <w:t xml:space="preserve"> and parent</w:t>
      </w:r>
      <w:r w:rsidR="007C7428">
        <w:t>al</w:t>
      </w:r>
      <w:r w:rsidR="00C64AD4" w:rsidRPr="00182599">
        <w:t xml:space="preserve"> history factors are often used in the assessment for aneuploidy without the use of blood tests</w:t>
      </w:r>
      <w:r w:rsidR="00182599">
        <w:t>.</w:t>
      </w:r>
      <w:r w:rsidR="00C64AD4" w:rsidRPr="00182599">
        <w:t xml:space="preserve"> It is unlikely the number of persons taking up preeclampsia </w:t>
      </w:r>
      <w:r w:rsidR="00F56D38">
        <w:t>testing</w:t>
      </w:r>
      <w:r w:rsidR="00C64AD4" w:rsidRPr="00182599">
        <w:t xml:space="preserve"> will be less than the anatomy ultrasound numbers.</w:t>
      </w:r>
      <w:r w:rsidR="00EC2281" w:rsidRPr="00182599">
        <w:t xml:space="preserve"> Additional analysis was required to test the scenario where </w:t>
      </w:r>
      <w:r w:rsidR="00182599" w:rsidRPr="00182599">
        <w:t>most</w:t>
      </w:r>
      <w:r w:rsidR="00EC2281" w:rsidRPr="00182599">
        <w:t xml:space="preserve"> pregnant </w:t>
      </w:r>
      <w:r w:rsidR="00755542">
        <w:t>persons</w:t>
      </w:r>
      <w:r w:rsidR="00EC2281" w:rsidRPr="00182599">
        <w:t xml:space="preserve"> who undergo first trimester </w:t>
      </w:r>
      <w:r w:rsidR="00F56D38">
        <w:t>testing</w:t>
      </w:r>
      <w:r w:rsidR="00EC2281" w:rsidRPr="00182599">
        <w:t xml:space="preserve"> take up the services (</w:t>
      </w:r>
      <w:r w:rsidR="00B02978">
        <w:t>Table 26</w:t>
      </w:r>
      <w:r w:rsidR="00EC2281" w:rsidRPr="00182599">
        <w:t>).</w:t>
      </w:r>
      <w:r w:rsidR="00251356">
        <w:t xml:space="preserve"> </w:t>
      </w:r>
      <w:r w:rsidR="00CE43AD">
        <w:t>T</w:t>
      </w:r>
      <w:r w:rsidR="00EC2281" w:rsidRPr="00182599">
        <w:t xml:space="preserve">here was considerable uncertainty </w:t>
      </w:r>
      <w:r w:rsidR="009C6DD4">
        <w:t>about</w:t>
      </w:r>
      <w:r w:rsidR="00EC2281" w:rsidRPr="00182599">
        <w:t xml:space="preserve"> the clinical utility of FMF</w:t>
      </w:r>
      <w:r w:rsidR="00B13169" w:rsidRPr="00182599">
        <w:t xml:space="preserve"> compared to standard care</w:t>
      </w:r>
      <w:r w:rsidR="00C10366" w:rsidRPr="00182599">
        <w:t xml:space="preserve"> (</w:t>
      </w:r>
      <w:proofErr w:type="gramStart"/>
      <w:r w:rsidR="00C10366" w:rsidRPr="00182599">
        <w:t>i.e.</w:t>
      </w:r>
      <w:proofErr w:type="gramEnd"/>
      <w:r w:rsidR="00C10366" w:rsidRPr="00182599">
        <w:t xml:space="preserve"> no difference in term preeclampsia and </w:t>
      </w:r>
      <w:r w:rsidR="00EB483D" w:rsidRPr="00182599">
        <w:t xml:space="preserve">likely overestimate of </w:t>
      </w:r>
      <w:r w:rsidR="00D1158C" w:rsidRPr="00182599">
        <w:t>efficacy using the comparative cohorts).</w:t>
      </w:r>
      <w:r w:rsidR="00514FB6">
        <w:t xml:space="preserve"> The </w:t>
      </w:r>
      <w:r w:rsidR="007E4E18">
        <w:t>p</w:t>
      </w:r>
      <w:r w:rsidR="00A445A1">
        <w:t xml:space="preserve">reeclampsia related outcomes </w:t>
      </w:r>
      <w:r w:rsidR="00392F67">
        <w:t>we</w:t>
      </w:r>
      <w:r w:rsidR="00A445A1">
        <w:t>re based on data from an Australian clinical implementation stud</w:t>
      </w:r>
      <w:r w:rsidR="00440B77">
        <w:t>y</w:t>
      </w:r>
      <w:r w:rsidR="00A445A1">
        <w:t xml:space="preserve"> of preeclampsia </w:t>
      </w:r>
      <w:r w:rsidR="005552F0">
        <w:t xml:space="preserve">risk assessment </w:t>
      </w:r>
      <w:r w:rsidR="00A445A1">
        <w:t>(Rolnik et al., 2021)</w:t>
      </w:r>
      <w:r w:rsidR="00770C38">
        <w:t>. The</w:t>
      </w:r>
      <w:r w:rsidR="00392F67">
        <w:t xml:space="preserve"> commentary considered the</w:t>
      </w:r>
      <w:r w:rsidR="0097523C">
        <w:t xml:space="preserve"> use of this data </w:t>
      </w:r>
      <w:r w:rsidR="007E4E18">
        <w:t xml:space="preserve">was </w:t>
      </w:r>
      <w:r w:rsidR="00770C38">
        <w:t xml:space="preserve">inappropriate </w:t>
      </w:r>
      <w:r w:rsidR="0097523C">
        <w:t xml:space="preserve">as the comparison between the populations </w:t>
      </w:r>
      <w:r w:rsidR="007E4E18">
        <w:t xml:space="preserve">was </w:t>
      </w:r>
      <w:r w:rsidR="0097523C">
        <w:t xml:space="preserve">biased. The </w:t>
      </w:r>
      <w:r w:rsidR="00C35D7F">
        <w:t xml:space="preserve">use of this data </w:t>
      </w:r>
      <w:r w:rsidR="00E91CB2">
        <w:t>demonstrate</w:t>
      </w:r>
      <w:r w:rsidR="007E4E18">
        <w:t>d</w:t>
      </w:r>
      <w:r w:rsidR="00E91CB2">
        <w:t xml:space="preserve"> that the</w:t>
      </w:r>
      <w:r w:rsidR="002D07F8">
        <w:t xml:space="preserve">re </w:t>
      </w:r>
      <w:r w:rsidR="007E4E18">
        <w:t xml:space="preserve">was </w:t>
      </w:r>
      <w:r w:rsidR="002D07F8">
        <w:t xml:space="preserve">a difference in the clinical utility </w:t>
      </w:r>
      <w:r w:rsidR="00EE3469">
        <w:t xml:space="preserve">of </w:t>
      </w:r>
      <w:r w:rsidR="002D07F8">
        <w:t xml:space="preserve">preventing </w:t>
      </w:r>
      <w:r w:rsidR="00624BAE">
        <w:t>preterm</w:t>
      </w:r>
      <w:r w:rsidR="00AD7271">
        <w:t xml:space="preserve"> and term pre-eclampsia</w:t>
      </w:r>
      <w:r w:rsidR="00624BAE">
        <w:t xml:space="preserve"> (</w:t>
      </w:r>
      <w:r w:rsidR="009A3035">
        <w:t xml:space="preserve">a benefit of </w:t>
      </w:r>
      <w:r w:rsidR="00624BAE">
        <w:t xml:space="preserve">0.3% and </w:t>
      </w:r>
      <w:r w:rsidR="005C1705">
        <w:t>0.6% respectively)</w:t>
      </w:r>
      <w:r w:rsidR="00AD7271">
        <w:t xml:space="preserve">. </w:t>
      </w:r>
      <w:r w:rsidR="00E12669">
        <w:t xml:space="preserve">The </w:t>
      </w:r>
      <w:r w:rsidR="00871575">
        <w:t>clinical evidence demonstrate</w:t>
      </w:r>
      <w:r w:rsidR="007E4E18">
        <w:t>d</w:t>
      </w:r>
      <w:r w:rsidR="00871575">
        <w:t xml:space="preserve"> that there </w:t>
      </w:r>
      <w:r w:rsidR="007E4E18">
        <w:t xml:space="preserve">was </w:t>
      </w:r>
      <w:r w:rsidR="00871575">
        <w:t xml:space="preserve">no difference in the diagnostic accuracy of </w:t>
      </w:r>
      <w:r w:rsidR="00624BAE">
        <w:t xml:space="preserve">term pre-eclampsia </w:t>
      </w:r>
      <w:r w:rsidR="009A3035">
        <w:t>and the</w:t>
      </w:r>
      <w:r w:rsidR="00242A82">
        <w:t xml:space="preserve">re </w:t>
      </w:r>
      <w:r w:rsidR="007E4E18">
        <w:t xml:space="preserve">was </w:t>
      </w:r>
      <w:r w:rsidR="00242A82">
        <w:t>no robust evidence that demonstrate</w:t>
      </w:r>
      <w:r w:rsidR="007E4E18">
        <w:t>d</w:t>
      </w:r>
      <w:r w:rsidR="00242A82">
        <w:t xml:space="preserve"> that </w:t>
      </w:r>
      <w:r w:rsidR="009B70CD">
        <w:t xml:space="preserve">the use of FMF structured </w:t>
      </w:r>
      <w:r w:rsidR="006D3B70">
        <w:t xml:space="preserve">testing leads to an improvement in </w:t>
      </w:r>
      <w:r w:rsidR="0029794E">
        <w:t>pre</w:t>
      </w:r>
      <w:r w:rsidR="004A1553">
        <w:t>-term pre</w:t>
      </w:r>
      <w:r w:rsidR="0064460F">
        <w:t xml:space="preserve">-eclampsia. </w:t>
      </w:r>
      <w:r w:rsidR="00D1158C" w:rsidRPr="00182599">
        <w:t>These were also tested during evaluation.</w:t>
      </w:r>
      <w:r w:rsidR="00FE1295">
        <w:br w:type="page"/>
      </w:r>
    </w:p>
    <w:p w14:paraId="4DD858EF" w14:textId="11B59AD8" w:rsidR="009C77BA" w:rsidRDefault="009C77BA" w:rsidP="00943784">
      <w:pPr>
        <w:pStyle w:val="Caption"/>
      </w:pPr>
      <w:r>
        <w:lastRenderedPageBreak/>
        <w:t>Table</w:t>
      </w:r>
      <w:r w:rsidR="00D02D1E">
        <w:t>27</w:t>
      </w:r>
      <w:r>
        <w:tab/>
      </w:r>
      <w:r w:rsidRPr="00BD0E81">
        <w:t>Variables chosen for sensitivity analysis and justification of values.</w:t>
      </w:r>
    </w:p>
    <w:tbl>
      <w:tblPr>
        <w:tblStyle w:val="TableGrid1"/>
        <w:tblW w:w="0" w:type="auto"/>
        <w:tblCellMar>
          <w:top w:w="57" w:type="dxa"/>
          <w:left w:w="57" w:type="dxa"/>
          <w:bottom w:w="57" w:type="dxa"/>
          <w:right w:w="57" w:type="dxa"/>
        </w:tblCellMar>
        <w:tblLook w:val="04A0" w:firstRow="1" w:lastRow="0" w:firstColumn="1" w:lastColumn="0" w:noHBand="0" w:noVBand="1"/>
      </w:tblPr>
      <w:tblGrid>
        <w:gridCol w:w="1838"/>
        <w:gridCol w:w="1418"/>
        <w:gridCol w:w="1842"/>
        <w:gridCol w:w="3918"/>
      </w:tblGrid>
      <w:tr w:rsidR="00891554" w:rsidRPr="00891554" w14:paraId="4444C210" w14:textId="77777777" w:rsidTr="00970246">
        <w:trPr>
          <w:cnfStyle w:val="100000000000" w:firstRow="1" w:lastRow="0" w:firstColumn="0" w:lastColumn="0" w:oddVBand="0" w:evenVBand="0" w:oddHBand="0" w:evenHBand="0" w:firstRowFirstColumn="0" w:firstRowLastColumn="0" w:lastRowFirstColumn="0" w:lastRowLastColumn="0"/>
          <w:trHeight w:val="55"/>
        </w:trPr>
        <w:tc>
          <w:tcPr>
            <w:tcW w:w="1838" w:type="dxa"/>
            <w:shd w:val="clear" w:color="auto" w:fill="auto"/>
            <w:vAlign w:val="center"/>
            <w:hideMark/>
          </w:tcPr>
          <w:p w14:paraId="5DB6D4BA" w14:textId="77777777" w:rsidR="00891554" w:rsidRPr="00891554" w:rsidRDefault="00891554" w:rsidP="000A2CA2">
            <w:pPr>
              <w:rPr>
                <w:rFonts w:ascii="Arial Narrow" w:hAnsi="Arial Narrow" w:cs="Calibri"/>
                <w:b/>
                <w:bCs/>
                <w:sz w:val="20"/>
                <w:szCs w:val="20"/>
              </w:rPr>
            </w:pPr>
            <w:r w:rsidRPr="00891554">
              <w:rPr>
                <w:rFonts w:ascii="Arial Narrow" w:hAnsi="Arial Narrow" w:cs="Calibri"/>
                <w:b/>
                <w:bCs/>
                <w:sz w:val="20"/>
                <w:szCs w:val="20"/>
              </w:rPr>
              <w:t>Variable</w:t>
            </w:r>
          </w:p>
        </w:tc>
        <w:tc>
          <w:tcPr>
            <w:tcW w:w="1418" w:type="dxa"/>
            <w:shd w:val="clear" w:color="auto" w:fill="auto"/>
            <w:vAlign w:val="center"/>
            <w:hideMark/>
          </w:tcPr>
          <w:p w14:paraId="4A0BD35D" w14:textId="77777777" w:rsidR="00891554" w:rsidRPr="00891554" w:rsidRDefault="00891554" w:rsidP="000A2CA2">
            <w:pPr>
              <w:rPr>
                <w:rFonts w:ascii="Arial Narrow" w:hAnsi="Arial Narrow" w:cs="Calibri"/>
                <w:b/>
                <w:bCs/>
                <w:sz w:val="20"/>
                <w:szCs w:val="20"/>
              </w:rPr>
            </w:pPr>
            <w:r w:rsidRPr="00891554">
              <w:rPr>
                <w:rFonts w:ascii="Arial Narrow" w:hAnsi="Arial Narrow" w:cs="Calibri"/>
                <w:b/>
                <w:bCs/>
                <w:sz w:val="20"/>
                <w:szCs w:val="20"/>
              </w:rPr>
              <w:t>Base case</w:t>
            </w:r>
          </w:p>
        </w:tc>
        <w:tc>
          <w:tcPr>
            <w:tcW w:w="1842" w:type="dxa"/>
            <w:shd w:val="clear" w:color="auto" w:fill="auto"/>
            <w:vAlign w:val="center"/>
            <w:hideMark/>
          </w:tcPr>
          <w:p w14:paraId="42B870ED" w14:textId="77777777" w:rsidR="00891554" w:rsidRPr="00891554" w:rsidRDefault="00891554" w:rsidP="000A2CA2">
            <w:pPr>
              <w:rPr>
                <w:rFonts w:ascii="Arial Narrow" w:hAnsi="Arial Narrow" w:cs="Calibri"/>
                <w:b/>
                <w:bCs/>
                <w:sz w:val="20"/>
                <w:szCs w:val="20"/>
              </w:rPr>
            </w:pPr>
            <w:r w:rsidRPr="00891554">
              <w:rPr>
                <w:rFonts w:ascii="Arial Narrow" w:hAnsi="Arial Narrow" w:cs="Calibri"/>
                <w:b/>
                <w:bCs/>
                <w:sz w:val="20"/>
                <w:szCs w:val="20"/>
              </w:rPr>
              <w:t>Sensitivity values</w:t>
            </w:r>
          </w:p>
        </w:tc>
        <w:tc>
          <w:tcPr>
            <w:tcW w:w="3918" w:type="dxa"/>
            <w:shd w:val="clear" w:color="auto" w:fill="auto"/>
            <w:vAlign w:val="center"/>
            <w:hideMark/>
          </w:tcPr>
          <w:p w14:paraId="38D0FB48" w14:textId="77777777" w:rsidR="00891554" w:rsidRPr="00891554" w:rsidRDefault="00891554" w:rsidP="000A2CA2">
            <w:pPr>
              <w:rPr>
                <w:rFonts w:ascii="Arial Narrow" w:hAnsi="Arial Narrow" w:cs="Calibri"/>
                <w:b/>
                <w:bCs/>
                <w:sz w:val="20"/>
                <w:szCs w:val="20"/>
              </w:rPr>
            </w:pPr>
            <w:r w:rsidRPr="00891554">
              <w:rPr>
                <w:rFonts w:ascii="Arial Narrow" w:hAnsi="Arial Narrow" w:cs="Calibri"/>
                <w:b/>
                <w:bCs/>
                <w:sz w:val="20"/>
                <w:szCs w:val="20"/>
              </w:rPr>
              <w:t>Justification</w:t>
            </w:r>
          </w:p>
        </w:tc>
      </w:tr>
      <w:tr w:rsidR="00891554" w:rsidRPr="00891554" w14:paraId="28FEC0A3" w14:textId="77777777" w:rsidTr="1923DEB3">
        <w:trPr>
          <w:trHeight w:val="38"/>
        </w:trPr>
        <w:tc>
          <w:tcPr>
            <w:tcW w:w="1838" w:type="dxa"/>
            <w:vAlign w:val="center"/>
          </w:tcPr>
          <w:p w14:paraId="1CD5AF8A" w14:textId="0DC5021E" w:rsidR="00891554" w:rsidRPr="00891554" w:rsidRDefault="00891554" w:rsidP="000A2CA2">
            <w:pPr>
              <w:rPr>
                <w:rFonts w:ascii="Arial Narrow" w:hAnsi="Arial Narrow" w:cs="Calibri"/>
                <w:sz w:val="20"/>
                <w:szCs w:val="20"/>
              </w:rPr>
            </w:pPr>
            <w:r w:rsidRPr="00891554">
              <w:rPr>
                <w:rFonts w:ascii="Arial Narrow" w:hAnsi="Arial Narrow"/>
                <w:sz w:val="20"/>
                <w:szCs w:val="20"/>
              </w:rPr>
              <w:t xml:space="preserve">Growth in MBS item use driven by preeclampsia </w:t>
            </w:r>
            <w:r w:rsidR="00F56D38">
              <w:rPr>
                <w:rFonts w:ascii="Arial Narrow" w:hAnsi="Arial Narrow"/>
                <w:sz w:val="20"/>
                <w:szCs w:val="20"/>
              </w:rPr>
              <w:t>testing</w:t>
            </w:r>
          </w:p>
        </w:tc>
        <w:tc>
          <w:tcPr>
            <w:tcW w:w="1418" w:type="dxa"/>
            <w:noWrap/>
            <w:vAlign w:val="center"/>
          </w:tcPr>
          <w:p w14:paraId="4CBBFECC" w14:textId="77777777" w:rsidR="00891554" w:rsidRPr="00891554" w:rsidRDefault="00891554" w:rsidP="000A2CA2">
            <w:pPr>
              <w:rPr>
                <w:rFonts w:ascii="Arial Narrow" w:hAnsi="Arial Narrow" w:cs="Calibri"/>
                <w:sz w:val="20"/>
                <w:szCs w:val="20"/>
              </w:rPr>
            </w:pPr>
            <w:r w:rsidRPr="00891554">
              <w:rPr>
                <w:rFonts w:ascii="Arial Narrow" w:hAnsi="Arial Narrow"/>
                <w:sz w:val="20"/>
                <w:szCs w:val="20"/>
              </w:rPr>
              <w:t>10%</w:t>
            </w:r>
          </w:p>
        </w:tc>
        <w:tc>
          <w:tcPr>
            <w:tcW w:w="1842" w:type="dxa"/>
            <w:shd w:val="clear" w:color="auto" w:fill="auto"/>
            <w:noWrap/>
            <w:vAlign w:val="center"/>
          </w:tcPr>
          <w:p w14:paraId="7ACB087C" w14:textId="465EAC4F" w:rsidR="00891554" w:rsidRPr="00891554" w:rsidRDefault="00891554" w:rsidP="000A2CA2">
            <w:pPr>
              <w:rPr>
                <w:rFonts w:ascii="Arial Narrow" w:hAnsi="Arial Narrow" w:cs="Calibri"/>
                <w:sz w:val="20"/>
                <w:szCs w:val="20"/>
              </w:rPr>
            </w:pPr>
            <w:r w:rsidRPr="00891554">
              <w:rPr>
                <w:rFonts w:ascii="Arial Narrow" w:hAnsi="Arial Narrow" w:cs="Calibri"/>
                <w:sz w:val="20"/>
                <w:szCs w:val="20"/>
              </w:rPr>
              <w:t>5%</w:t>
            </w:r>
            <w:r w:rsidR="000A2CA2">
              <w:rPr>
                <w:rFonts w:ascii="Arial Narrow" w:hAnsi="Arial Narrow" w:cs="Calibri"/>
                <w:sz w:val="20"/>
                <w:szCs w:val="20"/>
              </w:rPr>
              <w:t xml:space="preserve">, </w:t>
            </w:r>
            <w:r w:rsidRPr="00891554">
              <w:rPr>
                <w:rFonts w:ascii="Arial Narrow" w:hAnsi="Arial Narrow" w:cs="Calibri"/>
                <w:sz w:val="20"/>
                <w:szCs w:val="20"/>
              </w:rPr>
              <w:t>15%</w:t>
            </w:r>
          </w:p>
        </w:tc>
        <w:tc>
          <w:tcPr>
            <w:tcW w:w="3918" w:type="dxa"/>
            <w:noWrap/>
            <w:vAlign w:val="center"/>
          </w:tcPr>
          <w:p w14:paraId="6C24303D" w14:textId="2ABE63C2" w:rsidR="00891554" w:rsidRPr="00891554" w:rsidRDefault="00891554" w:rsidP="000A2CA2">
            <w:pPr>
              <w:pStyle w:val="TableText"/>
              <w:keepNext/>
              <w:keepLines/>
              <w:rPr>
                <w:szCs w:val="20"/>
              </w:rPr>
            </w:pPr>
            <w:r w:rsidRPr="00891554">
              <w:rPr>
                <w:szCs w:val="20"/>
              </w:rPr>
              <w:t>The base case value was an assumption based on an estimate from a clinician with extensive experience in the use of structured prenatal risk assessment for preeclampsia.</w:t>
            </w:r>
          </w:p>
          <w:p w14:paraId="435B84B4" w14:textId="77777777" w:rsidR="00891554" w:rsidRPr="00891554" w:rsidRDefault="00891554" w:rsidP="000A2CA2">
            <w:pPr>
              <w:rPr>
                <w:rFonts w:ascii="Arial Narrow" w:hAnsi="Arial Narrow" w:cs="Calibri"/>
                <w:sz w:val="20"/>
                <w:szCs w:val="20"/>
              </w:rPr>
            </w:pPr>
            <w:r w:rsidRPr="00891554">
              <w:rPr>
                <w:rFonts w:ascii="Arial Narrow" w:hAnsi="Arial Narrow"/>
                <w:sz w:val="20"/>
                <w:szCs w:val="20"/>
              </w:rPr>
              <w:t xml:space="preserve">Given the uncertainty in this assumption, alternate values based on a 50% (relative) change in the base value were applied </w:t>
            </w:r>
          </w:p>
        </w:tc>
      </w:tr>
      <w:tr w:rsidR="00891554" w:rsidRPr="00891554" w14:paraId="6D7CD1DA" w14:textId="77777777" w:rsidTr="1923DEB3">
        <w:trPr>
          <w:trHeight w:val="38"/>
        </w:trPr>
        <w:tc>
          <w:tcPr>
            <w:tcW w:w="1838" w:type="dxa"/>
            <w:vAlign w:val="center"/>
            <w:hideMark/>
          </w:tcPr>
          <w:p w14:paraId="5030FF7C" w14:textId="77777777" w:rsidR="00891554" w:rsidRPr="00891554" w:rsidRDefault="00891554" w:rsidP="000A2CA2">
            <w:pPr>
              <w:rPr>
                <w:rFonts w:ascii="Arial Narrow" w:hAnsi="Arial Narrow" w:cs="Calibri"/>
                <w:sz w:val="20"/>
                <w:szCs w:val="20"/>
              </w:rPr>
            </w:pPr>
            <w:r w:rsidRPr="00891554">
              <w:rPr>
                <w:rFonts w:ascii="Arial Narrow" w:hAnsi="Arial Narrow"/>
                <w:sz w:val="20"/>
                <w:szCs w:val="20"/>
              </w:rPr>
              <w:t>MBS rebate</w:t>
            </w:r>
          </w:p>
        </w:tc>
        <w:tc>
          <w:tcPr>
            <w:tcW w:w="1418" w:type="dxa"/>
            <w:noWrap/>
            <w:vAlign w:val="center"/>
            <w:hideMark/>
          </w:tcPr>
          <w:p w14:paraId="02C622D3" w14:textId="77777777" w:rsidR="00891554" w:rsidRPr="00891554" w:rsidRDefault="00891554" w:rsidP="000A2CA2">
            <w:pPr>
              <w:rPr>
                <w:rFonts w:ascii="Arial Narrow" w:hAnsi="Arial Narrow" w:cs="Calibri"/>
                <w:sz w:val="20"/>
                <w:szCs w:val="20"/>
              </w:rPr>
            </w:pPr>
            <w:r w:rsidRPr="00891554">
              <w:rPr>
                <w:rFonts w:ascii="Arial Narrow" w:hAnsi="Arial Narrow"/>
                <w:sz w:val="20"/>
                <w:szCs w:val="20"/>
              </w:rPr>
              <w:t>85%</w:t>
            </w:r>
          </w:p>
        </w:tc>
        <w:tc>
          <w:tcPr>
            <w:tcW w:w="1842" w:type="dxa"/>
            <w:shd w:val="clear" w:color="auto" w:fill="auto"/>
            <w:noWrap/>
            <w:vAlign w:val="center"/>
            <w:hideMark/>
          </w:tcPr>
          <w:p w14:paraId="0632A5EA" w14:textId="016BD871" w:rsidR="00891554" w:rsidRPr="00891554" w:rsidRDefault="00891554" w:rsidP="000A2CA2">
            <w:pPr>
              <w:rPr>
                <w:rFonts w:ascii="Arial Narrow" w:hAnsi="Arial Narrow" w:cs="Calibri"/>
                <w:sz w:val="20"/>
                <w:szCs w:val="20"/>
              </w:rPr>
            </w:pPr>
            <w:r w:rsidRPr="6A42CA02">
              <w:rPr>
                <w:rFonts w:ascii="Arial Narrow" w:hAnsi="Arial Narrow" w:cs="Calibri"/>
                <w:sz w:val="20"/>
                <w:szCs w:val="20"/>
              </w:rPr>
              <w:t>75</w:t>
            </w:r>
            <w:r w:rsidR="000A2CA2" w:rsidRPr="6A42CA02">
              <w:rPr>
                <w:rFonts w:ascii="Arial Narrow" w:hAnsi="Arial Narrow" w:cs="Calibri"/>
                <w:sz w:val="20"/>
                <w:szCs w:val="20"/>
              </w:rPr>
              <w:t>%, 1</w:t>
            </w:r>
            <w:r w:rsidRPr="6A42CA02">
              <w:rPr>
                <w:rFonts w:ascii="Arial Narrow" w:hAnsi="Arial Narrow" w:cs="Calibri"/>
                <w:sz w:val="20"/>
                <w:szCs w:val="20"/>
              </w:rPr>
              <w:t>00%</w:t>
            </w:r>
          </w:p>
        </w:tc>
        <w:tc>
          <w:tcPr>
            <w:tcW w:w="3918" w:type="dxa"/>
            <w:noWrap/>
            <w:vAlign w:val="center"/>
            <w:hideMark/>
          </w:tcPr>
          <w:p w14:paraId="6013AA65" w14:textId="77777777" w:rsidR="00891554" w:rsidRPr="00891554" w:rsidRDefault="00891554" w:rsidP="000A2CA2">
            <w:pPr>
              <w:rPr>
                <w:rFonts w:ascii="Arial Narrow" w:hAnsi="Arial Narrow" w:cs="Calibri"/>
                <w:sz w:val="20"/>
                <w:szCs w:val="20"/>
              </w:rPr>
            </w:pPr>
            <w:r w:rsidRPr="00891554">
              <w:rPr>
                <w:rFonts w:ascii="Arial Narrow" w:hAnsi="Arial Narrow"/>
                <w:sz w:val="20"/>
                <w:szCs w:val="20"/>
              </w:rPr>
              <w:t xml:space="preserve">The lower bound and upper bound MBS rebates represent the minimum and maximum government contributions to MBS items </w:t>
            </w:r>
          </w:p>
        </w:tc>
      </w:tr>
      <w:tr w:rsidR="00891554" w:rsidRPr="00891554" w14:paraId="09BA8DA6" w14:textId="77777777" w:rsidTr="1923DEB3">
        <w:trPr>
          <w:trHeight w:val="233"/>
        </w:trPr>
        <w:tc>
          <w:tcPr>
            <w:tcW w:w="1838" w:type="dxa"/>
            <w:vAlign w:val="center"/>
            <w:hideMark/>
          </w:tcPr>
          <w:p w14:paraId="688B7BB3" w14:textId="449B79FB" w:rsidR="00891554" w:rsidRPr="00891554" w:rsidRDefault="00891554" w:rsidP="000A2CA2">
            <w:pPr>
              <w:rPr>
                <w:rFonts w:ascii="Arial Narrow" w:hAnsi="Arial Narrow" w:cs="Calibri"/>
                <w:sz w:val="20"/>
                <w:szCs w:val="20"/>
              </w:rPr>
            </w:pPr>
            <w:r w:rsidRPr="1923DEB3">
              <w:rPr>
                <w:rFonts w:ascii="Arial Narrow" w:hAnsi="Arial Narrow"/>
                <w:sz w:val="20"/>
                <w:szCs w:val="20"/>
              </w:rPr>
              <w:t xml:space="preserve">Number of women </w:t>
            </w:r>
            <w:r w:rsidR="00F56D38" w:rsidRPr="1923DEB3">
              <w:rPr>
                <w:rFonts w:ascii="Arial Narrow" w:hAnsi="Arial Narrow"/>
                <w:sz w:val="20"/>
                <w:szCs w:val="20"/>
              </w:rPr>
              <w:t>tested</w:t>
            </w:r>
            <w:r w:rsidRPr="1923DEB3">
              <w:rPr>
                <w:rFonts w:ascii="Arial Narrow" w:hAnsi="Arial Narrow"/>
                <w:sz w:val="20"/>
                <w:szCs w:val="20"/>
              </w:rPr>
              <w:t xml:space="preserve"> for preeclampsia</w:t>
            </w:r>
            <w:r w:rsidR="4A8CB1B3" w:rsidRPr="1923DEB3">
              <w:rPr>
                <w:rFonts w:ascii="Arial Narrow" w:hAnsi="Arial Narrow"/>
                <w:sz w:val="20"/>
                <w:szCs w:val="20"/>
              </w:rPr>
              <w:t xml:space="preserve"> risk</w:t>
            </w:r>
            <w:r w:rsidRPr="1923DEB3">
              <w:rPr>
                <w:rFonts w:ascii="Arial Narrow" w:hAnsi="Arial Narrow"/>
                <w:sz w:val="20"/>
                <w:szCs w:val="20"/>
              </w:rPr>
              <w:t xml:space="preserve"> used as basis for calculation of hospital admissions and costs</w:t>
            </w:r>
          </w:p>
        </w:tc>
        <w:tc>
          <w:tcPr>
            <w:tcW w:w="1418" w:type="dxa"/>
            <w:noWrap/>
            <w:vAlign w:val="center"/>
            <w:hideMark/>
          </w:tcPr>
          <w:p w14:paraId="4A156442" w14:textId="77777777" w:rsidR="00891554" w:rsidRPr="00891554" w:rsidRDefault="00891554" w:rsidP="000A2CA2">
            <w:pPr>
              <w:rPr>
                <w:rFonts w:ascii="Arial Narrow" w:hAnsi="Arial Narrow" w:cs="Calibri"/>
                <w:sz w:val="20"/>
                <w:szCs w:val="20"/>
              </w:rPr>
            </w:pPr>
            <w:r w:rsidRPr="00891554">
              <w:rPr>
                <w:rFonts w:ascii="Arial Narrow" w:hAnsi="Arial Narrow"/>
                <w:sz w:val="20"/>
                <w:szCs w:val="20"/>
              </w:rPr>
              <w:t>Based on projected number of items claimed for MBS item 55707 (</w:t>
            </w:r>
            <w:proofErr w:type="spellStart"/>
            <w:r w:rsidRPr="00891554">
              <w:rPr>
                <w:rFonts w:ascii="Arial Narrow" w:hAnsi="Arial Narrow"/>
                <w:sz w:val="20"/>
                <w:szCs w:val="20"/>
              </w:rPr>
              <w:t>UtA</w:t>
            </w:r>
            <w:proofErr w:type="spellEnd"/>
            <w:r w:rsidRPr="00891554">
              <w:rPr>
                <w:rFonts w:ascii="Arial Narrow" w:hAnsi="Arial Narrow"/>
                <w:sz w:val="20"/>
                <w:szCs w:val="20"/>
              </w:rPr>
              <w:t>-PI assessment)</w:t>
            </w:r>
          </w:p>
        </w:tc>
        <w:tc>
          <w:tcPr>
            <w:tcW w:w="1842" w:type="dxa"/>
            <w:shd w:val="clear" w:color="auto" w:fill="auto"/>
            <w:noWrap/>
            <w:vAlign w:val="center"/>
            <w:hideMark/>
          </w:tcPr>
          <w:p w14:paraId="31B416D6" w14:textId="77777777" w:rsidR="00891554" w:rsidRPr="00891554" w:rsidRDefault="00891554" w:rsidP="000A2CA2">
            <w:pPr>
              <w:rPr>
                <w:rFonts w:ascii="Arial Narrow" w:hAnsi="Arial Narrow" w:cs="Calibri"/>
                <w:sz w:val="20"/>
                <w:szCs w:val="20"/>
              </w:rPr>
            </w:pPr>
            <w:r w:rsidRPr="00891554">
              <w:rPr>
                <w:rFonts w:ascii="Arial Narrow" w:hAnsi="Arial Narrow" w:cs="Calibri"/>
                <w:sz w:val="20"/>
                <w:szCs w:val="20"/>
              </w:rPr>
              <w:t>Sum of the number of items claimed for MBS items 66750 and 66751 (</w:t>
            </w:r>
            <w:proofErr w:type="spellStart"/>
            <w:r w:rsidRPr="00891554">
              <w:rPr>
                <w:rFonts w:ascii="Arial Narrow" w:hAnsi="Arial Narrow" w:cs="Calibri"/>
                <w:sz w:val="20"/>
                <w:szCs w:val="20"/>
              </w:rPr>
              <w:t>PlGF</w:t>
            </w:r>
            <w:proofErr w:type="spellEnd"/>
            <w:r w:rsidRPr="00891554">
              <w:rPr>
                <w:rFonts w:ascii="Arial Narrow" w:hAnsi="Arial Narrow" w:cs="Calibri"/>
                <w:sz w:val="20"/>
                <w:szCs w:val="20"/>
              </w:rPr>
              <w:t xml:space="preserve"> assessment)</w:t>
            </w:r>
          </w:p>
        </w:tc>
        <w:tc>
          <w:tcPr>
            <w:tcW w:w="3918" w:type="dxa"/>
            <w:noWrap/>
            <w:vAlign w:val="center"/>
            <w:hideMark/>
          </w:tcPr>
          <w:p w14:paraId="64DCE7EE" w14:textId="03B2DCEC" w:rsidR="00891554" w:rsidRPr="00891554" w:rsidRDefault="00891554" w:rsidP="000A2CA2">
            <w:pPr>
              <w:rPr>
                <w:rFonts w:ascii="Arial Narrow" w:hAnsi="Arial Narrow" w:cs="Calibri"/>
                <w:sz w:val="20"/>
                <w:szCs w:val="20"/>
              </w:rPr>
            </w:pPr>
            <w:r w:rsidRPr="1923DEB3">
              <w:rPr>
                <w:rFonts w:ascii="Arial Narrow" w:hAnsi="Arial Narrow"/>
                <w:sz w:val="20"/>
                <w:szCs w:val="20"/>
              </w:rPr>
              <w:t xml:space="preserve">It is possible to estimate the number of women </w:t>
            </w:r>
            <w:r w:rsidR="00F56D38" w:rsidRPr="1923DEB3">
              <w:rPr>
                <w:rFonts w:ascii="Arial Narrow" w:hAnsi="Arial Narrow"/>
                <w:sz w:val="20"/>
                <w:szCs w:val="20"/>
              </w:rPr>
              <w:t>tested</w:t>
            </w:r>
            <w:r w:rsidRPr="1923DEB3">
              <w:rPr>
                <w:rFonts w:ascii="Arial Narrow" w:hAnsi="Arial Narrow"/>
                <w:sz w:val="20"/>
                <w:szCs w:val="20"/>
              </w:rPr>
              <w:t xml:space="preserve"> for preeclampsia</w:t>
            </w:r>
            <w:r w:rsidR="0D6C0B68" w:rsidRPr="1923DEB3">
              <w:rPr>
                <w:rFonts w:ascii="Arial Narrow" w:hAnsi="Arial Narrow"/>
                <w:sz w:val="20"/>
                <w:szCs w:val="20"/>
              </w:rPr>
              <w:t xml:space="preserve"> risk</w:t>
            </w:r>
            <w:r w:rsidRPr="1923DEB3">
              <w:rPr>
                <w:rFonts w:ascii="Arial Narrow" w:hAnsi="Arial Narrow"/>
                <w:sz w:val="20"/>
                <w:szCs w:val="20"/>
              </w:rPr>
              <w:t xml:space="preserve"> based on the number of ultrasound items claimed for </w:t>
            </w:r>
            <w:proofErr w:type="spellStart"/>
            <w:r w:rsidRPr="1923DEB3">
              <w:rPr>
                <w:rFonts w:ascii="Arial Narrow" w:hAnsi="Arial Narrow"/>
                <w:sz w:val="20"/>
                <w:szCs w:val="20"/>
              </w:rPr>
              <w:t>UtA</w:t>
            </w:r>
            <w:proofErr w:type="spellEnd"/>
            <w:r w:rsidRPr="1923DEB3">
              <w:rPr>
                <w:rFonts w:ascii="Arial Narrow" w:hAnsi="Arial Narrow"/>
                <w:sz w:val="20"/>
                <w:szCs w:val="20"/>
              </w:rPr>
              <w:t xml:space="preserve">-PI assessment (item 55707) or pathology items claimed for </w:t>
            </w:r>
            <w:bookmarkStart w:id="46" w:name="_Hlk141775044"/>
            <w:proofErr w:type="spellStart"/>
            <w:r w:rsidRPr="1923DEB3">
              <w:rPr>
                <w:rFonts w:ascii="Arial Narrow" w:hAnsi="Arial Narrow"/>
                <w:sz w:val="20"/>
                <w:szCs w:val="20"/>
              </w:rPr>
              <w:t>PlGF</w:t>
            </w:r>
            <w:proofErr w:type="spellEnd"/>
            <w:r w:rsidRPr="1923DEB3">
              <w:rPr>
                <w:rFonts w:ascii="Arial Narrow" w:hAnsi="Arial Narrow"/>
                <w:sz w:val="20"/>
                <w:szCs w:val="20"/>
              </w:rPr>
              <w:t xml:space="preserve"> </w:t>
            </w:r>
            <w:bookmarkEnd w:id="46"/>
            <w:r w:rsidRPr="1923DEB3">
              <w:rPr>
                <w:rFonts w:ascii="Arial Narrow" w:hAnsi="Arial Narrow"/>
                <w:sz w:val="20"/>
                <w:szCs w:val="20"/>
              </w:rPr>
              <w:t xml:space="preserve">assessment items 66750 and 66751) </w:t>
            </w:r>
          </w:p>
        </w:tc>
      </w:tr>
      <w:tr w:rsidR="00891554" w:rsidRPr="00891554" w14:paraId="05CF6467" w14:textId="77777777" w:rsidTr="1923DEB3">
        <w:trPr>
          <w:trHeight w:val="233"/>
        </w:trPr>
        <w:tc>
          <w:tcPr>
            <w:tcW w:w="1838" w:type="dxa"/>
            <w:shd w:val="clear" w:color="auto" w:fill="auto"/>
            <w:vAlign w:val="center"/>
          </w:tcPr>
          <w:p w14:paraId="54D8DA44" w14:textId="44490979" w:rsidR="00891554" w:rsidRPr="00A32701" w:rsidRDefault="00891554" w:rsidP="000A2CA2">
            <w:pPr>
              <w:rPr>
                <w:rFonts w:ascii="Arial Narrow" w:hAnsi="Arial Narrow" w:cs="Calibri"/>
                <w:i/>
                <w:sz w:val="20"/>
                <w:szCs w:val="20"/>
              </w:rPr>
            </w:pPr>
            <w:r w:rsidRPr="00A32701">
              <w:rPr>
                <w:rFonts w:ascii="Arial Narrow" w:hAnsi="Arial Narrow" w:cs="Calibri"/>
                <w:i/>
                <w:sz w:val="20"/>
                <w:szCs w:val="20"/>
              </w:rPr>
              <w:t xml:space="preserve">Proportion of pregnant </w:t>
            </w:r>
            <w:r w:rsidR="00755542">
              <w:rPr>
                <w:rFonts w:ascii="Arial Narrow" w:hAnsi="Arial Narrow" w:cs="Calibri"/>
                <w:i/>
                <w:sz w:val="20"/>
                <w:szCs w:val="20"/>
              </w:rPr>
              <w:t>persons</w:t>
            </w:r>
            <w:r w:rsidRPr="00A32701">
              <w:rPr>
                <w:rFonts w:ascii="Arial Narrow" w:hAnsi="Arial Narrow" w:cs="Calibri"/>
                <w:i/>
                <w:sz w:val="20"/>
                <w:szCs w:val="20"/>
              </w:rPr>
              <w:t xml:space="preserve"> taking up the technology</w:t>
            </w:r>
          </w:p>
        </w:tc>
        <w:tc>
          <w:tcPr>
            <w:tcW w:w="1418" w:type="dxa"/>
            <w:shd w:val="clear" w:color="auto" w:fill="auto"/>
            <w:noWrap/>
            <w:vAlign w:val="center"/>
          </w:tcPr>
          <w:p w14:paraId="1E3A4F0D" w14:textId="77777777" w:rsidR="00891554" w:rsidRPr="00A32701" w:rsidRDefault="00891554" w:rsidP="000A2CA2">
            <w:pPr>
              <w:rPr>
                <w:rFonts w:ascii="Arial Narrow" w:hAnsi="Arial Narrow" w:cs="Calibri"/>
                <w:i/>
                <w:sz w:val="20"/>
                <w:szCs w:val="20"/>
              </w:rPr>
            </w:pPr>
            <w:r w:rsidRPr="00A32701">
              <w:rPr>
                <w:rFonts w:ascii="Arial Narrow" w:hAnsi="Arial Narrow" w:cs="Calibri"/>
                <w:i/>
                <w:sz w:val="20"/>
                <w:szCs w:val="20"/>
              </w:rPr>
              <w:t>80%</w:t>
            </w:r>
          </w:p>
        </w:tc>
        <w:tc>
          <w:tcPr>
            <w:tcW w:w="1842" w:type="dxa"/>
            <w:shd w:val="clear" w:color="auto" w:fill="auto"/>
            <w:noWrap/>
            <w:vAlign w:val="center"/>
          </w:tcPr>
          <w:p w14:paraId="3DF7723A" w14:textId="77777777" w:rsidR="00891554" w:rsidRPr="00A32701" w:rsidRDefault="00891554" w:rsidP="000A2CA2">
            <w:pPr>
              <w:rPr>
                <w:rFonts w:ascii="Arial Narrow" w:hAnsi="Arial Narrow" w:cs="Calibri"/>
                <w:i/>
                <w:sz w:val="20"/>
                <w:szCs w:val="20"/>
              </w:rPr>
            </w:pPr>
            <w:r w:rsidRPr="00A32701">
              <w:rPr>
                <w:rFonts w:ascii="Arial Narrow" w:hAnsi="Arial Narrow" w:cs="Calibri"/>
                <w:i/>
                <w:sz w:val="20"/>
                <w:szCs w:val="20"/>
              </w:rPr>
              <w:t>70%, 90%</w:t>
            </w:r>
          </w:p>
        </w:tc>
        <w:tc>
          <w:tcPr>
            <w:tcW w:w="3918" w:type="dxa"/>
            <w:shd w:val="clear" w:color="auto" w:fill="auto"/>
            <w:noWrap/>
            <w:vAlign w:val="center"/>
          </w:tcPr>
          <w:p w14:paraId="58E5E001" w14:textId="77777777" w:rsidR="00891554" w:rsidRPr="00A32701" w:rsidRDefault="00891554" w:rsidP="000A2CA2">
            <w:pPr>
              <w:rPr>
                <w:rFonts w:ascii="Arial Narrow" w:hAnsi="Arial Narrow" w:cs="Calibri"/>
                <w:i/>
                <w:sz w:val="20"/>
                <w:szCs w:val="20"/>
              </w:rPr>
            </w:pPr>
            <w:r w:rsidRPr="00A32701">
              <w:rPr>
                <w:rFonts w:ascii="Arial Narrow" w:hAnsi="Arial Narrow" w:cs="Calibri"/>
                <w:i/>
                <w:sz w:val="20"/>
                <w:szCs w:val="20"/>
              </w:rPr>
              <w:t>75% appears to be a proxy for “most”, testing upper and lower limits</w:t>
            </w:r>
          </w:p>
        </w:tc>
      </w:tr>
      <w:tr w:rsidR="00E33277" w:rsidRPr="00891554" w14:paraId="7864675B" w14:textId="77777777" w:rsidTr="1923DEB3">
        <w:trPr>
          <w:trHeight w:val="26"/>
        </w:trPr>
        <w:tc>
          <w:tcPr>
            <w:tcW w:w="1838" w:type="dxa"/>
            <w:shd w:val="clear" w:color="auto" w:fill="auto"/>
            <w:vAlign w:val="center"/>
          </w:tcPr>
          <w:p w14:paraId="383327B0" w14:textId="33C27015" w:rsidR="00E33277" w:rsidRPr="00A32701" w:rsidRDefault="00071836" w:rsidP="000A2CA2">
            <w:pPr>
              <w:rPr>
                <w:rFonts w:ascii="Arial Narrow" w:hAnsi="Arial Narrow" w:cs="Calibri"/>
                <w:i/>
                <w:sz w:val="20"/>
                <w:szCs w:val="20"/>
              </w:rPr>
            </w:pPr>
            <w:r>
              <w:rPr>
                <w:rFonts w:ascii="Arial Narrow" w:hAnsi="Arial Narrow" w:cs="Calibri"/>
                <w:i/>
                <w:sz w:val="20"/>
                <w:szCs w:val="20"/>
              </w:rPr>
              <w:t>C</w:t>
            </w:r>
            <w:r w:rsidRPr="00807CF0">
              <w:rPr>
                <w:rFonts w:ascii="Arial Narrow" w:hAnsi="Arial Narrow" w:cs="Calibri"/>
                <w:i/>
                <w:sz w:val="20"/>
                <w:szCs w:val="20"/>
              </w:rPr>
              <w:t xml:space="preserve">linical </w:t>
            </w:r>
            <w:r>
              <w:rPr>
                <w:rFonts w:ascii="Arial Narrow" w:hAnsi="Arial Narrow" w:cs="Calibri"/>
                <w:i/>
                <w:sz w:val="20"/>
                <w:szCs w:val="20"/>
              </w:rPr>
              <w:t>utility: proportion of women developing t</w:t>
            </w:r>
            <w:r w:rsidR="00E33277" w:rsidRPr="00A32701">
              <w:rPr>
                <w:rFonts w:ascii="Arial Narrow" w:hAnsi="Arial Narrow" w:cs="Calibri"/>
                <w:i/>
                <w:sz w:val="20"/>
                <w:szCs w:val="20"/>
              </w:rPr>
              <w:t>erm preeclampsia</w:t>
            </w:r>
            <w:r w:rsidR="63E7DE48" w:rsidRPr="00A32701">
              <w:rPr>
                <w:rFonts w:ascii="Arial Narrow" w:hAnsi="Arial Narrow" w:cs="Calibri"/>
                <w:i/>
                <w:sz w:val="20"/>
                <w:szCs w:val="20"/>
              </w:rPr>
              <w:t xml:space="preserve"> incidence</w:t>
            </w:r>
          </w:p>
        </w:tc>
        <w:tc>
          <w:tcPr>
            <w:tcW w:w="1418" w:type="dxa"/>
            <w:shd w:val="clear" w:color="auto" w:fill="auto"/>
            <w:noWrap/>
            <w:vAlign w:val="center"/>
          </w:tcPr>
          <w:p w14:paraId="5AF127A1" w14:textId="77777777" w:rsidR="00E33277" w:rsidRPr="00A32701" w:rsidRDefault="00210AA4" w:rsidP="000A2CA2">
            <w:pPr>
              <w:rPr>
                <w:rFonts w:ascii="Arial Narrow" w:hAnsi="Arial Narrow" w:cs="Calibri"/>
                <w:i/>
                <w:sz w:val="20"/>
                <w:szCs w:val="20"/>
              </w:rPr>
            </w:pPr>
            <w:r w:rsidRPr="00A32701">
              <w:rPr>
                <w:rFonts w:ascii="Arial Narrow" w:hAnsi="Arial Narrow" w:cs="Calibri"/>
                <w:i/>
                <w:sz w:val="20"/>
                <w:szCs w:val="20"/>
              </w:rPr>
              <w:t>FMF 1.7%</w:t>
            </w:r>
          </w:p>
          <w:p w14:paraId="1D864B9A" w14:textId="64C9B5D5" w:rsidR="00E33277" w:rsidRPr="00A32701" w:rsidRDefault="00210AA4" w:rsidP="000A2CA2">
            <w:pPr>
              <w:rPr>
                <w:rFonts w:ascii="Arial Narrow" w:hAnsi="Arial Narrow" w:cs="Calibri"/>
                <w:i/>
                <w:sz w:val="20"/>
                <w:szCs w:val="20"/>
              </w:rPr>
            </w:pPr>
            <w:r w:rsidRPr="00A32701">
              <w:rPr>
                <w:rFonts w:ascii="Arial Narrow" w:hAnsi="Arial Narrow" w:cs="Calibri"/>
                <w:i/>
                <w:sz w:val="20"/>
                <w:szCs w:val="20"/>
              </w:rPr>
              <w:t>SoC 1.1%</w:t>
            </w:r>
          </w:p>
        </w:tc>
        <w:tc>
          <w:tcPr>
            <w:tcW w:w="1842" w:type="dxa"/>
            <w:shd w:val="clear" w:color="auto" w:fill="auto"/>
            <w:noWrap/>
            <w:vAlign w:val="center"/>
          </w:tcPr>
          <w:p w14:paraId="440F236B" w14:textId="07B471BB" w:rsidR="00E33277" w:rsidRPr="00A32701" w:rsidRDefault="00B560A7" w:rsidP="000A2CA2">
            <w:pPr>
              <w:rPr>
                <w:rFonts w:ascii="Arial Narrow" w:hAnsi="Arial Narrow" w:cs="Calibri"/>
                <w:i/>
                <w:sz w:val="20"/>
                <w:szCs w:val="20"/>
              </w:rPr>
            </w:pPr>
            <w:r w:rsidRPr="00A32701">
              <w:rPr>
                <w:rFonts w:ascii="Arial Narrow" w:hAnsi="Arial Narrow" w:cs="Calibri"/>
                <w:i/>
                <w:sz w:val="20"/>
                <w:szCs w:val="20"/>
              </w:rPr>
              <w:t>Both set at 1.</w:t>
            </w:r>
            <w:r w:rsidR="0096744E" w:rsidRPr="00A32701">
              <w:rPr>
                <w:rFonts w:ascii="Arial Narrow" w:hAnsi="Arial Narrow" w:cs="Calibri"/>
                <w:i/>
                <w:sz w:val="20"/>
                <w:szCs w:val="20"/>
              </w:rPr>
              <w:t>1</w:t>
            </w:r>
            <w:r w:rsidRPr="00A32701">
              <w:rPr>
                <w:rFonts w:ascii="Arial Narrow" w:hAnsi="Arial Narrow" w:cs="Calibri"/>
                <w:i/>
                <w:sz w:val="20"/>
                <w:szCs w:val="20"/>
              </w:rPr>
              <w:t>%</w:t>
            </w:r>
          </w:p>
        </w:tc>
        <w:tc>
          <w:tcPr>
            <w:tcW w:w="3918" w:type="dxa"/>
            <w:shd w:val="clear" w:color="auto" w:fill="auto"/>
            <w:noWrap/>
            <w:vAlign w:val="center"/>
          </w:tcPr>
          <w:p w14:paraId="13CE9CDC" w14:textId="7576D67B" w:rsidR="00E33277" w:rsidRPr="00A32701" w:rsidRDefault="00E33277" w:rsidP="000A2CA2">
            <w:pPr>
              <w:rPr>
                <w:rFonts w:ascii="Arial Narrow" w:hAnsi="Arial Narrow" w:cs="Calibri"/>
                <w:i/>
                <w:sz w:val="20"/>
                <w:szCs w:val="20"/>
              </w:rPr>
            </w:pPr>
            <w:r w:rsidRPr="00A32701">
              <w:rPr>
                <w:rFonts w:ascii="Arial Narrow" w:hAnsi="Arial Narrow" w:cs="Calibri"/>
                <w:i/>
                <w:sz w:val="20"/>
                <w:szCs w:val="20"/>
              </w:rPr>
              <w:t>The</w:t>
            </w:r>
            <w:r w:rsidR="00DF3333" w:rsidRPr="00A32701">
              <w:rPr>
                <w:rFonts w:ascii="Arial Narrow" w:hAnsi="Arial Narrow" w:cs="Calibri"/>
                <w:i/>
                <w:sz w:val="20"/>
                <w:szCs w:val="20"/>
              </w:rPr>
              <w:t xml:space="preserve"> comparative </w:t>
            </w:r>
            <w:r w:rsidR="00C25616" w:rsidRPr="00A32701">
              <w:rPr>
                <w:rFonts w:ascii="Arial Narrow" w:hAnsi="Arial Narrow" w:cs="Calibri"/>
                <w:i/>
                <w:sz w:val="20"/>
                <w:szCs w:val="20"/>
              </w:rPr>
              <w:t>diagnostic studies</w:t>
            </w:r>
            <w:r w:rsidR="00747345" w:rsidRPr="00A32701">
              <w:rPr>
                <w:rFonts w:ascii="Arial Narrow" w:hAnsi="Arial Narrow" w:cs="Calibri"/>
                <w:i/>
                <w:sz w:val="20"/>
                <w:szCs w:val="20"/>
              </w:rPr>
              <w:t xml:space="preserve"> demonstrated that there was no difference in the </w:t>
            </w:r>
            <w:r w:rsidR="00DF3333" w:rsidRPr="00A32701">
              <w:rPr>
                <w:rFonts w:ascii="Arial Narrow" w:hAnsi="Arial Narrow" w:cs="Calibri"/>
                <w:i/>
                <w:sz w:val="20"/>
                <w:szCs w:val="20"/>
              </w:rPr>
              <w:t xml:space="preserve">rate of term preeclampsia </w:t>
            </w:r>
            <w:r w:rsidR="000C14CB" w:rsidRPr="00A32701">
              <w:rPr>
                <w:rFonts w:ascii="Arial Narrow" w:hAnsi="Arial Narrow" w:cs="Calibri"/>
                <w:i/>
                <w:sz w:val="20"/>
                <w:szCs w:val="20"/>
              </w:rPr>
              <w:t>between SoC and FMF</w:t>
            </w:r>
          </w:p>
        </w:tc>
      </w:tr>
      <w:tr w:rsidR="00E33277" w:rsidRPr="00891554" w14:paraId="0C99D1E9" w14:textId="77777777" w:rsidTr="1923DEB3">
        <w:trPr>
          <w:trHeight w:val="306"/>
        </w:trPr>
        <w:tc>
          <w:tcPr>
            <w:tcW w:w="1838" w:type="dxa"/>
            <w:shd w:val="clear" w:color="auto" w:fill="auto"/>
            <w:vAlign w:val="center"/>
          </w:tcPr>
          <w:p w14:paraId="165DC6BE" w14:textId="7DB55C2A" w:rsidR="00E33277" w:rsidRPr="00A32701" w:rsidRDefault="00071836" w:rsidP="000A2CA2">
            <w:pPr>
              <w:rPr>
                <w:rFonts w:ascii="Arial Narrow" w:hAnsi="Arial Narrow" w:cs="Calibri"/>
                <w:i/>
                <w:sz w:val="20"/>
                <w:szCs w:val="20"/>
              </w:rPr>
            </w:pPr>
            <w:r>
              <w:rPr>
                <w:rFonts w:ascii="Arial Narrow" w:hAnsi="Arial Narrow" w:cs="Calibri"/>
                <w:i/>
                <w:sz w:val="20"/>
                <w:szCs w:val="20"/>
              </w:rPr>
              <w:t>C</w:t>
            </w:r>
            <w:r w:rsidRPr="00807CF0">
              <w:rPr>
                <w:rFonts w:ascii="Arial Narrow" w:hAnsi="Arial Narrow" w:cs="Calibri"/>
                <w:i/>
                <w:sz w:val="20"/>
                <w:szCs w:val="20"/>
              </w:rPr>
              <w:t>linical utility</w:t>
            </w:r>
            <w:r>
              <w:rPr>
                <w:rFonts w:ascii="Arial Narrow" w:hAnsi="Arial Narrow" w:cs="Calibri"/>
                <w:i/>
                <w:sz w:val="20"/>
                <w:szCs w:val="20"/>
              </w:rPr>
              <w:t>: proportion of women developing</w:t>
            </w:r>
            <w:r w:rsidRPr="00A32701">
              <w:rPr>
                <w:rFonts w:ascii="Arial Narrow" w:hAnsi="Arial Narrow" w:cs="Calibri"/>
                <w:i/>
                <w:sz w:val="20"/>
                <w:szCs w:val="20"/>
              </w:rPr>
              <w:t xml:space="preserve"> </w:t>
            </w:r>
            <w:r w:rsidR="34B82262" w:rsidRPr="00A32701">
              <w:rPr>
                <w:rFonts w:ascii="Arial Narrow" w:hAnsi="Arial Narrow" w:cs="Calibri"/>
                <w:i/>
                <w:sz w:val="20"/>
                <w:szCs w:val="20"/>
              </w:rPr>
              <w:t>preterm preeclampsia</w:t>
            </w:r>
          </w:p>
        </w:tc>
        <w:tc>
          <w:tcPr>
            <w:tcW w:w="1418" w:type="dxa"/>
            <w:shd w:val="clear" w:color="auto" w:fill="auto"/>
            <w:noWrap/>
            <w:vAlign w:val="center"/>
          </w:tcPr>
          <w:p w14:paraId="5666742F" w14:textId="308C1F5D" w:rsidR="0096744E" w:rsidRPr="00A32701" w:rsidRDefault="0096744E" w:rsidP="000A2CA2">
            <w:pPr>
              <w:rPr>
                <w:rFonts w:ascii="Arial Narrow" w:hAnsi="Arial Narrow" w:cs="Calibri"/>
                <w:i/>
                <w:sz w:val="20"/>
                <w:szCs w:val="20"/>
              </w:rPr>
            </w:pPr>
            <w:r w:rsidRPr="00A32701">
              <w:rPr>
                <w:rFonts w:ascii="Arial Narrow" w:hAnsi="Arial Narrow" w:cs="Calibri"/>
                <w:i/>
                <w:sz w:val="20"/>
                <w:szCs w:val="20"/>
              </w:rPr>
              <w:t>FMF 0.4%</w:t>
            </w:r>
          </w:p>
          <w:p w14:paraId="269E1542" w14:textId="5A4229F2" w:rsidR="00E33277" w:rsidRPr="00A32701" w:rsidRDefault="0096744E" w:rsidP="000A2CA2">
            <w:pPr>
              <w:rPr>
                <w:rFonts w:ascii="Arial Narrow" w:hAnsi="Arial Narrow" w:cs="Calibri"/>
                <w:i/>
                <w:sz w:val="20"/>
                <w:szCs w:val="20"/>
              </w:rPr>
            </w:pPr>
            <w:r w:rsidRPr="00A32701">
              <w:rPr>
                <w:rFonts w:ascii="Arial Narrow" w:hAnsi="Arial Narrow" w:cs="Calibri"/>
                <w:i/>
                <w:sz w:val="20"/>
                <w:szCs w:val="20"/>
              </w:rPr>
              <w:t>SoC 0.7%</w:t>
            </w:r>
          </w:p>
        </w:tc>
        <w:tc>
          <w:tcPr>
            <w:tcW w:w="1842" w:type="dxa"/>
            <w:shd w:val="clear" w:color="auto" w:fill="auto"/>
            <w:noWrap/>
            <w:vAlign w:val="center"/>
          </w:tcPr>
          <w:p w14:paraId="19A23B3A" w14:textId="163A9C4D" w:rsidR="00E33277" w:rsidRPr="00A32701" w:rsidRDefault="0096744E" w:rsidP="000A2CA2">
            <w:pPr>
              <w:rPr>
                <w:rFonts w:ascii="Arial Narrow" w:hAnsi="Arial Narrow" w:cs="Calibri"/>
                <w:i/>
                <w:sz w:val="20"/>
                <w:szCs w:val="20"/>
              </w:rPr>
            </w:pPr>
            <w:r w:rsidRPr="00A32701">
              <w:rPr>
                <w:rFonts w:ascii="Arial Narrow" w:hAnsi="Arial Narrow" w:cs="Calibri"/>
                <w:i/>
                <w:sz w:val="20"/>
                <w:szCs w:val="20"/>
              </w:rPr>
              <w:t xml:space="preserve">SoC set at </w:t>
            </w:r>
            <w:r w:rsidR="00DA1AC9" w:rsidRPr="00A32701">
              <w:rPr>
                <w:rFonts w:ascii="Arial Narrow" w:hAnsi="Arial Narrow" w:cs="Calibri"/>
                <w:i/>
                <w:sz w:val="20"/>
                <w:szCs w:val="20"/>
              </w:rPr>
              <w:t>0.6</w:t>
            </w:r>
            <w:r w:rsidRPr="00A32701">
              <w:rPr>
                <w:rFonts w:ascii="Arial Narrow" w:hAnsi="Arial Narrow" w:cs="Calibri"/>
                <w:i/>
                <w:sz w:val="20"/>
                <w:szCs w:val="20"/>
              </w:rPr>
              <w:t>%</w:t>
            </w:r>
          </w:p>
        </w:tc>
        <w:tc>
          <w:tcPr>
            <w:tcW w:w="3918" w:type="dxa"/>
            <w:shd w:val="clear" w:color="auto" w:fill="auto"/>
            <w:noWrap/>
            <w:vAlign w:val="center"/>
          </w:tcPr>
          <w:p w14:paraId="7FC6E706" w14:textId="54440C4C" w:rsidR="00E33277" w:rsidRPr="00A32701" w:rsidRDefault="0096744E" w:rsidP="000A2CA2">
            <w:pPr>
              <w:rPr>
                <w:rFonts w:ascii="Arial Narrow" w:hAnsi="Arial Narrow" w:cs="Calibri"/>
                <w:i/>
                <w:sz w:val="20"/>
                <w:szCs w:val="20"/>
              </w:rPr>
            </w:pPr>
            <w:r w:rsidRPr="00A32701">
              <w:rPr>
                <w:rFonts w:ascii="Arial Narrow" w:hAnsi="Arial Narrow" w:cs="Calibri"/>
                <w:i/>
                <w:sz w:val="20"/>
                <w:szCs w:val="20"/>
              </w:rPr>
              <w:t xml:space="preserve">The comparative diagnostic studies demonstrated that there was no difference in the rate of </w:t>
            </w:r>
            <w:r w:rsidR="00B32698">
              <w:rPr>
                <w:rFonts w:ascii="Arial Narrow" w:hAnsi="Arial Narrow" w:cs="Calibri"/>
                <w:i/>
                <w:iCs/>
                <w:sz w:val="20"/>
                <w:szCs w:val="20"/>
              </w:rPr>
              <w:t>pre</w:t>
            </w:r>
            <w:r w:rsidRPr="00A32701">
              <w:rPr>
                <w:rFonts w:ascii="Arial Narrow" w:hAnsi="Arial Narrow" w:cs="Calibri"/>
                <w:i/>
                <w:sz w:val="20"/>
                <w:szCs w:val="20"/>
              </w:rPr>
              <w:t>term preeclampsia between SoC and FMF</w:t>
            </w:r>
          </w:p>
        </w:tc>
      </w:tr>
    </w:tbl>
    <w:p w14:paraId="546B672D" w14:textId="209C0AEE" w:rsidR="006C0B0C" w:rsidRDefault="006C0B0C" w:rsidP="00F12511">
      <w:pPr>
        <w:pStyle w:val="a-TableFOOTER"/>
        <w:spacing w:after="0"/>
      </w:pPr>
      <w:r>
        <w:t xml:space="preserve">Abbreviations: </w:t>
      </w:r>
      <w:r w:rsidR="00390332">
        <w:t>FMF=</w:t>
      </w:r>
      <w:proofErr w:type="spellStart"/>
      <w:r w:rsidR="00390332">
        <w:t>Fetal</w:t>
      </w:r>
      <w:proofErr w:type="spellEnd"/>
      <w:r w:rsidR="00390332">
        <w:t xml:space="preserve"> Medicine Foundation risk calculator; </w:t>
      </w:r>
      <w:r w:rsidR="00D512E1" w:rsidRPr="00D512E1">
        <w:t>MBS</w:t>
      </w:r>
      <w:r w:rsidR="00806EB1">
        <w:t>=</w:t>
      </w:r>
      <w:r w:rsidR="00DA2C56">
        <w:t>Medicare Benefits Schedule</w:t>
      </w:r>
      <w:r w:rsidR="00390332">
        <w:t xml:space="preserve">; </w:t>
      </w:r>
      <w:proofErr w:type="spellStart"/>
      <w:r w:rsidR="00117307">
        <w:t>PlGF</w:t>
      </w:r>
      <w:proofErr w:type="spellEnd"/>
      <w:r w:rsidR="00117307">
        <w:t>=</w:t>
      </w:r>
      <w:r w:rsidR="00117307" w:rsidRPr="00117307">
        <w:t>Placental Growth Factor</w:t>
      </w:r>
      <w:r w:rsidR="00117307">
        <w:t>;</w:t>
      </w:r>
      <w:r w:rsidR="00117307" w:rsidRPr="00117307">
        <w:t xml:space="preserve"> </w:t>
      </w:r>
      <w:r w:rsidR="00390332">
        <w:t>SoC=Standard of care</w:t>
      </w:r>
      <w:r w:rsidR="00117307">
        <w:t xml:space="preserve">; </w:t>
      </w:r>
      <w:proofErr w:type="spellStart"/>
      <w:r w:rsidR="00117307" w:rsidRPr="00117307">
        <w:t>UtA</w:t>
      </w:r>
      <w:proofErr w:type="spellEnd"/>
      <w:r w:rsidR="00117307" w:rsidRPr="00117307">
        <w:t>-PI</w:t>
      </w:r>
      <w:r w:rsidR="00117307">
        <w:t>=U</w:t>
      </w:r>
      <w:r w:rsidR="00117307" w:rsidRPr="00117307">
        <w:t xml:space="preserve">terine artery </w:t>
      </w:r>
      <w:proofErr w:type="spellStart"/>
      <w:r w:rsidR="00117307" w:rsidRPr="00117307">
        <w:t>pulsatility</w:t>
      </w:r>
      <w:proofErr w:type="spellEnd"/>
      <w:r w:rsidR="00117307" w:rsidRPr="00117307">
        <w:t xml:space="preserve"> index</w:t>
      </w:r>
    </w:p>
    <w:p w14:paraId="15F8FA21" w14:textId="7900A1C6" w:rsidR="007A3F98" w:rsidRDefault="00F12511" w:rsidP="00D54F73">
      <w:pPr>
        <w:pStyle w:val="a-TableFOOTER"/>
        <w:spacing w:after="0"/>
      </w:pPr>
      <w:r w:rsidRPr="00D54F73">
        <w:rPr>
          <w:snapToGrid/>
        </w:rPr>
        <w:t>Source: Table</w:t>
      </w:r>
      <w:r w:rsidR="00006E1C" w:rsidRPr="00D54F73">
        <w:rPr>
          <w:snapToGrid/>
        </w:rPr>
        <w:t xml:space="preserve"> 49</w:t>
      </w:r>
      <w:r w:rsidRPr="00D54F73">
        <w:rPr>
          <w:snapToGrid/>
        </w:rPr>
        <w:t>; p 9</w:t>
      </w:r>
      <w:r w:rsidR="0045601E" w:rsidRPr="00D54F73">
        <w:rPr>
          <w:snapToGrid/>
        </w:rPr>
        <w:t>5</w:t>
      </w:r>
      <w:r w:rsidRPr="00D54F73">
        <w:rPr>
          <w:snapToGrid/>
        </w:rPr>
        <w:t xml:space="preserve"> of the ADAR and </w:t>
      </w:r>
      <w:r w:rsidR="0045601E" w:rsidRPr="00D54F73">
        <w:rPr>
          <w:snapToGrid/>
        </w:rPr>
        <w:t>italics indicate compiled during evaluation</w:t>
      </w:r>
      <w:r w:rsidR="0045601E">
        <w:t>.</w:t>
      </w:r>
      <w:r w:rsidRPr="00F12511">
        <w:t xml:space="preserve"> </w:t>
      </w:r>
    </w:p>
    <w:p w14:paraId="509FC43B" w14:textId="45BFD42E" w:rsidR="009C77BA" w:rsidRDefault="009C77BA" w:rsidP="009C77BA">
      <w:pPr>
        <w:pStyle w:val="a-TEXT"/>
      </w:pPr>
      <w:bookmarkStart w:id="47" w:name="_Ref144306683"/>
      <w:r>
        <w:t xml:space="preserve">The commentary considered there was considerable uncertainty in the financial estimates presented by the ADAR and tested this during evaluation. The ADAR’s base case estimated that structured prenatal risk assessment would save </w:t>
      </w:r>
      <w:r w:rsidR="00174362">
        <w:t>the G</w:t>
      </w:r>
      <w:r>
        <w:t xml:space="preserve">overnment (MBS and State and Territory </w:t>
      </w:r>
      <w:r w:rsidR="00B004ED">
        <w:t>health budgets</w:t>
      </w:r>
      <w:r>
        <w:t xml:space="preserve">) an estimated $5 million per year. </w:t>
      </w:r>
    </w:p>
    <w:p w14:paraId="3E8D6AB8" w14:textId="5243EE3B" w:rsidR="00FE1295" w:rsidRPr="00FE1295" w:rsidRDefault="009C77BA" w:rsidP="00FE1295">
      <w:pPr>
        <w:pStyle w:val="a-TEXT"/>
      </w:pPr>
      <w:r>
        <w:t>However, during evaluation it was considered this estimate was not robust. Sensitivity analysis demonstrated that listing the modified MBS items could lead to a net cost to the combined MBS, State, and territory health budgets (</w:t>
      </w:r>
      <w:r w:rsidR="00D02D1E">
        <w:t>Table 28</w:t>
      </w:r>
      <w:r>
        <w:t xml:space="preserve">). This was based on varying the number of pregnant </w:t>
      </w:r>
      <w:r w:rsidR="00755542">
        <w:t>persons</w:t>
      </w:r>
      <w:r>
        <w:t xml:space="preserve"> tested and the proportion of patients that developed term and preterm preeclampsia, the ADAR’s values for which were not well supported by the evidence. </w:t>
      </w:r>
      <w:bookmarkStart w:id="48" w:name="_Ref144726004"/>
      <w:bookmarkEnd w:id="47"/>
      <w:r w:rsidR="00FE1295">
        <w:br w:type="page"/>
      </w:r>
    </w:p>
    <w:p w14:paraId="393EBE80" w14:textId="65BDD47B" w:rsidR="009C77BA" w:rsidRDefault="009C77BA" w:rsidP="00943784">
      <w:pPr>
        <w:pStyle w:val="Caption"/>
      </w:pPr>
      <w:r>
        <w:lastRenderedPageBreak/>
        <w:t>Table</w:t>
      </w:r>
      <w:r w:rsidR="00D02D1E">
        <w:t>28</w:t>
      </w:r>
      <w:bookmarkEnd w:id="48"/>
      <w:r>
        <w:tab/>
      </w:r>
      <w:r w:rsidRPr="00BB2BFF">
        <w:t xml:space="preserve">Results of sensitivity analysis for net budget impact </w:t>
      </w:r>
      <w:r w:rsidRPr="00370794">
        <w:t xml:space="preserve">of structured prenatal risk assessment for preeclampsia to the </w:t>
      </w:r>
      <w:r w:rsidR="00B004ED">
        <w:t>G</w:t>
      </w:r>
      <w:r w:rsidR="00B17BEE">
        <w:t>overnment</w:t>
      </w:r>
      <w:r>
        <w:t xml:space="preserve"> (MBS</w:t>
      </w:r>
      <w:r w:rsidR="00B17BEE">
        <w:t xml:space="preserve"> </w:t>
      </w:r>
      <w:r w:rsidR="002251B1">
        <w:t>+</w:t>
      </w:r>
      <w:r>
        <w:t xml:space="preserve"> </w:t>
      </w:r>
      <w:r w:rsidR="002251B1">
        <w:t>s</w:t>
      </w:r>
      <w:r>
        <w:t>tate and ter</w:t>
      </w:r>
      <w:r w:rsidR="00B17BEE">
        <w:t>r</w:t>
      </w:r>
      <w:r>
        <w:t>it</w:t>
      </w:r>
      <w:r w:rsidR="00B17BEE">
        <w:t>o</w:t>
      </w:r>
      <w:r>
        <w:t>ry health budgets</w:t>
      </w:r>
      <w:r w:rsidR="00B17BEE">
        <w:t>)</w:t>
      </w:r>
      <w:r w:rsidRPr="00370794">
        <w:t>.</w:t>
      </w:r>
    </w:p>
    <w:tbl>
      <w:tblPr>
        <w:tblStyle w:val="TableGrid1"/>
        <w:tblW w:w="5000" w:type="pct"/>
        <w:tblCellMar>
          <w:top w:w="57" w:type="dxa"/>
          <w:left w:w="57" w:type="dxa"/>
          <w:bottom w:w="57" w:type="dxa"/>
          <w:right w:w="57" w:type="dxa"/>
        </w:tblCellMar>
        <w:tblLook w:val="04A0" w:firstRow="1" w:lastRow="0" w:firstColumn="1" w:lastColumn="0" w:noHBand="0" w:noVBand="1"/>
      </w:tblPr>
      <w:tblGrid>
        <w:gridCol w:w="1154"/>
        <w:gridCol w:w="1311"/>
        <w:gridCol w:w="1311"/>
        <w:gridCol w:w="1311"/>
        <w:gridCol w:w="1311"/>
        <w:gridCol w:w="1311"/>
        <w:gridCol w:w="1307"/>
      </w:tblGrid>
      <w:tr w:rsidR="00891554" w:rsidRPr="00891554" w14:paraId="22966EE7" w14:textId="77777777" w:rsidTr="00970246">
        <w:trPr>
          <w:cnfStyle w:val="100000000000" w:firstRow="1" w:lastRow="0" w:firstColumn="0" w:lastColumn="0" w:oddVBand="0" w:evenVBand="0" w:oddHBand="0" w:evenHBand="0" w:firstRowFirstColumn="0" w:firstRowLastColumn="0" w:lastRowFirstColumn="0" w:lastRowLastColumn="0"/>
          <w:trHeight w:val="200"/>
        </w:trPr>
        <w:tc>
          <w:tcPr>
            <w:tcW w:w="640" w:type="pct"/>
            <w:shd w:val="clear" w:color="auto" w:fill="auto"/>
            <w:vAlign w:val="center"/>
            <w:hideMark/>
          </w:tcPr>
          <w:p w14:paraId="15C8809F" w14:textId="2CCFE981"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Summary</w:t>
            </w:r>
          </w:p>
        </w:tc>
        <w:tc>
          <w:tcPr>
            <w:tcW w:w="727" w:type="pct"/>
            <w:shd w:val="clear" w:color="auto" w:fill="auto"/>
            <w:vAlign w:val="center"/>
            <w:hideMark/>
          </w:tcPr>
          <w:p w14:paraId="47FB025E" w14:textId="66805E7B"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202</w:t>
            </w:r>
            <w:r w:rsidR="00701527">
              <w:rPr>
                <w:rFonts w:ascii="Arial Narrow" w:hAnsi="Arial Narrow" w:cs="Calibri"/>
                <w:b/>
                <w:bCs/>
                <w:sz w:val="20"/>
                <w:szCs w:val="20"/>
              </w:rPr>
              <w:t>4</w:t>
            </w:r>
          </w:p>
          <w:p w14:paraId="0396A93E" w14:textId="77777777"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(Year 1)</w:t>
            </w:r>
          </w:p>
        </w:tc>
        <w:tc>
          <w:tcPr>
            <w:tcW w:w="727" w:type="pct"/>
            <w:shd w:val="clear" w:color="auto" w:fill="auto"/>
            <w:vAlign w:val="center"/>
            <w:hideMark/>
          </w:tcPr>
          <w:p w14:paraId="45E761E0" w14:textId="56893573"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202</w:t>
            </w:r>
            <w:r w:rsidR="00701527">
              <w:rPr>
                <w:rFonts w:ascii="Arial Narrow" w:hAnsi="Arial Narrow" w:cs="Calibri"/>
                <w:b/>
                <w:bCs/>
                <w:sz w:val="20"/>
                <w:szCs w:val="20"/>
              </w:rPr>
              <w:t>5</w:t>
            </w:r>
          </w:p>
          <w:p w14:paraId="58A2AA9C" w14:textId="77777777"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(Year 2)</w:t>
            </w:r>
          </w:p>
        </w:tc>
        <w:tc>
          <w:tcPr>
            <w:tcW w:w="727" w:type="pct"/>
            <w:shd w:val="clear" w:color="auto" w:fill="auto"/>
            <w:vAlign w:val="center"/>
            <w:hideMark/>
          </w:tcPr>
          <w:p w14:paraId="73781383" w14:textId="0A9BF0C2"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202</w:t>
            </w:r>
            <w:r w:rsidR="00701527">
              <w:rPr>
                <w:rFonts w:ascii="Arial Narrow" w:hAnsi="Arial Narrow" w:cs="Calibri"/>
                <w:b/>
                <w:bCs/>
                <w:sz w:val="20"/>
                <w:szCs w:val="20"/>
              </w:rPr>
              <w:t>6</w:t>
            </w:r>
          </w:p>
          <w:p w14:paraId="6091778F" w14:textId="77777777"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(Year 3)</w:t>
            </w:r>
          </w:p>
        </w:tc>
        <w:tc>
          <w:tcPr>
            <w:tcW w:w="727" w:type="pct"/>
            <w:shd w:val="clear" w:color="auto" w:fill="auto"/>
            <w:vAlign w:val="center"/>
            <w:hideMark/>
          </w:tcPr>
          <w:p w14:paraId="47A4833D" w14:textId="13AF95A6"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202</w:t>
            </w:r>
            <w:r w:rsidR="00701527">
              <w:rPr>
                <w:rFonts w:ascii="Arial Narrow" w:hAnsi="Arial Narrow" w:cs="Calibri"/>
                <w:b/>
                <w:bCs/>
                <w:sz w:val="20"/>
                <w:szCs w:val="20"/>
              </w:rPr>
              <w:t>7</w:t>
            </w:r>
          </w:p>
          <w:p w14:paraId="0D4B9048" w14:textId="77777777"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(Year 4)</w:t>
            </w:r>
          </w:p>
        </w:tc>
        <w:tc>
          <w:tcPr>
            <w:tcW w:w="727" w:type="pct"/>
            <w:shd w:val="clear" w:color="auto" w:fill="auto"/>
            <w:vAlign w:val="center"/>
            <w:hideMark/>
          </w:tcPr>
          <w:p w14:paraId="26EADAD2" w14:textId="108D8B99"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202</w:t>
            </w:r>
            <w:r w:rsidR="00701527">
              <w:rPr>
                <w:rFonts w:ascii="Arial Narrow" w:hAnsi="Arial Narrow" w:cs="Calibri"/>
                <w:b/>
                <w:bCs/>
                <w:sz w:val="20"/>
                <w:szCs w:val="20"/>
              </w:rPr>
              <w:t>8</w:t>
            </w:r>
          </w:p>
          <w:p w14:paraId="1AD97AC4" w14:textId="77777777"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(Year 5)</w:t>
            </w:r>
          </w:p>
        </w:tc>
        <w:tc>
          <w:tcPr>
            <w:tcW w:w="725" w:type="pct"/>
            <w:shd w:val="clear" w:color="auto" w:fill="auto"/>
            <w:vAlign w:val="center"/>
            <w:hideMark/>
          </w:tcPr>
          <w:p w14:paraId="244767D4" w14:textId="5551AB82"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202</w:t>
            </w:r>
            <w:r w:rsidR="00701527">
              <w:rPr>
                <w:rFonts w:ascii="Arial Narrow" w:hAnsi="Arial Narrow" w:cs="Calibri"/>
                <w:b/>
                <w:bCs/>
                <w:sz w:val="20"/>
                <w:szCs w:val="20"/>
              </w:rPr>
              <w:t>9</w:t>
            </w:r>
          </w:p>
          <w:p w14:paraId="6266F373" w14:textId="77777777" w:rsidR="00891554" w:rsidRPr="00891554" w:rsidRDefault="00891554">
            <w:pPr>
              <w:rPr>
                <w:rFonts w:ascii="Arial Narrow" w:hAnsi="Arial Narrow" w:cs="Calibri"/>
                <w:b/>
                <w:bCs/>
                <w:sz w:val="20"/>
                <w:szCs w:val="20"/>
              </w:rPr>
            </w:pPr>
            <w:r w:rsidRPr="00891554">
              <w:rPr>
                <w:rFonts w:ascii="Arial Narrow" w:hAnsi="Arial Narrow" w:cs="Calibri"/>
                <w:b/>
                <w:bCs/>
                <w:sz w:val="20"/>
                <w:szCs w:val="20"/>
              </w:rPr>
              <w:t>(Year 6)</w:t>
            </w:r>
          </w:p>
        </w:tc>
      </w:tr>
      <w:tr w:rsidR="00891554" w:rsidRPr="00891554" w14:paraId="12DAE150" w14:textId="77777777" w:rsidTr="00970246">
        <w:trPr>
          <w:trHeight w:val="19"/>
        </w:trPr>
        <w:tc>
          <w:tcPr>
            <w:tcW w:w="640" w:type="pct"/>
            <w:shd w:val="clear" w:color="auto" w:fill="auto"/>
            <w:vAlign w:val="center"/>
          </w:tcPr>
          <w:p w14:paraId="00294B85" w14:textId="77777777" w:rsidR="00891554" w:rsidRPr="00891554" w:rsidRDefault="00891554">
            <w:pPr>
              <w:rPr>
                <w:rFonts w:ascii="Arial Narrow" w:hAnsi="Arial Narrow" w:cs="Calibri"/>
                <w:sz w:val="20"/>
                <w:szCs w:val="20"/>
              </w:rPr>
            </w:pPr>
            <w:r w:rsidRPr="00891554">
              <w:rPr>
                <w:rFonts w:ascii="Arial Narrow" w:hAnsi="Arial Narrow" w:cs="Calibri"/>
                <w:sz w:val="20"/>
                <w:szCs w:val="20"/>
              </w:rPr>
              <w:t>Base case</w:t>
            </w:r>
          </w:p>
        </w:tc>
        <w:tc>
          <w:tcPr>
            <w:tcW w:w="727" w:type="pct"/>
            <w:tcBorders>
              <w:top w:val="single" w:sz="4" w:space="0" w:color="auto"/>
              <w:bottom w:val="single" w:sz="4" w:space="0" w:color="auto"/>
            </w:tcBorders>
            <w:shd w:val="clear" w:color="auto" w:fill="auto"/>
            <w:noWrap/>
            <w:vAlign w:val="center"/>
          </w:tcPr>
          <w:p w14:paraId="4B42D840"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-$4,727,815</w:t>
            </w:r>
          </w:p>
        </w:tc>
        <w:tc>
          <w:tcPr>
            <w:tcW w:w="727" w:type="pct"/>
            <w:tcBorders>
              <w:top w:val="single" w:sz="4" w:space="0" w:color="auto"/>
              <w:bottom w:val="single" w:sz="4" w:space="0" w:color="auto"/>
            </w:tcBorders>
            <w:shd w:val="clear" w:color="auto" w:fill="auto"/>
            <w:noWrap/>
            <w:vAlign w:val="center"/>
          </w:tcPr>
          <w:p w14:paraId="5E6EEC29"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-$4,952,411</w:t>
            </w:r>
          </w:p>
        </w:tc>
        <w:tc>
          <w:tcPr>
            <w:tcW w:w="727" w:type="pct"/>
            <w:tcBorders>
              <w:top w:val="single" w:sz="4" w:space="0" w:color="auto"/>
              <w:bottom w:val="single" w:sz="4" w:space="0" w:color="auto"/>
            </w:tcBorders>
            <w:shd w:val="clear" w:color="auto" w:fill="auto"/>
            <w:noWrap/>
            <w:vAlign w:val="center"/>
          </w:tcPr>
          <w:p w14:paraId="6066D21C"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-$5,177,006</w:t>
            </w:r>
          </w:p>
        </w:tc>
        <w:tc>
          <w:tcPr>
            <w:tcW w:w="727" w:type="pct"/>
            <w:tcBorders>
              <w:top w:val="single" w:sz="4" w:space="0" w:color="auto"/>
              <w:bottom w:val="single" w:sz="4" w:space="0" w:color="auto"/>
            </w:tcBorders>
            <w:shd w:val="clear" w:color="auto" w:fill="auto"/>
            <w:noWrap/>
            <w:vAlign w:val="center"/>
          </w:tcPr>
          <w:p w14:paraId="6397679E"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-$5,401,602</w:t>
            </w:r>
          </w:p>
        </w:tc>
        <w:tc>
          <w:tcPr>
            <w:tcW w:w="727" w:type="pct"/>
            <w:tcBorders>
              <w:top w:val="single" w:sz="4" w:space="0" w:color="auto"/>
              <w:bottom w:val="single" w:sz="4" w:space="0" w:color="auto"/>
            </w:tcBorders>
            <w:shd w:val="clear" w:color="auto" w:fill="auto"/>
            <w:noWrap/>
            <w:vAlign w:val="center"/>
          </w:tcPr>
          <w:p w14:paraId="426F045F"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-$5,626,198</w:t>
            </w:r>
          </w:p>
        </w:tc>
        <w:tc>
          <w:tcPr>
            <w:tcW w:w="725" w:type="pct"/>
            <w:tcBorders>
              <w:top w:val="single" w:sz="4" w:space="0" w:color="auto"/>
              <w:bottom w:val="single" w:sz="4" w:space="0" w:color="auto"/>
            </w:tcBorders>
            <w:shd w:val="clear" w:color="auto" w:fill="auto"/>
            <w:noWrap/>
            <w:vAlign w:val="center"/>
          </w:tcPr>
          <w:p w14:paraId="38078089"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-$5,581,685</w:t>
            </w:r>
          </w:p>
        </w:tc>
      </w:tr>
      <w:tr w:rsidR="00891554" w:rsidRPr="00891554" w14:paraId="628A34CB" w14:textId="77777777" w:rsidTr="00970246">
        <w:trPr>
          <w:trHeight w:val="120"/>
        </w:trPr>
        <w:tc>
          <w:tcPr>
            <w:tcW w:w="5000" w:type="pct"/>
            <w:gridSpan w:val="7"/>
            <w:shd w:val="clear" w:color="auto" w:fill="auto"/>
            <w:vAlign w:val="center"/>
          </w:tcPr>
          <w:p w14:paraId="72026FDC" w14:textId="7EB65848" w:rsidR="00891554" w:rsidRPr="00891554" w:rsidRDefault="00987A0C">
            <w:pPr>
              <w:rPr>
                <w:rFonts w:ascii="Arial Narrow" w:hAnsi="Arial Narrow" w:cs="Calibri"/>
                <w:sz w:val="20"/>
                <w:szCs w:val="20"/>
              </w:rPr>
            </w:pPr>
            <w:r>
              <w:rPr>
                <w:rFonts w:ascii="Arial Narrow" w:hAnsi="Arial Narrow" w:cs="Calibri"/>
                <w:sz w:val="20"/>
                <w:szCs w:val="20"/>
              </w:rPr>
              <w:t>G</w:t>
            </w:r>
            <w:r w:rsidR="00891554" w:rsidRPr="00891554">
              <w:rPr>
                <w:rFonts w:ascii="Arial Narrow" w:hAnsi="Arial Narrow" w:cs="Calibri"/>
                <w:sz w:val="20"/>
                <w:szCs w:val="20"/>
              </w:rPr>
              <w:t xml:space="preserve">rowth in MBS item use driven by preeclampsia </w:t>
            </w:r>
            <w:r w:rsidR="00F56D38">
              <w:rPr>
                <w:rFonts w:ascii="Arial Narrow" w:hAnsi="Arial Narrow" w:cs="Calibri"/>
                <w:sz w:val="20"/>
                <w:szCs w:val="20"/>
              </w:rPr>
              <w:t>testing</w:t>
            </w:r>
            <w:r w:rsidR="00891554" w:rsidRPr="00891554">
              <w:rPr>
                <w:rFonts w:ascii="Arial Narrow" w:hAnsi="Arial Narrow" w:cs="Calibri"/>
                <w:sz w:val="20"/>
                <w:szCs w:val="20"/>
              </w:rPr>
              <w:t xml:space="preserve"> </w:t>
            </w:r>
            <w:r>
              <w:rPr>
                <w:rFonts w:ascii="Arial Narrow" w:hAnsi="Arial Narrow" w:cs="Calibri"/>
                <w:sz w:val="20"/>
                <w:szCs w:val="20"/>
              </w:rPr>
              <w:t>(</w:t>
            </w:r>
            <w:r w:rsidR="00891554" w:rsidRPr="00891554">
              <w:rPr>
                <w:rFonts w:ascii="Arial Narrow" w:hAnsi="Arial Narrow" w:cs="Calibri"/>
                <w:sz w:val="20"/>
                <w:szCs w:val="20"/>
              </w:rPr>
              <w:t>base case = 10%</w:t>
            </w:r>
            <w:r>
              <w:rPr>
                <w:rFonts w:ascii="Arial Narrow" w:hAnsi="Arial Narrow" w:cs="Calibri"/>
                <w:sz w:val="20"/>
                <w:szCs w:val="20"/>
              </w:rPr>
              <w:t>)</w:t>
            </w:r>
          </w:p>
        </w:tc>
      </w:tr>
      <w:tr w:rsidR="00891554" w:rsidRPr="00891554" w14:paraId="71B99A9B" w14:textId="77777777" w:rsidTr="00970246">
        <w:trPr>
          <w:trHeight w:val="217"/>
        </w:trPr>
        <w:tc>
          <w:tcPr>
            <w:tcW w:w="640" w:type="pct"/>
            <w:shd w:val="clear" w:color="auto" w:fill="auto"/>
            <w:vAlign w:val="center"/>
          </w:tcPr>
          <w:p w14:paraId="6B1842E9" w14:textId="77777777" w:rsidR="00891554" w:rsidRPr="00891554" w:rsidRDefault="00891554">
            <w:pPr>
              <w:rPr>
                <w:rFonts w:ascii="Arial Narrow" w:hAnsi="Arial Narrow" w:cs="Calibri"/>
                <w:sz w:val="20"/>
                <w:szCs w:val="20"/>
              </w:rPr>
            </w:pPr>
            <w:r w:rsidRPr="00891554">
              <w:rPr>
                <w:rFonts w:ascii="Arial Narrow" w:hAnsi="Arial Narrow" w:cs="Calibri"/>
                <w:sz w:val="20"/>
                <w:szCs w:val="20"/>
              </w:rPr>
              <w:t>5%</w:t>
            </w:r>
          </w:p>
        </w:tc>
        <w:tc>
          <w:tcPr>
            <w:tcW w:w="727" w:type="pct"/>
            <w:tcBorders>
              <w:top w:val="single" w:sz="4" w:space="0" w:color="auto"/>
              <w:bottom w:val="single" w:sz="4" w:space="0" w:color="auto"/>
            </w:tcBorders>
            <w:shd w:val="clear" w:color="auto" w:fill="auto"/>
            <w:noWrap/>
            <w:vAlign w:val="center"/>
          </w:tcPr>
          <w:p w14:paraId="1CCBC574"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-$5,152,456</w:t>
            </w:r>
          </w:p>
        </w:tc>
        <w:tc>
          <w:tcPr>
            <w:tcW w:w="727" w:type="pct"/>
            <w:tcBorders>
              <w:top w:val="single" w:sz="4" w:space="0" w:color="auto"/>
              <w:bottom w:val="single" w:sz="4" w:space="0" w:color="auto"/>
            </w:tcBorders>
            <w:shd w:val="clear" w:color="auto" w:fill="auto"/>
            <w:noWrap/>
            <w:vAlign w:val="center"/>
          </w:tcPr>
          <w:p w14:paraId="5062C0B1"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-$5,360,250</w:t>
            </w:r>
          </w:p>
        </w:tc>
        <w:tc>
          <w:tcPr>
            <w:tcW w:w="727" w:type="pct"/>
            <w:tcBorders>
              <w:top w:val="single" w:sz="4" w:space="0" w:color="auto"/>
              <w:bottom w:val="single" w:sz="4" w:space="0" w:color="auto"/>
            </w:tcBorders>
            <w:shd w:val="clear" w:color="auto" w:fill="auto"/>
            <w:noWrap/>
            <w:vAlign w:val="center"/>
          </w:tcPr>
          <w:p w14:paraId="77872010"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-$5,568,044</w:t>
            </w:r>
          </w:p>
        </w:tc>
        <w:tc>
          <w:tcPr>
            <w:tcW w:w="727" w:type="pct"/>
            <w:tcBorders>
              <w:top w:val="single" w:sz="4" w:space="0" w:color="auto"/>
              <w:bottom w:val="single" w:sz="4" w:space="0" w:color="auto"/>
            </w:tcBorders>
            <w:shd w:val="clear" w:color="auto" w:fill="auto"/>
            <w:noWrap/>
            <w:vAlign w:val="center"/>
          </w:tcPr>
          <w:p w14:paraId="15E5F6E2"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-$5,775,839</w:t>
            </w:r>
          </w:p>
        </w:tc>
        <w:tc>
          <w:tcPr>
            <w:tcW w:w="727" w:type="pct"/>
            <w:tcBorders>
              <w:top w:val="single" w:sz="4" w:space="0" w:color="auto"/>
              <w:bottom w:val="single" w:sz="4" w:space="0" w:color="auto"/>
            </w:tcBorders>
            <w:shd w:val="clear" w:color="auto" w:fill="auto"/>
            <w:noWrap/>
            <w:vAlign w:val="center"/>
          </w:tcPr>
          <w:p w14:paraId="323CF353"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-$5,983,633</w:t>
            </w:r>
          </w:p>
        </w:tc>
        <w:tc>
          <w:tcPr>
            <w:tcW w:w="725" w:type="pct"/>
            <w:tcBorders>
              <w:top w:val="single" w:sz="4" w:space="0" w:color="auto"/>
              <w:bottom w:val="single" w:sz="4" w:space="0" w:color="auto"/>
            </w:tcBorders>
            <w:shd w:val="clear" w:color="auto" w:fill="auto"/>
            <w:noWrap/>
            <w:vAlign w:val="center"/>
          </w:tcPr>
          <w:p w14:paraId="674F8BF8"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-$5,947,701</w:t>
            </w:r>
          </w:p>
        </w:tc>
      </w:tr>
      <w:tr w:rsidR="00891554" w:rsidRPr="00891554" w14:paraId="41823023" w14:textId="77777777" w:rsidTr="00970246">
        <w:trPr>
          <w:trHeight w:val="217"/>
        </w:trPr>
        <w:tc>
          <w:tcPr>
            <w:tcW w:w="640" w:type="pct"/>
            <w:shd w:val="clear" w:color="auto" w:fill="auto"/>
            <w:vAlign w:val="center"/>
          </w:tcPr>
          <w:p w14:paraId="786D33A0" w14:textId="77777777" w:rsidR="00891554" w:rsidRPr="00891554" w:rsidRDefault="00891554">
            <w:pPr>
              <w:rPr>
                <w:rFonts w:ascii="Arial Narrow" w:hAnsi="Arial Narrow" w:cs="Calibri"/>
                <w:sz w:val="20"/>
                <w:szCs w:val="20"/>
              </w:rPr>
            </w:pPr>
            <w:r w:rsidRPr="00891554">
              <w:rPr>
                <w:rFonts w:ascii="Arial Narrow" w:hAnsi="Arial Narrow" w:cs="Calibri"/>
                <w:sz w:val="20"/>
                <w:szCs w:val="20"/>
              </w:rPr>
              <w:t>15%</w:t>
            </w:r>
          </w:p>
        </w:tc>
        <w:tc>
          <w:tcPr>
            <w:tcW w:w="727" w:type="pct"/>
            <w:tcBorders>
              <w:top w:val="single" w:sz="4" w:space="0" w:color="auto"/>
              <w:bottom w:val="single" w:sz="4" w:space="0" w:color="auto"/>
            </w:tcBorders>
            <w:shd w:val="clear" w:color="auto" w:fill="auto"/>
            <w:noWrap/>
            <w:vAlign w:val="center"/>
          </w:tcPr>
          <w:p w14:paraId="10628321" w14:textId="77777777" w:rsidR="00891554" w:rsidRPr="00891554" w:rsidRDefault="00891554" w:rsidP="00906E3F">
            <w:pPr>
              <w:jc w:val="right"/>
              <w:rPr>
                <w:rFonts w:ascii="Arial Narrow" w:hAnsi="Arial Narrow"/>
                <w:sz w:val="20"/>
                <w:szCs w:val="20"/>
              </w:rPr>
            </w:pPr>
            <w:r w:rsidRPr="00891554">
              <w:rPr>
                <w:rFonts w:ascii="Arial Narrow" w:hAnsi="Arial Narrow"/>
                <w:sz w:val="20"/>
                <w:szCs w:val="20"/>
              </w:rPr>
              <w:t>-$4,303,174</w:t>
            </w:r>
          </w:p>
        </w:tc>
        <w:tc>
          <w:tcPr>
            <w:tcW w:w="727" w:type="pct"/>
            <w:tcBorders>
              <w:top w:val="single" w:sz="4" w:space="0" w:color="auto"/>
              <w:bottom w:val="single" w:sz="4" w:space="0" w:color="auto"/>
            </w:tcBorders>
            <w:shd w:val="clear" w:color="auto" w:fill="auto"/>
            <w:noWrap/>
            <w:vAlign w:val="center"/>
          </w:tcPr>
          <w:p w14:paraId="2E4D4229" w14:textId="77777777" w:rsidR="00891554" w:rsidRPr="00891554" w:rsidRDefault="00891554" w:rsidP="00906E3F">
            <w:pPr>
              <w:jc w:val="right"/>
              <w:rPr>
                <w:rFonts w:ascii="Arial Narrow" w:hAnsi="Arial Narrow"/>
                <w:sz w:val="20"/>
                <w:szCs w:val="20"/>
              </w:rPr>
            </w:pPr>
            <w:r w:rsidRPr="00891554">
              <w:rPr>
                <w:rFonts w:ascii="Arial Narrow" w:hAnsi="Arial Narrow"/>
                <w:sz w:val="20"/>
                <w:szCs w:val="20"/>
              </w:rPr>
              <w:t>-$4,544,571</w:t>
            </w:r>
          </w:p>
        </w:tc>
        <w:tc>
          <w:tcPr>
            <w:tcW w:w="727" w:type="pct"/>
            <w:tcBorders>
              <w:top w:val="single" w:sz="4" w:space="0" w:color="auto"/>
              <w:bottom w:val="single" w:sz="4" w:space="0" w:color="auto"/>
            </w:tcBorders>
            <w:shd w:val="clear" w:color="auto" w:fill="auto"/>
            <w:noWrap/>
            <w:vAlign w:val="center"/>
          </w:tcPr>
          <w:p w14:paraId="64EFE912" w14:textId="77777777" w:rsidR="00891554" w:rsidRPr="00891554" w:rsidRDefault="00891554" w:rsidP="00906E3F">
            <w:pPr>
              <w:jc w:val="right"/>
              <w:rPr>
                <w:rFonts w:ascii="Arial Narrow" w:hAnsi="Arial Narrow"/>
                <w:sz w:val="20"/>
                <w:szCs w:val="20"/>
              </w:rPr>
            </w:pPr>
            <w:r w:rsidRPr="00891554">
              <w:rPr>
                <w:rFonts w:ascii="Arial Narrow" w:hAnsi="Arial Narrow"/>
                <w:sz w:val="20"/>
                <w:szCs w:val="20"/>
              </w:rPr>
              <w:t>-$4,785,968</w:t>
            </w:r>
          </w:p>
        </w:tc>
        <w:tc>
          <w:tcPr>
            <w:tcW w:w="727" w:type="pct"/>
            <w:tcBorders>
              <w:top w:val="single" w:sz="4" w:space="0" w:color="auto"/>
              <w:bottom w:val="single" w:sz="4" w:space="0" w:color="auto"/>
            </w:tcBorders>
            <w:shd w:val="clear" w:color="auto" w:fill="auto"/>
            <w:noWrap/>
            <w:vAlign w:val="center"/>
          </w:tcPr>
          <w:p w14:paraId="62CD50FF" w14:textId="77777777" w:rsidR="00891554" w:rsidRPr="00891554" w:rsidRDefault="00891554" w:rsidP="00906E3F">
            <w:pPr>
              <w:jc w:val="right"/>
              <w:rPr>
                <w:rFonts w:ascii="Arial Narrow" w:hAnsi="Arial Narrow"/>
                <w:sz w:val="20"/>
                <w:szCs w:val="20"/>
              </w:rPr>
            </w:pPr>
            <w:r w:rsidRPr="00891554">
              <w:rPr>
                <w:rFonts w:ascii="Arial Narrow" w:hAnsi="Arial Narrow"/>
                <w:sz w:val="20"/>
                <w:szCs w:val="20"/>
              </w:rPr>
              <w:t>-$5,027,366</w:t>
            </w:r>
          </w:p>
        </w:tc>
        <w:tc>
          <w:tcPr>
            <w:tcW w:w="727" w:type="pct"/>
            <w:tcBorders>
              <w:top w:val="single" w:sz="4" w:space="0" w:color="auto"/>
              <w:bottom w:val="single" w:sz="4" w:space="0" w:color="auto"/>
            </w:tcBorders>
            <w:shd w:val="clear" w:color="auto" w:fill="auto"/>
            <w:noWrap/>
            <w:vAlign w:val="center"/>
          </w:tcPr>
          <w:p w14:paraId="79A93155" w14:textId="77777777" w:rsidR="00891554" w:rsidRPr="00891554" w:rsidRDefault="00891554" w:rsidP="00906E3F">
            <w:pPr>
              <w:jc w:val="right"/>
              <w:rPr>
                <w:rFonts w:ascii="Arial Narrow" w:hAnsi="Arial Narrow"/>
                <w:sz w:val="20"/>
                <w:szCs w:val="20"/>
              </w:rPr>
            </w:pPr>
            <w:r w:rsidRPr="00891554">
              <w:rPr>
                <w:rFonts w:ascii="Arial Narrow" w:hAnsi="Arial Narrow"/>
                <w:sz w:val="20"/>
                <w:szCs w:val="20"/>
              </w:rPr>
              <w:t>-$5,268,763</w:t>
            </w:r>
          </w:p>
        </w:tc>
        <w:tc>
          <w:tcPr>
            <w:tcW w:w="725" w:type="pct"/>
            <w:tcBorders>
              <w:top w:val="single" w:sz="4" w:space="0" w:color="auto"/>
              <w:bottom w:val="single" w:sz="4" w:space="0" w:color="auto"/>
            </w:tcBorders>
            <w:shd w:val="clear" w:color="auto" w:fill="auto"/>
            <w:noWrap/>
            <w:vAlign w:val="center"/>
          </w:tcPr>
          <w:p w14:paraId="6AD67CE4" w14:textId="77777777" w:rsidR="00891554" w:rsidRPr="00891554" w:rsidRDefault="00891554" w:rsidP="00906E3F">
            <w:pPr>
              <w:jc w:val="right"/>
              <w:rPr>
                <w:rFonts w:ascii="Arial Narrow" w:hAnsi="Arial Narrow"/>
                <w:sz w:val="20"/>
                <w:szCs w:val="20"/>
              </w:rPr>
            </w:pPr>
            <w:r w:rsidRPr="00891554">
              <w:rPr>
                <w:rFonts w:ascii="Arial Narrow" w:hAnsi="Arial Narrow"/>
                <w:sz w:val="20"/>
                <w:szCs w:val="20"/>
              </w:rPr>
              <w:t>-$5,215,669</w:t>
            </w:r>
          </w:p>
        </w:tc>
      </w:tr>
      <w:tr w:rsidR="00891554" w:rsidRPr="00891554" w14:paraId="7D5F7C15" w14:textId="77777777" w:rsidTr="00970246">
        <w:trPr>
          <w:trHeight w:val="120"/>
        </w:trPr>
        <w:tc>
          <w:tcPr>
            <w:tcW w:w="5000" w:type="pct"/>
            <w:gridSpan w:val="7"/>
            <w:shd w:val="clear" w:color="auto" w:fill="auto"/>
            <w:vAlign w:val="center"/>
          </w:tcPr>
          <w:p w14:paraId="3A7D8B8D" w14:textId="77777777" w:rsidR="00891554" w:rsidRPr="00891554" w:rsidRDefault="00891554">
            <w:pPr>
              <w:rPr>
                <w:rFonts w:ascii="Arial Narrow" w:hAnsi="Arial Narrow" w:cs="Calibri"/>
                <w:sz w:val="20"/>
                <w:szCs w:val="20"/>
              </w:rPr>
            </w:pPr>
            <w:r w:rsidRPr="00891554">
              <w:rPr>
                <w:rFonts w:ascii="Arial Narrow" w:hAnsi="Arial Narrow" w:cs="Calibri"/>
                <w:sz w:val="20"/>
                <w:szCs w:val="20"/>
              </w:rPr>
              <w:t>MBS rebate (base case = 85%)</w:t>
            </w:r>
          </w:p>
        </w:tc>
      </w:tr>
      <w:tr w:rsidR="00891554" w:rsidRPr="00891554" w14:paraId="4285052F" w14:textId="77777777" w:rsidTr="00970246">
        <w:trPr>
          <w:trHeight w:val="120"/>
        </w:trPr>
        <w:tc>
          <w:tcPr>
            <w:tcW w:w="640" w:type="pct"/>
            <w:shd w:val="clear" w:color="auto" w:fill="auto"/>
            <w:vAlign w:val="center"/>
          </w:tcPr>
          <w:p w14:paraId="532825FE" w14:textId="77777777" w:rsidR="00891554" w:rsidRPr="00891554" w:rsidRDefault="00891554">
            <w:pPr>
              <w:rPr>
                <w:rFonts w:ascii="Arial Narrow" w:hAnsi="Arial Narrow" w:cs="Calibri"/>
                <w:sz w:val="20"/>
                <w:szCs w:val="20"/>
              </w:rPr>
            </w:pPr>
            <w:r w:rsidRPr="00891554">
              <w:rPr>
                <w:rFonts w:ascii="Arial Narrow" w:hAnsi="Arial Narrow" w:cs="Calibri"/>
                <w:sz w:val="20"/>
                <w:szCs w:val="20"/>
              </w:rPr>
              <w:t>75%</w:t>
            </w:r>
          </w:p>
        </w:tc>
        <w:tc>
          <w:tcPr>
            <w:tcW w:w="727" w:type="pct"/>
            <w:tcBorders>
              <w:top w:val="single" w:sz="4" w:space="0" w:color="auto"/>
              <w:bottom w:val="single" w:sz="4" w:space="0" w:color="auto"/>
            </w:tcBorders>
            <w:shd w:val="clear" w:color="auto" w:fill="auto"/>
            <w:noWrap/>
            <w:vAlign w:val="center"/>
          </w:tcPr>
          <w:p w14:paraId="46465E8F"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-$5,543,144</w:t>
            </w:r>
          </w:p>
        </w:tc>
        <w:tc>
          <w:tcPr>
            <w:tcW w:w="727" w:type="pct"/>
            <w:tcBorders>
              <w:top w:val="single" w:sz="4" w:space="0" w:color="auto"/>
              <w:bottom w:val="single" w:sz="4" w:space="0" w:color="auto"/>
            </w:tcBorders>
            <w:shd w:val="clear" w:color="auto" w:fill="auto"/>
            <w:noWrap/>
            <w:vAlign w:val="center"/>
          </w:tcPr>
          <w:p w14:paraId="14A67343"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-$5,746,500</w:t>
            </w:r>
          </w:p>
        </w:tc>
        <w:tc>
          <w:tcPr>
            <w:tcW w:w="727" w:type="pct"/>
            <w:tcBorders>
              <w:top w:val="single" w:sz="4" w:space="0" w:color="auto"/>
              <w:bottom w:val="single" w:sz="4" w:space="0" w:color="auto"/>
            </w:tcBorders>
            <w:shd w:val="clear" w:color="auto" w:fill="auto"/>
            <w:noWrap/>
            <w:vAlign w:val="center"/>
          </w:tcPr>
          <w:p w14:paraId="50A0869D"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-$5,949,855</w:t>
            </w:r>
          </w:p>
        </w:tc>
        <w:tc>
          <w:tcPr>
            <w:tcW w:w="727" w:type="pct"/>
            <w:tcBorders>
              <w:top w:val="single" w:sz="4" w:space="0" w:color="auto"/>
              <w:bottom w:val="single" w:sz="4" w:space="0" w:color="auto"/>
            </w:tcBorders>
            <w:shd w:val="clear" w:color="auto" w:fill="auto"/>
            <w:noWrap/>
            <w:vAlign w:val="center"/>
          </w:tcPr>
          <w:p w14:paraId="3959147F"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-$6,153,210</w:t>
            </w:r>
          </w:p>
        </w:tc>
        <w:tc>
          <w:tcPr>
            <w:tcW w:w="727" w:type="pct"/>
            <w:tcBorders>
              <w:top w:val="single" w:sz="4" w:space="0" w:color="auto"/>
              <w:bottom w:val="single" w:sz="4" w:space="0" w:color="auto"/>
            </w:tcBorders>
            <w:shd w:val="clear" w:color="auto" w:fill="auto"/>
            <w:noWrap/>
            <w:vAlign w:val="center"/>
          </w:tcPr>
          <w:p w14:paraId="29740F59"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-$6,356,566</w:t>
            </w:r>
          </w:p>
        </w:tc>
        <w:tc>
          <w:tcPr>
            <w:tcW w:w="725" w:type="pct"/>
            <w:tcBorders>
              <w:top w:val="single" w:sz="4" w:space="0" w:color="auto"/>
              <w:bottom w:val="single" w:sz="4" w:space="0" w:color="auto"/>
            </w:tcBorders>
            <w:shd w:val="clear" w:color="auto" w:fill="auto"/>
            <w:noWrap/>
            <w:vAlign w:val="center"/>
          </w:tcPr>
          <w:p w14:paraId="647DA08C"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-$6,322,473</w:t>
            </w:r>
          </w:p>
        </w:tc>
      </w:tr>
      <w:tr w:rsidR="00891554" w:rsidRPr="00891554" w14:paraId="247C7CBA" w14:textId="77777777" w:rsidTr="00970246">
        <w:trPr>
          <w:trHeight w:val="217"/>
        </w:trPr>
        <w:tc>
          <w:tcPr>
            <w:tcW w:w="640" w:type="pct"/>
            <w:shd w:val="clear" w:color="auto" w:fill="auto"/>
            <w:vAlign w:val="center"/>
          </w:tcPr>
          <w:p w14:paraId="0424AC40" w14:textId="77777777" w:rsidR="00891554" w:rsidRPr="00891554" w:rsidRDefault="00891554">
            <w:pPr>
              <w:rPr>
                <w:rFonts w:ascii="Arial Narrow" w:hAnsi="Arial Narrow" w:cs="Calibri"/>
                <w:sz w:val="20"/>
                <w:szCs w:val="20"/>
              </w:rPr>
            </w:pPr>
            <w:r w:rsidRPr="00891554">
              <w:rPr>
                <w:rFonts w:ascii="Arial Narrow" w:hAnsi="Arial Narrow" w:cs="Calibri"/>
                <w:sz w:val="20"/>
                <w:szCs w:val="20"/>
              </w:rPr>
              <w:t>100%</w:t>
            </w:r>
          </w:p>
        </w:tc>
        <w:tc>
          <w:tcPr>
            <w:tcW w:w="727" w:type="pct"/>
            <w:tcBorders>
              <w:top w:val="single" w:sz="4" w:space="0" w:color="auto"/>
              <w:bottom w:val="single" w:sz="4" w:space="0" w:color="auto"/>
            </w:tcBorders>
            <w:shd w:val="clear" w:color="auto" w:fill="auto"/>
            <w:noWrap/>
            <w:vAlign w:val="center"/>
          </w:tcPr>
          <w:p w14:paraId="0DF0D45E"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-$3,504,821</w:t>
            </w:r>
          </w:p>
        </w:tc>
        <w:tc>
          <w:tcPr>
            <w:tcW w:w="727" w:type="pct"/>
            <w:tcBorders>
              <w:top w:val="single" w:sz="4" w:space="0" w:color="auto"/>
              <w:bottom w:val="single" w:sz="4" w:space="0" w:color="auto"/>
            </w:tcBorders>
            <w:shd w:val="clear" w:color="auto" w:fill="auto"/>
            <w:noWrap/>
            <w:vAlign w:val="center"/>
          </w:tcPr>
          <w:p w14:paraId="6B0FC7B4"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-$3,761,277</w:t>
            </w:r>
          </w:p>
        </w:tc>
        <w:tc>
          <w:tcPr>
            <w:tcW w:w="727" w:type="pct"/>
            <w:tcBorders>
              <w:top w:val="single" w:sz="4" w:space="0" w:color="auto"/>
              <w:bottom w:val="single" w:sz="4" w:space="0" w:color="auto"/>
            </w:tcBorders>
            <w:shd w:val="clear" w:color="auto" w:fill="auto"/>
            <w:noWrap/>
            <w:vAlign w:val="center"/>
          </w:tcPr>
          <w:p w14:paraId="576D2F03"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-$4,017,734</w:t>
            </w:r>
          </w:p>
        </w:tc>
        <w:tc>
          <w:tcPr>
            <w:tcW w:w="727" w:type="pct"/>
            <w:tcBorders>
              <w:top w:val="single" w:sz="4" w:space="0" w:color="auto"/>
              <w:bottom w:val="single" w:sz="4" w:space="0" w:color="auto"/>
            </w:tcBorders>
            <w:shd w:val="clear" w:color="auto" w:fill="auto"/>
            <w:noWrap/>
            <w:vAlign w:val="center"/>
          </w:tcPr>
          <w:p w14:paraId="12B17237"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-$4,274,190</w:t>
            </w:r>
          </w:p>
        </w:tc>
        <w:tc>
          <w:tcPr>
            <w:tcW w:w="727" w:type="pct"/>
            <w:tcBorders>
              <w:top w:val="single" w:sz="4" w:space="0" w:color="auto"/>
              <w:bottom w:val="single" w:sz="4" w:space="0" w:color="auto"/>
            </w:tcBorders>
            <w:shd w:val="clear" w:color="auto" w:fill="auto"/>
            <w:noWrap/>
            <w:vAlign w:val="center"/>
          </w:tcPr>
          <w:p w14:paraId="3C775F94"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-$4,530,646</w:t>
            </w:r>
          </w:p>
        </w:tc>
        <w:tc>
          <w:tcPr>
            <w:tcW w:w="725" w:type="pct"/>
            <w:tcBorders>
              <w:top w:val="single" w:sz="4" w:space="0" w:color="auto"/>
              <w:bottom w:val="single" w:sz="4" w:space="0" w:color="auto"/>
            </w:tcBorders>
            <w:shd w:val="clear" w:color="auto" w:fill="auto"/>
            <w:noWrap/>
            <w:vAlign w:val="center"/>
          </w:tcPr>
          <w:p w14:paraId="4A9A8210"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-$4,470,504</w:t>
            </w:r>
          </w:p>
        </w:tc>
      </w:tr>
      <w:tr w:rsidR="00891554" w:rsidRPr="00891554" w14:paraId="11405184" w14:textId="77777777" w:rsidTr="00970246">
        <w:trPr>
          <w:trHeight w:val="120"/>
        </w:trPr>
        <w:tc>
          <w:tcPr>
            <w:tcW w:w="5000" w:type="pct"/>
            <w:gridSpan w:val="7"/>
            <w:shd w:val="clear" w:color="auto" w:fill="auto"/>
            <w:vAlign w:val="center"/>
          </w:tcPr>
          <w:p w14:paraId="56C9A809" w14:textId="3465C1D6" w:rsidR="00891554" w:rsidRPr="00891554" w:rsidRDefault="00891554">
            <w:pPr>
              <w:rPr>
                <w:rFonts w:ascii="Arial Narrow" w:hAnsi="Arial Narrow" w:cs="Calibri"/>
                <w:sz w:val="20"/>
                <w:szCs w:val="20"/>
              </w:rPr>
            </w:pPr>
            <w:r>
              <w:rPr>
                <w:rFonts w:ascii="Arial Narrow" w:hAnsi="Arial Narrow" w:cs="Calibri"/>
                <w:sz w:val="20"/>
                <w:szCs w:val="20"/>
              </w:rPr>
              <w:t>N</w:t>
            </w:r>
            <w:r w:rsidRPr="00891554">
              <w:rPr>
                <w:rFonts w:ascii="Arial Narrow" w:hAnsi="Arial Narrow" w:cs="Calibri"/>
                <w:sz w:val="20"/>
                <w:szCs w:val="20"/>
              </w:rPr>
              <w:t xml:space="preserve">umber of women </w:t>
            </w:r>
            <w:r w:rsidR="00F56D38">
              <w:rPr>
                <w:rFonts w:ascii="Arial Narrow" w:hAnsi="Arial Narrow" w:cs="Calibri"/>
                <w:sz w:val="20"/>
                <w:szCs w:val="20"/>
              </w:rPr>
              <w:t>tested</w:t>
            </w:r>
            <w:r w:rsidRPr="00891554">
              <w:rPr>
                <w:rFonts w:ascii="Arial Narrow" w:hAnsi="Arial Narrow" w:cs="Calibri"/>
                <w:sz w:val="20"/>
                <w:szCs w:val="20"/>
              </w:rPr>
              <w:t xml:space="preserve"> for preeclampsia (base case = </w:t>
            </w:r>
            <w:r w:rsidRPr="00891554">
              <w:rPr>
                <w:rFonts w:ascii="Arial Narrow" w:hAnsi="Arial Narrow"/>
                <w:sz w:val="20"/>
                <w:szCs w:val="20"/>
              </w:rPr>
              <w:t>items claimed for MBS item 55707</w:t>
            </w:r>
            <w:r w:rsidRPr="00891554">
              <w:rPr>
                <w:rFonts w:ascii="Arial Narrow" w:hAnsi="Arial Narrow" w:cs="Calibri"/>
                <w:sz w:val="20"/>
                <w:szCs w:val="20"/>
              </w:rPr>
              <w:t>)</w:t>
            </w:r>
          </w:p>
        </w:tc>
      </w:tr>
      <w:tr w:rsidR="00891554" w:rsidRPr="00891554" w14:paraId="5E8BF695" w14:textId="77777777" w:rsidTr="00970246">
        <w:trPr>
          <w:trHeight w:val="120"/>
        </w:trPr>
        <w:tc>
          <w:tcPr>
            <w:tcW w:w="640" w:type="pct"/>
            <w:shd w:val="clear" w:color="auto" w:fill="auto"/>
            <w:vAlign w:val="center"/>
          </w:tcPr>
          <w:p w14:paraId="6B83EC2C" w14:textId="285F7832" w:rsidR="00891554" w:rsidRPr="00891554" w:rsidRDefault="00FC2F4C">
            <w:pPr>
              <w:rPr>
                <w:rFonts w:ascii="Arial Narrow" w:hAnsi="Arial Narrow" w:cs="Calibri"/>
                <w:sz w:val="20"/>
                <w:szCs w:val="20"/>
              </w:rPr>
            </w:pPr>
            <w:r>
              <w:rPr>
                <w:rFonts w:ascii="Arial Narrow" w:hAnsi="Arial Narrow" w:cs="Calibri"/>
                <w:sz w:val="20"/>
                <w:szCs w:val="20"/>
              </w:rPr>
              <w:t>Services</w:t>
            </w:r>
            <w:r w:rsidRPr="00891554">
              <w:rPr>
                <w:rFonts w:ascii="Arial Narrow" w:hAnsi="Arial Narrow" w:cs="Calibri"/>
                <w:sz w:val="20"/>
                <w:szCs w:val="20"/>
              </w:rPr>
              <w:t xml:space="preserve"> </w:t>
            </w:r>
            <w:r w:rsidR="00891554" w:rsidRPr="00891554">
              <w:rPr>
                <w:rFonts w:ascii="Arial Narrow" w:hAnsi="Arial Narrow" w:cs="Calibri"/>
                <w:sz w:val="20"/>
                <w:szCs w:val="20"/>
              </w:rPr>
              <w:t>claimed for MBS items 66750 and 66751</w:t>
            </w:r>
          </w:p>
        </w:tc>
        <w:tc>
          <w:tcPr>
            <w:tcW w:w="727" w:type="pct"/>
            <w:tcBorders>
              <w:top w:val="single" w:sz="4" w:space="0" w:color="auto"/>
              <w:bottom w:val="single" w:sz="4" w:space="0" w:color="auto"/>
            </w:tcBorders>
            <w:shd w:val="clear" w:color="auto" w:fill="auto"/>
            <w:noWrap/>
            <w:vAlign w:val="center"/>
          </w:tcPr>
          <w:p w14:paraId="3F084F2B"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-$383,502</w:t>
            </w:r>
          </w:p>
        </w:tc>
        <w:tc>
          <w:tcPr>
            <w:tcW w:w="727" w:type="pct"/>
            <w:tcBorders>
              <w:top w:val="single" w:sz="4" w:space="0" w:color="auto"/>
              <w:bottom w:val="single" w:sz="4" w:space="0" w:color="auto"/>
            </w:tcBorders>
            <w:shd w:val="clear" w:color="auto" w:fill="auto"/>
            <w:noWrap/>
            <w:vAlign w:val="center"/>
          </w:tcPr>
          <w:p w14:paraId="3CD1EFC6"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-$104,711</w:t>
            </w:r>
          </w:p>
        </w:tc>
        <w:tc>
          <w:tcPr>
            <w:tcW w:w="727" w:type="pct"/>
            <w:tcBorders>
              <w:top w:val="single" w:sz="4" w:space="0" w:color="auto"/>
              <w:bottom w:val="single" w:sz="4" w:space="0" w:color="auto"/>
            </w:tcBorders>
            <w:shd w:val="clear" w:color="auto" w:fill="auto"/>
            <w:noWrap/>
            <w:vAlign w:val="center"/>
          </w:tcPr>
          <w:p w14:paraId="5CE85FE3"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$174,080</w:t>
            </w:r>
          </w:p>
        </w:tc>
        <w:tc>
          <w:tcPr>
            <w:tcW w:w="727" w:type="pct"/>
            <w:tcBorders>
              <w:top w:val="single" w:sz="4" w:space="0" w:color="auto"/>
              <w:bottom w:val="single" w:sz="4" w:space="0" w:color="auto"/>
            </w:tcBorders>
            <w:shd w:val="clear" w:color="auto" w:fill="auto"/>
            <w:noWrap/>
            <w:vAlign w:val="center"/>
          </w:tcPr>
          <w:p w14:paraId="59B362F3"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$452,872</w:t>
            </w:r>
          </w:p>
        </w:tc>
        <w:tc>
          <w:tcPr>
            <w:tcW w:w="727" w:type="pct"/>
            <w:tcBorders>
              <w:top w:val="single" w:sz="4" w:space="0" w:color="auto"/>
              <w:bottom w:val="single" w:sz="4" w:space="0" w:color="auto"/>
            </w:tcBorders>
            <w:shd w:val="clear" w:color="auto" w:fill="auto"/>
            <w:noWrap/>
            <w:vAlign w:val="center"/>
          </w:tcPr>
          <w:p w14:paraId="51E7FC29"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$731,663</w:t>
            </w:r>
          </w:p>
        </w:tc>
        <w:tc>
          <w:tcPr>
            <w:tcW w:w="725" w:type="pct"/>
            <w:tcBorders>
              <w:top w:val="single" w:sz="4" w:space="0" w:color="auto"/>
              <w:bottom w:val="single" w:sz="4" w:space="0" w:color="auto"/>
            </w:tcBorders>
            <w:shd w:val="clear" w:color="auto" w:fill="auto"/>
            <w:noWrap/>
            <w:vAlign w:val="center"/>
          </w:tcPr>
          <w:p w14:paraId="4BC1A2B6" w14:textId="77777777" w:rsidR="00891554" w:rsidRPr="00891554" w:rsidRDefault="00891554" w:rsidP="00906E3F">
            <w:pPr>
              <w:jc w:val="right"/>
              <w:rPr>
                <w:rFonts w:ascii="Arial Narrow" w:hAnsi="Arial Narrow" w:cs="Calibri"/>
                <w:sz w:val="20"/>
                <w:szCs w:val="20"/>
              </w:rPr>
            </w:pPr>
            <w:r w:rsidRPr="00891554">
              <w:rPr>
                <w:rFonts w:ascii="Arial Narrow" w:hAnsi="Arial Narrow"/>
                <w:sz w:val="20"/>
                <w:szCs w:val="20"/>
              </w:rPr>
              <w:t>$653,810</w:t>
            </w:r>
          </w:p>
        </w:tc>
      </w:tr>
      <w:tr w:rsidR="00891554" w:rsidRPr="00891554" w14:paraId="4E6AEB02" w14:textId="77777777" w:rsidTr="1923DEB3">
        <w:trPr>
          <w:trHeight w:val="217"/>
        </w:trPr>
        <w:tc>
          <w:tcPr>
            <w:tcW w:w="640" w:type="pct"/>
            <w:shd w:val="clear" w:color="auto" w:fill="auto"/>
            <w:vAlign w:val="center"/>
          </w:tcPr>
          <w:p w14:paraId="3A7FA37F" w14:textId="4C168187" w:rsidR="00891554" w:rsidRPr="00A32701" w:rsidRDefault="00891554">
            <w:pPr>
              <w:rPr>
                <w:rFonts w:ascii="Arial Narrow" w:hAnsi="Arial Narrow" w:cs="Calibri"/>
                <w:i/>
                <w:sz w:val="20"/>
                <w:szCs w:val="20"/>
              </w:rPr>
            </w:pPr>
            <w:r w:rsidRPr="00A32701">
              <w:rPr>
                <w:rFonts w:ascii="Arial Narrow" w:hAnsi="Arial Narrow" w:cs="Calibri"/>
                <w:i/>
                <w:sz w:val="20"/>
                <w:szCs w:val="20"/>
              </w:rPr>
              <w:t xml:space="preserve">75% of all pregnant </w:t>
            </w:r>
            <w:r w:rsidR="00755542">
              <w:rPr>
                <w:rFonts w:ascii="Arial Narrow" w:hAnsi="Arial Narrow" w:cs="Calibri"/>
                <w:i/>
                <w:sz w:val="20"/>
                <w:szCs w:val="20"/>
              </w:rPr>
              <w:t>persons</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01228" w14:textId="076434D9" w:rsidR="00891554" w:rsidRPr="00A32701" w:rsidRDefault="00AA7B12" w:rsidP="00AA7B12">
            <w:pPr>
              <w:pStyle w:val="Tabletext0"/>
              <w:jc w:val="right"/>
              <w:rPr>
                <w:rFonts w:cs="Calibri"/>
                <w:i/>
              </w:rPr>
            </w:pPr>
            <w:r w:rsidRPr="00A32701">
              <w:rPr>
                <w:i/>
              </w:rPr>
              <w:t>-$201,081</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76B56C42" w14:textId="437F8489" w:rsidR="00891554" w:rsidRPr="00A32701" w:rsidRDefault="00AA7B12" w:rsidP="00AA7B12">
            <w:pPr>
              <w:pStyle w:val="Tabletext0"/>
              <w:jc w:val="right"/>
              <w:rPr>
                <w:rFonts w:cs="Calibri"/>
                <w:i/>
              </w:rPr>
            </w:pPr>
            <w:r w:rsidRPr="00A32701">
              <w:rPr>
                <w:i/>
              </w:rPr>
              <w:t>-$119,827</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2907171D" w14:textId="0CA157CD" w:rsidR="00891554" w:rsidRPr="00A32701" w:rsidRDefault="00AA7B12" w:rsidP="00AA7B12">
            <w:pPr>
              <w:pStyle w:val="Tabletext0"/>
              <w:jc w:val="right"/>
              <w:rPr>
                <w:rFonts w:cs="Calibri"/>
                <w:i/>
              </w:rPr>
            </w:pPr>
            <w:r w:rsidRPr="00A32701">
              <w:rPr>
                <w:i/>
              </w:rPr>
              <w:t>-$49,922</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100E862F" w14:textId="5D5F82D6" w:rsidR="00891554" w:rsidRPr="00A32701" w:rsidRDefault="00AA7B12" w:rsidP="00AA7B12">
            <w:pPr>
              <w:pStyle w:val="Tabletext0"/>
              <w:jc w:val="right"/>
              <w:rPr>
                <w:rFonts w:cs="Calibri"/>
                <w:i/>
              </w:rPr>
            </w:pPr>
            <w:r w:rsidRPr="00A32701">
              <w:rPr>
                <w:i/>
              </w:rPr>
              <w:t>$8,879</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183E79F7" w14:textId="76C3717F" w:rsidR="00891554" w:rsidRPr="00A32701" w:rsidRDefault="00AA7B12" w:rsidP="00AA7B12">
            <w:pPr>
              <w:pStyle w:val="Tabletext0"/>
              <w:jc w:val="right"/>
              <w:rPr>
                <w:rFonts w:cs="Calibri"/>
                <w:i/>
              </w:rPr>
            </w:pPr>
            <w:r w:rsidRPr="00A32701">
              <w:rPr>
                <w:i/>
              </w:rPr>
              <w:t>$57,042</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2FD9B7BF" w14:textId="0D6937FA" w:rsidR="00891554" w:rsidRPr="00A32701" w:rsidRDefault="00AA7B12" w:rsidP="00AA7B12">
            <w:pPr>
              <w:pStyle w:val="Tabletext0"/>
              <w:jc w:val="right"/>
              <w:rPr>
                <w:rFonts w:cs="Calibri"/>
                <w:i/>
              </w:rPr>
            </w:pPr>
            <w:r w:rsidRPr="00A32701">
              <w:rPr>
                <w:i/>
              </w:rPr>
              <w:t>$97,301</w:t>
            </w:r>
          </w:p>
        </w:tc>
      </w:tr>
      <w:tr w:rsidR="00891554" w:rsidRPr="00891554" w14:paraId="3B8E3FDD" w14:textId="77777777" w:rsidTr="00970246">
        <w:trPr>
          <w:trHeight w:val="53"/>
        </w:trPr>
        <w:tc>
          <w:tcPr>
            <w:tcW w:w="5000" w:type="pct"/>
            <w:gridSpan w:val="7"/>
            <w:shd w:val="clear" w:color="auto" w:fill="auto"/>
            <w:vAlign w:val="center"/>
          </w:tcPr>
          <w:p w14:paraId="76C696A5" w14:textId="1673E632" w:rsidR="00891554" w:rsidRPr="00A32701" w:rsidRDefault="00071836">
            <w:pPr>
              <w:rPr>
                <w:rFonts w:ascii="Arial Narrow" w:hAnsi="Arial Narrow" w:cs="Calibri"/>
                <w:i/>
                <w:sz w:val="20"/>
                <w:szCs w:val="20"/>
              </w:rPr>
            </w:pPr>
            <w:r>
              <w:rPr>
                <w:rFonts w:ascii="Arial Narrow" w:hAnsi="Arial Narrow" w:cs="Calibri"/>
                <w:i/>
                <w:sz w:val="20"/>
                <w:szCs w:val="20"/>
              </w:rPr>
              <w:t>C</w:t>
            </w:r>
            <w:r w:rsidRPr="00807CF0">
              <w:rPr>
                <w:rFonts w:ascii="Arial Narrow" w:hAnsi="Arial Narrow" w:cs="Calibri"/>
                <w:i/>
                <w:sz w:val="20"/>
                <w:szCs w:val="20"/>
              </w:rPr>
              <w:t>linical utility</w:t>
            </w:r>
            <w:r>
              <w:rPr>
                <w:rFonts w:ascii="Arial Narrow" w:hAnsi="Arial Narrow" w:cs="Calibri"/>
                <w:i/>
                <w:sz w:val="20"/>
                <w:szCs w:val="20"/>
              </w:rPr>
              <w:t xml:space="preserve"> - proportion of </w:t>
            </w:r>
            <w:r w:rsidR="00755542">
              <w:rPr>
                <w:rFonts w:ascii="Arial Narrow" w:hAnsi="Arial Narrow" w:cs="Calibri"/>
                <w:i/>
                <w:sz w:val="20"/>
                <w:szCs w:val="20"/>
              </w:rPr>
              <w:t>persons</w:t>
            </w:r>
            <w:r>
              <w:rPr>
                <w:rFonts w:ascii="Arial Narrow" w:hAnsi="Arial Narrow" w:cs="Calibri"/>
                <w:i/>
                <w:sz w:val="20"/>
                <w:szCs w:val="20"/>
              </w:rPr>
              <w:t xml:space="preserve"> developing preeclampsia</w:t>
            </w:r>
            <w:r w:rsidR="00E71917" w:rsidRPr="00A32701">
              <w:rPr>
                <w:rFonts w:ascii="Arial Narrow" w:hAnsi="Arial Narrow" w:cs="Calibri"/>
                <w:i/>
                <w:sz w:val="20"/>
                <w:szCs w:val="20"/>
              </w:rPr>
              <w:t xml:space="preserve"> </w:t>
            </w:r>
            <w:r w:rsidR="00891554" w:rsidRPr="00A32701">
              <w:rPr>
                <w:rFonts w:ascii="Arial Narrow" w:hAnsi="Arial Narrow" w:cs="Calibri"/>
                <w:i/>
                <w:sz w:val="20"/>
                <w:szCs w:val="20"/>
              </w:rPr>
              <w:t xml:space="preserve">(base case = </w:t>
            </w:r>
            <w:r w:rsidR="00687E08" w:rsidRPr="00A32701">
              <w:rPr>
                <w:rFonts w:ascii="Arial Narrow" w:hAnsi="Arial Narrow" w:cs="Calibri"/>
                <w:i/>
                <w:sz w:val="20"/>
                <w:szCs w:val="20"/>
              </w:rPr>
              <w:t>p</w:t>
            </w:r>
            <w:r w:rsidR="4DD976C9" w:rsidRPr="00A32701">
              <w:rPr>
                <w:rFonts w:ascii="Arial Narrow" w:hAnsi="Arial Narrow" w:cs="Calibri"/>
                <w:i/>
                <w:sz w:val="20"/>
                <w:szCs w:val="20"/>
              </w:rPr>
              <w:t>reeclampsia</w:t>
            </w:r>
            <w:r w:rsidR="484FD95A" w:rsidRPr="00A32701">
              <w:rPr>
                <w:rFonts w:ascii="Arial Narrow" w:hAnsi="Arial Narrow" w:cs="Calibri"/>
                <w:i/>
                <w:sz w:val="20"/>
                <w:szCs w:val="20"/>
              </w:rPr>
              <w:t xml:space="preserve"> </w:t>
            </w:r>
            <w:r w:rsidR="002B4D57" w:rsidRPr="00A32701">
              <w:rPr>
                <w:rFonts w:ascii="Arial Narrow" w:hAnsi="Arial Narrow" w:cs="Calibri"/>
                <w:i/>
                <w:sz w:val="20"/>
                <w:szCs w:val="20"/>
              </w:rPr>
              <w:t>≥</w:t>
            </w:r>
            <w:r w:rsidR="4DD976C9" w:rsidRPr="00A32701">
              <w:rPr>
                <w:rFonts w:ascii="Arial Narrow" w:hAnsi="Arial Narrow" w:cs="Calibri"/>
                <w:i/>
                <w:sz w:val="20"/>
                <w:szCs w:val="20"/>
              </w:rPr>
              <w:t xml:space="preserve">37 weeks </w:t>
            </w:r>
            <w:r w:rsidR="12B25514" w:rsidRPr="00A32701">
              <w:rPr>
                <w:rFonts w:ascii="Arial Narrow" w:hAnsi="Arial Narrow" w:cs="Calibri"/>
                <w:i/>
                <w:sz w:val="20"/>
                <w:szCs w:val="20"/>
              </w:rPr>
              <w:t>standard = 1.7%; FMF = 1.1%</w:t>
            </w:r>
            <w:r w:rsidR="00987A0C" w:rsidRPr="00A32701">
              <w:rPr>
                <w:rFonts w:ascii="Arial Narrow" w:hAnsi="Arial Narrow" w:cs="Calibri"/>
                <w:i/>
                <w:sz w:val="20"/>
                <w:szCs w:val="20"/>
              </w:rPr>
              <w:t>)</w:t>
            </w:r>
          </w:p>
        </w:tc>
      </w:tr>
      <w:tr w:rsidR="00891554" w:rsidRPr="00891554" w14:paraId="45381AB7" w14:textId="77777777" w:rsidTr="1923DEB3">
        <w:trPr>
          <w:trHeight w:val="208"/>
        </w:trPr>
        <w:tc>
          <w:tcPr>
            <w:tcW w:w="640" w:type="pct"/>
            <w:shd w:val="clear" w:color="auto" w:fill="auto"/>
            <w:vAlign w:val="center"/>
          </w:tcPr>
          <w:p w14:paraId="5B34C7F1" w14:textId="1642AE6C" w:rsidR="00891554" w:rsidRPr="00A32701" w:rsidRDefault="00E57E31">
            <w:pPr>
              <w:rPr>
                <w:rFonts w:ascii="Arial Narrow" w:hAnsi="Arial Narrow" w:cs="Calibri"/>
                <w:i/>
                <w:sz w:val="20"/>
                <w:szCs w:val="20"/>
              </w:rPr>
            </w:pPr>
            <w:r w:rsidRPr="00A32701">
              <w:rPr>
                <w:rFonts w:ascii="Arial Narrow" w:hAnsi="Arial Narrow" w:cs="Calibri"/>
                <w:i/>
                <w:sz w:val="20"/>
                <w:szCs w:val="20"/>
              </w:rPr>
              <w:t xml:space="preserve">Preeclampsia: </w:t>
            </w:r>
            <w:r w:rsidR="005B478E" w:rsidRPr="00A32701">
              <w:rPr>
                <w:rFonts w:ascii="Arial Narrow" w:hAnsi="Arial Narrow" w:cs="Calibri"/>
                <w:i/>
                <w:sz w:val="20"/>
                <w:szCs w:val="20"/>
              </w:rPr>
              <w:t>≥</w:t>
            </w:r>
            <w:r w:rsidRPr="00A32701">
              <w:rPr>
                <w:rFonts w:ascii="Arial Narrow" w:hAnsi="Arial Narrow" w:cs="Calibri"/>
                <w:i/>
                <w:sz w:val="20"/>
                <w:szCs w:val="20"/>
              </w:rPr>
              <w:t xml:space="preserve">37 weeks </w:t>
            </w:r>
            <w:r w:rsidR="00614D33" w:rsidRPr="00A32701">
              <w:rPr>
                <w:rFonts w:ascii="Arial Narrow" w:hAnsi="Arial Narrow" w:cs="Calibri"/>
                <w:i/>
                <w:sz w:val="20"/>
                <w:szCs w:val="20"/>
              </w:rPr>
              <w:t xml:space="preserve">standard </w:t>
            </w:r>
            <w:r w:rsidRPr="00A32701">
              <w:rPr>
                <w:rFonts w:ascii="Arial Narrow" w:hAnsi="Arial Narrow" w:cs="Calibri"/>
                <w:i/>
                <w:sz w:val="20"/>
                <w:szCs w:val="20"/>
              </w:rPr>
              <w:t>= 1.</w:t>
            </w:r>
            <w:r w:rsidR="00614D33" w:rsidRPr="00A32701">
              <w:rPr>
                <w:rFonts w:ascii="Arial Narrow" w:hAnsi="Arial Narrow" w:cs="Calibri"/>
                <w:i/>
                <w:sz w:val="20"/>
                <w:szCs w:val="20"/>
              </w:rPr>
              <w:t>1</w:t>
            </w:r>
            <w:r w:rsidRPr="00A32701">
              <w:rPr>
                <w:rFonts w:ascii="Arial Narrow" w:hAnsi="Arial Narrow" w:cs="Calibri"/>
                <w:i/>
                <w:sz w:val="20"/>
                <w:szCs w:val="20"/>
              </w:rPr>
              <w:t>%</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74D68" w14:textId="09C5F34A" w:rsidR="00891554" w:rsidRPr="00A32701" w:rsidRDefault="00906E3F" w:rsidP="00DA1AC9">
            <w:pPr>
              <w:jc w:val="right"/>
              <w:rPr>
                <w:rFonts w:ascii="Arial Narrow" w:hAnsi="Arial Narrow" w:cs="Calibri"/>
                <w:i/>
                <w:color w:val="000000" w:themeColor="text1"/>
                <w:sz w:val="20"/>
                <w:szCs w:val="20"/>
              </w:rPr>
            </w:pPr>
            <w:r w:rsidRPr="00A32701">
              <w:rPr>
                <w:rFonts w:ascii="Arial Narrow" w:hAnsi="Arial Narrow" w:cs="Arial"/>
                <w:i/>
                <w:color w:val="000000" w:themeColor="text1"/>
                <w:sz w:val="20"/>
                <w:szCs w:val="20"/>
              </w:rPr>
              <w:t>-$118,625</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4E9154FD" w14:textId="0A1322F8" w:rsidR="00891554" w:rsidRPr="00A32701" w:rsidRDefault="00906E3F" w:rsidP="00DA1AC9">
            <w:pPr>
              <w:jc w:val="right"/>
              <w:rPr>
                <w:rFonts w:ascii="Arial Narrow" w:hAnsi="Arial Narrow" w:cs="Calibri"/>
                <w:i/>
                <w:color w:val="000000" w:themeColor="text1"/>
                <w:sz w:val="20"/>
                <w:szCs w:val="20"/>
              </w:rPr>
            </w:pPr>
            <w:r w:rsidRPr="00A32701">
              <w:rPr>
                <w:rFonts w:ascii="Arial Narrow" w:hAnsi="Arial Narrow" w:cs="Arial"/>
                <w:i/>
                <w:color w:val="000000" w:themeColor="text1"/>
                <w:sz w:val="20"/>
                <w:szCs w:val="20"/>
              </w:rPr>
              <w:t>-$325,804</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38764F51" w14:textId="1B3149B4" w:rsidR="00891554" w:rsidRPr="00A32701" w:rsidRDefault="00906E3F" w:rsidP="00DA1AC9">
            <w:pPr>
              <w:jc w:val="right"/>
              <w:rPr>
                <w:rFonts w:ascii="Arial Narrow" w:hAnsi="Arial Narrow" w:cs="Calibri"/>
                <w:i/>
                <w:color w:val="000000" w:themeColor="text1"/>
                <w:sz w:val="20"/>
                <w:szCs w:val="20"/>
              </w:rPr>
            </w:pPr>
            <w:r w:rsidRPr="00A32701">
              <w:rPr>
                <w:rFonts w:ascii="Arial Narrow" w:hAnsi="Arial Narrow" w:cs="Arial"/>
                <w:i/>
                <w:color w:val="000000" w:themeColor="text1"/>
                <w:sz w:val="20"/>
                <w:szCs w:val="20"/>
              </w:rPr>
              <w:t>-$532,983</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2DCDB55D" w14:textId="4CE54E6A" w:rsidR="00891554" w:rsidRPr="00A32701" w:rsidRDefault="00906E3F" w:rsidP="00DA1AC9">
            <w:pPr>
              <w:jc w:val="right"/>
              <w:rPr>
                <w:rFonts w:ascii="Arial Narrow" w:hAnsi="Arial Narrow" w:cs="Calibri"/>
                <w:i/>
                <w:color w:val="000000" w:themeColor="text1"/>
                <w:sz w:val="20"/>
                <w:szCs w:val="20"/>
              </w:rPr>
            </w:pPr>
            <w:r w:rsidRPr="00A32701">
              <w:rPr>
                <w:rFonts w:ascii="Arial Narrow" w:hAnsi="Arial Narrow" w:cs="Arial"/>
                <w:i/>
                <w:color w:val="000000" w:themeColor="text1"/>
                <w:sz w:val="20"/>
                <w:szCs w:val="20"/>
              </w:rPr>
              <w:t>-$740,162</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47B36995" w14:textId="13FE120D" w:rsidR="00891554" w:rsidRPr="00A32701" w:rsidRDefault="00906E3F" w:rsidP="00DA1AC9">
            <w:pPr>
              <w:jc w:val="right"/>
              <w:rPr>
                <w:rFonts w:ascii="Arial Narrow" w:hAnsi="Arial Narrow" w:cs="Calibri"/>
                <w:i/>
                <w:color w:val="000000" w:themeColor="text1"/>
                <w:sz w:val="20"/>
                <w:szCs w:val="20"/>
              </w:rPr>
            </w:pPr>
            <w:r w:rsidRPr="00A32701">
              <w:rPr>
                <w:rFonts w:ascii="Arial Narrow" w:hAnsi="Arial Narrow" w:cs="Arial"/>
                <w:i/>
                <w:color w:val="000000" w:themeColor="text1"/>
                <w:sz w:val="20"/>
                <w:szCs w:val="20"/>
              </w:rPr>
              <w:t>-$947,341</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48E646D4" w14:textId="15073286" w:rsidR="00891554" w:rsidRPr="00A32701" w:rsidRDefault="00906E3F" w:rsidP="00DA1AC9">
            <w:pPr>
              <w:jc w:val="right"/>
              <w:rPr>
                <w:rFonts w:ascii="Arial Narrow" w:hAnsi="Arial Narrow" w:cs="Calibri"/>
                <w:i/>
                <w:color w:val="000000" w:themeColor="text1"/>
                <w:sz w:val="20"/>
                <w:szCs w:val="20"/>
              </w:rPr>
            </w:pPr>
            <w:r w:rsidRPr="00A32701">
              <w:rPr>
                <w:rFonts w:ascii="Arial Narrow" w:hAnsi="Arial Narrow" w:cs="Arial"/>
                <w:i/>
                <w:color w:val="000000" w:themeColor="text1"/>
                <w:sz w:val="20"/>
                <w:szCs w:val="20"/>
              </w:rPr>
              <w:t>-$885,411</w:t>
            </w:r>
          </w:p>
        </w:tc>
      </w:tr>
      <w:tr w:rsidR="00566A30" w:rsidRPr="00891554" w14:paraId="30F172B6" w14:textId="77777777" w:rsidTr="00566A30">
        <w:trPr>
          <w:trHeight w:val="208"/>
        </w:trPr>
        <w:tc>
          <w:tcPr>
            <w:tcW w:w="5000" w:type="pct"/>
            <w:gridSpan w:val="7"/>
            <w:tcBorders>
              <w:right w:val="single" w:sz="4" w:space="0" w:color="auto"/>
            </w:tcBorders>
            <w:shd w:val="clear" w:color="auto" w:fill="auto"/>
            <w:vAlign w:val="center"/>
          </w:tcPr>
          <w:p w14:paraId="1A9DC092" w14:textId="73705E80" w:rsidR="00566A30" w:rsidRPr="00A32701" w:rsidRDefault="00566A30" w:rsidP="00566A30">
            <w:pPr>
              <w:rPr>
                <w:rFonts w:ascii="Arial Narrow" w:hAnsi="Arial Narrow" w:cs="Arial"/>
                <w:i/>
                <w:color w:val="000000" w:themeColor="text1"/>
                <w:sz w:val="20"/>
                <w:szCs w:val="20"/>
              </w:rPr>
            </w:pPr>
            <w:r>
              <w:rPr>
                <w:rFonts w:ascii="Arial Narrow" w:hAnsi="Arial Narrow" w:cs="Calibri"/>
                <w:i/>
                <w:sz w:val="20"/>
                <w:szCs w:val="20"/>
              </w:rPr>
              <w:t>C</w:t>
            </w:r>
            <w:r w:rsidRPr="00807CF0">
              <w:rPr>
                <w:rFonts w:ascii="Arial Narrow" w:hAnsi="Arial Narrow" w:cs="Calibri"/>
                <w:i/>
                <w:sz w:val="20"/>
                <w:szCs w:val="20"/>
              </w:rPr>
              <w:t>linical utility</w:t>
            </w:r>
            <w:r>
              <w:rPr>
                <w:rFonts w:ascii="Arial Narrow" w:hAnsi="Arial Narrow" w:cs="Calibri"/>
                <w:i/>
                <w:sz w:val="20"/>
                <w:szCs w:val="20"/>
              </w:rPr>
              <w:t xml:space="preserve"> - proportion of women developing preeclampsia</w:t>
            </w:r>
            <w:r w:rsidRPr="00A32701">
              <w:rPr>
                <w:rFonts w:ascii="Arial Narrow" w:hAnsi="Arial Narrow" w:cs="Calibri"/>
                <w:i/>
                <w:sz w:val="20"/>
                <w:szCs w:val="20"/>
              </w:rPr>
              <w:t xml:space="preserve"> (base case = preeclampsia </w:t>
            </w:r>
            <w:r>
              <w:rPr>
                <w:rFonts w:ascii="Arial Narrow" w:hAnsi="Arial Narrow" w:cs="Calibri"/>
                <w:i/>
                <w:sz w:val="20"/>
                <w:szCs w:val="20"/>
              </w:rPr>
              <w:t>&lt;</w:t>
            </w:r>
            <w:r w:rsidRPr="00A32701">
              <w:rPr>
                <w:rFonts w:ascii="Arial Narrow" w:hAnsi="Arial Narrow" w:cs="Calibri"/>
                <w:i/>
                <w:sz w:val="20"/>
                <w:szCs w:val="20"/>
              </w:rPr>
              <w:t xml:space="preserve">37 weeks standard = </w:t>
            </w:r>
            <w:r>
              <w:rPr>
                <w:rFonts w:ascii="Arial Narrow" w:hAnsi="Arial Narrow" w:cs="Calibri"/>
                <w:i/>
                <w:sz w:val="20"/>
                <w:szCs w:val="20"/>
              </w:rPr>
              <w:t>0.7</w:t>
            </w:r>
            <w:r w:rsidRPr="00A32701">
              <w:rPr>
                <w:rFonts w:ascii="Arial Narrow" w:hAnsi="Arial Narrow" w:cs="Calibri"/>
                <w:i/>
                <w:sz w:val="20"/>
                <w:szCs w:val="20"/>
              </w:rPr>
              <w:t xml:space="preserve">%; FMF = </w:t>
            </w:r>
            <w:r>
              <w:rPr>
                <w:rFonts w:ascii="Arial Narrow" w:hAnsi="Arial Narrow" w:cs="Calibri"/>
                <w:i/>
                <w:sz w:val="20"/>
                <w:szCs w:val="20"/>
              </w:rPr>
              <w:t>0.4</w:t>
            </w:r>
            <w:r w:rsidRPr="00A32701">
              <w:rPr>
                <w:rFonts w:ascii="Arial Narrow" w:hAnsi="Arial Narrow" w:cs="Calibri"/>
                <w:i/>
                <w:sz w:val="20"/>
                <w:szCs w:val="20"/>
              </w:rPr>
              <w:t>%)</w:t>
            </w:r>
          </w:p>
        </w:tc>
      </w:tr>
      <w:tr w:rsidR="00891554" w:rsidRPr="00891554" w14:paraId="5968B2C0" w14:textId="77777777" w:rsidTr="1923DEB3">
        <w:trPr>
          <w:trHeight w:val="198"/>
        </w:trPr>
        <w:tc>
          <w:tcPr>
            <w:tcW w:w="640" w:type="pct"/>
            <w:shd w:val="clear" w:color="auto" w:fill="auto"/>
            <w:vAlign w:val="center"/>
          </w:tcPr>
          <w:p w14:paraId="1465C74F" w14:textId="1B21D2B6" w:rsidR="00891554" w:rsidRPr="00A32701" w:rsidRDefault="00DA1AC9">
            <w:pPr>
              <w:rPr>
                <w:rFonts w:ascii="Arial Narrow" w:hAnsi="Arial Narrow" w:cs="Calibri"/>
                <w:i/>
                <w:sz w:val="20"/>
                <w:szCs w:val="20"/>
              </w:rPr>
            </w:pPr>
            <w:r w:rsidRPr="00A32701">
              <w:rPr>
                <w:rFonts w:ascii="Arial Narrow" w:hAnsi="Arial Narrow" w:cs="Calibri"/>
                <w:i/>
                <w:sz w:val="20"/>
                <w:szCs w:val="20"/>
              </w:rPr>
              <w:t>Preeclampsia: &lt;37 weeks standard = 0.6%</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BD999" w14:textId="5E592F80" w:rsidR="00891554" w:rsidRPr="00A32701" w:rsidRDefault="00DA1AC9" w:rsidP="00AC115E">
            <w:pPr>
              <w:pStyle w:val="Tabletext0"/>
              <w:jc w:val="right"/>
              <w:rPr>
                <w:rFonts w:cs="Calibri"/>
                <w:i/>
              </w:rPr>
            </w:pPr>
            <w:r w:rsidRPr="00A32701">
              <w:rPr>
                <w:i/>
              </w:rPr>
              <w:t>$2,231,016</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38F78964" w14:textId="1E80254F" w:rsidR="00891554" w:rsidRPr="00A32701" w:rsidRDefault="00DA1AC9" w:rsidP="00AC115E">
            <w:pPr>
              <w:pStyle w:val="Tabletext0"/>
              <w:jc w:val="right"/>
              <w:rPr>
                <w:rFonts w:cs="Calibri"/>
                <w:i/>
              </w:rPr>
            </w:pPr>
            <w:r w:rsidRPr="00A32701">
              <w:rPr>
                <w:i/>
              </w:rPr>
              <w:t>$2,032,716</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0B5E8DC2" w14:textId="3523F914" w:rsidR="00891554" w:rsidRPr="00A32701" w:rsidRDefault="00DA1AC9" w:rsidP="00AC115E">
            <w:pPr>
              <w:pStyle w:val="Tabletext0"/>
              <w:jc w:val="right"/>
              <w:rPr>
                <w:rFonts w:cs="Calibri"/>
                <w:i/>
              </w:rPr>
            </w:pPr>
            <w:r w:rsidRPr="00A32701">
              <w:rPr>
                <w:i/>
              </w:rPr>
              <w:t>$1,834,416</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45710971" w14:textId="401742A4" w:rsidR="00891554" w:rsidRPr="00A32701" w:rsidRDefault="00DA1AC9" w:rsidP="00AC115E">
            <w:pPr>
              <w:pStyle w:val="Tabletext0"/>
              <w:jc w:val="right"/>
              <w:rPr>
                <w:rFonts w:cs="Calibri"/>
                <w:i/>
              </w:rPr>
            </w:pPr>
            <w:r w:rsidRPr="00A32701">
              <w:rPr>
                <w:i/>
              </w:rPr>
              <w:t>$1,636,116</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1C841636" w14:textId="57646744" w:rsidR="00891554" w:rsidRPr="00A32701" w:rsidRDefault="00DA1AC9" w:rsidP="00AC115E">
            <w:pPr>
              <w:pStyle w:val="Tabletext0"/>
              <w:jc w:val="right"/>
              <w:rPr>
                <w:rFonts w:cs="Calibri"/>
                <w:i/>
              </w:rPr>
            </w:pPr>
            <w:r w:rsidRPr="00A32701">
              <w:rPr>
                <w:i/>
              </w:rPr>
              <w:t>$1,437,816</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1254C726" w14:textId="41DA85CD" w:rsidR="00891554" w:rsidRPr="00A32701" w:rsidRDefault="00DA1AC9" w:rsidP="00AC115E">
            <w:pPr>
              <w:pStyle w:val="Tabletext0"/>
              <w:jc w:val="right"/>
              <w:rPr>
                <w:rFonts w:cs="Calibri"/>
                <w:i/>
              </w:rPr>
            </w:pPr>
            <w:r w:rsidRPr="00A32701">
              <w:rPr>
                <w:i/>
              </w:rPr>
              <w:t>$1,508,624</w:t>
            </w:r>
          </w:p>
        </w:tc>
      </w:tr>
    </w:tbl>
    <w:p w14:paraId="5615381E" w14:textId="1AB65473" w:rsidR="000A2CA2" w:rsidRDefault="00987A0C" w:rsidP="00A32701">
      <w:pPr>
        <w:pStyle w:val="a-TableFOOTER"/>
        <w:spacing w:after="0"/>
      </w:pPr>
      <w:r>
        <w:t>Abbreviations: FMF=</w:t>
      </w:r>
      <w:proofErr w:type="spellStart"/>
      <w:r>
        <w:t>Fetal</w:t>
      </w:r>
      <w:proofErr w:type="spellEnd"/>
      <w:r>
        <w:t xml:space="preserve"> Medicine Foundation risk calculator; </w:t>
      </w:r>
      <w:r w:rsidRPr="00D512E1">
        <w:t>MBS</w:t>
      </w:r>
      <w:r>
        <w:t>=Medicare Benefits Schedule</w:t>
      </w:r>
      <w:r w:rsidR="00687E08">
        <w:t>.</w:t>
      </w:r>
    </w:p>
    <w:p w14:paraId="5A20F99F" w14:textId="0468F4B6" w:rsidR="00422DBC" w:rsidRDefault="0071772A" w:rsidP="007A3F98">
      <w:pPr>
        <w:pStyle w:val="Tablenotes0"/>
      </w:pPr>
      <w:r w:rsidRPr="000F2655">
        <w:rPr>
          <w:rStyle w:val="TableFigureFooterChar"/>
          <w:rFonts w:eastAsiaTheme="minorHAnsi"/>
        </w:rPr>
        <w:t xml:space="preserve">Source: Table </w:t>
      </w:r>
      <w:r w:rsidR="00E261C9">
        <w:rPr>
          <w:rStyle w:val="TableFigureFooterChar"/>
          <w:rFonts w:eastAsiaTheme="minorHAnsi"/>
        </w:rPr>
        <w:t>5</w:t>
      </w:r>
      <w:r w:rsidR="000D2848">
        <w:rPr>
          <w:rStyle w:val="TableFigureFooterChar"/>
          <w:rFonts w:eastAsiaTheme="minorHAnsi"/>
        </w:rPr>
        <w:t>1 to</w:t>
      </w:r>
      <w:r w:rsidR="00E261C9">
        <w:rPr>
          <w:rStyle w:val="TableFigureFooterChar"/>
          <w:rFonts w:eastAsiaTheme="minorHAnsi"/>
        </w:rPr>
        <w:t xml:space="preserve"> 53</w:t>
      </w:r>
      <w:r w:rsidRPr="000F2655">
        <w:rPr>
          <w:rStyle w:val="TableFigureFooterChar"/>
          <w:rFonts w:eastAsiaTheme="minorHAnsi"/>
        </w:rPr>
        <w:t>; p9</w:t>
      </w:r>
      <w:r w:rsidR="000D2848">
        <w:rPr>
          <w:rStyle w:val="TableFigureFooterChar"/>
          <w:rFonts w:eastAsiaTheme="minorHAnsi"/>
        </w:rPr>
        <w:t>6-98</w:t>
      </w:r>
      <w:r w:rsidRPr="000F2655">
        <w:rPr>
          <w:rStyle w:val="TableFigureFooterChar"/>
          <w:rFonts w:eastAsiaTheme="minorHAnsi"/>
        </w:rPr>
        <w:t xml:space="preserve"> of the ADAR and italics indicate compiled during evaluation</w:t>
      </w:r>
      <w:r>
        <w:t>.</w:t>
      </w:r>
      <w:r w:rsidRPr="00F12511">
        <w:t xml:space="preserve"> </w:t>
      </w:r>
    </w:p>
    <w:p w14:paraId="3E5D3631" w14:textId="4CE857C2" w:rsidR="00E33277" w:rsidRPr="00CE28E3" w:rsidRDefault="00E33277" w:rsidP="00E33277">
      <w:pPr>
        <w:pStyle w:val="Heading2"/>
        <w:numPr>
          <w:ilvl w:val="0"/>
          <w:numId w:val="0"/>
        </w:numPr>
      </w:pPr>
      <w:bookmarkStart w:id="49" w:name="_Toc69491427"/>
      <w:bookmarkEnd w:id="45"/>
      <w:r>
        <w:t>1</w:t>
      </w:r>
      <w:r w:rsidR="00503420">
        <w:t>5</w:t>
      </w:r>
      <w:r>
        <w:t>.</w:t>
      </w:r>
      <w:r>
        <w:tab/>
      </w:r>
      <w:r w:rsidRPr="00CE28E3">
        <w:t xml:space="preserve">Other relevant </w:t>
      </w:r>
      <w:bookmarkEnd w:id="49"/>
      <w:r>
        <w:t>information</w:t>
      </w:r>
    </w:p>
    <w:p w14:paraId="7301C6E4" w14:textId="0D79D751" w:rsidR="00233557" w:rsidRPr="007E082B" w:rsidRDefault="00233557" w:rsidP="000F057F">
      <w:pPr>
        <w:pStyle w:val="a-TEXT"/>
      </w:pPr>
      <w:r w:rsidRPr="007E082B">
        <w:t xml:space="preserve">There </w:t>
      </w:r>
      <w:r w:rsidR="001E2968">
        <w:t>we</w:t>
      </w:r>
      <w:r w:rsidRPr="007E082B">
        <w:t xml:space="preserve">re some important </w:t>
      </w:r>
      <w:r w:rsidR="006C728D" w:rsidRPr="007E082B">
        <w:t>considerations</w:t>
      </w:r>
      <w:r w:rsidR="000A2CA2">
        <w:t xml:space="preserve"> related to the proposed structured prenatal assessment tool</w:t>
      </w:r>
      <w:r w:rsidR="006C728D" w:rsidRPr="007E082B">
        <w:t>, primarily related to</w:t>
      </w:r>
      <w:r w:rsidRPr="007E082B">
        <w:t xml:space="preserve"> demand and implementation</w:t>
      </w:r>
      <w:r w:rsidR="006C728D" w:rsidRPr="007E082B">
        <w:t xml:space="preserve">, which </w:t>
      </w:r>
      <w:r w:rsidR="001E2968">
        <w:t>were</w:t>
      </w:r>
      <w:r w:rsidR="001E2968" w:rsidRPr="007E082B">
        <w:t xml:space="preserve"> </w:t>
      </w:r>
      <w:r w:rsidR="006C728D" w:rsidRPr="007E082B">
        <w:t xml:space="preserve">not discussed </w:t>
      </w:r>
      <w:r w:rsidR="00CF77C1" w:rsidRPr="007E082B">
        <w:t>in this ADAR.</w:t>
      </w:r>
    </w:p>
    <w:p w14:paraId="61F48783" w14:textId="77777777" w:rsidR="00CD1D24" w:rsidRPr="00CD1D24" w:rsidRDefault="00CD1D24" w:rsidP="00943784">
      <w:pPr>
        <w:pStyle w:val="Heading3"/>
      </w:pPr>
      <w:r w:rsidRPr="00CD1D24">
        <w:t>Equity of access</w:t>
      </w:r>
    </w:p>
    <w:p w14:paraId="7CFFA9DE" w14:textId="7C00F790" w:rsidR="00CD1D24" w:rsidRPr="006A77E0" w:rsidRDefault="00CD1D24" w:rsidP="00CD1D24">
      <w:pPr>
        <w:pStyle w:val="a-TEXT"/>
      </w:pPr>
      <w:r>
        <w:t xml:space="preserve">The ADAR did not provide any information on access to services for underserved populations, such as: </w:t>
      </w:r>
      <w:r w:rsidRPr="008E2F92">
        <w:t xml:space="preserve">Aboriginal and Torres Strait Islander </w:t>
      </w:r>
      <w:r>
        <w:t>people</w:t>
      </w:r>
      <w:r w:rsidRPr="008E2F92">
        <w:t xml:space="preserve">, </w:t>
      </w:r>
      <w:r>
        <w:t>people in</w:t>
      </w:r>
      <w:r w:rsidRPr="008E2F92">
        <w:t xml:space="preserve"> rural and remote communities, </w:t>
      </w:r>
      <w:r>
        <w:t xml:space="preserve">or </w:t>
      </w:r>
      <w:r w:rsidRPr="008E2F92">
        <w:t xml:space="preserve">culturally and linguistically diverse </w:t>
      </w:r>
      <w:r>
        <w:t>groups</w:t>
      </w:r>
      <w:r w:rsidRPr="008E2F92">
        <w:t>.</w:t>
      </w:r>
      <w:r>
        <w:t xml:space="preserve"> This was identified as an issue in consultation by multiple </w:t>
      </w:r>
      <w:proofErr w:type="gramStart"/>
      <w:r>
        <w:t>organisations, but</w:t>
      </w:r>
      <w:proofErr w:type="gramEnd"/>
      <w:r>
        <w:t xml:space="preserve"> </w:t>
      </w:r>
      <w:r w:rsidR="00422DBC">
        <w:t>w</w:t>
      </w:r>
      <w:r>
        <w:t>as not discussed</w:t>
      </w:r>
      <w:r w:rsidR="00422DBC">
        <w:t xml:space="preserve"> in the ADAR</w:t>
      </w:r>
      <w:r>
        <w:t>.</w:t>
      </w:r>
    </w:p>
    <w:p w14:paraId="2CC3B99D" w14:textId="77777777" w:rsidR="00CD1D24" w:rsidRPr="007E082B" w:rsidRDefault="00CD1D24" w:rsidP="00943784">
      <w:pPr>
        <w:pStyle w:val="Heading3"/>
      </w:pPr>
      <w:r>
        <w:lastRenderedPageBreak/>
        <w:t>Workforce considerations</w:t>
      </w:r>
      <w:r w:rsidRPr="007E082B">
        <w:t xml:space="preserve"> </w:t>
      </w:r>
    </w:p>
    <w:p w14:paraId="6BB4750E" w14:textId="77777777" w:rsidR="00CD1D24" w:rsidRPr="0047557C" w:rsidRDefault="00CD1D24" w:rsidP="00CD1D24">
      <w:pPr>
        <w:pStyle w:val="a-TEXT"/>
      </w:pPr>
      <w:r w:rsidRPr="0047557C">
        <w:t>The components of the risk algorithm must be completed by appropriately trained staff (this was identified as a key issue from organisational stakeholders). Consideration of the individual training, certification, and performance auditing requirements is needed, as well as the number of staff required to meet demand for services and the consequential costs.</w:t>
      </w:r>
    </w:p>
    <w:p w14:paraId="4962A134" w14:textId="77777777" w:rsidR="00CD1D24" w:rsidRPr="007E082B" w:rsidRDefault="00CD1D24" w:rsidP="00943784">
      <w:pPr>
        <w:pStyle w:val="Heading3"/>
      </w:pPr>
      <w:r w:rsidRPr="007E082B">
        <w:t>Education and support</w:t>
      </w:r>
    </w:p>
    <w:p w14:paraId="67CF22ED" w14:textId="4C2642ED" w:rsidR="00CD1D24" w:rsidRPr="007E082B" w:rsidRDefault="00CD1D24" w:rsidP="00CD1D24">
      <w:pPr>
        <w:pStyle w:val="a-TEXT"/>
      </w:pPr>
      <w:r w:rsidRPr="007E082B">
        <w:t xml:space="preserve">Both (1) pre-intervention education regarding availability of the test for preeclampsia, and (2) post-intervention counselling regarding interpretation of test results were identified as necessary in public consultation. Both will assist in managing psychological burden associated with </w:t>
      </w:r>
      <w:r w:rsidR="00F56D38">
        <w:t>testing</w:t>
      </w:r>
      <w:r w:rsidRPr="007E082B">
        <w:t>, as well as self-administration of aspirin. Consideration of the cost and resource requirements for this is required, as this has not been incorporated into this ADAR.</w:t>
      </w:r>
    </w:p>
    <w:p w14:paraId="603CD0AC" w14:textId="6E6A17C7" w:rsidR="00FC5689" w:rsidRPr="006A77E0" w:rsidRDefault="00B311CF" w:rsidP="00943784">
      <w:pPr>
        <w:pStyle w:val="Heading3"/>
      </w:pPr>
      <w:r>
        <w:t>Data collection and privacy</w:t>
      </w:r>
    </w:p>
    <w:p w14:paraId="39F1724E" w14:textId="77777777" w:rsidR="00CF77C1" w:rsidRDefault="00CF77C1" w:rsidP="000F057F">
      <w:pPr>
        <w:pStyle w:val="a-TEXT"/>
      </w:pPr>
      <w:r w:rsidRPr="006A77E0">
        <w:t>Data collection and privacy implications may need to be considered given the FMF risk calculator hosted online.</w:t>
      </w:r>
    </w:p>
    <w:p w14:paraId="3375C763" w14:textId="77777777" w:rsidR="00CD1D24" w:rsidRPr="007E082B" w:rsidRDefault="00CD1D24" w:rsidP="00943784">
      <w:pPr>
        <w:pStyle w:val="Heading3"/>
      </w:pPr>
      <w:r w:rsidRPr="007E082B">
        <w:t>Managing risk information and related self-administration</w:t>
      </w:r>
    </w:p>
    <w:p w14:paraId="162700DB" w14:textId="7A7C87EE" w:rsidR="005C726D" w:rsidRDefault="00CD1D24" w:rsidP="005635EB">
      <w:pPr>
        <w:pStyle w:val="a-TEXT"/>
      </w:pPr>
      <w:r w:rsidRPr="007E082B">
        <w:t xml:space="preserve">Risk-based </w:t>
      </w:r>
      <w:r w:rsidR="00F56D38">
        <w:t>testing</w:t>
      </w:r>
      <w:r w:rsidRPr="007E082B">
        <w:t xml:space="preserve"> has issues around risk perception and eligibility cut-offs which were not addressed in this application. Participants who receive risk information may conceptualise this in different ways. For example, those who are “close to” the risk threshold for treatment may perceive themselves as high risk. Equally, those who are deemed low risk but have certain concerns or personal biases, may also perceive themselves as high risk. In either case, receiving risk information can trigger people to consider their risk, and based on their perceptions, may want treatment. For this proposal, this is a particular concern given that aspirin is over the counter and readily accessible. Self-administration and its impacts should be considered, particularly in the context of the possible safety concerns of treatment raised above.</w:t>
      </w:r>
      <w:r w:rsidR="001314BF" w:rsidDel="001314BF">
        <w:t xml:space="preserve"> </w:t>
      </w:r>
    </w:p>
    <w:p w14:paraId="1691AE02" w14:textId="401CE5B0" w:rsidR="00971DBF" w:rsidRDefault="00503420" w:rsidP="00503420">
      <w:pPr>
        <w:pStyle w:val="Heading2"/>
        <w:numPr>
          <w:ilvl w:val="0"/>
          <w:numId w:val="0"/>
        </w:numPr>
      </w:pPr>
      <w:r>
        <w:t>16.</w:t>
      </w:r>
      <w:r>
        <w:tab/>
        <w:t>Key issues from ESC to MSAC</w:t>
      </w:r>
    </w:p>
    <w:p w14:paraId="56F17835" w14:textId="77777777" w:rsidR="00971DBF" w:rsidRDefault="00971DBF" w:rsidP="00971DBF">
      <w:pPr>
        <w:pStyle w:val="BoxName0"/>
      </w:pPr>
      <w:r w:rsidRPr="00C749CB">
        <w:t>Main issues for MSAC consideration</w:t>
      </w:r>
    </w:p>
    <w:p w14:paraId="089D69EA" w14:textId="77777777" w:rsidR="00971DBF" w:rsidRDefault="00971DBF" w:rsidP="00971DBF">
      <w:pPr>
        <w:pStyle w:val="BoxName0"/>
      </w:pPr>
      <w:r>
        <w:t>Clinical issues:</w:t>
      </w:r>
    </w:p>
    <w:p w14:paraId="19F4F5A0" w14:textId="77777777" w:rsidR="00971DBF" w:rsidRPr="00E82600" w:rsidRDefault="00971DBF" w:rsidP="00971DBF">
      <w:pPr>
        <w:pStyle w:val="BoxBullet"/>
      </w:pPr>
      <w:r w:rsidRPr="00362C14">
        <w:t>T</w:t>
      </w:r>
      <w:r w:rsidRPr="00251A79">
        <w:t xml:space="preserve">he TGA </w:t>
      </w:r>
      <w:r>
        <w:t xml:space="preserve">recently advised that the FMF risk calculator requires regulation as a medical device.  An application for TGA regulation must be in train before public funding can be supported, and therefore MSAC is requested to consider </w:t>
      </w:r>
      <w:r w:rsidRPr="005805E3">
        <w:t>the context of any uncertainty regarding TGA registration</w:t>
      </w:r>
      <w:r>
        <w:t xml:space="preserve">. </w:t>
      </w:r>
    </w:p>
    <w:p w14:paraId="657FB6C4" w14:textId="77777777" w:rsidR="00971DBF" w:rsidRPr="00F361DE" w:rsidRDefault="00971DBF" w:rsidP="00971DBF">
      <w:pPr>
        <w:pStyle w:val="BoxBullet"/>
        <w:rPr>
          <w:b/>
          <w:bCs/>
        </w:rPr>
      </w:pPr>
      <w:r>
        <w:t>Additional</w:t>
      </w:r>
      <w:r w:rsidRPr="00E448DC">
        <w:t xml:space="preserve"> MBS</w:t>
      </w:r>
      <w:r>
        <w:t>-</w:t>
      </w:r>
      <w:r w:rsidRPr="00E448DC">
        <w:t>funded consultations</w:t>
      </w:r>
      <w:r>
        <w:t xml:space="preserve"> may be needed</w:t>
      </w:r>
      <w:r w:rsidRPr="00E448DC">
        <w:t xml:space="preserve"> to explain </w:t>
      </w:r>
      <w:r>
        <w:t xml:space="preserve">the </w:t>
      </w:r>
      <w:r w:rsidRPr="00E448DC">
        <w:t>results</w:t>
      </w:r>
      <w:r>
        <w:t xml:space="preserve"> of s</w:t>
      </w:r>
      <w:r w:rsidRPr="004965BB">
        <w:t xml:space="preserve">tructured </w:t>
      </w:r>
      <w:r>
        <w:t>p</w:t>
      </w:r>
      <w:r w:rsidRPr="004965BB">
        <w:t xml:space="preserve">renatal </w:t>
      </w:r>
      <w:r>
        <w:t>r</w:t>
      </w:r>
      <w:r w:rsidRPr="004965BB">
        <w:t xml:space="preserve">isk </w:t>
      </w:r>
      <w:r>
        <w:t>a</w:t>
      </w:r>
      <w:r w:rsidRPr="004965BB">
        <w:t xml:space="preserve">ssessment for </w:t>
      </w:r>
      <w:r>
        <w:t>p</w:t>
      </w:r>
      <w:r w:rsidRPr="004965BB">
        <w:t xml:space="preserve">reterm </w:t>
      </w:r>
      <w:r>
        <w:t>p</w:t>
      </w:r>
      <w:r w:rsidRPr="004965BB">
        <w:t>reeclampsia</w:t>
      </w:r>
      <w:r w:rsidRPr="00E448DC">
        <w:t xml:space="preserve"> and manage potential anxiety</w:t>
      </w:r>
      <w:r>
        <w:t>.</w:t>
      </w:r>
    </w:p>
    <w:p w14:paraId="6F936D85" w14:textId="77777777" w:rsidR="00971DBF" w:rsidRPr="00F361DE" w:rsidRDefault="00971DBF" w:rsidP="00971DBF">
      <w:pPr>
        <w:pStyle w:val="BoxBullet"/>
        <w:rPr>
          <w:b/>
          <w:bCs/>
        </w:rPr>
      </w:pPr>
      <w:r>
        <w:t xml:space="preserve">The evidence on </w:t>
      </w:r>
      <w:r w:rsidRPr="00BE0A80">
        <w:t xml:space="preserve">how well </w:t>
      </w:r>
      <w:r>
        <w:t>the FMF algorithm</w:t>
      </w:r>
      <w:r w:rsidRPr="00BE0A80">
        <w:t xml:space="preserve"> predic</w:t>
      </w:r>
      <w:r>
        <w:t xml:space="preserve">ted </w:t>
      </w:r>
      <w:r w:rsidRPr="00BE0A80">
        <w:t xml:space="preserve">risk of </w:t>
      </w:r>
      <w:r>
        <w:t xml:space="preserve">preeclampsia and, separately, how effective aspirin was at </w:t>
      </w:r>
      <w:r w:rsidRPr="00BE0A80">
        <w:t xml:space="preserve">preventing </w:t>
      </w:r>
      <w:r>
        <w:t xml:space="preserve">preeclampsia in at-risk pregnancies was strong. However, linkages from the use of the FMF algorithm to uptake of aspirin leading to reduced incidence of preeclampsia and improved pregnancy outcomes were </w:t>
      </w:r>
      <w:r w:rsidRPr="00AB4B30">
        <w:t>not demonstrated</w:t>
      </w:r>
      <w:r>
        <w:t xml:space="preserve">. Therefore, while the </w:t>
      </w:r>
      <w:r w:rsidRPr="00AB4B30">
        <w:t>assumptions underpinning the proposal for funding (</w:t>
      </w:r>
      <w:r>
        <w:t>that is,</w:t>
      </w:r>
      <w:r w:rsidRPr="00AB4B30">
        <w:t xml:space="preserve"> that </w:t>
      </w:r>
      <w:r>
        <w:t xml:space="preserve">risk assessment leads to </w:t>
      </w:r>
      <w:r w:rsidRPr="00AB4B30">
        <w:t>treatment</w:t>
      </w:r>
      <w:r>
        <w:t xml:space="preserve">, which leads to improved health </w:t>
      </w:r>
      <w:r w:rsidRPr="00AB4B30">
        <w:t xml:space="preserve">outcomes) may be reasonable from first principles, </w:t>
      </w:r>
      <w:r>
        <w:t xml:space="preserve">they were </w:t>
      </w:r>
      <w:r w:rsidRPr="00AB4B30">
        <w:t>not demonstrated by the evidence provided</w:t>
      </w:r>
      <w:r>
        <w:t>.</w:t>
      </w:r>
    </w:p>
    <w:p w14:paraId="05DD6BE0" w14:textId="77777777" w:rsidR="00971DBF" w:rsidRPr="00920543" w:rsidRDefault="00971DBF" w:rsidP="00971DBF">
      <w:pPr>
        <w:pStyle w:val="BoxBullet"/>
        <w:rPr>
          <w:b/>
          <w:bCs/>
        </w:rPr>
      </w:pPr>
      <w:r>
        <w:lastRenderedPageBreak/>
        <w:t>The safety outcomes of the use of aspirin in the proposed pregnant population were based on a study which reported aspirin use in a population of 789 at-risk individuals, and therefore this limits</w:t>
      </w:r>
      <w:r w:rsidRPr="002103B4">
        <w:t xml:space="preserve"> the ability to account for adverse events occurring at low frequency</w:t>
      </w:r>
      <w:r>
        <w:t>.</w:t>
      </w:r>
    </w:p>
    <w:p w14:paraId="1A801ADD" w14:textId="77777777" w:rsidR="00971DBF" w:rsidRDefault="00971DBF" w:rsidP="00971DBF">
      <w:pPr>
        <w:pStyle w:val="BoxBullet"/>
      </w:pPr>
      <w:r w:rsidRPr="00582866">
        <w:t xml:space="preserve">Given the evidence regarding false positive rates from </w:t>
      </w:r>
      <w:r>
        <w:t>testing using the FMF algorithm</w:t>
      </w:r>
      <w:r w:rsidRPr="00582866">
        <w:t>, and therefore potential</w:t>
      </w:r>
      <w:r>
        <w:t>ly</w:t>
      </w:r>
      <w:r w:rsidRPr="00582866">
        <w:t xml:space="preserve"> high </w:t>
      </w:r>
      <w:r>
        <w:t xml:space="preserve">uptake </w:t>
      </w:r>
      <w:r w:rsidRPr="00582866">
        <w:t xml:space="preserve">rates of </w:t>
      </w:r>
      <w:r>
        <w:t>prophylactic aspirin and the lack of evidence on incremental psychological harm associated with this testing compared to standard of care</w:t>
      </w:r>
      <w:r w:rsidRPr="00582866">
        <w:t>, the safety implications</w:t>
      </w:r>
      <w:r>
        <w:t xml:space="preserve"> of the</w:t>
      </w:r>
      <w:r w:rsidRPr="00582866">
        <w:t xml:space="preserve"> </w:t>
      </w:r>
      <w:r>
        <w:t>s</w:t>
      </w:r>
      <w:r w:rsidRPr="004965BB">
        <w:t xml:space="preserve">tructured </w:t>
      </w:r>
      <w:r>
        <w:t>p</w:t>
      </w:r>
      <w:r w:rsidRPr="004965BB">
        <w:t xml:space="preserve">renatal </w:t>
      </w:r>
      <w:r>
        <w:t>r</w:t>
      </w:r>
      <w:r w:rsidRPr="004965BB">
        <w:t xml:space="preserve">isk </w:t>
      </w:r>
      <w:r>
        <w:t>a</w:t>
      </w:r>
      <w:r w:rsidRPr="004965BB">
        <w:t xml:space="preserve">ssessment for </w:t>
      </w:r>
      <w:r>
        <w:t>p</w:t>
      </w:r>
      <w:r w:rsidRPr="004965BB">
        <w:t xml:space="preserve">reterm </w:t>
      </w:r>
      <w:r>
        <w:t>p</w:t>
      </w:r>
      <w:r w:rsidRPr="004965BB">
        <w:t>reeclampsia</w:t>
      </w:r>
      <w:r>
        <w:t xml:space="preserve"> (both in terms of direct testing and consequent treatment) are </w:t>
      </w:r>
      <w:r w:rsidRPr="00582866">
        <w:t xml:space="preserve">uncertain. </w:t>
      </w:r>
    </w:p>
    <w:p w14:paraId="3F934363" w14:textId="77777777" w:rsidR="00971DBF" w:rsidRDefault="00971DBF" w:rsidP="00971DBF">
      <w:pPr>
        <w:pStyle w:val="BoxBullet"/>
      </w:pPr>
      <w:r>
        <w:t>The only study to provide</w:t>
      </w:r>
      <w:r w:rsidRPr="00F737CF">
        <w:t xml:space="preserve"> evidence for</w:t>
      </w:r>
      <w:r>
        <w:t xml:space="preserve"> the direct link between use of the FMF risk calculator and</w:t>
      </w:r>
      <w:r w:rsidRPr="00F737CF">
        <w:t xml:space="preserve"> health outcomes</w:t>
      </w:r>
      <w:r>
        <w:t xml:space="preserve"> </w:t>
      </w:r>
      <w:r w:rsidRPr="00BF5CD7">
        <w:t>had a high risk of bias (in particular, selection and confounding bias) due to the intervention being administered to mainly patients at selected private centres who may not be representative of the general Australian patient population</w:t>
      </w:r>
      <w:r>
        <w:t>,</w:t>
      </w:r>
      <w:r w:rsidRPr="00BF5CD7">
        <w:t xml:space="preserve"> while the </w:t>
      </w:r>
      <w:r>
        <w:t>standard of care</w:t>
      </w:r>
      <w:r w:rsidRPr="00BF5CD7">
        <w:t xml:space="preserve"> population w</w:t>
      </w:r>
      <w:r>
        <w:t>as</w:t>
      </w:r>
      <w:r w:rsidRPr="00BF5CD7">
        <w:t xml:space="preserve"> drawn from the general Australian population, leading to significant differences </w:t>
      </w:r>
      <w:r>
        <w:t xml:space="preserve">between the two populations. </w:t>
      </w:r>
    </w:p>
    <w:p w14:paraId="0F8D0229" w14:textId="77777777" w:rsidR="00971DBF" w:rsidRDefault="00971DBF" w:rsidP="00971DBF">
      <w:pPr>
        <w:pStyle w:val="BoxBullet"/>
      </w:pPr>
      <w:r>
        <w:t>R</w:t>
      </w:r>
      <w:r w:rsidRPr="004965BB">
        <w:t xml:space="preserve">isk </w:t>
      </w:r>
      <w:r>
        <w:t>a</w:t>
      </w:r>
      <w:r w:rsidRPr="004965BB">
        <w:t xml:space="preserve">ssessment </w:t>
      </w:r>
      <w:r>
        <w:t xml:space="preserve">may impact access to existing ultrasound services, particularly given the </w:t>
      </w:r>
      <w:r w:rsidRPr="002301D3">
        <w:t>uncertainties regarding training</w:t>
      </w:r>
      <w:r>
        <w:t>/certification</w:t>
      </w:r>
      <w:r w:rsidRPr="002301D3">
        <w:t xml:space="preserve"> for </w:t>
      </w:r>
      <w:r>
        <w:t xml:space="preserve">the </w:t>
      </w:r>
      <w:r w:rsidRPr="002301D3">
        <w:t>radiology item</w:t>
      </w:r>
      <w:r>
        <w:t>.</w:t>
      </w:r>
    </w:p>
    <w:p w14:paraId="0E395566" w14:textId="77777777" w:rsidR="00971DBF" w:rsidRDefault="00971DBF" w:rsidP="00971DBF">
      <w:pPr>
        <w:pStyle w:val="BoxHeading"/>
      </w:pPr>
      <w:r>
        <w:t>Economic issues:</w:t>
      </w:r>
    </w:p>
    <w:p w14:paraId="488DE10D" w14:textId="77777777" w:rsidR="00971DBF" w:rsidRDefault="00971DBF" w:rsidP="00971DBF">
      <w:pPr>
        <w:pStyle w:val="BoxBullet"/>
      </w:pPr>
      <w:r w:rsidRPr="006E177C">
        <w:t>The</w:t>
      </w:r>
      <w:r>
        <w:t xml:space="preserve"> economic model was based on the clinical validation study investigating the </w:t>
      </w:r>
      <w:r w:rsidRPr="00D02E74">
        <w:t>direct link between use of the FMF risk calculator and health outcomes</w:t>
      </w:r>
      <w:r>
        <w:t>, which as discussed previously, had a high risk of selection and confounding bias.</w:t>
      </w:r>
    </w:p>
    <w:p w14:paraId="05FF9601" w14:textId="77777777" w:rsidR="00971DBF" w:rsidRDefault="00971DBF" w:rsidP="00971DBF">
      <w:pPr>
        <w:pStyle w:val="BoxBullet"/>
      </w:pPr>
      <w:r>
        <w:t xml:space="preserve">The economic model had the following discrepancies and omissions - </w:t>
      </w:r>
      <w:r w:rsidRPr="004F7F18">
        <w:t>the model structure</w:t>
      </w:r>
      <w:r>
        <w:t xml:space="preserve"> was </w:t>
      </w:r>
      <w:r w:rsidRPr="004F7F18">
        <w:t>oversimplified</w:t>
      </w:r>
      <w:r>
        <w:t xml:space="preserve"> as there was a </w:t>
      </w:r>
      <w:r w:rsidRPr="004F7F18">
        <w:t xml:space="preserve">lack of separation of the </w:t>
      </w:r>
      <w:r>
        <w:t>standard of care (SoC)</w:t>
      </w:r>
      <w:r w:rsidRPr="004F7F18">
        <w:t xml:space="preserve"> arm into low-risk and high-risk cohorts</w:t>
      </w:r>
      <w:r>
        <w:t xml:space="preserve">  and the impacts of this oversimplification are unclear though the assumption of a </w:t>
      </w:r>
      <w:r w:rsidRPr="00D85C21">
        <w:t>uniform monitoring cost</w:t>
      </w:r>
      <w:r>
        <w:t xml:space="preserve"> for both risk groups is potentially more </w:t>
      </w:r>
      <w:r w:rsidRPr="00D85C21">
        <w:t xml:space="preserve"> favourable to the </w:t>
      </w:r>
      <w:r>
        <w:t xml:space="preserve">risk assessment arm; </w:t>
      </w:r>
      <w:r w:rsidRPr="00B37C1D">
        <w:t>the percentage of patients receiving aspirin was</w:t>
      </w:r>
      <w:r>
        <w:t xml:space="preserve"> assumed to be</w:t>
      </w:r>
      <w:r w:rsidRPr="00B37C1D">
        <w:t xml:space="preserve"> higher in the SoC arm than the risk assessment arm</w:t>
      </w:r>
      <w:r>
        <w:t>; assumed hospitalisation costs were lower than those used in the economic model for MSAC application 1706 by the same applicant; the false positive rate of testing was not taken into account.</w:t>
      </w:r>
      <w:r w:rsidRPr="00F71DDC">
        <w:t xml:space="preserve"> the base case assumptions regarding </w:t>
      </w:r>
      <w:r>
        <w:t>p</w:t>
      </w:r>
      <w:r w:rsidRPr="00F71DDC">
        <w:t>robability of pre-term preeclampsia under SoC</w:t>
      </w:r>
      <w:r>
        <w:t xml:space="preserve"> and in the risk assessment arm (if assessed as low risk and high risk) were all based </w:t>
      </w:r>
      <w:r w:rsidRPr="00F71DDC">
        <w:t>on the unadjusted risk ratio</w:t>
      </w:r>
      <w:r>
        <w:t xml:space="preserve"> in the clinical validation study rather than the adjusted risk ratio.</w:t>
      </w:r>
    </w:p>
    <w:p w14:paraId="392A5584" w14:textId="77777777" w:rsidR="00971DBF" w:rsidRDefault="00971DBF" w:rsidP="00971DBF">
      <w:pPr>
        <w:pStyle w:val="BoxHeading"/>
      </w:pPr>
      <w:r>
        <w:t>Financial issues:</w:t>
      </w:r>
    </w:p>
    <w:p w14:paraId="281F88CA" w14:textId="77777777" w:rsidR="00971DBF" w:rsidRDefault="00971DBF" w:rsidP="00971DBF">
      <w:pPr>
        <w:pStyle w:val="BoxBullet"/>
      </w:pPr>
      <w:r>
        <w:t>There was considerable uncertainty in the financial estimates, and some of the assumptions used to calculate financial impact were questionable, especially assumptions regarding the diagnostic yield of the test in preventing pre-term and term preeclampsia.</w:t>
      </w:r>
    </w:p>
    <w:p w14:paraId="5CCF6D12" w14:textId="77777777" w:rsidR="00971DBF" w:rsidRPr="006E177C" w:rsidRDefault="00971DBF" w:rsidP="00971DBF">
      <w:pPr>
        <w:pStyle w:val="BoxBullet"/>
      </w:pPr>
      <w:r w:rsidRPr="006E177C">
        <w:t>There may be significant out</w:t>
      </w:r>
      <w:r>
        <w:t>-</w:t>
      </w:r>
      <w:r w:rsidRPr="006E177C">
        <w:t>of</w:t>
      </w:r>
      <w:r>
        <w:t>-</w:t>
      </w:r>
      <w:r w:rsidRPr="006E177C">
        <w:t>pocket cost</w:t>
      </w:r>
      <w:r>
        <w:t>s</w:t>
      </w:r>
      <w:r w:rsidRPr="006E177C">
        <w:t xml:space="preserve"> </w:t>
      </w:r>
      <w:r>
        <w:t xml:space="preserve">associated with the </w:t>
      </w:r>
      <w:r w:rsidRPr="00D02E74">
        <w:t xml:space="preserve">FMF risk calculator </w:t>
      </w:r>
      <w:r>
        <w:t>that</w:t>
      </w:r>
      <w:r w:rsidRPr="006E177C">
        <w:t xml:space="preserve"> were not considered by the ADAR</w:t>
      </w:r>
      <w:r>
        <w:t>. This would increase the overall societal costs of listing the structured risk assessment.</w:t>
      </w:r>
    </w:p>
    <w:p w14:paraId="1C983484" w14:textId="77777777" w:rsidR="00971DBF" w:rsidRPr="00F737CF" w:rsidRDefault="00971DBF" w:rsidP="00503420">
      <w:pPr>
        <w:spacing w:before="240" w:after="240"/>
        <w:rPr>
          <w:rFonts w:ascii="Franklin Gothic Book" w:hAnsi="Franklin Gothic Book"/>
          <w:b/>
          <w:color w:val="000000"/>
          <w:sz w:val="22"/>
          <w:szCs w:val="20"/>
          <w:lang w:eastAsia="en-AU"/>
        </w:rPr>
      </w:pPr>
      <w:r w:rsidRPr="00F737CF">
        <w:rPr>
          <w:rFonts w:ascii="Franklin Gothic Book" w:hAnsi="Franklin Gothic Book"/>
          <w:b/>
          <w:color w:val="000000"/>
          <w:sz w:val="22"/>
          <w:szCs w:val="20"/>
          <w:lang w:eastAsia="en-AU"/>
        </w:rPr>
        <w:t>ESC discussion</w:t>
      </w:r>
    </w:p>
    <w:p w14:paraId="162371CA"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noted that this </w:t>
      </w:r>
      <w:r>
        <w:rPr>
          <w:rFonts w:ascii="Franklin Gothic Book" w:hAnsi="Franklin Gothic Book"/>
          <w:color w:val="000000"/>
          <w:sz w:val="22"/>
          <w:szCs w:val="20"/>
          <w:lang w:eastAsia="en-AU"/>
        </w:rPr>
        <w:t>wa</w:t>
      </w:r>
      <w:r w:rsidRPr="00F737CF">
        <w:rPr>
          <w:rFonts w:ascii="Franklin Gothic Book" w:hAnsi="Franklin Gothic Book"/>
          <w:color w:val="000000"/>
          <w:sz w:val="22"/>
          <w:szCs w:val="20"/>
          <w:lang w:eastAsia="en-AU"/>
        </w:rPr>
        <w:t xml:space="preserve">s a new application requesting Medicare Benefits Schedule (MBS) listing of structured prenatal risk assessment for preterm preeclampsia in pregnant </w:t>
      </w:r>
      <w:r>
        <w:rPr>
          <w:rFonts w:ascii="Franklin Gothic Book" w:hAnsi="Franklin Gothic Book"/>
          <w:color w:val="000000"/>
          <w:sz w:val="22"/>
          <w:szCs w:val="20"/>
          <w:lang w:eastAsia="en-AU"/>
        </w:rPr>
        <w:t>individuals</w:t>
      </w:r>
      <w:r w:rsidRPr="00F737CF">
        <w:rPr>
          <w:rFonts w:ascii="Franklin Gothic Book" w:hAnsi="Franklin Gothic Book"/>
          <w:color w:val="000000"/>
          <w:sz w:val="22"/>
          <w:szCs w:val="20"/>
          <w:lang w:eastAsia="en-AU"/>
        </w:rPr>
        <w:t xml:space="preserve"> at 11+0 to 13+6 weeks gestation.</w:t>
      </w:r>
    </w:p>
    <w:p w14:paraId="68D110F2" w14:textId="77777777" w:rsidR="00971DBF" w:rsidRDefault="00971DBF" w:rsidP="00971DBF">
      <w:pPr>
        <w:spacing w:after="240"/>
        <w:rPr>
          <w:rFonts w:ascii="Franklin Gothic Book" w:hAnsi="Franklin Gothic Book"/>
          <w:color w:val="000000"/>
          <w:sz w:val="22"/>
          <w:szCs w:val="20"/>
          <w:lang w:eastAsia="en-AU"/>
        </w:rPr>
      </w:pPr>
      <w:r w:rsidRPr="008C0BB8">
        <w:rPr>
          <w:rFonts w:ascii="Franklin Gothic Book" w:hAnsi="Franklin Gothic Book"/>
          <w:sz w:val="22"/>
          <w:szCs w:val="22"/>
        </w:rPr>
        <w:t xml:space="preserve">ESC noted that in preeclampsia there is impaired trophoblastic invasion, which can cause placental thromboses and infarcts, and that early preeclampsia (before 34 weeks gestation) tends to be more severe and is associated with intrauterine growth restriction (IUGR) and low birth weight. ESC noted preeclampsia is associated with maternal hypertension, and can result in proteinuria, thrombocytopenia and increased risk of miscarriage or stillbirth. There is also a risk of preterm delivery as the ultimate therapeutic option for preeclampsia management, and </w:t>
      </w:r>
      <w:r w:rsidRPr="008C0BB8">
        <w:rPr>
          <w:rFonts w:ascii="Franklin Gothic Book" w:hAnsi="Franklin Gothic Book"/>
          <w:sz w:val="22"/>
          <w:szCs w:val="22"/>
        </w:rPr>
        <w:lastRenderedPageBreak/>
        <w:t xml:space="preserve">consequent risk of gestation-dependent neonatal morbidity and mortality. ESC noted that preeclampsia is antecedent in 10-15% of direct maternal deaths (approximately 1 per year in Australia), and in one third of pre-term births (approximately 2700 infants) and in approximately 200 neonatal or infant deaths per year in Australia. The management of preeclampsia is informed by the gestation at which it </w:t>
      </w:r>
      <w:proofErr w:type="gramStart"/>
      <w:r>
        <w:rPr>
          <w:rFonts w:ascii="Franklin Gothic Book" w:hAnsi="Franklin Gothic Book"/>
          <w:sz w:val="22"/>
          <w:szCs w:val="22"/>
        </w:rPr>
        <w:t>occurs</w:t>
      </w:r>
      <w:r w:rsidRPr="008C0BB8">
        <w:rPr>
          <w:rFonts w:ascii="Franklin Gothic Book" w:hAnsi="Franklin Gothic Book"/>
          <w:sz w:val="22"/>
          <w:szCs w:val="22"/>
        </w:rPr>
        <w:t>, and</w:t>
      </w:r>
      <w:proofErr w:type="gramEnd"/>
      <w:r w:rsidRPr="008C0BB8">
        <w:rPr>
          <w:rFonts w:ascii="Franklin Gothic Book" w:hAnsi="Franklin Gothic Book"/>
          <w:sz w:val="22"/>
          <w:szCs w:val="22"/>
        </w:rPr>
        <w:t xml:space="preserve"> may include administration of steroids for </w:t>
      </w:r>
      <w:proofErr w:type="spellStart"/>
      <w:r w:rsidRPr="008C0BB8">
        <w:rPr>
          <w:rFonts w:ascii="Franklin Gothic Book" w:hAnsi="Franklin Gothic Book"/>
          <w:sz w:val="22"/>
          <w:szCs w:val="22"/>
        </w:rPr>
        <w:t>fetal</w:t>
      </w:r>
      <w:proofErr w:type="spellEnd"/>
      <w:r w:rsidRPr="008C0BB8">
        <w:rPr>
          <w:rFonts w:ascii="Franklin Gothic Book" w:hAnsi="Franklin Gothic Book"/>
          <w:sz w:val="22"/>
          <w:szCs w:val="22"/>
        </w:rPr>
        <w:t xml:space="preserve"> lung maturation, intravenous magnesium, stabilisation of </w:t>
      </w:r>
      <w:r w:rsidRPr="00842844">
        <w:rPr>
          <w:rFonts w:ascii="Franklin Gothic Book" w:hAnsi="Franklin Gothic Book"/>
          <w:color w:val="000000"/>
          <w:sz w:val="22"/>
          <w:szCs w:val="20"/>
          <w:lang w:eastAsia="en-AU"/>
        </w:rPr>
        <w:t>haemodynamic or haematological instability, prior to delivery.</w:t>
      </w:r>
    </w:p>
    <w:p w14:paraId="37840774"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noted that the proposed intervention </w:t>
      </w:r>
      <w:r>
        <w:rPr>
          <w:rFonts w:ascii="Franklin Gothic Book" w:hAnsi="Franklin Gothic Book"/>
          <w:color w:val="000000"/>
          <w:sz w:val="22"/>
          <w:szCs w:val="20"/>
          <w:lang w:eastAsia="en-AU"/>
        </w:rPr>
        <w:t>wa</w:t>
      </w:r>
      <w:r w:rsidRPr="00F737CF">
        <w:rPr>
          <w:rFonts w:ascii="Franklin Gothic Book" w:hAnsi="Franklin Gothic Book"/>
          <w:color w:val="000000"/>
          <w:sz w:val="22"/>
          <w:szCs w:val="20"/>
          <w:lang w:eastAsia="en-AU"/>
        </w:rPr>
        <w:t xml:space="preserve">s the </w:t>
      </w:r>
      <w:proofErr w:type="spellStart"/>
      <w:r w:rsidRPr="00F737CF">
        <w:rPr>
          <w:rFonts w:ascii="Franklin Gothic Book" w:hAnsi="Franklin Gothic Book"/>
          <w:color w:val="000000"/>
          <w:sz w:val="22"/>
          <w:szCs w:val="20"/>
          <w:lang w:eastAsia="en-AU"/>
        </w:rPr>
        <w:t>Fetal</w:t>
      </w:r>
      <w:proofErr w:type="spellEnd"/>
      <w:r w:rsidRPr="00F737CF">
        <w:rPr>
          <w:rFonts w:ascii="Franklin Gothic Book" w:hAnsi="Franklin Gothic Book"/>
          <w:color w:val="000000"/>
          <w:sz w:val="22"/>
          <w:szCs w:val="20"/>
          <w:lang w:eastAsia="en-AU"/>
        </w:rPr>
        <w:t xml:space="preserve"> Medicine Foundation (FMF) risk assessment algorithm (“FMF risk calculator” or “FMF risk algorithm”), used to assess risk of preterm preeclampsia in asymptomatic pregnant </w:t>
      </w:r>
      <w:r>
        <w:rPr>
          <w:rFonts w:ascii="Franklin Gothic Book" w:hAnsi="Franklin Gothic Book"/>
          <w:color w:val="000000"/>
          <w:sz w:val="22"/>
          <w:szCs w:val="20"/>
          <w:lang w:eastAsia="en-AU"/>
        </w:rPr>
        <w:t>individuals</w:t>
      </w:r>
      <w:r w:rsidRPr="00F737CF">
        <w:rPr>
          <w:rFonts w:ascii="Franklin Gothic Book" w:hAnsi="Franklin Gothic Book"/>
          <w:color w:val="000000"/>
          <w:sz w:val="22"/>
          <w:szCs w:val="20"/>
          <w:lang w:eastAsia="en-AU"/>
        </w:rPr>
        <w:t xml:space="preserve"> at 11+0 to 13+6 weeks gestation, before signs and symptoms of preeclampsia develop (typically after 20 weeks). The proposed FMF risk calculator uses the following inputs to create a risk score:</w:t>
      </w:r>
    </w:p>
    <w:p w14:paraId="5F1ECA6D" w14:textId="77777777" w:rsidR="00971DBF" w:rsidRPr="00F737CF" w:rsidRDefault="00971DBF" w:rsidP="00971DBF">
      <w:pPr>
        <w:pStyle w:val="ListParagraph"/>
        <w:numPr>
          <w:ilvl w:val="0"/>
          <w:numId w:val="24"/>
        </w:numPr>
        <w:tabs>
          <w:tab w:val="num" w:pos="360"/>
        </w:tabs>
        <w:spacing w:after="12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medical history (specific characteristics)</w:t>
      </w:r>
    </w:p>
    <w:p w14:paraId="3B4896E8" w14:textId="77777777" w:rsidR="00971DBF" w:rsidRPr="00F737CF" w:rsidRDefault="00971DBF" w:rsidP="00971DBF">
      <w:pPr>
        <w:pStyle w:val="ListParagraph"/>
        <w:numPr>
          <w:ilvl w:val="0"/>
          <w:numId w:val="24"/>
        </w:numPr>
        <w:tabs>
          <w:tab w:val="num" w:pos="360"/>
        </w:tabs>
        <w:spacing w:after="12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maternal mean arterial pressure (MAP)</w:t>
      </w:r>
    </w:p>
    <w:p w14:paraId="6AD21DEB" w14:textId="77777777" w:rsidR="00971DBF" w:rsidRPr="00F737CF" w:rsidRDefault="00971DBF" w:rsidP="00971DBF">
      <w:pPr>
        <w:pStyle w:val="ListParagraph"/>
        <w:numPr>
          <w:ilvl w:val="0"/>
          <w:numId w:val="24"/>
        </w:numPr>
        <w:tabs>
          <w:tab w:val="num" w:pos="360"/>
        </w:tabs>
        <w:spacing w:after="12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biochemical measurement of maternal serum concentration of placental growth factor (</w:t>
      </w:r>
      <w:proofErr w:type="spellStart"/>
      <w:r w:rsidRPr="00F737CF">
        <w:rPr>
          <w:rFonts w:ascii="Franklin Gothic Book" w:hAnsi="Franklin Gothic Book"/>
          <w:color w:val="000000"/>
          <w:sz w:val="22"/>
          <w:szCs w:val="20"/>
          <w:lang w:eastAsia="en-AU"/>
        </w:rPr>
        <w:t>PlGF</w:t>
      </w:r>
      <w:proofErr w:type="spellEnd"/>
      <w:r w:rsidRPr="00F737CF">
        <w:rPr>
          <w:rFonts w:ascii="Franklin Gothic Book" w:hAnsi="Franklin Gothic Book"/>
          <w:color w:val="000000"/>
          <w:sz w:val="22"/>
          <w:szCs w:val="20"/>
          <w:lang w:eastAsia="en-AU"/>
        </w:rPr>
        <w:t>)</w:t>
      </w:r>
    </w:p>
    <w:p w14:paraId="19D29FD5" w14:textId="77777777" w:rsidR="00971DBF" w:rsidRPr="005F0119" w:rsidRDefault="00971DBF" w:rsidP="00971DBF">
      <w:pPr>
        <w:pStyle w:val="ListParagraph"/>
        <w:numPr>
          <w:ilvl w:val="0"/>
          <w:numId w:val="24"/>
        </w:numPr>
        <w:tabs>
          <w:tab w:val="num" w:pos="360"/>
        </w:tabs>
        <w:spacing w:after="240"/>
        <w:rPr>
          <w:rFonts w:ascii="Franklin Gothic Book" w:hAnsi="Franklin Gothic Book"/>
          <w:color w:val="000000"/>
          <w:sz w:val="22"/>
          <w:szCs w:val="20"/>
          <w:lang w:eastAsia="en-AU"/>
        </w:rPr>
      </w:pPr>
      <w:r w:rsidRPr="005F0119">
        <w:rPr>
          <w:rFonts w:ascii="Franklin Gothic Book" w:hAnsi="Franklin Gothic Book"/>
          <w:color w:val="000000"/>
          <w:sz w:val="22"/>
          <w:szCs w:val="20"/>
          <w:lang w:eastAsia="en-AU"/>
        </w:rPr>
        <w:t xml:space="preserve">ultrasound assessment of uterine perfusion (Doppler measurement of uterine artery </w:t>
      </w:r>
      <w:proofErr w:type="spellStart"/>
      <w:r w:rsidRPr="005F0119">
        <w:rPr>
          <w:rFonts w:ascii="Franklin Gothic Book" w:hAnsi="Franklin Gothic Book"/>
          <w:color w:val="000000"/>
          <w:sz w:val="22"/>
          <w:szCs w:val="20"/>
          <w:lang w:eastAsia="en-AU"/>
        </w:rPr>
        <w:t>pulsatility</w:t>
      </w:r>
      <w:proofErr w:type="spellEnd"/>
      <w:r w:rsidRPr="005F0119">
        <w:rPr>
          <w:rFonts w:ascii="Franklin Gothic Book" w:hAnsi="Franklin Gothic Book"/>
          <w:color w:val="000000"/>
          <w:sz w:val="22"/>
          <w:szCs w:val="20"/>
          <w:lang w:eastAsia="en-AU"/>
        </w:rPr>
        <w:t xml:space="preserve"> index [</w:t>
      </w:r>
      <w:proofErr w:type="spellStart"/>
      <w:r w:rsidRPr="005F0119">
        <w:rPr>
          <w:rFonts w:ascii="Franklin Gothic Book" w:hAnsi="Franklin Gothic Book"/>
          <w:color w:val="000000"/>
          <w:sz w:val="22"/>
          <w:szCs w:val="20"/>
          <w:lang w:eastAsia="en-AU"/>
        </w:rPr>
        <w:t>UtA</w:t>
      </w:r>
      <w:proofErr w:type="spellEnd"/>
      <w:r w:rsidRPr="005F0119">
        <w:rPr>
          <w:rFonts w:ascii="Franklin Gothic Book" w:hAnsi="Franklin Gothic Book"/>
          <w:color w:val="000000"/>
          <w:sz w:val="22"/>
          <w:szCs w:val="20"/>
          <w:lang w:eastAsia="en-AU"/>
        </w:rPr>
        <w:t>-Pl]).</w:t>
      </w:r>
    </w:p>
    <w:p w14:paraId="404A71BD"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The risk score is given as a percentage: 1 in 100 (1.0%) is considered “high risk” and directs the use of prophylactic aspirin to prevent the onset of preeclampsia.</w:t>
      </w:r>
    </w:p>
    <w:p w14:paraId="02FA44D1"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noted that the Therapeutic Goods Administration (TGA) </w:t>
      </w:r>
      <w:r>
        <w:rPr>
          <w:rFonts w:ascii="Franklin Gothic Book" w:hAnsi="Franklin Gothic Book"/>
          <w:color w:val="000000"/>
          <w:sz w:val="22"/>
          <w:szCs w:val="20"/>
          <w:lang w:eastAsia="en-AU"/>
        </w:rPr>
        <w:t>had been</w:t>
      </w:r>
      <w:r w:rsidRPr="00F737CF">
        <w:rPr>
          <w:rFonts w:ascii="Franklin Gothic Book" w:hAnsi="Franklin Gothic Book"/>
          <w:color w:val="000000"/>
          <w:sz w:val="22"/>
          <w:szCs w:val="20"/>
          <w:lang w:eastAsia="en-AU"/>
        </w:rPr>
        <w:t xml:space="preserve"> assessing whether the FMF risk calculator </w:t>
      </w:r>
      <w:r>
        <w:rPr>
          <w:rFonts w:ascii="Franklin Gothic Book" w:hAnsi="Franklin Gothic Book"/>
          <w:color w:val="000000"/>
          <w:sz w:val="22"/>
          <w:szCs w:val="20"/>
          <w:lang w:eastAsia="en-AU"/>
        </w:rPr>
        <w:t>was required to</w:t>
      </w:r>
      <w:r w:rsidRPr="00F737CF">
        <w:rPr>
          <w:rFonts w:ascii="Franklin Gothic Book" w:hAnsi="Franklin Gothic Book"/>
          <w:color w:val="000000"/>
          <w:sz w:val="22"/>
          <w:szCs w:val="20"/>
          <w:lang w:eastAsia="en-AU"/>
        </w:rPr>
        <w:t xml:space="preserve"> be registered as a medical device</w:t>
      </w:r>
      <w:r>
        <w:rPr>
          <w:rFonts w:ascii="Franklin Gothic Book" w:hAnsi="Franklin Gothic Book"/>
          <w:color w:val="000000"/>
          <w:sz w:val="22"/>
          <w:szCs w:val="20"/>
          <w:lang w:eastAsia="en-AU"/>
        </w:rPr>
        <w:t>, and that this application had therefore been permitted to enter the MSAC process given the TGA’s uncertainty</w:t>
      </w:r>
      <w:r w:rsidRPr="00F737CF">
        <w:rPr>
          <w:rFonts w:ascii="Franklin Gothic Book" w:hAnsi="Franklin Gothic Book"/>
          <w:color w:val="000000"/>
          <w:sz w:val="22"/>
          <w:szCs w:val="20"/>
          <w:lang w:eastAsia="en-AU"/>
        </w:rPr>
        <w:t>.</w:t>
      </w:r>
      <w:r>
        <w:rPr>
          <w:rFonts w:ascii="Franklin Gothic Book" w:hAnsi="Franklin Gothic Book"/>
          <w:color w:val="000000"/>
          <w:sz w:val="22"/>
          <w:szCs w:val="20"/>
          <w:lang w:eastAsia="en-AU"/>
        </w:rPr>
        <w:t xml:space="preserve"> ESC noted that on the day of ESC proceedings the TGA had advised that the FMF risk calculator falls within the definition of software as a medical device (</w:t>
      </w:r>
      <w:proofErr w:type="spellStart"/>
      <w:r>
        <w:rPr>
          <w:rFonts w:ascii="Franklin Gothic Book" w:hAnsi="Franklin Gothic Book"/>
          <w:color w:val="000000"/>
          <w:sz w:val="22"/>
          <w:szCs w:val="20"/>
          <w:lang w:eastAsia="en-AU"/>
        </w:rPr>
        <w:t>SaMD</w:t>
      </w:r>
      <w:proofErr w:type="spellEnd"/>
      <w:r>
        <w:rPr>
          <w:rFonts w:ascii="Franklin Gothic Book" w:hAnsi="Franklin Gothic Book"/>
          <w:color w:val="000000"/>
          <w:sz w:val="22"/>
          <w:szCs w:val="20"/>
          <w:lang w:eastAsia="en-AU"/>
        </w:rPr>
        <w:t xml:space="preserve">), and so is required to be included in the Australian Register of Therapeutic Goods (ARTG). The TGA also confirmed that the FMF calculator is not currently included in the ARTG. ESC considered that as TGA regulation must be in place before public funding can be supported, MSAC should consider </w:t>
      </w:r>
      <w:r w:rsidRPr="00D47CEC">
        <w:rPr>
          <w:rFonts w:ascii="Franklin Gothic Book" w:hAnsi="Franklin Gothic Book"/>
          <w:color w:val="000000"/>
          <w:sz w:val="22"/>
          <w:szCs w:val="20"/>
          <w:lang w:eastAsia="en-AU"/>
        </w:rPr>
        <w:t>the context of any uncertainty regarding TGA registration</w:t>
      </w:r>
      <w:r w:rsidRPr="00F737CF">
        <w:rPr>
          <w:rFonts w:ascii="Franklin Gothic Book" w:hAnsi="Franklin Gothic Book"/>
          <w:color w:val="000000"/>
          <w:sz w:val="22"/>
          <w:szCs w:val="20"/>
          <w:lang w:eastAsia="en-AU"/>
        </w:rPr>
        <w:t>.</w:t>
      </w:r>
    </w:p>
    <w:p w14:paraId="562EC1A5" w14:textId="77777777" w:rsidR="00971DBF" w:rsidRPr="006B4F04" w:rsidRDefault="00971DBF" w:rsidP="00971DBF">
      <w:pPr>
        <w:rPr>
          <w:rFonts w:ascii="Franklin Gothic Book" w:hAnsi="Franklin Gothic Book"/>
          <w:color w:val="000000"/>
          <w:sz w:val="22"/>
          <w:szCs w:val="22"/>
          <w:lang w:eastAsia="en-AU"/>
        </w:rPr>
      </w:pPr>
      <w:r w:rsidRPr="00B8CD9B">
        <w:rPr>
          <w:rFonts w:ascii="Franklin Gothic Book" w:hAnsi="Franklin Gothic Book"/>
          <w:color w:val="000000" w:themeColor="text1"/>
          <w:sz w:val="22"/>
          <w:szCs w:val="22"/>
          <w:lang w:eastAsia="en-AU"/>
        </w:rPr>
        <w:t xml:space="preserve">ESC noted that the applicant developed assessment report (ADAR) proposed amending MBS item 55707 to incorporate the assessment of </w:t>
      </w:r>
      <w:proofErr w:type="spellStart"/>
      <w:r w:rsidRPr="00B8CD9B">
        <w:rPr>
          <w:rFonts w:ascii="Franklin Gothic Book" w:hAnsi="Franklin Gothic Book"/>
          <w:color w:val="000000" w:themeColor="text1"/>
          <w:sz w:val="22"/>
          <w:szCs w:val="22"/>
          <w:lang w:eastAsia="en-AU"/>
        </w:rPr>
        <w:t>UtA</w:t>
      </w:r>
      <w:proofErr w:type="spellEnd"/>
      <w:r w:rsidRPr="00B8CD9B">
        <w:rPr>
          <w:rFonts w:ascii="Franklin Gothic Book" w:hAnsi="Franklin Gothic Book"/>
          <w:color w:val="000000" w:themeColor="text1"/>
          <w:sz w:val="22"/>
          <w:szCs w:val="22"/>
          <w:lang w:eastAsia="en-AU"/>
        </w:rPr>
        <w:t xml:space="preserve">-PI to align with current timing around aneuploidy </w:t>
      </w:r>
      <w:proofErr w:type="gramStart"/>
      <w:r w:rsidRPr="00B8CD9B">
        <w:rPr>
          <w:rFonts w:ascii="Franklin Gothic Book" w:hAnsi="Franklin Gothic Book"/>
          <w:color w:val="000000" w:themeColor="text1"/>
          <w:sz w:val="22"/>
          <w:szCs w:val="22"/>
          <w:lang w:eastAsia="en-AU"/>
        </w:rPr>
        <w:t>screening, and</w:t>
      </w:r>
      <w:proofErr w:type="gramEnd"/>
      <w:r w:rsidRPr="00B8CD9B">
        <w:rPr>
          <w:rFonts w:ascii="Franklin Gothic Book" w:hAnsi="Franklin Gothic Book"/>
          <w:color w:val="000000" w:themeColor="text1"/>
          <w:sz w:val="22"/>
          <w:szCs w:val="22"/>
          <w:lang w:eastAsia="en-AU"/>
        </w:rPr>
        <w:t xml:space="preserve"> amending MBS item 66750 to incorporate quantitation of </w:t>
      </w:r>
      <w:proofErr w:type="spellStart"/>
      <w:r w:rsidRPr="00B8CD9B">
        <w:rPr>
          <w:rFonts w:ascii="Franklin Gothic Book" w:hAnsi="Franklin Gothic Book"/>
          <w:color w:val="000000" w:themeColor="text1"/>
          <w:sz w:val="22"/>
          <w:szCs w:val="22"/>
          <w:lang w:eastAsia="en-AU"/>
        </w:rPr>
        <w:t>PlGF</w:t>
      </w:r>
      <w:proofErr w:type="spellEnd"/>
      <w:r w:rsidRPr="00B8CD9B">
        <w:rPr>
          <w:rFonts w:ascii="Franklin Gothic Book" w:hAnsi="Franklin Gothic Book"/>
          <w:color w:val="000000" w:themeColor="text1"/>
          <w:sz w:val="22"/>
          <w:szCs w:val="22"/>
          <w:lang w:eastAsia="en-AU"/>
        </w:rPr>
        <w:t xml:space="preserve"> (with flow-on amendments to MBS item 66751), at small fee increases. ESC noted that the descriptors align with the population. ESC noted that the proposed amendments to item 55707 and 66750 specify that providers must participate in performance audits and Quality Assurance Programs applicable to the FMF risk algorithm. However, further MBS</w:t>
      </w:r>
      <w:r>
        <w:rPr>
          <w:rFonts w:ascii="Franklin Gothic Book" w:hAnsi="Franklin Gothic Book"/>
          <w:color w:val="000000" w:themeColor="text1"/>
          <w:sz w:val="22"/>
          <w:szCs w:val="22"/>
          <w:lang w:eastAsia="en-AU"/>
        </w:rPr>
        <w:t>-funded</w:t>
      </w:r>
      <w:r w:rsidRPr="00B8CD9B">
        <w:rPr>
          <w:rFonts w:ascii="Franklin Gothic Book" w:hAnsi="Franklin Gothic Book"/>
          <w:color w:val="000000" w:themeColor="text1"/>
          <w:sz w:val="22"/>
          <w:szCs w:val="22"/>
          <w:lang w:eastAsia="en-AU"/>
        </w:rPr>
        <w:t xml:space="preserve"> consultation</w:t>
      </w:r>
      <w:r>
        <w:rPr>
          <w:rFonts w:ascii="Franklin Gothic Book" w:hAnsi="Franklin Gothic Book"/>
          <w:color w:val="000000" w:themeColor="text1"/>
          <w:sz w:val="22"/>
          <w:szCs w:val="22"/>
          <w:lang w:eastAsia="en-AU"/>
        </w:rPr>
        <w:t>s may be needed</w:t>
      </w:r>
      <w:r w:rsidRPr="00B8CD9B">
        <w:rPr>
          <w:rFonts w:ascii="Franklin Gothic Book" w:hAnsi="Franklin Gothic Book"/>
          <w:color w:val="000000" w:themeColor="text1"/>
          <w:sz w:val="22"/>
          <w:szCs w:val="22"/>
          <w:lang w:eastAsia="en-AU"/>
        </w:rPr>
        <w:t xml:space="preserve"> to explain results and manage potential anxiety, and it is not clear whether this has been </w:t>
      </w:r>
      <w:proofErr w:type="gramStart"/>
      <w:r w:rsidRPr="00B8CD9B">
        <w:rPr>
          <w:rFonts w:ascii="Franklin Gothic Book" w:hAnsi="Franklin Gothic Book"/>
          <w:color w:val="000000" w:themeColor="text1"/>
          <w:sz w:val="22"/>
          <w:szCs w:val="22"/>
          <w:lang w:eastAsia="en-AU"/>
        </w:rPr>
        <w:t>taken into account</w:t>
      </w:r>
      <w:proofErr w:type="gramEnd"/>
      <w:r w:rsidRPr="00B8CD9B">
        <w:rPr>
          <w:rFonts w:ascii="Franklin Gothic Book" w:hAnsi="Franklin Gothic Book"/>
          <w:color w:val="000000" w:themeColor="text1"/>
          <w:sz w:val="22"/>
          <w:szCs w:val="22"/>
          <w:lang w:eastAsia="en-AU"/>
        </w:rPr>
        <w:t xml:space="preserve"> in the ADAR. ESC noted the Department’s preference to create a new first trimester ultrasound item instead of adding mean uterine artery </w:t>
      </w:r>
      <w:proofErr w:type="spellStart"/>
      <w:r w:rsidRPr="00B8CD9B">
        <w:rPr>
          <w:rFonts w:ascii="Franklin Gothic Book" w:hAnsi="Franklin Gothic Book"/>
          <w:color w:val="000000" w:themeColor="text1"/>
          <w:sz w:val="22"/>
          <w:szCs w:val="22"/>
          <w:lang w:eastAsia="en-AU"/>
        </w:rPr>
        <w:t>pulsatility</w:t>
      </w:r>
      <w:proofErr w:type="spellEnd"/>
      <w:r w:rsidRPr="00B8CD9B">
        <w:rPr>
          <w:rFonts w:ascii="Franklin Gothic Book" w:hAnsi="Franklin Gothic Book"/>
          <w:color w:val="000000" w:themeColor="text1"/>
          <w:sz w:val="22"/>
          <w:szCs w:val="22"/>
          <w:lang w:eastAsia="en-AU"/>
        </w:rPr>
        <w:t xml:space="preserve"> index to item 55707</w:t>
      </w:r>
      <w:r w:rsidRPr="00842844">
        <w:rPr>
          <w:sz w:val="22"/>
          <w:szCs w:val="22"/>
        </w:rPr>
        <w:t xml:space="preserve"> </w:t>
      </w:r>
      <w:proofErr w:type="gramStart"/>
      <w:r w:rsidRPr="00842844">
        <w:rPr>
          <w:rFonts w:ascii="Franklin Gothic Book" w:hAnsi="Franklin Gothic Book"/>
          <w:sz w:val="22"/>
          <w:szCs w:val="22"/>
        </w:rPr>
        <w:t>in light of</w:t>
      </w:r>
      <w:proofErr w:type="gramEnd"/>
      <w:r w:rsidRPr="00842844">
        <w:rPr>
          <w:rFonts w:ascii="Franklin Gothic Book" w:hAnsi="Franklin Gothic Book"/>
          <w:sz w:val="22"/>
          <w:szCs w:val="22"/>
        </w:rPr>
        <w:t xml:space="preserve"> advice from the </w:t>
      </w:r>
      <w:r w:rsidRPr="00B8CD9B">
        <w:rPr>
          <w:rFonts w:ascii="Franklin Gothic Book" w:hAnsi="Franklin Gothic Book"/>
          <w:color w:val="000000" w:themeColor="text1"/>
          <w:sz w:val="22"/>
          <w:szCs w:val="22"/>
          <w:lang w:eastAsia="en-AU"/>
        </w:rPr>
        <w:t xml:space="preserve">Royal Australian and New Zealand College of Radiologists (RANZCR) that first trimester ultrasound scans are not routinely available for all patients, which raises concerns around access and equity. </w:t>
      </w:r>
    </w:p>
    <w:p w14:paraId="387FC0B9" w14:textId="77777777" w:rsidR="00971DBF" w:rsidRPr="00F737CF" w:rsidRDefault="00971DBF" w:rsidP="00503420">
      <w:pPr>
        <w:spacing w:before="240" w:after="240"/>
        <w:rPr>
          <w:rFonts w:ascii="Franklin Gothic Book" w:hAnsi="Franklin Gothic Book"/>
          <w:color w:val="000000"/>
          <w:sz w:val="22"/>
          <w:szCs w:val="22"/>
          <w:lang w:eastAsia="en-AU"/>
        </w:rPr>
      </w:pPr>
      <w:r w:rsidRPr="09D7AA3D">
        <w:rPr>
          <w:rFonts w:ascii="Franklin Gothic Book" w:hAnsi="Franklin Gothic Book"/>
          <w:color w:val="000000" w:themeColor="text1"/>
          <w:sz w:val="22"/>
          <w:szCs w:val="22"/>
          <w:lang w:eastAsia="en-AU"/>
        </w:rPr>
        <w:t xml:space="preserve">ESC noted that consultation feedback broadly supported public funding. Consumers considered that counselling and dietary advice should be available to women when they are </w:t>
      </w:r>
      <w:r>
        <w:rPr>
          <w:rFonts w:ascii="Franklin Gothic Book" w:hAnsi="Franklin Gothic Book"/>
          <w:color w:val="000000" w:themeColor="text1"/>
          <w:sz w:val="22"/>
          <w:szCs w:val="22"/>
          <w:lang w:eastAsia="en-AU"/>
        </w:rPr>
        <w:t>found</w:t>
      </w:r>
      <w:r w:rsidRPr="09D7AA3D">
        <w:rPr>
          <w:rFonts w:ascii="Franklin Gothic Book" w:hAnsi="Franklin Gothic Book"/>
          <w:color w:val="000000" w:themeColor="text1"/>
          <w:sz w:val="22"/>
          <w:szCs w:val="22"/>
          <w:lang w:eastAsia="en-AU"/>
        </w:rPr>
        <w:t xml:space="preserve"> to be at high risk of preeclampsia. ESC noted disadvantages of testing raised in consultation included the potential for falsely alarming women in early pregnancy, including stress and worry for those with a high-risk result</w:t>
      </w:r>
      <w:r>
        <w:rPr>
          <w:rFonts w:ascii="Franklin Gothic Book" w:hAnsi="Franklin Gothic Book"/>
          <w:color w:val="000000" w:themeColor="text1"/>
          <w:sz w:val="22"/>
          <w:szCs w:val="22"/>
          <w:lang w:eastAsia="en-AU"/>
        </w:rPr>
        <w:t>.</w:t>
      </w:r>
      <w:r w:rsidRPr="09D7AA3D">
        <w:rPr>
          <w:rFonts w:ascii="Franklin Gothic Book" w:hAnsi="Franklin Gothic Book"/>
          <w:color w:val="000000" w:themeColor="text1"/>
          <w:sz w:val="22"/>
          <w:szCs w:val="22"/>
          <w:lang w:eastAsia="en-AU"/>
        </w:rPr>
        <w:t xml:space="preserve"> ESC considered that were pregnant women to be fully informed of the levels of uncertainty about results of testing</w:t>
      </w:r>
      <w:r>
        <w:rPr>
          <w:rFonts w:ascii="Franklin Gothic Book" w:hAnsi="Franklin Gothic Book"/>
          <w:color w:val="000000" w:themeColor="text1"/>
          <w:sz w:val="22"/>
          <w:szCs w:val="22"/>
          <w:lang w:eastAsia="en-AU"/>
        </w:rPr>
        <w:t>,</w:t>
      </w:r>
      <w:r w:rsidRPr="09D7AA3D">
        <w:rPr>
          <w:rFonts w:ascii="Franklin Gothic Book" w:hAnsi="Franklin Gothic Book"/>
          <w:color w:val="000000" w:themeColor="text1"/>
          <w:sz w:val="22"/>
          <w:szCs w:val="22"/>
          <w:lang w:eastAsia="en-AU"/>
        </w:rPr>
        <w:t xml:space="preserve"> the stress this may induce in some women may be significant such that it may outweigh </w:t>
      </w:r>
      <w:r>
        <w:rPr>
          <w:rFonts w:ascii="Franklin Gothic Book" w:hAnsi="Franklin Gothic Book"/>
          <w:color w:val="000000" w:themeColor="text1"/>
          <w:sz w:val="22"/>
          <w:szCs w:val="22"/>
          <w:lang w:eastAsia="en-AU"/>
        </w:rPr>
        <w:t>any</w:t>
      </w:r>
      <w:r w:rsidRPr="09D7AA3D">
        <w:rPr>
          <w:rFonts w:ascii="Franklin Gothic Book" w:hAnsi="Franklin Gothic Book"/>
          <w:color w:val="000000" w:themeColor="text1"/>
          <w:sz w:val="22"/>
          <w:szCs w:val="22"/>
          <w:lang w:eastAsia="en-AU"/>
        </w:rPr>
        <w:t xml:space="preserve"> benefit</w:t>
      </w:r>
      <w:r>
        <w:rPr>
          <w:rFonts w:ascii="Franklin Gothic Book" w:hAnsi="Franklin Gothic Book"/>
          <w:color w:val="000000" w:themeColor="text1"/>
          <w:sz w:val="22"/>
          <w:szCs w:val="22"/>
          <w:lang w:eastAsia="en-AU"/>
        </w:rPr>
        <w:t>s</w:t>
      </w:r>
      <w:r w:rsidRPr="09D7AA3D">
        <w:rPr>
          <w:rFonts w:ascii="Franklin Gothic Book" w:hAnsi="Franklin Gothic Book"/>
          <w:color w:val="000000" w:themeColor="text1"/>
          <w:sz w:val="22"/>
          <w:szCs w:val="22"/>
          <w:lang w:eastAsia="en-AU"/>
        </w:rPr>
        <w:t xml:space="preserve">. </w:t>
      </w:r>
      <w:r>
        <w:rPr>
          <w:rFonts w:ascii="Franklin Gothic Book" w:hAnsi="Franklin Gothic Book"/>
          <w:color w:val="000000" w:themeColor="text1"/>
          <w:sz w:val="22"/>
          <w:szCs w:val="22"/>
          <w:lang w:eastAsia="en-AU"/>
        </w:rPr>
        <w:t xml:space="preserve">ESC also noted the high rate and number of false positives associated with testing and the difficulties that identified high-risk patients may </w:t>
      </w:r>
      <w:r>
        <w:rPr>
          <w:rFonts w:ascii="Franklin Gothic Book" w:hAnsi="Franklin Gothic Book"/>
          <w:color w:val="000000" w:themeColor="text1"/>
          <w:sz w:val="22"/>
          <w:szCs w:val="22"/>
          <w:lang w:eastAsia="en-AU"/>
        </w:rPr>
        <w:lastRenderedPageBreak/>
        <w:t xml:space="preserve">face with aspirin adherence. </w:t>
      </w:r>
      <w:r w:rsidRPr="09D7AA3D">
        <w:rPr>
          <w:rFonts w:ascii="Franklin Gothic Book" w:hAnsi="Franklin Gothic Book"/>
          <w:color w:val="000000" w:themeColor="text1"/>
          <w:sz w:val="22"/>
          <w:szCs w:val="22"/>
          <w:lang w:eastAsia="en-AU"/>
        </w:rPr>
        <w:t>One organisation commented that the women most likely to be severely affected by preeclampsia were the vulnerable women presenting to public hospitals.</w:t>
      </w:r>
      <w:r>
        <w:t xml:space="preserve"> </w:t>
      </w:r>
      <w:r w:rsidRPr="09D7AA3D">
        <w:rPr>
          <w:rFonts w:ascii="Franklin Gothic Book" w:hAnsi="Franklin Gothic Book"/>
          <w:color w:val="000000" w:themeColor="text1"/>
          <w:sz w:val="22"/>
          <w:szCs w:val="22"/>
          <w:lang w:eastAsia="en-AU"/>
        </w:rPr>
        <w:t>ESC considered that hospitalisation for preeclampsia may also have access and equity issues for women in more remote areas (due to costs of travel, need to arrange care for other children, and the potential need for transfer if local hospitals did not have capacity to admit)</w:t>
      </w:r>
      <w:r>
        <w:rPr>
          <w:rFonts w:ascii="Franklin Gothic Book" w:hAnsi="Franklin Gothic Book"/>
          <w:color w:val="000000" w:themeColor="text1"/>
          <w:sz w:val="22"/>
          <w:szCs w:val="22"/>
          <w:lang w:eastAsia="en-AU"/>
        </w:rPr>
        <w:t>.</w:t>
      </w:r>
      <w:r w:rsidRPr="09D7AA3D">
        <w:rPr>
          <w:rFonts w:ascii="Franklin Gothic Book" w:hAnsi="Franklin Gothic Book"/>
          <w:color w:val="000000" w:themeColor="text1"/>
          <w:sz w:val="22"/>
          <w:szCs w:val="22"/>
          <w:lang w:eastAsia="en-AU"/>
        </w:rPr>
        <w:t xml:space="preserve"> ESC also considered that a systematic review had shown the risk of postpartum depression was higher in people with preeclampsia than people without </w:t>
      </w:r>
      <w:proofErr w:type="gramStart"/>
      <w:r w:rsidRPr="09D7AA3D">
        <w:rPr>
          <w:rFonts w:ascii="Franklin Gothic Book" w:hAnsi="Franklin Gothic Book"/>
          <w:color w:val="000000" w:themeColor="text1"/>
          <w:sz w:val="22"/>
          <w:szCs w:val="22"/>
          <w:lang w:eastAsia="en-AU"/>
        </w:rPr>
        <w:t>preeclampsia, and</w:t>
      </w:r>
      <w:proofErr w:type="gramEnd"/>
      <w:r w:rsidRPr="09D7AA3D">
        <w:rPr>
          <w:rFonts w:ascii="Franklin Gothic Book" w:hAnsi="Franklin Gothic Book"/>
          <w:color w:val="000000" w:themeColor="text1"/>
          <w:sz w:val="22"/>
          <w:szCs w:val="22"/>
          <w:lang w:eastAsia="en-AU"/>
        </w:rPr>
        <w:t xml:space="preserve"> considered that the risks of postpartum depression should be considered in patients with preeclampsia. </w:t>
      </w:r>
    </w:p>
    <w:p w14:paraId="18114137" w14:textId="77777777" w:rsidR="00971DBF" w:rsidRDefault="00971DBF" w:rsidP="00971DBF">
      <w:pPr>
        <w:spacing w:after="240"/>
        <w:rPr>
          <w:rFonts w:ascii="Franklin Gothic Book" w:hAnsi="Franklin Gothic Book"/>
          <w:color w:val="000000" w:themeColor="text1"/>
          <w:sz w:val="22"/>
          <w:szCs w:val="22"/>
          <w:lang w:eastAsia="en-AU"/>
        </w:rPr>
      </w:pPr>
      <w:r w:rsidRPr="00B8CD9B">
        <w:rPr>
          <w:rFonts w:ascii="Franklin Gothic Book" w:hAnsi="Franklin Gothic Book"/>
          <w:color w:val="000000" w:themeColor="text1"/>
          <w:sz w:val="22"/>
          <w:szCs w:val="22"/>
          <w:lang w:eastAsia="en-AU"/>
        </w:rPr>
        <w:t>ESC noted that the clinical management algorithm as described is consistent with the proposed modifications to the two MBS descriptors and, as mentioned above, there is the potential for additional downstream MBS funded consultations. However, ESC noted that the</w:t>
      </w:r>
      <w:r>
        <w:rPr>
          <w:rFonts w:ascii="Franklin Gothic Book" w:hAnsi="Franklin Gothic Book"/>
          <w:color w:val="000000" w:themeColor="text1"/>
          <w:sz w:val="22"/>
          <w:szCs w:val="22"/>
          <w:lang w:eastAsia="en-AU"/>
        </w:rPr>
        <w:t xml:space="preserve"> ADAR left unresolved </w:t>
      </w:r>
      <w:r w:rsidRPr="00B8CD9B">
        <w:rPr>
          <w:rFonts w:ascii="Franklin Gothic Book" w:hAnsi="Franklin Gothic Book"/>
          <w:color w:val="000000" w:themeColor="text1"/>
          <w:sz w:val="22"/>
          <w:szCs w:val="22"/>
          <w:lang w:eastAsia="en-AU"/>
        </w:rPr>
        <w:t>which healthcare provider should undertake the computation of the FMF algorithm (which is currently publicly accessible) based on the clinical indicators provided and which provider should communicate the results to the patient.</w:t>
      </w:r>
      <w:r>
        <w:rPr>
          <w:rFonts w:ascii="Franklin Gothic Book" w:hAnsi="Franklin Gothic Book"/>
          <w:color w:val="000000" w:themeColor="text1"/>
          <w:sz w:val="22"/>
          <w:szCs w:val="22"/>
          <w:lang w:eastAsia="en-AU"/>
        </w:rPr>
        <w:t xml:space="preserve"> Related to this, </w:t>
      </w:r>
      <w:r>
        <w:rPr>
          <w:rFonts w:ascii="Franklin Gothic Book" w:hAnsi="Franklin Gothic Book"/>
          <w:color w:val="000000"/>
          <w:sz w:val="22"/>
          <w:szCs w:val="20"/>
          <w:lang w:eastAsia="en-AU"/>
        </w:rPr>
        <w:t xml:space="preserve">the ADAR left unresolved whether the amended MBS items should specify a particular service model for </w:t>
      </w:r>
      <w:r w:rsidRPr="00B51E8D">
        <w:rPr>
          <w:rFonts w:ascii="Franklin Gothic Book" w:hAnsi="Franklin Gothic Book"/>
          <w:color w:val="000000"/>
          <w:sz w:val="22"/>
          <w:szCs w:val="20"/>
          <w:lang w:eastAsia="en-AU"/>
        </w:rPr>
        <w:t>structured prenatal risk assessment for preterm preeclampsia</w:t>
      </w:r>
      <w:r>
        <w:rPr>
          <w:rFonts w:ascii="Franklin Gothic Book" w:hAnsi="Franklin Gothic Book"/>
          <w:color w:val="000000"/>
          <w:sz w:val="22"/>
          <w:szCs w:val="20"/>
          <w:lang w:eastAsia="en-AU"/>
        </w:rPr>
        <w:t xml:space="preserve"> (i.e. determine in all settings in which medical service providers should coordinate and report the testing) or whether this can be </w:t>
      </w:r>
      <w:r w:rsidRPr="00842844">
        <w:rPr>
          <w:rFonts w:ascii="Franklin Gothic Book" w:hAnsi="Franklin Gothic Book"/>
          <w:color w:val="000000"/>
          <w:sz w:val="22"/>
          <w:szCs w:val="20"/>
          <w:lang w:eastAsia="en-AU"/>
        </w:rPr>
        <w:t>determined by the service provider (as per current aneuploidy testing</w:t>
      </w:r>
      <w:r>
        <w:rPr>
          <w:rFonts w:ascii="Franklin Gothic Book" w:hAnsi="Franklin Gothic Book"/>
          <w:color w:val="000000"/>
          <w:sz w:val="22"/>
          <w:szCs w:val="20"/>
          <w:lang w:eastAsia="en-AU"/>
        </w:rPr>
        <w:t xml:space="preserve"> where it differs from State to State whether this is the ultrasound service provider or the pathology service provider</w:t>
      </w:r>
      <w:r w:rsidRPr="00842844">
        <w:rPr>
          <w:rFonts w:ascii="Franklin Gothic Book" w:hAnsi="Franklin Gothic Book"/>
          <w:color w:val="000000"/>
          <w:sz w:val="22"/>
          <w:szCs w:val="20"/>
          <w:lang w:eastAsia="en-AU"/>
        </w:rPr>
        <w:t>)</w:t>
      </w:r>
      <w:r>
        <w:rPr>
          <w:rFonts w:ascii="Franklin Gothic Book" w:hAnsi="Franklin Gothic Book"/>
          <w:color w:val="000000"/>
          <w:sz w:val="22"/>
          <w:szCs w:val="20"/>
          <w:lang w:eastAsia="en-AU"/>
        </w:rPr>
        <w:t>. ESC expressed a preference for the latter</w:t>
      </w:r>
      <w:r>
        <w:rPr>
          <w:rFonts w:ascii="Franklin Gothic Book" w:hAnsi="Franklin Gothic Book"/>
          <w:color w:val="000000" w:themeColor="text1"/>
          <w:sz w:val="22"/>
          <w:szCs w:val="22"/>
          <w:lang w:eastAsia="en-AU"/>
        </w:rPr>
        <w:t>.</w:t>
      </w:r>
    </w:p>
    <w:p w14:paraId="68FFA3CF" w14:textId="77777777" w:rsidR="00971DBF" w:rsidRPr="00F737CF" w:rsidRDefault="00971DBF" w:rsidP="00971DBF">
      <w:pPr>
        <w:spacing w:after="240"/>
        <w:rPr>
          <w:rFonts w:ascii="Franklin Gothic Book" w:hAnsi="Franklin Gothic Book"/>
          <w:color w:val="000000"/>
          <w:sz w:val="22"/>
          <w:szCs w:val="22"/>
          <w:lang w:eastAsia="en-AU"/>
        </w:rPr>
      </w:pPr>
      <w:r>
        <w:rPr>
          <w:rFonts w:ascii="Franklin Gothic Book" w:hAnsi="Franklin Gothic Book"/>
          <w:color w:val="000000" w:themeColor="text1"/>
          <w:sz w:val="22"/>
          <w:szCs w:val="22"/>
          <w:lang w:eastAsia="en-AU"/>
        </w:rPr>
        <w:t>ESC noted that c</w:t>
      </w:r>
      <w:r w:rsidRPr="00B8CD9B">
        <w:rPr>
          <w:rFonts w:ascii="Franklin Gothic Book" w:hAnsi="Franklin Gothic Book"/>
          <w:color w:val="000000" w:themeColor="text1"/>
          <w:sz w:val="22"/>
          <w:szCs w:val="22"/>
          <w:lang w:eastAsia="en-AU"/>
        </w:rPr>
        <w:t xml:space="preserve">urrent practices regarding prescription and use of aspirin are also unspecified in the ADAR. </w:t>
      </w:r>
    </w:p>
    <w:p w14:paraId="323C2B52" w14:textId="77777777" w:rsidR="00971DB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ESC noted that the proposed comparator was standard of care (SoC), which consist</w:t>
      </w:r>
      <w:r>
        <w:rPr>
          <w:rFonts w:ascii="Franklin Gothic Book" w:hAnsi="Franklin Gothic Book"/>
          <w:color w:val="000000"/>
          <w:sz w:val="22"/>
          <w:szCs w:val="20"/>
          <w:lang w:eastAsia="en-AU"/>
        </w:rPr>
        <w:t>ed</w:t>
      </w:r>
      <w:r w:rsidRPr="00F737CF">
        <w:rPr>
          <w:rFonts w:ascii="Franklin Gothic Book" w:hAnsi="Franklin Gothic Book"/>
          <w:color w:val="000000"/>
          <w:sz w:val="22"/>
          <w:szCs w:val="20"/>
          <w:lang w:eastAsia="en-AU"/>
        </w:rPr>
        <w:t xml:space="preserve"> of collecting maternal characteristics and medical/obstetric history and comparing this with published guidelines (typically from the UK National Institute for Health and Care Excellence [NICE] or American College of Obstetrics and Gynaecology [ACOG]) to assess risk of preeclampsia.</w:t>
      </w:r>
      <w:r>
        <w:rPr>
          <w:rFonts w:ascii="Franklin Gothic Book" w:hAnsi="Franklin Gothic Book"/>
          <w:color w:val="000000"/>
          <w:sz w:val="22"/>
          <w:szCs w:val="20"/>
          <w:lang w:eastAsia="en-AU"/>
        </w:rPr>
        <w:t xml:space="preserve"> </w:t>
      </w:r>
      <w:r w:rsidRPr="00F737CF">
        <w:rPr>
          <w:rFonts w:ascii="Franklin Gothic Book" w:hAnsi="Franklin Gothic Book"/>
          <w:color w:val="000000"/>
          <w:sz w:val="22"/>
          <w:szCs w:val="20"/>
          <w:lang w:eastAsia="en-AU"/>
        </w:rPr>
        <w:t xml:space="preserve">ESC noted that </w:t>
      </w:r>
      <w:r>
        <w:rPr>
          <w:rFonts w:ascii="Franklin Gothic Book" w:hAnsi="Franklin Gothic Book"/>
          <w:color w:val="000000"/>
          <w:sz w:val="22"/>
          <w:szCs w:val="20"/>
          <w:lang w:eastAsia="en-AU"/>
        </w:rPr>
        <w:t xml:space="preserve">there was significant variability in how the </w:t>
      </w:r>
      <w:r w:rsidRPr="00F737CF">
        <w:rPr>
          <w:rFonts w:ascii="Franklin Gothic Book" w:hAnsi="Franklin Gothic Book"/>
          <w:color w:val="000000"/>
          <w:sz w:val="22"/>
          <w:szCs w:val="20"/>
          <w:lang w:eastAsia="en-AU"/>
        </w:rPr>
        <w:t>SoC</w:t>
      </w:r>
      <w:r>
        <w:rPr>
          <w:rFonts w:ascii="Franklin Gothic Book" w:hAnsi="Franklin Gothic Book"/>
          <w:color w:val="000000"/>
          <w:sz w:val="22"/>
          <w:szCs w:val="20"/>
          <w:lang w:eastAsia="en-AU"/>
        </w:rPr>
        <w:t xml:space="preserve"> of c</w:t>
      </w:r>
      <w:r w:rsidRPr="00F737CF">
        <w:rPr>
          <w:rFonts w:ascii="Franklin Gothic Book" w:hAnsi="Franklin Gothic Book"/>
          <w:color w:val="000000"/>
          <w:sz w:val="22"/>
          <w:szCs w:val="20"/>
          <w:lang w:eastAsia="en-AU"/>
        </w:rPr>
        <w:t xml:space="preserve">linician-based assessment (with or without the NICE/ACOG algorithm) is applied and therefore many pregnant people with two or more moderate risk factors or with high risk factors may not be offered aspirin at a time when it might influence outcomes. Alternatively, they may be offered aspirin but not accept it. </w:t>
      </w:r>
      <w:r>
        <w:rPr>
          <w:rFonts w:ascii="Franklin Gothic Book" w:hAnsi="Franklin Gothic Book"/>
          <w:color w:val="000000"/>
          <w:sz w:val="22"/>
          <w:szCs w:val="20"/>
          <w:lang w:eastAsia="en-AU"/>
        </w:rPr>
        <w:t>ESC considered that given the variation in current clinical practice this application essentially sought to change clinical practice rather than reflect it, which may not be appropriate.</w:t>
      </w:r>
      <w:r w:rsidRPr="00F737CF">
        <w:rPr>
          <w:rFonts w:ascii="Franklin Gothic Book" w:hAnsi="Franklin Gothic Book"/>
          <w:color w:val="000000"/>
          <w:sz w:val="22"/>
          <w:szCs w:val="20"/>
          <w:lang w:eastAsia="en-AU"/>
        </w:rPr>
        <w:t xml:space="preserve"> ESC noted that the N</w:t>
      </w:r>
      <w:r>
        <w:rPr>
          <w:rFonts w:ascii="Franklin Gothic Book" w:hAnsi="Franklin Gothic Book"/>
          <w:color w:val="000000"/>
          <w:sz w:val="22"/>
          <w:szCs w:val="20"/>
          <w:lang w:eastAsia="en-AU"/>
        </w:rPr>
        <w:t xml:space="preserve">ational </w:t>
      </w:r>
      <w:r w:rsidRPr="00F737CF">
        <w:rPr>
          <w:rFonts w:ascii="Franklin Gothic Book" w:hAnsi="Franklin Gothic Book"/>
          <w:color w:val="000000"/>
          <w:sz w:val="22"/>
          <w:szCs w:val="20"/>
          <w:lang w:eastAsia="en-AU"/>
        </w:rPr>
        <w:t>H</w:t>
      </w:r>
      <w:r>
        <w:rPr>
          <w:rFonts w:ascii="Franklin Gothic Book" w:hAnsi="Franklin Gothic Book"/>
          <w:color w:val="000000"/>
          <w:sz w:val="22"/>
          <w:szCs w:val="20"/>
          <w:lang w:eastAsia="en-AU"/>
        </w:rPr>
        <w:t xml:space="preserve">ealth and </w:t>
      </w:r>
      <w:r w:rsidRPr="00F737CF">
        <w:rPr>
          <w:rFonts w:ascii="Franklin Gothic Book" w:hAnsi="Franklin Gothic Book"/>
          <w:color w:val="000000"/>
          <w:sz w:val="22"/>
          <w:szCs w:val="20"/>
          <w:lang w:eastAsia="en-AU"/>
        </w:rPr>
        <w:t>M</w:t>
      </w:r>
      <w:r>
        <w:rPr>
          <w:rFonts w:ascii="Franklin Gothic Book" w:hAnsi="Franklin Gothic Book"/>
          <w:color w:val="000000"/>
          <w:sz w:val="22"/>
          <w:szCs w:val="20"/>
          <w:lang w:eastAsia="en-AU"/>
        </w:rPr>
        <w:t xml:space="preserve">edical </w:t>
      </w:r>
      <w:r w:rsidRPr="00F737CF">
        <w:rPr>
          <w:rFonts w:ascii="Franklin Gothic Book" w:hAnsi="Franklin Gothic Book"/>
          <w:color w:val="000000"/>
          <w:sz w:val="22"/>
          <w:szCs w:val="20"/>
          <w:lang w:eastAsia="en-AU"/>
        </w:rPr>
        <w:t>R</w:t>
      </w:r>
      <w:r>
        <w:rPr>
          <w:rFonts w:ascii="Franklin Gothic Book" w:hAnsi="Franklin Gothic Book"/>
          <w:color w:val="000000"/>
          <w:sz w:val="22"/>
          <w:szCs w:val="20"/>
          <w:lang w:eastAsia="en-AU"/>
        </w:rPr>
        <w:t xml:space="preserve">esearch </w:t>
      </w:r>
      <w:r w:rsidRPr="00F737CF">
        <w:rPr>
          <w:rFonts w:ascii="Franklin Gothic Book" w:hAnsi="Franklin Gothic Book"/>
          <w:color w:val="000000"/>
          <w:sz w:val="22"/>
          <w:szCs w:val="20"/>
          <w:lang w:eastAsia="en-AU"/>
        </w:rPr>
        <w:t>C</w:t>
      </w:r>
      <w:r>
        <w:rPr>
          <w:rFonts w:ascii="Franklin Gothic Book" w:hAnsi="Franklin Gothic Book"/>
          <w:color w:val="000000"/>
          <w:sz w:val="22"/>
          <w:szCs w:val="20"/>
          <w:lang w:eastAsia="en-AU"/>
        </w:rPr>
        <w:t>ouncil</w:t>
      </w:r>
      <w:r w:rsidRPr="00F737CF">
        <w:rPr>
          <w:rFonts w:ascii="Franklin Gothic Book" w:hAnsi="Franklin Gothic Book"/>
          <w:color w:val="000000"/>
          <w:sz w:val="22"/>
          <w:szCs w:val="20"/>
          <w:lang w:eastAsia="en-AU"/>
        </w:rPr>
        <w:t xml:space="preserve">’s website recommends that all patients should have clinical screening for preeclampsia risk in early pregnancy but that this recommendation expired in 2022 and is “under review” and does not recommend the use of any risk algorithm. </w:t>
      </w:r>
      <w:r>
        <w:rPr>
          <w:rFonts w:ascii="Franklin Gothic Book" w:hAnsi="Franklin Gothic Book"/>
          <w:color w:val="000000"/>
          <w:sz w:val="22"/>
          <w:szCs w:val="20"/>
          <w:lang w:eastAsia="en-AU"/>
        </w:rPr>
        <w:t xml:space="preserve">ESC estimated that taking these uncertainties into account less than 5% of pregnant patients would be identified as being at high risk and prescribed aspirin as an intervention while under the proposed algorithm, roughly 10.5% of pregnant patients would be identified as high risk, which amounts to over 30,000 people a year treated with aspirin. </w:t>
      </w:r>
    </w:p>
    <w:p w14:paraId="4956AA93" w14:textId="77777777" w:rsidR="00971DB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noted that the evidence provided seemed to support both a direct and a linked evidence </w:t>
      </w:r>
      <w:proofErr w:type="gramStart"/>
      <w:r w:rsidRPr="00F737CF">
        <w:rPr>
          <w:rFonts w:ascii="Franklin Gothic Book" w:hAnsi="Franklin Gothic Book"/>
          <w:color w:val="000000"/>
          <w:sz w:val="22"/>
          <w:szCs w:val="20"/>
          <w:lang w:eastAsia="en-AU"/>
        </w:rPr>
        <w:t>approach</w:t>
      </w:r>
      <w:proofErr w:type="gramEnd"/>
      <w:r w:rsidRPr="00F737CF">
        <w:rPr>
          <w:rFonts w:ascii="Franklin Gothic Book" w:hAnsi="Franklin Gothic Book"/>
          <w:color w:val="000000"/>
          <w:sz w:val="22"/>
          <w:szCs w:val="20"/>
          <w:lang w:eastAsia="en-AU"/>
        </w:rPr>
        <w:t xml:space="preserve"> but this was not clearly or explicitly stated. </w:t>
      </w:r>
      <w:proofErr w:type="gramStart"/>
      <w:r>
        <w:rPr>
          <w:rFonts w:ascii="Franklin Gothic Book" w:hAnsi="Franklin Gothic Book"/>
          <w:color w:val="000000"/>
          <w:sz w:val="22"/>
          <w:szCs w:val="20"/>
          <w:lang w:eastAsia="en-AU"/>
        </w:rPr>
        <w:t>In particular, ESC</w:t>
      </w:r>
      <w:proofErr w:type="gramEnd"/>
      <w:r>
        <w:rPr>
          <w:rFonts w:ascii="Franklin Gothic Book" w:hAnsi="Franklin Gothic Book"/>
          <w:color w:val="000000"/>
          <w:sz w:val="22"/>
          <w:szCs w:val="20"/>
          <w:lang w:eastAsia="en-AU"/>
        </w:rPr>
        <w:t xml:space="preserve"> noted that:</w:t>
      </w:r>
    </w:p>
    <w:p w14:paraId="1CDAB5AD" w14:textId="77777777" w:rsidR="00971DBF" w:rsidRDefault="00971DBF" w:rsidP="00971DBF">
      <w:pPr>
        <w:pStyle w:val="ListParagraph"/>
        <w:numPr>
          <w:ilvl w:val="0"/>
          <w:numId w:val="27"/>
        </w:num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evidence on whether the FMF algorithm accurately predicted pre-eclampsia came from three studies associated with the </w:t>
      </w:r>
      <w:r w:rsidRPr="009E2E05">
        <w:rPr>
          <w:rFonts w:ascii="Franklin Gothic Book" w:hAnsi="Franklin Gothic Book"/>
          <w:color w:val="000000"/>
          <w:sz w:val="22"/>
          <w:szCs w:val="20"/>
          <w:lang w:eastAsia="en-AU"/>
        </w:rPr>
        <w:t xml:space="preserve">ASPRE trial (Combined </w:t>
      </w:r>
      <w:proofErr w:type="spellStart"/>
      <w:r w:rsidRPr="009E2E05">
        <w:rPr>
          <w:rFonts w:ascii="Franklin Gothic Book" w:hAnsi="Franklin Gothic Book"/>
          <w:color w:val="000000"/>
          <w:sz w:val="22"/>
          <w:szCs w:val="20"/>
          <w:lang w:eastAsia="en-AU"/>
        </w:rPr>
        <w:t>Multimarker</w:t>
      </w:r>
      <w:proofErr w:type="spellEnd"/>
      <w:r w:rsidRPr="009E2E05">
        <w:rPr>
          <w:rFonts w:ascii="Franklin Gothic Book" w:hAnsi="Franklin Gothic Book"/>
          <w:color w:val="000000"/>
          <w:sz w:val="22"/>
          <w:szCs w:val="20"/>
          <w:lang w:eastAsia="en-AU"/>
        </w:rPr>
        <w:t xml:space="preserve"> Testing and Randomized Patient Treatment with Aspirin for Evidence-Based Preeclampsia Prevention), a large, high-quality</w:t>
      </w:r>
      <w:r>
        <w:rPr>
          <w:rFonts w:ascii="Franklin Gothic Book" w:hAnsi="Franklin Gothic Book"/>
          <w:color w:val="000000"/>
          <w:sz w:val="22"/>
          <w:szCs w:val="20"/>
          <w:lang w:eastAsia="en-AU"/>
        </w:rPr>
        <w:t xml:space="preserve"> randomised controlled trial</w:t>
      </w:r>
      <w:r w:rsidRPr="009E2E05">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w:t>
      </w:r>
      <w:r w:rsidRPr="009E2E05">
        <w:rPr>
          <w:rFonts w:ascii="Franklin Gothic Book" w:hAnsi="Franklin Gothic Book"/>
          <w:color w:val="000000"/>
          <w:sz w:val="22"/>
          <w:szCs w:val="20"/>
          <w:lang w:eastAsia="en-AU"/>
        </w:rPr>
        <w:t>RCT</w:t>
      </w:r>
      <w:r>
        <w:rPr>
          <w:rFonts w:ascii="Franklin Gothic Book" w:hAnsi="Franklin Gothic Book"/>
          <w:color w:val="000000"/>
          <w:sz w:val="22"/>
          <w:szCs w:val="20"/>
          <w:lang w:eastAsia="en-AU"/>
        </w:rPr>
        <w:t>)</w:t>
      </w:r>
      <w:r w:rsidRPr="009E2E05">
        <w:rPr>
          <w:rFonts w:ascii="Franklin Gothic Book" w:hAnsi="Franklin Gothic Book"/>
          <w:color w:val="000000"/>
          <w:sz w:val="22"/>
          <w:szCs w:val="20"/>
          <w:lang w:eastAsia="en-AU"/>
        </w:rPr>
        <w:t xml:space="preserve"> conducted in the UK, </w:t>
      </w:r>
      <w:proofErr w:type="gramStart"/>
      <w:r w:rsidRPr="009E2E05">
        <w:rPr>
          <w:rFonts w:ascii="Franklin Gothic Book" w:hAnsi="Franklin Gothic Book"/>
          <w:color w:val="000000"/>
          <w:sz w:val="22"/>
          <w:szCs w:val="20"/>
          <w:lang w:eastAsia="en-AU"/>
        </w:rPr>
        <w:t>Europe</w:t>
      </w:r>
      <w:proofErr w:type="gramEnd"/>
      <w:r w:rsidRPr="009E2E05">
        <w:rPr>
          <w:rFonts w:ascii="Franklin Gothic Book" w:hAnsi="Franklin Gothic Book"/>
          <w:color w:val="000000"/>
          <w:sz w:val="22"/>
          <w:szCs w:val="20"/>
          <w:lang w:eastAsia="en-AU"/>
        </w:rPr>
        <w:t xml:space="preserve"> and Israel</w:t>
      </w:r>
      <w:r>
        <w:rPr>
          <w:rFonts w:ascii="Franklin Gothic Book" w:hAnsi="Franklin Gothic Book"/>
          <w:color w:val="000000"/>
          <w:sz w:val="22"/>
          <w:szCs w:val="20"/>
          <w:lang w:eastAsia="en-AU"/>
        </w:rPr>
        <w:t xml:space="preserve"> and four other datasets. ESC noted that </w:t>
      </w:r>
      <w:r>
        <w:rPr>
          <w:rFonts w:ascii="Franklin Gothic Book" w:hAnsi="Franklin Gothic Book"/>
          <w:color w:val="000000"/>
          <w:sz w:val="22"/>
          <w:szCs w:val="20"/>
          <w:lang w:val="en-US" w:eastAsia="en-AU"/>
        </w:rPr>
        <w:t>a</w:t>
      </w:r>
      <w:r w:rsidRPr="0080154D">
        <w:rPr>
          <w:rFonts w:ascii="Franklin Gothic Book" w:hAnsi="Franklin Gothic Book"/>
          <w:color w:val="000000"/>
          <w:sz w:val="22"/>
          <w:szCs w:val="20"/>
          <w:lang w:val="en-US" w:eastAsia="en-AU"/>
        </w:rPr>
        <w:t xml:space="preserve">lthough some of the included studies were at risk of bias, </w:t>
      </w:r>
      <w:proofErr w:type="gramStart"/>
      <w:r w:rsidRPr="0080154D">
        <w:rPr>
          <w:rFonts w:ascii="Franklin Gothic Book" w:hAnsi="Franklin Gothic Book"/>
          <w:color w:val="000000"/>
          <w:sz w:val="22"/>
          <w:szCs w:val="20"/>
          <w:lang w:val="en-US" w:eastAsia="en-AU"/>
        </w:rPr>
        <w:t>overall</w:t>
      </w:r>
      <w:proofErr w:type="gramEnd"/>
      <w:r w:rsidRPr="0080154D">
        <w:rPr>
          <w:rFonts w:ascii="Franklin Gothic Book" w:hAnsi="Franklin Gothic Book"/>
          <w:color w:val="000000"/>
          <w:sz w:val="22"/>
          <w:szCs w:val="20"/>
          <w:lang w:val="en-US" w:eastAsia="en-AU"/>
        </w:rPr>
        <w:t xml:space="preserve"> </w:t>
      </w:r>
      <w:r>
        <w:rPr>
          <w:rFonts w:ascii="Franklin Gothic Book" w:hAnsi="Franklin Gothic Book"/>
          <w:color w:val="000000"/>
          <w:sz w:val="22"/>
          <w:szCs w:val="20"/>
          <w:lang w:val="en-US" w:eastAsia="en-AU"/>
        </w:rPr>
        <w:t xml:space="preserve">the evidence was assessed to be of </w:t>
      </w:r>
      <w:r w:rsidRPr="0080154D">
        <w:rPr>
          <w:rFonts w:ascii="Franklin Gothic Book" w:hAnsi="Franklin Gothic Book"/>
          <w:color w:val="000000"/>
          <w:sz w:val="22"/>
          <w:szCs w:val="20"/>
          <w:lang w:val="en-US" w:eastAsia="en-AU"/>
        </w:rPr>
        <w:t>high quality</w:t>
      </w:r>
      <w:r>
        <w:rPr>
          <w:rFonts w:ascii="Franklin Gothic Book" w:hAnsi="Franklin Gothic Book"/>
          <w:color w:val="000000"/>
          <w:sz w:val="22"/>
          <w:szCs w:val="20"/>
          <w:lang w:eastAsia="en-AU"/>
        </w:rPr>
        <w:t>;</w:t>
      </w:r>
    </w:p>
    <w:p w14:paraId="0D787362" w14:textId="77777777" w:rsidR="00971DBF" w:rsidRDefault="00971DBF" w:rsidP="00971DBF">
      <w:pPr>
        <w:pStyle w:val="ListParagraph"/>
        <w:numPr>
          <w:ilvl w:val="0"/>
          <w:numId w:val="27"/>
        </w:num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no evidence was provided on whether use of the FMF algorithm led to changes in treatment and management of patients (in particular uptake of aspirin</w:t>
      </w:r>
      <w:proofErr w:type="gramStart"/>
      <w:r>
        <w:rPr>
          <w:rFonts w:ascii="Franklin Gothic Book" w:hAnsi="Franklin Gothic Book"/>
          <w:color w:val="000000"/>
          <w:sz w:val="22"/>
          <w:szCs w:val="20"/>
          <w:lang w:eastAsia="en-AU"/>
        </w:rPr>
        <w:t>);</w:t>
      </w:r>
      <w:proofErr w:type="gramEnd"/>
    </w:p>
    <w:p w14:paraId="60EF3FA8" w14:textId="77777777" w:rsidR="00971DBF" w:rsidRDefault="00971DBF" w:rsidP="00971DBF">
      <w:pPr>
        <w:pStyle w:val="ListParagraph"/>
        <w:numPr>
          <w:ilvl w:val="0"/>
          <w:numId w:val="27"/>
        </w:num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evidence was provided on the impact of aspirin on pre-term preeclampsia incidence from one study associated with the ASPRE </w:t>
      </w:r>
      <w:proofErr w:type="gramStart"/>
      <w:r>
        <w:rPr>
          <w:rFonts w:ascii="Franklin Gothic Book" w:hAnsi="Franklin Gothic Book"/>
          <w:color w:val="000000"/>
          <w:sz w:val="22"/>
          <w:szCs w:val="20"/>
          <w:lang w:eastAsia="en-AU"/>
        </w:rPr>
        <w:t>trial;</w:t>
      </w:r>
      <w:proofErr w:type="gramEnd"/>
    </w:p>
    <w:p w14:paraId="5569EDB1" w14:textId="77777777" w:rsidR="00971DBF" w:rsidRDefault="00971DBF" w:rsidP="00971DBF">
      <w:pPr>
        <w:pStyle w:val="ListParagraph"/>
        <w:numPr>
          <w:ilvl w:val="0"/>
          <w:numId w:val="27"/>
        </w:num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lastRenderedPageBreak/>
        <w:t xml:space="preserve">evidence on the effect of aspirin on preeclampsia related outcomes came from one study associated with the ASPRE trial and from a meta-analysis </w:t>
      </w:r>
      <w:r w:rsidRPr="00F737CF">
        <w:rPr>
          <w:rFonts w:ascii="Franklin Gothic Book" w:hAnsi="Franklin Gothic Book"/>
          <w:color w:val="000000"/>
          <w:sz w:val="22"/>
          <w:szCs w:val="20"/>
          <w:lang w:eastAsia="en-AU"/>
        </w:rPr>
        <w:t>looking at the effect of aspirin and prevention of preeclampsia</w:t>
      </w:r>
      <w:r>
        <w:rPr>
          <w:rFonts w:ascii="Franklin Gothic Book" w:hAnsi="Franklin Gothic Book"/>
          <w:color w:val="000000"/>
          <w:sz w:val="22"/>
          <w:szCs w:val="20"/>
          <w:lang w:eastAsia="en-AU"/>
        </w:rPr>
        <w:t xml:space="preserve"> from randomised controlled trials (RCTs) by Roberge</w:t>
      </w:r>
      <w:r>
        <w:rPr>
          <w:rStyle w:val="FootnoteReference"/>
          <w:rFonts w:ascii="Franklin Gothic Book" w:hAnsi="Franklin Gothic Book"/>
          <w:color w:val="000000"/>
          <w:sz w:val="22"/>
          <w:szCs w:val="20"/>
          <w:lang w:eastAsia="en-AU"/>
        </w:rPr>
        <w:footnoteReference w:id="33"/>
      </w:r>
      <w:r>
        <w:rPr>
          <w:rFonts w:ascii="Franklin Gothic Book" w:hAnsi="Franklin Gothic Book"/>
          <w:color w:val="000000"/>
          <w:sz w:val="22"/>
          <w:szCs w:val="20"/>
          <w:lang w:eastAsia="en-AU"/>
        </w:rPr>
        <w:t>;</w:t>
      </w:r>
    </w:p>
    <w:p w14:paraId="5BD07B16" w14:textId="77777777" w:rsidR="00971DBF" w:rsidRPr="00842844" w:rsidRDefault="00971DBF" w:rsidP="00971DBF">
      <w:pPr>
        <w:pStyle w:val="ListParagraph"/>
        <w:numPr>
          <w:ilvl w:val="0"/>
          <w:numId w:val="27"/>
        </w:num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evidence on adverse events from aspirin was provided from one small study (associated with the ASPRE trial).</w:t>
      </w:r>
    </w:p>
    <w:p w14:paraId="680EE863" w14:textId="77777777" w:rsidR="00971DB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ESC considered that t</w:t>
      </w:r>
      <w:r w:rsidRPr="009D52BB">
        <w:rPr>
          <w:rFonts w:ascii="Franklin Gothic Book" w:hAnsi="Franklin Gothic Book"/>
          <w:color w:val="000000"/>
          <w:sz w:val="22"/>
          <w:szCs w:val="20"/>
          <w:lang w:eastAsia="en-AU"/>
        </w:rPr>
        <w:t>he evidence on how well the FMF algorithm predict</w:t>
      </w:r>
      <w:r>
        <w:rPr>
          <w:rFonts w:ascii="Franklin Gothic Book" w:hAnsi="Franklin Gothic Book"/>
          <w:color w:val="000000"/>
          <w:sz w:val="22"/>
          <w:szCs w:val="20"/>
          <w:lang w:eastAsia="en-AU"/>
        </w:rPr>
        <w:t>ed</w:t>
      </w:r>
      <w:r w:rsidRPr="009D52BB">
        <w:rPr>
          <w:rFonts w:ascii="Franklin Gothic Book" w:hAnsi="Franklin Gothic Book"/>
          <w:color w:val="000000"/>
          <w:sz w:val="22"/>
          <w:szCs w:val="20"/>
          <w:lang w:eastAsia="en-AU"/>
        </w:rPr>
        <w:t xml:space="preserve"> risk of pre-eclampsia and, separately, how effective aspirin </w:t>
      </w:r>
      <w:r>
        <w:rPr>
          <w:rFonts w:ascii="Franklin Gothic Book" w:hAnsi="Franklin Gothic Book"/>
          <w:color w:val="000000"/>
          <w:sz w:val="22"/>
          <w:szCs w:val="20"/>
          <w:lang w:eastAsia="en-AU"/>
        </w:rPr>
        <w:t>wa</w:t>
      </w:r>
      <w:r w:rsidRPr="009D52BB">
        <w:rPr>
          <w:rFonts w:ascii="Franklin Gothic Book" w:hAnsi="Franklin Gothic Book"/>
          <w:color w:val="000000"/>
          <w:sz w:val="22"/>
          <w:szCs w:val="20"/>
          <w:lang w:eastAsia="en-AU"/>
        </w:rPr>
        <w:t xml:space="preserve">s at preventing preeclampsia in at-risk pregnancies </w:t>
      </w:r>
      <w:r>
        <w:rPr>
          <w:rFonts w:ascii="Franklin Gothic Book" w:hAnsi="Franklin Gothic Book"/>
          <w:color w:val="000000"/>
          <w:sz w:val="22"/>
          <w:szCs w:val="20"/>
          <w:lang w:eastAsia="en-AU"/>
        </w:rPr>
        <w:t>wa</w:t>
      </w:r>
      <w:r w:rsidRPr="009D52BB">
        <w:rPr>
          <w:rFonts w:ascii="Franklin Gothic Book" w:hAnsi="Franklin Gothic Book"/>
          <w:color w:val="000000"/>
          <w:sz w:val="22"/>
          <w:szCs w:val="20"/>
          <w:lang w:eastAsia="en-AU"/>
        </w:rPr>
        <w:t xml:space="preserve">s strong. However, linkages from the use of the FMF algorithm to uptake of aspirin leading to reduced incidence of preeclampsia and improved pregnancy outcomes </w:t>
      </w:r>
      <w:r>
        <w:rPr>
          <w:rFonts w:ascii="Franklin Gothic Book" w:hAnsi="Franklin Gothic Book"/>
          <w:color w:val="000000"/>
          <w:sz w:val="22"/>
          <w:szCs w:val="20"/>
          <w:lang w:eastAsia="en-AU"/>
        </w:rPr>
        <w:t>were</w:t>
      </w:r>
      <w:r w:rsidRPr="009D52BB">
        <w:rPr>
          <w:rFonts w:ascii="Franklin Gothic Book" w:hAnsi="Franklin Gothic Book"/>
          <w:color w:val="000000"/>
          <w:sz w:val="22"/>
          <w:szCs w:val="20"/>
          <w:lang w:eastAsia="en-AU"/>
        </w:rPr>
        <w:t xml:space="preserve"> not demonstrated.  Therefore</w:t>
      </w:r>
      <w:r>
        <w:rPr>
          <w:rFonts w:ascii="Franklin Gothic Book" w:hAnsi="Franklin Gothic Book"/>
          <w:color w:val="000000"/>
          <w:sz w:val="22"/>
          <w:szCs w:val="20"/>
          <w:lang w:eastAsia="en-AU"/>
        </w:rPr>
        <w:t>,</w:t>
      </w:r>
      <w:r w:rsidRPr="009D52BB">
        <w:rPr>
          <w:rFonts w:ascii="Franklin Gothic Book" w:hAnsi="Franklin Gothic Book"/>
          <w:color w:val="000000"/>
          <w:sz w:val="22"/>
          <w:szCs w:val="20"/>
          <w:lang w:eastAsia="en-AU"/>
        </w:rPr>
        <w:t xml:space="preserve"> while the assumptions underpinning the proposal for funding (that is, that </w:t>
      </w:r>
      <w:r>
        <w:rPr>
          <w:rFonts w:ascii="Franklin Gothic Book" w:hAnsi="Franklin Gothic Book"/>
          <w:color w:val="000000"/>
          <w:sz w:val="22"/>
          <w:szCs w:val="20"/>
          <w:lang w:eastAsia="en-AU"/>
        </w:rPr>
        <w:t>risk assessment</w:t>
      </w:r>
      <w:r w:rsidRPr="009D52BB">
        <w:rPr>
          <w:rFonts w:ascii="Franklin Gothic Book" w:hAnsi="Franklin Gothic Book"/>
          <w:color w:val="000000"/>
          <w:sz w:val="22"/>
          <w:szCs w:val="20"/>
          <w:lang w:eastAsia="en-AU"/>
        </w:rPr>
        <w:t xml:space="preserve"> leads to treatment, which leads to improved pregnancy outcomes) may be reasonable from first principles, </w:t>
      </w:r>
      <w:r>
        <w:rPr>
          <w:rFonts w:ascii="Franklin Gothic Book" w:hAnsi="Franklin Gothic Book"/>
          <w:color w:val="000000"/>
          <w:sz w:val="22"/>
          <w:szCs w:val="20"/>
          <w:lang w:eastAsia="en-AU"/>
        </w:rPr>
        <w:t>they were</w:t>
      </w:r>
      <w:r w:rsidRPr="009D52BB">
        <w:rPr>
          <w:rFonts w:ascii="Franklin Gothic Book" w:hAnsi="Franklin Gothic Book"/>
          <w:color w:val="000000"/>
          <w:sz w:val="22"/>
          <w:szCs w:val="20"/>
          <w:lang w:eastAsia="en-AU"/>
        </w:rPr>
        <w:t xml:space="preserve"> not demonstrated by the evidence provided</w:t>
      </w:r>
      <w:r>
        <w:rPr>
          <w:rFonts w:ascii="Franklin Gothic Book" w:hAnsi="Franklin Gothic Book"/>
          <w:color w:val="000000"/>
          <w:sz w:val="22"/>
          <w:szCs w:val="20"/>
          <w:lang w:eastAsia="en-AU"/>
        </w:rPr>
        <w:t>.</w:t>
      </w:r>
    </w:p>
    <w:p w14:paraId="1EF5FF4D" w14:textId="77777777" w:rsidR="00971DBF" w:rsidRPr="00F737CF" w:rsidRDefault="00971DBF" w:rsidP="00971DBF">
      <w:pPr>
        <w:spacing w:after="240"/>
        <w:rPr>
          <w:color w:val="000000"/>
          <w:sz w:val="22"/>
          <w:szCs w:val="20"/>
          <w:lang w:eastAsia="en-AU"/>
        </w:rPr>
      </w:pPr>
      <w:r w:rsidRPr="00F737CF">
        <w:rPr>
          <w:rFonts w:ascii="Franklin Gothic Book" w:hAnsi="Franklin Gothic Book"/>
          <w:color w:val="000000"/>
          <w:sz w:val="22"/>
          <w:szCs w:val="20"/>
          <w:lang w:eastAsia="en-AU"/>
        </w:rPr>
        <w:t xml:space="preserve">ESC noted that the ADAR did not provide sufficient evidence to support the clinical claim for non-inferior safety. The ADAR did not discuss psychological harm associated with risk-based testing and results (particularly for the population determined high risk by the FMF risk algorithm) </w:t>
      </w:r>
      <w:r>
        <w:rPr>
          <w:rFonts w:ascii="Franklin Gothic Book" w:hAnsi="Franklin Gothic Book"/>
          <w:color w:val="000000"/>
          <w:sz w:val="22"/>
          <w:szCs w:val="20"/>
          <w:lang w:eastAsia="en-AU"/>
        </w:rPr>
        <w:t xml:space="preserve">nor did it provide as a basis for comparison to </w:t>
      </w:r>
      <w:r w:rsidRPr="00F737CF">
        <w:rPr>
          <w:rFonts w:ascii="Franklin Gothic Book" w:hAnsi="Franklin Gothic Book"/>
          <w:color w:val="000000"/>
          <w:sz w:val="22"/>
          <w:szCs w:val="20"/>
          <w:lang w:eastAsia="en-AU"/>
        </w:rPr>
        <w:t>safety outcomes related to comparative psychological harms of having delivery at a non-viable gestation or a preterm infant owing to preeclampsia</w:t>
      </w:r>
      <w:r>
        <w:rPr>
          <w:rFonts w:ascii="Franklin Gothic Book" w:hAnsi="Franklin Gothic Book"/>
          <w:color w:val="000000"/>
          <w:sz w:val="22"/>
          <w:szCs w:val="20"/>
          <w:lang w:eastAsia="en-AU"/>
        </w:rPr>
        <w:t xml:space="preserve">. </w:t>
      </w:r>
      <w:r w:rsidRPr="00F737CF">
        <w:rPr>
          <w:rFonts w:ascii="Franklin Gothic Book" w:hAnsi="Franklin Gothic Book"/>
          <w:color w:val="000000"/>
          <w:sz w:val="22"/>
          <w:szCs w:val="20"/>
          <w:lang w:eastAsia="en-AU"/>
        </w:rPr>
        <w:t>Safety outcomes related to comparative physical harms to the gestational parent and the baby once delivered, with or without the proposed intervention, were also not described</w:t>
      </w:r>
      <w:r>
        <w:rPr>
          <w:rFonts w:ascii="Franklin Gothic Book" w:hAnsi="Franklin Gothic Book"/>
          <w:color w:val="000000"/>
          <w:sz w:val="22"/>
          <w:szCs w:val="20"/>
          <w:lang w:eastAsia="en-AU"/>
        </w:rPr>
        <w:t>.</w:t>
      </w:r>
    </w:p>
    <w:p w14:paraId="5E4FDE93"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ESC also noted that the safety consequences of unnecessary aspirin treatment in false positive cases</w:t>
      </w:r>
      <w:r>
        <w:rPr>
          <w:rFonts w:ascii="Franklin Gothic Book" w:hAnsi="Franklin Gothic Book"/>
          <w:color w:val="000000"/>
          <w:sz w:val="22"/>
          <w:szCs w:val="20"/>
          <w:lang w:eastAsia="en-AU"/>
        </w:rPr>
        <w:t xml:space="preserve"> </w:t>
      </w:r>
      <w:r w:rsidRPr="00F737CF">
        <w:rPr>
          <w:rFonts w:ascii="Franklin Gothic Book" w:hAnsi="Franklin Gothic Book"/>
          <w:color w:val="000000"/>
          <w:sz w:val="22"/>
          <w:szCs w:val="20"/>
          <w:lang w:eastAsia="en-AU"/>
        </w:rPr>
        <w:t>and missed aspirin treatment in false negative cases were mentioned</w:t>
      </w:r>
      <w:r>
        <w:rPr>
          <w:rFonts w:ascii="Franklin Gothic Book" w:hAnsi="Franklin Gothic Book"/>
          <w:color w:val="000000"/>
          <w:sz w:val="22"/>
          <w:szCs w:val="20"/>
          <w:lang w:eastAsia="en-AU"/>
        </w:rPr>
        <w:t>. H</w:t>
      </w:r>
      <w:r w:rsidRPr="00F737CF">
        <w:rPr>
          <w:rFonts w:ascii="Franklin Gothic Book" w:hAnsi="Franklin Gothic Book"/>
          <w:color w:val="000000"/>
          <w:sz w:val="22"/>
          <w:szCs w:val="20"/>
          <w:lang w:eastAsia="en-AU"/>
        </w:rPr>
        <w:t xml:space="preserve">owever, </w:t>
      </w:r>
      <w:r>
        <w:rPr>
          <w:rFonts w:ascii="Franklin Gothic Book" w:hAnsi="Franklin Gothic Book"/>
          <w:color w:val="000000"/>
          <w:sz w:val="22"/>
          <w:szCs w:val="20"/>
          <w:lang w:eastAsia="en-AU"/>
        </w:rPr>
        <w:t>ESC considered</w:t>
      </w:r>
      <w:r w:rsidRPr="00F737CF">
        <w:rPr>
          <w:rFonts w:ascii="Franklin Gothic Book" w:hAnsi="Franklin Gothic Book"/>
          <w:color w:val="000000"/>
          <w:sz w:val="22"/>
          <w:szCs w:val="20"/>
          <w:lang w:eastAsia="en-AU"/>
        </w:rPr>
        <w:t xml:space="preserve"> the evidence on this impact was not sufficiently explored in the ADAR</w:t>
      </w:r>
      <w:r>
        <w:rPr>
          <w:rFonts w:ascii="Franklin Gothic Book" w:hAnsi="Franklin Gothic Book"/>
          <w:color w:val="000000"/>
          <w:sz w:val="22"/>
          <w:szCs w:val="20"/>
          <w:lang w:eastAsia="en-AU"/>
        </w:rPr>
        <w:t xml:space="preserve">. </w:t>
      </w:r>
      <w:proofErr w:type="gramStart"/>
      <w:r>
        <w:rPr>
          <w:rFonts w:ascii="Franklin Gothic Book" w:hAnsi="Franklin Gothic Book"/>
          <w:color w:val="000000"/>
          <w:sz w:val="22"/>
          <w:szCs w:val="20"/>
          <w:lang w:eastAsia="en-AU"/>
        </w:rPr>
        <w:t>In particular, ESC</w:t>
      </w:r>
      <w:proofErr w:type="gramEnd"/>
      <w:r>
        <w:rPr>
          <w:rFonts w:ascii="Franklin Gothic Book" w:hAnsi="Franklin Gothic Book"/>
          <w:color w:val="000000"/>
          <w:sz w:val="22"/>
          <w:szCs w:val="20"/>
          <w:lang w:eastAsia="en-AU"/>
        </w:rPr>
        <w:t xml:space="preserve"> noted that the evidence for safety of </w:t>
      </w:r>
      <w:r w:rsidRPr="00CB1F9D">
        <w:rPr>
          <w:rFonts w:ascii="Franklin Gothic Book" w:hAnsi="Franklin Gothic Book"/>
          <w:color w:val="000000"/>
          <w:sz w:val="22"/>
          <w:szCs w:val="20"/>
          <w:lang w:eastAsia="en-AU"/>
        </w:rPr>
        <w:t xml:space="preserve">use of aspirin in the proposed pregnant population </w:t>
      </w:r>
      <w:r>
        <w:rPr>
          <w:rFonts w:ascii="Franklin Gothic Book" w:hAnsi="Franklin Gothic Book"/>
          <w:color w:val="000000"/>
          <w:sz w:val="22"/>
          <w:szCs w:val="20"/>
          <w:lang w:eastAsia="en-AU"/>
        </w:rPr>
        <w:t xml:space="preserve">cited in the ADAR only </w:t>
      </w:r>
      <w:r w:rsidRPr="00CB1F9D">
        <w:rPr>
          <w:rFonts w:ascii="Franklin Gothic Book" w:hAnsi="Franklin Gothic Book"/>
          <w:color w:val="000000"/>
          <w:sz w:val="22"/>
          <w:szCs w:val="20"/>
          <w:lang w:eastAsia="en-AU"/>
        </w:rPr>
        <w:t xml:space="preserve">reported aspirin use in a population of 789 at-risk individuals, which </w:t>
      </w:r>
      <w:r w:rsidRPr="002103B4">
        <w:rPr>
          <w:rFonts w:ascii="Franklin Gothic Book" w:hAnsi="Franklin Gothic Book"/>
          <w:color w:val="000000"/>
          <w:sz w:val="22"/>
          <w:szCs w:val="20"/>
          <w:lang w:eastAsia="en-AU"/>
        </w:rPr>
        <w:t>limit</w:t>
      </w:r>
      <w:r>
        <w:rPr>
          <w:rFonts w:ascii="Franklin Gothic Book" w:hAnsi="Franklin Gothic Book"/>
          <w:color w:val="000000"/>
          <w:sz w:val="22"/>
          <w:szCs w:val="20"/>
          <w:lang w:eastAsia="en-AU"/>
        </w:rPr>
        <w:t>s</w:t>
      </w:r>
      <w:r w:rsidRPr="002103B4">
        <w:rPr>
          <w:rFonts w:ascii="Franklin Gothic Book" w:hAnsi="Franklin Gothic Book"/>
          <w:color w:val="000000"/>
          <w:sz w:val="22"/>
          <w:szCs w:val="20"/>
          <w:lang w:eastAsia="en-AU"/>
        </w:rPr>
        <w:t xml:space="preserve"> the ability to account for adverse events occurring at low frequency</w:t>
      </w:r>
      <w:r>
        <w:rPr>
          <w:rFonts w:ascii="Franklin Gothic Book" w:hAnsi="Franklin Gothic Book"/>
          <w:color w:val="000000"/>
          <w:sz w:val="22"/>
          <w:szCs w:val="20"/>
          <w:lang w:eastAsia="en-AU"/>
        </w:rPr>
        <w:t>. ESC considered the potential disutility of risk assessment was uncertain. ESC considered that the claim of non-inferior safety could not be supported in the absence of sufficient evidence, and that the evidence on safety associated with risk assessment and consequent treatment needed further investigation given that the estimated false positive rate of testing is approximately 10% and up to 300,000 patients a year would be tested under the proposal</w:t>
      </w:r>
      <w:r w:rsidRPr="00F737CF">
        <w:rPr>
          <w:rFonts w:ascii="Franklin Gothic Book" w:hAnsi="Franklin Gothic Book"/>
          <w:color w:val="000000"/>
          <w:sz w:val="22"/>
          <w:szCs w:val="20"/>
          <w:lang w:eastAsia="en-AU"/>
        </w:rPr>
        <w:t xml:space="preserve">. ESC noted that the commentary conducted an independent scoping search of relevant literature and </w:t>
      </w:r>
      <w:r>
        <w:rPr>
          <w:rFonts w:ascii="Franklin Gothic Book" w:hAnsi="Franklin Gothic Book"/>
          <w:color w:val="000000"/>
          <w:sz w:val="22"/>
          <w:szCs w:val="20"/>
          <w:lang w:eastAsia="en-AU"/>
        </w:rPr>
        <w:t>had also</w:t>
      </w:r>
      <w:r w:rsidRPr="00F737CF">
        <w:rPr>
          <w:rFonts w:ascii="Franklin Gothic Book" w:hAnsi="Franklin Gothic Book"/>
          <w:color w:val="000000"/>
          <w:sz w:val="22"/>
          <w:szCs w:val="20"/>
          <w:lang w:eastAsia="en-AU"/>
        </w:rPr>
        <w:t xml:space="preserve"> concluded that the clinical claim for non-inferior safety of testing was not supported due to the </w:t>
      </w:r>
      <w:r>
        <w:rPr>
          <w:rFonts w:ascii="Franklin Gothic Book" w:hAnsi="Franklin Gothic Book"/>
          <w:color w:val="000000"/>
          <w:sz w:val="22"/>
          <w:szCs w:val="20"/>
          <w:lang w:eastAsia="en-AU"/>
        </w:rPr>
        <w:t>insufficient</w:t>
      </w:r>
      <w:r w:rsidRPr="00F737CF">
        <w:rPr>
          <w:rFonts w:ascii="Franklin Gothic Book" w:hAnsi="Franklin Gothic Book"/>
          <w:color w:val="000000"/>
          <w:sz w:val="22"/>
          <w:szCs w:val="20"/>
          <w:lang w:eastAsia="en-AU"/>
        </w:rPr>
        <w:t xml:space="preserve"> evidence.</w:t>
      </w:r>
    </w:p>
    <w:p w14:paraId="391A90AF"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In terms of effectiveness, ESC noted that the use of structured prenatal risk assessment for predicting preterm preeclampsia as a screening tool in asymptomatic pregnancies at 11+0 to 13+6 weeks gestation ha</w:t>
      </w:r>
      <w:r>
        <w:rPr>
          <w:rFonts w:ascii="Franklin Gothic Book" w:hAnsi="Franklin Gothic Book"/>
          <w:color w:val="000000"/>
          <w:sz w:val="22"/>
          <w:szCs w:val="20"/>
          <w:lang w:eastAsia="en-AU"/>
        </w:rPr>
        <w:t>d</w:t>
      </w:r>
      <w:r w:rsidRPr="00F737CF">
        <w:rPr>
          <w:rFonts w:ascii="Franklin Gothic Book" w:hAnsi="Franklin Gothic Book"/>
          <w:color w:val="000000"/>
          <w:sz w:val="22"/>
          <w:szCs w:val="20"/>
          <w:lang w:eastAsia="en-AU"/>
        </w:rPr>
        <w:t xml:space="preserve"> superior effectiveness compared with standard practice that involve</w:t>
      </w:r>
      <w:r>
        <w:rPr>
          <w:rFonts w:ascii="Franklin Gothic Book" w:hAnsi="Franklin Gothic Book"/>
          <w:color w:val="000000"/>
          <w:sz w:val="22"/>
          <w:szCs w:val="20"/>
          <w:lang w:eastAsia="en-AU"/>
        </w:rPr>
        <w:t>d</w:t>
      </w:r>
      <w:r w:rsidRPr="00F737CF">
        <w:rPr>
          <w:rFonts w:ascii="Franklin Gothic Book" w:hAnsi="Franklin Gothic Book"/>
          <w:color w:val="000000"/>
          <w:sz w:val="22"/>
          <w:szCs w:val="20"/>
          <w:lang w:eastAsia="en-AU"/>
        </w:rPr>
        <w:t xml:space="preserve"> the assessment of risk for preterm preeclampsia through taking a medical history. ESC noted that most of the evidence support</w:t>
      </w:r>
      <w:r>
        <w:rPr>
          <w:rFonts w:ascii="Franklin Gothic Book" w:hAnsi="Franklin Gothic Book"/>
          <w:color w:val="000000"/>
          <w:sz w:val="22"/>
          <w:szCs w:val="20"/>
          <w:lang w:eastAsia="en-AU"/>
        </w:rPr>
        <w:t>ed</w:t>
      </w:r>
      <w:r w:rsidRPr="00F737CF">
        <w:rPr>
          <w:rFonts w:ascii="Franklin Gothic Book" w:hAnsi="Franklin Gothic Book"/>
          <w:color w:val="000000"/>
          <w:sz w:val="22"/>
          <w:szCs w:val="20"/>
          <w:lang w:eastAsia="en-AU"/>
        </w:rPr>
        <w:t xml:space="preserve"> the superiority of the FMF over the NICE (which have good specificity but low sensitivity) and ACOG (which ha</w:t>
      </w:r>
      <w:r>
        <w:rPr>
          <w:rFonts w:ascii="Franklin Gothic Book" w:hAnsi="Franklin Gothic Book"/>
          <w:color w:val="000000"/>
          <w:sz w:val="22"/>
          <w:szCs w:val="20"/>
          <w:lang w:eastAsia="en-AU"/>
        </w:rPr>
        <w:t>ve</w:t>
      </w:r>
      <w:r w:rsidRPr="00F737CF">
        <w:rPr>
          <w:rFonts w:ascii="Franklin Gothic Book" w:hAnsi="Franklin Gothic Book"/>
          <w:color w:val="000000"/>
          <w:sz w:val="22"/>
          <w:szCs w:val="20"/>
          <w:lang w:eastAsia="en-AU"/>
        </w:rPr>
        <w:t xml:space="preserve"> good sensitivity but low specificity)</w:t>
      </w:r>
      <w:r w:rsidRPr="00F533DF">
        <w:rPr>
          <w:rFonts w:ascii="Franklin Gothic Book" w:hAnsi="Franklin Gothic Book"/>
          <w:color w:val="000000"/>
          <w:sz w:val="22"/>
          <w:szCs w:val="20"/>
          <w:lang w:eastAsia="en-AU"/>
        </w:rPr>
        <w:t xml:space="preserve"> </w:t>
      </w:r>
      <w:r w:rsidRPr="00F737CF">
        <w:rPr>
          <w:rFonts w:ascii="Franklin Gothic Book" w:hAnsi="Franklin Gothic Book"/>
          <w:color w:val="000000"/>
          <w:sz w:val="22"/>
          <w:szCs w:val="20"/>
          <w:lang w:eastAsia="en-AU"/>
        </w:rPr>
        <w:t>guidelines</w:t>
      </w:r>
      <w:r>
        <w:rPr>
          <w:rFonts w:ascii="Franklin Gothic Book" w:hAnsi="Franklin Gothic Book"/>
          <w:color w:val="000000"/>
          <w:sz w:val="22"/>
          <w:szCs w:val="20"/>
          <w:lang w:eastAsia="en-AU"/>
        </w:rPr>
        <w:t>.</w:t>
      </w:r>
    </w:p>
    <w:p w14:paraId="4B2D56E6" w14:textId="3D578EA9"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accepted the evidence presented for the effectiveness of aspirin to prevent pre-term preeclampsia in identified high-risk </w:t>
      </w:r>
      <w:proofErr w:type="gramStart"/>
      <w:r w:rsidRPr="00F737CF">
        <w:rPr>
          <w:rFonts w:ascii="Franklin Gothic Book" w:hAnsi="Franklin Gothic Book"/>
          <w:color w:val="000000"/>
          <w:sz w:val="22"/>
          <w:szCs w:val="20"/>
          <w:lang w:eastAsia="en-AU"/>
        </w:rPr>
        <w:t>individuals</w:t>
      </w:r>
      <w:r>
        <w:rPr>
          <w:rFonts w:ascii="Franklin Gothic Book" w:hAnsi="Franklin Gothic Book"/>
          <w:color w:val="000000"/>
          <w:sz w:val="22"/>
          <w:szCs w:val="20"/>
          <w:lang w:eastAsia="en-AU"/>
        </w:rPr>
        <w:t>, and</w:t>
      </w:r>
      <w:proofErr w:type="gramEnd"/>
      <w:r>
        <w:rPr>
          <w:rFonts w:ascii="Franklin Gothic Book" w:hAnsi="Franklin Gothic Book"/>
          <w:color w:val="000000"/>
          <w:sz w:val="22"/>
          <w:szCs w:val="20"/>
          <w:lang w:eastAsia="en-AU"/>
        </w:rPr>
        <w:t xml:space="preserve"> noted that the evidence suggested a reduction in the incidence of pre-term preeclampsia of 62% in this high risk group from being treated with aspirin. ESC noted that the meta-analysis by Roberge estimated the number needed to treat for aspirin to prevent one case of pre-eclampsia was 38. </w:t>
      </w:r>
      <w:proofErr w:type="gramStart"/>
      <w:r>
        <w:rPr>
          <w:rFonts w:ascii="Franklin Gothic Book" w:hAnsi="Franklin Gothic Book"/>
          <w:color w:val="000000"/>
          <w:sz w:val="22"/>
          <w:szCs w:val="20"/>
          <w:lang w:eastAsia="en-AU"/>
        </w:rPr>
        <w:t>However</w:t>
      </w:r>
      <w:proofErr w:type="gramEnd"/>
      <w:r>
        <w:rPr>
          <w:rFonts w:ascii="Franklin Gothic Book" w:hAnsi="Franklin Gothic Book"/>
          <w:color w:val="000000"/>
          <w:sz w:val="22"/>
          <w:szCs w:val="20"/>
          <w:lang w:eastAsia="en-AU"/>
        </w:rPr>
        <w:t xml:space="preserve"> it was un</w:t>
      </w:r>
      <w:r w:rsidRPr="00206C9E">
        <w:rPr>
          <w:rFonts w:ascii="Franklin Gothic Book" w:hAnsi="Franklin Gothic Book"/>
          <w:color w:val="000000"/>
          <w:sz w:val="22"/>
          <w:szCs w:val="20"/>
          <w:lang w:eastAsia="en-AU"/>
        </w:rPr>
        <w:t>clear what impact aspirin treatment ha</w:t>
      </w:r>
      <w:r>
        <w:rPr>
          <w:rFonts w:ascii="Franklin Gothic Book" w:hAnsi="Franklin Gothic Book"/>
          <w:color w:val="000000"/>
          <w:sz w:val="22"/>
          <w:szCs w:val="20"/>
          <w:lang w:eastAsia="en-AU"/>
        </w:rPr>
        <w:t>d</w:t>
      </w:r>
      <w:r w:rsidRPr="00206C9E">
        <w:rPr>
          <w:rFonts w:ascii="Franklin Gothic Book" w:hAnsi="Franklin Gothic Book"/>
          <w:color w:val="000000"/>
          <w:sz w:val="22"/>
          <w:szCs w:val="20"/>
          <w:lang w:eastAsia="en-AU"/>
        </w:rPr>
        <w:t xml:space="preserve"> on women identified as low risk by the </w:t>
      </w:r>
      <w:r>
        <w:rPr>
          <w:rFonts w:ascii="Franklin Gothic Book" w:hAnsi="Franklin Gothic Book"/>
          <w:color w:val="000000"/>
          <w:sz w:val="22"/>
          <w:szCs w:val="20"/>
          <w:lang w:eastAsia="en-AU"/>
        </w:rPr>
        <w:t xml:space="preserve">FMF risk </w:t>
      </w:r>
      <w:r w:rsidRPr="00206C9E">
        <w:rPr>
          <w:rFonts w:ascii="Franklin Gothic Book" w:hAnsi="Franklin Gothic Book"/>
          <w:color w:val="000000"/>
          <w:sz w:val="22"/>
          <w:szCs w:val="20"/>
          <w:lang w:eastAsia="en-AU"/>
        </w:rPr>
        <w:t xml:space="preserve">calculator compared with standard </w:t>
      </w:r>
      <w:r>
        <w:rPr>
          <w:rFonts w:ascii="Franklin Gothic Book" w:hAnsi="Franklin Gothic Book"/>
          <w:color w:val="000000"/>
          <w:sz w:val="22"/>
          <w:szCs w:val="20"/>
          <w:lang w:eastAsia="en-AU"/>
        </w:rPr>
        <w:t xml:space="preserve">of </w:t>
      </w:r>
      <w:r w:rsidRPr="00206C9E">
        <w:rPr>
          <w:rFonts w:ascii="Franklin Gothic Book" w:hAnsi="Franklin Gothic Book"/>
          <w:color w:val="000000"/>
          <w:sz w:val="22"/>
          <w:szCs w:val="20"/>
          <w:lang w:eastAsia="en-AU"/>
        </w:rPr>
        <w:t>car</w:t>
      </w:r>
      <w:r>
        <w:rPr>
          <w:rFonts w:ascii="Franklin Gothic Book" w:hAnsi="Franklin Gothic Book"/>
          <w:color w:val="000000"/>
          <w:sz w:val="22"/>
          <w:szCs w:val="20"/>
          <w:lang w:eastAsia="en-AU"/>
        </w:rPr>
        <w:t xml:space="preserve">e. ESC noted that there was </w:t>
      </w:r>
      <w:r w:rsidRPr="00206C9E">
        <w:rPr>
          <w:rFonts w:ascii="Franklin Gothic Book" w:hAnsi="Franklin Gothic Book"/>
          <w:color w:val="000000"/>
          <w:sz w:val="22"/>
          <w:szCs w:val="20"/>
          <w:lang w:eastAsia="en-AU"/>
        </w:rPr>
        <w:t xml:space="preserve">no difference in secondary </w:t>
      </w:r>
      <w:r>
        <w:rPr>
          <w:rFonts w:ascii="Franklin Gothic Book" w:hAnsi="Franklin Gothic Book"/>
          <w:color w:val="000000"/>
          <w:sz w:val="22"/>
          <w:szCs w:val="20"/>
          <w:lang w:eastAsia="en-AU"/>
        </w:rPr>
        <w:t xml:space="preserve">health </w:t>
      </w:r>
      <w:r w:rsidRPr="00206C9E">
        <w:rPr>
          <w:rFonts w:ascii="Franklin Gothic Book" w:hAnsi="Franklin Gothic Book"/>
          <w:color w:val="000000"/>
          <w:sz w:val="22"/>
          <w:szCs w:val="20"/>
          <w:lang w:eastAsia="en-AU"/>
        </w:rPr>
        <w:t>outcomes</w:t>
      </w:r>
      <w:r>
        <w:rPr>
          <w:rFonts w:ascii="Franklin Gothic Book" w:hAnsi="Franklin Gothic Book"/>
          <w:color w:val="000000"/>
          <w:sz w:val="22"/>
          <w:szCs w:val="20"/>
          <w:lang w:eastAsia="en-AU"/>
        </w:rPr>
        <w:t xml:space="preserve"> for the mother and baby (</w:t>
      </w:r>
      <w:proofErr w:type="gramStart"/>
      <w:r>
        <w:rPr>
          <w:rFonts w:ascii="Franklin Gothic Book" w:hAnsi="Franklin Gothic Book"/>
          <w:color w:val="000000"/>
          <w:sz w:val="22"/>
          <w:szCs w:val="20"/>
          <w:lang w:eastAsia="en-AU"/>
        </w:rPr>
        <w:t>e.g.</w:t>
      </w:r>
      <w:proofErr w:type="gramEnd"/>
      <w:r>
        <w:rPr>
          <w:rFonts w:ascii="Franklin Gothic Book" w:hAnsi="Franklin Gothic Book"/>
          <w:color w:val="000000"/>
          <w:sz w:val="22"/>
          <w:szCs w:val="20"/>
          <w:lang w:eastAsia="en-AU"/>
        </w:rPr>
        <w:t xml:space="preserve"> </w:t>
      </w:r>
      <w:r w:rsidRPr="00206C9E">
        <w:rPr>
          <w:rFonts w:ascii="Franklin Gothic Book" w:hAnsi="Franklin Gothic Book"/>
          <w:color w:val="000000"/>
          <w:sz w:val="22"/>
          <w:szCs w:val="20"/>
          <w:lang w:eastAsia="en-AU"/>
        </w:rPr>
        <w:t>neonatal death</w:t>
      </w:r>
      <w:r>
        <w:rPr>
          <w:rFonts w:ascii="Franklin Gothic Book" w:hAnsi="Franklin Gothic Book"/>
          <w:color w:val="000000"/>
          <w:sz w:val="22"/>
          <w:szCs w:val="20"/>
          <w:lang w:eastAsia="en-AU"/>
        </w:rPr>
        <w:t xml:space="preserve">, </w:t>
      </w:r>
      <w:r w:rsidRPr="00206C9E">
        <w:rPr>
          <w:rFonts w:ascii="Franklin Gothic Book" w:hAnsi="Franklin Gothic Book"/>
          <w:color w:val="000000"/>
          <w:sz w:val="22"/>
          <w:szCs w:val="20"/>
          <w:lang w:eastAsia="en-AU"/>
        </w:rPr>
        <w:t>stillbirth</w:t>
      </w:r>
      <w:r>
        <w:rPr>
          <w:rFonts w:ascii="Franklin Gothic Book" w:hAnsi="Franklin Gothic Book"/>
          <w:color w:val="000000"/>
          <w:sz w:val="22"/>
          <w:szCs w:val="20"/>
          <w:lang w:eastAsia="en-AU"/>
        </w:rPr>
        <w:t xml:space="preserve">, underweight etc) but that the relevant ASPRE trial was underpowered to detect these impacts. ESC noted that the pre-ESC </w:t>
      </w:r>
      <w:r>
        <w:rPr>
          <w:rFonts w:ascii="Franklin Gothic Book" w:hAnsi="Franklin Gothic Book"/>
          <w:color w:val="000000"/>
          <w:sz w:val="22"/>
          <w:szCs w:val="20"/>
          <w:lang w:eastAsia="en-AU"/>
        </w:rPr>
        <w:lastRenderedPageBreak/>
        <w:t xml:space="preserve">response </w:t>
      </w:r>
      <w:r w:rsidRPr="00F737CF">
        <w:rPr>
          <w:rFonts w:ascii="Franklin Gothic Book" w:hAnsi="Franklin Gothic Book"/>
          <w:color w:val="000000"/>
          <w:sz w:val="22"/>
          <w:szCs w:val="20"/>
          <w:lang w:eastAsia="en-AU"/>
        </w:rPr>
        <w:t>acknowledged the absence of evidence to support the effect of screening using the intervention</w:t>
      </w:r>
      <w:r>
        <w:rPr>
          <w:rFonts w:ascii="Franklin Gothic Book" w:hAnsi="Franklin Gothic Book"/>
          <w:color w:val="000000"/>
          <w:sz w:val="22"/>
          <w:szCs w:val="20"/>
          <w:lang w:eastAsia="en-AU"/>
        </w:rPr>
        <w:t xml:space="preserve"> on</w:t>
      </w:r>
      <w:r w:rsidRPr="00F737CF">
        <w:rPr>
          <w:rFonts w:ascii="Franklin Gothic Book" w:hAnsi="Franklin Gothic Book"/>
          <w:color w:val="000000"/>
          <w:sz w:val="22"/>
          <w:szCs w:val="20"/>
          <w:lang w:eastAsia="en-AU"/>
        </w:rPr>
        <w:t xml:space="preserve"> reduction in downstream adverse outcomes secondary to preeclampsia.</w:t>
      </w:r>
    </w:p>
    <w:p w14:paraId="256BA0C7"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ESC noted that only one study (Rolnik 2022)</w:t>
      </w:r>
      <w:r>
        <w:rPr>
          <w:rStyle w:val="FootnoteReference"/>
          <w:rFonts w:ascii="Franklin Gothic Book" w:hAnsi="Franklin Gothic Book"/>
          <w:color w:val="000000"/>
          <w:sz w:val="22"/>
          <w:szCs w:val="20"/>
          <w:lang w:eastAsia="en-AU"/>
        </w:rPr>
        <w:footnoteReference w:id="34"/>
      </w:r>
      <w:r w:rsidRPr="00F737CF">
        <w:rPr>
          <w:rFonts w:ascii="Franklin Gothic Book" w:hAnsi="Franklin Gothic Book"/>
          <w:color w:val="000000"/>
          <w:sz w:val="22"/>
          <w:szCs w:val="20"/>
          <w:lang w:eastAsia="en-AU"/>
        </w:rPr>
        <w:t xml:space="preserve"> provided evidence for</w:t>
      </w:r>
      <w:r>
        <w:rPr>
          <w:rFonts w:ascii="Franklin Gothic Book" w:hAnsi="Franklin Gothic Book"/>
          <w:color w:val="000000"/>
          <w:sz w:val="22"/>
          <w:szCs w:val="20"/>
          <w:lang w:eastAsia="en-AU"/>
        </w:rPr>
        <w:t xml:space="preserve"> the direct link between use of the FMF risk calculator and</w:t>
      </w:r>
      <w:r w:rsidRPr="00F737CF">
        <w:rPr>
          <w:rFonts w:ascii="Franklin Gothic Book" w:hAnsi="Franklin Gothic Book"/>
          <w:color w:val="000000"/>
          <w:sz w:val="22"/>
          <w:szCs w:val="20"/>
          <w:lang w:eastAsia="en-AU"/>
        </w:rPr>
        <w:t xml:space="preserve"> health outcomes</w:t>
      </w:r>
      <w:r>
        <w:rPr>
          <w:rFonts w:ascii="Franklin Gothic Book" w:hAnsi="Franklin Gothic Book"/>
          <w:color w:val="000000"/>
          <w:sz w:val="22"/>
          <w:szCs w:val="20"/>
          <w:lang w:eastAsia="en-AU"/>
        </w:rPr>
        <w:t xml:space="preserve"> (</w:t>
      </w:r>
      <w:proofErr w:type="gramStart"/>
      <w:r>
        <w:rPr>
          <w:rFonts w:ascii="Franklin Gothic Book" w:hAnsi="Franklin Gothic Book"/>
          <w:color w:val="000000"/>
          <w:sz w:val="22"/>
          <w:szCs w:val="20"/>
          <w:lang w:eastAsia="en-AU"/>
        </w:rPr>
        <w:t>e.g.</w:t>
      </w:r>
      <w:proofErr w:type="gramEnd"/>
      <w:r>
        <w:rPr>
          <w:rFonts w:ascii="Franklin Gothic Book" w:hAnsi="Franklin Gothic Book"/>
          <w:color w:val="000000"/>
          <w:sz w:val="22"/>
          <w:szCs w:val="20"/>
          <w:lang w:eastAsia="en-AU"/>
        </w:rPr>
        <w:t xml:space="preserve"> incidence of pre-term preeclampsia, delivery &lt;32 weeks, low birth weight, stillbirth/neonatal death, APGAR&lt;4).</w:t>
      </w:r>
      <w:r w:rsidRPr="00F737CF">
        <w:rPr>
          <w:rFonts w:ascii="Franklin Gothic Book" w:hAnsi="Franklin Gothic Book"/>
          <w:color w:val="000000"/>
          <w:sz w:val="22"/>
          <w:szCs w:val="20"/>
          <w:lang w:eastAsia="en-AU"/>
        </w:rPr>
        <w:t xml:space="preserve"> </w:t>
      </w:r>
      <w:proofErr w:type="gramStart"/>
      <w:r>
        <w:rPr>
          <w:rFonts w:ascii="Franklin Gothic Book" w:hAnsi="Franklin Gothic Book"/>
          <w:color w:val="000000"/>
          <w:sz w:val="22"/>
          <w:szCs w:val="20"/>
          <w:lang w:eastAsia="en-AU"/>
        </w:rPr>
        <w:t>However</w:t>
      </w:r>
      <w:proofErr w:type="gramEnd"/>
      <w:r>
        <w:rPr>
          <w:rFonts w:ascii="Franklin Gothic Book" w:hAnsi="Franklin Gothic Book"/>
          <w:color w:val="000000"/>
          <w:sz w:val="22"/>
          <w:szCs w:val="20"/>
          <w:lang w:eastAsia="en-AU"/>
        </w:rPr>
        <w:t xml:space="preserve"> the study</w:t>
      </w:r>
      <w:r w:rsidRPr="00F737CF">
        <w:rPr>
          <w:rFonts w:ascii="Franklin Gothic Book" w:hAnsi="Franklin Gothic Book"/>
          <w:color w:val="000000"/>
          <w:sz w:val="22"/>
          <w:szCs w:val="20"/>
          <w:lang w:eastAsia="en-AU"/>
        </w:rPr>
        <w:t xml:space="preserve"> had a high risk of bias</w:t>
      </w:r>
      <w:r>
        <w:rPr>
          <w:rFonts w:ascii="Franklin Gothic Book" w:hAnsi="Franklin Gothic Book"/>
          <w:color w:val="000000"/>
          <w:sz w:val="22"/>
          <w:szCs w:val="20"/>
          <w:lang w:eastAsia="en-AU"/>
        </w:rPr>
        <w:t xml:space="preserve"> (in particular, selection and confounding bias) due to the</w:t>
      </w:r>
      <w:r w:rsidRPr="00F737CF">
        <w:rPr>
          <w:rFonts w:ascii="Franklin Gothic Book" w:hAnsi="Franklin Gothic Book"/>
          <w:color w:val="000000"/>
          <w:sz w:val="22"/>
          <w:szCs w:val="20"/>
          <w:lang w:eastAsia="en-AU"/>
        </w:rPr>
        <w:t xml:space="preserve"> intervention </w:t>
      </w:r>
      <w:r>
        <w:rPr>
          <w:rFonts w:ascii="Franklin Gothic Book" w:hAnsi="Franklin Gothic Book"/>
          <w:color w:val="000000"/>
          <w:sz w:val="22"/>
          <w:szCs w:val="20"/>
          <w:lang w:eastAsia="en-AU"/>
        </w:rPr>
        <w:t>being</w:t>
      </w:r>
      <w:r w:rsidRPr="00F737CF">
        <w:rPr>
          <w:rFonts w:ascii="Franklin Gothic Book" w:hAnsi="Franklin Gothic Book"/>
          <w:color w:val="000000"/>
          <w:sz w:val="22"/>
          <w:szCs w:val="20"/>
          <w:lang w:eastAsia="en-AU"/>
        </w:rPr>
        <w:t xml:space="preserve"> administered to mainly patients at selected private centres who may not be representative of the general Australian patient population</w:t>
      </w:r>
      <w:r>
        <w:rPr>
          <w:rFonts w:ascii="Franklin Gothic Book" w:hAnsi="Franklin Gothic Book"/>
          <w:color w:val="000000"/>
          <w:sz w:val="22"/>
          <w:szCs w:val="20"/>
          <w:lang w:eastAsia="en-AU"/>
        </w:rPr>
        <w:t>,</w:t>
      </w:r>
      <w:r w:rsidRPr="00F737CF">
        <w:rPr>
          <w:rFonts w:ascii="Franklin Gothic Book" w:hAnsi="Franklin Gothic Book"/>
          <w:color w:val="000000"/>
          <w:sz w:val="22"/>
          <w:szCs w:val="20"/>
          <w:lang w:eastAsia="en-AU"/>
        </w:rPr>
        <w:t xml:space="preserve"> while the </w:t>
      </w:r>
      <w:r>
        <w:rPr>
          <w:rFonts w:ascii="Franklin Gothic Book" w:hAnsi="Franklin Gothic Book"/>
          <w:color w:val="000000"/>
          <w:sz w:val="22"/>
          <w:szCs w:val="20"/>
          <w:lang w:eastAsia="en-AU"/>
        </w:rPr>
        <w:t xml:space="preserve">SoC population </w:t>
      </w:r>
      <w:r w:rsidRPr="00F737CF">
        <w:rPr>
          <w:rFonts w:ascii="Franklin Gothic Book" w:hAnsi="Franklin Gothic Book"/>
          <w:color w:val="000000"/>
          <w:sz w:val="22"/>
          <w:szCs w:val="20"/>
          <w:lang w:eastAsia="en-AU"/>
        </w:rPr>
        <w:t>were drawn from the general Australian population</w:t>
      </w:r>
      <w:r>
        <w:rPr>
          <w:rFonts w:ascii="Franklin Gothic Book" w:hAnsi="Franklin Gothic Book"/>
          <w:color w:val="000000"/>
          <w:sz w:val="22"/>
          <w:szCs w:val="20"/>
          <w:lang w:eastAsia="en-AU"/>
        </w:rPr>
        <w:t>.</w:t>
      </w:r>
      <w:r w:rsidRPr="00F737CF">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 xml:space="preserve">This </w:t>
      </w:r>
      <w:proofErr w:type="gramStart"/>
      <w:r w:rsidRPr="00F737CF">
        <w:rPr>
          <w:rFonts w:ascii="Franklin Gothic Book" w:hAnsi="Franklin Gothic Book"/>
          <w:color w:val="000000"/>
          <w:sz w:val="22"/>
          <w:szCs w:val="20"/>
          <w:lang w:eastAsia="en-AU"/>
        </w:rPr>
        <w:t>lead</w:t>
      </w:r>
      <w:proofErr w:type="gramEnd"/>
      <w:r w:rsidRPr="00F737CF">
        <w:rPr>
          <w:rFonts w:ascii="Franklin Gothic Book" w:hAnsi="Franklin Gothic Book"/>
          <w:color w:val="000000"/>
          <w:sz w:val="22"/>
          <w:szCs w:val="20"/>
          <w:lang w:eastAsia="en-AU"/>
        </w:rPr>
        <w:t xml:space="preserve"> to significant differences in the study population</w:t>
      </w:r>
      <w:r>
        <w:rPr>
          <w:rFonts w:ascii="Franklin Gothic Book" w:hAnsi="Franklin Gothic Book"/>
          <w:color w:val="000000"/>
          <w:sz w:val="22"/>
          <w:szCs w:val="20"/>
          <w:lang w:eastAsia="en-AU"/>
        </w:rPr>
        <w:t>s</w:t>
      </w:r>
      <w:r w:rsidRPr="00F737CF">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(e.g. the intervention group was older, had lower BMI, lower rates of diabetes, etc)</w:t>
      </w:r>
      <w:r w:rsidRPr="00F737CF">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 xml:space="preserve">ESC noted that it was unknown from the study what the rates of treatment uptake and compliance were. ESC also noted the commentary’s concerns that the study omitted data on ancestry for the two populations even though ancestry is one of the inputs into the FMF risk algorithm. </w:t>
      </w:r>
      <w:r w:rsidRPr="00F737CF">
        <w:rPr>
          <w:rFonts w:ascii="Franklin Gothic Book" w:hAnsi="Franklin Gothic Book"/>
          <w:color w:val="000000"/>
          <w:sz w:val="22"/>
          <w:szCs w:val="20"/>
          <w:lang w:eastAsia="en-AU"/>
        </w:rPr>
        <w:t xml:space="preserve">In the pre-ESC response, the applicant acknowledged the statistically significant differences between </w:t>
      </w:r>
      <w:r>
        <w:rPr>
          <w:rFonts w:ascii="Franklin Gothic Book" w:hAnsi="Franklin Gothic Book"/>
          <w:color w:val="000000"/>
          <w:sz w:val="22"/>
          <w:szCs w:val="20"/>
          <w:lang w:eastAsia="en-AU"/>
        </w:rPr>
        <w:t xml:space="preserve">the intervention </w:t>
      </w:r>
      <w:r w:rsidRPr="00F737CF">
        <w:rPr>
          <w:rFonts w:ascii="Franklin Gothic Book" w:hAnsi="Franklin Gothic Book"/>
          <w:color w:val="000000"/>
          <w:sz w:val="22"/>
          <w:szCs w:val="20"/>
          <w:lang w:eastAsia="en-AU"/>
        </w:rPr>
        <w:t xml:space="preserve">and SoC patients but stated that this was due to </w:t>
      </w:r>
      <w:r>
        <w:rPr>
          <w:rFonts w:ascii="Franklin Gothic Book" w:hAnsi="Franklin Gothic Book"/>
          <w:color w:val="000000"/>
          <w:sz w:val="22"/>
          <w:szCs w:val="20"/>
          <w:lang w:eastAsia="en-AU"/>
        </w:rPr>
        <w:t xml:space="preserve">the </w:t>
      </w:r>
      <w:r w:rsidRPr="00F737CF">
        <w:rPr>
          <w:rFonts w:ascii="Franklin Gothic Book" w:hAnsi="Franklin Gothic Book"/>
          <w:color w:val="000000"/>
          <w:sz w:val="22"/>
          <w:szCs w:val="20"/>
          <w:lang w:eastAsia="en-AU"/>
        </w:rPr>
        <w:t>very large sample size</w:t>
      </w:r>
      <w:r>
        <w:rPr>
          <w:rFonts w:ascii="Franklin Gothic Book" w:hAnsi="Franklin Gothic Book"/>
          <w:color w:val="000000"/>
          <w:sz w:val="22"/>
          <w:szCs w:val="20"/>
          <w:lang w:eastAsia="en-AU"/>
        </w:rPr>
        <w:t>s of the control and intervention groups</w:t>
      </w:r>
      <w:r w:rsidRPr="00F737CF">
        <w:rPr>
          <w:rFonts w:ascii="Franklin Gothic Book" w:hAnsi="Franklin Gothic Book"/>
          <w:color w:val="000000"/>
          <w:sz w:val="22"/>
          <w:szCs w:val="20"/>
          <w:lang w:eastAsia="en-AU"/>
        </w:rPr>
        <w:t xml:space="preserve"> and stated that the differences are unlikely to be clinically significant</w:t>
      </w:r>
      <w:r>
        <w:rPr>
          <w:rFonts w:ascii="Franklin Gothic Book" w:hAnsi="Franklin Gothic Book"/>
          <w:color w:val="000000"/>
          <w:sz w:val="22"/>
          <w:szCs w:val="20"/>
          <w:lang w:eastAsia="en-AU"/>
        </w:rPr>
        <w:t xml:space="preserve"> (</w:t>
      </w:r>
      <w:proofErr w:type="gramStart"/>
      <w:r>
        <w:rPr>
          <w:rFonts w:ascii="Franklin Gothic Book" w:hAnsi="Franklin Gothic Book"/>
          <w:color w:val="000000"/>
          <w:sz w:val="22"/>
          <w:szCs w:val="20"/>
          <w:lang w:eastAsia="en-AU"/>
        </w:rPr>
        <w:t>i.e.</w:t>
      </w:r>
      <w:proofErr w:type="gramEnd"/>
      <w:r>
        <w:rPr>
          <w:rFonts w:ascii="Franklin Gothic Book" w:hAnsi="Franklin Gothic Book"/>
          <w:color w:val="000000"/>
          <w:sz w:val="22"/>
          <w:szCs w:val="20"/>
          <w:lang w:eastAsia="en-AU"/>
        </w:rPr>
        <w:t xml:space="preserve"> whatever statistically significant differences there were did not systematically favour better outcomes for one group over another)</w:t>
      </w:r>
      <w:r w:rsidRPr="00F737CF">
        <w:rPr>
          <w:rFonts w:ascii="Franklin Gothic Book" w:hAnsi="Franklin Gothic Book"/>
          <w:color w:val="000000"/>
          <w:sz w:val="22"/>
          <w:szCs w:val="20"/>
          <w:lang w:eastAsia="en-AU"/>
        </w:rPr>
        <w:t xml:space="preserve">. </w:t>
      </w:r>
    </w:p>
    <w:p w14:paraId="2D03C95C"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ESC noted</w:t>
      </w:r>
      <w:r>
        <w:rPr>
          <w:rFonts w:ascii="Franklin Gothic Book" w:hAnsi="Franklin Gothic Book"/>
          <w:color w:val="000000"/>
          <w:sz w:val="22"/>
          <w:szCs w:val="20"/>
          <w:lang w:eastAsia="en-AU"/>
        </w:rPr>
        <w:t xml:space="preserve"> that as the study by Rolnik was used to drive the economic model, given the high risk of bias of that study (as discussed above), this also created </w:t>
      </w:r>
      <w:r w:rsidRPr="00F737CF">
        <w:rPr>
          <w:rFonts w:ascii="Franklin Gothic Book" w:hAnsi="Franklin Gothic Book"/>
          <w:color w:val="000000"/>
          <w:sz w:val="22"/>
          <w:szCs w:val="20"/>
          <w:lang w:eastAsia="en-AU"/>
        </w:rPr>
        <w:t xml:space="preserve">considerable uncertainty in the economic evaluation.  </w:t>
      </w:r>
    </w:p>
    <w:p w14:paraId="0550AAD0" w14:textId="77777777" w:rsidR="00971DB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ESC noted that the commentary considered the model structure to be oversimplified</w:t>
      </w:r>
      <w:r>
        <w:rPr>
          <w:rFonts w:ascii="Franklin Gothic Book" w:hAnsi="Franklin Gothic Book"/>
          <w:color w:val="000000"/>
          <w:sz w:val="22"/>
          <w:szCs w:val="20"/>
          <w:lang w:eastAsia="en-AU"/>
        </w:rPr>
        <w:t xml:space="preserve"> including the lack of separation of the </w:t>
      </w:r>
      <w:r w:rsidRPr="00F737CF">
        <w:rPr>
          <w:rFonts w:ascii="Franklin Gothic Book" w:hAnsi="Franklin Gothic Book"/>
          <w:color w:val="000000"/>
          <w:sz w:val="22"/>
          <w:szCs w:val="20"/>
          <w:lang w:eastAsia="en-AU"/>
        </w:rPr>
        <w:t xml:space="preserve">SoC </w:t>
      </w:r>
      <w:r>
        <w:rPr>
          <w:rFonts w:ascii="Franklin Gothic Book" w:hAnsi="Franklin Gothic Book"/>
          <w:color w:val="000000"/>
          <w:sz w:val="22"/>
          <w:szCs w:val="20"/>
          <w:lang w:eastAsia="en-AU"/>
        </w:rPr>
        <w:t>arm</w:t>
      </w:r>
      <w:r w:rsidRPr="00F737CF">
        <w:rPr>
          <w:rFonts w:ascii="Franklin Gothic Book" w:hAnsi="Franklin Gothic Book"/>
          <w:color w:val="000000"/>
          <w:sz w:val="22"/>
          <w:szCs w:val="20"/>
          <w:lang w:eastAsia="en-AU"/>
        </w:rPr>
        <w:t xml:space="preserve"> into low-risk and high-risk cohorts.</w:t>
      </w:r>
      <w:r>
        <w:rPr>
          <w:rFonts w:ascii="Franklin Gothic Book" w:hAnsi="Franklin Gothic Book"/>
          <w:color w:val="000000"/>
          <w:sz w:val="22"/>
          <w:szCs w:val="20"/>
          <w:lang w:eastAsia="en-AU"/>
        </w:rPr>
        <w:t xml:space="preserve"> ESC agreed and considered this limited comparability, although the impact was unclear.</w:t>
      </w:r>
      <w:r w:rsidRPr="00F737CF">
        <w:rPr>
          <w:rFonts w:ascii="Franklin Gothic Book" w:hAnsi="Franklin Gothic Book"/>
          <w:color w:val="000000"/>
          <w:sz w:val="22"/>
          <w:szCs w:val="20"/>
          <w:lang w:eastAsia="en-AU"/>
        </w:rPr>
        <w:t xml:space="preserve"> Current testing practice guidelines in Australia recommend assessment of the risk of preeclampsia using a combination of maternal characteristics and history. As the prevalence of preeclampsia outcomes vary significantly between risk groups as does the cost of aspirin treatment, it was difficult to make an unbiased estimate of the effect of the introduction of structured risk testing in the SoC population if a uniform risk of preeclampsia </w:t>
      </w:r>
      <w:r>
        <w:rPr>
          <w:rFonts w:ascii="Franklin Gothic Book" w:hAnsi="Franklin Gothic Book"/>
          <w:color w:val="000000"/>
          <w:sz w:val="22"/>
          <w:szCs w:val="20"/>
          <w:lang w:eastAsia="en-AU"/>
        </w:rPr>
        <w:t>wa</w:t>
      </w:r>
      <w:r w:rsidRPr="00F737CF">
        <w:rPr>
          <w:rFonts w:ascii="Franklin Gothic Book" w:hAnsi="Franklin Gothic Book"/>
          <w:color w:val="000000"/>
          <w:sz w:val="22"/>
          <w:szCs w:val="20"/>
          <w:lang w:eastAsia="en-AU"/>
        </w:rPr>
        <w:t>s applied.</w:t>
      </w:r>
      <w:r>
        <w:rPr>
          <w:rFonts w:ascii="Franklin Gothic Book" w:hAnsi="Franklin Gothic Book"/>
          <w:color w:val="000000"/>
          <w:sz w:val="22"/>
          <w:szCs w:val="20"/>
          <w:lang w:eastAsia="en-AU"/>
        </w:rPr>
        <w:t xml:space="preserve"> ESC also noted that not differentiating between high and low risk cohorts in the SoC arm meant that a uniform monitoring cost applied to both groups, which was an assumption potentially favourable to the FMF risk algorithm. ESC noted that the percentage of patients receiving aspirin was higher in the SoC arm than the risk assessment </w:t>
      </w:r>
      <w:proofErr w:type="gramStart"/>
      <w:r>
        <w:rPr>
          <w:rFonts w:ascii="Franklin Gothic Book" w:hAnsi="Franklin Gothic Book"/>
          <w:color w:val="000000"/>
          <w:sz w:val="22"/>
          <w:szCs w:val="20"/>
          <w:lang w:eastAsia="en-AU"/>
        </w:rPr>
        <w:t>arm, and</w:t>
      </w:r>
      <w:proofErr w:type="gramEnd"/>
      <w:r>
        <w:rPr>
          <w:rFonts w:ascii="Franklin Gothic Book" w:hAnsi="Franklin Gothic Book"/>
          <w:color w:val="000000"/>
          <w:sz w:val="22"/>
          <w:szCs w:val="20"/>
          <w:lang w:eastAsia="en-AU"/>
        </w:rPr>
        <w:t xml:space="preserve"> queried the reason for the difference. ESC considered it may arise from overtreatment or that the data for each arm came from different sources.</w:t>
      </w:r>
    </w:p>
    <w:p w14:paraId="02B59F9E" w14:textId="77777777" w:rsidR="00971DBF" w:rsidRPr="00F737C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ESC noted that hospitalisation costs were lower than those used in MSAC application 1706, lodged by the same applicant for sFlt-1/</w:t>
      </w:r>
      <w:proofErr w:type="spellStart"/>
      <w:r>
        <w:rPr>
          <w:rFonts w:ascii="Franklin Gothic Book" w:hAnsi="Franklin Gothic Book"/>
          <w:color w:val="000000"/>
          <w:sz w:val="22"/>
          <w:szCs w:val="20"/>
          <w:lang w:eastAsia="en-AU"/>
        </w:rPr>
        <w:t>PlGF</w:t>
      </w:r>
      <w:proofErr w:type="spellEnd"/>
      <w:r>
        <w:rPr>
          <w:rFonts w:ascii="Franklin Gothic Book" w:hAnsi="Franklin Gothic Book"/>
          <w:color w:val="000000"/>
          <w:sz w:val="22"/>
          <w:szCs w:val="20"/>
          <w:lang w:eastAsia="en-AU"/>
        </w:rPr>
        <w:t xml:space="preserve"> ratio testing for the identification and management of preeclampsia. For example, the cost of $585.20 assumed for cost of monitoring in 1705 was different from the weighted cost of $987 in 1706. ESC considered that the hospital delivery costs, including maternal costs and neonatal intensive care costs were lower in 1705 than in 1706 – and considered that it was unclear why the applicant had used different cost estimates in the two applications. ESC recommended that a sensitivity analysis be undertaken based on the alternative higher estimates from 1706, which should also distinguish between the costs of monitoring high-risk versus low-risk cohorts.</w:t>
      </w:r>
    </w:p>
    <w:p w14:paraId="0CB930C4" w14:textId="77777777" w:rsidR="00971DB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ESC noted that the model also did not </w:t>
      </w:r>
      <w:proofErr w:type="gramStart"/>
      <w:r>
        <w:rPr>
          <w:rFonts w:ascii="Franklin Gothic Book" w:hAnsi="Franklin Gothic Book"/>
          <w:color w:val="000000"/>
          <w:sz w:val="22"/>
          <w:szCs w:val="20"/>
          <w:lang w:eastAsia="en-AU"/>
        </w:rPr>
        <w:t>take into account</w:t>
      </w:r>
      <w:proofErr w:type="gramEnd"/>
      <w:r>
        <w:rPr>
          <w:rFonts w:ascii="Franklin Gothic Book" w:hAnsi="Franklin Gothic Book"/>
          <w:color w:val="000000"/>
          <w:sz w:val="22"/>
          <w:szCs w:val="20"/>
          <w:lang w:eastAsia="en-AU"/>
        </w:rPr>
        <w:t xml:space="preserve"> the false positive rate of testing of 13.4% (</w:t>
      </w:r>
      <w:r w:rsidRPr="0001621E">
        <w:rPr>
          <w:rFonts w:ascii="Franklin Gothic Book" w:hAnsi="Franklin Gothic Book"/>
          <w:color w:val="000000"/>
          <w:sz w:val="22"/>
          <w:szCs w:val="20"/>
          <w:lang w:eastAsia="en-AU"/>
        </w:rPr>
        <w:t>95% CI 13.1–13.8%).</w:t>
      </w:r>
      <w:r>
        <w:rPr>
          <w:rFonts w:ascii="Franklin Gothic Book" w:hAnsi="Franklin Gothic Book"/>
          <w:color w:val="000000"/>
          <w:sz w:val="22"/>
          <w:szCs w:val="20"/>
          <w:lang w:eastAsia="en-AU"/>
        </w:rPr>
        <w:t xml:space="preserve"> </w:t>
      </w:r>
    </w:p>
    <w:p w14:paraId="379083CE"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lastRenderedPageBreak/>
        <w:t xml:space="preserve">ESC noted that the model was most sensitive to changes in the cost of the intervention, the probability of being assessed as at high risk for preterm preeclampsia by the FMF algorithm, and the probability of treatment </w:t>
      </w:r>
      <w:r>
        <w:rPr>
          <w:rFonts w:ascii="Franklin Gothic Book" w:hAnsi="Franklin Gothic Book"/>
          <w:color w:val="000000"/>
          <w:sz w:val="22"/>
          <w:szCs w:val="20"/>
          <w:lang w:eastAsia="en-AU"/>
        </w:rPr>
        <w:t>with</w:t>
      </w:r>
      <w:r w:rsidRPr="00F737CF">
        <w:rPr>
          <w:rFonts w:ascii="Franklin Gothic Book" w:hAnsi="Franklin Gothic Book"/>
          <w:color w:val="000000"/>
          <w:sz w:val="22"/>
          <w:szCs w:val="20"/>
          <w:lang w:eastAsia="en-AU"/>
        </w:rPr>
        <w:t xml:space="preserve"> aspirin</w:t>
      </w:r>
      <w:r>
        <w:rPr>
          <w:rFonts w:ascii="Franklin Gothic Book" w:hAnsi="Franklin Gothic Book"/>
          <w:color w:val="000000"/>
          <w:sz w:val="22"/>
          <w:szCs w:val="20"/>
          <w:lang w:eastAsia="en-AU"/>
        </w:rPr>
        <w:t>.</w:t>
      </w:r>
    </w:p>
    <w:p w14:paraId="3E1D53F0" w14:textId="77777777" w:rsidR="00971DB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ESC noted that the ICER shifted from dominant to $272,006 per QALY when the probability of developing pre-term PE if determined to be high risk by </w:t>
      </w:r>
      <w:r w:rsidRPr="00B51E8D">
        <w:rPr>
          <w:rFonts w:ascii="Franklin Gothic Book" w:hAnsi="Franklin Gothic Book"/>
          <w:color w:val="000000"/>
          <w:sz w:val="22"/>
          <w:szCs w:val="20"/>
          <w:lang w:eastAsia="en-AU"/>
        </w:rPr>
        <w:t>structured prenatal risk assessment</w:t>
      </w:r>
      <w:r>
        <w:rPr>
          <w:rFonts w:ascii="Franklin Gothic Book" w:hAnsi="Franklin Gothic Book"/>
          <w:color w:val="000000"/>
          <w:sz w:val="22"/>
          <w:szCs w:val="20"/>
          <w:lang w:eastAsia="en-AU"/>
        </w:rPr>
        <w:t xml:space="preserve"> increased from the base case of 2.1% to 4.3%. ESC noted that the ICER shifted from dominant to $30,067 per QALY when the probability of developing term PE if determined to be high risk by </w:t>
      </w:r>
      <w:r w:rsidRPr="00B51E8D">
        <w:rPr>
          <w:rFonts w:ascii="Franklin Gothic Book" w:hAnsi="Franklin Gothic Book"/>
          <w:color w:val="000000"/>
          <w:sz w:val="22"/>
          <w:szCs w:val="20"/>
          <w:lang w:eastAsia="en-AU"/>
        </w:rPr>
        <w:t>structured prenatal risk assessment</w:t>
      </w:r>
      <w:r>
        <w:rPr>
          <w:rFonts w:ascii="Franklin Gothic Book" w:hAnsi="Franklin Gothic Book"/>
          <w:color w:val="000000"/>
          <w:sz w:val="22"/>
          <w:szCs w:val="20"/>
          <w:lang w:eastAsia="en-AU"/>
        </w:rPr>
        <w:t xml:space="preserve"> increased from the base case of 3.6% to 7%.</w:t>
      </w:r>
    </w:p>
    <w:p w14:paraId="0629EE24" w14:textId="77777777" w:rsidR="00971DBF" w:rsidRPr="00F737C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ESC noted that the base case assumptions made regarding the probability of pre-term preeclampsia under SoC (0.007) and the probabilities of pre-term pre-eclampsia if assessed at high risk by the FMF algorithm (0.0021) and if assessed as low risk (0.002) were premised on the crude or unadjusted risk ratio of 0.64 in Rolnik 2022 (i.e. the total percentage share of patients with pre-term preeclampsia implied by the latter two assumptions divided by the total percentage share of patients with pre-term preeclampsia implied by the first assumption equals the crude risk ratio) rather than the adjusted risk ratio of 0.7. ESC noted the two differed by </w:t>
      </w:r>
      <w:proofErr w:type="gramStart"/>
      <w:r>
        <w:rPr>
          <w:rFonts w:ascii="Franklin Gothic Book" w:hAnsi="Franklin Gothic Book"/>
          <w:color w:val="000000"/>
          <w:sz w:val="22"/>
          <w:szCs w:val="20"/>
          <w:lang w:eastAsia="en-AU"/>
        </w:rPr>
        <w:t>10%, and</w:t>
      </w:r>
      <w:proofErr w:type="gramEnd"/>
      <w:r>
        <w:rPr>
          <w:rFonts w:ascii="Franklin Gothic Book" w:hAnsi="Franklin Gothic Book"/>
          <w:color w:val="000000"/>
          <w:sz w:val="22"/>
          <w:szCs w:val="20"/>
          <w:lang w:eastAsia="en-AU"/>
        </w:rPr>
        <w:t xml:space="preserve"> considered that the applicant should rerun the model based on assumptions consistent with the adjusted risk ratio of 0.7. </w:t>
      </w:r>
    </w:p>
    <w:p w14:paraId="11A1874A" w14:textId="77777777" w:rsidR="00971DB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ESC noted that the applicant acknowledged in the pre-ESC response that there is the potential for patients to incur out-of-pocket costs for ultrasound assessments provided as part of antenatal care, as well as for people assessed as being high risk for preeclampsia to benefit from a follow-up antenatal attendance. ESC considered that the</w:t>
      </w:r>
      <w:r>
        <w:rPr>
          <w:rFonts w:ascii="Franklin Gothic Book" w:hAnsi="Franklin Gothic Book"/>
          <w:color w:val="000000"/>
          <w:sz w:val="22"/>
          <w:szCs w:val="20"/>
          <w:lang w:eastAsia="en-AU"/>
        </w:rPr>
        <w:t xml:space="preserve"> implications of these</w:t>
      </w:r>
      <w:r w:rsidRPr="00F737CF">
        <w:rPr>
          <w:rFonts w:ascii="Franklin Gothic Book" w:hAnsi="Franklin Gothic Book"/>
          <w:color w:val="000000"/>
          <w:sz w:val="22"/>
          <w:szCs w:val="20"/>
          <w:lang w:eastAsia="en-AU"/>
        </w:rPr>
        <w:t xml:space="preserve"> additional out-of-pocket costs should be presented to MSAC</w:t>
      </w:r>
      <w:r>
        <w:rPr>
          <w:rFonts w:ascii="Franklin Gothic Book" w:hAnsi="Franklin Gothic Book"/>
          <w:color w:val="000000"/>
          <w:sz w:val="22"/>
          <w:szCs w:val="20"/>
          <w:lang w:eastAsia="en-AU"/>
        </w:rPr>
        <w:t xml:space="preserve"> in the financial analyses (as they are sufficiently prominent to warrant consideration in the financial estimates even though these typically only include government payer costs)</w:t>
      </w:r>
      <w:r w:rsidRPr="00F737CF">
        <w:rPr>
          <w:rFonts w:ascii="Franklin Gothic Book" w:hAnsi="Franklin Gothic Book"/>
          <w:color w:val="000000"/>
          <w:sz w:val="22"/>
          <w:szCs w:val="20"/>
          <w:lang w:eastAsia="en-AU"/>
        </w:rPr>
        <w:t>.</w:t>
      </w:r>
    </w:p>
    <w:p w14:paraId="7CCFDBCD" w14:textId="77777777" w:rsidR="00971DBF" w:rsidRPr="00F737C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ESC noted that a</w:t>
      </w:r>
      <w:r w:rsidRPr="002C76AA">
        <w:rPr>
          <w:rFonts w:ascii="Franklin Gothic Book" w:hAnsi="Franklin Gothic Book"/>
          <w:color w:val="000000"/>
          <w:sz w:val="22"/>
          <w:szCs w:val="20"/>
          <w:lang w:eastAsia="en-AU"/>
        </w:rPr>
        <w:t xml:space="preserve"> market share </w:t>
      </w:r>
      <w:r>
        <w:rPr>
          <w:rFonts w:ascii="Franklin Gothic Book" w:hAnsi="Franklin Gothic Book"/>
          <w:color w:val="000000"/>
          <w:sz w:val="22"/>
          <w:szCs w:val="20"/>
          <w:lang w:eastAsia="en-AU"/>
        </w:rPr>
        <w:t>approach</w:t>
      </w:r>
      <w:r w:rsidRPr="002C76AA">
        <w:rPr>
          <w:rFonts w:ascii="Franklin Gothic Book" w:hAnsi="Franklin Gothic Book"/>
          <w:color w:val="000000"/>
          <w:sz w:val="22"/>
          <w:szCs w:val="20"/>
          <w:lang w:eastAsia="en-AU"/>
        </w:rPr>
        <w:t xml:space="preserve"> was used </w:t>
      </w:r>
      <w:r>
        <w:rPr>
          <w:rFonts w:ascii="Franklin Gothic Book" w:hAnsi="Franklin Gothic Book"/>
          <w:color w:val="000000"/>
          <w:sz w:val="22"/>
          <w:szCs w:val="20"/>
          <w:lang w:eastAsia="en-AU"/>
        </w:rPr>
        <w:t xml:space="preserve">for the utilisation estimates, which assumed that there would be </w:t>
      </w:r>
      <w:r w:rsidRPr="008D0964">
        <w:rPr>
          <w:rFonts w:ascii="Franklin Gothic Book" w:hAnsi="Franklin Gothic Book"/>
          <w:color w:val="000000"/>
          <w:sz w:val="22"/>
          <w:szCs w:val="20"/>
          <w:lang w:eastAsia="en-AU"/>
        </w:rPr>
        <w:t xml:space="preserve">a 10% increase </w:t>
      </w:r>
      <w:r>
        <w:rPr>
          <w:rFonts w:ascii="Franklin Gothic Book" w:hAnsi="Franklin Gothic Book"/>
          <w:color w:val="000000"/>
          <w:sz w:val="22"/>
          <w:szCs w:val="20"/>
          <w:lang w:eastAsia="en-AU"/>
        </w:rPr>
        <w:t xml:space="preserve">in utilisation of the MBS item proposed to be amended, </w:t>
      </w:r>
      <w:r w:rsidRPr="008D0964">
        <w:rPr>
          <w:rFonts w:ascii="Franklin Gothic Book" w:hAnsi="Franklin Gothic Book"/>
          <w:color w:val="000000"/>
          <w:sz w:val="22"/>
          <w:szCs w:val="20"/>
          <w:lang w:eastAsia="en-AU"/>
        </w:rPr>
        <w:t xml:space="preserve">driven by </w:t>
      </w:r>
      <w:r>
        <w:rPr>
          <w:rFonts w:ascii="Franklin Gothic Book" w:hAnsi="Franklin Gothic Book"/>
          <w:color w:val="000000"/>
          <w:sz w:val="22"/>
          <w:szCs w:val="20"/>
          <w:lang w:eastAsia="en-AU"/>
        </w:rPr>
        <w:t xml:space="preserve">increased demand from </w:t>
      </w:r>
      <w:r w:rsidRPr="008D0964">
        <w:rPr>
          <w:rFonts w:ascii="Franklin Gothic Book" w:hAnsi="Franklin Gothic Book"/>
          <w:color w:val="000000"/>
          <w:sz w:val="22"/>
          <w:szCs w:val="20"/>
          <w:lang w:eastAsia="en-AU"/>
        </w:rPr>
        <w:t>the addition of preeclampsia testing</w:t>
      </w:r>
      <w:r>
        <w:rPr>
          <w:rFonts w:ascii="Franklin Gothic Book" w:hAnsi="Franklin Gothic Book"/>
          <w:color w:val="000000"/>
          <w:sz w:val="22"/>
          <w:szCs w:val="20"/>
          <w:lang w:eastAsia="en-AU"/>
        </w:rPr>
        <w:t xml:space="preserve">. ESC noted that the commentary considered this a reasonable </w:t>
      </w:r>
      <w:proofErr w:type="gramStart"/>
      <w:r>
        <w:rPr>
          <w:rFonts w:ascii="Franklin Gothic Book" w:hAnsi="Franklin Gothic Book"/>
          <w:color w:val="000000"/>
          <w:sz w:val="22"/>
          <w:szCs w:val="20"/>
          <w:lang w:eastAsia="en-AU"/>
        </w:rPr>
        <w:t>assumption, but</w:t>
      </w:r>
      <w:proofErr w:type="gramEnd"/>
      <w:r>
        <w:rPr>
          <w:rFonts w:ascii="Franklin Gothic Book" w:hAnsi="Franklin Gothic Book"/>
          <w:color w:val="000000"/>
          <w:sz w:val="22"/>
          <w:szCs w:val="20"/>
          <w:lang w:eastAsia="en-AU"/>
        </w:rPr>
        <w:t xml:space="preserve"> considered that an </w:t>
      </w:r>
      <w:r w:rsidRPr="00F52CCA">
        <w:rPr>
          <w:rFonts w:ascii="Franklin Gothic Book" w:hAnsi="Franklin Gothic Book"/>
          <w:color w:val="000000"/>
          <w:sz w:val="22"/>
          <w:szCs w:val="20"/>
          <w:lang w:eastAsia="en-AU"/>
        </w:rPr>
        <w:t>epidemiological approach based on the number of pregnant women opting to uptake the testing could have been used for validation</w:t>
      </w:r>
      <w:r>
        <w:rPr>
          <w:rFonts w:ascii="Franklin Gothic Book" w:hAnsi="Franklin Gothic Book"/>
          <w:color w:val="000000"/>
          <w:sz w:val="22"/>
          <w:szCs w:val="20"/>
          <w:lang w:eastAsia="en-AU"/>
        </w:rPr>
        <w:t xml:space="preserve"> of these estimates.</w:t>
      </w:r>
    </w:p>
    <w:p w14:paraId="4D3030F9"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noted that there was considerable uncertainty in the financial estimates. The base case provided estimates that the intervention would cost the MBS $6–7 million per year but due to reduced hospitalisations would overall </w:t>
      </w:r>
      <w:r>
        <w:rPr>
          <w:rFonts w:ascii="Franklin Gothic Book" w:hAnsi="Franklin Gothic Book"/>
          <w:color w:val="000000"/>
          <w:sz w:val="22"/>
          <w:szCs w:val="20"/>
          <w:lang w:eastAsia="en-AU"/>
        </w:rPr>
        <w:t xml:space="preserve">reduce </w:t>
      </w:r>
      <w:r w:rsidRPr="00F737CF">
        <w:rPr>
          <w:rFonts w:ascii="Franklin Gothic Book" w:hAnsi="Franklin Gothic Book"/>
          <w:color w:val="000000"/>
          <w:sz w:val="22"/>
          <w:szCs w:val="20"/>
          <w:lang w:eastAsia="en-AU"/>
        </w:rPr>
        <w:t>government</w:t>
      </w:r>
      <w:r>
        <w:rPr>
          <w:rFonts w:ascii="Franklin Gothic Book" w:hAnsi="Franklin Gothic Book"/>
          <w:color w:val="000000"/>
          <w:sz w:val="22"/>
          <w:szCs w:val="20"/>
          <w:lang w:eastAsia="en-AU"/>
        </w:rPr>
        <w:t xml:space="preserve"> health spending</w:t>
      </w:r>
      <w:r w:rsidRPr="00F737CF">
        <w:rPr>
          <w:rFonts w:ascii="Franklin Gothic Book" w:hAnsi="Franklin Gothic Book"/>
          <w:color w:val="000000"/>
          <w:sz w:val="22"/>
          <w:szCs w:val="20"/>
          <w:lang w:eastAsia="en-AU"/>
        </w:rPr>
        <w:t xml:space="preserve"> (that is, MBS and state and territory hospital spending</w:t>
      </w:r>
      <w:r>
        <w:rPr>
          <w:rFonts w:ascii="Franklin Gothic Book" w:hAnsi="Franklin Gothic Book"/>
          <w:color w:val="000000"/>
          <w:sz w:val="22"/>
          <w:szCs w:val="20"/>
          <w:lang w:eastAsia="en-AU"/>
        </w:rPr>
        <w:t xml:space="preserve"> combined</w:t>
      </w:r>
      <w:r w:rsidRPr="00F737CF">
        <w:rPr>
          <w:rFonts w:ascii="Franklin Gothic Book" w:hAnsi="Franklin Gothic Book"/>
          <w:color w:val="000000"/>
          <w:sz w:val="22"/>
          <w:szCs w:val="20"/>
          <w:lang w:eastAsia="en-AU"/>
        </w:rPr>
        <w:t>)</w:t>
      </w:r>
      <w:r>
        <w:rPr>
          <w:rFonts w:ascii="Franklin Gothic Book" w:hAnsi="Franklin Gothic Book"/>
          <w:color w:val="000000"/>
          <w:sz w:val="22"/>
          <w:szCs w:val="20"/>
          <w:lang w:eastAsia="en-AU"/>
        </w:rPr>
        <w:t xml:space="preserve"> by</w:t>
      </w:r>
      <w:r w:rsidRPr="00F737CF">
        <w:rPr>
          <w:rFonts w:ascii="Franklin Gothic Book" w:hAnsi="Franklin Gothic Book"/>
          <w:color w:val="000000"/>
          <w:sz w:val="22"/>
          <w:szCs w:val="20"/>
          <w:lang w:eastAsia="en-AU"/>
        </w:rPr>
        <w:t xml:space="preserve"> $5 million per year. </w:t>
      </w:r>
    </w:p>
    <w:p w14:paraId="4CD390B4" w14:textId="77777777" w:rsidR="00971DB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w:t>
      </w:r>
      <w:r>
        <w:rPr>
          <w:rFonts w:ascii="Franklin Gothic Book" w:hAnsi="Franklin Gothic Book"/>
          <w:color w:val="000000"/>
          <w:sz w:val="22"/>
          <w:szCs w:val="20"/>
          <w:lang w:eastAsia="en-AU"/>
        </w:rPr>
        <w:t>considered that</w:t>
      </w:r>
      <w:r w:rsidRPr="00F737CF">
        <w:rPr>
          <w:rFonts w:ascii="Franklin Gothic Book" w:hAnsi="Franklin Gothic Book"/>
          <w:color w:val="000000"/>
          <w:sz w:val="22"/>
          <w:szCs w:val="20"/>
          <w:lang w:eastAsia="en-AU"/>
        </w:rPr>
        <w:t xml:space="preserve"> some questionable assumptions</w:t>
      </w:r>
      <w:r>
        <w:rPr>
          <w:rFonts w:ascii="Franklin Gothic Book" w:hAnsi="Franklin Gothic Book"/>
          <w:color w:val="000000"/>
          <w:sz w:val="22"/>
          <w:szCs w:val="20"/>
          <w:lang w:eastAsia="en-AU"/>
        </w:rPr>
        <w:t xml:space="preserve"> were</w:t>
      </w:r>
      <w:r w:rsidRPr="00F737CF">
        <w:rPr>
          <w:rFonts w:ascii="Franklin Gothic Book" w:hAnsi="Franklin Gothic Book"/>
          <w:color w:val="000000"/>
          <w:sz w:val="22"/>
          <w:szCs w:val="20"/>
          <w:lang w:eastAsia="en-AU"/>
        </w:rPr>
        <w:t xml:space="preserve"> used to calculate the financial impact: that the increased diagnostic yield from adopting the test would lead to increased prevention of term and preterm preeclampsia</w:t>
      </w:r>
      <w:r>
        <w:rPr>
          <w:rFonts w:ascii="Franklin Gothic Book" w:hAnsi="Franklin Gothic Book"/>
          <w:color w:val="000000"/>
          <w:sz w:val="22"/>
          <w:szCs w:val="20"/>
          <w:lang w:eastAsia="en-AU"/>
        </w:rPr>
        <w:t xml:space="preserve"> even though the evidence this was derived from was at high risk of bias</w:t>
      </w:r>
      <w:r w:rsidRPr="00F737CF">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and that t</w:t>
      </w:r>
      <w:r w:rsidRPr="00411F63">
        <w:rPr>
          <w:rFonts w:ascii="Franklin Gothic Book" w:hAnsi="Franklin Gothic Book"/>
          <w:color w:val="000000"/>
          <w:sz w:val="22"/>
          <w:szCs w:val="20"/>
          <w:lang w:eastAsia="en-AU"/>
        </w:rPr>
        <w:t>he average cost of the proposed t</w:t>
      </w:r>
      <w:r>
        <w:rPr>
          <w:rFonts w:ascii="Franklin Gothic Book" w:hAnsi="Franklin Gothic Book"/>
          <w:color w:val="000000"/>
          <w:sz w:val="22"/>
          <w:szCs w:val="20"/>
          <w:lang w:eastAsia="en-AU"/>
        </w:rPr>
        <w:t xml:space="preserve">est </w:t>
      </w:r>
      <w:r w:rsidRPr="00411F63">
        <w:rPr>
          <w:rFonts w:ascii="Franklin Gothic Book" w:hAnsi="Franklin Gothic Book"/>
          <w:color w:val="000000"/>
          <w:sz w:val="22"/>
          <w:szCs w:val="20"/>
          <w:lang w:eastAsia="en-AU"/>
        </w:rPr>
        <w:t>per patient per pregnancy was</w:t>
      </w:r>
      <w:r>
        <w:rPr>
          <w:rFonts w:ascii="Franklin Gothic Book" w:hAnsi="Franklin Gothic Book"/>
          <w:color w:val="000000"/>
          <w:sz w:val="22"/>
          <w:szCs w:val="20"/>
          <w:lang w:eastAsia="en-AU"/>
        </w:rPr>
        <w:t xml:space="preserve"> assumed to be </w:t>
      </w:r>
      <w:r w:rsidRPr="00411F63">
        <w:rPr>
          <w:rFonts w:ascii="Franklin Gothic Book" w:hAnsi="Franklin Gothic Book"/>
          <w:color w:val="000000"/>
          <w:sz w:val="22"/>
          <w:szCs w:val="20"/>
          <w:lang w:eastAsia="en-AU"/>
        </w:rPr>
        <w:t>$120</w:t>
      </w:r>
      <w:r>
        <w:rPr>
          <w:rFonts w:ascii="Franklin Gothic Book" w:hAnsi="Franklin Gothic Book"/>
          <w:color w:val="000000"/>
          <w:sz w:val="22"/>
          <w:szCs w:val="20"/>
          <w:lang w:eastAsia="en-AU"/>
        </w:rPr>
        <w:t xml:space="preserve"> which was likely an</w:t>
      </w:r>
      <w:r w:rsidRPr="00411F63">
        <w:rPr>
          <w:rFonts w:ascii="Franklin Gothic Book" w:hAnsi="Franklin Gothic Book"/>
          <w:color w:val="000000"/>
          <w:sz w:val="22"/>
          <w:szCs w:val="20"/>
          <w:lang w:eastAsia="en-AU"/>
        </w:rPr>
        <w:t xml:space="preserve"> underestimat</w:t>
      </w:r>
      <w:r>
        <w:rPr>
          <w:rFonts w:ascii="Franklin Gothic Book" w:hAnsi="Franklin Gothic Book"/>
          <w:color w:val="000000"/>
          <w:sz w:val="22"/>
          <w:szCs w:val="20"/>
          <w:lang w:eastAsia="en-AU"/>
        </w:rPr>
        <w:t xml:space="preserve">e. ESC also noted that the </w:t>
      </w:r>
      <w:r w:rsidRPr="00876C44">
        <w:rPr>
          <w:rFonts w:ascii="Franklin Gothic Book" w:hAnsi="Franklin Gothic Book"/>
          <w:color w:val="000000"/>
          <w:sz w:val="22"/>
          <w:szCs w:val="20"/>
          <w:lang w:eastAsia="en-AU"/>
        </w:rPr>
        <w:t>out-of-pocket cost per patient could be in the range of $380 per pregnancy based on out-of-pocket costs for a standard anatomy scan based on commercial pricing</w:t>
      </w:r>
      <w:r>
        <w:rPr>
          <w:rFonts w:ascii="Franklin Gothic Book" w:hAnsi="Franklin Gothic Book"/>
          <w:color w:val="000000"/>
          <w:sz w:val="22"/>
          <w:szCs w:val="20"/>
          <w:lang w:eastAsia="en-AU"/>
        </w:rPr>
        <w:t xml:space="preserve"> (or more than $69 million a year in OOP costs) and the applicant should clarify the range of these estimates. </w:t>
      </w:r>
    </w:p>
    <w:p w14:paraId="6B6337D5" w14:textId="77777777" w:rsidR="00971DBF" w:rsidRPr="00F737C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ESC noted that t</w:t>
      </w:r>
      <w:r w:rsidRPr="006246FB">
        <w:rPr>
          <w:rFonts w:ascii="Franklin Gothic Book" w:hAnsi="Franklin Gothic Book"/>
          <w:color w:val="000000"/>
          <w:sz w:val="22"/>
          <w:szCs w:val="20"/>
          <w:lang w:eastAsia="en-AU"/>
        </w:rPr>
        <w:t>he FMF provides two additional risk calculators for use later in pregnancy (testing at 19+0 to 24+6 weeks and 30+0 to 37+6</w:t>
      </w:r>
      <w:r>
        <w:rPr>
          <w:rFonts w:ascii="Franklin Gothic Book" w:hAnsi="Franklin Gothic Book"/>
          <w:color w:val="000000"/>
          <w:sz w:val="22"/>
          <w:szCs w:val="20"/>
          <w:lang w:eastAsia="en-AU"/>
        </w:rPr>
        <w:t xml:space="preserve"> </w:t>
      </w:r>
      <w:r w:rsidRPr="006246FB">
        <w:rPr>
          <w:rFonts w:ascii="Franklin Gothic Book" w:hAnsi="Franklin Gothic Book"/>
          <w:color w:val="000000"/>
          <w:sz w:val="22"/>
          <w:szCs w:val="20"/>
          <w:lang w:eastAsia="en-AU"/>
        </w:rPr>
        <w:t>weeks)</w:t>
      </w:r>
      <w:r>
        <w:rPr>
          <w:rFonts w:ascii="Franklin Gothic Book" w:hAnsi="Franklin Gothic Book"/>
          <w:color w:val="000000"/>
          <w:sz w:val="22"/>
          <w:szCs w:val="20"/>
          <w:lang w:eastAsia="en-AU"/>
        </w:rPr>
        <w:t xml:space="preserve"> and these</w:t>
      </w:r>
      <w:r w:rsidRPr="006246FB">
        <w:rPr>
          <w:rFonts w:ascii="Franklin Gothic Book" w:hAnsi="Franklin Gothic Book"/>
          <w:color w:val="000000"/>
          <w:sz w:val="22"/>
          <w:szCs w:val="20"/>
          <w:lang w:eastAsia="en-AU"/>
        </w:rPr>
        <w:t xml:space="preserve"> later gestational ages were not part of this assessment</w:t>
      </w:r>
      <w:r>
        <w:rPr>
          <w:rFonts w:ascii="Franklin Gothic Book" w:hAnsi="Franklin Gothic Book"/>
          <w:color w:val="000000"/>
          <w:sz w:val="22"/>
          <w:szCs w:val="20"/>
          <w:lang w:eastAsia="en-AU"/>
        </w:rPr>
        <w:t>, which ESC considered</w:t>
      </w:r>
      <w:r w:rsidRPr="006246FB">
        <w:rPr>
          <w:rFonts w:ascii="Franklin Gothic Book" w:hAnsi="Franklin Gothic Book"/>
          <w:color w:val="000000"/>
          <w:sz w:val="22"/>
          <w:szCs w:val="20"/>
          <w:lang w:eastAsia="en-AU"/>
        </w:rPr>
        <w:t xml:space="preserve"> may pose a leakage risk for testing PIGF</w:t>
      </w:r>
      <w:r>
        <w:rPr>
          <w:rFonts w:ascii="Franklin Gothic Book" w:hAnsi="Franklin Gothic Book"/>
          <w:color w:val="000000"/>
          <w:sz w:val="22"/>
          <w:szCs w:val="20"/>
          <w:lang w:eastAsia="en-AU"/>
        </w:rPr>
        <w:t>.</w:t>
      </w:r>
    </w:p>
    <w:p w14:paraId="5861DC8A" w14:textId="77777777" w:rsidR="00971DBF" w:rsidRPr="00F737CF" w:rsidRDefault="00971DBF" w:rsidP="00971DBF">
      <w:pPr>
        <w:spacing w:after="240"/>
        <w:rPr>
          <w:rFonts w:ascii="Franklin Gothic Book" w:hAnsi="Franklin Gothic Book"/>
          <w:color w:val="000000"/>
          <w:sz w:val="22"/>
          <w:szCs w:val="20"/>
          <w:lang w:eastAsia="en-AU"/>
        </w:rPr>
      </w:pPr>
      <w:r w:rsidRPr="00F737CF">
        <w:rPr>
          <w:rFonts w:ascii="Franklin Gothic Book" w:hAnsi="Franklin Gothic Book"/>
          <w:color w:val="000000"/>
          <w:sz w:val="22"/>
          <w:szCs w:val="20"/>
          <w:lang w:eastAsia="en-AU"/>
        </w:rPr>
        <w:t xml:space="preserve">ESC noted that sensitivity analysis demonstrated that cost savings were likely to be much lower and, in some cases (depending on the variation in the number of </w:t>
      </w:r>
      <w:r>
        <w:rPr>
          <w:rFonts w:ascii="Franklin Gothic Book" w:hAnsi="Franklin Gothic Book"/>
          <w:color w:val="000000"/>
          <w:sz w:val="22"/>
          <w:szCs w:val="20"/>
          <w:lang w:eastAsia="en-AU"/>
        </w:rPr>
        <w:t>pregnant individuals</w:t>
      </w:r>
      <w:r w:rsidRPr="00F737CF">
        <w:rPr>
          <w:rFonts w:ascii="Franklin Gothic Book" w:hAnsi="Franklin Gothic Book"/>
          <w:color w:val="000000"/>
          <w:sz w:val="22"/>
          <w:szCs w:val="20"/>
          <w:lang w:eastAsia="en-AU"/>
        </w:rPr>
        <w:t xml:space="preserve"> tested and the clinical utility of the tests in preventing preeclampsia), resulted in a net cost to combined </w:t>
      </w:r>
      <w:r w:rsidRPr="00F737CF">
        <w:rPr>
          <w:rFonts w:ascii="Franklin Gothic Book" w:hAnsi="Franklin Gothic Book"/>
          <w:color w:val="000000"/>
          <w:sz w:val="22"/>
          <w:szCs w:val="20"/>
          <w:lang w:eastAsia="en-AU"/>
        </w:rPr>
        <w:lastRenderedPageBreak/>
        <w:t>government budgets rather than a net saving</w:t>
      </w:r>
      <w:r>
        <w:rPr>
          <w:rFonts w:ascii="Franklin Gothic Book" w:hAnsi="Franklin Gothic Book"/>
          <w:color w:val="000000"/>
          <w:sz w:val="22"/>
          <w:szCs w:val="20"/>
          <w:lang w:eastAsia="en-AU"/>
        </w:rPr>
        <w:t>, although most sensitivity analyses remained cost saving</w:t>
      </w:r>
      <w:r w:rsidRPr="00F737CF">
        <w:rPr>
          <w:rFonts w:ascii="Franklin Gothic Book" w:hAnsi="Franklin Gothic Book"/>
          <w:color w:val="000000"/>
          <w:sz w:val="22"/>
          <w:szCs w:val="20"/>
          <w:lang w:eastAsia="en-AU"/>
        </w:rPr>
        <w:t>.</w:t>
      </w:r>
      <w:r>
        <w:rPr>
          <w:rFonts w:ascii="Franklin Gothic Book" w:hAnsi="Franklin Gothic Book"/>
          <w:color w:val="000000"/>
          <w:sz w:val="22"/>
          <w:szCs w:val="20"/>
          <w:lang w:eastAsia="en-AU"/>
        </w:rPr>
        <w:t xml:space="preserve"> </w:t>
      </w:r>
    </w:p>
    <w:p w14:paraId="3D568535" w14:textId="77777777" w:rsidR="00971DBF"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ESC noted that t</w:t>
      </w:r>
      <w:r w:rsidRPr="00210B3D">
        <w:rPr>
          <w:rFonts w:ascii="Franklin Gothic Book" w:hAnsi="Franklin Gothic Book"/>
          <w:color w:val="000000"/>
          <w:sz w:val="22"/>
          <w:szCs w:val="20"/>
          <w:lang w:eastAsia="en-AU"/>
        </w:rPr>
        <w:t xml:space="preserve">he decision on whether to fund structured prenatal risk assessment for preterm preeclampsia will need to </w:t>
      </w:r>
      <w:proofErr w:type="gramStart"/>
      <w:r w:rsidRPr="00210B3D">
        <w:rPr>
          <w:rFonts w:ascii="Franklin Gothic Book" w:hAnsi="Franklin Gothic Book"/>
          <w:color w:val="000000"/>
          <w:sz w:val="22"/>
          <w:szCs w:val="20"/>
          <w:lang w:eastAsia="en-AU"/>
        </w:rPr>
        <w:t>take into account</w:t>
      </w:r>
      <w:proofErr w:type="gramEnd"/>
      <w:r w:rsidRPr="00210B3D">
        <w:rPr>
          <w:rFonts w:ascii="Franklin Gothic Book" w:hAnsi="Franklin Gothic Book"/>
          <w:color w:val="000000"/>
          <w:sz w:val="22"/>
          <w:szCs w:val="20"/>
          <w:lang w:eastAsia="en-AU"/>
        </w:rPr>
        <w:t xml:space="preserve"> the potential impacts of this funding on access to existing ultrasound services particularly given th</w:t>
      </w:r>
      <w:r>
        <w:rPr>
          <w:rFonts w:ascii="Franklin Gothic Book" w:hAnsi="Franklin Gothic Book"/>
          <w:color w:val="000000"/>
          <w:sz w:val="22"/>
          <w:szCs w:val="20"/>
          <w:lang w:eastAsia="en-AU"/>
        </w:rPr>
        <w:t>e</w:t>
      </w:r>
      <w:r w:rsidRPr="00210B3D">
        <w:rPr>
          <w:rFonts w:ascii="Franklin Gothic Book" w:hAnsi="Franklin Gothic Book"/>
          <w:color w:val="000000"/>
          <w:sz w:val="22"/>
          <w:szCs w:val="20"/>
          <w:lang w:eastAsia="en-AU"/>
        </w:rPr>
        <w:t xml:space="preserve"> uncertainties regarding training for the radiology item</w:t>
      </w:r>
      <w:r>
        <w:rPr>
          <w:rFonts w:ascii="Franklin Gothic Book" w:hAnsi="Franklin Gothic Book"/>
          <w:color w:val="000000"/>
          <w:sz w:val="22"/>
          <w:szCs w:val="20"/>
          <w:lang w:eastAsia="en-AU"/>
        </w:rPr>
        <w:t xml:space="preserve"> and existing constraints on access to first trimester ultrasound testing. </w:t>
      </w:r>
    </w:p>
    <w:p w14:paraId="3B410B62" w14:textId="77777777" w:rsidR="00971DBF" w:rsidRPr="00842844" w:rsidRDefault="00971DBF" w:rsidP="00971DBF">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ESC noted the potential impact on MSAC Application 1706 would need to be considered if MBS funding of </w:t>
      </w:r>
      <w:r w:rsidRPr="00B51E8D">
        <w:rPr>
          <w:rFonts w:ascii="Franklin Gothic Book" w:hAnsi="Franklin Gothic Book"/>
          <w:color w:val="000000"/>
          <w:sz w:val="22"/>
          <w:szCs w:val="20"/>
          <w:lang w:eastAsia="en-AU"/>
        </w:rPr>
        <w:t>structured prenatal risk assessment for preterm preeclampsia</w:t>
      </w:r>
      <w:r>
        <w:rPr>
          <w:rFonts w:ascii="Franklin Gothic Book" w:hAnsi="Franklin Gothic Book"/>
          <w:color w:val="000000"/>
          <w:sz w:val="22"/>
          <w:szCs w:val="20"/>
          <w:lang w:eastAsia="en-AU"/>
        </w:rPr>
        <w:t xml:space="preserve"> is supported. </w:t>
      </w:r>
    </w:p>
    <w:p w14:paraId="4C2BC28F" w14:textId="77777777" w:rsidR="00503420" w:rsidRDefault="00503420" w:rsidP="00503420">
      <w:pPr>
        <w:pStyle w:val="Heading2"/>
        <w:numPr>
          <w:ilvl w:val="0"/>
          <w:numId w:val="0"/>
        </w:numPr>
      </w:pPr>
      <w:r>
        <w:t>17.</w:t>
      </w:r>
      <w:r>
        <w:tab/>
        <w:t>Applicant comments on MSAC’s Public Summary Document</w:t>
      </w:r>
    </w:p>
    <w:p w14:paraId="5AA56C97" w14:textId="6571C4F7" w:rsidR="00F410FA" w:rsidRPr="00892582" w:rsidRDefault="00F410FA" w:rsidP="00892582">
      <w:pPr>
        <w:spacing w:after="240"/>
        <w:rPr>
          <w:rFonts w:ascii="Franklin Gothic Book" w:hAnsi="Franklin Gothic Book"/>
          <w:color w:val="000000"/>
          <w:sz w:val="22"/>
          <w:szCs w:val="20"/>
          <w:lang w:eastAsia="en-AU"/>
        </w:rPr>
      </w:pPr>
      <w:r w:rsidRPr="00892582">
        <w:rPr>
          <w:rFonts w:ascii="Franklin Gothic Book" w:hAnsi="Franklin Gothic Book"/>
          <w:color w:val="000000"/>
          <w:sz w:val="22"/>
          <w:szCs w:val="20"/>
          <w:lang w:eastAsia="en-AU"/>
        </w:rPr>
        <w:t xml:space="preserve">Roche wishes to thank the Medical Services Advisory Committee (MSAC) for reviewing and considering our application. While the outcome was disappointing, we respectfully accept the committee's findings. </w:t>
      </w:r>
    </w:p>
    <w:p w14:paraId="68EC0679" w14:textId="77777777" w:rsidR="00503420" w:rsidRDefault="00503420" w:rsidP="00503420">
      <w:pPr>
        <w:pStyle w:val="Heading2"/>
        <w:numPr>
          <w:ilvl w:val="0"/>
          <w:numId w:val="0"/>
        </w:numPr>
      </w:pPr>
      <w:r>
        <w:t>18.</w:t>
      </w:r>
      <w:r>
        <w:tab/>
        <w:t>Further information on MSAC</w:t>
      </w:r>
    </w:p>
    <w:p w14:paraId="51E4F0AA" w14:textId="36AF536D" w:rsidR="00971DBF" w:rsidRPr="00503420" w:rsidRDefault="00503420" w:rsidP="00503420">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9" w:tooltip="Link to the MSAC website" w:history="1">
        <w:r w:rsidRPr="00F309FA">
          <w:rPr>
            <w:rStyle w:val="Hyperlink"/>
            <w:rFonts w:ascii="Franklin Gothic Book" w:hAnsi="Franklin Gothic Book"/>
            <w:bCs/>
            <w:iCs/>
            <w:sz w:val="22"/>
          </w:rPr>
          <w:t>visit the MSAC website</w:t>
        </w:r>
      </w:hyperlink>
    </w:p>
    <w:sectPr w:rsidR="00971DBF" w:rsidRPr="00503420" w:rsidSect="00AC4CF3">
      <w:footerReference w:type="even" r:id="rId10"/>
      <w:footerReference w:type="default" r:id="rId11"/>
      <w:pgSz w:w="11906" w:h="16838"/>
      <w:pgMar w:top="1319" w:right="1440" w:bottom="1422" w:left="1440"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7CC5" w14:textId="77777777" w:rsidR="00941237" w:rsidRDefault="00941237" w:rsidP="00B62DF2">
      <w:r>
        <w:separator/>
      </w:r>
    </w:p>
  </w:endnote>
  <w:endnote w:type="continuationSeparator" w:id="0">
    <w:p w14:paraId="535B258D" w14:textId="77777777" w:rsidR="00941237" w:rsidRDefault="00941237" w:rsidP="00B62DF2">
      <w:r>
        <w:continuationSeparator/>
      </w:r>
    </w:p>
  </w:endnote>
  <w:endnote w:type="continuationNotice" w:id="1">
    <w:p w14:paraId="5B5EFE67" w14:textId="77777777" w:rsidR="00941237" w:rsidRDefault="0094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Proxima Nova">
    <w:altName w:val="Tahoma"/>
    <w:charset w:val="00"/>
    <w:family w:val="auto"/>
    <w:pitch w:val="variable"/>
    <w:sig w:usb0="00000001" w:usb1="5000E0F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Narrow">
    <w:altName w:val="Arial"/>
    <w:charset w:val="00"/>
    <w:family w:val="swiss"/>
    <w:pitch w:val="variable"/>
    <w:sig w:usb0="20000287" w:usb1="00000003" w:usb2="00000000" w:usb3="00000000" w:csb0="0000019F" w:csb1="00000000"/>
  </w:font>
  <w:font w:name="OTNEJMScalaSansLF">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2563" w14:textId="77777777" w:rsidR="005C726D" w:rsidRDefault="005947B5" w:rsidP="005C726D">
    <w:pPr>
      <w:pStyle w:val="Footer"/>
      <w:rPr>
        <w:noProof/>
      </w:rPr>
    </w:pPr>
    <w:r>
      <w:fldChar w:fldCharType="begin"/>
    </w:r>
    <w:r>
      <w:instrText xml:space="preserve"> PAGE   \* MERGEFORMAT </w:instrText>
    </w:r>
    <w:r>
      <w:fldChar w:fldCharType="separate"/>
    </w:r>
    <w:r w:rsidR="00120BD3">
      <w:rPr>
        <w:noProof/>
      </w:rPr>
      <w:t>22</w:t>
    </w:r>
    <w:r>
      <w:rPr>
        <w:noProof/>
      </w:rPr>
      <w:fldChar w:fldCharType="end"/>
    </w:r>
    <w:r>
      <w:rPr>
        <w:noProof/>
      </w:rPr>
      <w:tab/>
    </w:r>
  </w:p>
  <w:p w14:paraId="6E76D499" w14:textId="6070F8C9" w:rsidR="005947B5" w:rsidRDefault="005947B5" w:rsidP="005C726D">
    <w:pPr>
      <w:pStyle w:val="Footer"/>
      <w:rPr>
        <w:noProof/>
      </w:rPr>
    </w:pPr>
    <w:r>
      <w:t xml:space="preserve">MSAC </w:t>
    </w:r>
    <w:r w:rsidRPr="00807A3E">
      <w:t xml:space="preserve">assessment report </w:t>
    </w:r>
    <w:r w:rsidR="005C726D" w:rsidRPr="00A56C88">
      <w:t>1722 – Axicabtagene ciloleucel for relapsed or refractory large B-cell lymphoma</w:t>
    </w:r>
    <w:r w:rsidR="005C726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16909"/>
      <w:docPartObj>
        <w:docPartGallery w:val="Page Numbers (Bottom of Page)"/>
        <w:docPartUnique/>
      </w:docPartObj>
    </w:sdtPr>
    <w:sdtEndPr>
      <w:rPr>
        <w:noProof/>
      </w:rPr>
    </w:sdtEndPr>
    <w:sdtContent>
      <w:p w14:paraId="6BE9385A" w14:textId="79C4452B" w:rsidR="005947B5" w:rsidRDefault="005947B5" w:rsidP="007B35F1">
        <w:pPr>
          <w:pStyle w:val="a-TEXT"/>
          <w:jc w:val="right"/>
        </w:pPr>
        <w:r>
          <w:fldChar w:fldCharType="begin"/>
        </w:r>
        <w:r>
          <w:instrText xml:space="preserve"> PAGE   \* MERGEFORMAT </w:instrText>
        </w:r>
        <w:r>
          <w:fldChar w:fldCharType="separate"/>
        </w:r>
        <w:r w:rsidR="00F410F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C8B9" w14:textId="77777777" w:rsidR="00941237" w:rsidRDefault="00941237" w:rsidP="00B62DF2">
      <w:r>
        <w:separator/>
      </w:r>
    </w:p>
  </w:footnote>
  <w:footnote w:type="continuationSeparator" w:id="0">
    <w:p w14:paraId="5D4FF88B" w14:textId="77777777" w:rsidR="00941237" w:rsidRDefault="00941237" w:rsidP="00B62DF2">
      <w:r>
        <w:continuationSeparator/>
      </w:r>
    </w:p>
  </w:footnote>
  <w:footnote w:type="continuationNotice" w:id="1">
    <w:p w14:paraId="4FAC1924" w14:textId="77777777" w:rsidR="00941237" w:rsidRDefault="00941237"/>
  </w:footnote>
  <w:footnote w:id="2">
    <w:p w14:paraId="654CEB8A" w14:textId="77777777" w:rsidR="002237F7" w:rsidRPr="000565CA" w:rsidRDefault="002237F7" w:rsidP="002237F7">
      <w:pPr>
        <w:pStyle w:val="FootnoteText"/>
        <w:rPr>
          <w:lang w:val="en-US"/>
        </w:rPr>
      </w:pPr>
      <w:r>
        <w:rPr>
          <w:rStyle w:val="FootnoteReference"/>
        </w:rPr>
        <w:footnoteRef/>
      </w:r>
      <w:r w:rsidRPr="00903916">
        <w:rPr>
          <w:lang w:val="de-DE"/>
        </w:rPr>
        <w:t xml:space="preserve"> Rolnik DL, Selvaratnam RJ, Wertaschnigg D et al. </w:t>
      </w:r>
      <w:r w:rsidRPr="005C7C4F">
        <w:t>(202</w:t>
      </w:r>
      <w:r>
        <w:t>2</w:t>
      </w:r>
      <w:r w:rsidRPr="005C7C4F">
        <w:t xml:space="preserve">). </w:t>
      </w:r>
      <w:hyperlink r:id="rId1" w:history="1">
        <w:r w:rsidRPr="00294910">
          <w:rPr>
            <w:rStyle w:val="Hyperlink"/>
          </w:rPr>
          <w:t xml:space="preserve">Routine first trimester combined screening for preterm preeclampsia in Australia: a </w:t>
        </w:r>
        <w:proofErr w:type="spellStart"/>
        <w:r w:rsidRPr="00294910">
          <w:rPr>
            <w:rStyle w:val="Hyperlink"/>
          </w:rPr>
          <w:t>multicenter</w:t>
        </w:r>
        <w:proofErr w:type="spellEnd"/>
        <w:r w:rsidRPr="00294910">
          <w:rPr>
            <w:rStyle w:val="Hyperlink"/>
          </w:rPr>
          <w:t xml:space="preserve"> clinical implementation cohort study</w:t>
        </w:r>
      </w:hyperlink>
      <w:r w:rsidRPr="005C7C4F">
        <w:t xml:space="preserve">. </w:t>
      </w:r>
      <w:r w:rsidRPr="00532AC6">
        <w:rPr>
          <w:i/>
          <w:iCs/>
        </w:rPr>
        <w:t xml:space="preserve">Int J </w:t>
      </w:r>
      <w:proofErr w:type="spellStart"/>
      <w:r w:rsidRPr="00532AC6">
        <w:rPr>
          <w:i/>
          <w:iCs/>
        </w:rPr>
        <w:t>Gynaecol</w:t>
      </w:r>
      <w:proofErr w:type="spellEnd"/>
      <w:r w:rsidRPr="00532AC6">
        <w:rPr>
          <w:i/>
          <w:iCs/>
        </w:rPr>
        <w:t xml:space="preserve"> </w:t>
      </w:r>
      <w:proofErr w:type="spellStart"/>
      <w:r w:rsidRPr="00532AC6">
        <w:rPr>
          <w:i/>
          <w:iCs/>
        </w:rPr>
        <w:t>Obstet</w:t>
      </w:r>
      <w:proofErr w:type="spellEnd"/>
      <w:r w:rsidRPr="005C7C4F">
        <w:t xml:space="preserve"> 158(3)</w:t>
      </w:r>
      <w:r>
        <w:t>:</w:t>
      </w:r>
      <w:r w:rsidRPr="005C7C4F">
        <w:t>634</w:t>
      </w:r>
      <w:r>
        <w:t>–</w:t>
      </w:r>
      <w:r w:rsidRPr="005C7C4F">
        <w:t xml:space="preserve">42. </w:t>
      </w:r>
    </w:p>
  </w:footnote>
  <w:footnote w:id="3">
    <w:p w14:paraId="14E2C6EF" w14:textId="5BA86265" w:rsidR="00383A71" w:rsidRDefault="00383A71">
      <w:pPr>
        <w:pStyle w:val="FootnoteText"/>
      </w:pPr>
      <w:r>
        <w:rPr>
          <w:rStyle w:val="FootnoteReference"/>
        </w:rPr>
        <w:footnoteRef/>
      </w:r>
      <w:r>
        <w:t xml:space="preserve"> </w:t>
      </w:r>
      <w:r w:rsidRPr="005635EB">
        <w:rPr>
          <w:rFonts w:ascii="Arial Narrow" w:hAnsi="Arial Narrow"/>
          <w:sz w:val="16"/>
          <w:szCs w:val="18"/>
        </w:rPr>
        <w:t xml:space="preserve">Rolnik, D.L., Wright, D., Poon, L.C.Y., </w:t>
      </w:r>
      <w:proofErr w:type="spellStart"/>
      <w:r w:rsidRPr="005635EB">
        <w:rPr>
          <w:rFonts w:ascii="Arial Narrow" w:hAnsi="Arial Narrow"/>
          <w:sz w:val="16"/>
          <w:szCs w:val="18"/>
        </w:rPr>
        <w:t>Syngelaki</w:t>
      </w:r>
      <w:proofErr w:type="spellEnd"/>
      <w:r w:rsidRPr="005635EB">
        <w:rPr>
          <w:rFonts w:ascii="Arial Narrow" w:hAnsi="Arial Narrow"/>
          <w:sz w:val="16"/>
          <w:szCs w:val="18"/>
        </w:rPr>
        <w:t xml:space="preserve">, A., O'Gorman, N., de Paco </w:t>
      </w:r>
      <w:proofErr w:type="spellStart"/>
      <w:r w:rsidRPr="005635EB">
        <w:rPr>
          <w:rFonts w:ascii="Arial Narrow" w:hAnsi="Arial Narrow"/>
          <w:sz w:val="16"/>
          <w:szCs w:val="18"/>
        </w:rPr>
        <w:t>Matallana</w:t>
      </w:r>
      <w:proofErr w:type="spellEnd"/>
      <w:r w:rsidRPr="005635EB">
        <w:rPr>
          <w:rFonts w:ascii="Arial Narrow" w:hAnsi="Arial Narrow"/>
          <w:sz w:val="16"/>
          <w:szCs w:val="18"/>
        </w:rPr>
        <w:t xml:space="preserve">, C., </w:t>
      </w:r>
      <w:proofErr w:type="spellStart"/>
      <w:r w:rsidRPr="005635EB">
        <w:rPr>
          <w:rFonts w:ascii="Arial Narrow" w:hAnsi="Arial Narrow"/>
          <w:sz w:val="16"/>
          <w:szCs w:val="18"/>
        </w:rPr>
        <w:t>Akolekar</w:t>
      </w:r>
      <w:proofErr w:type="spellEnd"/>
      <w:r w:rsidRPr="005635EB">
        <w:rPr>
          <w:rFonts w:ascii="Arial Narrow" w:hAnsi="Arial Narrow"/>
          <w:sz w:val="16"/>
          <w:szCs w:val="18"/>
        </w:rPr>
        <w:t xml:space="preserve">, R., Cicero, S., </w:t>
      </w:r>
      <w:proofErr w:type="spellStart"/>
      <w:r w:rsidRPr="005635EB">
        <w:rPr>
          <w:rFonts w:ascii="Arial Narrow" w:hAnsi="Arial Narrow"/>
          <w:sz w:val="16"/>
          <w:szCs w:val="18"/>
        </w:rPr>
        <w:t>Janga</w:t>
      </w:r>
      <w:proofErr w:type="spellEnd"/>
      <w:r w:rsidRPr="005635EB">
        <w:rPr>
          <w:rFonts w:ascii="Arial Narrow" w:hAnsi="Arial Narrow"/>
          <w:sz w:val="16"/>
          <w:szCs w:val="18"/>
        </w:rPr>
        <w:t xml:space="preserve">, D., Singh, M., Molina, F.S., Persico, N., Jani, J.C., </w:t>
      </w:r>
      <w:proofErr w:type="spellStart"/>
      <w:r w:rsidRPr="005635EB">
        <w:rPr>
          <w:rFonts w:ascii="Arial Narrow" w:hAnsi="Arial Narrow"/>
          <w:sz w:val="16"/>
          <w:szCs w:val="18"/>
        </w:rPr>
        <w:t>Plasencia</w:t>
      </w:r>
      <w:proofErr w:type="spellEnd"/>
      <w:r w:rsidRPr="005635EB">
        <w:rPr>
          <w:rFonts w:ascii="Arial Narrow" w:hAnsi="Arial Narrow"/>
          <w:sz w:val="16"/>
          <w:szCs w:val="18"/>
        </w:rPr>
        <w:t xml:space="preserve">, W., </w:t>
      </w:r>
      <w:proofErr w:type="spellStart"/>
      <w:r w:rsidRPr="005635EB">
        <w:rPr>
          <w:rFonts w:ascii="Arial Narrow" w:hAnsi="Arial Narrow"/>
          <w:sz w:val="16"/>
          <w:szCs w:val="18"/>
        </w:rPr>
        <w:t>Papaioannou</w:t>
      </w:r>
      <w:proofErr w:type="spellEnd"/>
      <w:r w:rsidRPr="005635EB">
        <w:rPr>
          <w:rFonts w:ascii="Arial Narrow" w:hAnsi="Arial Narrow"/>
          <w:sz w:val="16"/>
          <w:szCs w:val="18"/>
        </w:rPr>
        <w:t>, G., Tenenbaum-Gavish, K. and Nicolaides, K.H. (2017</w:t>
      </w:r>
      <w:r>
        <w:rPr>
          <w:rFonts w:ascii="Arial Narrow" w:hAnsi="Arial Narrow"/>
          <w:sz w:val="16"/>
          <w:szCs w:val="18"/>
        </w:rPr>
        <w:t>b</w:t>
      </w:r>
      <w:r w:rsidRPr="005635EB">
        <w:rPr>
          <w:rFonts w:ascii="Arial Narrow" w:hAnsi="Arial Narrow"/>
          <w:sz w:val="16"/>
          <w:szCs w:val="18"/>
        </w:rPr>
        <w:t xml:space="preserve">), ASPRE trial: performance of screening for preterm pre-eclampsia. Ultrasound </w:t>
      </w:r>
      <w:proofErr w:type="spellStart"/>
      <w:r w:rsidRPr="005635EB">
        <w:rPr>
          <w:rFonts w:ascii="Arial Narrow" w:hAnsi="Arial Narrow"/>
          <w:sz w:val="16"/>
          <w:szCs w:val="18"/>
        </w:rPr>
        <w:t>Obstet</w:t>
      </w:r>
      <w:proofErr w:type="spellEnd"/>
      <w:r w:rsidRPr="005635EB">
        <w:rPr>
          <w:rFonts w:ascii="Arial Narrow" w:hAnsi="Arial Narrow"/>
          <w:sz w:val="16"/>
          <w:szCs w:val="18"/>
        </w:rPr>
        <w:t xml:space="preserve"> </w:t>
      </w:r>
      <w:proofErr w:type="spellStart"/>
      <w:r w:rsidRPr="005635EB">
        <w:rPr>
          <w:rFonts w:ascii="Arial Narrow" w:hAnsi="Arial Narrow"/>
          <w:sz w:val="16"/>
          <w:szCs w:val="18"/>
        </w:rPr>
        <w:t>Gynecol</w:t>
      </w:r>
      <w:proofErr w:type="spellEnd"/>
      <w:r w:rsidRPr="005635EB">
        <w:rPr>
          <w:rFonts w:ascii="Arial Narrow" w:hAnsi="Arial Narrow"/>
          <w:sz w:val="16"/>
          <w:szCs w:val="18"/>
        </w:rPr>
        <w:t>, 50: 492-495. </w:t>
      </w:r>
      <w:hyperlink r:id="rId2" w:history="1">
        <w:r w:rsidRPr="005635EB">
          <w:rPr>
            <w:rFonts w:ascii="Arial Narrow" w:hAnsi="Arial Narrow"/>
            <w:sz w:val="16"/>
            <w:szCs w:val="18"/>
          </w:rPr>
          <w:t>https://doi.org/10.1002/uog.18816</w:t>
        </w:r>
      </w:hyperlink>
    </w:p>
  </w:footnote>
  <w:footnote w:id="4">
    <w:p w14:paraId="43DFD5A7" w14:textId="42D980AD" w:rsidR="00383A71" w:rsidRPr="00383A71" w:rsidRDefault="00383A71" w:rsidP="004C2643">
      <w:pPr>
        <w:pStyle w:val="FootnoteText"/>
        <w:spacing w:before="120"/>
        <w:rPr>
          <w:rFonts w:ascii="Arial Narrow" w:hAnsi="Arial Narrow"/>
          <w:sz w:val="16"/>
          <w:szCs w:val="16"/>
        </w:rPr>
      </w:pPr>
      <w:r w:rsidRPr="004C2643">
        <w:rPr>
          <w:rFonts w:ascii="Arial Narrow" w:hAnsi="Arial Narrow"/>
          <w:sz w:val="16"/>
          <w:szCs w:val="16"/>
        </w:rPr>
        <w:footnoteRef/>
      </w:r>
      <w:r w:rsidRPr="004C2643">
        <w:rPr>
          <w:rFonts w:ascii="Arial Narrow" w:hAnsi="Arial Narrow"/>
          <w:sz w:val="16"/>
          <w:szCs w:val="16"/>
        </w:rPr>
        <w:t xml:space="preserve"> </w:t>
      </w:r>
      <w:r w:rsidRPr="005635EB">
        <w:rPr>
          <w:rFonts w:ascii="Arial Narrow" w:hAnsi="Arial Narrow"/>
          <w:sz w:val="16"/>
          <w:szCs w:val="16"/>
        </w:rPr>
        <w:t xml:space="preserve">O'Gorman, N., Wright, D., Poon, L. C., Rolnik, D. L., </w:t>
      </w:r>
      <w:proofErr w:type="spellStart"/>
      <w:r w:rsidRPr="005635EB">
        <w:rPr>
          <w:rFonts w:ascii="Arial Narrow" w:hAnsi="Arial Narrow"/>
          <w:sz w:val="16"/>
          <w:szCs w:val="16"/>
        </w:rPr>
        <w:t>Syngelaki</w:t>
      </w:r>
      <w:proofErr w:type="spellEnd"/>
      <w:r w:rsidRPr="005635EB">
        <w:rPr>
          <w:rFonts w:ascii="Arial Narrow" w:hAnsi="Arial Narrow"/>
          <w:sz w:val="16"/>
          <w:szCs w:val="16"/>
        </w:rPr>
        <w:t xml:space="preserve">, A., de Alvarado, M., Carbone, I. F., </w:t>
      </w:r>
      <w:proofErr w:type="spellStart"/>
      <w:r w:rsidRPr="005635EB">
        <w:rPr>
          <w:rFonts w:ascii="Arial Narrow" w:hAnsi="Arial Narrow"/>
          <w:sz w:val="16"/>
          <w:szCs w:val="16"/>
        </w:rPr>
        <w:t>Dutemeyer</w:t>
      </w:r>
      <w:proofErr w:type="spellEnd"/>
      <w:r w:rsidRPr="005635EB">
        <w:rPr>
          <w:rFonts w:ascii="Arial Narrow" w:hAnsi="Arial Narrow"/>
          <w:sz w:val="16"/>
          <w:szCs w:val="16"/>
        </w:rPr>
        <w:t xml:space="preserve">, V., </w:t>
      </w:r>
      <w:proofErr w:type="spellStart"/>
      <w:r w:rsidRPr="005635EB">
        <w:rPr>
          <w:rFonts w:ascii="Arial Narrow" w:hAnsi="Arial Narrow"/>
          <w:sz w:val="16"/>
          <w:szCs w:val="16"/>
        </w:rPr>
        <w:t>Fiolna</w:t>
      </w:r>
      <w:proofErr w:type="spellEnd"/>
      <w:r w:rsidRPr="005635EB">
        <w:rPr>
          <w:rFonts w:ascii="Arial Narrow" w:hAnsi="Arial Narrow"/>
          <w:sz w:val="16"/>
          <w:szCs w:val="16"/>
        </w:rPr>
        <w:t xml:space="preserve">, M., Frick, A., </w:t>
      </w:r>
      <w:proofErr w:type="spellStart"/>
      <w:r w:rsidRPr="005635EB">
        <w:rPr>
          <w:rFonts w:ascii="Arial Narrow" w:hAnsi="Arial Narrow"/>
          <w:sz w:val="16"/>
          <w:szCs w:val="16"/>
        </w:rPr>
        <w:t>Karagiotis</w:t>
      </w:r>
      <w:proofErr w:type="spellEnd"/>
      <w:r w:rsidRPr="005635EB">
        <w:rPr>
          <w:rFonts w:ascii="Arial Narrow" w:hAnsi="Arial Narrow"/>
          <w:sz w:val="16"/>
          <w:szCs w:val="16"/>
        </w:rPr>
        <w:t xml:space="preserve">, N., </w:t>
      </w:r>
      <w:proofErr w:type="spellStart"/>
      <w:r w:rsidRPr="005635EB">
        <w:rPr>
          <w:rFonts w:ascii="Arial Narrow" w:hAnsi="Arial Narrow"/>
          <w:sz w:val="16"/>
          <w:szCs w:val="16"/>
        </w:rPr>
        <w:t>Mastrodima</w:t>
      </w:r>
      <w:proofErr w:type="spellEnd"/>
      <w:r w:rsidRPr="005635EB">
        <w:rPr>
          <w:rFonts w:ascii="Arial Narrow" w:hAnsi="Arial Narrow"/>
          <w:sz w:val="16"/>
          <w:szCs w:val="16"/>
        </w:rPr>
        <w:t xml:space="preserve">, S., de Paco </w:t>
      </w:r>
      <w:proofErr w:type="spellStart"/>
      <w:r w:rsidRPr="005635EB">
        <w:rPr>
          <w:rFonts w:ascii="Arial Narrow" w:hAnsi="Arial Narrow"/>
          <w:sz w:val="16"/>
          <w:szCs w:val="16"/>
        </w:rPr>
        <w:t>Matallana</w:t>
      </w:r>
      <w:proofErr w:type="spellEnd"/>
      <w:r w:rsidRPr="005635EB">
        <w:rPr>
          <w:rFonts w:ascii="Arial Narrow" w:hAnsi="Arial Narrow"/>
          <w:sz w:val="16"/>
          <w:szCs w:val="16"/>
        </w:rPr>
        <w:t xml:space="preserve">, C., </w:t>
      </w:r>
      <w:proofErr w:type="spellStart"/>
      <w:r w:rsidRPr="005635EB">
        <w:rPr>
          <w:rFonts w:ascii="Arial Narrow" w:hAnsi="Arial Narrow"/>
          <w:sz w:val="16"/>
          <w:szCs w:val="16"/>
        </w:rPr>
        <w:t>Papaioannou</w:t>
      </w:r>
      <w:proofErr w:type="spellEnd"/>
      <w:r w:rsidRPr="005635EB">
        <w:rPr>
          <w:rFonts w:ascii="Arial Narrow" w:hAnsi="Arial Narrow"/>
          <w:sz w:val="16"/>
          <w:szCs w:val="16"/>
        </w:rPr>
        <w:t xml:space="preserve">, G., </w:t>
      </w:r>
      <w:proofErr w:type="spellStart"/>
      <w:r w:rsidRPr="005635EB">
        <w:rPr>
          <w:rFonts w:ascii="Arial Narrow" w:hAnsi="Arial Narrow"/>
          <w:sz w:val="16"/>
          <w:szCs w:val="16"/>
        </w:rPr>
        <w:t>Pazos</w:t>
      </w:r>
      <w:proofErr w:type="spellEnd"/>
      <w:r w:rsidRPr="005635EB">
        <w:rPr>
          <w:rFonts w:ascii="Arial Narrow" w:hAnsi="Arial Narrow"/>
          <w:sz w:val="16"/>
          <w:szCs w:val="16"/>
        </w:rPr>
        <w:t xml:space="preserve">, A., </w:t>
      </w:r>
      <w:proofErr w:type="spellStart"/>
      <w:r w:rsidRPr="005635EB">
        <w:rPr>
          <w:rFonts w:ascii="Arial Narrow" w:hAnsi="Arial Narrow"/>
          <w:sz w:val="16"/>
          <w:szCs w:val="16"/>
        </w:rPr>
        <w:t>Plasencia</w:t>
      </w:r>
      <w:proofErr w:type="spellEnd"/>
      <w:r w:rsidRPr="005635EB">
        <w:rPr>
          <w:rFonts w:ascii="Arial Narrow" w:hAnsi="Arial Narrow"/>
          <w:sz w:val="16"/>
          <w:szCs w:val="16"/>
        </w:rPr>
        <w:t xml:space="preserve">, W., &amp; Nicolaides, K. H. (2017). </w:t>
      </w:r>
      <w:proofErr w:type="spellStart"/>
      <w:r w:rsidRPr="005635EB">
        <w:rPr>
          <w:rFonts w:ascii="Arial Narrow" w:hAnsi="Arial Narrow"/>
          <w:sz w:val="16"/>
          <w:szCs w:val="16"/>
        </w:rPr>
        <w:t>Multicenter</w:t>
      </w:r>
      <w:proofErr w:type="spellEnd"/>
      <w:r w:rsidRPr="005635EB">
        <w:rPr>
          <w:rFonts w:ascii="Arial Narrow" w:hAnsi="Arial Narrow"/>
          <w:sz w:val="16"/>
          <w:szCs w:val="16"/>
        </w:rPr>
        <w:t xml:space="preserve"> </w:t>
      </w:r>
      <w:r>
        <w:rPr>
          <w:rFonts w:ascii="Arial Narrow" w:hAnsi="Arial Narrow"/>
          <w:sz w:val="16"/>
          <w:szCs w:val="16"/>
        </w:rPr>
        <w:t>f</w:t>
      </w:r>
      <w:r w:rsidRPr="005635EB">
        <w:rPr>
          <w:rFonts w:ascii="Arial Narrow" w:hAnsi="Arial Narrow"/>
          <w:sz w:val="16"/>
          <w:szCs w:val="16"/>
        </w:rPr>
        <w:t xml:space="preserve">or pre-eclampsia by maternal factors and biomarkers at 11-13 weeks' gestation: comparison with NICE guidelines and ACOG recommendations. Ultrasound </w:t>
      </w:r>
      <w:proofErr w:type="spellStart"/>
      <w:r w:rsidRPr="005635EB">
        <w:rPr>
          <w:rFonts w:ascii="Arial Narrow" w:hAnsi="Arial Narrow"/>
          <w:sz w:val="16"/>
          <w:szCs w:val="16"/>
        </w:rPr>
        <w:t>Obstet</w:t>
      </w:r>
      <w:proofErr w:type="spellEnd"/>
      <w:r w:rsidRPr="005635EB">
        <w:rPr>
          <w:rFonts w:ascii="Arial Narrow" w:hAnsi="Arial Narrow"/>
          <w:sz w:val="16"/>
          <w:szCs w:val="16"/>
        </w:rPr>
        <w:t xml:space="preserve"> </w:t>
      </w:r>
      <w:proofErr w:type="spellStart"/>
      <w:r w:rsidRPr="005635EB">
        <w:rPr>
          <w:rFonts w:ascii="Arial Narrow" w:hAnsi="Arial Narrow"/>
          <w:sz w:val="16"/>
          <w:szCs w:val="16"/>
        </w:rPr>
        <w:t>Gynecol</w:t>
      </w:r>
      <w:proofErr w:type="spellEnd"/>
      <w:r w:rsidRPr="005635EB">
        <w:rPr>
          <w:rFonts w:ascii="Arial Narrow" w:hAnsi="Arial Narrow"/>
          <w:sz w:val="16"/>
          <w:szCs w:val="16"/>
        </w:rPr>
        <w:t xml:space="preserve">, 49(6), 756-760. </w:t>
      </w:r>
      <w:hyperlink r:id="rId3" w:history="1">
        <w:r w:rsidRPr="005635EB">
          <w:rPr>
            <w:rFonts w:ascii="Arial Narrow" w:hAnsi="Arial Narrow"/>
            <w:sz w:val="16"/>
            <w:szCs w:val="16"/>
          </w:rPr>
          <w:t>https://doi.org/10.1002/uog.17455</w:t>
        </w:r>
      </w:hyperlink>
    </w:p>
  </w:footnote>
  <w:footnote w:id="5">
    <w:p w14:paraId="1B247836" w14:textId="3894448A" w:rsidR="00383A71" w:rsidRPr="00383A71" w:rsidRDefault="00383A71" w:rsidP="004C2643">
      <w:pPr>
        <w:pStyle w:val="FootnoteText"/>
        <w:spacing w:before="120"/>
        <w:rPr>
          <w:rFonts w:ascii="Arial Narrow" w:hAnsi="Arial Narrow"/>
          <w:sz w:val="16"/>
          <w:szCs w:val="16"/>
        </w:rPr>
      </w:pPr>
      <w:r w:rsidRPr="004C2643">
        <w:rPr>
          <w:rFonts w:ascii="Arial Narrow" w:hAnsi="Arial Narrow"/>
          <w:sz w:val="16"/>
          <w:szCs w:val="16"/>
        </w:rPr>
        <w:footnoteRef/>
      </w:r>
      <w:r w:rsidRPr="004C2643">
        <w:rPr>
          <w:rFonts w:ascii="Arial Narrow" w:hAnsi="Arial Narrow"/>
          <w:sz w:val="16"/>
          <w:szCs w:val="16"/>
        </w:rPr>
        <w:t xml:space="preserve"> </w:t>
      </w:r>
      <w:r w:rsidRPr="00637E05">
        <w:rPr>
          <w:rFonts w:ascii="Arial Narrow" w:hAnsi="Arial Narrow"/>
          <w:sz w:val="16"/>
          <w:szCs w:val="16"/>
        </w:rPr>
        <w:t xml:space="preserve">Poon, L. C., Rolnik, D. L., Tan, M. Y., Delgado, J. L., </w:t>
      </w:r>
      <w:proofErr w:type="spellStart"/>
      <w:r w:rsidRPr="00637E05">
        <w:rPr>
          <w:rFonts w:ascii="Arial Narrow" w:hAnsi="Arial Narrow"/>
          <w:sz w:val="16"/>
          <w:szCs w:val="16"/>
        </w:rPr>
        <w:t>Tsokaki</w:t>
      </w:r>
      <w:proofErr w:type="spellEnd"/>
      <w:r w:rsidRPr="00637E05">
        <w:rPr>
          <w:rFonts w:ascii="Arial Narrow" w:hAnsi="Arial Narrow"/>
          <w:sz w:val="16"/>
          <w:szCs w:val="16"/>
        </w:rPr>
        <w:t xml:space="preserve">, T., </w:t>
      </w:r>
      <w:proofErr w:type="spellStart"/>
      <w:r w:rsidRPr="00637E05">
        <w:rPr>
          <w:rFonts w:ascii="Arial Narrow" w:hAnsi="Arial Narrow"/>
          <w:sz w:val="16"/>
          <w:szCs w:val="16"/>
        </w:rPr>
        <w:t>Akolekar</w:t>
      </w:r>
      <w:proofErr w:type="spellEnd"/>
      <w:r w:rsidRPr="00637E05">
        <w:rPr>
          <w:rFonts w:ascii="Arial Narrow" w:hAnsi="Arial Narrow"/>
          <w:sz w:val="16"/>
          <w:szCs w:val="16"/>
        </w:rPr>
        <w:t xml:space="preserve">, R., Singh, M., Andrade, W., </w:t>
      </w:r>
      <w:proofErr w:type="spellStart"/>
      <w:r w:rsidRPr="00637E05">
        <w:rPr>
          <w:rFonts w:ascii="Arial Narrow" w:hAnsi="Arial Narrow"/>
          <w:sz w:val="16"/>
          <w:szCs w:val="16"/>
        </w:rPr>
        <w:t>Efeturk</w:t>
      </w:r>
      <w:proofErr w:type="spellEnd"/>
      <w:r w:rsidRPr="00637E05">
        <w:rPr>
          <w:rFonts w:ascii="Arial Narrow" w:hAnsi="Arial Narrow"/>
          <w:sz w:val="16"/>
          <w:szCs w:val="16"/>
        </w:rPr>
        <w:t xml:space="preserve">, T., Jani, J. C., </w:t>
      </w:r>
      <w:proofErr w:type="spellStart"/>
      <w:r w:rsidRPr="00637E05">
        <w:rPr>
          <w:rFonts w:ascii="Arial Narrow" w:hAnsi="Arial Narrow"/>
          <w:sz w:val="16"/>
          <w:szCs w:val="16"/>
        </w:rPr>
        <w:t>Plasencia</w:t>
      </w:r>
      <w:proofErr w:type="spellEnd"/>
      <w:r w:rsidRPr="00637E05">
        <w:rPr>
          <w:rFonts w:ascii="Arial Narrow" w:hAnsi="Arial Narrow"/>
          <w:sz w:val="16"/>
          <w:szCs w:val="16"/>
        </w:rPr>
        <w:t xml:space="preserve">, W., </w:t>
      </w:r>
      <w:proofErr w:type="spellStart"/>
      <w:r w:rsidRPr="00637E05">
        <w:rPr>
          <w:rFonts w:ascii="Arial Narrow" w:hAnsi="Arial Narrow"/>
          <w:sz w:val="16"/>
          <w:szCs w:val="16"/>
        </w:rPr>
        <w:t>Papaioannou</w:t>
      </w:r>
      <w:proofErr w:type="spellEnd"/>
      <w:r w:rsidRPr="00637E05">
        <w:rPr>
          <w:rFonts w:ascii="Arial Narrow" w:hAnsi="Arial Narrow"/>
          <w:sz w:val="16"/>
          <w:szCs w:val="16"/>
        </w:rPr>
        <w:t xml:space="preserve">, G., </w:t>
      </w:r>
      <w:proofErr w:type="spellStart"/>
      <w:r w:rsidRPr="00637E05">
        <w:rPr>
          <w:rFonts w:ascii="Arial Narrow" w:hAnsi="Arial Narrow"/>
          <w:sz w:val="16"/>
          <w:szCs w:val="16"/>
        </w:rPr>
        <w:t>Blazquez</w:t>
      </w:r>
      <w:proofErr w:type="spellEnd"/>
      <w:r w:rsidRPr="00637E05">
        <w:rPr>
          <w:rFonts w:ascii="Arial Narrow" w:hAnsi="Arial Narrow"/>
          <w:sz w:val="16"/>
          <w:szCs w:val="16"/>
        </w:rPr>
        <w:t xml:space="preserve">, A. R., Carbone, I. F., Wright, D., &amp; Nicolaides, K. H. (2018). ASPRE trial: incidence of preterm pre-eclampsia in patients fulfilling ACOG and NICE criteria according to risk by FMF algorithm. Ultrasound </w:t>
      </w:r>
      <w:proofErr w:type="spellStart"/>
      <w:r w:rsidRPr="00637E05">
        <w:rPr>
          <w:rFonts w:ascii="Arial Narrow" w:hAnsi="Arial Narrow"/>
          <w:sz w:val="16"/>
          <w:szCs w:val="16"/>
        </w:rPr>
        <w:t>Obstet</w:t>
      </w:r>
      <w:proofErr w:type="spellEnd"/>
      <w:r w:rsidRPr="00637E05">
        <w:rPr>
          <w:rFonts w:ascii="Arial Narrow" w:hAnsi="Arial Narrow"/>
          <w:sz w:val="16"/>
          <w:szCs w:val="16"/>
        </w:rPr>
        <w:t xml:space="preserve"> </w:t>
      </w:r>
      <w:proofErr w:type="spellStart"/>
      <w:r w:rsidRPr="00637E05">
        <w:rPr>
          <w:rFonts w:ascii="Arial Narrow" w:hAnsi="Arial Narrow"/>
          <w:sz w:val="16"/>
          <w:szCs w:val="16"/>
        </w:rPr>
        <w:t>Gynecol</w:t>
      </w:r>
      <w:proofErr w:type="spellEnd"/>
      <w:r w:rsidRPr="00637E05">
        <w:rPr>
          <w:rFonts w:ascii="Arial Narrow" w:hAnsi="Arial Narrow"/>
          <w:sz w:val="16"/>
          <w:szCs w:val="16"/>
        </w:rPr>
        <w:t xml:space="preserve">, 51(6), 738-742. </w:t>
      </w:r>
      <w:hyperlink r:id="rId4" w:history="1">
        <w:r w:rsidRPr="00637E05">
          <w:rPr>
            <w:rFonts w:ascii="Arial Narrow" w:hAnsi="Arial Narrow"/>
            <w:sz w:val="16"/>
            <w:szCs w:val="16"/>
          </w:rPr>
          <w:t>https://doi.org/10.1002/uog.19019</w:t>
        </w:r>
      </w:hyperlink>
    </w:p>
  </w:footnote>
  <w:footnote w:id="6">
    <w:p w14:paraId="3EAB9412" w14:textId="0A09E49E" w:rsidR="00383A71" w:rsidRPr="00383A71" w:rsidRDefault="00383A71" w:rsidP="004C2643">
      <w:pPr>
        <w:pStyle w:val="FootnoteText"/>
        <w:spacing w:before="120"/>
        <w:rPr>
          <w:rFonts w:ascii="Arial Narrow" w:hAnsi="Arial Narrow"/>
          <w:sz w:val="16"/>
          <w:szCs w:val="16"/>
        </w:rPr>
      </w:pPr>
      <w:r w:rsidRPr="004C2643">
        <w:rPr>
          <w:rFonts w:ascii="Arial Narrow" w:hAnsi="Arial Narrow"/>
          <w:sz w:val="16"/>
          <w:szCs w:val="16"/>
        </w:rPr>
        <w:footnoteRef/>
      </w:r>
      <w:r w:rsidRPr="004C2643">
        <w:rPr>
          <w:rFonts w:ascii="Arial Narrow" w:hAnsi="Arial Narrow"/>
          <w:sz w:val="16"/>
          <w:szCs w:val="16"/>
        </w:rPr>
        <w:t xml:space="preserve"> </w:t>
      </w:r>
      <w:r w:rsidRPr="00637E05">
        <w:rPr>
          <w:rFonts w:ascii="Arial Narrow" w:hAnsi="Arial Narrow"/>
          <w:sz w:val="16"/>
          <w:szCs w:val="16"/>
        </w:rPr>
        <w:t xml:space="preserve">Rolnik, D. L., Wright, D., Poon, L. C., O’Gorman, N., </w:t>
      </w:r>
      <w:proofErr w:type="spellStart"/>
      <w:r w:rsidRPr="00637E05">
        <w:rPr>
          <w:rFonts w:ascii="Arial Narrow" w:hAnsi="Arial Narrow"/>
          <w:sz w:val="16"/>
          <w:szCs w:val="16"/>
        </w:rPr>
        <w:t>Syngelaki</w:t>
      </w:r>
      <w:proofErr w:type="spellEnd"/>
      <w:r w:rsidRPr="00637E05">
        <w:rPr>
          <w:rFonts w:ascii="Arial Narrow" w:hAnsi="Arial Narrow"/>
          <w:sz w:val="16"/>
          <w:szCs w:val="16"/>
        </w:rPr>
        <w:t xml:space="preserve">, A., de Paco </w:t>
      </w:r>
      <w:proofErr w:type="spellStart"/>
      <w:r w:rsidRPr="00637E05">
        <w:rPr>
          <w:rFonts w:ascii="Arial Narrow" w:hAnsi="Arial Narrow"/>
          <w:sz w:val="16"/>
          <w:szCs w:val="16"/>
        </w:rPr>
        <w:t>Matallana</w:t>
      </w:r>
      <w:proofErr w:type="spellEnd"/>
      <w:r w:rsidRPr="00637E05">
        <w:rPr>
          <w:rFonts w:ascii="Arial Narrow" w:hAnsi="Arial Narrow"/>
          <w:sz w:val="16"/>
          <w:szCs w:val="16"/>
        </w:rPr>
        <w:t xml:space="preserve">, C., </w:t>
      </w:r>
      <w:proofErr w:type="spellStart"/>
      <w:r w:rsidRPr="00637E05">
        <w:rPr>
          <w:rFonts w:ascii="Arial Narrow" w:hAnsi="Arial Narrow"/>
          <w:sz w:val="16"/>
          <w:szCs w:val="16"/>
        </w:rPr>
        <w:t>Akolekar</w:t>
      </w:r>
      <w:proofErr w:type="spellEnd"/>
      <w:r w:rsidRPr="00637E05">
        <w:rPr>
          <w:rFonts w:ascii="Arial Narrow" w:hAnsi="Arial Narrow"/>
          <w:sz w:val="16"/>
          <w:szCs w:val="16"/>
        </w:rPr>
        <w:t xml:space="preserve">, R., Cicero, S., </w:t>
      </w:r>
      <w:proofErr w:type="spellStart"/>
      <w:r w:rsidRPr="00637E05">
        <w:rPr>
          <w:rFonts w:ascii="Arial Narrow" w:hAnsi="Arial Narrow"/>
          <w:sz w:val="16"/>
          <w:szCs w:val="16"/>
        </w:rPr>
        <w:t>Janga</w:t>
      </w:r>
      <w:proofErr w:type="spellEnd"/>
      <w:r w:rsidRPr="00637E05">
        <w:rPr>
          <w:rFonts w:ascii="Arial Narrow" w:hAnsi="Arial Narrow"/>
          <w:sz w:val="16"/>
          <w:szCs w:val="16"/>
        </w:rPr>
        <w:t xml:space="preserve">, D., Singh, M., Molina, F. S., Persico, N., Jani, J. C., </w:t>
      </w:r>
      <w:proofErr w:type="spellStart"/>
      <w:r w:rsidRPr="00637E05">
        <w:rPr>
          <w:rFonts w:ascii="Arial Narrow" w:hAnsi="Arial Narrow"/>
          <w:sz w:val="16"/>
          <w:szCs w:val="16"/>
        </w:rPr>
        <w:t>Plasencia</w:t>
      </w:r>
      <w:proofErr w:type="spellEnd"/>
      <w:r w:rsidRPr="00637E05">
        <w:rPr>
          <w:rFonts w:ascii="Arial Narrow" w:hAnsi="Arial Narrow"/>
          <w:sz w:val="16"/>
          <w:szCs w:val="16"/>
        </w:rPr>
        <w:t xml:space="preserve">, W., </w:t>
      </w:r>
      <w:proofErr w:type="spellStart"/>
      <w:r w:rsidRPr="00637E05">
        <w:rPr>
          <w:rFonts w:ascii="Arial Narrow" w:hAnsi="Arial Narrow"/>
          <w:sz w:val="16"/>
          <w:szCs w:val="16"/>
        </w:rPr>
        <w:t>Papaioannou</w:t>
      </w:r>
      <w:proofErr w:type="spellEnd"/>
      <w:r w:rsidRPr="00637E05">
        <w:rPr>
          <w:rFonts w:ascii="Arial Narrow" w:hAnsi="Arial Narrow"/>
          <w:sz w:val="16"/>
          <w:szCs w:val="16"/>
        </w:rPr>
        <w:t xml:space="preserve">, G., Tenenbaum-Gavish, K., </w:t>
      </w:r>
      <w:proofErr w:type="spellStart"/>
      <w:r w:rsidRPr="00637E05">
        <w:rPr>
          <w:rFonts w:ascii="Arial Narrow" w:hAnsi="Arial Narrow"/>
          <w:sz w:val="16"/>
          <w:szCs w:val="16"/>
        </w:rPr>
        <w:t>Meiri</w:t>
      </w:r>
      <w:proofErr w:type="spellEnd"/>
      <w:r w:rsidRPr="00637E05">
        <w:rPr>
          <w:rFonts w:ascii="Arial Narrow" w:hAnsi="Arial Narrow"/>
          <w:sz w:val="16"/>
          <w:szCs w:val="16"/>
        </w:rPr>
        <w:t xml:space="preserve">, H., </w:t>
      </w:r>
      <w:proofErr w:type="spellStart"/>
      <w:r w:rsidRPr="00637E05">
        <w:rPr>
          <w:rFonts w:ascii="Arial Narrow" w:hAnsi="Arial Narrow"/>
          <w:sz w:val="16"/>
          <w:szCs w:val="16"/>
        </w:rPr>
        <w:t>Gizurarson</w:t>
      </w:r>
      <w:proofErr w:type="spellEnd"/>
      <w:r w:rsidRPr="00637E05">
        <w:rPr>
          <w:rFonts w:ascii="Arial Narrow" w:hAnsi="Arial Narrow"/>
          <w:sz w:val="16"/>
          <w:szCs w:val="16"/>
        </w:rPr>
        <w:t xml:space="preserve">, S., Maclagan, K., &amp; Nicolaides, K. H. (2017a). Aspirin versus Placebo in Pregnancies at High Risk for Preterm Preeclampsia. New England Journal of Medicine, 377(7), 613-622. </w:t>
      </w:r>
      <w:hyperlink r:id="rId5" w:history="1">
        <w:r w:rsidRPr="00637E05">
          <w:rPr>
            <w:rFonts w:ascii="Arial Narrow" w:hAnsi="Arial Narrow"/>
            <w:sz w:val="16"/>
            <w:szCs w:val="16"/>
          </w:rPr>
          <w:t>https://doi.org/10.1056/NEJMoa1704559</w:t>
        </w:r>
      </w:hyperlink>
    </w:p>
  </w:footnote>
  <w:footnote w:id="7">
    <w:p w14:paraId="02C8FD58" w14:textId="281AACFE" w:rsidR="00383A71" w:rsidRDefault="00383A71" w:rsidP="004C2643">
      <w:pPr>
        <w:pStyle w:val="FootnoteText"/>
        <w:spacing w:before="120"/>
      </w:pPr>
      <w:r w:rsidRPr="004C2643">
        <w:rPr>
          <w:rFonts w:ascii="Arial Narrow" w:hAnsi="Arial Narrow"/>
          <w:sz w:val="16"/>
          <w:szCs w:val="16"/>
        </w:rPr>
        <w:footnoteRef/>
      </w:r>
      <w:r w:rsidRPr="004C2643">
        <w:rPr>
          <w:rFonts w:ascii="Arial Narrow" w:hAnsi="Arial Narrow"/>
          <w:sz w:val="16"/>
          <w:szCs w:val="16"/>
        </w:rPr>
        <w:t xml:space="preserve"> </w:t>
      </w:r>
      <w:r w:rsidRPr="00637E05">
        <w:rPr>
          <w:rFonts w:ascii="Arial Narrow" w:hAnsi="Arial Narrow"/>
          <w:sz w:val="16"/>
          <w:szCs w:val="16"/>
        </w:rPr>
        <w:t xml:space="preserve">Wright, D., Poon, L. C., Rolnik, D. L., </w:t>
      </w:r>
      <w:proofErr w:type="spellStart"/>
      <w:r w:rsidRPr="00637E05">
        <w:rPr>
          <w:rFonts w:ascii="Arial Narrow" w:hAnsi="Arial Narrow"/>
          <w:sz w:val="16"/>
          <w:szCs w:val="16"/>
        </w:rPr>
        <w:t>Syngelaki</w:t>
      </w:r>
      <w:proofErr w:type="spellEnd"/>
      <w:r w:rsidRPr="00637E05">
        <w:rPr>
          <w:rFonts w:ascii="Arial Narrow" w:hAnsi="Arial Narrow"/>
          <w:sz w:val="16"/>
          <w:szCs w:val="16"/>
        </w:rPr>
        <w:t xml:space="preserve">, A., Delgado, J. L., </w:t>
      </w:r>
      <w:proofErr w:type="spellStart"/>
      <w:r w:rsidRPr="00637E05">
        <w:rPr>
          <w:rFonts w:ascii="Arial Narrow" w:hAnsi="Arial Narrow"/>
          <w:sz w:val="16"/>
          <w:szCs w:val="16"/>
        </w:rPr>
        <w:t>Vojtassakova</w:t>
      </w:r>
      <w:proofErr w:type="spellEnd"/>
      <w:r w:rsidRPr="00637E05">
        <w:rPr>
          <w:rFonts w:ascii="Arial Narrow" w:hAnsi="Arial Narrow"/>
          <w:sz w:val="16"/>
          <w:szCs w:val="16"/>
        </w:rPr>
        <w:t xml:space="preserve">, D., de Alvarado, M., </w:t>
      </w:r>
      <w:proofErr w:type="spellStart"/>
      <w:r w:rsidRPr="00637E05">
        <w:rPr>
          <w:rFonts w:ascii="Arial Narrow" w:hAnsi="Arial Narrow"/>
          <w:sz w:val="16"/>
          <w:szCs w:val="16"/>
        </w:rPr>
        <w:t>Kapeti</w:t>
      </w:r>
      <w:proofErr w:type="spellEnd"/>
      <w:r w:rsidRPr="00637E05">
        <w:rPr>
          <w:rFonts w:ascii="Arial Narrow" w:hAnsi="Arial Narrow"/>
          <w:sz w:val="16"/>
          <w:szCs w:val="16"/>
        </w:rPr>
        <w:t xml:space="preserve">, E., Rehal, A., </w:t>
      </w:r>
      <w:proofErr w:type="spellStart"/>
      <w:r w:rsidRPr="00637E05">
        <w:rPr>
          <w:rFonts w:ascii="Arial Narrow" w:hAnsi="Arial Narrow"/>
          <w:sz w:val="16"/>
          <w:szCs w:val="16"/>
        </w:rPr>
        <w:t>Pazos</w:t>
      </w:r>
      <w:proofErr w:type="spellEnd"/>
      <w:r w:rsidRPr="00637E05">
        <w:rPr>
          <w:rFonts w:ascii="Arial Narrow" w:hAnsi="Arial Narrow"/>
          <w:sz w:val="16"/>
          <w:szCs w:val="16"/>
        </w:rPr>
        <w:t xml:space="preserve">, A., Carbone, I. F., </w:t>
      </w:r>
      <w:proofErr w:type="spellStart"/>
      <w:r w:rsidRPr="00637E05">
        <w:rPr>
          <w:rFonts w:ascii="Arial Narrow" w:hAnsi="Arial Narrow"/>
          <w:sz w:val="16"/>
          <w:szCs w:val="16"/>
        </w:rPr>
        <w:t>Dutemeyer</w:t>
      </w:r>
      <w:proofErr w:type="spellEnd"/>
      <w:r w:rsidRPr="00637E05">
        <w:rPr>
          <w:rFonts w:ascii="Arial Narrow" w:hAnsi="Arial Narrow"/>
          <w:sz w:val="16"/>
          <w:szCs w:val="16"/>
        </w:rPr>
        <w:t xml:space="preserve">, V., </w:t>
      </w:r>
      <w:proofErr w:type="spellStart"/>
      <w:r w:rsidRPr="00637E05">
        <w:rPr>
          <w:rFonts w:ascii="Arial Narrow" w:hAnsi="Arial Narrow"/>
          <w:sz w:val="16"/>
          <w:szCs w:val="16"/>
        </w:rPr>
        <w:t>Plasencia</w:t>
      </w:r>
      <w:proofErr w:type="spellEnd"/>
      <w:r w:rsidRPr="00637E05">
        <w:rPr>
          <w:rFonts w:ascii="Arial Narrow" w:hAnsi="Arial Narrow"/>
          <w:sz w:val="16"/>
          <w:szCs w:val="16"/>
        </w:rPr>
        <w:t xml:space="preserve">, W., </w:t>
      </w:r>
      <w:proofErr w:type="spellStart"/>
      <w:r w:rsidRPr="00637E05">
        <w:rPr>
          <w:rFonts w:ascii="Arial Narrow" w:hAnsi="Arial Narrow"/>
          <w:sz w:val="16"/>
          <w:szCs w:val="16"/>
        </w:rPr>
        <w:t>Papantoniou</w:t>
      </w:r>
      <w:proofErr w:type="spellEnd"/>
      <w:r w:rsidRPr="00637E05">
        <w:rPr>
          <w:rFonts w:ascii="Arial Narrow" w:hAnsi="Arial Narrow"/>
          <w:sz w:val="16"/>
          <w:szCs w:val="16"/>
        </w:rPr>
        <w:t xml:space="preserve">, N., &amp; Nicolaides, K. H. (2017). Aspirin for Evidence-Based Preeclampsia Prevention trial: influence of compliance on beneficial effect of aspirin in prevention of preterm preeclampsia. American Journal of Obstetrics and </w:t>
      </w:r>
      <w:proofErr w:type="spellStart"/>
      <w:r w:rsidRPr="00637E05">
        <w:rPr>
          <w:rFonts w:ascii="Arial Narrow" w:hAnsi="Arial Narrow"/>
          <w:sz w:val="16"/>
          <w:szCs w:val="16"/>
        </w:rPr>
        <w:t>Gynecology</w:t>
      </w:r>
      <w:proofErr w:type="spellEnd"/>
      <w:r w:rsidRPr="00637E05">
        <w:rPr>
          <w:rFonts w:ascii="Arial Narrow" w:hAnsi="Arial Narrow"/>
          <w:sz w:val="16"/>
          <w:szCs w:val="16"/>
        </w:rPr>
        <w:t xml:space="preserve">, 217(6), 685.e681-685.e685. </w:t>
      </w:r>
      <w:hyperlink r:id="rId6" w:history="1">
        <w:r w:rsidRPr="00637E05">
          <w:rPr>
            <w:rFonts w:ascii="Arial Narrow" w:hAnsi="Arial Narrow"/>
            <w:sz w:val="16"/>
            <w:szCs w:val="16"/>
          </w:rPr>
          <w:t>https://doi.org/https://doi.org/10.1016/j.ajog.2017.08.110</w:t>
        </w:r>
      </w:hyperlink>
    </w:p>
  </w:footnote>
  <w:footnote w:id="8">
    <w:p w14:paraId="7D882736" w14:textId="4A931405" w:rsidR="002E0D54" w:rsidRPr="00943784" w:rsidRDefault="002E0D54">
      <w:pPr>
        <w:pStyle w:val="FootnoteText"/>
        <w:rPr>
          <w:rFonts w:ascii="Aptos Narrow" w:hAnsi="Aptos Narrow"/>
          <w:sz w:val="16"/>
          <w:szCs w:val="16"/>
        </w:rPr>
      </w:pPr>
      <w:r>
        <w:rPr>
          <w:rStyle w:val="FootnoteReference"/>
        </w:rPr>
        <w:footnoteRef/>
      </w:r>
      <w:r>
        <w:t xml:space="preserve"> </w:t>
      </w:r>
      <w:r w:rsidRPr="00943784">
        <w:rPr>
          <w:rFonts w:ascii="Aptos Narrow" w:hAnsi="Aptos Narrow"/>
          <w:sz w:val="16"/>
          <w:szCs w:val="16"/>
        </w:rPr>
        <w:t>Rolnik, D. L., Wright, D., Poon, L. C. Y., et al. (2017b). ASPRE trial: performance of screening for preterm pre-eclampsia</w:t>
      </w:r>
      <w:r w:rsidR="00A760D3">
        <w:rPr>
          <w:rFonts w:ascii="Aptos Narrow" w:hAnsi="Aptos Narrow"/>
          <w:sz w:val="16"/>
          <w:szCs w:val="16"/>
        </w:rPr>
        <w:t xml:space="preserve"> </w:t>
      </w:r>
      <w:r w:rsidRPr="00943784">
        <w:rPr>
          <w:rFonts w:ascii="Aptos Narrow" w:hAnsi="Aptos Narrow"/>
          <w:sz w:val="16"/>
          <w:szCs w:val="16"/>
        </w:rPr>
        <w:t xml:space="preserve">[https://doi.org/10.1002/uog.18816]. Ultrasound in Obstetrics &amp; </w:t>
      </w:r>
      <w:proofErr w:type="spellStart"/>
      <w:r w:rsidRPr="00943784">
        <w:rPr>
          <w:rFonts w:ascii="Aptos Narrow" w:hAnsi="Aptos Narrow"/>
          <w:sz w:val="16"/>
          <w:szCs w:val="16"/>
        </w:rPr>
        <w:t>Gynecology</w:t>
      </w:r>
      <w:proofErr w:type="spellEnd"/>
      <w:r w:rsidRPr="00943784">
        <w:rPr>
          <w:rFonts w:ascii="Aptos Narrow" w:hAnsi="Aptos Narrow"/>
          <w:sz w:val="16"/>
          <w:szCs w:val="16"/>
        </w:rPr>
        <w:t>, 50(4), 492-495. 6</w:t>
      </w:r>
    </w:p>
  </w:footnote>
  <w:footnote w:id="9">
    <w:p w14:paraId="57EE171F" w14:textId="2EA19139" w:rsidR="003F7BA5" w:rsidRPr="00903916" w:rsidRDefault="003F7BA5" w:rsidP="005635EB">
      <w:pPr>
        <w:pStyle w:val="FootnoteText"/>
        <w:spacing w:before="120"/>
        <w:rPr>
          <w:rFonts w:ascii="Arial Narrow" w:hAnsi="Arial Narrow"/>
          <w:sz w:val="16"/>
          <w:szCs w:val="16"/>
          <w:lang w:val="de-DE"/>
        </w:rPr>
      </w:pPr>
      <w:r w:rsidRPr="004C2643">
        <w:rPr>
          <w:rFonts w:ascii="Arial Narrow" w:hAnsi="Arial Narrow"/>
          <w:sz w:val="16"/>
          <w:szCs w:val="16"/>
        </w:rPr>
        <w:footnoteRef/>
      </w:r>
      <w:r w:rsidRPr="004C2643">
        <w:rPr>
          <w:rFonts w:ascii="Arial Narrow" w:hAnsi="Arial Narrow"/>
          <w:sz w:val="16"/>
          <w:szCs w:val="16"/>
        </w:rPr>
        <w:t xml:space="preserve"> </w:t>
      </w:r>
      <w:r w:rsidR="0017630E" w:rsidRPr="005635EB">
        <w:rPr>
          <w:rFonts w:ascii="Arial Narrow" w:hAnsi="Arial Narrow"/>
          <w:sz w:val="16"/>
          <w:szCs w:val="16"/>
        </w:rPr>
        <w:t xml:space="preserve">Boutin, A., et al. (2021). Pregnancy outcomes in nulliparous women with positive first-trimester preterm preeclampsia screening test: the Great Obstetrical Syndromes cohort study. </w:t>
      </w:r>
      <w:r w:rsidR="0017630E" w:rsidRPr="00903916">
        <w:rPr>
          <w:rFonts w:ascii="Arial Narrow" w:hAnsi="Arial Narrow"/>
          <w:sz w:val="16"/>
          <w:szCs w:val="16"/>
          <w:lang w:val="de-DE"/>
        </w:rPr>
        <w:t xml:space="preserve">Am J Obstet Gynecol, 224(2), 204 e201-204 e207. </w:t>
      </w:r>
      <w:r w:rsidR="006608DC">
        <w:fldChar w:fldCharType="begin"/>
      </w:r>
      <w:r w:rsidR="006608DC">
        <w:instrText>HYPERLINK "https://doi.org</w:instrText>
      </w:r>
      <w:r w:rsidR="006608DC">
        <w:instrText>/10.1016/j.ajog.2020.08.008"</w:instrText>
      </w:r>
      <w:r w:rsidR="006608DC">
        <w:fldChar w:fldCharType="separate"/>
      </w:r>
      <w:r w:rsidR="0017630E" w:rsidRPr="00903916">
        <w:rPr>
          <w:rFonts w:ascii="Arial Narrow" w:hAnsi="Arial Narrow"/>
          <w:sz w:val="16"/>
          <w:szCs w:val="16"/>
          <w:lang w:val="de-DE"/>
        </w:rPr>
        <w:t>https://doi.org/10.1016/j.ajog.2020.08.008</w:t>
      </w:r>
      <w:r w:rsidR="006608DC">
        <w:rPr>
          <w:rFonts w:ascii="Arial Narrow" w:hAnsi="Arial Narrow"/>
          <w:sz w:val="16"/>
          <w:szCs w:val="16"/>
          <w:lang w:val="de-DE"/>
        </w:rPr>
        <w:fldChar w:fldCharType="end"/>
      </w:r>
    </w:p>
  </w:footnote>
  <w:footnote w:id="10">
    <w:p w14:paraId="4C8CAD9F" w14:textId="074CF467" w:rsidR="0017630E" w:rsidRPr="005635EB" w:rsidRDefault="0017630E" w:rsidP="005635EB">
      <w:pPr>
        <w:pStyle w:val="FootnoteText"/>
        <w:spacing w:before="120"/>
        <w:rPr>
          <w:rFonts w:ascii="Arial Narrow" w:hAnsi="Arial Narrow"/>
          <w:sz w:val="16"/>
          <w:szCs w:val="16"/>
        </w:rPr>
      </w:pPr>
      <w:r w:rsidRPr="005635EB">
        <w:rPr>
          <w:rFonts w:ascii="Arial Narrow" w:hAnsi="Arial Narrow"/>
          <w:sz w:val="16"/>
          <w:szCs w:val="16"/>
        </w:rPr>
        <w:footnoteRef/>
      </w:r>
      <w:r w:rsidR="004C0FDA" w:rsidRPr="00903916">
        <w:rPr>
          <w:rFonts w:ascii="Arial Narrow" w:hAnsi="Arial Narrow"/>
          <w:sz w:val="16"/>
          <w:szCs w:val="16"/>
          <w:lang w:val="de-DE"/>
        </w:rPr>
        <w:t xml:space="preserve"> </w:t>
      </w:r>
      <w:r w:rsidR="00D55C6D" w:rsidRPr="00903916">
        <w:rPr>
          <w:rFonts w:ascii="Arial Narrow" w:hAnsi="Arial Narrow"/>
          <w:sz w:val="16"/>
          <w:szCs w:val="16"/>
          <w:lang w:val="de-DE"/>
        </w:rPr>
        <w:t xml:space="preserve">Chen, Y. T., et al. </w:t>
      </w:r>
      <w:r w:rsidR="00D55C6D" w:rsidRPr="005635EB">
        <w:rPr>
          <w:rFonts w:ascii="Arial Narrow" w:hAnsi="Arial Narrow"/>
          <w:sz w:val="16"/>
          <w:szCs w:val="16"/>
        </w:rPr>
        <w:t xml:space="preserve">(2021). Taiwanese new direction in prediction of early pregnancy preeclampsia. Taiwan J </w:t>
      </w:r>
      <w:proofErr w:type="spellStart"/>
      <w:r w:rsidR="00D55C6D" w:rsidRPr="005635EB">
        <w:rPr>
          <w:rFonts w:ascii="Arial Narrow" w:hAnsi="Arial Narrow"/>
          <w:sz w:val="16"/>
          <w:szCs w:val="16"/>
        </w:rPr>
        <w:t>Obstet</w:t>
      </w:r>
      <w:proofErr w:type="spellEnd"/>
      <w:r w:rsidR="00D55C6D" w:rsidRPr="005635EB">
        <w:rPr>
          <w:rFonts w:ascii="Arial Narrow" w:hAnsi="Arial Narrow"/>
          <w:sz w:val="16"/>
          <w:szCs w:val="16"/>
        </w:rPr>
        <w:t xml:space="preserve"> </w:t>
      </w:r>
      <w:proofErr w:type="spellStart"/>
      <w:r w:rsidR="00D55C6D" w:rsidRPr="005635EB">
        <w:rPr>
          <w:rFonts w:ascii="Arial Narrow" w:hAnsi="Arial Narrow"/>
          <w:sz w:val="16"/>
          <w:szCs w:val="16"/>
        </w:rPr>
        <w:t>Gynecol</w:t>
      </w:r>
      <w:proofErr w:type="spellEnd"/>
      <w:r w:rsidR="00D55C6D" w:rsidRPr="005635EB">
        <w:rPr>
          <w:rFonts w:ascii="Arial Narrow" w:hAnsi="Arial Narrow"/>
          <w:sz w:val="16"/>
          <w:szCs w:val="16"/>
        </w:rPr>
        <w:t xml:space="preserve">, 60(1), 66-69. https://doi.org/10.1016/j.tjog.2020.11.009 </w:t>
      </w:r>
    </w:p>
  </w:footnote>
  <w:footnote w:id="11">
    <w:p w14:paraId="06EDB77B" w14:textId="2E48CBD7" w:rsidR="00D55C6D" w:rsidRPr="00903916" w:rsidRDefault="00D55C6D" w:rsidP="005635EB">
      <w:pPr>
        <w:pStyle w:val="FootnoteText"/>
        <w:spacing w:before="120"/>
        <w:rPr>
          <w:rFonts w:ascii="Arial Narrow" w:hAnsi="Arial Narrow"/>
          <w:sz w:val="16"/>
          <w:szCs w:val="16"/>
          <w:lang w:val="de-DE"/>
        </w:rPr>
      </w:pPr>
      <w:r w:rsidRPr="005635EB">
        <w:rPr>
          <w:rFonts w:ascii="Arial Narrow" w:hAnsi="Arial Narrow"/>
          <w:sz w:val="16"/>
          <w:szCs w:val="16"/>
        </w:rPr>
        <w:footnoteRef/>
      </w:r>
      <w:r w:rsidRPr="004C2643">
        <w:rPr>
          <w:rFonts w:ascii="Arial Narrow" w:hAnsi="Arial Narrow"/>
          <w:sz w:val="16"/>
          <w:szCs w:val="16"/>
        </w:rPr>
        <w:t xml:space="preserve"> </w:t>
      </w:r>
      <w:r w:rsidR="004C0FDA" w:rsidRPr="005635EB">
        <w:rPr>
          <w:rFonts w:ascii="Arial Narrow" w:hAnsi="Arial Narrow"/>
          <w:sz w:val="16"/>
          <w:szCs w:val="16"/>
        </w:rPr>
        <w:t>Roberge, S., et al. (2018</w:t>
      </w:r>
      <w:r w:rsidR="00BB627C" w:rsidRPr="005635EB">
        <w:rPr>
          <w:rFonts w:ascii="Arial Narrow" w:hAnsi="Arial Narrow"/>
          <w:sz w:val="16"/>
          <w:szCs w:val="16"/>
        </w:rPr>
        <w:t>a</w:t>
      </w:r>
      <w:r w:rsidR="004C0FDA" w:rsidRPr="005635EB">
        <w:rPr>
          <w:rFonts w:ascii="Arial Narrow" w:hAnsi="Arial Narrow"/>
          <w:sz w:val="16"/>
          <w:szCs w:val="16"/>
        </w:rPr>
        <w:t xml:space="preserve">). Aspirin for the prevention of preterm and term preeclampsia: systematic review and </w:t>
      </w:r>
      <w:proofErr w:type="spellStart"/>
      <w:r w:rsidR="004C0FDA" w:rsidRPr="005635EB">
        <w:rPr>
          <w:rFonts w:ascii="Arial Narrow" w:hAnsi="Arial Narrow"/>
          <w:sz w:val="16"/>
          <w:szCs w:val="16"/>
        </w:rPr>
        <w:t>metaanalysis</w:t>
      </w:r>
      <w:proofErr w:type="spellEnd"/>
      <w:r w:rsidR="004C0FDA" w:rsidRPr="005635EB">
        <w:rPr>
          <w:rFonts w:ascii="Arial Narrow" w:hAnsi="Arial Narrow"/>
          <w:sz w:val="16"/>
          <w:szCs w:val="16"/>
        </w:rPr>
        <w:t xml:space="preserve">. </w:t>
      </w:r>
      <w:r w:rsidR="004C0FDA" w:rsidRPr="00903916">
        <w:rPr>
          <w:rFonts w:ascii="Arial Narrow" w:hAnsi="Arial Narrow"/>
          <w:sz w:val="16"/>
          <w:szCs w:val="16"/>
          <w:lang w:val="de-DE"/>
        </w:rPr>
        <w:t xml:space="preserve">Am J Obstet Gynecol, 218(3), 287-293 e281. https://doi.org/10.1016/j.ajog.2017.11.561 </w:t>
      </w:r>
    </w:p>
  </w:footnote>
  <w:footnote w:id="12">
    <w:p w14:paraId="367D4A76" w14:textId="77777777" w:rsidR="00326D0B" w:rsidRPr="00C472C0" w:rsidRDefault="00326D0B" w:rsidP="00326D0B">
      <w:pPr>
        <w:pStyle w:val="FootnoteText"/>
        <w:spacing w:before="120"/>
        <w:rPr>
          <w:rFonts w:ascii="Arial Narrow" w:hAnsi="Arial Narrow"/>
          <w:sz w:val="16"/>
          <w:szCs w:val="16"/>
        </w:rPr>
      </w:pPr>
      <w:r w:rsidRPr="00C472C0">
        <w:rPr>
          <w:rFonts w:ascii="Arial Narrow" w:hAnsi="Arial Narrow"/>
          <w:sz w:val="16"/>
          <w:szCs w:val="16"/>
        </w:rPr>
        <w:footnoteRef/>
      </w:r>
      <w:r w:rsidRPr="00903916">
        <w:rPr>
          <w:rFonts w:ascii="Arial Narrow" w:hAnsi="Arial Narrow"/>
          <w:sz w:val="16"/>
          <w:szCs w:val="16"/>
          <w:lang w:val="de-DE"/>
        </w:rPr>
        <w:t xml:space="preserve"> </w:t>
      </w:r>
      <w:r w:rsidRPr="00903916">
        <w:rPr>
          <w:rFonts w:ascii="Arial Narrow" w:hAnsi="Arial Narrow"/>
          <w:sz w:val="16"/>
          <w:szCs w:val="16"/>
          <w:lang w:val="de-DE"/>
        </w:rPr>
        <w:t xml:space="preserve">Lailler, </w:t>
      </w:r>
      <w:r w:rsidRPr="00903916">
        <w:rPr>
          <w:rFonts w:ascii="Arial Narrow" w:hAnsi="Arial Narrow"/>
          <w:sz w:val="16"/>
          <w:szCs w:val="16"/>
          <w:lang w:val="de-DE"/>
        </w:rPr>
        <w:t xml:space="preserve">G., Grave, C., Gabet, A., Regnault, N., Deneux-Tharaux, C., Kretz, S., Tsatsaris, V., Plu-Bureau, G., Blacher, J., &amp; Olie, V. (2023). </w:t>
      </w:r>
      <w:r w:rsidRPr="005635EB">
        <w:rPr>
          <w:rFonts w:ascii="Arial Narrow" w:hAnsi="Arial Narrow"/>
          <w:sz w:val="16"/>
          <w:szCs w:val="16"/>
        </w:rPr>
        <w:t xml:space="preserve">Aspirin for the Prevention of Early and Severe Pre-Eclampsia Recurrence: A Real-World Population-Based Study. Drugs, 83(5), 429-437. </w:t>
      </w:r>
      <w:hyperlink r:id="rId7" w:history="1">
        <w:r w:rsidRPr="00C472C0">
          <w:rPr>
            <w:rFonts w:ascii="Arial Narrow" w:hAnsi="Arial Narrow"/>
            <w:sz w:val="16"/>
            <w:szCs w:val="16"/>
          </w:rPr>
          <w:t>https://doi.org/10.1007/s40265-023-01842-3</w:t>
        </w:r>
      </w:hyperlink>
      <w:r w:rsidRPr="005635EB">
        <w:rPr>
          <w:rFonts w:ascii="Arial Narrow" w:hAnsi="Arial Narrow"/>
          <w:sz w:val="16"/>
          <w:szCs w:val="16"/>
        </w:rPr>
        <w:t xml:space="preserve"> </w:t>
      </w:r>
    </w:p>
  </w:footnote>
  <w:footnote w:id="13">
    <w:p w14:paraId="7F9E5E1D" w14:textId="77777777" w:rsidR="00326D0B" w:rsidRPr="00903916" w:rsidRDefault="00326D0B" w:rsidP="00326D0B">
      <w:pPr>
        <w:pStyle w:val="FootnoteText"/>
        <w:spacing w:before="120"/>
        <w:rPr>
          <w:lang w:val="de-DE"/>
        </w:rPr>
      </w:pPr>
      <w:r w:rsidRPr="00C472C0">
        <w:rPr>
          <w:rFonts w:ascii="Arial Narrow" w:hAnsi="Arial Narrow"/>
          <w:sz w:val="16"/>
          <w:szCs w:val="16"/>
        </w:rPr>
        <w:footnoteRef/>
      </w:r>
      <w:r w:rsidRPr="00C472C0">
        <w:rPr>
          <w:rFonts w:ascii="Arial Narrow" w:hAnsi="Arial Narrow"/>
          <w:sz w:val="16"/>
          <w:szCs w:val="16"/>
        </w:rPr>
        <w:t xml:space="preserve"> </w:t>
      </w:r>
      <w:r w:rsidRPr="005635EB">
        <w:rPr>
          <w:rFonts w:ascii="Arial Narrow" w:hAnsi="Arial Narrow"/>
          <w:sz w:val="16"/>
          <w:szCs w:val="16"/>
        </w:rPr>
        <w:t xml:space="preserve">Olson, D. N., Russell, T., &amp; </w:t>
      </w:r>
      <w:proofErr w:type="spellStart"/>
      <w:r w:rsidRPr="005635EB">
        <w:rPr>
          <w:rFonts w:ascii="Arial Narrow" w:hAnsi="Arial Narrow"/>
          <w:sz w:val="16"/>
          <w:szCs w:val="16"/>
        </w:rPr>
        <w:t>Ranzini</w:t>
      </w:r>
      <w:proofErr w:type="spellEnd"/>
      <w:r w:rsidRPr="005635EB">
        <w:rPr>
          <w:rFonts w:ascii="Arial Narrow" w:hAnsi="Arial Narrow"/>
          <w:sz w:val="16"/>
          <w:szCs w:val="16"/>
        </w:rPr>
        <w:t xml:space="preserve">, A. C. (2022). Assessment of adherence to aspirin for preeclampsia prophylaxis and reasons for nonadherence. </w:t>
      </w:r>
      <w:r w:rsidRPr="00903916">
        <w:rPr>
          <w:rFonts w:ascii="Arial Narrow" w:hAnsi="Arial Narrow"/>
          <w:sz w:val="16"/>
          <w:szCs w:val="16"/>
          <w:lang w:val="de-DE"/>
        </w:rPr>
        <w:t xml:space="preserve">Am J Obstet Gynecol MFM, 4(5), 100663. </w:t>
      </w:r>
      <w:r w:rsidR="006608DC">
        <w:fldChar w:fldCharType="begin"/>
      </w:r>
      <w:r w:rsidR="006608DC">
        <w:instrText>HYPERLINK "https://doi.org/10.1016/j.ajogmf.2022.100663"</w:instrText>
      </w:r>
      <w:r w:rsidR="006608DC">
        <w:fldChar w:fldCharType="separate"/>
      </w:r>
      <w:r w:rsidRPr="00903916">
        <w:rPr>
          <w:rFonts w:ascii="Arial Narrow" w:hAnsi="Arial Narrow"/>
          <w:sz w:val="16"/>
          <w:szCs w:val="16"/>
          <w:lang w:val="de-DE"/>
        </w:rPr>
        <w:t>https://doi.org/10.1016/j.ajogmf.2022.100663</w:t>
      </w:r>
      <w:r w:rsidR="006608DC">
        <w:rPr>
          <w:rFonts w:ascii="Arial Narrow" w:hAnsi="Arial Narrow"/>
          <w:sz w:val="16"/>
          <w:szCs w:val="16"/>
          <w:lang w:val="de-DE"/>
        </w:rPr>
        <w:fldChar w:fldCharType="end"/>
      </w:r>
    </w:p>
  </w:footnote>
  <w:footnote w:id="14">
    <w:p w14:paraId="611D1669" w14:textId="39C0C854" w:rsidR="00715453" w:rsidRPr="009B220A" w:rsidRDefault="00715453" w:rsidP="005635EB">
      <w:pPr>
        <w:pStyle w:val="FootnoteText"/>
        <w:spacing w:before="120"/>
        <w:rPr>
          <w:lang w:val="en-US"/>
        </w:rPr>
      </w:pPr>
      <w:r w:rsidRPr="005635EB">
        <w:rPr>
          <w:rFonts w:ascii="Arial Narrow" w:hAnsi="Arial Narrow"/>
          <w:sz w:val="16"/>
          <w:szCs w:val="16"/>
        </w:rPr>
        <w:footnoteRef/>
      </w:r>
      <w:r w:rsidRPr="00903916">
        <w:rPr>
          <w:rFonts w:ascii="Arial Narrow" w:hAnsi="Arial Narrow"/>
          <w:sz w:val="16"/>
          <w:szCs w:val="16"/>
          <w:lang w:val="de-DE"/>
        </w:rPr>
        <w:t xml:space="preserve"> </w:t>
      </w:r>
      <w:r w:rsidR="007D03D9" w:rsidRPr="00903916">
        <w:rPr>
          <w:rFonts w:ascii="Arial Narrow" w:hAnsi="Arial Narrow"/>
          <w:sz w:val="16"/>
          <w:szCs w:val="16"/>
          <w:lang w:val="de-DE"/>
        </w:rPr>
        <w:t xml:space="preserve">Kim Tam, B., et al. </w:t>
      </w:r>
      <w:r w:rsidR="007D03D9" w:rsidRPr="005635EB">
        <w:rPr>
          <w:rFonts w:ascii="Arial Narrow" w:hAnsi="Arial Narrow"/>
          <w:sz w:val="16"/>
          <w:szCs w:val="16"/>
        </w:rPr>
        <w:t xml:space="preserve">(2021). </w:t>
      </w:r>
      <w:proofErr w:type="spellStart"/>
      <w:r w:rsidR="007D03D9" w:rsidRPr="005635EB">
        <w:rPr>
          <w:rFonts w:ascii="Arial Narrow" w:hAnsi="Arial Narrow"/>
          <w:sz w:val="16"/>
          <w:szCs w:val="16"/>
        </w:rPr>
        <w:t>Scanxiety</w:t>
      </w:r>
      <w:proofErr w:type="spellEnd"/>
      <w:r w:rsidR="007D03D9" w:rsidRPr="005635EB">
        <w:rPr>
          <w:rFonts w:ascii="Arial Narrow" w:hAnsi="Arial Narrow"/>
          <w:sz w:val="16"/>
          <w:szCs w:val="16"/>
        </w:rPr>
        <w:t xml:space="preserve">: a scoping review about scan-associated anxiety. BMJ Open, 11(5), e043215. https://doi.org/10.1136/bmjopen-2020-043215 </w:t>
      </w:r>
    </w:p>
  </w:footnote>
  <w:footnote w:id="15">
    <w:p w14:paraId="2BEB9EBC" w14:textId="46F9F4DC" w:rsidR="00491CFB" w:rsidRPr="005635EB" w:rsidRDefault="00491CFB" w:rsidP="00491CFB">
      <w:pPr>
        <w:pStyle w:val="FootnoteText"/>
        <w:rPr>
          <w:rFonts w:ascii="Arial Narrow" w:hAnsi="Arial Narrow"/>
          <w:sz w:val="16"/>
          <w:szCs w:val="16"/>
        </w:rPr>
      </w:pPr>
      <w:r w:rsidRPr="00923EE5">
        <w:rPr>
          <w:rFonts w:ascii="Arial Narrow" w:hAnsi="Arial Narrow"/>
          <w:sz w:val="16"/>
          <w:szCs w:val="16"/>
        </w:rPr>
        <w:footnoteRef/>
      </w:r>
      <w:r w:rsidRPr="00B93D07">
        <w:rPr>
          <w:rFonts w:ascii="Arial Narrow" w:hAnsi="Arial Narrow"/>
          <w:sz w:val="16"/>
          <w:szCs w:val="16"/>
        </w:rPr>
        <w:t xml:space="preserve"> </w:t>
      </w:r>
      <w:proofErr w:type="spellStart"/>
      <w:r w:rsidRPr="00B93D07">
        <w:rPr>
          <w:rFonts w:ascii="Arial Narrow" w:hAnsi="Arial Narrow"/>
          <w:sz w:val="16"/>
          <w:szCs w:val="16"/>
        </w:rPr>
        <w:t>Tousty</w:t>
      </w:r>
      <w:proofErr w:type="spellEnd"/>
      <w:r w:rsidRPr="00B93D07">
        <w:rPr>
          <w:rFonts w:ascii="Arial Narrow" w:hAnsi="Arial Narrow"/>
          <w:sz w:val="16"/>
          <w:szCs w:val="16"/>
        </w:rPr>
        <w:t xml:space="preserve">, P., et al. (2023). Low-Dose Aspirin after ASPRE-More Questions Than Answers? Current International Approach after PE Screening in the First Trimester. Biomedicines, 11(6). https://doi.org/10.3390/biomedicines11061495 </w:t>
      </w:r>
    </w:p>
  </w:footnote>
  <w:footnote w:id="16">
    <w:p w14:paraId="5D71C6B4" w14:textId="03AF341D" w:rsidR="00491CFB" w:rsidRPr="004C2643" w:rsidRDefault="00491CFB" w:rsidP="004C2643">
      <w:pPr>
        <w:pStyle w:val="FootnoteText"/>
        <w:spacing w:before="120"/>
        <w:rPr>
          <w:rFonts w:ascii="Arial Narrow" w:hAnsi="Arial Narrow"/>
          <w:sz w:val="16"/>
          <w:szCs w:val="16"/>
        </w:rPr>
      </w:pPr>
      <w:r w:rsidRPr="004C2643">
        <w:rPr>
          <w:rFonts w:ascii="Arial Narrow" w:hAnsi="Arial Narrow"/>
          <w:sz w:val="16"/>
          <w:szCs w:val="16"/>
        </w:rPr>
        <w:footnoteRef/>
      </w:r>
      <w:r w:rsidRPr="00B93D07">
        <w:rPr>
          <w:rFonts w:ascii="Arial Narrow" w:hAnsi="Arial Narrow"/>
          <w:sz w:val="16"/>
          <w:szCs w:val="16"/>
        </w:rPr>
        <w:t xml:space="preserve"> Roberge, S., et al. (2018b). Meta-analysis on the effect of aspirin </w:t>
      </w:r>
      <w:proofErr w:type="gramStart"/>
      <w:r w:rsidRPr="00B93D07">
        <w:rPr>
          <w:rFonts w:ascii="Arial Narrow" w:hAnsi="Arial Narrow"/>
          <w:sz w:val="16"/>
          <w:szCs w:val="16"/>
        </w:rPr>
        <w:t>use</w:t>
      </w:r>
      <w:proofErr w:type="gramEnd"/>
      <w:r w:rsidRPr="00B93D07">
        <w:rPr>
          <w:rFonts w:ascii="Arial Narrow" w:hAnsi="Arial Narrow"/>
          <w:sz w:val="16"/>
          <w:szCs w:val="16"/>
        </w:rPr>
        <w:t xml:space="preserve"> for prevention of preeclampsia on placental abruption and antepartum </w:t>
      </w:r>
      <w:proofErr w:type="spellStart"/>
      <w:r w:rsidRPr="00B93D07">
        <w:rPr>
          <w:rFonts w:ascii="Arial Narrow" w:hAnsi="Arial Narrow"/>
          <w:sz w:val="16"/>
          <w:szCs w:val="16"/>
        </w:rPr>
        <w:t>hemorrhage</w:t>
      </w:r>
      <w:proofErr w:type="spellEnd"/>
      <w:r w:rsidRPr="00B93D07">
        <w:rPr>
          <w:rFonts w:ascii="Arial Narrow" w:hAnsi="Arial Narrow"/>
          <w:sz w:val="16"/>
          <w:szCs w:val="16"/>
        </w:rPr>
        <w:t xml:space="preserve">. Am J </w:t>
      </w:r>
      <w:proofErr w:type="spellStart"/>
      <w:r w:rsidRPr="00B93D07">
        <w:rPr>
          <w:rFonts w:ascii="Arial Narrow" w:hAnsi="Arial Narrow"/>
          <w:sz w:val="16"/>
          <w:szCs w:val="16"/>
        </w:rPr>
        <w:t>Obstet</w:t>
      </w:r>
      <w:proofErr w:type="spellEnd"/>
      <w:r w:rsidRPr="00B93D07">
        <w:rPr>
          <w:rFonts w:ascii="Arial Narrow" w:hAnsi="Arial Narrow"/>
          <w:sz w:val="16"/>
          <w:szCs w:val="16"/>
        </w:rPr>
        <w:t xml:space="preserve"> </w:t>
      </w:r>
      <w:proofErr w:type="spellStart"/>
      <w:r w:rsidRPr="00B93D07">
        <w:rPr>
          <w:rFonts w:ascii="Arial Narrow" w:hAnsi="Arial Narrow"/>
          <w:sz w:val="16"/>
          <w:szCs w:val="16"/>
        </w:rPr>
        <w:t>Gynecol</w:t>
      </w:r>
      <w:proofErr w:type="spellEnd"/>
      <w:r w:rsidRPr="00B93D07">
        <w:rPr>
          <w:rFonts w:ascii="Arial Narrow" w:hAnsi="Arial Narrow"/>
          <w:sz w:val="16"/>
          <w:szCs w:val="16"/>
        </w:rPr>
        <w:t xml:space="preserve">, 218(5), 483-489. https://doi.org/10.1016/j.ajog.2017.12.238 </w:t>
      </w:r>
    </w:p>
  </w:footnote>
  <w:footnote w:id="17">
    <w:p w14:paraId="7ADBC522" w14:textId="736EEDFC" w:rsidR="00491CFB" w:rsidRPr="004C2643" w:rsidRDefault="00491CFB" w:rsidP="004C2643">
      <w:pPr>
        <w:pStyle w:val="FootnoteText"/>
        <w:spacing w:before="120"/>
        <w:rPr>
          <w:rFonts w:ascii="Arial Narrow" w:hAnsi="Arial Narrow"/>
          <w:sz w:val="16"/>
          <w:szCs w:val="16"/>
        </w:rPr>
      </w:pPr>
      <w:r w:rsidRPr="004C2643">
        <w:rPr>
          <w:rFonts w:ascii="Arial Narrow" w:hAnsi="Arial Narrow"/>
          <w:sz w:val="16"/>
          <w:szCs w:val="16"/>
        </w:rPr>
        <w:footnoteRef/>
      </w:r>
      <w:r w:rsidRPr="00B93D07">
        <w:rPr>
          <w:rFonts w:ascii="Arial Narrow" w:hAnsi="Arial Narrow"/>
          <w:sz w:val="16"/>
          <w:szCs w:val="16"/>
        </w:rPr>
        <w:t xml:space="preserve"> Turner, J. M., et al. (2020). Impact of low-dose aspirin on adverse perinatal outcome: meta-analysis and meta-regression. Ultrasound </w:t>
      </w:r>
      <w:proofErr w:type="spellStart"/>
      <w:r w:rsidRPr="00B93D07">
        <w:rPr>
          <w:rFonts w:ascii="Arial Narrow" w:hAnsi="Arial Narrow"/>
          <w:sz w:val="16"/>
          <w:szCs w:val="16"/>
        </w:rPr>
        <w:t>Obstet</w:t>
      </w:r>
      <w:proofErr w:type="spellEnd"/>
      <w:r w:rsidRPr="00B93D07">
        <w:rPr>
          <w:rFonts w:ascii="Arial Narrow" w:hAnsi="Arial Narrow"/>
          <w:sz w:val="16"/>
          <w:szCs w:val="16"/>
        </w:rPr>
        <w:t xml:space="preserve"> </w:t>
      </w:r>
      <w:proofErr w:type="spellStart"/>
      <w:r w:rsidRPr="00B93D07">
        <w:rPr>
          <w:rFonts w:ascii="Arial Narrow" w:hAnsi="Arial Narrow"/>
          <w:sz w:val="16"/>
          <w:szCs w:val="16"/>
        </w:rPr>
        <w:t>Gynecol</w:t>
      </w:r>
      <w:proofErr w:type="spellEnd"/>
      <w:r w:rsidRPr="00B93D07">
        <w:rPr>
          <w:rFonts w:ascii="Arial Narrow" w:hAnsi="Arial Narrow"/>
          <w:sz w:val="16"/>
          <w:szCs w:val="16"/>
        </w:rPr>
        <w:t xml:space="preserve">, 55(2), 157-169. https://doi.org/10.1002/uog.20859 </w:t>
      </w:r>
    </w:p>
  </w:footnote>
  <w:footnote w:id="18">
    <w:p w14:paraId="51FE8170" w14:textId="01ACD842" w:rsidR="00491CFB" w:rsidRPr="00903916" w:rsidRDefault="00491CFB" w:rsidP="004C2643">
      <w:pPr>
        <w:pStyle w:val="FootnoteText"/>
        <w:spacing w:before="120"/>
        <w:rPr>
          <w:rFonts w:ascii="Arial Narrow" w:hAnsi="Arial Narrow"/>
          <w:sz w:val="16"/>
          <w:szCs w:val="16"/>
          <w:lang w:val="de-DE"/>
        </w:rPr>
      </w:pPr>
      <w:r w:rsidRPr="004C2643">
        <w:rPr>
          <w:rFonts w:ascii="Arial Narrow" w:hAnsi="Arial Narrow"/>
          <w:sz w:val="16"/>
          <w:szCs w:val="16"/>
        </w:rPr>
        <w:footnoteRef/>
      </w:r>
      <w:r w:rsidRPr="00B93D07">
        <w:rPr>
          <w:rFonts w:ascii="Arial Narrow" w:hAnsi="Arial Narrow"/>
          <w:sz w:val="16"/>
          <w:szCs w:val="16"/>
        </w:rPr>
        <w:t xml:space="preserve"> Xu, T. T., et al. (2015). Low-Dose Aspirin for Preventing Preeclampsia and Its Complications: A Meta-Analysis. </w:t>
      </w:r>
      <w:r w:rsidRPr="00903916">
        <w:rPr>
          <w:rFonts w:ascii="Arial Narrow" w:hAnsi="Arial Narrow"/>
          <w:sz w:val="16"/>
          <w:szCs w:val="16"/>
          <w:lang w:val="de-DE"/>
        </w:rPr>
        <w:t xml:space="preserve">J Clin Hypertens (Greenwich), 17(7), 567-573. https://doi.org/10.1111/jch.12541 </w:t>
      </w:r>
    </w:p>
  </w:footnote>
  <w:footnote w:id="19">
    <w:p w14:paraId="5E8E6065" w14:textId="24638B5E" w:rsidR="00491CFB" w:rsidRPr="005635EB" w:rsidRDefault="00491CFB" w:rsidP="004C2643">
      <w:pPr>
        <w:pStyle w:val="FootnoteText"/>
        <w:spacing w:before="120"/>
        <w:rPr>
          <w:rFonts w:ascii="Arial Narrow" w:hAnsi="Arial Narrow"/>
          <w:sz w:val="16"/>
          <w:szCs w:val="16"/>
        </w:rPr>
      </w:pPr>
      <w:r w:rsidRPr="004C2643">
        <w:rPr>
          <w:rFonts w:ascii="Arial Narrow" w:hAnsi="Arial Narrow"/>
          <w:sz w:val="16"/>
          <w:szCs w:val="16"/>
        </w:rPr>
        <w:footnoteRef/>
      </w:r>
      <w:r w:rsidRPr="00903916">
        <w:rPr>
          <w:rFonts w:ascii="Arial Narrow" w:hAnsi="Arial Narrow"/>
          <w:sz w:val="16"/>
          <w:szCs w:val="16"/>
          <w:lang w:val="de-DE"/>
        </w:rPr>
        <w:t xml:space="preserve"> </w:t>
      </w:r>
      <w:r w:rsidRPr="00903916">
        <w:rPr>
          <w:rFonts w:ascii="Arial Narrow" w:hAnsi="Arial Narrow"/>
          <w:sz w:val="16"/>
          <w:szCs w:val="16"/>
          <w:lang w:val="de-DE"/>
        </w:rPr>
        <w:t xml:space="preserve">Jiang, </w:t>
      </w:r>
      <w:r w:rsidRPr="00903916">
        <w:rPr>
          <w:rFonts w:ascii="Arial Narrow" w:hAnsi="Arial Narrow"/>
          <w:sz w:val="16"/>
          <w:szCs w:val="16"/>
          <w:lang w:val="de-DE"/>
        </w:rPr>
        <w:t xml:space="preserve">Y., et al. </w:t>
      </w:r>
      <w:r w:rsidRPr="00B93D07">
        <w:rPr>
          <w:rFonts w:ascii="Arial Narrow" w:hAnsi="Arial Narrow"/>
          <w:sz w:val="16"/>
          <w:szCs w:val="16"/>
        </w:rPr>
        <w:t xml:space="preserve">(2023). </w:t>
      </w:r>
      <w:proofErr w:type="gramStart"/>
      <w:r w:rsidRPr="00B93D07">
        <w:rPr>
          <w:rFonts w:ascii="Arial Narrow" w:hAnsi="Arial Narrow"/>
          <w:sz w:val="16"/>
          <w:szCs w:val="16"/>
        </w:rPr>
        <w:t>Low-dose</w:t>
      </w:r>
      <w:proofErr w:type="gramEnd"/>
      <w:r w:rsidRPr="00B93D07">
        <w:rPr>
          <w:rFonts w:ascii="Arial Narrow" w:hAnsi="Arial Narrow"/>
          <w:sz w:val="16"/>
          <w:szCs w:val="16"/>
        </w:rPr>
        <w:t xml:space="preserve"> </w:t>
      </w:r>
      <w:proofErr w:type="spellStart"/>
      <w:r w:rsidRPr="00B93D07">
        <w:rPr>
          <w:rFonts w:ascii="Arial Narrow" w:hAnsi="Arial Narrow"/>
          <w:sz w:val="16"/>
          <w:szCs w:val="16"/>
        </w:rPr>
        <w:t>asprin</w:t>
      </w:r>
      <w:proofErr w:type="spellEnd"/>
      <w:r w:rsidRPr="00B93D07">
        <w:rPr>
          <w:rFonts w:ascii="Arial Narrow" w:hAnsi="Arial Narrow"/>
          <w:sz w:val="16"/>
          <w:szCs w:val="16"/>
        </w:rPr>
        <w:t xml:space="preserve"> use during pregnancy may be a potential risk for postpartum </w:t>
      </w:r>
      <w:proofErr w:type="spellStart"/>
      <w:r w:rsidRPr="00B93D07">
        <w:rPr>
          <w:rFonts w:ascii="Arial Narrow" w:hAnsi="Arial Narrow"/>
          <w:sz w:val="16"/>
          <w:szCs w:val="16"/>
        </w:rPr>
        <w:t>hemorrhage</w:t>
      </w:r>
      <w:proofErr w:type="spellEnd"/>
      <w:r w:rsidRPr="00B93D07">
        <w:rPr>
          <w:rFonts w:ascii="Arial Narrow" w:hAnsi="Arial Narrow"/>
          <w:sz w:val="16"/>
          <w:szCs w:val="16"/>
        </w:rPr>
        <w:t xml:space="preserve"> and increased blood loss: a systematic review and meta-analysis. Am J </w:t>
      </w:r>
      <w:proofErr w:type="spellStart"/>
      <w:r w:rsidRPr="00B93D07">
        <w:rPr>
          <w:rFonts w:ascii="Arial Narrow" w:hAnsi="Arial Narrow"/>
          <w:sz w:val="16"/>
          <w:szCs w:val="16"/>
        </w:rPr>
        <w:t>Obstet</w:t>
      </w:r>
      <w:proofErr w:type="spellEnd"/>
      <w:r w:rsidRPr="00B93D07">
        <w:rPr>
          <w:rFonts w:ascii="Arial Narrow" w:hAnsi="Arial Narrow"/>
          <w:sz w:val="16"/>
          <w:szCs w:val="16"/>
        </w:rPr>
        <w:t xml:space="preserve"> </w:t>
      </w:r>
      <w:proofErr w:type="spellStart"/>
      <w:r w:rsidRPr="00B93D07">
        <w:rPr>
          <w:rFonts w:ascii="Arial Narrow" w:hAnsi="Arial Narrow"/>
          <w:sz w:val="16"/>
          <w:szCs w:val="16"/>
        </w:rPr>
        <w:t>Gynecol</w:t>
      </w:r>
      <w:proofErr w:type="spellEnd"/>
      <w:r w:rsidRPr="00B93D07">
        <w:rPr>
          <w:rFonts w:ascii="Arial Narrow" w:hAnsi="Arial Narrow"/>
          <w:sz w:val="16"/>
          <w:szCs w:val="16"/>
        </w:rPr>
        <w:t xml:space="preserve"> MFM, 5(4), 100878. https://doi.org/10.1016/j.ajogmf.2023.100878 </w:t>
      </w:r>
    </w:p>
  </w:footnote>
  <w:footnote w:id="20">
    <w:p w14:paraId="3CB28660" w14:textId="7CF1EB63" w:rsidR="004C2643" w:rsidRDefault="004C2643" w:rsidP="004C2643">
      <w:pPr>
        <w:pStyle w:val="FootnoteText"/>
        <w:spacing w:before="120"/>
      </w:pPr>
      <w:r w:rsidRPr="004C2643">
        <w:rPr>
          <w:rFonts w:ascii="Arial Narrow" w:hAnsi="Arial Narrow"/>
          <w:sz w:val="16"/>
          <w:szCs w:val="16"/>
        </w:rPr>
        <w:footnoteRef/>
      </w:r>
      <w:r w:rsidRPr="004C2643">
        <w:rPr>
          <w:rFonts w:ascii="Arial Narrow" w:hAnsi="Arial Narrow"/>
          <w:sz w:val="16"/>
          <w:szCs w:val="16"/>
        </w:rPr>
        <w:t xml:space="preserve"> Tan, M. Y., Wright, D., </w:t>
      </w:r>
      <w:proofErr w:type="spellStart"/>
      <w:r w:rsidRPr="004C2643">
        <w:rPr>
          <w:rFonts w:ascii="Arial Narrow" w:hAnsi="Arial Narrow"/>
          <w:sz w:val="16"/>
          <w:szCs w:val="16"/>
        </w:rPr>
        <w:t>Syngelaki</w:t>
      </w:r>
      <w:proofErr w:type="spellEnd"/>
      <w:r w:rsidRPr="004C2643">
        <w:rPr>
          <w:rFonts w:ascii="Arial Narrow" w:hAnsi="Arial Narrow"/>
          <w:sz w:val="16"/>
          <w:szCs w:val="16"/>
        </w:rPr>
        <w:t xml:space="preserve">, A., </w:t>
      </w:r>
      <w:proofErr w:type="spellStart"/>
      <w:r w:rsidRPr="004C2643">
        <w:rPr>
          <w:rFonts w:ascii="Arial Narrow" w:hAnsi="Arial Narrow"/>
          <w:sz w:val="16"/>
          <w:szCs w:val="16"/>
        </w:rPr>
        <w:t>Akolekar</w:t>
      </w:r>
      <w:proofErr w:type="spellEnd"/>
      <w:r w:rsidRPr="004C2643">
        <w:rPr>
          <w:rFonts w:ascii="Arial Narrow" w:hAnsi="Arial Narrow"/>
          <w:sz w:val="16"/>
          <w:szCs w:val="16"/>
        </w:rPr>
        <w:t xml:space="preserve">, R., Cicero, S., </w:t>
      </w:r>
      <w:proofErr w:type="spellStart"/>
      <w:r w:rsidRPr="004C2643">
        <w:rPr>
          <w:rFonts w:ascii="Arial Narrow" w:hAnsi="Arial Narrow"/>
          <w:sz w:val="16"/>
          <w:szCs w:val="16"/>
        </w:rPr>
        <w:t>Janga</w:t>
      </w:r>
      <w:proofErr w:type="spellEnd"/>
      <w:r w:rsidRPr="004C2643">
        <w:rPr>
          <w:rFonts w:ascii="Arial Narrow" w:hAnsi="Arial Narrow"/>
          <w:sz w:val="16"/>
          <w:szCs w:val="16"/>
        </w:rPr>
        <w:t xml:space="preserve">, D., Singh, M., Greco, E., Wright, A., Maclagan, K., Poon, L. C., &amp; Nicolaides, K. H. (2018). Comparison of diagnostic accuracy of </w:t>
      </w:r>
      <w:proofErr w:type="gramStart"/>
      <w:r w:rsidRPr="004C2643">
        <w:rPr>
          <w:rFonts w:ascii="Arial Narrow" w:hAnsi="Arial Narrow"/>
          <w:sz w:val="16"/>
          <w:szCs w:val="16"/>
        </w:rPr>
        <w:t>early  for</w:t>
      </w:r>
      <w:proofErr w:type="gramEnd"/>
      <w:r w:rsidRPr="004C2643">
        <w:rPr>
          <w:rFonts w:ascii="Arial Narrow" w:hAnsi="Arial Narrow"/>
          <w:sz w:val="16"/>
          <w:szCs w:val="16"/>
        </w:rPr>
        <w:t xml:space="preserve"> pre-eclampsia by NICE guidelines and a method combining maternal factors and biomarkers: results of SPREE. Ultrasound </w:t>
      </w:r>
      <w:proofErr w:type="spellStart"/>
      <w:r w:rsidRPr="004C2643">
        <w:rPr>
          <w:rFonts w:ascii="Arial Narrow" w:hAnsi="Arial Narrow"/>
          <w:sz w:val="16"/>
          <w:szCs w:val="16"/>
        </w:rPr>
        <w:t>Obstet</w:t>
      </w:r>
      <w:proofErr w:type="spellEnd"/>
      <w:r w:rsidRPr="004C2643">
        <w:rPr>
          <w:rFonts w:ascii="Arial Narrow" w:hAnsi="Arial Narrow"/>
          <w:sz w:val="16"/>
          <w:szCs w:val="16"/>
        </w:rPr>
        <w:t xml:space="preserve"> </w:t>
      </w:r>
      <w:proofErr w:type="spellStart"/>
      <w:r w:rsidRPr="004C2643">
        <w:rPr>
          <w:rFonts w:ascii="Arial Narrow" w:hAnsi="Arial Narrow"/>
          <w:sz w:val="16"/>
          <w:szCs w:val="16"/>
        </w:rPr>
        <w:t>Gynecol</w:t>
      </w:r>
      <w:proofErr w:type="spellEnd"/>
      <w:r w:rsidRPr="004C2643">
        <w:rPr>
          <w:rFonts w:ascii="Arial Narrow" w:hAnsi="Arial Narrow"/>
          <w:sz w:val="16"/>
          <w:szCs w:val="16"/>
        </w:rPr>
        <w:t>, 51(6), 743-750. https://doi.org/10.1002/uog.19039</w:t>
      </w:r>
    </w:p>
  </w:footnote>
  <w:footnote w:id="21">
    <w:p w14:paraId="14CFF98E" w14:textId="177FBE4B" w:rsidR="00C472C0" w:rsidRDefault="00C472C0" w:rsidP="00C472C0">
      <w:pPr>
        <w:pStyle w:val="FootnoteText"/>
        <w:spacing w:before="120"/>
      </w:pPr>
      <w:r w:rsidRPr="00C472C0">
        <w:rPr>
          <w:rFonts w:ascii="Arial Narrow" w:hAnsi="Arial Narrow"/>
          <w:sz w:val="16"/>
          <w:szCs w:val="16"/>
        </w:rPr>
        <w:footnoteRef/>
      </w:r>
      <w:r w:rsidRPr="00C472C0">
        <w:rPr>
          <w:rFonts w:ascii="Arial Narrow" w:hAnsi="Arial Narrow"/>
          <w:sz w:val="16"/>
          <w:szCs w:val="16"/>
        </w:rPr>
        <w:t xml:space="preserve"> </w:t>
      </w:r>
      <w:r w:rsidRPr="005635EB">
        <w:rPr>
          <w:rFonts w:ascii="Arial Narrow" w:hAnsi="Arial Narrow"/>
          <w:sz w:val="16"/>
          <w:szCs w:val="16"/>
        </w:rPr>
        <w:t xml:space="preserve">Urquhart, J. (1994). Role of patient compliance in clinical pharmacokinetics. A review of recent research. Clin </w:t>
      </w:r>
      <w:proofErr w:type="spellStart"/>
      <w:r w:rsidRPr="005635EB">
        <w:rPr>
          <w:rFonts w:ascii="Arial Narrow" w:hAnsi="Arial Narrow"/>
          <w:sz w:val="16"/>
          <w:szCs w:val="16"/>
        </w:rPr>
        <w:t>Pharmacokinet</w:t>
      </w:r>
      <w:proofErr w:type="spellEnd"/>
      <w:r w:rsidRPr="005635EB">
        <w:rPr>
          <w:rFonts w:ascii="Arial Narrow" w:hAnsi="Arial Narrow"/>
          <w:sz w:val="16"/>
          <w:szCs w:val="16"/>
        </w:rPr>
        <w:t xml:space="preserve">, 27(3), 202-215. </w:t>
      </w:r>
      <w:hyperlink r:id="rId8" w:history="1">
        <w:r w:rsidRPr="005635EB">
          <w:rPr>
            <w:rFonts w:ascii="Arial Narrow" w:hAnsi="Arial Narrow"/>
            <w:sz w:val="16"/>
            <w:szCs w:val="16"/>
          </w:rPr>
          <w:t>https://doi.org/10.2165/00003088-199427030-00004</w:t>
        </w:r>
      </w:hyperlink>
    </w:p>
  </w:footnote>
  <w:footnote w:id="22">
    <w:p w14:paraId="60A3D4AA" w14:textId="6EEC789D" w:rsidR="007A0CE7" w:rsidRPr="005635EB" w:rsidRDefault="007A0CE7" w:rsidP="00C472C0">
      <w:pPr>
        <w:pStyle w:val="FootnoteText"/>
        <w:spacing w:before="120"/>
        <w:rPr>
          <w:rFonts w:ascii="Arial Narrow" w:hAnsi="Arial Narrow"/>
          <w:sz w:val="16"/>
          <w:szCs w:val="16"/>
        </w:rPr>
      </w:pPr>
      <w:r w:rsidRPr="005635EB">
        <w:rPr>
          <w:rFonts w:ascii="Arial Narrow" w:hAnsi="Arial Narrow"/>
          <w:sz w:val="16"/>
          <w:szCs w:val="16"/>
        </w:rPr>
        <w:footnoteRef/>
      </w:r>
      <w:r w:rsidRPr="00903916">
        <w:rPr>
          <w:rFonts w:ascii="Arial Narrow" w:hAnsi="Arial Narrow"/>
          <w:sz w:val="16"/>
          <w:szCs w:val="16"/>
          <w:lang w:val="de-DE"/>
        </w:rPr>
        <w:t xml:space="preserve"> </w:t>
      </w:r>
      <w:r w:rsidRPr="00903916">
        <w:rPr>
          <w:rFonts w:ascii="Arial Narrow" w:hAnsi="Arial Narrow"/>
          <w:sz w:val="16"/>
          <w:szCs w:val="16"/>
          <w:lang w:val="de-DE"/>
        </w:rPr>
        <w:t xml:space="preserve">Blaschke, T. F., Osterberg, L., Vrijens, B., &amp; Urquhart, J. (2012). </w:t>
      </w:r>
      <w:r w:rsidRPr="005635EB">
        <w:rPr>
          <w:rFonts w:ascii="Arial Narrow" w:hAnsi="Arial Narrow"/>
          <w:sz w:val="16"/>
          <w:szCs w:val="16"/>
        </w:rPr>
        <w:t xml:space="preserve">Adherence to medications: insights arising from studies on the unreliable link between prescribed and actual drug dosing histories. Annu Rev </w:t>
      </w:r>
      <w:proofErr w:type="spellStart"/>
      <w:r w:rsidRPr="005635EB">
        <w:rPr>
          <w:rFonts w:ascii="Arial Narrow" w:hAnsi="Arial Narrow"/>
          <w:sz w:val="16"/>
          <w:szCs w:val="16"/>
        </w:rPr>
        <w:t>Pharmacol</w:t>
      </w:r>
      <w:proofErr w:type="spellEnd"/>
      <w:r w:rsidRPr="005635EB">
        <w:rPr>
          <w:rFonts w:ascii="Arial Narrow" w:hAnsi="Arial Narrow"/>
          <w:sz w:val="16"/>
          <w:szCs w:val="16"/>
        </w:rPr>
        <w:t xml:space="preserve"> </w:t>
      </w:r>
      <w:proofErr w:type="spellStart"/>
      <w:r w:rsidRPr="005635EB">
        <w:rPr>
          <w:rFonts w:ascii="Arial Narrow" w:hAnsi="Arial Narrow"/>
          <w:sz w:val="16"/>
          <w:szCs w:val="16"/>
        </w:rPr>
        <w:t>Toxicol</w:t>
      </w:r>
      <w:proofErr w:type="spellEnd"/>
      <w:r w:rsidRPr="005635EB">
        <w:rPr>
          <w:rFonts w:ascii="Arial Narrow" w:hAnsi="Arial Narrow"/>
          <w:sz w:val="16"/>
          <w:szCs w:val="16"/>
        </w:rPr>
        <w:t xml:space="preserve">, 52, 275-301. </w:t>
      </w:r>
      <w:hyperlink r:id="rId9" w:history="1">
        <w:r w:rsidRPr="005635EB">
          <w:rPr>
            <w:rFonts w:ascii="Arial Narrow" w:hAnsi="Arial Narrow"/>
            <w:sz w:val="16"/>
            <w:szCs w:val="16"/>
          </w:rPr>
          <w:t>https://doi.org/10.1146/annurev-pharmtox-011711-113247</w:t>
        </w:r>
      </w:hyperlink>
    </w:p>
  </w:footnote>
  <w:footnote w:id="23">
    <w:p w14:paraId="7AA7869E" w14:textId="055AD9D2" w:rsidR="00020EB3" w:rsidRPr="00C472C0" w:rsidRDefault="00020EB3" w:rsidP="00C472C0">
      <w:pPr>
        <w:pStyle w:val="FootnoteText"/>
        <w:spacing w:before="120"/>
        <w:rPr>
          <w:rFonts w:ascii="Arial Narrow" w:hAnsi="Arial Narrow"/>
          <w:sz w:val="16"/>
          <w:szCs w:val="16"/>
        </w:rPr>
      </w:pPr>
      <w:r w:rsidRPr="005635EB">
        <w:rPr>
          <w:rFonts w:ascii="Arial Narrow" w:hAnsi="Arial Narrow"/>
          <w:sz w:val="16"/>
          <w:szCs w:val="16"/>
        </w:rPr>
        <w:footnoteRef/>
      </w:r>
      <w:r w:rsidRPr="00C472C0">
        <w:rPr>
          <w:rFonts w:ascii="Arial Narrow" w:hAnsi="Arial Narrow"/>
          <w:sz w:val="16"/>
          <w:szCs w:val="16"/>
        </w:rPr>
        <w:t xml:space="preserve"> </w:t>
      </w:r>
      <w:r w:rsidRPr="005635EB">
        <w:rPr>
          <w:rFonts w:ascii="Arial Narrow" w:hAnsi="Arial Narrow"/>
          <w:sz w:val="16"/>
          <w:szCs w:val="16"/>
        </w:rPr>
        <w:t xml:space="preserve">van Montfort, P., Scheepers, H. C. J., van </w:t>
      </w:r>
      <w:proofErr w:type="spellStart"/>
      <w:r w:rsidRPr="005635EB">
        <w:rPr>
          <w:rFonts w:ascii="Arial Narrow" w:hAnsi="Arial Narrow"/>
          <w:sz w:val="16"/>
          <w:szCs w:val="16"/>
        </w:rPr>
        <w:t>Dooren</w:t>
      </w:r>
      <w:proofErr w:type="spellEnd"/>
      <w:r w:rsidRPr="005635EB">
        <w:rPr>
          <w:rFonts w:ascii="Arial Narrow" w:hAnsi="Arial Narrow"/>
          <w:sz w:val="16"/>
          <w:szCs w:val="16"/>
        </w:rPr>
        <w:t xml:space="preserve">, I. M. A., </w:t>
      </w:r>
      <w:proofErr w:type="spellStart"/>
      <w:r w:rsidRPr="005635EB">
        <w:rPr>
          <w:rFonts w:ascii="Arial Narrow" w:hAnsi="Arial Narrow"/>
          <w:sz w:val="16"/>
          <w:szCs w:val="16"/>
        </w:rPr>
        <w:t>Meertens</w:t>
      </w:r>
      <w:proofErr w:type="spellEnd"/>
      <w:r w:rsidRPr="005635EB">
        <w:rPr>
          <w:rFonts w:ascii="Arial Narrow" w:hAnsi="Arial Narrow"/>
          <w:sz w:val="16"/>
          <w:szCs w:val="16"/>
        </w:rPr>
        <w:t xml:space="preserve">, L. J. E., </w:t>
      </w:r>
      <w:proofErr w:type="spellStart"/>
      <w:r w:rsidRPr="005635EB">
        <w:rPr>
          <w:rFonts w:ascii="Arial Narrow" w:hAnsi="Arial Narrow"/>
          <w:sz w:val="16"/>
          <w:szCs w:val="16"/>
        </w:rPr>
        <w:t>Zelis</w:t>
      </w:r>
      <w:proofErr w:type="spellEnd"/>
      <w:r w:rsidRPr="005635EB">
        <w:rPr>
          <w:rFonts w:ascii="Arial Narrow" w:hAnsi="Arial Narrow"/>
          <w:sz w:val="16"/>
          <w:szCs w:val="16"/>
        </w:rPr>
        <w:t xml:space="preserve">, M., Zwaan, I. M., </w:t>
      </w:r>
      <w:proofErr w:type="spellStart"/>
      <w:r w:rsidRPr="005635EB">
        <w:rPr>
          <w:rFonts w:ascii="Arial Narrow" w:hAnsi="Arial Narrow"/>
          <w:sz w:val="16"/>
          <w:szCs w:val="16"/>
        </w:rPr>
        <w:t>Spaanderman</w:t>
      </w:r>
      <w:proofErr w:type="spellEnd"/>
      <w:r w:rsidRPr="005635EB">
        <w:rPr>
          <w:rFonts w:ascii="Arial Narrow" w:hAnsi="Arial Narrow"/>
          <w:sz w:val="16"/>
          <w:szCs w:val="16"/>
        </w:rPr>
        <w:t xml:space="preserve">, M. E. A., &amp; Smits, L. J. M. (2020). Low-dose-aspirin usage among women with an increased preeclampsia risk: A prospective cohort study. Acta </w:t>
      </w:r>
      <w:proofErr w:type="spellStart"/>
      <w:r w:rsidRPr="005635EB">
        <w:rPr>
          <w:rFonts w:ascii="Arial Narrow" w:hAnsi="Arial Narrow"/>
          <w:sz w:val="16"/>
          <w:szCs w:val="16"/>
        </w:rPr>
        <w:t>Obstet</w:t>
      </w:r>
      <w:proofErr w:type="spellEnd"/>
      <w:r w:rsidRPr="005635EB">
        <w:rPr>
          <w:rFonts w:ascii="Arial Narrow" w:hAnsi="Arial Narrow"/>
          <w:sz w:val="16"/>
          <w:szCs w:val="16"/>
        </w:rPr>
        <w:t xml:space="preserve"> </w:t>
      </w:r>
      <w:proofErr w:type="spellStart"/>
      <w:r w:rsidRPr="005635EB">
        <w:rPr>
          <w:rFonts w:ascii="Arial Narrow" w:hAnsi="Arial Narrow"/>
          <w:sz w:val="16"/>
          <w:szCs w:val="16"/>
        </w:rPr>
        <w:t>Gynecol</w:t>
      </w:r>
      <w:proofErr w:type="spellEnd"/>
      <w:r w:rsidRPr="005635EB">
        <w:rPr>
          <w:rFonts w:ascii="Arial Narrow" w:hAnsi="Arial Narrow"/>
          <w:sz w:val="16"/>
          <w:szCs w:val="16"/>
        </w:rPr>
        <w:t xml:space="preserve"> </w:t>
      </w:r>
      <w:proofErr w:type="spellStart"/>
      <w:r w:rsidRPr="005635EB">
        <w:rPr>
          <w:rFonts w:ascii="Arial Narrow" w:hAnsi="Arial Narrow"/>
          <w:sz w:val="16"/>
          <w:szCs w:val="16"/>
        </w:rPr>
        <w:t>Scand</w:t>
      </w:r>
      <w:proofErr w:type="spellEnd"/>
      <w:r w:rsidRPr="005635EB">
        <w:rPr>
          <w:rFonts w:ascii="Arial Narrow" w:hAnsi="Arial Narrow"/>
          <w:sz w:val="16"/>
          <w:szCs w:val="16"/>
        </w:rPr>
        <w:t xml:space="preserve">, 99(7), 875-883. </w:t>
      </w:r>
      <w:hyperlink r:id="rId10" w:history="1">
        <w:r w:rsidRPr="005635EB">
          <w:rPr>
            <w:rFonts w:ascii="Arial Narrow" w:hAnsi="Arial Narrow"/>
            <w:sz w:val="16"/>
            <w:szCs w:val="16"/>
          </w:rPr>
          <w:t>https://doi.org/10.1111/aogs.13808</w:t>
        </w:r>
      </w:hyperlink>
      <w:r w:rsidRPr="00C472C0">
        <w:rPr>
          <w:rFonts w:ascii="Arial Narrow" w:hAnsi="Arial Narrow"/>
          <w:sz w:val="16"/>
          <w:szCs w:val="16"/>
        </w:rPr>
        <w:t xml:space="preserve"> </w:t>
      </w:r>
    </w:p>
  </w:footnote>
  <w:footnote w:id="24">
    <w:p w14:paraId="51A360F2" w14:textId="4DE6DFC1" w:rsidR="00A52D39" w:rsidRPr="00903916" w:rsidRDefault="00A52D39">
      <w:pPr>
        <w:pStyle w:val="FootnoteText"/>
        <w:rPr>
          <w:rFonts w:ascii="Arial Narrow" w:hAnsi="Arial Narrow"/>
          <w:sz w:val="16"/>
          <w:szCs w:val="16"/>
          <w:lang w:val="de-DE"/>
        </w:rPr>
      </w:pPr>
      <w:r w:rsidRPr="005635EB">
        <w:rPr>
          <w:rFonts w:ascii="Arial Narrow" w:hAnsi="Arial Narrow"/>
          <w:sz w:val="16"/>
          <w:szCs w:val="16"/>
        </w:rPr>
        <w:footnoteRef/>
      </w:r>
      <w:r w:rsidRPr="00C472C0">
        <w:rPr>
          <w:rFonts w:ascii="Arial Narrow" w:hAnsi="Arial Narrow"/>
          <w:sz w:val="16"/>
          <w:szCs w:val="16"/>
        </w:rPr>
        <w:t xml:space="preserve"> </w:t>
      </w:r>
      <w:proofErr w:type="spellStart"/>
      <w:r w:rsidRPr="005635EB">
        <w:rPr>
          <w:rFonts w:ascii="Arial Narrow" w:hAnsi="Arial Narrow"/>
          <w:sz w:val="16"/>
          <w:szCs w:val="16"/>
        </w:rPr>
        <w:t>Mewes</w:t>
      </w:r>
      <w:proofErr w:type="spellEnd"/>
      <w:r w:rsidRPr="005635EB">
        <w:rPr>
          <w:rFonts w:ascii="Arial Narrow" w:hAnsi="Arial Narrow"/>
          <w:sz w:val="16"/>
          <w:szCs w:val="16"/>
        </w:rPr>
        <w:t xml:space="preserve">, J. C., Lindenberg, M., &amp; </w:t>
      </w:r>
      <w:proofErr w:type="spellStart"/>
      <w:r w:rsidRPr="005635EB">
        <w:rPr>
          <w:rFonts w:ascii="Arial Narrow" w:hAnsi="Arial Narrow"/>
          <w:sz w:val="16"/>
          <w:szCs w:val="16"/>
        </w:rPr>
        <w:t>Vrijhoef</w:t>
      </w:r>
      <w:proofErr w:type="spellEnd"/>
      <w:r w:rsidRPr="005635EB">
        <w:rPr>
          <w:rFonts w:ascii="Arial Narrow" w:hAnsi="Arial Narrow"/>
          <w:sz w:val="16"/>
          <w:szCs w:val="16"/>
        </w:rPr>
        <w:t xml:space="preserve">, H. J. M. (2022). Cost-effectiveness analysis of implementing on preterm pre-eclampsia at first trimester of pregnancy in Germany and Switzerland. </w:t>
      </w:r>
      <w:r w:rsidRPr="00903916">
        <w:rPr>
          <w:rFonts w:ascii="Arial Narrow" w:hAnsi="Arial Narrow"/>
          <w:sz w:val="16"/>
          <w:szCs w:val="16"/>
          <w:lang w:val="de-DE"/>
        </w:rPr>
        <w:t xml:space="preserve">PLoS One, 17(6), e0270490. </w:t>
      </w:r>
      <w:r w:rsidR="006608DC">
        <w:fldChar w:fldCharType="begin"/>
      </w:r>
      <w:r w:rsidR="006608DC">
        <w:instrText>HYPERLINK "https://doi.org/10.1371/jour</w:instrText>
      </w:r>
      <w:r w:rsidR="006608DC">
        <w:instrText>nal.pone.0270490"</w:instrText>
      </w:r>
      <w:r w:rsidR="006608DC">
        <w:fldChar w:fldCharType="separate"/>
      </w:r>
      <w:r w:rsidRPr="00903916">
        <w:rPr>
          <w:rFonts w:ascii="Arial Narrow" w:hAnsi="Arial Narrow"/>
          <w:sz w:val="16"/>
          <w:szCs w:val="16"/>
          <w:lang w:val="de-DE"/>
        </w:rPr>
        <w:t>https://doi.org/10.1371/journal.pone.0270490</w:t>
      </w:r>
      <w:r w:rsidR="006608DC">
        <w:rPr>
          <w:rFonts w:ascii="Arial Narrow" w:hAnsi="Arial Narrow"/>
          <w:sz w:val="16"/>
          <w:szCs w:val="16"/>
          <w:lang w:val="de-DE"/>
        </w:rPr>
        <w:fldChar w:fldCharType="end"/>
      </w:r>
    </w:p>
    <w:p w14:paraId="21FDE908" w14:textId="77777777" w:rsidR="00A52D39" w:rsidRPr="00903916" w:rsidRDefault="00A52D39">
      <w:pPr>
        <w:pStyle w:val="FootnoteText"/>
        <w:rPr>
          <w:rFonts w:ascii="Arial Narrow" w:hAnsi="Arial Narrow"/>
          <w:sz w:val="16"/>
          <w:szCs w:val="16"/>
          <w:lang w:val="de-DE"/>
        </w:rPr>
      </w:pPr>
    </w:p>
  </w:footnote>
  <w:footnote w:id="25">
    <w:p w14:paraId="2CCBD576" w14:textId="2D22C595" w:rsidR="000F50FF" w:rsidRDefault="00A52D39">
      <w:pPr>
        <w:pStyle w:val="FootnoteText"/>
        <w:rPr>
          <w:rFonts w:ascii="Arial Narrow" w:hAnsi="Arial Narrow"/>
          <w:sz w:val="16"/>
          <w:szCs w:val="16"/>
        </w:rPr>
      </w:pPr>
      <w:r w:rsidRPr="005635EB">
        <w:rPr>
          <w:rFonts w:ascii="Arial Narrow" w:hAnsi="Arial Narrow"/>
          <w:sz w:val="16"/>
          <w:szCs w:val="16"/>
        </w:rPr>
        <w:footnoteRef/>
      </w:r>
      <w:r w:rsidRPr="00903916">
        <w:rPr>
          <w:rFonts w:ascii="Arial Narrow" w:hAnsi="Arial Narrow"/>
          <w:sz w:val="16"/>
          <w:szCs w:val="16"/>
          <w:lang w:val="de-DE"/>
        </w:rPr>
        <w:t xml:space="preserve"> </w:t>
      </w:r>
      <w:r w:rsidR="000F50FF" w:rsidRPr="00903916">
        <w:rPr>
          <w:rFonts w:ascii="Arial Narrow" w:hAnsi="Arial Narrow"/>
          <w:sz w:val="16"/>
          <w:szCs w:val="16"/>
          <w:lang w:val="de-DE"/>
        </w:rPr>
        <w:t xml:space="preserve">Dubon Garcia, A., Devlieger, R., Redekop, K., Vandeweyer, K., Verlohren, S., &amp; Poon, L. C. (2021). </w:t>
      </w:r>
      <w:r w:rsidR="000F50FF" w:rsidRPr="005635EB">
        <w:rPr>
          <w:rFonts w:ascii="Arial Narrow" w:hAnsi="Arial Narrow"/>
          <w:sz w:val="16"/>
          <w:szCs w:val="16"/>
        </w:rPr>
        <w:t>Cost-utility of a first-trimester strategy versus the standard of care for nulliparous women to prevent pre-term pre-eclampsia in Belgium. Pregnancy Hypertension, 25, 219-224.</w:t>
      </w:r>
    </w:p>
    <w:p w14:paraId="07793182" w14:textId="175F493D" w:rsidR="00A52D39" w:rsidRPr="00C472C0" w:rsidRDefault="00A52D39" w:rsidP="007C5B7A">
      <w:pPr>
        <w:pStyle w:val="FootnoteText"/>
        <w:rPr>
          <w:rFonts w:ascii="Arial Narrow" w:hAnsi="Arial Narrow"/>
          <w:sz w:val="16"/>
          <w:szCs w:val="16"/>
        </w:rPr>
      </w:pPr>
    </w:p>
  </w:footnote>
  <w:footnote w:id="26">
    <w:p w14:paraId="11A9FCA9" w14:textId="1B4F09C3" w:rsidR="00C472C0" w:rsidRDefault="00C472C0">
      <w:pPr>
        <w:pStyle w:val="FootnoteText"/>
      </w:pPr>
      <w:r w:rsidRPr="00C472C0">
        <w:rPr>
          <w:rFonts w:ascii="Arial Narrow" w:hAnsi="Arial Narrow"/>
          <w:sz w:val="16"/>
          <w:szCs w:val="16"/>
        </w:rPr>
        <w:footnoteRef/>
      </w:r>
      <w:r w:rsidRPr="00C472C0">
        <w:rPr>
          <w:rFonts w:ascii="Arial Narrow" w:hAnsi="Arial Narrow"/>
          <w:sz w:val="16"/>
          <w:szCs w:val="16"/>
        </w:rPr>
        <w:t xml:space="preserve"> </w:t>
      </w:r>
      <w:proofErr w:type="spellStart"/>
      <w:r w:rsidRPr="005635EB">
        <w:rPr>
          <w:rFonts w:ascii="Arial Narrow" w:hAnsi="Arial Narrow"/>
          <w:sz w:val="16"/>
          <w:szCs w:val="16"/>
        </w:rPr>
        <w:t>Nzelu</w:t>
      </w:r>
      <w:proofErr w:type="spellEnd"/>
      <w:r w:rsidRPr="005635EB">
        <w:rPr>
          <w:rFonts w:ascii="Arial Narrow" w:hAnsi="Arial Narrow"/>
          <w:sz w:val="16"/>
          <w:szCs w:val="16"/>
        </w:rPr>
        <w:t xml:space="preserve">, D., Palmer, T., Stott, D., Pandya, P., Napolitano, R., </w:t>
      </w:r>
      <w:proofErr w:type="spellStart"/>
      <w:r w:rsidRPr="005635EB">
        <w:rPr>
          <w:rFonts w:ascii="Arial Narrow" w:hAnsi="Arial Narrow"/>
          <w:sz w:val="16"/>
          <w:szCs w:val="16"/>
        </w:rPr>
        <w:t>Casagrandi</w:t>
      </w:r>
      <w:proofErr w:type="spellEnd"/>
      <w:r w:rsidRPr="005635EB">
        <w:rPr>
          <w:rFonts w:ascii="Arial Narrow" w:hAnsi="Arial Narrow"/>
          <w:sz w:val="16"/>
          <w:szCs w:val="16"/>
        </w:rPr>
        <w:t xml:space="preserve">, D., </w:t>
      </w:r>
      <w:proofErr w:type="spellStart"/>
      <w:r w:rsidRPr="005635EB">
        <w:rPr>
          <w:rFonts w:ascii="Arial Narrow" w:hAnsi="Arial Narrow"/>
          <w:sz w:val="16"/>
          <w:szCs w:val="16"/>
        </w:rPr>
        <w:t>Ammari</w:t>
      </w:r>
      <w:proofErr w:type="spellEnd"/>
      <w:r w:rsidRPr="005635EB">
        <w:rPr>
          <w:rFonts w:ascii="Arial Narrow" w:hAnsi="Arial Narrow"/>
          <w:sz w:val="16"/>
          <w:szCs w:val="16"/>
        </w:rPr>
        <w:t xml:space="preserve">, C., &amp; Hillman, S. (2023). First trimester for pre-eclampsia and targeted aspirin prophylaxis: a cost-effectiveness cohort study. BJOG: An International Journal of Obstetrics &amp; Gynaecology, n/a(n/a). </w:t>
      </w:r>
      <w:hyperlink r:id="rId11" w:history="1">
        <w:r w:rsidRPr="005635EB">
          <w:rPr>
            <w:rFonts w:ascii="Arial Narrow" w:hAnsi="Arial Narrow"/>
            <w:sz w:val="16"/>
            <w:szCs w:val="16"/>
          </w:rPr>
          <w:t>https://doi.org/https://doi.org/10.1111/1471-0528.17598</w:t>
        </w:r>
      </w:hyperlink>
    </w:p>
  </w:footnote>
  <w:footnote w:id="27">
    <w:p w14:paraId="33499478" w14:textId="2B108F2A" w:rsidR="007B5BEE" w:rsidRPr="00C472C0" w:rsidRDefault="007B5BEE" w:rsidP="00C472C0">
      <w:pPr>
        <w:pStyle w:val="FootnoteText"/>
        <w:spacing w:before="120"/>
        <w:rPr>
          <w:rFonts w:ascii="Arial Narrow" w:hAnsi="Arial Narrow"/>
          <w:sz w:val="16"/>
          <w:szCs w:val="16"/>
        </w:rPr>
      </w:pPr>
      <w:r w:rsidRPr="005635EB">
        <w:rPr>
          <w:rFonts w:ascii="Arial Narrow" w:hAnsi="Arial Narrow"/>
          <w:sz w:val="16"/>
          <w:szCs w:val="16"/>
        </w:rPr>
        <w:footnoteRef/>
      </w:r>
      <w:r w:rsidRPr="00C472C0">
        <w:rPr>
          <w:rFonts w:ascii="Arial Narrow" w:hAnsi="Arial Narrow"/>
          <w:sz w:val="16"/>
          <w:szCs w:val="16"/>
        </w:rPr>
        <w:t xml:space="preserve"> </w:t>
      </w:r>
      <w:r w:rsidRPr="005635EB">
        <w:rPr>
          <w:rFonts w:ascii="Arial Narrow" w:hAnsi="Arial Narrow"/>
          <w:sz w:val="16"/>
          <w:szCs w:val="16"/>
        </w:rPr>
        <w:t xml:space="preserve">Park, F., Russo, K., Williams, P., Pelosi, M., </w:t>
      </w:r>
      <w:proofErr w:type="spellStart"/>
      <w:r w:rsidRPr="005635EB">
        <w:rPr>
          <w:rFonts w:ascii="Arial Narrow" w:hAnsi="Arial Narrow"/>
          <w:sz w:val="16"/>
          <w:szCs w:val="16"/>
        </w:rPr>
        <w:t>Puddephatt</w:t>
      </w:r>
      <w:proofErr w:type="spellEnd"/>
      <w:r w:rsidRPr="005635EB">
        <w:rPr>
          <w:rFonts w:ascii="Arial Narrow" w:hAnsi="Arial Narrow"/>
          <w:sz w:val="16"/>
          <w:szCs w:val="16"/>
        </w:rPr>
        <w:t xml:space="preserve">, R., Walter, M., Leung, C., </w:t>
      </w:r>
      <w:proofErr w:type="spellStart"/>
      <w:r w:rsidRPr="005635EB">
        <w:rPr>
          <w:rFonts w:ascii="Arial Narrow" w:hAnsi="Arial Narrow"/>
          <w:sz w:val="16"/>
          <w:szCs w:val="16"/>
        </w:rPr>
        <w:t>Saaid</w:t>
      </w:r>
      <w:proofErr w:type="spellEnd"/>
      <w:r w:rsidRPr="005635EB">
        <w:rPr>
          <w:rFonts w:ascii="Arial Narrow" w:hAnsi="Arial Narrow"/>
          <w:sz w:val="16"/>
          <w:szCs w:val="16"/>
        </w:rPr>
        <w:t xml:space="preserve">, R., </w:t>
      </w:r>
      <w:proofErr w:type="spellStart"/>
      <w:r w:rsidRPr="005635EB">
        <w:rPr>
          <w:rFonts w:ascii="Arial Narrow" w:hAnsi="Arial Narrow"/>
          <w:sz w:val="16"/>
          <w:szCs w:val="16"/>
        </w:rPr>
        <w:t>Rawashdeh</w:t>
      </w:r>
      <w:proofErr w:type="spellEnd"/>
      <w:r w:rsidRPr="005635EB">
        <w:rPr>
          <w:rFonts w:ascii="Arial Narrow" w:hAnsi="Arial Narrow"/>
          <w:sz w:val="16"/>
          <w:szCs w:val="16"/>
        </w:rPr>
        <w:t xml:space="preserve">, H., Ogle, R., &amp; Hyett, J. (2015). Prediction and prevention of early-onset pre-eclampsia: impact of aspirin after first-trimester screening. Ultrasound </w:t>
      </w:r>
      <w:proofErr w:type="spellStart"/>
      <w:r w:rsidRPr="005635EB">
        <w:rPr>
          <w:rFonts w:ascii="Arial Narrow" w:hAnsi="Arial Narrow"/>
          <w:sz w:val="16"/>
          <w:szCs w:val="16"/>
        </w:rPr>
        <w:t>Obstet</w:t>
      </w:r>
      <w:proofErr w:type="spellEnd"/>
      <w:r w:rsidRPr="005635EB">
        <w:rPr>
          <w:rFonts w:ascii="Arial Narrow" w:hAnsi="Arial Narrow"/>
          <w:sz w:val="16"/>
          <w:szCs w:val="16"/>
        </w:rPr>
        <w:t xml:space="preserve"> </w:t>
      </w:r>
      <w:proofErr w:type="spellStart"/>
      <w:r w:rsidRPr="005635EB">
        <w:rPr>
          <w:rFonts w:ascii="Arial Narrow" w:hAnsi="Arial Narrow"/>
          <w:sz w:val="16"/>
          <w:szCs w:val="16"/>
        </w:rPr>
        <w:t>Gynecol</w:t>
      </w:r>
      <w:proofErr w:type="spellEnd"/>
      <w:r w:rsidRPr="005635EB">
        <w:rPr>
          <w:rFonts w:ascii="Arial Narrow" w:hAnsi="Arial Narrow"/>
          <w:sz w:val="16"/>
          <w:szCs w:val="16"/>
        </w:rPr>
        <w:t xml:space="preserve">, 46(4), 419-423. </w:t>
      </w:r>
      <w:hyperlink r:id="rId12" w:history="1">
        <w:r w:rsidRPr="005635EB">
          <w:rPr>
            <w:rFonts w:ascii="Arial Narrow" w:hAnsi="Arial Narrow"/>
            <w:sz w:val="16"/>
            <w:szCs w:val="16"/>
          </w:rPr>
          <w:t>https://doi.org/10.1002/uog.14819</w:t>
        </w:r>
      </w:hyperlink>
      <w:r>
        <w:rPr>
          <w:rFonts w:ascii="Arial Narrow" w:hAnsi="Arial Narrow"/>
          <w:sz w:val="16"/>
          <w:szCs w:val="16"/>
        </w:rPr>
        <w:t>.</w:t>
      </w:r>
    </w:p>
  </w:footnote>
  <w:footnote w:id="28">
    <w:p w14:paraId="255900D5" w14:textId="3FAD64A3" w:rsidR="00416EF7" w:rsidRPr="00903916" w:rsidRDefault="00416EF7" w:rsidP="00C472C0">
      <w:pPr>
        <w:pStyle w:val="FootnoteText"/>
        <w:spacing w:before="120"/>
        <w:rPr>
          <w:rFonts w:ascii="Arial Narrow" w:hAnsi="Arial Narrow"/>
          <w:sz w:val="16"/>
          <w:szCs w:val="16"/>
          <w:lang w:val="de-DE"/>
        </w:rPr>
      </w:pPr>
      <w:r w:rsidRPr="00C472C0">
        <w:rPr>
          <w:rFonts w:ascii="Arial Narrow" w:hAnsi="Arial Narrow"/>
          <w:sz w:val="16"/>
          <w:szCs w:val="16"/>
        </w:rPr>
        <w:footnoteRef/>
      </w:r>
      <w:r w:rsidRPr="005635EB">
        <w:rPr>
          <w:rFonts w:ascii="Arial Narrow" w:hAnsi="Arial Narrow"/>
          <w:sz w:val="16"/>
          <w:szCs w:val="16"/>
        </w:rPr>
        <w:t xml:space="preserve"> </w:t>
      </w:r>
      <w:proofErr w:type="spellStart"/>
      <w:r w:rsidRPr="005635EB">
        <w:rPr>
          <w:rFonts w:ascii="Arial Narrow" w:hAnsi="Arial Narrow"/>
          <w:sz w:val="16"/>
          <w:szCs w:val="16"/>
        </w:rPr>
        <w:t>Hauth</w:t>
      </w:r>
      <w:proofErr w:type="spellEnd"/>
      <w:r w:rsidRPr="005635EB">
        <w:rPr>
          <w:rFonts w:ascii="Arial Narrow" w:hAnsi="Arial Narrow"/>
          <w:sz w:val="16"/>
          <w:szCs w:val="16"/>
        </w:rPr>
        <w:t xml:space="preserve">, J. C., Ewell, M. G., Levine, R. J., </w:t>
      </w:r>
      <w:proofErr w:type="spellStart"/>
      <w:r w:rsidRPr="005635EB">
        <w:rPr>
          <w:rFonts w:ascii="Arial Narrow" w:hAnsi="Arial Narrow"/>
          <w:sz w:val="16"/>
          <w:szCs w:val="16"/>
        </w:rPr>
        <w:t>Esterlitz</w:t>
      </w:r>
      <w:proofErr w:type="spellEnd"/>
      <w:r w:rsidRPr="005635EB">
        <w:rPr>
          <w:rFonts w:ascii="Arial Narrow" w:hAnsi="Arial Narrow"/>
          <w:sz w:val="16"/>
          <w:szCs w:val="16"/>
        </w:rPr>
        <w:t xml:space="preserve">, J. R., </w:t>
      </w:r>
      <w:proofErr w:type="spellStart"/>
      <w:r w:rsidRPr="005635EB">
        <w:rPr>
          <w:rFonts w:ascii="Arial Narrow" w:hAnsi="Arial Narrow"/>
          <w:sz w:val="16"/>
          <w:szCs w:val="16"/>
        </w:rPr>
        <w:t>Sibai</w:t>
      </w:r>
      <w:proofErr w:type="spellEnd"/>
      <w:r w:rsidRPr="005635EB">
        <w:rPr>
          <w:rFonts w:ascii="Arial Narrow" w:hAnsi="Arial Narrow"/>
          <w:sz w:val="16"/>
          <w:szCs w:val="16"/>
        </w:rPr>
        <w:t xml:space="preserve">, B., Curet, L. B., Catalano, P. M., &amp; Morris, C. D. (2000). Pregnancy outcomes in healthy nulliparas who developed hypertension. Obstetrics &amp; </w:t>
      </w:r>
      <w:proofErr w:type="spellStart"/>
      <w:r w:rsidRPr="005635EB">
        <w:rPr>
          <w:rFonts w:ascii="Arial Narrow" w:hAnsi="Arial Narrow"/>
          <w:sz w:val="16"/>
          <w:szCs w:val="16"/>
        </w:rPr>
        <w:t>Gynecology</w:t>
      </w:r>
      <w:proofErr w:type="spellEnd"/>
      <w:r w:rsidRPr="005635EB">
        <w:rPr>
          <w:rFonts w:ascii="Arial Narrow" w:hAnsi="Arial Narrow"/>
          <w:sz w:val="16"/>
          <w:szCs w:val="16"/>
        </w:rPr>
        <w:t xml:space="preserve">, 95(1), 24-28. </w:t>
      </w:r>
      <w:hyperlink r:id="rId13" w:history="1">
        <w:r w:rsidRPr="00903916">
          <w:rPr>
            <w:rFonts w:ascii="Arial Narrow" w:hAnsi="Arial Narrow"/>
            <w:sz w:val="16"/>
            <w:szCs w:val="16"/>
            <w:lang w:val="de-DE"/>
          </w:rPr>
          <w:t>https://doi.org/https://doi.org/10.1016/S0029-7844(99)00462-7</w:t>
        </w:r>
      </w:hyperlink>
      <w:r w:rsidRPr="00903916">
        <w:rPr>
          <w:rFonts w:ascii="Arial Narrow" w:hAnsi="Arial Narrow"/>
          <w:sz w:val="16"/>
          <w:szCs w:val="16"/>
          <w:lang w:val="de-DE"/>
        </w:rPr>
        <w:t xml:space="preserve"> </w:t>
      </w:r>
    </w:p>
  </w:footnote>
  <w:footnote w:id="29">
    <w:p w14:paraId="5C629F6D" w14:textId="65400AAC" w:rsidR="00923EE5" w:rsidRPr="00923EE5" w:rsidRDefault="00923EE5" w:rsidP="00923EE5">
      <w:pPr>
        <w:pStyle w:val="FootnoteText"/>
        <w:spacing w:before="120"/>
        <w:rPr>
          <w:rFonts w:ascii="Calibri" w:hAnsi="Calibri" w:cs="Calibri"/>
        </w:rPr>
      </w:pPr>
      <w:r w:rsidRPr="00923EE5">
        <w:rPr>
          <w:rFonts w:ascii="Arial Narrow" w:hAnsi="Arial Narrow"/>
          <w:sz w:val="16"/>
          <w:szCs w:val="16"/>
        </w:rPr>
        <w:footnoteRef/>
      </w:r>
      <w:r w:rsidRPr="00903916">
        <w:rPr>
          <w:rFonts w:ascii="Arial Narrow" w:hAnsi="Arial Narrow"/>
          <w:sz w:val="16"/>
          <w:szCs w:val="16"/>
          <w:lang w:val="de-DE"/>
        </w:rPr>
        <w:t xml:space="preserve"> </w:t>
      </w:r>
      <w:r w:rsidRPr="00903916">
        <w:rPr>
          <w:rFonts w:ascii="Arial Narrow" w:hAnsi="Arial Narrow"/>
          <w:sz w:val="16"/>
          <w:szCs w:val="16"/>
          <w:lang w:val="de-DE"/>
        </w:rPr>
        <w:t xml:space="preserve">Gilbert, W. M., Nesbitt, T. S., &amp; Danielsen, B. (2003). </w:t>
      </w:r>
      <w:r w:rsidRPr="00923EE5">
        <w:rPr>
          <w:rFonts w:ascii="Arial Narrow" w:hAnsi="Arial Narrow"/>
          <w:sz w:val="16"/>
          <w:szCs w:val="16"/>
        </w:rPr>
        <w:t xml:space="preserve">The cost of prematurity: quantification by gestational age and birth weight. </w:t>
      </w:r>
      <w:proofErr w:type="spellStart"/>
      <w:r w:rsidRPr="00923EE5">
        <w:rPr>
          <w:rFonts w:ascii="Arial Narrow" w:hAnsi="Arial Narrow"/>
          <w:sz w:val="16"/>
          <w:szCs w:val="16"/>
        </w:rPr>
        <w:t>Obstet</w:t>
      </w:r>
      <w:proofErr w:type="spellEnd"/>
      <w:r w:rsidRPr="00923EE5">
        <w:rPr>
          <w:rFonts w:ascii="Arial Narrow" w:hAnsi="Arial Narrow"/>
          <w:sz w:val="16"/>
          <w:szCs w:val="16"/>
        </w:rPr>
        <w:t xml:space="preserve"> </w:t>
      </w:r>
      <w:proofErr w:type="spellStart"/>
      <w:r w:rsidRPr="00923EE5">
        <w:rPr>
          <w:rFonts w:ascii="Arial Narrow" w:hAnsi="Arial Narrow"/>
          <w:sz w:val="16"/>
          <w:szCs w:val="16"/>
        </w:rPr>
        <w:t>Gynecol</w:t>
      </w:r>
      <w:proofErr w:type="spellEnd"/>
      <w:r w:rsidRPr="00923EE5">
        <w:rPr>
          <w:rFonts w:ascii="Arial Narrow" w:hAnsi="Arial Narrow"/>
          <w:sz w:val="16"/>
          <w:szCs w:val="16"/>
        </w:rPr>
        <w:t>, 102(3), 488-492. https://doi.org/10.1016/s0029-7844(03)00617-3</w:t>
      </w:r>
      <w:r>
        <w:rPr>
          <w:rFonts w:ascii="Calibri" w:hAnsi="Calibri" w:cs="Calibri"/>
        </w:rPr>
        <w:t xml:space="preserve"> </w:t>
      </w:r>
    </w:p>
  </w:footnote>
  <w:footnote w:id="30">
    <w:p w14:paraId="6D9005E9" w14:textId="77777777" w:rsidR="00661325" w:rsidRPr="00923EE5" w:rsidRDefault="00661325" w:rsidP="00661325">
      <w:pPr>
        <w:pStyle w:val="EndNoteBibliography"/>
        <w:rPr>
          <w:rFonts w:ascii="Arial Narrow" w:hAnsi="Arial Narrow" w:cs="Arial"/>
          <w:noProof/>
          <w:sz w:val="16"/>
          <w:szCs w:val="16"/>
        </w:rPr>
      </w:pPr>
      <w:r w:rsidRPr="00C425FF">
        <w:rPr>
          <w:rFonts w:ascii="Arial Narrow" w:hAnsi="Arial Narrow" w:cs="Arial"/>
          <w:noProof/>
          <w:sz w:val="16"/>
          <w:szCs w:val="16"/>
        </w:rPr>
        <w:footnoteRef/>
      </w:r>
      <w:r w:rsidRPr="005635EB">
        <w:rPr>
          <w:rFonts w:ascii="Arial Narrow" w:hAnsi="Arial Narrow" w:cs="Arial"/>
          <w:noProof/>
          <w:sz w:val="16"/>
          <w:szCs w:val="16"/>
        </w:rPr>
        <w:t xml:space="preserve"> Guy, G. P., Leslie, K., Diaz Gomez, D., Forenc, K., Buck, E., Khalil, A., &amp; Thilaganathan, B. (2021). Implementation of routine first trimester combined screening for pre-eclampsia: a clinical effectiveness study. BJOG, 128(2), 149-156. </w:t>
      </w:r>
      <w:hyperlink r:id="rId14" w:history="1">
        <w:r w:rsidRPr="005635EB">
          <w:rPr>
            <w:rStyle w:val="Hyperlink"/>
            <w:rFonts w:ascii="Arial Narrow" w:hAnsi="Arial Narrow" w:cs="Arial"/>
            <w:noProof/>
            <w:sz w:val="16"/>
            <w:szCs w:val="16"/>
          </w:rPr>
          <w:t>https://doi.org/10.1111/1471-0528.16361</w:t>
        </w:r>
      </w:hyperlink>
      <w:r w:rsidRPr="005635EB">
        <w:rPr>
          <w:rFonts w:ascii="Arial Narrow" w:hAnsi="Arial Narrow" w:cs="Arial"/>
          <w:noProof/>
          <w:sz w:val="16"/>
          <w:szCs w:val="16"/>
        </w:rPr>
        <w:t xml:space="preserve"> </w:t>
      </w:r>
    </w:p>
  </w:footnote>
  <w:footnote w:id="31">
    <w:p w14:paraId="19682C03" w14:textId="4BF2BE57" w:rsidR="00C339A5" w:rsidRPr="005635EB" w:rsidRDefault="00C339A5">
      <w:pPr>
        <w:pStyle w:val="FootnoteText"/>
        <w:rPr>
          <w:rFonts w:ascii="Arial Narrow" w:hAnsi="Arial Narrow"/>
          <w:color w:val="000000" w:themeColor="text1"/>
        </w:rPr>
      </w:pPr>
      <w:r w:rsidRPr="005635EB">
        <w:rPr>
          <w:rStyle w:val="FootnoteReference"/>
          <w:rFonts w:ascii="Arial Narrow" w:hAnsi="Arial Narrow"/>
          <w:color w:val="000000" w:themeColor="text1"/>
        </w:rPr>
        <w:footnoteRef/>
      </w:r>
      <w:r w:rsidRPr="005635EB">
        <w:rPr>
          <w:rFonts w:ascii="Arial Narrow" w:hAnsi="Arial Narrow"/>
          <w:color w:val="000000" w:themeColor="text1"/>
        </w:rPr>
        <w:t xml:space="preserve"> </w:t>
      </w:r>
      <w:r w:rsidR="00D54F73" w:rsidRPr="00D54F73">
        <w:rPr>
          <w:rFonts w:ascii="Arial Narrow" w:hAnsi="Arial Narrow"/>
          <w:color w:val="000000" w:themeColor="text1"/>
        </w:rPr>
        <w:t>Sydney Ultrasound for Women</w:t>
      </w:r>
      <w:r w:rsidR="00D54F73">
        <w:rPr>
          <w:rFonts w:ascii="Arial Narrow" w:hAnsi="Arial Narrow"/>
          <w:color w:val="000000" w:themeColor="text1"/>
        </w:rPr>
        <w:t xml:space="preserve">, (2023). Ultrasound costs. Retrieved from: </w:t>
      </w:r>
      <w:hyperlink r:id="rId15" w:history="1">
        <w:r w:rsidR="00D54F73" w:rsidRPr="006B77F0">
          <w:rPr>
            <w:rStyle w:val="Hyperlink"/>
            <w:rFonts w:ascii="Arial Narrow" w:hAnsi="Arial Narrow"/>
          </w:rPr>
          <w:t>https://www.sufw.com.au/ultrasound-costs/</w:t>
        </w:r>
      </w:hyperlink>
      <w:r w:rsidR="00D54F73">
        <w:rPr>
          <w:rFonts w:ascii="Arial Narrow" w:hAnsi="Arial Narrow"/>
          <w:color w:val="000000" w:themeColor="text1"/>
        </w:rPr>
        <w:t xml:space="preserve"> </w:t>
      </w:r>
    </w:p>
  </w:footnote>
  <w:footnote w:id="32">
    <w:p w14:paraId="1EA58C50" w14:textId="236D6870" w:rsidR="007F5276" w:rsidRPr="005635EB" w:rsidRDefault="007F5276" w:rsidP="007F5276">
      <w:pPr>
        <w:pStyle w:val="FootnoteText"/>
        <w:rPr>
          <w:rFonts w:ascii="Arial Narrow" w:hAnsi="Arial Narrow"/>
          <w:color w:val="000000" w:themeColor="text1"/>
        </w:rPr>
      </w:pPr>
      <w:r w:rsidRPr="005635EB">
        <w:rPr>
          <w:rStyle w:val="FootnoteReference"/>
          <w:rFonts w:ascii="Arial Narrow" w:hAnsi="Arial Narrow"/>
          <w:color w:val="000000" w:themeColor="text1"/>
        </w:rPr>
        <w:footnoteRef/>
      </w:r>
      <w:r w:rsidRPr="005635EB">
        <w:rPr>
          <w:rFonts w:ascii="Arial Narrow" w:hAnsi="Arial Narrow"/>
          <w:color w:val="000000" w:themeColor="text1"/>
        </w:rPr>
        <w:t xml:space="preserve"> </w:t>
      </w:r>
      <w:r w:rsidR="00D54F73">
        <w:rPr>
          <w:rFonts w:ascii="Arial Narrow" w:hAnsi="Arial Narrow"/>
          <w:color w:val="000000" w:themeColor="text1"/>
        </w:rPr>
        <w:t>Medical Costs Finder. (2023).</w:t>
      </w:r>
      <w:r w:rsidR="00D54F73" w:rsidRPr="00D54F73">
        <w:rPr>
          <w:rFonts w:ascii="Arial Narrow" w:hAnsi="Arial Narrow"/>
          <w:i/>
          <w:iCs/>
          <w:color w:val="000000" w:themeColor="text1"/>
        </w:rPr>
        <w:t xml:space="preserve"> MBS item 55707.</w:t>
      </w:r>
      <w:r w:rsidR="00D54F73">
        <w:rPr>
          <w:rFonts w:ascii="Arial Narrow" w:hAnsi="Arial Narrow"/>
          <w:color w:val="000000" w:themeColor="text1"/>
        </w:rPr>
        <w:t xml:space="preserve"> Retrieved online:</w:t>
      </w:r>
      <w:r w:rsidR="00D54F73" w:rsidRPr="00D54F73">
        <w:rPr>
          <w:rFonts w:ascii="Arial Narrow" w:hAnsi="Arial Narrow"/>
          <w:color w:val="000000" w:themeColor="text1"/>
        </w:rPr>
        <w:t xml:space="preserve"> </w:t>
      </w:r>
      <w:hyperlink r:id="rId16" w:history="1">
        <w:r w:rsidR="00D54F73" w:rsidRPr="006B77F0">
          <w:rPr>
            <w:rStyle w:val="Hyperlink"/>
            <w:rFonts w:ascii="Arial Narrow" w:hAnsi="Arial Narrow"/>
          </w:rPr>
          <w:t>https://medicalcostsfinder.health.gov.au/services/Q55707/oh?specialty=021901</w:t>
        </w:r>
      </w:hyperlink>
      <w:r w:rsidRPr="005635EB">
        <w:rPr>
          <w:rFonts w:ascii="Arial Narrow" w:hAnsi="Arial Narrow"/>
          <w:color w:val="000000" w:themeColor="text1"/>
        </w:rPr>
        <w:t xml:space="preserve"> </w:t>
      </w:r>
    </w:p>
  </w:footnote>
  <w:footnote w:id="33">
    <w:p w14:paraId="495E933B" w14:textId="77777777" w:rsidR="00971DBF" w:rsidRPr="00903916" w:rsidRDefault="00971DBF" w:rsidP="00971DBF">
      <w:pPr>
        <w:pStyle w:val="FootnoteText"/>
        <w:rPr>
          <w:lang w:val="de-DE"/>
        </w:rPr>
      </w:pPr>
      <w:r>
        <w:rPr>
          <w:rStyle w:val="FootnoteReference"/>
        </w:rPr>
        <w:footnoteRef/>
      </w:r>
      <w:r>
        <w:t xml:space="preserve"> </w:t>
      </w:r>
      <w:r w:rsidRPr="008453F7">
        <w:t xml:space="preserve">Roberge, S., et al. (2018a). Aspirin for the prevention of preterm and term preeclampsia: systematic review and </w:t>
      </w:r>
      <w:proofErr w:type="spellStart"/>
      <w:r w:rsidRPr="008453F7">
        <w:t>metaanalysis</w:t>
      </w:r>
      <w:proofErr w:type="spellEnd"/>
      <w:r w:rsidRPr="008453F7">
        <w:t xml:space="preserve">. </w:t>
      </w:r>
      <w:r w:rsidRPr="00903916">
        <w:rPr>
          <w:lang w:val="de-DE"/>
        </w:rPr>
        <w:t>Am J Obstet Gynecol, 218(3), 287-293 e281. https://doi.org/10.1016/j.ajog.2017.11.561</w:t>
      </w:r>
    </w:p>
  </w:footnote>
  <w:footnote w:id="34">
    <w:p w14:paraId="4C431619" w14:textId="77777777" w:rsidR="00971DBF" w:rsidRDefault="00971DBF" w:rsidP="00971DBF">
      <w:pPr>
        <w:pStyle w:val="FootnoteText"/>
      </w:pPr>
      <w:r>
        <w:rPr>
          <w:rStyle w:val="FootnoteReference"/>
        </w:rPr>
        <w:footnoteRef/>
      </w:r>
      <w:r w:rsidRPr="00903916">
        <w:rPr>
          <w:lang w:val="de-DE"/>
        </w:rPr>
        <w:t xml:space="preserve"> </w:t>
      </w:r>
      <w:r w:rsidRPr="00903916">
        <w:rPr>
          <w:lang w:val="de-DE"/>
        </w:rPr>
        <w:t xml:space="preserve">Rolnik, </w:t>
      </w:r>
      <w:r w:rsidRPr="00903916">
        <w:rPr>
          <w:lang w:val="de-DE"/>
        </w:rPr>
        <w:t xml:space="preserve">D. L., Selvaratnam, R. J., Wertaschnigg, D., et al. </w:t>
      </w:r>
      <w:r w:rsidRPr="005C7C4F">
        <w:t>(202</w:t>
      </w:r>
      <w:r>
        <w:t>2</w:t>
      </w:r>
      <w:r w:rsidRPr="005C7C4F">
        <w:t xml:space="preserve">). Routine first trimester combined screening for preterm preeclampsia in Australia: A </w:t>
      </w:r>
      <w:proofErr w:type="spellStart"/>
      <w:r w:rsidRPr="005C7C4F">
        <w:t>multicenter</w:t>
      </w:r>
      <w:proofErr w:type="spellEnd"/>
      <w:r w:rsidRPr="005C7C4F">
        <w:t xml:space="preserve"> clinical implementation cohort study. Int J </w:t>
      </w:r>
      <w:proofErr w:type="spellStart"/>
      <w:r w:rsidRPr="005C7C4F">
        <w:t>Gynaecol</w:t>
      </w:r>
      <w:proofErr w:type="spellEnd"/>
      <w:r w:rsidRPr="005C7C4F">
        <w:t xml:space="preserve"> </w:t>
      </w:r>
      <w:proofErr w:type="spellStart"/>
      <w:r w:rsidRPr="005C7C4F">
        <w:t>Obstet</w:t>
      </w:r>
      <w:proofErr w:type="spellEnd"/>
      <w:r w:rsidRPr="005C7C4F">
        <w:t>, 158(3), 634-642. https://doi.org/10.1002/ijgo.14049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335"/>
    <w:multiLevelType w:val="hybridMultilevel"/>
    <w:tmpl w:val="DAD49252"/>
    <w:lvl w:ilvl="0" w:tplc="D160094A">
      <w:start w:val="1"/>
      <w:numFmt w:val="bullet"/>
      <w:lvlText w:val=""/>
      <w:lvlJc w:val="left"/>
      <w:pPr>
        <w:ind w:left="720" w:hanging="360"/>
      </w:pPr>
      <w:rPr>
        <w:rFonts w:ascii="Symbol" w:hAnsi="Symbol"/>
      </w:rPr>
    </w:lvl>
    <w:lvl w:ilvl="1" w:tplc="BC4EA602">
      <w:start w:val="1"/>
      <w:numFmt w:val="bullet"/>
      <w:lvlText w:val=""/>
      <w:lvlJc w:val="left"/>
      <w:pPr>
        <w:ind w:left="720" w:hanging="360"/>
      </w:pPr>
      <w:rPr>
        <w:rFonts w:ascii="Symbol" w:hAnsi="Symbol"/>
      </w:rPr>
    </w:lvl>
    <w:lvl w:ilvl="2" w:tplc="0DEC83AA">
      <w:start w:val="1"/>
      <w:numFmt w:val="bullet"/>
      <w:lvlText w:val=""/>
      <w:lvlJc w:val="left"/>
      <w:pPr>
        <w:ind w:left="720" w:hanging="360"/>
      </w:pPr>
      <w:rPr>
        <w:rFonts w:ascii="Symbol" w:hAnsi="Symbol"/>
      </w:rPr>
    </w:lvl>
    <w:lvl w:ilvl="3" w:tplc="AE1E41AC">
      <w:start w:val="1"/>
      <w:numFmt w:val="bullet"/>
      <w:lvlText w:val=""/>
      <w:lvlJc w:val="left"/>
      <w:pPr>
        <w:ind w:left="720" w:hanging="360"/>
      </w:pPr>
      <w:rPr>
        <w:rFonts w:ascii="Symbol" w:hAnsi="Symbol"/>
      </w:rPr>
    </w:lvl>
    <w:lvl w:ilvl="4" w:tplc="F4560A64">
      <w:start w:val="1"/>
      <w:numFmt w:val="bullet"/>
      <w:lvlText w:val=""/>
      <w:lvlJc w:val="left"/>
      <w:pPr>
        <w:ind w:left="720" w:hanging="360"/>
      </w:pPr>
      <w:rPr>
        <w:rFonts w:ascii="Symbol" w:hAnsi="Symbol"/>
      </w:rPr>
    </w:lvl>
    <w:lvl w:ilvl="5" w:tplc="F8545120">
      <w:start w:val="1"/>
      <w:numFmt w:val="bullet"/>
      <w:lvlText w:val=""/>
      <w:lvlJc w:val="left"/>
      <w:pPr>
        <w:ind w:left="720" w:hanging="360"/>
      </w:pPr>
      <w:rPr>
        <w:rFonts w:ascii="Symbol" w:hAnsi="Symbol"/>
      </w:rPr>
    </w:lvl>
    <w:lvl w:ilvl="6" w:tplc="A6383FFC">
      <w:start w:val="1"/>
      <w:numFmt w:val="bullet"/>
      <w:lvlText w:val=""/>
      <w:lvlJc w:val="left"/>
      <w:pPr>
        <w:ind w:left="720" w:hanging="360"/>
      </w:pPr>
      <w:rPr>
        <w:rFonts w:ascii="Symbol" w:hAnsi="Symbol"/>
      </w:rPr>
    </w:lvl>
    <w:lvl w:ilvl="7" w:tplc="219A8CCA">
      <w:start w:val="1"/>
      <w:numFmt w:val="bullet"/>
      <w:lvlText w:val=""/>
      <w:lvlJc w:val="left"/>
      <w:pPr>
        <w:ind w:left="720" w:hanging="360"/>
      </w:pPr>
      <w:rPr>
        <w:rFonts w:ascii="Symbol" w:hAnsi="Symbol"/>
      </w:rPr>
    </w:lvl>
    <w:lvl w:ilvl="8" w:tplc="B06A5766">
      <w:start w:val="1"/>
      <w:numFmt w:val="bullet"/>
      <w:lvlText w:val=""/>
      <w:lvlJc w:val="left"/>
      <w:pPr>
        <w:ind w:left="720" w:hanging="360"/>
      </w:pPr>
      <w:rPr>
        <w:rFonts w:ascii="Symbol" w:hAnsi="Symbol"/>
      </w:rPr>
    </w:lvl>
  </w:abstractNum>
  <w:abstractNum w:abstractNumId="1" w15:restartNumberingAfterBreak="0">
    <w:nsid w:val="0496132A"/>
    <w:multiLevelType w:val="hybridMultilevel"/>
    <w:tmpl w:val="BB4858DC"/>
    <w:lvl w:ilvl="0" w:tplc="541E6C92">
      <w:start w:val="1"/>
      <w:numFmt w:val="bullet"/>
      <w:lvlText w:val=""/>
      <w:lvlJc w:val="left"/>
      <w:pPr>
        <w:ind w:left="720" w:hanging="360"/>
      </w:pPr>
      <w:rPr>
        <w:rFonts w:ascii="Symbol" w:hAnsi="Symbol"/>
      </w:rPr>
    </w:lvl>
    <w:lvl w:ilvl="1" w:tplc="7FA8F4B2">
      <w:start w:val="1"/>
      <w:numFmt w:val="bullet"/>
      <w:lvlText w:val=""/>
      <w:lvlJc w:val="left"/>
      <w:pPr>
        <w:ind w:left="720" w:hanging="360"/>
      </w:pPr>
      <w:rPr>
        <w:rFonts w:ascii="Symbol" w:hAnsi="Symbol"/>
      </w:rPr>
    </w:lvl>
    <w:lvl w:ilvl="2" w:tplc="05AE34F2">
      <w:start w:val="1"/>
      <w:numFmt w:val="bullet"/>
      <w:lvlText w:val=""/>
      <w:lvlJc w:val="left"/>
      <w:pPr>
        <w:ind w:left="720" w:hanging="360"/>
      </w:pPr>
      <w:rPr>
        <w:rFonts w:ascii="Symbol" w:hAnsi="Symbol"/>
      </w:rPr>
    </w:lvl>
    <w:lvl w:ilvl="3" w:tplc="6EE6E22C">
      <w:start w:val="1"/>
      <w:numFmt w:val="bullet"/>
      <w:lvlText w:val=""/>
      <w:lvlJc w:val="left"/>
      <w:pPr>
        <w:ind w:left="720" w:hanging="360"/>
      </w:pPr>
      <w:rPr>
        <w:rFonts w:ascii="Symbol" w:hAnsi="Symbol"/>
      </w:rPr>
    </w:lvl>
    <w:lvl w:ilvl="4" w:tplc="5EA65B90">
      <w:start w:val="1"/>
      <w:numFmt w:val="bullet"/>
      <w:lvlText w:val=""/>
      <w:lvlJc w:val="left"/>
      <w:pPr>
        <w:ind w:left="720" w:hanging="360"/>
      </w:pPr>
      <w:rPr>
        <w:rFonts w:ascii="Symbol" w:hAnsi="Symbol"/>
      </w:rPr>
    </w:lvl>
    <w:lvl w:ilvl="5" w:tplc="36084150">
      <w:start w:val="1"/>
      <w:numFmt w:val="bullet"/>
      <w:lvlText w:val=""/>
      <w:lvlJc w:val="left"/>
      <w:pPr>
        <w:ind w:left="720" w:hanging="360"/>
      </w:pPr>
      <w:rPr>
        <w:rFonts w:ascii="Symbol" w:hAnsi="Symbol"/>
      </w:rPr>
    </w:lvl>
    <w:lvl w:ilvl="6" w:tplc="09D6B050">
      <w:start w:val="1"/>
      <w:numFmt w:val="bullet"/>
      <w:lvlText w:val=""/>
      <w:lvlJc w:val="left"/>
      <w:pPr>
        <w:ind w:left="720" w:hanging="360"/>
      </w:pPr>
      <w:rPr>
        <w:rFonts w:ascii="Symbol" w:hAnsi="Symbol"/>
      </w:rPr>
    </w:lvl>
    <w:lvl w:ilvl="7" w:tplc="8DFC8E06">
      <w:start w:val="1"/>
      <w:numFmt w:val="bullet"/>
      <w:lvlText w:val=""/>
      <w:lvlJc w:val="left"/>
      <w:pPr>
        <w:ind w:left="720" w:hanging="360"/>
      </w:pPr>
      <w:rPr>
        <w:rFonts w:ascii="Symbol" w:hAnsi="Symbol"/>
      </w:rPr>
    </w:lvl>
    <w:lvl w:ilvl="8" w:tplc="E404F07A">
      <w:start w:val="1"/>
      <w:numFmt w:val="bullet"/>
      <w:lvlText w:val=""/>
      <w:lvlJc w:val="left"/>
      <w:pPr>
        <w:ind w:left="720" w:hanging="360"/>
      </w:pPr>
      <w:rPr>
        <w:rFonts w:ascii="Symbol" w:hAnsi="Symbol"/>
      </w:rPr>
    </w:lvl>
  </w:abstractNum>
  <w:abstractNum w:abstractNumId="2" w15:restartNumberingAfterBreak="0">
    <w:nsid w:val="04986F15"/>
    <w:multiLevelType w:val="hybridMultilevel"/>
    <w:tmpl w:val="23F60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A4836"/>
    <w:multiLevelType w:val="hybridMultilevel"/>
    <w:tmpl w:val="B86ED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A0D14"/>
    <w:multiLevelType w:val="hybridMultilevel"/>
    <w:tmpl w:val="D700C2D0"/>
    <w:lvl w:ilvl="0" w:tplc="3540638E">
      <w:start w:val="1"/>
      <w:numFmt w:val="bullet"/>
      <w:lvlText w:val=""/>
      <w:lvlJc w:val="left"/>
      <w:pPr>
        <w:ind w:left="720" w:hanging="360"/>
      </w:pPr>
      <w:rPr>
        <w:rFonts w:ascii="Symbol" w:hAnsi="Symbol"/>
      </w:rPr>
    </w:lvl>
    <w:lvl w:ilvl="1" w:tplc="D1589BD6">
      <w:start w:val="1"/>
      <w:numFmt w:val="bullet"/>
      <w:lvlText w:val=""/>
      <w:lvlJc w:val="left"/>
      <w:pPr>
        <w:ind w:left="720" w:hanging="360"/>
      </w:pPr>
      <w:rPr>
        <w:rFonts w:ascii="Symbol" w:hAnsi="Symbol"/>
      </w:rPr>
    </w:lvl>
    <w:lvl w:ilvl="2" w:tplc="DD882B7A">
      <w:start w:val="1"/>
      <w:numFmt w:val="bullet"/>
      <w:lvlText w:val=""/>
      <w:lvlJc w:val="left"/>
      <w:pPr>
        <w:ind w:left="720" w:hanging="360"/>
      </w:pPr>
      <w:rPr>
        <w:rFonts w:ascii="Symbol" w:hAnsi="Symbol"/>
      </w:rPr>
    </w:lvl>
    <w:lvl w:ilvl="3" w:tplc="73667844">
      <w:start w:val="1"/>
      <w:numFmt w:val="bullet"/>
      <w:lvlText w:val=""/>
      <w:lvlJc w:val="left"/>
      <w:pPr>
        <w:ind w:left="720" w:hanging="360"/>
      </w:pPr>
      <w:rPr>
        <w:rFonts w:ascii="Symbol" w:hAnsi="Symbol"/>
      </w:rPr>
    </w:lvl>
    <w:lvl w:ilvl="4" w:tplc="6AC0B958">
      <w:start w:val="1"/>
      <w:numFmt w:val="bullet"/>
      <w:lvlText w:val=""/>
      <w:lvlJc w:val="left"/>
      <w:pPr>
        <w:ind w:left="720" w:hanging="360"/>
      </w:pPr>
      <w:rPr>
        <w:rFonts w:ascii="Symbol" w:hAnsi="Symbol"/>
      </w:rPr>
    </w:lvl>
    <w:lvl w:ilvl="5" w:tplc="0A1899EE">
      <w:start w:val="1"/>
      <w:numFmt w:val="bullet"/>
      <w:lvlText w:val=""/>
      <w:lvlJc w:val="left"/>
      <w:pPr>
        <w:ind w:left="720" w:hanging="360"/>
      </w:pPr>
      <w:rPr>
        <w:rFonts w:ascii="Symbol" w:hAnsi="Symbol"/>
      </w:rPr>
    </w:lvl>
    <w:lvl w:ilvl="6" w:tplc="EDE4E100">
      <w:start w:val="1"/>
      <w:numFmt w:val="bullet"/>
      <w:lvlText w:val=""/>
      <w:lvlJc w:val="left"/>
      <w:pPr>
        <w:ind w:left="720" w:hanging="360"/>
      </w:pPr>
      <w:rPr>
        <w:rFonts w:ascii="Symbol" w:hAnsi="Symbol"/>
      </w:rPr>
    </w:lvl>
    <w:lvl w:ilvl="7" w:tplc="54188C56">
      <w:start w:val="1"/>
      <w:numFmt w:val="bullet"/>
      <w:lvlText w:val=""/>
      <w:lvlJc w:val="left"/>
      <w:pPr>
        <w:ind w:left="720" w:hanging="360"/>
      </w:pPr>
      <w:rPr>
        <w:rFonts w:ascii="Symbol" w:hAnsi="Symbol"/>
      </w:rPr>
    </w:lvl>
    <w:lvl w:ilvl="8" w:tplc="226864E8">
      <w:start w:val="1"/>
      <w:numFmt w:val="bullet"/>
      <w:lvlText w:val=""/>
      <w:lvlJc w:val="left"/>
      <w:pPr>
        <w:ind w:left="720" w:hanging="360"/>
      </w:pPr>
      <w:rPr>
        <w:rFonts w:ascii="Symbol" w:hAnsi="Symbol"/>
      </w:rPr>
    </w:lvl>
  </w:abstractNum>
  <w:abstractNum w:abstractNumId="5" w15:restartNumberingAfterBreak="0">
    <w:nsid w:val="09D867C7"/>
    <w:multiLevelType w:val="hybridMultilevel"/>
    <w:tmpl w:val="F1C0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C6A7F"/>
    <w:multiLevelType w:val="hybridMultilevel"/>
    <w:tmpl w:val="BF467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483655B"/>
    <w:multiLevelType w:val="hybridMultilevel"/>
    <w:tmpl w:val="5A166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23841"/>
    <w:multiLevelType w:val="hybridMultilevel"/>
    <w:tmpl w:val="B99C0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426B2C"/>
    <w:multiLevelType w:val="hybridMultilevel"/>
    <w:tmpl w:val="8408B858"/>
    <w:lvl w:ilvl="0" w:tplc="A0845A6E">
      <w:start w:val="1"/>
      <w:numFmt w:val="bullet"/>
      <w:lvlText w:val=""/>
      <w:lvlJc w:val="left"/>
      <w:pPr>
        <w:ind w:left="1260" w:hanging="360"/>
      </w:pPr>
      <w:rPr>
        <w:rFonts w:ascii="Symbol" w:hAnsi="Symbol"/>
      </w:rPr>
    </w:lvl>
    <w:lvl w:ilvl="1" w:tplc="93104156">
      <w:start w:val="1"/>
      <w:numFmt w:val="bullet"/>
      <w:lvlText w:val=""/>
      <w:lvlJc w:val="left"/>
      <w:pPr>
        <w:ind w:left="1260" w:hanging="360"/>
      </w:pPr>
      <w:rPr>
        <w:rFonts w:ascii="Symbol" w:hAnsi="Symbol"/>
      </w:rPr>
    </w:lvl>
    <w:lvl w:ilvl="2" w:tplc="02BC5178">
      <w:start w:val="1"/>
      <w:numFmt w:val="bullet"/>
      <w:lvlText w:val=""/>
      <w:lvlJc w:val="left"/>
      <w:pPr>
        <w:ind w:left="1260" w:hanging="360"/>
      </w:pPr>
      <w:rPr>
        <w:rFonts w:ascii="Symbol" w:hAnsi="Symbol"/>
      </w:rPr>
    </w:lvl>
    <w:lvl w:ilvl="3" w:tplc="D9226596">
      <w:start w:val="1"/>
      <w:numFmt w:val="bullet"/>
      <w:lvlText w:val=""/>
      <w:lvlJc w:val="left"/>
      <w:pPr>
        <w:ind w:left="1260" w:hanging="360"/>
      </w:pPr>
      <w:rPr>
        <w:rFonts w:ascii="Symbol" w:hAnsi="Symbol"/>
      </w:rPr>
    </w:lvl>
    <w:lvl w:ilvl="4" w:tplc="8FA08A04">
      <w:start w:val="1"/>
      <w:numFmt w:val="bullet"/>
      <w:lvlText w:val=""/>
      <w:lvlJc w:val="left"/>
      <w:pPr>
        <w:ind w:left="1260" w:hanging="360"/>
      </w:pPr>
      <w:rPr>
        <w:rFonts w:ascii="Symbol" w:hAnsi="Symbol"/>
      </w:rPr>
    </w:lvl>
    <w:lvl w:ilvl="5" w:tplc="2A06AE9C">
      <w:start w:val="1"/>
      <w:numFmt w:val="bullet"/>
      <w:lvlText w:val=""/>
      <w:lvlJc w:val="left"/>
      <w:pPr>
        <w:ind w:left="1260" w:hanging="360"/>
      </w:pPr>
      <w:rPr>
        <w:rFonts w:ascii="Symbol" w:hAnsi="Symbol"/>
      </w:rPr>
    </w:lvl>
    <w:lvl w:ilvl="6" w:tplc="1E38A4A4">
      <w:start w:val="1"/>
      <w:numFmt w:val="bullet"/>
      <w:lvlText w:val=""/>
      <w:lvlJc w:val="left"/>
      <w:pPr>
        <w:ind w:left="1260" w:hanging="360"/>
      </w:pPr>
      <w:rPr>
        <w:rFonts w:ascii="Symbol" w:hAnsi="Symbol"/>
      </w:rPr>
    </w:lvl>
    <w:lvl w:ilvl="7" w:tplc="9ADA129E">
      <w:start w:val="1"/>
      <w:numFmt w:val="bullet"/>
      <w:lvlText w:val=""/>
      <w:lvlJc w:val="left"/>
      <w:pPr>
        <w:ind w:left="1260" w:hanging="360"/>
      </w:pPr>
      <w:rPr>
        <w:rFonts w:ascii="Symbol" w:hAnsi="Symbol"/>
      </w:rPr>
    </w:lvl>
    <w:lvl w:ilvl="8" w:tplc="B22A64FC">
      <w:start w:val="1"/>
      <w:numFmt w:val="bullet"/>
      <w:lvlText w:val=""/>
      <w:lvlJc w:val="left"/>
      <w:pPr>
        <w:ind w:left="1260" w:hanging="360"/>
      </w:pPr>
      <w:rPr>
        <w:rFonts w:ascii="Symbol" w:hAnsi="Symbol"/>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BB03DCC"/>
    <w:multiLevelType w:val="hybridMultilevel"/>
    <w:tmpl w:val="15583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1310B7"/>
    <w:multiLevelType w:val="hybridMultilevel"/>
    <w:tmpl w:val="C63C60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2A3ACE"/>
    <w:multiLevelType w:val="hybridMultilevel"/>
    <w:tmpl w:val="61E62D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40E67F07"/>
    <w:multiLevelType w:val="hybridMultilevel"/>
    <w:tmpl w:val="3560F1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095746"/>
    <w:multiLevelType w:val="hybridMultilevel"/>
    <w:tmpl w:val="60F4E6F8"/>
    <w:lvl w:ilvl="0" w:tplc="7B5027A8">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79976B8"/>
    <w:multiLevelType w:val="hybridMultilevel"/>
    <w:tmpl w:val="5008A396"/>
    <w:lvl w:ilvl="0" w:tplc="58366E0C">
      <w:numFmt w:val="bullet"/>
      <w:lvlText w:val="-"/>
      <w:lvlJc w:val="left"/>
      <w:pPr>
        <w:ind w:left="720" w:hanging="360"/>
      </w:pPr>
      <w:rPr>
        <w:rFonts w:ascii="Franklin Gothic Book" w:eastAsia="Times New Roman" w:hAnsi="Franklin Gothic Boo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F0A78"/>
    <w:multiLevelType w:val="hybridMultilevel"/>
    <w:tmpl w:val="99A268E2"/>
    <w:lvl w:ilvl="0" w:tplc="4FC21958">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406F2"/>
    <w:multiLevelType w:val="hybridMultilevel"/>
    <w:tmpl w:val="67A8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C648C"/>
    <w:multiLevelType w:val="hybridMultilevel"/>
    <w:tmpl w:val="198E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52DBD"/>
    <w:multiLevelType w:val="hybridMultilevel"/>
    <w:tmpl w:val="AA56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02371"/>
    <w:multiLevelType w:val="hybridMultilevel"/>
    <w:tmpl w:val="BB00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451A9E"/>
    <w:multiLevelType w:val="hybridMultilevel"/>
    <w:tmpl w:val="CC3C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E2FF3"/>
    <w:multiLevelType w:val="hybridMultilevel"/>
    <w:tmpl w:val="F3E66FAE"/>
    <w:lvl w:ilvl="0" w:tplc="500E8D1C">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070C99"/>
    <w:multiLevelType w:val="hybridMultilevel"/>
    <w:tmpl w:val="1C96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E0557"/>
    <w:multiLevelType w:val="hybridMultilevel"/>
    <w:tmpl w:val="25267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90096"/>
    <w:multiLevelType w:val="hybridMultilevel"/>
    <w:tmpl w:val="4C583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177932"/>
    <w:multiLevelType w:val="hybridMultilevel"/>
    <w:tmpl w:val="691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CD50A0"/>
    <w:multiLevelType w:val="hybridMultilevel"/>
    <w:tmpl w:val="48B84A82"/>
    <w:lvl w:ilvl="0" w:tplc="1A9AFE6A">
      <w:start w:val="1"/>
      <w:numFmt w:val="bullet"/>
      <w:pStyle w:val="A-do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67FC8"/>
    <w:multiLevelType w:val="hybridMultilevel"/>
    <w:tmpl w:val="3A0C5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45FC285E"/>
    <w:lvl w:ilvl="0">
      <w:start w:val="1"/>
      <w:numFmt w:val="decimal"/>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02848136">
    <w:abstractNumId w:val="17"/>
  </w:num>
  <w:num w:numId="2" w16cid:durableId="986785926">
    <w:abstractNumId w:val="39"/>
  </w:num>
  <w:num w:numId="3" w16cid:durableId="1503542209">
    <w:abstractNumId w:val="6"/>
  </w:num>
  <w:num w:numId="4" w16cid:durableId="864253620">
    <w:abstractNumId w:val="9"/>
  </w:num>
  <w:num w:numId="5" w16cid:durableId="630981058">
    <w:abstractNumId w:val="38"/>
  </w:num>
  <w:num w:numId="6" w16cid:durableId="1477184615">
    <w:abstractNumId w:val="12"/>
  </w:num>
  <w:num w:numId="7" w16cid:durableId="1358971579">
    <w:abstractNumId w:val="14"/>
  </w:num>
  <w:num w:numId="8" w16cid:durableId="75370616">
    <w:abstractNumId w:val="16"/>
  </w:num>
  <w:num w:numId="9" w16cid:durableId="815100059">
    <w:abstractNumId w:val="21"/>
  </w:num>
  <w:num w:numId="10" w16cid:durableId="424226355">
    <w:abstractNumId w:val="29"/>
  </w:num>
  <w:num w:numId="11" w16cid:durableId="455297957">
    <w:abstractNumId w:val="36"/>
  </w:num>
  <w:num w:numId="12" w16cid:durableId="1506164293">
    <w:abstractNumId w:val="32"/>
  </w:num>
  <w:num w:numId="13" w16cid:durableId="929584175">
    <w:abstractNumId w:val="15"/>
  </w:num>
  <w:num w:numId="14" w16cid:durableId="2021664188">
    <w:abstractNumId w:val="18"/>
  </w:num>
  <w:num w:numId="15" w16cid:durableId="765468549">
    <w:abstractNumId w:val="20"/>
  </w:num>
  <w:num w:numId="16" w16cid:durableId="1367216137">
    <w:abstractNumId w:val="2"/>
  </w:num>
  <w:num w:numId="17" w16cid:durableId="1024599325">
    <w:abstractNumId w:val="3"/>
  </w:num>
  <w:num w:numId="18" w16cid:durableId="427966919">
    <w:abstractNumId w:val="28"/>
  </w:num>
  <w:num w:numId="19" w16cid:durableId="1048455201">
    <w:abstractNumId w:val="30"/>
  </w:num>
  <w:num w:numId="20" w16cid:durableId="1834835207">
    <w:abstractNumId w:val="11"/>
  </w:num>
  <w:num w:numId="21" w16cid:durableId="1397777377">
    <w:abstractNumId w:val="35"/>
  </w:num>
  <w:num w:numId="22" w16cid:durableId="1037193692">
    <w:abstractNumId w:val="27"/>
  </w:num>
  <w:num w:numId="23" w16cid:durableId="192619040">
    <w:abstractNumId w:val="24"/>
  </w:num>
  <w:num w:numId="24" w16cid:durableId="623536650">
    <w:abstractNumId w:val="37"/>
  </w:num>
  <w:num w:numId="25" w16cid:durableId="1542595737">
    <w:abstractNumId w:val="26"/>
  </w:num>
  <w:num w:numId="26" w16cid:durableId="1933931045">
    <w:abstractNumId w:val="7"/>
  </w:num>
  <w:num w:numId="27" w16cid:durableId="439182220">
    <w:abstractNumId w:val="31"/>
  </w:num>
  <w:num w:numId="28" w16cid:durableId="1167013317">
    <w:abstractNumId w:val="5"/>
  </w:num>
  <w:num w:numId="29" w16cid:durableId="1828665391">
    <w:abstractNumId w:val="33"/>
  </w:num>
  <w:num w:numId="30" w16cid:durableId="2107072605">
    <w:abstractNumId w:val="25"/>
  </w:num>
  <w:num w:numId="31" w16cid:durableId="713769324">
    <w:abstractNumId w:val="17"/>
  </w:num>
  <w:num w:numId="32" w16cid:durableId="1949922552">
    <w:abstractNumId w:val="10"/>
  </w:num>
  <w:num w:numId="33" w16cid:durableId="1672684892">
    <w:abstractNumId w:val="8"/>
  </w:num>
  <w:num w:numId="34" w16cid:durableId="1951475823">
    <w:abstractNumId w:val="19"/>
  </w:num>
  <w:num w:numId="35" w16cid:durableId="212350673">
    <w:abstractNumId w:val="23"/>
  </w:num>
  <w:num w:numId="36" w16cid:durableId="1848398114">
    <w:abstractNumId w:val="22"/>
  </w:num>
  <w:num w:numId="37" w16cid:durableId="703095908">
    <w:abstractNumId w:val="34"/>
  </w:num>
  <w:num w:numId="38" w16cid:durableId="8005">
    <w:abstractNumId w:val="13"/>
  </w:num>
  <w:num w:numId="39" w16cid:durableId="1357737295">
    <w:abstractNumId w:val="1"/>
  </w:num>
  <w:num w:numId="40" w16cid:durableId="962805729">
    <w:abstractNumId w:val="0"/>
  </w:num>
  <w:num w:numId="41" w16cid:durableId="201241576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55ezsznpwetue0zv1pvxv0de0tpe0t2vxv&quot;&gt;MSAC 1705&lt;record-ids&gt;&lt;item&gt;5&lt;/item&gt;&lt;item&gt;8&lt;/item&gt;&lt;item&gt;10&lt;/item&gt;&lt;item&gt;11&lt;/item&gt;&lt;item&gt;17&lt;/item&gt;&lt;item&gt;18&lt;/item&gt;&lt;item&gt;19&lt;/item&gt;&lt;item&gt;23&lt;/item&gt;&lt;item&gt;24&lt;/item&gt;&lt;/record-ids&gt;&lt;/item&gt;&lt;/Libraries&gt;"/>
  </w:docVars>
  <w:rsids>
    <w:rsidRoot w:val="008157F1"/>
    <w:rsid w:val="000001EA"/>
    <w:rsid w:val="00000474"/>
    <w:rsid w:val="0000082C"/>
    <w:rsid w:val="00000907"/>
    <w:rsid w:val="00000C10"/>
    <w:rsid w:val="00000EF8"/>
    <w:rsid w:val="0000109A"/>
    <w:rsid w:val="000010A2"/>
    <w:rsid w:val="000010DD"/>
    <w:rsid w:val="0000139D"/>
    <w:rsid w:val="000017D3"/>
    <w:rsid w:val="00001A9E"/>
    <w:rsid w:val="00001AE6"/>
    <w:rsid w:val="00001B96"/>
    <w:rsid w:val="00001D55"/>
    <w:rsid w:val="00001F0E"/>
    <w:rsid w:val="00001F66"/>
    <w:rsid w:val="00001FB3"/>
    <w:rsid w:val="0000209E"/>
    <w:rsid w:val="000020A3"/>
    <w:rsid w:val="000024C9"/>
    <w:rsid w:val="000026C7"/>
    <w:rsid w:val="00002775"/>
    <w:rsid w:val="000029AE"/>
    <w:rsid w:val="00002AAA"/>
    <w:rsid w:val="00002D3A"/>
    <w:rsid w:val="00002F33"/>
    <w:rsid w:val="00003211"/>
    <w:rsid w:val="00003307"/>
    <w:rsid w:val="0000352F"/>
    <w:rsid w:val="000036F5"/>
    <w:rsid w:val="0000393D"/>
    <w:rsid w:val="00003991"/>
    <w:rsid w:val="00003A4A"/>
    <w:rsid w:val="00003A9E"/>
    <w:rsid w:val="00003AB6"/>
    <w:rsid w:val="00003ADB"/>
    <w:rsid w:val="00003E81"/>
    <w:rsid w:val="00004074"/>
    <w:rsid w:val="000044BE"/>
    <w:rsid w:val="00004895"/>
    <w:rsid w:val="00004A0C"/>
    <w:rsid w:val="00004ABA"/>
    <w:rsid w:val="00004BC1"/>
    <w:rsid w:val="00004D69"/>
    <w:rsid w:val="00004F7F"/>
    <w:rsid w:val="000051EE"/>
    <w:rsid w:val="000054C9"/>
    <w:rsid w:val="0000585D"/>
    <w:rsid w:val="000063EF"/>
    <w:rsid w:val="00006593"/>
    <w:rsid w:val="000068BA"/>
    <w:rsid w:val="00006C55"/>
    <w:rsid w:val="00006E1C"/>
    <w:rsid w:val="000070A1"/>
    <w:rsid w:val="0000719F"/>
    <w:rsid w:val="00007266"/>
    <w:rsid w:val="00007626"/>
    <w:rsid w:val="00007C6C"/>
    <w:rsid w:val="00007D4F"/>
    <w:rsid w:val="0001016E"/>
    <w:rsid w:val="000101F2"/>
    <w:rsid w:val="00010447"/>
    <w:rsid w:val="000104F8"/>
    <w:rsid w:val="00010D0F"/>
    <w:rsid w:val="00010D1C"/>
    <w:rsid w:val="000112A3"/>
    <w:rsid w:val="0001144A"/>
    <w:rsid w:val="00011568"/>
    <w:rsid w:val="00011828"/>
    <w:rsid w:val="00011C50"/>
    <w:rsid w:val="00011DD7"/>
    <w:rsid w:val="000122AD"/>
    <w:rsid w:val="000122B0"/>
    <w:rsid w:val="00012A85"/>
    <w:rsid w:val="00012D0A"/>
    <w:rsid w:val="00013400"/>
    <w:rsid w:val="00013CA3"/>
    <w:rsid w:val="00014490"/>
    <w:rsid w:val="00014698"/>
    <w:rsid w:val="00014974"/>
    <w:rsid w:val="00014B1C"/>
    <w:rsid w:val="00015C3F"/>
    <w:rsid w:val="00015E14"/>
    <w:rsid w:val="0001621E"/>
    <w:rsid w:val="000164FE"/>
    <w:rsid w:val="00016527"/>
    <w:rsid w:val="00016C4A"/>
    <w:rsid w:val="00016DCA"/>
    <w:rsid w:val="000170B9"/>
    <w:rsid w:val="0001774E"/>
    <w:rsid w:val="0001792B"/>
    <w:rsid w:val="00020533"/>
    <w:rsid w:val="000207E6"/>
    <w:rsid w:val="00020800"/>
    <w:rsid w:val="00020A37"/>
    <w:rsid w:val="00020EB3"/>
    <w:rsid w:val="00021081"/>
    <w:rsid w:val="00021568"/>
    <w:rsid w:val="000219B0"/>
    <w:rsid w:val="00021BBE"/>
    <w:rsid w:val="00021DD4"/>
    <w:rsid w:val="00021FD8"/>
    <w:rsid w:val="00022051"/>
    <w:rsid w:val="000224BF"/>
    <w:rsid w:val="000228B8"/>
    <w:rsid w:val="00022B61"/>
    <w:rsid w:val="00023410"/>
    <w:rsid w:val="00023582"/>
    <w:rsid w:val="00023634"/>
    <w:rsid w:val="0002381B"/>
    <w:rsid w:val="000238D5"/>
    <w:rsid w:val="000238F4"/>
    <w:rsid w:val="00023E0D"/>
    <w:rsid w:val="0002408A"/>
    <w:rsid w:val="00024591"/>
    <w:rsid w:val="0002476F"/>
    <w:rsid w:val="00024BE0"/>
    <w:rsid w:val="00024CA9"/>
    <w:rsid w:val="00024EA5"/>
    <w:rsid w:val="00025185"/>
    <w:rsid w:val="0002520D"/>
    <w:rsid w:val="00025BE4"/>
    <w:rsid w:val="00025CB1"/>
    <w:rsid w:val="00025EDF"/>
    <w:rsid w:val="00026600"/>
    <w:rsid w:val="000266D6"/>
    <w:rsid w:val="000269E5"/>
    <w:rsid w:val="00026A6B"/>
    <w:rsid w:val="00026C36"/>
    <w:rsid w:val="00026C4E"/>
    <w:rsid w:val="00026E6F"/>
    <w:rsid w:val="00027009"/>
    <w:rsid w:val="00027369"/>
    <w:rsid w:val="0002755F"/>
    <w:rsid w:val="000275B6"/>
    <w:rsid w:val="0002762B"/>
    <w:rsid w:val="000278B1"/>
    <w:rsid w:val="00027B80"/>
    <w:rsid w:val="00027D2A"/>
    <w:rsid w:val="000301DC"/>
    <w:rsid w:val="00030346"/>
    <w:rsid w:val="00030511"/>
    <w:rsid w:val="00030790"/>
    <w:rsid w:val="00030B22"/>
    <w:rsid w:val="00030B72"/>
    <w:rsid w:val="000317F1"/>
    <w:rsid w:val="00031A89"/>
    <w:rsid w:val="00031AA8"/>
    <w:rsid w:val="00031CF8"/>
    <w:rsid w:val="00031F8B"/>
    <w:rsid w:val="0003217C"/>
    <w:rsid w:val="000323C1"/>
    <w:rsid w:val="000326B4"/>
    <w:rsid w:val="00032790"/>
    <w:rsid w:val="000327D9"/>
    <w:rsid w:val="00033306"/>
    <w:rsid w:val="00033468"/>
    <w:rsid w:val="00033589"/>
    <w:rsid w:val="00033BE1"/>
    <w:rsid w:val="00033C95"/>
    <w:rsid w:val="00034054"/>
    <w:rsid w:val="0003423A"/>
    <w:rsid w:val="00034561"/>
    <w:rsid w:val="0003477F"/>
    <w:rsid w:val="0003502F"/>
    <w:rsid w:val="00035078"/>
    <w:rsid w:val="0003514B"/>
    <w:rsid w:val="00035538"/>
    <w:rsid w:val="00036103"/>
    <w:rsid w:val="00036479"/>
    <w:rsid w:val="00036836"/>
    <w:rsid w:val="00036859"/>
    <w:rsid w:val="00036AD8"/>
    <w:rsid w:val="00036BD1"/>
    <w:rsid w:val="00036E47"/>
    <w:rsid w:val="00037037"/>
    <w:rsid w:val="00037170"/>
    <w:rsid w:val="00037302"/>
    <w:rsid w:val="0003749E"/>
    <w:rsid w:val="000376D8"/>
    <w:rsid w:val="0003771B"/>
    <w:rsid w:val="0003771E"/>
    <w:rsid w:val="0003773D"/>
    <w:rsid w:val="000378D3"/>
    <w:rsid w:val="00037967"/>
    <w:rsid w:val="0003797D"/>
    <w:rsid w:val="00037AC1"/>
    <w:rsid w:val="00037BB6"/>
    <w:rsid w:val="00037C18"/>
    <w:rsid w:val="00037D99"/>
    <w:rsid w:val="00037F76"/>
    <w:rsid w:val="00037FBF"/>
    <w:rsid w:val="0004005D"/>
    <w:rsid w:val="00040372"/>
    <w:rsid w:val="00040387"/>
    <w:rsid w:val="00040ADF"/>
    <w:rsid w:val="00040B2A"/>
    <w:rsid w:val="00040BA8"/>
    <w:rsid w:val="00040CEE"/>
    <w:rsid w:val="00040EB0"/>
    <w:rsid w:val="00040FB4"/>
    <w:rsid w:val="000415A8"/>
    <w:rsid w:val="0004178C"/>
    <w:rsid w:val="00041F5D"/>
    <w:rsid w:val="0004276B"/>
    <w:rsid w:val="000428B3"/>
    <w:rsid w:val="00042B68"/>
    <w:rsid w:val="00042C57"/>
    <w:rsid w:val="00042F66"/>
    <w:rsid w:val="00042FCA"/>
    <w:rsid w:val="000430F7"/>
    <w:rsid w:val="00043E3E"/>
    <w:rsid w:val="00043E60"/>
    <w:rsid w:val="000443A6"/>
    <w:rsid w:val="00044611"/>
    <w:rsid w:val="000449D1"/>
    <w:rsid w:val="00044A3D"/>
    <w:rsid w:val="00044AAF"/>
    <w:rsid w:val="00044BFB"/>
    <w:rsid w:val="00044C3A"/>
    <w:rsid w:val="000451F1"/>
    <w:rsid w:val="000455E9"/>
    <w:rsid w:val="000459E9"/>
    <w:rsid w:val="00045AD7"/>
    <w:rsid w:val="00045AF1"/>
    <w:rsid w:val="00045B8D"/>
    <w:rsid w:val="00045CC5"/>
    <w:rsid w:val="00045E4F"/>
    <w:rsid w:val="00045E5E"/>
    <w:rsid w:val="000460B8"/>
    <w:rsid w:val="000460DF"/>
    <w:rsid w:val="00046467"/>
    <w:rsid w:val="0004671A"/>
    <w:rsid w:val="00046B6A"/>
    <w:rsid w:val="00046BCA"/>
    <w:rsid w:val="00046CE1"/>
    <w:rsid w:val="00046FD2"/>
    <w:rsid w:val="00047028"/>
    <w:rsid w:val="00047198"/>
    <w:rsid w:val="000472D4"/>
    <w:rsid w:val="000476FB"/>
    <w:rsid w:val="00047C3C"/>
    <w:rsid w:val="00050A12"/>
    <w:rsid w:val="00050DF9"/>
    <w:rsid w:val="0005155A"/>
    <w:rsid w:val="000517FC"/>
    <w:rsid w:val="00051EAB"/>
    <w:rsid w:val="00051F0A"/>
    <w:rsid w:val="00052126"/>
    <w:rsid w:val="00052382"/>
    <w:rsid w:val="00052734"/>
    <w:rsid w:val="00052B0E"/>
    <w:rsid w:val="00052B5E"/>
    <w:rsid w:val="00052DA1"/>
    <w:rsid w:val="00052DD3"/>
    <w:rsid w:val="0005306E"/>
    <w:rsid w:val="0005326D"/>
    <w:rsid w:val="0005342A"/>
    <w:rsid w:val="00053488"/>
    <w:rsid w:val="000534E8"/>
    <w:rsid w:val="0005376D"/>
    <w:rsid w:val="00053AD6"/>
    <w:rsid w:val="00053C30"/>
    <w:rsid w:val="00053ECD"/>
    <w:rsid w:val="00053ECF"/>
    <w:rsid w:val="00053F6C"/>
    <w:rsid w:val="00053F75"/>
    <w:rsid w:val="00053FEF"/>
    <w:rsid w:val="0005404B"/>
    <w:rsid w:val="00054162"/>
    <w:rsid w:val="0005441B"/>
    <w:rsid w:val="0005462F"/>
    <w:rsid w:val="000547FE"/>
    <w:rsid w:val="00054A04"/>
    <w:rsid w:val="00054CD0"/>
    <w:rsid w:val="00055027"/>
    <w:rsid w:val="0005509D"/>
    <w:rsid w:val="000553B0"/>
    <w:rsid w:val="00055470"/>
    <w:rsid w:val="0005552C"/>
    <w:rsid w:val="00055544"/>
    <w:rsid w:val="00055816"/>
    <w:rsid w:val="0005584F"/>
    <w:rsid w:val="00055D02"/>
    <w:rsid w:val="00055DB0"/>
    <w:rsid w:val="00055E1E"/>
    <w:rsid w:val="00055EF3"/>
    <w:rsid w:val="00055F63"/>
    <w:rsid w:val="00056111"/>
    <w:rsid w:val="000561FE"/>
    <w:rsid w:val="0005652C"/>
    <w:rsid w:val="000566DC"/>
    <w:rsid w:val="00056811"/>
    <w:rsid w:val="000568AB"/>
    <w:rsid w:val="00056E5D"/>
    <w:rsid w:val="00056E8C"/>
    <w:rsid w:val="00057089"/>
    <w:rsid w:val="00057182"/>
    <w:rsid w:val="000571D9"/>
    <w:rsid w:val="000573F9"/>
    <w:rsid w:val="00057438"/>
    <w:rsid w:val="000574A9"/>
    <w:rsid w:val="00057577"/>
    <w:rsid w:val="000576EA"/>
    <w:rsid w:val="00057A68"/>
    <w:rsid w:val="00057ABF"/>
    <w:rsid w:val="00057C9E"/>
    <w:rsid w:val="00057E95"/>
    <w:rsid w:val="00057F5E"/>
    <w:rsid w:val="00060B25"/>
    <w:rsid w:val="00060C52"/>
    <w:rsid w:val="00060D20"/>
    <w:rsid w:val="000617A2"/>
    <w:rsid w:val="00061915"/>
    <w:rsid w:val="00061924"/>
    <w:rsid w:val="00061CB0"/>
    <w:rsid w:val="00062290"/>
    <w:rsid w:val="0006233F"/>
    <w:rsid w:val="000625DE"/>
    <w:rsid w:val="00062715"/>
    <w:rsid w:val="0006295F"/>
    <w:rsid w:val="000629AB"/>
    <w:rsid w:val="00062A6C"/>
    <w:rsid w:val="00062BBC"/>
    <w:rsid w:val="00062FA2"/>
    <w:rsid w:val="00063162"/>
    <w:rsid w:val="000632EC"/>
    <w:rsid w:val="0006339C"/>
    <w:rsid w:val="00063465"/>
    <w:rsid w:val="000635EF"/>
    <w:rsid w:val="0006362B"/>
    <w:rsid w:val="000637ED"/>
    <w:rsid w:val="00063CB6"/>
    <w:rsid w:val="000641A7"/>
    <w:rsid w:val="00064783"/>
    <w:rsid w:val="000647C2"/>
    <w:rsid w:val="00064A9F"/>
    <w:rsid w:val="00064BF2"/>
    <w:rsid w:val="00064D8E"/>
    <w:rsid w:val="00065100"/>
    <w:rsid w:val="000651CE"/>
    <w:rsid w:val="00065AB5"/>
    <w:rsid w:val="00065ACE"/>
    <w:rsid w:val="00065C0C"/>
    <w:rsid w:val="00065E9C"/>
    <w:rsid w:val="00065FEB"/>
    <w:rsid w:val="000660A9"/>
    <w:rsid w:val="0006639B"/>
    <w:rsid w:val="000663DE"/>
    <w:rsid w:val="0006679C"/>
    <w:rsid w:val="00066BE5"/>
    <w:rsid w:val="00066CEB"/>
    <w:rsid w:val="00066CF2"/>
    <w:rsid w:val="00066F0E"/>
    <w:rsid w:val="00067248"/>
    <w:rsid w:val="00067402"/>
    <w:rsid w:val="0006750C"/>
    <w:rsid w:val="000675CE"/>
    <w:rsid w:val="000679CD"/>
    <w:rsid w:val="000700A7"/>
    <w:rsid w:val="00070114"/>
    <w:rsid w:val="0007021F"/>
    <w:rsid w:val="000703D9"/>
    <w:rsid w:val="000705B4"/>
    <w:rsid w:val="0007088E"/>
    <w:rsid w:val="000709A0"/>
    <w:rsid w:val="00070C9E"/>
    <w:rsid w:val="000712EC"/>
    <w:rsid w:val="00071836"/>
    <w:rsid w:val="00071A00"/>
    <w:rsid w:val="00071EB5"/>
    <w:rsid w:val="000722B5"/>
    <w:rsid w:val="000729A7"/>
    <w:rsid w:val="00072B16"/>
    <w:rsid w:val="00072B84"/>
    <w:rsid w:val="00072BA0"/>
    <w:rsid w:val="00072BD1"/>
    <w:rsid w:val="00072C64"/>
    <w:rsid w:val="0007313E"/>
    <w:rsid w:val="00073445"/>
    <w:rsid w:val="00073699"/>
    <w:rsid w:val="000736DF"/>
    <w:rsid w:val="000738CE"/>
    <w:rsid w:val="00073A07"/>
    <w:rsid w:val="00073E4A"/>
    <w:rsid w:val="00073EA6"/>
    <w:rsid w:val="00074199"/>
    <w:rsid w:val="000745C9"/>
    <w:rsid w:val="00074E52"/>
    <w:rsid w:val="00074FFF"/>
    <w:rsid w:val="0007502D"/>
    <w:rsid w:val="00075151"/>
    <w:rsid w:val="00075417"/>
    <w:rsid w:val="00075BC5"/>
    <w:rsid w:val="00075C9D"/>
    <w:rsid w:val="00075CAE"/>
    <w:rsid w:val="00075D4D"/>
    <w:rsid w:val="00075D95"/>
    <w:rsid w:val="00076055"/>
    <w:rsid w:val="00076800"/>
    <w:rsid w:val="0007680A"/>
    <w:rsid w:val="00076A1B"/>
    <w:rsid w:val="00076D29"/>
    <w:rsid w:val="0007701C"/>
    <w:rsid w:val="000774AA"/>
    <w:rsid w:val="000775AE"/>
    <w:rsid w:val="00080040"/>
    <w:rsid w:val="00080241"/>
    <w:rsid w:val="00080384"/>
    <w:rsid w:val="000807C8"/>
    <w:rsid w:val="000808F0"/>
    <w:rsid w:val="00080B45"/>
    <w:rsid w:val="00080BC4"/>
    <w:rsid w:val="00080E9D"/>
    <w:rsid w:val="00080FDB"/>
    <w:rsid w:val="00081290"/>
    <w:rsid w:val="000815D1"/>
    <w:rsid w:val="000816A2"/>
    <w:rsid w:val="00081778"/>
    <w:rsid w:val="0008257A"/>
    <w:rsid w:val="000825B3"/>
    <w:rsid w:val="00082728"/>
    <w:rsid w:val="00082870"/>
    <w:rsid w:val="000829C0"/>
    <w:rsid w:val="00083174"/>
    <w:rsid w:val="000835D4"/>
    <w:rsid w:val="00083607"/>
    <w:rsid w:val="00083756"/>
    <w:rsid w:val="0008387D"/>
    <w:rsid w:val="00083B91"/>
    <w:rsid w:val="00083D72"/>
    <w:rsid w:val="00083D7F"/>
    <w:rsid w:val="00083FFB"/>
    <w:rsid w:val="000841E8"/>
    <w:rsid w:val="000847B4"/>
    <w:rsid w:val="00084B2C"/>
    <w:rsid w:val="00084B44"/>
    <w:rsid w:val="00084C0C"/>
    <w:rsid w:val="00084FA9"/>
    <w:rsid w:val="00085481"/>
    <w:rsid w:val="00085623"/>
    <w:rsid w:val="000856BA"/>
    <w:rsid w:val="00085C61"/>
    <w:rsid w:val="00085D68"/>
    <w:rsid w:val="00085EA0"/>
    <w:rsid w:val="00085F98"/>
    <w:rsid w:val="00086019"/>
    <w:rsid w:val="000863CB"/>
    <w:rsid w:val="000866E0"/>
    <w:rsid w:val="0008699A"/>
    <w:rsid w:val="00086B8A"/>
    <w:rsid w:val="00086F1D"/>
    <w:rsid w:val="000870B6"/>
    <w:rsid w:val="00087589"/>
    <w:rsid w:val="000877F3"/>
    <w:rsid w:val="00087802"/>
    <w:rsid w:val="00087F0A"/>
    <w:rsid w:val="0009002A"/>
    <w:rsid w:val="00090119"/>
    <w:rsid w:val="00090149"/>
    <w:rsid w:val="000903E6"/>
    <w:rsid w:val="0009057A"/>
    <w:rsid w:val="00090605"/>
    <w:rsid w:val="00090613"/>
    <w:rsid w:val="000906E4"/>
    <w:rsid w:val="000907EC"/>
    <w:rsid w:val="00090A30"/>
    <w:rsid w:val="00090B0F"/>
    <w:rsid w:val="00090BD1"/>
    <w:rsid w:val="000914BF"/>
    <w:rsid w:val="00091857"/>
    <w:rsid w:val="000919D4"/>
    <w:rsid w:val="00091BD9"/>
    <w:rsid w:val="00091C59"/>
    <w:rsid w:val="00091F85"/>
    <w:rsid w:val="00092289"/>
    <w:rsid w:val="000923AA"/>
    <w:rsid w:val="000923CB"/>
    <w:rsid w:val="00092A21"/>
    <w:rsid w:val="0009356A"/>
    <w:rsid w:val="000937A4"/>
    <w:rsid w:val="0009399C"/>
    <w:rsid w:val="00093D9A"/>
    <w:rsid w:val="00093EDC"/>
    <w:rsid w:val="000944F9"/>
    <w:rsid w:val="00094656"/>
    <w:rsid w:val="000948CA"/>
    <w:rsid w:val="00094D3F"/>
    <w:rsid w:val="0009508B"/>
    <w:rsid w:val="00095313"/>
    <w:rsid w:val="00095801"/>
    <w:rsid w:val="00095C15"/>
    <w:rsid w:val="00096172"/>
    <w:rsid w:val="000966D1"/>
    <w:rsid w:val="00096816"/>
    <w:rsid w:val="000968CB"/>
    <w:rsid w:val="00096B52"/>
    <w:rsid w:val="00096D2E"/>
    <w:rsid w:val="0009722E"/>
    <w:rsid w:val="00097512"/>
    <w:rsid w:val="000978C9"/>
    <w:rsid w:val="00097C8A"/>
    <w:rsid w:val="00097FE6"/>
    <w:rsid w:val="000A00C9"/>
    <w:rsid w:val="000A01A3"/>
    <w:rsid w:val="000A0269"/>
    <w:rsid w:val="000A04F3"/>
    <w:rsid w:val="000A051C"/>
    <w:rsid w:val="000A0522"/>
    <w:rsid w:val="000A0DFC"/>
    <w:rsid w:val="000A0F7E"/>
    <w:rsid w:val="000A10BF"/>
    <w:rsid w:val="000A10E7"/>
    <w:rsid w:val="000A120D"/>
    <w:rsid w:val="000A1787"/>
    <w:rsid w:val="000A1A95"/>
    <w:rsid w:val="000A1CD8"/>
    <w:rsid w:val="000A2228"/>
    <w:rsid w:val="000A2451"/>
    <w:rsid w:val="000A29E6"/>
    <w:rsid w:val="000A2ACD"/>
    <w:rsid w:val="000A2B65"/>
    <w:rsid w:val="000A2CA2"/>
    <w:rsid w:val="000A2D4F"/>
    <w:rsid w:val="000A2DA8"/>
    <w:rsid w:val="000A2F3A"/>
    <w:rsid w:val="000A2F9F"/>
    <w:rsid w:val="000A2FB0"/>
    <w:rsid w:val="000A2FEE"/>
    <w:rsid w:val="000A3081"/>
    <w:rsid w:val="000A3197"/>
    <w:rsid w:val="000A32B5"/>
    <w:rsid w:val="000A3F26"/>
    <w:rsid w:val="000A4720"/>
    <w:rsid w:val="000A4839"/>
    <w:rsid w:val="000A4D54"/>
    <w:rsid w:val="000A5216"/>
    <w:rsid w:val="000A552D"/>
    <w:rsid w:val="000A5C47"/>
    <w:rsid w:val="000A5F0E"/>
    <w:rsid w:val="000A629E"/>
    <w:rsid w:val="000A6329"/>
    <w:rsid w:val="000A6383"/>
    <w:rsid w:val="000A63B1"/>
    <w:rsid w:val="000A67C4"/>
    <w:rsid w:val="000A6ABB"/>
    <w:rsid w:val="000A6B30"/>
    <w:rsid w:val="000A763A"/>
    <w:rsid w:val="000A7713"/>
    <w:rsid w:val="000A78D0"/>
    <w:rsid w:val="000A7B5C"/>
    <w:rsid w:val="000A7CB1"/>
    <w:rsid w:val="000A7CE5"/>
    <w:rsid w:val="000B0285"/>
    <w:rsid w:val="000B057D"/>
    <w:rsid w:val="000B0A57"/>
    <w:rsid w:val="000B0D31"/>
    <w:rsid w:val="000B14BF"/>
    <w:rsid w:val="000B17B3"/>
    <w:rsid w:val="000B18F2"/>
    <w:rsid w:val="000B19CC"/>
    <w:rsid w:val="000B1B83"/>
    <w:rsid w:val="000B22A0"/>
    <w:rsid w:val="000B2411"/>
    <w:rsid w:val="000B2417"/>
    <w:rsid w:val="000B2547"/>
    <w:rsid w:val="000B2590"/>
    <w:rsid w:val="000B293C"/>
    <w:rsid w:val="000B2ACF"/>
    <w:rsid w:val="000B2C12"/>
    <w:rsid w:val="000B2F19"/>
    <w:rsid w:val="000B31F7"/>
    <w:rsid w:val="000B3330"/>
    <w:rsid w:val="000B37D1"/>
    <w:rsid w:val="000B38B9"/>
    <w:rsid w:val="000B3B62"/>
    <w:rsid w:val="000B3EC7"/>
    <w:rsid w:val="000B40CA"/>
    <w:rsid w:val="000B447A"/>
    <w:rsid w:val="000B462F"/>
    <w:rsid w:val="000B4911"/>
    <w:rsid w:val="000B4B17"/>
    <w:rsid w:val="000B4F37"/>
    <w:rsid w:val="000B5D26"/>
    <w:rsid w:val="000B5D2F"/>
    <w:rsid w:val="000B5E59"/>
    <w:rsid w:val="000B61BC"/>
    <w:rsid w:val="000B64AB"/>
    <w:rsid w:val="000B6525"/>
    <w:rsid w:val="000B6CF0"/>
    <w:rsid w:val="000B6E64"/>
    <w:rsid w:val="000B70AD"/>
    <w:rsid w:val="000B70F4"/>
    <w:rsid w:val="000B720C"/>
    <w:rsid w:val="000B7665"/>
    <w:rsid w:val="000B76FB"/>
    <w:rsid w:val="000B782B"/>
    <w:rsid w:val="000B7DD2"/>
    <w:rsid w:val="000B7EC6"/>
    <w:rsid w:val="000C0047"/>
    <w:rsid w:val="000C01D8"/>
    <w:rsid w:val="000C0450"/>
    <w:rsid w:val="000C08FC"/>
    <w:rsid w:val="000C0C67"/>
    <w:rsid w:val="000C0D27"/>
    <w:rsid w:val="000C0E6F"/>
    <w:rsid w:val="000C1258"/>
    <w:rsid w:val="000C14CB"/>
    <w:rsid w:val="000C19EB"/>
    <w:rsid w:val="000C1D35"/>
    <w:rsid w:val="000C1EB1"/>
    <w:rsid w:val="000C1F48"/>
    <w:rsid w:val="000C20A6"/>
    <w:rsid w:val="000C21C8"/>
    <w:rsid w:val="000C2883"/>
    <w:rsid w:val="000C2E52"/>
    <w:rsid w:val="000C3107"/>
    <w:rsid w:val="000C3C05"/>
    <w:rsid w:val="000C3CDB"/>
    <w:rsid w:val="000C3FE6"/>
    <w:rsid w:val="000C4246"/>
    <w:rsid w:val="000C42EA"/>
    <w:rsid w:val="000C4620"/>
    <w:rsid w:val="000C4827"/>
    <w:rsid w:val="000C4832"/>
    <w:rsid w:val="000C5144"/>
    <w:rsid w:val="000C5712"/>
    <w:rsid w:val="000C59D2"/>
    <w:rsid w:val="000C5CD7"/>
    <w:rsid w:val="000C5DB4"/>
    <w:rsid w:val="000C641D"/>
    <w:rsid w:val="000C69D4"/>
    <w:rsid w:val="000C6B2F"/>
    <w:rsid w:val="000C6D79"/>
    <w:rsid w:val="000C6E27"/>
    <w:rsid w:val="000C6EE7"/>
    <w:rsid w:val="000C7C46"/>
    <w:rsid w:val="000D0A35"/>
    <w:rsid w:val="000D0A7A"/>
    <w:rsid w:val="000D1B52"/>
    <w:rsid w:val="000D21C9"/>
    <w:rsid w:val="000D2525"/>
    <w:rsid w:val="000D2771"/>
    <w:rsid w:val="000D27AC"/>
    <w:rsid w:val="000D2848"/>
    <w:rsid w:val="000D2A2A"/>
    <w:rsid w:val="000D2B6D"/>
    <w:rsid w:val="000D2BF5"/>
    <w:rsid w:val="000D2D16"/>
    <w:rsid w:val="000D30F9"/>
    <w:rsid w:val="000D3ADA"/>
    <w:rsid w:val="000D3C6E"/>
    <w:rsid w:val="000D3EA3"/>
    <w:rsid w:val="000D43D1"/>
    <w:rsid w:val="000D4540"/>
    <w:rsid w:val="000D4ABB"/>
    <w:rsid w:val="000D4C05"/>
    <w:rsid w:val="000D4C1B"/>
    <w:rsid w:val="000D4CC8"/>
    <w:rsid w:val="000D5523"/>
    <w:rsid w:val="000D58C5"/>
    <w:rsid w:val="000D5EFF"/>
    <w:rsid w:val="000D642C"/>
    <w:rsid w:val="000D6CA5"/>
    <w:rsid w:val="000D6EDA"/>
    <w:rsid w:val="000D6FF9"/>
    <w:rsid w:val="000D707B"/>
    <w:rsid w:val="000D752E"/>
    <w:rsid w:val="000D756D"/>
    <w:rsid w:val="000D778F"/>
    <w:rsid w:val="000D7924"/>
    <w:rsid w:val="000D79CC"/>
    <w:rsid w:val="000D7E64"/>
    <w:rsid w:val="000D7F31"/>
    <w:rsid w:val="000E00AF"/>
    <w:rsid w:val="000E02C9"/>
    <w:rsid w:val="000E03DC"/>
    <w:rsid w:val="000E095E"/>
    <w:rsid w:val="000E09CE"/>
    <w:rsid w:val="000E1124"/>
    <w:rsid w:val="000E11F2"/>
    <w:rsid w:val="000E1227"/>
    <w:rsid w:val="000E1B49"/>
    <w:rsid w:val="000E211A"/>
    <w:rsid w:val="000E23C8"/>
    <w:rsid w:val="000E261E"/>
    <w:rsid w:val="000E27D4"/>
    <w:rsid w:val="000E281B"/>
    <w:rsid w:val="000E2B28"/>
    <w:rsid w:val="000E2C44"/>
    <w:rsid w:val="000E2DE0"/>
    <w:rsid w:val="000E2EF3"/>
    <w:rsid w:val="000E3112"/>
    <w:rsid w:val="000E325A"/>
    <w:rsid w:val="000E3337"/>
    <w:rsid w:val="000E3710"/>
    <w:rsid w:val="000E3ECB"/>
    <w:rsid w:val="000E4109"/>
    <w:rsid w:val="000E4148"/>
    <w:rsid w:val="000E4576"/>
    <w:rsid w:val="000E4945"/>
    <w:rsid w:val="000E4A5B"/>
    <w:rsid w:val="000E4F9B"/>
    <w:rsid w:val="000E52D2"/>
    <w:rsid w:val="000E5531"/>
    <w:rsid w:val="000E57FC"/>
    <w:rsid w:val="000E5D9D"/>
    <w:rsid w:val="000E6410"/>
    <w:rsid w:val="000E666D"/>
    <w:rsid w:val="000E678B"/>
    <w:rsid w:val="000E7390"/>
    <w:rsid w:val="000E7C95"/>
    <w:rsid w:val="000F051A"/>
    <w:rsid w:val="000F057F"/>
    <w:rsid w:val="000F0647"/>
    <w:rsid w:val="000F0925"/>
    <w:rsid w:val="000F0A66"/>
    <w:rsid w:val="000F0B5E"/>
    <w:rsid w:val="000F0BA1"/>
    <w:rsid w:val="000F1416"/>
    <w:rsid w:val="000F1715"/>
    <w:rsid w:val="000F17DD"/>
    <w:rsid w:val="000F1812"/>
    <w:rsid w:val="000F198B"/>
    <w:rsid w:val="000F1AFF"/>
    <w:rsid w:val="000F20BE"/>
    <w:rsid w:val="000F236B"/>
    <w:rsid w:val="000F279B"/>
    <w:rsid w:val="000F28A2"/>
    <w:rsid w:val="000F29D8"/>
    <w:rsid w:val="000F2AB0"/>
    <w:rsid w:val="000F2D96"/>
    <w:rsid w:val="000F2E01"/>
    <w:rsid w:val="000F2F9C"/>
    <w:rsid w:val="000F3083"/>
    <w:rsid w:val="000F3A85"/>
    <w:rsid w:val="000F3B8F"/>
    <w:rsid w:val="000F3BBE"/>
    <w:rsid w:val="000F460D"/>
    <w:rsid w:val="000F469B"/>
    <w:rsid w:val="000F4960"/>
    <w:rsid w:val="000F4961"/>
    <w:rsid w:val="000F4BF8"/>
    <w:rsid w:val="000F50FF"/>
    <w:rsid w:val="000F5157"/>
    <w:rsid w:val="000F541E"/>
    <w:rsid w:val="000F5644"/>
    <w:rsid w:val="000F564B"/>
    <w:rsid w:val="000F5A54"/>
    <w:rsid w:val="000F60A7"/>
    <w:rsid w:val="000F63EF"/>
    <w:rsid w:val="000F654E"/>
    <w:rsid w:val="000F656A"/>
    <w:rsid w:val="000F693C"/>
    <w:rsid w:val="000F6B20"/>
    <w:rsid w:val="000F6E15"/>
    <w:rsid w:val="000F6E27"/>
    <w:rsid w:val="000F7987"/>
    <w:rsid w:val="000F79C5"/>
    <w:rsid w:val="000F7D22"/>
    <w:rsid w:val="000F7D97"/>
    <w:rsid w:val="0010046E"/>
    <w:rsid w:val="001004D5"/>
    <w:rsid w:val="0010051C"/>
    <w:rsid w:val="0010069E"/>
    <w:rsid w:val="00100B06"/>
    <w:rsid w:val="00100ED7"/>
    <w:rsid w:val="001013A4"/>
    <w:rsid w:val="001014F9"/>
    <w:rsid w:val="001014FC"/>
    <w:rsid w:val="0010155F"/>
    <w:rsid w:val="00101585"/>
    <w:rsid w:val="00101BD0"/>
    <w:rsid w:val="00101CAE"/>
    <w:rsid w:val="00101F31"/>
    <w:rsid w:val="00102042"/>
    <w:rsid w:val="00102408"/>
    <w:rsid w:val="0010298B"/>
    <w:rsid w:val="00102DAA"/>
    <w:rsid w:val="00102E9A"/>
    <w:rsid w:val="0010321D"/>
    <w:rsid w:val="00104242"/>
    <w:rsid w:val="0010448B"/>
    <w:rsid w:val="00104AD8"/>
    <w:rsid w:val="0010512E"/>
    <w:rsid w:val="001051E2"/>
    <w:rsid w:val="0010521F"/>
    <w:rsid w:val="001052AA"/>
    <w:rsid w:val="00105523"/>
    <w:rsid w:val="00105D01"/>
    <w:rsid w:val="00105DC6"/>
    <w:rsid w:val="00105ED7"/>
    <w:rsid w:val="00105EE3"/>
    <w:rsid w:val="00106091"/>
    <w:rsid w:val="001061A8"/>
    <w:rsid w:val="0010625A"/>
    <w:rsid w:val="00106573"/>
    <w:rsid w:val="00107211"/>
    <w:rsid w:val="00107297"/>
    <w:rsid w:val="00107524"/>
    <w:rsid w:val="00107649"/>
    <w:rsid w:val="001078D7"/>
    <w:rsid w:val="00107BB4"/>
    <w:rsid w:val="00107DCD"/>
    <w:rsid w:val="00107EF0"/>
    <w:rsid w:val="00107FB6"/>
    <w:rsid w:val="00110118"/>
    <w:rsid w:val="00110C43"/>
    <w:rsid w:val="00110D5F"/>
    <w:rsid w:val="00110D96"/>
    <w:rsid w:val="001111C0"/>
    <w:rsid w:val="00111417"/>
    <w:rsid w:val="001115C0"/>
    <w:rsid w:val="00111857"/>
    <w:rsid w:val="00111A92"/>
    <w:rsid w:val="00111BB1"/>
    <w:rsid w:val="00111C69"/>
    <w:rsid w:val="001126BE"/>
    <w:rsid w:val="00112794"/>
    <w:rsid w:val="00112933"/>
    <w:rsid w:val="001129A9"/>
    <w:rsid w:val="001130D7"/>
    <w:rsid w:val="00113543"/>
    <w:rsid w:val="001135D7"/>
    <w:rsid w:val="0011375E"/>
    <w:rsid w:val="00113C60"/>
    <w:rsid w:val="00113C82"/>
    <w:rsid w:val="00114C0D"/>
    <w:rsid w:val="00114C3B"/>
    <w:rsid w:val="00114E37"/>
    <w:rsid w:val="00115374"/>
    <w:rsid w:val="0011544C"/>
    <w:rsid w:val="00115691"/>
    <w:rsid w:val="00115693"/>
    <w:rsid w:val="00115863"/>
    <w:rsid w:val="001159B7"/>
    <w:rsid w:val="00115C36"/>
    <w:rsid w:val="00115C83"/>
    <w:rsid w:val="00115CA0"/>
    <w:rsid w:val="0011625B"/>
    <w:rsid w:val="00116470"/>
    <w:rsid w:val="00116593"/>
    <w:rsid w:val="0011667E"/>
    <w:rsid w:val="001166CA"/>
    <w:rsid w:val="0011692E"/>
    <w:rsid w:val="00116BCE"/>
    <w:rsid w:val="00117039"/>
    <w:rsid w:val="00117042"/>
    <w:rsid w:val="001170FA"/>
    <w:rsid w:val="00117307"/>
    <w:rsid w:val="00117346"/>
    <w:rsid w:val="001176D4"/>
    <w:rsid w:val="0011776F"/>
    <w:rsid w:val="00117C5C"/>
    <w:rsid w:val="00117E6B"/>
    <w:rsid w:val="00117E80"/>
    <w:rsid w:val="00117F04"/>
    <w:rsid w:val="001204FD"/>
    <w:rsid w:val="00120533"/>
    <w:rsid w:val="0012070D"/>
    <w:rsid w:val="001208B4"/>
    <w:rsid w:val="00120A35"/>
    <w:rsid w:val="00120BD3"/>
    <w:rsid w:val="00120FA3"/>
    <w:rsid w:val="001216BC"/>
    <w:rsid w:val="00121768"/>
    <w:rsid w:val="00121965"/>
    <w:rsid w:val="00121D95"/>
    <w:rsid w:val="00121EF1"/>
    <w:rsid w:val="0012208F"/>
    <w:rsid w:val="0012221C"/>
    <w:rsid w:val="001222D3"/>
    <w:rsid w:val="001225B2"/>
    <w:rsid w:val="00122826"/>
    <w:rsid w:val="00122912"/>
    <w:rsid w:val="00122AE3"/>
    <w:rsid w:val="00122EE1"/>
    <w:rsid w:val="00122FFF"/>
    <w:rsid w:val="0012302D"/>
    <w:rsid w:val="0012304E"/>
    <w:rsid w:val="0012336E"/>
    <w:rsid w:val="00123658"/>
    <w:rsid w:val="001237AF"/>
    <w:rsid w:val="00123DC3"/>
    <w:rsid w:val="001242F0"/>
    <w:rsid w:val="001243B6"/>
    <w:rsid w:val="00124594"/>
    <w:rsid w:val="001247EB"/>
    <w:rsid w:val="00124A6A"/>
    <w:rsid w:val="00124AFA"/>
    <w:rsid w:val="00124C6E"/>
    <w:rsid w:val="00124F3C"/>
    <w:rsid w:val="00124F85"/>
    <w:rsid w:val="0012529F"/>
    <w:rsid w:val="00125924"/>
    <w:rsid w:val="00125940"/>
    <w:rsid w:val="00125A73"/>
    <w:rsid w:val="00125B61"/>
    <w:rsid w:val="00125B76"/>
    <w:rsid w:val="00125C5E"/>
    <w:rsid w:val="00125E14"/>
    <w:rsid w:val="00126087"/>
    <w:rsid w:val="00126122"/>
    <w:rsid w:val="001261E6"/>
    <w:rsid w:val="0012633D"/>
    <w:rsid w:val="00126B20"/>
    <w:rsid w:val="00126D78"/>
    <w:rsid w:val="00130708"/>
    <w:rsid w:val="001307D9"/>
    <w:rsid w:val="00130BB3"/>
    <w:rsid w:val="001314BF"/>
    <w:rsid w:val="001317AE"/>
    <w:rsid w:val="001318CF"/>
    <w:rsid w:val="00131983"/>
    <w:rsid w:val="001319FA"/>
    <w:rsid w:val="00131D45"/>
    <w:rsid w:val="00131DB3"/>
    <w:rsid w:val="001320F0"/>
    <w:rsid w:val="0013237F"/>
    <w:rsid w:val="00132806"/>
    <w:rsid w:val="00132883"/>
    <w:rsid w:val="00132D48"/>
    <w:rsid w:val="00132D7A"/>
    <w:rsid w:val="001330F1"/>
    <w:rsid w:val="0013342C"/>
    <w:rsid w:val="00133617"/>
    <w:rsid w:val="001336E0"/>
    <w:rsid w:val="00133F34"/>
    <w:rsid w:val="001347FE"/>
    <w:rsid w:val="001349AD"/>
    <w:rsid w:val="001349E5"/>
    <w:rsid w:val="00134A95"/>
    <w:rsid w:val="00134B88"/>
    <w:rsid w:val="00134D1D"/>
    <w:rsid w:val="00135273"/>
    <w:rsid w:val="001356A7"/>
    <w:rsid w:val="001359D2"/>
    <w:rsid w:val="00135D16"/>
    <w:rsid w:val="00135DC7"/>
    <w:rsid w:val="00135FC9"/>
    <w:rsid w:val="001362F5"/>
    <w:rsid w:val="001364DC"/>
    <w:rsid w:val="001366E2"/>
    <w:rsid w:val="00136B73"/>
    <w:rsid w:val="00136D4E"/>
    <w:rsid w:val="001377D3"/>
    <w:rsid w:val="00137830"/>
    <w:rsid w:val="00137D8C"/>
    <w:rsid w:val="00140009"/>
    <w:rsid w:val="00140495"/>
    <w:rsid w:val="001406AB"/>
    <w:rsid w:val="00140A6A"/>
    <w:rsid w:val="00140C27"/>
    <w:rsid w:val="00141295"/>
    <w:rsid w:val="00142230"/>
    <w:rsid w:val="00142238"/>
    <w:rsid w:val="00142324"/>
    <w:rsid w:val="00142471"/>
    <w:rsid w:val="00142530"/>
    <w:rsid w:val="00142552"/>
    <w:rsid w:val="0014264E"/>
    <w:rsid w:val="00142A82"/>
    <w:rsid w:val="00142CC6"/>
    <w:rsid w:val="00142EDD"/>
    <w:rsid w:val="00143478"/>
    <w:rsid w:val="0014395A"/>
    <w:rsid w:val="00143DF8"/>
    <w:rsid w:val="00143F2F"/>
    <w:rsid w:val="0014438D"/>
    <w:rsid w:val="001443B4"/>
    <w:rsid w:val="001448CE"/>
    <w:rsid w:val="00144B7E"/>
    <w:rsid w:val="00144F1E"/>
    <w:rsid w:val="0014515D"/>
    <w:rsid w:val="001452C6"/>
    <w:rsid w:val="0014545C"/>
    <w:rsid w:val="00145BF1"/>
    <w:rsid w:val="00146624"/>
    <w:rsid w:val="0014675E"/>
    <w:rsid w:val="00146EDD"/>
    <w:rsid w:val="00147294"/>
    <w:rsid w:val="00147411"/>
    <w:rsid w:val="00147705"/>
    <w:rsid w:val="00147C4D"/>
    <w:rsid w:val="0015014E"/>
    <w:rsid w:val="00150376"/>
    <w:rsid w:val="00150632"/>
    <w:rsid w:val="00150C45"/>
    <w:rsid w:val="001516CD"/>
    <w:rsid w:val="00151DBD"/>
    <w:rsid w:val="00152145"/>
    <w:rsid w:val="00152768"/>
    <w:rsid w:val="0015289A"/>
    <w:rsid w:val="00152A93"/>
    <w:rsid w:val="001531D6"/>
    <w:rsid w:val="001532CA"/>
    <w:rsid w:val="0015331E"/>
    <w:rsid w:val="00153465"/>
    <w:rsid w:val="001537DA"/>
    <w:rsid w:val="001539AF"/>
    <w:rsid w:val="00153AB6"/>
    <w:rsid w:val="00153B38"/>
    <w:rsid w:val="00153D6B"/>
    <w:rsid w:val="00153E96"/>
    <w:rsid w:val="0015402D"/>
    <w:rsid w:val="001542C8"/>
    <w:rsid w:val="00154317"/>
    <w:rsid w:val="00154325"/>
    <w:rsid w:val="001544C2"/>
    <w:rsid w:val="0015485B"/>
    <w:rsid w:val="00154EFD"/>
    <w:rsid w:val="00155434"/>
    <w:rsid w:val="0015548A"/>
    <w:rsid w:val="00155BDA"/>
    <w:rsid w:val="00155D41"/>
    <w:rsid w:val="00155EE0"/>
    <w:rsid w:val="001561D2"/>
    <w:rsid w:val="00156AD2"/>
    <w:rsid w:val="00156C8A"/>
    <w:rsid w:val="00156F22"/>
    <w:rsid w:val="00156FA7"/>
    <w:rsid w:val="00157B71"/>
    <w:rsid w:val="00157C11"/>
    <w:rsid w:val="00157D59"/>
    <w:rsid w:val="00157EFE"/>
    <w:rsid w:val="00157F9E"/>
    <w:rsid w:val="0016023A"/>
    <w:rsid w:val="0016055A"/>
    <w:rsid w:val="001605B8"/>
    <w:rsid w:val="00160659"/>
    <w:rsid w:val="0016093A"/>
    <w:rsid w:val="00160C81"/>
    <w:rsid w:val="00160CAE"/>
    <w:rsid w:val="00160F21"/>
    <w:rsid w:val="00160FC0"/>
    <w:rsid w:val="00160FE0"/>
    <w:rsid w:val="001610EC"/>
    <w:rsid w:val="00161221"/>
    <w:rsid w:val="00161626"/>
    <w:rsid w:val="00161AA6"/>
    <w:rsid w:val="00161B9D"/>
    <w:rsid w:val="00161BFC"/>
    <w:rsid w:val="00161C51"/>
    <w:rsid w:val="00161D6E"/>
    <w:rsid w:val="00162045"/>
    <w:rsid w:val="00162193"/>
    <w:rsid w:val="0016238E"/>
    <w:rsid w:val="0016287F"/>
    <w:rsid w:val="00162B05"/>
    <w:rsid w:val="00162DBF"/>
    <w:rsid w:val="00163018"/>
    <w:rsid w:val="00163102"/>
    <w:rsid w:val="00163710"/>
    <w:rsid w:val="00163764"/>
    <w:rsid w:val="001637D2"/>
    <w:rsid w:val="00163BEE"/>
    <w:rsid w:val="00163C62"/>
    <w:rsid w:val="00163F1A"/>
    <w:rsid w:val="00164C36"/>
    <w:rsid w:val="00164CF8"/>
    <w:rsid w:val="001653AE"/>
    <w:rsid w:val="0016553C"/>
    <w:rsid w:val="0016577C"/>
    <w:rsid w:val="00165D2A"/>
    <w:rsid w:val="00165ED7"/>
    <w:rsid w:val="00166A44"/>
    <w:rsid w:val="00166BF1"/>
    <w:rsid w:val="00166D20"/>
    <w:rsid w:val="00167113"/>
    <w:rsid w:val="001671B9"/>
    <w:rsid w:val="001674D2"/>
    <w:rsid w:val="00167B9E"/>
    <w:rsid w:val="00167F88"/>
    <w:rsid w:val="00170080"/>
    <w:rsid w:val="001701D0"/>
    <w:rsid w:val="0017038E"/>
    <w:rsid w:val="001705D0"/>
    <w:rsid w:val="0017069D"/>
    <w:rsid w:val="001709F8"/>
    <w:rsid w:val="00170A0F"/>
    <w:rsid w:val="00170D5B"/>
    <w:rsid w:val="00170F1A"/>
    <w:rsid w:val="00171254"/>
    <w:rsid w:val="001712D1"/>
    <w:rsid w:val="0017174D"/>
    <w:rsid w:val="0017197A"/>
    <w:rsid w:val="00171F39"/>
    <w:rsid w:val="0017235E"/>
    <w:rsid w:val="00172B04"/>
    <w:rsid w:val="00172B8F"/>
    <w:rsid w:val="00172D8E"/>
    <w:rsid w:val="001736F8"/>
    <w:rsid w:val="00173748"/>
    <w:rsid w:val="00173852"/>
    <w:rsid w:val="001739F5"/>
    <w:rsid w:val="00173D85"/>
    <w:rsid w:val="00173DB1"/>
    <w:rsid w:val="00173F46"/>
    <w:rsid w:val="00174124"/>
    <w:rsid w:val="00174250"/>
    <w:rsid w:val="00174362"/>
    <w:rsid w:val="00174930"/>
    <w:rsid w:val="001749F2"/>
    <w:rsid w:val="00174B51"/>
    <w:rsid w:val="00174DB4"/>
    <w:rsid w:val="00174E50"/>
    <w:rsid w:val="00174FD4"/>
    <w:rsid w:val="00174FFB"/>
    <w:rsid w:val="00175013"/>
    <w:rsid w:val="00175219"/>
    <w:rsid w:val="00175229"/>
    <w:rsid w:val="001752F3"/>
    <w:rsid w:val="001756F3"/>
    <w:rsid w:val="001758B7"/>
    <w:rsid w:val="00175923"/>
    <w:rsid w:val="0017595C"/>
    <w:rsid w:val="00175991"/>
    <w:rsid w:val="00175C53"/>
    <w:rsid w:val="00175C99"/>
    <w:rsid w:val="00175CCA"/>
    <w:rsid w:val="00175EEC"/>
    <w:rsid w:val="00176078"/>
    <w:rsid w:val="001762F9"/>
    <w:rsid w:val="0017630E"/>
    <w:rsid w:val="0017673A"/>
    <w:rsid w:val="0017673B"/>
    <w:rsid w:val="001767C4"/>
    <w:rsid w:val="00176CA5"/>
    <w:rsid w:val="00177066"/>
    <w:rsid w:val="00177177"/>
    <w:rsid w:val="00177AA4"/>
    <w:rsid w:val="001801DA"/>
    <w:rsid w:val="00180305"/>
    <w:rsid w:val="001804D5"/>
    <w:rsid w:val="00180F42"/>
    <w:rsid w:val="00181057"/>
    <w:rsid w:val="00181229"/>
    <w:rsid w:val="001813CC"/>
    <w:rsid w:val="001814D4"/>
    <w:rsid w:val="00181635"/>
    <w:rsid w:val="00181A45"/>
    <w:rsid w:val="00181C77"/>
    <w:rsid w:val="00181DB5"/>
    <w:rsid w:val="00181F4E"/>
    <w:rsid w:val="00182581"/>
    <w:rsid w:val="00182599"/>
    <w:rsid w:val="00182834"/>
    <w:rsid w:val="001829BF"/>
    <w:rsid w:val="00182C46"/>
    <w:rsid w:val="00182ED1"/>
    <w:rsid w:val="001831FB"/>
    <w:rsid w:val="00183522"/>
    <w:rsid w:val="00183A6F"/>
    <w:rsid w:val="00183DE1"/>
    <w:rsid w:val="00183ECB"/>
    <w:rsid w:val="00183F82"/>
    <w:rsid w:val="00184174"/>
    <w:rsid w:val="00184926"/>
    <w:rsid w:val="00184955"/>
    <w:rsid w:val="00184A3F"/>
    <w:rsid w:val="00184BAE"/>
    <w:rsid w:val="00184CBF"/>
    <w:rsid w:val="00184FDD"/>
    <w:rsid w:val="00185B0D"/>
    <w:rsid w:val="00185CD0"/>
    <w:rsid w:val="0018630A"/>
    <w:rsid w:val="00186451"/>
    <w:rsid w:val="001866F8"/>
    <w:rsid w:val="00186B07"/>
    <w:rsid w:val="00186C9B"/>
    <w:rsid w:val="00186E6A"/>
    <w:rsid w:val="001870E1"/>
    <w:rsid w:val="0018737D"/>
    <w:rsid w:val="001873D3"/>
    <w:rsid w:val="00187ACB"/>
    <w:rsid w:val="00187D71"/>
    <w:rsid w:val="00187D96"/>
    <w:rsid w:val="00190083"/>
    <w:rsid w:val="0019033E"/>
    <w:rsid w:val="001905EA"/>
    <w:rsid w:val="00190619"/>
    <w:rsid w:val="0019072F"/>
    <w:rsid w:val="001909D1"/>
    <w:rsid w:val="00190B8B"/>
    <w:rsid w:val="00190D07"/>
    <w:rsid w:val="00191140"/>
    <w:rsid w:val="00191502"/>
    <w:rsid w:val="00191844"/>
    <w:rsid w:val="00191903"/>
    <w:rsid w:val="00191B50"/>
    <w:rsid w:val="00191F30"/>
    <w:rsid w:val="0019209A"/>
    <w:rsid w:val="0019217B"/>
    <w:rsid w:val="0019223B"/>
    <w:rsid w:val="0019293F"/>
    <w:rsid w:val="00192A01"/>
    <w:rsid w:val="00192D1A"/>
    <w:rsid w:val="00192E04"/>
    <w:rsid w:val="00192E88"/>
    <w:rsid w:val="00192F14"/>
    <w:rsid w:val="001930C7"/>
    <w:rsid w:val="00193112"/>
    <w:rsid w:val="00193556"/>
    <w:rsid w:val="001935EF"/>
    <w:rsid w:val="0019362A"/>
    <w:rsid w:val="00193755"/>
    <w:rsid w:val="00193760"/>
    <w:rsid w:val="00193911"/>
    <w:rsid w:val="00193BA9"/>
    <w:rsid w:val="00193E8B"/>
    <w:rsid w:val="00193ED1"/>
    <w:rsid w:val="00193F16"/>
    <w:rsid w:val="00194089"/>
    <w:rsid w:val="00194429"/>
    <w:rsid w:val="001946AF"/>
    <w:rsid w:val="0019474E"/>
    <w:rsid w:val="00194890"/>
    <w:rsid w:val="00194C7C"/>
    <w:rsid w:val="0019514B"/>
    <w:rsid w:val="00195197"/>
    <w:rsid w:val="0019520E"/>
    <w:rsid w:val="0019521F"/>
    <w:rsid w:val="001952FF"/>
    <w:rsid w:val="001953FF"/>
    <w:rsid w:val="00195728"/>
    <w:rsid w:val="00195A7F"/>
    <w:rsid w:val="00195D9C"/>
    <w:rsid w:val="00195EAC"/>
    <w:rsid w:val="00196266"/>
    <w:rsid w:val="0019679D"/>
    <w:rsid w:val="00196921"/>
    <w:rsid w:val="00196B22"/>
    <w:rsid w:val="00196F0A"/>
    <w:rsid w:val="001970C0"/>
    <w:rsid w:val="0019753D"/>
    <w:rsid w:val="001975E7"/>
    <w:rsid w:val="00197AB3"/>
    <w:rsid w:val="00197E06"/>
    <w:rsid w:val="00197EB5"/>
    <w:rsid w:val="001A0DC4"/>
    <w:rsid w:val="001A1190"/>
    <w:rsid w:val="001A1ABF"/>
    <w:rsid w:val="001A1CB7"/>
    <w:rsid w:val="001A1D44"/>
    <w:rsid w:val="001A1E1B"/>
    <w:rsid w:val="001A1EE9"/>
    <w:rsid w:val="001A219D"/>
    <w:rsid w:val="001A255F"/>
    <w:rsid w:val="001A2A1C"/>
    <w:rsid w:val="001A2A85"/>
    <w:rsid w:val="001A2C80"/>
    <w:rsid w:val="001A2EDF"/>
    <w:rsid w:val="001A2F15"/>
    <w:rsid w:val="001A2FD4"/>
    <w:rsid w:val="001A3370"/>
    <w:rsid w:val="001A33A0"/>
    <w:rsid w:val="001A3968"/>
    <w:rsid w:val="001A3FE6"/>
    <w:rsid w:val="001A420B"/>
    <w:rsid w:val="001A4433"/>
    <w:rsid w:val="001A47FE"/>
    <w:rsid w:val="001A4816"/>
    <w:rsid w:val="001A482B"/>
    <w:rsid w:val="001A4896"/>
    <w:rsid w:val="001A4B6D"/>
    <w:rsid w:val="001A4B97"/>
    <w:rsid w:val="001A4F11"/>
    <w:rsid w:val="001A4F7D"/>
    <w:rsid w:val="001A5044"/>
    <w:rsid w:val="001A56CB"/>
    <w:rsid w:val="001A59CD"/>
    <w:rsid w:val="001A59E2"/>
    <w:rsid w:val="001A5D8B"/>
    <w:rsid w:val="001A5E2A"/>
    <w:rsid w:val="001A5E84"/>
    <w:rsid w:val="001A646C"/>
    <w:rsid w:val="001A6569"/>
    <w:rsid w:val="001A6871"/>
    <w:rsid w:val="001A6E23"/>
    <w:rsid w:val="001A71A8"/>
    <w:rsid w:val="001A7B42"/>
    <w:rsid w:val="001A7D8F"/>
    <w:rsid w:val="001A7EBB"/>
    <w:rsid w:val="001B02E4"/>
    <w:rsid w:val="001B0512"/>
    <w:rsid w:val="001B0D86"/>
    <w:rsid w:val="001B1101"/>
    <w:rsid w:val="001B1263"/>
    <w:rsid w:val="001B15C9"/>
    <w:rsid w:val="001B19FD"/>
    <w:rsid w:val="001B1AB5"/>
    <w:rsid w:val="001B1DA7"/>
    <w:rsid w:val="001B1EE5"/>
    <w:rsid w:val="001B201A"/>
    <w:rsid w:val="001B20AA"/>
    <w:rsid w:val="001B223F"/>
    <w:rsid w:val="001B2565"/>
    <w:rsid w:val="001B26F4"/>
    <w:rsid w:val="001B275D"/>
    <w:rsid w:val="001B2764"/>
    <w:rsid w:val="001B28BE"/>
    <w:rsid w:val="001B2A97"/>
    <w:rsid w:val="001B2CD4"/>
    <w:rsid w:val="001B2D86"/>
    <w:rsid w:val="001B30AA"/>
    <w:rsid w:val="001B33E2"/>
    <w:rsid w:val="001B3797"/>
    <w:rsid w:val="001B3809"/>
    <w:rsid w:val="001B390D"/>
    <w:rsid w:val="001B4240"/>
    <w:rsid w:val="001B4243"/>
    <w:rsid w:val="001B461C"/>
    <w:rsid w:val="001B4D3C"/>
    <w:rsid w:val="001B5717"/>
    <w:rsid w:val="001B5803"/>
    <w:rsid w:val="001B5BAC"/>
    <w:rsid w:val="001B5C7A"/>
    <w:rsid w:val="001B61E3"/>
    <w:rsid w:val="001B62AF"/>
    <w:rsid w:val="001B677F"/>
    <w:rsid w:val="001B69EC"/>
    <w:rsid w:val="001B6A73"/>
    <w:rsid w:val="001B6B22"/>
    <w:rsid w:val="001B71D3"/>
    <w:rsid w:val="001B7329"/>
    <w:rsid w:val="001B74D7"/>
    <w:rsid w:val="001B7830"/>
    <w:rsid w:val="001C008A"/>
    <w:rsid w:val="001C0321"/>
    <w:rsid w:val="001C04EC"/>
    <w:rsid w:val="001C0615"/>
    <w:rsid w:val="001C0939"/>
    <w:rsid w:val="001C174A"/>
    <w:rsid w:val="001C1BD7"/>
    <w:rsid w:val="001C1CDA"/>
    <w:rsid w:val="001C1D05"/>
    <w:rsid w:val="001C1D0D"/>
    <w:rsid w:val="001C1D32"/>
    <w:rsid w:val="001C1DA0"/>
    <w:rsid w:val="001C1F97"/>
    <w:rsid w:val="001C1FEF"/>
    <w:rsid w:val="001C24A1"/>
    <w:rsid w:val="001C2852"/>
    <w:rsid w:val="001C2A48"/>
    <w:rsid w:val="001C2CCF"/>
    <w:rsid w:val="001C2E93"/>
    <w:rsid w:val="001C32F5"/>
    <w:rsid w:val="001C3410"/>
    <w:rsid w:val="001C43D8"/>
    <w:rsid w:val="001C4433"/>
    <w:rsid w:val="001C4975"/>
    <w:rsid w:val="001C4AA3"/>
    <w:rsid w:val="001C4BC8"/>
    <w:rsid w:val="001C4D37"/>
    <w:rsid w:val="001C4E7E"/>
    <w:rsid w:val="001C501D"/>
    <w:rsid w:val="001C504C"/>
    <w:rsid w:val="001C50CA"/>
    <w:rsid w:val="001C5281"/>
    <w:rsid w:val="001C5515"/>
    <w:rsid w:val="001C5537"/>
    <w:rsid w:val="001C61F2"/>
    <w:rsid w:val="001C626B"/>
    <w:rsid w:val="001C6294"/>
    <w:rsid w:val="001C63A3"/>
    <w:rsid w:val="001C664F"/>
    <w:rsid w:val="001C66B1"/>
    <w:rsid w:val="001C698C"/>
    <w:rsid w:val="001C69E3"/>
    <w:rsid w:val="001C6BE8"/>
    <w:rsid w:val="001C6D59"/>
    <w:rsid w:val="001C6DFD"/>
    <w:rsid w:val="001C6F69"/>
    <w:rsid w:val="001C6FDA"/>
    <w:rsid w:val="001C7109"/>
    <w:rsid w:val="001C7C01"/>
    <w:rsid w:val="001D03A3"/>
    <w:rsid w:val="001D0F0C"/>
    <w:rsid w:val="001D10AA"/>
    <w:rsid w:val="001D1131"/>
    <w:rsid w:val="001D1476"/>
    <w:rsid w:val="001D1BD4"/>
    <w:rsid w:val="001D1EF0"/>
    <w:rsid w:val="001D29DA"/>
    <w:rsid w:val="001D2E9A"/>
    <w:rsid w:val="001D32C0"/>
    <w:rsid w:val="001D33ED"/>
    <w:rsid w:val="001D373A"/>
    <w:rsid w:val="001D3A64"/>
    <w:rsid w:val="001D3A73"/>
    <w:rsid w:val="001D444A"/>
    <w:rsid w:val="001D4591"/>
    <w:rsid w:val="001D4AB3"/>
    <w:rsid w:val="001D4ACA"/>
    <w:rsid w:val="001D4B3C"/>
    <w:rsid w:val="001D4BDF"/>
    <w:rsid w:val="001D4E44"/>
    <w:rsid w:val="001D4F32"/>
    <w:rsid w:val="001D5375"/>
    <w:rsid w:val="001D5793"/>
    <w:rsid w:val="001D5FCF"/>
    <w:rsid w:val="001D62E2"/>
    <w:rsid w:val="001D6455"/>
    <w:rsid w:val="001D68DA"/>
    <w:rsid w:val="001D6AA5"/>
    <w:rsid w:val="001D6B98"/>
    <w:rsid w:val="001D7138"/>
    <w:rsid w:val="001D72BF"/>
    <w:rsid w:val="001D74A7"/>
    <w:rsid w:val="001D7564"/>
    <w:rsid w:val="001D7739"/>
    <w:rsid w:val="001D7C9B"/>
    <w:rsid w:val="001E01CD"/>
    <w:rsid w:val="001E112B"/>
    <w:rsid w:val="001E1155"/>
    <w:rsid w:val="001E117C"/>
    <w:rsid w:val="001E15F2"/>
    <w:rsid w:val="001E1817"/>
    <w:rsid w:val="001E1BF3"/>
    <w:rsid w:val="001E22F7"/>
    <w:rsid w:val="001E2618"/>
    <w:rsid w:val="001E2702"/>
    <w:rsid w:val="001E2968"/>
    <w:rsid w:val="001E2E2B"/>
    <w:rsid w:val="001E320D"/>
    <w:rsid w:val="001E32EB"/>
    <w:rsid w:val="001E35BA"/>
    <w:rsid w:val="001E3794"/>
    <w:rsid w:val="001E3961"/>
    <w:rsid w:val="001E3A1B"/>
    <w:rsid w:val="001E3D32"/>
    <w:rsid w:val="001E4155"/>
    <w:rsid w:val="001E42E8"/>
    <w:rsid w:val="001E436F"/>
    <w:rsid w:val="001E465F"/>
    <w:rsid w:val="001E4E36"/>
    <w:rsid w:val="001E4FF1"/>
    <w:rsid w:val="001E503F"/>
    <w:rsid w:val="001E506D"/>
    <w:rsid w:val="001E5149"/>
    <w:rsid w:val="001E55FA"/>
    <w:rsid w:val="001E56CA"/>
    <w:rsid w:val="001E56F0"/>
    <w:rsid w:val="001E5AB3"/>
    <w:rsid w:val="001E5F94"/>
    <w:rsid w:val="001E6055"/>
    <w:rsid w:val="001E632E"/>
    <w:rsid w:val="001E6779"/>
    <w:rsid w:val="001E6B5E"/>
    <w:rsid w:val="001E76C5"/>
    <w:rsid w:val="001E7A8A"/>
    <w:rsid w:val="001E7D5B"/>
    <w:rsid w:val="001E7D90"/>
    <w:rsid w:val="001F02F3"/>
    <w:rsid w:val="001F0F05"/>
    <w:rsid w:val="001F0FA7"/>
    <w:rsid w:val="001F13CF"/>
    <w:rsid w:val="001F1544"/>
    <w:rsid w:val="001F1BD0"/>
    <w:rsid w:val="001F1D0D"/>
    <w:rsid w:val="001F20A1"/>
    <w:rsid w:val="001F2902"/>
    <w:rsid w:val="001F2AAD"/>
    <w:rsid w:val="001F2AB3"/>
    <w:rsid w:val="001F2B97"/>
    <w:rsid w:val="001F2CF1"/>
    <w:rsid w:val="001F2DBC"/>
    <w:rsid w:val="001F2E82"/>
    <w:rsid w:val="001F361C"/>
    <w:rsid w:val="001F3627"/>
    <w:rsid w:val="001F367A"/>
    <w:rsid w:val="001F371B"/>
    <w:rsid w:val="001F3894"/>
    <w:rsid w:val="001F39F1"/>
    <w:rsid w:val="001F3B16"/>
    <w:rsid w:val="001F3F36"/>
    <w:rsid w:val="001F4232"/>
    <w:rsid w:val="001F4641"/>
    <w:rsid w:val="001F4B9E"/>
    <w:rsid w:val="001F4EAA"/>
    <w:rsid w:val="001F50D3"/>
    <w:rsid w:val="001F5425"/>
    <w:rsid w:val="001F544B"/>
    <w:rsid w:val="001F57AA"/>
    <w:rsid w:val="001F588C"/>
    <w:rsid w:val="001F58A0"/>
    <w:rsid w:val="001F5A35"/>
    <w:rsid w:val="001F5BC2"/>
    <w:rsid w:val="001F5F05"/>
    <w:rsid w:val="001F5F89"/>
    <w:rsid w:val="001F6164"/>
    <w:rsid w:val="001F6173"/>
    <w:rsid w:val="001F658C"/>
    <w:rsid w:val="001F66AC"/>
    <w:rsid w:val="001F675C"/>
    <w:rsid w:val="001F6C33"/>
    <w:rsid w:val="001F6E4E"/>
    <w:rsid w:val="001F6F44"/>
    <w:rsid w:val="001F7145"/>
    <w:rsid w:val="001F7221"/>
    <w:rsid w:val="001F7398"/>
    <w:rsid w:val="001F7563"/>
    <w:rsid w:val="001F7630"/>
    <w:rsid w:val="001F7779"/>
    <w:rsid w:val="001F795E"/>
    <w:rsid w:val="001F79B2"/>
    <w:rsid w:val="001F7C9D"/>
    <w:rsid w:val="001F7E54"/>
    <w:rsid w:val="00200186"/>
    <w:rsid w:val="002001D8"/>
    <w:rsid w:val="00200495"/>
    <w:rsid w:val="00200574"/>
    <w:rsid w:val="0020061D"/>
    <w:rsid w:val="00200A62"/>
    <w:rsid w:val="00200A8B"/>
    <w:rsid w:val="00200F1E"/>
    <w:rsid w:val="002011AE"/>
    <w:rsid w:val="00201407"/>
    <w:rsid w:val="00201695"/>
    <w:rsid w:val="002017AA"/>
    <w:rsid w:val="0020180A"/>
    <w:rsid w:val="00201822"/>
    <w:rsid w:val="002019A7"/>
    <w:rsid w:val="00201CE3"/>
    <w:rsid w:val="002023B1"/>
    <w:rsid w:val="00202612"/>
    <w:rsid w:val="00202B55"/>
    <w:rsid w:val="00202E32"/>
    <w:rsid w:val="00203109"/>
    <w:rsid w:val="002031AA"/>
    <w:rsid w:val="002034A5"/>
    <w:rsid w:val="00203B6B"/>
    <w:rsid w:val="00203B6C"/>
    <w:rsid w:val="00203CCB"/>
    <w:rsid w:val="00203CF6"/>
    <w:rsid w:val="00203D39"/>
    <w:rsid w:val="00203EAA"/>
    <w:rsid w:val="00203F58"/>
    <w:rsid w:val="00203FBD"/>
    <w:rsid w:val="0020435B"/>
    <w:rsid w:val="002047BE"/>
    <w:rsid w:val="0020482F"/>
    <w:rsid w:val="00204CE0"/>
    <w:rsid w:val="00204D03"/>
    <w:rsid w:val="002052B1"/>
    <w:rsid w:val="002054E8"/>
    <w:rsid w:val="00205611"/>
    <w:rsid w:val="00205C9E"/>
    <w:rsid w:val="00205D8B"/>
    <w:rsid w:val="00205F96"/>
    <w:rsid w:val="0020611C"/>
    <w:rsid w:val="002063D6"/>
    <w:rsid w:val="0020660C"/>
    <w:rsid w:val="00206721"/>
    <w:rsid w:val="002069AA"/>
    <w:rsid w:val="00206C9E"/>
    <w:rsid w:val="002071DF"/>
    <w:rsid w:val="00207278"/>
    <w:rsid w:val="00207361"/>
    <w:rsid w:val="0020737D"/>
    <w:rsid w:val="002078C3"/>
    <w:rsid w:val="002078EE"/>
    <w:rsid w:val="0020792C"/>
    <w:rsid w:val="002079CB"/>
    <w:rsid w:val="00207C4C"/>
    <w:rsid w:val="00207F59"/>
    <w:rsid w:val="002103B4"/>
    <w:rsid w:val="0021084E"/>
    <w:rsid w:val="0021095D"/>
    <w:rsid w:val="00210AA4"/>
    <w:rsid w:val="00210B3D"/>
    <w:rsid w:val="00210DD2"/>
    <w:rsid w:val="00210FAB"/>
    <w:rsid w:val="0021123A"/>
    <w:rsid w:val="00211772"/>
    <w:rsid w:val="00211B9B"/>
    <w:rsid w:val="00211DC3"/>
    <w:rsid w:val="00211E7E"/>
    <w:rsid w:val="0021212B"/>
    <w:rsid w:val="002125AB"/>
    <w:rsid w:val="002126C3"/>
    <w:rsid w:val="00213105"/>
    <w:rsid w:val="00213706"/>
    <w:rsid w:val="00213888"/>
    <w:rsid w:val="00213C68"/>
    <w:rsid w:val="00213E92"/>
    <w:rsid w:val="00213EF2"/>
    <w:rsid w:val="002140F5"/>
    <w:rsid w:val="00214197"/>
    <w:rsid w:val="00214347"/>
    <w:rsid w:val="002145B3"/>
    <w:rsid w:val="00214699"/>
    <w:rsid w:val="00214895"/>
    <w:rsid w:val="002149A5"/>
    <w:rsid w:val="002150A8"/>
    <w:rsid w:val="0021531C"/>
    <w:rsid w:val="00215562"/>
    <w:rsid w:val="002155B6"/>
    <w:rsid w:val="0021568C"/>
    <w:rsid w:val="002157E4"/>
    <w:rsid w:val="002158D5"/>
    <w:rsid w:val="00215AFB"/>
    <w:rsid w:val="00215DEA"/>
    <w:rsid w:val="00215E25"/>
    <w:rsid w:val="002160F1"/>
    <w:rsid w:val="0021665D"/>
    <w:rsid w:val="00216BAD"/>
    <w:rsid w:val="002175AF"/>
    <w:rsid w:val="002177E2"/>
    <w:rsid w:val="00217893"/>
    <w:rsid w:val="00217F49"/>
    <w:rsid w:val="002200D8"/>
    <w:rsid w:val="0022074E"/>
    <w:rsid w:val="00220BEA"/>
    <w:rsid w:val="0022147D"/>
    <w:rsid w:val="00221507"/>
    <w:rsid w:val="0022174D"/>
    <w:rsid w:val="00222109"/>
    <w:rsid w:val="002225CE"/>
    <w:rsid w:val="002225E5"/>
    <w:rsid w:val="00222879"/>
    <w:rsid w:val="002228C4"/>
    <w:rsid w:val="00222BA0"/>
    <w:rsid w:val="00222D6A"/>
    <w:rsid w:val="002230FB"/>
    <w:rsid w:val="00223131"/>
    <w:rsid w:val="00223256"/>
    <w:rsid w:val="0022358D"/>
    <w:rsid w:val="00223664"/>
    <w:rsid w:val="002237F5"/>
    <w:rsid w:val="002237F7"/>
    <w:rsid w:val="00223A56"/>
    <w:rsid w:val="00223B1D"/>
    <w:rsid w:val="0022482D"/>
    <w:rsid w:val="002251B1"/>
    <w:rsid w:val="00225298"/>
    <w:rsid w:val="0022529B"/>
    <w:rsid w:val="00225358"/>
    <w:rsid w:val="002256CF"/>
    <w:rsid w:val="002257E2"/>
    <w:rsid w:val="00225833"/>
    <w:rsid w:val="0022586C"/>
    <w:rsid w:val="00225D11"/>
    <w:rsid w:val="00225E03"/>
    <w:rsid w:val="00225FEF"/>
    <w:rsid w:val="00226095"/>
    <w:rsid w:val="0022629D"/>
    <w:rsid w:val="00226C4D"/>
    <w:rsid w:val="00226D5B"/>
    <w:rsid w:val="0022771D"/>
    <w:rsid w:val="0022782B"/>
    <w:rsid w:val="00227B89"/>
    <w:rsid w:val="00227C8E"/>
    <w:rsid w:val="00227E46"/>
    <w:rsid w:val="00227E70"/>
    <w:rsid w:val="00227EE5"/>
    <w:rsid w:val="00227F43"/>
    <w:rsid w:val="002300DA"/>
    <w:rsid w:val="00230148"/>
    <w:rsid w:val="0023073C"/>
    <w:rsid w:val="00230A1C"/>
    <w:rsid w:val="00230D7B"/>
    <w:rsid w:val="00230F63"/>
    <w:rsid w:val="002313C8"/>
    <w:rsid w:val="002315FB"/>
    <w:rsid w:val="00231A9B"/>
    <w:rsid w:val="00231FFE"/>
    <w:rsid w:val="00232BD1"/>
    <w:rsid w:val="00233557"/>
    <w:rsid w:val="00233559"/>
    <w:rsid w:val="00233A61"/>
    <w:rsid w:val="0023423D"/>
    <w:rsid w:val="00234640"/>
    <w:rsid w:val="00234BD8"/>
    <w:rsid w:val="00234C9A"/>
    <w:rsid w:val="00234EE1"/>
    <w:rsid w:val="002353B0"/>
    <w:rsid w:val="002355F8"/>
    <w:rsid w:val="00235BA2"/>
    <w:rsid w:val="00235C6D"/>
    <w:rsid w:val="00235D29"/>
    <w:rsid w:val="00235DB4"/>
    <w:rsid w:val="00236311"/>
    <w:rsid w:val="00236491"/>
    <w:rsid w:val="0023658C"/>
    <w:rsid w:val="0023724F"/>
    <w:rsid w:val="00237303"/>
    <w:rsid w:val="00237B17"/>
    <w:rsid w:val="00240106"/>
    <w:rsid w:val="0024010D"/>
    <w:rsid w:val="0024022D"/>
    <w:rsid w:val="002403BF"/>
    <w:rsid w:val="002407EA"/>
    <w:rsid w:val="002409E6"/>
    <w:rsid w:val="00240E69"/>
    <w:rsid w:val="00240F6D"/>
    <w:rsid w:val="00240F7F"/>
    <w:rsid w:val="002411C7"/>
    <w:rsid w:val="00241431"/>
    <w:rsid w:val="002420BF"/>
    <w:rsid w:val="00242328"/>
    <w:rsid w:val="0024233E"/>
    <w:rsid w:val="00242A82"/>
    <w:rsid w:val="00242F4E"/>
    <w:rsid w:val="00243278"/>
    <w:rsid w:val="00243799"/>
    <w:rsid w:val="00244196"/>
    <w:rsid w:val="0024430B"/>
    <w:rsid w:val="00244317"/>
    <w:rsid w:val="0024494D"/>
    <w:rsid w:val="00244B7A"/>
    <w:rsid w:val="002452A0"/>
    <w:rsid w:val="0024532B"/>
    <w:rsid w:val="002453C2"/>
    <w:rsid w:val="0024583B"/>
    <w:rsid w:val="002458F8"/>
    <w:rsid w:val="00245954"/>
    <w:rsid w:val="00245AD6"/>
    <w:rsid w:val="00245CF9"/>
    <w:rsid w:val="00245ED9"/>
    <w:rsid w:val="002463A6"/>
    <w:rsid w:val="00246885"/>
    <w:rsid w:val="00246ADB"/>
    <w:rsid w:val="00246C59"/>
    <w:rsid w:val="00247102"/>
    <w:rsid w:val="00247151"/>
    <w:rsid w:val="002471FE"/>
    <w:rsid w:val="00247363"/>
    <w:rsid w:val="00247526"/>
    <w:rsid w:val="00247870"/>
    <w:rsid w:val="002478CA"/>
    <w:rsid w:val="002479AF"/>
    <w:rsid w:val="00247CB7"/>
    <w:rsid w:val="00247EC8"/>
    <w:rsid w:val="00250209"/>
    <w:rsid w:val="002503BF"/>
    <w:rsid w:val="002505E1"/>
    <w:rsid w:val="00250687"/>
    <w:rsid w:val="00250BFF"/>
    <w:rsid w:val="00250E01"/>
    <w:rsid w:val="00251356"/>
    <w:rsid w:val="002515E4"/>
    <w:rsid w:val="002517A5"/>
    <w:rsid w:val="002518CA"/>
    <w:rsid w:val="00251A79"/>
    <w:rsid w:val="00251B2F"/>
    <w:rsid w:val="00251C85"/>
    <w:rsid w:val="00251DFA"/>
    <w:rsid w:val="00251F6C"/>
    <w:rsid w:val="0025200E"/>
    <w:rsid w:val="0025211F"/>
    <w:rsid w:val="002522E0"/>
    <w:rsid w:val="0025249C"/>
    <w:rsid w:val="00252593"/>
    <w:rsid w:val="002526F5"/>
    <w:rsid w:val="00252815"/>
    <w:rsid w:val="00252CE8"/>
    <w:rsid w:val="00252D43"/>
    <w:rsid w:val="00252E0A"/>
    <w:rsid w:val="00253309"/>
    <w:rsid w:val="002539ED"/>
    <w:rsid w:val="0025440D"/>
    <w:rsid w:val="0025450E"/>
    <w:rsid w:val="0025455D"/>
    <w:rsid w:val="00254801"/>
    <w:rsid w:val="0025486E"/>
    <w:rsid w:val="002548E5"/>
    <w:rsid w:val="00254A62"/>
    <w:rsid w:val="00254AFE"/>
    <w:rsid w:val="00255152"/>
    <w:rsid w:val="0025554E"/>
    <w:rsid w:val="0025573B"/>
    <w:rsid w:val="00255990"/>
    <w:rsid w:val="002559BD"/>
    <w:rsid w:val="00255CC9"/>
    <w:rsid w:val="00255D27"/>
    <w:rsid w:val="00255D3A"/>
    <w:rsid w:val="00255EAC"/>
    <w:rsid w:val="002560A3"/>
    <w:rsid w:val="00256291"/>
    <w:rsid w:val="002566D6"/>
    <w:rsid w:val="00256886"/>
    <w:rsid w:val="00256993"/>
    <w:rsid w:val="00256CE2"/>
    <w:rsid w:val="00257086"/>
    <w:rsid w:val="002572F8"/>
    <w:rsid w:val="00257967"/>
    <w:rsid w:val="00257F1F"/>
    <w:rsid w:val="00260099"/>
    <w:rsid w:val="002600F9"/>
    <w:rsid w:val="0026037D"/>
    <w:rsid w:val="00260D5D"/>
    <w:rsid w:val="00260D9A"/>
    <w:rsid w:val="00260F54"/>
    <w:rsid w:val="002613B2"/>
    <w:rsid w:val="0026145F"/>
    <w:rsid w:val="002615DA"/>
    <w:rsid w:val="002616A5"/>
    <w:rsid w:val="00261B74"/>
    <w:rsid w:val="00261DEE"/>
    <w:rsid w:val="002623DC"/>
    <w:rsid w:val="002625B4"/>
    <w:rsid w:val="002625D5"/>
    <w:rsid w:val="00262BF5"/>
    <w:rsid w:val="00262F9E"/>
    <w:rsid w:val="00263187"/>
    <w:rsid w:val="002632EA"/>
    <w:rsid w:val="002634BC"/>
    <w:rsid w:val="002638F4"/>
    <w:rsid w:val="002639A2"/>
    <w:rsid w:val="0026438D"/>
    <w:rsid w:val="002643C5"/>
    <w:rsid w:val="0026462F"/>
    <w:rsid w:val="00264C54"/>
    <w:rsid w:val="00264FDE"/>
    <w:rsid w:val="002651FC"/>
    <w:rsid w:val="002655EB"/>
    <w:rsid w:val="00265644"/>
    <w:rsid w:val="0026583D"/>
    <w:rsid w:val="00265CFB"/>
    <w:rsid w:val="00265EFE"/>
    <w:rsid w:val="00266276"/>
    <w:rsid w:val="00266EB7"/>
    <w:rsid w:val="00266EE4"/>
    <w:rsid w:val="00266FBF"/>
    <w:rsid w:val="00267050"/>
    <w:rsid w:val="0026734E"/>
    <w:rsid w:val="00267866"/>
    <w:rsid w:val="00267C90"/>
    <w:rsid w:val="00267EA9"/>
    <w:rsid w:val="00270013"/>
    <w:rsid w:val="0027011F"/>
    <w:rsid w:val="002709B6"/>
    <w:rsid w:val="00270AF9"/>
    <w:rsid w:val="00270BF7"/>
    <w:rsid w:val="00270D35"/>
    <w:rsid w:val="00270F90"/>
    <w:rsid w:val="00271028"/>
    <w:rsid w:val="00271252"/>
    <w:rsid w:val="002712F6"/>
    <w:rsid w:val="00271352"/>
    <w:rsid w:val="002715A2"/>
    <w:rsid w:val="0027160C"/>
    <w:rsid w:val="00271840"/>
    <w:rsid w:val="00272017"/>
    <w:rsid w:val="002722D1"/>
    <w:rsid w:val="00272335"/>
    <w:rsid w:val="0027258B"/>
    <w:rsid w:val="0027274E"/>
    <w:rsid w:val="0027297E"/>
    <w:rsid w:val="00272A0D"/>
    <w:rsid w:val="00272A3E"/>
    <w:rsid w:val="00272A3F"/>
    <w:rsid w:val="00272D19"/>
    <w:rsid w:val="00272FFB"/>
    <w:rsid w:val="00273436"/>
    <w:rsid w:val="002735CF"/>
    <w:rsid w:val="00273794"/>
    <w:rsid w:val="00273955"/>
    <w:rsid w:val="002739BF"/>
    <w:rsid w:val="00273A3C"/>
    <w:rsid w:val="00273B9E"/>
    <w:rsid w:val="002740A5"/>
    <w:rsid w:val="0027440E"/>
    <w:rsid w:val="00274423"/>
    <w:rsid w:val="0027449F"/>
    <w:rsid w:val="00274555"/>
    <w:rsid w:val="00274A57"/>
    <w:rsid w:val="00274DAE"/>
    <w:rsid w:val="00274E55"/>
    <w:rsid w:val="002751D1"/>
    <w:rsid w:val="00275209"/>
    <w:rsid w:val="0027533B"/>
    <w:rsid w:val="0027550F"/>
    <w:rsid w:val="00275C5C"/>
    <w:rsid w:val="00275E00"/>
    <w:rsid w:val="0027612E"/>
    <w:rsid w:val="002763C3"/>
    <w:rsid w:val="00276416"/>
    <w:rsid w:val="00276DBB"/>
    <w:rsid w:val="00277372"/>
    <w:rsid w:val="00277919"/>
    <w:rsid w:val="00277929"/>
    <w:rsid w:val="00277959"/>
    <w:rsid w:val="0027796E"/>
    <w:rsid w:val="00277A23"/>
    <w:rsid w:val="00280070"/>
    <w:rsid w:val="00280156"/>
    <w:rsid w:val="0028039E"/>
    <w:rsid w:val="00280785"/>
    <w:rsid w:val="0028079C"/>
    <w:rsid w:val="0028084F"/>
    <w:rsid w:val="00280868"/>
    <w:rsid w:val="00280880"/>
    <w:rsid w:val="0028103F"/>
    <w:rsid w:val="00281655"/>
    <w:rsid w:val="00281A09"/>
    <w:rsid w:val="00281A91"/>
    <w:rsid w:val="00281B80"/>
    <w:rsid w:val="00281BC8"/>
    <w:rsid w:val="00281C55"/>
    <w:rsid w:val="00281E16"/>
    <w:rsid w:val="00282ACF"/>
    <w:rsid w:val="00282D6E"/>
    <w:rsid w:val="00282F9A"/>
    <w:rsid w:val="00283026"/>
    <w:rsid w:val="0028337C"/>
    <w:rsid w:val="00283422"/>
    <w:rsid w:val="0028398F"/>
    <w:rsid w:val="00283A90"/>
    <w:rsid w:val="00283CDB"/>
    <w:rsid w:val="00283D11"/>
    <w:rsid w:val="0028415B"/>
    <w:rsid w:val="00284294"/>
    <w:rsid w:val="00284340"/>
    <w:rsid w:val="0028484D"/>
    <w:rsid w:val="00284876"/>
    <w:rsid w:val="00284E63"/>
    <w:rsid w:val="002854AF"/>
    <w:rsid w:val="002859DD"/>
    <w:rsid w:val="00285C11"/>
    <w:rsid w:val="0028614E"/>
    <w:rsid w:val="00286343"/>
    <w:rsid w:val="0028655F"/>
    <w:rsid w:val="00287131"/>
    <w:rsid w:val="00287145"/>
    <w:rsid w:val="00287296"/>
    <w:rsid w:val="002873C6"/>
    <w:rsid w:val="002875D5"/>
    <w:rsid w:val="0028795C"/>
    <w:rsid w:val="00287CD4"/>
    <w:rsid w:val="00287E09"/>
    <w:rsid w:val="00287E78"/>
    <w:rsid w:val="00287EAF"/>
    <w:rsid w:val="002902A3"/>
    <w:rsid w:val="00290472"/>
    <w:rsid w:val="00290618"/>
    <w:rsid w:val="00290676"/>
    <w:rsid w:val="0029070D"/>
    <w:rsid w:val="00290A33"/>
    <w:rsid w:val="00290EC5"/>
    <w:rsid w:val="00291462"/>
    <w:rsid w:val="00291537"/>
    <w:rsid w:val="00291572"/>
    <w:rsid w:val="00291AD9"/>
    <w:rsid w:val="00291B9A"/>
    <w:rsid w:val="00291E8E"/>
    <w:rsid w:val="00291F34"/>
    <w:rsid w:val="002926A2"/>
    <w:rsid w:val="0029272F"/>
    <w:rsid w:val="002928B1"/>
    <w:rsid w:val="00292BC6"/>
    <w:rsid w:val="00292E35"/>
    <w:rsid w:val="002933CF"/>
    <w:rsid w:val="002939F4"/>
    <w:rsid w:val="00293C5A"/>
    <w:rsid w:val="00293F3B"/>
    <w:rsid w:val="0029422B"/>
    <w:rsid w:val="002943C1"/>
    <w:rsid w:val="00294565"/>
    <w:rsid w:val="002946AD"/>
    <w:rsid w:val="00294BBC"/>
    <w:rsid w:val="00294C44"/>
    <w:rsid w:val="00294DB5"/>
    <w:rsid w:val="00294E3F"/>
    <w:rsid w:val="00294ED5"/>
    <w:rsid w:val="002951BF"/>
    <w:rsid w:val="002959AC"/>
    <w:rsid w:val="00295CAA"/>
    <w:rsid w:val="00295CAC"/>
    <w:rsid w:val="00295D74"/>
    <w:rsid w:val="00295F5B"/>
    <w:rsid w:val="00296172"/>
    <w:rsid w:val="00296A57"/>
    <w:rsid w:val="002972DF"/>
    <w:rsid w:val="00297330"/>
    <w:rsid w:val="00297339"/>
    <w:rsid w:val="0029741B"/>
    <w:rsid w:val="0029794E"/>
    <w:rsid w:val="00297E6E"/>
    <w:rsid w:val="002A0288"/>
    <w:rsid w:val="002A04B4"/>
    <w:rsid w:val="002A0516"/>
    <w:rsid w:val="002A05AC"/>
    <w:rsid w:val="002A0811"/>
    <w:rsid w:val="002A0939"/>
    <w:rsid w:val="002A0A77"/>
    <w:rsid w:val="002A0E57"/>
    <w:rsid w:val="002A11FC"/>
    <w:rsid w:val="002A12C7"/>
    <w:rsid w:val="002A12FB"/>
    <w:rsid w:val="002A145B"/>
    <w:rsid w:val="002A15BF"/>
    <w:rsid w:val="002A16F5"/>
    <w:rsid w:val="002A18BE"/>
    <w:rsid w:val="002A1AB0"/>
    <w:rsid w:val="002A1B6B"/>
    <w:rsid w:val="002A1FDA"/>
    <w:rsid w:val="002A2104"/>
    <w:rsid w:val="002A2353"/>
    <w:rsid w:val="002A23AE"/>
    <w:rsid w:val="002A29B4"/>
    <w:rsid w:val="002A2A26"/>
    <w:rsid w:val="002A2B44"/>
    <w:rsid w:val="002A32F7"/>
    <w:rsid w:val="002A36F6"/>
    <w:rsid w:val="002A3801"/>
    <w:rsid w:val="002A38EB"/>
    <w:rsid w:val="002A3AF9"/>
    <w:rsid w:val="002A3B2B"/>
    <w:rsid w:val="002A3BC4"/>
    <w:rsid w:val="002A3ED6"/>
    <w:rsid w:val="002A4084"/>
    <w:rsid w:val="002A4685"/>
    <w:rsid w:val="002A4784"/>
    <w:rsid w:val="002A4928"/>
    <w:rsid w:val="002A4AD6"/>
    <w:rsid w:val="002A4E94"/>
    <w:rsid w:val="002A5376"/>
    <w:rsid w:val="002A55FD"/>
    <w:rsid w:val="002A5B90"/>
    <w:rsid w:val="002A61E8"/>
    <w:rsid w:val="002A643D"/>
    <w:rsid w:val="002A6FC4"/>
    <w:rsid w:val="002A70E2"/>
    <w:rsid w:val="002A7196"/>
    <w:rsid w:val="002A7400"/>
    <w:rsid w:val="002A748C"/>
    <w:rsid w:val="002A76AE"/>
    <w:rsid w:val="002A7AA0"/>
    <w:rsid w:val="002A7ACC"/>
    <w:rsid w:val="002B019C"/>
    <w:rsid w:val="002B050F"/>
    <w:rsid w:val="002B12EF"/>
    <w:rsid w:val="002B1384"/>
    <w:rsid w:val="002B15E7"/>
    <w:rsid w:val="002B1705"/>
    <w:rsid w:val="002B1BB6"/>
    <w:rsid w:val="002B203D"/>
    <w:rsid w:val="002B23C6"/>
    <w:rsid w:val="002B252A"/>
    <w:rsid w:val="002B252D"/>
    <w:rsid w:val="002B2EA0"/>
    <w:rsid w:val="002B323D"/>
    <w:rsid w:val="002B346C"/>
    <w:rsid w:val="002B3681"/>
    <w:rsid w:val="002B39D2"/>
    <w:rsid w:val="002B3B02"/>
    <w:rsid w:val="002B4B63"/>
    <w:rsid w:val="002B4D57"/>
    <w:rsid w:val="002B646F"/>
    <w:rsid w:val="002B65A1"/>
    <w:rsid w:val="002B661A"/>
    <w:rsid w:val="002B667C"/>
    <w:rsid w:val="002B7002"/>
    <w:rsid w:val="002B737A"/>
    <w:rsid w:val="002B74D8"/>
    <w:rsid w:val="002B76FB"/>
    <w:rsid w:val="002B7FDD"/>
    <w:rsid w:val="002C0084"/>
    <w:rsid w:val="002C0155"/>
    <w:rsid w:val="002C049B"/>
    <w:rsid w:val="002C0943"/>
    <w:rsid w:val="002C0A54"/>
    <w:rsid w:val="002C0C80"/>
    <w:rsid w:val="002C0F11"/>
    <w:rsid w:val="002C11CA"/>
    <w:rsid w:val="002C1314"/>
    <w:rsid w:val="002C1BD8"/>
    <w:rsid w:val="002C1C7F"/>
    <w:rsid w:val="002C215C"/>
    <w:rsid w:val="002C21F4"/>
    <w:rsid w:val="002C2675"/>
    <w:rsid w:val="002C28BA"/>
    <w:rsid w:val="002C293C"/>
    <w:rsid w:val="002C2A29"/>
    <w:rsid w:val="002C2AB0"/>
    <w:rsid w:val="002C370B"/>
    <w:rsid w:val="002C3A3D"/>
    <w:rsid w:val="002C3A82"/>
    <w:rsid w:val="002C3B69"/>
    <w:rsid w:val="002C3BF7"/>
    <w:rsid w:val="002C3C28"/>
    <w:rsid w:val="002C4031"/>
    <w:rsid w:val="002C45A2"/>
    <w:rsid w:val="002C45E8"/>
    <w:rsid w:val="002C46F0"/>
    <w:rsid w:val="002C4876"/>
    <w:rsid w:val="002C4F79"/>
    <w:rsid w:val="002C5937"/>
    <w:rsid w:val="002C5975"/>
    <w:rsid w:val="002C5A38"/>
    <w:rsid w:val="002C6633"/>
    <w:rsid w:val="002C6A96"/>
    <w:rsid w:val="002C6ACF"/>
    <w:rsid w:val="002C6E1E"/>
    <w:rsid w:val="002C70CE"/>
    <w:rsid w:val="002C76AA"/>
    <w:rsid w:val="002C7701"/>
    <w:rsid w:val="002C7F9D"/>
    <w:rsid w:val="002D00D5"/>
    <w:rsid w:val="002D074C"/>
    <w:rsid w:val="002D0769"/>
    <w:rsid w:val="002D0795"/>
    <w:rsid w:val="002D07F8"/>
    <w:rsid w:val="002D08F7"/>
    <w:rsid w:val="002D0D05"/>
    <w:rsid w:val="002D0DFF"/>
    <w:rsid w:val="002D0EFB"/>
    <w:rsid w:val="002D10B2"/>
    <w:rsid w:val="002D142A"/>
    <w:rsid w:val="002D14A6"/>
    <w:rsid w:val="002D1CF9"/>
    <w:rsid w:val="002D1F46"/>
    <w:rsid w:val="002D22F7"/>
    <w:rsid w:val="002D23DF"/>
    <w:rsid w:val="002D2958"/>
    <w:rsid w:val="002D2C08"/>
    <w:rsid w:val="002D2DF9"/>
    <w:rsid w:val="002D2FF3"/>
    <w:rsid w:val="002D312B"/>
    <w:rsid w:val="002D335D"/>
    <w:rsid w:val="002D3766"/>
    <w:rsid w:val="002D37DE"/>
    <w:rsid w:val="002D38AB"/>
    <w:rsid w:val="002D3A6D"/>
    <w:rsid w:val="002D3BF8"/>
    <w:rsid w:val="002D3E4F"/>
    <w:rsid w:val="002D4547"/>
    <w:rsid w:val="002D468B"/>
    <w:rsid w:val="002D468C"/>
    <w:rsid w:val="002D476D"/>
    <w:rsid w:val="002D47A5"/>
    <w:rsid w:val="002D4AE0"/>
    <w:rsid w:val="002D4B33"/>
    <w:rsid w:val="002D4ECD"/>
    <w:rsid w:val="002D4F40"/>
    <w:rsid w:val="002D5047"/>
    <w:rsid w:val="002D508A"/>
    <w:rsid w:val="002D5097"/>
    <w:rsid w:val="002D51AB"/>
    <w:rsid w:val="002D5254"/>
    <w:rsid w:val="002D53DA"/>
    <w:rsid w:val="002D55E4"/>
    <w:rsid w:val="002D58FF"/>
    <w:rsid w:val="002D5C47"/>
    <w:rsid w:val="002D5EB3"/>
    <w:rsid w:val="002D60F6"/>
    <w:rsid w:val="002D68F6"/>
    <w:rsid w:val="002D690D"/>
    <w:rsid w:val="002D6956"/>
    <w:rsid w:val="002D6A24"/>
    <w:rsid w:val="002D6B77"/>
    <w:rsid w:val="002D6BDC"/>
    <w:rsid w:val="002D6CC4"/>
    <w:rsid w:val="002D6E8D"/>
    <w:rsid w:val="002D6EBA"/>
    <w:rsid w:val="002D770D"/>
    <w:rsid w:val="002D7761"/>
    <w:rsid w:val="002E0195"/>
    <w:rsid w:val="002E01AC"/>
    <w:rsid w:val="002E0458"/>
    <w:rsid w:val="002E0680"/>
    <w:rsid w:val="002E071B"/>
    <w:rsid w:val="002E07DE"/>
    <w:rsid w:val="002E0D54"/>
    <w:rsid w:val="002E1304"/>
    <w:rsid w:val="002E13D8"/>
    <w:rsid w:val="002E14DA"/>
    <w:rsid w:val="002E14F1"/>
    <w:rsid w:val="002E18A6"/>
    <w:rsid w:val="002E1AB9"/>
    <w:rsid w:val="002E1F9D"/>
    <w:rsid w:val="002E1FFD"/>
    <w:rsid w:val="002E229A"/>
    <w:rsid w:val="002E2426"/>
    <w:rsid w:val="002E2541"/>
    <w:rsid w:val="002E254B"/>
    <w:rsid w:val="002E265F"/>
    <w:rsid w:val="002E27F9"/>
    <w:rsid w:val="002E29A6"/>
    <w:rsid w:val="002E2D87"/>
    <w:rsid w:val="002E2FB6"/>
    <w:rsid w:val="002E3240"/>
    <w:rsid w:val="002E3664"/>
    <w:rsid w:val="002E3B38"/>
    <w:rsid w:val="002E3D42"/>
    <w:rsid w:val="002E4550"/>
    <w:rsid w:val="002E4ED8"/>
    <w:rsid w:val="002E5547"/>
    <w:rsid w:val="002E554A"/>
    <w:rsid w:val="002E55CE"/>
    <w:rsid w:val="002E5917"/>
    <w:rsid w:val="002E5AE9"/>
    <w:rsid w:val="002E5C48"/>
    <w:rsid w:val="002E63BE"/>
    <w:rsid w:val="002E64B3"/>
    <w:rsid w:val="002E66CE"/>
    <w:rsid w:val="002E738A"/>
    <w:rsid w:val="002E7600"/>
    <w:rsid w:val="002E7775"/>
    <w:rsid w:val="002E7AD2"/>
    <w:rsid w:val="002E7EF0"/>
    <w:rsid w:val="002E7F61"/>
    <w:rsid w:val="002E7FFE"/>
    <w:rsid w:val="002F002A"/>
    <w:rsid w:val="002F0727"/>
    <w:rsid w:val="002F076A"/>
    <w:rsid w:val="002F0BE8"/>
    <w:rsid w:val="002F0F41"/>
    <w:rsid w:val="002F0F8A"/>
    <w:rsid w:val="002F1399"/>
    <w:rsid w:val="002F1492"/>
    <w:rsid w:val="002F1844"/>
    <w:rsid w:val="002F1A40"/>
    <w:rsid w:val="002F1B87"/>
    <w:rsid w:val="002F1C65"/>
    <w:rsid w:val="002F1FB5"/>
    <w:rsid w:val="002F21EE"/>
    <w:rsid w:val="002F22EC"/>
    <w:rsid w:val="002F235C"/>
    <w:rsid w:val="002F2E51"/>
    <w:rsid w:val="002F2F7F"/>
    <w:rsid w:val="002F32FB"/>
    <w:rsid w:val="002F3994"/>
    <w:rsid w:val="002F3B0E"/>
    <w:rsid w:val="002F3B5E"/>
    <w:rsid w:val="002F3D5D"/>
    <w:rsid w:val="002F3F9A"/>
    <w:rsid w:val="002F475C"/>
    <w:rsid w:val="002F4B09"/>
    <w:rsid w:val="002F4B2B"/>
    <w:rsid w:val="002F4F77"/>
    <w:rsid w:val="002F4F7A"/>
    <w:rsid w:val="002F52AD"/>
    <w:rsid w:val="002F52EC"/>
    <w:rsid w:val="002F53A7"/>
    <w:rsid w:val="002F5611"/>
    <w:rsid w:val="002F570C"/>
    <w:rsid w:val="002F58F4"/>
    <w:rsid w:val="002F58FD"/>
    <w:rsid w:val="002F5BB8"/>
    <w:rsid w:val="002F5F5E"/>
    <w:rsid w:val="002F5F85"/>
    <w:rsid w:val="002F693F"/>
    <w:rsid w:val="002F696E"/>
    <w:rsid w:val="002F6987"/>
    <w:rsid w:val="002F6BFB"/>
    <w:rsid w:val="002F6E4C"/>
    <w:rsid w:val="002F6E8D"/>
    <w:rsid w:val="002F715A"/>
    <w:rsid w:val="002F7225"/>
    <w:rsid w:val="002F741A"/>
    <w:rsid w:val="002F765B"/>
    <w:rsid w:val="002F7F85"/>
    <w:rsid w:val="003001FF"/>
    <w:rsid w:val="00300371"/>
    <w:rsid w:val="003008CC"/>
    <w:rsid w:val="003009A2"/>
    <w:rsid w:val="00300C1F"/>
    <w:rsid w:val="00300ECE"/>
    <w:rsid w:val="00300F9C"/>
    <w:rsid w:val="00301009"/>
    <w:rsid w:val="0030124E"/>
    <w:rsid w:val="0030164D"/>
    <w:rsid w:val="00301763"/>
    <w:rsid w:val="00301F10"/>
    <w:rsid w:val="00301F18"/>
    <w:rsid w:val="00302252"/>
    <w:rsid w:val="003022E3"/>
    <w:rsid w:val="003023A0"/>
    <w:rsid w:val="00302438"/>
    <w:rsid w:val="00302859"/>
    <w:rsid w:val="003028F9"/>
    <w:rsid w:val="00302B46"/>
    <w:rsid w:val="00302D54"/>
    <w:rsid w:val="00302ED5"/>
    <w:rsid w:val="00302EDE"/>
    <w:rsid w:val="00302EDF"/>
    <w:rsid w:val="003030F1"/>
    <w:rsid w:val="0030332F"/>
    <w:rsid w:val="00303690"/>
    <w:rsid w:val="00303C60"/>
    <w:rsid w:val="00303E2E"/>
    <w:rsid w:val="00303E34"/>
    <w:rsid w:val="003041E4"/>
    <w:rsid w:val="00304309"/>
    <w:rsid w:val="003045D3"/>
    <w:rsid w:val="00304B75"/>
    <w:rsid w:val="00304BB1"/>
    <w:rsid w:val="00304FB8"/>
    <w:rsid w:val="0030502F"/>
    <w:rsid w:val="003050EC"/>
    <w:rsid w:val="00305166"/>
    <w:rsid w:val="003054E5"/>
    <w:rsid w:val="00305A69"/>
    <w:rsid w:val="00305BBC"/>
    <w:rsid w:val="00305BC8"/>
    <w:rsid w:val="00305D68"/>
    <w:rsid w:val="003065FE"/>
    <w:rsid w:val="003066B1"/>
    <w:rsid w:val="00306748"/>
    <w:rsid w:val="00306882"/>
    <w:rsid w:val="00306A5D"/>
    <w:rsid w:val="00306D7F"/>
    <w:rsid w:val="0030700A"/>
    <w:rsid w:val="00307299"/>
    <w:rsid w:val="003074CE"/>
    <w:rsid w:val="00307BCC"/>
    <w:rsid w:val="00307D27"/>
    <w:rsid w:val="00307E71"/>
    <w:rsid w:val="00307F66"/>
    <w:rsid w:val="00307F9F"/>
    <w:rsid w:val="003105C5"/>
    <w:rsid w:val="003107CF"/>
    <w:rsid w:val="00310B9B"/>
    <w:rsid w:val="00310BE6"/>
    <w:rsid w:val="00310C3F"/>
    <w:rsid w:val="00310C9C"/>
    <w:rsid w:val="00310CA0"/>
    <w:rsid w:val="00310D8E"/>
    <w:rsid w:val="00310FB5"/>
    <w:rsid w:val="00310FFD"/>
    <w:rsid w:val="0031107E"/>
    <w:rsid w:val="00311395"/>
    <w:rsid w:val="003113D7"/>
    <w:rsid w:val="003121B4"/>
    <w:rsid w:val="0031278D"/>
    <w:rsid w:val="00312ACA"/>
    <w:rsid w:val="00313594"/>
    <w:rsid w:val="00313665"/>
    <w:rsid w:val="00313720"/>
    <w:rsid w:val="00313D23"/>
    <w:rsid w:val="003140D2"/>
    <w:rsid w:val="0031430A"/>
    <w:rsid w:val="0031433C"/>
    <w:rsid w:val="00314703"/>
    <w:rsid w:val="00314795"/>
    <w:rsid w:val="00314B45"/>
    <w:rsid w:val="00314C83"/>
    <w:rsid w:val="00315012"/>
    <w:rsid w:val="00315385"/>
    <w:rsid w:val="003153D3"/>
    <w:rsid w:val="0031568C"/>
    <w:rsid w:val="00315711"/>
    <w:rsid w:val="00315751"/>
    <w:rsid w:val="00315B41"/>
    <w:rsid w:val="00315C3F"/>
    <w:rsid w:val="00316093"/>
    <w:rsid w:val="00316278"/>
    <w:rsid w:val="00316325"/>
    <w:rsid w:val="00316B15"/>
    <w:rsid w:val="003175B5"/>
    <w:rsid w:val="00317714"/>
    <w:rsid w:val="0031795E"/>
    <w:rsid w:val="00317AC8"/>
    <w:rsid w:val="00317D19"/>
    <w:rsid w:val="003200B5"/>
    <w:rsid w:val="00320527"/>
    <w:rsid w:val="0032067D"/>
    <w:rsid w:val="0032078C"/>
    <w:rsid w:val="003208AF"/>
    <w:rsid w:val="00320A17"/>
    <w:rsid w:val="00321380"/>
    <w:rsid w:val="00321747"/>
    <w:rsid w:val="00321BD9"/>
    <w:rsid w:val="00321CE6"/>
    <w:rsid w:val="00321E48"/>
    <w:rsid w:val="00321FC0"/>
    <w:rsid w:val="0032212C"/>
    <w:rsid w:val="00322656"/>
    <w:rsid w:val="00322766"/>
    <w:rsid w:val="003227E8"/>
    <w:rsid w:val="00322CF3"/>
    <w:rsid w:val="00322DA9"/>
    <w:rsid w:val="0032341D"/>
    <w:rsid w:val="003235EE"/>
    <w:rsid w:val="00323AF6"/>
    <w:rsid w:val="00323DEB"/>
    <w:rsid w:val="00323EB8"/>
    <w:rsid w:val="0032418B"/>
    <w:rsid w:val="003243C6"/>
    <w:rsid w:val="003244A5"/>
    <w:rsid w:val="00324A05"/>
    <w:rsid w:val="00324C6D"/>
    <w:rsid w:val="00324EF6"/>
    <w:rsid w:val="00324FA2"/>
    <w:rsid w:val="003251C2"/>
    <w:rsid w:val="0032548A"/>
    <w:rsid w:val="003256B7"/>
    <w:rsid w:val="00325788"/>
    <w:rsid w:val="00325FA0"/>
    <w:rsid w:val="003261F7"/>
    <w:rsid w:val="003263AA"/>
    <w:rsid w:val="00326443"/>
    <w:rsid w:val="003267AC"/>
    <w:rsid w:val="00326D0B"/>
    <w:rsid w:val="00326DC2"/>
    <w:rsid w:val="00326EC1"/>
    <w:rsid w:val="00326F1C"/>
    <w:rsid w:val="00327162"/>
    <w:rsid w:val="00327CEF"/>
    <w:rsid w:val="00327DA1"/>
    <w:rsid w:val="00327FDB"/>
    <w:rsid w:val="0033023A"/>
    <w:rsid w:val="003305CF"/>
    <w:rsid w:val="003309C1"/>
    <w:rsid w:val="003309D5"/>
    <w:rsid w:val="00330A0A"/>
    <w:rsid w:val="00330C58"/>
    <w:rsid w:val="00330CCD"/>
    <w:rsid w:val="00331323"/>
    <w:rsid w:val="0033174A"/>
    <w:rsid w:val="00331875"/>
    <w:rsid w:val="00331CA7"/>
    <w:rsid w:val="003323A1"/>
    <w:rsid w:val="0033259F"/>
    <w:rsid w:val="003328A9"/>
    <w:rsid w:val="00332AB4"/>
    <w:rsid w:val="00332DD3"/>
    <w:rsid w:val="00333080"/>
    <w:rsid w:val="003331D3"/>
    <w:rsid w:val="00333674"/>
    <w:rsid w:val="0033369E"/>
    <w:rsid w:val="003338CE"/>
    <w:rsid w:val="0033392E"/>
    <w:rsid w:val="00333AB7"/>
    <w:rsid w:val="00333CD8"/>
    <w:rsid w:val="00333DA6"/>
    <w:rsid w:val="00334238"/>
    <w:rsid w:val="003342EB"/>
    <w:rsid w:val="0033545C"/>
    <w:rsid w:val="00335956"/>
    <w:rsid w:val="00335CD5"/>
    <w:rsid w:val="00335CFE"/>
    <w:rsid w:val="00335DF9"/>
    <w:rsid w:val="003360BC"/>
    <w:rsid w:val="003365FC"/>
    <w:rsid w:val="00336744"/>
    <w:rsid w:val="00336777"/>
    <w:rsid w:val="00336BCA"/>
    <w:rsid w:val="00336C53"/>
    <w:rsid w:val="00336CDC"/>
    <w:rsid w:val="00336D63"/>
    <w:rsid w:val="00336EB4"/>
    <w:rsid w:val="00337000"/>
    <w:rsid w:val="003371A6"/>
    <w:rsid w:val="003371B5"/>
    <w:rsid w:val="00337280"/>
    <w:rsid w:val="003373BA"/>
    <w:rsid w:val="003376B8"/>
    <w:rsid w:val="00337852"/>
    <w:rsid w:val="00337BAF"/>
    <w:rsid w:val="003401EE"/>
    <w:rsid w:val="00340341"/>
    <w:rsid w:val="003403BC"/>
    <w:rsid w:val="00340868"/>
    <w:rsid w:val="0034086B"/>
    <w:rsid w:val="0034090F"/>
    <w:rsid w:val="00340A10"/>
    <w:rsid w:val="0034131D"/>
    <w:rsid w:val="003417CB"/>
    <w:rsid w:val="003418B5"/>
    <w:rsid w:val="003418E9"/>
    <w:rsid w:val="00341FF4"/>
    <w:rsid w:val="00342009"/>
    <w:rsid w:val="00342021"/>
    <w:rsid w:val="00342154"/>
    <w:rsid w:val="003421FE"/>
    <w:rsid w:val="0034260F"/>
    <w:rsid w:val="00342E3C"/>
    <w:rsid w:val="003435A9"/>
    <w:rsid w:val="00343BC9"/>
    <w:rsid w:val="00343E0D"/>
    <w:rsid w:val="00343E90"/>
    <w:rsid w:val="00344475"/>
    <w:rsid w:val="00344649"/>
    <w:rsid w:val="00344B7B"/>
    <w:rsid w:val="00345496"/>
    <w:rsid w:val="003455DE"/>
    <w:rsid w:val="00345986"/>
    <w:rsid w:val="00345BCF"/>
    <w:rsid w:val="00345F40"/>
    <w:rsid w:val="00345FE8"/>
    <w:rsid w:val="0034627E"/>
    <w:rsid w:val="003462DD"/>
    <w:rsid w:val="00346307"/>
    <w:rsid w:val="003465BC"/>
    <w:rsid w:val="0034665E"/>
    <w:rsid w:val="003466F9"/>
    <w:rsid w:val="003469A2"/>
    <w:rsid w:val="00346E49"/>
    <w:rsid w:val="00346ED2"/>
    <w:rsid w:val="00347117"/>
    <w:rsid w:val="003471D0"/>
    <w:rsid w:val="003471D6"/>
    <w:rsid w:val="003473E1"/>
    <w:rsid w:val="00347F16"/>
    <w:rsid w:val="0035001C"/>
    <w:rsid w:val="00350092"/>
    <w:rsid w:val="00350241"/>
    <w:rsid w:val="00350276"/>
    <w:rsid w:val="003502B5"/>
    <w:rsid w:val="00350916"/>
    <w:rsid w:val="00350B16"/>
    <w:rsid w:val="00350F15"/>
    <w:rsid w:val="00351399"/>
    <w:rsid w:val="003519AD"/>
    <w:rsid w:val="003519DA"/>
    <w:rsid w:val="00351DD6"/>
    <w:rsid w:val="00351E0E"/>
    <w:rsid w:val="003522DD"/>
    <w:rsid w:val="00352497"/>
    <w:rsid w:val="0035259D"/>
    <w:rsid w:val="00352B84"/>
    <w:rsid w:val="00352BF0"/>
    <w:rsid w:val="00352DE4"/>
    <w:rsid w:val="00352F38"/>
    <w:rsid w:val="00352F5C"/>
    <w:rsid w:val="0035336A"/>
    <w:rsid w:val="0035341E"/>
    <w:rsid w:val="003540B2"/>
    <w:rsid w:val="003542D0"/>
    <w:rsid w:val="00354322"/>
    <w:rsid w:val="00354B4E"/>
    <w:rsid w:val="00354DCF"/>
    <w:rsid w:val="00354EB4"/>
    <w:rsid w:val="003550B6"/>
    <w:rsid w:val="00355412"/>
    <w:rsid w:val="00355839"/>
    <w:rsid w:val="00356682"/>
    <w:rsid w:val="00356844"/>
    <w:rsid w:val="00356859"/>
    <w:rsid w:val="0035694F"/>
    <w:rsid w:val="00356D29"/>
    <w:rsid w:val="00356F37"/>
    <w:rsid w:val="00356F3C"/>
    <w:rsid w:val="003571C2"/>
    <w:rsid w:val="00357273"/>
    <w:rsid w:val="003572B8"/>
    <w:rsid w:val="0035737A"/>
    <w:rsid w:val="003573A8"/>
    <w:rsid w:val="0035789A"/>
    <w:rsid w:val="00357988"/>
    <w:rsid w:val="003601C0"/>
    <w:rsid w:val="0036039E"/>
    <w:rsid w:val="00360982"/>
    <w:rsid w:val="00361012"/>
    <w:rsid w:val="00361496"/>
    <w:rsid w:val="003615C3"/>
    <w:rsid w:val="003617C4"/>
    <w:rsid w:val="00361841"/>
    <w:rsid w:val="00361933"/>
    <w:rsid w:val="00361A0C"/>
    <w:rsid w:val="00361EE0"/>
    <w:rsid w:val="00362951"/>
    <w:rsid w:val="00362C14"/>
    <w:rsid w:val="00362E2B"/>
    <w:rsid w:val="003635A3"/>
    <w:rsid w:val="003638E2"/>
    <w:rsid w:val="00363948"/>
    <w:rsid w:val="00363B45"/>
    <w:rsid w:val="00363D5B"/>
    <w:rsid w:val="00363DDF"/>
    <w:rsid w:val="00363F7D"/>
    <w:rsid w:val="00364067"/>
    <w:rsid w:val="003640A7"/>
    <w:rsid w:val="003641A0"/>
    <w:rsid w:val="003642A7"/>
    <w:rsid w:val="0036496A"/>
    <w:rsid w:val="00364A67"/>
    <w:rsid w:val="00364C08"/>
    <w:rsid w:val="00364FB2"/>
    <w:rsid w:val="0036534B"/>
    <w:rsid w:val="00365447"/>
    <w:rsid w:val="0036581A"/>
    <w:rsid w:val="00365C69"/>
    <w:rsid w:val="00365D4A"/>
    <w:rsid w:val="00366024"/>
    <w:rsid w:val="0036609F"/>
    <w:rsid w:val="00366AD4"/>
    <w:rsid w:val="00366D32"/>
    <w:rsid w:val="00366E32"/>
    <w:rsid w:val="003670E0"/>
    <w:rsid w:val="0036794E"/>
    <w:rsid w:val="00367B2B"/>
    <w:rsid w:val="00367BDD"/>
    <w:rsid w:val="00370266"/>
    <w:rsid w:val="0037054F"/>
    <w:rsid w:val="003706DA"/>
    <w:rsid w:val="003706FA"/>
    <w:rsid w:val="003707BC"/>
    <w:rsid w:val="003709E3"/>
    <w:rsid w:val="00370EAC"/>
    <w:rsid w:val="003714FA"/>
    <w:rsid w:val="00371B57"/>
    <w:rsid w:val="00371D6E"/>
    <w:rsid w:val="00372152"/>
    <w:rsid w:val="00372205"/>
    <w:rsid w:val="00372415"/>
    <w:rsid w:val="00372EF9"/>
    <w:rsid w:val="0037323D"/>
    <w:rsid w:val="00373334"/>
    <w:rsid w:val="003733CF"/>
    <w:rsid w:val="0037398C"/>
    <w:rsid w:val="00373996"/>
    <w:rsid w:val="00373F38"/>
    <w:rsid w:val="00374368"/>
    <w:rsid w:val="003743E4"/>
    <w:rsid w:val="0037443D"/>
    <w:rsid w:val="00374632"/>
    <w:rsid w:val="003749BC"/>
    <w:rsid w:val="00374BB7"/>
    <w:rsid w:val="00374E6A"/>
    <w:rsid w:val="0037556D"/>
    <w:rsid w:val="003760A3"/>
    <w:rsid w:val="00376171"/>
    <w:rsid w:val="00376652"/>
    <w:rsid w:val="00376B14"/>
    <w:rsid w:val="00376BFD"/>
    <w:rsid w:val="00376C13"/>
    <w:rsid w:val="00376C71"/>
    <w:rsid w:val="00376E9C"/>
    <w:rsid w:val="003770B2"/>
    <w:rsid w:val="0037732B"/>
    <w:rsid w:val="003773BE"/>
    <w:rsid w:val="003776DC"/>
    <w:rsid w:val="003778AC"/>
    <w:rsid w:val="00377908"/>
    <w:rsid w:val="00377C79"/>
    <w:rsid w:val="00380119"/>
    <w:rsid w:val="0038016C"/>
    <w:rsid w:val="003802E6"/>
    <w:rsid w:val="003805DC"/>
    <w:rsid w:val="00380657"/>
    <w:rsid w:val="00380C5C"/>
    <w:rsid w:val="00380F83"/>
    <w:rsid w:val="00381024"/>
    <w:rsid w:val="003812C3"/>
    <w:rsid w:val="0038146C"/>
    <w:rsid w:val="003816DE"/>
    <w:rsid w:val="00381798"/>
    <w:rsid w:val="00381930"/>
    <w:rsid w:val="00381DBD"/>
    <w:rsid w:val="00381E3A"/>
    <w:rsid w:val="00382609"/>
    <w:rsid w:val="00382CDD"/>
    <w:rsid w:val="0038311D"/>
    <w:rsid w:val="003837C6"/>
    <w:rsid w:val="00383834"/>
    <w:rsid w:val="00383921"/>
    <w:rsid w:val="00383A71"/>
    <w:rsid w:val="00383ABC"/>
    <w:rsid w:val="00383B0E"/>
    <w:rsid w:val="00384361"/>
    <w:rsid w:val="003847C0"/>
    <w:rsid w:val="003849AF"/>
    <w:rsid w:val="00384A64"/>
    <w:rsid w:val="00384A7C"/>
    <w:rsid w:val="00384D1C"/>
    <w:rsid w:val="00384D4B"/>
    <w:rsid w:val="00385020"/>
    <w:rsid w:val="0038522A"/>
    <w:rsid w:val="0038529E"/>
    <w:rsid w:val="0038532A"/>
    <w:rsid w:val="0038574F"/>
    <w:rsid w:val="00385955"/>
    <w:rsid w:val="00385A8C"/>
    <w:rsid w:val="00385C53"/>
    <w:rsid w:val="003860A8"/>
    <w:rsid w:val="003860BA"/>
    <w:rsid w:val="00386124"/>
    <w:rsid w:val="00386208"/>
    <w:rsid w:val="003864D5"/>
    <w:rsid w:val="00386780"/>
    <w:rsid w:val="00386D2B"/>
    <w:rsid w:val="00387104"/>
    <w:rsid w:val="003872B4"/>
    <w:rsid w:val="003872DD"/>
    <w:rsid w:val="00387A01"/>
    <w:rsid w:val="00387A2E"/>
    <w:rsid w:val="00387A5A"/>
    <w:rsid w:val="00387B23"/>
    <w:rsid w:val="00387E0A"/>
    <w:rsid w:val="00390332"/>
    <w:rsid w:val="00390459"/>
    <w:rsid w:val="00390567"/>
    <w:rsid w:val="00390927"/>
    <w:rsid w:val="0039097C"/>
    <w:rsid w:val="00390A1B"/>
    <w:rsid w:val="00390A7E"/>
    <w:rsid w:val="00390CF7"/>
    <w:rsid w:val="003917F1"/>
    <w:rsid w:val="00391D46"/>
    <w:rsid w:val="00391DE3"/>
    <w:rsid w:val="003927F9"/>
    <w:rsid w:val="003927FC"/>
    <w:rsid w:val="0039283F"/>
    <w:rsid w:val="00392D58"/>
    <w:rsid w:val="00392F3E"/>
    <w:rsid w:val="00392F67"/>
    <w:rsid w:val="00392FC0"/>
    <w:rsid w:val="00393002"/>
    <w:rsid w:val="003933C9"/>
    <w:rsid w:val="00393448"/>
    <w:rsid w:val="003939ED"/>
    <w:rsid w:val="00394148"/>
    <w:rsid w:val="003945BD"/>
    <w:rsid w:val="00394713"/>
    <w:rsid w:val="00394A6C"/>
    <w:rsid w:val="00394E7D"/>
    <w:rsid w:val="00394F02"/>
    <w:rsid w:val="00395641"/>
    <w:rsid w:val="00395922"/>
    <w:rsid w:val="0039596B"/>
    <w:rsid w:val="00395A71"/>
    <w:rsid w:val="00395C22"/>
    <w:rsid w:val="0039600A"/>
    <w:rsid w:val="00396133"/>
    <w:rsid w:val="0039614E"/>
    <w:rsid w:val="00396368"/>
    <w:rsid w:val="003965C6"/>
    <w:rsid w:val="003965FE"/>
    <w:rsid w:val="003966F6"/>
    <w:rsid w:val="00396767"/>
    <w:rsid w:val="0039677D"/>
    <w:rsid w:val="00396B28"/>
    <w:rsid w:val="00396BA3"/>
    <w:rsid w:val="00396BF3"/>
    <w:rsid w:val="00396C7C"/>
    <w:rsid w:val="00396DD3"/>
    <w:rsid w:val="00396F31"/>
    <w:rsid w:val="00396F55"/>
    <w:rsid w:val="003975AD"/>
    <w:rsid w:val="00397739"/>
    <w:rsid w:val="00397BC0"/>
    <w:rsid w:val="00397C2F"/>
    <w:rsid w:val="003A0583"/>
    <w:rsid w:val="003A0639"/>
    <w:rsid w:val="003A0660"/>
    <w:rsid w:val="003A0677"/>
    <w:rsid w:val="003A06FC"/>
    <w:rsid w:val="003A0D52"/>
    <w:rsid w:val="003A0E94"/>
    <w:rsid w:val="003A0EC0"/>
    <w:rsid w:val="003A1122"/>
    <w:rsid w:val="003A15A9"/>
    <w:rsid w:val="003A17EE"/>
    <w:rsid w:val="003A1968"/>
    <w:rsid w:val="003A1E88"/>
    <w:rsid w:val="003A2171"/>
    <w:rsid w:val="003A2441"/>
    <w:rsid w:val="003A250A"/>
    <w:rsid w:val="003A276D"/>
    <w:rsid w:val="003A284C"/>
    <w:rsid w:val="003A2E50"/>
    <w:rsid w:val="003A2EB1"/>
    <w:rsid w:val="003A2ED1"/>
    <w:rsid w:val="003A3513"/>
    <w:rsid w:val="003A3858"/>
    <w:rsid w:val="003A3EC8"/>
    <w:rsid w:val="003A40BE"/>
    <w:rsid w:val="003A4499"/>
    <w:rsid w:val="003A47F9"/>
    <w:rsid w:val="003A4824"/>
    <w:rsid w:val="003A486B"/>
    <w:rsid w:val="003A4966"/>
    <w:rsid w:val="003A4A06"/>
    <w:rsid w:val="003A4C47"/>
    <w:rsid w:val="003A541E"/>
    <w:rsid w:val="003A5525"/>
    <w:rsid w:val="003A58B4"/>
    <w:rsid w:val="003A5ED6"/>
    <w:rsid w:val="003A6056"/>
    <w:rsid w:val="003A627E"/>
    <w:rsid w:val="003A6724"/>
    <w:rsid w:val="003A6C61"/>
    <w:rsid w:val="003A6E1A"/>
    <w:rsid w:val="003A74C6"/>
    <w:rsid w:val="003A77E9"/>
    <w:rsid w:val="003B05FB"/>
    <w:rsid w:val="003B06B5"/>
    <w:rsid w:val="003B071C"/>
    <w:rsid w:val="003B0BA1"/>
    <w:rsid w:val="003B0BA7"/>
    <w:rsid w:val="003B15C6"/>
    <w:rsid w:val="003B1A8F"/>
    <w:rsid w:val="003B1A99"/>
    <w:rsid w:val="003B1B4A"/>
    <w:rsid w:val="003B1CBA"/>
    <w:rsid w:val="003B1EE5"/>
    <w:rsid w:val="003B2110"/>
    <w:rsid w:val="003B2799"/>
    <w:rsid w:val="003B2B1D"/>
    <w:rsid w:val="003B2D69"/>
    <w:rsid w:val="003B2FF9"/>
    <w:rsid w:val="003B300E"/>
    <w:rsid w:val="003B3014"/>
    <w:rsid w:val="003B328D"/>
    <w:rsid w:val="003B32EB"/>
    <w:rsid w:val="003B367E"/>
    <w:rsid w:val="003B3874"/>
    <w:rsid w:val="003B399F"/>
    <w:rsid w:val="003B3ABA"/>
    <w:rsid w:val="003B3E21"/>
    <w:rsid w:val="003B3EC4"/>
    <w:rsid w:val="003B3FC1"/>
    <w:rsid w:val="003B4054"/>
    <w:rsid w:val="003B4488"/>
    <w:rsid w:val="003B4599"/>
    <w:rsid w:val="003B4683"/>
    <w:rsid w:val="003B470A"/>
    <w:rsid w:val="003B47EE"/>
    <w:rsid w:val="003B4A47"/>
    <w:rsid w:val="003B4B9F"/>
    <w:rsid w:val="003B4D50"/>
    <w:rsid w:val="003B4DC6"/>
    <w:rsid w:val="003B4F8C"/>
    <w:rsid w:val="003B5513"/>
    <w:rsid w:val="003B5AA1"/>
    <w:rsid w:val="003B5DC0"/>
    <w:rsid w:val="003B6063"/>
    <w:rsid w:val="003B61B7"/>
    <w:rsid w:val="003B6D4D"/>
    <w:rsid w:val="003B6F6F"/>
    <w:rsid w:val="003B702E"/>
    <w:rsid w:val="003B7206"/>
    <w:rsid w:val="003B7552"/>
    <w:rsid w:val="003B7BFB"/>
    <w:rsid w:val="003B7DB7"/>
    <w:rsid w:val="003B7E47"/>
    <w:rsid w:val="003C00C3"/>
    <w:rsid w:val="003C0228"/>
    <w:rsid w:val="003C0464"/>
    <w:rsid w:val="003C06CC"/>
    <w:rsid w:val="003C138B"/>
    <w:rsid w:val="003C176D"/>
    <w:rsid w:val="003C1AE2"/>
    <w:rsid w:val="003C1B73"/>
    <w:rsid w:val="003C1CB6"/>
    <w:rsid w:val="003C1DBD"/>
    <w:rsid w:val="003C21B9"/>
    <w:rsid w:val="003C2458"/>
    <w:rsid w:val="003C2539"/>
    <w:rsid w:val="003C28CF"/>
    <w:rsid w:val="003C2929"/>
    <w:rsid w:val="003C2936"/>
    <w:rsid w:val="003C2C52"/>
    <w:rsid w:val="003C31D1"/>
    <w:rsid w:val="003C31DE"/>
    <w:rsid w:val="003C32E7"/>
    <w:rsid w:val="003C3D5C"/>
    <w:rsid w:val="003C467B"/>
    <w:rsid w:val="003C495B"/>
    <w:rsid w:val="003C4DFE"/>
    <w:rsid w:val="003C4F2E"/>
    <w:rsid w:val="003C4F8F"/>
    <w:rsid w:val="003C51C6"/>
    <w:rsid w:val="003C57E6"/>
    <w:rsid w:val="003C627B"/>
    <w:rsid w:val="003C6347"/>
    <w:rsid w:val="003C64BD"/>
    <w:rsid w:val="003C67B5"/>
    <w:rsid w:val="003C6884"/>
    <w:rsid w:val="003C697B"/>
    <w:rsid w:val="003C6B59"/>
    <w:rsid w:val="003C6D2C"/>
    <w:rsid w:val="003C6E61"/>
    <w:rsid w:val="003C70B1"/>
    <w:rsid w:val="003C72D0"/>
    <w:rsid w:val="003C744E"/>
    <w:rsid w:val="003C7573"/>
    <w:rsid w:val="003C764A"/>
    <w:rsid w:val="003C7D92"/>
    <w:rsid w:val="003D02A1"/>
    <w:rsid w:val="003D08D7"/>
    <w:rsid w:val="003D13E8"/>
    <w:rsid w:val="003D185C"/>
    <w:rsid w:val="003D18F2"/>
    <w:rsid w:val="003D1A4A"/>
    <w:rsid w:val="003D1D89"/>
    <w:rsid w:val="003D1D9C"/>
    <w:rsid w:val="003D2529"/>
    <w:rsid w:val="003D299E"/>
    <w:rsid w:val="003D2BA7"/>
    <w:rsid w:val="003D2C64"/>
    <w:rsid w:val="003D2EA3"/>
    <w:rsid w:val="003D300C"/>
    <w:rsid w:val="003D3832"/>
    <w:rsid w:val="003D3BB6"/>
    <w:rsid w:val="003D3FE9"/>
    <w:rsid w:val="003D447F"/>
    <w:rsid w:val="003D4556"/>
    <w:rsid w:val="003D4FDC"/>
    <w:rsid w:val="003D5017"/>
    <w:rsid w:val="003D5061"/>
    <w:rsid w:val="003D552C"/>
    <w:rsid w:val="003D55CD"/>
    <w:rsid w:val="003D55E1"/>
    <w:rsid w:val="003D5994"/>
    <w:rsid w:val="003D5AF2"/>
    <w:rsid w:val="003D5BC0"/>
    <w:rsid w:val="003D61B1"/>
    <w:rsid w:val="003D636F"/>
    <w:rsid w:val="003D641A"/>
    <w:rsid w:val="003D652B"/>
    <w:rsid w:val="003D688F"/>
    <w:rsid w:val="003D697A"/>
    <w:rsid w:val="003D71EB"/>
    <w:rsid w:val="003D73D4"/>
    <w:rsid w:val="003D7702"/>
    <w:rsid w:val="003D7BCE"/>
    <w:rsid w:val="003D7C2C"/>
    <w:rsid w:val="003D7E2E"/>
    <w:rsid w:val="003E00FC"/>
    <w:rsid w:val="003E0208"/>
    <w:rsid w:val="003E030E"/>
    <w:rsid w:val="003E036C"/>
    <w:rsid w:val="003E063F"/>
    <w:rsid w:val="003E07F8"/>
    <w:rsid w:val="003E081A"/>
    <w:rsid w:val="003E0971"/>
    <w:rsid w:val="003E0AC1"/>
    <w:rsid w:val="003E0D3D"/>
    <w:rsid w:val="003E1046"/>
    <w:rsid w:val="003E10AC"/>
    <w:rsid w:val="003E12E2"/>
    <w:rsid w:val="003E1564"/>
    <w:rsid w:val="003E16A3"/>
    <w:rsid w:val="003E1ADD"/>
    <w:rsid w:val="003E1D6D"/>
    <w:rsid w:val="003E1F30"/>
    <w:rsid w:val="003E1FC4"/>
    <w:rsid w:val="003E20DE"/>
    <w:rsid w:val="003E22CB"/>
    <w:rsid w:val="003E2343"/>
    <w:rsid w:val="003E2899"/>
    <w:rsid w:val="003E2AD7"/>
    <w:rsid w:val="003E2FB0"/>
    <w:rsid w:val="003E33FC"/>
    <w:rsid w:val="003E3493"/>
    <w:rsid w:val="003E3538"/>
    <w:rsid w:val="003E406B"/>
    <w:rsid w:val="003E43E8"/>
    <w:rsid w:val="003E45B8"/>
    <w:rsid w:val="003E4F96"/>
    <w:rsid w:val="003E53BF"/>
    <w:rsid w:val="003E58D0"/>
    <w:rsid w:val="003E5B9F"/>
    <w:rsid w:val="003E5C56"/>
    <w:rsid w:val="003E5CCA"/>
    <w:rsid w:val="003E61A9"/>
    <w:rsid w:val="003E6294"/>
    <w:rsid w:val="003E629E"/>
    <w:rsid w:val="003E6AF4"/>
    <w:rsid w:val="003E6AFD"/>
    <w:rsid w:val="003E6DA3"/>
    <w:rsid w:val="003E7051"/>
    <w:rsid w:val="003E745C"/>
    <w:rsid w:val="003E74F2"/>
    <w:rsid w:val="003E7551"/>
    <w:rsid w:val="003E7773"/>
    <w:rsid w:val="003E7AF5"/>
    <w:rsid w:val="003E7C0F"/>
    <w:rsid w:val="003F0036"/>
    <w:rsid w:val="003F00C2"/>
    <w:rsid w:val="003F04C9"/>
    <w:rsid w:val="003F0588"/>
    <w:rsid w:val="003F0C47"/>
    <w:rsid w:val="003F0C90"/>
    <w:rsid w:val="003F0DD4"/>
    <w:rsid w:val="003F0E95"/>
    <w:rsid w:val="003F0F47"/>
    <w:rsid w:val="003F104A"/>
    <w:rsid w:val="003F111F"/>
    <w:rsid w:val="003F115E"/>
    <w:rsid w:val="003F1485"/>
    <w:rsid w:val="003F14C2"/>
    <w:rsid w:val="003F14C6"/>
    <w:rsid w:val="003F16C1"/>
    <w:rsid w:val="003F1CC5"/>
    <w:rsid w:val="003F1EA9"/>
    <w:rsid w:val="003F1F90"/>
    <w:rsid w:val="003F2210"/>
    <w:rsid w:val="003F2560"/>
    <w:rsid w:val="003F2680"/>
    <w:rsid w:val="003F26D6"/>
    <w:rsid w:val="003F2873"/>
    <w:rsid w:val="003F2B5E"/>
    <w:rsid w:val="003F2C59"/>
    <w:rsid w:val="003F2C9F"/>
    <w:rsid w:val="003F2D07"/>
    <w:rsid w:val="003F2D43"/>
    <w:rsid w:val="003F2E8D"/>
    <w:rsid w:val="003F3213"/>
    <w:rsid w:val="003F332C"/>
    <w:rsid w:val="003F33D8"/>
    <w:rsid w:val="003F38BA"/>
    <w:rsid w:val="003F38D4"/>
    <w:rsid w:val="003F3AFC"/>
    <w:rsid w:val="003F3DF6"/>
    <w:rsid w:val="003F4FE8"/>
    <w:rsid w:val="003F5024"/>
    <w:rsid w:val="003F535C"/>
    <w:rsid w:val="003F554C"/>
    <w:rsid w:val="003F5A55"/>
    <w:rsid w:val="003F5B6A"/>
    <w:rsid w:val="003F5BB8"/>
    <w:rsid w:val="003F6058"/>
    <w:rsid w:val="003F63F3"/>
    <w:rsid w:val="003F6588"/>
    <w:rsid w:val="003F6C05"/>
    <w:rsid w:val="003F70ED"/>
    <w:rsid w:val="003F7196"/>
    <w:rsid w:val="003F7301"/>
    <w:rsid w:val="003F7BA5"/>
    <w:rsid w:val="003F7C4C"/>
    <w:rsid w:val="003F7F1A"/>
    <w:rsid w:val="004002BA"/>
    <w:rsid w:val="004008AF"/>
    <w:rsid w:val="00400A2A"/>
    <w:rsid w:val="00400A3A"/>
    <w:rsid w:val="00400B5F"/>
    <w:rsid w:val="0040121F"/>
    <w:rsid w:val="00401D00"/>
    <w:rsid w:val="00401D4F"/>
    <w:rsid w:val="00401DBF"/>
    <w:rsid w:val="00401E96"/>
    <w:rsid w:val="00401F9D"/>
    <w:rsid w:val="0040221A"/>
    <w:rsid w:val="004027EC"/>
    <w:rsid w:val="0040292E"/>
    <w:rsid w:val="00402B27"/>
    <w:rsid w:val="00402DFE"/>
    <w:rsid w:val="004032B2"/>
    <w:rsid w:val="004033D9"/>
    <w:rsid w:val="00403708"/>
    <w:rsid w:val="00403804"/>
    <w:rsid w:val="004038DC"/>
    <w:rsid w:val="00403CC5"/>
    <w:rsid w:val="00403FBC"/>
    <w:rsid w:val="004043B1"/>
    <w:rsid w:val="00404614"/>
    <w:rsid w:val="004046AD"/>
    <w:rsid w:val="00404914"/>
    <w:rsid w:val="00404970"/>
    <w:rsid w:val="00404A94"/>
    <w:rsid w:val="00404F2F"/>
    <w:rsid w:val="0040551F"/>
    <w:rsid w:val="00405D99"/>
    <w:rsid w:val="00405DCC"/>
    <w:rsid w:val="00406473"/>
    <w:rsid w:val="00406675"/>
    <w:rsid w:val="00406A59"/>
    <w:rsid w:val="00406DEE"/>
    <w:rsid w:val="00406E1F"/>
    <w:rsid w:val="004073B7"/>
    <w:rsid w:val="004073FB"/>
    <w:rsid w:val="00407688"/>
    <w:rsid w:val="0040771F"/>
    <w:rsid w:val="004078A5"/>
    <w:rsid w:val="004079F4"/>
    <w:rsid w:val="00407B77"/>
    <w:rsid w:val="00407C74"/>
    <w:rsid w:val="00407C7D"/>
    <w:rsid w:val="00407E49"/>
    <w:rsid w:val="00407FD3"/>
    <w:rsid w:val="0041019E"/>
    <w:rsid w:val="004103FA"/>
    <w:rsid w:val="00410532"/>
    <w:rsid w:val="00410826"/>
    <w:rsid w:val="0041097A"/>
    <w:rsid w:val="004111F7"/>
    <w:rsid w:val="004113DC"/>
    <w:rsid w:val="00411A9C"/>
    <w:rsid w:val="00411BF2"/>
    <w:rsid w:val="00411F1C"/>
    <w:rsid w:val="00411F63"/>
    <w:rsid w:val="0041210C"/>
    <w:rsid w:val="0041217D"/>
    <w:rsid w:val="004123CC"/>
    <w:rsid w:val="004125C6"/>
    <w:rsid w:val="004125D4"/>
    <w:rsid w:val="0041275F"/>
    <w:rsid w:val="004128E8"/>
    <w:rsid w:val="00412A27"/>
    <w:rsid w:val="00413146"/>
    <w:rsid w:val="00413476"/>
    <w:rsid w:val="0041348C"/>
    <w:rsid w:val="00413784"/>
    <w:rsid w:val="004137A3"/>
    <w:rsid w:val="00413A2F"/>
    <w:rsid w:val="00413A4A"/>
    <w:rsid w:val="00413EFB"/>
    <w:rsid w:val="0041428B"/>
    <w:rsid w:val="00414570"/>
    <w:rsid w:val="004145FC"/>
    <w:rsid w:val="004154E8"/>
    <w:rsid w:val="004156A2"/>
    <w:rsid w:val="004158CC"/>
    <w:rsid w:val="00416048"/>
    <w:rsid w:val="00416476"/>
    <w:rsid w:val="004166A8"/>
    <w:rsid w:val="00416C65"/>
    <w:rsid w:val="00416E0C"/>
    <w:rsid w:val="00416EF7"/>
    <w:rsid w:val="004174B3"/>
    <w:rsid w:val="0041754E"/>
    <w:rsid w:val="00417670"/>
    <w:rsid w:val="004176CE"/>
    <w:rsid w:val="00417E13"/>
    <w:rsid w:val="00420621"/>
    <w:rsid w:val="00420688"/>
    <w:rsid w:val="004209A2"/>
    <w:rsid w:val="00420FBD"/>
    <w:rsid w:val="0042109D"/>
    <w:rsid w:val="004212C9"/>
    <w:rsid w:val="0042168E"/>
    <w:rsid w:val="00421A69"/>
    <w:rsid w:val="00421A89"/>
    <w:rsid w:val="00421EBC"/>
    <w:rsid w:val="00421F52"/>
    <w:rsid w:val="00422249"/>
    <w:rsid w:val="0042226D"/>
    <w:rsid w:val="00422305"/>
    <w:rsid w:val="0042268D"/>
    <w:rsid w:val="004226C9"/>
    <w:rsid w:val="00422988"/>
    <w:rsid w:val="00422A71"/>
    <w:rsid w:val="00422DBC"/>
    <w:rsid w:val="0042304B"/>
    <w:rsid w:val="00423278"/>
    <w:rsid w:val="004236BF"/>
    <w:rsid w:val="00423D28"/>
    <w:rsid w:val="00424084"/>
    <w:rsid w:val="004240B4"/>
    <w:rsid w:val="0042436F"/>
    <w:rsid w:val="00424A3A"/>
    <w:rsid w:val="00424CAC"/>
    <w:rsid w:val="00424D3D"/>
    <w:rsid w:val="00424F21"/>
    <w:rsid w:val="00425031"/>
    <w:rsid w:val="00425311"/>
    <w:rsid w:val="004253A9"/>
    <w:rsid w:val="00425C82"/>
    <w:rsid w:val="0042632C"/>
    <w:rsid w:val="00426494"/>
    <w:rsid w:val="00426574"/>
    <w:rsid w:val="0042677B"/>
    <w:rsid w:val="004271D0"/>
    <w:rsid w:val="004272AB"/>
    <w:rsid w:val="00427361"/>
    <w:rsid w:val="004273AD"/>
    <w:rsid w:val="00427463"/>
    <w:rsid w:val="0042751F"/>
    <w:rsid w:val="0042764F"/>
    <w:rsid w:val="00427813"/>
    <w:rsid w:val="004278A3"/>
    <w:rsid w:val="00427A49"/>
    <w:rsid w:val="00427A4A"/>
    <w:rsid w:val="00427E20"/>
    <w:rsid w:val="00427F2E"/>
    <w:rsid w:val="004301D2"/>
    <w:rsid w:val="004304C8"/>
    <w:rsid w:val="004305AE"/>
    <w:rsid w:val="004305DA"/>
    <w:rsid w:val="004305E1"/>
    <w:rsid w:val="00430C34"/>
    <w:rsid w:val="00430C3B"/>
    <w:rsid w:val="00430F82"/>
    <w:rsid w:val="004311F1"/>
    <w:rsid w:val="00431719"/>
    <w:rsid w:val="00431800"/>
    <w:rsid w:val="00431B53"/>
    <w:rsid w:val="00432035"/>
    <w:rsid w:val="0043217E"/>
    <w:rsid w:val="00432202"/>
    <w:rsid w:val="0043269A"/>
    <w:rsid w:val="00432AE3"/>
    <w:rsid w:val="004330F1"/>
    <w:rsid w:val="004330F8"/>
    <w:rsid w:val="00433451"/>
    <w:rsid w:val="00433541"/>
    <w:rsid w:val="00433711"/>
    <w:rsid w:val="00433793"/>
    <w:rsid w:val="0043399B"/>
    <w:rsid w:val="00433C5E"/>
    <w:rsid w:val="004343BB"/>
    <w:rsid w:val="00434403"/>
    <w:rsid w:val="00434452"/>
    <w:rsid w:val="0043466D"/>
    <w:rsid w:val="00434700"/>
    <w:rsid w:val="004347B7"/>
    <w:rsid w:val="00434913"/>
    <w:rsid w:val="00434C32"/>
    <w:rsid w:val="004353CD"/>
    <w:rsid w:val="004353EE"/>
    <w:rsid w:val="00435504"/>
    <w:rsid w:val="00435797"/>
    <w:rsid w:val="00435C44"/>
    <w:rsid w:val="00435C86"/>
    <w:rsid w:val="00436503"/>
    <w:rsid w:val="00436514"/>
    <w:rsid w:val="0043663F"/>
    <w:rsid w:val="00436712"/>
    <w:rsid w:val="00436A8F"/>
    <w:rsid w:val="00436B28"/>
    <w:rsid w:val="00436B41"/>
    <w:rsid w:val="00436CC7"/>
    <w:rsid w:val="00436FAD"/>
    <w:rsid w:val="004374D7"/>
    <w:rsid w:val="0043754B"/>
    <w:rsid w:val="004375BC"/>
    <w:rsid w:val="004375FC"/>
    <w:rsid w:val="004378A6"/>
    <w:rsid w:val="004379D3"/>
    <w:rsid w:val="00437A37"/>
    <w:rsid w:val="00437B7A"/>
    <w:rsid w:val="00437FC2"/>
    <w:rsid w:val="00440124"/>
    <w:rsid w:val="00440668"/>
    <w:rsid w:val="004408BF"/>
    <w:rsid w:val="00440B46"/>
    <w:rsid w:val="00440B6C"/>
    <w:rsid w:val="00440B77"/>
    <w:rsid w:val="00440DB5"/>
    <w:rsid w:val="00440DF4"/>
    <w:rsid w:val="00440EB6"/>
    <w:rsid w:val="004410D9"/>
    <w:rsid w:val="00441249"/>
    <w:rsid w:val="00441A8F"/>
    <w:rsid w:val="00441BE6"/>
    <w:rsid w:val="00441F54"/>
    <w:rsid w:val="004422B6"/>
    <w:rsid w:val="004423F7"/>
    <w:rsid w:val="00442881"/>
    <w:rsid w:val="00442A49"/>
    <w:rsid w:val="00442B93"/>
    <w:rsid w:val="00442E16"/>
    <w:rsid w:val="004434A6"/>
    <w:rsid w:val="004436C9"/>
    <w:rsid w:val="004437FE"/>
    <w:rsid w:val="00443891"/>
    <w:rsid w:val="004438FE"/>
    <w:rsid w:val="00443C4A"/>
    <w:rsid w:val="00443D79"/>
    <w:rsid w:val="00444225"/>
    <w:rsid w:val="0044441B"/>
    <w:rsid w:val="004444E6"/>
    <w:rsid w:val="004449C9"/>
    <w:rsid w:val="00444C2F"/>
    <w:rsid w:val="00444D70"/>
    <w:rsid w:val="00444FF6"/>
    <w:rsid w:val="00445021"/>
    <w:rsid w:val="00445723"/>
    <w:rsid w:val="0044584F"/>
    <w:rsid w:val="00445BC8"/>
    <w:rsid w:val="00445DD1"/>
    <w:rsid w:val="004465CC"/>
    <w:rsid w:val="0044690B"/>
    <w:rsid w:val="00446A42"/>
    <w:rsid w:val="00446BBE"/>
    <w:rsid w:val="00446C1D"/>
    <w:rsid w:val="00446D50"/>
    <w:rsid w:val="00446EE9"/>
    <w:rsid w:val="0044718E"/>
    <w:rsid w:val="00447281"/>
    <w:rsid w:val="00447482"/>
    <w:rsid w:val="004475FE"/>
    <w:rsid w:val="0044782C"/>
    <w:rsid w:val="004479C3"/>
    <w:rsid w:val="004500D4"/>
    <w:rsid w:val="00450558"/>
    <w:rsid w:val="0045093D"/>
    <w:rsid w:val="00451078"/>
    <w:rsid w:val="004511E7"/>
    <w:rsid w:val="00451645"/>
    <w:rsid w:val="00451BBC"/>
    <w:rsid w:val="00451E16"/>
    <w:rsid w:val="00451F8F"/>
    <w:rsid w:val="004521A5"/>
    <w:rsid w:val="00452F04"/>
    <w:rsid w:val="0045344B"/>
    <w:rsid w:val="00453618"/>
    <w:rsid w:val="00453622"/>
    <w:rsid w:val="00453AC2"/>
    <w:rsid w:val="00453BCE"/>
    <w:rsid w:val="00454029"/>
    <w:rsid w:val="0045422E"/>
    <w:rsid w:val="004547F1"/>
    <w:rsid w:val="00454AD4"/>
    <w:rsid w:val="00454F8E"/>
    <w:rsid w:val="00455C3D"/>
    <w:rsid w:val="00455E06"/>
    <w:rsid w:val="0045601E"/>
    <w:rsid w:val="004566C6"/>
    <w:rsid w:val="004567C5"/>
    <w:rsid w:val="004569C6"/>
    <w:rsid w:val="00457111"/>
    <w:rsid w:val="00457446"/>
    <w:rsid w:val="0045749F"/>
    <w:rsid w:val="0045755C"/>
    <w:rsid w:val="00457BC4"/>
    <w:rsid w:val="00457F42"/>
    <w:rsid w:val="004605A3"/>
    <w:rsid w:val="0046063C"/>
    <w:rsid w:val="00460723"/>
    <w:rsid w:val="004607C7"/>
    <w:rsid w:val="004608FD"/>
    <w:rsid w:val="0046098F"/>
    <w:rsid w:val="00460A4B"/>
    <w:rsid w:val="00461150"/>
    <w:rsid w:val="00461AD4"/>
    <w:rsid w:val="00461AE2"/>
    <w:rsid w:val="00462676"/>
    <w:rsid w:val="00462778"/>
    <w:rsid w:val="004629C7"/>
    <w:rsid w:val="00462AA4"/>
    <w:rsid w:val="00462D1B"/>
    <w:rsid w:val="0046303D"/>
    <w:rsid w:val="004631EC"/>
    <w:rsid w:val="00463246"/>
    <w:rsid w:val="004634F2"/>
    <w:rsid w:val="0046364D"/>
    <w:rsid w:val="00463678"/>
    <w:rsid w:val="0046373D"/>
    <w:rsid w:val="00463771"/>
    <w:rsid w:val="00463AD3"/>
    <w:rsid w:val="00463B41"/>
    <w:rsid w:val="0046416F"/>
    <w:rsid w:val="004645CC"/>
    <w:rsid w:val="00464F6C"/>
    <w:rsid w:val="00465594"/>
    <w:rsid w:val="004656F4"/>
    <w:rsid w:val="00465A1C"/>
    <w:rsid w:val="00465C7D"/>
    <w:rsid w:val="004664C2"/>
    <w:rsid w:val="00467090"/>
    <w:rsid w:val="0046709D"/>
    <w:rsid w:val="004670A3"/>
    <w:rsid w:val="004670D8"/>
    <w:rsid w:val="0046795F"/>
    <w:rsid w:val="00467CFC"/>
    <w:rsid w:val="00467F8E"/>
    <w:rsid w:val="00467FF8"/>
    <w:rsid w:val="004703C3"/>
    <w:rsid w:val="0047051C"/>
    <w:rsid w:val="00470870"/>
    <w:rsid w:val="004709E8"/>
    <w:rsid w:val="00470B6D"/>
    <w:rsid w:val="00470BFA"/>
    <w:rsid w:val="0047145B"/>
    <w:rsid w:val="004714DE"/>
    <w:rsid w:val="004717FC"/>
    <w:rsid w:val="00471851"/>
    <w:rsid w:val="004718C9"/>
    <w:rsid w:val="00471B9D"/>
    <w:rsid w:val="00471D0D"/>
    <w:rsid w:val="00472042"/>
    <w:rsid w:val="00472319"/>
    <w:rsid w:val="00472525"/>
    <w:rsid w:val="00472772"/>
    <w:rsid w:val="00472B1A"/>
    <w:rsid w:val="00472C3F"/>
    <w:rsid w:val="00472D16"/>
    <w:rsid w:val="00472F19"/>
    <w:rsid w:val="00472F3D"/>
    <w:rsid w:val="0047301B"/>
    <w:rsid w:val="004730AD"/>
    <w:rsid w:val="004730B9"/>
    <w:rsid w:val="0047316F"/>
    <w:rsid w:val="00473670"/>
    <w:rsid w:val="0047383E"/>
    <w:rsid w:val="00473B62"/>
    <w:rsid w:val="00473C2F"/>
    <w:rsid w:val="004742D8"/>
    <w:rsid w:val="00474897"/>
    <w:rsid w:val="004748E6"/>
    <w:rsid w:val="00474AA1"/>
    <w:rsid w:val="00474BF1"/>
    <w:rsid w:val="00474C95"/>
    <w:rsid w:val="00474E01"/>
    <w:rsid w:val="00474EBF"/>
    <w:rsid w:val="004753C0"/>
    <w:rsid w:val="0047557C"/>
    <w:rsid w:val="004758AA"/>
    <w:rsid w:val="00475C71"/>
    <w:rsid w:val="00475D81"/>
    <w:rsid w:val="0047617E"/>
    <w:rsid w:val="00476996"/>
    <w:rsid w:val="00476A2F"/>
    <w:rsid w:val="0047777D"/>
    <w:rsid w:val="00477973"/>
    <w:rsid w:val="00477B3E"/>
    <w:rsid w:val="004801BE"/>
    <w:rsid w:val="0048054A"/>
    <w:rsid w:val="004806A7"/>
    <w:rsid w:val="0048077C"/>
    <w:rsid w:val="00480A21"/>
    <w:rsid w:val="00480B76"/>
    <w:rsid w:val="0048106F"/>
    <w:rsid w:val="004817B3"/>
    <w:rsid w:val="00481A77"/>
    <w:rsid w:val="00481FCB"/>
    <w:rsid w:val="004826F4"/>
    <w:rsid w:val="00482804"/>
    <w:rsid w:val="00482898"/>
    <w:rsid w:val="00482A9F"/>
    <w:rsid w:val="00482B47"/>
    <w:rsid w:val="00482EE8"/>
    <w:rsid w:val="00482F60"/>
    <w:rsid w:val="0048323E"/>
    <w:rsid w:val="004835E9"/>
    <w:rsid w:val="00483B96"/>
    <w:rsid w:val="00483C70"/>
    <w:rsid w:val="00483DB9"/>
    <w:rsid w:val="00483DBB"/>
    <w:rsid w:val="004844D9"/>
    <w:rsid w:val="004845A4"/>
    <w:rsid w:val="00484854"/>
    <w:rsid w:val="00484855"/>
    <w:rsid w:val="00484C4F"/>
    <w:rsid w:val="00484CF3"/>
    <w:rsid w:val="00484DC5"/>
    <w:rsid w:val="004852FE"/>
    <w:rsid w:val="00485612"/>
    <w:rsid w:val="00485675"/>
    <w:rsid w:val="004860DC"/>
    <w:rsid w:val="004864D8"/>
    <w:rsid w:val="00486865"/>
    <w:rsid w:val="00486918"/>
    <w:rsid w:val="00486CD0"/>
    <w:rsid w:val="00486DA2"/>
    <w:rsid w:val="004870B7"/>
    <w:rsid w:val="004871C9"/>
    <w:rsid w:val="004871FB"/>
    <w:rsid w:val="00487ADF"/>
    <w:rsid w:val="00487C85"/>
    <w:rsid w:val="00487D69"/>
    <w:rsid w:val="0049040C"/>
    <w:rsid w:val="004904FD"/>
    <w:rsid w:val="0049082F"/>
    <w:rsid w:val="004908C0"/>
    <w:rsid w:val="00490998"/>
    <w:rsid w:val="00490CF9"/>
    <w:rsid w:val="00490D9B"/>
    <w:rsid w:val="00490DC4"/>
    <w:rsid w:val="00490E90"/>
    <w:rsid w:val="0049144D"/>
    <w:rsid w:val="00491678"/>
    <w:rsid w:val="0049178B"/>
    <w:rsid w:val="00491CFB"/>
    <w:rsid w:val="00491D5C"/>
    <w:rsid w:val="00491F0F"/>
    <w:rsid w:val="0049200C"/>
    <w:rsid w:val="004920CB"/>
    <w:rsid w:val="00492217"/>
    <w:rsid w:val="00492475"/>
    <w:rsid w:val="00492A99"/>
    <w:rsid w:val="00492F2B"/>
    <w:rsid w:val="004934E4"/>
    <w:rsid w:val="004937BA"/>
    <w:rsid w:val="00493A0C"/>
    <w:rsid w:val="00494B5E"/>
    <w:rsid w:val="00494F5E"/>
    <w:rsid w:val="00494F64"/>
    <w:rsid w:val="004955E8"/>
    <w:rsid w:val="0049584B"/>
    <w:rsid w:val="00495858"/>
    <w:rsid w:val="004959D6"/>
    <w:rsid w:val="00495B51"/>
    <w:rsid w:val="00495BB1"/>
    <w:rsid w:val="004960DE"/>
    <w:rsid w:val="0049623A"/>
    <w:rsid w:val="004963E2"/>
    <w:rsid w:val="0049640C"/>
    <w:rsid w:val="004965BB"/>
    <w:rsid w:val="00496719"/>
    <w:rsid w:val="00496745"/>
    <w:rsid w:val="004967BC"/>
    <w:rsid w:val="00496DF7"/>
    <w:rsid w:val="00496F0F"/>
    <w:rsid w:val="00497264"/>
    <w:rsid w:val="00497507"/>
    <w:rsid w:val="0049755E"/>
    <w:rsid w:val="00497A82"/>
    <w:rsid w:val="00497B9F"/>
    <w:rsid w:val="00497F53"/>
    <w:rsid w:val="004A01E0"/>
    <w:rsid w:val="004A04CA"/>
    <w:rsid w:val="004A05D4"/>
    <w:rsid w:val="004A0C09"/>
    <w:rsid w:val="004A0D7C"/>
    <w:rsid w:val="004A1553"/>
    <w:rsid w:val="004A1667"/>
    <w:rsid w:val="004A1A2F"/>
    <w:rsid w:val="004A1D3A"/>
    <w:rsid w:val="004A1F81"/>
    <w:rsid w:val="004A2084"/>
    <w:rsid w:val="004A21A0"/>
    <w:rsid w:val="004A2DD2"/>
    <w:rsid w:val="004A3110"/>
    <w:rsid w:val="004A34AE"/>
    <w:rsid w:val="004A37B3"/>
    <w:rsid w:val="004A3ADE"/>
    <w:rsid w:val="004A3C1B"/>
    <w:rsid w:val="004A3F0E"/>
    <w:rsid w:val="004A42A9"/>
    <w:rsid w:val="004A4430"/>
    <w:rsid w:val="004A47EC"/>
    <w:rsid w:val="004A47F1"/>
    <w:rsid w:val="004A48C2"/>
    <w:rsid w:val="004A4D65"/>
    <w:rsid w:val="004A4FDF"/>
    <w:rsid w:val="004A541D"/>
    <w:rsid w:val="004A5489"/>
    <w:rsid w:val="004A55CF"/>
    <w:rsid w:val="004A5757"/>
    <w:rsid w:val="004A5C65"/>
    <w:rsid w:val="004A5E73"/>
    <w:rsid w:val="004A5EA3"/>
    <w:rsid w:val="004A5F03"/>
    <w:rsid w:val="004A609D"/>
    <w:rsid w:val="004A653E"/>
    <w:rsid w:val="004A6847"/>
    <w:rsid w:val="004A69C0"/>
    <w:rsid w:val="004A69D5"/>
    <w:rsid w:val="004A6D11"/>
    <w:rsid w:val="004A6FCC"/>
    <w:rsid w:val="004A70F1"/>
    <w:rsid w:val="004A7163"/>
    <w:rsid w:val="004A76AA"/>
    <w:rsid w:val="004A76C2"/>
    <w:rsid w:val="004A7A52"/>
    <w:rsid w:val="004A7A97"/>
    <w:rsid w:val="004A7AC4"/>
    <w:rsid w:val="004A7BA2"/>
    <w:rsid w:val="004A7CB8"/>
    <w:rsid w:val="004B000C"/>
    <w:rsid w:val="004B0393"/>
    <w:rsid w:val="004B041B"/>
    <w:rsid w:val="004B045B"/>
    <w:rsid w:val="004B08E3"/>
    <w:rsid w:val="004B0956"/>
    <w:rsid w:val="004B0EFD"/>
    <w:rsid w:val="004B151E"/>
    <w:rsid w:val="004B15AB"/>
    <w:rsid w:val="004B16B7"/>
    <w:rsid w:val="004B170F"/>
    <w:rsid w:val="004B19FE"/>
    <w:rsid w:val="004B1A51"/>
    <w:rsid w:val="004B1EFD"/>
    <w:rsid w:val="004B1F73"/>
    <w:rsid w:val="004B1FBD"/>
    <w:rsid w:val="004B1FFE"/>
    <w:rsid w:val="004B2138"/>
    <w:rsid w:val="004B21B8"/>
    <w:rsid w:val="004B258C"/>
    <w:rsid w:val="004B292A"/>
    <w:rsid w:val="004B2A4D"/>
    <w:rsid w:val="004B2ABF"/>
    <w:rsid w:val="004B2AFC"/>
    <w:rsid w:val="004B2F29"/>
    <w:rsid w:val="004B2F45"/>
    <w:rsid w:val="004B2F9F"/>
    <w:rsid w:val="004B30FC"/>
    <w:rsid w:val="004B33C2"/>
    <w:rsid w:val="004B3AF0"/>
    <w:rsid w:val="004B3B21"/>
    <w:rsid w:val="004B41D9"/>
    <w:rsid w:val="004B4214"/>
    <w:rsid w:val="004B4471"/>
    <w:rsid w:val="004B44E1"/>
    <w:rsid w:val="004B455A"/>
    <w:rsid w:val="004B48FA"/>
    <w:rsid w:val="004B4C6F"/>
    <w:rsid w:val="004B50A6"/>
    <w:rsid w:val="004B540E"/>
    <w:rsid w:val="004B5B9D"/>
    <w:rsid w:val="004B5C81"/>
    <w:rsid w:val="004B5C90"/>
    <w:rsid w:val="004B6055"/>
    <w:rsid w:val="004B6214"/>
    <w:rsid w:val="004B62DD"/>
    <w:rsid w:val="004B65E2"/>
    <w:rsid w:val="004B689D"/>
    <w:rsid w:val="004B68C5"/>
    <w:rsid w:val="004B6CC7"/>
    <w:rsid w:val="004B7474"/>
    <w:rsid w:val="004B7996"/>
    <w:rsid w:val="004B79B7"/>
    <w:rsid w:val="004B7B74"/>
    <w:rsid w:val="004B7C2E"/>
    <w:rsid w:val="004C00EB"/>
    <w:rsid w:val="004C0374"/>
    <w:rsid w:val="004C0463"/>
    <w:rsid w:val="004C0540"/>
    <w:rsid w:val="004C0623"/>
    <w:rsid w:val="004C090A"/>
    <w:rsid w:val="004C09D7"/>
    <w:rsid w:val="004C0C80"/>
    <w:rsid w:val="004C0D56"/>
    <w:rsid w:val="004C0E97"/>
    <w:rsid w:val="004C0FDA"/>
    <w:rsid w:val="004C1032"/>
    <w:rsid w:val="004C103F"/>
    <w:rsid w:val="004C1228"/>
    <w:rsid w:val="004C12A3"/>
    <w:rsid w:val="004C1489"/>
    <w:rsid w:val="004C15DC"/>
    <w:rsid w:val="004C162E"/>
    <w:rsid w:val="004C1C01"/>
    <w:rsid w:val="004C22A4"/>
    <w:rsid w:val="004C233E"/>
    <w:rsid w:val="004C2562"/>
    <w:rsid w:val="004C2643"/>
    <w:rsid w:val="004C2AE5"/>
    <w:rsid w:val="004C2DAA"/>
    <w:rsid w:val="004C2E2D"/>
    <w:rsid w:val="004C335B"/>
    <w:rsid w:val="004C3973"/>
    <w:rsid w:val="004C3B3F"/>
    <w:rsid w:val="004C3CF0"/>
    <w:rsid w:val="004C3F98"/>
    <w:rsid w:val="004C410F"/>
    <w:rsid w:val="004C41B4"/>
    <w:rsid w:val="004C41FD"/>
    <w:rsid w:val="004C453B"/>
    <w:rsid w:val="004C46BB"/>
    <w:rsid w:val="004C4809"/>
    <w:rsid w:val="004C48C8"/>
    <w:rsid w:val="004C4A5A"/>
    <w:rsid w:val="004C5055"/>
    <w:rsid w:val="004C5987"/>
    <w:rsid w:val="004C598D"/>
    <w:rsid w:val="004C6451"/>
    <w:rsid w:val="004C6459"/>
    <w:rsid w:val="004C6D77"/>
    <w:rsid w:val="004C6F02"/>
    <w:rsid w:val="004C718D"/>
    <w:rsid w:val="004C749D"/>
    <w:rsid w:val="004C7544"/>
    <w:rsid w:val="004C78A6"/>
    <w:rsid w:val="004C7CD0"/>
    <w:rsid w:val="004C7D6E"/>
    <w:rsid w:val="004C7DD0"/>
    <w:rsid w:val="004C7E1B"/>
    <w:rsid w:val="004C7E4B"/>
    <w:rsid w:val="004C7E5F"/>
    <w:rsid w:val="004D0043"/>
    <w:rsid w:val="004D033C"/>
    <w:rsid w:val="004D04C1"/>
    <w:rsid w:val="004D0589"/>
    <w:rsid w:val="004D0639"/>
    <w:rsid w:val="004D06D6"/>
    <w:rsid w:val="004D0768"/>
    <w:rsid w:val="004D0A19"/>
    <w:rsid w:val="004D0AD8"/>
    <w:rsid w:val="004D100B"/>
    <w:rsid w:val="004D1372"/>
    <w:rsid w:val="004D148B"/>
    <w:rsid w:val="004D18B2"/>
    <w:rsid w:val="004D18D1"/>
    <w:rsid w:val="004D1A64"/>
    <w:rsid w:val="004D1C34"/>
    <w:rsid w:val="004D1E9E"/>
    <w:rsid w:val="004D239B"/>
    <w:rsid w:val="004D24C4"/>
    <w:rsid w:val="004D260D"/>
    <w:rsid w:val="004D26A1"/>
    <w:rsid w:val="004D2932"/>
    <w:rsid w:val="004D2AD1"/>
    <w:rsid w:val="004D2D2B"/>
    <w:rsid w:val="004D2D4F"/>
    <w:rsid w:val="004D2EED"/>
    <w:rsid w:val="004D2F71"/>
    <w:rsid w:val="004D3260"/>
    <w:rsid w:val="004D35A5"/>
    <w:rsid w:val="004D35C8"/>
    <w:rsid w:val="004D3897"/>
    <w:rsid w:val="004D4425"/>
    <w:rsid w:val="004D549E"/>
    <w:rsid w:val="004D590C"/>
    <w:rsid w:val="004D5A5B"/>
    <w:rsid w:val="004D5AF0"/>
    <w:rsid w:val="004D5D7D"/>
    <w:rsid w:val="004D5FDB"/>
    <w:rsid w:val="004D6144"/>
    <w:rsid w:val="004D6474"/>
    <w:rsid w:val="004D69D8"/>
    <w:rsid w:val="004D6E18"/>
    <w:rsid w:val="004D70A7"/>
    <w:rsid w:val="004D71B5"/>
    <w:rsid w:val="004D750A"/>
    <w:rsid w:val="004D7532"/>
    <w:rsid w:val="004D7542"/>
    <w:rsid w:val="004D771E"/>
    <w:rsid w:val="004D772C"/>
    <w:rsid w:val="004D7833"/>
    <w:rsid w:val="004D7855"/>
    <w:rsid w:val="004D7D30"/>
    <w:rsid w:val="004E0417"/>
    <w:rsid w:val="004E06A5"/>
    <w:rsid w:val="004E0785"/>
    <w:rsid w:val="004E0A13"/>
    <w:rsid w:val="004E0B4B"/>
    <w:rsid w:val="004E0D48"/>
    <w:rsid w:val="004E12FC"/>
    <w:rsid w:val="004E15B0"/>
    <w:rsid w:val="004E1AC9"/>
    <w:rsid w:val="004E1C30"/>
    <w:rsid w:val="004E27EB"/>
    <w:rsid w:val="004E296C"/>
    <w:rsid w:val="004E2A76"/>
    <w:rsid w:val="004E2AAA"/>
    <w:rsid w:val="004E2BD6"/>
    <w:rsid w:val="004E2CDA"/>
    <w:rsid w:val="004E31C4"/>
    <w:rsid w:val="004E31E5"/>
    <w:rsid w:val="004E3754"/>
    <w:rsid w:val="004E3BD7"/>
    <w:rsid w:val="004E3CE1"/>
    <w:rsid w:val="004E3EBF"/>
    <w:rsid w:val="004E4600"/>
    <w:rsid w:val="004E4616"/>
    <w:rsid w:val="004E4C22"/>
    <w:rsid w:val="004E4D32"/>
    <w:rsid w:val="004E56D2"/>
    <w:rsid w:val="004E587B"/>
    <w:rsid w:val="004E5BBD"/>
    <w:rsid w:val="004E5D2A"/>
    <w:rsid w:val="004E5D47"/>
    <w:rsid w:val="004E5FC8"/>
    <w:rsid w:val="004E60AB"/>
    <w:rsid w:val="004E6A44"/>
    <w:rsid w:val="004E6B5B"/>
    <w:rsid w:val="004E6DC6"/>
    <w:rsid w:val="004E6E76"/>
    <w:rsid w:val="004E7039"/>
    <w:rsid w:val="004E7495"/>
    <w:rsid w:val="004E7978"/>
    <w:rsid w:val="004E7B5B"/>
    <w:rsid w:val="004E7C20"/>
    <w:rsid w:val="004F0697"/>
    <w:rsid w:val="004F07D7"/>
    <w:rsid w:val="004F0916"/>
    <w:rsid w:val="004F0BDB"/>
    <w:rsid w:val="004F0C7D"/>
    <w:rsid w:val="004F0CF0"/>
    <w:rsid w:val="004F0D4F"/>
    <w:rsid w:val="004F0F5D"/>
    <w:rsid w:val="004F136D"/>
    <w:rsid w:val="004F13DE"/>
    <w:rsid w:val="004F158D"/>
    <w:rsid w:val="004F1AB4"/>
    <w:rsid w:val="004F2587"/>
    <w:rsid w:val="004F25A8"/>
    <w:rsid w:val="004F2C1B"/>
    <w:rsid w:val="004F2E77"/>
    <w:rsid w:val="004F349A"/>
    <w:rsid w:val="004F389C"/>
    <w:rsid w:val="004F3BC5"/>
    <w:rsid w:val="004F3C77"/>
    <w:rsid w:val="004F3D11"/>
    <w:rsid w:val="004F3FCA"/>
    <w:rsid w:val="004F4118"/>
    <w:rsid w:val="004F42B8"/>
    <w:rsid w:val="004F4301"/>
    <w:rsid w:val="004F459F"/>
    <w:rsid w:val="004F4652"/>
    <w:rsid w:val="004F484A"/>
    <w:rsid w:val="004F5C2B"/>
    <w:rsid w:val="004F60CF"/>
    <w:rsid w:val="004F60D8"/>
    <w:rsid w:val="004F6AD3"/>
    <w:rsid w:val="004F6E58"/>
    <w:rsid w:val="004F6E87"/>
    <w:rsid w:val="004F7037"/>
    <w:rsid w:val="004F7150"/>
    <w:rsid w:val="004F75BD"/>
    <w:rsid w:val="004F7783"/>
    <w:rsid w:val="004F79E5"/>
    <w:rsid w:val="004F7D93"/>
    <w:rsid w:val="004F7E6D"/>
    <w:rsid w:val="004F7ED9"/>
    <w:rsid w:val="004F7F18"/>
    <w:rsid w:val="004F7F94"/>
    <w:rsid w:val="00500BC2"/>
    <w:rsid w:val="00500F85"/>
    <w:rsid w:val="00501376"/>
    <w:rsid w:val="00501386"/>
    <w:rsid w:val="005019FB"/>
    <w:rsid w:val="00501BD9"/>
    <w:rsid w:val="00501C25"/>
    <w:rsid w:val="0050217C"/>
    <w:rsid w:val="005025D7"/>
    <w:rsid w:val="0050264A"/>
    <w:rsid w:val="005027A6"/>
    <w:rsid w:val="00502999"/>
    <w:rsid w:val="00502DAE"/>
    <w:rsid w:val="00502F0A"/>
    <w:rsid w:val="00502FFB"/>
    <w:rsid w:val="00503420"/>
    <w:rsid w:val="005038A0"/>
    <w:rsid w:val="00503E08"/>
    <w:rsid w:val="00503F30"/>
    <w:rsid w:val="00504182"/>
    <w:rsid w:val="005041A3"/>
    <w:rsid w:val="005044F7"/>
    <w:rsid w:val="00504690"/>
    <w:rsid w:val="00504A82"/>
    <w:rsid w:val="00504B61"/>
    <w:rsid w:val="00504D2F"/>
    <w:rsid w:val="00504D71"/>
    <w:rsid w:val="0050531F"/>
    <w:rsid w:val="00505590"/>
    <w:rsid w:val="00505BC2"/>
    <w:rsid w:val="00505E19"/>
    <w:rsid w:val="00506D60"/>
    <w:rsid w:val="00507598"/>
    <w:rsid w:val="00507A2B"/>
    <w:rsid w:val="00507C17"/>
    <w:rsid w:val="00507C49"/>
    <w:rsid w:val="00507E2D"/>
    <w:rsid w:val="00510045"/>
    <w:rsid w:val="00510393"/>
    <w:rsid w:val="005103C5"/>
    <w:rsid w:val="005103D5"/>
    <w:rsid w:val="005107DA"/>
    <w:rsid w:val="005108B9"/>
    <w:rsid w:val="00510983"/>
    <w:rsid w:val="00510FA1"/>
    <w:rsid w:val="005111D4"/>
    <w:rsid w:val="00511409"/>
    <w:rsid w:val="005115DB"/>
    <w:rsid w:val="00511746"/>
    <w:rsid w:val="00511EF9"/>
    <w:rsid w:val="005121CE"/>
    <w:rsid w:val="0051264D"/>
    <w:rsid w:val="00512663"/>
    <w:rsid w:val="00512712"/>
    <w:rsid w:val="005127C4"/>
    <w:rsid w:val="00512B05"/>
    <w:rsid w:val="00512D0C"/>
    <w:rsid w:val="00512F4B"/>
    <w:rsid w:val="0051308D"/>
    <w:rsid w:val="005131D3"/>
    <w:rsid w:val="0051352C"/>
    <w:rsid w:val="00513616"/>
    <w:rsid w:val="00513F26"/>
    <w:rsid w:val="00514003"/>
    <w:rsid w:val="00514367"/>
    <w:rsid w:val="0051437E"/>
    <w:rsid w:val="00514E1E"/>
    <w:rsid w:val="00514FB6"/>
    <w:rsid w:val="00514FC2"/>
    <w:rsid w:val="005150A9"/>
    <w:rsid w:val="00515292"/>
    <w:rsid w:val="0051576B"/>
    <w:rsid w:val="005158FD"/>
    <w:rsid w:val="00515BFA"/>
    <w:rsid w:val="00515C96"/>
    <w:rsid w:val="00515E53"/>
    <w:rsid w:val="00515F05"/>
    <w:rsid w:val="00516F54"/>
    <w:rsid w:val="00517196"/>
    <w:rsid w:val="005173E4"/>
    <w:rsid w:val="00517796"/>
    <w:rsid w:val="00517A77"/>
    <w:rsid w:val="00517A86"/>
    <w:rsid w:val="00517C2C"/>
    <w:rsid w:val="0052016E"/>
    <w:rsid w:val="00520242"/>
    <w:rsid w:val="005202B7"/>
    <w:rsid w:val="0052042D"/>
    <w:rsid w:val="005204B6"/>
    <w:rsid w:val="00520AC7"/>
    <w:rsid w:val="00520E1B"/>
    <w:rsid w:val="00520E2B"/>
    <w:rsid w:val="00520F0C"/>
    <w:rsid w:val="005210A7"/>
    <w:rsid w:val="0052122C"/>
    <w:rsid w:val="00521362"/>
    <w:rsid w:val="0052136B"/>
    <w:rsid w:val="00521F77"/>
    <w:rsid w:val="005220A4"/>
    <w:rsid w:val="005223F6"/>
    <w:rsid w:val="00522589"/>
    <w:rsid w:val="00522855"/>
    <w:rsid w:val="00522D04"/>
    <w:rsid w:val="00522FD1"/>
    <w:rsid w:val="00523424"/>
    <w:rsid w:val="0052349D"/>
    <w:rsid w:val="00523630"/>
    <w:rsid w:val="0052387B"/>
    <w:rsid w:val="00523DEE"/>
    <w:rsid w:val="00523EA2"/>
    <w:rsid w:val="00523FBB"/>
    <w:rsid w:val="00524270"/>
    <w:rsid w:val="00524B54"/>
    <w:rsid w:val="00524BE8"/>
    <w:rsid w:val="00525259"/>
    <w:rsid w:val="0052529A"/>
    <w:rsid w:val="0052575D"/>
    <w:rsid w:val="00525C38"/>
    <w:rsid w:val="00525EA8"/>
    <w:rsid w:val="005262C3"/>
    <w:rsid w:val="00526684"/>
    <w:rsid w:val="0052688F"/>
    <w:rsid w:val="00526A65"/>
    <w:rsid w:val="00526B1E"/>
    <w:rsid w:val="00526C3E"/>
    <w:rsid w:val="00526C68"/>
    <w:rsid w:val="00526C92"/>
    <w:rsid w:val="00526EB0"/>
    <w:rsid w:val="00526EC9"/>
    <w:rsid w:val="005270DF"/>
    <w:rsid w:val="00527243"/>
    <w:rsid w:val="005273E4"/>
    <w:rsid w:val="005275FC"/>
    <w:rsid w:val="0052768C"/>
    <w:rsid w:val="00527ACD"/>
    <w:rsid w:val="00527BF3"/>
    <w:rsid w:val="00527EC0"/>
    <w:rsid w:val="005303B3"/>
    <w:rsid w:val="005303C1"/>
    <w:rsid w:val="005307FE"/>
    <w:rsid w:val="00530896"/>
    <w:rsid w:val="00530ACB"/>
    <w:rsid w:val="00530D57"/>
    <w:rsid w:val="005310AF"/>
    <w:rsid w:val="005311D3"/>
    <w:rsid w:val="0053126C"/>
    <w:rsid w:val="00531591"/>
    <w:rsid w:val="0053166E"/>
    <w:rsid w:val="00531A09"/>
    <w:rsid w:val="00531C18"/>
    <w:rsid w:val="00531D2F"/>
    <w:rsid w:val="00532092"/>
    <w:rsid w:val="0053209C"/>
    <w:rsid w:val="005320DA"/>
    <w:rsid w:val="005322B5"/>
    <w:rsid w:val="005329C5"/>
    <w:rsid w:val="00533016"/>
    <w:rsid w:val="00533185"/>
    <w:rsid w:val="005339C1"/>
    <w:rsid w:val="00533BBB"/>
    <w:rsid w:val="00533D6D"/>
    <w:rsid w:val="00534265"/>
    <w:rsid w:val="005342C3"/>
    <w:rsid w:val="00534537"/>
    <w:rsid w:val="00534A41"/>
    <w:rsid w:val="00534C14"/>
    <w:rsid w:val="00534CF8"/>
    <w:rsid w:val="00534DEB"/>
    <w:rsid w:val="00534E3F"/>
    <w:rsid w:val="00534FF1"/>
    <w:rsid w:val="00535291"/>
    <w:rsid w:val="0053568F"/>
    <w:rsid w:val="00535A02"/>
    <w:rsid w:val="0053601D"/>
    <w:rsid w:val="005362F5"/>
    <w:rsid w:val="00536346"/>
    <w:rsid w:val="0053646E"/>
    <w:rsid w:val="00536844"/>
    <w:rsid w:val="00536946"/>
    <w:rsid w:val="00536D72"/>
    <w:rsid w:val="00536ED2"/>
    <w:rsid w:val="00537194"/>
    <w:rsid w:val="0053725B"/>
    <w:rsid w:val="0053734F"/>
    <w:rsid w:val="0053744F"/>
    <w:rsid w:val="005374B6"/>
    <w:rsid w:val="005374D0"/>
    <w:rsid w:val="00537B69"/>
    <w:rsid w:val="00537BAA"/>
    <w:rsid w:val="00537C3C"/>
    <w:rsid w:val="00537E2B"/>
    <w:rsid w:val="00537EC1"/>
    <w:rsid w:val="005401F8"/>
    <w:rsid w:val="005402C8"/>
    <w:rsid w:val="00540348"/>
    <w:rsid w:val="00540487"/>
    <w:rsid w:val="00540BA8"/>
    <w:rsid w:val="00540BDB"/>
    <w:rsid w:val="00540BE8"/>
    <w:rsid w:val="00540C57"/>
    <w:rsid w:val="00540D4E"/>
    <w:rsid w:val="00540F93"/>
    <w:rsid w:val="00541885"/>
    <w:rsid w:val="00541D53"/>
    <w:rsid w:val="00541EEA"/>
    <w:rsid w:val="00541F30"/>
    <w:rsid w:val="00542048"/>
    <w:rsid w:val="00542178"/>
    <w:rsid w:val="005424D5"/>
    <w:rsid w:val="005429DC"/>
    <w:rsid w:val="00542C4C"/>
    <w:rsid w:val="00542DBA"/>
    <w:rsid w:val="00543083"/>
    <w:rsid w:val="00543151"/>
    <w:rsid w:val="005433FB"/>
    <w:rsid w:val="00543715"/>
    <w:rsid w:val="00543F66"/>
    <w:rsid w:val="005442C0"/>
    <w:rsid w:val="005442D7"/>
    <w:rsid w:val="005445BF"/>
    <w:rsid w:val="00544AE0"/>
    <w:rsid w:val="005451CD"/>
    <w:rsid w:val="005452D0"/>
    <w:rsid w:val="00545338"/>
    <w:rsid w:val="00545A06"/>
    <w:rsid w:val="00545AB0"/>
    <w:rsid w:val="00545AC6"/>
    <w:rsid w:val="00545BE8"/>
    <w:rsid w:val="00545E4A"/>
    <w:rsid w:val="00545F36"/>
    <w:rsid w:val="0054616D"/>
    <w:rsid w:val="005462F5"/>
    <w:rsid w:val="005463CC"/>
    <w:rsid w:val="00546444"/>
    <w:rsid w:val="00546727"/>
    <w:rsid w:val="005469AE"/>
    <w:rsid w:val="00546A03"/>
    <w:rsid w:val="00547FBA"/>
    <w:rsid w:val="00550225"/>
    <w:rsid w:val="00550249"/>
    <w:rsid w:val="00550260"/>
    <w:rsid w:val="00550378"/>
    <w:rsid w:val="005503C9"/>
    <w:rsid w:val="00550A92"/>
    <w:rsid w:val="00550AFC"/>
    <w:rsid w:val="00550B1A"/>
    <w:rsid w:val="00550E0D"/>
    <w:rsid w:val="00550EED"/>
    <w:rsid w:val="0055124E"/>
    <w:rsid w:val="0055141C"/>
    <w:rsid w:val="005519A6"/>
    <w:rsid w:val="00551DC0"/>
    <w:rsid w:val="00552303"/>
    <w:rsid w:val="00552624"/>
    <w:rsid w:val="0055298D"/>
    <w:rsid w:val="00552E16"/>
    <w:rsid w:val="005531B3"/>
    <w:rsid w:val="005531BD"/>
    <w:rsid w:val="00553568"/>
    <w:rsid w:val="005536C5"/>
    <w:rsid w:val="005538BB"/>
    <w:rsid w:val="005539DE"/>
    <w:rsid w:val="00553A15"/>
    <w:rsid w:val="00553EB1"/>
    <w:rsid w:val="00553F59"/>
    <w:rsid w:val="0055432F"/>
    <w:rsid w:val="0055439B"/>
    <w:rsid w:val="00554578"/>
    <w:rsid w:val="0055459B"/>
    <w:rsid w:val="005545CB"/>
    <w:rsid w:val="0055465E"/>
    <w:rsid w:val="00554AD7"/>
    <w:rsid w:val="00554B4A"/>
    <w:rsid w:val="0055503F"/>
    <w:rsid w:val="00555084"/>
    <w:rsid w:val="0055526C"/>
    <w:rsid w:val="005552F0"/>
    <w:rsid w:val="0055555E"/>
    <w:rsid w:val="00555AA4"/>
    <w:rsid w:val="00555F2F"/>
    <w:rsid w:val="00555FD5"/>
    <w:rsid w:val="0055624C"/>
    <w:rsid w:val="005562F0"/>
    <w:rsid w:val="005566EB"/>
    <w:rsid w:val="005567B2"/>
    <w:rsid w:val="005568F7"/>
    <w:rsid w:val="00556BEC"/>
    <w:rsid w:val="00556C8D"/>
    <w:rsid w:val="00556F24"/>
    <w:rsid w:val="00556FA1"/>
    <w:rsid w:val="00557395"/>
    <w:rsid w:val="005573BE"/>
    <w:rsid w:val="00557677"/>
    <w:rsid w:val="00557870"/>
    <w:rsid w:val="005579E9"/>
    <w:rsid w:val="00557A9A"/>
    <w:rsid w:val="00557D80"/>
    <w:rsid w:val="00560277"/>
    <w:rsid w:val="00560938"/>
    <w:rsid w:val="00560AF1"/>
    <w:rsid w:val="005610A6"/>
    <w:rsid w:val="005611D5"/>
    <w:rsid w:val="0056128A"/>
    <w:rsid w:val="00561562"/>
    <w:rsid w:val="0056185C"/>
    <w:rsid w:val="00561ABD"/>
    <w:rsid w:val="00561AC0"/>
    <w:rsid w:val="00561D27"/>
    <w:rsid w:val="00561FCA"/>
    <w:rsid w:val="0056215B"/>
    <w:rsid w:val="00562453"/>
    <w:rsid w:val="005624C6"/>
    <w:rsid w:val="00562572"/>
    <w:rsid w:val="00562815"/>
    <w:rsid w:val="00562B16"/>
    <w:rsid w:val="00562FC8"/>
    <w:rsid w:val="005635EB"/>
    <w:rsid w:val="00563646"/>
    <w:rsid w:val="00563AB0"/>
    <w:rsid w:val="00563C6D"/>
    <w:rsid w:val="00563DB4"/>
    <w:rsid w:val="00563DE6"/>
    <w:rsid w:val="00563F48"/>
    <w:rsid w:val="00564242"/>
    <w:rsid w:val="00564577"/>
    <w:rsid w:val="0056528D"/>
    <w:rsid w:val="005655E7"/>
    <w:rsid w:val="0056583E"/>
    <w:rsid w:val="00565AE6"/>
    <w:rsid w:val="00565C29"/>
    <w:rsid w:val="00566013"/>
    <w:rsid w:val="00566028"/>
    <w:rsid w:val="0056628B"/>
    <w:rsid w:val="00566298"/>
    <w:rsid w:val="00566675"/>
    <w:rsid w:val="0056672F"/>
    <w:rsid w:val="005668AF"/>
    <w:rsid w:val="00566996"/>
    <w:rsid w:val="00566A30"/>
    <w:rsid w:val="00566A41"/>
    <w:rsid w:val="00566F09"/>
    <w:rsid w:val="00567015"/>
    <w:rsid w:val="00567458"/>
    <w:rsid w:val="00567596"/>
    <w:rsid w:val="005676E6"/>
    <w:rsid w:val="00567A44"/>
    <w:rsid w:val="00567AE5"/>
    <w:rsid w:val="0057021C"/>
    <w:rsid w:val="0057091E"/>
    <w:rsid w:val="00570A6C"/>
    <w:rsid w:val="00570B14"/>
    <w:rsid w:val="00570C64"/>
    <w:rsid w:val="00570F7B"/>
    <w:rsid w:val="00571299"/>
    <w:rsid w:val="005713F4"/>
    <w:rsid w:val="0057154A"/>
    <w:rsid w:val="00571693"/>
    <w:rsid w:val="00571BDA"/>
    <w:rsid w:val="00571C6B"/>
    <w:rsid w:val="00572152"/>
    <w:rsid w:val="005723D6"/>
    <w:rsid w:val="005724DF"/>
    <w:rsid w:val="00572504"/>
    <w:rsid w:val="00572BB1"/>
    <w:rsid w:val="00572FBC"/>
    <w:rsid w:val="00573625"/>
    <w:rsid w:val="00574904"/>
    <w:rsid w:val="00574A6E"/>
    <w:rsid w:val="00574F9E"/>
    <w:rsid w:val="00574FC0"/>
    <w:rsid w:val="005751C0"/>
    <w:rsid w:val="00575B04"/>
    <w:rsid w:val="00575C28"/>
    <w:rsid w:val="0057615F"/>
    <w:rsid w:val="0057631D"/>
    <w:rsid w:val="00576340"/>
    <w:rsid w:val="005766DD"/>
    <w:rsid w:val="005766E1"/>
    <w:rsid w:val="005766F0"/>
    <w:rsid w:val="00576ACC"/>
    <w:rsid w:val="00577012"/>
    <w:rsid w:val="005770E1"/>
    <w:rsid w:val="00577145"/>
    <w:rsid w:val="0057726B"/>
    <w:rsid w:val="005772EA"/>
    <w:rsid w:val="005773BE"/>
    <w:rsid w:val="00577909"/>
    <w:rsid w:val="00577A96"/>
    <w:rsid w:val="00577AC4"/>
    <w:rsid w:val="00577BB2"/>
    <w:rsid w:val="00577D10"/>
    <w:rsid w:val="00577D42"/>
    <w:rsid w:val="005802BF"/>
    <w:rsid w:val="005805E3"/>
    <w:rsid w:val="005814FF"/>
    <w:rsid w:val="0058153B"/>
    <w:rsid w:val="00581845"/>
    <w:rsid w:val="00581EDB"/>
    <w:rsid w:val="005820E5"/>
    <w:rsid w:val="00582365"/>
    <w:rsid w:val="00582A66"/>
    <w:rsid w:val="00582ADF"/>
    <w:rsid w:val="00582F8F"/>
    <w:rsid w:val="0058320C"/>
    <w:rsid w:val="00583452"/>
    <w:rsid w:val="00583A69"/>
    <w:rsid w:val="00583CAA"/>
    <w:rsid w:val="00583D28"/>
    <w:rsid w:val="00583E5A"/>
    <w:rsid w:val="00583E6F"/>
    <w:rsid w:val="0058422B"/>
    <w:rsid w:val="00584256"/>
    <w:rsid w:val="00584466"/>
    <w:rsid w:val="00584A84"/>
    <w:rsid w:val="00584ABE"/>
    <w:rsid w:val="00584CE3"/>
    <w:rsid w:val="00584FA9"/>
    <w:rsid w:val="005852A0"/>
    <w:rsid w:val="00585374"/>
    <w:rsid w:val="00585ACC"/>
    <w:rsid w:val="00585C1B"/>
    <w:rsid w:val="00585FF4"/>
    <w:rsid w:val="00586307"/>
    <w:rsid w:val="005863A7"/>
    <w:rsid w:val="005863FC"/>
    <w:rsid w:val="00586834"/>
    <w:rsid w:val="00586835"/>
    <w:rsid w:val="00586AAF"/>
    <w:rsid w:val="0058739E"/>
    <w:rsid w:val="005874AC"/>
    <w:rsid w:val="0058759E"/>
    <w:rsid w:val="00587639"/>
    <w:rsid w:val="00587922"/>
    <w:rsid w:val="005879BE"/>
    <w:rsid w:val="00587E61"/>
    <w:rsid w:val="0059013C"/>
    <w:rsid w:val="00590778"/>
    <w:rsid w:val="005907D9"/>
    <w:rsid w:val="0059097B"/>
    <w:rsid w:val="00590CB4"/>
    <w:rsid w:val="00590DA1"/>
    <w:rsid w:val="005919EA"/>
    <w:rsid w:val="00591BCB"/>
    <w:rsid w:val="00591C68"/>
    <w:rsid w:val="00591D4C"/>
    <w:rsid w:val="00592147"/>
    <w:rsid w:val="005924AB"/>
    <w:rsid w:val="00592638"/>
    <w:rsid w:val="0059295F"/>
    <w:rsid w:val="00592C64"/>
    <w:rsid w:val="00592EBB"/>
    <w:rsid w:val="00593138"/>
    <w:rsid w:val="005932D4"/>
    <w:rsid w:val="00593381"/>
    <w:rsid w:val="005933E8"/>
    <w:rsid w:val="0059340D"/>
    <w:rsid w:val="0059368B"/>
    <w:rsid w:val="005936CD"/>
    <w:rsid w:val="00593752"/>
    <w:rsid w:val="005938D2"/>
    <w:rsid w:val="00593A33"/>
    <w:rsid w:val="00593D99"/>
    <w:rsid w:val="00593E12"/>
    <w:rsid w:val="00594362"/>
    <w:rsid w:val="00594426"/>
    <w:rsid w:val="005946D5"/>
    <w:rsid w:val="005947B5"/>
    <w:rsid w:val="0059491F"/>
    <w:rsid w:val="00595264"/>
    <w:rsid w:val="00595477"/>
    <w:rsid w:val="00595527"/>
    <w:rsid w:val="005960BB"/>
    <w:rsid w:val="005960FE"/>
    <w:rsid w:val="00596466"/>
    <w:rsid w:val="00596A23"/>
    <w:rsid w:val="00596CDF"/>
    <w:rsid w:val="00596FCA"/>
    <w:rsid w:val="005970BA"/>
    <w:rsid w:val="0059736A"/>
    <w:rsid w:val="00597407"/>
    <w:rsid w:val="00597568"/>
    <w:rsid w:val="0059785B"/>
    <w:rsid w:val="005979FE"/>
    <w:rsid w:val="005A01AE"/>
    <w:rsid w:val="005A0496"/>
    <w:rsid w:val="005A0A1B"/>
    <w:rsid w:val="005A10F1"/>
    <w:rsid w:val="005A10F4"/>
    <w:rsid w:val="005A11DB"/>
    <w:rsid w:val="005A17B8"/>
    <w:rsid w:val="005A17CE"/>
    <w:rsid w:val="005A1A3F"/>
    <w:rsid w:val="005A1B06"/>
    <w:rsid w:val="005A1BE7"/>
    <w:rsid w:val="005A1CDB"/>
    <w:rsid w:val="005A20BF"/>
    <w:rsid w:val="005A21B8"/>
    <w:rsid w:val="005A2548"/>
    <w:rsid w:val="005A2634"/>
    <w:rsid w:val="005A2F4F"/>
    <w:rsid w:val="005A3373"/>
    <w:rsid w:val="005A348F"/>
    <w:rsid w:val="005A362A"/>
    <w:rsid w:val="005A37A1"/>
    <w:rsid w:val="005A3AE7"/>
    <w:rsid w:val="005A3B4C"/>
    <w:rsid w:val="005A4047"/>
    <w:rsid w:val="005A40A2"/>
    <w:rsid w:val="005A4207"/>
    <w:rsid w:val="005A4315"/>
    <w:rsid w:val="005A435F"/>
    <w:rsid w:val="005A4384"/>
    <w:rsid w:val="005A44B4"/>
    <w:rsid w:val="005A44B9"/>
    <w:rsid w:val="005A4BF1"/>
    <w:rsid w:val="005A4F56"/>
    <w:rsid w:val="005A4FD8"/>
    <w:rsid w:val="005A5044"/>
    <w:rsid w:val="005A514B"/>
    <w:rsid w:val="005A5605"/>
    <w:rsid w:val="005A56F0"/>
    <w:rsid w:val="005A5891"/>
    <w:rsid w:val="005A58AF"/>
    <w:rsid w:val="005A5976"/>
    <w:rsid w:val="005A5A38"/>
    <w:rsid w:val="005A5B92"/>
    <w:rsid w:val="005A5BB7"/>
    <w:rsid w:val="005A5BE4"/>
    <w:rsid w:val="005A5C8E"/>
    <w:rsid w:val="005A639B"/>
    <w:rsid w:val="005A65D2"/>
    <w:rsid w:val="005A65F4"/>
    <w:rsid w:val="005A6636"/>
    <w:rsid w:val="005A6A8E"/>
    <w:rsid w:val="005A6FC0"/>
    <w:rsid w:val="005A7012"/>
    <w:rsid w:val="005A70BC"/>
    <w:rsid w:val="005A7216"/>
    <w:rsid w:val="005A75B0"/>
    <w:rsid w:val="005A7A5E"/>
    <w:rsid w:val="005A7F85"/>
    <w:rsid w:val="005A7FE7"/>
    <w:rsid w:val="005B03F6"/>
    <w:rsid w:val="005B07B2"/>
    <w:rsid w:val="005B0B50"/>
    <w:rsid w:val="005B1C07"/>
    <w:rsid w:val="005B1C24"/>
    <w:rsid w:val="005B1E12"/>
    <w:rsid w:val="005B1E8D"/>
    <w:rsid w:val="005B1F1B"/>
    <w:rsid w:val="005B1FF9"/>
    <w:rsid w:val="005B2386"/>
    <w:rsid w:val="005B2AFA"/>
    <w:rsid w:val="005B3035"/>
    <w:rsid w:val="005B33CF"/>
    <w:rsid w:val="005B3432"/>
    <w:rsid w:val="005B37A3"/>
    <w:rsid w:val="005B3BD6"/>
    <w:rsid w:val="005B3C24"/>
    <w:rsid w:val="005B3F00"/>
    <w:rsid w:val="005B45E2"/>
    <w:rsid w:val="005B462E"/>
    <w:rsid w:val="005B46FD"/>
    <w:rsid w:val="005B478E"/>
    <w:rsid w:val="005B48AD"/>
    <w:rsid w:val="005B48E9"/>
    <w:rsid w:val="005B4974"/>
    <w:rsid w:val="005B4AD8"/>
    <w:rsid w:val="005B4E45"/>
    <w:rsid w:val="005B53AC"/>
    <w:rsid w:val="005B5586"/>
    <w:rsid w:val="005B56E9"/>
    <w:rsid w:val="005B5B7B"/>
    <w:rsid w:val="005B5BD2"/>
    <w:rsid w:val="005B635C"/>
    <w:rsid w:val="005B63BE"/>
    <w:rsid w:val="005B6512"/>
    <w:rsid w:val="005B6822"/>
    <w:rsid w:val="005B6A96"/>
    <w:rsid w:val="005B6BC2"/>
    <w:rsid w:val="005B70EF"/>
    <w:rsid w:val="005B774A"/>
    <w:rsid w:val="005B7B19"/>
    <w:rsid w:val="005B7CE2"/>
    <w:rsid w:val="005B7D6C"/>
    <w:rsid w:val="005B7DFA"/>
    <w:rsid w:val="005B7EF5"/>
    <w:rsid w:val="005C05F8"/>
    <w:rsid w:val="005C0792"/>
    <w:rsid w:val="005C0847"/>
    <w:rsid w:val="005C09B8"/>
    <w:rsid w:val="005C0A36"/>
    <w:rsid w:val="005C0B6D"/>
    <w:rsid w:val="005C0D63"/>
    <w:rsid w:val="005C0EA1"/>
    <w:rsid w:val="005C137B"/>
    <w:rsid w:val="005C146A"/>
    <w:rsid w:val="005C16EB"/>
    <w:rsid w:val="005C1705"/>
    <w:rsid w:val="005C183A"/>
    <w:rsid w:val="005C1974"/>
    <w:rsid w:val="005C1A43"/>
    <w:rsid w:val="005C1B58"/>
    <w:rsid w:val="005C1B62"/>
    <w:rsid w:val="005C1EEF"/>
    <w:rsid w:val="005C1FDB"/>
    <w:rsid w:val="005C2243"/>
    <w:rsid w:val="005C23FF"/>
    <w:rsid w:val="005C2494"/>
    <w:rsid w:val="005C257B"/>
    <w:rsid w:val="005C259E"/>
    <w:rsid w:val="005C2AE5"/>
    <w:rsid w:val="005C2BCE"/>
    <w:rsid w:val="005C36A9"/>
    <w:rsid w:val="005C381A"/>
    <w:rsid w:val="005C3BC4"/>
    <w:rsid w:val="005C3C6E"/>
    <w:rsid w:val="005C40B4"/>
    <w:rsid w:val="005C4675"/>
    <w:rsid w:val="005C48F8"/>
    <w:rsid w:val="005C4DA0"/>
    <w:rsid w:val="005C5875"/>
    <w:rsid w:val="005C5893"/>
    <w:rsid w:val="005C6351"/>
    <w:rsid w:val="005C6B2F"/>
    <w:rsid w:val="005C6C1C"/>
    <w:rsid w:val="005C6C8E"/>
    <w:rsid w:val="005C71D1"/>
    <w:rsid w:val="005C7215"/>
    <w:rsid w:val="005C726D"/>
    <w:rsid w:val="005C73C4"/>
    <w:rsid w:val="005C7489"/>
    <w:rsid w:val="005C7522"/>
    <w:rsid w:val="005C7661"/>
    <w:rsid w:val="005C76DB"/>
    <w:rsid w:val="005C7761"/>
    <w:rsid w:val="005C79C4"/>
    <w:rsid w:val="005C79D0"/>
    <w:rsid w:val="005C7C4F"/>
    <w:rsid w:val="005D00EA"/>
    <w:rsid w:val="005D023B"/>
    <w:rsid w:val="005D02C4"/>
    <w:rsid w:val="005D036F"/>
    <w:rsid w:val="005D0AC3"/>
    <w:rsid w:val="005D0EC4"/>
    <w:rsid w:val="005D132B"/>
    <w:rsid w:val="005D13E8"/>
    <w:rsid w:val="005D16AC"/>
    <w:rsid w:val="005D19BD"/>
    <w:rsid w:val="005D1B25"/>
    <w:rsid w:val="005D1C44"/>
    <w:rsid w:val="005D1D84"/>
    <w:rsid w:val="005D20DD"/>
    <w:rsid w:val="005D2304"/>
    <w:rsid w:val="005D23D2"/>
    <w:rsid w:val="005D24F1"/>
    <w:rsid w:val="005D27B2"/>
    <w:rsid w:val="005D2BF4"/>
    <w:rsid w:val="005D2CC8"/>
    <w:rsid w:val="005D2D2E"/>
    <w:rsid w:val="005D2FCB"/>
    <w:rsid w:val="005D31B5"/>
    <w:rsid w:val="005D3275"/>
    <w:rsid w:val="005D32FF"/>
    <w:rsid w:val="005D35F5"/>
    <w:rsid w:val="005D394F"/>
    <w:rsid w:val="005D3A04"/>
    <w:rsid w:val="005D3BF1"/>
    <w:rsid w:val="005D3C49"/>
    <w:rsid w:val="005D3D0D"/>
    <w:rsid w:val="005D3E9F"/>
    <w:rsid w:val="005D412A"/>
    <w:rsid w:val="005D4427"/>
    <w:rsid w:val="005D48FE"/>
    <w:rsid w:val="005D5011"/>
    <w:rsid w:val="005D50EC"/>
    <w:rsid w:val="005D51B8"/>
    <w:rsid w:val="005D53E8"/>
    <w:rsid w:val="005D5DE2"/>
    <w:rsid w:val="005D61A6"/>
    <w:rsid w:val="005D6334"/>
    <w:rsid w:val="005D65A6"/>
    <w:rsid w:val="005D6885"/>
    <w:rsid w:val="005D6AA4"/>
    <w:rsid w:val="005D6E6D"/>
    <w:rsid w:val="005D6FC7"/>
    <w:rsid w:val="005D7471"/>
    <w:rsid w:val="005D749D"/>
    <w:rsid w:val="005D75C5"/>
    <w:rsid w:val="005D7804"/>
    <w:rsid w:val="005D78AC"/>
    <w:rsid w:val="005D7D32"/>
    <w:rsid w:val="005E0404"/>
    <w:rsid w:val="005E060F"/>
    <w:rsid w:val="005E084B"/>
    <w:rsid w:val="005E0A97"/>
    <w:rsid w:val="005E0B10"/>
    <w:rsid w:val="005E0D68"/>
    <w:rsid w:val="005E0EAB"/>
    <w:rsid w:val="005E0F84"/>
    <w:rsid w:val="005E1165"/>
    <w:rsid w:val="005E11E2"/>
    <w:rsid w:val="005E17A3"/>
    <w:rsid w:val="005E1A6B"/>
    <w:rsid w:val="005E23B1"/>
    <w:rsid w:val="005E2702"/>
    <w:rsid w:val="005E27D4"/>
    <w:rsid w:val="005E2AAE"/>
    <w:rsid w:val="005E2F2B"/>
    <w:rsid w:val="005E2F40"/>
    <w:rsid w:val="005E3099"/>
    <w:rsid w:val="005E30AF"/>
    <w:rsid w:val="005E3386"/>
    <w:rsid w:val="005E3860"/>
    <w:rsid w:val="005E3979"/>
    <w:rsid w:val="005E3C8E"/>
    <w:rsid w:val="005E40A5"/>
    <w:rsid w:val="005E41E2"/>
    <w:rsid w:val="005E450D"/>
    <w:rsid w:val="005E478C"/>
    <w:rsid w:val="005E4852"/>
    <w:rsid w:val="005E486D"/>
    <w:rsid w:val="005E49B0"/>
    <w:rsid w:val="005E4A15"/>
    <w:rsid w:val="005E4E20"/>
    <w:rsid w:val="005E4E43"/>
    <w:rsid w:val="005E52C8"/>
    <w:rsid w:val="005E548B"/>
    <w:rsid w:val="005E5570"/>
    <w:rsid w:val="005E5617"/>
    <w:rsid w:val="005E5683"/>
    <w:rsid w:val="005E5874"/>
    <w:rsid w:val="005E59D4"/>
    <w:rsid w:val="005E5B5C"/>
    <w:rsid w:val="005E660D"/>
    <w:rsid w:val="005E6668"/>
    <w:rsid w:val="005E6A2A"/>
    <w:rsid w:val="005E6C17"/>
    <w:rsid w:val="005E6C6E"/>
    <w:rsid w:val="005E6CEF"/>
    <w:rsid w:val="005E736E"/>
    <w:rsid w:val="005E75D5"/>
    <w:rsid w:val="005E7905"/>
    <w:rsid w:val="005E7C05"/>
    <w:rsid w:val="005E7CA0"/>
    <w:rsid w:val="005F0119"/>
    <w:rsid w:val="005F0245"/>
    <w:rsid w:val="005F056B"/>
    <w:rsid w:val="005F06D6"/>
    <w:rsid w:val="005F094A"/>
    <w:rsid w:val="005F0BC8"/>
    <w:rsid w:val="005F0C4E"/>
    <w:rsid w:val="005F1148"/>
    <w:rsid w:val="005F1555"/>
    <w:rsid w:val="005F15BF"/>
    <w:rsid w:val="005F15D5"/>
    <w:rsid w:val="005F15D7"/>
    <w:rsid w:val="005F17D1"/>
    <w:rsid w:val="005F1B09"/>
    <w:rsid w:val="005F228D"/>
    <w:rsid w:val="005F25AC"/>
    <w:rsid w:val="005F2978"/>
    <w:rsid w:val="005F327A"/>
    <w:rsid w:val="005F3BB3"/>
    <w:rsid w:val="005F3BB7"/>
    <w:rsid w:val="005F3C7B"/>
    <w:rsid w:val="005F3E8E"/>
    <w:rsid w:val="005F4238"/>
    <w:rsid w:val="005F425F"/>
    <w:rsid w:val="005F445A"/>
    <w:rsid w:val="005F4721"/>
    <w:rsid w:val="005F47EA"/>
    <w:rsid w:val="005F4952"/>
    <w:rsid w:val="005F4B55"/>
    <w:rsid w:val="005F4B57"/>
    <w:rsid w:val="005F4B9A"/>
    <w:rsid w:val="005F4D62"/>
    <w:rsid w:val="005F4D82"/>
    <w:rsid w:val="005F5060"/>
    <w:rsid w:val="005F570C"/>
    <w:rsid w:val="005F5811"/>
    <w:rsid w:val="005F58E0"/>
    <w:rsid w:val="005F5918"/>
    <w:rsid w:val="005F59FD"/>
    <w:rsid w:val="005F5F32"/>
    <w:rsid w:val="005F6070"/>
    <w:rsid w:val="005F6266"/>
    <w:rsid w:val="005F6295"/>
    <w:rsid w:val="005F643F"/>
    <w:rsid w:val="005F6451"/>
    <w:rsid w:val="005F662F"/>
    <w:rsid w:val="005F6637"/>
    <w:rsid w:val="005F6F64"/>
    <w:rsid w:val="005F6FBE"/>
    <w:rsid w:val="005F720A"/>
    <w:rsid w:val="005F738C"/>
    <w:rsid w:val="005F7487"/>
    <w:rsid w:val="005F78A0"/>
    <w:rsid w:val="005F7E3B"/>
    <w:rsid w:val="00600343"/>
    <w:rsid w:val="006003C0"/>
    <w:rsid w:val="006004C5"/>
    <w:rsid w:val="006004CB"/>
    <w:rsid w:val="00601131"/>
    <w:rsid w:val="00601930"/>
    <w:rsid w:val="00601A73"/>
    <w:rsid w:val="00601A92"/>
    <w:rsid w:val="00601D3A"/>
    <w:rsid w:val="00602188"/>
    <w:rsid w:val="00602381"/>
    <w:rsid w:val="006023E4"/>
    <w:rsid w:val="0060264E"/>
    <w:rsid w:val="00602EAD"/>
    <w:rsid w:val="00602F43"/>
    <w:rsid w:val="00602FD0"/>
    <w:rsid w:val="00603269"/>
    <w:rsid w:val="0060363F"/>
    <w:rsid w:val="0060393E"/>
    <w:rsid w:val="00603964"/>
    <w:rsid w:val="00603B08"/>
    <w:rsid w:val="00603F78"/>
    <w:rsid w:val="006043CA"/>
    <w:rsid w:val="00604FF3"/>
    <w:rsid w:val="0060507A"/>
    <w:rsid w:val="006056B1"/>
    <w:rsid w:val="0060576C"/>
    <w:rsid w:val="00605776"/>
    <w:rsid w:val="00605989"/>
    <w:rsid w:val="00605CF2"/>
    <w:rsid w:val="00605F50"/>
    <w:rsid w:val="00606A23"/>
    <w:rsid w:val="00606AC2"/>
    <w:rsid w:val="00606C04"/>
    <w:rsid w:val="00606D0E"/>
    <w:rsid w:val="00606F21"/>
    <w:rsid w:val="0060707D"/>
    <w:rsid w:val="00607105"/>
    <w:rsid w:val="006071D4"/>
    <w:rsid w:val="006073A3"/>
    <w:rsid w:val="006076E7"/>
    <w:rsid w:val="0060780B"/>
    <w:rsid w:val="00607A89"/>
    <w:rsid w:val="00607BB3"/>
    <w:rsid w:val="00607C30"/>
    <w:rsid w:val="00607ED2"/>
    <w:rsid w:val="0061008B"/>
    <w:rsid w:val="0061011A"/>
    <w:rsid w:val="00610162"/>
    <w:rsid w:val="006101CE"/>
    <w:rsid w:val="006102B2"/>
    <w:rsid w:val="0061075D"/>
    <w:rsid w:val="00610832"/>
    <w:rsid w:val="00610A8F"/>
    <w:rsid w:val="00610ABA"/>
    <w:rsid w:val="00610E7D"/>
    <w:rsid w:val="006111CC"/>
    <w:rsid w:val="0061129A"/>
    <w:rsid w:val="00611530"/>
    <w:rsid w:val="00611940"/>
    <w:rsid w:val="00611B22"/>
    <w:rsid w:val="00611F93"/>
    <w:rsid w:val="006123ED"/>
    <w:rsid w:val="00612A25"/>
    <w:rsid w:val="00613037"/>
    <w:rsid w:val="0061319D"/>
    <w:rsid w:val="006135AB"/>
    <w:rsid w:val="00613757"/>
    <w:rsid w:val="006138E4"/>
    <w:rsid w:val="00613D10"/>
    <w:rsid w:val="00613EB4"/>
    <w:rsid w:val="00613FBC"/>
    <w:rsid w:val="006140A0"/>
    <w:rsid w:val="00614349"/>
    <w:rsid w:val="006143B0"/>
    <w:rsid w:val="006144F6"/>
    <w:rsid w:val="00614546"/>
    <w:rsid w:val="00614BCA"/>
    <w:rsid w:val="00614D33"/>
    <w:rsid w:val="00615C44"/>
    <w:rsid w:val="00615C72"/>
    <w:rsid w:val="00615F31"/>
    <w:rsid w:val="00615F86"/>
    <w:rsid w:val="006160B7"/>
    <w:rsid w:val="00616237"/>
    <w:rsid w:val="00616362"/>
    <w:rsid w:val="00616368"/>
    <w:rsid w:val="00616407"/>
    <w:rsid w:val="00616709"/>
    <w:rsid w:val="006168C4"/>
    <w:rsid w:val="00616FED"/>
    <w:rsid w:val="006170A5"/>
    <w:rsid w:val="0061755D"/>
    <w:rsid w:val="00617608"/>
    <w:rsid w:val="006177B6"/>
    <w:rsid w:val="006177CF"/>
    <w:rsid w:val="00617D08"/>
    <w:rsid w:val="00617EE2"/>
    <w:rsid w:val="0062001F"/>
    <w:rsid w:val="0062014D"/>
    <w:rsid w:val="0062016F"/>
    <w:rsid w:val="006201B6"/>
    <w:rsid w:val="00620A69"/>
    <w:rsid w:val="00620E5A"/>
    <w:rsid w:val="00620E91"/>
    <w:rsid w:val="00620F75"/>
    <w:rsid w:val="00621035"/>
    <w:rsid w:val="00621F46"/>
    <w:rsid w:val="00621FDD"/>
    <w:rsid w:val="0062208F"/>
    <w:rsid w:val="00622228"/>
    <w:rsid w:val="00622699"/>
    <w:rsid w:val="0062272B"/>
    <w:rsid w:val="00622E33"/>
    <w:rsid w:val="00622FB2"/>
    <w:rsid w:val="0062304A"/>
    <w:rsid w:val="00623185"/>
    <w:rsid w:val="006231F9"/>
    <w:rsid w:val="006233B3"/>
    <w:rsid w:val="00623AB0"/>
    <w:rsid w:val="00623DBD"/>
    <w:rsid w:val="00623E0D"/>
    <w:rsid w:val="006240EF"/>
    <w:rsid w:val="00624177"/>
    <w:rsid w:val="00624226"/>
    <w:rsid w:val="006245F7"/>
    <w:rsid w:val="006246FB"/>
    <w:rsid w:val="0062488C"/>
    <w:rsid w:val="006248F0"/>
    <w:rsid w:val="00624AB5"/>
    <w:rsid w:val="00624AEC"/>
    <w:rsid w:val="00624B7C"/>
    <w:rsid w:val="00624BAE"/>
    <w:rsid w:val="00624C3B"/>
    <w:rsid w:val="00624C74"/>
    <w:rsid w:val="00624E46"/>
    <w:rsid w:val="00624F2D"/>
    <w:rsid w:val="006250E9"/>
    <w:rsid w:val="00625389"/>
    <w:rsid w:val="00625664"/>
    <w:rsid w:val="00625790"/>
    <w:rsid w:val="00625A9A"/>
    <w:rsid w:val="00625B93"/>
    <w:rsid w:val="006268DF"/>
    <w:rsid w:val="006269B4"/>
    <w:rsid w:val="00626C38"/>
    <w:rsid w:val="00626C43"/>
    <w:rsid w:val="00626D20"/>
    <w:rsid w:val="00626EA5"/>
    <w:rsid w:val="00627021"/>
    <w:rsid w:val="00627195"/>
    <w:rsid w:val="00627329"/>
    <w:rsid w:val="0062756D"/>
    <w:rsid w:val="0062760C"/>
    <w:rsid w:val="00627845"/>
    <w:rsid w:val="00627B07"/>
    <w:rsid w:val="00627CAC"/>
    <w:rsid w:val="00627CB3"/>
    <w:rsid w:val="00627D8D"/>
    <w:rsid w:val="0063089D"/>
    <w:rsid w:val="00630A6C"/>
    <w:rsid w:val="00630D12"/>
    <w:rsid w:val="00630E35"/>
    <w:rsid w:val="0063114A"/>
    <w:rsid w:val="006312D1"/>
    <w:rsid w:val="006315C9"/>
    <w:rsid w:val="00631787"/>
    <w:rsid w:val="0063192D"/>
    <w:rsid w:val="00631FA8"/>
    <w:rsid w:val="00632DD1"/>
    <w:rsid w:val="00632F47"/>
    <w:rsid w:val="00633178"/>
    <w:rsid w:val="006332FA"/>
    <w:rsid w:val="006333B8"/>
    <w:rsid w:val="0063344B"/>
    <w:rsid w:val="00633638"/>
    <w:rsid w:val="006336D2"/>
    <w:rsid w:val="0063371B"/>
    <w:rsid w:val="006339C5"/>
    <w:rsid w:val="006339E4"/>
    <w:rsid w:val="00633B27"/>
    <w:rsid w:val="00633B2F"/>
    <w:rsid w:val="00633FB8"/>
    <w:rsid w:val="0063400A"/>
    <w:rsid w:val="00634035"/>
    <w:rsid w:val="00634173"/>
    <w:rsid w:val="00634238"/>
    <w:rsid w:val="006342C8"/>
    <w:rsid w:val="00634BE5"/>
    <w:rsid w:val="00634DC1"/>
    <w:rsid w:val="00635302"/>
    <w:rsid w:val="00635A31"/>
    <w:rsid w:val="00635D4F"/>
    <w:rsid w:val="006362A4"/>
    <w:rsid w:val="0063631C"/>
    <w:rsid w:val="0063686C"/>
    <w:rsid w:val="006368BC"/>
    <w:rsid w:val="00636907"/>
    <w:rsid w:val="00636B9A"/>
    <w:rsid w:val="00636FDA"/>
    <w:rsid w:val="00636FE1"/>
    <w:rsid w:val="00637062"/>
    <w:rsid w:val="006371AF"/>
    <w:rsid w:val="00637226"/>
    <w:rsid w:val="006372E4"/>
    <w:rsid w:val="006378B2"/>
    <w:rsid w:val="00637AF1"/>
    <w:rsid w:val="00637B26"/>
    <w:rsid w:val="00637E05"/>
    <w:rsid w:val="006405A2"/>
    <w:rsid w:val="0064086E"/>
    <w:rsid w:val="00640C31"/>
    <w:rsid w:val="00640D6A"/>
    <w:rsid w:val="00640F9B"/>
    <w:rsid w:val="006416CD"/>
    <w:rsid w:val="00641C2F"/>
    <w:rsid w:val="00641C49"/>
    <w:rsid w:val="00642B0A"/>
    <w:rsid w:val="00643226"/>
    <w:rsid w:val="0064344F"/>
    <w:rsid w:val="00643616"/>
    <w:rsid w:val="00643807"/>
    <w:rsid w:val="00644178"/>
    <w:rsid w:val="0064460F"/>
    <w:rsid w:val="00644730"/>
    <w:rsid w:val="00644764"/>
    <w:rsid w:val="006448D6"/>
    <w:rsid w:val="00644E9C"/>
    <w:rsid w:val="0064537F"/>
    <w:rsid w:val="00645484"/>
    <w:rsid w:val="0064560A"/>
    <w:rsid w:val="006456C9"/>
    <w:rsid w:val="006459EF"/>
    <w:rsid w:val="00645E84"/>
    <w:rsid w:val="0064621A"/>
    <w:rsid w:val="006465F3"/>
    <w:rsid w:val="00646725"/>
    <w:rsid w:val="00646877"/>
    <w:rsid w:val="00646983"/>
    <w:rsid w:val="006469E2"/>
    <w:rsid w:val="00646AFE"/>
    <w:rsid w:val="00647292"/>
    <w:rsid w:val="00647ABD"/>
    <w:rsid w:val="0065010F"/>
    <w:rsid w:val="006504BA"/>
    <w:rsid w:val="00650C42"/>
    <w:rsid w:val="00650FFF"/>
    <w:rsid w:val="0065168C"/>
    <w:rsid w:val="006516ED"/>
    <w:rsid w:val="006517CE"/>
    <w:rsid w:val="006517F8"/>
    <w:rsid w:val="0065224B"/>
    <w:rsid w:val="00652736"/>
    <w:rsid w:val="00652803"/>
    <w:rsid w:val="0065290A"/>
    <w:rsid w:val="00652B0F"/>
    <w:rsid w:val="00653075"/>
    <w:rsid w:val="00653161"/>
    <w:rsid w:val="00653267"/>
    <w:rsid w:val="006534BF"/>
    <w:rsid w:val="00653639"/>
    <w:rsid w:val="006537D7"/>
    <w:rsid w:val="0065385A"/>
    <w:rsid w:val="0065418C"/>
    <w:rsid w:val="0065444A"/>
    <w:rsid w:val="00654517"/>
    <w:rsid w:val="00654610"/>
    <w:rsid w:val="00654D8B"/>
    <w:rsid w:val="00654ECB"/>
    <w:rsid w:val="00654F68"/>
    <w:rsid w:val="0065508A"/>
    <w:rsid w:val="00655278"/>
    <w:rsid w:val="00655500"/>
    <w:rsid w:val="0065557E"/>
    <w:rsid w:val="00655741"/>
    <w:rsid w:val="00655CF9"/>
    <w:rsid w:val="00655D45"/>
    <w:rsid w:val="00655F43"/>
    <w:rsid w:val="00655F89"/>
    <w:rsid w:val="0065606F"/>
    <w:rsid w:val="006562EB"/>
    <w:rsid w:val="00656383"/>
    <w:rsid w:val="0065662F"/>
    <w:rsid w:val="006566E7"/>
    <w:rsid w:val="00656CEE"/>
    <w:rsid w:val="0065714C"/>
    <w:rsid w:val="0065728A"/>
    <w:rsid w:val="00657391"/>
    <w:rsid w:val="006577B2"/>
    <w:rsid w:val="00657A69"/>
    <w:rsid w:val="00657C5F"/>
    <w:rsid w:val="00657F2D"/>
    <w:rsid w:val="006602ED"/>
    <w:rsid w:val="00660380"/>
    <w:rsid w:val="006607C0"/>
    <w:rsid w:val="006608DC"/>
    <w:rsid w:val="00660A74"/>
    <w:rsid w:val="00660AD0"/>
    <w:rsid w:val="00660AD3"/>
    <w:rsid w:val="00660D1B"/>
    <w:rsid w:val="006612D5"/>
    <w:rsid w:val="00661325"/>
    <w:rsid w:val="00661BE8"/>
    <w:rsid w:val="00661CD6"/>
    <w:rsid w:val="00661E54"/>
    <w:rsid w:val="00662362"/>
    <w:rsid w:val="006624C1"/>
    <w:rsid w:val="00662517"/>
    <w:rsid w:val="0066251B"/>
    <w:rsid w:val="00662A73"/>
    <w:rsid w:val="00662E5F"/>
    <w:rsid w:val="0066305A"/>
    <w:rsid w:val="006639FD"/>
    <w:rsid w:val="00663A15"/>
    <w:rsid w:val="00663CDD"/>
    <w:rsid w:val="00663DA0"/>
    <w:rsid w:val="00663E12"/>
    <w:rsid w:val="00663EA8"/>
    <w:rsid w:val="0066413F"/>
    <w:rsid w:val="0066431D"/>
    <w:rsid w:val="00664337"/>
    <w:rsid w:val="006643D6"/>
    <w:rsid w:val="00664434"/>
    <w:rsid w:val="00664522"/>
    <w:rsid w:val="006645F3"/>
    <w:rsid w:val="00664613"/>
    <w:rsid w:val="0066475A"/>
    <w:rsid w:val="00664949"/>
    <w:rsid w:val="00664E83"/>
    <w:rsid w:val="006653D0"/>
    <w:rsid w:val="006653FD"/>
    <w:rsid w:val="0066561F"/>
    <w:rsid w:val="00665B98"/>
    <w:rsid w:val="006661D4"/>
    <w:rsid w:val="00666307"/>
    <w:rsid w:val="00666487"/>
    <w:rsid w:val="006664F8"/>
    <w:rsid w:val="0066686E"/>
    <w:rsid w:val="00666A58"/>
    <w:rsid w:val="0066746D"/>
    <w:rsid w:val="006678BD"/>
    <w:rsid w:val="006678E0"/>
    <w:rsid w:val="00667A1D"/>
    <w:rsid w:val="00667E6D"/>
    <w:rsid w:val="00670066"/>
    <w:rsid w:val="0067015D"/>
    <w:rsid w:val="00670204"/>
    <w:rsid w:val="006703F8"/>
    <w:rsid w:val="00670466"/>
    <w:rsid w:val="00670650"/>
    <w:rsid w:val="0067074A"/>
    <w:rsid w:val="0067095F"/>
    <w:rsid w:val="00670D8B"/>
    <w:rsid w:val="0067104A"/>
    <w:rsid w:val="006712C0"/>
    <w:rsid w:val="00671507"/>
    <w:rsid w:val="006716FD"/>
    <w:rsid w:val="00671A4A"/>
    <w:rsid w:val="00671C25"/>
    <w:rsid w:val="00671EEA"/>
    <w:rsid w:val="00672613"/>
    <w:rsid w:val="00672DFE"/>
    <w:rsid w:val="006733F8"/>
    <w:rsid w:val="00673405"/>
    <w:rsid w:val="006737F2"/>
    <w:rsid w:val="0067392F"/>
    <w:rsid w:val="00673B22"/>
    <w:rsid w:val="00673FF7"/>
    <w:rsid w:val="0067401E"/>
    <w:rsid w:val="006740F7"/>
    <w:rsid w:val="00674173"/>
    <w:rsid w:val="006743A1"/>
    <w:rsid w:val="006743F2"/>
    <w:rsid w:val="006744AC"/>
    <w:rsid w:val="006749ED"/>
    <w:rsid w:val="00674C7D"/>
    <w:rsid w:val="00674D7F"/>
    <w:rsid w:val="00674E48"/>
    <w:rsid w:val="006753CD"/>
    <w:rsid w:val="00675464"/>
    <w:rsid w:val="00675683"/>
    <w:rsid w:val="00675D64"/>
    <w:rsid w:val="00675DF2"/>
    <w:rsid w:val="00675F0F"/>
    <w:rsid w:val="0067601C"/>
    <w:rsid w:val="0067625F"/>
    <w:rsid w:val="006766EF"/>
    <w:rsid w:val="00676FAA"/>
    <w:rsid w:val="00677370"/>
    <w:rsid w:val="00677576"/>
    <w:rsid w:val="006776A1"/>
    <w:rsid w:val="0067793D"/>
    <w:rsid w:val="00677AC9"/>
    <w:rsid w:val="00677E41"/>
    <w:rsid w:val="00677E8F"/>
    <w:rsid w:val="00677FC0"/>
    <w:rsid w:val="00680B40"/>
    <w:rsid w:val="00680D84"/>
    <w:rsid w:val="0068103D"/>
    <w:rsid w:val="0068124F"/>
    <w:rsid w:val="00681252"/>
    <w:rsid w:val="006813A9"/>
    <w:rsid w:val="00681415"/>
    <w:rsid w:val="0068162A"/>
    <w:rsid w:val="00681815"/>
    <w:rsid w:val="00681D7E"/>
    <w:rsid w:val="00681EC9"/>
    <w:rsid w:val="0068221D"/>
    <w:rsid w:val="006822FA"/>
    <w:rsid w:val="00682464"/>
    <w:rsid w:val="0068286C"/>
    <w:rsid w:val="0068288C"/>
    <w:rsid w:val="00682B58"/>
    <w:rsid w:val="00682F48"/>
    <w:rsid w:val="0068311C"/>
    <w:rsid w:val="006835FB"/>
    <w:rsid w:val="00683B19"/>
    <w:rsid w:val="00683C95"/>
    <w:rsid w:val="00683F36"/>
    <w:rsid w:val="00684029"/>
    <w:rsid w:val="006840C6"/>
    <w:rsid w:val="006841EA"/>
    <w:rsid w:val="00684834"/>
    <w:rsid w:val="00684C2C"/>
    <w:rsid w:val="00684C86"/>
    <w:rsid w:val="00684C9B"/>
    <w:rsid w:val="00685531"/>
    <w:rsid w:val="00685568"/>
    <w:rsid w:val="00685589"/>
    <w:rsid w:val="00685832"/>
    <w:rsid w:val="00685B91"/>
    <w:rsid w:val="00685E83"/>
    <w:rsid w:val="00685EDA"/>
    <w:rsid w:val="00686249"/>
    <w:rsid w:val="00686258"/>
    <w:rsid w:val="00686797"/>
    <w:rsid w:val="0068682C"/>
    <w:rsid w:val="00686A4D"/>
    <w:rsid w:val="00686DFD"/>
    <w:rsid w:val="00686E69"/>
    <w:rsid w:val="00687188"/>
    <w:rsid w:val="006875DB"/>
    <w:rsid w:val="00687678"/>
    <w:rsid w:val="00687688"/>
    <w:rsid w:val="006877F0"/>
    <w:rsid w:val="00687990"/>
    <w:rsid w:val="00687C6F"/>
    <w:rsid w:val="00687E08"/>
    <w:rsid w:val="00690296"/>
    <w:rsid w:val="006904D9"/>
    <w:rsid w:val="00690543"/>
    <w:rsid w:val="00690687"/>
    <w:rsid w:val="0069082C"/>
    <w:rsid w:val="00690946"/>
    <w:rsid w:val="00690A65"/>
    <w:rsid w:val="00690ADE"/>
    <w:rsid w:val="006911D7"/>
    <w:rsid w:val="0069149B"/>
    <w:rsid w:val="00691522"/>
    <w:rsid w:val="006916E6"/>
    <w:rsid w:val="006917CC"/>
    <w:rsid w:val="00691824"/>
    <w:rsid w:val="00691852"/>
    <w:rsid w:val="00691951"/>
    <w:rsid w:val="00691AC9"/>
    <w:rsid w:val="00691B29"/>
    <w:rsid w:val="00692134"/>
    <w:rsid w:val="006925DB"/>
    <w:rsid w:val="00692F21"/>
    <w:rsid w:val="006933CA"/>
    <w:rsid w:val="006938AA"/>
    <w:rsid w:val="006938D8"/>
    <w:rsid w:val="00693CE8"/>
    <w:rsid w:val="00693F9C"/>
    <w:rsid w:val="00694445"/>
    <w:rsid w:val="0069466C"/>
    <w:rsid w:val="0069474B"/>
    <w:rsid w:val="0069475D"/>
    <w:rsid w:val="0069484B"/>
    <w:rsid w:val="00694907"/>
    <w:rsid w:val="00694A8D"/>
    <w:rsid w:val="00694E9E"/>
    <w:rsid w:val="00694F69"/>
    <w:rsid w:val="00695A06"/>
    <w:rsid w:val="006962D5"/>
    <w:rsid w:val="00696CAA"/>
    <w:rsid w:val="00696F45"/>
    <w:rsid w:val="00696F60"/>
    <w:rsid w:val="00696F6B"/>
    <w:rsid w:val="006973F6"/>
    <w:rsid w:val="0069764E"/>
    <w:rsid w:val="00697938"/>
    <w:rsid w:val="00697966"/>
    <w:rsid w:val="00697ED2"/>
    <w:rsid w:val="006A00DC"/>
    <w:rsid w:val="006A02B3"/>
    <w:rsid w:val="006A03F5"/>
    <w:rsid w:val="006A0401"/>
    <w:rsid w:val="006A0675"/>
    <w:rsid w:val="006A0698"/>
    <w:rsid w:val="006A071E"/>
    <w:rsid w:val="006A0A6D"/>
    <w:rsid w:val="006A0C79"/>
    <w:rsid w:val="006A0D34"/>
    <w:rsid w:val="006A0DAA"/>
    <w:rsid w:val="006A111B"/>
    <w:rsid w:val="006A12CB"/>
    <w:rsid w:val="006A1342"/>
    <w:rsid w:val="006A1782"/>
    <w:rsid w:val="006A178C"/>
    <w:rsid w:val="006A17BF"/>
    <w:rsid w:val="006A17F4"/>
    <w:rsid w:val="006A19B7"/>
    <w:rsid w:val="006A1A45"/>
    <w:rsid w:val="006A1C95"/>
    <w:rsid w:val="006A1CC5"/>
    <w:rsid w:val="006A1D64"/>
    <w:rsid w:val="006A2269"/>
    <w:rsid w:val="006A230D"/>
    <w:rsid w:val="006A24C8"/>
    <w:rsid w:val="006A2518"/>
    <w:rsid w:val="006A271B"/>
    <w:rsid w:val="006A2A1E"/>
    <w:rsid w:val="006A2CEC"/>
    <w:rsid w:val="006A30CB"/>
    <w:rsid w:val="006A30D5"/>
    <w:rsid w:val="006A32B2"/>
    <w:rsid w:val="006A3974"/>
    <w:rsid w:val="006A3999"/>
    <w:rsid w:val="006A3A16"/>
    <w:rsid w:val="006A3A2B"/>
    <w:rsid w:val="006A3ACD"/>
    <w:rsid w:val="006A3B12"/>
    <w:rsid w:val="006A412B"/>
    <w:rsid w:val="006A463A"/>
    <w:rsid w:val="006A4AD6"/>
    <w:rsid w:val="006A4D88"/>
    <w:rsid w:val="006A4F1D"/>
    <w:rsid w:val="006A5158"/>
    <w:rsid w:val="006A5471"/>
    <w:rsid w:val="006A555B"/>
    <w:rsid w:val="006A57B0"/>
    <w:rsid w:val="006A5A89"/>
    <w:rsid w:val="006A5CF9"/>
    <w:rsid w:val="006A5EE2"/>
    <w:rsid w:val="006A6008"/>
    <w:rsid w:val="006A6100"/>
    <w:rsid w:val="006A6207"/>
    <w:rsid w:val="006A6BF1"/>
    <w:rsid w:val="006A6E91"/>
    <w:rsid w:val="006A6F90"/>
    <w:rsid w:val="006A75A4"/>
    <w:rsid w:val="006A77AD"/>
    <w:rsid w:val="006A77E0"/>
    <w:rsid w:val="006A7838"/>
    <w:rsid w:val="006A7929"/>
    <w:rsid w:val="006A796E"/>
    <w:rsid w:val="006A7C06"/>
    <w:rsid w:val="006A7FB4"/>
    <w:rsid w:val="006B04BA"/>
    <w:rsid w:val="006B097B"/>
    <w:rsid w:val="006B0A01"/>
    <w:rsid w:val="006B0AD7"/>
    <w:rsid w:val="006B0CCB"/>
    <w:rsid w:val="006B0DBA"/>
    <w:rsid w:val="006B10EA"/>
    <w:rsid w:val="006B1C2E"/>
    <w:rsid w:val="006B1F0B"/>
    <w:rsid w:val="006B21C9"/>
    <w:rsid w:val="006B251B"/>
    <w:rsid w:val="006B2591"/>
    <w:rsid w:val="006B284F"/>
    <w:rsid w:val="006B2A9E"/>
    <w:rsid w:val="006B2CDB"/>
    <w:rsid w:val="006B2E8E"/>
    <w:rsid w:val="006B2F33"/>
    <w:rsid w:val="006B3032"/>
    <w:rsid w:val="006B33EF"/>
    <w:rsid w:val="006B3567"/>
    <w:rsid w:val="006B3604"/>
    <w:rsid w:val="006B3A3C"/>
    <w:rsid w:val="006B3C31"/>
    <w:rsid w:val="006B4828"/>
    <w:rsid w:val="006B4B4A"/>
    <w:rsid w:val="006B4CAE"/>
    <w:rsid w:val="006B4E68"/>
    <w:rsid w:val="006B4F04"/>
    <w:rsid w:val="006B5196"/>
    <w:rsid w:val="006B52EA"/>
    <w:rsid w:val="006B53A9"/>
    <w:rsid w:val="006B5C98"/>
    <w:rsid w:val="006B6CFC"/>
    <w:rsid w:val="006B6D7C"/>
    <w:rsid w:val="006B6ED9"/>
    <w:rsid w:val="006B6F22"/>
    <w:rsid w:val="006B7566"/>
    <w:rsid w:val="006B75B2"/>
    <w:rsid w:val="006B75C6"/>
    <w:rsid w:val="006B7E63"/>
    <w:rsid w:val="006C0358"/>
    <w:rsid w:val="006C04B6"/>
    <w:rsid w:val="006C051C"/>
    <w:rsid w:val="006C0921"/>
    <w:rsid w:val="006C0B0C"/>
    <w:rsid w:val="006C0B34"/>
    <w:rsid w:val="006C0CF7"/>
    <w:rsid w:val="006C0DC4"/>
    <w:rsid w:val="006C0E54"/>
    <w:rsid w:val="006C1227"/>
    <w:rsid w:val="006C1258"/>
    <w:rsid w:val="006C1318"/>
    <w:rsid w:val="006C1AB6"/>
    <w:rsid w:val="006C1B15"/>
    <w:rsid w:val="006C2786"/>
    <w:rsid w:val="006C2A68"/>
    <w:rsid w:val="006C3088"/>
    <w:rsid w:val="006C30B0"/>
    <w:rsid w:val="006C354C"/>
    <w:rsid w:val="006C3600"/>
    <w:rsid w:val="006C3B60"/>
    <w:rsid w:val="006C3B76"/>
    <w:rsid w:val="006C3C50"/>
    <w:rsid w:val="006C3D22"/>
    <w:rsid w:val="006C4436"/>
    <w:rsid w:val="006C4537"/>
    <w:rsid w:val="006C4572"/>
    <w:rsid w:val="006C45AC"/>
    <w:rsid w:val="006C45F3"/>
    <w:rsid w:val="006C4989"/>
    <w:rsid w:val="006C4FA7"/>
    <w:rsid w:val="006C50B0"/>
    <w:rsid w:val="006C5610"/>
    <w:rsid w:val="006C56A5"/>
    <w:rsid w:val="006C56F3"/>
    <w:rsid w:val="006C58CA"/>
    <w:rsid w:val="006C58D7"/>
    <w:rsid w:val="006C5A34"/>
    <w:rsid w:val="006C5B28"/>
    <w:rsid w:val="006C6307"/>
    <w:rsid w:val="006C655E"/>
    <w:rsid w:val="006C6853"/>
    <w:rsid w:val="006C6B8F"/>
    <w:rsid w:val="006C6C4A"/>
    <w:rsid w:val="006C6C8D"/>
    <w:rsid w:val="006C6FC9"/>
    <w:rsid w:val="006C728D"/>
    <w:rsid w:val="006C733C"/>
    <w:rsid w:val="006C7961"/>
    <w:rsid w:val="006C7A01"/>
    <w:rsid w:val="006C7B03"/>
    <w:rsid w:val="006C7B4F"/>
    <w:rsid w:val="006D00A5"/>
    <w:rsid w:val="006D0238"/>
    <w:rsid w:val="006D0298"/>
    <w:rsid w:val="006D0328"/>
    <w:rsid w:val="006D06DA"/>
    <w:rsid w:val="006D0708"/>
    <w:rsid w:val="006D0A25"/>
    <w:rsid w:val="006D0DE3"/>
    <w:rsid w:val="006D0EC2"/>
    <w:rsid w:val="006D16A8"/>
    <w:rsid w:val="006D1F42"/>
    <w:rsid w:val="006D20D4"/>
    <w:rsid w:val="006D23C5"/>
    <w:rsid w:val="006D2434"/>
    <w:rsid w:val="006D27E7"/>
    <w:rsid w:val="006D2A75"/>
    <w:rsid w:val="006D2E16"/>
    <w:rsid w:val="006D33A9"/>
    <w:rsid w:val="006D3AB8"/>
    <w:rsid w:val="006D3B70"/>
    <w:rsid w:val="006D3F31"/>
    <w:rsid w:val="006D3F65"/>
    <w:rsid w:val="006D4351"/>
    <w:rsid w:val="006D43F0"/>
    <w:rsid w:val="006D462D"/>
    <w:rsid w:val="006D47A2"/>
    <w:rsid w:val="006D49D4"/>
    <w:rsid w:val="006D4C62"/>
    <w:rsid w:val="006D4C72"/>
    <w:rsid w:val="006D4E4C"/>
    <w:rsid w:val="006D5160"/>
    <w:rsid w:val="006D5315"/>
    <w:rsid w:val="006D5467"/>
    <w:rsid w:val="006D5585"/>
    <w:rsid w:val="006D574E"/>
    <w:rsid w:val="006D5862"/>
    <w:rsid w:val="006D5A3E"/>
    <w:rsid w:val="006D5A82"/>
    <w:rsid w:val="006D5AAD"/>
    <w:rsid w:val="006D5C8F"/>
    <w:rsid w:val="006D5CBA"/>
    <w:rsid w:val="006D5CD9"/>
    <w:rsid w:val="006D5F76"/>
    <w:rsid w:val="006D601B"/>
    <w:rsid w:val="006D6234"/>
    <w:rsid w:val="006D6573"/>
    <w:rsid w:val="006D6576"/>
    <w:rsid w:val="006D6890"/>
    <w:rsid w:val="006D689B"/>
    <w:rsid w:val="006D6943"/>
    <w:rsid w:val="006D69E9"/>
    <w:rsid w:val="006D6B5C"/>
    <w:rsid w:val="006D6D96"/>
    <w:rsid w:val="006D6FFB"/>
    <w:rsid w:val="006D7057"/>
    <w:rsid w:val="006D7211"/>
    <w:rsid w:val="006D7454"/>
    <w:rsid w:val="006D74C4"/>
    <w:rsid w:val="006D75C8"/>
    <w:rsid w:val="006D7A7C"/>
    <w:rsid w:val="006D7B9D"/>
    <w:rsid w:val="006D7C3E"/>
    <w:rsid w:val="006E006E"/>
    <w:rsid w:val="006E0268"/>
    <w:rsid w:val="006E0DAF"/>
    <w:rsid w:val="006E2272"/>
    <w:rsid w:val="006E22C4"/>
    <w:rsid w:val="006E253F"/>
    <w:rsid w:val="006E281E"/>
    <w:rsid w:val="006E2A75"/>
    <w:rsid w:val="006E2B39"/>
    <w:rsid w:val="006E2C55"/>
    <w:rsid w:val="006E2F2C"/>
    <w:rsid w:val="006E2FC3"/>
    <w:rsid w:val="006E30C7"/>
    <w:rsid w:val="006E35C1"/>
    <w:rsid w:val="006E377A"/>
    <w:rsid w:val="006E3AD6"/>
    <w:rsid w:val="006E3D09"/>
    <w:rsid w:val="006E3E4C"/>
    <w:rsid w:val="006E3EFA"/>
    <w:rsid w:val="006E4171"/>
    <w:rsid w:val="006E4384"/>
    <w:rsid w:val="006E4524"/>
    <w:rsid w:val="006E46DB"/>
    <w:rsid w:val="006E4D79"/>
    <w:rsid w:val="006E4DD7"/>
    <w:rsid w:val="006E5001"/>
    <w:rsid w:val="006E51AE"/>
    <w:rsid w:val="006E5395"/>
    <w:rsid w:val="006E55D2"/>
    <w:rsid w:val="006E5615"/>
    <w:rsid w:val="006E5A0F"/>
    <w:rsid w:val="006E5E48"/>
    <w:rsid w:val="006E5E6D"/>
    <w:rsid w:val="006E61F5"/>
    <w:rsid w:val="006E6419"/>
    <w:rsid w:val="006E6800"/>
    <w:rsid w:val="006E78B8"/>
    <w:rsid w:val="006F04D5"/>
    <w:rsid w:val="006F0C86"/>
    <w:rsid w:val="006F0D46"/>
    <w:rsid w:val="006F10F7"/>
    <w:rsid w:val="006F1EE1"/>
    <w:rsid w:val="006F1F30"/>
    <w:rsid w:val="006F203A"/>
    <w:rsid w:val="006F23DD"/>
    <w:rsid w:val="006F25B5"/>
    <w:rsid w:val="006F2EE4"/>
    <w:rsid w:val="006F34A7"/>
    <w:rsid w:val="006F37DE"/>
    <w:rsid w:val="006F38B0"/>
    <w:rsid w:val="006F3CB8"/>
    <w:rsid w:val="006F3D5A"/>
    <w:rsid w:val="006F3DAD"/>
    <w:rsid w:val="006F3DC5"/>
    <w:rsid w:val="006F4607"/>
    <w:rsid w:val="006F5158"/>
    <w:rsid w:val="006F52BB"/>
    <w:rsid w:val="006F56DF"/>
    <w:rsid w:val="006F58C3"/>
    <w:rsid w:val="006F58D9"/>
    <w:rsid w:val="006F5B85"/>
    <w:rsid w:val="006F5CE3"/>
    <w:rsid w:val="006F5EF4"/>
    <w:rsid w:val="006F6053"/>
    <w:rsid w:val="006F6129"/>
    <w:rsid w:val="006F6427"/>
    <w:rsid w:val="006F6508"/>
    <w:rsid w:val="006F6918"/>
    <w:rsid w:val="006F6BD5"/>
    <w:rsid w:val="006F704B"/>
    <w:rsid w:val="006F712C"/>
    <w:rsid w:val="006F76E0"/>
    <w:rsid w:val="006F79C9"/>
    <w:rsid w:val="006F7BA1"/>
    <w:rsid w:val="006F7E2A"/>
    <w:rsid w:val="006F7F0C"/>
    <w:rsid w:val="006F7FCC"/>
    <w:rsid w:val="007002CD"/>
    <w:rsid w:val="00700950"/>
    <w:rsid w:val="00700BD2"/>
    <w:rsid w:val="00700D32"/>
    <w:rsid w:val="007010CA"/>
    <w:rsid w:val="00701136"/>
    <w:rsid w:val="0070148F"/>
    <w:rsid w:val="007014A1"/>
    <w:rsid w:val="00701527"/>
    <w:rsid w:val="00701A35"/>
    <w:rsid w:val="00701B98"/>
    <w:rsid w:val="00701CBC"/>
    <w:rsid w:val="00701F9F"/>
    <w:rsid w:val="00702008"/>
    <w:rsid w:val="0070257C"/>
    <w:rsid w:val="00702A87"/>
    <w:rsid w:val="00702BFF"/>
    <w:rsid w:val="00702C28"/>
    <w:rsid w:val="0070319A"/>
    <w:rsid w:val="007031DF"/>
    <w:rsid w:val="0070333B"/>
    <w:rsid w:val="00703487"/>
    <w:rsid w:val="007035E6"/>
    <w:rsid w:val="00703CB4"/>
    <w:rsid w:val="007043CC"/>
    <w:rsid w:val="00704597"/>
    <w:rsid w:val="007047E9"/>
    <w:rsid w:val="007048A8"/>
    <w:rsid w:val="00704990"/>
    <w:rsid w:val="00704E20"/>
    <w:rsid w:val="00705742"/>
    <w:rsid w:val="007057C2"/>
    <w:rsid w:val="00705843"/>
    <w:rsid w:val="007062ED"/>
    <w:rsid w:val="0070674C"/>
    <w:rsid w:val="00706776"/>
    <w:rsid w:val="00706DE8"/>
    <w:rsid w:val="00707273"/>
    <w:rsid w:val="00707A01"/>
    <w:rsid w:val="00707B99"/>
    <w:rsid w:val="00707C18"/>
    <w:rsid w:val="00710364"/>
    <w:rsid w:val="007103A9"/>
    <w:rsid w:val="00710A04"/>
    <w:rsid w:val="00710DDC"/>
    <w:rsid w:val="00711153"/>
    <w:rsid w:val="0071132C"/>
    <w:rsid w:val="00711402"/>
    <w:rsid w:val="0071149D"/>
    <w:rsid w:val="0071190D"/>
    <w:rsid w:val="007122C0"/>
    <w:rsid w:val="00712D13"/>
    <w:rsid w:val="00712FB1"/>
    <w:rsid w:val="00713965"/>
    <w:rsid w:val="007139E1"/>
    <w:rsid w:val="00713B98"/>
    <w:rsid w:val="00714216"/>
    <w:rsid w:val="00714E8A"/>
    <w:rsid w:val="00715166"/>
    <w:rsid w:val="00715281"/>
    <w:rsid w:val="00715453"/>
    <w:rsid w:val="00715809"/>
    <w:rsid w:val="007158FB"/>
    <w:rsid w:val="00715AC2"/>
    <w:rsid w:val="00715E9E"/>
    <w:rsid w:val="00715F96"/>
    <w:rsid w:val="00716746"/>
    <w:rsid w:val="00716998"/>
    <w:rsid w:val="00716AD2"/>
    <w:rsid w:val="00716DEC"/>
    <w:rsid w:val="00716F7C"/>
    <w:rsid w:val="007173B9"/>
    <w:rsid w:val="007175CA"/>
    <w:rsid w:val="0071772A"/>
    <w:rsid w:val="0071788E"/>
    <w:rsid w:val="0071789F"/>
    <w:rsid w:val="00717B9E"/>
    <w:rsid w:val="00717BDA"/>
    <w:rsid w:val="00720004"/>
    <w:rsid w:val="007201D9"/>
    <w:rsid w:val="007203CA"/>
    <w:rsid w:val="007206E5"/>
    <w:rsid w:val="0072078F"/>
    <w:rsid w:val="00720BAF"/>
    <w:rsid w:val="00720E25"/>
    <w:rsid w:val="00720EB6"/>
    <w:rsid w:val="00720EBD"/>
    <w:rsid w:val="0072146E"/>
    <w:rsid w:val="007214A3"/>
    <w:rsid w:val="00721AAE"/>
    <w:rsid w:val="00721C2B"/>
    <w:rsid w:val="0072209E"/>
    <w:rsid w:val="00722112"/>
    <w:rsid w:val="00722261"/>
    <w:rsid w:val="0072243A"/>
    <w:rsid w:val="00722640"/>
    <w:rsid w:val="007226F5"/>
    <w:rsid w:val="00722700"/>
    <w:rsid w:val="007228BE"/>
    <w:rsid w:val="007231FA"/>
    <w:rsid w:val="00723B2C"/>
    <w:rsid w:val="00723C51"/>
    <w:rsid w:val="00724CAD"/>
    <w:rsid w:val="00724CD1"/>
    <w:rsid w:val="00724ED0"/>
    <w:rsid w:val="00724F92"/>
    <w:rsid w:val="00725261"/>
    <w:rsid w:val="007253D6"/>
    <w:rsid w:val="0072578A"/>
    <w:rsid w:val="007257A9"/>
    <w:rsid w:val="0072597A"/>
    <w:rsid w:val="00725BA4"/>
    <w:rsid w:val="00725D1F"/>
    <w:rsid w:val="007260A4"/>
    <w:rsid w:val="007267D1"/>
    <w:rsid w:val="00726CB0"/>
    <w:rsid w:val="00726CDE"/>
    <w:rsid w:val="00726F72"/>
    <w:rsid w:val="00726FC6"/>
    <w:rsid w:val="0072750C"/>
    <w:rsid w:val="007276C6"/>
    <w:rsid w:val="00727ACB"/>
    <w:rsid w:val="00727F01"/>
    <w:rsid w:val="00730121"/>
    <w:rsid w:val="007304B2"/>
    <w:rsid w:val="007306EF"/>
    <w:rsid w:val="00730D3B"/>
    <w:rsid w:val="00730D60"/>
    <w:rsid w:val="007316A3"/>
    <w:rsid w:val="007316CE"/>
    <w:rsid w:val="007319FE"/>
    <w:rsid w:val="0073206A"/>
    <w:rsid w:val="007326CC"/>
    <w:rsid w:val="0073276E"/>
    <w:rsid w:val="007327B4"/>
    <w:rsid w:val="007327EB"/>
    <w:rsid w:val="007328DC"/>
    <w:rsid w:val="0073295A"/>
    <w:rsid w:val="00732F29"/>
    <w:rsid w:val="0073318D"/>
    <w:rsid w:val="00733DE4"/>
    <w:rsid w:val="00733EEE"/>
    <w:rsid w:val="00733FFE"/>
    <w:rsid w:val="007340BD"/>
    <w:rsid w:val="0073448A"/>
    <w:rsid w:val="007344D9"/>
    <w:rsid w:val="00734865"/>
    <w:rsid w:val="007349F0"/>
    <w:rsid w:val="00734A53"/>
    <w:rsid w:val="00734C80"/>
    <w:rsid w:val="00734C8E"/>
    <w:rsid w:val="00734D0B"/>
    <w:rsid w:val="00734F18"/>
    <w:rsid w:val="00735463"/>
    <w:rsid w:val="007357F2"/>
    <w:rsid w:val="007358EC"/>
    <w:rsid w:val="00735DF5"/>
    <w:rsid w:val="0073600A"/>
    <w:rsid w:val="00736D20"/>
    <w:rsid w:val="00736D76"/>
    <w:rsid w:val="00736FAA"/>
    <w:rsid w:val="00737302"/>
    <w:rsid w:val="007375E6"/>
    <w:rsid w:val="007377CD"/>
    <w:rsid w:val="00737883"/>
    <w:rsid w:val="0073792C"/>
    <w:rsid w:val="00737BAB"/>
    <w:rsid w:val="00737D3E"/>
    <w:rsid w:val="00737F08"/>
    <w:rsid w:val="00740065"/>
    <w:rsid w:val="00740073"/>
    <w:rsid w:val="00740244"/>
    <w:rsid w:val="007402B7"/>
    <w:rsid w:val="00740334"/>
    <w:rsid w:val="00740796"/>
    <w:rsid w:val="007407F9"/>
    <w:rsid w:val="0074095B"/>
    <w:rsid w:val="00740A48"/>
    <w:rsid w:val="00740AE2"/>
    <w:rsid w:val="00740B2C"/>
    <w:rsid w:val="00740BA2"/>
    <w:rsid w:val="00740EA9"/>
    <w:rsid w:val="00741090"/>
    <w:rsid w:val="007415F9"/>
    <w:rsid w:val="00741833"/>
    <w:rsid w:val="00741859"/>
    <w:rsid w:val="0074195B"/>
    <w:rsid w:val="00741CD0"/>
    <w:rsid w:val="00742065"/>
    <w:rsid w:val="00742349"/>
    <w:rsid w:val="0074257A"/>
    <w:rsid w:val="00742740"/>
    <w:rsid w:val="00742AD8"/>
    <w:rsid w:val="00742F34"/>
    <w:rsid w:val="0074337C"/>
    <w:rsid w:val="0074345D"/>
    <w:rsid w:val="00743465"/>
    <w:rsid w:val="007434A8"/>
    <w:rsid w:val="007439E7"/>
    <w:rsid w:val="00743B51"/>
    <w:rsid w:val="00743D12"/>
    <w:rsid w:val="00743F02"/>
    <w:rsid w:val="00743F91"/>
    <w:rsid w:val="007440ED"/>
    <w:rsid w:val="00744256"/>
    <w:rsid w:val="0074433B"/>
    <w:rsid w:val="00744A15"/>
    <w:rsid w:val="0074504C"/>
    <w:rsid w:val="0074530E"/>
    <w:rsid w:val="00745652"/>
    <w:rsid w:val="00745711"/>
    <w:rsid w:val="0074578C"/>
    <w:rsid w:val="007459F2"/>
    <w:rsid w:val="00745A45"/>
    <w:rsid w:val="00745B9B"/>
    <w:rsid w:val="00745E0E"/>
    <w:rsid w:val="00745EA0"/>
    <w:rsid w:val="007461BA"/>
    <w:rsid w:val="00746430"/>
    <w:rsid w:val="00747345"/>
    <w:rsid w:val="00747422"/>
    <w:rsid w:val="00747434"/>
    <w:rsid w:val="007474EE"/>
    <w:rsid w:val="0074788B"/>
    <w:rsid w:val="00750775"/>
    <w:rsid w:val="007508FE"/>
    <w:rsid w:val="00750E68"/>
    <w:rsid w:val="00750FE7"/>
    <w:rsid w:val="0075119D"/>
    <w:rsid w:val="0075137C"/>
    <w:rsid w:val="007513A5"/>
    <w:rsid w:val="007515AA"/>
    <w:rsid w:val="007515CC"/>
    <w:rsid w:val="007516BE"/>
    <w:rsid w:val="00751E88"/>
    <w:rsid w:val="00752075"/>
    <w:rsid w:val="0075279A"/>
    <w:rsid w:val="00752899"/>
    <w:rsid w:val="00752F18"/>
    <w:rsid w:val="00753049"/>
    <w:rsid w:val="007530EE"/>
    <w:rsid w:val="00753222"/>
    <w:rsid w:val="00753397"/>
    <w:rsid w:val="00753621"/>
    <w:rsid w:val="00753D4E"/>
    <w:rsid w:val="0075418A"/>
    <w:rsid w:val="0075428C"/>
    <w:rsid w:val="007544B6"/>
    <w:rsid w:val="007548FE"/>
    <w:rsid w:val="00754C91"/>
    <w:rsid w:val="007550F7"/>
    <w:rsid w:val="00755401"/>
    <w:rsid w:val="00755542"/>
    <w:rsid w:val="00755A7F"/>
    <w:rsid w:val="00755D75"/>
    <w:rsid w:val="00755FE8"/>
    <w:rsid w:val="0075604C"/>
    <w:rsid w:val="0075646C"/>
    <w:rsid w:val="0075664D"/>
    <w:rsid w:val="0075666F"/>
    <w:rsid w:val="007567D7"/>
    <w:rsid w:val="0075695E"/>
    <w:rsid w:val="00756D85"/>
    <w:rsid w:val="0075744C"/>
    <w:rsid w:val="007579F3"/>
    <w:rsid w:val="00757A2B"/>
    <w:rsid w:val="00757B83"/>
    <w:rsid w:val="00760357"/>
    <w:rsid w:val="00760393"/>
    <w:rsid w:val="007606B3"/>
    <w:rsid w:val="00760B0A"/>
    <w:rsid w:val="00760D25"/>
    <w:rsid w:val="007613CF"/>
    <w:rsid w:val="007615A7"/>
    <w:rsid w:val="00761A16"/>
    <w:rsid w:val="00761CB0"/>
    <w:rsid w:val="00761E6C"/>
    <w:rsid w:val="0076260D"/>
    <w:rsid w:val="00762A2F"/>
    <w:rsid w:val="00762D6F"/>
    <w:rsid w:val="0076309E"/>
    <w:rsid w:val="00763274"/>
    <w:rsid w:val="00763521"/>
    <w:rsid w:val="00763B77"/>
    <w:rsid w:val="00763BDD"/>
    <w:rsid w:val="00763CE6"/>
    <w:rsid w:val="00764069"/>
    <w:rsid w:val="0076414C"/>
    <w:rsid w:val="0076458D"/>
    <w:rsid w:val="00764904"/>
    <w:rsid w:val="00764C7D"/>
    <w:rsid w:val="00765103"/>
    <w:rsid w:val="00765254"/>
    <w:rsid w:val="0076549F"/>
    <w:rsid w:val="007655C9"/>
    <w:rsid w:val="00765638"/>
    <w:rsid w:val="00765683"/>
    <w:rsid w:val="0076578B"/>
    <w:rsid w:val="00765C72"/>
    <w:rsid w:val="00765D00"/>
    <w:rsid w:val="00766050"/>
    <w:rsid w:val="0076641C"/>
    <w:rsid w:val="00766705"/>
    <w:rsid w:val="00766A09"/>
    <w:rsid w:val="0076702C"/>
    <w:rsid w:val="00767148"/>
    <w:rsid w:val="007671CD"/>
    <w:rsid w:val="00767827"/>
    <w:rsid w:val="00767BDF"/>
    <w:rsid w:val="00767DC3"/>
    <w:rsid w:val="00767F2B"/>
    <w:rsid w:val="00767F6C"/>
    <w:rsid w:val="00770740"/>
    <w:rsid w:val="00770A0A"/>
    <w:rsid w:val="00770AEB"/>
    <w:rsid w:val="00770AFA"/>
    <w:rsid w:val="00770C38"/>
    <w:rsid w:val="00770D89"/>
    <w:rsid w:val="007711FE"/>
    <w:rsid w:val="00771209"/>
    <w:rsid w:val="007716B4"/>
    <w:rsid w:val="00771866"/>
    <w:rsid w:val="00771C5B"/>
    <w:rsid w:val="00771C88"/>
    <w:rsid w:val="00771D96"/>
    <w:rsid w:val="00772458"/>
    <w:rsid w:val="0077266E"/>
    <w:rsid w:val="00772829"/>
    <w:rsid w:val="007729BF"/>
    <w:rsid w:val="00772A9F"/>
    <w:rsid w:val="0077307D"/>
    <w:rsid w:val="0077312C"/>
    <w:rsid w:val="007734A8"/>
    <w:rsid w:val="0077355D"/>
    <w:rsid w:val="007735BC"/>
    <w:rsid w:val="007739F7"/>
    <w:rsid w:val="00773CB9"/>
    <w:rsid w:val="00774474"/>
    <w:rsid w:val="007744D5"/>
    <w:rsid w:val="00774676"/>
    <w:rsid w:val="00774EB7"/>
    <w:rsid w:val="007753FF"/>
    <w:rsid w:val="0077567B"/>
    <w:rsid w:val="007760E8"/>
    <w:rsid w:val="00776234"/>
    <w:rsid w:val="00776270"/>
    <w:rsid w:val="00776290"/>
    <w:rsid w:val="007762BE"/>
    <w:rsid w:val="00776ABD"/>
    <w:rsid w:val="00776D20"/>
    <w:rsid w:val="007772A1"/>
    <w:rsid w:val="0077746E"/>
    <w:rsid w:val="0077762F"/>
    <w:rsid w:val="00777848"/>
    <w:rsid w:val="00777893"/>
    <w:rsid w:val="00777C11"/>
    <w:rsid w:val="00777E39"/>
    <w:rsid w:val="0078050A"/>
    <w:rsid w:val="00780675"/>
    <w:rsid w:val="00780CDF"/>
    <w:rsid w:val="00780EFA"/>
    <w:rsid w:val="00780F18"/>
    <w:rsid w:val="00781071"/>
    <w:rsid w:val="007812AA"/>
    <w:rsid w:val="007813C4"/>
    <w:rsid w:val="00781451"/>
    <w:rsid w:val="00781489"/>
    <w:rsid w:val="00781615"/>
    <w:rsid w:val="007816E2"/>
    <w:rsid w:val="00781796"/>
    <w:rsid w:val="007817CB"/>
    <w:rsid w:val="007818E1"/>
    <w:rsid w:val="0078199D"/>
    <w:rsid w:val="00781C3E"/>
    <w:rsid w:val="00781D11"/>
    <w:rsid w:val="00781D2B"/>
    <w:rsid w:val="00781D66"/>
    <w:rsid w:val="007822BE"/>
    <w:rsid w:val="007823EA"/>
    <w:rsid w:val="00782C3A"/>
    <w:rsid w:val="00782DD6"/>
    <w:rsid w:val="00782E2D"/>
    <w:rsid w:val="00782FE0"/>
    <w:rsid w:val="00783041"/>
    <w:rsid w:val="00783364"/>
    <w:rsid w:val="007834A2"/>
    <w:rsid w:val="00783A27"/>
    <w:rsid w:val="00783EB2"/>
    <w:rsid w:val="00784341"/>
    <w:rsid w:val="00784557"/>
    <w:rsid w:val="00784784"/>
    <w:rsid w:val="00784B60"/>
    <w:rsid w:val="00784D26"/>
    <w:rsid w:val="00784D90"/>
    <w:rsid w:val="00784D98"/>
    <w:rsid w:val="00784E8F"/>
    <w:rsid w:val="00785232"/>
    <w:rsid w:val="007852E9"/>
    <w:rsid w:val="007856EA"/>
    <w:rsid w:val="007857F9"/>
    <w:rsid w:val="00785B17"/>
    <w:rsid w:val="00785E0C"/>
    <w:rsid w:val="0078606A"/>
    <w:rsid w:val="00786822"/>
    <w:rsid w:val="0078689D"/>
    <w:rsid w:val="00786987"/>
    <w:rsid w:val="00786A1B"/>
    <w:rsid w:val="00786A1D"/>
    <w:rsid w:val="00786ABC"/>
    <w:rsid w:val="007872CC"/>
    <w:rsid w:val="00787348"/>
    <w:rsid w:val="00787571"/>
    <w:rsid w:val="007901B0"/>
    <w:rsid w:val="007904EB"/>
    <w:rsid w:val="00790686"/>
    <w:rsid w:val="00790B15"/>
    <w:rsid w:val="00790D33"/>
    <w:rsid w:val="00790D52"/>
    <w:rsid w:val="00790F49"/>
    <w:rsid w:val="007910CC"/>
    <w:rsid w:val="0079117F"/>
    <w:rsid w:val="007916D2"/>
    <w:rsid w:val="00791FD8"/>
    <w:rsid w:val="00792645"/>
    <w:rsid w:val="0079294D"/>
    <w:rsid w:val="007929E8"/>
    <w:rsid w:val="00792BA0"/>
    <w:rsid w:val="00792C2A"/>
    <w:rsid w:val="00792E4E"/>
    <w:rsid w:val="00792FB2"/>
    <w:rsid w:val="007931CB"/>
    <w:rsid w:val="0079375D"/>
    <w:rsid w:val="00793C91"/>
    <w:rsid w:val="00793DBE"/>
    <w:rsid w:val="00793DBF"/>
    <w:rsid w:val="007942F7"/>
    <w:rsid w:val="00794685"/>
    <w:rsid w:val="00794932"/>
    <w:rsid w:val="0079494B"/>
    <w:rsid w:val="007949B2"/>
    <w:rsid w:val="00794EA4"/>
    <w:rsid w:val="007951D4"/>
    <w:rsid w:val="00795338"/>
    <w:rsid w:val="0079548F"/>
    <w:rsid w:val="007958A1"/>
    <w:rsid w:val="00795CA1"/>
    <w:rsid w:val="00795F28"/>
    <w:rsid w:val="00796295"/>
    <w:rsid w:val="00796409"/>
    <w:rsid w:val="007966E2"/>
    <w:rsid w:val="007969C6"/>
    <w:rsid w:val="00796AFF"/>
    <w:rsid w:val="00796F95"/>
    <w:rsid w:val="0079781F"/>
    <w:rsid w:val="007978FD"/>
    <w:rsid w:val="00797C46"/>
    <w:rsid w:val="00797D2C"/>
    <w:rsid w:val="00797FA7"/>
    <w:rsid w:val="007A019C"/>
    <w:rsid w:val="007A099D"/>
    <w:rsid w:val="007A0CE7"/>
    <w:rsid w:val="007A12EF"/>
    <w:rsid w:val="007A136A"/>
    <w:rsid w:val="007A14DD"/>
    <w:rsid w:val="007A17B4"/>
    <w:rsid w:val="007A19A5"/>
    <w:rsid w:val="007A19F6"/>
    <w:rsid w:val="007A1A84"/>
    <w:rsid w:val="007A1BB5"/>
    <w:rsid w:val="007A2047"/>
    <w:rsid w:val="007A2362"/>
    <w:rsid w:val="007A2694"/>
    <w:rsid w:val="007A2733"/>
    <w:rsid w:val="007A2B65"/>
    <w:rsid w:val="007A2CF2"/>
    <w:rsid w:val="007A31FB"/>
    <w:rsid w:val="007A3499"/>
    <w:rsid w:val="007A388C"/>
    <w:rsid w:val="007A3C7F"/>
    <w:rsid w:val="007A3CC3"/>
    <w:rsid w:val="007A3F98"/>
    <w:rsid w:val="007A4277"/>
    <w:rsid w:val="007A4525"/>
    <w:rsid w:val="007A462C"/>
    <w:rsid w:val="007A4704"/>
    <w:rsid w:val="007A4739"/>
    <w:rsid w:val="007A47D3"/>
    <w:rsid w:val="007A488C"/>
    <w:rsid w:val="007A4989"/>
    <w:rsid w:val="007A4AFE"/>
    <w:rsid w:val="007A4C6E"/>
    <w:rsid w:val="007A4F16"/>
    <w:rsid w:val="007A4F91"/>
    <w:rsid w:val="007A5047"/>
    <w:rsid w:val="007A50DA"/>
    <w:rsid w:val="007A5242"/>
    <w:rsid w:val="007A52AF"/>
    <w:rsid w:val="007A5617"/>
    <w:rsid w:val="007A56C2"/>
    <w:rsid w:val="007A5D6C"/>
    <w:rsid w:val="007A6205"/>
    <w:rsid w:val="007A621C"/>
    <w:rsid w:val="007A6322"/>
    <w:rsid w:val="007A649D"/>
    <w:rsid w:val="007A660A"/>
    <w:rsid w:val="007A66BE"/>
    <w:rsid w:val="007A6DC4"/>
    <w:rsid w:val="007A6DDF"/>
    <w:rsid w:val="007A6ED2"/>
    <w:rsid w:val="007A7003"/>
    <w:rsid w:val="007A725B"/>
    <w:rsid w:val="007A751B"/>
    <w:rsid w:val="007A7B2E"/>
    <w:rsid w:val="007A7E52"/>
    <w:rsid w:val="007B0245"/>
    <w:rsid w:val="007B07A5"/>
    <w:rsid w:val="007B083F"/>
    <w:rsid w:val="007B0880"/>
    <w:rsid w:val="007B0C09"/>
    <w:rsid w:val="007B0C6F"/>
    <w:rsid w:val="007B0D01"/>
    <w:rsid w:val="007B0D35"/>
    <w:rsid w:val="007B0D74"/>
    <w:rsid w:val="007B0E2F"/>
    <w:rsid w:val="007B1588"/>
    <w:rsid w:val="007B1633"/>
    <w:rsid w:val="007B1968"/>
    <w:rsid w:val="007B1997"/>
    <w:rsid w:val="007B1CC6"/>
    <w:rsid w:val="007B1FB9"/>
    <w:rsid w:val="007B2085"/>
    <w:rsid w:val="007B23B2"/>
    <w:rsid w:val="007B29F0"/>
    <w:rsid w:val="007B2A32"/>
    <w:rsid w:val="007B2B32"/>
    <w:rsid w:val="007B2FDC"/>
    <w:rsid w:val="007B35B7"/>
    <w:rsid w:val="007B35F1"/>
    <w:rsid w:val="007B37AB"/>
    <w:rsid w:val="007B38A0"/>
    <w:rsid w:val="007B38B7"/>
    <w:rsid w:val="007B3A4E"/>
    <w:rsid w:val="007B3EB3"/>
    <w:rsid w:val="007B4398"/>
    <w:rsid w:val="007B45E1"/>
    <w:rsid w:val="007B4DD7"/>
    <w:rsid w:val="007B4F7B"/>
    <w:rsid w:val="007B54D1"/>
    <w:rsid w:val="007B5816"/>
    <w:rsid w:val="007B583D"/>
    <w:rsid w:val="007B5AEF"/>
    <w:rsid w:val="007B5BEE"/>
    <w:rsid w:val="007B60E9"/>
    <w:rsid w:val="007B6274"/>
    <w:rsid w:val="007B6344"/>
    <w:rsid w:val="007B6465"/>
    <w:rsid w:val="007B661F"/>
    <w:rsid w:val="007B6684"/>
    <w:rsid w:val="007B684F"/>
    <w:rsid w:val="007B6868"/>
    <w:rsid w:val="007B68AE"/>
    <w:rsid w:val="007B69B0"/>
    <w:rsid w:val="007B6AFC"/>
    <w:rsid w:val="007B6B21"/>
    <w:rsid w:val="007B6DAF"/>
    <w:rsid w:val="007B6E0C"/>
    <w:rsid w:val="007B7024"/>
    <w:rsid w:val="007B713A"/>
    <w:rsid w:val="007B7735"/>
    <w:rsid w:val="007B7DA1"/>
    <w:rsid w:val="007B7F72"/>
    <w:rsid w:val="007C016F"/>
    <w:rsid w:val="007C0390"/>
    <w:rsid w:val="007C0526"/>
    <w:rsid w:val="007C06C9"/>
    <w:rsid w:val="007C0A28"/>
    <w:rsid w:val="007C0C87"/>
    <w:rsid w:val="007C0CD3"/>
    <w:rsid w:val="007C0E05"/>
    <w:rsid w:val="007C10B6"/>
    <w:rsid w:val="007C14A2"/>
    <w:rsid w:val="007C16E1"/>
    <w:rsid w:val="007C1B98"/>
    <w:rsid w:val="007C1C65"/>
    <w:rsid w:val="007C1E00"/>
    <w:rsid w:val="007C20C2"/>
    <w:rsid w:val="007C27AC"/>
    <w:rsid w:val="007C27C3"/>
    <w:rsid w:val="007C2F07"/>
    <w:rsid w:val="007C2F30"/>
    <w:rsid w:val="007C2F7B"/>
    <w:rsid w:val="007C300E"/>
    <w:rsid w:val="007C328D"/>
    <w:rsid w:val="007C336F"/>
    <w:rsid w:val="007C3CFE"/>
    <w:rsid w:val="007C3F9D"/>
    <w:rsid w:val="007C41B1"/>
    <w:rsid w:val="007C42E1"/>
    <w:rsid w:val="007C4668"/>
    <w:rsid w:val="007C4FB9"/>
    <w:rsid w:val="007C5B7A"/>
    <w:rsid w:val="007C5C59"/>
    <w:rsid w:val="007C5DD1"/>
    <w:rsid w:val="007C604D"/>
    <w:rsid w:val="007C60E8"/>
    <w:rsid w:val="007C6506"/>
    <w:rsid w:val="007C6840"/>
    <w:rsid w:val="007C69D2"/>
    <w:rsid w:val="007C6BE8"/>
    <w:rsid w:val="007C7165"/>
    <w:rsid w:val="007C7428"/>
    <w:rsid w:val="007C755E"/>
    <w:rsid w:val="007C78A9"/>
    <w:rsid w:val="007D0310"/>
    <w:rsid w:val="007D03D9"/>
    <w:rsid w:val="007D078B"/>
    <w:rsid w:val="007D0812"/>
    <w:rsid w:val="007D08E5"/>
    <w:rsid w:val="007D10EF"/>
    <w:rsid w:val="007D112B"/>
    <w:rsid w:val="007D1311"/>
    <w:rsid w:val="007D142A"/>
    <w:rsid w:val="007D15A3"/>
    <w:rsid w:val="007D1784"/>
    <w:rsid w:val="007D1824"/>
    <w:rsid w:val="007D1B15"/>
    <w:rsid w:val="007D1C3F"/>
    <w:rsid w:val="007D1E5E"/>
    <w:rsid w:val="007D1ECF"/>
    <w:rsid w:val="007D2024"/>
    <w:rsid w:val="007D2096"/>
    <w:rsid w:val="007D2112"/>
    <w:rsid w:val="007D2290"/>
    <w:rsid w:val="007D283E"/>
    <w:rsid w:val="007D2CAE"/>
    <w:rsid w:val="007D2E2B"/>
    <w:rsid w:val="007D2F16"/>
    <w:rsid w:val="007D30B7"/>
    <w:rsid w:val="007D311E"/>
    <w:rsid w:val="007D31D4"/>
    <w:rsid w:val="007D3487"/>
    <w:rsid w:val="007D42A3"/>
    <w:rsid w:val="007D4479"/>
    <w:rsid w:val="007D4539"/>
    <w:rsid w:val="007D495D"/>
    <w:rsid w:val="007D4C8A"/>
    <w:rsid w:val="007D50C5"/>
    <w:rsid w:val="007D5476"/>
    <w:rsid w:val="007D54A9"/>
    <w:rsid w:val="007D54CD"/>
    <w:rsid w:val="007D5547"/>
    <w:rsid w:val="007D5822"/>
    <w:rsid w:val="007D58D6"/>
    <w:rsid w:val="007D5B02"/>
    <w:rsid w:val="007D5E45"/>
    <w:rsid w:val="007D6C39"/>
    <w:rsid w:val="007D6EC1"/>
    <w:rsid w:val="007D6ED9"/>
    <w:rsid w:val="007D7290"/>
    <w:rsid w:val="007D774E"/>
    <w:rsid w:val="007D7958"/>
    <w:rsid w:val="007D7D53"/>
    <w:rsid w:val="007DBDB5"/>
    <w:rsid w:val="007DFEDE"/>
    <w:rsid w:val="007E054F"/>
    <w:rsid w:val="007E0794"/>
    <w:rsid w:val="007E082B"/>
    <w:rsid w:val="007E095F"/>
    <w:rsid w:val="007E0A96"/>
    <w:rsid w:val="007E0C2A"/>
    <w:rsid w:val="007E0CD4"/>
    <w:rsid w:val="007E0DAA"/>
    <w:rsid w:val="007E10AE"/>
    <w:rsid w:val="007E14F8"/>
    <w:rsid w:val="007E15AD"/>
    <w:rsid w:val="007E16B7"/>
    <w:rsid w:val="007E18D7"/>
    <w:rsid w:val="007E1B19"/>
    <w:rsid w:val="007E1EAE"/>
    <w:rsid w:val="007E25ED"/>
    <w:rsid w:val="007E26CB"/>
    <w:rsid w:val="007E2768"/>
    <w:rsid w:val="007E27F9"/>
    <w:rsid w:val="007E2A3D"/>
    <w:rsid w:val="007E2BA5"/>
    <w:rsid w:val="007E2BC0"/>
    <w:rsid w:val="007E2D1E"/>
    <w:rsid w:val="007E309C"/>
    <w:rsid w:val="007E3468"/>
    <w:rsid w:val="007E3561"/>
    <w:rsid w:val="007E38CA"/>
    <w:rsid w:val="007E3AB5"/>
    <w:rsid w:val="007E3C17"/>
    <w:rsid w:val="007E3DE3"/>
    <w:rsid w:val="007E3FFB"/>
    <w:rsid w:val="007E4464"/>
    <w:rsid w:val="007E4588"/>
    <w:rsid w:val="007E468D"/>
    <w:rsid w:val="007E46BA"/>
    <w:rsid w:val="007E4951"/>
    <w:rsid w:val="007E49DE"/>
    <w:rsid w:val="007E4CF4"/>
    <w:rsid w:val="007E4E18"/>
    <w:rsid w:val="007E4E58"/>
    <w:rsid w:val="007E5135"/>
    <w:rsid w:val="007E5333"/>
    <w:rsid w:val="007E586D"/>
    <w:rsid w:val="007E58B3"/>
    <w:rsid w:val="007E5A68"/>
    <w:rsid w:val="007E601B"/>
    <w:rsid w:val="007E617D"/>
    <w:rsid w:val="007E646E"/>
    <w:rsid w:val="007E6667"/>
    <w:rsid w:val="007E68A7"/>
    <w:rsid w:val="007E6B27"/>
    <w:rsid w:val="007E6D18"/>
    <w:rsid w:val="007E703E"/>
    <w:rsid w:val="007E73E0"/>
    <w:rsid w:val="007E750D"/>
    <w:rsid w:val="007F023B"/>
    <w:rsid w:val="007F066D"/>
    <w:rsid w:val="007F09F0"/>
    <w:rsid w:val="007F0C2D"/>
    <w:rsid w:val="007F0C41"/>
    <w:rsid w:val="007F0CCE"/>
    <w:rsid w:val="007F0EA1"/>
    <w:rsid w:val="007F0F3D"/>
    <w:rsid w:val="007F14C4"/>
    <w:rsid w:val="007F1BF9"/>
    <w:rsid w:val="007F1E45"/>
    <w:rsid w:val="007F1F5B"/>
    <w:rsid w:val="007F211F"/>
    <w:rsid w:val="007F2495"/>
    <w:rsid w:val="007F2535"/>
    <w:rsid w:val="007F29CE"/>
    <w:rsid w:val="007F2A63"/>
    <w:rsid w:val="007F2D40"/>
    <w:rsid w:val="007F2E53"/>
    <w:rsid w:val="007F2EA2"/>
    <w:rsid w:val="007F2F07"/>
    <w:rsid w:val="007F2F2A"/>
    <w:rsid w:val="007F30EB"/>
    <w:rsid w:val="007F334A"/>
    <w:rsid w:val="007F344A"/>
    <w:rsid w:val="007F3808"/>
    <w:rsid w:val="007F3952"/>
    <w:rsid w:val="007F4068"/>
    <w:rsid w:val="007F43DC"/>
    <w:rsid w:val="007F452B"/>
    <w:rsid w:val="007F4567"/>
    <w:rsid w:val="007F4CB9"/>
    <w:rsid w:val="007F5276"/>
    <w:rsid w:val="007F551F"/>
    <w:rsid w:val="007F5A79"/>
    <w:rsid w:val="007F5FFE"/>
    <w:rsid w:val="007F6033"/>
    <w:rsid w:val="007F62E7"/>
    <w:rsid w:val="007F67E9"/>
    <w:rsid w:val="007F67FF"/>
    <w:rsid w:val="007F68C7"/>
    <w:rsid w:val="007F6940"/>
    <w:rsid w:val="007F69FF"/>
    <w:rsid w:val="007F6F8E"/>
    <w:rsid w:val="007F74FA"/>
    <w:rsid w:val="007F7C7B"/>
    <w:rsid w:val="008000F2"/>
    <w:rsid w:val="00800189"/>
    <w:rsid w:val="0080042F"/>
    <w:rsid w:val="00801103"/>
    <w:rsid w:val="008012D5"/>
    <w:rsid w:val="00801325"/>
    <w:rsid w:val="00801366"/>
    <w:rsid w:val="0080154D"/>
    <w:rsid w:val="00801E70"/>
    <w:rsid w:val="00801F9D"/>
    <w:rsid w:val="00802240"/>
    <w:rsid w:val="00802A17"/>
    <w:rsid w:val="00802A9C"/>
    <w:rsid w:val="00802F9B"/>
    <w:rsid w:val="008037B1"/>
    <w:rsid w:val="00803832"/>
    <w:rsid w:val="00803A26"/>
    <w:rsid w:val="00803B42"/>
    <w:rsid w:val="00803BC6"/>
    <w:rsid w:val="00803C9F"/>
    <w:rsid w:val="00803D5A"/>
    <w:rsid w:val="00803EEB"/>
    <w:rsid w:val="00803F23"/>
    <w:rsid w:val="008040A2"/>
    <w:rsid w:val="008042AC"/>
    <w:rsid w:val="00804602"/>
    <w:rsid w:val="00804632"/>
    <w:rsid w:val="00804A84"/>
    <w:rsid w:val="0080525E"/>
    <w:rsid w:val="008054D9"/>
    <w:rsid w:val="0080588D"/>
    <w:rsid w:val="0080591B"/>
    <w:rsid w:val="00805D1B"/>
    <w:rsid w:val="008063C2"/>
    <w:rsid w:val="00806402"/>
    <w:rsid w:val="00806658"/>
    <w:rsid w:val="00806688"/>
    <w:rsid w:val="008068DB"/>
    <w:rsid w:val="00806D3A"/>
    <w:rsid w:val="00806EB1"/>
    <w:rsid w:val="00807385"/>
    <w:rsid w:val="008073AC"/>
    <w:rsid w:val="0080793C"/>
    <w:rsid w:val="00807A2D"/>
    <w:rsid w:val="00807A3E"/>
    <w:rsid w:val="00807CF0"/>
    <w:rsid w:val="00807D31"/>
    <w:rsid w:val="00807E43"/>
    <w:rsid w:val="00810338"/>
    <w:rsid w:val="008104CB"/>
    <w:rsid w:val="00810514"/>
    <w:rsid w:val="00810693"/>
    <w:rsid w:val="00810703"/>
    <w:rsid w:val="008108BB"/>
    <w:rsid w:val="00810925"/>
    <w:rsid w:val="0081105A"/>
    <w:rsid w:val="008111D8"/>
    <w:rsid w:val="00811581"/>
    <w:rsid w:val="00811951"/>
    <w:rsid w:val="00811AEE"/>
    <w:rsid w:val="00811DAB"/>
    <w:rsid w:val="00811EFA"/>
    <w:rsid w:val="008120CA"/>
    <w:rsid w:val="00812282"/>
    <w:rsid w:val="00812486"/>
    <w:rsid w:val="00812696"/>
    <w:rsid w:val="00812D45"/>
    <w:rsid w:val="00812F31"/>
    <w:rsid w:val="00813A2E"/>
    <w:rsid w:val="00813A45"/>
    <w:rsid w:val="00814013"/>
    <w:rsid w:val="0081466E"/>
    <w:rsid w:val="008147AC"/>
    <w:rsid w:val="0081486A"/>
    <w:rsid w:val="008148E4"/>
    <w:rsid w:val="00815346"/>
    <w:rsid w:val="008157F1"/>
    <w:rsid w:val="0081589B"/>
    <w:rsid w:val="00815B02"/>
    <w:rsid w:val="00815C3C"/>
    <w:rsid w:val="00815D79"/>
    <w:rsid w:val="00815DAC"/>
    <w:rsid w:val="0081608B"/>
    <w:rsid w:val="008161ED"/>
    <w:rsid w:val="00816289"/>
    <w:rsid w:val="00816377"/>
    <w:rsid w:val="00816531"/>
    <w:rsid w:val="00816953"/>
    <w:rsid w:val="00816AE4"/>
    <w:rsid w:val="00816C54"/>
    <w:rsid w:val="00816C9D"/>
    <w:rsid w:val="00816EC2"/>
    <w:rsid w:val="00817619"/>
    <w:rsid w:val="008179AC"/>
    <w:rsid w:val="00817C53"/>
    <w:rsid w:val="00817D8A"/>
    <w:rsid w:val="008209E7"/>
    <w:rsid w:val="00820A6B"/>
    <w:rsid w:val="00820BCA"/>
    <w:rsid w:val="00820C93"/>
    <w:rsid w:val="00820EB8"/>
    <w:rsid w:val="00820FEB"/>
    <w:rsid w:val="0082169E"/>
    <w:rsid w:val="008216C4"/>
    <w:rsid w:val="00821770"/>
    <w:rsid w:val="00821C46"/>
    <w:rsid w:val="00821FFB"/>
    <w:rsid w:val="00822477"/>
    <w:rsid w:val="00822551"/>
    <w:rsid w:val="008227D1"/>
    <w:rsid w:val="008227ED"/>
    <w:rsid w:val="00822926"/>
    <w:rsid w:val="00822A20"/>
    <w:rsid w:val="0082324D"/>
    <w:rsid w:val="00823497"/>
    <w:rsid w:val="008234FF"/>
    <w:rsid w:val="008236E1"/>
    <w:rsid w:val="0082381C"/>
    <w:rsid w:val="00823B44"/>
    <w:rsid w:val="00823BA9"/>
    <w:rsid w:val="008240B2"/>
    <w:rsid w:val="008241FD"/>
    <w:rsid w:val="00824203"/>
    <w:rsid w:val="00824458"/>
    <w:rsid w:val="008247D9"/>
    <w:rsid w:val="008249F7"/>
    <w:rsid w:val="00824A1F"/>
    <w:rsid w:val="00824AA2"/>
    <w:rsid w:val="00824B74"/>
    <w:rsid w:val="00824F6B"/>
    <w:rsid w:val="00824FFC"/>
    <w:rsid w:val="008250F4"/>
    <w:rsid w:val="00825566"/>
    <w:rsid w:val="0082557B"/>
    <w:rsid w:val="00825F47"/>
    <w:rsid w:val="00826026"/>
    <w:rsid w:val="008260DC"/>
    <w:rsid w:val="008262AB"/>
    <w:rsid w:val="008263C2"/>
    <w:rsid w:val="0082658F"/>
    <w:rsid w:val="0082664C"/>
    <w:rsid w:val="00826B6B"/>
    <w:rsid w:val="00826BA5"/>
    <w:rsid w:val="00826D3B"/>
    <w:rsid w:val="00827027"/>
    <w:rsid w:val="00827470"/>
    <w:rsid w:val="008274AD"/>
    <w:rsid w:val="0082750C"/>
    <w:rsid w:val="00827609"/>
    <w:rsid w:val="00827663"/>
    <w:rsid w:val="0082768C"/>
    <w:rsid w:val="008276A8"/>
    <w:rsid w:val="00827812"/>
    <w:rsid w:val="008278CD"/>
    <w:rsid w:val="00827AF2"/>
    <w:rsid w:val="00827B88"/>
    <w:rsid w:val="00827B89"/>
    <w:rsid w:val="0083008E"/>
    <w:rsid w:val="00830143"/>
    <w:rsid w:val="00830521"/>
    <w:rsid w:val="0083080A"/>
    <w:rsid w:val="00830965"/>
    <w:rsid w:val="008309A4"/>
    <w:rsid w:val="00830AF0"/>
    <w:rsid w:val="00830D6B"/>
    <w:rsid w:val="00830F81"/>
    <w:rsid w:val="008311AF"/>
    <w:rsid w:val="0083124D"/>
    <w:rsid w:val="00831B2A"/>
    <w:rsid w:val="008321D2"/>
    <w:rsid w:val="00832976"/>
    <w:rsid w:val="00832CDE"/>
    <w:rsid w:val="00832DBC"/>
    <w:rsid w:val="00833226"/>
    <w:rsid w:val="00833250"/>
    <w:rsid w:val="00833263"/>
    <w:rsid w:val="008332C0"/>
    <w:rsid w:val="00833A43"/>
    <w:rsid w:val="0083497E"/>
    <w:rsid w:val="00834A5C"/>
    <w:rsid w:val="00834F26"/>
    <w:rsid w:val="0083523F"/>
    <w:rsid w:val="0083531A"/>
    <w:rsid w:val="008356C8"/>
    <w:rsid w:val="00835972"/>
    <w:rsid w:val="00835B3D"/>
    <w:rsid w:val="00835BED"/>
    <w:rsid w:val="00835BFD"/>
    <w:rsid w:val="00835C61"/>
    <w:rsid w:val="00835E49"/>
    <w:rsid w:val="00835EC9"/>
    <w:rsid w:val="00835FD4"/>
    <w:rsid w:val="00836625"/>
    <w:rsid w:val="00836FFC"/>
    <w:rsid w:val="0083716F"/>
    <w:rsid w:val="008377EC"/>
    <w:rsid w:val="0083797B"/>
    <w:rsid w:val="0083798D"/>
    <w:rsid w:val="00837A81"/>
    <w:rsid w:val="00837AE6"/>
    <w:rsid w:val="00837D71"/>
    <w:rsid w:val="008400A2"/>
    <w:rsid w:val="008403ED"/>
    <w:rsid w:val="008406A3"/>
    <w:rsid w:val="00840AB8"/>
    <w:rsid w:val="00840AC3"/>
    <w:rsid w:val="00840AEC"/>
    <w:rsid w:val="00840D4B"/>
    <w:rsid w:val="00840E9C"/>
    <w:rsid w:val="00841388"/>
    <w:rsid w:val="0084156F"/>
    <w:rsid w:val="008419F9"/>
    <w:rsid w:val="00841C42"/>
    <w:rsid w:val="00841D3A"/>
    <w:rsid w:val="00841D41"/>
    <w:rsid w:val="00841E34"/>
    <w:rsid w:val="00841EBD"/>
    <w:rsid w:val="00841EFB"/>
    <w:rsid w:val="00841F44"/>
    <w:rsid w:val="00842250"/>
    <w:rsid w:val="00842402"/>
    <w:rsid w:val="00842844"/>
    <w:rsid w:val="00842A27"/>
    <w:rsid w:val="00842C82"/>
    <w:rsid w:val="00842CB0"/>
    <w:rsid w:val="00842E53"/>
    <w:rsid w:val="008430FC"/>
    <w:rsid w:val="008433BA"/>
    <w:rsid w:val="008436D7"/>
    <w:rsid w:val="00843AC2"/>
    <w:rsid w:val="00843C0D"/>
    <w:rsid w:val="00843D87"/>
    <w:rsid w:val="00843DD1"/>
    <w:rsid w:val="008440FE"/>
    <w:rsid w:val="008447FD"/>
    <w:rsid w:val="00844922"/>
    <w:rsid w:val="00844A13"/>
    <w:rsid w:val="0084527A"/>
    <w:rsid w:val="00845350"/>
    <w:rsid w:val="008453F7"/>
    <w:rsid w:val="008455A0"/>
    <w:rsid w:val="0084565B"/>
    <w:rsid w:val="008458FA"/>
    <w:rsid w:val="00845ACE"/>
    <w:rsid w:val="00846095"/>
    <w:rsid w:val="00846119"/>
    <w:rsid w:val="008461AB"/>
    <w:rsid w:val="008462AF"/>
    <w:rsid w:val="00846343"/>
    <w:rsid w:val="00846A95"/>
    <w:rsid w:val="008474E3"/>
    <w:rsid w:val="00847770"/>
    <w:rsid w:val="008477AF"/>
    <w:rsid w:val="00847A31"/>
    <w:rsid w:val="00847B7C"/>
    <w:rsid w:val="00847B8C"/>
    <w:rsid w:val="00847BC1"/>
    <w:rsid w:val="00847CBD"/>
    <w:rsid w:val="008503C7"/>
    <w:rsid w:val="00850773"/>
    <w:rsid w:val="00850A6E"/>
    <w:rsid w:val="00851006"/>
    <w:rsid w:val="008516B3"/>
    <w:rsid w:val="008518B0"/>
    <w:rsid w:val="00851C74"/>
    <w:rsid w:val="00851D49"/>
    <w:rsid w:val="00852320"/>
    <w:rsid w:val="00852413"/>
    <w:rsid w:val="008526BA"/>
    <w:rsid w:val="008527ED"/>
    <w:rsid w:val="00852CDA"/>
    <w:rsid w:val="00853554"/>
    <w:rsid w:val="008537F7"/>
    <w:rsid w:val="00853D50"/>
    <w:rsid w:val="00854078"/>
    <w:rsid w:val="00854534"/>
    <w:rsid w:val="00854676"/>
    <w:rsid w:val="008546BE"/>
    <w:rsid w:val="00854884"/>
    <w:rsid w:val="00854CAC"/>
    <w:rsid w:val="00855033"/>
    <w:rsid w:val="0085533C"/>
    <w:rsid w:val="00855633"/>
    <w:rsid w:val="008558B9"/>
    <w:rsid w:val="00855916"/>
    <w:rsid w:val="00855E76"/>
    <w:rsid w:val="00856061"/>
    <w:rsid w:val="00856074"/>
    <w:rsid w:val="0085610B"/>
    <w:rsid w:val="00856213"/>
    <w:rsid w:val="00856332"/>
    <w:rsid w:val="00856420"/>
    <w:rsid w:val="0085662C"/>
    <w:rsid w:val="00856D1C"/>
    <w:rsid w:val="00856E86"/>
    <w:rsid w:val="00856FFC"/>
    <w:rsid w:val="008570DD"/>
    <w:rsid w:val="00857211"/>
    <w:rsid w:val="008576BF"/>
    <w:rsid w:val="00857949"/>
    <w:rsid w:val="00857B52"/>
    <w:rsid w:val="00857BF3"/>
    <w:rsid w:val="00857FF8"/>
    <w:rsid w:val="0086042F"/>
    <w:rsid w:val="0086067A"/>
    <w:rsid w:val="00860D8B"/>
    <w:rsid w:val="00860EF0"/>
    <w:rsid w:val="008610AD"/>
    <w:rsid w:val="00861379"/>
    <w:rsid w:val="00861DE9"/>
    <w:rsid w:val="00861E52"/>
    <w:rsid w:val="00861F60"/>
    <w:rsid w:val="008620D0"/>
    <w:rsid w:val="00862455"/>
    <w:rsid w:val="008625BD"/>
    <w:rsid w:val="008626AA"/>
    <w:rsid w:val="0086276F"/>
    <w:rsid w:val="00862832"/>
    <w:rsid w:val="00862DD2"/>
    <w:rsid w:val="0086331C"/>
    <w:rsid w:val="0086342D"/>
    <w:rsid w:val="00863A42"/>
    <w:rsid w:val="00864348"/>
    <w:rsid w:val="00864CA8"/>
    <w:rsid w:val="0086596F"/>
    <w:rsid w:val="00865DB3"/>
    <w:rsid w:val="00865E54"/>
    <w:rsid w:val="00865E90"/>
    <w:rsid w:val="00865FB6"/>
    <w:rsid w:val="00866337"/>
    <w:rsid w:val="008665DB"/>
    <w:rsid w:val="00866A17"/>
    <w:rsid w:val="00866B00"/>
    <w:rsid w:val="00866CEB"/>
    <w:rsid w:val="00866D19"/>
    <w:rsid w:val="008670DD"/>
    <w:rsid w:val="0086745D"/>
    <w:rsid w:val="00867785"/>
    <w:rsid w:val="00867FB0"/>
    <w:rsid w:val="00870366"/>
    <w:rsid w:val="0087044D"/>
    <w:rsid w:val="00870675"/>
    <w:rsid w:val="0087089D"/>
    <w:rsid w:val="008709FB"/>
    <w:rsid w:val="00871044"/>
    <w:rsid w:val="00871575"/>
    <w:rsid w:val="008718F0"/>
    <w:rsid w:val="008719C2"/>
    <w:rsid w:val="008719C9"/>
    <w:rsid w:val="00871D58"/>
    <w:rsid w:val="00871F7B"/>
    <w:rsid w:val="00872098"/>
    <w:rsid w:val="00872531"/>
    <w:rsid w:val="00872713"/>
    <w:rsid w:val="0087277A"/>
    <w:rsid w:val="008728A5"/>
    <w:rsid w:val="00872A47"/>
    <w:rsid w:val="00872D5A"/>
    <w:rsid w:val="00872F40"/>
    <w:rsid w:val="008732BE"/>
    <w:rsid w:val="0087363E"/>
    <w:rsid w:val="008736E2"/>
    <w:rsid w:val="00873764"/>
    <w:rsid w:val="00873B0A"/>
    <w:rsid w:val="00874337"/>
    <w:rsid w:val="00874509"/>
    <w:rsid w:val="00874565"/>
    <w:rsid w:val="008745F0"/>
    <w:rsid w:val="008746A4"/>
    <w:rsid w:val="00875034"/>
    <w:rsid w:val="008751D0"/>
    <w:rsid w:val="008755C0"/>
    <w:rsid w:val="00875831"/>
    <w:rsid w:val="00875B25"/>
    <w:rsid w:val="00876530"/>
    <w:rsid w:val="0087662B"/>
    <w:rsid w:val="00876664"/>
    <w:rsid w:val="0087676B"/>
    <w:rsid w:val="0087677D"/>
    <w:rsid w:val="008767CF"/>
    <w:rsid w:val="008769AF"/>
    <w:rsid w:val="00876AAC"/>
    <w:rsid w:val="00876C44"/>
    <w:rsid w:val="00876D60"/>
    <w:rsid w:val="00876EB8"/>
    <w:rsid w:val="00877247"/>
    <w:rsid w:val="00877DCB"/>
    <w:rsid w:val="00877FCC"/>
    <w:rsid w:val="008801AE"/>
    <w:rsid w:val="008803F2"/>
    <w:rsid w:val="00880AA3"/>
    <w:rsid w:val="00880ACC"/>
    <w:rsid w:val="00880CA0"/>
    <w:rsid w:val="00880FD4"/>
    <w:rsid w:val="0088125D"/>
    <w:rsid w:val="008814AA"/>
    <w:rsid w:val="00881AB3"/>
    <w:rsid w:val="00881AD8"/>
    <w:rsid w:val="00881B33"/>
    <w:rsid w:val="00881CD9"/>
    <w:rsid w:val="00881CFA"/>
    <w:rsid w:val="00882255"/>
    <w:rsid w:val="0088227D"/>
    <w:rsid w:val="008823B1"/>
    <w:rsid w:val="008824DB"/>
    <w:rsid w:val="00882527"/>
    <w:rsid w:val="0088276E"/>
    <w:rsid w:val="00882887"/>
    <w:rsid w:val="00882D71"/>
    <w:rsid w:val="0088351C"/>
    <w:rsid w:val="008836D7"/>
    <w:rsid w:val="00883DE0"/>
    <w:rsid w:val="00883F43"/>
    <w:rsid w:val="0088421C"/>
    <w:rsid w:val="0088445B"/>
    <w:rsid w:val="008848FF"/>
    <w:rsid w:val="00884D2B"/>
    <w:rsid w:val="00885200"/>
    <w:rsid w:val="0088522F"/>
    <w:rsid w:val="00885615"/>
    <w:rsid w:val="0088572A"/>
    <w:rsid w:val="008857AA"/>
    <w:rsid w:val="00885EF9"/>
    <w:rsid w:val="00885FD7"/>
    <w:rsid w:val="00886082"/>
    <w:rsid w:val="00886698"/>
    <w:rsid w:val="00886A1E"/>
    <w:rsid w:val="00886C5D"/>
    <w:rsid w:val="00886DD6"/>
    <w:rsid w:val="00886E94"/>
    <w:rsid w:val="008871CE"/>
    <w:rsid w:val="00887209"/>
    <w:rsid w:val="008872FB"/>
    <w:rsid w:val="00887378"/>
    <w:rsid w:val="00887562"/>
    <w:rsid w:val="00887CC7"/>
    <w:rsid w:val="00887CC9"/>
    <w:rsid w:val="008902F1"/>
    <w:rsid w:val="00890617"/>
    <w:rsid w:val="00890783"/>
    <w:rsid w:val="00890985"/>
    <w:rsid w:val="00891554"/>
    <w:rsid w:val="008915E7"/>
    <w:rsid w:val="00891AF6"/>
    <w:rsid w:val="00891BC3"/>
    <w:rsid w:val="00891F58"/>
    <w:rsid w:val="0089207C"/>
    <w:rsid w:val="008923C9"/>
    <w:rsid w:val="0089240A"/>
    <w:rsid w:val="00892582"/>
    <w:rsid w:val="00892612"/>
    <w:rsid w:val="00892665"/>
    <w:rsid w:val="00892899"/>
    <w:rsid w:val="00892A53"/>
    <w:rsid w:val="00892E08"/>
    <w:rsid w:val="00892F56"/>
    <w:rsid w:val="00892FF9"/>
    <w:rsid w:val="00893236"/>
    <w:rsid w:val="0089379F"/>
    <w:rsid w:val="008937C8"/>
    <w:rsid w:val="00893EA0"/>
    <w:rsid w:val="00894071"/>
    <w:rsid w:val="008946A9"/>
    <w:rsid w:val="00895105"/>
    <w:rsid w:val="008952B8"/>
    <w:rsid w:val="0089560D"/>
    <w:rsid w:val="008957BD"/>
    <w:rsid w:val="00895A0C"/>
    <w:rsid w:val="00895A2E"/>
    <w:rsid w:val="00896538"/>
    <w:rsid w:val="008965B6"/>
    <w:rsid w:val="008965DA"/>
    <w:rsid w:val="00896676"/>
    <w:rsid w:val="008967C4"/>
    <w:rsid w:val="00896A24"/>
    <w:rsid w:val="00896D81"/>
    <w:rsid w:val="00896D96"/>
    <w:rsid w:val="008976A3"/>
    <w:rsid w:val="00897B9F"/>
    <w:rsid w:val="00897E95"/>
    <w:rsid w:val="008A006D"/>
    <w:rsid w:val="008A01D1"/>
    <w:rsid w:val="008A0CB5"/>
    <w:rsid w:val="008A0CC6"/>
    <w:rsid w:val="008A0D2A"/>
    <w:rsid w:val="008A0F77"/>
    <w:rsid w:val="008A127C"/>
    <w:rsid w:val="008A1327"/>
    <w:rsid w:val="008A15D9"/>
    <w:rsid w:val="008A1693"/>
    <w:rsid w:val="008A1E61"/>
    <w:rsid w:val="008A20C0"/>
    <w:rsid w:val="008A2329"/>
    <w:rsid w:val="008A2451"/>
    <w:rsid w:val="008A254F"/>
    <w:rsid w:val="008A2630"/>
    <w:rsid w:val="008A2BE6"/>
    <w:rsid w:val="008A2D08"/>
    <w:rsid w:val="008A2D85"/>
    <w:rsid w:val="008A34AB"/>
    <w:rsid w:val="008A352B"/>
    <w:rsid w:val="008A3595"/>
    <w:rsid w:val="008A3A84"/>
    <w:rsid w:val="008A3DAB"/>
    <w:rsid w:val="008A439E"/>
    <w:rsid w:val="008A4576"/>
    <w:rsid w:val="008A4BA6"/>
    <w:rsid w:val="008A4C82"/>
    <w:rsid w:val="008A4E26"/>
    <w:rsid w:val="008A4E8E"/>
    <w:rsid w:val="008A4FFD"/>
    <w:rsid w:val="008A5218"/>
    <w:rsid w:val="008A525E"/>
    <w:rsid w:val="008A536D"/>
    <w:rsid w:val="008A5463"/>
    <w:rsid w:val="008A55A7"/>
    <w:rsid w:val="008A567B"/>
    <w:rsid w:val="008A5833"/>
    <w:rsid w:val="008A58AD"/>
    <w:rsid w:val="008A5978"/>
    <w:rsid w:val="008A6108"/>
    <w:rsid w:val="008A6200"/>
    <w:rsid w:val="008A62A4"/>
    <w:rsid w:val="008A651A"/>
    <w:rsid w:val="008A662D"/>
    <w:rsid w:val="008A6971"/>
    <w:rsid w:val="008A6A28"/>
    <w:rsid w:val="008A6FF9"/>
    <w:rsid w:val="008A7264"/>
    <w:rsid w:val="008A7AAE"/>
    <w:rsid w:val="008B0013"/>
    <w:rsid w:val="008B007E"/>
    <w:rsid w:val="008B05A5"/>
    <w:rsid w:val="008B0702"/>
    <w:rsid w:val="008B07D4"/>
    <w:rsid w:val="008B07EA"/>
    <w:rsid w:val="008B0802"/>
    <w:rsid w:val="008B08FF"/>
    <w:rsid w:val="008B0E10"/>
    <w:rsid w:val="008B0E44"/>
    <w:rsid w:val="008B0F33"/>
    <w:rsid w:val="008B0FA1"/>
    <w:rsid w:val="008B1318"/>
    <w:rsid w:val="008B1449"/>
    <w:rsid w:val="008B17A6"/>
    <w:rsid w:val="008B1AB2"/>
    <w:rsid w:val="008B1C34"/>
    <w:rsid w:val="008B2423"/>
    <w:rsid w:val="008B26C4"/>
    <w:rsid w:val="008B27FA"/>
    <w:rsid w:val="008B285F"/>
    <w:rsid w:val="008B33E9"/>
    <w:rsid w:val="008B35D1"/>
    <w:rsid w:val="008B38CC"/>
    <w:rsid w:val="008B3A88"/>
    <w:rsid w:val="008B3AF6"/>
    <w:rsid w:val="008B3B17"/>
    <w:rsid w:val="008B3B8C"/>
    <w:rsid w:val="008B3B9F"/>
    <w:rsid w:val="008B4048"/>
    <w:rsid w:val="008B449B"/>
    <w:rsid w:val="008B4BFC"/>
    <w:rsid w:val="008B4C8C"/>
    <w:rsid w:val="008B4CDB"/>
    <w:rsid w:val="008B4FF0"/>
    <w:rsid w:val="008B5199"/>
    <w:rsid w:val="008B51B4"/>
    <w:rsid w:val="008B52A4"/>
    <w:rsid w:val="008B55E2"/>
    <w:rsid w:val="008B5B67"/>
    <w:rsid w:val="008B5D7A"/>
    <w:rsid w:val="008B6119"/>
    <w:rsid w:val="008B66E3"/>
    <w:rsid w:val="008B678D"/>
    <w:rsid w:val="008B67A2"/>
    <w:rsid w:val="008B6A82"/>
    <w:rsid w:val="008B721F"/>
    <w:rsid w:val="008B7247"/>
    <w:rsid w:val="008B7766"/>
    <w:rsid w:val="008B7848"/>
    <w:rsid w:val="008B7924"/>
    <w:rsid w:val="008B7C47"/>
    <w:rsid w:val="008C02AA"/>
    <w:rsid w:val="008C0A86"/>
    <w:rsid w:val="008C0B96"/>
    <w:rsid w:val="008C0C52"/>
    <w:rsid w:val="008C1068"/>
    <w:rsid w:val="008C1285"/>
    <w:rsid w:val="008C1655"/>
    <w:rsid w:val="008C1708"/>
    <w:rsid w:val="008C1903"/>
    <w:rsid w:val="008C1936"/>
    <w:rsid w:val="008C1E05"/>
    <w:rsid w:val="008C1E41"/>
    <w:rsid w:val="008C22CB"/>
    <w:rsid w:val="008C23D7"/>
    <w:rsid w:val="008C25C7"/>
    <w:rsid w:val="008C2764"/>
    <w:rsid w:val="008C2C29"/>
    <w:rsid w:val="008C2D5A"/>
    <w:rsid w:val="008C2F66"/>
    <w:rsid w:val="008C339F"/>
    <w:rsid w:val="008C34BB"/>
    <w:rsid w:val="008C34F0"/>
    <w:rsid w:val="008C35F3"/>
    <w:rsid w:val="008C3711"/>
    <w:rsid w:val="008C3726"/>
    <w:rsid w:val="008C3CD3"/>
    <w:rsid w:val="008C3D4F"/>
    <w:rsid w:val="008C3D5E"/>
    <w:rsid w:val="008C3E80"/>
    <w:rsid w:val="008C4386"/>
    <w:rsid w:val="008C4555"/>
    <w:rsid w:val="008C45E2"/>
    <w:rsid w:val="008C48DD"/>
    <w:rsid w:val="008C4992"/>
    <w:rsid w:val="008C512F"/>
    <w:rsid w:val="008C52EF"/>
    <w:rsid w:val="008C5307"/>
    <w:rsid w:val="008C540D"/>
    <w:rsid w:val="008C5426"/>
    <w:rsid w:val="008C54CB"/>
    <w:rsid w:val="008C5503"/>
    <w:rsid w:val="008C5662"/>
    <w:rsid w:val="008C57FF"/>
    <w:rsid w:val="008C5F1F"/>
    <w:rsid w:val="008C5FB7"/>
    <w:rsid w:val="008C6950"/>
    <w:rsid w:val="008C69BA"/>
    <w:rsid w:val="008C6B1F"/>
    <w:rsid w:val="008C6DD1"/>
    <w:rsid w:val="008C6FA3"/>
    <w:rsid w:val="008C73E8"/>
    <w:rsid w:val="008C764E"/>
    <w:rsid w:val="008C7670"/>
    <w:rsid w:val="008C76FB"/>
    <w:rsid w:val="008C7C20"/>
    <w:rsid w:val="008C7C2F"/>
    <w:rsid w:val="008C7CEB"/>
    <w:rsid w:val="008C7EE8"/>
    <w:rsid w:val="008D00E4"/>
    <w:rsid w:val="008D028D"/>
    <w:rsid w:val="008D0421"/>
    <w:rsid w:val="008D059B"/>
    <w:rsid w:val="008D05B1"/>
    <w:rsid w:val="008D0964"/>
    <w:rsid w:val="008D0A49"/>
    <w:rsid w:val="008D0DC5"/>
    <w:rsid w:val="008D25CD"/>
    <w:rsid w:val="008D25E8"/>
    <w:rsid w:val="008D2769"/>
    <w:rsid w:val="008D2982"/>
    <w:rsid w:val="008D2CCE"/>
    <w:rsid w:val="008D2CF9"/>
    <w:rsid w:val="008D2F09"/>
    <w:rsid w:val="008D33FB"/>
    <w:rsid w:val="008D3726"/>
    <w:rsid w:val="008D3783"/>
    <w:rsid w:val="008D3FF3"/>
    <w:rsid w:val="008D46E2"/>
    <w:rsid w:val="008D4744"/>
    <w:rsid w:val="008D4876"/>
    <w:rsid w:val="008D48B7"/>
    <w:rsid w:val="008D4CA9"/>
    <w:rsid w:val="008D4CB0"/>
    <w:rsid w:val="008D4D20"/>
    <w:rsid w:val="008D4ED4"/>
    <w:rsid w:val="008D53C6"/>
    <w:rsid w:val="008D5481"/>
    <w:rsid w:val="008D553F"/>
    <w:rsid w:val="008D56E1"/>
    <w:rsid w:val="008D5C16"/>
    <w:rsid w:val="008D6397"/>
    <w:rsid w:val="008D67F9"/>
    <w:rsid w:val="008D6D12"/>
    <w:rsid w:val="008D6D36"/>
    <w:rsid w:val="008D6DF8"/>
    <w:rsid w:val="008D6EC2"/>
    <w:rsid w:val="008D73C9"/>
    <w:rsid w:val="008D7426"/>
    <w:rsid w:val="008D7635"/>
    <w:rsid w:val="008D76F6"/>
    <w:rsid w:val="008D7F21"/>
    <w:rsid w:val="008E0367"/>
    <w:rsid w:val="008E042B"/>
    <w:rsid w:val="008E0592"/>
    <w:rsid w:val="008E05EE"/>
    <w:rsid w:val="008E066A"/>
    <w:rsid w:val="008E0B43"/>
    <w:rsid w:val="008E0BB1"/>
    <w:rsid w:val="008E0CAD"/>
    <w:rsid w:val="008E0CCA"/>
    <w:rsid w:val="008E136D"/>
    <w:rsid w:val="008E1417"/>
    <w:rsid w:val="008E15CA"/>
    <w:rsid w:val="008E16BF"/>
    <w:rsid w:val="008E1B9C"/>
    <w:rsid w:val="008E1DA8"/>
    <w:rsid w:val="008E1F0D"/>
    <w:rsid w:val="008E20EC"/>
    <w:rsid w:val="008E2124"/>
    <w:rsid w:val="008E247C"/>
    <w:rsid w:val="008E2995"/>
    <w:rsid w:val="008E2C99"/>
    <w:rsid w:val="008E2DD4"/>
    <w:rsid w:val="008E2F92"/>
    <w:rsid w:val="008E3049"/>
    <w:rsid w:val="008E35A3"/>
    <w:rsid w:val="008E396E"/>
    <w:rsid w:val="008E3A3C"/>
    <w:rsid w:val="008E3CC2"/>
    <w:rsid w:val="008E41FB"/>
    <w:rsid w:val="008E4504"/>
    <w:rsid w:val="008E478D"/>
    <w:rsid w:val="008E4E16"/>
    <w:rsid w:val="008E51FB"/>
    <w:rsid w:val="008E520C"/>
    <w:rsid w:val="008E5601"/>
    <w:rsid w:val="008E56A3"/>
    <w:rsid w:val="008E5A43"/>
    <w:rsid w:val="008E6403"/>
    <w:rsid w:val="008E645D"/>
    <w:rsid w:val="008E6976"/>
    <w:rsid w:val="008E6FB2"/>
    <w:rsid w:val="008E7274"/>
    <w:rsid w:val="008F00F4"/>
    <w:rsid w:val="008F0540"/>
    <w:rsid w:val="008F0562"/>
    <w:rsid w:val="008F0AAA"/>
    <w:rsid w:val="008F0D5A"/>
    <w:rsid w:val="008F1021"/>
    <w:rsid w:val="008F121E"/>
    <w:rsid w:val="008F17E2"/>
    <w:rsid w:val="008F19FB"/>
    <w:rsid w:val="008F1DB2"/>
    <w:rsid w:val="008F21A2"/>
    <w:rsid w:val="008F23E2"/>
    <w:rsid w:val="008F260B"/>
    <w:rsid w:val="008F291A"/>
    <w:rsid w:val="008F2B0D"/>
    <w:rsid w:val="008F2BCA"/>
    <w:rsid w:val="008F2BE8"/>
    <w:rsid w:val="008F2C78"/>
    <w:rsid w:val="008F2CEC"/>
    <w:rsid w:val="008F2D89"/>
    <w:rsid w:val="008F314D"/>
    <w:rsid w:val="008F325B"/>
    <w:rsid w:val="008F366E"/>
    <w:rsid w:val="008F3730"/>
    <w:rsid w:val="008F3C23"/>
    <w:rsid w:val="008F3F11"/>
    <w:rsid w:val="008F408C"/>
    <w:rsid w:val="008F41A3"/>
    <w:rsid w:val="008F4523"/>
    <w:rsid w:val="008F45AE"/>
    <w:rsid w:val="008F4C70"/>
    <w:rsid w:val="008F4F6D"/>
    <w:rsid w:val="008F50D6"/>
    <w:rsid w:val="008F517B"/>
    <w:rsid w:val="008F5226"/>
    <w:rsid w:val="008F532F"/>
    <w:rsid w:val="008F5FB9"/>
    <w:rsid w:val="008F686A"/>
    <w:rsid w:val="008F6C60"/>
    <w:rsid w:val="008F6FE0"/>
    <w:rsid w:val="008F71E9"/>
    <w:rsid w:val="008F74AE"/>
    <w:rsid w:val="008F7733"/>
    <w:rsid w:val="008F7D82"/>
    <w:rsid w:val="008F7D94"/>
    <w:rsid w:val="0090018A"/>
    <w:rsid w:val="0090047E"/>
    <w:rsid w:val="0090074C"/>
    <w:rsid w:val="00900B5B"/>
    <w:rsid w:val="00900B64"/>
    <w:rsid w:val="00901059"/>
    <w:rsid w:val="00901263"/>
    <w:rsid w:val="009013B3"/>
    <w:rsid w:val="009013E4"/>
    <w:rsid w:val="009015EC"/>
    <w:rsid w:val="00901702"/>
    <w:rsid w:val="00901721"/>
    <w:rsid w:val="0090183B"/>
    <w:rsid w:val="00901D2F"/>
    <w:rsid w:val="00901FBA"/>
    <w:rsid w:val="0090202F"/>
    <w:rsid w:val="00902454"/>
    <w:rsid w:val="0090282E"/>
    <w:rsid w:val="009028D5"/>
    <w:rsid w:val="009028E4"/>
    <w:rsid w:val="00902954"/>
    <w:rsid w:val="00902B16"/>
    <w:rsid w:val="00902B2B"/>
    <w:rsid w:val="00902BF6"/>
    <w:rsid w:val="00902D16"/>
    <w:rsid w:val="00902D64"/>
    <w:rsid w:val="00902E41"/>
    <w:rsid w:val="00903300"/>
    <w:rsid w:val="0090372A"/>
    <w:rsid w:val="009038CD"/>
    <w:rsid w:val="00903916"/>
    <w:rsid w:val="009039CA"/>
    <w:rsid w:val="00903F5F"/>
    <w:rsid w:val="009041C1"/>
    <w:rsid w:val="009043D7"/>
    <w:rsid w:val="009045FA"/>
    <w:rsid w:val="009047D4"/>
    <w:rsid w:val="00904953"/>
    <w:rsid w:val="00904BF7"/>
    <w:rsid w:val="00904F1A"/>
    <w:rsid w:val="00904FEE"/>
    <w:rsid w:val="009057C3"/>
    <w:rsid w:val="00905974"/>
    <w:rsid w:val="00905A83"/>
    <w:rsid w:val="00905D1A"/>
    <w:rsid w:val="00905E0C"/>
    <w:rsid w:val="0090606F"/>
    <w:rsid w:val="009062A5"/>
    <w:rsid w:val="009064EB"/>
    <w:rsid w:val="00906821"/>
    <w:rsid w:val="00906880"/>
    <w:rsid w:val="009069D1"/>
    <w:rsid w:val="00906E2A"/>
    <w:rsid w:val="00906E3F"/>
    <w:rsid w:val="00906E65"/>
    <w:rsid w:val="00907237"/>
    <w:rsid w:val="00907256"/>
    <w:rsid w:val="00907407"/>
    <w:rsid w:val="00907B07"/>
    <w:rsid w:val="00907D98"/>
    <w:rsid w:val="00907DE2"/>
    <w:rsid w:val="009105B9"/>
    <w:rsid w:val="0091071E"/>
    <w:rsid w:val="00910870"/>
    <w:rsid w:val="009108C3"/>
    <w:rsid w:val="009109CA"/>
    <w:rsid w:val="00910DB1"/>
    <w:rsid w:val="009115A8"/>
    <w:rsid w:val="009119F0"/>
    <w:rsid w:val="00911C6B"/>
    <w:rsid w:val="00911DE6"/>
    <w:rsid w:val="00911E7A"/>
    <w:rsid w:val="0091238D"/>
    <w:rsid w:val="00912B2C"/>
    <w:rsid w:val="00912B9E"/>
    <w:rsid w:val="00913557"/>
    <w:rsid w:val="0091382C"/>
    <w:rsid w:val="0091397B"/>
    <w:rsid w:val="00913AC7"/>
    <w:rsid w:val="00913EDF"/>
    <w:rsid w:val="00914250"/>
    <w:rsid w:val="009144D5"/>
    <w:rsid w:val="00914534"/>
    <w:rsid w:val="0091463F"/>
    <w:rsid w:val="009147A7"/>
    <w:rsid w:val="0091497C"/>
    <w:rsid w:val="00914A79"/>
    <w:rsid w:val="00914BE1"/>
    <w:rsid w:val="00915272"/>
    <w:rsid w:val="009152C6"/>
    <w:rsid w:val="009158DA"/>
    <w:rsid w:val="00915923"/>
    <w:rsid w:val="0091597C"/>
    <w:rsid w:val="00915D7A"/>
    <w:rsid w:val="00915E76"/>
    <w:rsid w:val="00915F98"/>
    <w:rsid w:val="00915FA3"/>
    <w:rsid w:val="00916036"/>
    <w:rsid w:val="009160FE"/>
    <w:rsid w:val="00916115"/>
    <w:rsid w:val="00916324"/>
    <w:rsid w:val="00916A26"/>
    <w:rsid w:val="0091771A"/>
    <w:rsid w:val="009178D6"/>
    <w:rsid w:val="00917DD5"/>
    <w:rsid w:val="00920047"/>
    <w:rsid w:val="00920543"/>
    <w:rsid w:val="00920AF6"/>
    <w:rsid w:val="00920B60"/>
    <w:rsid w:val="00921136"/>
    <w:rsid w:val="009211F6"/>
    <w:rsid w:val="0092130B"/>
    <w:rsid w:val="009217F8"/>
    <w:rsid w:val="00921E15"/>
    <w:rsid w:val="00921F2F"/>
    <w:rsid w:val="00922167"/>
    <w:rsid w:val="0092283D"/>
    <w:rsid w:val="00922E66"/>
    <w:rsid w:val="00922F00"/>
    <w:rsid w:val="00922F06"/>
    <w:rsid w:val="0092381C"/>
    <w:rsid w:val="00923EE5"/>
    <w:rsid w:val="0092441C"/>
    <w:rsid w:val="0092453E"/>
    <w:rsid w:val="0092470E"/>
    <w:rsid w:val="00924AEF"/>
    <w:rsid w:val="00924C62"/>
    <w:rsid w:val="00924F55"/>
    <w:rsid w:val="009250A9"/>
    <w:rsid w:val="00925187"/>
    <w:rsid w:val="00925357"/>
    <w:rsid w:val="00925883"/>
    <w:rsid w:val="00926814"/>
    <w:rsid w:val="00926926"/>
    <w:rsid w:val="009269B3"/>
    <w:rsid w:val="00926B53"/>
    <w:rsid w:val="00926C6D"/>
    <w:rsid w:val="00926D3F"/>
    <w:rsid w:val="00926E03"/>
    <w:rsid w:val="0092709C"/>
    <w:rsid w:val="0092717F"/>
    <w:rsid w:val="00927744"/>
    <w:rsid w:val="00927AAA"/>
    <w:rsid w:val="00927B05"/>
    <w:rsid w:val="00927B0E"/>
    <w:rsid w:val="00930181"/>
    <w:rsid w:val="00930262"/>
    <w:rsid w:val="00930918"/>
    <w:rsid w:val="00930F4E"/>
    <w:rsid w:val="0093113B"/>
    <w:rsid w:val="0093145A"/>
    <w:rsid w:val="00931917"/>
    <w:rsid w:val="00931B54"/>
    <w:rsid w:val="00931BDF"/>
    <w:rsid w:val="00931C20"/>
    <w:rsid w:val="00931C4E"/>
    <w:rsid w:val="00931DFC"/>
    <w:rsid w:val="00931EDC"/>
    <w:rsid w:val="0093250D"/>
    <w:rsid w:val="00932520"/>
    <w:rsid w:val="00932B89"/>
    <w:rsid w:val="00932CB8"/>
    <w:rsid w:val="00932DFE"/>
    <w:rsid w:val="009331C3"/>
    <w:rsid w:val="009333D5"/>
    <w:rsid w:val="00933435"/>
    <w:rsid w:val="0093345A"/>
    <w:rsid w:val="00933814"/>
    <w:rsid w:val="00933E2A"/>
    <w:rsid w:val="0093453F"/>
    <w:rsid w:val="00934578"/>
    <w:rsid w:val="00934661"/>
    <w:rsid w:val="00934835"/>
    <w:rsid w:val="00934C99"/>
    <w:rsid w:val="00934DA2"/>
    <w:rsid w:val="00934DF6"/>
    <w:rsid w:val="0093514D"/>
    <w:rsid w:val="009353C4"/>
    <w:rsid w:val="00935432"/>
    <w:rsid w:val="0093555A"/>
    <w:rsid w:val="009356A5"/>
    <w:rsid w:val="00935726"/>
    <w:rsid w:val="00935BCE"/>
    <w:rsid w:val="00936062"/>
    <w:rsid w:val="009363AC"/>
    <w:rsid w:val="009364A8"/>
    <w:rsid w:val="009365A7"/>
    <w:rsid w:val="00936742"/>
    <w:rsid w:val="009369DC"/>
    <w:rsid w:val="00936C26"/>
    <w:rsid w:val="009376D9"/>
    <w:rsid w:val="00937CBE"/>
    <w:rsid w:val="00940191"/>
    <w:rsid w:val="009403C7"/>
    <w:rsid w:val="0094056C"/>
    <w:rsid w:val="00940952"/>
    <w:rsid w:val="00940B51"/>
    <w:rsid w:val="00940E3C"/>
    <w:rsid w:val="00941237"/>
    <w:rsid w:val="009415D8"/>
    <w:rsid w:val="00941A87"/>
    <w:rsid w:val="00941EA1"/>
    <w:rsid w:val="009425C6"/>
    <w:rsid w:val="009427A1"/>
    <w:rsid w:val="0094283D"/>
    <w:rsid w:val="00942945"/>
    <w:rsid w:val="00942B9A"/>
    <w:rsid w:val="00942C92"/>
    <w:rsid w:val="00942FD8"/>
    <w:rsid w:val="0094309B"/>
    <w:rsid w:val="00943784"/>
    <w:rsid w:val="00943D3B"/>
    <w:rsid w:val="00943DB7"/>
    <w:rsid w:val="00943E01"/>
    <w:rsid w:val="0094407A"/>
    <w:rsid w:val="00944087"/>
    <w:rsid w:val="00944335"/>
    <w:rsid w:val="0094452F"/>
    <w:rsid w:val="00944708"/>
    <w:rsid w:val="0094471C"/>
    <w:rsid w:val="009447DE"/>
    <w:rsid w:val="0094488B"/>
    <w:rsid w:val="00944C74"/>
    <w:rsid w:val="00944E74"/>
    <w:rsid w:val="00945234"/>
    <w:rsid w:val="009456B5"/>
    <w:rsid w:val="00945D1F"/>
    <w:rsid w:val="00945FE6"/>
    <w:rsid w:val="00945FF4"/>
    <w:rsid w:val="009461E0"/>
    <w:rsid w:val="0094670E"/>
    <w:rsid w:val="009467A1"/>
    <w:rsid w:val="009468F8"/>
    <w:rsid w:val="00946961"/>
    <w:rsid w:val="00946C94"/>
    <w:rsid w:val="00946DA2"/>
    <w:rsid w:val="00946F39"/>
    <w:rsid w:val="00946F7C"/>
    <w:rsid w:val="00947063"/>
    <w:rsid w:val="00947084"/>
    <w:rsid w:val="009474A3"/>
    <w:rsid w:val="0094783F"/>
    <w:rsid w:val="0094786A"/>
    <w:rsid w:val="0094786C"/>
    <w:rsid w:val="00947CFE"/>
    <w:rsid w:val="00947E5E"/>
    <w:rsid w:val="00947F05"/>
    <w:rsid w:val="0095012E"/>
    <w:rsid w:val="009502A1"/>
    <w:rsid w:val="00950359"/>
    <w:rsid w:val="0095049A"/>
    <w:rsid w:val="00950639"/>
    <w:rsid w:val="00950E28"/>
    <w:rsid w:val="00950E2E"/>
    <w:rsid w:val="00950E7A"/>
    <w:rsid w:val="0095116C"/>
    <w:rsid w:val="00951300"/>
    <w:rsid w:val="00951772"/>
    <w:rsid w:val="009517DF"/>
    <w:rsid w:val="0095184C"/>
    <w:rsid w:val="0095186D"/>
    <w:rsid w:val="00951934"/>
    <w:rsid w:val="0095207B"/>
    <w:rsid w:val="009521A5"/>
    <w:rsid w:val="009524B8"/>
    <w:rsid w:val="00952D86"/>
    <w:rsid w:val="00953064"/>
    <w:rsid w:val="00953136"/>
    <w:rsid w:val="009535FD"/>
    <w:rsid w:val="009536F8"/>
    <w:rsid w:val="009537B3"/>
    <w:rsid w:val="009538D7"/>
    <w:rsid w:val="00953B3D"/>
    <w:rsid w:val="00953CDC"/>
    <w:rsid w:val="009541A8"/>
    <w:rsid w:val="009544EF"/>
    <w:rsid w:val="009545D5"/>
    <w:rsid w:val="009547C7"/>
    <w:rsid w:val="00954C8C"/>
    <w:rsid w:val="00954F55"/>
    <w:rsid w:val="0095533E"/>
    <w:rsid w:val="0095559B"/>
    <w:rsid w:val="0095566A"/>
    <w:rsid w:val="009556BA"/>
    <w:rsid w:val="009557A2"/>
    <w:rsid w:val="00955E4E"/>
    <w:rsid w:val="009567CC"/>
    <w:rsid w:val="00956A95"/>
    <w:rsid w:val="00956ACE"/>
    <w:rsid w:val="009572A0"/>
    <w:rsid w:val="0095748A"/>
    <w:rsid w:val="009574C8"/>
    <w:rsid w:val="009576DF"/>
    <w:rsid w:val="00957835"/>
    <w:rsid w:val="0095799B"/>
    <w:rsid w:val="00957A20"/>
    <w:rsid w:val="00957D24"/>
    <w:rsid w:val="00957F81"/>
    <w:rsid w:val="00960BAF"/>
    <w:rsid w:val="00960DCF"/>
    <w:rsid w:val="009614F1"/>
    <w:rsid w:val="0096168A"/>
    <w:rsid w:val="009617A2"/>
    <w:rsid w:val="00961803"/>
    <w:rsid w:val="00961B53"/>
    <w:rsid w:val="00961E4B"/>
    <w:rsid w:val="00961EF0"/>
    <w:rsid w:val="00962A59"/>
    <w:rsid w:val="00962C20"/>
    <w:rsid w:val="00963264"/>
    <w:rsid w:val="009636FD"/>
    <w:rsid w:val="0096389D"/>
    <w:rsid w:val="00963983"/>
    <w:rsid w:val="00963DDD"/>
    <w:rsid w:val="00963EA0"/>
    <w:rsid w:val="0096401A"/>
    <w:rsid w:val="009640CF"/>
    <w:rsid w:val="0096411C"/>
    <w:rsid w:val="00964366"/>
    <w:rsid w:val="00964468"/>
    <w:rsid w:val="00964502"/>
    <w:rsid w:val="009649D6"/>
    <w:rsid w:val="00964AC1"/>
    <w:rsid w:val="00964BF9"/>
    <w:rsid w:val="0096555B"/>
    <w:rsid w:val="009657BF"/>
    <w:rsid w:val="00965AC5"/>
    <w:rsid w:val="00965EFF"/>
    <w:rsid w:val="00966009"/>
    <w:rsid w:val="00966994"/>
    <w:rsid w:val="00966B17"/>
    <w:rsid w:val="00966DD8"/>
    <w:rsid w:val="0096714D"/>
    <w:rsid w:val="00967349"/>
    <w:rsid w:val="0096737B"/>
    <w:rsid w:val="00967390"/>
    <w:rsid w:val="0096744E"/>
    <w:rsid w:val="009676C0"/>
    <w:rsid w:val="00967A7A"/>
    <w:rsid w:val="00967BC7"/>
    <w:rsid w:val="00967C9A"/>
    <w:rsid w:val="00967D90"/>
    <w:rsid w:val="00967E19"/>
    <w:rsid w:val="00967FB8"/>
    <w:rsid w:val="00970246"/>
    <w:rsid w:val="009706D0"/>
    <w:rsid w:val="009709FB"/>
    <w:rsid w:val="00970A89"/>
    <w:rsid w:val="00970B09"/>
    <w:rsid w:val="00970B60"/>
    <w:rsid w:val="00971459"/>
    <w:rsid w:val="00971AFD"/>
    <w:rsid w:val="00971C85"/>
    <w:rsid w:val="00971D71"/>
    <w:rsid w:val="00971DBF"/>
    <w:rsid w:val="00972171"/>
    <w:rsid w:val="009728E1"/>
    <w:rsid w:val="00972951"/>
    <w:rsid w:val="00972AFF"/>
    <w:rsid w:val="00972C5C"/>
    <w:rsid w:val="00972E25"/>
    <w:rsid w:val="009732BC"/>
    <w:rsid w:val="0097387A"/>
    <w:rsid w:val="00973BCB"/>
    <w:rsid w:val="00973CE6"/>
    <w:rsid w:val="00973E97"/>
    <w:rsid w:val="00974034"/>
    <w:rsid w:val="009744E0"/>
    <w:rsid w:val="009745D6"/>
    <w:rsid w:val="0097469E"/>
    <w:rsid w:val="00974777"/>
    <w:rsid w:val="009748CC"/>
    <w:rsid w:val="00974DBD"/>
    <w:rsid w:val="00975075"/>
    <w:rsid w:val="0097523C"/>
    <w:rsid w:val="0097531A"/>
    <w:rsid w:val="0097541E"/>
    <w:rsid w:val="00975B5D"/>
    <w:rsid w:val="00975C83"/>
    <w:rsid w:val="00975FAA"/>
    <w:rsid w:val="00976248"/>
    <w:rsid w:val="00976257"/>
    <w:rsid w:val="009766D1"/>
    <w:rsid w:val="00976EFA"/>
    <w:rsid w:val="009772B6"/>
    <w:rsid w:val="009773A8"/>
    <w:rsid w:val="0097741E"/>
    <w:rsid w:val="009777CD"/>
    <w:rsid w:val="009777E2"/>
    <w:rsid w:val="00977C42"/>
    <w:rsid w:val="00977C88"/>
    <w:rsid w:val="009801A7"/>
    <w:rsid w:val="009803A9"/>
    <w:rsid w:val="009803CB"/>
    <w:rsid w:val="009803D4"/>
    <w:rsid w:val="009803F9"/>
    <w:rsid w:val="009805CF"/>
    <w:rsid w:val="00980776"/>
    <w:rsid w:val="009807A2"/>
    <w:rsid w:val="00980A4A"/>
    <w:rsid w:val="00980CAB"/>
    <w:rsid w:val="00980D82"/>
    <w:rsid w:val="00980DB7"/>
    <w:rsid w:val="00980E41"/>
    <w:rsid w:val="00980EC1"/>
    <w:rsid w:val="00980F82"/>
    <w:rsid w:val="00980F8B"/>
    <w:rsid w:val="009810EC"/>
    <w:rsid w:val="00981443"/>
    <w:rsid w:val="0098199C"/>
    <w:rsid w:val="00981EF0"/>
    <w:rsid w:val="0098294E"/>
    <w:rsid w:val="00982A82"/>
    <w:rsid w:val="00983263"/>
    <w:rsid w:val="00983273"/>
    <w:rsid w:val="009833BA"/>
    <w:rsid w:val="00983513"/>
    <w:rsid w:val="00983744"/>
    <w:rsid w:val="00983797"/>
    <w:rsid w:val="00983A2C"/>
    <w:rsid w:val="0098432C"/>
    <w:rsid w:val="00984429"/>
    <w:rsid w:val="00984622"/>
    <w:rsid w:val="00984961"/>
    <w:rsid w:val="00984D89"/>
    <w:rsid w:val="00985167"/>
    <w:rsid w:val="00985DF6"/>
    <w:rsid w:val="00985E12"/>
    <w:rsid w:val="0098602F"/>
    <w:rsid w:val="0098613F"/>
    <w:rsid w:val="0098625B"/>
    <w:rsid w:val="00986504"/>
    <w:rsid w:val="009868E2"/>
    <w:rsid w:val="00986CB5"/>
    <w:rsid w:val="009873F3"/>
    <w:rsid w:val="0098750D"/>
    <w:rsid w:val="00987554"/>
    <w:rsid w:val="0098758F"/>
    <w:rsid w:val="00987A0C"/>
    <w:rsid w:val="0099027D"/>
    <w:rsid w:val="009902F9"/>
    <w:rsid w:val="0099038E"/>
    <w:rsid w:val="009907A1"/>
    <w:rsid w:val="00990A09"/>
    <w:rsid w:val="00990C3E"/>
    <w:rsid w:val="00990D04"/>
    <w:rsid w:val="00990FDB"/>
    <w:rsid w:val="0099104E"/>
    <w:rsid w:val="0099113A"/>
    <w:rsid w:val="009918D1"/>
    <w:rsid w:val="00991DE8"/>
    <w:rsid w:val="009925F2"/>
    <w:rsid w:val="00992620"/>
    <w:rsid w:val="009929F7"/>
    <w:rsid w:val="00992CD3"/>
    <w:rsid w:val="00992E4B"/>
    <w:rsid w:val="00992FC1"/>
    <w:rsid w:val="009933CF"/>
    <w:rsid w:val="00993518"/>
    <w:rsid w:val="009935FD"/>
    <w:rsid w:val="00993BA0"/>
    <w:rsid w:val="00993BB6"/>
    <w:rsid w:val="00993E30"/>
    <w:rsid w:val="00993F02"/>
    <w:rsid w:val="00993F76"/>
    <w:rsid w:val="009941D6"/>
    <w:rsid w:val="00994427"/>
    <w:rsid w:val="00994B25"/>
    <w:rsid w:val="00994BF9"/>
    <w:rsid w:val="00994E71"/>
    <w:rsid w:val="00995001"/>
    <w:rsid w:val="0099506C"/>
    <w:rsid w:val="009953E0"/>
    <w:rsid w:val="00995575"/>
    <w:rsid w:val="0099564C"/>
    <w:rsid w:val="009956D1"/>
    <w:rsid w:val="009959D2"/>
    <w:rsid w:val="00995A84"/>
    <w:rsid w:val="00995E98"/>
    <w:rsid w:val="0099611B"/>
    <w:rsid w:val="00996485"/>
    <w:rsid w:val="00996A7F"/>
    <w:rsid w:val="00996CD6"/>
    <w:rsid w:val="00996F15"/>
    <w:rsid w:val="00996FFE"/>
    <w:rsid w:val="00997589"/>
    <w:rsid w:val="009979CA"/>
    <w:rsid w:val="00997BA8"/>
    <w:rsid w:val="009A02E5"/>
    <w:rsid w:val="009A03C5"/>
    <w:rsid w:val="009A06F4"/>
    <w:rsid w:val="009A07AE"/>
    <w:rsid w:val="009A0BE6"/>
    <w:rsid w:val="009A0D3C"/>
    <w:rsid w:val="009A0E81"/>
    <w:rsid w:val="009A121A"/>
    <w:rsid w:val="009A1325"/>
    <w:rsid w:val="009A1350"/>
    <w:rsid w:val="009A13E3"/>
    <w:rsid w:val="009A1B8F"/>
    <w:rsid w:val="009A1DD5"/>
    <w:rsid w:val="009A209C"/>
    <w:rsid w:val="009A2106"/>
    <w:rsid w:val="009A2578"/>
    <w:rsid w:val="009A25EB"/>
    <w:rsid w:val="009A2768"/>
    <w:rsid w:val="009A280A"/>
    <w:rsid w:val="009A284B"/>
    <w:rsid w:val="009A2B6C"/>
    <w:rsid w:val="009A2D8F"/>
    <w:rsid w:val="009A2F6A"/>
    <w:rsid w:val="009A3035"/>
    <w:rsid w:val="009A32A1"/>
    <w:rsid w:val="009A3476"/>
    <w:rsid w:val="009A3778"/>
    <w:rsid w:val="009A389D"/>
    <w:rsid w:val="009A392B"/>
    <w:rsid w:val="009A3E2E"/>
    <w:rsid w:val="009A3EBA"/>
    <w:rsid w:val="009A3FF3"/>
    <w:rsid w:val="009A4043"/>
    <w:rsid w:val="009A4342"/>
    <w:rsid w:val="009A4520"/>
    <w:rsid w:val="009A47E3"/>
    <w:rsid w:val="009A4AA0"/>
    <w:rsid w:val="009A4C87"/>
    <w:rsid w:val="009A541D"/>
    <w:rsid w:val="009A54CC"/>
    <w:rsid w:val="009A57DB"/>
    <w:rsid w:val="009A6C72"/>
    <w:rsid w:val="009A6E2A"/>
    <w:rsid w:val="009A6E3D"/>
    <w:rsid w:val="009A6F10"/>
    <w:rsid w:val="009A701E"/>
    <w:rsid w:val="009A732D"/>
    <w:rsid w:val="009A768F"/>
    <w:rsid w:val="009A779F"/>
    <w:rsid w:val="009A7983"/>
    <w:rsid w:val="009A7BDA"/>
    <w:rsid w:val="009A7F34"/>
    <w:rsid w:val="009B0B10"/>
    <w:rsid w:val="009B12C2"/>
    <w:rsid w:val="009B1464"/>
    <w:rsid w:val="009B1525"/>
    <w:rsid w:val="009B1562"/>
    <w:rsid w:val="009B15F3"/>
    <w:rsid w:val="009B192D"/>
    <w:rsid w:val="009B1B7F"/>
    <w:rsid w:val="009B1DFF"/>
    <w:rsid w:val="009B2178"/>
    <w:rsid w:val="009B220A"/>
    <w:rsid w:val="009B2245"/>
    <w:rsid w:val="009B258E"/>
    <w:rsid w:val="009B265F"/>
    <w:rsid w:val="009B27B7"/>
    <w:rsid w:val="009B27C8"/>
    <w:rsid w:val="009B2881"/>
    <w:rsid w:val="009B2B5D"/>
    <w:rsid w:val="009B3131"/>
    <w:rsid w:val="009B32C3"/>
    <w:rsid w:val="009B359A"/>
    <w:rsid w:val="009B3BE4"/>
    <w:rsid w:val="009B4002"/>
    <w:rsid w:val="009B414C"/>
    <w:rsid w:val="009B46A8"/>
    <w:rsid w:val="009B482F"/>
    <w:rsid w:val="009B4978"/>
    <w:rsid w:val="009B49DB"/>
    <w:rsid w:val="009B4BFE"/>
    <w:rsid w:val="009B4DDD"/>
    <w:rsid w:val="009B53EB"/>
    <w:rsid w:val="009B5446"/>
    <w:rsid w:val="009B564E"/>
    <w:rsid w:val="009B5759"/>
    <w:rsid w:val="009B5782"/>
    <w:rsid w:val="009B5997"/>
    <w:rsid w:val="009B5D58"/>
    <w:rsid w:val="009B608F"/>
    <w:rsid w:val="009B69A7"/>
    <w:rsid w:val="009B6B23"/>
    <w:rsid w:val="009B6B86"/>
    <w:rsid w:val="009B6CF3"/>
    <w:rsid w:val="009B6F0F"/>
    <w:rsid w:val="009B6F2A"/>
    <w:rsid w:val="009B70CD"/>
    <w:rsid w:val="009B7175"/>
    <w:rsid w:val="009B71E2"/>
    <w:rsid w:val="009B73E4"/>
    <w:rsid w:val="009B745B"/>
    <w:rsid w:val="009B77FF"/>
    <w:rsid w:val="009B7ABD"/>
    <w:rsid w:val="009B7AEF"/>
    <w:rsid w:val="009B7B96"/>
    <w:rsid w:val="009B7D71"/>
    <w:rsid w:val="009C01D6"/>
    <w:rsid w:val="009C0D08"/>
    <w:rsid w:val="009C1082"/>
    <w:rsid w:val="009C10FD"/>
    <w:rsid w:val="009C19C5"/>
    <w:rsid w:val="009C1D27"/>
    <w:rsid w:val="009C1D32"/>
    <w:rsid w:val="009C2228"/>
    <w:rsid w:val="009C2528"/>
    <w:rsid w:val="009C2767"/>
    <w:rsid w:val="009C2AA4"/>
    <w:rsid w:val="009C2B63"/>
    <w:rsid w:val="009C2C39"/>
    <w:rsid w:val="009C2C81"/>
    <w:rsid w:val="009C2CFE"/>
    <w:rsid w:val="009C2FBE"/>
    <w:rsid w:val="009C3036"/>
    <w:rsid w:val="009C3341"/>
    <w:rsid w:val="009C3457"/>
    <w:rsid w:val="009C39D0"/>
    <w:rsid w:val="009C3A49"/>
    <w:rsid w:val="009C3BD9"/>
    <w:rsid w:val="009C4069"/>
    <w:rsid w:val="009C413E"/>
    <w:rsid w:val="009C425B"/>
    <w:rsid w:val="009C43D4"/>
    <w:rsid w:val="009C4579"/>
    <w:rsid w:val="009C47E0"/>
    <w:rsid w:val="009C4844"/>
    <w:rsid w:val="009C49F5"/>
    <w:rsid w:val="009C4D45"/>
    <w:rsid w:val="009C4DDB"/>
    <w:rsid w:val="009C4E2E"/>
    <w:rsid w:val="009C51E0"/>
    <w:rsid w:val="009C59C8"/>
    <w:rsid w:val="009C5B82"/>
    <w:rsid w:val="009C5D5A"/>
    <w:rsid w:val="009C5F84"/>
    <w:rsid w:val="009C6086"/>
    <w:rsid w:val="009C6361"/>
    <w:rsid w:val="009C67A0"/>
    <w:rsid w:val="009C6DD4"/>
    <w:rsid w:val="009C6FCA"/>
    <w:rsid w:val="009C7043"/>
    <w:rsid w:val="009C71F1"/>
    <w:rsid w:val="009C7285"/>
    <w:rsid w:val="009C746E"/>
    <w:rsid w:val="009C756E"/>
    <w:rsid w:val="009C7623"/>
    <w:rsid w:val="009C77A5"/>
    <w:rsid w:val="009C77BA"/>
    <w:rsid w:val="009C7AF9"/>
    <w:rsid w:val="009D0092"/>
    <w:rsid w:val="009D02B0"/>
    <w:rsid w:val="009D0C74"/>
    <w:rsid w:val="009D194E"/>
    <w:rsid w:val="009D1972"/>
    <w:rsid w:val="009D1AC1"/>
    <w:rsid w:val="009D1F4D"/>
    <w:rsid w:val="009D21BE"/>
    <w:rsid w:val="009D2348"/>
    <w:rsid w:val="009D25F4"/>
    <w:rsid w:val="009D2B85"/>
    <w:rsid w:val="009D2C72"/>
    <w:rsid w:val="009D2E35"/>
    <w:rsid w:val="009D2F8D"/>
    <w:rsid w:val="009D3368"/>
    <w:rsid w:val="009D34E9"/>
    <w:rsid w:val="009D37C2"/>
    <w:rsid w:val="009D38BE"/>
    <w:rsid w:val="009D3B04"/>
    <w:rsid w:val="009D3B89"/>
    <w:rsid w:val="009D3C3D"/>
    <w:rsid w:val="009D3EFC"/>
    <w:rsid w:val="009D3F2E"/>
    <w:rsid w:val="009D40B8"/>
    <w:rsid w:val="009D474B"/>
    <w:rsid w:val="009D4FEC"/>
    <w:rsid w:val="009D5288"/>
    <w:rsid w:val="009D52BB"/>
    <w:rsid w:val="009D5912"/>
    <w:rsid w:val="009D5C18"/>
    <w:rsid w:val="009D5FE1"/>
    <w:rsid w:val="009D6928"/>
    <w:rsid w:val="009D7057"/>
    <w:rsid w:val="009D70C1"/>
    <w:rsid w:val="009D714F"/>
    <w:rsid w:val="009D7524"/>
    <w:rsid w:val="009D7C76"/>
    <w:rsid w:val="009E0281"/>
    <w:rsid w:val="009E03EE"/>
    <w:rsid w:val="009E080E"/>
    <w:rsid w:val="009E0B1E"/>
    <w:rsid w:val="009E0E65"/>
    <w:rsid w:val="009E1094"/>
    <w:rsid w:val="009E10AE"/>
    <w:rsid w:val="009E198A"/>
    <w:rsid w:val="009E2211"/>
    <w:rsid w:val="009E2228"/>
    <w:rsid w:val="009E26ED"/>
    <w:rsid w:val="009E28A4"/>
    <w:rsid w:val="009E2AD3"/>
    <w:rsid w:val="009E2BC0"/>
    <w:rsid w:val="009E2CD3"/>
    <w:rsid w:val="009E2E05"/>
    <w:rsid w:val="009E2E60"/>
    <w:rsid w:val="009E3095"/>
    <w:rsid w:val="009E32C8"/>
    <w:rsid w:val="009E3C83"/>
    <w:rsid w:val="009E40A6"/>
    <w:rsid w:val="009E419F"/>
    <w:rsid w:val="009E45F1"/>
    <w:rsid w:val="009E4793"/>
    <w:rsid w:val="009E47E5"/>
    <w:rsid w:val="009E48B0"/>
    <w:rsid w:val="009E4BC3"/>
    <w:rsid w:val="009E4CC3"/>
    <w:rsid w:val="009E4CCB"/>
    <w:rsid w:val="009E5115"/>
    <w:rsid w:val="009E5687"/>
    <w:rsid w:val="009E62D4"/>
    <w:rsid w:val="009E62DD"/>
    <w:rsid w:val="009E6443"/>
    <w:rsid w:val="009E674E"/>
    <w:rsid w:val="009E73E9"/>
    <w:rsid w:val="009E7E8D"/>
    <w:rsid w:val="009E7F3D"/>
    <w:rsid w:val="009F0118"/>
    <w:rsid w:val="009F017E"/>
    <w:rsid w:val="009F01EB"/>
    <w:rsid w:val="009F0704"/>
    <w:rsid w:val="009F0825"/>
    <w:rsid w:val="009F08B6"/>
    <w:rsid w:val="009F0A5C"/>
    <w:rsid w:val="009F0B50"/>
    <w:rsid w:val="009F125F"/>
    <w:rsid w:val="009F12B7"/>
    <w:rsid w:val="009F13C3"/>
    <w:rsid w:val="009F146F"/>
    <w:rsid w:val="009F150A"/>
    <w:rsid w:val="009F15C9"/>
    <w:rsid w:val="009F181B"/>
    <w:rsid w:val="009F18FE"/>
    <w:rsid w:val="009F1997"/>
    <w:rsid w:val="009F19E3"/>
    <w:rsid w:val="009F1D41"/>
    <w:rsid w:val="009F1F40"/>
    <w:rsid w:val="009F2190"/>
    <w:rsid w:val="009F225F"/>
    <w:rsid w:val="009F2284"/>
    <w:rsid w:val="009F297E"/>
    <w:rsid w:val="009F3089"/>
    <w:rsid w:val="009F3120"/>
    <w:rsid w:val="009F3219"/>
    <w:rsid w:val="009F3C75"/>
    <w:rsid w:val="009F4214"/>
    <w:rsid w:val="009F46ED"/>
    <w:rsid w:val="009F46EF"/>
    <w:rsid w:val="009F47F7"/>
    <w:rsid w:val="009F488A"/>
    <w:rsid w:val="009F4910"/>
    <w:rsid w:val="009F4958"/>
    <w:rsid w:val="009F4E6D"/>
    <w:rsid w:val="009F5314"/>
    <w:rsid w:val="009F5336"/>
    <w:rsid w:val="009F584A"/>
    <w:rsid w:val="009F59FD"/>
    <w:rsid w:val="009F5AB9"/>
    <w:rsid w:val="009F62A3"/>
    <w:rsid w:val="009F6A5B"/>
    <w:rsid w:val="009F71C9"/>
    <w:rsid w:val="009F743B"/>
    <w:rsid w:val="009F7AF8"/>
    <w:rsid w:val="00A00007"/>
    <w:rsid w:val="00A0032F"/>
    <w:rsid w:val="00A0037E"/>
    <w:rsid w:val="00A00622"/>
    <w:rsid w:val="00A00932"/>
    <w:rsid w:val="00A00AE0"/>
    <w:rsid w:val="00A00B46"/>
    <w:rsid w:val="00A00B7E"/>
    <w:rsid w:val="00A00CB6"/>
    <w:rsid w:val="00A0122E"/>
    <w:rsid w:val="00A0125A"/>
    <w:rsid w:val="00A01303"/>
    <w:rsid w:val="00A014EB"/>
    <w:rsid w:val="00A014F0"/>
    <w:rsid w:val="00A0151F"/>
    <w:rsid w:val="00A015D7"/>
    <w:rsid w:val="00A01710"/>
    <w:rsid w:val="00A018FA"/>
    <w:rsid w:val="00A021ED"/>
    <w:rsid w:val="00A0220D"/>
    <w:rsid w:val="00A0256C"/>
    <w:rsid w:val="00A0265D"/>
    <w:rsid w:val="00A02705"/>
    <w:rsid w:val="00A02719"/>
    <w:rsid w:val="00A029E9"/>
    <w:rsid w:val="00A02C4F"/>
    <w:rsid w:val="00A02D59"/>
    <w:rsid w:val="00A02E2F"/>
    <w:rsid w:val="00A03200"/>
    <w:rsid w:val="00A03BCB"/>
    <w:rsid w:val="00A041F6"/>
    <w:rsid w:val="00A042EB"/>
    <w:rsid w:val="00A04737"/>
    <w:rsid w:val="00A04A09"/>
    <w:rsid w:val="00A04BA1"/>
    <w:rsid w:val="00A05162"/>
    <w:rsid w:val="00A054EB"/>
    <w:rsid w:val="00A05821"/>
    <w:rsid w:val="00A059C1"/>
    <w:rsid w:val="00A059D6"/>
    <w:rsid w:val="00A05B31"/>
    <w:rsid w:val="00A05CF5"/>
    <w:rsid w:val="00A05D1D"/>
    <w:rsid w:val="00A05D21"/>
    <w:rsid w:val="00A05EA2"/>
    <w:rsid w:val="00A06607"/>
    <w:rsid w:val="00A06D1F"/>
    <w:rsid w:val="00A06E2D"/>
    <w:rsid w:val="00A07369"/>
    <w:rsid w:val="00A075BE"/>
    <w:rsid w:val="00A075F5"/>
    <w:rsid w:val="00A076CC"/>
    <w:rsid w:val="00A07722"/>
    <w:rsid w:val="00A079C4"/>
    <w:rsid w:val="00A07AFC"/>
    <w:rsid w:val="00A07BC7"/>
    <w:rsid w:val="00A07D4D"/>
    <w:rsid w:val="00A10481"/>
    <w:rsid w:val="00A10510"/>
    <w:rsid w:val="00A10641"/>
    <w:rsid w:val="00A109BF"/>
    <w:rsid w:val="00A10A33"/>
    <w:rsid w:val="00A10A78"/>
    <w:rsid w:val="00A10C22"/>
    <w:rsid w:val="00A11078"/>
    <w:rsid w:val="00A1165C"/>
    <w:rsid w:val="00A11A4E"/>
    <w:rsid w:val="00A11B5E"/>
    <w:rsid w:val="00A11D45"/>
    <w:rsid w:val="00A1201F"/>
    <w:rsid w:val="00A125D6"/>
    <w:rsid w:val="00A12643"/>
    <w:rsid w:val="00A13108"/>
    <w:rsid w:val="00A135BD"/>
    <w:rsid w:val="00A13BF7"/>
    <w:rsid w:val="00A13F7E"/>
    <w:rsid w:val="00A14291"/>
    <w:rsid w:val="00A142F2"/>
    <w:rsid w:val="00A144A2"/>
    <w:rsid w:val="00A1471A"/>
    <w:rsid w:val="00A14A58"/>
    <w:rsid w:val="00A14B07"/>
    <w:rsid w:val="00A14CB5"/>
    <w:rsid w:val="00A14CE2"/>
    <w:rsid w:val="00A14E53"/>
    <w:rsid w:val="00A14EC9"/>
    <w:rsid w:val="00A1514F"/>
    <w:rsid w:val="00A15580"/>
    <w:rsid w:val="00A1558F"/>
    <w:rsid w:val="00A15748"/>
    <w:rsid w:val="00A15DDE"/>
    <w:rsid w:val="00A15F81"/>
    <w:rsid w:val="00A16016"/>
    <w:rsid w:val="00A16449"/>
    <w:rsid w:val="00A16F42"/>
    <w:rsid w:val="00A1765F"/>
    <w:rsid w:val="00A178CB"/>
    <w:rsid w:val="00A17B49"/>
    <w:rsid w:val="00A17C37"/>
    <w:rsid w:val="00A17D14"/>
    <w:rsid w:val="00A17FBC"/>
    <w:rsid w:val="00A203D6"/>
    <w:rsid w:val="00A20BAC"/>
    <w:rsid w:val="00A20E99"/>
    <w:rsid w:val="00A20EE1"/>
    <w:rsid w:val="00A20EF8"/>
    <w:rsid w:val="00A20F3B"/>
    <w:rsid w:val="00A21529"/>
    <w:rsid w:val="00A2183C"/>
    <w:rsid w:val="00A21C4B"/>
    <w:rsid w:val="00A21D3D"/>
    <w:rsid w:val="00A21FB5"/>
    <w:rsid w:val="00A22927"/>
    <w:rsid w:val="00A22AE3"/>
    <w:rsid w:val="00A22EFC"/>
    <w:rsid w:val="00A23230"/>
    <w:rsid w:val="00A23277"/>
    <w:rsid w:val="00A23355"/>
    <w:rsid w:val="00A2338F"/>
    <w:rsid w:val="00A23692"/>
    <w:rsid w:val="00A23871"/>
    <w:rsid w:val="00A23C6F"/>
    <w:rsid w:val="00A23E6D"/>
    <w:rsid w:val="00A24211"/>
    <w:rsid w:val="00A242DD"/>
    <w:rsid w:val="00A2480B"/>
    <w:rsid w:val="00A24B1E"/>
    <w:rsid w:val="00A24BFF"/>
    <w:rsid w:val="00A24C8C"/>
    <w:rsid w:val="00A25248"/>
    <w:rsid w:val="00A252F7"/>
    <w:rsid w:val="00A2557F"/>
    <w:rsid w:val="00A259FF"/>
    <w:rsid w:val="00A25FBA"/>
    <w:rsid w:val="00A262E8"/>
    <w:rsid w:val="00A2634E"/>
    <w:rsid w:val="00A26389"/>
    <w:rsid w:val="00A264F8"/>
    <w:rsid w:val="00A2658B"/>
    <w:rsid w:val="00A26953"/>
    <w:rsid w:val="00A26998"/>
    <w:rsid w:val="00A26D59"/>
    <w:rsid w:val="00A27003"/>
    <w:rsid w:val="00A271E6"/>
    <w:rsid w:val="00A27CBF"/>
    <w:rsid w:val="00A27E1D"/>
    <w:rsid w:val="00A27EBE"/>
    <w:rsid w:val="00A3007D"/>
    <w:rsid w:val="00A303B8"/>
    <w:rsid w:val="00A304D8"/>
    <w:rsid w:val="00A307E0"/>
    <w:rsid w:val="00A30AB6"/>
    <w:rsid w:val="00A30C49"/>
    <w:rsid w:val="00A310AD"/>
    <w:rsid w:val="00A310D5"/>
    <w:rsid w:val="00A3172E"/>
    <w:rsid w:val="00A3182A"/>
    <w:rsid w:val="00A3191D"/>
    <w:rsid w:val="00A31A4D"/>
    <w:rsid w:val="00A31B11"/>
    <w:rsid w:val="00A31C02"/>
    <w:rsid w:val="00A31D27"/>
    <w:rsid w:val="00A31E5E"/>
    <w:rsid w:val="00A31EA1"/>
    <w:rsid w:val="00A31ECD"/>
    <w:rsid w:val="00A32010"/>
    <w:rsid w:val="00A32091"/>
    <w:rsid w:val="00A3238D"/>
    <w:rsid w:val="00A326C0"/>
    <w:rsid w:val="00A32701"/>
    <w:rsid w:val="00A328AE"/>
    <w:rsid w:val="00A32AB0"/>
    <w:rsid w:val="00A32D70"/>
    <w:rsid w:val="00A333EA"/>
    <w:rsid w:val="00A33405"/>
    <w:rsid w:val="00A33910"/>
    <w:rsid w:val="00A33AA4"/>
    <w:rsid w:val="00A34326"/>
    <w:rsid w:val="00A34454"/>
    <w:rsid w:val="00A34735"/>
    <w:rsid w:val="00A35368"/>
    <w:rsid w:val="00A35393"/>
    <w:rsid w:val="00A35495"/>
    <w:rsid w:val="00A35779"/>
    <w:rsid w:val="00A358E1"/>
    <w:rsid w:val="00A3595C"/>
    <w:rsid w:val="00A35978"/>
    <w:rsid w:val="00A35B8A"/>
    <w:rsid w:val="00A35C6A"/>
    <w:rsid w:val="00A35FFB"/>
    <w:rsid w:val="00A361C3"/>
    <w:rsid w:val="00A364C0"/>
    <w:rsid w:val="00A36831"/>
    <w:rsid w:val="00A36A00"/>
    <w:rsid w:val="00A376C6"/>
    <w:rsid w:val="00A37724"/>
    <w:rsid w:val="00A37FCE"/>
    <w:rsid w:val="00A4001E"/>
    <w:rsid w:val="00A401B0"/>
    <w:rsid w:val="00A404D3"/>
    <w:rsid w:val="00A4050D"/>
    <w:rsid w:val="00A408C3"/>
    <w:rsid w:val="00A408EE"/>
    <w:rsid w:val="00A40969"/>
    <w:rsid w:val="00A40A2D"/>
    <w:rsid w:val="00A40CB1"/>
    <w:rsid w:val="00A40EFB"/>
    <w:rsid w:val="00A40F35"/>
    <w:rsid w:val="00A40F98"/>
    <w:rsid w:val="00A411FA"/>
    <w:rsid w:val="00A41B62"/>
    <w:rsid w:val="00A41C3F"/>
    <w:rsid w:val="00A41DAE"/>
    <w:rsid w:val="00A41DCC"/>
    <w:rsid w:val="00A41DFA"/>
    <w:rsid w:val="00A42448"/>
    <w:rsid w:val="00A42869"/>
    <w:rsid w:val="00A42F7C"/>
    <w:rsid w:val="00A4333F"/>
    <w:rsid w:val="00A435A4"/>
    <w:rsid w:val="00A4399E"/>
    <w:rsid w:val="00A43B16"/>
    <w:rsid w:val="00A444A4"/>
    <w:rsid w:val="00A445A1"/>
    <w:rsid w:val="00A44649"/>
    <w:rsid w:val="00A44719"/>
    <w:rsid w:val="00A44C54"/>
    <w:rsid w:val="00A44CF1"/>
    <w:rsid w:val="00A44EC1"/>
    <w:rsid w:val="00A45018"/>
    <w:rsid w:val="00A45069"/>
    <w:rsid w:val="00A45419"/>
    <w:rsid w:val="00A454B3"/>
    <w:rsid w:val="00A459F5"/>
    <w:rsid w:val="00A45B82"/>
    <w:rsid w:val="00A45C24"/>
    <w:rsid w:val="00A45C4D"/>
    <w:rsid w:val="00A45E52"/>
    <w:rsid w:val="00A46290"/>
    <w:rsid w:val="00A46645"/>
    <w:rsid w:val="00A46652"/>
    <w:rsid w:val="00A46885"/>
    <w:rsid w:val="00A46C39"/>
    <w:rsid w:val="00A46D15"/>
    <w:rsid w:val="00A46D41"/>
    <w:rsid w:val="00A46E4D"/>
    <w:rsid w:val="00A46F2E"/>
    <w:rsid w:val="00A4713D"/>
    <w:rsid w:val="00A4757E"/>
    <w:rsid w:val="00A4783D"/>
    <w:rsid w:val="00A478AE"/>
    <w:rsid w:val="00A479EC"/>
    <w:rsid w:val="00A47B75"/>
    <w:rsid w:val="00A47FE6"/>
    <w:rsid w:val="00A509BB"/>
    <w:rsid w:val="00A50AED"/>
    <w:rsid w:val="00A50DA9"/>
    <w:rsid w:val="00A50FCC"/>
    <w:rsid w:val="00A513C0"/>
    <w:rsid w:val="00A51B0C"/>
    <w:rsid w:val="00A51C37"/>
    <w:rsid w:val="00A51F38"/>
    <w:rsid w:val="00A51F55"/>
    <w:rsid w:val="00A52060"/>
    <w:rsid w:val="00A520BA"/>
    <w:rsid w:val="00A52678"/>
    <w:rsid w:val="00A52989"/>
    <w:rsid w:val="00A52A15"/>
    <w:rsid w:val="00A52D39"/>
    <w:rsid w:val="00A52F51"/>
    <w:rsid w:val="00A5323B"/>
    <w:rsid w:val="00A537C0"/>
    <w:rsid w:val="00A537F4"/>
    <w:rsid w:val="00A53986"/>
    <w:rsid w:val="00A53E62"/>
    <w:rsid w:val="00A544C3"/>
    <w:rsid w:val="00A54548"/>
    <w:rsid w:val="00A54DDD"/>
    <w:rsid w:val="00A54FB4"/>
    <w:rsid w:val="00A551D9"/>
    <w:rsid w:val="00A55351"/>
    <w:rsid w:val="00A55590"/>
    <w:rsid w:val="00A5568E"/>
    <w:rsid w:val="00A5581C"/>
    <w:rsid w:val="00A55B7F"/>
    <w:rsid w:val="00A55C3D"/>
    <w:rsid w:val="00A55CBA"/>
    <w:rsid w:val="00A55D00"/>
    <w:rsid w:val="00A55D36"/>
    <w:rsid w:val="00A55EAA"/>
    <w:rsid w:val="00A562B1"/>
    <w:rsid w:val="00A56349"/>
    <w:rsid w:val="00A56370"/>
    <w:rsid w:val="00A5658C"/>
    <w:rsid w:val="00A56846"/>
    <w:rsid w:val="00A56C88"/>
    <w:rsid w:val="00A56DE0"/>
    <w:rsid w:val="00A56F94"/>
    <w:rsid w:val="00A57091"/>
    <w:rsid w:val="00A574E4"/>
    <w:rsid w:val="00A576F8"/>
    <w:rsid w:val="00A577C8"/>
    <w:rsid w:val="00A57D0A"/>
    <w:rsid w:val="00A57D40"/>
    <w:rsid w:val="00A57E55"/>
    <w:rsid w:val="00A60538"/>
    <w:rsid w:val="00A60693"/>
    <w:rsid w:val="00A6078F"/>
    <w:rsid w:val="00A60F2B"/>
    <w:rsid w:val="00A60F67"/>
    <w:rsid w:val="00A61127"/>
    <w:rsid w:val="00A6120B"/>
    <w:rsid w:val="00A61A32"/>
    <w:rsid w:val="00A61B85"/>
    <w:rsid w:val="00A624E2"/>
    <w:rsid w:val="00A62869"/>
    <w:rsid w:val="00A628E6"/>
    <w:rsid w:val="00A62B8E"/>
    <w:rsid w:val="00A63601"/>
    <w:rsid w:val="00A6391C"/>
    <w:rsid w:val="00A63C18"/>
    <w:rsid w:val="00A63E9C"/>
    <w:rsid w:val="00A64574"/>
    <w:rsid w:val="00A6467A"/>
    <w:rsid w:val="00A647EE"/>
    <w:rsid w:val="00A648D4"/>
    <w:rsid w:val="00A64907"/>
    <w:rsid w:val="00A64B3F"/>
    <w:rsid w:val="00A652F0"/>
    <w:rsid w:val="00A65590"/>
    <w:rsid w:val="00A65F8A"/>
    <w:rsid w:val="00A66020"/>
    <w:rsid w:val="00A662AF"/>
    <w:rsid w:val="00A662DC"/>
    <w:rsid w:val="00A665D4"/>
    <w:rsid w:val="00A66633"/>
    <w:rsid w:val="00A66843"/>
    <w:rsid w:val="00A668EB"/>
    <w:rsid w:val="00A66A64"/>
    <w:rsid w:val="00A66AA7"/>
    <w:rsid w:val="00A66FB9"/>
    <w:rsid w:val="00A67057"/>
    <w:rsid w:val="00A671D8"/>
    <w:rsid w:val="00A67211"/>
    <w:rsid w:val="00A6741B"/>
    <w:rsid w:val="00A67905"/>
    <w:rsid w:val="00A67A40"/>
    <w:rsid w:val="00A67AF1"/>
    <w:rsid w:val="00A67E02"/>
    <w:rsid w:val="00A67ECE"/>
    <w:rsid w:val="00A67FFC"/>
    <w:rsid w:val="00A703BD"/>
    <w:rsid w:val="00A706A4"/>
    <w:rsid w:val="00A70B98"/>
    <w:rsid w:val="00A70E77"/>
    <w:rsid w:val="00A70F81"/>
    <w:rsid w:val="00A70F9C"/>
    <w:rsid w:val="00A70FFE"/>
    <w:rsid w:val="00A716A9"/>
    <w:rsid w:val="00A71A5C"/>
    <w:rsid w:val="00A71C00"/>
    <w:rsid w:val="00A71F4A"/>
    <w:rsid w:val="00A722D8"/>
    <w:rsid w:val="00A72BA6"/>
    <w:rsid w:val="00A72C66"/>
    <w:rsid w:val="00A72DA7"/>
    <w:rsid w:val="00A72DD9"/>
    <w:rsid w:val="00A732E3"/>
    <w:rsid w:val="00A73CC1"/>
    <w:rsid w:val="00A74177"/>
    <w:rsid w:val="00A74226"/>
    <w:rsid w:val="00A74425"/>
    <w:rsid w:val="00A74C2E"/>
    <w:rsid w:val="00A7509E"/>
    <w:rsid w:val="00A7533A"/>
    <w:rsid w:val="00A75515"/>
    <w:rsid w:val="00A755D2"/>
    <w:rsid w:val="00A756D7"/>
    <w:rsid w:val="00A7573E"/>
    <w:rsid w:val="00A757B0"/>
    <w:rsid w:val="00A75A01"/>
    <w:rsid w:val="00A75CA9"/>
    <w:rsid w:val="00A760D3"/>
    <w:rsid w:val="00A76747"/>
    <w:rsid w:val="00A76AE5"/>
    <w:rsid w:val="00A76C29"/>
    <w:rsid w:val="00A770B1"/>
    <w:rsid w:val="00A7729A"/>
    <w:rsid w:val="00A77499"/>
    <w:rsid w:val="00A776A4"/>
    <w:rsid w:val="00A77744"/>
    <w:rsid w:val="00A7798D"/>
    <w:rsid w:val="00A77A3D"/>
    <w:rsid w:val="00A77A8E"/>
    <w:rsid w:val="00A77C07"/>
    <w:rsid w:val="00A800EB"/>
    <w:rsid w:val="00A8049D"/>
    <w:rsid w:val="00A804F6"/>
    <w:rsid w:val="00A80650"/>
    <w:rsid w:val="00A808CE"/>
    <w:rsid w:val="00A80E38"/>
    <w:rsid w:val="00A80FE5"/>
    <w:rsid w:val="00A813E7"/>
    <w:rsid w:val="00A814F7"/>
    <w:rsid w:val="00A81695"/>
    <w:rsid w:val="00A8170A"/>
    <w:rsid w:val="00A81795"/>
    <w:rsid w:val="00A818C5"/>
    <w:rsid w:val="00A81A53"/>
    <w:rsid w:val="00A81DFD"/>
    <w:rsid w:val="00A82290"/>
    <w:rsid w:val="00A822C2"/>
    <w:rsid w:val="00A82480"/>
    <w:rsid w:val="00A82759"/>
    <w:rsid w:val="00A827C6"/>
    <w:rsid w:val="00A82871"/>
    <w:rsid w:val="00A82990"/>
    <w:rsid w:val="00A82F39"/>
    <w:rsid w:val="00A83152"/>
    <w:rsid w:val="00A83257"/>
    <w:rsid w:val="00A833AA"/>
    <w:rsid w:val="00A8397C"/>
    <w:rsid w:val="00A83A0D"/>
    <w:rsid w:val="00A83A82"/>
    <w:rsid w:val="00A83B26"/>
    <w:rsid w:val="00A83CE4"/>
    <w:rsid w:val="00A84381"/>
    <w:rsid w:val="00A847A3"/>
    <w:rsid w:val="00A85582"/>
    <w:rsid w:val="00A855C7"/>
    <w:rsid w:val="00A8582E"/>
    <w:rsid w:val="00A85890"/>
    <w:rsid w:val="00A85A4A"/>
    <w:rsid w:val="00A8610F"/>
    <w:rsid w:val="00A86288"/>
    <w:rsid w:val="00A86441"/>
    <w:rsid w:val="00A86555"/>
    <w:rsid w:val="00A867E8"/>
    <w:rsid w:val="00A86999"/>
    <w:rsid w:val="00A86AE4"/>
    <w:rsid w:val="00A86B13"/>
    <w:rsid w:val="00A86CA8"/>
    <w:rsid w:val="00A87272"/>
    <w:rsid w:val="00A87298"/>
    <w:rsid w:val="00A875AA"/>
    <w:rsid w:val="00A87E03"/>
    <w:rsid w:val="00A90162"/>
    <w:rsid w:val="00A90365"/>
    <w:rsid w:val="00A903CF"/>
    <w:rsid w:val="00A90401"/>
    <w:rsid w:val="00A904F4"/>
    <w:rsid w:val="00A90590"/>
    <w:rsid w:val="00A90B58"/>
    <w:rsid w:val="00A90B89"/>
    <w:rsid w:val="00A90E91"/>
    <w:rsid w:val="00A91500"/>
    <w:rsid w:val="00A91897"/>
    <w:rsid w:val="00A918F7"/>
    <w:rsid w:val="00A91CA6"/>
    <w:rsid w:val="00A92039"/>
    <w:rsid w:val="00A921E3"/>
    <w:rsid w:val="00A92219"/>
    <w:rsid w:val="00A922D4"/>
    <w:rsid w:val="00A92330"/>
    <w:rsid w:val="00A9283A"/>
    <w:rsid w:val="00A92B4B"/>
    <w:rsid w:val="00A932BD"/>
    <w:rsid w:val="00A933A6"/>
    <w:rsid w:val="00A93938"/>
    <w:rsid w:val="00A93D87"/>
    <w:rsid w:val="00A93EBB"/>
    <w:rsid w:val="00A9417E"/>
    <w:rsid w:val="00A9427A"/>
    <w:rsid w:val="00A94D20"/>
    <w:rsid w:val="00A950ED"/>
    <w:rsid w:val="00A95159"/>
    <w:rsid w:val="00A9539C"/>
    <w:rsid w:val="00A955F8"/>
    <w:rsid w:val="00A95708"/>
    <w:rsid w:val="00A95852"/>
    <w:rsid w:val="00A95AD8"/>
    <w:rsid w:val="00A96279"/>
    <w:rsid w:val="00A96CC5"/>
    <w:rsid w:val="00A96DB6"/>
    <w:rsid w:val="00A9752B"/>
    <w:rsid w:val="00A977CC"/>
    <w:rsid w:val="00A9785C"/>
    <w:rsid w:val="00A97911"/>
    <w:rsid w:val="00A97A36"/>
    <w:rsid w:val="00A97C2F"/>
    <w:rsid w:val="00A97D6A"/>
    <w:rsid w:val="00A97DB4"/>
    <w:rsid w:val="00A97DF2"/>
    <w:rsid w:val="00A97E89"/>
    <w:rsid w:val="00AA01BF"/>
    <w:rsid w:val="00AA02C7"/>
    <w:rsid w:val="00AA0984"/>
    <w:rsid w:val="00AA0CF3"/>
    <w:rsid w:val="00AA0E14"/>
    <w:rsid w:val="00AA0E3D"/>
    <w:rsid w:val="00AA1036"/>
    <w:rsid w:val="00AA1432"/>
    <w:rsid w:val="00AA1A74"/>
    <w:rsid w:val="00AA2461"/>
    <w:rsid w:val="00AA271C"/>
    <w:rsid w:val="00AA2865"/>
    <w:rsid w:val="00AA2912"/>
    <w:rsid w:val="00AA2B21"/>
    <w:rsid w:val="00AA2B3C"/>
    <w:rsid w:val="00AA2C15"/>
    <w:rsid w:val="00AA2C2A"/>
    <w:rsid w:val="00AA2C60"/>
    <w:rsid w:val="00AA3199"/>
    <w:rsid w:val="00AA360F"/>
    <w:rsid w:val="00AA3632"/>
    <w:rsid w:val="00AA3777"/>
    <w:rsid w:val="00AA3A9B"/>
    <w:rsid w:val="00AA3BF1"/>
    <w:rsid w:val="00AA45D6"/>
    <w:rsid w:val="00AA4645"/>
    <w:rsid w:val="00AA46BD"/>
    <w:rsid w:val="00AA47EA"/>
    <w:rsid w:val="00AA486C"/>
    <w:rsid w:val="00AA5127"/>
    <w:rsid w:val="00AA5306"/>
    <w:rsid w:val="00AA5410"/>
    <w:rsid w:val="00AA5730"/>
    <w:rsid w:val="00AA5814"/>
    <w:rsid w:val="00AA5DA6"/>
    <w:rsid w:val="00AA6091"/>
    <w:rsid w:val="00AA60A9"/>
    <w:rsid w:val="00AA60E7"/>
    <w:rsid w:val="00AA626D"/>
    <w:rsid w:val="00AA6303"/>
    <w:rsid w:val="00AA64EC"/>
    <w:rsid w:val="00AA6A55"/>
    <w:rsid w:val="00AA6B14"/>
    <w:rsid w:val="00AA7234"/>
    <w:rsid w:val="00AA72AD"/>
    <w:rsid w:val="00AA7463"/>
    <w:rsid w:val="00AA757C"/>
    <w:rsid w:val="00AA7664"/>
    <w:rsid w:val="00AA7B12"/>
    <w:rsid w:val="00AB0511"/>
    <w:rsid w:val="00AB09FE"/>
    <w:rsid w:val="00AB0E17"/>
    <w:rsid w:val="00AB0E47"/>
    <w:rsid w:val="00AB0FDE"/>
    <w:rsid w:val="00AB1568"/>
    <w:rsid w:val="00AB1941"/>
    <w:rsid w:val="00AB1AE7"/>
    <w:rsid w:val="00AB1B90"/>
    <w:rsid w:val="00AB21C6"/>
    <w:rsid w:val="00AB2841"/>
    <w:rsid w:val="00AB2B80"/>
    <w:rsid w:val="00AB2E7F"/>
    <w:rsid w:val="00AB3091"/>
    <w:rsid w:val="00AB3673"/>
    <w:rsid w:val="00AB386C"/>
    <w:rsid w:val="00AB38F1"/>
    <w:rsid w:val="00AB40E6"/>
    <w:rsid w:val="00AB442A"/>
    <w:rsid w:val="00AB48C5"/>
    <w:rsid w:val="00AB504E"/>
    <w:rsid w:val="00AB52CB"/>
    <w:rsid w:val="00AB532B"/>
    <w:rsid w:val="00AB549C"/>
    <w:rsid w:val="00AB54F6"/>
    <w:rsid w:val="00AB552F"/>
    <w:rsid w:val="00AB57E3"/>
    <w:rsid w:val="00AB5829"/>
    <w:rsid w:val="00AB597A"/>
    <w:rsid w:val="00AB5B9A"/>
    <w:rsid w:val="00AB5EA0"/>
    <w:rsid w:val="00AB5F43"/>
    <w:rsid w:val="00AB610D"/>
    <w:rsid w:val="00AB6789"/>
    <w:rsid w:val="00AB6F0A"/>
    <w:rsid w:val="00AB6F75"/>
    <w:rsid w:val="00AB798F"/>
    <w:rsid w:val="00AB7AFF"/>
    <w:rsid w:val="00AB7FDF"/>
    <w:rsid w:val="00AC0055"/>
    <w:rsid w:val="00AC0200"/>
    <w:rsid w:val="00AC0259"/>
    <w:rsid w:val="00AC05E9"/>
    <w:rsid w:val="00AC0899"/>
    <w:rsid w:val="00AC08D1"/>
    <w:rsid w:val="00AC0D38"/>
    <w:rsid w:val="00AC0D93"/>
    <w:rsid w:val="00AC115E"/>
    <w:rsid w:val="00AC152D"/>
    <w:rsid w:val="00AC1810"/>
    <w:rsid w:val="00AC1C43"/>
    <w:rsid w:val="00AC1CDA"/>
    <w:rsid w:val="00AC1F20"/>
    <w:rsid w:val="00AC20D0"/>
    <w:rsid w:val="00AC21CA"/>
    <w:rsid w:val="00AC22B7"/>
    <w:rsid w:val="00AC2524"/>
    <w:rsid w:val="00AC2B39"/>
    <w:rsid w:val="00AC2E46"/>
    <w:rsid w:val="00AC300B"/>
    <w:rsid w:val="00AC32FD"/>
    <w:rsid w:val="00AC337E"/>
    <w:rsid w:val="00AC339C"/>
    <w:rsid w:val="00AC3543"/>
    <w:rsid w:val="00AC3B17"/>
    <w:rsid w:val="00AC3B70"/>
    <w:rsid w:val="00AC4402"/>
    <w:rsid w:val="00AC4421"/>
    <w:rsid w:val="00AC4477"/>
    <w:rsid w:val="00AC4617"/>
    <w:rsid w:val="00AC4623"/>
    <w:rsid w:val="00AC46BF"/>
    <w:rsid w:val="00AC4CF3"/>
    <w:rsid w:val="00AC56FE"/>
    <w:rsid w:val="00AC6754"/>
    <w:rsid w:val="00AC69C4"/>
    <w:rsid w:val="00AC6B81"/>
    <w:rsid w:val="00AC6D10"/>
    <w:rsid w:val="00AC6EA1"/>
    <w:rsid w:val="00AC6F7D"/>
    <w:rsid w:val="00AC720A"/>
    <w:rsid w:val="00AC748C"/>
    <w:rsid w:val="00AC7492"/>
    <w:rsid w:val="00AC76BF"/>
    <w:rsid w:val="00AC7824"/>
    <w:rsid w:val="00AC78CA"/>
    <w:rsid w:val="00AC7FA0"/>
    <w:rsid w:val="00AD049B"/>
    <w:rsid w:val="00AD0F94"/>
    <w:rsid w:val="00AD11E3"/>
    <w:rsid w:val="00AD1323"/>
    <w:rsid w:val="00AD157B"/>
    <w:rsid w:val="00AD19EA"/>
    <w:rsid w:val="00AD1A68"/>
    <w:rsid w:val="00AD1B45"/>
    <w:rsid w:val="00AD1F3B"/>
    <w:rsid w:val="00AD1FF0"/>
    <w:rsid w:val="00AD2049"/>
    <w:rsid w:val="00AD250E"/>
    <w:rsid w:val="00AD2708"/>
    <w:rsid w:val="00AD2DBE"/>
    <w:rsid w:val="00AD30B1"/>
    <w:rsid w:val="00AD3101"/>
    <w:rsid w:val="00AD3283"/>
    <w:rsid w:val="00AD3319"/>
    <w:rsid w:val="00AD3622"/>
    <w:rsid w:val="00AD3845"/>
    <w:rsid w:val="00AD3C75"/>
    <w:rsid w:val="00AD43EE"/>
    <w:rsid w:val="00AD4679"/>
    <w:rsid w:val="00AD48C2"/>
    <w:rsid w:val="00AD51E5"/>
    <w:rsid w:val="00AD5241"/>
    <w:rsid w:val="00AD5405"/>
    <w:rsid w:val="00AD546E"/>
    <w:rsid w:val="00AD5BFA"/>
    <w:rsid w:val="00AD5C75"/>
    <w:rsid w:val="00AD60EA"/>
    <w:rsid w:val="00AD6209"/>
    <w:rsid w:val="00AD62B0"/>
    <w:rsid w:val="00AD64CC"/>
    <w:rsid w:val="00AD65BC"/>
    <w:rsid w:val="00AD67D4"/>
    <w:rsid w:val="00AD6988"/>
    <w:rsid w:val="00AD6B22"/>
    <w:rsid w:val="00AD6D92"/>
    <w:rsid w:val="00AD7271"/>
    <w:rsid w:val="00AD7290"/>
    <w:rsid w:val="00AD729C"/>
    <w:rsid w:val="00AD72CD"/>
    <w:rsid w:val="00AD7436"/>
    <w:rsid w:val="00AD7DD0"/>
    <w:rsid w:val="00AE05FA"/>
    <w:rsid w:val="00AE078F"/>
    <w:rsid w:val="00AE12C0"/>
    <w:rsid w:val="00AE12FF"/>
    <w:rsid w:val="00AE13A0"/>
    <w:rsid w:val="00AE161C"/>
    <w:rsid w:val="00AE181B"/>
    <w:rsid w:val="00AE18AB"/>
    <w:rsid w:val="00AE1B86"/>
    <w:rsid w:val="00AE2001"/>
    <w:rsid w:val="00AE2373"/>
    <w:rsid w:val="00AE2401"/>
    <w:rsid w:val="00AE266A"/>
    <w:rsid w:val="00AE26AA"/>
    <w:rsid w:val="00AE2767"/>
    <w:rsid w:val="00AE29C4"/>
    <w:rsid w:val="00AE2B83"/>
    <w:rsid w:val="00AE2FF4"/>
    <w:rsid w:val="00AE31F7"/>
    <w:rsid w:val="00AE329F"/>
    <w:rsid w:val="00AE3D35"/>
    <w:rsid w:val="00AE3DAF"/>
    <w:rsid w:val="00AE4057"/>
    <w:rsid w:val="00AE4071"/>
    <w:rsid w:val="00AE4331"/>
    <w:rsid w:val="00AE434D"/>
    <w:rsid w:val="00AE465B"/>
    <w:rsid w:val="00AE4AF3"/>
    <w:rsid w:val="00AE504A"/>
    <w:rsid w:val="00AE5126"/>
    <w:rsid w:val="00AE5149"/>
    <w:rsid w:val="00AE51D0"/>
    <w:rsid w:val="00AE5446"/>
    <w:rsid w:val="00AE553F"/>
    <w:rsid w:val="00AE56FC"/>
    <w:rsid w:val="00AE59E5"/>
    <w:rsid w:val="00AE5D89"/>
    <w:rsid w:val="00AE614D"/>
    <w:rsid w:val="00AE61EE"/>
    <w:rsid w:val="00AE63E8"/>
    <w:rsid w:val="00AE65A4"/>
    <w:rsid w:val="00AE6985"/>
    <w:rsid w:val="00AE6C97"/>
    <w:rsid w:val="00AE6FB1"/>
    <w:rsid w:val="00AE738A"/>
    <w:rsid w:val="00AE73D0"/>
    <w:rsid w:val="00AE7849"/>
    <w:rsid w:val="00AE7977"/>
    <w:rsid w:val="00AE7A14"/>
    <w:rsid w:val="00AE7A2C"/>
    <w:rsid w:val="00AE7F35"/>
    <w:rsid w:val="00AF0D10"/>
    <w:rsid w:val="00AF0EAF"/>
    <w:rsid w:val="00AF12B1"/>
    <w:rsid w:val="00AF14ED"/>
    <w:rsid w:val="00AF1AEF"/>
    <w:rsid w:val="00AF1B48"/>
    <w:rsid w:val="00AF1C42"/>
    <w:rsid w:val="00AF1F10"/>
    <w:rsid w:val="00AF1F22"/>
    <w:rsid w:val="00AF235A"/>
    <w:rsid w:val="00AF25C6"/>
    <w:rsid w:val="00AF2E88"/>
    <w:rsid w:val="00AF304F"/>
    <w:rsid w:val="00AF3C38"/>
    <w:rsid w:val="00AF3D39"/>
    <w:rsid w:val="00AF3DB6"/>
    <w:rsid w:val="00AF3FC8"/>
    <w:rsid w:val="00AF4150"/>
    <w:rsid w:val="00AF4163"/>
    <w:rsid w:val="00AF4319"/>
    <w:rsid w:val="00AF45EA"/>
    <w:rsid w:val="00AF46D4"/>
    <w:rsid w:val="00AF497B"/>
    <w:rsid w:val="00AF4CB1"/>
    <w:rsid w:val="00AF4E11"/>
    <w:rsid w:val="00AF5117"/>
    <w:rsid w:val="00AF5168"/>
    <w:rsid w:val="00AF52F5"/>
    <w:rsid w:val="00AF551D"/>
    <w:rsid w:val="00AF5648"/>
    <w:rsid w:val="00AF56E0"/>
    <w:rsid w:val="00AF5988"/>
    <w:rsid w:val="00AF5B6E"/>
    <w:rsid w:val="00AF5E04"/>
    <w:rsid w:val="00AF60B3"/>
    <w:rsid w:val="00AF6408"/>
    <w:rsid w:val="00AF6743"/>
    <w:rsid w:val="00AF6A4C"/>
    <w:rsid w:val="00AF6C13"/>
    <w:rsid w:val="00AF6C2D"/>
    <w:rsid w:val="00AF6E6B"/>
    <w:rsid w:val="00AF6FA8"/>
    <w:rsid w:val="00AF70E9"/>
    <w:rsid w:val="00AF744E"/>
    <w:rsid w:val="00AF74C6"/>
    <w:rsid w:val="00AF7CE7"/>
    <w:rsid w:val="00AF7EB2"/>
    <w:rsid w:val="00AF7ED6"/>
    <w:rsid w:val="00B00025"/>
    <w:rsid w:val="00B001C3"/>
    <w:rsid w:val="00B002A0"/>
    <w:rsid w:val="00B00308"/>
    <w:rsid w:val="00B004ED"/>
    <w:rsid w:val="00B00872"/>
    <w:rsid w:val="00B00A60"/>
    <w:rsid w:val="00B00F34"/>
    <w:rsid w:val="00B012DD"/>
    <w:rsid w:val="00B01392"/>
    <w:rsid w:val="00B015FC"/>
    <w:rsid w:val="00B01631"/>
    <w:rsid w:val="00B0163A"/>
    <w:rsid w:val="00B01765"/>
    <w:rsid w:val="00B01827"/>
    <w:rsid w:val="00B018E1"/>
    <w:rsid w:val="00B01A49"/>
    <w:rsid w:val="00B01A98"/>
    <w:rsid w:val="00B01B82"/>
    <w:rsid w:val="00B01D09"/>
    <w:rsid w:val="00B01EB1"/>
    <w:rsid w:val="00B02183"/>
    <w:rsid w:val="00B02551"/>
    <w:rsid w:val="00B026DC"/>
    <w:rsid w:val="00B02978"/>
    <w:rsid w:val="00B02A71"/>
    <w:rsid w:val="00B02D4D"/>
    <w:rsid w:val="00B030E2"/>
    <w:rsid w:val="00B03331"/>
    <w:rsid w:val="00B03374"/>
    <w:rsid w:val="00B034D8"/>
    <w:rsid w:val="00B03661"/>
    <w:rsid w:val="00B037AC"/>
    <w:rsid w:val="00B03E58"/>
    <w:rsid w:val="00B0409F"/>
    <w:rsid w:val="00B041B7"/>
    <w:rsid w:val="00B04307"/>
    <w:rsid w:val="00B047C2"/>
    <w:rsid w:val="00B047F0"/>
    <w:rsid w:val="00B04988"/>
    <w:rsid w:val="00B04CB1"/>
    <w:rsid w:val="00B05581"/>
    <w:rsid w:val="00B055D5"/>
    <w:rsid w:val="00B05635"/>
    <w:rsid w:val="00B056BB"/>
    <w:rsid w:val="00B05751"/>
    <w:rsid w:val="00B059AE"/>
    <w:rsid w:val="00B05B3B"/>
    <w:rsid w:val="00B05C05"/>
    <w:rsid w:val="00B0605B"/>
    <w:rsid w:val="00B06341"/>
    <w:rsid w:val="00B06546"/>
    <w:rsid w:val="00B067C3"/>
    <w:rsid w:val="00B06825"/>
    <w:rsid w:val="00B06C9D"/>
    <w:rsid w:val="00B06CCD"/>
    <w:rsid w:val="00B070F6"/>
    <w:rsid w:val="00B0739A"/>
    <w:rsid w:val="00B07441"/>
    <w:rsid w:val="00B07585"/>
    <w:rsid w:val="00B07620"/>
    <w:rsid w:val="00B0765C"/>
    <w:rsid w:val="00B07BCD"/>
    <w:rsid w:val="00B07DBA"/>
    <w:rsid w:val="00B07F1A"/>
    <w:rsid w:val="00B10083"/>
    <w:rsid w:val="00B106BD"/>
    <w:rsid w:val="00B10704"/>
    <w:rsid w:val="00B1090D"/>
    <w:rsid w:val="00B1092B"/>
    <w:rsid w:val="00B109F9"/>
    <w:rsid w:val="00B10C19"/>
    <w:rsid w:val="00B10E63"/>
    <w:rsid w:val="00B110FE"/>
    <w:rsid w:val="00B11112"/>
    <w:rsid w:val="00B111EC"/>
    <w:rsid w:val="00B113AA"/>
    <w:rsid w:val="00B1175B"/>
    <w:rsid w:val="00B117FE"/>
    <w:rsid w:val="00B1191B"/>
    <w:rsid w:val="00B11D80"/>
    <w:rsid w:val="00B12706"/>
    <w:rsid w:val="00B12799"/>
    <w:rsid w:val="00B128C2"/>
    <w:rsid w:val="00B128FC"/>
    <w:rsid w:val="00B12965"/>
    <w:rsid w:val="00B1314F"/>
    <w:rsid w:val="00B13169"/>
    <w:rsid w:val="00B13758"/>
    <w:rsid w:val="00B13E94"/>
    <w:rsid w:val="00B142AE"/>
    <w:rsid w:val="00B1443B"/>
    <w:rsid w:val="00B14553"/>
    <w:rsid w:val="00B146DC"/>
    <w:rsid w:val="00B14E55"/>
    <w:rsid w:val="00B151CF"/>
    <w:rsid w:val="00B15781"/>
    <w:rsid w:val="00B15D29"/>
    <w:rsid w:val="00B1632B"/>
    <w:rsid w:val="00B164DD"/>
    <w:rsid w:val="00B16703"/>
    <w:rsid w:val="00B16978"/>
    <w:rsid w:val="00B169C6"/>
    <w:rsid w:val="00B16C77"/>
    <w:rsid w:val="00B16EAD"/>
    <w:rsid w:val="00B16F20"/>
    <w:rsid w:val="00B17108"/>
    <w:rsid w:val="00B17513"/>
    <w:rsid w:val="00B17844"/>
    <w:rsid w:val="00B17AC0"/>
    <w:rsid w:val="00B17BEE"/>
    <w:rsid w:val="00B17F7D"/>
    <w:rsid w:val="00B200E1"/>
    <w:rsid w:val="00B2010A"/>
    <w:rsid w:val="00B20174"/>
    <w:rsid w:val="00B20443"/>
    <w:rsid w:val="00B20445"/>
    <w:rsid w:val="00B20636"/>
    <w:rsid w:val="00B2074E"/>
    <w:rsid w:val="00B21323"/>
    <w:rsid w:val="00B21AC7"/>
    <w:rsid w:val="00B22199"/>
    <w:rsid w:val="00B222EE"/>
    <w:rsid w:val="00B22348"/>
    <w:rsid w:val="00B2294C"/>
    <w:rsid w:val="00B22F04"/>
    <w:rsid w:val="00B2310B"/>
    <w:rsid w:val="00B232A7"/>
    <w:rsid w:val="00B23787"/>
    <w:rsid w:val="00B237AB"/>
    <w:rsid w:val="00B239A3"/>
    <w:rsid w:val="00B23CC5"/>
    <w:rsid w:val="00B23F7B"/>
    <w:rsid w:val="00B2424A"/>
    <w:rsid w:val="00B2440E"/>
    <w:rsid w:val="00B244C2"/>
    <w:rsid w:val="00B24548"/>
    <w:rsid w:val="00B245F7"/>
    <w:rsid w:val="00B247AD"/>
    <w:rsid w:val="00B25B7E"/>
    <w:rsid w:val="00B25C5F"/>
    <w:rsid w:val="00B25D05"/>
    <w:rsid w:val="00B25D92"/>
    <w:rsid w:val="00B25E3A"/>
    <w:rsid w:val="00B263BE"/>
    <w:rsid w:val="00B2648E"/>
    <w:rsid w:val="00B26622"/>
    <w:rsid w:val="00B26669"/>
    <w:rsid w:val="00B26E49"/>
    <w:rsid w:val="00B26F49"/>
    <w:rsid w:val="00B27254"/>
    <w:rsid w:val="00B27366"/>
    <w:rsid w:val="00B276B4"/>
    <w:rsid w:val="00B27C63"/>
    <w:rsid w:val="00B27D49"/>
    <w:rsid w:val="00B300DB"/>
    <w:rsid w:val="00B303F6"/>
    <w:rsid w:val="00B30547"/>
    <w:rsid w:val="00B306A6"/>
    <w:rsid w:val="00B306FC"/>
    <w:rsid w:val="00B307B7"/>
    <w:rsid w:val="00B308C9"/>
    <w:rsid w:val="00B30C71"/>
    <w:rsid w:val="00B311CF"/>
    <w:rsid w:val="00B3134C"/>
    <w:rsid w:val="00B31386"/>
    <w:rsid w:val="00B314E2"/>
    <w:rsid w:val="00B315E9"/>
    <w:rsid w:val="00B31AB7"/>
    <w:rsid w:val="00B31E89"/>
    <w:rsid w:val="00B32666"/>
    <w:rsid w:val="00B32698"/>
    <w:rsid w:val="00B329EB"/>
    <w:rsid w:val="00B32CDC"/>
    <w:rsid w:val="00B331E5"/>
    <w:rsid w:val="00B332A0"/>
    <w:rsid w:val="00B3342E"/>
    <w:rsid w:val="00B334C4"/>
    <w:rsid w:val="00B33652"/>
    <w:rsid w:val="00B3373D"/>
    <w:rsid w:val="00B33823"/>
    <w:rsid w:val="00B33AE1"/>
    <w:rsid w:val="00B33D24"/>
    <w:rsid w:val="00B34193"/>
    <w:rsid w:val="00B34225"/>
    <w:rsid w:val="00B34526"/>
    <w:rsid w:val="00B347FE"/>
    <w:rsid w:val="00B34F39"/>
    <w:rsid w:val="00B3512D"/>
    <w:rsid w:val="00B3576C"/>
    <w:rsid w:val="00B35968"/>
    <w:rsid w:val="00B35CB7"/>
    <w:rsid w:val="00B36028"/>
    <w:rsid w:val="00B36310"/>
    <w:rsid w:val="00B3645D"/>
    <w:rsid w:val="00B36560"/>
    <w:rsid w:val="00B367E0"/>
    <w:rsid w:val="00B371AE"/>
    <w:rsid w:val="00B3740B"/>
    <w:rsid w:val="00B378FF"/>
    <w:rsid w:val="00B37A10"/>
    <w:rsid w:val="00B37C1D"/>
    <w:rsid w:val="00B37D7D"/>
    <w:rsid w:val="00B37EEC"/>
    <w:rsid w:val="00B40061"/>
    <w:rsid w:val="00B40064"/>
    <w:rsid w:val="00B407E4"/>
    <w:rsid w:val="00B4088D"/>
    <w:rsid w:val="00B40AC9"/>
    <w:rsid w:val="00B40FD8"/>
    <w:rsid w:val="00B411DC"/>
    <w:rsid w:val="00B41269"/>
    <w:rsid w:val="00B412C3"/>
    <w:rsid w:val="00B41971"/>
    <w:rsid w:val="00B41BD4"/>
    <w:rsid w:val="00B41E2E"/>
    <w:rsid w:val="00B41E3A"/>
    <w:rsid w:val="00B4221A"/>
    <w:rsid w:val="00B4231D"/>
    <w:rsid w:val="00B4244C"/>
    <w:rsid w:val="00B4244F"/>
    <w:rsid w:val="00B42563"/>
    <w:rsid w:val="00B4272C"/>
    <w:rsid w:val="00B427D7"/>
    <w:rsid w:val="00B42812"/>
    <w:rsid w:val="00B428E6"/>
    <w:rsid w:val="00B428EC"/>
    <w:rsid w:val="00B429E4"/>
    <w:rsid w:val="00B429E7"/>
    <w:rsid w:val="00B42A49"/>
    <w:rsid w:val="00B42C55"/>
    <w:rsid w:val="00B42E32"/>
    <w:rsid w:val="00B42FD9"/>
    <w:rsid w:val="00B4324D"/>
    <w:rsid w:val="00B43377"/>
    <w:rsid w:val="00B43400"/>
    <w:rsid w:val="00B43505"/>
    <w:rsid w:val="00B4381F"/>
    <w:rsid w:val="00B438F1"/>
    <w:rsid w:val="00B43A78"/>
    <w:rsid w:val="00B43BAD"/>
    <w:rsid w:val="00B43FA5"/>
    <w:rsid w:val="00B44000"/>
    <w:rsid w:val="00B4455E"/>
    <w:rsid w:val="00B44564"/>
    <w:rsid w:val="00B4472B"/>
    <w:rsid w:val="00B44F1E"/>
    <w:rsid w:val="00B44F7A"/>
    <w:rsid w:val="00B4511D"/>
    <w:rsid w:val="00B452D2"/>
    <w:rsid w:val="00B45420"/>
    <w:rsid w:val="00B45602"/>
    <w:rsid w:val="00B459FD"/>
    <w:rsid w:val="00B45AB2"/>
    <w:rsid w:val="00B468C1"/>
    <w:rsid w:val="00B46DA6"/>
    <w:rsid w:val="00B46DAE"/>
    <w:rsid w:val="00B46EDF"/>
    <w:rsid w:val="00B470F5"/>
    <w:rsid w:val="00B47372"/>
    <w:rsid w:val="00B473E7"/>
    <w:rsid w:val="00B47684"/>
    <w:rsid w:val="00B47EC2"/>
    <w:rsid w:val="00B50282"/>
    <w:rsid w:val="00B502ED"/>
    <w:rsid w:val="00B5058A"/>
    <w:rsid w:val="00B50A44"/>
    <w:rsid w:val="00B50FB7"/>
    <w:rsid w:val="00B5117E"/>
    <w:rsid w:val="00B512E9"/>
    <w:rsid w:val="00B514D0"/>
    <w:rsid w:val="00B517AE"/>
    <w:rsid w:val="00B51E8D"/>
    <w:rsid w:val="00B52013"/>
    <w:rsid w:val="00B523DB"/>
    <w:rsid w:val="00B527C3"/>
    <w:rsid w:val="00B52979"/>
    <w:rsid w:val="00B52D3F"/>
    <w:rsid w:val="00B53045"/>
    <w:rsid w:val="00B53370"/>
    <w:rsid w:val="00B5351E"/>
    <w:rsid w:val="00B5399C"/>
    <w:rsid w:val="00B53B80"/>
    <w:rsid w:val="00B5422E"/>
    <w:rsid w:val="00B54417"/>
    <w:rsid w:val="00B548EB"/>
    <w:rsid w:val="00B549E3"/>
    <w:rsid w:val="00B54E33"/>
    <w:rsid w:val="00B54F77"/>
    <w:rsid w:val="00B5528B"/>
    <w:rsid w:val="00B55414"/>
    <w:rsid w:val="00B55524"/>
    <w:rsid w:val="00B5582D"/>
    <w:rsid w:val="00B5583A"/>
    <w:rsid w:val="00B55B1E"/>
    <w:rsid w:val="00B55D98"/>
    <w:rsid w:val="00B55FC3"/>
    <w:rsid w:val="00B560A7"/>
    <w:rsid w:val="00B561A5"/>
    <w:rsid w:val="00B562EE"/>
    <w:rsid w:val="00B56E28"/>
    <w:rsid w:val="00B57246"/>
    <w:rsid w:val="00B5727B"/>
    <w:rsid w:val="00B572BE"/>
    <w:rsid w:val="00B575BF"/>
    <w:rsid w:val="00B57D32"/>
    <w:rsid w:val="00B57EE0"/>
    <w:rsid w:val="00B60472"/>
    <w:rsid w:val="00B60A0D"/>
    <w:rsid w:val="00B60AD0"/>
    <w:rsid w:val="00B60E75"/>
    <w:rsid w:val="00B61113"/>
    <w:rsid w:val="00B612EA"/>
    <w:rsid w:val="00B61559"/>
    <w:rsid w:val="00B6158D"/>
    <w:rsid w:val="00B61815"/>
    <w:rsid w:val="00B61907"/>
    <w:rsid w:val="00B61A4C"/>
    <w:rsid w:val="00B61C66"/>
    <w:rsid w:val="00B61E89"/>
    <w:rsid w:val="00B61F27"/>
    <w:rsid w:val="00B62266"/>
    <w:rsid w:val="00B62279"/>
    <w:rsid w:val="00B62463"/>
    <w:rsid w:val="00B62604"/>
    <w:rsid w:val="00B6277D"/>
    <w:rsid w:val="00B62794"/>
    <w:rsid w:val="00B62839"/>
    <w:rsid w:val="00B62D2C"/>
    <w:rsid w:val="00B62D8E"/>
    <w:rsid w:val="00B62DF2"/>
    <w:rsid w:val="00B63100"/>
    <w:rsid w:val="00B63408"/>
    <w:rsid w:val="00B63611"/>
    <w:rsid w:val="00B63A54"/>
    <w:rsid w:val="00B63ACD"/>
    <w:rsid w:val="00B63D2E"/>
    <w:rsid w:val="00B63D64"/>
    <w:rsid w:val="00B63DC6"/>
    <w:rsid w:val="00B63EC1"/>
    <w:rsid w:val="00B6405C"/>
    <w:rsid w:val="00B641F5"/>
    <w:rsid w:val="00B642F3"/>
    <w:rsid w:val="00B64765"/>
    <w:rsid w:val="00B64833"/>
    <w:rsid w:val="00B648DE"/>
    <w:rsid w:val="00B64A0F"/>
    <w:rsid w:val="00B64D82"/>
    <w:rsid w:val="00B6537C"/>
    <w:rsid w:val="00B65392"/>
    <w:rsid w:val="00B6572D"/>
    <w:rsid w:val="00B658FA"/>
    <w:rsid w:val="00B65B14"/>
    <w:rsid w:val="00B65DDD"/>
    <w:rsid w:val="00B65E56"/>
    <w:rsid w:val="00B662E3"/>
    <w:rsid w:val="00B663EF"/>
    <w:rsid w:val="00B66A87"/>
    <w:rsid w:val="00B66B2E"/>
    <w:rsid w:val="00B66BBC"/>
    <w:rsid w:val="00B66C56"/>
    <w:rsid w:val="00B66DAF"/>
    <w:rsid w:val="00B66FCC"/>
    <w:rsid w:val="00B66FF7"/>
    <w:rsid w:val="00B67009"/>
    <w:rsid w:val="00B670DB"/>
    <w:rsid w:val="00B6754F"/>
    <w:rsid w:val="00B67724"/>
    <w:rsid w:val="00B67BFF"/>
    <w:rsid w:val="00B67C54"/>
    <w:rsid w:val="00B7052D"/>
    <w:rsid w:val="00B705EA"/>
    <w:rsid w:val="00B707B3"/>
    <w:rsid w:val="00B70857"/>
    <w:rsid w:val="00B70EA3"/>
    <w:rsid w:val="00B7124A"/>
    <w:rsid w:val="00B712D0"/>
    <w:rsid w:val="00B712FC"/>
    <w:rsid w:val="00B713B0"/>
    <w:rsid w:val="00B71492"/>
    <w:rsid w:val="00B71576"/>
    <w:rsid w:val="00B71664"/>
    <w:rsid w:val="00B72155"/>
    <w:rsid w:val="00B727E9"/>
    <w:rsid w:val="00B72AD2"/>
    <w:rsid w:val="00B72DCF"/>
    <w:rsid w:val="00B72EC1"/>
    <w:rsid w:val="00B73022"/>
    <w:rsid w:val="00B7324B"/>
    <w:rsid w:val="00B73774"/>
    <w:rsid w:val="00B737DB"/>
    <w:rsid w:val="00B73C5C"/>
    <w:rsid w:val="00B74081"/>
    <w:rsid w:val="00B74336"/>
    <w:rsid w:val="00B74B2A"/>
    <w:rsid w:val="00B75007"/>
    <w:rsid w:val="00B75088"/>
    <w:rsid w:val="00B750E5"/>
    <w:rsid w:val="00B751B5"/>
    <w:rsid w:val="00B757E5"/>
    <w:rsid w:val="00B75B6C"/>
    <w:rsid w:val="00B761C3"/>
    <w:rsid w:val="00B7623B"/>
    <w:rsid w:val="00B76287"/>
    <w:rsid w:val="00B7629D"/>
    <w:rsid w:val="00B76561"/>
    <w:rsid w:val="00B76B74"/>
    <w:rsid w:val="00B76CE3"/>
    <w:rsid w:val="00B7717C"/>
    <w:rsid w:val="00B7721E"/>
    <w:rsid w:val="00B7764D"/>
    <w:rsid w:val="00B77C31"/>
    <w:rsid w:val="00B77CC4"/>
    <w:rsid w:val="00B77ED5"/>
    <w:rsid w:val="00B8032F"/>
    <w:rsid w:val="00B804EB"/>
    <w:rsid w:val="00B805C2"/>
    <w:rsid w:val="00B8067C"/>
    <w:rsid w:val="00B80784"/>
    <w:rsid w:val="00B80A79"/>
    <w:rsid w:val="00B80ACA"/>
    <w:rsid w:val="00B80DA9"/>
    <w:rsid w:val="00B80FBE"/>
    <w:rsid w:val="00B8101A"/>
    <w:rsid w:val="00B8120F"/>
    <w:rsid w:val="00B8180F"/>
    <w:rsid w:val="00B81A91"/>
    <w:rsid w:val="00B81F38"/>
    <w:rsid w:val="00B820B5"/>
    <w:rsid w:val="00B82889"/>
    <w:rsid w:val="00B831AB"/>
    <w:rsid w:val="00B83300"/>
    <w:rsid w:val="00B83565"/>
    <w:rsid w:val="00B8383F"/>
    <w:rsid w:val="00B83938"/>
    <w:rsid w:val="00B839F7"/>
    <w:rsid w:val="00B83B62"/>
    <w:rsid w:val="00B8427A"/>
    <w:rsid w:val="00B8458C"/>
    <w:rsid w:val="00B846C0"/>
    <w:rsid w:val="00B847B7"/>
    <w:rsid w:val="00B84809"/>
    <w:rsid w:val="00B84A39"/>
    <w:rsid w:val="00B84DE1"/>
    <w:rsid w:val="00B85210"/>
    <w:rsid w:val="00B8535F"/>
    <w:rsid w:val="00B8595B"/>
    <w:rsid w:val="00B86561"/>
    <w:rsid w:val="00B867A8"/>
    <w:rsid w:val="00B86931"/>
    <w:rsid w:val="00B86BB4"/>
    <w:rsid w:val="00B8708F"/>
    <w:rsid w:val="00B87751"/>
    <w:rsid w:val="00B8779C"/>
    <w:rsid w:val="00B8781D"/>
    <w:rsid w:val="00B87825"/>
    <w:rsid w:val="00B878CD"/>
    <w:rsid w:val="00B87A3B"/>
    <w:rsid w:val="00B87AB2"/>
    <w:rsid w:val="00B87B6B"/>
    <w:rsid w:val="00B87BE3"/>
    <w:rsid w:val="00B8CD9B"/>
    <w:rsid w:val="00B903D3"/>
    <w:rsid w:val="00B909DE"/>
    <w:rsid w:val="00B913C3"/>
    <w:rsid w:val="00B918FF"/>
    <w:rsid w:val="00B91CB1"/>
    <w:rsid w:val="00B91E71"/>
    <w:rsid w:val="00B91EBD"/>
    <w:rsid w:val="00B92213"/>
    <w:rsid w:val="00B9249A"/>
    <w:rsid w:val="00B9249B"/>
    <w:rsid w:val="00B930B3"/>
    <w:rsid w:val="00B93662"/>
    <w:rsid w:val="00B937FD"/>
    <w:rsid w:val="00B939D7"/>
    <w:rsid w:val="00B93A20"/>
    <w:rsid w:val="00B94050"/>
    <w:rsid w:val="00B94107"/>
    <w:rsid w:val="00B9426B"/>
    <w:rsid w:val="00B94348"/>
    <w:rsid w:val="00B94360"/>
    <w:rsid w:val="00B9442C"/>
    <w:rsid w:val="00B94445"/>
    <w:rsid w:val="00B94F5D"/>
    <w:rsid w:val="00B95211"/>
    <w:rsid w:val="00B9536C"/>
    <w:rsid w:val="00B95774"/>
    <w:rsid w:val="00B9585B"/>
    <w:rsid w:val="00B95973"/>
    <w:rsid w:val="00B95B0F"/>
    <w:rsid w:val="00B96120"/>
    <w:rsid w:val="00B972BA"/>
    <w:rsid w:val="00B976A7"/>
    <w:rsid w:val="00B9780E"/>
    <w:rsid w:val="00B97FA3"/>
    <w:rsid w:val="00B97FE5"/>
    <w:rsid w:val="00BA05DC"/>
    <w:rsid w:val="00BA08E1"/>
    <w:rsid w:val="00BA0FC5"/>
    <w:rsid w:val="00BA1120"/>
    <w:rsid w:val="00BA163B"/>
    <w:rsid w:val="00BA16CC"/>
    <w:rsid w:val="00BA18CB"/>
    <w:rsid w:val="00BA18E4"/>
    <w:rsid w:val="00BA1AF4"/>
    <w:rsid w:val="00BA1CC7"/>
    <w:rsid w:val="00BA1DC8"/>
    <w:rsid w:val="00BA1FFB"/>
    <w:rsid w:val="00BA2181"/>
    <w:rsid w:val="00BA24A9"/>
    <w:rsid w:val="00BA258B"/>
    <w:rsid w:val="00BA28A8"/>
    <w:rsid w:val="00BA2B3F"/>
    <w:rsid w:val="00BA3720"/>
    <w:rsid w:val="00BA4067"/>
    <w:rsid w:val="00BA4072"/>
    <w:rsid w:val="00BA410A"/>
    <w:rsid w:val="00BA41CA"/>
    <w:rsid w:val="00BA43C1"/>
    <w:rsid w:val="00BA43ED"/>
    <w:rsid w:val="00BA43FA"/>
    <w:rsid w:val="00BA4748"/>
    <w:rsid w:val="00BA4C98"/>
    <w:rsid w:val="00BA4E01"/>
    <w:rsid w:val="00BA4E11"/>
    <w:rsid w:val="00BA4E45"/>
    <w:rsid w:val="00BA55E3"/>
    <w:rsid w:val="00BA575F"/>
    <w:rsid w:val="00BA5768"/>
    <w:rsid w:val="00BA59FB"/>
    <w:rsid w:val="00BA5C48"/>
    <w:rsid w:val="00BA5CD6"/>
    <w:rsid w:val="00BA68E9"/>
    <w:rsid w:val="00BA699C"/>
    <w:rsid w:val="00BA6F2C"/>
    <w:rsid w:val="00BA70EF"/>
    <w:rsid w:val="00BA7196"/>
    <w:rsid w:val="00BA721E"/>
    <w:rsid w:val="00BA7594"/>
    <w:rsid w:val="00BA798E"/>
    <w:rsid w:val="00BA7FAD"/>
    <w:rsid w:val="00BB01EA"/>
    <w:rsid w:val="00BB037A"/>
    <w:rsid w:val="00BB04A0"/>
    <w:rsid w:val="00BB04C3"/>
    <w:rsid w:val="00BB052E"/>
    <w:rsid w:val="00BB084E"/>
    <w:rsid w:val="00BB0E93"/>
    <w:rsid w:val="00BB1455"/>
    <w:rsid w:val="00BB14A3"/>
    <w:rsid w:val="00BB1599"/>
    <w:rsid w:val="00BB1625"/>
    <w:rsid w:val="00BB182F"/>
    <w:rsid w:val="00BB1EFB"/>
    <w:rsid w:val="00BB2365"/>
    <w:rsid w:val="00BB2425"/>
    <w:rsid w:val="00BB2608"/>
    <w:rsid w:val="00BB2987"/>
    <w:rsid w:val="00BB2BFF"/>
    <w:rsid w:val="00BB33A1"/>
    <w:rsid w:val="00BB36E2"/>
    <w:rsid w:val="00BB3A88"/>
    <w:rsid w:val="00BB3AD1"/>
    <w:rsid w:val="00BB3D18"/>
    <w:rsid w:val="00BB3E15"/>
    <w:rsid w:val="00BB3E76"/>
    <w:rsid w:val="00BB4013"/>
    <w:rsid w:val="00BB4077"/>
    <w:rsid w:val="00BB46B6"/>
    <w:rsid w:val="00BB4F77"/>
    <w:rsid w:val="00BB50CA"/>
    <w:rsid w:val="00BB53DF"/>
    <w:rsid w:val="00BB570C"/>
    <w:rsid w:val="00BB5C63"/>
    <w:rsid w:val="00BB5CD4"/>
    <w:rsid w:val="00BB614C"/>
    <w:rsid w:val="00BB61B9"/>
    <w:rsid w:val="00BB627C"/>
    <w:rsid w:val="00BB6369"/>
    <w:rsid w:val="00BB650C"/>
    <w:rsid w:val="00BB6AA9"/>
    <w:rsid w:val="00BB6C04"/>
    <w:rsid w:val="00BB6C5E"/>
    <w:rsid w:val="00BB6F33"/>
    <w:rsid w:val="00BB6FAE"/>
    <w:rsid w:val="00BB75DC"/>
    <w:rsid w:val="00BB766B"/>
    <w:rsid w:val="00BB7AD3"/>
    <w:rsid w:val="00BB7B8D"/>
    <w:rsid w:val="00BB7C7B"/>
    <w:rsid w:val="00BB7E4B"/>
    <w:rsid w:val="00BB7EE9"/>
    <w:rsid w:val="00BC0217"/>
    <w:rsid w:val="00BC0247"/>
    <w:rsid w:val="00BC03F1"/>
    <w:rsid w:val="00BC0C36"/>
    <w:rsid w:val="00BC0EBB"/>
    <w:rsid w:val="00BC0EBC"/>
    <w:rsid w:val="00BC13DD"/>
    <w:rsid w:val="00BC15DE"/>
    <w:rsid w:val="00BC170C"/>
    <w:rsid w:val="00BC17C8"/>
    <w:rsid w:val="00BC1911"/>
    <w:rsid w:val="00BC194C"/>
    <w:rsid w:val="00BC1A60"/>
    <w:rsid w:val="00BC1CE2"/>
    <w:rsid w:val="00BC1EFE"/>
    <w:rsid w:val="00BC26C0"/>
    <w:rsid w:val="00BC26EB"/>
    <w:rsid w:val="00BC2A9A"/>
    <w:rsid w:val="00BC2DAF"/>
    <w:rsid w:val="00BC2EAF"/>
    <w:rsid w:val="00BC3220"/>
    <w:rsid w:val="00BC360B"/>
    <w:rsid w:val="00BC369C"/>
    <w:rsid w:val="00BC3910"/>
    <w:rsid w:val="00BC3C7D"/>
    <w:rsid w:val="00BC3E40"/>
    <w:rsid w:val="00BC3EC2"/>
    <w:rsid w:val="00BC43F5"/>
    <w:rsid w:val="00BC4972"/>
    <w:rsid w:val="00BC5424"/>
    <w:rsid w:val="00BC54D6"/>
    <w:rsid w:val="00BC5525"/>
    <w:rsid w:val="00BC562E"/>
    <w:rsid w:val="00BC5C3B"/>
    <w:rsid w:val="00BC5F23"/>
    <w:rsid w:val="00BC6167"/>
    <w:rsid w:val="00BC64AD"/>
    <w:rsid w:val="00BC6897"/>
    <w:rsid w:val="00BC6BBE"/>
    <w:rsid w:val="00BC6CAC"/>
    <w:rsid w:val="00BC7060"/>
    <w:rsid w:val="00BC7152"/>
    <w:rsid w:val="00BC7A5C"/>
    <w:rsid w:val="00BD0033"/>
    <w:rsid w:val="00BD005B"/>
    <w:rsid w:val="00BD04D5"/>
    <w:rsid w:val="00BD0560"/>
    <w:rsid w:val="00BD07CF"/>
    <w:rsid w:val="00BD0D6B"/>
    <w:rsid w:val="00BD0FF6"/>
    <w:rsid w:val="00BD1247"/>
    <w:rsid w:val="00BD129C"/>
    <w:rsid w:val="00BD1469"/>
    <w:rsid w:val="00BD14F9"/>
    <w:rsid w:val="00BD1AB5"/>
    <w:rsid w:val="00BD1AE1"/>
    <w:rsid w:val="00BD1B8D"/>
    <w:rsid w:val="00BD1C36"/>
    <w:rsid w:val="00BD2070"/>
    <w:rsid w:val="00BD21AC"/>
    <w:rsid w:val="00BD256F"/>
    <w:rsid w:val="00BD284C"/>
    <w:rsid w:val="00BD2A51"/>
    <w:rsid w:val="00BD2C89"/>
    <w:rsid w:val="00BD2D35"/>
    <w:rsid w:val="00BD3332"/>
    <w:rsid w:val="00BD33D4"/>
    <w:rsid w:val="00BD345F"/>
    <w:rsid w:val="00BD35ED"/>
    <w:rsid w:val="00BD3995"/>
    <w:rsid w:val="00BD3B10"/>
    <w:rsid w:val="00BD3DAF"/>
    <w:rsid w:val="00BD3F74"/>
    <w:rsid w:val="00BD40B1"/>
    <w:rsid w:val="00BD4659"/>
    <w:rsid w:val="00BD4A4C"/>
    <w:rsid w:val="00BD4BAB"/>
    <w:rsid w:val="00BD5523"/>
    <w:rsid w:val="00BD555E"/>
    <w:rsid w:val="00BD55A0"/>
    <w:rsid w:val="00BD55C6"/>
    <w:rsid w:val="00BD56C3"/>
    <w:rsid w:val="00BD6549"/>
    <w:rsid w:val="00BD6649"/>
    <w:rsid w:val="00BD6A19"/>
    <w:rsid w:val="00BD6CC8"/>
    <w:rsid w:val="00BD70C2"/>
    <w:rsid w:val="00BD73AA"/>
    <w:rsid w:val="00BD7632"/>
    <w:rsid w:val="00BD7972"/>
    <w:rsid w:val="00BD7CE1"/>
    <w:rsid w:val="00BD7D3E"/>
    <w:rsid w:val="00BD7FB5"/>
    <w:rsid w:val="00BE01D5"/>
    <w:rsid w:val="00BE0A80"/>
    <w:rsid w:val="00BE0B2C"/>
    <w:rsid w:val="00BE0C34"/>
    <w:rsid w:val="00BE19F4"/>
    <w:rsid w:val="00BE1D7B"/>
    <w:rsid w:val="00BE2172"/>
    <w:rsid w:val="00BE28E8"/>
    <w:rsid w:val="00BE2974"/>
    <w:rsid w:val="00BE2BB1"/>
    <w:rsid w:val="00BE2E2C"/>
    <w:rsid w:val="00BE31F2"/>
    <w:rsid w:val="00BE3342"/>
    <w:rsid w:val="00BE3460"/>
    <w:rsid w:val="00BE36D5"/>
    <w:rsid w:val="00BE380D"/>
    <w:rsid w:val="00BE381D"/>
    <w:rsid w:val="00BE3B97"/>
    <w:rsid w:val="00BE3ED7"/>
    <w:rsid w:val="00BE428A"/>
    <w:rsid w:val="00BE47BF"/>
    <w:rsid w:val="00BE480C"/>
    <w:rsid w:val="00BE48E4"/>
    <w:rsid w:val="00BE5374"/>
    <w:rsid w:val="00BE5689"/>
    <w:rsid w:val="00BE56B8"/>
    <w:rsid w:val="00BE571D"/>
    <w:rsid w:val="00BE5754"/>
    <w:rsid w:val="00BE590F"/>
    <w:rsid w:val="00BE592F"/>
    <w:rsid w:val="00BE59AD"/>
    <w:rsid w:val="00BE5AE8"/>
    <w:rsid w:val="00BE5AF5"/>
    <w:rsid w:val="00BE627A"/>
    <w:rsid w:val="00BE6341"/>
    <w:rsid w:val="00BE68D5"/>
    <w:rsid w:val="00BE6A33"/>
    <w:rsid w:val="00BE6CE8"/>
    <w:rsid w:val="00BE71D7"/>
    <w:rsid w:val="00BE7328"/>
    <w:rsid w:val="00BE7433"/>
    <w:rsid w:val="00BE7525"/>
    <w:rsid w:val="00BE7671"/>
    <w:rsid w:val="00BE7B85"/>
    <w:rsid w:val="00BE7DFD"/>
    <w:rsid w:val="00BF021D"/>
    <w:rsid w:val="00BF0312"/>
    <w:rsid w:val="00BF0B60"/>
    <w:rsid w:val="00BF0DD8"/>
    <w:rsid w:val="00BF0E20"/>
    <w:rsid w:val="00BF0F17"/>
    <w:rsid w:val="00BF13AF"/>
    <w:rsid w:val="00BF1661"/>
    <w:rsid w:val="00BF1CB4"/>
    <w:rsid w:val="00BF1D68"/>
    <w:rsid w:val="00BF1F38"/>
    <w:rsid w:val="00BF2612"/>
    <w:rsid w:val="00BF2D74"/>
    <w:rsid w:val="00BF338E"/>
    <w:rsid w:val="00BF35E0"/>
    <w:rsid w:val="00BF3946"/>
    <w:rsid w:val="00BF3A1E"/>
    <w:rsid w:val="00BF3AC5"/>
    <w:rsid w:val="00BF410E"/>
    <w:rsid w:val="00BF429A"/>
    <w:rsid w:val="00BF46A5"/>
    <w:rsid w:val="00BF4848"/>
    <w:rsid w:val="00BF4E68"/>
    <w:rsid w:val="00BF4FF1"/>
    <w:rsid w:val="00BF5741"/>
    <w:rsid w:val="00BF57C3"/>
    <w:rsid w:val="00BF5891"/>
    <w:rsid w:val="00BF5A7B"/>
    <w:rsid w:val="00BF5C46"/>
    <w:rsid w:val="00BF5CD7"/>
    <w:rsid w:val="00BF647C"/>
    <w:rsid w:val="00BF6870"/>
    <w:rsid w:val="00BF69EE"/>
    <w:rsid w:val="00BF6FE4"/>
    <w:rsid w:val="00BF74BD"/>
    <w:rsid w:val="00BF7625"/>
    <w:rsid w:val="00BF780B"/>
    <w:rsid w:val="00BF7819"/>
    <w:rsid w:val="00BF7BA9"/>
    <w:rsid w:val="00BF7C54"/>
    <w:rsid w:val="00BF7C69"/>
    <w:rsid w:val="00C00068"/>
    <w:rsid w:val="00C001D4"/>
    <w:rsid w:val="00C0040A"/>
    <w:rsid w:val="00C008DC"/>
    <w:rsid w:val="00C00A7F"/>
    <w:rsid w:val="00C00B1C"/>
    <w:rsid w:val="00C00D55"/>
    <w:rsid w:val="00C00F27"/>
    <w:rsid w:val="00C0114F"/>
    <w:rsid w:val="00C01401"/>
    <w:rsid w:val="00C015DB"/>
    <w:rsid w:val="00C01655"/>
    <w:rsid w:val="00C016FF"/>
    <w:rsid w:val="00C01716"/>
    <w:rsid w:val="00C0184B"/>
    <w:rsid w:val="00C01A4F"/>
    <w:rsid w:val="00C01D5F"/>
    <w:rsid w:val="00C01F3F"/>
    <w:rsid w:val="00C022EB"/>
    <w:rsid w:val="00C0252C"/>
    <w:rsid w:val="00C025EB"/>
    <w:rsid w:val="00C026DD"/>
    <w:rsid w:val="00C027E3"/>
    <w:rsid w:val="00C02C9F"/>
    <w:rsid w:val="00C02DE1"/>
    <w:rsid w:val="00C02F39"/>
    <w:rsid w:val="00C03428"/>
    <w:rsid w:val="00C0345A"/>
    <w:rsid w:val="00C03511"/>
    <w:rsid w:val="00C0362A"/>
    <w:rsid w:val="00C0394D"/>
    <w:rsid w:val="00C03A9F"/>
    <w:rsid w:val="00C03C68"/>
    <w:rsid w:val="00C03EB8"/>
    <w:rsid w:val="00C03FDB"/>
    <w:rsid w:val="00C04861"/>
    <w:rsid w:val="00C04C3A"/>
    <w:rsid w:val="00C04E94"/>
    <w:rsid w:val="00C04F8C"/>
    <w:rsid w:val="00C0544E"/>
    <w:rsid w:val="00C0549A"/>
    <w:rsid w:val="00C05700"/>
    <w:rsid w:val="00C05A5F"/>
    <w:rsid w:val="00C05CFD"/>
    <w:rsid w:val="00C0603F"/>
    <w:rsid w:val="00C0607C"/>
    <w:rsid w:val="00C06283"/>
    <w:rsid w:val="00C06615"/>
    <w:rsid w:val="00C0665D"/>
    <w:rsid w:val="00C06720"/>
    <w:rsid w:val="00C06CA7"/>
    <w:rsid w:val="00C06F4E"/>
    <w:rsid w:val="00C070EB"/>
    <w:rsid w:val="00C074CD"/>
    <w:rsid w:val="00C078D8"/>
    <w:rsid w:val="00C07986"/>
    <w:rsid w:val="00C07BF0"/>
    <w:rsid w:val="00C100B3"/>
    <w:rsid w:val="00C1013B"/>
    <w:rsid w:val="00C10193"/>
    <w:rsid w:val="00C1025C"/>
    <w:rsid w:val="00C10291"/>
    <w:rsid w:val="00C10366"/>
    <w:rsid w:val="00C107C3"/>
    <w:rsid w:val="00C107E4"/>
    <w:rsid w:val="00C1097D"/>
    <w:rsid w:val="00C1099E"/>
    <w:rsid w:val="00C10B05"/>
    <w:rsid w:val="00C10B70"/>
    <w:rsid w:val="00C10B8F"/>
    <w:rsid w:val="00C10D65"/>
    <w:rsid w:val="00C10DB0"/>
    <w:rsid w:val="00C10F25"/>
    <w:rsid w:val="00C111FC"/>
    <w:rsid w:val="00C11651"/>
    <w:rsid w:val="00C11874"/>
    <w:rsid w:val="00C11ECE"/>
    <w:rsid w:val="00C12529"/>
    <w:rsid w:val="00C1257F"/>
    <w:rsid w:val="00C1258E"/>
    <w:rsid w:val="00C1259D"/>
    <w:rsid w:val="00C1273F"/>
    <w:rsid w:val="00C12B88"/>
    <w:rsid w:val="00C12D5C"/>
    <w:rsid w:val="00C12D93"/>
    <w:rsid w:val="00C13129"/>
    <w:rsid w:val="00C1351E"/>
    <w:rsid w:val="00C13520"/>
    <w:rsid w:val="00C13527"/>
    <w:rsid w:val="00C13CC1"/>
    <w:rsid w:val="00C13D31"/>
    <w:rsid w:val="00C13EAC"/>
    <w:rsid w:val="00C13F29"/>
    <w:rsid w:val="00C14099"/>
    <w:rsid w:val="00C1470B"/>
    <w:rsid w:val="00C14F9B"/>
    <w:rsid w:val="00C14FAB"/>
    <w:rsid w:val="00C15148"/>
    <w:rsid w:val="00C1532C"/>
    <w:rsid w:val="00C159F5"/>
    <w:rsid w:val="00C15B09"/>
    <w:rsid w:val="00C15C95"/>
    <w:rsid w:val="00C15D80"/>
    <w:rsid w:val="00C15E27"/>
    <w:rsid w:val="00C15F42"/>
    <w:rsid w:val="00C1610B"/>
    <w:rsid w:val="00C1611D"/>
    <w:rsid w:val="00C165BE"/>
    <w:rsid w:val="00C16AC9"/>
    <w:rsid w:val="00C16B70"/>
    <w:rsid w:val="00C16C9A"/>
    <w:rsid w:val="00C171B9"/>
    <w:rsid w:val="00C171E5"/>
    <w:rsid w:val="00C1731D"/>
    <w:rsid w:val="00C174BA"/>
    <w:rsid w:val="00C1754C"/>
    <w:rsid w:val="00C175E4"/>
    <w:rsid w:val="00C17721"/>
    <w:rsid w:val="00C17AE5"/>
    <w:rsid w:val="00C20285"/>
    <w:rsid w:val="00C20405"/>
    <w:rsid w:val="00C20426"/>
    <w:rsid w:val="00C205FB"/>
    <w:rsid w:val="00C20662"/>
    <w:rsid w:val="00C20BE5"/>
    <w:rsid w:val="00C216BF"/>
    <w:rsid w:val="00C2245F"/>
    <w:rsid w:val="00C226F8"/>
    <w:rsid w:val="00C22E5C"/>
    <w:rsid w:val="00C22EE1"/>
    <w:rsid w:val="00C23020"/>
    <w:rsid w:val="00C232E0"/>
    <w:rsid w:val="00C23497"/>
    <w:rsid w:val="00C23C6A"/>
    <w:rsid w:val="00C241ED"/>
    <w:rsid w:val="00C2438B"/>
    <w:rsid w:val="00C24777"/>
    <w:rsid w:val="00C249AE"/>
    <w:rsid w:val="00C24B5E"/>
    <w:rsid w:val="00C24EB2"/>
    <w:rsid w:val="00C252E9"/>
    <w:rsid w:val="00C2534F"/>
    <w:rsid w:val="00C25616"/>
    <w:rsid w:val="00C2588A"/>
    <w:rsid w:val="00C259CB"/>
    <w:rsid w:val="00C25A63"/>
    <w:rsid w:val="00C25C0A"/>
    <w:rsid w:val="00C25DED"/>
    <w:rsid w:val="00C2636F"/>
    <w:rsid w:val="00C264DF"/>
    <w:rsid w:val="00C265E7"/>
    <w:rsid w:val="00C26667"/>
    <w:rsid w:val="00C26A6F"/>
    <w:rsid w:val="00C26A92"/>
    <w:rsid w:val="00C26AF9"/>
    <w:rsid w:val="00C26C4E"/>
    <w:rsid w:val="00C27293"/>
    <w:rsid w:val="00C2770A"/>
    <w:rsid w:val="00C27D1E"/>
    <w:rsid w:val="00C27D36"/>
    <w:rsid w:val="00C30058"/>
    <w:rsid w:val="00C300C9"/>
    <w:rsid w:val="00C301C1"/>
    <w:rsid w:val="00C301E5"/>
    <w:rsid w:val="00C302EB"/>
    <w:rsid w:val="00C30471"/>
    <w:rsid w:val="00C30931"/>
    <w:rsid w:val="00C30D3F"/>
    <w:rsid w:val="00C30FDD"/>
    <w:rsid w:val="00C3104A"/>
    <w:rsid w:val="00C3107E"/>
    <w:rsid w:val="00C314A5"/>
    <w:rsid w:val="00C317A2"/>
    <w:rsid w:val="00C31807"/>
    <w:rsid w:val="00C318CB"/>
    <w:rsid w:val="00C31CAF"/>
    <w:rsid w:val="00C31E6C"/>
    <w:rsid w:val="00C323BC"/>
    <w:rsid w:val="00C323CF"/>
    <w:rsid w:val="00C323ED"/>
    <w:rsid w:val="00C324A5"/>
    <w:rsid w:val="00C324E5"/>
    <w:rsid w:val="00C325F4"/>
    <w:rsid w:val="00C32895"/>
    <w:rsid w:val="00C328F7"/>
    <w:rsid w:val="00C32A74"/>
    <w:rsid w:val="00C32C71"/>
    <w:rsid w:val="00C32D13"/>
    <w:rsid w:val="00C33616"/>
    <w:rsid w:val="00C338E4"/>
    <w:rsid w:val="00C3399F"/>
    <w:rsid w:val="00C339A5"/>
    <w:rsid w:val="00C33A05"/>
    <w:rsid w:val="00C33A66"/>
    <w:rsid w:val="00C33B06"/>
    <w:rsid w:val="00C33FFD"/>
    <w:rsid w:val="00C34240"/>
    <w:rsid w:val="00C342FA"/>
    <w:rsid w:val="00C343FC"/>
    <w:rsid w:val="00C344E0"/>
    <w:rsid w:val="00C346B9"/>
    <w:rsid w:val="00C346EB"/>
    <w:rsid w:val="00C3475E"/>
    <w:rsid w:val="00C34947"/>
    <w:rsid w:val="00C352A3"/>
    <w:rsid w:val="00C3538A"/>
    <w:rsid w:val="00C35473"/>
    <w:rsid w:val="00C35625"/>
    <w:rsid w:val="00C3591E"/>
    <w:rsid w:val="00C35D44"/>
    <w:rsid w:val="00C35D7F"/>
    <w:rsid w:val="00C36317"/>
    <w:rsid w:val="00C3639A"/>
    <w:rsid w:val="00C364F8"/>
    <w:rsid w:val="00C3651F"/>
    <w:rsid w:val="00C365EA"/>
    <w:rsid w:val="00C36633"/>
    <w:rsid w:val="00C367D4"/>
    <w:rsid w:val="00C36E9D"/>
    <w:rsid w:val="00C37002"/>
    <w:rsid w:val="00C37056"/>
    <w:rsid w:val="00C378BF"/>
    <w:rsid w:val="00C378CA"/>
    <w:rsid w:val="00C37965"/>
    <w:rsid w:val="00C37C86"/>
    <w:rsid w:val="00C37CAB"/>
    <w:rsid w:val="00C37D0F"/>
    <w:rsid w:val="00C37FD1"/>
    <w:rsid w:val="00C40259"/>
    <w:rsid w:val="00C402AC"/>
    <w:rsid w:val="00C4051C"/>
    <w:rsid w:val="00C406D5"/>
    <w:rsid w:val="00C407A9"/>
    <w:rsid w:val="00C409AF"/>
    <w:rsid w:val="00C4112F"/>
    <w:rsid w:val="00C412B1"/>
    <w:rsid w:val="00C414C7"/>
    <w:rsid w:val="00C4173A"/>
    <w:rsid w:val="00C4197A"/>
    <w:rsid w:val="00C4198C"/>
    <w:rsid w:val="00C41C6F"/>
    <w:rsid w:val="00C41F73"/>
    <w:rsid w:val="00C42072"/>
    <w:rsid w:val="00C4226F"/>
    <w:rsid w:val="00C422DC"/>
    <w:rsid w:val="00C42589"/>
    <w:rsid w:val="00C425FF"/>
    <w:rsid w:val="00C42AE1"/>
    <w:rsid w:val="00C43119"/>
    <w:rsid w:val="00C43126"/>
    <w:rsid w:val="00C43420"/>
    <w:rsid w:val="00C43672"/>
    <w:rsid w:val="00C43820"/>
    <w:rsid w:val="00C43A99"/>
    <w:rsid w:val="00C440D4"/>
    <w:rsid w:val="00C44294"/>
    <w:rsid w:val="00C442CF"/>
    <w:rsid w:val="00C4436C"/>
    <w:rsid w:val="00C448FE"/>
    <w:rsid w:val="00C44ACD"/>
    <w:rsid w:val="00C44C4D"/>
    <w:rsid w:val="00C44D2E"/>
    <w:rsid w:val="00C44FFA"/>
    <w:rsid w:val="00C45123"/>
    <w:rsid w:val="00C45527"/>
    <w:rsid w:val="00C45706"/>
    <w:rsid w:val="00C45B8A"/>
    <w:rsid w:val="00C461B2"/>
    <w:rsid w:val="00C465EA"/>
    <w:rsid w:val="00C46F3A"/>
    <w:rsid w:val="00C46FA3"/>
    <w:rsid w:val="00C472C0"/>
    <w:rsid w:val="00C47431"/>
    <w:rsid w:val="00C47A52"/>
    <w:rsid w:val="00C47C8E"/>
    <w:rsid w:val="00C47D0C"/>
    <w:rsid w:val="00C47D53"/>
    <w:rsid w:val="00C47FE4"/>
    <w:rsid w:val="00C503F5"/>
    <w:rsid w:val="00C5063F"/>
    <w:rsid w:val="00C509A2"/>
    <w:rsid w:val="00C509CD"/>
    <w:rsid w:val="00C50BB9"/>
    <w:rsid w:val="00C50CB9"/>
    <w:rsid w:val="00C50FCB"/>
    <w:rsid w:val="00C510B6"/>
    <w:rsid w:val="00C51574"/>
    <w:rsid w:val="00C51624"/>
    <w:rsid w:val="00C51765"/>
    <w:rsid w:val="00C51B7B"/>
    <w:rsid w:val="00C51BF4"/>
    <w:rsid w:val="00C52685"/>
    <w:rsid w:val="00C52A21"/>
    <w:rsid w:val="00C52FD1"/>
    <w:rsid w:val="00C5300F"/>
    <w:rsid w:val="00C53311"/>
    <w:rsid w:val="00C53591"/>
    <w:rsid w:val="00C5359B"/>
    <w:rsid w:val="00C536E0"/>
    <w:rsid w:val="00C53779"/>
    <w:rsid w:val="00C53AF7"/>
    <w:rsid w:val="00C53CBB"/>
    <w:rsid w:val="00C53EC9"/>
    <w:rsid w:val="00C54171"/>
    <w:rsid w:val="00C542B9"/>
    <w:rsid w:val="00C54687"/>
    <w:rsid w:val="00C54F03"/>
    <w:rsid w:val="00C554B5"/>
    <w:rsid w:val="00C55F58"/>
    <w:rsid w:val="00C56011"/>
    <w:rsid w:val="00C56362"/>
    <w:rsid w:val="00C5669F"/>
    <w:rsid w:val="00C56EF2"/>
    <w:rsid w:val="00C56FBC"/>
    <w:rsid w:val="00C570A6"/>
    <w:rsid w:val="00C57504"/>
    <w:rsid w:val="00C57613"/>
    <w:rsid w:val="00C577B9"/>
    <w:rsid w:val="00C57809"/>
    <w:rsid w:val="00C57955"/>
    <w:rsid w:val="00C579F3"/>
    <w:rsid w:val="00C57B2D"/>
    <w:rsid w:val="00C57B4A"/>
    <w:rsid w:val="00C57D28"/>
    <w:rsid w:val="00C600B3"/>
    <w:rsid w:val="00C601A8"/>
    <w:rsid w:val="00C603DF"/>
    <w:rsid w:val="00C6043A"/>
    <w:rsid w:val="00C6074D"/>
    <w:rsid w:val="00C60A1D"/>
    <w:rsid w:val="00C60DE1"/>
    <w:rsid w:val="00C60E54"/>
    <w:rsid w:val="00C60F10"/>
    <w:rsid w:val="00C6101B"/>
    <w:rsid w:val="00C610B6"/>
    <w:rsid w:val="00C6142C"/>
    <w:rsid w:val="00C61464"/>
    <w:rsid w:val="00C61B27"/>
    <w:rsid w:val="00C62101"/>
    <w:rsid w:val="00C621BB"/>
    <w:rsid w:val="00C623CA"/>
    <w:rsid w:val="00C62541"/>
    <w:rsid w:val="00C62709"/>
    <w:rsid w:val="00C627FF"/>
    <w:rsid w:val="00C628C8"/>
    <w:rsid w:val="00C63177"/>
    <w:rsid w:val="00C633B8"/>
    <w:rsid w:val="00C633CF"/>
    <w:rsid w:val="00C639B7"/>
    <w:rsid w:val="00C63A8F"/>
    <w:rsid w:val="00C63F17"/>
    <w:rsid w:val="00C6407C"/>
    <w:rsid w:val="00C64291"/>
    <w:rsid w:val="00C643EE"/>
    <w:rsid w:val="00C64688"/>
    <w:rsid w:val="00C64A35"/>
    <w:rsid w:val="00C64AAC"/>
    <w:rsid w:val="00C64AD4"/>
    <w:rsid w:val="00C654C2"/>
    <w:rsid w:val="00C65711"/>
    <w:rsid w:val="00C6584D"/>
    <w:rsid w:val="00C65AB1"/>
    <w:rsid w:val="00C65B7F"/>
    <w:rsid w:val="00C65F53"/>
    <w:rsid w:val="00C65FF5"/>
    <w:rsid w:val="00C660F1"/>
    <w:rsid w:val="00C6616C"/>
    <w:rsid w:val="00C6673C"/>
    <w:rsid w:val="00C66DB5"/>
    <w:rsid w:val="00C66E89"/>
    <w:rsid w:val="00C671A8"/>
    <w:rsid w:val="00C67372"/>
    <w:rsid w:val="00C6757E"/>
    <w:rsid w:val="00C675DC"/>
    <w:rsid w:val="00C6769F"/>
    <w:rsid w:val="00C676C2"/>
    <w:rsid w:val="00C677D9"/>
    <w:rsid w:val="00C67880"/>
    <w:rsid w:val="00C679CB"/>
    <w:rsid w:val="00C67D5D"/>
    <w:rsid w:val="00C67E8E"/>
    <w:rsid w:val="00C70214"/>
    <w:rsid w:val="00C7022A"/>
    <w:rsid w:val="00C702BA"/>
    <w:rsid w:val="00C708F3"/>
    <w:rsid w:val="00C70D8D"/>
    <w:rsid w:val="00C7114B"/>
    <w:rsid w:val="00C71566"/>
    <w:rsid w:val="00C71B37"/>
    <w:rsid w:val="00C71BDF"/>
    <w:rsid w:val="00C71C95"/>
    <w:rsid w:val="00C71DFB"/>
    <w:rsid w:val="00C72177"/>
    <w:rsid w:val="00C72376"/>
    <w:rsid w:val="00C72511"/>
    <w:rsid w:val="00C72B29"/>
    <w:rsid w:val="00C731B7"/>
    <w:rsid w:val="00C735EA"/>
    <w:rsid w:val="00C738A1"/>
    <w:rsid w:val="00C73A75"/>
    <w:rsid w:val="00C740B3"/>
    <w:rsid w:val="00C746EF"/>
    <w:rsid w:val="00C74B8C"/>
    <w:rsid w:val="00C74C90"/>
    <w:rsid w:val="00C74CD4"/>
    <w:rsid w:val="00C74F1A"/>
    <w:rsid w:val="00C75238"/>
    <w:rsid w:val="00C75360"/>
    <w:rsid w:val="00C75587"/>
    <w:rsid w:val="00C75BA9"/>
    <w:rsid w:val="00C75FFD"/>
    <w:rsid w:val="00C7634E"/>
    <w:rsid w:val="00C76916"/>
    <w:rsid w:val="00C7694B"/>
    <w:rsid w:val="00C76AA1"/>
    <w:rsid w:val="00C771D1"/>
    <w:rsid w:val="00C77401"/>
    <w:rsid w:val="00C77408"/>
    <w:rsid w:val="00C776C9"/>
    <w:rsid w:val="00C777A4"/>
    <w:rsid w:val="00C804F6"/>
    <w:rsid w:val="00C805BD"/>
    <w:rsid w:val="00C8083D"/>
    <w:rsid w:val="00C80F68"/>
    <w:rsid w:val="00C80FA6"/>
    <w:rsid w:val="00C810E7"/>
    <w:rsid w:val="00C81487"/>
    <w:rsid w:val="00C81510"/>
    <w:rsid w:val="00C81BE9"/>
    <w:rsid w:val="00C81E60"/>
    <w:rsid w:val="00C81E9A"/>
    <w:rsid w:val="00C82161"/>
    <w:rsid w:val="00C8268F"/>
    <w:rsid w:val="00C82767"/>
    <w:rsid w:val="00C829F2"/>
    <w:rsid w:val="00C82A80"/>
    <w:rsid w:val="00C82CD7"/>
    <w:rsid w:val="00C82E9D"/>
    <w:rsid w:val="00C834F0"/>
    <w:rsid w:val="00C83535"/>
    <w:rsid w:val="00C83574"/>
    <w:rsid w:val="00C835AB"/>
    <w:rsid w:val="00C83727"/>
    <w:rsid w:val="00C837F8"/>
    <w:rsid w:val="00C83846"/>
    <w:rsid w:val="00C83B71"/>
    <w:rsid w:val="00C83BBD"/>
    <w:rsid w:val="00C83BC6"/>
    <w:rsid w:val="00C83D84"/>
    <w:rsid w:val="00C84328"/>
    <w:rsid w:val="00C84642"/>
    <w:rsid w:val="00C847F6"/>
    <w:rsid w:val="00C84B72"/>
    <w:rsid w:val="00C84CA1"/>
    <w:rsid w:val="00C84FB5"/>
    <w:rsid w:val="00C851BE"/>
    <w:rsid w:val="00C854A8"/>
    <w:rsid w:val="00C855F5"/>
    <w:rsid w:val="00C857FF"/>
    <w:rsid w:val="00C858C6"/>
    <w:rsid w:val="00C859E4"/>
    <w:rsid w:val="00C85C0F"/>
    <w:rsid w:val="00C85D18"/>
    <w:rsid w:val="00C86962"/>
    <w:rsid w:val="00C86AF3"/>
    <w:rsid w:val="00C86C83"/>
    <w:rsid w:val="00C86F7A"/>
    <w:rsid w:val="00C871A6"/>
    <w:rsid w:val="00C87436"/>
    <w:rsid w:val="00C874BF"/>
    <w:rsid w:val="00C876FB"/>
    <w:rsid w:val="00C8788F"/>
    <w:rsid w:val="00C87C89"/>
    <w:rsid w:val="00C87FD0"/>
    <w:rsid w:val="00C87FDF"/>
    <w:rsid w:val="00C904F8"/>
    <w:rsid w:val="00C90917"/>
    <w:rsid w:val="00C9091E"/>
    <w:rsid w:val="00C90B7C"/>
    <w:rsid w:val="00C90EF4"/>
    <w:rsid w:val="00C910E1"/>
    <w:rsid w:val="00C9125D"/>
    <w:rsid w:val="00C91272"/>
    <w:rsid w:val="00C9138D"/>
    <w:rsid w:val="00C913FA"/>
    <w:rsid w:val="00C91651"/>
    <w:rsid w:val="00C917A4"/>
    <w:rsid w:val="00C917C9"/>
    <w:rsid w:val="00C91DC6"/>
    <w:rsid w:val="00C921A7"/>
    <w:rsid w:val="00C922A2"/>
    <w:rsid w:val="00C924EF"/>
    <w:rsid w:val="00C9250A"/>
    <w:rsid w:val="00C9261E"/>
    <w:rsid w:val="00C92CA5"/>
    <w:rsid w:val="00C931AD"/>
    <w:rsid w:val="00C9329B"/>
    <w:rsid w:val="00C93453"/>
    <w:rsid w:val="00C9351C"/>
    <w:rsid w:val="00C936F6"/>
    <w:rsid w:val="00C93C6F"/>
    <w:rsid w:val="00C94461"/>
    <w:rsid w:val="00C9448E"/>
    <w:rsid w:val="00C94599"/>
    <w:rsid w:val="00C949F0"/>
    <w:rsid w:val="00C94DE1"/>
    <w:rsid w:val="00C94E02"/>
    <w:rsid w:val="00C95508"/>
    <w:rsid w:val="00C95719"/>
    <w:rsid w:val="00C9573D"/>
    <w:rsid w:val="00C9577B"/>
    <w:rsid w:val="00C9590E"/>
    <w:rsid w:val="00C95C4D"/>
    <w:rsid w:val="00C962E0"/>
    <w:rsid w:val="00C96336"/>
    <w:rsid w:val="00C96388"/>
    <w:rsid w:val="00C963A5"/>
    <w:rsid w:val="00C96502"/>
    <w:rsid w:val="00C96B16"/>
    <w:rsid w:val="00C96D8C"/>
    <w:rsid w:val="00C96FCF"/>
    <w:rsid w:val="00C97013"/>
    <w:rsid w:val="00C97060"/>
    <w:rsid w:val="00C97276"/>
    <w:rsid w:val="00C97ABB"/>
    <w:rsid w:val="00C97CEE"/>
    <w:rsid w:val="00C97D67"/>
    <w:rsid w:val="00C97EE2"/>
    <w:rsid w:val="00CA06DC"/>
    <w:rsid w:val="00CA071F"/>
    <w:rsid w:val="00CA0754"/>
    <w:rsid w:val="00CA0A9D"/>
    <w:rsid w:val="00CA0AB2"/>
    <w:rsid w:val="00CA104D"/>
    <w:rsid w:val="00CA1173"/>
    <w:rsid w:val="00CA14D4"/>
    <w:rsid w:val="00CA15D7"/>
    <w:rsid w:val="00CA15DC"/>
    <w:rsid w:val="00CA1A79"/>
    <w:rsid w:val="00CA21A1"/>
    <w:rsid w:val="00CA26EA"/>
    <w:rsid w:val="00CA2B67"/>
    <w:rsid w:val="00CA2E5A"/>
    <w:rsid w:val="00CA2FB2"/>
    <w:rsid w:val="00CA30F5"/>
    <w:rsid w:val="00CA3200"/>
    <w:rsid w:val="00CA325A"/>
    <w:rsid w:val="00CA3381"/>
    <w:rsid w:val="00CA33A9"/>
    <w:rsid w:val="00CA35F2"/>
    <w:rsid w:val="00CA3626"/>
    <w:rsid w:val="00CA3667"/>
    <w:rsid w:val="00CA3749"/>
    <w:rsid w:val="00CA3D3A"/>
    <w:rsid w:val="00CA4001"/>
    <w:rsid w:val="00CA42D6"/>
    <w:rsid w:val="00CA45ED"/>
    <w:rsid w:val="00CA464A"/>
    <w:rsid w:val="00CA4A34"/>
    <w:rsid w:val="00CA4DCE"/>
    <w:rsid w:val="00CA528A"/>
    <w:rsid w:val="00CA58AB"/>
    <w:rsid w:val="00CA592E"/>
    <w:rsid w:val="00CA59AB"/>
    <w:rsid w:val="00CA5F04"/>
    <w:rsid w:val="00CA60EA"/>
    <w:rsid w:val="00CA6461"/>
    <w:rsid w:val="00CA6A42"/>
    <w:rsid w:val="00CA7003"/>
    <w:rsid w:val="00CA7A84"/>
    <w:rsid w:val="00CA7EEC"/>
    <w:rsid w:val="00CA7EF9"/>
    <w:rsid w:val="00CB00E9"/>
    <w:rsid w:val="00CB062A"/>
    <w:rsid w:val="00CB0831"/>
    <w:rsid w:val="00CB0854"/>
    <w:rsid w:val="00CB088C"/>
    <w:rsid w:val="00CB0AA1"/>
    <w:rsid w:val="00CB1163"/>
    <w:rsid w:val="00CB126A"/>
    <w:rsid w:val="00CB1438"/>
    <w:rsid w:val="00CB15E9"/>
    <w:rsid w:val="00CB18DE"/>
    <w:rsid w:val="00CB1DA6"/>
    <w:rsid w:val="00CB1F9D"/>
    <w:rsid w:val="00CB1FC2"/>
    <w:rsid w:val="00CB2859"/>
    <w:rsid w:val="00CB2898"/>
    <w:rsid w:val="00CB297B"/>
    <w:rsid w:val="00CB2BD5"/>
    <w:rsid w:val="00CB2D5B"/>
    <w:rsid w:val="00CB3795"/>
    <w:rsid w:val="00CB39C8"/>
    <w:rsid w:val="00CB3B90"/>
    <w:rsid w:val="00CB4019"/>
    <w:rsid w:val="00CB43C3"/>
    <w:rsid w:val="00CB48E6"/>
    <w:rsid w:val="00CB4999"/>
    <w:rsid w:val="00CB4E46"/>
    <w:rsid w:val="00CB4E5C"/>
    <w:rsid w:val="00CB50E5"/>
    <w:rsid w:val="00CB55A1"/>
    <w:rsid w:val="00CB5A2D"/>
    <w:rsid w:val="00CB5A76"/>
    <w:rsid w:val="00CB5C1C"/>
    <w:rsid w:val="00CB5C55"/>
    <w:rsid w:val="00CB5CD1"/>
    <w:rsid w:val="00CB5E50"/>
    <w:rsid w:val="00CB5E94"/>
    <w:rsid w:val="00CB606F"/>
    <w:rsid w:val="00CB65B9"/>
    <w:rsid w:val="00CB6D29"/>
    <w:rsid w:val="00CB6D9A"/>
    <w:rsid w:val="00CB6E1B"/>
    <w:rsid w:val="00CB708C"/>
    <w:rsid w:val="00CB71DB"/>
    <w:rsid w:val="00CB766D"/>
    <w:rsid w:val="00CB775C"/>
    <w:rsid w:val="00CB78B8"/>
    <w:rsid w:val="00CB7ACC"/>
    <w:rsid w:val="00CC0008"/>
    <w:rsid w:val="00CC03B1"/>
    <w:rsid w:val="00CC0775"/>
    <w:rsid w:val="00CC0D14"/>
    <w:rsid w:val="00CC1071"/>
    <w:rsid w:val="00CC112D"/>
    <w:rsid w:val="00CC114F"/>
    <w:rsid w:val="00CC1306"/>
    <w:rsid w:val="00CC1362"/>
    <w:rsid w:val="00CC13E2"/>
    <w:rsid w:val="00CC197C"/>
    <w:rsid w:val="00CC1D1A"/>
    <w:rsid w:val="00CC217A"/>
    <w:rsid w:val="00CC2217"/>
    <w:rsid w:val="00CC257A"/>
    <w:rsid w:val="00CC294C"/>
    <w:rsid w:val="00CC2B10"/>
    <w:rsid w:val="00CC2B56"/>
    <w:rsid w:val="00CC2BD8"/>
    <w:rsid w:val="00CC2EE0"/>
    <w:rsid w:val="00CC2FCC"/>
    <w:rsid w:val="00CC3435"/>
    <w:rsid w:val="00CC3584"/>
    <w:rsid w:val="00CC35AB"/>
    <w:rsid w:val="00CC3BC6"/>
    <w:rsid w:val="00CC3D40"/>
    <w:rsid w:val="00CC3FB6"/>
    <w:rsid w:val="00CC41CA"/>
    <w:rsid w:val="00CC4678"/>
    <w:rsid w:val="00CC4695"/>
    <w:rsid w:val="00CC4805"/>
    <w:rsid w:val="00CC4846"/>
    <w:rsid w:val="00CC4B7F"/>
    <w:rsid w:val="00CC4D72"/>
    <w:rsid w:val="00CC4DE8"/>
    <w:rsid w:val="00CC5289"/>
    <w:rsid w:val="00CC5399"/>
    <w:rsid w:val="00CC5425"/>
    <w:rsid w:val="00CC54DE"/>
    <w:rsid w:val="00CC5791"/>
    <w:rsid w:val="00CC58E5"/>
    <w:rsid w:val="00CC5956"/>
    <w:rsid w:val="00CC5BD8"/>
    <w:rsid w:val="00CC5D39"/>
    <w:rsid w:val="00CC5EB0"/>
    <w:rsid w:val="00CC6260"/>
    <w:rsid w:val="00CC63BE"/>
    <w:rsid w:val="00CC6B73"/>
    <w:rsid w:val="00CC6DAB"/>
    <w:rsid w:val="00CC6E03"/>
    <w:rsid w:val="00CC6E62"/>
    <w:rsid w:val="00CC73A6"/>
    <w:rsid w:val="00CC7551"/>
    <w:rsid w:val="00CC76D8"/>
    <w:rsid w:val="00CC7744"/>
    <w:rsid w:val="00CC7B34"/>
    <w:rsid w:val="00CC7D8D"/>
    <w:rsid w:val="00CC7E30"/>
    <w:rsid w:val="00CD0120"/>
    <w:rsid w:val="00CD0186"/>
    <w:rsid w:val="00CD0273"/>
    <w:rsid w:val="00CD054E"/>
    <w:rsid w:val="00CD06DD"/>
    <w:rsid w:val="00CD08DA"/>
    <w:rsid w:val="00CD0D73"/>
    <w:rsid w:val="00CD0EAE"/>
    <w:rsid w:val="00CD111E"/>
    <w:rsid w:val="00CD11DC"/>
    <w:rsid w:val="00CD129D"/>
    <w:rsid w:val="00CD1404"/>
    <w:rsid w:val="00CD160B"/>
    <w:rsid w:val="00CD18B1"/>
    <w:rsid w:val="00CD1A6C"/>
    <w:rsid w:val="00CD1D24"/>
    <w:rsid w:val="00CD1E35"/>
    <w:rsid w:val="00CD1EBA"/>
    <w:rsid w:val="00CD1F52"/>
    <w:rsid w:val="00CD1F77"/>
    <w:rsid w:val="00CD239F"/>
    <w:rsid w:val="00CD28F6"/>
    <w:rsid w:val="00CD2C21"/>
    <w:rsid w:val="00CD2E73"/>
    <w:rsid w:val="00CD3387"/>
    <w:rsid w:val="00CD3B56"/>
    <w:rsid w:val="00CD44EC"/>
    <w:rsid w:val="00CD4994"/>
    <w:rsid w:val="00CD4BD1"/>
    <w:rsid w:val="00CD4FD3"/>
    <w:rsid w:val="00CD5080"/>
    <w:rsid w:val="00CD582E"/>
    <w:rsid w:val="00CD5A23"/>
    <w:rsid w:val="00CD638F"/>
    <w:rsid w:val="00CD6561"/>
    <w:rsid w:val="00CD6C9E"/>
    <w:rsid w:val="00CE0319"/>
    <w:rsid w:val="00CE0A17"/>
    <w:rsid w:val="00CE0BAF"/>
    <w:rsid w:val="00CE0F46"/>
    <w:rsid w:val="00CE0F66"/>
    <w:rsid w:val="00CE0FC3"/>
    <w:rsid w:val="00CE11F9"/>
    <w:rsid w:val="00CE123F"/>
    <w:rsid w:val="00CE13CC"/>
    <w:rsid w:val="00CE14C7"/>
    <w:rsid w:val="00CE1544"/>
    <w:rsid w:val="00CE15AF"/>
    <w:rsid w:val="00CE15FC"/>
    <w:rsid w:val="00CE19FA"/>
    <w:rsid w:val="00CE1C81"/>
    <w:rsid w:val="00CE1DB3"/>
    <w:rsid w:val="00CE2224"/>
    <w:rsid w:val="00CE2235"/>
    <w:rsid w:val="00CE28E3"/>
    <w:rsid w:val="00CE2DCD"/>
    <w:rsid w:val="00CE2E8B"/>
    <w:rsid w:val="00CE307E"/>
    <w:rsid w:val="00CE3306"/>
    <w:rsid w:val="00CE3906"/>
    <w:rsid w:val="00CE3DE8"/>
    <w:rsid w:val="00CE41BE"/>
    <w:rsid w:val="00CE43AD"/>
    <w:rsid w:val="00CE44B6"/>
    <w:rsid w:val="00CE47FA"/>
    <w:rsid w:val="00CE4DCE"/>
    <w:rsid w:val="00CE4E5C"/>
    <w:rsid w:val="00CE5919"/>
    <w:rsid w:val="00CE5968"/>
    <w:rsid w:val="00CE5FCA"/>
    <w:rsid w:val="00CE62B1"/>
    <w:rsid w:val="00CE6397"/>
    <w:rsid w:val="00CE64B0"/>
    <w:rsid w:val="00CE6E1B"/>
    <w:rsid w:val="00CE6E6D"/>
    <w:rsid w:val="00CE70FB"/>
    <w:rsid w:val="00CE779D"/>
    <w:rsid w:val="00CE7DA3"/>
    <w:rsid w:val="00CF0876"/>
    <w:rsid w:val="00CF0930"/>
    <w:rsid w:val="00CF09ED"/>
    <w:rsid w:val="00CF0BBF"/>
    <w:rsid w:val="00CF0E67"/>
    <w:rsid w:val="00CF0F44"/>
    <w:rsid w:val="00CF0FF1"/>
    <w:rsid w:val="00CF14F1"/>
    <w:rsid w:val="00CF1A2D"/>
    <w:rsid w:val="00CF1A34"/>
    <w:rsid w:val="00CF1A76"/>
    <w:rsid w:val="00CF1AD1"/>
    <w:rsid w:val="00CF1C18"/>
    <w:rsid w:val="00CF1D0B"/>
    <w:rsid w:val="00CF2740"/>
    <w:rsid w:val="00CF2913"/>
    <w:rsid w:val="00CF2CF1"/>
    <w:rsid w:val="00CF2F79"/>
    <w:rsid w:val="00CF3269"/>
    <w:rsid w:val="00CF38B5"/>
    <w:rsid w:val="00CF3B33"/>
    <w:rsid w:val="00CF3B45"/>
    <w:rsid w:val="00CF3E9F"/>
    <w:rsid w:val="00CF3EF4"/>
    <w:rsid w:val="00CF3FE5"/>
    <w:rsid w:val="00CF42A4"/>
    <w:rsid w:val="00CF42BC"/>
    <w:rsid w:val="00CF439F"/>
    <w:rsid w:val="00CF4876"/>
    <w:rsid w:val="00CF4B6C"/>
    <w:rsid w:val="00CF4E02"/>
    <w:rsid w:val="00CF4ED9"/>
    <w:rsid w:val="00CF4F9A"/>
    <w:rsid w:val="00CF53F6"/>
    <w:rsid w:val="00CF55B2"/>
    <w:rsid w:val="00CF55F5"/>
    <w:rsid w:val="00CF581D"/>
    <w:rsid w:val="00CF5B75"/>
    <w:rsid w:val="00CF5D49"/>
    <w:rsid w:val="00CF5EEC"/>
    <w:rsid w:val="00CF5F83"/>
    <w:rsid w:val="00CF6016"/>
    <w:rsid w:val="00CF6447"/>
    <w:rsid w:val="00CF65A8"/>
    <w:rsid w:val="00CF6830"/>
    <w:rsid w:val="00CF683D"/>
    <w:rsid w:val="00CF6DE1"/>
    <w:rsid w:val="00CF6E03"/>
    <w:rsid w:val="00CF7120"/>
    <w:rsid w:val="00CF724C"/>
    <w:rsid w:val="00CF7594"/>
    <w:rsid w:val="00CF77B8"/>
    <w:rsid w:val="00CF77C1"/>
    <w:rsid w:val="00CF7B0C"/>
    <w:rsid w:val="00D0005F"/>
    <w:rsid w:val="00D001B4"/>
    <w:rsid w:val="00D003B7"/>
    <w:rsid w:val="00D00870"/>
    <w:rsid w:val="00D008E7"/>
    <w:rsid w:val="00D00953"/>
    <w:rsid w:val="00D00A01"/>
    <w:rsid w:val="00D00AB6"/>
    <w:rsid w:val="00D00C57"/>
    <w:rsid w:val="00D00E36"/>
    <w:rsid w:val="00D014DC"/>
    <w:rsid w:val="00D01696"/>
    <w:rsid w:val="00D01C56"/>
    <w:rsid w:val="00D01E76"/>
    <w:rsid w:val="00D02222"/>
    <w:rsid w:val="00D0234D"/>
    <w:rsid w:val="00D0283C"/>
    <w:rsid w:val="00D02A1D"/>
    <w:rsid w:val="00D02B1F"/>
    <w:rsid w:val="00D02D1E"/>
    <w:rsid w:val="00D02E74"/>
    <w:rsid w:val="00D02F4F"/>
    <w:rsid w:val="00D035A2"/>
    <w:rsid w:val="00D03D1F"/>
    <w:rsid w:val="00D03ED6"/>
    <w:rsid w:val="00D03F1A"/>
    <w:rsid w:val="00D03FF8"/>
    <w:rsid w:val="00D041F3"/>
    <w:rsid w:val="00D04303"/>
    <w:rsid w:val="00D04532"/>
    <w:rsid w:val="00D047C1"/>
    <w:rsid w:val="00D04830"/>
    <w:rsid w:val="00D04AEF"/>
    <w:rsid w:val="00D04CB3"/>
    <w:rsid w:val="00D04E3D"/>
    <w:rsid w:val="00D04F16"/>
    <w:rsid w:val="00D050EF"/>
    <w:rsid w:val="00D0529F"/>
    <w:rsid w:val="00D05491"/>
    <w:rsid w:val="00D05754"/>
    <w:rsid w:val="00D05C98"/>
    <w:rsid w:val="00D06468"/>
    <w:rsid w:val="00D06731"/>
    <w:rsid w:val="00D06ECA"/>
    <w:rsid w:val="00D06F84"/>
    <w:rsid w:val="00D07245"/>
    <w:rsid w:val="00D07246"/>
    <w:rsid w:val="00D072FF"/>
    <w:rsid w:val="00D0734F"/>
    <w:rsid w:val="00D07449"/>
    <w:rsid w:val="00D075F0"/>
    <w:rsid w:val="00D07664"/>
    <w:rsid w:val="00D077BF"/>
    <w:rsid w:val="00D0789E"/>
    <w:rsid w:val="00D07BC8"/>
    <w:rsid w:val="00D07F50"/>
    <w:rsid w:val="00D104DE"/>
    <w:rsid w:val="00D106A7"/>
    <w:rsid w:val="00D106E8"/>
    <w:rsid w:val="00D1096A"/>
    <w:rsid w:val="00D10A72"/>
    <w:rsid w:val="00D10E57"/>
    <w:rsid w:val="00D11482"/>
    <w:rsid w:val="00D11566"/>
    <w:rsid w:val="00D1158C"/>
    <w:rsid w:val="00D11663"/>
    <w:rsid w:val="00D118CB"/>
    <w:rsid w:val="00D118F7"/>
    <w:rsid w:val="00D11B32"/>
    <w:rsid w:val="00D11C2F"/>
    <w:rsid w:val="00D11D09"/>
    <w:rsid w:val="00D11D86"/>
    <w:rsid w:val="00D12064"/>
    <w:rsid w:val="00D12121"/>
    <w:rsid w:val="00D128EF"/>
    <w:rsid w:val="00D1292C"/>
    <w:rsid w:val="00D12AB6"/>
    <w:rsid w:val="00D12F57"/>
    <w:rsid w:val="00D13914"/>
    <w:rsid w:val="00D13A1F"/>
    <w:rsid w:val="00D13A40"/>
    <w:rsid w:val="00D13C5E"/>
    <w:rsid w:val="00D1466C"/>
    <w:rsid w:val="00D14CA5"/>
    <w:rsid w:val="00D14E59"/>
    <w:rsid w:val="00D15161"/>
    <w:rsid w:val="00D157C5"/>
    <w:rsid w:val="00D15A8B"/>
    <w:rsid w:val="00D15B5E"/>
    <w:rsid w:val="00D15E0D"/>
    <w:rsid w:val="00D15E27"/>
    <w:rsid w:val="00D1604A"/>
    <w:rsid w:val="00D16078"/>
    <w:rsid w:val="00D16100"/>
    <w:rsid w:val="00D16208"/>
    <w:rsid w:val="00D163EC"/>
    <w:rsid w:val="00D16589"/>
    <w:rsid w:val="00D16C3E"/>
    <w:rsid w:val="00D16CD4"/>
    <w:rsid w:val="00D16CF1"/>
    <w:rsid w:val="00D177C5"/>
    <w:rsid w:val="00D178F1"/>
    <w:rsid w:val="00D20031"/>
    <w:rsid w:val="00D20328"/>
    <w:rsid w:val="00D203B9"/>
    <w:rsid w:val="00D2044C"/>
    <w:rsid w:val="00D208D8"/>
    <w:rsid w:val="00D20ACB"/>
    <w:rsid w:val="00D20B0B"/>
    <w:rsid w:val="00D20C57"/>
    <w:rsid w:val="00D211A2"/>
    <w:rsid w:val="00D211A9"/>
    <w:rsid w:val="00D214A3"/>
    <w:rsid w:val="00D215F3"/>
    <w:rsid w:val="00D216C4"/>
    <w:rsid w:val="00D216FC"/>
    <w:rsid w:val="00D2196B"/>
    <w:rsid w:val="00D219E9"/>
    <w:rsid w:val="00D224C9"/>
    <w:rsid w:val="00D22812"/>
    <w:rsid w:val="00D22AFD"/>
    <w:rsid w:val="00D22D0E"/>
    <w:rsid w:val="00D233E2"/>
    <w:rsid w:val="00D233FD"/>
    <w:rsid w:val="00D235AF"/>
    <w:rsid w:val="00D239B0"/>
    <w:rsid w:val="00D23DE5"/>
    <w:rsid w:val="00D23EF1"/>
    <w:rsid w:val="00D24114"/>
    <w:rsid w:val="00D241BE"/>
    <w:rsid w:val="00D2483B"/>
    <w:rsid w:val="00D2486D"/>
    <w:rsid w:val="00D24919"/>
    <w:rsid w:val="00D24DC2"/>
    <w:rsid w:val="00D24EDB"/>
    <w:rsid w:val="00D24F9A"/>
    <w:rsid w:val="00D25138"/>
    <w:rsid w:val="00D2535A"/>
    <w:rsid w:val="00D258BD"/>
    <w:rsid w:val="00D25DD8"/>
    <w:rsid w:val="00D25E93"/>
    <w:rsid w:val="00D26CD8"/>
    <w:rsid w:val="00D26EEF"/>
    <w:rsid w:val="00D2769F"/>
    <w:rsid w:val="00D2777A"/>
    <w:rsid w:val="00D277BF"/>
    <w:rsid w:val="00D27CB6"/>
    <w:rsid w:val="00D300D7"/>
    <w:rsid w:val="00D30B7E"/>
    <w:rsid w:val="00D30E05"/>
    <w:rsid w:val="00D31076"/>
    <w:rsid w:val="00D31168"/>
    <w:rsid w:val="00D3132C"/>
    <w:rsid w:val="00D313B3"/>
    <w:rsid w:val="00D31760"/>
    <w:rsid w:val="00D31F14"/>
    <w:rsid w:val="00D3214A"/>
    <w:rsid w:val="00D3238C"/>
    <w:rsid w:val="00D3292B"/>
    <w:rsid w:val="00D32B51"/>
    <w:rsid w:val="00D32DEA"/>
    <w:rsid w:val="00D33118"/>
    <w:rsid w:val="00D337D3"/>
    <w:rsid w:val="00D33C1A"/>
    <w:rsid w:val="00D33E79"/>
    <w:rsid w:val="00D33F02"/>
    <w:rsid w:val="00D34237"/>
    <w:rsid w:val="00D3465E"/>
    <w:rsid w:val="00D35131"/>
    <w:rsid w:val="00D353F3"/>
    <w:rsid w:val="00D3550E"/>
    <w:rsid w:val="00D35677"/>
    <w:rsid w:val="00D3588E"/>
    <w:rsid w:val="00D358F7"/>
    <w:rsid w:val="00D35BDF"/>
    <w:rsid w:val="00D35D90"/>
    <w:rsid w:val="00D35E0E"/>
    <w:rsid w:val="00D35EA4"/>
    <w:rsid w:val="00D35EEF"/>
    <w:rsid w:val="00D36376"/>
    <w:rsid w:val="00D36AC1"/>
    <w:rsid w:val="00D36E67"/>
    <w:rsid w:val="00D36E70"/>
    <w:rsid w:val="00D3701E"/>
    <w:rsid w:val="00D371B2"/>
    <w:rsid w:val="00D3728A"/>
    <w:rsid w:val="00D374CC"/>
    <w:rsid w:val="00D3766A"/>
    <w:rsid w:val="00D377CF"/>
    <w:rsid w:val="00D37EC2"/>
    <w:rsid w:val="00D37ECD"/>
    <w:rsid w:val="00D37EF5"/>
    <w:rsid w:val="00D4093B"/>
    <w:rsid w:val="00D40A0B"/>
    <w:rsid w:val="00D40BD8"/>
    <w:rsid w:val="00D40BDB"/>
    <w:rsid w:val="00D40C6F"/>
    <w:rsid w:val="00D40D60"/>
    <w:rsid w:val="00D40DB2"/>
    <w:rsid w:val="00D41027"/>
    <w:rsid w:val="00D41278"/>
    <w:rsid w:val="00D41472"/>
    <w:rsid w:val="00D41630"/>
    <w:rsid w:val="00D41668"/>
    <w:rsid w:val="00D418BA"/>
    <w:rsid w:val="00D419C9"/>
    <w:rsid w:val="00D41BA3"/>
    <w:rsid w:val="00D41BE8"/>
    <w:rsid w:val="00D41CB6"/>
    <w:rsid w:val="00D41D14"/>
    <w:rsid w:val="00D42366"/>
    <w:rsid w:val="00D425E3"/>
    <w:rsid w:val="00D428A5"/>
    <w:rsid w:val="00D428B9"/>
    <w:rsid w:val="00D42D15"/>
    <w:rsid w:val="00D42DE6"/>
    <w:rsid w:val="00D42E21"/>
    <w:rsid w:val="00D430BA"/>
    <w:rsid w:val="00D43110"/>
    <w:rsid w:val="00D43195"/>
    <w:rsid w:val="00D43246"/>
    <w:rsid w:val="00D437AA"/>
    <w:rsid w:val="00D43895"/>
    <w:rsid w:val="00D43C89"/>
    <w:rsid w:val="00D4411D"/>
    <w:rsid w:val="00D442D4"/>
    <w:rsid w:val="00D4468C"/>
    <w:rsid w:val="00D4482C"/>
    <w:rsid w:val="00D44B55"/>
    <w:rsid w:val="00D4544F"/>
    <w:rsid w:val="00D45750"/>
    <w:rsid w:val="00D457EA"/>
    <w:rsid w:val="00D45A34"/>
    <w:rsid w:val="00D45B97"/>
    <w:rsid w:val="00D45C42"/>
    <w:rsid w:val="00D45E6A"/>
    <w:rsid w:val="00D461EA"/>
    <w:rsid w:val="00D464E2"/>
    <w:rsid w:val="00D46774"/>
    <w:rsid w:val="00D4678C"/>
    <w:rsid w:val="00D46CB5"/>
    <w:rsid w:val="00D46F5C"/>
    <w:rsid w:val="00D4702B"/>
    <w:rsid w:val="00D47446"/>
    <w:rsid w:val="00D47B09"/>
    <w:rsid w:val="00D47CEC"/>
    <w:rsid w:val="00D47DD4"/>
    <w:rsid w:val="00D5041D"/>
    <w:rsid w:val="00D504F7"/>
    <w:rsid w:val="00D50574"/>
    <w:rsid w:val="00D5098E"/>
    <w:rsid w:val="00D50E02"/>
    <w:rsid w:val="00D51017"/>
    <w:rsid w:val="00D51067"/>
    <w:rsid w:val="00D511F1"/>
    <w:rsid w:val="00D512E1"/>
    <w:rsid w:val="00D51539"/>
    <w:rsid w:val="00D51751"/>
    <w:rsid w:val="00D51CB7"/>
    <w:rsid w:val="00D51D08"/>
    <w:rsid w:val="00D51D3E"/>
    <w:rsid w:val="00D51D57"/>
    <w:rsid w:val="00D52333"/>
    <w:rsid w:val="00D5236A"/>
    <w:rsid w:val="00D52837"/>
    <w:rsid w:val="00D52AFF"/>
    <w:rsid w:val="00D52B23"/>
    <w:rsid w:val="00D52B47"/>
    <w:rsid w:val="00D52C4E"/>
    <w:rsid w:val="00D52D59"/>
    <w:rsid w:val="00D52E54"/>
    <w:rsid w:val="00D52EC5"/>
    <w:rsid w:val="00D52F94"/>
    <w:rsid w:val="00D52FF5"/>
    <w:rsid w:val="00D53898"/>
    <w:rsid w:val="00D539C6"/>
    <w:rsid w:val="00D53A87"/>
    <w:rsid w:val="00D53AA5"/>
    <w:rsid w:val="00D53AC5"/>
    <w:rsid w:val="00D53B8F"/>
    <w:rsid w:val="00D53D17"/>
    <w:rsid w:val="00D5413F"/>
    <w:rsid w:val="00D5421E"/>
    <w:rsid w:val="00D5483D"/>
    <w:rsid w:val="00D54975"/>
    <w:rsid w:val="00D54A8F"/>
    <w:rsid w:val="00D54CBD"/>
    <w:rsid w:val="00D54ED1"/>
    <w:rsid w:val="00D54F73"/>
    <w:rsid w:val="00D55204"/>
    <w:rsid w:val="00D55819"/>
    <w:rsid w:val="00D5589E"/>
    <w:rsid w:val="00D55C6D"/>
    <w:rsid w:val="00D55CEC"/>
    <w:rsid w:val="00D568C6"/>
    <w:rsid w:val="00D569E4"/>
    <w:rsid w:val="00D56CBB"/>
    <w:rsid w:val="00D56DFA"/>
    <w:rsid w:val="00D56FF6"/>
    <w:rsid w:val="00D5752E"/>
    <w:rsid w:val="00D57AC3"/>
    <w:rsid w:val="00D57B0B"/>
    <w:rsid w:val="00D57F79"/>
    <w:rsid w:val="00D5B20A"/>
    <w:rsid w:val="00D60146"/>
    <w:rsid w:val="00D602D9"/>
    <w:rsid w:val="00D60A43"/>
    <w:rsid w:val="00D60E22"/>
    <w:rsid w:val="00D61302"/>
    <w:rsid w:val="00D619EF"/>
    <w:rsid w:val="00D61AB3"/>
    <w:rsid w:val="00D61B08"/>
    <w:rsid w:val="00D621B2"/>
    <w:rsid w:val="00D62384"/>
    <w:rsid w:val="00D62388"/>
    <w:rsid w:val="00D62427"/>
    <w:rsid w:val="00D62634"/>
    <w:rsid w:val="00D6274A"/>
    <w:rsid w:val="00D62934"/>
    <w:rsid w:val="00D629C8"/>
    <w:rsid w:val="00D62A1C"/>
    <w:rsid w:val="00D62C54"/>
    <w:rsid w:val="00D62F4D"/>
    <w:rsid w:val="00D62FFA"/>
    <w:rsid w:val="00D630BC"/>
    <w:rsid w:val="00D63196"/>
    <w:rsid w:val="00D632C7"/>
    <w:rsid w:val="00D63346"/>
    <w:rsid w:val="00D63C95"/>
    <w:rsid w:val="00D63D11"/>
    <w:rsid w:val="00D63E8A"/>
    <w:rsid w:val="00D63FBB"/>
    <w:rsid w:val="00D640B2"/>
    <w:rsid w:val="00D641B4"/>
    <w:rsid w:val="00D64906"/>
    <w:rsid w:val="00D64F25"/>
    <w:rsid w:val="00D6505E"/>
    <w:rsid w:val="00D652D9"/>
    <w:rsid w:val="00D6540B"/>
    <w:rsid w:val="00D65A8D"/>
    <w:rsid w:val="00D65AE9"/>
    <w:rsid w:val="00D65E3F"/>
    <w:rsid w:val="00D6601B"/>
    <w:rsid w:val="00D6611F"/>
    <w:rsid w:val="00D66320"/>
    <w:rsid w:val="00D6673A"/>
    <w:rsid w:val="00D67022"/>
    <w:rsid w:val="00D67199"/>
    <w:rsid w:val="00D67357"/>
    <w:rsid w:val="00D67526"/>
    <w:rsid w:val="00D67853"/>
    <w:rsid w:val="00D67895"/>
    <w:rsid w:val="00D67B61"/>
    <w:rsid w:val="00D705FB"/>
    <w:rsid w:val="00D706AD"/>
    <w:rsid w:val="00D707F9"/>
    <w:rsid w:val="00D70C9B"/>
    <w:rsid w:val="00D70DDA"/>
    <w:rsid w:val="00D71336"/>
    <w:rsid w:val="00D71549"/>
    <w:rsid w:val="00D7191E"/>
    <w:rsid w:val="00D7236A"/>
    <w:rsid w:val="00D72420"/>
    <w:rsid w:val="00D72CDC"/>
    <w:rsid w:val="00D732A6"/>
    <w:rsid w:val="00D73378"/>
    <w:rsid w:val="00D73470"/>
    <w:rsid w:val="00D738AA"/>
    <w:rsid w:val="00D73AD9"/>
    <w:rsid w:val="00D73B34"/>
    <w:rsid w:val="00D73DC5"/>
    <w:rsid w:val="00D74729"/>
    <w:rsid w:val="00D74929"/>
    <w:rsid w:val="00D74A64"/>
    <w:rsid w:val="00D74DCD"/>
    <w:rsid w:val="00D753BD"/>
    <w:rsid w:val="00D75400"/>
    <w:rsid w:val="00D755E3"/>
    <w:rsid w:val="00D75A98"/>
    <w:rsid w:val="00D75DFC"/>
    <w:rsid w:val="00D76679"/>
    <w:rsid w:val="00D768AA"/>
    <w:rsid w:val="00D76B35"/>
    <w:rsid w:val="00D76CB5"/>
    <w:rsid w:val="00D76D1F"/>
    <w:rsid w:val="00D76DD2"/>
    <w:rsid w:val="00D773A1"/>
    <w:rsid w:val="00D77525"/>
    <w:rsid w:val="00D775C8"/>
    <w:rsid w:val="00D779B9"/>
    <w:rsid w:val="00D77D74"/>
    <w:rsid w:val="00D800A8"/>
    <w:rsid w:val="00D8033A"/>
    <w:rsid w:val="00D80BCF"/>
    <w:rsid w:val="00D80C29"/>
    <w:rsid w:val="00D80DDA"/>
    <w:rsid w:val="00D8105D"/>
    <w:rsid w:val="00D81350"/>
    <w:rsid w:val="00D813D8"/>
    <w:rsid w:val="00D81447"/>
    <w:rsid w:val="00D8186D"/>
    <w:rsid w:val="00D818CA"/>
    <w:rsid w:val="00D81B13"/>
    <w:rsid w:val="00D81B5B"/>
    <w:rsid w:val="00D823AB"/>
    <w:rsid w:val="00D82466"/>
    <w:rsid w:val="00D824EE"/>
    <w:rsid w:val="00D825BC"/>
    <w:rsid w:val="00D82E52"/>
    <w:rsid w:val="00D8316D"/>
    <w:rsid w:val="00D83B51"/>
    <w:rsid w:val="00D83DC1"/>
    <w:rsid w:val="00D83DC3"/>
    <w:rsid w:val="00D83E0A"/>
    <w:rsid w:val="00D84097"/>
    <w:rsid w:val="00D84416"/>
    <w:rsid w:val="00D844F9"/>
    <w:rsid w:val="00D8488C"/>
    <w:rsid w:val="00D849C5"/>
    <w:rsid w:val="00D84ECA"/>
    <w:rsid w:val="00D8525E"/>
    <w:rsid w:val="00D8548E"/>
    <w:rsid w:val="00D85A31"/>
    <w:rsid w:val="00D85C21"/>
    <w:rsid w:val="00D85D42"/>
    <w:rsid w:val="00D8625A"/>
    <w:rsid w:val="00D869C0"/>
    <w:rsid w:val="00D86BAF"/>
    <w:rsid w:val="00D86FDE"/>
    <w:rsid w:val="00D8705E"/>
    <w:rsid w:val="00D8723E"/>
    <w:rsid w:val="00D874DD"/>
    <w:rsid w:val="00D875E1"/>
    <w:rsid w:val="00D878E7"/>
    <w:rsid w:val="00D87DA5"/>
    <w:rsid w:val="00D87EB7"/>
    <w:rsid w:val="00D90245"/>
    <w:rsid w:val="00D9041B"/>
    <w:rsid w:val="00D904C6"/>
    <w:rsid w:val="00D905EB"/>
    <w:rsid w:val="00D906BC"/>
    <w:rsid w:val="00D90CE2"/>
    <w:rsid w:val="00D90DBB"/>
    <w:rsid w:val="00D9141D"/>
    <w:rsid w:val="00D91621"/>
    <w:rsid w:val="00D91ABE"/>
    <w:rsid w:val="00D91B6B"/>
    <w:rsid w:val="00D91D46"/>
    <w:rsid w:val="00D91DDD"/>
    <w:rsid w:val="00D91EB4"/>
    <w:rsid w:val="00D92070"/>
    <w:rsid w:val="00D923A3"/>
    <w:rsid w:val="00D925E6"/>
    <w:rsid w:val="00D925EA"/>
    <w:rsid w:val="00D92A60"/>
    <w:rsid w:val="00D92BCD"/>
    <w:rsid w:val="00D92F36"/>
    <w:rsid w:val="00D930BC"/>
    <w:rsid w:val="00D93659"/>
    <w:rsid w:val="00D9385C"/>
    <w:rsid w:val="00D939E5"/>
    <w:rsid w:val="00D93B50"/>
    <w:rsid w:val="00D93E89"/>
    <w:rsid w:val="00D93F62"/>
    <w:rsid w:val="00D9444A"/>
    <w:rsid w:val="00D946C9"/>
    <w:rsid w:val="00D94857"/>
    <w:rsid w:val="00D949AA"/>
    <w:rsid w:val="00D94BF2"/>
    <w:rsid w:val="00D94CF3"/>
    <w:rsid w:val="00D9523A"/>
    <w:rsid w:val="00D95597"/>
    <w:rsid w:val="00D95874"/>
    <w:rsid w:val="00D95ABE"/>
    <w:rsid w:val="00D95D55"/>
    <w:rsid w:val="00D95D77"/>
    <w:rsid w:val="00D95E21"/>
    <w:rsid w:val="00D9664A"/>
    <w:rsid w:val="00D967A8"/>
    <w:rsid w:val="00D96921"/>
    <w:rsid w:val="00D96BE3"/>
    <w:rsid w:val="00D96EFE"/>
    <w:rsid w:val="00D97537"/>
    <w:rsid w:val="00D975F0"/>
    <w:rsid w:val="00D976DF"/>
    <w:rsid w:val="00D977FB"/>
    <w:rsid w:val="00D97839"/>
    <w:rsid w:val="00D97D01"/>
    <w:rsid w:val="00D97D6A"/>
    <w:rsid w:val="00DA0081"/>
    <w:rsid w:val="00DA058E"/>
    <w:rsid w:val="00DA0A24"/>
    <w:rsid w:val="00DA0C2F"/>
    <w:rsid w:val="00DA0F77"/>
    <w:rsid w:val="00DA0FD7"/>
    <w:rsid w:val="00DA10CE"/>
    <w:rsid w:val="00DA11DB"/>
    <w:rsid w:val="00DA19B9"/>
    <w:rsid w:val="00DA1AC9"/>
    <w:rsid w:val="00DA1AE6"/>
    <w:rsid w:val="00DA2302"/>
    <w:rsid w:val="00DA23C0"/>
    <w:rsid w:val="00DA2850"/>
    <w:rsid w:val="00DA2A06"/>
    <w:rsid w:val="00DA2A3A"/>
    <w:rsid w:val="00DA2C56"/>
    <w:rsid w:val="00DA2FA9"/>
    <w:rsid w:val="00DA30AA"/>
    <w:rsid w:val="00DA31EC"/>
    <w:rsid w:val="00DA370A"/>
    <w:rsid w:val="00DA3A39"/>
    <w:rsid w:val="00DA3CF6"/>
    <w:rsid w:val="00DA3EA1"/>
    <w:rsid w:val="00DA4326"/>
    <w:rsid w:val="00DA4343"/>
    <w:rsid w:val="00DA4A3A"/>
    <w:rsid w:val="00DA4BC7"/>
    <w:rsid w:val="00DA4EB7"/>
    <w:rsid w:val="00DA512C"/>
    <w:rsid w:val="00DA5238"/>
    <w:rsid w:val="00DA5239"/>
    <w:rsid w:val="00DA56C6"/>
    <w:rsid w:val="00DA59A8"/>
    <w:rsid w:val="00DA59B6"/>
    <w:rsid w:val="00DA5A6E"/>
    <w:rsid w:val="00DA618D"/>
    <w:rsid w:val="00DA6275"/>
    <w:rsid w:val="00DA6597"/>
    <w:rsid w:val="00DA6765"/>
    <w:rsid w:val="00DA67AA"/>
    <w:rsid w:val="00DA6D87"/>
    <w:rsid w:val="00DA6FD0"/>
    <w:rsid w:val="00DA6FD8"/>
    <w:rsid w:val="00DA707D"/>
    <w:rsid w:val="00DA716B"/>
    <w:rsid w:val="00DA73A0"/>
    <w:rsid w:val="00DA750A"/>
    <w:rsid w:val="00DA7A09"/>
    <w:rsid w:val="00DA7B31"/>
    <w:rsid w:val="00DA7E1B"/>
    <w:rsid w:val="00DB003C"/>
    <w:rsid w:val="00DB0091"/>
    <w:rsid w:val="00DB00C3"/>
    <w:rsid w:val="00DB011D"/>
    <w:rsid w:val="00DB0977"/>
    <w:rsid w:val="00DB098A"/>
    <w:rsid w:val="00DB0C4D"/>
    <w:rsid w:val="00DB11A9"/>
    <w:rsid w:val="00DB11AF"/>
    <w:rsid w:val="00DB11D1"/>
    <w:rsid w:val="00DB1C8D"/>
    <w:rsid w:val="00DB1E91"/>
    <w:rsid w:val="00DB224B"/>
    <w:rsid w:val="00DB2693"/>
    <w:rsid w:val="00DB26C9"/>
    <w:rsid w:val="00DB2EE5"/>
    <w:rsid w:val="00DB31EB"/>
    <w:rsid w:val="00DB440C"/>
    <w:rsid w:val="00DB4410"/>
    <w:rsid w:val="00DB4496"/>
    <w:rsid w:val="00DB47BC"/>
    <w:rsid w:val="00DB4BEF"/>
    <w:rsid w:val="00DB5117"/>
    <w:rsid w:val="00DB5688"/>
    <w:rsid w:val="00DB57A9"/>
    <w:rsid w:val="00DB57B2"/>
    <w:rsid w:val="00DB5977"/>
    <w:rsid w:val="00DB5A1E"/>
    <w:rsid w:val="00DB5C24"/>
    <w:rsid w:val="00DB5F31"/>
    <w:rsid w:val="00DB5F96"/>
    <w:rsid w:val="00DB6031"/>
    <w:rsid w:val="00DB660A"/>
    <w:rsid w:val="00DB664A"/>
    <w:rsid w:val="00DB68E1"/>
    <w:rsid w:val="00DB69EF"/>
    <w:rsid w:val="00DB6A08"/>
    <w:rsid w:val="00DB6A28"/>
    <w:rsid w:val="00DB6CD0"/>
    <w:rsid w:val="00DB6FAF"/>
    <w:rsid w:val="00DB6FB7"/>
    <w:rsid w:val="00DB7033"/>
    <w:rsid w:val="00DB72BC"/>
    <w:rsid w:val="00DB7463"/>
    <w:rsid w:val="00DB751A"/>
    <w:rsid w:val="00DB75E8"/>
    <w:rsid w:val="00DB76F8"/>
    <w:rsid w:val="00DB7722"/>
    <w:rsid w:val="00DB7C7D"/>
    <w:rsid w:val="00DB7D85"/>
    <w:rsid w:val="00DC0239"/>
    <w:rsid w:val="00DC04D2"/>
    <w:rsid w:val="00DC077B"/>
    <w:rsid w:val="00DC080D"/>
    <w:rsid w:val="00DC0B60"/>
    <w:rsid w:val="00DC0DC3"/>
    <w:rsid w:val="00DC0FED"/>
    <w:rsid w:val="00DC10E2"/>
    <w:rsid w:val="00DC114A"/>
    <w:rsid w:val="00DC147B"/>
    <w:rsid w:val="00DC14AF"/>
    <w:rsid w:val="00DC1697"/>
    <w:rsid w:val="00DC1720"/>
    <w:rsid w:val="00DC1732"/>
    <w:rsid w:val="00DC17DA"/>
    <w:rsid w:val="00DC1CF4"/>
    <w:rsid w:val="00DC2270"/>
    <w:rsid w:val="00DC2DA8"/>
    <w:rsid w:val="00DC30CC"/>
    <w:rsid w:val="00DC321A"/>
    <w:rsid w:val="00DC3633"/>
    <w:rsid w:val="00DC3B90"/>
    <w:rsid w:val="00DC3C62"/>
    <w:rsid w:val="00DC4049"/>
    <w:rsid w:val="00DC40B9"/>
    <w:rsid w:val="00DC4108"/>
    <w:rsid w:val="00DC4A31"/>
    <w:rsid w:val="00DC4DDC"/>
    <w:rsid w:val="00DC4DF8"/>
    <w:rsid w:val="00DC4EC7"/>
    <w:rsid w:val="00DC4F64"/>
    <w:rsid w:val="00DC4FCE"/>
    <w:rsid w:val="00DC50C5"/>
    <w:rsid w:val="00DC528C"/>
    <w:rsid w:val="00DC52FD"/>
    <w:rsid w:val="00DC584B"/>
    <w:rsid w:val="00DC5885"/>
    <w:rsid w:val="00DC59EC"/>
    <w:rsid w:val="00DC5DE1"/>
    <w:rsid w:val="00DC6006"/>
    <w:rsid w:val="00DC6033"/>
    <w:rsid w:val="00DC624B"/>
    <w:rsid w:val="00DC63C1"/>
    <w:rsid w:val="00DC64A1"/>
    <w:rsid w:val="00DC64A7"/>
    <w:rsid w:val="00DC6A18"/>
    <w:rsid w:val="00DC6BB2"/>
    <w:rsid w:val="00DC6D2C"/>
    <w:rsid w:val="00DC7178"/>
    <w:rsid w:val="00DC71BE"/>
    <w:rsid w:val="00DC7297"/>
    <w:rsid w:val="00DC764C"/>
    <w:rsid w:val="00DC77B2"/>
    <w:rsid w:val="00DC78B3"/>
    <w:rsid w:val="00DC7952"/>
    <w:rsid w:val="00DC7DD8"/>
    <w:rsid w:val="00DD039A"/>
    <w:rsid w:val="00DD0953"/>
    <w:rsid w:val="00DD09D8"/>
    <w:rsid w:val="00DD0C32"/>
    <w:rsid w:val="00DD0C54"/>
    <w:rsid w:val="00DD1232"/>
    <w:rsid w:val="00DD13A7"/>
    <w:rsid w:val="00DD1753"/>
    <w:rsid w:val="00DD1A95"/>
    <w:rsid w:val="00DD1B30"/>
    <w:rsid w:val="00DD1DC8"/>
    <w:rsid w:val="00DD1E03"/>
    <w:rsid w:val="00DD1F83"/>
    <w:rsid w:val="00DD2070"/>
    <w:rsid w:val="00DD20D1"/>
    <w:rsid w:val="00DD2483"/>
    <w:rsid w:val="00DD2707"/>
    <w:rsid w:val="00DD28FF"/>
    <w:rsid w:val="00DD2AB2"/>
    <w:rsid w:val="00DD2B1E"/>
    <w:rsid w:val="00DD2C81"/>
    <w:rsid w:val="00DD2DEB"/>
    <w:rsid w:val="00DD2DEC"/>
    <w:rsid w:val="00DD302A"/>
    <w:rsid w:val="00DD31BE"/>
    <w:rsid w:val="00DD31DE"/>
    <w:rsid w:val="00DD402A"/>
    <w:rsid w:val="00DD405D"/>
    <w:rsid w:val="00DD4320"/>
    <w:rsid w:val="00DD4BEC"/>
    <w:rsid w:val="00DD502E"/>
    <w:rsid w:val="00DD508A"/>
    <w:rsid w:val="00DD5783"/>
    <w:rsid w:val="00DD58D9"/>
    <w:rsid w:val="00DD5971"/>
    <w:rsid w:val="00DD5ACA"/>
    <w:rsid w:val="00DD5C9B"/>
    <w:rsid w:val="00DD5D35"/>
    <w:rsid w:val="00DD6235"/>
    <w:rsid w:val="00DD656C"/>
    <w:rsid w:val="00DD696C"/>
    <w:rsid w:val="00DD69A2"/>
    <w:rsid w:val="00DD6AD4"/>
    <w:rsid w:val="00DD7200"/>
    <w:rsid w:val="00DD75D6"/>
    <w:rsid w:val="00DD76BE"/>
    <w:rsid w:val="00DD7837"/>
    <w:rsid w:val="00DD7906"/>
    <w:rsid w:val="00DD7FA2"/>
    <w:rsid w:val="00DE06D3"/>
    <w:rsid w:val="00DE0821"/>
    <w:rsid w:val="00DE0A26"/>
    <w:rsid w:val="00DE0A93"/>
    <w:rsid w:val="00DE0D04"/>
    <w:rsid w:val="00DE0E93"/>
    <w:rsid w:val="00DE1BFE"/>
    <w:rsid w:val="00DE21CD"/>
    <w:rsid w:val="00DE2211"/>
    <w:rsid w:val="00DE2448"/>
    <w:rsid w:val="00DE2496"/>
    <w:rsid w:val="00DE25D1"/>
    <w:rsid w:val="00DE2BF2"/>
    <w:rsid w:val="00DE2C19"/>
    <w:rsid w:val="00DE2C42"/>
    <w:rsid w:val="00DE3066"/>
    <w:rsid w:val="00DE325A"/>
    <w:rsid w:val="00DE354B"/>
    <w:rsid w:val="00DE37A9"/>
    <w:rsid w:val="00DE3D89"/>
    <w:rsid w:val="00DE4137"/>
    <w:rsid w:val="00DE414A"/>
    <w:rsid w:val="00DE4429"/>
    <w:rsid w:val="00DE45F6"/>
    <w:rsid w:val="00DE45FE"/>
    <w:rsid w:val="00DE480B"/>
    <w:rsid w:val="00DE4878"/>
    <w:rsid w:val="00DE4897"/>
    <w:rsid w:val="00DE4B47"/>
    <w:rsid w:val="00DE4B6F"/>
    <w:rsid w:val="00DE524A"/>
    <w:rsid w:val="00DE592B"/>
    <w:rsid w:val="00DE5CED"/>
    <w:rsid w:val="00DE6011"/>
    <w:rsid w:val="00DE64DF"/>
    <w:rsid w:val="00DE6DD6"/>
    <w:rsid w:val="00DE6E49"/>
    <w:rsid w:val="00DE7099"/>
    <w:rsid w:val="00DE77F0"/>
    <w:rsid w:val="00DE7ABA"/>
    <w:rsid w:val="00DE7BA1"/>
    <w:rsid w:val="00DE7C4D"/>
    <w:rsid w:val="00DE7C5C"/>
    <w:rsid w:val="00DE7E8F"/>
    <w:rsid w:val="00DF0084"/>
    <w:rsid w:val="00DF03EE"/>
    <w:rsid w:val="00DF0500"/>
    <w:rsid w:val="00DF08B2"/>
    <w:rsid w:val="00DF09EC"/>
    <w:rsid w:val="00DF0BC0"/>
    <w:rsid w:val="00DF0DB8"/>
    <w:rsid w:val="00DF0F6E"/>
    <w:rsid w:val="00DF0FAA"/>
    <w:rsid w:val="00DF15D5"/>
    <w:rsid w:val="00DF17EE"/>
    <w:rsid w:val="00DF1816"/>
    <w:rsid w:val="00DF1E13"/>
    <w:rsid w:val="00DF2300"/>
    <w:rsid w:val="00DF23BC"/>
    <w:rsid w:val="00DF24A3"/>
    <w:rsid w:val="00DF2754"/>
    <w:rsid w:val="00DF2C6E"/>
    <w:rsid w:val="00DF2CEA"/>
    <w:rsid w:val="00DF2ECF"/>
    <w:rsid w:val="00DF2FD4"/>
    <w:rsid w:val="00DF3333"/>
    <w:rsid w:val="00DF341B"/>
    <w:rsid w:val="00DF3598"/>
    <w:rsid w:val="00DF3673"/>
    <w:rsid w:val="00DF3694"/>
    <w:rsid w:val="00DF3699"/>
    <w:rsid w:val="00DF39E9"/>
    <w:rsid w:val="00DF3C72"/>
    <w:rsid w:val="00DF3D43"/>
    <w:rsid w:val="00DF402C"/>
    <w:rsid w:val="00DF431B"/>
    <w:rsid w:val="00DF438A"/>
    <w:rsid w:val="00DF47F5"/>
    <w:rsid w:val="00DF4919"/>
    <w:rsid w:val="00DF4C0E"/>
    <w:rsid w:val="00DF5140"/>
    <w:rsid w:val="00DF52FD"/>
    <w:rsid w:val="00DF5433"/>
    <w:rsid w:val="00DF5576"/>
    <w:rsid w:val="00DF5A00"/>
    <w:rsid w:val="00DF5C42"/>
    <w:rsid w:val="00DF5EE7"/>
    <w:rsid w:val="00DF5FCA"/>
    <w:rsid w:val="00DF6033"/>
    <w:rsid w:val="00DF6E2D"/>
    <w:rsid w:val="00DF7060"/>
    <w:rsid w:val="00DF74BE"/>
    <w:rsid w:val="00DF74D9"/>
    <w:rsid w:val="00DF77E1"/>
    <w:rsid w:val="00E000EA"/>
    <w:rsid w:val="00E0018F"/>
    <w:rsid w:val="00E00210"/>
    <w:rsid w:val="00E00359"/>
    <w:rsid w:val="00E004A0"/>
    <w:rsid w:val="00E005C5"/>
    <w:rsid w:val="00E0072A"/>
    <w:rsid w:val="00E0074A"/>
    <w:rsid w:val="00E007C3"/>
    <w:rsid w:val="00E00E5E"/>
    <w:rsid w:val="00E00FAB"/>
    <w:rsid w:val="00E01016"/>
    <w:rsid w:val="00E01081"/>
    <w:rsid w:val="00E013C8"/>
    <w:rsid w:val="00E014E6"/>
    <w:rsid w:val="00E01827"/>
    <w:rsid w:val="00E01A76"/>
    <w:rsid w:val="00E01E83"/>
    <w:rsid w:val="00E021D6"/>
    <w:rsid w:val="00E022D7"/>
    <w:rsid w:val="00E02451"/>
    <w:rsid w:val="00E02514"/>
    <w:rsid w:val="00E027B9"/>
    <w:rsid w:val="00E02805"/>
    <w:rsid w:val="00E02A49"/>
    <w:rsid w:val="00E02F43"/>
    <w:rsid w:val="00E0360B"/>
    <w:rsid w:val="00E03A06"/>
    <w:rsid w:val="00E03A96"/>
    <w:rsid w:val="00E04143"/>
    <w:rsid w:val="00E04462"/>
    <w:rsid w:val="00E04603"/>
    <w:rsid w:val="00E0488F"/>
    <w:rsid w:val="00E0504C"/>
    <w:rsid w:val="00E050AA"/>
    <w:rsid w:val="00E05307"/>
    <w:rsid w:val="00E05472"/>
    <w:rsid w:val="00E055C9"/>
    <w:rsid w:val="00E0588D"/>
    <w:rsid w:val="00E05D56"/>
    <w:rsid w:val="00E05DC8"/>
    <w:rsid w:val="00E05EEF"/>
    <w:rsid w:val="00E05FC2"/>
    <w:rsid w:val="00E060C6"/>
    <w:rsid w:val="00E063A9"/>
    <w:rsid w:val="00E0670D"/>
    <w:rsid w:val="00E067B5"/>
    <w:rsid w:val="00E06E4B"/>
    <w:rsid w:val="00E06EAE"/>
    <w:rsid w:val="00E079B8"/>
    <w:rsid w:val="00E07AD7"/>
    <w:rsid w:val="00E105A9"/>
    <w:rsid w:val="00E10CDC"/>
    <w:rsid w:val="00E10E34"/>
    <w:rsid w:val="00E10E61"/>
    <w:rsid w:val="00E10F05"/>
    <w:rsid w:val="00E11173"/>
    <w:rsid w:val="00E114DD"/>
    <w:rsid w:val="00E11687"/>
    <w:rsid w:val="00E1194A"/>
    <w:rsid w:val="00E11C6E"/>
    <w:rsid w:val="00E12063"/>
    <w:rsid w:val="00E12447"/>
    <w:rsid w:val="00E12468"/>
    <w:rsid w:val="00E12488"/>
    <w:rsid w:val="00E124F3"/>
    <w:rsid w:val="00E12669"/>
    <w:rsid w:val="00E126FF"/>
    <w:rsid w:val="00E12AAF"/>
    <w:rsid w:val="00E12BA4"/>
    <w:rsid w:val="00E12D76"/>
    <w:rsid w:val="00E139B7"/>
    <w:rsid w:val="00E13E0F"/>
    <w:rsid w:val="00E140C4"/>
    <w:rsid w:val="00E14268"/>
    <w:rsid w:val="00E14579"/>
    <w:rsid w:val="00E145AE"/>
    <w:rsid w:val="00E14939"/>
    <w:rsid w:val="00E14E07"/>
    <w:rsid w:val="00E14F46"/>
    <w:rsid w:val="00E15056"/>
    <w:rsid w:val="00E150D2"/>
    <w:rsid w:val="00E152C6"/>
    <w:rsid w:val="00E153B8"/>
    <w:rsid w:val="00E15A34"/>
    <w:rsid w:val="00E15A53"/>
    <w:rsid w:val="00E15B32"/>
    <w:rsid w:val="00E15DB1"/>
    <w:rsid w:val="00E16062"/>
    <w:rsid w:val="00E1672C"/>
    <w:rsid w:val="00E17001"/>
    <w:rsid w:val="00E17552"/>
    <w:rsid w:val="00E17584"/>
    <w:rsid w:val="00E20042"/>
    <w:rsid w:val="00E201C1"/>
    <w:rsid w:val="00E20383"/>
    <w:rsid w:val="00E2054D"/>
    <w:rsid w:val="00E209C1"/>
    <w:rsid w:val="00E20E63"/>
    <w:rsid w:val="00E20ED9"/>
    <w:rsid w:val="00E20EFA"/>
    <w:rsid w:val="00E210E5"/>
    <w:rsid w:val="00E2115A"/>
    <w:rsid w:val="00E21349"/>
    <w:rsid w:val="00E2139D"/>
    <w:rsid w:val="00E218AA"/>
    <w:rsid w:val="00E21916"/>
    <w:rsid w:val="00E21AFB"/>
    <w:rsid w:val="00E21B03"/>
    <w:rsid w:val="00E21C7A"/>
    <w:rsid w:val="00E2216B"/>
    <w:rsid w:val="00E22445"/>
    <w:rsid w:val="00E22468"/>
    <w:rsid w:val="00E22607"/>
    <w:rsid w:val="00E226B9"/>
    <w:rsid w:val="00E22783"/>
    <w:rsid w:val="00E22B80"/>
    <w:rsid w:val="00E22BAC"/>
    <w:rsid w:val="00E236EF"/>
    <w:rsid w:val="00E23BA2"/>
    <w:rsid w:val="00E23BF2"/>
    <w:rsid w:val="00E23C5C"/>
    <w:rsid w:val="00E23C65"/>
    <w:rsid w:val="00E2406F"/>
    <w:rsid w:val="00E241E7"/>
    <w:rsid w:val="00E24278"/>
    <w:rsid w:val="00E247EA"/>
    <w:rsid w:val="00E24B18"/>
    <w:rsid w:val="00E24D9B"/>
    <w:rsid w:val="00E254D1"/>
    <w:rsid w:val="00E25642"/>
    <w:rsid w:val="00E25BD3"/>
    <w:rsid w:val="00E25BF2"/>
    <w:rsid w:val="00E260A3"/>
    <w:rsid w:val="00E260FA"/>
    <w:rsid w:val="00E261C9"/>
    <w:rsid w:val="00E2624A"/>
    <w:rsid w:val="00E26D15"/>
    <w:rsid w:val="00E26F63"/>
    <w:rsid w:val="00E272AD"/>
    <w:rsid w:val="00E27412"/>
    <w:rsid w:val="00E27441"/>
    <w:rsid w:val="00E276A8"/>
    <w:rsid w:val="00E27DDB"/>
    <w:rsid w:val="00E27E94"/>
    <w:rsid w:val="00E30079"/>
    <w:rsid w:val="00E301D2"/>
    <w:rsid w:val="00E3071C"/>
    <w:rsid w:val="00E3090A"/>
    <w:rsid w:val="00E30939"/>
    <w:rsid w:val="00E30DCD"/>
    <w:rsid w:val="00E3159A"/>
    <w:rsid w:val="00E3163A"/>
    <w:rsid w:val="00E3164B"/>
    <w:rsid w:val="00E31702"/>
    <w:rsid w:val="00E31911"/>
    <w:rsid w:val="00E31B75"/>
    <w:rsid w:val="00E31E0C"/>
    <w:rsid w:val="00E31E6A"/>
    <w:rsid w:val="00E31F1A"/>
    <w:rsid w:val="00E3242E"/>
    <w:rsid w:val="00E324A8"/>
    <w:rsid w:val="00E32904"/>
    <w:rsid w:val="00E33043"/>
    <w:rsid w:val="00E330C9"/>
    <w:rsid w:val="00E33277"/>
    <w:rsid w:val="00E3330E"/>
    <w:rsid w:val="00E334D4"/>
    <w:rsid w:val="00E3351F"/>
    <w:rsid w:val="00E33738"/>
    <w:rsid w:val="00E33992"/>
    <w:rsid w:val="00E33AAE"/>
    <w:rsid w:val="00E35967"/>
    <w:rsid w:val="00E35A81"/>
    <w:rsid w:val="00E35C2A"/>
    <w:rsid w:val="00E362C3"/>
    <w:rsid w:val="00E363C6"/>
    <w:rsid w:val="00E363F0"/>
    <w:rsid w:val="00E36539"/>
    <w:rsid w:val="00E365A9"/>
    <w:rsid w:val="00E36744"/>
    <w:rsid w:val="00E37224"/>
    <w:rsid w:val="00E374BA"/>
    <w:rsid w:val="00E37A1D"/>
    <w:rsid w:val="00E37A5F"/>
    <w:rsid w:val="00E37B81"/>
    <w:rsid w:val="00E37C9D"/>
    <w:rsid w:val="00E4022F"/>
    <w:rsid w:val="00E403CC"/>
    <w:rsid w:val="00E404B0"/>
    <w:rsid w:val="00E40565"/>
    <w:rsid w:val="00E405F7"/>
    <w:rsid w:val="00E407C9"/>
    <w:rsid w:val="00E40BE5"/>
    <w:rsid w:val="00E40DAE"/>
    <w:rsid w:val="00E40F62"/>
    <w:rsid w:val="00E416A9"/>
    <w:rsid w:val="00E4178B"/>
    <w:rsid w:val="00E41BD8"/>
    <w:rsid w:val="00E41C92"/>
    <w:rsid w:val="00E41CB5"/>
    <w:rsid w:val="00E41E3D"/>
    <w:rsid w:val="00E42321"/>
    <w:rsid w:val="00E42942"/>
    <w:rsid w:val="00E42A88"/>
    <w:rsid w:val="00E43090"/>
    <w:rsid w:val="00E43249"/>
    <w:rsid w:val="00E43407"/>
    <w:rsid w:val="00E436A2"/>
    <w:rsid w:val="00E43911"/>
    <w:rsid w:val="00E442A1"/>
    <w:rsid w:val="00E44349"/>
    <w:rsid w:val="00E44558"/>
    <w:rsid w:val="00E4467D"/>
    <w:rsid w:val="00E44B4D"/>
    <w:rsid w:val="00E44CEF"/>
    <w:rsid w:val="00E44D21"/>
    <w:rsid w:val="00E44DBA"/>
    <w:rsid w:val="00E44E71"/>
    <w:rsid w:val="00E44E7E"/>
    <w:rsid w:val="00E45186"/>
    <w:rsid w:val="00E45418"/>
    <w:rsid w:val="00E45442"/>
    <w:rsid w:val="00E458D8"/>
    <w:rsid w:val="00E45A4E"/>
    <w:rsid w:val="00E45C3A"/>
    <w:rsid w:val="00E45E35"/>
    <w:rsid w:val="00E46795"/>
    <w:rsid w:val="00E4701E"/>
    <w:rsid w:val="00E47045"/>
    <w:rsid w:val="00E4717C"/>
    <w:rsid w:val="00E474A9"/>
    <w:rsid w:val="00E47D6B"/>
    <w:rsid w:val="00E47DDC"/>
    <w:rsid w:val="00E47FD4"/>
    <w:rsid w:val="00E5061A"/>
    <w:rsid w:val="00E506D9"/>
    <w:rsid w:val="00E511C1"/>
    <w:rsid w:val="00E5125D"/>
    <w:rsid w:val="00E512EC"/>
    <w:rsid w:val="00E51555"/>
    <w:rsid w:val="00E518A7"/>
    <w:rsid w:val="00E51A4F"/>
    <w:rsid w:val="00E51C09"/>
    <w:rsid w:val="00E51C79"/>
    <w:rsid w:val="00E51DD6"/>
    <w:rsid w:val="00E51E74"/>
    <w:rsid w:val="00E52031"/>
    <w:rsid w:val="00E5248E"/>
    <w:rsid w:val="00E524CD"/>
    <w:rsid w:val="00E52673"/>
    <w:rsid w:val="00E5297E"/>
    <w:rsid w:val="00E52989"/>
    <w:rsid w:val="00E529F5"/>
    <w:rsid w:val="00E52D61"/>
    <w:rsid w:val="00E52DFA"/>
    <w:rsid w:val="00E52F35"/>
    <w:rsid w:val="00E52FAC"/>
    <w:rsid w:val="00E5356B"/>
    <w:rsid w:val="00E53705"/>
    <w:rsid w:val="00E537F2"/>
    <w:rsid w:val="00E53E00"/>
    <w:rsid w:val="00E53E55"/>
    <w:rsid w:val="00E54221"/>
    <w:rsid w:val="00E5492B"/>
    <w:rsid w:val="00E54A89"/>
    <w:rsid w:val="00E54EDA"/>
    <w:rsid w:val="00E55222"/>
    <w:rsid w:val="00E55B3C"/>
    <w:rsid w:val="00E55C81"/>
    <w:rsid w:val="00E55DE8"/>
    <w:rsid w:val="00E5650A"/>
    <w:rsid w:val="00E566C5"/>
    <w:rsid w:val="00E570F3"/>
    <w:rsid w:val="00E5712E"/>
    <w:rsid w:val="00E57334"/>
    <w:rsid w:val="00E574EC"/>
    <w:rsid w:val="00E57577"/>
    <w:rsid w:val="00E57771"/>
    <w:rsid w:val="00E57BDD"/>
    <w:rsid w:val="00E57D1F"/>
    <w:rsid w:val="00E57E31"/>
    <w:rsid w:val="00E57F9C"/>
    <w:rsid w:val="00E600A7"/>
    <w:rsid w:val="00E60182"/>
    <w:rsid w:val="00E60304"/>
    <w:rsid w:val="00E60350"/>
    <w:rsid w:val="00E606F3"/>
    <w:rsid w:val="00E60F16"/>
    <w:rsid w:val="00E60FE4"/>
    <w:rsid w:val="00E61295"/>
    <w:rsid w:val="00E61342"/>
    <w:rsid w:val="00E6151B"/>
    <w:rsid w:val="00E615F9"/>
    <w:rsid w:val="00E617CC"/>
    <w:rsid w:val="00E6193C"/>
    <w:rsid w:val="00E61BB2"/>
    <w:rsid w:val="00E61C17"/>
    <w:rsid w:val="00E6204C"/>
    <w:rsid w:val="00E62094"/>
    <w:rsid w:val="00E62281"/>
    <w:rsid w:val="00E624DF"/>
    <w:rsid w:val="00E6278E"/>
    <w:rsid w:val="00E628FF"/>
    <w:rsid w:val="00E62A18"/>
    <w:rsid w:val="00E62BC2"/>
    <w:rsid w:val="00E62D94"/>
    <w:rsid w:val="00E62DF5"/>
    <w:rsid w:val="00E62E19"/>
    <w:rsid w:val="00E62FB9"/>
    <w:rsid w:val="00E630C2"/>
    <w:rsid w:val="00E630D3"/>
    <w:rsid w:val="00E6382F"/>
    <w:rsid w:val="00E63DAA"/>
    <w:rsid w:val="00E63ECD"/>
    <w:rsid w:val="00E6426D"/>
    <w:rsid w:val="00E64381"/>
    <w:rsid w:val="00E643BB"/>
    <w:rsid w:val="00E643DC"/>
    <w:rsid w:val="00E64425"/>
    <w:rsid w:val="00E646A2"/>
    <w:rsid w:val="00E649D7"/>
    <w:rsid w:val="00E64BDE"/>
    <w:rsid w:val="00E64F0F"/>
    <w:rsid w:val="00E65085"/>
    <w:rsid w:val="00E6533C"/>
    <w:rsid w:val="00E6588D"/>
    <w:rsid w:val="00E6617E"/>
    <w:rsid w:val="00E66395"/>
    <w:rsid w:val="00E66C0A"/>
    <w:rsid w:val="00E676A2"/>
    <w:rsid w:val="00E676B2"/>
    <w:rsid w:val="00E67A9C"/>
    <w:rsid w:val="00E67F03"/>
    <w:rsid w:val="00E70100"/>
    <w:rsid w:val="00E7033A"/>
    <w:rsid w:val="00E7047F"/>
    <w:rsid w:val="00E712ED"/>
    <w:rsid w:val="00E71486"/>
    <w:rsid w:val="00E7152E"/>
    <w:rsid w:val="00E718EF"/>
    <w:rsid w:val="00E71917"/>
    <w:rsid w:val="00E71BA7"/>
    <w:rsid w:val="00E71E5E"/>
    <w:rsid w:val="00E7203E"/>
    <w:rsid w:val="00E720DF"/>
    <w:rsid w:val="00E72200"/>
    <w:rsid w:val="00E7221D"/>
    <w:rsid w:val="00E722A8"/>
    <w:rsid w:val="00E726CC"/>
    <w:rsid w:val="00E7278C"/>
    <w:rsid w:val="00E72C60"/>
    <w:rsid w:val="00E73182"/>
    <w:rsid w:val="00E731AD"/>
    <w:rsid w:val="00E731D0"/>
    <w:rsid w:val="00E73297"/>
    <w:rsid w:val="00E733EF"/>
    <w:rsid w:val="00E735C9"/>
    <w:rsid w:val="00E73642"/>
    <w:rsid w:val="00E73A93"/>
    <w:rsid w:val="00E73B05"/>
    <w:rsid w:val="00E73BFF"/>
    <w:rsid w:val="00E73D4B"/>
    <w:rsid w:val="00E7425F"/>
    <w:rsid w:val="00E7524F"/>
    <w:rsid w:val="00E752C0"/>
    <w:rsid w:val="00E754AA"/>
    <w:rsid w:val="00E75506"/>
    <w:rsid w:val="00E757D5"/>
    <w:rsid w:val="00E75807"/>
    <w:rsid w:val="00E7581C"/>
    <w:rsid w:val="00E75C13"/>
    <w:rsid w:val="00E75D1A"/>
    <w:rsid w:val="00E7615F"/>
    <w:rsid w:val="00E76493"/>
    <w:rsid w:val="00E764CE"/>
    <w:rsid w:val="00E76639"/>
    <w:rsid w:val="00E76839"/>
    <w:rsid w:val="00E76A4E"/>
    <w:rsid w:val="00E76AE0"/>
    <w:rsid w:val="00E76B83"/>
    <w:rsid w:val="00E76F4D"/>
    <w:rsid w:val="00E76FF6"/>
    <w:rsid w:val="00E77067"/>
    <w:rsid w:val="00E772AD"/>
    <w:rsid w:val="00E77353"/>
    <w:rsid w:val="00E7744B"/>
    <w:rsid w:val="00E774CF"/>
    <w:rsid w:val="00E80253"/>
    <w:rsid w:val="00E8053F"/>
    <w:rsid w:val="00E80859"/>
    <w:rsid w:val="00E80ADC"/>
    <w:rsid w:val="00E80D8D"/>
    <w:rsid w:val="00E81088"/>
    <w:rsid w:val="00E811BE"/>
    <w:rsid w:val="00E817E2"/>
    <w:rsid w:val="00E81A87"/>
    <w:rsid w:val="00E81B98"/>
    <w:rsid w:val="00E81C0F"/>
    <w:rsid w:val="00E81C36"/>
    <w:rsid w:val="00E81D69"/>
    <w:rsid w:val="00E81E33"/>
    <w:rsid w:val="00E81EC3"/>
    <w:rsid w:val="00E82600"/>
    <w:rsid w:val="00E8291E"/>
    <w:rsid w:val="00E82CB6"/>
    <w:rsid w:val="00E82F1A"/>
    <w:rsid w:val="00E83109"/>
    <w:rsid w:val="00E83262"/>
    <w:rsid w:val="00E83571"/>
    <w:rsid w:val="00E835F4"/>
    <w:rsid w:val="00E83948"/>
    <w:rsid w:val="00E83AA2"/>
    <w:rsid w:val="00E83CF9"/>
    <w:rsid w:val="00E83EA2"/>
    <w:rsid w:val="00E84423"/>
    <w:rsid w:val="00E8484D"/>
    <w:rsid w:val="00E8537A"/>
    <w:rsid w:val="00E855EA"/>
    <w:rsid w:val="00E8561D"/>
    <w:rsid w:val="00E85DCE"/>
    <w:rsid w:val="00E85E0A"/>
    <w:rsid w:val="00E85E4B"/>
    <w:rsid w:val="00E86533"/>
    <w:rsid w:val="00E86906"/>
    <w:rsid w:val="00E86EC4"/>
    <w:rsid w:val="00E8719B"/>
    <w:rsid w:val="00E87315"/>
    <w:rsid w:val="00E877F0"/>
    <w:rsid w:val="00E87834"/>
    <w:rsid w:val="00E8784E"/>
    <w:rsid w:val="00E87D46"/>
    <w:rsid w:val="00E90236"/>
    <w:rsid w:val="00E903C8"/>
    <w:rsid w:val="00E90404"/>
    <w:rsid w:val="00E90A35"/>
    <w:rsid w:val="00E90E2B"/>
    <w:rsid w:val="00E90FE2"/>
    <w:rsid w:val="00E911D2"/>
    <w:rsid w:val="00E9148A"/>
    <w:rsid w:val="00E916BF"/>
    <w:rsid w:val="00E91856"/>
    <w:rsid w:val="00E91CB2"/>
    <w:rsid w:val="00E92054"/>
    <w:rsid w:val="00E92974"/>
    <w:rsid w:val="00E92B2C"/>
    <w:rsid w:val="00E92E87"/>
    <w:rsid w:val="00E92F00"/>
    <w:rsid w:val="00E92F94"/>
    <w:rsid w:val="00E92F98"/>
    <w:rsid w:val="00E930AD"/>
    <w:rsid w:val="00E9331D"/>
    <w:rsid w:val="00E937CD"/>
    <w:rsid w:val="00E9392C"/>
    <w:rsid w:val="00E940DE"/>
    <w:rsid w:val="00E9454F"/>
    <w:rsid w:val="00E947C5"/>
    <w:rsid w:val="00E948A6"/>
    <w:rsid w:val="00E94A7F"/>
    <w:rsid w:val="00E950CD"/>
    <w:rsid w:val="00E95322"/>
    <w:rsid w:val="00E95490"/>
    <w:rsid w:val="00E95CFD"/>
    <w:rsid w:val="00E9634B"/>
    <w:rsid w:val="00E963CE"/>
    <w:rsid w:val="00E966B1"/>
    <w:rsid w:val="00E968C1"/>
    <w:rsid w:val="00E968FB"/>
    <w:rsid w:val="00E96BB2"/>
    <w:rsid w:val="00E96C89"/>
    <w:rsid w:val="00E97068"/>
    <w:rsid w:val="00E970F6"/>
    <w:rsid w:val="00E971F6"/>
    <w:rsid w:val="00E9737A"/>
    <w:rsid w:val="00E97827"/>
    <w:rsid w:val="00E97F3F"/>
    <w:rsid w:val="00EA04E5"/>
    <w:rsid w:val="00EA085B"/>
    <w:rsid w:val="00EA0C55"/>
    <w:rsid w:val="00EA0E54"/>
    <w:rsid w:val="00EA0F99"/>
    <w:rsid w:val="00EA1200"/>
    <w:rsid w:val="00EA1735"/>
    <w:rsid w:val="00EA1769"/>
    <w:rsid w:val="00EA1D6E"/>
    <w:rsid w:val="00EA1E24"/>
    <w:rsid w:val="00EA1E53"/>
    <w:rsid w:val="00EA216A"/>
    <w:rsid w:val="00EA21CA"/>
    <w:rsid w:val="00EA2317"/>
    <w:rsid w:val="00EA2338"/>
    <w:rsid w:val="00EA2379"/>
    <w:rsid w:val="00EA23CE"/>
    <w:rsid w:val="00EA281C"/>
    <w:rsid w:val="00EA2C36"/>
    <w:rsid w:val="00EA2CA1"/>
    <w:rsid w:val="00EA2CB0"/>
    <w:rsid w:val="00EA2E41"/>
    <w:rsid w:val="00EA2E81"/>
    <w:rsid w:val="00EA3280"/>
    <w:rsid w:val="00EA3287"/>
    <w:rsid w:val="00EA32A0"/>
    <w:rsid w:val="00EA34D9"/>
    <w:rsid w:val="00EA3671"/>
    <w:rsid w:val="00EA3A32"/>
    <w:rsid w:val="00EA3E1B"/>
    <w:rsid w:val="00EA4450"/>
    <w:rsid w:val="00EA452D"/>
    <w:rsid w:val="00EA49E0"/>
    <w:rsid w:val="00EA4A7F"/>
    <w:rsid w:val="00EA515D"/>
    <w:rsid w:val="00EA572D"/>
    <w:rsid w:val="00EA587F"/>
    <w:rsid w:val="00EA588C"/>
    <w:rsid w:val="00EA59D6"/>
    <w:rsid w:val="00EA5B0A"/>
    <w:rsid w:val="00EA5B62"/>
    <w:rsid w:val="00EA5BFB"/>
    <w:rsid w:val="00EA5E3B"/>
    <w:rsid w:val="00EA5F30"/>
    <w:rsid w:val="00EA648D"/>
    <w:rsid w:val="00EA66CF"/>
    <w:rsid w:val="00EA67E8"/>
    <w:rsid w:val="00EA68FC"/>
    <w:rsid w:val="00EA7263"/>
    <w:rsid w:val="00EA7518"/>
    <w:rsid w:val="00EA7AFD"/>
    <w:rsid w:val="00EA7E28"/>
    <w:rsid w:val="00EB00D3"/>
    <w:rsid w:val="00EB0192"/>
    <w:rsid w:val="00EB0413"/>
    <w:rsid w:val="00EB0B11"/>
    <w:rsid w:val="00EB0DEA"/>
    <w:rsid w:val="00EB0E29"/>
    <w:rsid w:val="00EB13DD"/>
    <w:rsid w:val="00EB15E7"/>
    <w:rsid w:val="00EB18E7"/>
    <w:rsid w:val="00EB1F0C"/>
    <w:rsid w:val="00EB1F63"/>
    <w:rsid w:val="00EB2042"/>
    <w:rsid w:val="00EB20F2"/>
    <w:rsid w:val="00EB26D2"/>
    <w:rsid w:val="00EB2702"/>
    <w:rsid w:val="00EB27BC"/>
    <w:rsid w:val="00EB2AD3"/>
    <w:rsid w:val="00EB2C05"/>
    <w:rsid w:val="00EB2F28"/>
    <w:rsid w:val="00EB3235"/>
    <w:rsid w:val="00EB32C6"/>
    <w:rsid w:val="00EB3901"/>
    <w:rsid w:val="00EB3B06"/>
    <w:rsid w:val="00EB3D0B"/>
    <w:rsid w:val="00EB3D44"/>
    <w:rsid w:val="00EB3FCE"/>
    <w:rsid w:val="00EB426A"/>
    <w:rsid w:val="00EB44D4"/>
    <w:rsid w:val="00EB47E1"/>
    <w:rsid w:val="00EB483D"/>
    <w:rsid w:val="00EB5358"/>
    <w:rsid w:val="00EB54D0"/>
    <w:rsid w:val="00EB5822"/>
    <w:rsid w:val="00EB599C"/>
    <w:rsid w:val="00EB5CC2"/>
    <w:rsid w:val="00EB6350"/>
    <w:rsid w:val="00EB6556"/>
    <w:rsid w:val="00EB6A32"/>
    <w:rsid w:val="00EB72B9"/>
    <w:rsid w:val="00EB75CC"/>
    <w:rsid w:val="00EB771D"/>
    <w:rsid w:val="00EB77B9"/>
    <w:rsid w:val="00EB7887"/>
    <w:rsid w:val="00EB7ABA"/>
    <w:rsid w:val="00EB7E19"/>
    <w:rsid w:val="00EB7FA6"/>
    <w:rsid w:val="00EC013D"/>
    <w:rsid w:val="00EC037F"/>
    <w:rsid w:val="00EC059C"/>
    <w:rsid w:val="00EC0BD7"/>
    <w:rsid w:val="00EC0C6E"/>
    <w:rsid w:val="00EC10FE"/>
    <w:rsid w:val="00EC135D"/>
    <w:rsid w:val="00EC14C6"/>
    <w:rsid w:val="00EC179F"/>
    <w:rsid w:val="00EC1899"/>
    <w:rsid w:val="00EC1A5C"/>
    <w:rsid w:val="00EC1BD0"/>
    <w:rsid w:val="00EC1FA6"/>
    <w:rsid w:val="00EC21F8"/>
    <w:rsid w:val="00EC2281"/>
    <w:rsid w:val="00EC2697"/>
    <w:rsid w:val="00EC2AC6"/>
    <w:rsid w:val="00EC2DF1"/>
    <w:rsid w:val="00EC2E5B"/>
    <w:rsid w:val="00EC33A0"/>
    <w:rsid w:val="00EC3ACC"/>
    <w:rsid w:val="00EC3B4B"/>
    <w:rsid w:val="00EC3F65"/>
    <w:rsid w:val="00EC4306"/>
    <w:rsid w:val="00EC4435"/>
    <w:rsid w:val="00EC4607"/>
    <w:rsid w:val="00EC479E"/>
    <w:rsid w:val="00EC4836"/>
    <w:rsid w:val="00EC48EA"/>
    <w:rsid w:val="00EC492E"/>
    <w:rsid w:val="00EC4A22"/>
    <w:rsid w:val="00EC4AC6"/>
    <w:rsid w:val="00EC5088"/>
    <w:rsid w:val="00EC50D1"/>
    <w:rsid w:val="00EC5392"/>
    <w:rsid w:val="00EC564B"/>
    <w:rsid w:val="00EC59CA"/>
    <w:rsid w:val="00EC5A55"/>
    <w:rsid w:val="00EC5B3D"/>
    <w:rsid w:val="00EC64A1"/>
    <w:rsid w:val="00EC66C6"/>
    <w:rsid w:val="00EC680E"/>
    <w:rsid w:val="00EC6AFB"/>
    <w:rsid w:val="00EC6EF9"/>
    <w:rsid w:val="00EC70CF"/>
    <w:rsid w:val="00EC7196"/>
    <w:rsid w:val="00EC71E6"/>
    <w:rsid w:val="00EC7994"/>
    <w:rsid w:val="00EC7A29"/>
    <w:rsid w:val="00ED016E"/>
    <w:rsid w:val="00ED0238"/>
    <w:rsid w:val="00ED0B65"/>
    <w:rsid w:val="00ED0C95"/>
    <w:rsid w:val="00ED0CEC"/>
    <w:rsid w:val="00ED1551"/>
    <w:rsid w:val="00ED17AD"/>
    <w:rsid w:val="00ED18F4"/>
    <w:rsid w:val="00ED190F"/>
    <w:rsid w:val="00ED1ABD"/>
    <w:rsid w:val="00ED2032"/>
    <w:rsid w:val="00ED2405"/>
    <w:rsid w:val="00ED2433"/>
    <w:rsid w:val="00ED28DD"/>
    <w:rsid w:val="00ED2E83"/>
    <w:rsid w:val="00ED3055"/>
    <w:rsid w:val="00ED3AFB"/>
    <w:rsid w:val="00ED3E45"/>
    <w:rsid w:val="00ED3E7B"/>
    <w:rsid w:val="00ED42FD"/>
    <w:rsid w:val="00ED4450"/>
    <w:rsid w:val="00ED4571"/>
    <w:rsid w:val="00ED4623"/>
    <w:rsid w:val="00ED49A9"/>
    <w:rsid w:val="00ED4B26"/>
    <w:rsid w:val="00ED4CB2"/>
    <w:rsid w:val="00ED5054"/>
    <w:rsid w:val="00ED51B4"/>
    <w:rsid w:val="00ED53B4"/>
    <w:rsid w:val="00ED5D84"/>
    <w:rsid w:val="00ED5E38"/>
    <w:rsid w:val="00ED5FE4"/>
    <w:rsid w:val="00ED61F7"/>
    <w:rsid w:val="00ED64F8"/>
    <w:rsid w:val="00ED69B6"/>
    <w:rsid w:val="00ED6C3E"/>
    <w:rsid w:val="00ED70FC"/>
    <w:rsid w:val="00ED7243"/>
    <w:rsid w:val="00ED72FD"/>
    <w:rsid w:val="00ED7418"/>
    <w:rsid w:val="00ED7486"/>
    <w:rsid w:val="00ED74A2"/>
    <w:rsid w:val="00ED75A7"/>
    <w:rsid w:val="00ED78F8"/>
    <w:rsid w:val="00ED7A7D"/>
    <w:rsid w:val="00ED7A91"/>
    <w:rsid w:val="00ED7CBA"/>
    <w:rsid w:val="00ED7E52"/>
    <w:rsid w:val="00ED7E85"/>
    <w:rsid w:val="00EE0228"/>
    <w:rsid w:val="00EE03C4"/>
    <w:rsid w:val="00EE03D2"/>
    <w:rsid w:val="00EE0402"/>
    <w:rsid w:val="00EE0419"/>
    <w:rsid w:val="00EE05AF"/>
    <w:rsid w:val="00EE0873"/>
    <w:rsid w:val="00EE0AF9"/>
    <w:rsid w:val="00EE1346"/>
    <w:rsid w:val="00EE1539"/>
    <w:rsid w:val="00EE15D4"/>
    <w:rsid w:val="00EE181B"/>
    <w:rsid w:val="00EE1D08"/>
    <w:rsid w:val="00EE1DAC"/>
    <w:rsid w:val="00EE1F08"/>
    <w:rsid w:val="00EE20F2"/>
    <w:rsid w:val="00EE215F"/>
    <w:rsid w:val="00EE2697"/>
    <w:rsid w:val="00EE273F"/>
    <w:rsid w:val="00EE28FF"/>
    <w:rsid w:val="00EE290A"/>
    <w:rsid w:val="00EE29E5"/>
    <w:rsid w:val="00EE2C3E"/>
    <w:rsid w:val="00EE2C5C"/>
    <w:rsid w:val="00EE2E30"/>
    <w:rsid w:val="00EE312B"/>
    <w:rsid w:val="00EE3469"/>
    <w:rsid w:val="00EE39E5"/>
    <w:rsid w:val="00EE3D75"/>
    <w:rsid w:val="00EE41C0"/>
    <w:rsid w:val="00EE4490"/>
    <w:rsid w:val="00EE4615"/>
    <w:rsid w:val="00EE486B"/>
    <w:rsid w:val="00EE4B0F"/>
    <w:rsid w:val="00EE4EEF"/>
    <w:rsid w:val="00EE55D3"/>
    <w:rsid w:val="00EE57CA"/>
    <w:rsid w:val="00EE5D86"/>
    <w:rsid w:val="00EE60B5"/>
    <w:rsid w:val="00EE6202"/>
    <w:rsid w:val="00EE646D"/>
    <w:rsid w:val="00EE6518"/>
    <w:rsid w:val="00EE6544"/>
    <w:rsid w:val="00EE6550"/>
    <w:rsid w:val="00EE6832"/>
    <w:rsid w:val="00EE6A1C"/>
    <w:rsid w:val="00EE6C96"/>
    <w:rsid w:val="00EE6D56"/>
    <w:rsid w:val="00EE6F13"/>
    <w:rsid w:val="00EE76DF"/>
    <w:rsid w:val="00EE77CD"/>
    <w:rsid w:val="00EE7C69"/>
    <w:rsid w:val="00EE7E15"/>
    <w:rsid w:val="00EF0110"/>
    <w:rsid w:val="00EF0415"/>
    <w:rsid w:val="00EF0715"/>
    <w:rsid w:val="00EF0757"/>
    <w:rsid w:val="00EF07EE"/>
    <w:rsid w:val="00EF081B"/>
    <w:rsid w:val="00EF097B"/>
    <w:rsid w:val="00EF0B3D"/>
    <w:rsid w:val="00EF0BCD"/>
    <w:rsid w:val="00EF0D5A"/>
    <w:rsid w:val="00EF0DBD"/>
    <w:rsid w:val="00EF0FBF"/>
    <w:rsid w:val="00EF10A6"/>
    <w:rsid w:val="00EF162B"/>
    <w:rsid w:val="00EF1755"/>
    <w:rsid w:val="00EF1809"/>
    <w:rsid w:val="00EF186F"/>
    <w:rsid w:val="00EF1F8E"/>
    <w:rsid w:val="00EF2075"/>
    <w:rsid w:val="00EF2A05"/>
    <w:rsid w:val="00EF2A20"/>
    <w:rsid w:val="00EF2C32"/>
    <w:rsid w:val="00EF319F"/>
    <w:rsid w:val="00EF333F"/>
    <w:rsid w:val="00EF3D58"/>
    <w:rsid w:val="00EF4219"/>
    <w:rsid w:val="00EF476C"/>
    <w:rsid w:val="00EF4C6B"/>
    <w:rsid w:val="00EF5745"/>
    <w:rsid w:val="00EF5762"/>
    <w:rsid w:val="00EF57CB"/>
    <w:rsid w:val="00EF5BC7"/>
    <w:rsid w:val="00EF5E5C"/>
    <w:rsid w:val="00EF6098"/>
    <w:rsid w:val="00EF6160"/>
    <w:rsid w:val="00EF61B7"/>
    <w:rsid w:val="00EF62EE"/>
    <w:rsid w:val="00EF6350"/>
    <w:rsid w:val="00EF63F0"/>
    <w:rsid w:val="00EF67BB"/>
    <w:rsid w:val="00EF68BF"/>
    <w:rsid w:val="00EF6A0C"/>
    <w:rsid w:val="00EF7063"/>
    <w:rsid w:val="00EF7084"/>
    <w:rsid w:val="00EF7B2E"/>
    <w:rsid w:val="00EF7CC4"/>
    <w:rsid w:val="00F0039B"/>
    <w:rsid w:val="00F005E4"/>
    <w:rsid w:val="00F007C7"/>
    <w:rsid w:val="00F009FE"/>
    <w:rsid w:val="00F00C6D"/>
    <w:rsid w:val="00F00F86"/>
    <w:rsid w:val="00F019EE"/>
    <w:rsid w:val="00F02034"/>
    <w:rsid w:val="00F020C4"/>
    <w:rsid w:val="00F022B4"/>
    <w:rsid w:val="00F02594"/>
    <w:rsid w:val="00F025A3"/>
    <w:rsid w:val="00F027BB"/>
    <w:rsid w:val="00F0282B"/>
    <w:rsid w:val="00F028ED"/>
    <w:rsid w:val="00F02C27"/>
    <w:rsid w:val="00F02CA8"/>
    <w:rsid w:val="00F03448"/>
    <w:rsid w:val="00F035E8"/>
    <w:rsid w:val="00F0363C"/>
    <w:rsid w:val="00F038DF"/>
    <w:rsid w:val="00F03A19"/>
    <w:rsid w:val="00F03B39"/>
    <w:rsid w:val="00F03CA6"/>
    <w:rsid w:val="00F04052"/>
    <w:rsid w:val="00F043EE"/>
    <w:rsid w:val="00F0448E"/>
    <w:rsid w:val="00F04499"/>
    <w:rsid w:val="00F0472B"/>
    <w:rsid w:val="00F04987"/>
    <w:rsid w:val="00F04A26"/>
    <w:rsid w:val="00F04E34"/>
    <w:rsid w:val="00F04F8E"/>
    <w:rsid w:val="00F04FED"/>
    <w:rsid w:val="00F05BA5"/>
    <w:rsid w:val="00F05D6D"/>
    <w:rsid w:val="00F05FD4"/>
    <w:rsid w:val="00F0612F"/>
    <w:rsid w:val="00F06171"/>
    <w:rsid w:val="00F061EF"/>
    <w:rsid w:val="00F06405"/>
    <w:rsid w:val="00F06673"/>
    <w:rsid w:val="00F0675B"/>
    <w:rsid w:val="00F06961"/>
    <w:rsid w:val="00F06AD5"/>
    <w:rsid w:val="00F06C4B"/>
    <w:rsid w:val="00F06CBC"/>
    <w:rsid w:val="00F07717"/>
    <w:rsid w:val="00F07FC8"/>
    <w:rsid w:val="00F105A2"/>
    <w:rsid w:val="00F1066F"/>
    <w:rsid w:val="00F1070C"/>
    <w:rsid w:val="00F1079E"/>
    <w:rsid w:val="00F109C3"/>
    <w:rsid w:val="00F10BB2"/>
    <w:rsid w:val="00F115B4"/>
    <w:rsid w:val="00F1180A"/>
    <w:rsid w:val="00F11B4C"/>
    <w:rsid w:val="00F11E58"/>
    <w:rsid w:val="00F124F9"/>
    <w:rsid w:val="00F12511"/>
    <w:rsid w:val="00F12ED6"/>
    <w:rsid w:val="00F12F46"/>
    <w:rsid w:val="00F13402"/>
    <w:rsid w:val="00F137F8"/>
    <w:rsid w:val="00F13818"/>
    <w:rsid w:val="00F13E14"/>
    <w:rsid w:val="00F13E99"/>
    <w:rsid w:val="00F1410A"/>
    <w:rsid w:val="00F1415F"/>
    <w:rsid w:val="00F14201"/>
    <w:rsid w:val="00F145B7"/>
    <w:rsid w:val="00F1481C"/>
    <w:rsid w:val="00F14907"/>
    <w:rsid w:val="00F14C29"/>
    <w:rsid w:val="00F14D64"/>
    <w:rsid w:val="00F14E45"/>
    <w:rsid w:val="00F1508C"/>
    <w:rsid w:val="00F1578E"/>
    <w:rsid w:val="00F15AE5"/>
    <w:rsid w:val="00F16000"/>
    <w:rsid w:val="00F1613A"/>
    <w:rsid w:val="00F1634C"/>
    <w:rsid w:val="00F16694"/>
    <w:rsid w:val="00F168DF"/>
    <w:rsid w:val="00F17450"/>
    <w:rsid w:val="00F177A7"/>
    <w:rsid w:val="00F17852"/>
    <w:rsid w:val="00F17BA9"/>
    <w:rsid w:val="00F20367"/>
    <w:rsid w:val="00F20763"/>
    <w:rsid w:val="00F20818"/>
    <w:rsid w:val="00F21021"/>
    <w:rsid w:val="00F211CA"/>
    <w:rsid w:val="00F21447"/>
    <w:rsid w:val="00F214D5"/>
    <w:rsid w:val="00F21520"/>
    <w:rsid w:val="00F2173A"/>
    <w:rsid w:val="00F21760"/>
    <w:rsid w:val="00F21AA6"/>
    <w:rsid w:val="00F21F9B"/>
    <w:rsid w:val="00F222CE"/>
    <w:rsid w:val="00F22559"/>
    <w:rsid w:val="00F225A4"/>
    <w:rsid w:val="00F227C8"/>
    <w:rsid w:val="00F229B8"/>
    <w:rsid w:val="00F229F1"/>
    <w:rsid w:val="00F22C10"/>
    <w:rsid w:val="00F22C52"/>
    <w:rsid w:val="00F2360F"/>
    <w:rsid w:val="00F236CA"/>
    <w:rsid w:val="00F2390B"/>
    <w:rsid w:val="00F23B32"/>
    <w:rsid w:val="00F23CB7"/>
    <w:rsid w:val="00F23E83"/>
    <w:rsid w:val="00F23EDC"/>
    <w:rsid w:val="00F2444B"/>
    <w:rsid w:val="00F24D00"/>
    <w:rsid w:val="00F24D61"/>
    <w:rsid w:val="00F24EB7"/>
    <w:rsid w:val="00F250DD"/>
    <w:rsid w:val="00F251B0"/>
    <w:rsid w:val="00F257B5"/>
    <w:rsid w:val="00F257C4"/>
    <w:rsid w:val="00F25C0D"/>
    <w:rsid w:val="00F25D69"/>
    <w:rsid w:val="00F25F75"/>
    <w:rsid w:val="00F26698"/>
    <w:rsid w:val="00F26C79"/>
    <w:rsid w:val="00F26EEE"/>
    <w:rsid w:val="00F2720E"/>
    <w:rsid w:val="00F27325"/>
    <w:rsid w:val="00F27406"/>
    <w:rsid w:val="00F274D4"/>
    <w:rsid w:val="00F2776D"/>
    <w:rsid w:val="00F27B19"/>
    <w:rsid w:val="00F27EA7"/>
    <w:rsid w:val="00F27F2A"/>
    <w:rsid w:val="00F3000A"/>
    <w:rsid w:val="00F30248"/>
    <w:rsid w:val="00F302AC"/>
    <w:rsid w:val="00F305F1"/>
    <w:rsid w:val="00F3065B"/>
    <w:rsid w:val="00F30920"/>
    <w:rsid w:val="00F30D7A"/>
    <w:rsid w:val="00F30DC6"/>
    <w:rsid w:val="00F30EEE"/>
    <w:rsid w:val="00F313E2"/>
    <w:rsid w:val="00F31D80"/>
    <w:rsid w:val="00F31EAB"/>
    <w:rsid w:val="00F31F4B"/>
    <w:rsid w:val="00F31FB4"/>
    <w:rsid w:val="00F31FD0"/>
    <w:rsid w:val="00F321F8"/>
    <w:rsid w:val="00F32DC8"/>
    <w:rsid w:val="00F32E1E"/>
    <w:rsid w:val="00F33172"/>
    <w:rsid w:val="00F33223"/>
    <w:rsid w:val="00F334DE"/>
    <w:rsid w:val="00F33A68"/>
    <w:rsid w:val="00F33A6A"/>
    <w:rsid w:val="00F33A9B"/>
    <w:rsid w:val="00F33D8E"/>
    <w:rsid w:val="00F340F2"/>
    <w:rsid w:val="00F3467D"/>
    <w:rsid w:val="00F346C2"/>
    <w:rsid w:val="00F346E6"/>
    <w:rsid w:val="00F347BD"/>
    <w:rsid w:val="00F3567C"/>
    <w:rsid w:val="00F356FC"/>
    <w:rsid w:val="00F357F1"/>
    <w:rsid w:val="00F35B8A"/>
    <w:rsid w:val="00F35D33"/>
    <w:rsid w:val="00F35F33"/>
    <w:rsid w:val="00F361DE"/>
    <w:rsid w:val="00F361FD"/>
    <w:rsid w:val="00F362CD"/>
    <w:rsid w:val="00F36304"/>
    <w:rsid w:val="00F3630B"/>
    <w:rsid w:val="00F36977"/>
    <w:rsid w:val="00F36E7E"/>
    <w:rsid w:val="00F3707E"/>
    <w:rsid w:val="00F37A2A"/>
    <w:rsid w:val="00F37B08"/>
    <w:rsid w:val="00F37B48"/>
    <w:rsid w:val="00F37CDE"/>
    <w:rsid w:val="00F37D31"/>
    <w:rsid w:val="00F402CB"/>
    <w:rsid w:val="00F40353"/>
    <w:rsid w:val="00F404D3"/>
    <w:rsid w:val="00F40764"/>
    <w:rsid w:val="00F40864"/>
    <w:rsid w:val="00F410FA"/>
    <w:rsid w:val="00F4119B"/>
    <w:rsid w:val="00F41504"/>
    <w:rsid w:val="00F419DD"/>
    <w:rsid w:val="00F41C95"/>
    <w:rsid w:val="00F41CA4"/>
    <w:rsid w:val="00F41DD3"/>
    <w:rsid w:val="00F41F34"/>
    <w:rsid w:val="00F41F7F"/>
    <w:rsid w:val="00F42489"/>
    <w:rsid w:val="00F42627"/>
    <w:rsid w:val="00F426B4"/>
    <w:rsid w:val="00F426E6"/>
    <w:rsid w:val="00F42936"/>
    <w:rsid w:val="00F429BC"/>
    <w:rsid w:val="00F4346A"/>
    <w:rsid w:val="00F4359C"/>
    <w:rsid w:val="00F43CB5"/>
    <w:rsid w:val="00F43E29"/>
    <w:rsid w:val="00F4472F"/>
    <w:rsid w:val="00F447A0"/>
    <w:rsid w:val="00F44830"/>
    <w:rsid w:val="00F44895"/>
    <w:rsid w:val="00F448C2"/>
    <w:rsid w:val="00F456B4"/>
    <w:rsid w:val="00F458D3"/>
    <w:rsid w:val="00F45B63"/>
    <w:rsid w:val="00F45E09"/>
    <w:rsid w:val="00F4622D"/>
    <w:rsid w:val="00F46866"/>
    <w:rsid w:val="00F46CC0"/>
    <w:rsid w:val="00F47119"/>
    <w:rsid w:val="00F47235"/>
    <w:rsid w:val="00F473A3"/>
    <w:rsid w:val="00F47530"/>
    <w:rsid w:val="00F4764D"/>
    <w:rsid w:val="00F47C5C"/>
    <w:rsid w:val="00F500E5"/>
    <w:rsid w:val="00F5032F"/>
    <w:rsid w:val="00F50585"/>
    <w:rsid w:val="00F5073C"/>
    <w:rsid w:val="00F50A83"/>
    <w:rsid w:val="00F50DE1"/>
    <w:rsid w:val="00F510CE"/>
    <w:rsid w:val="00F516E3"/>
    <w:rsid w:val="00F517A4"/>
    <w:rsid w:val="00F51999"/>
    <w:rsid w:val="00F51D03"/>
    <w:rsid w:val="00F51F64"/>
    <w:rsid w:val="00F5241C"/>
    <w:rsid w:val="00F52697"/>
    <w:rsid w:val="00F52A48"/>
    <w:rsid w:val="00F52BF8"/>
    <w:rsid w:val="00F52CCA"/>
    <w:rsid w:val="00F533A2"/>
    <w:rsid w:val="00F533DF"/>
    <w:rsid w:val="00F53535"/>
    <w:rsid w:val="00F53582"/>
    <w:rsid w:val="00F539DA"/>
    <w:rsid w:val="00F53A85"/>
    <w:rsid w:val="00F53AD1"/>
    <w:rsid w:val="00F53D4B"/>
    <w:rsid w:val="00F53F48"/>
    <w:rsid w:val="00F54071"/>
    <w:rsid w:val="00F5448F"/>
    <w:rsid w:val="00F54748"/>
    <w:rsid w:val="00F54832"/>
    <w:rsid w:val="00F54ADF"/>
    <w:rsid w:val="00F54C3D"/>
    <w:rsid w:val="00F55001"/>
    <w:rsid w:val="00F55433"/>
    <w:rsid w:val="00F55555"/>
    <w:rsid w:val="00F55885"/>
    <w:rsid w:val="00F55FD5"/>
    <w:rsid w:val="00F566AD"/>
    <w:rsid w:val="00F567E8"/>
    <w:rsid w:val="00F56B05"/>
    <w:rsid w:val="00F56B0D"/>
    <w:rsid w:val="00F56B15"/>
    <w:rsid w:val="00F56D38"/>
    <w:rsid w:val="00F56DE2"/>
    <w:rsid w:val="00F57241"/>
    <w:rsid w:val="00F576BF"/>
    <w:rsid w:val="00F57885"/>
    <w:rsid w:val="00F5791E"/>
    <w:rsid w:val="00F57C46"/>
    <w:rsid w:val="00F57CBD"/>
    <w:rsid w:val="00F60639"/>
    <w:rsid w:val="00F60680"/>
    <w:rsid w:val="00F607EA"/>
    <w:rsid w:val="00F60854"/>
    <w:rsid w:val="00F6098E"/>
    <w:rsid w:val="00F60C0B"/>
    <w:rsid w:val="00F60EC1"/>
    <w:rsid w:val="00F61BEB"/>
    <w:rsid w:val="00F61E99"/>
    <w:rsid w:val="00F62133"/>
    <w:rsid w:val="00F621E3"/>
    <w:rsid w:val="00F6224A"/>
    <w:rsid w:val="00F622DF"/>
    <w:rsid w:val="00F62310"/>
    <w:rsid w:val="00F628A3"/>
    <w:rsid w:val="00F62905"/>
    <w:rsid w:val="00F6297B"/>
    <w:rsid w:val="00F62BF1"/>
    <w:rsid w:val="00F63426"/>
    <w:rsid w:val="00F63511"/>
    <w:rsid w:val="00F63FB0"/>
    <w:rsid w:val="00F64011"/>
    <w:rsid w:val="00F64130"/>
    <w:rsid w:val="00F64302"/>
    <w:rsid w:val="00F6434F"/>
    <w:rsid w:val="00F647E9"/>
    <w:rsid w:val="00F649C3"/>
    <w:rsid w:val="00F64BBF"/>
    <w:rsid w:val="00F64CD8"/>
    <w:rsid w:val="00F657D1"/>
    <w:rsid w:val="00F65B41"/>
    <w:rsid w:val="00F66144"/>
    <w:rsid w:val="00F662F5"/>
    <w:rsid w:val="00F66413"/>
    <w:rsid w:val="00F6683E"/>
    <w:rsid w:val="00F668A7"/>
    <w:rsid w:val="00F6696F"/>
    <w:rsid w:val="00F66BB5"/>
    <w:rsid w:val="00F66F67"/>
    <w:rsid w:val="00F6713F"/>
    <w:rsid w:val="00F67183"/>
    <w:rsid w:val="00F672E8"/>
    <w:rsid w:val="00F6766B"/>
    <w:rsid w:val="00F67B80"/>
    <w:rsid w:val="00F67CBD"/>
    <w:rsid w:val="00F67E52"/>
    <w:rsid w:val="00F67EFF"/>
    <w:rsid w:val="00F67F49"/>
    <w:rsid w:val="00F70154"/>
    <w:rsid w:val="00F70D6B"/>
    <w:rsid w:val="00F70D92"/>
    <w:rsid w:val="00F71236"/>
    <w:rsid w:val="00F719FF"/>
    <w:rsid w:val="00F71DDC"/>
    <w:rsid w:val="00F721D3"/>
    <w:rsid w:val="00F72A31"/>
    <w:rsid w:val="00F72D66"/>
    <w:rsid w:val="00F730BB"/>
    <w:rsid w:val="00F730D9"/>
    <w:rsid w:val="00F73148"/>
    <w:rsid w:val="00F735EC"/>
    <w:rsid w:val="00F737CF"/>
    <w:rsid w:val="00F738C6"/>
    <w:rsid w:val="00F7450B"/>
    <w:rsid w:val="00F7454C"/>
    <w:rsid w:val="00F74701"/>
    <w:rsid w:val="00F74876"/>
    <w:rsid w:val="00F74B51"/>
    <w:rsid w:val="00F74BFB"/>
    <w:rsid w:val="00F74CC7"/>
    <w:rsid w:val="00F74FA4"/>
    <w:rsid w:val="00F75031"/>
    <w:rsid w:val="00F752A9"/>
    <w:rsid w:val="00F755A7"/>
    <w:rsid w:val="00F758A7"/>
    <w:rsid w:val="00F75ACC"/>
    <w:rsid w:val="00F75DC7"/>
    <w:rsid w:val="00F75EC2"/>
    <w:rsid w:val="00F76047"/>
    <w:rsid w:val="00F7610B"/>
    <w:rsid w:val="00F763AC"/>
    <w:rsid w:val="00F76A81"/>
    <w:rsid w:val="00F76D96"/>
    <w:rsid w:val="00F77433"/>
    <w:rsid w:val="00F7757B"/>
    <w:rsid w:val="00F77602"/>
    <w:rsid w:val="00F7792C"/>
    <w:rsid w:val="00F77AB1"/>
    <w:rsid w:val="00F77B36"/>
    <w:rsid w:val="00F77D17"/>
    <w:rsid w:val="00F77F48"/>
    <w:rsid w:val="00F80535"/>
    <w:rsid w:val="00F808E4"/>
    <w:rsid w:val="00F80937"/>
    <w:rsid w:val="00F80C5A"/>
    <w:rsid w:val="00F80F1D"/>
    <w:rsid w:val="00F81362"/>
    <w:rsid w:val="00F817C9"/>
    <w:rsid w:val="00F81A55"/>
    <w:rsid w:val="00F81CAD"/>
    <w:rsid w:val="00F81D0B"/>
    <w:rsid w:val="00F820CC"/>
    <w:rsid w:val="00F8248F"/>
    <w:rsid w:val="00F82531"/>
    <w:rsid w:val="00F8273B"/>
    <w:rsid w:val="00F827AE"/>
    <w:rsid w:val="00F82A0A"/>
    <w:rsid w:val="00F832FA"/>
    <w:rsid w:val="00F8388C"/>
    <w:rsid w:val="00F83A91"/>
    <w:rsid w:val="00F83C53"/>
    <w:rsid w:val="00F84125"/>
    <w:rsid w:val="00F8414D"/>
    <w:rsid w:val="00F8424B"/>
    <w:rsid w:val="00F846A2"/>
    <w:rsid w:val="00F84889"/>
    <w:rsid w:val="00F848B0"/>
    <w:rsid w:val="00F851E9"/>
    <w:rsid w:val="00F854EE"/>
    <w:rsid w:val="00F85634"/>
    <w:rsid w:val="00F85AD1"/>
    <w:rsid w:val="00F86192"/>
    <w:rsid w:val="00F86244"/>
    <w:rsid w:val="00F86266"/>
    <w:rsid w:val="00F86301"/>
    <w:rsid w:val="00F863B0"/>
    <w:rsid w:val="00F86535"/>
    <w:rsid w:val="00F86C46"/>
    <w:rsid w:val="00F874A7"/>
    <w:rsid w:val="00F87685"/>
    <w:rsid w:val="00F87915"/>
    <w:rsid w:val="00F87B0B"/>
    <w:rsid w:val="00F90284"/>
    <w:rsid w:val="00F902DF"/>
    <w:rsid w:val="00F9089F"/>
    <w:rsid w:val="00F90D7E"/>
    <w:rsid w:val="00F91117"/>
    <w:rsid w:val="00F91353"/>
    <w:rsid w:val="00F9167A"/>
    <w:rsid w:val="00F91869"/>
    <w:rsid w:val="00F918D6"/>
    <w:rsid w:val="00F918F3"/>
    <w:rsid w:val="00F91EFA"/>
    <w:rsid w:val="00F9208C"/>
    <w:rsid w:val="00F920D3"/>
    <w:rsid w:val="00F922C4"/>
    <w:rsid w:val="00F92356"/>
    <w:rsid w:val="00F9258A"/>
    <w:rsid w:val="00F9261E"/>
    <w:rsid w:val="00F92655"/>
    <w:rsid w:val="00F928A1"/>
    <w:rsid w:val="00F9297B"/>
    <w:rsid w:val="00F92C69"/>
    <w:rsid w:val="00F92E82"/>
    <w:rsid w:val="00F92FF1"/>
    <w:rsid w:val="00F93063"/>
    <w:rsid w:val="00F9315D"/>
    <w:rsid w:val="00F931C1"/>
    <w:rsid w:val="00F9323B"/>
    <w:rsid w:val="00F9331C"/>
    <w:rsid w:val="00F93B60"/>
    <w:rsid w:val="00F93E59"/>
    <w:rsid w:val="00F94407"/>
    <w:rsid w:val="00F94990"/>
    <w:rsid w:val="00F94BD5"/>
    <w:rsid w:val="00F94DD6"/>
    <w:rsid w:val="00F94E99"/>
    <w:rsid w:val="00F951D6"/>
    <w:rsid w:val="00F9542C"/>
    <w:rsid w:val="00F95450"/>
    <w:rsid w:val="00F958D5"/>
    <w:rsid w:val="00F95A0B"/>
    <w:rsid w:val="00F95A70"/>
    <w:rsid w:val="00F95BEB"/>
    <w:rsid w:val="00F95C23"/>
    <w:rsid w:val="00F964A9"/>
    <w:rsid w:val="00F964D8"/>
    <w:rsid w:val="00F9680D"/>
    <w:rsid w:val="00F9684A"/>
    <w:rsid w:val="00F96A3E"/>
    <w:rsid w:val="00F96A4C"/>
    <w:rsid w:val="00F96A87"/>
    <w:rsid w:val="00F96BDE"/>
    <w:rsid w:val="00F96C34"/>
    <w:rsid w:val="00F96C99"/>
    <w:rsid w:val="00F9744D"/>
    <w:rsid w:val="00F9786A"/>
    <w:rsid w:val="00F97A5E"/>
    <w:rsid w:val="00F97BB3"/>
    <w:rsid w:val="00F97D0A"/>
    <w:rsid w:val="00F97FCD"/>
    <w:rsid w:val="00FA00CF"/>
    <w:rsid w:val="00FA01C7"/>
    <w:rsid w:val="00FA05C7"/>
    <w:rsid w:val="00FA0760"/>
    <w:rsid w:val="00FA0825"/>
    <w:rsid w:val="00FA08AD"/>
    <w:rsid w:val="00FA08C6"/>
    <w:rsid w:val="00FA0ACC"/>
    <w:rsid w:val="00FA105D"/>
    <w:rsid w:val="00FA11BE"/>
    <w:rsid w:val="00FA122E"/>
    <w:rsid w:val="00FA14C2"/>
    <w:rsid w:val="00FA181B"/>
    <w:rsid w:val="00FA1BB9"/>
    <w:rsid w:val="00FA1C86"/>
    <w:rsid w:val="00FA2256"/>
    <w:rsid w:val="00FA2585"/>
    <w:rsid w:val="00FA28AF"/>
    <w:rsid w:val="00FA2BED"/>
    <w:rsid w:val="00FA2DD3"/>
    <w:rsid w:val="00FA2F27"/>
    <w:rsid w:val="00FA2F28"/>
    <w:rsid w:val="00FA3016"/>
    <w:rsid w:val="00FA3608"/>
    <w:rsid w:val="00FA3650"/>
    <w:rsid w:val="00FA3791"/>
    <w:rsid w:val="00FA37B8"/>
    <w:rsid w:val="00FA3891"/>
    <w:rsid w:val="00FA4066"/>
    <w:rsid w:val="00FA4150"/>
    <w:rsid w:val="00FA4192"/>
    <w:rsid w:val="00FA477A"/>
    <w:rsid w:val="00FA4886"/>
    <w:rsid w:val="00FA4C8B"/>
    <w:rsid w:val="00FA5088"/>
    <w:rsid w:val="00FA50D2"/>
    <w:rsid w:val="00FA50DD"/>
    <w:rsid w:val="00FA50EE"/>
    <w:rsid w:val="00FA56D0"/>
    <w:rsid w:val="00FA5766"/>
    <w:rsid w:val="00FA5771"/>
    <w:rsid w:val="00FA5D7B"/>
    <w:rsid w:val="00FA5F53"/>
    <w:rsid w:val="00FA60C3"/>
    <w:rsid w:val="00FA6479"/>
    <w:rsid w:val="00FA665C"/>
    <w:rsid w:val="00FA67A1"/>
    <w:rsid w:val="00FA696E"/>
    <w:rsid w:val="00FA6ADD"/>
    <w:rsid w:val="00FA7499"/>
    <w:rsid w:val="00FA75F4"/>
    <w:rsid w:val="00FA773F"/>
    <w:rsid w:val="00FA7904"/>
    <w:rsid w:val="00FA7BDA"/>
    <w:rsid w:val="00FA7D7D"/>
    <w:rsid w:val="00FA7F90"/>
    <w:rsid w:val="00FA7FB1"/>
    <w:rsid w:val="00FB06E4"/>
    <w:rsid w:val="00FB08A2"/>
    <w:rsid w:val="00FB0993"/>
    <w:rsid w:val="00FB0D4E"/>
    <w:rsid w:val="00FB0E2E"/>
    <w:rsid w:val="00FB105F"/>
    <w:rsid w:val="00FB113E"/>
    <w:rsid w:val="00FB12E2"/>
    <w:rsid w:val="00FB160D"/>
    <w:rsid w:val="00FB164B"/>
    <w:rsid w:val="00FB218C"/>
    <w:rsid w:val="00FB237C"/>
    <w:rsid w:val="00FB2902"/>
    <w:rsid w:val="00FB2F0B"/>
    <w:rsid w:val="00FB32AE"/>
    <w:rsid w:val="00FB337D"/>
    <w:rsid w:val="00FB348B"/>
    <w:rsid w:val="00FB3545"/>
    <w:rsid w:val="00FB37B8"/>
    <w:rsid w:val="00FB3E6D"/>
    <w:rsid w:val="00FB4132"/>
    <w:rsid w:val="00FB441D"/>
    <w:rsid w:val="00FB443D"/>
    <w:rsid w:val="00FB4653"/>
    <w:rsid w:val="00FB48BF"/>
    <w:rsid w:val="00FB4B30"/>
    <w:rsid w:val="00FB4F2B"/>
    <w:rsid w:val="00FB4F42"/>
    <w:rsid w:val="00FB50C6"/>
    <w:rsid w:val="00FB528F"/>
    <w:rsid w:val="00FB58B7"/>
    <w:rsid w:val="00FB5923"/>
    <w:rsid w:val="00FB596C"/>
    <w:rsid w:val="00FB5A4D"/>
    <w:rsid w:val="00FB5C49"/>
    <w:rsid w:val="00FB5ED9"/>
    <w:rsid w:val="00FB620D"/>
    <w:rsid w:val="00FB63D7"/>
    <w:rsid w:val="00FB6600"/>
    <w:rsid w:val="00FB6F67"/>
    <w:rsid w:val="00FB7302"/>
    <w:rsid w:val="00FB79C1"/>
    <w:rsid w:val="00FB7A41"/>
    <w:rsid w:val="00FB7B72"/>
    <w:rsid w:val="00FB7BE8"/>
    <w:rsid w:val="00FB7D9D"/>
    <w:rsid w:val="00FC0100"/>
    <w:rsid w:val="00FC0367"/>
    <w:rsid w:val="00FC0418"/>
    <w:rsid w:val="00FC06C1"/>
    <w:rsid w:val="00FC07A4"/>
    <w:rsid w:val="00FC084A"/>
    <w:rsid w:val="00FC0855"/>
    <w:rsid w:val="00FC09B5"/>
    <w:rsid w:val="00FC0AD7"/>
    <w:rsid w:val="00FC0B0C"/>
    <w:rsid w:val="00FC0C93"/>
    <w:rsid w:val="00FC0D9D"/>
    <w:rsid w:val="00FC10DE"/>
    <w:rsid w:val="00FC11E0"/>
    <w:rsid w:val="00FC14B3"/>
    <w:rsid w:val="00FC16FF"/>
    <w:rsid w:val="00FC1AD1"/>
    <w:rsid w:val="00FC1CC0"/>
    <w:rsid w:val="00FC1D50"/>
    <w:rsid w:val="00FC291B"/>
    <w:rsid w:val="00FC29ED"/>
    <w:rsid w:val="00FC2AA1"/>
    <w:rsid w:val="00FC2BE6"/>
    <w:rsid w:val="00FC2D5F"/>
    <w:rsid w:val="00FC2F4C"/>
    <w:rsid w:val="00FC3263"/>
    <w:rsid w:val="00FC33B3"/>
    <w:rsid w:val="00FC33C9"/>
    <w:rsid w:val="00FC3905"/>
    <w:rsid w:val="00FC3C0D"/>
    <w:rsid w:val="00FC41F1"/>
    <w:rsid w:val="00FC46D1"/>
    <w:rsid w:val="00FC4AC5"/>
    <w:rsid w:val="00FC4E71"/>
    <w:rsid w:val="00FC521D"/>
    <w:rsid w:val="00FC526D"/>
    <w:rsid w:val="00FC5603"/>
    <w:rsid w:val="00FC5689"/>
    <w:rsid w:val="00FC569D"/>
    <w:rsid w:val="00FC5B28"/>
    <w:rsid w:val="00FC5C46"/>
    <w:rsid w:val="00FC5C95"/>
    <w:rsid w:val="00FC606B"/>
    <w:rsid w:val="00FC607A"/>
    <w:rsid w:val="00FC614E"/>
    <w:rsid w:val="00FC6C95"/>
    <w:rsid w:val="00FC6F58"/>
    <w:rsid w:val="00FC70B0"/>
    <w:rsid w:val="00FC7345"/>
    <w:rsid w:val="00FC77C4"/>
    <w:rsid w:val="00FC7906"/>
    <w:rsid w:val="00FC791D"/>
    <w:rsid w:val="00FC79A9"/>
    <w:rsid w:val="00FC7E3E"/>
    <w:rsid w:val="00FD01C5"/>
    <w:rsid w:val="00FD0B28"/>
    <w:rsid w:val="00FD0EAE"/>
    <w:rsid w:val="00FD0EFF"/>
    <w:rsid w:val="00FD0FD1"/>
    <w:rsid w:val="00FD13FB"/>
    <w:rsid w:val="00FD1486"/>
    <w:rsid w:val="00FD17BA"/>
    <w:rsid w:val="00FD1DF3"/>
    <w:rsid w:val="00FD1E12"/>
    <w:rsid w:val="00FD2029"/>
    <w:rsid w:val="00FD2102"/>
    <w:rsid w:val="00FD2157"/>
    <w:rsid w:val="00FD2298"/>
    <w:rsid w:val="00FD2666"/>
    <w:rsid w:val="00FD2B95"/>
    <w:rsid w:val="00FD2C9D"/>
    <w:rsid w:val="00FD2D67"/>
    <w:rsid w:val="00FD2F74"/>
    <w:rsid w:val="00FD34CC"/>
    <w:rsid w:val="00FD3A3F"/>
    <w:rsid w:val="00FD3AA4"/>
    <w:rsid w:val="00FD3AEB"/>
    <w:rsid w:val="00FD3B94"/>
    <w:rsid w:val="00FD3BAA"/>
    <w:rsid w:val="00FD3CCD"/>
    <w:rsid w:val="00FD3D8A"/>
    <w:rsid w:val="00FD3E02"/>
    <w:rsid w:val="00FD3E0A"/>
    <w:rsid w:val="00FD3E45"/>
    <w:rsid w:val="00FD3EEC"/>
    <w:rsid w:val="00FD40DD"/>
    <w:rsid w:val="00FD43B3"/>
    <w:rsid w:val="00FD445C"/>
    <w:rsid w:val="00FD4DD8"/>
    <w:rsid w:val="00FD5019"/>
    <w:rsid w:val="00FD5358"/>
    <w:rsid w:val="00FD54E7"/>
    <w:rsid w:val="00FD5B00"/>
    <w:rsid w:val="00FD5FA4"/>
    <w:rsid w:val="00FD6273"/>
    <w:rsid w:val="00FD6295"/>
    <w:rsid w:val="00FD641E"/>
    <w:rsid w:val="00FD652D"/>
    <w:rsid w:val="00FD6544"/>
    <w:rsid w:val="00FD6CE7"/>
    <w:rsid w:val="00FD6F7A"/>
    <w:rsid w:val="00FD7C5C"/>
    <w:rsid w:val="00FD7E70"/>
    <w:rsid w:val="00FD7F20"/>
    <w:rsid w:val="00FE01B9"/>
    <w:rsid w:val="00FE0A90"/>
    <w:rsid w:val="00FE0AA8"/>
    <w:rsid w:val="00FE0ED7"/>
    <w:rsid w:val="00FE0EFF"/>
    <w:rsid w:val="00FE1118"/>
    <w:rsid w:val="00FE1295"/>
    <w:rsid w:val="00FE130A"/>
    <w:rsid w:val="00FE17FD"/>
    <w:rsid w:val="00FE1943"/>
    <w:rsid w:val="00FE1B16"/>
    <w:rsid w:val="00FE1F06"/>
    <w:rsid w:val="00FE2010"/>
    <w:rsid w:val="00FE21E2"/>
    <w:rsid w:val="00FE275D"/>
    <w:rsid w:val="00FE28A0"/>
    <w:rsid w:val="00FE2D9B"/>
    <w:rsid w:val="00FE33A1"/>
    <w:rsid w:val="00FE3496"/>
    <w:rsid w:val="00FE3511"/>
    <w:rsid w:val="00FE3701"/>
    <w:rsid w:val="00FE3A9E"/>
    <w:rsid w:val="00FE3C26"/>
    <w:rsid w:val="00FE3DE7"/>
    <w:rsid w:val="00FE40E5"/>
    <w:rsid w:val="00FE4484"/>
    <w:rsid w:val="00FE44AA"/>
    <w:rsid w:val="00FE454C"/>
    <w:rsid w:val="00FE465A"/>
    <w:rsid w:val="00FE46A9"/>
    <w:rsid w:val="00FE4739"/>
    <w:rsid w:val="00FE4B2F"/>
    <w:rsid w:val="00FE4B6E"/>
    <w:rsid w:val="00FE4BA2"/>
    <w:rsid w:val="00FE4DB2"/>
    <w:rsid w:val="00FE5220"/>
    <w:rsid w:val="00FE532D"/>
    <w:rsid w:val="00FE5404"/>
    <w:rsid w:val="00FE5A72"/>
    <w:rsid w:val="00FE5CA0"/>
    <w:rsid w:val="00FE5DE5"/>
    <w:rsid w:val="00FE61EF"/>
    <w:rsid w:val="00FE6367"/>
    <w:rsid w:val="00FE681D"/>
    <w:rsid w:val="00FE6AB1"/>
    <w:rsid w:val="00FE72F1"/>
    <w:rsid w:val="00FE74DF"/>
    <w:rsid w:val="00FE7614"/>
    <w:rsid w:val="00FE7745"/>
    <w:rsid w:val="00FE77EE"/>
    <w:rsid w:val="00FE7C53"/>
    <w:rsid w:val="00FE7E1B"/>
    <w:rsid w:val="00FF016A"/>
    <w:rsid w:val="00FF01DB"/>
    <w:rsid w:val="00FF01F3"/>
    <w:rsid w:val="00FF0496"/>
    <w:rsid w:val="00FF0580"/>
    <w:rsid w:val="00FF0A28"/>
    <w:rsid w:val="00FF0B21"/>
    <w:rsid w:val="00FF0B99"/>
    <w:rsid w:val="00FF0BF6"/>
    <w:rsid w:val="00FF0DBD"/>
    <w:rsid w:val="00FF1591"/>
    <w:rsid w:val="00FF19D4"/>
    <w:rsid w:val="00FF1AA1"/>
    <w:rsid w:val="00FF1CAA"/>
    <w:rsid w:val="00FF2100"/>
    <w:rsid w:val="00FF2202"/>
    <w:rsid w:val="00FF240A"/>
    <w:rsid w:val="00FF2555"/>
    <w:rsid w:val="00FF25A7"/>
    <w:rsid w:val="00FF2757"/>
    <w:rsid w:val="00FF278C"/>
    <w:rsid w:val="00FF28B3"/>
    <w:rsid w:val="00FF2B84"/>
    <w:rsid w:val="00FF2F9D"/>
    <w:rsid w:val="00FF3735"/>
    <w:rsid w:val="00FF3A07"/>
    <w:rsid w:val="00FF3D79"/>
    <w:rsid w:val="00FF3DDD"/>
    <w:rsid w:val="00FF3FEA"/>
    <w:rsid w:val="00FF4BCF"/>
    <w:rsid w:val="00FF4C68"/>
    <w:rsid w:val="00FF5939"/>
    <w:rsid w:val="00FF59AD"/>
    <w:rsid w:val="00FF5A2C"/>
    <w:rsid w:val="00FF5C3C"/>
    <w:rsid w:val="00FF5DEE"/>
    <w:rsid w:val="00FF62E2"/>
    <w:rsid w:val="00FF6360"/>
    <w:rsid w:val="00FF64FC"/>
    <w:rsid w:val="00FF6756"/>
    <w:rsid w:val="00FF6848"/>
    <w:rsid w:val="00FF6978"/>
    <w:rsid w:val="00FF6BB8"/>
    <w:rsid w:val="00FF7268"/>
    <w:rsid w:val="00FF765D"/>
    <w:rsid w:val="00FF77E8"/>
    <w:rsid w:val="00FF7866"/>
    <w:rsid w:val="00FF7E06"/>
    <w:rsid w:val="0139E7D5"/>
    <w:rsid w:val="01F69048"/>
    <w:rsid w:val="0250856E"/>
    <w:rsid w:val="02972BC3"/>
    <w:rsid w:val="03196C1F"/>
    <w:rsid w:val="04E71FF0"/>
    <w:rsid w:val="0505FD1D"/>
    <w:rsid w:val="0656B758"/>
    <w:rsid w:val="065D7E91"/>
    <w:rsid w:val="07F2DDAE"/>
    <w:rsid w:val="0824314E"/>
    <w:rsid w:val="082D4E45"/>
    <w:rsid w:val="08B71BD2"/>
    <w:rsid w:val="08E62A97"/>
    <w:rsid w:val="08EBE7E3"/>
    <w:rsid w:val="094F6D32"/>
    <w:rsid w:val="09C47A5E"/>
    <w:rsid w:val="09D7AA3D"/>
    <w:rsid w:val="09DE8D16"/>
    <w:rsid w:val="0A13E02D"/>
    <w:rsid w:val="0A3F7D1E"/>
    <w:rsid w:val="0A429374"/>
    <w:rsid w:val="0A4B8044"/>
    <w:rsid w:val="0AA0F0F7"/>
    <w:rsid w:val="0AE4D280"/>
    <w:rsid w:val="0B0D721D"/>
    <w:rsid w:val="0B1CE2F8"/>
    <w:rsid w:val="0BFF819A"/>
    <w:rsid w:val="0C36217E"/>
    <w:rsid w:val="0C9C787D"/>
    <w:rsid w:val="0D010686"/>
    <w:rsid w:val="0D157077"/>
    <w:rsid w:val="0D56FA4A"/>
    <w:rsid w:val="0D681030"/>
    <w:rsid w:val="0D6C0B68"/>
    <w:rsid w:val="0D6D35D2"/>
    <w:rsid w:val="0D98AEE1"/>
    <w:rsid w:val="0E83ECEF"/>
    <w:rsid w:val="0E8A862F"/>
    <w:rsid w:val="0EA5D71F"/>
    <w:rsid w:val="0F8C929A"/>
    <w:rsid w:val="0FFF08AE"/>
    <w:rsid w:val="102D44A9"/>
    <w:rsid w:val="1043DE50"/>
    <w:rsid w:val="10692E60"/>
    <w:rsid w:val="10EBCD7E"/>
    <w:rsid w:val="1125A86B"/>
    <w:rsid w:val="114047B9"/>
    <w:rsid w:val="1145609B"/>
    <w:rsid w:val="11A12E4C"/>
    <w:rsid w:val="11CB8CFE"/>
    <w:rsid w:val="11CF0EA8"/>
    <w:rsid w:val="11E3D604"/>
    <w:rsid w:val="12051692"/>
    <w:rsid w:val="120D68BF"/>
    <w:rsid w:val="123A33A2"/>
    <w:rsid w:val="125AA648"/>
    <w:rsid w:val="128BEE55"/>
    <w:rsid w:val="12B25514"/>
    <w:rsid w:val="133AB08A"/>
    <w:rsid w:val="14053E70"/>
    <w:rsid w:val="14EA76C3"/>
    <w:rsid w:val="152A8C70"/>
    <w:rsid w:val="153EDA69"/>
    <w:rsid w:val="156BEB78"/>
    <w:rsid w:val="16067898"/>
    <w:rsid w:val="1644944B"/>
    <w:rsid w:val="165F49EC"/>
    <w:rsid w:val="16792ABC"/>
    <w:rsid w:val="16858F2B"/>
    <w:rsid w:val="16D1CA1A"/>
    <w:rsid w:val="1711D373"/>
    <w:rsid w:val="17E627FB"/>
    <w:rsid w:val="1820C814"/>
    <w:rsid w:val="1823C980"/>
    <w:rsid w:val="182B5164"/>
    <w:rsid w:val="18585561"/>
    <w:rsid w:val="18840D1E"/>
    <w:rsid w:val="1923DEB3"/>
    <w:rsid w:val="197C5C4B"/>
    <w:rsid w:val="197C9D9B"/>
    <w:rsid w:val="199AEC15"/>
    <w:rsid w:val="19B44648"/>
    <w:rsid w:val="1A35A5C3"/>
    <w:rsid w:val="1AA61279"/>
    <w:rsid w:val="1B0C2B17"/>
    <w:rsid w:val="1BE38B95"/>
    <w:rsid w:val="1C3ACA4E"/>
    <w:rsid w:val="1C8A33FE"/>
    <w:rsid w:val="1CA05343"/>
    <w:rsid w:val="1CB0B653"/>
    <w:rsid w:val="1CCF3E6B"/>
    <w:rsid w:val="1D34795E"/>
    <w:rsid w:val="1D60456F"/>
    <w:rsid w:val="1E2839D0"/>
    <w:rsid w:val="1E478ECB"/>
    <w:rsid w:val="1F28797E"/>
    <w:rsid w:val="1FEEED24"/>
    <w:rsid w:val="20A69152"/>
    <w:rsid w:val="20AF1138"/>
    <w:rsid w:val="20BBC41B"/>
    <w:rsid w:val="21577800"/>
    <w:rsid w:val="21BDCD88"/>
    <w:rsid w:val="21F9B7CA"/>
    <w:rsid w:val="22019724"/>
    <w:rsid w:val="2212A920"/>
    <w:rsid w:val="22B85CE4"/>
    <w:rsid w:val="2395882B"/>
    <w:rsid w:val="23A742BA"/>
    <w:rsid w:val="23C1059B"/>
    <w:rsid w:val="241892E6"/>
    <w:rsid w:val="242B1171"/>
    <w:rsid w:val="247D17F3"/>
    <w:rsid w:val="25020BE0"/>
    <w:rsid w:val="250DAFF4"/>
    <w:rsid w:val="2531588C"/>
    <w:rsid w:val="25467FA9"/>
    <w:rsid w:val="256F4F46"/>
    <w:rsid w:val="25B2DAA6"/>
    <w:rsid w:val="27104AA6"/>
    <w:rsid w:val="2774CB07"/>
    <w:rsid w:val="2831A316"/>
    <w:rsid w:val="2838F12B"/>
    <w:rsid w:val="28534601"/>
    <w:rsid w:val="2860FCFA"/>
    <w:rsid w:val="2869DDAD"/>
    <w:rsid w:val="2925B6A3"/>
    <w:rsid w:val="29360EF9"/>
    <w:rsid w:val="29AD5CCC"/>
    <w:rsid w:val="2A0665B6"/>
    <w:rsid w:val="2AD84FC7"/>
    <w:rsid w:val="2AE6A40F"/>
    <w:rsid w:val="2BEA23D8"/>
    <w:rsid w:val="2C4E8D5F"/>
    <w:rsid w:val="2CAB6259"/>
    <w:rsid w:val="2D32B0FE"/>
    <w:rsid w:val="2D4281C6"/>
    <w:rsid w:val="2EA39DAC"/>
    <w:rsid w:val="2EAA2971"/>
    <w:rsid w:val="2EE82CB9"/>
    <w:rsid w:val="2EFA8676"/>
    <w:rsid w:val="2F133FD0"/>
    <w:rsid w:val="2F2E76D4"/>
    <w:rsid w:val="2F3402A0"/>
    <w:rsid w:val="2F3EB1EC"/>
    <w:rsid w:val="2F59BEC3"/>
    <w:rsid w:val="2F619C3C"/>
    <w:rsid w:val="2F971F7D"/>
    <w:rsid w:val="2FE8D738"/>
    <w:rsid w:val="2FFA771E"/>
    <w:rsid w:val="3004A4E3"/>
    <w:rsid w:val="30A02506"/>
    <w:rsid w:val="30A44C21"/>
    <w:rsid w:val="30AEB622"/>
    <w:rsid w:val="30C9E75F"/>
    <w:rsid w:val="30EB2813"/>
    <w:rsid w:val="3155EAA7"/>
    <w:rsid w:val="31958070"/>
    <w:rsid w:val="31B799B2"/>
    <w:rsid w:val="31C4574B"/>
    <w:rsid w:val="31CECA70"/>
    <w:rsid w:val="3209CF87"/>
    <w:rsid w:val="32153869"/>
    <w:rsid w:val="323A0F77"/>
    <w:rsid w:val="3260F6E4"/>
    <w:rsid w:val="327BC7F7"/>
    <w:rsid w:val="32A0783F"/>
    <w:rsid w:val="32A4DCB1"/>
    <w:rsid w:val="32BC9F91"/>
    <w:rsid w:val="32D20A81"/>
    <w:rsid w:val="33405F1F"/>
    <w:rsid w:val="334B3F42"/>
    <w:rsid w:val="33FDAEDB"/>
    <w:rsid w:val="34530CA2"/>
    <w:rsid w:val="34770CF5"/>
    <w:rsid w:val="34AC6FF9"/>
    <w:rsid w:val="34B82262"/>
    <w:rsid w:val="34C03BEB"/>
    <w:rsid w:val="34D2C590"/>
    <w:rsid w:val="34D3E485"/>
    <w:rsid w:val="35A32602"/>
    <w:rsid w:val="35F2E22E"/>
    <w:rsid w:val="36534503"/>
    <w:rsid w:val="3665F33D"/>
    <w:rsid w:val="36B24C0E"/>
    <w:rsid w:val="37278277"/>
    <w:rsid w:val="372D55EA"/>
    <w:rsid w:val="37596CA4"/>
    <w:rsid w:val="375C19D4"/>
    <w:rsid w:val="37B526CB"/>
    <w:rsid w:val="38649CF8"/>
    <w:rsid w:val="386E4FEB"/>
    <w:rsid w:val="3871D128"/>
    <w:rsid w:val="38B08453"/>
    <w:rsid w:val="395D76BE"/>
    <w:rsid w:val="399CAB57"/>
    <w:rsid w:val="39ECCA0A"/>
    <w:rsid w:val="3A0B049A"/>
    <w:rsid w:val="3A3B5329"/>
    <w:rsid w:val="3AD56F46"/>
    <w:rsid w:val="3AEDB313"/>
    <w:rsid w:val="3AF1BFBF"/>
    <w:rsid w:val="3B0D36EB"/>
    <w:rsid w:val="3B83002D"/>
    <w:rsid w:val="3BF4CD60"/>
    <w:rsid w:val="3C0096D4"/>
    <w:rsid w:val="3C0C7339"/>
    <w:rsid w:val="3C44E2A0"/>
    <w:rsid w:val="3C58AC84"/>
    <w:rsid w:val="3D38A464"/>
    <w:rsid w:val="3DA49121"/>
    <w:rsid w:val="3EF96E1F"/>
    <w:rsid w:val="3F7A1AEA"/>
    <w:rsid w:val="3FF5FFB7"/>
    <w:rsid w:val="41A6CAB8"/>
    <w:rsid w:val="41E09EC1"/>
    <w:rsid w:val="42B4FF80"/>
    <w:rsid w:val="42FB3433"/>
    <w:rsid w:val="4342E785"/>
    <w:rsid w:val="4348B25F"/>
    <w:rsid w:val="436D813B"/>
    <w:rsid w:val="43EAB511"/>
    <w:rsid w:val="443580F7"/>
    <w:rsid w:val="4467F050"/>
    <w:rsid w:val="44689F6F"/>
    <w:rsid w:val="45297B2B"/>
    <w:rsid w:val="45813796"/>
    <w:rsid w:val="45B5155B"/>
    <w:rsid w:val="460C4E62"/>
    <w:rsid w:val="461BB82D"/>
    <w:rsid w:val="465EB576"/>
    <w:rsid w:val="467B1788"/>
    <w:rsid w:val="46AE83B0"/>
    <w:rsid w:val="46C33FC4"/>
    <w:rsid w:val="470BE4E0"/>
    <w:rsid w:val="475EB07A"/>
    <w:rsid w:val="4767674E"/>
    <w:rsid w:val="47739F5F"/>
    <w:rsid w:val="47ABC424"/>
    <w:rsid w:val="47E5B493"/>
    <w:rsid w:val="4839030F"/>
    <w:rsid w:val="4847559D"/>
    <w:rsid w:val="484FD95A"/>
    <w:rsid w:val="493AE1A2"/>
    <w:rsid w:val="4964F06B"/>
    <w:rsid w:val="49926F8F"/>
    <w:rsid w:val="49937BE0"/>
    <w:rsid w:val="49A0E745"/>
    <w:rsid w:val="49B2A61D"/>
    <w:rsid w:val="49F4E116"/>
    <w:rsid w:val="4A2D14BA"/>
    <w:rsid w:val="4A5B331D"/>
    <w:rsid w:val="4A8CB1B3"/>
    <w:rsid w:val="4B0E8971"/>
    <w:rsid w:val="4B224385"/>
    <w:rsid w:val="4BAA6FE0"/>
    <w:rsid w:val="4BB049F5"/>
    <w:rsid w:val="4BDF5603"/>
    <w:rsid w:val="4CE998E2"/>
    <w:rsid w:val="4D24FF34"/>
    <w:rsid w:val="4D94C332"/>
    <w:rsid w:val="4DD976C9"/>
    <w:rsid w:val="4E0E7CA4"/>
    <w:rsid w:val="4F1A59C7"/>
    <w:rsid w:val="4F7DA317"/>
    <w:rsid w:val="4FE98278"/>
    <w:rsid w:val="50077DA9"/>
    <w:rsid w:val="5091BB41"/>
    <w:rsid w:val="509D1BD0"/>
    <w:rsid w:val="50A01E61"/>
    <w:rsid w:val="517A8209"/>
    <w:rsid w:val="51EE6AB4"/>
    <w:rsid w:val="524909A0"/>
    <w:rsid w:val="52553E5D"/>
    <w:rsid w:val="52AF7A2C"/>
    <w:rsid w:val="52F39A54"/>
    <w:rsid w:val="532E925C"/>
    <w:rsid w:val="53A369ED"/>
    <w:rsid w:val="542530F9"/>
    <w:rsid w:val="545147C5"/>
    <w:rsid w:val="552A2A2D"/>
    <w:rsid w:val="55492642"/>
    <w:rsid w:val="55939B0D"/>
    <w:rsid w:val="55AA2BB4"/>
    <w:rsid w:val="55AFBD6D"/>
    <w:rsid w:val="55F91927"/>
    <w:rsid w:val="564B8439"/>
    <w:rsid w:val="56751E1F"/>
    <w:rsid w:val="56ABAC9A"/>
    <w:rsid w:val="56C0790B"/>
    <w:rsid w:val="56D0A37D"/>
    <w:rsid w:val="56FDEE20"/>
    <w:rsid w:val="57850960"/>
    <w:rsid w:val="57ADDAAA"/>
    <w:rsid w:val="57D5CA8B"/>
    <w:rsid w:val="5813AFF8"/>
    <w:rsid w:val="581B2E13"/>
    <w:rsid w:val="5843AFF5"/>
    <w:rsid w:val="58451B53"/>
    <w:rsid w:val="58B8DB2B"/>
    <w:rsid w:val="58F9260A"/>
    <w:rsid w:val="59496383"/>
    <w:rsid w:val="598E31C7"/>
    <w:rsid w:val="59B2A120"/>
    <w:rsid w:val="59C90DB6"/>
    <w:rsid w:val="59D49BFC"/>
    <w:rsid w:val="59FED709"/>
    <w:rsid w:val="5A47F3AA"/>
    <w:rsid w:val="5A6A889F"/>
    <w:rsid w:val="5A7E088A"/>
    <w:rsid w:val="5A81A293"/>
    <w:rsid w:val="5AA81329"/>
    <w:rsid w:val="5AC8DB56"/>
    <w:rsid w:val="5AF66423"/>
    <w:rsid w:val="5AF7BBCD"/>
    <w:rsid w:val="5BA8B164"/>
    <w:rsid w:val="5BA95CF1"/>
    <w:rsid w:val="5C61B319"/>
    <w:rsid w:val="5C6CEA91"/>
    <w:rsid w:val="5CDB432D"/>
    <w:rsid w:val="5CE2DB6B"/>
    <w:rsid w:val="5D001E11"/>
    <w:rsid w:val="5D0A4D72"/>
    <w:rsid w:val="5D60F03C"/>
    <w:rsid w:val="5DA0B9AD"/>
    <w:rsid w:val="5DFCFFC1"/>
    <w:rsid w:val="5E1774F9"/>
    <w:rsid w:val="5E7571B9"/>
    <w:rsid w:val="5F05BC31"/>
    <w:rsid w:val="5F06DAA8"/>
    <w:rsid w:val="5F5B79B9"/>
    <w:rsid w:val="602A0179"/>
    <w:rsid w:val="604C476D"/>
    <w:rsid w:val="607D167F"/>
    <w:rsid w:val="60C0D497"/>
    <w:rsid w:val="610F4CA3"/>
    <w:rsid w:val="61477C00"/>
    <w:rsid w:val="614AA0EE"/>
    <w:rsid w:val="617B19F6"/>
    <w:rsid w:val="619CACB9"/>
    <w:rsid w:val="61AF2FDD"/>
    <w:rsid w:val="61DAB5C2"/>
    <w:rsid w:val="61EB273C"/>
    <w:rsid w:val="621E8368"/>
    <w:rsid w:val="62577624"/>
    <w:rsid w:val="629DECAE"/>
    <w:rsid w:val="62E28C2F"/>
    <w:rsid w:val="6303B1F7"/>
    <w:rsid w:val="6305156A"/>
    <w:rsid w:val="63107113"/>
    <w:rsid w:val="6315ECBC"/>
    <w:rsid w:val="631A9AC9"/>
    <w:rsid w:val="631D1466"/>
    <w:rsid w:val="63368188"/>
    <w:rsid w:val="63831DE6"/>
    <w:rsid w:val="63E7DE48"/>
    <w:rsid w:val="63EB65CB"/>
    <w:rsid w:val="6403B255"/>
    <w:rsid w:val="642E43B4"/>
    <w:rsid w:val="644D8A3D"/>
    <w:rsid w:val="645BD0B7"/>
    <w:rsid w:val="646A3CA8"/>
    <w:rsid w:val="6494082F"/>
    <w:rsid w:val="64ACB1BC"/>
    <w:rsid w:val="65154BCD"/>
    <w:rsid w:val="658B213C"/>
    <w:rsid w:val="65BDAEEE"/>
    <w:rsid w:val="65EFB392"/>
    <w:rsid w:val="65FCE3BE"/>
    <w:rsid w:val="660D10D4"/>
    <w:rsid w:val="6654FE12"/>
    <w:rsid w:val="66DC37FD"/>
    <w:rsid w:val="6711B49F"/>
    <w:rsid w:val="68539BE8"/>
    <w:rsid w:val="6872822F"/>
    <w:rsid w:val="68739BA7"/>
    <w:rsid w:val="68D65C74"/>
    <w:rsid w:val="6918D45C"/>
    <w:rsid w:val="6918D99B"/>
    <w:rsid w:val="69CBEC53"/>
    <w:rsid w:val="6A42CA02"/>
    <w:rsid w:val="6A4E3BE7"/>
    <w:rsid w:val="6AFF3E01"/>
    <w:rsid w:val="6BC861FF"/>
    <w:rsid w:val="6BF9F1C4"/>
    <w:rsid w:val="6C69A523"/>
    <w:rsid w:val="6CA1AB63"/>
    <w:rsid w:val="6D4CFA53"/>
    <w:rsid w:val="6DE23D84"/>
    <w:rsid w:val="6E61795C"/>
    <w:rsid w:val="6E9D9BA8"/>
    <w:rsid w:val="6EACA172"/>
    <w:rsid w:val="6EC0D47B"/>
    <w:rsid w:val="6ECED88B"/>
    <w:rsid w:val="6F400996"/>
    <w:rsid w:val="6FBCF8E0"/>
    <w:rsid w:val="6FCC0B49"/>
    <w:rsid w:val="705F5C79"/>
    <w:rsid w:val="707CF2C5"/>
    <w:rsid w:val="70899774"/>
    <w:rsid w:val="708D7C37"/>
    <w:rsid w:val="70B2DD40"/>
    <w:rsid w:val="716166E8"/>
    <w:rsid w:val="720AB217"/>
    <w:rsid w:val="720C9A33"/>
    <w:rsid w:val="721446C4"/>
    <w:rsid w:val="721DC117"/>
    <w:rsid w:val="72994189"/>
    <w:rsid w:val="72D3C8B7"/>
    <w:rsid w:val="731E89B4"/>
    <w:rsid w:val="740642D9"/>
    <w:rsid w:val="746DAB00"/>
    <w:rsid w:val="74A5B889"/>
    <w:rsid w:val="74ADA51B"/>
    <w:rsid w:val="74B9CF54"/>
    <w:rsid w:val="74C4607C"/>
    <w:rsid w:val="750F22A9"/>
    <w:rsid w:val="7516A7F0"/>
    <w:rsid w:val="757B5D99"/>
    <w:rsid w:val="757CC13D"/>
    <w:rsid w:val="7590BE34"/>
    <w:rsid w:val="75AC0F29"/>
    <w:rsid w:val="75DCB664"/>
    <w:rsid w:val="7611ED85"/>
    <w:rsid w:val="7658FB73"/>
    <w:rsid w:val="77005486"/>
    <w:rsid w:val="77AC6A59"/>
    <w:rsid w:val="77C520ED"/>
    <w:rsid w:val="77E5B9B5"/>
    <w:rsid w:val="7815DD68"/>
    <w:rsid w:val="781CF42E"/>
    <w:rsid w:val="7835918A"/>
    <w:rsid w:val="786CBC7E"/>
    <w:rsid w:val="787D7143"/>
    <w:rsid w:val="79064C4E"/>
    <w:rsid w:val="79A09ED9"/>
    <w:rsid w:val="79B0E606"/>
    <w:rsid w:val="7AABCE10"/>
    <w:rsid w:val="7B500E99"/>
    <w:rsid w:val="7B6B23E3"/>
    <w:rsid w:val="7BA5D85E"/>
    <w:rsid w:val="7BC5838E"/>
    <w:rsid w:val="7C0390C1"/>
    <w:rsid w:val="7C19D5C5"/>
    <w:rsid w:val="7C56EA58"/>
    <w:rsid w:val="7CC80B21"/>
    <w:rsid w:val="7CDE0996"/>
    <w:rsid w:val="7D011DF3"/>
    <w:rsid w:val="7D41C495"/>
    <w:rsid w:val="7DDAB0C2"/>
    <w:rsid w:val="7E380D7A"/>
    <w:rsid w:val="7E5F1D69"/>
    <w:rsid w:val="7E81146C"/>
    <w:rsid w:val="7E9A8BF7"/>
    <w:rsid w:val="7F2139C2"/>
    <w:rsid w:val="7F9E203A"/>
    <w:rsid w:val="7FABDC1D"/>
    <w:rsid w:val="7FD4B1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B62D2C"/>
    <w:pPr>
      <w:keepNext/>
      <w:keepLines/>
      <w:tabs>
        <w:tab w:val="left" w:pos="851"/>
      </w:tabs>
      <w:spacing w:before="240" w:after="120" w:line="312" w:lineRule="auto"/>
      <w:outlineLvl w:val="2"/>
    </w:pPr>
    <w:rPr>
      <w:rFonts w:ascii="Franklin Gothic Medium" w:eastAsiaTheme="majorEastAsia" w:hAnsi="Franklin Gothic Medium" w:cstheme="majorBidi"/>
      <w:sz w:val="22"/>
      <w:szCs w:val="22"/>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FC606B"/>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pPr>
    <w:rPr>
      <w:rFonts w:ascii="Arial Narrow" w:hAnsi="Arial Narrow"/>
      <w:sz w:val="20"/>
    </w:rPr>
  </w:style>
  <w:style w:type="paragraph" w:customStyle="1" w:styleId="TableHeading">
    <w:name w:val="TableHeading"/>
    <w:basedOn w:val="Normal"/>
    <w:link w:val="TableHeadingChar"/>
    <w:qFormat/>
    <w:rsid w:val="00B151CF"/>
    <w:pPr>
      <w:keepNext/>
      <w:spacing w:after="60"/>
    </w:pPr>
    <w:rPr>
      <w:rFonts w:ascii="Arial Narrow"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3E7773"/>
    <w:pPr>
      <w:spacing w:after="240"/>
    </w:pPr>
    <w:rPr>
      <w:rFonts w:ascii="Calibri" w:hAnsi="Calibri"/>
      <w:color w:val="000000"/>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3E7773"/>
    <w:rPr>
      <w:rFonts w:ascii="Calibri" w:eastAsia="Times New Roman" w:hAnsi="Calibri" w:cs="Times New Roman"/>
      <w:color w:val="000000"/>
      <w:sz w:val="24"/>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eastAsia="Times New Roman" w:hAnsi="Arial Narrow" w:cs="Times New Roman"/>
      <w:sz w:val="20"/>
      <w:szCs w:val="24"/>
      <w:lang w:eastAsia="en-GB"/>
    </w:rPr>
  </w:style>
  <w:style w:type="character" w:customStyle="1" w:styleId="TableHeadingChar">
    <w:name w:val="TableHeading Char"/>
    <w:link w:val="TableHeading"/>
    <w:rsid w:val="00B151CF"/>
    <w:rPr>
      <w:rFonts w:ascii="Arial Narrow" w:eastAsia="Times New Roman" w:hAnsi="Arial Narrow" w:cs="Times New Roman"/>
      <w:b/>
      <w:sz w:val="20"/>
      <w:szCs w:val="24"/>
      <w:lang w:eastAsia="en-GB"/>
    </w:rPr>
  </w:style>
  <w:style w:type="paragraph" w:styleId="BalloonText">
    <w:name w:val="Balloon Text"/>
    <w:basedOn w:val="Normal"/>
    <w:link w:val="BalloonTextChar"/>
    <w:uiPriority w:val="99"/>
    <w:semiHidden/>
    <w:unhideWhenUsed/>
    <w:rsid w:val="003E7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lang w:eastAsia="en-GB"/>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lang w:eastAsia="en-GB"/>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lang w:eastAsia="en-GB"/>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qFormat/>
    <w:rsid w:val="009A06F4"/>
    <w:pPr>
      <w:keepNext/>
      <w:spacing w:before="360" w:after="120"/>
    </w:pPr>
    <w:rPr>
      <w:rFonts w:ascii="Arial Narrow" w:hAnsi="Arial Narrow"/>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Light" w:hAnsi="Yu Gothic UI Ligh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basedOn w:val="DefaultParagraphFont"/>
    <w:link w:val="Caption"/>
    <w:rsid w:val="009A06F4"/>
    <w:rPr>
      <w:rFonts w:ascii="Arial Narrow" w:eastAsia="Times New Roman" w:hAnsi="Arial Narrow" w:cs="Times New Roman"/>
      <w:b/>
      <w:bCs/>
      <w:sz w:val="20"/>
      <w:szCs w:val="20"/>
      <w:lang w:eastAsia="en-GB"/>
    </w:rPr>
  </w:style>
  <w:style w:type="table" w:styleId="TableGrid">
    <w:name w:val="Table Grid"/>
    <w:aliases w:val="Summary box,Table Gridbeth,RTI AMCP Table,new style,ASD Table,CMA Table Template,HealthConsult,PBAC table,Conclusion box,Table Grid nm,HTAtableplain,Dossier table,Section 3- footnotes,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contextualSpacing/>
    </w:pPr>
    <w:rPr>
      <w:sz w:val="18"/>
    </w:rPr>
  </w:style>
  <w:style w:type="paragraph" w:styleId="ListParagraph">
    <w:name w:val="List Paragraph"/>
    <w:aliases w:val="Styl moj,Akapit z listą1,Akapit z listą11,Bullet 1,BulletPoints,List Paragraph1,Numbered para,Bullet point,List Paragraph11,Recommendation,BULLET,_CC_Bullet,Bullet1,Bullet List,Section 5,Bullets Points,BulletList 1,Bulletlist1,BulletList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aTableHeading"/>
    <w:qFormat/>
    <w:rsid w:val="00FD17BA"/>
    <w:pPr>
      <w:jc w:val="center"/>
    </w:pPr>
  </w:style>
  <w:style w:type="paragraph" w:customStyle="1" w:styleId="aTableHeading">
    <w:name w:val="aTable Heading"/>
    <w:basedOn w:val="Caption"/>
    <w:qFormat/>
    <w:rsid w:val="00110C43"/>
    <w:pPr>
      <w:ind w:left="851" w:hanging="851"/>
    </w:p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Instructionaltext"/>
    <w:qFormat/>
    <w:rsid w:val="00110C43"/>
    <w:rPr>
      <w:rFonts w:ascii="Franklin Gothic Book" w:hAnsi="Franklin Gothic Book"/>
      <w:sz w:val="22"/>
      <w:szCs w:val="22"/>
    </w:r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pPr>
    <w:rPr>
      <w:rFonts w:asciiTheme="minorHAnsi" w:hAnsiTheme="minorHAnsi"/>
    </w:rPr>
  </w:style>
  <w:style w:type="paragraph" w:styleId="TOC3">
    <w:name w:val="toc 3"/>
    <w:basedOn w:val="Normal"/>
    <w:next w:val="Normal"/>
    <w:autoRedefine/>
    <w:uiPriority w:val="39"/>
    <w:unhideWhenUsed/>
    <w:rsid w:val="0088445B"/>
    <w:pPr>
      <w:spacing w:after="100"/>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hAnsi="Arial" w:cs="Tahoma"/>
      <w:b/>
      <w:i/>
      <w:sz w:val="44"/>
      <w:lang w:eastAsia="en-AU"/>
    </w:rPr>
  </w:style>
  <w:style w:type="paragraph" w:customStyle="1" w:styleId="Sub-title">
    <w:name w:val="Sub-title"/>
    <w:basedOn w:val="Normal"/>
    <w:locked/>
    <w:rsid w:val="00401DBF"/>
    <w:pPr>
      <w:spacing w:before="1701"/>
      <w:ind w:left="4536"/>
    </w:pPr>
    <w:rPr>
      <w:rFonts w:ascii="Arial" w:hAnsi="Arial" w:cs="Tahoma"/>
      <w:b/>
      <w:sz w:val="32"/>
      <w:lang w:eastAsia="en-AU"/>
    </w:rPr>
  </w:style>
  <w:style w:type="paragraph" w:customStyle="1" w:styleId="Nnumberedlist">
    <w:name w:val="Nnumbered list"/>
    <w:basedOn w:val="Normal"/>
    <w:rsid w:val="00AF3D39"/>
    <w:pPr>
      <w:numPr>
        <w:numId w:val="2"/>
      </w:numPr>
      <w:jc w:val="both"/>
    </w:pPr>
    <w:rPr>
      <w:rFonts w:ascii="Calibri"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pPr>
    <w:rPr>
      <w:rFonts w:ascii="Arial Narrow"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szCs w:val="24"/>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pPr>
  </w:style>
  <w:style w:type="character" w:customStyle="1" w:styleId="HeaderChar">
    <w:name w:val="Header Char"/>
    <w:basedOn w:val="DefaultParagraphFont"/>
    <w:link w:val="Header"/>
    <w:uiPriority w:val="99"/>
    <w:rsid w:val="00B62D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62DF2"/>
    <w:pPr>
      <w:tabs>
        <w:tab w:val="center" w:pos="4513"/>
        <w:tab w:val="right" w:pos="9026"/>
      </w:tabs>
    </w:pPr>
  </w:style>
  <w:style w:type="character" w:customStyle="1" w:styleId="FooterChar">
    <w:name w:val="Footer Char"/>
    <w:basedOn w:val="DefaultParagraphFont"/>
    <w:link w:val="Footer"/>
    <w:uiPriority w:val="99"/>
    <w:rsid w:val="00B62DF2"/>
    <w:rPr>
      <w:rFonts w:ascii="Times New Roman" w:eastAsia="Times New Roman" w:hAnsi="Times New Roman" w:cs="Times New Roman"/>
      <w:sz w:val="24"/>
      <w:szCs w:val="24"/>
      <w:lang w:eastAsia="en-GB"/>
    </w:rPr>
  </w:style>
  <w:style w:type="paragraph" w:customStyle="1" w:styleId="Tablenotes">
    <w:name w:val="Tablenotes"/>
    <w:basedOn w:val="Normal"/>
    <w:link w:val="TablenotesChar"/>
    <w:qFormat/>
    <w:rsid w:val="00242F4E"/>
    <w:pPr>
      <w:widowControl w:val="0"/>
      <w:spacing w:after="120"/>
      <w:contextualSpacing/>
    </w:pPr>
    <w:rPr>
      <w:rFonts w:ascii="Arial Narrow"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lang w:eastAsia="en-GB"/>
    </w:rPr>
  </w:style>
  <w:style w:type="character" w:customStyle="1" w:styleId="ListParagraphChar">
    <w:name w:val="List Paragraph Char"/>
    <w:aliases w:val="Styl moj Char,Akapit z listą1 Char,Akapit z listą11 Char,Bullet 1 Char,BulletPoints Char,List Paragraph1 Char,Numbered para Char,Bullet point Char,List Paragraph11 Char,Recommendation Char,BULLET Char,_CC_Bullet Char,Bullet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jc w:val="both"/>
    </w:pPr>
    <w:rPr>
      <w:rFonts w:ascii="Arial Narrow"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110C43"/>
    <w:pPr>
      <w:keepNext/>
      <w:spacing w:before="240" w:after="120" w:line="240" w:lineRule="auto"/>
      <w:ind w:left="720" w:hanging="720"/>
      <w:outlineLvl w:val="0"/>
    </w:pPr>
    <w:rPr>
      <w:rFonts w:ascii="Franklin Gothic Book" w:eastAsia="Times New Roman" w:hAnsi="Franklin Gothic Book"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contextualSpacing w:val="0"/>
      <w:jc w:val="both"/>
    </w:pPr>
    <w:rPr>
      <w:rFonts w:asciiTheme="minorHAnsi" w:hAnsiTheme="minorHAnsi" w:cs="Arial"/>
      <w:snapToGrid w:val="0"/>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eastAsia="Times New Roman" w:hAnsi="Calibri" w:cs="Calibri"/>
      <w:color w:val="0070C0"/>
      <w:sz w:val="24"/>
      <w:szCs w:val="24"/>
      <w:lang w:eastAsia="en-GB"/>
    </w:rPr>
  </w:style>
  <w:style w:type="paragraph" w:customStyle="1" w:styleId="InstructionBulletpoint">
    <w:name w:val="Instruction Bullet point"/>
    <w:basedOn w:val="Normal"/>
    <w:link w:val="InstructionBulletpointChar"/>
    <w:uiPriority w:val="3"/>
    <w:qFormat/>
    <w:rsid w:val="00107DCD"/>
    <w:pPr>
      <w:numPr>
        <w:numId w:val="6"/>
      </w:numPr>
      <w:spacing w:after="120"/>
      <w:ind w:left="714" w:hanging="357"/>
    </w:pPr>
    <w:rPr>
      <w:rFonts w:ascii="Calibri" w:hAnsi="Calibri" w:cs="Calibri"/>
      <w:color w:val="0070C0"/>
    </w:rPr>
  </w:style>
  <w:style w:type="character" w:customStyle="1" w:styleId="TableFooterChar">
    <w:name w:val="Table Footer Char"/>
    <w:link w:val="TableFooter"/>
    <w:locked/>
    <w:rsid w:val="007B0880"/>
    <w:rPr>
      <w:rFonts w:ascii="Arial Narrow" w:eastAsia="Times New Roman" w:hAnsi="Arial Narrow" w:cs="Arial"/>
      <w:sz w:val="18"/>
      <w:szCs w:val="20"/>
      <w:lang w:eastAsia="en-GB"/>
    </w:rPr>
  </w:style>
  <w:style w:type="paragraph" w:customStyle="1" w:styleId="TableFooter">
    <w:name w:val="Table Footer"/>
    <w:basedOn w:val="Normal"/>
    <w:link w:val="TableFooterChar"/>
    <w:qFormat/>
    <w:rsid w:val="007B0880"/>
    <w:pPr>
      <w:widowControl w:val="0"/>
      <w:snapToGrid w:val="0"/>
      <w:spacing w:after="240"/>
      <w:contextualSpacing/>
      <w:jc w:val="both"/>
    </w:pPr>
    <w:rPr>
      <w:rFonts w:ascii="Arial Narrow"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ritannic Bold" w:hAnsi="Britannic Bol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ritannic Bold" w:hAnsi="Britannic Bol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ritannic Bold" w:hAnsi="Britannic Bol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rFonts w:eastAsia="Times New Roman" w:cs="Times New Roman"/>
      <w:sz w:val="18"/>
      <w:szCs w:val="20"/>
      <w:lang w:eastAsia="en-GB"/>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hAnsi="Calibri" w:cs="Tahoma"/>
      <w:lang w:eastAsia="en-AU"/>
    </w:rPr>
  </w:style>
  <w:style w:type="paragraph" w:styleId="Title">
    <w:name w:val="Title"/>
    <w:basedOn w:val="Normal"/>
    <w:next w:val="Normal"/>
    <w:link w:val="TitleChar"/>
    <w:qFormat/>
    <w:rsid w:val="00772829"/>
    <w:pPr>
      <w:spacing w:before="480" w:after="240"/>
      <w:jc w:val="center"/>
    </w:pPr>
    <w:rPr>
      <w:rFonts w:ascii="Arial"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jc w:val="center"/>
    </w:pPr>
    <w:rPr>
      <w:rFonts w:ascii="Arial"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link w:val="NormalBeforeBulletChar"/>
    <w:qFormat/>
    <w:rsid w:val="00091C59"/>
    <w:pPr>
      <w:keepNext/>
      <w:spacing w:after="120"/>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972C5C"/>
    <w:pPr>
      <w:spacing w:before="240" w:after="240"/>
    </w:pPr>
    <w:rPr>
      <w:rFonts w:ascii="Franklin Gothic Book" w:hAnsi="Franklin Gothic Book"/>
      <w:b/>
      <w:color w:val="0070C0"/>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Comments">
    <w:name w:val="Comments"/>
    <w:basedOn w:val="a-TEXT"/>
    <w:qFormat/>
    <w:rsid w:val="00CD0EAE"/>
    <w:rPr>
      <w:i/>
      <w:iCs w:val="0"/>
      <w:color w:val="2B59BE"/>
    </w:rPr>
  </w:style>
  <w:style w:type="paragraph" w:customStyle="1" w:styleId="Table">
    <w:name w:val="Table"/>
    <w:basedOn w:val="Normal"/>
    <w:link w:val="TableChar"/>
    <w:qFormat/>
    <w:rsid w:val="00B17AC0"/>
    <w:pPr>
      <w:spacing w:after="40"/>
    </w:pPr>
    <w:rPr>
      <w:rFonts w:ascii="Arial Narrow" w:hAnsi="Arial Narrow"/>
      <w:sz w:val="18"/>
      <w:szCs w:val="20"/>
    </w:rPr>
  </w:style>
  <w:style w:type="character" w:customStyle="1" w:styleId="TableChar">
    <w:name w:val="Table Char"/>
    <w:basedOn w:val="DefaultParagraphFont"/>
    <w:link w:val="Table"/>
    <w:rsid w:val="00B17AC0"/>
    <w:rPr>
      <w:rFonts w:ascii="Arial Narrow" w:eastAsia="Times New Roman" w:hAnsi="Arial Narrow" w:cs="Times New Roman"/>
      <w:sz w:val="18"/>
      <w:szCs w:val="20"/>
      <w:lang w:eastAsia="en-GB"/>
    </w:rPr>
  </w:style>
  <w:style w:type="character" w:styleId="EndnoteReference">
    <w:name w:val="endnote reference"/>
    <w:basedOn w:val="DefaultParagraphFont"/>
    <w:uiPriority w:val="99"/>
    <w:unhideWhenUsed/>
    <w:rsid w:val="00CE5FCA"/>
    <w:rPr>
      <w:vertAlign w:val="superscript"/>
    </w:rPr>
  </w:style>
  <w:style w:type="table" w:customStyle="1" w:styleId="ASDTable1">
    <w:name w:val="ASD Table1"/>
    <w:basedOn w:val="TableNormal"/>
    <w:next w:val="TableGrid"/>
    <w:uiPriority w:val="59"/>
    <w:rsid w:val="00443C4A"/>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BulletLast">
    <w:name w:val="Bullet Last"/>
    <w:basedOn w:val="Bullet"/>
    <w:qFormat/>
    <w:rsid w:val="00D74729"/>
    <w:pPr>
      <w:numPr>
        <w:numId w:val="10"/>
      </w:numPr>
      <w:spacing w:after="240" w:line="259" w:lineRule="auto"/>
      <w:ind w:left="357" w:hanging="357"/>
    </w:pPr>
    <w:rPr>
      <w:rFonts w:ascii="Proxima Nova" w:hAnsi="Proxima Nova"/>
      <w:sz w:val="20"/>
      <w:szCs w:val="20"/>
    </w:rPr>
  </w:style>
  <w:style w:type="paragraph" w:customStyle="1" w:styleId="a-TEXT">
    <w:name w:val="a-TEXT"/>
    <w:basedOn w:val="Normal"/>
    <w:link w:val="a-TEXTChar"/>
    <w:qFormat/>
    <w:rsid w:val="00B94F5D"/>
    <w:pPr>
      <w:spacing w:before="120" w:after="120" w:line="259" w:lineRule="auto"/>
    </w:pPr>
    <w:rPr>
      <w:rFonts w:ascii="Franklin Gothic Book" w:eastAsiaTheme="minorHAnsi" w:hAnsi="Franklin Gothic Book" w:cstheme="minorBidi"/>
      <w:iCs/>
      <w:sz w:val="22"/>
      <w:szCs w:val="22"/>
      <w:lang w:eastAsia="en-US"/>
    </w:rPr>
  </w:style>
  <w:style w:type="paragraph" w:customStyle="1" w:styleId="A-dot">
    <w:name w:val="A-dot"/>
    <w:basedOn w:val="a-TEXT"/>
    <w:link w:val="A-dotChar"/>
    <w:qFormat/>
    <w:rsid w:val="00EA572D"/>
    <w:pPr>
      <w:numPr>
        <w:numId w:val="11"/>
      </w:numPr>
      <w:spacing w:before="0" w:after="0"/>
    </w:pPr>
  </w:style>
  <w:style w:type="paragraph" w:customStyle="1" w:styleId="a-subHeading">
    <w:name w:val="a-subHeading"/>
    <w:basedOn w:val="Heading3"/>
    <w:qFormat/>
    <w:rsid w:val="00B62D2C"/>
  </w:style>
  <w:style w:type="paragraph" w:customStyle="1" w:styleId="a-TableFOOTER">
    <w:name w:val="a-TableFOOTER"/>
    <w:basedOn w:val="TableFigureFooter"/>
    <w:qFormat/>
    <w:rsid w:val="00EF2A20"/>
    <w:rPr>
      <w:rFonts w:eastAsia="Calibri"/>
      <w:szCs w:val="20"/>
    </w:rPr>
  </w:style>
  <w:style w:type="paragraph" w:customStyle="1" w:styleId="a-COMMENT">
    <w:name w:val="a-COMMENT"/>
    <w:basedOn w:val="a-TEXT"/>
    <w:qFormat/>
    <w:rsid w:val="00770AEB"/>
    <w:rPr>
      <w:i/>
      <w:iCs w:val="0"/>
      <w:color w:val="000000" w:themeColor="text1"/>
    </w:rPr>
  </w:style>
  <w:style w:type="character" w:customStyle="1" w:styleId="Heading5Char">
    <w:name w:val="Heading 5 Char"/>
    <w:basedOn w:val="DefaultParagraphFont"/>
    <w:link w:val="Heading5"/>
    <w:uiPriority w:val="9"/>
    <w:rsid w:val="00FC606B"/>
    <w:rPr>
      <w:rFonts w:asciiTheme="majorHAnsi" w:eastAsiaTheme="majorEastAsia" w:hAnsiTheme="majorHAnsi" w:cstheme="majorBidi"/>
      <w:color w:val="2E74B5" w:themeColor="accent1" w:themeShade="BF"/>
    </w:rPr>
  </w:style>
  <w:style w:type="paragraph" w:customStyle="1" w:styleId="TableLeft">
    <w:name w:val="Table Left"/>
    <w:basedOn w:val="Normal"/>
    <w:link w:val="TableLeftChar"/>
    <w:uiPriority w:val="5"/>
    <w:qFormat/>
    <w:rsid w:val="00F02594"/>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5"/>
    <w:locked/>
    <w:rsid w:val="00F02594"/>
    <w:rPr>
      <w:rFonts w:ascii="Arial Narrow" w:eastAsiaTheme="majorEastAsia" w:hAnsi="Arial Narrow" w:cstheme="majorBidi"/>
      <w:sz w:val="20"/>
      <w:lang w:bidi="en-US"/>
    </w:rPr>
  </w:style>
  <w:style w:type="table" w:customStyle="1" w:styleId="ASDTable2">
    <w:name w:val="ASD Table2"/>
    <w:basedOn w:val="TableNormal"/>
    <w:next w:val="TableGrid"/>
    <w:uiPriority w:val="59"/>
    <w:rsid w:val="000C1D3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587922"/>
    <w:pPr>
      <w:jc w:val="center"/>
    </w:pPr>
    <w:rPr>
      <w:lang w:val="en-GB"/>
    </w:rPr>
  </w:style>
  <w:style w:type="character" w:customStyle="1" w:styleId="a-TEXTChar">
    <w:name w:val="a-TEXT Char"/>
    <w:basedOn w:val="DefaultParagraphFont"/>
    <w:link w:val="a-TEXT"/>
    <w:rsid w:val="00587922"/>
    <w:rPr>
      <w:rFonts w:ascii="Franklin Gothic Book" w:hAnsi="Franklin Gothic Book"/>
      <w:iCs/>
    </w:rPr>
  </w:style>
  <w:style w:type="character" w:customStyle="1" w:styleId="A-dotChar">
    <w:name w:val="A-dot Char"/>
    <w:basedOn w:val="a-TEXTChar"/>
    <w:link w:val="A-dot"/>
    <w:rsid w:val="00587922"/>
    <w:rPr>
      <w:rFonts w:ascii="Franklin Gothic Book" w:hAnsi="Franklin Gothic Book"/>
      <w:iCs/>
    </w:rPr>
  </w:style>
  <w:style w:type="character" w:customStyle="1" w:styleId="EndNoteBibliographyTitleChar">
    <w:name w:val="EndNote Bibliography Title Char"/>
    <w:basedOn w:val="A-dotChar"/>
    <w:link w:val="EndNoteBibliographyTitle"/>
    <w:rsid w:val="00587922"/>
    <w:rPr>
      <w:rFonts w:ascii="Times New Roman" w:eastAsia="Times New Roman" w:hAnsi="Times New Roman" w:cs="Times New Roman"/>
      <w:iCs w:val="0"/>
      <w:sz w:val="24"/>
      <w:szCs w:val="24"/>
      <w:lang w:val="en-GB" w:eastAsia="en-GB"/>
    </w:rPr>
  </w:style>
  <w:style w:type="paragraph" w:customStyle="1" w:styleId="EndNoteBibliography">
    <w:name w:val="EndNote Bibliography"/>
    <w:basedOn w:val="Normal"/>
    <w:link w:val="EndNoteBibliographyChar"/>
    <w:rsid w:val="00587922"/>
    <w:rPr>
      <w:lang w:val="en-GB"/>
    </w:rPr>
  </w:style>
  <w:style w:type="character" w:customStyle="1" w:styleId="EndNoteBibliographyChar">
    <w:name w:val="EndNote Bibliography Char"/>
    <w:basedOn w:val="A-dotChar"/>
    <w:link w:val="EndNoteBibliography"/>
    <w:rsid w:val="00587922"/>
    <w:rPr>
      <w:rFonts w:ascii="Times New Roman" w:eastAsia="Times New Roman" w:hAnsi="Times New Roman" w:cs="Times New Roman"/>
      <w:iCs w:val="0"/>
      <w:sz w:val="24"/>
      <w:szCs w:val="24"/>
      <w:lang w:val="en-GB" w:eastAsia="en-GB"/>
    </w:rPr>
  </w:style>
  <w:style w:type="character" w:customStyle="1" w:styleId="UnresolvedMention3">
    <w:name w:val="Unresolved Mention3"/>
    <w:basedOn w:val="DefaultParagraphFont"/>
    <w:uiPriority w:val="99"/>
    <w:unhideWhenUsed/>
    <w:rsid w:val="00587922"/>
    <w:rPr>
      <w:color w:val="605E5C"/>
      <w:shd w:val="clear" w:color="auto" w:fill="E1DFDD"/>
    </w:rPr>
  </w:style>
  <w:style w:type="character" w:customStyle="1" w:styleId="Mention1">
    <w:name w:val="Mention1"/>
    <w:basedOn w:val="DefaultParagraphFont"/>
    <w:uiPriority w:val="99"/>
    <w:unhideWhenUsed/>
    <w:rsid w:val="000B14BF"/>
    <w:rPr>
      <w:color w:val="2B579A"/>
      <w:shd w:val="clear" w:color="auto" w:fill="E1DFDD"/>
    </w:rPr>
  </w:style>
  <w:style w:type="table" w:customStyle="1" w:styleId="newstyle1">
    <w:name w:val="new style1"/>
    <w:basedOn w:val="TableNormal"/>
    <w:next w:val="TableGrid"/>
    <w:uiPriority w:val="59"/>
    <w:rsid w:val="002A0516"/>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ui-provider">
    <w:name w:val="ui-provider"/>
    <w:basedOn w:val="DefaultParagraphFont"/>
    <w:rsid w:val="00760357"/>
  </w:style>
  <w:style w:type="paragraph" w:customStyle="1" w:styleId="TableHeading0">
    <w:name w:val="Table Heading"/>
    <w:basedOn w:val="Normal"/>
    <w:link w:val="TableHeadingChar0"/>
    <w:qFormat/>
    <w:rsid w:val="00A13108"/>
    <w:pPr>
      <w:spacing w:before="120" w:after="60"/>
    </w:pPr>
    <w:rPr>
      <w:rFonts w:ascii="Arial Narrow" w:eastAsiaTheme="minorHAnsi" w:hAnsi="Arial Narrow" w:cstheme="minorBidi"/>
      <w:b/>
      <w:sz w:val="20"/>
      <w:szCs w:val="22"/>
      <w:lang w:eastAsia="en-US"/>
    </w:rPr>
  </w:style>
  <w:style w:type="character" w:customStyle="1" w:styleId="TableHeadingChar0">
    <w:name w:val="Table Heading Char"/>
    <w:basedOn w:val="DefaultParagraphFont"/>
    <w:link w:val="TableHeading0"/>
    <w:rsid w:val="00A13108"/>
    <w:rPr>
      <w:rFonts w:ascii="Arial Narrow" w:hAnsi="Arial Narrow"/>
      <w:b/>
      <w:sz w:val="20"/>
    </w:rPr>
  </w:style>
  <w:style w:type="character" w:customStyle="1" w:styleId="normaltextrun">
    <w:name w:val="normaltextrun"/>
    <w:basedOn w:val="DefaultParagraphFont"/>
    <w:rsid w:val="00970B09"/>
  </w:style>
  <w:style w:type="paragraph" w:styleId="NormalWeb">
    <w:name w:val="Normal (Web)"/>
    <w:basedOn w:val="Normal"/>
    <w:uiPriority w:val="99"/>
    <w:unhideWhenUsed/>
    <w:rsid w:val="00992E4B"/>
    <w:pPr>
      <w:spacing w:before="100" w:beforeAutospacing="1" w:after="100" w:afterAutospacing="1"/>
    </w:pPr>
  </w:style>
  <w:style w:type="character" w:customStyle="1" w:styleId="NormalBeforeBulletChar">
    <w:name w:val="Normal Before Bullet Char"/>
    <w:basedOn w:val="DefaultParagraphFont"/>
    <w:link w:val="NormalBeforeBullet"/>
    <w:rsid w:val="00CD5080"/>
    <w:rPr>
      <w:rFonts w:eastAsia="Times New Roman" w:cs="Times New Roman"/>
      <w:sz w:val="24"/>
      <w:szCs w:val="24"/>
      <w:lang w:eastAsia="en-GB"/>
    </w:rPr>
  </w:style>
  <w:style w:type="paragraph" w:styleId="EndnoteText">
    <w:name w:val="endnote text"/>
    <w:basedOn w:val="Normal"/>
    <w:link w:val="EndnoteTextChar"/>
    <w:uiPriority w:val="99"/>
    <w:semiHidden/>
    <w:unhideWhenUsed/>
    <w:rsid w:val="003244A5"/>
    <w:rPr>
      <w:sz w:val="20"/>
      <w:szCs w:val="20"/>
    </w:rPr>
  </w:style>
  <w:style w:type="character" w:customStyle="1" w:styleId="EndnoteTextChar">
    <w:name w:val="Endnote Text Char"/>
    <w:basedOn w:val="DefaultParagraphFont"/>
    <w:link w:val="EndnoteText"/>
    <w:uiPriority w:val="99"/>
    <w:semiHidden/>
    <w:rsid w:val="003244A5"/>
    <w:rPr>
      <w:rFonts w:ascii="Times New Roman" w:eastAsia="Times New Roman" w:hAnsi="Times New Roman" w:cs="Times New Roman"/>
      <w:sz w:val="20"/>
      <w:szCs w:val="20"/>
      <w:lang w:eastAsia="en-GB"/>
    </w:rPr>
  </w:style>
  <w:style w:type="paragraph" w:customStyle="1" w:styleId="TableDash">
    <w:name w:val="TableDash"/>
    <w:basedOn w:val="TableText1"/>
    <w:rsid w:val="00D96921"/>
    <w:pPr>
      <w:numPr>
        <w:numId w:val="25"/>
      </w:numPr>
      <w:tabs>
        <w:tab w:val="clear" w:pos="216"/>
        <w:tab w:val="num" w:pos="432"/>
      </w:tabs>
      <w:spacing w:before="60" w:after="60"/>
      <w:jc w:val="left"/>
    </w:pPr>
    <w:rPr>
      <w:rFonts w:ascii="Franklin Gothic Book" w:hAnsi="Franklin Gothic Book" w:cs="Times New Roman"/>
      <w:color w:val="000000"/>
      <w:sz w:val="21"/>
      <w:szCs w:val="21"/>
    </w:rPr>
  </w:style>
  <w:style w:type="paragraph" w:customStyle="1" w:styleId="BoxName0">
    <w:name w:val="BoxName"/>
    <w:basedOn w:val="Normal"/>
    <w:rsid w:val="00D96921"/>
    <w:pPr>
      <w:keepNext/>
      <w:pBdr>
        <w:top w:val="single" w:sz="4" w:space="4" w:color="000000"/>
        <w:left w:val="single" w:sz="4" w:space="4" w:color="000000"/>
        <w:bottom w:val="single" w:sz="4" w:space="4" w:color="000000"/>
        <w:right w:val="single" w:sz="4" w:space="4" w:color="000000"/>
      </w:pBdr>
      <w:spacing w:before="240" w:after="240"/>
      <w:ind w:left="1077" w:hanging="1077"/>
    </w:pPr>
    <w:rPr>
      <w:rFonts w:ascii="Franklin Gothic Book" w:hAnsi="Franklin Gothic Book"/>
      <w:b/>
      <w:bCs/>
      <w:color w:val="000000"/>
      <w:szCs w:val="20"/>
      <w:lang w:eastAsia="en-AU"/>
    </w:rPr>
  </w:style>
  <w:style w:type="paragraph" w:customStyle="1" w:styleId="BoxHeading">
    <w:name w:val="BoxHeading"/>
    <w:basedOn w:val="Normal"/>
    <w:rsid w:val="00D96921"/>
    <w:pPr>
      <w:keepNext/>
      <w:pBdr>
        <w:top w:val="single" w:sz="4" w:space="4" w:color="000000"/>
        <w:left w:val="single" w:sz="4" w:space="4" w:color="000000"/>
        <w:bottom w:val="single" w:sz="4" w:space="4" w:color="000000"/>
        <w:right w:val="single" w:sz="4" w:space="4" w:color="000000"/>
      </w:pBdr>
      <w:spacing w:before="120" w:after="60"/>
    </w:pPr>
    <w:rPr>
      <w:rFonts w:ascii="Franklin Gothic Book" w:hAnsi="Franklin Gothic Book"/>
      <w:b/>
      <w:bCs/>
      <w:color w:val="000000"/>
      <w:sz w:val="22"/>
      <w:szCs w:val="20"/>
      <w:lang w:eastAsia="en-AU"/>
    </w:rPr>
  </w:style>
  <w:style w:type="paragraph" w:customStyle="1" w:styleId="BoxBullet">
    <w:name w:val="BoxBullet"/>
    <w:basedOn w:val="Normal"/>
    <w:rsid w:val="00D96921"/>
    <w:pPr>
      <w:numPr>
        <w:numId w:val="26"/>
      </w:numPr>
      <w:pBdr>
        <w:top w:val="single" w:sz="4" w:space="4" w:color="000000"/>
        <w:left w:val="single" w:sz="4" w:space="4" w:color="000000"/>
        <w:bottom w:val="single" w:sz="4" w:space="4" w:color="000000"/>
        <w:right w:val="single" w:sz="4" w:space="4" w:color="000000"/>
      </w:pBdr>
      <w:spacing w:after="120"/>
    </w:pPr>
    <w:rPr>
      <w:rFonts w:ascii="Franklin Gothic Book" w:hAnsi="Franklin Gothic Book"/>
      <w:color w:val="000000"/>
      <w:sz w:val="22"/>
      <w:szCs w:val="20"/>
      <w:lang w:eastAsia="en-AU"/>
    </w:rPr>
  </w:style>
  <w:style w:type="paragraph" w:styleId="BodyText">
    <w:name w:val="Body Text"/>
    <w:basedOn w:val="Normal"/>
    <w:link w:val="BodyTextChar"/>
    <w:rsid w:val="00503420"/>
    <w:pPr>
      <w:widowControl w:val="0"/>
      <w:spacing w:before="120"/>
      <w:jc w:val="both"/>
    </w:pPr>
    <w:rPr>
      <w:rFonts w:ascii="Book Antiqua" w:hAnsi="Book Antiqua"/>
      <w:szCs w:val="20"/>
      <w:lang w:eastAsia="en-US"/>
    </w:rPr>
  </w:style>
  <w:style w:type="character" w:customStyle="1" w:styleId="BodyTextChar">
    <w:name w:val="Body Text Char"/>
    <w:basedOn w:val="DefaultParagraphFont"/>
    <w:link w:val="BodyText"/>
    <w:rsid w:val="00503420"/>
    <w:rPr>
      <w:rFonts w:ascii="Book Antiqua" w:eastAsia="Times New Roman" w:hAnsi="Book Antiqua" w:cs="Times New Roman"/>
      <w:sz w:val="24"/>
      <w:szCs w:val="20"/>
    </w:rPr>
  </w:style>
  <w:style w:type="paragraph" w:customStyle="1" w:styleId="paragraph">
    <w:name w:val="paragraph"/>
    <w:basedOn w:val="Normal"/>
    <w:rsid w:val="00581845"/>
    <w:pPr>
      <w:spacing w:before="100" w:beforeAutospacing="1" w:after="100" w:afterAutospacing="1"/>
    </w:pPr>
    <w:rPr>
      <w:lang w:eastAsia="en-AU"/>
    </w:rPr>
  </w:style>
  <w:style w:type="character" w:customStyle="1" w:styleId="eop">
    <w:name w:val="eop"/>
    <w:basedOn w:val="DefaultParagraphFont"/>
    <w:rsid w:val="0058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521">
      <w:bodyDiv w:val="1"/>
      <w:marLeft w:val="0"/>
      <w:marRight w:val="0"/>
      <w:marTop w:val="0"/>
      <w:marBottom w:val="0"/>
      <w:divBdr>
        <w:top w:val="none" w:sz="0" w:space="0" w:color="auto"/>
        <w:left w:val="none" w:sz="0" w:space="0" w:color="auto"/>
        <w:bottom w:val="none" w:sz="0" w:space="0" w:color="auto"/>
        <w:right w:val="none" w:sz="0" w:space="0" w:color="auto"/>
      </w:divBdr>
      <w:divsChild>
        <w:div w:id="46073980">
          <w:marLeft w:val="0"/>
          <w:marRight w:val="0"/>
          <w:marTop w:val="0"/>
          <w:marBottom w:val="0"/>
          <w:divBdr>
            <w:top w:val="none" w:sz="0" w:space="0" w:color="auto"/>
            <w:left w:val="none" w:sz="0" w:space="0" w:color="auto"/>
            <w:bottom w:val="none" w:sz="0" w:space="0" w:color="auto"/>
            <w:right w:val="none" w:sz="0" w:space="0" w:color="auto"/>
          </w:divBdr>
          <w:divsChild>
            <w:div w:id="979574873">
              <w:marLeft w:val="0"/>
              <w:marRight w:val="0"/>
              <w:marTop w:val="0"/>
              <w:marBottom w:val="0"/>
              <w:divBdr>
                <w:top w:val="none" w:sz="0" w:space="0" w:color="auto"/>
                <w:left w:val="none" w:sz="0" w:space="0" w:color="auto"/>
                <w:bottom w:val="none" w:sz="0" w:space="0" w:color="auto"/>
                <w:right w:val="none" w:sz="0" w:space="0" w:color="auto"/>
              </w:divBdr>
              <w:divsChild>
                <w:div w:id="3188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12670604">
      <w:bodyDiv w:val="1"/>
      <w:marLeft w:val="0"/>
      <w:marRight w:val="0"/>
      <w:marTop w:val="0"/>
      <w:marBottom w:val="0"/>
      <w:divBdr>
        <w:top w:val="none" w:sz="0" w:space="0" w:color="auto"/>
        <w:left w:val="none" w:sz="0" w:space="0" w:color="auto"/>
        <w:bottom w:val="none" w:sz="0" w:space="0" w:color="auto"/>
        <w:right w:val="none" w:sz="0" w:space="0" w:color="auto"/>
      </w:divBdr>
      <w:divsChild>
        <w:div w:id="1734811894">
          <w:marLeft w:val="0"/>
          <w:marRight w:val="0"/>
          <w:marTop w:val="0"/>
          <w:marBottom w:val="0"/>
          <w:divBdr>
            <w:top w:val="none" w:sz="0" w:space="0" w:color="auto"/>
            <w:left w:val="none" w:sz="0" w:space="0" w:color="auto"/>
            <w:bottom w:val="none" w:sz="0" w:space="0" w:color="auto"/>
            <w:right w:val="none" w:sz="0" w:space="0" w:color="auto"/>
          </w:divBdr>
          <w:divsChild>
            <w:div w:id="1444031914">
              <w:marLeft w:val="0"/>
              <w:marRight w:val="0"/>
              <w:marTop w:val="0"/>
              <w:marBottom w:val="0"/>
              <w:divBdr>
                <w:top w:val="none" w:sz="0" w:space="0" w:color="auto"/>
                <w:left w:val="none" w:sz="0" w:space="0" w:color="auto"/>
                <w:bottom w:val="none" w:sz="0" w:space="0" w:color="auto"/>
                <w:right w:val="none" w:sz="0" w:space="0" w:color="auto"/>
              </w:divBdr>
              <w:divsChild>
                <w:div w:id="1353843117">
                  <w:marLeft w:val="0"/>
                  <w:marRight w:val="0"/>
                  <w:marTop w:val="0"/>
                  <w:marBottom w:val="0"/>
                  <w:divBdr>
                    <w:top w:val="none" w:sz="0" w:space="0" w:color="auto"/>
                    <w:left w:val="none" w:sz="0" w:space="0" w:color="auto"/>
                    <w:bottom w:val="none" w:sz="0" w:space="0" w:color="auto"/>
                    <w:right w:val="none" w:sz="0" w:space="0" w:color="auto"/>
                  </w:divBdr>
                  <w:divsChild>
                    <w:div w:id="12632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4387">
      <w:bodyDiv w:val="1"/>
      <w:marLeft w:val="0"/>
      <w:marRight w:val="0"/>
      <w:marTop w:val="0"/>
      <w:marBottom w:val="0"/>
      <w:divBdr>
        <w:top w:val="none" w:sz="0" w:space="0" w:color="auto"/>
        <w:left w:val="none" w:sz="0" w:space="0" w:color="auto"/>
        <w:bottom w:val="none" w:sz="0" w:space="0" w:color="auto"/>
        <w:right w:val="none" w:sz="0" w:space="0" w:color="auto"/>
      </w:divBdr>
      <w:divsChild>
        <w:div w:id="436677785">
          <w:marLeft w:val="0"/>
          <w:marRight w:val="0"/>
          <w:marTop w:val="0"/>
          <w:marBottom w:val="0"/>
          <w:divBdr>
            <w:top w:val="none" w:sz="0" w:space="0" w:color="auto"/>
            <w:left w:val="none" w:sz="0" w:space="0" w:color="auto"/>
            <w:bottom w:val="none" w:sz="0" w:space="0" w:color="auto"/>
            <w:right w:val="none" w:sz="0" w:space="0" w:color="auto"/>
          </w:divBdr>
          <w:divsChild>
            <w:div w:id="681855622">
              <w:marLeft w:val="0"/>
              <w:marRight w:val="0"/>
              <w:marTop w:val="0"/>
              <w:marBottom w:val="0"/>
              <w:divBdr>
                <w:top w:val="none" w:sz="0" w:space="0" w:color="auto"/>
                <w:left w:val="none" w:sz="0" w:space="0" w:color="auto"/>
                <w:bottom w:val="none" w:sz="0" w:space="0" w:color="auto"/>
                <w:right w:val="none" w:sz="0" w:space="0" w:color="auto"/>
              </w:divBdr>
              <w:divsChild>
                <w:div w:id="803893113">
                  <w:marLeft w:val="0"/>
                  <w:marRight w:val="0"/>
                  <w:marTop w:val="0"/>
                  <w:marBottom w:val="0"/>
                  <w:divBdr>
                    <w:top w:val="none" w:sz="0" w:space="0" w:color="auto"/>
                    <w:left w:val="none" w:sz="0" w:space="0" w:color="auto"/>
                    <w:bottom w:val="none" w:sz="0" w:space="0" w:color="auto"/>
                    <w:right w:val="none" w:sz="0" w:space="0" w:color="auto"/>
                  </w:divBdr>
                  <w:divsChild>
                    <w:div w:id="2986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6160269">
      <w:bodyDiv w:val="1"/>
      <w:marLeft w:val="0"/>
      <w:marRight w:val="0"/>
      <w:marTop w:val="0"/>
      <w:marBottom w:val="0"/>
      <w:divBdr>
        <w:top w:val="none" w:sz="0" w:space="0" w:color="auto"/>
        <w:left w:val="none" w:sz="0" w:space="0" w:color="auto"/>
        <w:bottom w:val="none" w:sz="0" w:space="0" w:color="auto"/>
        <w:right w:val="none" w:sz="0" w:space="0" w:color="auto"/>
      </w:divBdr>
      <w:divsChild>
        <w:div w:id="211815616">
          <w:marLeft w:val="0"/>
          <w:marRight w:val="0"/>
          <w:marTop w:val="0"/>
          <w:marBottom w:val="0"/>
          <w:divBdr>
            <w:top w:val="none" w:sz="0" w:space="0" w:color="auto"/>
            <w:left w:val="none" w:sz="0" w:space="0" w:color="auto"/>
            <w:bottom w:val="none" w:sz="0" w:space="0" w:color="auto"/>
            <w:right w:val="none" w:sz="0" w:space="0" w:color="auto"/>
          </w:divBdr>
        </w:div>
        <w:div w:id="458496159">
          <w:marLeft w:val="0"/>
          <w:marRight w:val="0"/>
          <w:marTop w:val="0"/>
          <w:marBottom w:val="0"/>
          <w:divBdr>
            <w:top w:val="none" w:sz="0" w:space="0" w:color="auto"/>
            <w:left w:val="none" w:sz="0" w:space="0" w:color="auto"/>
            <w:bottom w:val="none" w:sz="0" w:space="0" w:color="auto"/>
            <w:right w:val="none" w:sz="0" w:space="0" w:color="auto"/>
          </w:divBdr>
        </w:div>
        <w:div w:id="707998320">
          <w:marLeft w:val="0"/>
          <w:marRight w:val="0"/>
          <w:marTop w:val="0"/>
          <w:marBottom w:val="0"/>
          <w:divBdr>
            <w:top w:val="none" w:sz="0" w:space="0" w:color="auto"/>
            <w:left w:val="none" w:sz="0" w:space="0" w:color="auto"/>
            <w:bottom w:val="none" w:sz="0" w:space="0" w:color="auto"/>
            <w:right w:val="none" w:sz="0" w:space="0" w:color="auto"/>
          </w:divBdr>
        </w:div>
      </w:divsChild>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8716004">
      <w:bodyDiv w:val="1"/>
      <w:marLeft w:val="0"/>
      <w:marRight w:val="0"/>
      <w:marTop w:val="0"/>
      <w:marBottom w:val="0"/>
      <w:divBdr>
        <w:top w:val="none" w:sz="0" w:space="0" w:color="auto"/>
        <w:left w:val="none" w:sz="0" w:space="0" w:color="auto"/>
        <w:bottom w:val="none" w:sz="0" w:space="0" w:color="auto"/>
        <w:right w:val="none" w:sz="0" w:space="0" w:color="auto"/>
      </w:divBdr>
      <w:divsChild>
        <w:div w:id="1804272720">
          <w:marLeft w:val="0"/>
          <w:marRight w:val="0"/>
          <w:marTop w:val="0"/>
          <w:marBottom w:val="0"/>
          <w:divBdr>
            <w:top w:val="none" w:sz="0" w:space="0" w:color="auto"/>
            <w:left w:val="none" w:sz="0" w:space="0" w:color="auto"/>
            <w:bottom w:val="none" w:sz="0" w:space="0" w:color="auto"/>
            <w:right w:val="none" w:sz="0" w:space="0" w:color="auto"/>
          </w:divBdr>
          <w:divsChild>
            <w:div w:id="1782069715">
              <w:marLeft w:val="0"/>
              <w:marRight w:val="0"/>
              <w:marTop w:val="0"/>
              <w:marBottom w:val="0"/>
              <w:divBdr>
                <w:top w:val="none" w:sz="0" w:space="0" w:color="auto"/>
                <w:left w:val="none" w:sz="0" w:space="0" w:color="auto"/>
                <w:bottom w:val="none" w:sz="0" w:space="0" w:color="auto"/>
                <w:right w:val="none" w:sz="0" w:space="0" w:color="auto"/>
              </w:divBdr>
              <w:divsChild>
                <w:div w:id="2026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705">
          <w:marLeft w:val="0"/>
          <w:marRight w:val="0"/>
          <w:marTop w:val="0"/>
          <w:marBottom w:val="0"/>
          <w:divBdr>
            <w:top w:val="none" w:sz="0" w:space="0" w:color="auto"/>
            <w:left w:val="none" w:sz="0" w:space="0" w:color="auto"/>
            <w:bottom w:val="none" w:sz="0" w:space="0" w:color="auto"/>
            <w:right w:val="none" w:sz="0" w:space="0" w:color="auto"/>
          </w:divBdr>
          <w:divsChild>
            <w:div w:id="924537901">
              <w:marLeft w:val="0"/>
              <w:marRight w:val="0"/>
              <w:marTop w:val="0"/>
              <w:marBottom w:val="0"/>
              <w:divBdr>
                <w:top w:val="none" w:sz="0" w:space="0" w:color="auto"/>
                <w:left w:val="none" w:sz="0" w:space="0" w:color="auto"/>
                <w:bottom w:val="none" w:sz="0" w:space="0" w:color="auto"/>
                <w:right w:val="none" w:sz="0" w:space="0" w:color="auto"/>
              </w:divBdr>
              <w:divsChild>
                <w:div w:id="1748575523">
                  <w:marLeft w:val="0"/>
                  <w:marRight w:val="0"/>
                  <w:marTop w:val="0"/>
                  <w:marBottom w:val="0"/>
                  <w:divBdr>
                    <w:top w:val="none" w:sz="0" w:space="0" w:color="auto"/>
                    <w:left w:val="none" w:sz="0" w:space="0" w:color="auto"/>
                    <w:bottom w:val="none" w:sz="0" w:space="0" w:color="auto"/>
                    <w:right w:val="none" w:sz="0" w:space="0" w:color="auto"/>
                  </w:divBdr>
                  <w:divsChild>
                    <w:div w:id="390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3394306">
      <w:bodyDiv w:val="1"/>
      <w:marLeft w:val="0"/>
      <w:marRight w:val="0"/>
      <w:marTop w:val="0"/>
      <w:marBottom w:val="0"/>
      <w:divBdr>
        <w:top w:val="none" w:sz="0" w:space="0" w:color="auto"/>
        <w:left w:val="none" w:sz="0" w:space="0" w:color="auto"/>
        <w:bottom w:val="none" w:sz="0" w:space="0" w:color="auto"/>
        <w:right w:val="none" w:sz="0" w:space="0" w:color="auto"/>
      </w:divBdr>
      <w:divsChild>
        <w:div w:id="961154730">
          <w:marLeft w:val="0"/>
          <w:marRight w:val="0"/>
          <w:marTop w:val="0"/>
          <w:marBottom w:val="0"/>
          <w:divBdr>
            <w:top w:val="none" w:sz="0" w:space="0" w:color="auto"/>
            <w:left w:val="none" w:sz="0" w:space="0" w:color="auto"/>
            <w:bottom w:val="none" w:sz="0" w:space="0" w:color="auto"/>
            <w:right w:val="none" w:sz="0" w:space="0" w:color="auto"/>
          </w:divBdr>
          <w:divsChild>
            <w:div w:id="814834226">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0"/>
                  <w:marRight w:val="0"/>
                  <w:marTop w:val="0"/>
                  <w:marBottom w:val="0"/>
                  <w:divBdr>
                    <w:top w:val="none" w:sz="0" w:space="0" w:color="auto"/>
                    <w:left w:val="none" w:sz="0" w:space="0" w:color="auto"/>
                    <w:bottom w:val="none" w:sz="0" w:space="0" w:color="auto"/>
                    <w:right w:val="none" w:sz="0" w:space="0" w:color="auto"/>
                  </w:divBdr>
                  <w:divsChild>
                    <w:div w:id="5906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5432842">
      <w:bodyDiv w:val="1"/>
      <w:marLeft w:val="0"/>
      <w:marRight w:val="0"/>
      <w:marTop w:val="0"/>
      <w:marBottom w:val="0"/>
      <w:divBdr>
        <w:top w:val="none" w:sz="0" w:space="0" w:color="auto"/>
        <w:left w:val="none" w:sz="0" w:space="0" w:color="auto"/>
        <w:bottom w:val="none" w:sz="0" w:space="0" w:color="auto"/>
        <w:right w:val="none" w:sz="0" w:space="0" w:color="auto"/>
      </w:divBdr>
      <w:divsChild>
        <w:div w:id="1060203595">
          <w:marLeft w:val="0"/>
          <w:marRight w:val="0"/>
          <w:marTop w:val="0"/>
          <w:marBottom w:val="0"/>
          <w:divBdr>
            <w:top w:val="none" w:sz="0" w:space="0" w:color="auto"/>
            <w:left w:val="none" w:sz="0" w:space="0" w:color="auto"/>
            <w:bottom w:val="none" w:sz="0" w:space="0" w:color="auto"/>
            <w:right w:val="none" w:sz="0" w:space="0" w:color="auto"/>
          </w:divBdr>
          <w:divsChild>
            <w:div w:id="174391915">
              <w:marLeft w:val="0"/>
              <w:marRight w:val="0"/>
              <w:marTop w:val="0"/>
              <w:marBottom w:val="0"/>
              <w:divBdr>
                <w:top w:val="none" w:sz="0" w:space="0" w:color="auto"/>
                <w:left w:val="none" w:sz="0" w:space="0" w:color="auto"/>
                <w:bottom w:val="none" w:sz="0" w:space="0" w:color="auto"/>
                <w:right w:val="none" w:sz="0" w:space="0" w:color="auto"/>
              </w:divBdr>
              <w:divsChild>
                <w:div w:id="398283969">
                  <w:marLeft w:val="0"/>
                  <w:marRight w:val="0"/>
                  <w:marTop w:val="0"/>
                  <w:marBottom w:val="0"/>
                  <w:divBdr>
                    <w:top w:val="none" w:sz="0" w:space="0" w:color="auto"/>
                    <w:left w:val="none" w:sz="0" w:space="0" w:color="auto"/>
                    <w:bottom w:val="none" w:sz="0" w:space="0" w:color="auto"/>
                    <w:right w:val="none" w:sz="0" w:space="0" w:color="auto"/>
                  </w:divBdr>
                  <w:divsChild>
                    <w:div w:id="1373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11020">
      <w:bodyDiv w:val="1"/>
      <w:marLeft w:val="0"/>
      <w:marRight w:val="0"/>
      <w:marTop w:val="0"/>
      <w:marBottom w:val="0"/>
      <w:divBdr>
        <w:top w:val="none" w:sz="0" w:space="0" w:color="auto"/>
        <w:left w:val="none" w:sz="0" w:space="0" w:color="auto"/>
        <w:bottom w:val="none" w:sz="0" w:space="0" w:color="auto"/>
        <w:right w:val="none" w:sz="0" w:space="0" w:color="auto"/>
      </w:divBdr>
      <w:divsChild>
        <w:div w:id="1087656145">
          <w:marLeft w:val="0"/>
          <w:marRight w:val="0"/>
          <w:marTop w:val="0"/>
          <w:marBottom w:val="0"/>
          <w:divBdr>
            <w:top w:val="none" w:sz="0" w:space="0" w:color="auto"/>
            <w:left w:val="none" w:sz="0" w:space="0" w:color="auto"/>
            <w:bottom w:val="none" w:sz="0" w:space="0" w:color="auto"/>
            <w:right w:val="none" w:sz="0" w:space="0" w:color="auto"/>
          </w:divBdr>
          <w:divsChild>
            <w:div w:id="657029430">
              <w:marLeft w:val="0"/>
              <w:marRight w:val="0"/>
              <w:marTop w:val="0"/>
              <w:marBottom w:val="0"/>
              <w:divBdr>
                <w:top w:val="none" w:sz="0" w:space="0" w:color="auto"/>
                <w:left w:val="none" w:sz="0" w:space="0" w:color="auto"/>
                <w:bottom w:val="none" w:sz="0" w:space="0" w:color="auto"/>
                <w:right w:val="none" w:sz="0" w:space="0" w:color="auto"/>
              </w:divBdr>
              <w:divsChild>
                <w:div w:id="1845432919">
                  <w:marLeft w:val="0"/>
                  <w:marRight w:val="0"/>
                  <w:marTop w:val="0"/>
                  <w:marBottom w:val="0"/>
                  <w:divBdr>
                    <w:top w:val="none" w:sz="0" w:space="0" w:color="auto"/>
                    <w:left w:val="none" w:sz="0" w:space="0" w:color="auto"/>
                    <w:bottom w:val="none" w:sz="0" w:space="0" w:color="auto"/>
                    <w:right w:val="none" w:sz="0" w:space="0" w:color="auto"/>
                  </w:divBdr>
                  <w:divsChild>
                    <w:div w:id="89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88599628">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10293233">
      <w:bodyDiv w:val="1"/>
      <w:marLeft w:val="0"/>
      <w:marRight w:val="0"/>
      <w:marTop w:val="0"/>
      <w:marBottom w:val="0"/>
      <w:divBdr>
        <w:top w:val="none" w:sz="0" w:space="0" w:color="auto"/>
        <w:left w:val="none" w:sz="0" w:space="0" w:color="auto"/>
        <w:bottom w:val="none" w:sz="0" w:space="0" w:color="auto"/>
        <w:right w:val="none" w:sz="0" w:space="0" w:color="auto"/>
      </w:divBdr>
      <w:divsChild>
        <w:div w:id="77750696">
          <w:marLeft w:val="0"/>
          <w:marRight w:val="0"/>
          <w:marTop w:val="0"/>
          <w:marBottom w:val="0"/>
          <w:divBdr>
            <w:top w:val="none" w:sz="0" w:space="0" w:color="auto"/>
            <w:left w:val="none" w:sz="0" w:space="0" w:color="auto"/>
            <w:bottom w:val="none" w:sz="0" w:space="0" w:color="auto"/>
            <w:right w:val="none" w:sz="0" w:space="0" w:color="auto"/>
          </w:divBdr>
          <w:divsChild>
            <w:div w:id="516505091">
              <w:marLeft w:val="0"/>
              <w:marRight w:val="0"/>
              <w:marTop w:val="0"/>
              <w:marBottom w:val="0"/>
              <w:divBdr>
                <w:top w:val="none" w:sz="0" w:space="0" w:color="auto"/>
                <w:left w:val="none" w:sz="0" w:space="0" w:color="auto"/>
                <w:bottom w:val="none" w:sz="0" w:space="0" w:color="auto"/>
                <w:right w:val="none" w:sz="0" w:space="0" w:color="auto"/>
              </w:divBdr>
              <w:divsChild>
                <w:div w:id="18313431">
                  <w:marLeft w:val="0"/>
                  <w:marRight w:val="0"/>
                  <w:marTop w:val="0"/>
                  <w:marBottom w:val="0"/>
                  <w:divBdr>
                    <w:top w:val="none" w:sz="0" w:space="0" w:color="auto"/>
                    <w:left w:val="none" w:sz="0" w:space="0" w:color="auto"/>
                    <w:bottom w:val="none" w:sz="0" w:space="0" w:color="auto"/>
                    <w:right w:val="none" w:sz="0" w:space="0" w:color="auto"/>
                  </w:divBdr>
                  <w:divsChild>
                    <w:div w:id="16164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267">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3880820">
      <w:bodyDiv w:val="1"/>
      <w:marLeft w:val="0"/>
      <w:marRight w:val="0"/>
      <w:marTop w:val="0"/>
      <w:marBottom w:val="0"/>
      <w:divBdr>
        <w:top w:val="none" w:sz="0" w:space="0" w:color="auto"/>
        <w:left w:val="none" w:sz="0" w:space="0" w:color="auto"/>
        <w:bottom w:val="none" w:sz="0" w:space="0" w:color="auto"/>
        <w:right w:val="none" w:sz="0" w:space="0" w:color="auto"/>
      </w:divBdr>
    </w:div>
    <w:div w:id="611522372">
      <w:bodyDiv w:val="1"/>
      <w:marLeft w:val="0"/>
      <w:marRight w:val="0"/>
      <w:marTop w:val="0"/>
      <w:marBottom w:val="0"/>
      <w:divBdr>
        <w:top w:val="none" w:sz="0" w:space="0" w:color="auto"/>
        <w:left w:val="none" w:sz="0" w:space="0" w:color="auto"/>
        <w:bottom w:val="none" w:sz="0" w:space="0" w:color="auto"/>
        <w:right w:val="none" w:sz="0" w:space="0" w:color="auto"/>
      </w:divBdr>
      <w:divsChild>
        <w:div w:id="558587948">
          <w:marLeft w:val="0"/>
          <w:marRight w:val="0"/>
          <w:marTop w:val="0"/>
          <w:marBottom w:val="0"/>
          <w:divBdr>
            <w:top w:val="none" w:sz="0" w:space="0" w:color="auto"/>
            <w:left w:val="none" w:sz="0" w:space="0" w:color="auto"/>
            <w:bottom w:val="none" w:sz="0" w:space="0" w:color="auto"/>
            <w:right w:val="none" w:sz="0" w:space="0" w:color="auto"/>
          </w:divBdr>
          <w:divsChild>
            <w:div w:id="619529572">
              <w:marLeft w:val="0"/>
              <w:marRight w:val="0"/>
              <w:marTop w:val="0"/>
              <w:marBottom w:val="0"/>
              <w:divBdr>
                <w:top w:val="none" w:sz="0" w:space="0" w:color="auto"/>
                <w:left w:val="none" w:sz="0" w:space="0" w:color="auto"/>
                <w:bottom w:val="none" w:sz="0" w:space="0" w:color="auto"/>
                <w:right w:val="none" w:sz="0" w:space="0" w:color="auto"/>
              </w:divBdr>
              <w:divsChild>
                <w:div w:id="1202085735">
                  <w:marLeft w:val="0"/>
                  <w:marRight w:val="0"/>
                  <w:marTop w:val="0"/>
                  <w:marBottom w:val="0"/>
                  <w:divBdr>
                    <w:top w:val="none" w:sz="0" w:space="0" w:color="auto"/>
                    <w:left w:val="none" w:sz="0" w:space="0" w:color="auto"/>
                    <w:bottom w:val="none" w:sz="0" w:space="0" w:color="auto"/>
                    <w:right w:val="none" w:sz="0" w:space="0" w:color="auto"/>
                  </w:divBdr>
                  <w:divsChild>
                    <w:div w:id="17244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3265">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6668772">
      <w:bodyDiv w:val="1"/>
      <w:marLeft w:val="0"/>
      <w:marRight w:val="0"/>
      <w:marTop w:val="0"/>
      <w:marBottom w:val="0"/>
      <w:divBdr>
        <w:top w:val="none" w:sz="0" w:space="0" w:color="auto"/>
        <w:left w:val="none" w:sz="0" w:space="0" w:color="auto"/>
        <w:bottom w:val="none" w:sz="0" w:space="0" w:color="auto"/>
        <w:right w:val="none" w:sz="0" w:space="0" w:color="auto"/>
      </w:divBdr>
      <w:divsChild>
        <w:div w:id="81992190">
          <w:marLeft w:val="0"/>
          <w:marRight w:val="0"/>
          <w:marTop w:val="0"/>
          <w:marBottom w:val="0"/>
          <w:divBdr>
            <w:top w:val="none" w:sz="0" w:space="0" w:color="auto"/>
            <w:left w:val="none" w:sz="0" w:space="0" w:color="auto"/>
            <w:bottom w:val="none" w:sz="0" w:space="0" w:color="auto"/>
            <w:right w:val="none" w:sz="0" w:space="0" w:color="auto"/>
          </w:divBdr>
          <w:divsChild>
            <w:div w:id="151994239">
              <w:marLeft w:val="0"/>
              <w:marRight w:val="0"/>
              <w:marTop w:val="0"/>
              <w:marBottom w:val="0"/>
              <w:divBdr>
                <w:top w:val="none" w:sz="0" w:space="0" w:color="auto"/>
                <w:left w:val="none" w:sz="0" w:space="0" w:color="auto"/>
                <w:bottom w:val="none" w:sz="0" w:space="0" w:color="auto"/>
                <w:right w:val="none" w:sz="0" w:space="0" w:color="auto"/>
              </w:divBdr>
              <w:divsChild>
                <w:div w:id="1802115831">
                  <w:marLeft w:val="0"/>
                  <w:marRight w:val="0"/>
                  <w:marTop w:val="0"/>
                  <w:marBottom w:val="0"/>
                  <w:divBdr>
                    <w:top w:val="none" w:sz="0" w:space="0" w:color="auto"/>
                    <w:left w:val="none" w:sz="0" w:space="0" w:color="auto"/>
                    <w:bottom w:val="none" w:sz="0" w:space="0" w:color="auto"/>
                    <w:right w:val="none" w:sz="0" w:space="0" w:color="auto"/>
                  </w:divBdr>
                  <w:divsChild>
                    <w:div w:id="14606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0520971">
      <w:bodyDiv w:val="1"/>
      <w:marLeft w:val="0"/>
      <w:marRight w:val="0"/>
      <w:marTop w:val="0"/>
      <w:marBottom w:val="0"/>
      <w:divBdr>
        <w:top w:val="none" w:sz="0" w:space="0" w:color="auto"/>
        <w:left w:val="none" w:sz="0" w:space="0" w:color="auto"/>
        <w:bottom w:val="none" w:sz="0" w:space="0" w:color="auto"/>
        <w:right w:val="none" w:sz="0" w:space="0" w:color="auto"/>
      </w:divBdr>
      <w:divsChild>
        <w:div w:id="104425153">
          <w:marLeft w:val="0"/>
          <w:marRight w:val="0"/>
          <w:marTop w:val="0"/>
          <w:marBottom w:val="0"/>
          <w:divBdr>
            <w:top w:val="none" w:sz="0" w:space="0" w:color="auto"/>
            <w:left w:val="none" w:sz="0" w:space="0" w:color="auto"/>
            <w:bottom w:val="none" w:sz="0" w:space="0" w:color="auto"/>
            <w:right w:val="none" w:sz="0" w:space="0" w:color="auto"/>
          </w:divBdr>
          <w:divsChild>
            <w:div w:id="1819419450">
              <w:marLeft w:val="0"/>
              <w:marRight w:val="0"/>
              <w:marTop w:val="0"/>
              <w:marBottom w:val="0"/>
              <w:divBdr>
                <w:top w:val="none" w:sz="0" w:space="0" w:color="auto"/>
                <w:left w:val="none" w:sz="0" w:space="0" w:color="auto"/>
                <w:bottom w:val="none" w:sz="0" w:space="0" w:color="auto"/>
                <w:right w:val="none" w:sz="0" w:space="0" w:color="auto"/>
              </w:divBdr>
              <w:divsChild>
                <w:div w:id="9594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34740193">
      <w:bodyDiv w:val="1"/>
      <w:marLeft w:val="0"/>
      <w:marRight w:val="0"/>
      <w:marTop w:val="0"/>
      <w:marBottom w:val="0"/>
      <w:divBdr>
        <w:top w:val="none" w:sz="0" w:space="0" w:color="auto"/>
        <w:left w:val="none" w:sz="0" w:space="0" w:color="auto"/>
        <w:bottom w:val="none" w:sz="0" w:space="0" w:color="auto"/>
        <w:right w:val="none" w:sz="0" w:space="0" w:color="auto"/>
      </w:divBdr>
      <w:divsChild>
        <w:div w:id="1564873904">
          <w:marLeft w:val="0"/>
          <w:marRight w:val="0"/>
          <w:marTop w:val="0"/>
          <w:marBottom w:val="0"/>
          <w:divBdr>
            <w:top w:val="none" w:sz="0" w:space="0" w:color="auto"/>
            <w:left w:val="none" w:sz="0" w:space="0" w:color="auto"/>
            <w:bottom w:val="none" w:sz="0" w:space="0" w:color="auto"/>
            <w:right w:val="none" w:sz="0" w:space="0" w:color="auto"/>
          </w:divBdr>
          <w:divsChild>
            <w:div w:id="1287814052">
              <w:marLeft w:val="0"/>
              <w:marRight w:val="0"/>
              <w:marTop w:val="0"/>
              <w:marBottom w:val="0"/>
              <w:divBdr>
                <w:top w:val="none" w:sz="0" w:space="0" w:color="auto"/>
                <w:left w:val="none" w:sz="0" w:space="0" w:color="auto"/>
                <w:bottom w:val="none" w:sz="0" w:space="0" w:color="auto"/>
                <w:right w:val="none" w:sz="0" w:space="0" w:color="auto"/>
              </w:divBdr>
              <w:divsChild>
                <w:div w:id="943342615">
                  <w:marLeft w:val="0"/>
                  <w:marRight w:val="0"/>
                  <w:marTop w:val="0"/>
                  <w:marBottom w:val="0"/>
                  <w:divBdr>
                    <w:top w:val="none" w:sz="0" w:space="0" w:color="auto"/>
                    <w:left w:val="none" w:sz="0" w:space="0" w:color="auto"/>
                    <w:bottom w:val="none" w:sz="0" w:space="0" w:color="auto"/>
                    <w:right w:val="none" w:sz="0" w:space="0" w:color="auto"/>
                  </w:divBdr>
                  <w:divsChild>
                    <w:div w:id="1151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0483">
      <w:bodyDiv w:val="1"/>
      <w:marLeft w:val="0"/>
      <w:marRight w:val="0"/>
      <w:marTop w:val="0"/>
      <w:marBottom w:val="0"/>
      <w:divBdr>
        <w:top w:val="none" w:sz="0" w:space="0" w:color="auto"/>
        <w:left w:val="none" w:sz="0" w:space="0" w:color="auto"/>
        <w:bottom w:val="none" w:sz="0" w:space="0" w:color="auto"/>
        <w:right w:val="none" w:sz="0" w:space="0" w:color="auto"/>
      </w:divBdr>
      <w:divsChild>
        <w:div w:id="1736783550">
          <w:marLeft w:val="0"/>
          <w:marRight w:val="0"/>
          <w:marTop w:val="0"/>
          <w:marBottom w:val="0"/>
          <w:divBdr>
            <w:top w:val="none" w:sz="0" w:space="0" w:color="auto"/>
            <w:left w:val="none" w:sz="0" w:space="0" w:color="auto"/>
            <w:bottom w:val="none" w:sz="0" w:space="0" w:color="auto"/>
            <w:right w:val="none" w:sz="0" w:space="0" w:color="auto"/>
          </w:divBdr>
          <w:divsChild>
            <w:div w:id="198395525">
              <w:marLeft w:val="0"/>
              <w:marRight w:val="0"/>
              <w:marTop w:val="0"/>
              <w:marBottom w:val="0"/>
              <w:divBdr>
                <w:top w:val="none" w:sz="0" w:space="0" w:color="auto"/>
                <w:left w:val="none" w:sz="0" w:space="0" w:color="auto"/>
                <w:bottom w:val="none" w:sz="0" w:space="0" w:color="auto"/>
                <w:right w:val="none" w:sz="0" w:space="0" w:color="auto"/>
              </w:divBdr>
              <w:divsChild>
                <w:div w:id="905603904">
                  <w:marLeft w:val="0"/>
                  <w:marRight w:val="0"/>
                  <w:marTop w:val="0"/>
                  <w:marBottom w:val="0"/>
                  <w:divBdr>
                    <w:top w:val="none" w:sz="0" w:space="0" w:color="auto"/>
                    <w:left w:val="none" w:sz="0" w:space="0" w:color="auto"/>
                    <w:bottom w:val="none" w:sz="0" w:space="0" w:color="auto"/>
                    <w:right w:val="none" w:sz="0" w:space="0" w:color="auto"/>
                  </w:divBdr>
                  <w:divsChild>
                    <w:div w:id="264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0871405">
      <w:bodyDiv w:val="1"/>
      <w:marLeft w:val="0"/>
      <w:marRight w:val="0"/>
      <w:marTop w:val="0"/>
      <w:marBottom w:val="0"/>
      <w:divBdr>
        <w:top w:val="none" w:sz="0" w:space="0" w:color="auto"/>
        <w:left w:val="none" w:sz="0" w:space="0" w:color="auto"/>
        <w:bottom w:val="none" w:sz="0" w:space="0" w:color="auto"/>
        <w:right w:val="none" w:sz="0" w:space="0" w:color="auto"/>
      </w:divBdr>
      <w:divsChild>
        <w:div w:id="2082408723">
          <w:marLeft w:val="0"/>
          <w:marRight w:val="0"/>
          <w:marTop w:val="0"/>
          <w:marBottom w:val="0"/>
          <w:divBdr>
            <w:top w:val="none" w:sz="0" w:space="0" w:color="auto"/>
            <w:left w:val="none" w:sz="0" w:space="0" w:color="auto"/>
            <w:bottom w:val="none" w:sz="0" w:space="0" w:color="auto"/>
            <w:right w:val="none" w:sz="0" w:space="0" w:color="auto"/>
          </w:divBdr>
          <w:divsChild>
            <w:div w:id="244532399">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004729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6013142">
      <w:bodyDiv w:val="1"/>
      <w:marLeft w:val="0"/>
      <w:marRight w:val="0"/>
      <w:marTop w:val="0"/>
      <w:marBottom w:val="0"/>
      <w:divBdr>
        <w:top w:val="none" w:sz="0" w:space="0" w:color="auto"/>
        <w:left w:val="none" w:sz="0" w:space="0" w:color="auto"/>
        <w:bottom w:val="none" w:sz="0" w:space="0" w:color="auto"/>
        <w:right w:val="none" w:sz="0" w:space="0" w:color="auto"/>
      </w:divBdr>
      <w:divsChild>
        <w:div w:id="2116707486">
          <w:marLeft w:val="0"/>
          <w:marRight w:val="0"/>
          <w:marTop w:val="0"/>
          <w:marBottom w:val="0"/>
          <w:divBdr>
            <w:top w:val="none" w:sz="0" w:space="0" w:color="auto"/>
            <w:left w:val="none" w:sz="0" w:space="0" w:color="auto"/>
            <w:bottom w:val="none" w:sz="0" w:space="0" w:color="auto"/>
            <w:right w:val="none" w:sz="0" w:space="0" w:color="auto"/>
          </w:divBdr>
          <w:divsChild>
            <w:div w:id="869340458">
              <w:marLeft w:val="0"/>
              <w:marRight w:val="0"/>
              <w:marTop w:val="0"/>
              <w:marBottom w:val="0"/>
              <w:divBdr>
                <w:top w:val="none" w:sz="0" w:space="0" w:color="auto"/>
                <w:left w:val="none" w:sz="0" w:space="0" w:color="auto"/>
                <w:bottom w:val="none" w:sz="0" w:space="0" w:color="auto"/>
                <w:right w:val="none" w:sz="0" w:space="0" w:color="auto"/>
              </w:divBdr>
              <w:divsChild>
                <w:div w:id="688066859">
                  <w:marLeft w:val="0"/>
                  <w:marRight w:val="0"/>
                  <w:marTop w:val="0"/>
                  <w:marBottom w:val="0"/>
                  <w:divBdr>
                    <w:top w:val="none" w:sz="0" w:space="0" w:color="auto"/>
                    <w:left w:val="none" w:sz="0" w:space="0" w:color="auto"/>
                    <w:bottom w:val="none" w:sz="0" w:space="0" w:color="auto"/>
                    <w:right w:val="none" w:sz="0" w:space="0" w:color="auto"/>
                  </w:divBdr>
                  <w:divsChild>
                    <w:div w:id="912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90212776">
      <w:bodyDiv w:val="1"/>
      <w:marLeft w:val="0"/>
      <w:marRight w:val="0"/>
      <w:marTop w:val="0"/>
      <w:marBottom w:val="0"/>
      <w:divBdr>
        <w:top w:val="none" w:sz="0" w:space="0" w:color="auto"/>
        <w:left w:val="none" w:sz="0" w:space="0" w:color="auto"/>
        <w:bottom w:val="none" w:sz="0" w:space="0" w:color="auto"/>
        <w:right w:val="none" w:sz="0" w:space="0" w:color="auto"/>
      </w:divBdr>
      <w:divsChild>
        <w:div w:id="1851986606">
          <w:marLeft w:val="0"/>
          <w:marRight w:val="0"/>
          <w:marTop w:val="0"/>
          <w:marBottom w:val="0"/>
          <w:divBdr>
            <w:top w:val="none" w:sz="0" w:space="0" w:color="auto"/>
            <w:left w:val="none" w:sz="0" w:space="0" w:color="auto"/>
            <w:bottom w:val="none" w:sz="0" w:space="0" w:color="auto"/>
            <w:right w:val="none" w:sz="0" w:space="0" w:color="auto"/>
          </w:divBdr>
          <w:divsChild>
            <w:div w:id="391345013">
              <w:marLeft w:val="0"/>
              <w:marRight w:val="0"/>
              <w:marTop w:val="0"/>
              <w:marBottom w:val="0"/>
              <w:divBdr>
                <w:top w:val="none" w:sz="0" w:space="0" w:color="auto"/>
                <w:left w:val="none" w:sz="0" w:space="0" w:color="auto"/>
                <w:bottom w:val="none" w:sz="0" w:space="0" w:color="auto"/>
                <w:right w:val="none" w:sz="0" w:space="0" w:color="auto"/>
              </w:divBdr>
              <w:divsChild>
                <w:div w:id="1292245234">
                  <w:marLeft w:val="0"/>
                  <w:marRight w:val="0"/>
                  <w:marTop w:val="0"/>
                  <w:marBottom w:val="0"/>
                  <w:divBdr>
                    <w:top w:val="none" w:sz="0" w:space="0" w:color="auto"/>
                    <w:left w:val="none" w:sz="0" w:space="0" w:color="auto"/>
                    <w:bottom w:val="none" w:sz="0" w:space="0" w:color="auto"/>
                    <w:right w:val="none" w:sz="0" w:space="0" w:color="auto"/>
                  </w:divBdr>
                  <w:divsChild>
                    <w:div w:id="2572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07063960">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12771602">
      <w:bodyDiv w:val="1"/>
      <w:marLeft w:val="0"/>
      <w:marRight w:val="0"/>
      <w:marTop w:val="0"/>
      <w:marBottom w:val="0"/>
      <w:divBdr>
        <w:top w:val="none" w:sz="0" w:space="0" w:color="auto"/>
        <w:left w:val="none" w:sz="0" w:space="0" w:color="auto"/>
        <w:bottom w:val="none" w:sz="0" w:space="0" w:color="auto"/>
        <w:right w:val="none" w:sz="0" w:space="0" w:color="auto"/>
      </w:divBdr>
      <w:divsChild>
        <w:div w:id="1679190062">
          <w:marLeft w:val="0"/>
          <w:marRight w:val="0"/>
          <w:marTop w:val="0"/>
          <w:marBottom w:val="0"/>
          <w:divBdr>
            <w:top w:val="none" w:sz="0" w:space="0" w:color="auto"/>
            <w:left w:val="none" w:sz="0" w:space="0" w:color="auto"/>
            <w:bottom w:val="none" w:sz="0" w:space="0" w:color="auto"/>
            <w:right w:val="none" w:sz="0" w:space="0" w:color="auto"/>
          </w:divBdr>
          <w:divsChild>
            <w:div w:id="84420877">
              <w:marLeft w:val="0"/>
              <w:marRight w:val="0"/>
              <w:marTop w:val="0"/>
              <w:marBottom w:val="0"/>
              <w:divBdr>
                <w:top w:val="none" w:sz="0" w:space="0" w:color="auto"/>
                <w:left w:val="none" w:sz="0" w:space="0" w:color="auto"/>
                <w:bottom w:val="none" w:sz="0" w:space="0" w:color="auto"/>
                <w:right w:val="none" w:sz="0" w:space="0" w:color="auto"/>
              </w:divBdr>
              <w:divsChild>
                <w:div w:id="1708406471">
                  <w:marLeft w:val="0"/>
                  <w:marRight w:val="0"/>
                  <w:marTop w:val="0"/>
                  <w:marBottom w:val="0"/>
                  <w:divBdr>
                    <w:top w:val="none" w:sz="0" w:space="0" w:color="auto"/>
                    <w:left w:val="none" w:sz="0" w:space="0" w:color="auto"/>
                    <w:bottom w:val="none" w:sz="0" w:space="0" w:color="auto"/>
                    <w:right w:val="none" w:sz="0" w:space="0" w:color="auto"/>
                  </w:divBdr>
                  <w:divsChild>
                    <w:div w:id="17576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06163645">
      <w:bodyDiv w:val="1"/>
      <w:marLeft w:val="0"/>
      <w:marRight w:val="0"/>
      <w:marTop w:val="0"/>
      <w:marBottom w:val="0"/>
      <w:divBdr>
        <w:top w:val="none" w:sz="0" w:space="0" w:color="auto"/>
        <w:left w:val="none" w:sz="0" w:space="0" w:color="auto"/>
        <w:bottom w:val="none" w:sz="0" w:space="0" w:color="auto"/>
        <w:right w:val="none" w:sz="0" w:space="0" w:color="auto"/>
      </w:divBdr>
    </w:div>
    <w:div w:id="1546287901">
      <w:bodyDiv w:val="1"/>
      <w:marLeft w:val="0"/>
      <w:marRight w:val="0"/>
      <w:marTop w:val="0"/>
      <w:marBottom w:val="0"/>
      <w:divBdr>
        <w:top w:val="none" w:sz="0" w:space="0" w:color="auto"/>
        <w:left w:val="none" w:sz="0" w:space="0" w:color="auto"/>
        <w:bottom w:val="none" w:sz="0" w:space="0" w:color="auto"/>
        <w:right w:val="none" w:sz="0" w:space="0" w:color="auto"/>
      </w:divBdr>
      <w:divsChild>
        <w:div w:id="178128572">
          <w:marLeft w:val="0"/>
          <w:marRight w:val="0"/>
          <w:marTop w:val="0"/>
          <w:marBottom w:val="0"/>
          <w:divBdr>
            <w:top w:val="none" w:sz="0" w:space="0" w:color="auto"/>
            <w:left w:val="none" w:sz="0" w:space="0" w:color="auto"/>
            <w:bottom w:val="none" w:sz="0" w:space="0" w:color="auto"/>
            <w:right w:val="none" w:sz="0" w:space="0" w:color="auto"/>
          </w:divBdr>
          <w:divsChild>
            <w:div w:id="1379823164">
              <w:marLeft w:val="0"/>
              <w:marRight w:val="0"/>
              <w:marTop w:val="0"/>
              <w:marBottom w:val="0"/>
              <w:divBdr>
                <w:top w:val="none" w:sz="0" w:space="0" w:color="auto"/>
                <w:left w:val="none" w:sz="0" w:space="0" w:color="auto"/>
                <w:bottom w:val="none" w:sz="0" w:space="0" w:color="auto"/>
                <w:right w:val="none" w:sz="0" w:space="0" w:color="auto"/>
              </w:divBdr>
              <w:divsChild>
                <w:div w:id="1135559396">
                  <w:marLeft w:val="0"/>
                  <w:marRight w:val="0"/>
                  <w:marTop w:val="0"/>
                  <w:marBottom w:val="0"/>
                  <w:divBdr>
                    <w:top w:val="none" w:sz="0" w:space="0" w:color="auto"/>
                    <w:left w:val="none" w:sz="0" w:space="0" w:color="auto"/>
                    <w:bottom w:val="none" w:sz="0" w:space="0" w:color="auto"/>
                    <w:right w:val="none" w:sz="0" w:space="0" w:color="auto"/>
                  </w:divBdr>
                  <w:divsChild>
                    <w:div w:id="14718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4360362">
      <w:bodyDiv w:val="1"/>
      <w:marLeft w:val="0"/>
      <w:marRight w:val="0"/>
      <w:marTop w:val="0"/>
      <w:marBottom w:val="0"/>
      <w:divBdr>
        <w:top w:val="none" w:sz="0" w:space="0" w:color="auto"/>
        <w:left w:val="none" w:sz="0" w:space="0" w:color="auto"/>
        <w:bottom w:val="none" w:sz="0" w:space="0" w:color="auto"/>
        <w:right w:val="none" w:sz="0" w:space="0" w:color="auto"/>
      </w:divBdr>
      <w:divsChild>
        <w:div w:id="208954331">
          <w:marLeft w:val="0"/>
          <w:marRight w:val="0"/>
          <w:marTop w:val="0"/>
          <w:marBottom w:val="0"/>
          <w:divBdr>
            <w:top w:val="none" w:sz="0" w:space="0" w:color="auto"/>
            <w:left w:val="none" w:sz="0" w:space="0" w:color="auto"/>
            <w:bottom w:val="none" w:sz="0" w:space="0" w:color="auto"/>
            <w:right w:val="none" w:sz="0" w:space="0" w:color="auto"/>
          </w:divBdr>
          <w:divsChild>
            <w:div w:id="858783801">
              <w:marLeft w:val="0"/>
              <w:marRight w:val="0"/>
              <w:marTop w:val="0"/>
              <w:marBottom w:val="0"/>
              <w:divBdr>
                <w:top w:val="none" w:sz="0" w:space="0" w:color="auto"/>
                <w:left w:val="none" w:sz="0" w:space="0" w:color="auto"/>
                <w:bottom w:val="none" w:sz="0" w:space="0" w:color="auto"/>
                <w:right w:val="none" w:sz="0" w:space="0" w:color="auto"/>
              </w:divBdr>
              <w:divsChild>
                <w:div w:id="19311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5634321">
      <w:bodyDiv w:val="1"/>
      <w:marLeft w:val="0"/>
      <w:marRight w:val="0"/>
      <w:marTop w:val="0"/>
      <w:marBottom w:val="0"/>
      <w:divBdr>
        <w:top w:val="none" w:sz="0" w:space="0" w:color="auto"/>
        <w:left w:val="none" w:sz="0" w:space="0" w:color="auto"/>
        <w:bottom w:val="none" w:sz="0" w:space="0" w:color="auto"/>
        <w:right w:val="none" w:sz="0" w:space="0" w:color="auto"/>
      </w:divBdr>
      <w:divsChild>
        <w:div w:id="1976567664">
          <w:marLeft w:val="0"/>
          <w:marRight w:val="0"/>
          <w:marTop w:val="0"/>
          <w:marBottom w:val="0"/>
          <w:divBdr>
            <w:top w:val="none" w:sz="0" w:space="0" w:color="auto"/>
            <w:left w:val="none" w:sz="0" w:space="0" w:color="auto"/>
            <w:bottom w:val="none" w:sz="0" w:space="0" w:color="auto"/>
            <w:right w:val="none" w:sz="0" w:space="0" w:color="auto"/>
          </w:divBdr>
          <w:divsChild>
            <w:div w:id="853569086">
              <w:marLeft w:val="0"/>
              <w:marRight w:val="0"/>
              <w:marTop w:val="0"/>
              <w:marBottom w:val="0"/>
              <w:divBdr>
                <w:top w:val="none" w:sz="0" w:space="0" w:color="auto"/>
                <w:left w:val="none" w:sz="0" w:space="0" w:color="auto"/>
                <w:bottom w:val="none" w:sz="0" w:space="0" w:color="auto"/>
                <w:right w:val="none" w:sz="0" w:space="0" w:color="auto"/>
              </w:divBdr>
              <w:divsChild>
                <w:div w:id="15539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9657">
      <w:bodyDiv w:val="1"/>
      <w:marLeft w:val="0"/>
      <w:marRight w:val="0"/>
      <w:marTop w:val="0"/>
      <w:marBottom w:val="0"/>
      <w:divBdr>
        <w:top w:val="none" w:sz="0" w:space="0" w:color="auto"/>
        <w:left w:val="none" w:sz="0" w:space="0" w:color="auto"/>
        <w:bottom w:val="none" w:sz="0" w:space="0" w:color="auto"/>
        <w:right w:val="none" w:sz="0" w:space="0" w:color="auto"/>
      </w:divBdr>
      <w:divsChild>
        <w:div w:id="1330597166">
          <w:marLeft w:val="0"/>
          <w:marRight w:val="0"/>
          <w:marTop w:val="0"/>
          <w:marBottom w:val="0"/>
          <w:divBdr>
            <w:top w:val="none" w:sz="0" w:space="0" w:color="auto"/>
            <w:left w:val="none" w:sz="0" w:space="0" w:color="auto"/>
            <w:bottom w:val="none" w:sz="0" w:space="0" w:color="auto"/>
            <w:right w:val="none" w:sz="0" w:space="0" w:color="auto"/>
          </w:divBdr>
          <w:divsChild>
            <w:div w:id="1411808116">
              <w:marLeft w:val="0"/>
              <w:marRight w:val="0"/>
              <w:marTop w:val="0"/>
              <w:marBottom w:val="0"/>
              <w:divBdr>
                <w:top w:val="none" w:sz="0" w:space="0" w:color="auto"/>
                <w:left w:val="none" w:sz="0" w:space="0" w:color="auto"/>
                <w:bottom w:val="none" w:sz="0" w:space="0" w:color="auto"/>
                <w:right w:val="none" w:sz="0" w:space="0" w:color="auto"/>
              </w:divBdr>
              <w:divsChild>
                <w:div w:id="116534357">
                  <w:marLeft w:val="0"/>
                  <w:marRight w:val="0"/>
                  <w:marTop w:val="0"/>
                  <w:marBottom w:val="0"/>
                  <w:divBdr>
                    <w:top w:val="none" w:sz="0" w:space="0" w:color="auto"/>
                    <w:left w:val="none" w:sz="0" w:space="0" w:color="auto"/>
                    <w:bottom w:val="none" w:sz="0" w:space="0" w:color="auto"/>
                    <w:right w:val="none" w:sz="0" w:space="0" w:color="auto"/>
                  </w:divBdr>
                  <w:divsChild>
                    <w:div w:id="9010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29119341">
      <w:bodyDiv w:val="1"/>
      <w:marLeft w:val="0"/>
      <w:marRight w:val="0"/>
      <w:marTop w:val="0"/>
      <w:marBottom w:val="0"/>
      <w:divBdr>
        <w:top w:val="none" w:sz="0" w:space="0" w:color="auto"/>
        <w:left w:val="none" w:sz="0" w:space="0" w:color="auto"/>
        <w:bottom w:val="none" w:sz="0" w:space="0" w:color="auto"/>
        <w:right w:val="none" w:sz="0" w:space="0" w:color="auto"/>
      </w:divBdr>
      <w:divsChild>
        <w:div w:id="1875582844">
          <w:marLeft w:val="0"/>
          <w:marRight w:val="0"/>
          <w:marTop w:val="0"/>
          <w:marBottom w:val="0"/>
          <w:divBdr>
            <w:top w:val="none" w:sz="0" w:space="0" w:color="auto"/>
            <w:left w:val="none" w:sz="0" w:space="0" w:color="auto"/>
            <w:bottom w:val="none" w:sz="0" w:space="0" w:color="auto"/>
            <w:right w:val="none" w:sz="0" w:space="0" w:color="auto"/>
          </w:divBdr>
          <w:divsChild>
            <w:div w:id="1642494207">
              <w:marLeft w:val="0"/>
              <w:marRight w:val="0"/>
              <w:marTop w:val="0"/>
              <w:marBottom w:val="0"/>
              <w:divBdr>
                <w:top w:val="none" w:sz="0" w:space="0" w:color="auto"/>
                <w:left w:val="none" w:sz="0" w:space="0" w:color="auto"/>
                <w:bottom w:val="none" w:sz="0" w:space="0" w:color="auto"/>
                <w:right w:val="none" w:sz="0" w:space="0" w:color="auto"/>
              </w:divBdr>
              <w:divsChild>
                <w:div w:id="214896617">
                  <w:marLeft w:val="0"/>
                  <w:marRight w:val="0"/>
                  <w:marTop w:val="0"/>
                  <w:marBottom w:val="0"/>
                  <w:divBdr>
                    <w:top w:val="none" w:sz="0" w:space="0" w:color="auto"/>
                    <w:left w:val="none" w:sz="0" w:space="0" w:color="auto"/>
                    <w:bottom w:val="none" w:sz="0" w:space="0" w:color="auto"/>
                    <w:right w:val="none" w:sz="0" w:space="0" w:color="auto"/>
                  </w:divBdr>
                  <w:divsChild>
                    <w:div w:id="4219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5352312">
      <w:bodyDiv w:val="1"/>
      <w:marLeft w:val="0"/>
      <w:marRight w:val="0"/>
      <w:marTop w:val="0"/>
      <w:marBottom w:val="0"/>
      <w:divBdr>
        <w:top w:val="none" w:sz="0" w:space="0" w:color="auto"/>
        <w:left w:val="none" w:sz="0" w:space="0" w:color="auto"/>
        <w:bottom w:val="none" w:sz="0" w:space="0" w:color="auto"/>
        <w:right w:val="none" w:sz="0" w:space="0" w:color="auto"/>
      </w:divBdr>
      <w:divsChild>
        <w:div w:id="89787109">
          <w:marLeft w:val="0"/>
          <w:marRight w:val="0"/>
          <w:marTop w:val="0"/>
          <w:marBottom w:val="0"/>
          <w:divBdr>
            <w:top w:val="none" w:sz="0" w:space="0" w:color="auto"/>
            <w:left w:val="none" w:sz="0" w:space="0" w:color="auto"/>
            <w:bottom w:val="none" w:sz="0" w:space="0" w:color="auto"/>
            <w:right w:val="none" w:sz="0" w:space="0" w:color="auto"/>
          </w:divBdr>
          <w:divsChild>
            <w:div w:id="2144537734">
              <w:marLeft w:val="0"/>
              <w:marRight w:val="0"/>
              <w:marTop w:val="0"/>
              <w:marBottom w:val="0"/>
              <w:divBdr>
                <w:top w:val="none" w:sz="0" w:space="0" w:color="auto"/>
                <w:left w:val="none" w:sz="0" w:space="0" w:color="auto"/>
                <w:bottom w:val="none" w:sz="0" w:space="0" w:color="auto"/>
                <w:right w:val="none" w:sz="0" w:space="0" w:color="auto"/>
              </w:divBdr>
              <w:divsChild>
                <w:div w:id="19588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2791">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7734156">
      <w:bodyDiv w:val="1"/>
      <w:marLeft w:val="0"/>
      <w:marRight w:val="0"/>
      <w:marTop w:val="0"/>
      <w:marBottom w:val="0"/>
      <w:divBdr>
        <w:top w:val="none" w:sz="0" w:space="0" w:color="auto"/>
        <w:left w:val="none" w:sz="0" w:space="0" w:color="auto"/>
        <w:bottom w:val="none" w:sz="0" w:space="0" w:color="auto"/>
        <w:right w:val="none" w:sz="0" w:space="0" w:color="auto"/>
      </w:divBdr>
      <w:divsChild>
        <w:div w:id="1131825654">
          <w:marLeft w:val="0"/>
          <w:marRight w:val="0"/>
          <w:marTop w:val="0"/>
          <w:marBottom w:val="0"/>
          <w:divBdr>
            <w:top w:val="none" w:sz="0" w:space="0" w:color="auto"/>
            <w:left w:val="none" w:sz="0" w:space="0" w:color="auto"/>
            <w:bottom w:val="none" w:sz="0" w:space="0" w:color="auto"/>
            <w:right w:val="none" w:sz="0" w:space="0" w:color="auto"/>
          </w:divBdr>
          <w:divsChild>
            <w:div w:id="993024171">
              <w:marLeft w:val="0"/>
              <w:marRight w:val="0"/>
              <w:marTop w:val="0"/>
              <w:marBottom w:val="0"/>
              <w:divBdr>
                <w:top w:val="none" w:sz="0" w:space="0" w:color="auto"/>
                <w:left w:val="none" w:sz="0" w:space="0" w:color="auto"/>
                <w:bottom w:val="none" w:sz="0" w:space="0" w:color="auto"/>
                <w:right w:val="none" w:sz="0" w:space="0" w:color="auto"/>
              </w:divBdr>
              <w:divsChild>
                <w:div w:id="2116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80206049">
      <w:bodyDiv w:val="1"/>
      <w:marLeft w:val="0"/>
      <w:marRight w:val="0"/>
      <w:marTop w:val="0"/>
      <w:marBottom w:val="0"/>
      <w:divBdr>
        <w:top w:val="none" w:sz="0" w:space="0" w:color="auto"/>
        <w:left w:val="none" w:sz="0" w:space="0" w:color="auto"/>
        <w:bottom w:val="none" w:sz="0" w:space="0" w:color="auto"/>
        <w:right w:val="none" w:sz="0" w:space="0" w:color="auto"/>
      </w:divBdr>
      <w:divsChild>
        <w:div w:id="66148928">
          <w:marLeft w:val="0"/>
          <w:marRight w:val="0"/>
          <w:marTop w:val="0"/>
          <w:marBottom w:val="0"/>
          <w:divBdr>
            <w:top w:val="none" w:sz="0" w:space="0" w:color="auto"/>
            <w:left w:val="none" w:sz="0" w:space="0" w:color="auto"/>
            <w:bottom w:val="none" w:sz="0" w:space="0" w:color="auto"/>
            <w:right w:val="none" w:sz="0" w:space="0" w:color="auto"/>
          </w:divBdr>
          <w:divsChild>
            <w:div w:id="38481660">
              <w:marLeft w:val="0"/>
              <w:marRight w:val="0"/>
              <w:marTop w:val="0"/>
              <w:marBottom w:val="0"/>
              <w:divBdr>
                <w:top w:val="none" w:sz="0" w:space="0" w:color="auto"/>
                <w:left w:val="none" w:sz="0" w:space="0" w:color="auto"/>
                <w:bottom w:val="none" w:sz="0" w:space="0" w:color="auto"/>
                <w:right w:val="none" w:sz="0" w:space="0" w:color="auto"/>
              </w:divBdr>
              <w:divsChild>
                <w:div w:id="1750998181">
                  <w:marLeft w:val="0"/>
                  <w:marRight w:val="0"/>
                  <w:marTop w:val="0"/>
                  <w:marBottom w:val="0"/>
                  <w:divBdr>
                    <w:top w:val="none" w:sz="0" w:space="0" w:color="auto"/>
                    <w:left w:val="none" w:sz="0" w:space="0" w:color="auto"/>
                    <w:bottom w:val="none" w:sz="0" w:space="0" w:color="auto"/>
                    <w:right w:val="none" w:sz="0" w:space="0" w:color="auto"/>
                  </w:divBdr>
                  <w:divsChild>
                    <w:div w:id="4283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2165/00003088-199427030-00004" TargetMode="External"/><Relationship Id="rId13" Type="http://schemas.openxmlformats.org/officeDocument/2006/relationships/hyperlink" Target="https://doi.org/https://doi.org/10.1016/S0029-7844(99)00462-7" TargetMode="External"/><Relationship Id="rId3" Type="http://schemas.openxmlformats.org/officeDocument/2006/relationships/hyperlink" Target="https://doi.org/10.1002/uog.17455" TargetMode="External"/><Relationship Id="rId7" Type="http://schemas.openxmlformats.org/officeDocument/2006/relationships/hyperlink" Target="https://doi.org/10.1007/s40265-023-01842-3" TargetMode="External"/><Relationship Id="rId12" Type="http://schemas.openxmlformats.org/officeDocument/2006/relationships/hyperlink" Target="https://doi.org/10.1002/uog.14819" TargetMode="External"/><Relationship Id="rId2" Type="http://schemas.openxmlformats.org/officeDocument/2006/relationships/hyperlink" Target="https://doi.org/10.1002/uog.18816" TargetMode="External"/><Relationship Id="rId16" Type="http://schemas.openxmlformats.org/officeDocument/2006/relationships/hyperlink" Target="https://medicalcostsfinder.health.gov.au/services/Q55707/oh?specialty=021901" TargetMode="External"/><Relationship Id="rId1" Type="http://schemas.openxmlformats.org/officeDocument/2006/relationships/hyperlink" Target="https://obgyn.onlinelibrary.wiley.com/doi/10.1002/ijgo.14049" TargetMode="External"/><Relationship Id="rId6" Type="http://schemas.openxmlformats.org/officeDocument/2006/relationships/hyperlink" Target="https://doi.org/https://doi.org/10.1016/j.ajog.2017.08.110" TargetMode="External"/><Relationship Id="rId11" Type="http://schemas.openxmlformats.org/officeDocument/2006/relationships/hyperlink" Target="https://doi.org/https://doi.org/10.1111/1471-0528.17598" TargetMode="External"/><Relationship Id="rId5" Type="http://schemas.openxmlformats.org/officeDocument/2006/relationships/hyperlink" Target="https://doi.org/10.1056/NEJMoa1704559" TargetMode="External"/><Relationship Id="rId15" Type="http://schemas.openxmlformats.org/officeDocument/2006/relationships/hyperlink" Target="https://www.sufw.com.au/ultrasound-costs/" TargetMode="External"/><Relationship Id="rId10" Type="http://schemas.openxmlformats.org/officeDocument/2006/relationships/hyperlink" Target="https://doi.org/10.1111/aogs.13808" TargetMode="External"/><Relationship Id="rId4" Type="http://schemas.openxmlformats.org/officeDocument/2006/relationships/hyperlink" Target="https://doi.org/10.1002/uog.19019" TargetMode="External"/><Relationship Id="rId9" Type="http://schemas.openxmlformats.org/officeDocument/2006/relationships/hyperlink" Target="https://doi.org/10.1146/annurev-pharmtox-011711-113247" TargetMode="External"/><Relationship Id="rId14" Type="http://schemas.openxmlformats.org/officeDocument/2006/relationships/hyperlink" Target="https://doi.org/10.1111/1471-0528.16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30F4-B709-4F89-A995-6A77521582D3}">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48</Pages>
  <Words>22800</Words>
  <Characters>129966</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152462</CharactersWithSpaces>
  <SharedDoc>false</SharedDoc>
  <HyperlinkBase/>
  <HLinks>
    <vt:vector size="120" baseType="variant">
      <vt:variant>
        <vt:i4>6684716</vt:i4>
      </vt:variant>
      <vt:variant>
        <vt:i4>80</vt:i4>
      </vt:variant>
      <vt:variant>
        <vt:i4>0</vt:i4>
      </vt:variant>
      <vt:variant>
        <vt:i4>5</vt:i4>
      </vt:variant>
      <vt:variant>
        <vt:lpwstr>http://msac.gov.au/internet/msac/publishing.nsf/Content/Home-1</vt:lpwstr>
      </vt:variant>
      <vt:variant>
        <vt:lpwstr/>
      </vt:variant>
      <vt:variant>
        <vt:i4>4259915</vt:i4>
      </vt:variant>
      <vt:variant>
        <vt:i4>60</vt:i4>
      </vt:variant>
      <vt:variant>
        <vt:i4>0</vt:i4>
      </vt:variant>
      <vt:variant>
        <vt:i4>5</vt:i4>
      </vt:variant>
      <vt:variant>
        <vt:lpwstr>https://medicalcostsfinder.health.gov.au/services/Q55707/oh?specialty=021901</vt:lpwstr>
      </vt:variant>
      <vt:variant>
        <vt:lpwstr/>
      </vt:variant>
      <vt:variant>
        <vt:i4>1376280</vt:i4>
      </vt:variant>
      <vt:variant>
        <vt:i4>57</vt:i4>
      </vt:variant>
      <vt:variant>
        <vt:i4>0</vt:i4>
      </vt:variant>
      <vt:variant>
        <vt:i4>5</vt:i4>
      </vt:variant>
      <vt:variant>
        <vt:lpwstr>https://www.sufw.com.au/ultrasound-costs/</vt:lpwstr>
      </vt:variant>
      <vt:variant>
        <vt:lpwstr/>
      </vt:variant>
      <vt:variant>
        <vt:i4>3866750</vt:i4>
      </vt:variant>
      <vt:variant>
        <vt:i4>54</vt:i4>
      </vt:variant>
      <vt:variant>
        <vt:i4>0</vt:i4>
      </vt:variant>
      <vt:variant>
        <vt:i4>5</vt:i4>
      </vt:variant>
      <vt:variant>
        <vt:lpwstr>https://doi.org/10.1111/1471-0528.16361</vt:lpwstr>
      </vt:variant>
      <vt:variant>
        <vt:lpwstr/>
      </vt:variant>
      <vt:variant>
        <vt:i4>458823</vt:i4>
      </vt:variant>
      <vt:variant>
        <vt:i4>51</vt:i4>
      </vt:variant>
      <vt:variant>
        <vt:i4>0</vt:i4>
      </vt:variant>
      <vt:variant>
        <vt:i4>5</vt:i4>
      </vt:variant>
      <vt:variant>
        <vt:lpwstr>https://doi.org/https://doi.org/10.1016/S0029-7844(99)00462-7</vt:lpwstr>
      </vt:variant>
      <vt:variant>
        <vt:lpwstr/>
      </vt:variant>
      <vt:variant>
        <vt:i4>5701699</vt:i4>
      </vt:variant>
      <vt:variant>
        <vt:i4>48</vt:i4>
      </vt:variant>
      <vt:variant>
        <vt:i4>0</vt:i4>
      </vt:variant>
      <vt:variant>
        <vt:i4>5</vt:i4>
      </vt:variant>
      <vt:variant>
        <vt:lpwstr>https://doi.org/10.1002/uog.14819</vt:lpwstr>
      </vt:variant>
      <vt:variant>
        <vt:lpwstr/>
      </vt:variant>
      <vt:variant>
        <vt:i4>3670077</vt:i4>
      </vt:variant>
      <vt:variant>
        <vt:i4>45</vt:i4>
      </vt:variant>
      <vt:variant>
        <vt:i4>0</vt:i4>
      </vt:variant>
      <vt:variant>
        <vt:i4>5</vt:i4>
      </vt:variant>
      <vt:variant>
        <vt:lpwstr>https://doi.org/https://doi.org/10.1111/1471-0528.17598</vt:lpwstr>
      </vt:variant>
      <vt:variant>
        <vt:lpwstr/>
      </vt:variant>
      <vt:variant>
        <vt:i4>5177422</vt:i4>
      </vt:variant>
      <vt:variant>
        <vt:i4>42</vt:i4>
      </vt:variant>
      <vt:variant>
        <vt:i4>0</vt:i4>
      </vt:variant>
      <vt:variant>
        <vt:i4>5</vt:i4>
      </vt:variant>
      <vt:variant>
        <vt:lpwstr>https://doi.org/10.1371/journal.pone.0270490</vt:lpwstr>
      </vt:variant>
      <vt:variant>
        <vt:lpwstr/>
      </vt:variant>
      <vt:variant>
        <vt:i4>4128881</vt:i4>
      </vt:variant>
      <vt:variant>
        <vt:i4>39</vt:i4>
      </vt:variant>
      <vt:variant>
        <vt:i4>0</vt:i4>
      </vt:variant>
      <vt:variant>
        <vt:i4>5</vt:i4>
      </vt:variant>
      <vt:variant>
        <vt:lpwstr>https://doi.org/10.1111/aogs.13808</vt:lpwstr>
      </vt:variant>
      <vt:variant>
        <vt:lpwstr/>
      </vt:variant>
      <vt:variant>
        <vt:i4>8061033</vt:i4>
      </vt:variant>
      <vt:variant>
        <vt:i4>36</vt:i4>
      </vt:variant>
      <vt:variant>
        <vt:i4>0</vt:i4>
      </vt:variant>
      <vt:variant>
        <vt:i4>5</vt:i4>
      </vt:variant>
      <vt:variant>
        <vt:lpwstr>https://doi.org/10.1146/annurev-pharmtox-011711-113247</vt:lpwstr>
      </vt:variant>
      <vt:variant>
        <vt:lpwstr/>
      </vt:variant>
      <vt:variant>
        <vt:i4>1048668</vt:i4>
      </vt:variant>
      <vt:variant>
        <vt:i4>33</vt:i4>
      </vt:variant>
      <vt:variant>
        <vt:i4>0</vt:i4>
      </vt:variant>
      <vt:variant>
        <vt:i4>5</vt:i4>
      </vt:variant>
      <vt:variant>
        <vt:lpwstr>https://doi.org/10.2165/00003088-199427030-00004</vt:lpwstr>
      </vt:variant>
      <vt:variant>
        <vt:lpwstr/>
      </vt:variant>
      <vt:variant>
        <vt:i4>4980814</vt:i4>
      </vt:variant>
      <vt:variant>
        <vt:i4>30</vt:i4>
      </vt:variant>
      <vt:variant>
        <vt:i4>0</vt:i4>
      </vt:variant>
      <vt:variant>
        <vt:i4>5</vt:i4>
      </vt:variant>
      <vt:variant>
        <vt:lpwstr>https://doi.org/10.1016/j.ajogmf.2022.100663</vt:lpwstr>
      </vt:variant>
      <vt:variant>
        <vt:lpwstr/>
      </vt:variant>
      <vt:variant>
        <vt:i4>2752562</vt:i4>
      </vt:variant>
      <vt:variant>
        <vt:i4>27</vt:i4>
      </vt:variant>
      <vt:variant>
        <vt:i4>0</vt:i4>
      </vt:variant>
      <vt:variant>
        <vt:i4>5</vt:i4>
      </vt:variant>
      <vt:variant>
        <vt:lpwstr>https://doi.org/10.1007/s40265-023-01842-3</vt:lpwstr>
      </vt:variant>
      <vt:variant>
        <vt:lpwstr/>
      </vt:variant>
      <vt:variant>
        <vt:i4>3080248</vt:i4>
      </vt:variant>
      <vt:variant>
        <vt:i4>24</vt:i4>
      </vt:variant>
      <vt:variant>
        <vt:i4>0</vt:i4>
      </vt:variant>
      <vt:variant>
        <vt:i4>5</vt:i4>
      </vt:variant>
      <vt:variant>
        <vt:lpwstr>https://doi.org/10.1016/j.ajog.2020.08.008</vt:lpwstr>
      </vt:variant>
      <vt:variant>
        <vt:lpwstr/>
      </vt:variant>
      <vt:variant>
        <vt:i4>2621563</vt:i4>
      </vt:variant>
      <vt:variant>
        <vt:i4>21</vt:i4>
      </vt:variant>
      <vt:variant>
        <vt:i4>0</vt:i4>
      </vt:variant>
      <vt:variant>
        <vt:i4>5</vt:i4>
      </vt:variant>
      <vt:variant>
        <vt:lpwstr>https://doi.org/https://doi.org/10.1016/j.ajog.2017.08.110</vt:lpwstr>
      </vt:variant>
      <vt:variant>
        <vt:lpwstr/>
      </vt:variant>
      <vt:variant>
        <vt:i4>4784131</vt:i4>
      </vt:variant>
      <vt:variant>
        <vt:i4>18</vt:i4>
      </vt:variant>
      <vt:variant>
        <vt:i4>0</vt:i4>
      </vt:variant>
      <vt:variant>
        <vt:i4>5</vt:i4>
      </vt:variant>
      <vt:variant>
        <vt:lpwstr>https://doi.org/10.1056/NEJMoa1704559</vt:lpwstr>
      </vt:variant>
      <vt:variant>
        <vt:lpwstr/>
      </vt:variant>
      <vt:variant>
        <vt:i4>5898315</vt:i4>
      </vt:variant>
      <vt:variant>
        <vt:i4>15</vt:i4>
      </vt:variant>
      <vt:variant>
        <vt:i4>0</vt:i4>
      </vt:variant>
      <vt:variant>
        <vt:i4>5</vt:i4>
      </vt:variant>
      <vt:variant>
        <vt:lpwstr>https://doi.org/10.1002/uog.19019</vt:lpwstr>
      </vt:variant>
      <vt:variant>
        <vt:lpwstr/>
      </vt:variant>
      <vt:variant>
        <vt:i4>5242959</vt:i4>
      </vt:variant>
      <vt:variant>
        <vt:i4>12</vt:i4>
      </vt:variant>
      <vt:variant>
        <vt:i4>0</vt:i4>
      </vt:variant>
      <vt:variant>
        <vt:i4>5</vt:i4>
      </vt:variant>
      <vt:variant>
        <vt:lpwstr>https://doi.org/10.1002/uog.17455</vt:lpwstr>
      </vt:variant>
      <vt:variant>
        <vt:lpwstr/>
      </vt:variant>
      <vt:variant>
        <vt:i4>5963843</vt:i4>
      </vt:variant>
      <vt:variant>
        <vt:i4>9</vt:i4>
      </vt:variant>
      <vt:variant>
        <vt:i4>0</vt:i4>
      </vt:variant>
      <vt:variant>
        <vt:i4>5</vt:i4>
      </vt:variant>
      <vt:variant>
        <vt:lpwstr>https://doi.org/10.1002/uog.18816</vt:lpwstr>
      </vt:variant>
      <vt:variant>
        <vt:lpwstr/>
      </vt:variant>
      <vt:variant>
        <vt:i4>1</vt:i4>
      </vt:variant>
      <vt:variant>
        <vt:i4>0</vt:i4>
      </vt:variant>
      <vt:variant>
        <vt:i4>0</vt:i4>
      </vt:variant>
      <vt:variant>
        <vt:i4>5</vt:i4>
      </vt:variant>
      <vt:variant>
        <vt:lpwstr>https://obgyn.onlinelibrary.wiley.com/doi/10.1002/ijgo.14049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2024-02-05T23:28:00Z</dcterms:created>
  <dcterms:modified xsi:type="dcterms:W3CDTF">2024-02-05T23:28:00Z</dcterms:modified>
  <cp:category/>
</cp:coreProperties>
</file>