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752F" w14:textId="3FCC420E" w:rsidR="005B0D41" w:rsidRDefault="005B0D41" w:rsidP="005B0D41">
      <w:pPr>
        <w:pStyle w:val="Heading1"/>
        <w:numPr>
          <w:ilvl w:val="0"/>
          <w:numId w:val="0"/>
        </w:numPr>
        <w:pBdr>
          <w:bottom w:val="none" w:sz="0" w:space="0" w:color="auto"/>
        </w:pBdr>
        <w:spacing w:before="0" w:after="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00C7462B" w:rsidRPr="00F76D74">
        <w:rPr>
          <w:rFonts w:ascii="Arial" w:hAnsi="Arial" w:cs="Arial"/>
          <w:b/>
          <w:bCs/>
          <w:color w:val="000080"/>
          <w:sz w:val="36"/>
          <w:szCs w:val="36"/>
        </w:rPr>
        <w:t>Public Summary Document</w:t>
      </w:r>
    </w:p>
    <w:p w14:paraId="7A128FDE" w14:textId="72013E4A" w:rsidR="00772829" w:rsidRPr="00CE28E3" w:rsidRDefault="00772829" w:rsidP="00C7462B">
      <w:pPr>
        <w:pStyle w:val="Subtitle"/>
        <w:spacing w:before="360"/>
      </w:pPr>
      <w:r w:rsidRPr="00CE28E3">
        <w:t xml:space="preserve">Application No. </w:t>
      </w:r>
      <w:r w:rsidR="009D0A45" w:rsidRPr="009D0A45">
        <w:t>1686</w:t>
      </w:r>
      <w:r w:rsidR="00766195">
        <w:t>.1</w:t>
      </w:r>
      <w:r w:rsidRPr="009D0A45">
        <w:t xml:space="preserve"> – </w:t>
      </w:r>
      <w:r w:rsidR="009D0A45" w:rsidRPr="009D0A45">
        <w:rPr>
          <w:vertAlign w:val="superscript"/>
        </w:rPr>
        <w:t>177</w:t>
      </w:r>
      <w:r w:rsidR="009D0A45" w:rsidRPr="009D0A45">
        <w:t xml:space="preserve">Lutetium PSMA </w:t>
      </w:r>
      <w:proofErr w:type="spellStart"/>
      <w:r w:rsidR="009D0A45" w:rsidRPr="009D0A45">
        <w:t>i&amp;t</w:t>
      </w:r>
      <w:proofErr w:type="spellEnd"/>
      <w:r w:rsidR="009D0A45" w:rsidRPr="009D0A45">
        <w:t xml:space="preserve"> for metastatic castrate resistant prostate cancer</w:t>
      </w:r>
    </w:p>
    <w:p w14:paraId="35263561" w14:textId="44DBB8B2" w:rsidR="00772829" w:rsidRPr="00CE28E3" w:rsidRDefault="00772829" w:rsidP="00344E1F">
      <w:pPr>
        <w:spacing w:after="240"/>
        <w:ind w:left="3402" w:hanging="3402"/>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B062C0" w:rsidRPr="001F4491">
        <w:rPr>
          <w:rFonts w:ascii="Arial" w:hAnsi="Arial" w:cs="Arial"/>
          <w:b/>
          <w:szCs w:val="24"/>
        </w:rPr>
        <w:t>A group of academic specialists, co-sponsored by the Australasian Association of Nuclear Medicine Specialists (AANMS</w:t>
      </w:r>
      <w:r w:rsidR="00C435D5">
        <w:rPr>
          <w:rFonts w:ascii="Arial" w:hAnsi="Arial" w:cs="Arial"/>
          <w:b/>
          <w:szCs w:val="24"/>
        </w:rPr>
        <w:t>)</w:t>
      </w:r>
    </w:p>
    <w:p w14:paraId="43406A08" w14:textId="6E9ADFBC" w:rsidR="00CD0F5B" w:rsidRDefault="00CD0F5B" w:rsidP="00C7462B">
      <w:pPr>
        <w:tabs>
          <w:tab w:val="left" w:pos="3402"/>
        </w:tabs>
        <w:spacing w:before="320"/>
        <w:rPr>
          <w:rFonts w:ascii="Arial" w:hAnsi="Arial" w:cs="Arial"/>
          <w:b/>
          <w:bCs/>
        </w:rPr>
      </w:pPr>
      <w:bookmarkStart w:id="0" w:name="_Toc69491415"/>
      <w:r w:rsidRPr="00C339E7">
        <w:rPr>
          <w:rFonts w:ascii="Arial" w:hAnsi="Arial" w:cs="Arial"/>
          <w:b/>
          <w:bCs/>
        </w:rPr>
        <w:t xml:space="preserve">Date of </w:t>
      </w:r>
      <w:r w:rsidR="00C7462B">
        <w:rPr>
          <w:rFonts w:ascii="Arial" w:hAnsi="Arial" w:cs="Arial"/>
          <w:b/>
          <w:bCs/>
        </w:rPr>
        <w:t>MSAC</w:t>
      </w:r>
      <w:r w:rsidRPr="00C339E7">
        <w:rPr>
          <w:rFonts w:ascii="Arial" w:hAnsi="Arial" w:cs="Arial"/>
          <w:b/>
          <w:bCs/>
        </w:rPr>
        <w:t xml:space="preserve"> consideration:</w:t>
      </w:r>
      <w:r w:rsidR="00C7462B">
        <w:rPr>
          <w:rFonts w:ascii="Arial" w:hAnsi="Arial" w:cs="Arial"/>
          <w:b/>
          <w:bCs/>
        </w:rPr>
        <w:tab/>
        <w:t>27 July</w:t>
      </w:r>
      <w:r w:rsidRPr="00C339E7">
        <w:rPr>
          <w:rFonts w:ascii="Arial" w:hAnsi="Arial" w:cs="Arial"/>
          <w:b/>
          <w:bCs/>
        </w:rPr>
        <w:t xml:space="preserve"> 2023</w:t>
      </w:r>
    </w:p>
    <w:p w14:paraId="2776DF9C" w14:textId="77777777" w:rsidR="00781AA4" w:rsidRPr="00775E8C" w:rsidRDefault="00781AA4" w:rsidP="00781AA4">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r>
        <w:t>1.</w:t>
      </w:r>
      <w:r>
        <w:tab/>
      </w:r>
      <w:r w:rsidR="00772829" w:rsidRPr="00CE28E3">
        <w:t xml:space="preserve">Purpose </w:t>
      </w:r>
      <w:r w:rsidR="00772829" w:rsidRPr="00CE28E3">
        <w:rPr>
          <w:szCs w:val="32"/>
        </w:rPr>
        <w:t>of</w:t>
      </w:r>
      <w:r w:rsidR="00772829" w:rsidRPr="00CE28E3">
        <w:t xml:space="preserve"> application</w:t>
      </w:r>
      <w:bookmarkEnd w:id="0"/>
    </w:p>
    <w:p w14:paraId="6086E80A" w14:textId="530A6F88" w:rsidR="00556D5F" w:rsidRDefault="00556D5F" w:rsidP="00556D5F">
      <w:pPr>
        <w:spacing w:after="240"/>
      </w:pPr>
      <w:bookmarkStart w:id="1" w:name="_Toc69491416"/>
      <w:r w:rsidRPr="009A3778">
        <w:rPr>
          <w:iCs/>
        </w:rPr>
        <w:t>A</w:t>
      </w:r>
      <w:r>
        <w:rPr>
          <w:iCs/>
        </w:rPr>
        <w:t xml:space="preserve"> </w:t>
      </w:r>
      <w:r w:rsidRPr="009A3778">
        <w:rPr>
          <w:iCs/>
          <w:szCs w:val="24"/>
        </w:rPr>
        <w:t>codependent</w:t>
      </w:r>
      <w:r w:rsidRPr="009A3778">
        <w:rPr>
          <w:iCs/>
        </w:rPr>
        <w:t xml:space="preserve"> </w:t>
      </w:r>
      <w:r w:rsidR="000901D3">
        <w:rPr>
          <w:iCs/>
        </w:rPr>
        <w:t>re-</w:t>
      </w:r>
      <w:r w:rsidR="0014793D">
        <w:rPr>
          <w:iCs/>
        </w:rPr>
        <w:t>application</w:t>
      </w:r>
      <w:r w:rsidR="00E662BD">
        <w:rPr>
          <w:iCs/>
        </w:rPr>
        <w:t xml:space="preserve"> (application 1686.1)</w:t>
      </w:r>
      <w:r w:rsidRPr="00365548">
        <w:rPr>
          <w:iCs/>
        </w:rPr>
        <w:t xml:space="preserve"> was received</w:t>
      </w:r>
      <w:r>
        <w:rPr>
          <w:iCs/>
        </w:rPr>
        <w:t xml:space="preserve"> </w:t>
      </w:r>
      <w:r w:rsidRPr="004B20ED">
        <w:rPr>
          <w:iCs/>
        </w:rPr>
        <w:t>by the Department of Health</w:t>
      </w:r>
      <w:r w:rsidRPr="00365548">
        <w:rPr>
          <w:iCs/>
        </w:rPr>
        <w:t xml:space="preserve"> from </w:t>
      </w:r>
      <w:r>
        <w:rPr>
          <w:rStyle w:val="null1"/>
        </w:rPr>
        <w:t xml:space="preserve">a group of academic specialists, co-sponsored by the </w:t>
      </w:r>
      <w:r>
        <w:t>Australasian Association of Nuclear Medicine Specialists (</w:t>
      </w:r>
      <w:r>
        <w:rPr>
          <w:rStyle w:val="null1"/>
        </w:rPr>
        <w:t xml:space="preserve">AANMS), </w:t>
      </w:r>
      <w:r>
        <w:t>r</w:t>
      </w:r>
      <w:r w:rsidRPr="009D0A45">
        <w:t>equesting</w:t>
      </w:r>
      <w:r>
        <w:t xml:space="preserve">, in the context of progressive </w:t>
      </w:r>
      <w:r w:rsidRPr="0097263A">
        <w:t>metastatic castrate-resistant prostate cancer</w:t>
      </w:r>
      <w:r>
        <w:t xml:space="preserve"> (</w:t>
      </w:r>
      <w:proofErr w:type="spellStart"/>
      <w:r>
        <w:t>mCRPC</w:t>
      </w:r>
      <w:proofErr w:type="spellEnd"/>
      <w:r>
        <w:t>),</w:t>
      </w:r>
      <w:r w:rsidRPr="009D0A45">
        <w:t xml:space="preserve"> </w:t>
      </w:r>
      <w:r w:rsidRPr="00E92832">
        <w:rPr>
          <w:iCs/>
        </w:rPr>
        <w:t xml:space="preserve">Medicare Benefits Schedule </w:t>
      </w:r>
      <w:r>
        <w:rPr>
          <w:iCs/>
        </w:rPr>
        <w:t>(</w:t>
      </w:r>
      <w:r w:rsidRPr="009D0A45">
        <w:t>MBS</w:t>
      </w:r>
      <w:r>
        <w:t>)</w:t>
      </w:r>
      <w:r w:rsidRPr="009D0A45">
        <w:t xml:space="preserve"> listing </w:t>
      </w:r>
      <w:r w:rsidRPr="009A3778">
        <w:t>of</w:t>
      </w:r>
      <w:r>
        <w:t>:</w:t>
      </w:r>
    </w:p>
    <w:p w14:paraId="3280C404" w14:textId="77777777" w:rsidR="00556D5F" w:rsidRPr="00D806CE" w:rsidRDefault="00556D5F" w:rsidP="00556D5F">
      <w:pPr>
        <w:pStyle w:val="ListParagraph"/>
        <w:numPr>
          <w:ilvl w:val="0"/>
          <w:numId w:val="23"/>
        </w:numPr>
        <w:spacing w:after="240"/>
        <w:ind w:left="284" w:hanging="284"/>
        <w:contextualSpacing w:val="0"/>
        <w:rPr>
          <w:iCs/>
        </w:rPr>
      </w:pPr>
      <w:r w:rsidRPr="00696E19">
        <w:t xml:space="preserve">prostate </w:t>
      </w:r>
      <w:r>
        <w:t>s</w:t>
      </w:r>
      <w:r w:rsidRPr="00696E19">
        <w:t xml:space="preserve">pecific </w:t>
      </w:r>
      <w:r>
        <w:t>m</w:t>
      </w:r>
      <w:r w:rsidRPr="00696E19">
        <w:t xml:space="preserve">embrane </w:t>
      </w:r>
      <w:r>
        <w:t>a</w:t>
      </w:r>
      <w:r w:rsidRPr="00696E19">
        <w:t>ntigen</w:t>
      </w:r>
      <w:r>
        <w:t xml:space="preserve"> positron emission tomography/computerised tomography (PSMA PET/CT) to determine eligibility for</w:t>
      </w:r>
    </w:p>
    <w:p w14:paraId="10EC9503" w14:textId="52374A7C" w:rsidR="00556D5F" w:rsidRDefault="006236CE" w:rsidP="00556D5F">
      <w:pPr>
        <w:pStyle w:val="ListParagraph"/>
        <w:numPr>
          <w:ilvl w:val="0"/>
          <w:numId w:val="23"/>
        </w:numPr>
        <w:spacing w:after="240"/>
        <w:ind w:left="284" w:hanging="284"/>
        <w:contextualSpacing w:val="0"/>
        <w:rPr>
          <w:iCs/>
        </w:rPr>
      </w:pPr>
      <w:r w:rsidRPr="008174B1">
        <w:rPr>
          <w:vertAlign w:val="superscript"/>
        </w:rPr>
        <w:t>177</w:t>
      </w:r>
      <w:r w:rsidRPr="008174B1">
        <w:t>lutetium prostate-specific membrane antigen (</w:t>
      </w:r>
      <w:r w:rsidRPr="00075475">
        <w:rPr>
          <w:vertAlign w:val="superscript"/>
        </w:rPr>
        <w:t>177</w:t>
      </w:r>
      <w:r w:rsidRPr="00075475">
        <w:t>Lu</w:t>
      </w:r>
      <w:r w:rsidR="004216BD">
        <w:t>-</w:t>
      </w:r>
      <w:r w:rsidRPr="00075475">
        <w:t>PSMA</w:t>
      </w:r>
      <w:r w:rsidRPr="008174B1">
        <w:t xml:space="preserve">) </w:t>
      </w:r>
      <w:r w:rsidR="00556D5F" w:rsidRPr="00FF6944">
        <w:rPr>
          <w:iCs/>
        </w:rPr>
        <w:t>and 24-hour post-therapy single-photon emission/computed tomography/computerised tomography (SPECT/CT)</w:t>
      </w:r>
      <w:r w:rsidR="00556D5F">
        <w:rPr>
          <w:iCs/>
        </w:rPr>
        <w:t>.</w:t>
      </w:r>
    </w:p>
    <w:p w14:paraId="0CAA59A2" w14:textId="743006AB" w:rsidR="0050293D" w:rsidRPr="0050293D" w:rsidRDefault="00207C67" w:rsidP="004F2168">
      <w:pPr>
        <w:spacing w:after="240"/>
        <w:rPr>
          <w:iCs/>
        </w:rPr>
      </w:pPr>
      <w:r>
        <w:rPr>
          <w:iCs/>
        </w:rPr>
        <w:t>As discussed below</w:t>
      </w:r>
      <w:r w:rsidR="0050293D" w:rsidRPr="0050293D">
        <w:rPr>
          <w:iCs/>
        </w:rPr>
        <w:t xml:space="preserve">, MSAC has referred to specific </w:t>
      </w:r>
      <w:r w:rsidR="0050293D" w:rsidRPr="00865810">
        <w:rPr>
          <w:iCs/>
          <w:vertAlign w:val="superscript"/>
        </w:rPr>
        <w:t>177</w:t>
      </w:r>
      <w:r w:rsidR="0050293D" w:rsidRPr="00371120">
        <w:t>LuPSMA</w:t>
      </w:r>
      <w:r w:rsidR="0050293D" w:rsidRPr="0050293D">
        <w:rPr>
          <w:iCs/>
        </w:rPr>
        <w:t xml:space="preserve"> products, either </w:t>
      </w:r>
      <w:r w:rsidR="00E92FA2">
        <w:rPr>
          <w:iCs/>
        </w:rPr>
        <w:t xml:space="preserve">as </w:t>
      </w:r>
      <w:r w:rsidR="0050293D" w:rsidRPr="0050293D">
        <w:rPr>
          <w:iCs/>
          <w:vertAlign w:val="superscript"/>
        </w:rPr>
        <w:t>177</w:t>
      </w:r>
      <w:r w:rsidR="0050293D" w:rsidRPr="0050293D">
        <w:rPr>
          <w:iCs/>
        </w:rPr>
        <w:t xml:space="preserve">Lu PSMA imaging </w:t>
      </w:r>
      <w:r w:rsidR="00A365A8">
        <w:rPr>
          <w:iCs/>
        </w:rPr>
        <w:t xml:space="preserve">scan </w:t>
      </w:r>
      <w:r w:rsidR="0050293D" w:rsidRPr="0050293D">
        <w:rPr>
          <w:iCs/>
        </w:rPr>
        <w:t xml:space="preserve">and therapy </w:t>
      </w:r>
      <w:r w:rsidR="00E92FA2">
        <w:rPr>
          <w:iCs/>
        </w:rPr>
        <w:t>(</w:t>
      </w:r>
      <w:r w:rsidR="0050293D" w:rsidRPr="0050293D">
        <w:rPr>
          <w:iCs/>
          <w:vertAlign w:val="superscript"/>
        </w:rPr>
        <w:t>177</w:t>
      </w:r>
      <w:r w:rsidR="0050293D" w:rsidRPr="0050293D">
        <w:rPr>
          <w:iCs/>
        </w:rPr>
        <w:t>Lu PSMA </w:t>
      </w:r>
      <w:proofErr w:type="spellStart"/>
      <w:r w:rsidR="0050293D" w:rsidRPr="0050293D">
        <w:rPr>
          <w:iCs/>
        </w:rPr>
        <w:t>i&amp;t</w:t>
      </w:r>
      <w:proofErr w:type="spellEnd"/>
      <w:r w:rsidR="00E92FA2">
        <w:rPr>
          <w:iCs/>
        </w:rPr>
        <w:t>)</w:t>
      </w:r>
      <w:r w:rsidR="0050293D" w:rsidRPr="0050293D">
        <w:rPr>
          <w:iCs/>
        </w:rPr>
        <w:t xml:space="preserve"> or</w:t>
      </w:r>
      <w:r w:rsidR="0046559F">
        <w:rPr>
          <w:iCs/>
        </w:rPr>
        <w:t xml:space="preserve"> </w:t>
      </w:r>
      <w:r w:rsidR="0046559F" w:rsidRPr="0050293D">
        <w:rPr>
          <w:iCs/>
          <w:vertAlign w:val="superscript"/>
        </w:rPr>
        <w:t>177</w:t>
      </w:r>
      <w:r w:rsidR="0046559F" w:rsidRPr="0050293D">
        <w:rPr>
          <w:iCs/>
        </w:rPr>
        <w:t>Lu</w:t>
      </w:r>
      <w:r w:rsidR="0050293D" w:rsidRPr="0050293D">
        <w:rPr>
          <w:iCs/>
        </w:rPr>
        <w:t xml:space="preserve"> PSMA-617.</w:t>
      </w:r>
    </w:p>
    <w:p w14:paraId="2287BFD7" w14:textId="4C64C086" w:rsidR="00C7462B" w:rsidRDefault="00E12656" w:rsidP="00C7462B">
      <w:pPr>
        <w:pStyle w:val="ESHeading1"/>
        <w:numPr>
          <w:ilvl w:val="0"/>
          <w:numId w:val="0"/>
        </w:numPr>
        <w:spacing w:before="360"/>
        <w:ind w:hanging="74"/>
      </w:pPr>
      <w:bookmarkStart w:id="2" w:name="_Toc131604306"/>
      <w:r w:rsidRPr="001A4B85">
        <w:t>2.</w:t>
      </w:r>
      <w:r w:rsidRPr="001A4B85">
        <w:tab/>
      </w:r>
      <w:r w:rsidR="00C7462B">
        <w:t>MSAC’s advice to the Minister</w:t>
      </w:r>
    </w:p>
    <w:p w14:paraId="5E410290" w14:textId="3C7766A9" w:rsidR="00F723DD" w:rsidRDefault="00C7462B" w:rsidP="00F723DD">
      <w:r w:rsidRPr="00D81A81">
        <w:t>After considering the strength of the available evidence in relation to comparative safety, clinical effectiveness</w:t>
      </w:r>
      <w:r>
        <w:t xml:space="preserve">, </w:t>
      </w:r>
      <w:proofErr w:type="gramStart"/>
      <w:r w:rsidRPr="00D81A81">
        <w:t>cost-effectiveness</w:t>
      </w:r>
      <w:proofErr w:type="gramEnd"/>
      <w:r>
        <w:t xml:space="preserve"> and total cost</w:t>
      </w:r>
      <w:r w:rsidRPr="00D81A81">
        <w:t xml:space="preserve">, </w:t>
      </w:r>
      <w:bookmarkStart w:id="3" w:name="_Hlk141856141"/>
      <w:r w:rsidR="00F723DD" w:rsidRPr="00FC0353">
        <w:t>MSAC deferred its advice regarding the public funding of</w:t>
      </w:r>
      <w:r w:rsidR="00F723DD">
        <w:t xml:space="preserve"> </w:t>
      </w:r>
      <w:r w:rsidR="00F723DD" w:rsidRPr="008174B1">
        <w:t xml:space="preserve">1) </w:t>
      </w:r>
      <w:r w:rsidR="00F723DD" w:rsidRPr="00BD698B">
        <w:rPr>
          <w:vertAlign w:val="superscript"/>
        </w:rPr>
        <w:t>177</w:t>
      </w:r>
      <w:r w:rsidR="00F723DD" w:rsidRPr="00BD698B">
        <w:t>Lu</w:t>
      </w:r>
      <w:r w:rsidR="009876B9" w:rsidRPr="00D227B0">
        <w:t> </w:t>
      </w:r>
      <w:r w:rsidR="00F723DD" w:rsidRPr="00BD698B">
        <w:t>PSMA</w:t>
      </w:r>
      <w:r w:rsidR="009E67F3">
        <w:rPr>
          <w:rFonts w:cs="Calibri"/>
        </w:rPr>
        <w:t> </w:t>
      </w:r>
      <w:proofErr w:type="spellStart"/>
      <w:r w:rsidR="00275497" w:rsidRPr="00D227B0">
        <w:rPr>
          <w:rFonts w:cs="Calibri"/>
        </w:rPr>
        <w:t>i&amp;t</w:t>
      </w:r>
      <w:proofErr w:type="spellEnd"/>
      <w:r w:rsidR="00F723DD" w:rsidRPr="008174B1">
        <w:t xml:space="preserve"> therapy for treatment of progressive </w:t>
      </w:r>
      <w:proofErr w:type="spellStart"/>
      <w:r w:rsidR="00F723DD" w:rsidRPr="008174B1">
        <w:t>mCRPC</w:t>
      </w:r>
      <w:proofErr w:type="spellEnd"/>
      <w:r w:rsidR="00F723DD" w:rsidRPr="008174B1">
        <w:t xml:space="preserve"> and 2) whole body </w:t>
      </w:r>
      <w:r w:rsidR="00F723DD" w:rsidRPr="004A58ED">
        <w:t>PSMA</w:t>
      </w:r>
      <w:r w:rsidR="00F723DD" w:rsidRPr="008174B1">
        <w:t xml:space="preserve"> PET/CT to identify those eligible for </w:t>
      </w:r>
      <w:r w:rsidR="00C70ADF" w:rsidRPr="00BD698B">
        <w:rPr>
          <w:vertAlign w:val="superscript"/>
        </w:rPr>
        <w:t>177</w:t>
      </w:r>
      <w:r w:rsidR="00C70ADF" w:rsidRPr="00BD698B">
        <w:t>Lu</w:t>
      </w:r>
      <w:r w:rsidR="00C70ADF" w:rsidRPr="00AD35AE">
        <w:t> </w:t>
      </w:r>
      <w:r w:rsidR="00C70ADF" w:rsidRPr="00BD698B">
        <w:t>PSMA</w:t>
      </w:r>
      <w:r w:rsidR="00C70ADF">
        <w:rPr>
          <w:rFonts w:cs="Calibri"/>
        </w:rPr>
        <w:t> </w:t>
      </w:r>
      <w:proofErr w:type="spellStart"/>
      <w:r w:rsidR="00C70ADF" w:rsidRPr="00AD35AE">
        <w:rPr>
          <w:rFonts w:cs="Calibri"/>
        </w:rPr>
        <w:t>i&amp;t</w:t>
      </w:r>
      <w:proofErr w:type="spellEnd"/>
      <w:r w:rsidR="00C70ADF" w:rsidRPr="008174B1">
        <w:t xml:space="preserve"> </w:t>
      </w:r>
      <w:r w:rsidR="00F723DD" w:rsidRPr="008E2538">
        <w:t>therapy</w:t>
      </w:r>
      <w:r w:rsidR="00F723DD" w:rsidRPr="008174B1">
        <w:t>.</w:t>
      </w:r>
      <w:r w:rsidR="00F723DD">
        <w:t xml:space="preserve"> </w:t>
      </w:r>
    </w:p>
    <w:p w14:paraId="1369CF71" w14:textId="1DF0C003" w:rsidR="00F723DD" w:rsidRDefault="00F723DD" w:rsidP="00F723DD">
      <w:pPr>
        <w:pStyle w:val="NormalWeb"/>
        <w:spacing w:before="0" w:beforeAutospacing="0" w:after="0" w:afterAutospacing="0"/>
        <w:rPr>
          <w:rFonts w:ascii="Franklin Gothic Book" w:hAnsi="Franklin Gothic Book" w:cs="Calibri"/>
          <w:sz w:val="22"/>
          <w:szCs w:val="22"/>
        </w:rPr>
      </w:pPr>
      <w:r w:rsidRPr="00B67287">
        <w:rPr>
          <w:rFonts w:ascii="Franklin Gothic Book" w:hAnsi="Franklin Gothic Book" w:cs="Calibri"/>
          <w:sz w:val="22"/>
          <w:szCs w:val="22"/>
        </w:rPr>
        <w:t>MSAC noted the high clinical need for this population with advanced disease. MSAC</w:t>
      </w:r>
      <w:r w:rsidR="00A86569" w:rsidRPr="00B67287">
        <w:rPr>
          <w:rFonts w:ascii="Franklin Gothic Book" w:hAnsi="Franklin Gothic Book" w:cs="Calibri"/>
          <w:sz w:val="22"/>
          <w:szCs w:val="22"/>
        </w:rPr>
        <w:t xml:space="preserve"> </w:t>
      </w:r>
      <w:r w:rsidRPr="00B67287">
        <w:rPr>
          <w:rFonts w:ascii="Franklin Gothic Book" w:hAnsi="Franklin Gothic Book" w:cs="Calibri"/>
          <w:sz w:val="22"/>
          <w:szCs w:val="22"/>
        </w:rPr>
        <w:t>reconsidered the evidence base</w:t>
      </w:r>
      <w:r w:rsidR="004404E8" w:rsidRPr="00B67287">
        <w:rPr>
          <w:rFonts w:ascii="Franklin Gothic Book" w:hAnsi="Franklin Gothic Book" w:cs="Calibri"/>
          <w:sz w:val="22"/>
          <w:szCs w:val="22"/>
        </w:rPr>
        <w:t xml:space="preserve"> and the </w:t>
      </w:r>
      <w:r w:rsidR="00A86569" w:rsidRPr="00B67287">
        <w:rPr>
          <w:rFonts w:ascii="Franklin Gothic Book" w:hAnsi="Franklin Gothic Book" w:cs="Calibri"/>
          <w:sz w:val="22"/>
          <w:szCs w:val="22"/>
        </w:rPr>
        <w:t xml:space="preserve">additional </w:t>
      </w:r>
      <w:r w:rsidR="004404E8" w:rsidRPr="00B67287">
        <w:rPr>
          <w:rFonts w:ascii="Franklin Gothic Book" w:hAnsi="Franklin Gothic Book" w:cs="Calibri"/>
          <w:sz w:val="22"/>
          <w:szCs w:val="22"/>
        </w:rPr>
        <w:t xml:space="preserve">perspectives </w:t>
      </w:r>
      <w:r w:rsidRPr="00B67287">
        <w:rPr>
          <w:rFonts w:ascii="Franklin Gothic Book" w:hAnsi="Franklin Gothic Book" w:cs="Calibri"/>
          <w:sz w:val="22"/>
          <w:szCs w:val="22"/>
        </w:rPr>
        <w:t xml:space="preserve">comparing </w:t>
      </w:r>
      <w:r w:rsidRPr="00B67287">
        <w:rPr>
          <w:rFonts w:ascii="Franklin Gothic Book" w:hAnsi="Franklin Gothic Book" w:cs="Calibri"/>
          <w:sz w:val="22"/>
          <w:szCs w:val="22"/>
          <w:vertAlign w:val="superscript"/>
        </w:rPr>
        <w:t>177</w:t>
      </w:r>
      <w:r w:rsidRPr="00B67287">
        <w:rPr>
          <w:rFonts w:ascii="Franklin Gothic Book" w:hAnsi="Franklin Gothic Book" w:cs="Calibri"/>
          <w:sz w:val="22"/>
          <w:szCs w:val="22"/>
        </w:rPr>
        <w:t>Lu PSMA</w:t>
      </w:r>
      <w:r w:rsidR="00C70ADF" w:rsidRPr="00B67287">
        <w:rPr>
          <w:rFonts w:ascii="Franklin Gothic Book" w:hAnsi="Franklin Gothic Book" w:cs="Calibri"/>
          <w:sz w:val="22"/>
          <w:szCs w:val="22"/>
        </w:rPr>
        <w:t> </w:t>
      </w:r>
      <w:proofErr w:type="spellStart"/>
      <w:r w:rsidRPr="00B67287">
        <w:rPr>
          <w:rFonts w:ascii="Franklin Gothic Book" w:hAnsi="Franklin Gothic Book" w:cs="Calibri"/>
          <w:sz w:val="22"/>
          <w:szCs w:val="22"/>
        </w:rPr>
        <w:t>i&amp;t</w:t>
      </w:r>
      <w:proofErr w:type="spellEnd"/>
      <w:r w:rsidRPr="00B67287">
        <w:rPr>
          <w:rFonts w:ascii="Franklin Gothic Book" w:hAnsi="Franklin Gothic Book" w:cs="Calibri"/>
          <w:sz w:val="22"/>
          <w:szCs w:val="22"/>
        </w:rPr>
        <w:t xml:space="preserve"> and </w:t>
      </w:r>
      <w:r w:rsidRPr="00B67287">
        <w:rPr>
          <w:rFonts w:ascii="Franklin Gothic Book" w:hAnsi="Franklin Gothic Book" w:cs="Calibri"/>
          <w:sz w:val="22"/>
          <w:szCs w:val="22"/>
          <w:vertAlign w:val="superscript"/>
        </w:rPr>
        <w:t>177</w:t>
      </w:r>
      <w:r w:rsidRPr="00B67287">
        <w:rPr>
          <w:rFonts w:ascii="Franklin Gothic Book" w:hAnsi="Franklin Gothic Book" w:cs="Calibri"/>
          <w:sz w:val="22"/>
          <w:szCs w:val="22"/>
        </w:rPr>
        <w:t>Lu PSMA-617 products</w:t>
      </w:r>
      <w:r w:rsidR="004404E8" w:rsidRPr="00B67287">
        <w:rPr>
          <w:rFonts w:ascii="Franklin Gothic Book" w:hAnsi="Franklin Gothic Book" w:cs="Calibri"/>
          <w:sz w:val="22"/>
          <w:szCs w:val="22"/>
        </w:rPr>
        <w:t xml:space="preserve">. MSAC noted the </w:t>
      </w:r>
      <w:r w:rsidRPr="00B67287">
        <w:rPr>
          <w:rFonts w:ascii="Franklin Gothic Book" w:hAnsi="Franklin Gothic Book" w:cs="Calibri"/>
          <w:sz w:val="22"/>
          <w:szCs w:val="22"/>
        </w:rPr>
        <w:t xml:space="preserve">limitations in the evidence </w:t>
      </w:r>
      <w:r w:rsidR="00CA77FE" w:rsidRPr="00B67287">
        <w:rPr>
          <w:rFonts w:ascii="Franklin Gothic Book" w:hAnsi="Franklin Gothic Book" w:cs="Calibri"/>
          <w:sz w:val="22"/>
          <w:szCs w:val="22"/>
        </w:rPr>
        <w:t xml:space="preserve">base </w:t>
      </w:r>
      <w:r w:rsidR="00AE68E6" w:rsidRPr="00B67287">
        <w:rPr>
          <w:rFonts w:ascii="Franklin Gothic Book" w:hAnsi="Franklin Gothic Book" w:cs="Calibri"/>
          <w:sz w:val="22"/>
          <w:szCs w:val="22"/>
        </w:rPr>
        <w:t xml:space="preserve">but </w:t>
      </w:r>
      <w:r w:rsidRPr="00B67287">
        <w:rPr>
          <w:rFonts w:ascii="Franklin Gothic Book" w:hAnsi="Franklin Gothic Book" w:cs="Calibri"/>
          <w:sz w:val="22"/>
          <w:szCs w:val="22"/>
        </w:rPr>
        <w:t xml:space="preserve">concluded that the two products are mutually noninferior and thus considered the evidence for </w:t>
      </w:r>
      <w:r w:rsidRPr="00B67287">
        <w:rPr>
          <w:rFonts w:ascii="Franklin Gothic Book" w:hAnsi="Franklin Gothic Book" w:cs="Calibri"/>
          <w:sz w:val="22"/>
          <w:szCs w:val="22"/>
          <w:vertAlign w:val="superscript"/>
        </w:rPr>
        <w:t>177</w:t>
      </w:r>
      <w:r w:rsidRPr="00B67287">
        <w:rPr>
          <w:rFonts w:ascii="Franklin Gothic Book" w:hAnsi="Franklin Gothic Book" w:cs="Calibri"/>
          <w:sz w:val="22"/>
          <w:szCs w:val="22"/>
        </w:rPr>
        <w:t xml:space="preserve">Lu PSMA-617 to be relevant for </w:t>
      </w:r>
      <w:r w:rsidRPr="00B67287">
        <w:rPr>
          <w:rFonts w:ascii="Franklin Gothic Book" w:hAnsi="Franklin Gothic Book" w:cs="Calibri"/>
          <w:sz w:val="22"/>
          <w:szCs w:val="22"/>
          <w:vertAlign w:val="superscript"/>
        </w:rPr>
        <w:t>177</w:t>
      </w:r>
      <w:r w:rsidRPr="00B67287">
        <w:rPr>
          <w:rFonts w:ascii="Franklin Gothic Book" w:hAnsi="Franklin Gothic Book" w:cs="Calibri"/>
          <w:sz w:val="22"/>
          <w:szCs w:val="22"/>
        </w:rPr>
        <w:t>Lu PSMA </w:t>
      </w:r>
      <w:proofErr w:type="spellStart"/>
      <w:r w:rsidRPr="00B67287">
        <w:rPr>
          <w:rFonts w:ascii="Franklin Gothic Book" w:hAnsi="Franklin Gothic Book" w:cs="Calibri"/>
          <w:sz w:val="22"/>
          <w:szCs w:val="22"/>
        </w:rPr>
        <w:t>i&amp;t</w:t>
      </w:r>
      <w:proofErr w:type="spellEnd"/>
      <w:r w:rsidRPr="00B67287">
        <w:rPr>
          <w:rFonts w:ascii="Franklin Gothic Book" w:hAnsi="Franklin Gothic Book" w:cs="Calibri"/>
          <w:sz w:val="22"/>
          <w:szCs w:val="22"/>
        </w:rPr>
        <w:t>. Thus</w:t>
      </w:r>
      <w:r>
        <w:rPr>
          <w:rFonts w:ascii="Franklin Gothic Book" w:hAnsi="Franklin Gothic Book" w:cs="Calibri"/>
          <w:sz w:val="22"/>
          <w:szCs w:val="22"/>
        </w:rPr>
        <w:t>, MSAC</w:t>
      </w:r>
      <w:r>
        <w:t xml:space="preserve"> </w:t>
      </w:r>
      <w:r w:rsidRPr="009356D8">
        <w:rPr>
          <w:rFonts w:ascii="Franklin Gothic Book" w:hAnsi="Franklin Gothic Book" w:cs="Calibri"/>
          <w:sz w:val="22"/>
          <w:szCs w:val="22"/>
        </w:rPr>
        <w:t xml:space="preserve">accepted the evidence that </w:t>
      </w:r>
      <w:r w:rsidRPr="00D227B0">
        <w:rPr>
          <w:rFonts w:ascii="Franklin Gothic Book" w:hAnsi="Franklin Gothic Book" w:cs="Calibri"/>
          <w:sz w:val="22"/>
          <w:szCs w:val="22"/>
          <w:vertAlign w:val="superscript"/>
        </w:rPr>
        <w:t>177</w:t>
      </w:r>
      <w:r w:rsidRPr="006976CB">
        <w:rPr>
          <w:rFonts w:ascii="Franklin Gothic Book" w:hAnsi="Franklin Gothic Book" w:cs="Calibri"/>
          <w:sz w:val="22"/>
          <w:szCs w:val="22"/>
        </w:rPr>
        <w:t>Lu</w:t>
      </w:r>
      <w:r w:rsidR="009876B9" w:rsidRPr="00D227B0">
        <w:rPr>
          <w:rFonts w:ascii="Franklin Gothic Book" w:hAnsi="Franklin Gothic Book" w:cs="Calibri"/>
          <w:sz w:val="22"/>
          <w:szCs w:val="22"/>
        </w:rPr>
        <w:t> </w:t>
      </w:r>
      <w:r w:rsidRPr="006976CB">
        <w:rPr>
          <w:rFonts w:ascii="Franklin Gothic Book" w:hAnsi="Franklin Gothic Book" w:cs="Calibri"/>
          <w:sz w:val="22"/>
          <w:szCs w:val="22"/>
        </w:rPr>
        <w:t>PSMA</w:t>
      </w:r>
      <w:r w:rsidR="006976CB">
        <w:rPr>
          <w:rFonts w:ascii="Franklin Gothic Book" w:hAnsi="Franklin Gothic Book" w:cs="Calibri"/>
          <w:sz w:val="22"/>
          <w:szCs w:val="22"/>
        </w:rPr>
        <w:t> </w:t>
      </w:r>
      <w:proofErr w:type="spellStart"/>
      <w:r w:rsidRPr="006976CB">
        <w:rPr>
          <w:rFonts w:ascii="Franklin Gothic Book" w:hAnsi="Franklin Gothic Book" w:cs="Calibri"/>
          <w:sz w:val="22"/>
          <w:szCs w:val="22"/>
        </w:rPr>
        <w:t>i&amp;t</w:t>
      </w:r>
      <w:proofErr w:type="spellEnd"/>
      <w:r w:rsidRPr="009356D8">
        <w:rPr>
          <w:rFonts w:ascii="Franklin Gothic Book" w:hAnsi="Franklin Gothic Book" w:cs="Calibri"/>
          <w:sz w:val="22"/>
          <w:szCs w:val="22"/>
        </w:rPr>
        <w:t xml:space="preserve"> therapy is acceptably safe and effective</w:t>
      </w:r>
      <w:r>
        <w:rPr>
          <w:rFonts w:ascii="Franklin Gothic Book" w:hAnsi="Franklin Gothic Book" w:cs="Calibri"/>
          <w:sz w:val="22"/>
          <w:szCs w:val="22"/>
        </w:rPr>
        <w:t xml:space="preserve"> but continued to have concerns that the incremental cost-effectiveness ratio</w:t>
      </w:r>
      <w:r w:rsidR="00BA7206">
        <w:rPr>
          <w:rFonts w:ascii="Franklin Gothic Book" w:hAnsi="Franklin Gothic Book" w:cs="Calibri"/>
          <w:sz w:val="22"/>
          <w:szCs w:val="22"/>
        </w:rPr>
        <w:t xml:space="preserve"> (ICER)</w:t>
      </w:r>
      <w:r>
        <w:rPr>
          <w:rFonts w:ascii="Franklin Gothic Book" w:hAnsi="Franklin Gothic Book" w:cs="Calibri"/>
          <w:sz w:val="22"/>
          <w:szCs w:val="22"/>
        </w:rPr>
        <w:t xml:space="preserve"> was too high and uncertain</w:t>
      </w:r>
      <w:r w:rsidR="00D9023A">
        <w:rPr>
          <w:rFonts w:ascii="Franklin Gothic Book" w:hAnsi="Franklin Gothic Book" w:cs="Calibri"/>
          <w:sz w:val="22"/>
          <w:szCs w:val="22"/>
        </w:rPr>
        <w:t>.</w:t>
      </w:r>
      <w:r>
        <w:rPr>
          <w:rFonts w:ascii="Franklin Gothic Book" w:hAnsi="Franklin Gothic Book" w:cs="Calibri"/>
          <w:sz w:val="22"/>
          <w:szCs w:val="22"/>
        </w:rPr>
        <w:t xml:space="preserve"> </w:t>
      </w:r>
      <w:r w:rsidR="00D9023A">
        <w:rPr>
          <w:rFonts w:ascii="Franklin Gothic Book" w:hAnsi="Franklin Gothic Book" w:cs="Calibri"/>
          <w:sz w:val="22"/>
          <w:szCs w:val="22"/>
        </w:rPr>
        <w:t xml:space="preserve">MSAC </w:t>
      </w:r>
      <w:r w:rsidR="00DA103F">
        <w:rPr>
          <w:rFonts w:ascii="Franklin Gothic Book" w:hAnsi="Franklin Gothic Book" w:cs="Calibri"/>
          <w:sz w:val="22"/>
          <w:szCs w:val="22"/>
        </w:rPr>
        <w:t>noted that the</w:t>
      </w:r>
      <w:r>
        <w:rPr>
          <w:rFonts w:ascii="Franklin Gothic Book" w:hAnsi="Franklin Gothic Book" w:cs="Calibri"/>
          <w:sz w:val="22"/>
          <w:szCs w:val="22"/>
        </w:rPr>
        <w:t xml:space="preserve"> proposed two-step approach to treatment</w:t>
      </w:r>
      <w:r w:rsidR="00DA103F">
        <w:rPr>
          <w:rFonts w:ascii="Franklin Gothic Book" w:hAnsi="Franklin Gothic Book" w:cs="Calibri"/>
          <w:sz w:val="22"/>
          <w:szCs w:val="22"/>
        </w:rPr>
        <w:t xml:space="preserve"> was not captured by the structure of the model</w:t>
      </w:r>
      <w:r>
        <w:rPr>
          <w:rFonts w:ascii="Franklin Gothic Book" w:hAnsi="Franklin Gothic Book" w:cs="Calibri"/>
          <w:sz w:val="22"/>
          <w:szCs w:val="22"/>
        </w:rPr>
        <w:t>. MSAC also considered that the financial impact was underestimated.</w:t>
      </w:r>
    </w:p>
    <w:p w14:paraId="2A38D24D" w14:textId="25C94B71" w:rsidR="00F723DD" w:rsidRDefault="00F723DD" w:rsidP="008E179C">
      <w:pPr>
        <w:pStyle w:val="NormalWeb"/>
        <w:spacing w:before="240" w:beforeAutospacing="0" w:after="0" w:afterAutospacing="0" w:line="259" w:lineRule="auto"/>
        <w:rPr>
          <w:rFonts w:ascii="Franklin Gothic Book" w:hAnsi="Franklin Gothic Book" w:cs="Calibri"/>
          <w:sz w:val="22"/>
          <w:szCs w:val="22"/>
        </w:rPr>
      </w:pPr>
      <w:r w:rsidRPr="4588BBB6">
        <w:rPr>
          <w:rFonts w:ascii="Franklin Gothic Book" w:hAnsi="Franklin Gothic Book" w:cs="Calibri"/>
          <w:sz w:val="22"/>
          <w:szCs w:val="22"/>
        </w:rPr>
        <w:t xml:space="preserve">MSAC deferred its advice and requested that a revised economic evaluation be conducted with the model structure corrected to capture the two-step approach to treatment proposed in the </w:t>
      </w:r>
      <w:r w:rsidRPr="4588BBB6">
        <w:rPr>
          <w:rFonts w:ascii="Franklin Gothic Book" w:hAnsi="Franklin Gothic Book" w:cs="Calibri"/>
          <w:sz w:val="22"/>
          <w:szCs w:val="22"/>
        </w:rPr>
        <w:lastRenderedPageBreak/>
        <w:t>MBS items</w:t>
      </w:r>
      <w:r>
        <w:rPr>
          <w:rFonts w:ascii="Franklin Gothic Book" w:hAnsi="Franklin Gothic Book" w:cs="Calibri"/>
          <w:sz w:val="22"/>
          <w:szCs w:val="22"/>
        </w:rPr>
        <w:t xml:space="preserve"> and </w:t>
      </w:r>
      <w:r w:rsidR="00C6265D" w:rsidRPr="00C6265D">
        <w:rPr>
          <w:rFonts w:ascii="Franklin Gothic Book" w:hAnsi="Franklin Gothic Book" w:cs="Calibri"/>
          <w:sz w:val="22"/>
          <w:szCs w:val="22"/>
        </w:rPr>
        <w:t>reduce the uncertainty created in the model by the patient-level data from different trials in the same model</w:t>
      </w:r>
      <w:r w:rsidR="00117E9D">
        <w:rPr>
          <w:rFonts w:ascii="Franklin Gothic Book" w:hAnsi="Franklin Gothic Book" w:cs="Calibri"/>
          <w:sz w:val="22"/>
          <w:szCs w:val="22"/>
        </w:rPr>
        <w:t xml:space="preserve"> </w:t>
      </w:r>
      <w:r>
        <w:rPr>
          <w:rFonts w:ascii="Franklin Gothic Book" w:hAnsi="Franklin Gothic Book" w:cs="Calibri"/>
          <w:sz w:val="22"/>
          <w:szCs w:val="22"/>
        </w:rPr>
        <w:t>for determination of PFS benefits and costs</w:t>
      </w:r>
      <w:r w:rsidR="00117E9D">
        <w:rPr>
          <w:rFonts w:ascii="Franklin Gothic Book" w:hAnsi="Franklin Gothic Book" w:cs="Calibri"/>
          <w:sz w:val="22"/>
          <w:szCs w:val="22"/>
        </w:rPr>
        <w:t xml:space="preserve"> associated with the intervention</w:t>
      </w:r>
      <w:r w:rsidRPr="22552169">
        <w:rPr>
          <w:rFonts w:ascii="Franklin Gothic Book" w:hAnsi="Franklin Gothic Book" w:cs="Calibri"/>
          <w:sz w:val="22"/>
          <w:szCs w:val="22"/>
        </w:rPr>
        <w:t>.</w:t>
      </w:r>
      <w:r w:rsidRPr="4588BBB6">
        <w:rPr>
          <w:rFonts w:ascii="Franklin Gothic Book" w:hAnsi="Franklin Gothic Book" w:cs="Calibri"/>
          <w:sz w:val="22"/>
          <w:szCs w:val="22"/>
        </w:rPr>
        <w:t xml:space="preserve"> </w:t>
      </w:r>
      <w:r>
        <w:rPr>
          <w:rFonts w:ascii="Franklin Gothic Book" w:hAnsi="Franklin Gothic Book" w:cs="Calibri"/>
          <w:sz w:val="22"/>
          <w:szCs w:val="22"/>
        </w:rPr>
        <w:t xml:space="preserve">In addition, MSAC requested </w:t>
      </w:r>
      <w:r w:rsidRPr="4588BBB6">
        <w:rPr>
          <w:rFonts w:ascii="Franklin Gothic Book" w:hAnsi="Franklin Gothic Book" w:cs="Calibri"/>
          <w:sz w:val="22"/>
          <w:szCs w:val="22"/>
        </w:rPr>
        <w:t>better justification</w:t>
      </w:r>
      <w:r w:rsidR="00442A79">
        <w:rPr>
          <w:rFonts w:ascii="Franklin Gothic Book" w:hAnsi="Franklin Gothic Book" w:cs="Calibri"/>
          <w:sz w:val="22"/>
          <w:szCs w:val="22"/>
        </w:rPr>
        <w:t xml:space="preserve"> (or removal)</w:t>
      </w:r>
      <w:r w:rsidRPr="4588BBB6">
        <w:rPr>
          <w:rFonts w:ascii="Franklin Gothic Book" w:hAnsi="Franklin Gothic Book" w:cs="Calibri"/>
          <w:sz w:val="22"/>
          <w:szCs w:val="22"/>
        </w:rPr>
        <w:t xml:space="preserve"> </w:t>
      </w:r>
      <w:r w:rsidR="00442A79">
        <w:rPr>
          <w:rFonts w:ascii="Franklin Gothic Book" w:hAnsi="Franklin Gothic Book" w:cs="Calibri"/>
          <w:sz w:val="22"/>
          <w:szCs w:val="22"/>
        </w:rPr>
        <w:t>of</w:t>
      </w:r>
      <w:r w:rsidR="00442A79" w:rsidRPr="4588BBB6">
        <w:rPr>
          <w:rFonts w:ascii="Franklin Gothic Book" w:hAnsi="Franklin Gothic Book" w:cs="Calibri"/>
          <w:sz w:val="22"/>
          <w:szCs w:val="22"/>
        </w:rPr>
        <w:t xml:space="preserve"> </w:t>
      </w:r>
      <w:r w:rsidRPr="4588BBB6">
        <w:rPr>
          <w:rFonts w:ascii="Franklin Gothic Book" w:hAnsi="Franklin Gothic Book" w:cs="Calibri"/>
          <w:sz w:val="22"/>
          <w:szCs w:val="22"/>
        </w:rPr>
        <w:t>the selected treatment specific utility weights.</w:t>
      </w:r>
    </w:p>
    <w:p w14:paraId="059632C2" w14:textId="1E314E94" w:rsidR="00C7462B" w:rsidRPr="008E179C" w:rsidRDefault="00F723DD" w:rsidP="008E179C">
      <w:pPr>
        <w:pStyle w:val="NormalWeb"/>
        <w:spacing w:before="240" w:beforeAutospacing="0" w:after="240" w:afterAutospacing="0"/>
        <w:rPr>
          <w:rFonts w:ascii="Franklin Gothic Book" w:hAnsi="Franklin Gothic Book" w:cs="Calibri"/>
          <w:sz w:val="22"/>
          <w:szCs w:val="22"/>
        </w:rPr>
      </w:pPr>
      <w:r w:rsidRPr="008E179C">
        <w:rPr>
          <w:rFonts w:ascii="Franklin Gothic Book" w:hAnsi="Franklin Gothic Book" w:cs="Calibri"/>
          <w:sz w:val="22"/>
          <w:szCs w:val="22"/>
        </w:rPr>
        <w:t xml:space="preserve">MSAC noted </w:t>
      </w:r>
      <w:r w:rsidR="000A14FE" w:rsidRPr="008E179C">
        <w:rPr>
          <w:rFonts w:ascii="Franklin Gothic Book" w:hAnsi="Franklin Gothic Book" w:cs="Calibri"/>
          <w:sz w:val="22"/>
          <w:szCs w:val="22"/>
        </w:rPr>
        <w:t xml:space="preserve">the </w:t>
      </w:r>
      <w:r w:rsidRPr="008E179C">
        <w:rPr>
          <w:rFonts w:ascii="Franklin Gothic Book" w:hAnsi="Franklin Gothic Book" w:cs="Calibri"/>
          <w:sz w:val="22"/>
          <w:szCs w:val="22"/>
        </w:rPr>
        <w:t>patent related issues raised during the consultation process</w:t>
      </w:r>
      <w:r w:rsidR="000A14FE" w:rsidRPr="008E179C">
        <w:rPr>
          <w:rFonts w:ascii="Franklin Gothic Book" w:hAnsi="Franklin Gothic Book" w:cs="Calibri"/>
          <w:sz w:val="22"/>
          <w:szCs w:val="22"/>
        </w:rPr>
        <w:t xml:space="preserve">. MSAC </w:t>
      </w:r>
      <w:r w:rsidR="00CD65F6" w:rsidRPr="008E179C">
        <w:rPr>
          <w:rFonts w:ascii="Franklin Gothic Book" w:hAnsi="Franklin Gothic Book" w:cs="Calibri"/>
          <w:sz w:val="22"/>
          <w:szCs w:val="22"/>
        </w:rPr>
        <w:t xml:space="preserve">referred to its </w:t>
      </w:r>
      <w:r w:rsidR="0026224C" w:rsidRPr="008E179C">
        <w:rPr>
          <w:rFonts w:ascii="Franklin Gothic Book" w:hAnsi="Franklin Gothic Book" w:cs="Calibri"/>
          <w:sz w:val="22"/>
          <w:szCs w:val="22"/>
        </w:rPr>
        <w:t>Terms of Reference</w:t>
      </w:r>
      <w:r w:rsidR="00CD65F6" w:rsidRPr="008E179C">
        <w:rPr>
          <w:rFonts w:ascii="Franklin Gothic Book" w:hAnsi="Franklin Gothic Book" w:cs="Calibri"/>
          <w:sz w:val="22"/>
          <w:szCs w:val="22"/>
        </w:rPr>
        <w:t xml:space="preserve"> </w:t>
      </w:r>
      <w:r w:rsidR="00B27B7F" w:rsidRPr="008E179C">
        <w:rPr>
          <w:rFonts w:ascii="Franklin Gothic Book" w:hAnsi="Franklin Gothic Book" w:cs="Calibri"/>
          <w:sz w:val="22"/>
          <w:szCs w:val="22"/>
        </w:rPr>
        <w:t xml:space="preserve">in concluding that patent related matters </w:t>
      </w:r>
      <w:r w:rsidRPr="008E179C">
        <w:rPr>
          <w:rFonts w:ascii="Franklin Gothic Book" w:hAnsi="Franklin Gothic Book" w:cs="Calibri"/>
          <w:sz w:val="22"/>
          <w:szCs w:val="22"/>
        </w:rPr>
        <w:t>would require consideration</w:t>
      </w:r>
      <w:r w:rsidR="00C53662" w:rsidRPr="008E179C">
        <w:rPr>
          <w:rFonts w:ascii="Franklin Gothic Book" w:hAnsi="Franklin Gothic Book" w:cs="Calibri"/>
          <w:sz w:val="22"/>
          <w:szCs w:val="22"/>
        </w:rPr>
        <w:t xml:space="preserve"> by government</w:t>
      </w:r>
      <w:r w:rsidRPr="008E179C">
        <w:rPr>
          <w:rFonts w:ascii="Franklin Gothic Book" w:hAnsi="Franklin Gothic Book" w:cs="Calibri"/>
          <w:sz w:val="22"/>
          <w:szCs w:val="22"/>
        </w:rPr>
        <w:t xml:space="preserve"> prior to </w:t>
      </w:r>
      <w:r w:rsidR="00E566DC" w:rsidRPr="008E179C">
        <w:rPr>
          <w:rFonts w:ascii="Franklin Gothic Book" w:hAnsi="Franklin Gothic Book" w:cs="Calibri"/>
          <w:sz w:val="22"/>
          <w:szCs w:val="22"/>
        </w:rPr>
        <w:t xml:space="preserve">the listing of any MBS items </w:t>
      </w:r>
      <w:proofErr w:type="gramStart"/>
      <w:r w:rsidR="00E566DC" w:rsidRPr="008E179C">
        <w:rPr>
          <w:rFonts w:ascii="Franklin Gothic Book" w:hAnsi="Franklin Gothic Book" w:cs="Calibri"/>
          <w:sz w:val="22"/>
          <w:szCs w:val="22"/>
        </w:rPr>
        <w:t>as a result of</w:t>
      </w:r>
      <w:proofErr w:type="gramEnd"/>
      <w:r w:rsidR="00E566DC" w:rsidRPr="008E179C">
        <w:rPr>
          <w:rFonts w:ascii="Franklin Gothic Book" w:hAnsi="Franklin Gothic Book" w:cs="Calibri"/>
          <w:sz w:val="22"/>
          <w:szCs w:val="22"/>
        </w:rPr>
        <w:t xml:space="preserve"> this application</w:t>
      </w:r>
      <w:r w:rsidR="008D5F27" w:rsidRPr="008E179C">
        <w:rPr>
          <w:rFonts w:ascii="Franklin Gothic Book" w:hAnsi="Franklin Gothic Book" w:cs="Calibri"/>
          <w:sz w:val="22"/>
          <w:szCs w:val="22"/>
        </w:rPr>
        <w:t xml:space="preserve"> (if </w:t>
      </w:r>
      <w:r w:rsidR="00562526" w:rsidRPr="008E179C">
        <w:rPr>
          <w:rFonts w:ascii="Franklin Gothic Book" w:hAnsi="Franklin Gothic Book" w:cs="Calibri"/>
          <w:sz w:val="22"/>
          <w:szCs w:val="22"/>
        </w:rPr>
        <w:t xml:space="preserve">subsequently </w:t>
      </w:r>
      <w:r w:rsidR="008D5F27" w:rsidRPr="008E179C">
        <w:rPr>
          <w:rFonts w:ascii="Franklin Gothic Book" w:hAnsi="Franklin Gothic Book" w:cs="Calibri"/>
          <w:sz w:val="22"/>
          <w:szCs w:val="22"/>
        </w:rPr>
        <w:t>supported)</w:t>
      </w:r>
      <w:r w:rsidRPr="008E179C">
        <w:rPr>
          <w:rFonts w:ascii="Franklin Gothic Book" w:hAnsi="Franklin Gothic Book" w:cs="Calibri"/>
          <w:sz w:val="22"/>
          <w:szCs w:val="22"/>
        </w:rPr>
        <w:t>.</w:t>
      </w:r>
      <w:bookmarkEnd w:id="3"/>
    </w:p>
    <w:tbl>
      <w:tblPr>
        <w:tblStyle w:val="TableGrid"/>
        <w:tblW w:w="0" w:type="auto"/>
        <w:tblLook w:val="04A0" w:firstRow="1" w:lastRow="0" w:firstColumn="1" w:lastColumn="0" w:noHBand="0" w:noVBand="1"/>
        <w:tblDescription w:val="Consumer summary of MSAC consideration"/>
      </w:tblPr>
      <w:tblGrid>
        <w:gridCol w:w="9016"/>
      </w:tblGrid>
      <w:tr w:rsidR="00C7462B" w:rsidRPr="00AF46D8" w14:paraId="427B7DE8" w14:textId="77777777">
        <w:trPr>
          <w:tblHeader/>
        </w:trPr>
        <w:tc>
          <w:tcPr>
            <w:tcW w:w="9016" w:type="dxa"/>
          </w:tcPr>
          <w:p w14:paraId="6E25FD83" w14:textId="77777777" w:rsidR="00C7462B" w:rsidRPr="00AF46D8" w:rsidRDefault="00C7462B">
            <w:pPr>
              <w:pStyle w:val="Heading3"/>
              <w:spacing w:before="120"/>
              <w:ind w:left="720" w:hanging="720"/>
              <w:rPr>
                <w:iCs/>
              </w:rPr>
            </w:pPr>
            <w:r w:rsidRPr="00AF46D8">
              <w:t>Consumer summary</w:t>
            </w:r>
          </w:p>
        </w:tc>
      </w:tr>
      <w:tr w:rsidR="00C7462B" w:rsidRPr="00AF46D8" w14:paraId="7223E829" w14:textId="77777777">
        <w:tc>
          <w:tcPr>
            <w:tcW w:w="9016" w:type="dxa"/>
          </w:tcPr>
          <w:p w14:paraId="6DBF38D3" w14:textId="44361C3D" w:rsidR="002E04D8" w:rsidRDefault="002E04D8" w:rsidP="002E04D8">
            <w:r w:rsidRPr="00AF46D8">
              <w:t xml:space="preserve">This </w:t>
            </w:r>
            <w:r w:rsidR="00C07764">
              <w:t xml:space="preserve">is the second </w:t>
            </w:r>
            <w:r w:rsidRPr="00AF46D8">
              <w:t>application</w:t>
            </w:r>
            <w:r w:rsidR="00D27E7B">
              <w:t xml:space="preserve"> (resubmission)</w:t>
            </w:r>
            <w:r w:rsidRPr="00AF46D8">
              <w:t xml:space="preserve"> from </w:t>
            </w:r>
            <w:r>
              <w:t>a group of academic specialists, co-sponsored by the Australasian Association of Nuclear Medicine,</w:t>
            </w:r>
            <w:r w:rsidRPr="00AF46D8">
              <w:t xml:space="preserve"> requesting Medicare Benefits Schedule (MBS) listing of</w:t>
            </w:r>
            <w:r>
              <w:t xml:space="preserve"> </w:t>
            </w:r>
            <w:r w:rsidRPr="001E6641">
              <w:rPr>
                <w:vertAlign w:val="superscript"/>
              </w:rPr>
              <w:t>177</w:t>
            </w:r>
            <w:r>
              <w:t>Lutetium prostate-specific membrane antigen (</w:t>
            </w:r>
            <w:r w:rsidRPr="00075475">
              <w:rPr>
                <w:vertAlign w:val="superscript"/>
              </w:rPr>
              <w:t>177</w:t>
            </w:r>
            <w:r w:rsidRPr="00075475">
              <w:t>Lu</w:t>
            </w:r>
            <w:r w:rsidR="00466A1E" w:rsidRPr="00075475">
              <w:t>-</w:t>
            </w:r>
            <w:r w:rsidRPr="00075475">
              <w:t>PSMA</w:t>
            </w:r>
            <w:r>
              <w:t>) therapy to treat patients with metastatic castrate-resistant prostate cancer. Also requested is MBS listing of whole-body prostate-specific membrane antigen (PSMA) positron emission tomography (PET)/computerised tomography (CT), which will be used to determine treatment eligibility. This is the second time that MSAC has considered this application.</w:t>
            </w:r>
          </w:p>
          <w:p w14:paraId="5BF3D895" w14:textId="77777777" w:rsidR="002E04D8" w:rsidRDefault="002E04D8" w:rsidP="002E04D8">
            <w:r>
              <w:t>Metastatic castrate-resistant prostate cancer is a type of advanced prostate cancer that has spread to other parts of the body. In Australia, 3,000 men die each year from this cancer.</w:t>
            </w:r>
          </w:p>
          <w:p w14:paraId="1EB64525" w14:textId="5169438F" w:rsidR="00D27E7B" w:rsidRDefault="00451C4B" w:rsidP="002E04D8">
            <w:r>
              <w:t>Some</w:t>
            </w:r>
            <w:r w:rsidR="00D065D9">
              <w:t xml:space="preserve"> prostate cancer cells </w:t>
            </w:r>
            <w:r w:rsidR="002E0107">
              <w:t>contain</w:t>
            </w:r>
            <w:r w:rsidR="00DF6BFC">
              <w:t xml:space="preserve"> a </w:t>
            </w:r>
            <w:r w:rsidR="0046269F">
              <w:t xml:space="preserve">protein </w:t>
            </w:r>
            <w:r w:rsidR="002E0107">
              <w:t>called Prostate Specific Membrane Antigen (PSMA)</w:t>
            </w:r>
            <w:r w:rsidR="00266818">
              <w:t>, which can be detected by a</w:t>
            </w:r>
            <w:r w:rsidR="00CC4CA4">
              <w:t xml:space="preserve"> special type of scan called </w:t>
            </w:r>
            <w:r w:rsidR="009F5653">
              <w:t>a PET/CT scan</w:t>
            </w:r>
            <w:r w:rsidR="005C0891">
              <w:t xml:space="preserve">. </w:t>
            </w:r>
            <w:r w:rsidR="0033002E">
              <w:t>The scan is of the whole body.</w:t>
            </w:r>
            <w:r w:rsidR="005C0891">
              <w:t xml:space="preserve"> </w:t>
            </w:r>
            <w:r w:rsidR="004E46E3">
              <w:t xml:space="preserve">If </w:t>
            </w:r>
            <w:r w:rsidR="006B019C">
              <w:t>patient’s</w:t>
            </w:r>
            <w:r w:rsidR="004C1A78">
              <w:t xml:space="preserve"> prostate cancers cells are found to have high levels of PSMA, then they may be eligible for </w:t>
            </w:r>
            <w:r w:rsidR="00E73029">
              <w:t xml:space="preserve">a </w:t>
            </w:r>
            <w:r w:rsidR="00D1472B">
              <w:t>new</w:t>
            </w:r>
            <w:r w:rsidR="004C1A78">
              <w:t xml:space="preserve"> </w:t>
            </w:r>
            <w:r w:rsidR="00BC1159">
              <w:t>therapy</w:t>
            </w:r>
            <w:r w:rsidR="0033264A">
              <w:t xml:space="preserve"> that targets the cells </w:t>
            </w:r>
            <w:r w:rsidR="00AF72D8">
              <w:t xml:space="preserve">that contain PSMA. </w:t>
            </w:r>
            <w:r w:rsidR="00BC1159">
              <w:t xml:space="preserve">The new therapy is </w:t>
            </w:r>
            <w:r w:rsidR="002E04D8">
              <w:t xml:space="preserve">called PSMA-targeted radionuclide therapy. </w:t>
            </w:r>
            <w:r w:rsidR="00BC1159">
              <w:t xml:space="preserve">It is for patients with metastatic resistant prostate cancer </w:t>
            </w:r>
            <w:r w:rsidR="001354C6">
              <w:t>that has not responded to standard treatments.</w:t>
            </w:r>
            <w:r w:rsidR="007756AB">
              <w:t xml:space="preserve"> </w:t>
            </w:r>
            <w:r w:rsidR="002E04D8">
              <w:t>This</w:t>
            </w:r>
            <w:r w:rsidR="00406FFE">
              <w:t xml:space="preserve"> new</w:t>
            </w:r>
            <w:r w:rsidR="002E04D8">
              <w:t xml:space="preserve"> therapy uses a radioactive chemical (</w:t>
            </w:r>
            <w:r w:rsidR="00D06E13">
              <w:t xml:space="preserve">also </w:t>
            </w:r>
            <w:proofErr w:type="spellStart"/>
            <w:r w:rsidR="00D06E13">
              <w:t>know</w:t>
            </w:r>
            <w:proofErr w:type="spellEnd"/>
            <w:r w:rsidR="00D06E13">
              <w:t xml:space="preserve"> as </w:t>
            </w:r>
            <w:r w:rsidR="002E04D8">
              <w:t>a radionuclide)</w:t>
            </w:r>
            <w:r w:rsidR="00D06E13">
              <w:t>, called Lutetium. The Lutetiu</w:t>
            </w:r>
            <w:r w:rsidR="00F503E5">
              <w:t>m</w:t>
            </w:r>
            <w:r w:rsidR="00D06E13">
              <w:t xml:space="preserve"> </w:t>
            </w:r>
            <w:r w:rsidR="002E04D8">
              <w:t xml:space="preserve">is </w:t>
            </w:r>
            <w:r w:rsidR="00D06E13">
              <w:t>connected</w:t>
            </w:r>
            <w:r w:rsidR="002E04D8">
              <w:t xml:space="preserve"> to a molecule that </w:t>
            </w:r>
            <w:r w:rsidR="00F503E5">
              <w:t xml:space="preserve">fits into </w:t>
            </w:r>
            <w:r w:rsidR="002E04D8">
              <w:t xml:space="preserve">the PSMA receptor on prostate cancer cells. When the molecule </w:t>
            </w:r>
            <w:r w:rsidR="00FE379C">
              <w:t>attaches</w:t>
            </w:r>
            <w:r w:rsidR="002E04D8">
              <w:t xml:space="preserve"> to the PSMA receptor, the radioactive chemical can enter the prostate cancer cell and kill it. </w:t>
            </w:r>
            <w:r w:rsidR="002E04D8" w:rsidRPr="00D90DC4">
              <w:rPr>
                <w:vertAlign w:val="superscript"/>
              </w:rPr>
              <w:t>177</w:t>
            </w:r>
            <w:r w:rsidR="002E04D8">
              <w:t>Lu</w:t>
            </w:r>
            <w:r w:rsidR="00BC2D55">
              <w:t> </w:t>
            </w:r>
            <w:r w:rsidR="002E04D8">
              <w:t>PSMA</w:t>
            </w:r>
            <w:r w:rsidR="00BC2D55">
              <w:t> </w:t>
            </w:r>
            <w:proofErr w:type="spellStart"/>
            <w:r w:rsidR="00BC2D55">
              <w:t>i&amp;t</w:t>
            </w:r>
            <w:proofErr w:type="spellEnd"/>
            <w:r w:rsidR="002E04D8">
              <w:t xml:space="preserve"> is a type of PSMA-targeted radionuclide therapy. </w:t>
            </w:r>
          </w:p>
          <w:p w14:paraId="34C8B58E" w14:textId="3CC55B56" w:rsidR="002E04D8" w:rsidRDefault="00EE2CF9" w:rsidP="002E04D8">
            <w:r>
              <w:t>A</w:t>
            </w:r>
            <w:r w:rsidR="00A742AF">
              <w:t xml:space="preserve"> new </w:t>
            </w:r>
            <w:r w:rsidR="009B437B">
              <w:t>two-step approach to</w:t>
            </w:r>
            <w:r w:rsidR="003401A4">
              <w:t xml:space="preserve"> </w:t>
            </w:r>
            <w:r w:rsidR="00D27E7B" w:rsidRPr="00EA750D">
              <w:rPr>
                <w:vertAlign w:val="superscript"/>
              </w:rPr>
              <w:t>177</w:t>
            </w:r>
            <w:r w:rsidR="00D27E7B">
              <w:t>Lu PSMA</w:t>
            </w:r>
            <w:r w:rsidR="00AF02BA">
              <w:t> </w:t>
            </w:r>
            <w:proofErr w:type="spellStart"/>
            <w:r w:rsidR="00AF02BA">
              <w:t>i&amp;t</w:t>
            </w:r>
            <w:proofErr w:type="spellEnd"/>
            <w:r w:rsidR="00D27E7B">
              <w:t xml:space="preserve"> therapy</w:t>
            </w:r>
            <w:r w:rsidR="0099001D">
              <w:t xml:space="preserve"> (referred to as </w:t>
            </w:r>
            <w:r w:rsidR="00151E97">
              <w:rPr>
                <w:vertAlign w:val="superscript"/>
              </w:rPr>
              <w:t>177</w:t>
            </w:r>
            <w:r w:rsidR="00151E97">
              <w:t>Lu-PSMA in proposed MBS items)</w:t>
            </w:r>
            <w:r w:rsidR="00D27E7B">
              <w:t xml:space="preserve"> </w:t>
            </w:r>
            <w:r w:rsidR="009B437B">
              <w:t>was proposed</w:t>
            </w:r>
            <w:r>
              <w:t xml:space="preserve"> in this resubmission</w:t>
            </w:r>
            <w:r w:rsidR="00D90DC4">
              <w:t>.</w:t>
            </w:r>
            <w:r w:rsidR="009B437B">
              <w:t xml:space="preserve"> </w:t>
            </w:r>
            <w:r w:rsidR="00D90DC4">
              <w:t xml:space="preserve">In this approach, all patients who are eligible will receive an initial 2 cycles (doses) of </w:t>
            </w:r>
            <w:r w:rsidR="00D90DC4" w:rsidRPr="007C5D1C">
              <w:rPr>
                <w:vertAlign w:val="superscript"/>
              </w:rPr>
              <w:t>177</w:t>
            </w:r>
            <w:r w:rsidR="00D90DC4">
              <w:t>Lu</w:t>
            </w:r>
            <w:r w:rsidR="000E2EF2">
              <w:t> </w:t>
            </w:r>
            <w:r w:rsidR="00D90DC4">
              <w:t>PSMA</w:t>
            </w:r>
            <w:r w:rsidR="00E6228C">
              <w:t> </w:t>
            </w:r>
            <w:proofErr w:type="spellStart"/>
            <w:r w:rsidR="00E6228C">
              <w:t>i&amp;t</w:t>
            </w:r>
            <w:proofErr w:type="spellEnd"/>
            <w:r w:rsidR="00D406D0">
              <w:t xml:space="preserve"> therapy</w:t>
            </w:r>
            <w:r w:rsidR="00D90DC4">
              <w:t xml:space="preserve">. All patients will then have blood tests and scans to see how well they have responded to the treatment. If they have responded well, then they will be eligible to continue treatment for another 4 cycles. If the tests show </w:t>
            </w:r>
            <w:r w:rsidR="00E53BF8">
              <w:t>no improvement</w:t>
            </w:r>
            <w:r w:rsidR="00D90DC4">
              <w:t xml:space="preserve"> despite </w:t>
            </w:r>
            <w:r w:rsidR="00D90DC4" w:rsidRPr="007C5D1C">
              <w:rPr>
                <w:vertAlign w:val="superscript"/>
              </w:rPr>
              <w:t>177</w:t>
            </w:r>
            <w:r w:rsidR="00D90DC4">
              <w:t>Lu</w:t>
            </w:r>
            <w:r w:rsidR="00575D9E">
              <w:t> </w:t>
            </w:r>
            <w:r w:rsidR="00D90DC4">
              <w:t>PSMA</w:t>
            </w:r>
            <w:r w:rsidR="00E6228C">
              <w:t> </w:t>
            </w:r>
            <w:proofErr w:type="spellStart"/>
            <w:r w:rsidR="00E6228C">
              <w:t>i</w:t>
            </w:r>
            <w:r w:rsidR="00687011">
              <w:t>&amp;t</w:t>
            </w:r>
            <w:proofErr w:type="spellEnd"/>
            <w:r w:rsidR="00D90DC4">
              <w:t xml:space="preserve"> treatment, then it will be recommended that they stop </w:t>
            </w:r>
            <w:r w:rsidR="00D90DC4" w:rsidRPr="007C5D1C">
              <w:rPr>
                <w:vertAlign w:val="superscript"/>
              </w:rPr>
              <w:t>177</w:t>
            </w:r>
            <w:r w:rsidR="00D90DC4">
              <w:t>Lu</w:t>
            </w:r>
            <w:r w:rsidR="00687011">
              <w:t> </w:t>
            </w:r>
            <w:r w:rsidR="00D90DC4">
              <w:t>PSMA</w:t>
            </w:r>
            <w:r w:rsidR="00687011">
              <w:t> </w:t>
            </w:r>
            <w:proofErr w:type="spellStart"/>
            <w:r w:rsidR="00687011">
              <w:t>i&amp;t</w:t>
            </w:r>
            <w:proofErr w:type="spellEnd"/>
            <w:r w:rsidR="00D90DC4">
              <w:t xml:space="preserve"> and try a different treatment instead.</w:t>
            </w:r>
          </w:p>
          <w:p w14:paraId="1699F5BD" w14:textId="2D1F2F2A" w:rsidR="00C7462B" w:rsidRDefault="002E04D8" w:rsidP="002E04D8">
            <w:r>
              <w:t>MSAC acknowledged the clinical need for this therapy and that patients prefer it over other last-line options. MSAC also considered it to be a safe and effective therapy option for men with metastatic</w:t>
            </w:r>
            <w:r w:rsidR="00FE2882">
              <w:t xml:space="preserve"> castrate</w:t>
            </w:r>
            <w:r>
              <w:t xml:space="preserve">-resistant prostate cancer </w:t>
            </w:r>
            <w:r w:rsidR="00D86A35">
              <w:t>for whom most of the other</w:t>
            </w:r>
            <w:r w:rsidR="001A2F30">
              <w:t xml:space="preserve"> </w:t>
            </w:r>
            <w:r>
              <w:t>standard available therapies</w:t>
            </w:r>
            <w:r w:rsidR="001A2F30">
              <w:t xml:space="preserve"> had not been effective</w:t>
            </w:r>
            <w:r>
              <w:t>. However, MSAC</w:t>
            </w:r>
            <w:r w:rsidR="0045562B">
              <w:t xml:space="preserve"> was </w:t>
            </w:r>
            <w:r>
              <w:t>concern</w:t>
            </w:r>
            <w:r w:rsidR="0045562B">
              <w:t xml:space="preserve">ed that the </w:t>
            </w:r>
            <w:r w:rsidR="0045562B">
              <w:rPr>
                <w:rFonts w:cs="Calibri"/>
              </w:rPr>
              <w:t>newly proposed two-step approach to treatment</w:t>
            </w:r>
            <w:r w:rsidR="0045562B" w:rsidDel="0045562B">
              <w:t xml:space="preserve"> </w:t>
            </w:r>
            <w:r w:rsidR="0045562B">
              <w:t xml:space="preserve">was </w:t>
            </w:r>
            <w:r w:rsidR="002F540F">
              <w:t xml:space="preserve">not modelled </w:t>
            </w:r>
            <w:r w:rsidR="0045562B">
              <w:t xml:space="preserve">correctly </w:t>
            </w:r>
            <w:r w:rsidR="00CE6CD4">
              <w:t>and as a result could not be sure</w:t>
            </w:r>
            <w:r w:rsidR="00AC670D">
              <w:t xml:space="preserve"> whether</w:t>
            </w:r>
            <w:r>
              <w:t xml:space="preserve"> th</w:t>
            </w:r>
            <w:r w:rsidR="00734F86">
              <w:t>e</w:t>
            </w:r>
            <w:r>
              <w:t xml:space="preserve"> therapy represent</w:t>
            </w:r>
            <w:r w:rsidR="00CE6CD4">
              <w:t>ed</w:t>
            </w:r>
            <w:r>
              <w:t xml:space="preserve"> good value for money. Also, given </w:t>
            </w:r>
            <w:r w:rsidR="009648D7">
              <w:t xml:space="preserve">the known </w:t>
            </w:r>
            <w:r w:rsidR="007E041D">
              <w:t xml:space="preserve">consumer </w:t>
            </w:r>
            <w:r>
              <w:t xml:space="preserve">preference for this therapy, MSAC considered the </w:t>
            </w:r>
            <w:r w:rsidR="00773665">
              <w:t xml:space="preserve">proposed </w:t>
            </w:r>
            <w:r>
              <w:t>utilisation to be underestimated.</w:t>
            </w:r>
          </w:p>
          <w:p w14:paraId="2B751FF0" w14:textId="77777777" w:rsidR="00C7462B" w:rsidRPr="00AF46D8" w:rsidRDefault="00C7462B">
            <w:pPr>
              <w:pStyle w:val="Heading3"/>
              <w:ind w:left="720" w:hanging="720"/>
            </w:pPr>
            <w:r w:rsidRPr="00AF46D8">
              <w:t xml:space="preserve">MSAC’s advice to the </w:t>
            </w:r>
            <w:proofErr w:type="gramStart"/>
            <w:r w:rsidRPr="00AF46D8">
              <w:t>Commonwealth Minister</w:t>
            </w:r>
            <w:proofErr w:type="gramEnd"/>
            <w:r w:rsidRPr="00AF46D8">
              <w:t xml:space="preserve"> for Health</w:t>
            </w:r>
            <w:r>
              <w:t xml:space="preserve"> and Aged Care</w:t>
            </w:r>
          </w:p>
          <w:p w14:paraId="47571094" w14:textId="2F9CCAFF" w:rsidR="00C7462B" w:rsidRPr="00AF46D8" w:rsidRDefault="00825958">
            <w:pPr>
              <w:spacing w:after="120"/>
            </w:pPr>
            <w:r w:rsidRPr="00AF46D8">
              <w:t xml:space="preserve">MSAC deferred its </w:t>
            </w:r>
            <w:r w:rsidR="00637808">
              <w:t xml:space="preserve">advice </w:t>
            </w:r>
            <w:r>
              <w:t xml:space="preserve">on funding 1) </w:t>
            </w:r>
            <w:r w:rsidRPr="0089202A">
              <w:rPr>
                <w:vertAlign w:val="superscript"/>
              </w:rPr>
              <w:t>177</w:t>
            </w:r>
            <w:r>
              <w:t>Lu</w:t>
            </w:r>
            <w:r w:rsidR="006500A5">
              <w:t> </w:t>
            </w:r>
            <w:r>
              <w:t>PSMA</w:t>
            </w:r>
            <w:r w:rsidR="006500A5">
              <w:t> </w:t>
            </w:r>
            <w:proofErr w:type="spellStart"/>
            <w:r w:rsidR="006500A5">
              <w:t>i&amp;t</w:t>
            </w:r>
            <w:proofErr w:type="spellEnd"/>
            <w:r>
              <w:t xml:space="preserve"> therapy for the treatment of patients with metastatic castrate-resistant prostate cancer, and 2) whole-body PSMA PET/CT to identify those eligible for </w:t>
            </w:r>
            <w:r w:rsidR="006500A5" w:rsidRPr="0089202A">
              <w:rPr>
                <w:vertAlign w:val="superscript"/>
              </w:rPr>
              <w:t>177</w:t>
            </w:r>
            <w:r w:rsidR="006500A5">
              <w:t>Lu PSMA </w:t>
            </w:r>
            <w:proofErr w:type="spellStart"/>
            <w:r w:rsidR="006500A5">
              <w:t>i&amp;t</w:t>
            </w:r>
            <w:proofErr w:type="spellEnd"/>
            <w:r w:rsidR="006500A5">
              <w:t xml:space="preserve"> </w:t>
            </w:r>
            <w:r>
              <w:t xml:space="preserve">therapy. MSAC considered </w:t>
            </w:r>
            <w:r w:rsidR="00E8249E" w:rsidRPr="0089202A">
              <w:rPr>
                <w:vertAlign w:val="superscript"/>
              </w:rPr>
              <w:t>177</w:t>
            </w:r>
            <w:r w:rsidR="00E8249E">
              <w:t>Lu PSMA </w:t>
            </w:r>
            <w:proofErr w:type="spellStart"/>
            <w:r w:rsidR="00E8249E">
              <w:t>i&amp;t</w:t>
            </w:r>
            <w:proofErr w:type="spellEnd"/>
            <w:r w:rsidR="00E8249E">
              <w:t xml:space="preserve"> </w:t>
            </w:r>
            <w:r>
              <w:t xml:space="preserve">therapy to be a </w:t>
            </w:r>
            <w:r w:rsidR="001F73BE">
              <w:lastRenderedPageBreak/>
              <w:t xml:space="preserve">comparatively </w:t>
            </w:r>
            <w:r>
              <w:t xml:space="preserve">safe and effective treatment, </w:t>
            </w:r>
            <w:r w:rsidR="002A0E5F">
              <w:t xml:space="preserve">but </w:t>
            </w:r>
            <w:r w:rsidR="00D42002">
              <w:t xml:space="preserve">because of uncertainty in </w:t>
            </w:r>
            <w:r w:rsidR="00614039">
              <w:t>the economic model</w:t>
            </w:r>
            <w:r>
              <w:t xml:space="preserve"> </w:t>
            </w:r>
            <w:r w:rsidR="00EE2349">
              <w:t xml:space="preserve">were </w:t>
            </w:r>
            <w:r w:rsidR="0088359E">
              <w:t xml:space="preserve">unsure whether the </w:t>
            </w:r>
            <w:r w:rsidR="00DB64FB">
              <w:t>therapy</w:t>
            </w:r>
            <w:r>
              <w:t xml:space="preserve"> </w:t>
            </w:r>
            <w:r w:rsidR="00F10CC4">
              <w:t xml:space="preserve">would </w:t>
            </w:r>
            <w:r>
              <w:t>represent good value for money. MSAC advised that it would reconsider this application following remodelling of the economic</w:t>
            </w:r>
            <w:r w:rsidR="00BC1897">
              <w:t xml:space="preserve"> evaluation</w:t>
            </w:r>
            <w:r>
              <w:t>.</w:t>
            </w:r>
          </w:p>
        </w:tc>
      </w:tr>
    </w:tbl>
    <w:p w14:paraId="4BD181B9" w14:textId="52187BF3" w:rsidR="00C7462B" w:rsidRDefault="00C7462B" w:rsidP="00C7462B">
      <w:pPr>
        <w:pStyle w:val="ESHeading1"/>
        <w:numPr>
          <w:ilvl w:val="0"/>
          <w:numId w:val="0"/>
        </w:numPr>
        <w:spacing w:before="360"/>
        <w:ind w:hanging="74"/>
      </w:pPr>
      <w:r>
        <w:lastRenderedPageBreak/>
        <w:t>3.</w:t>
      </w:r>
      <w:r>
        <w:tab/>
        <w:t>Summary of consideration and rationale for MSAC’s advice</w:t>
      </w:r>
    </w:p>
    <w:p w14:paraId="7149B2FC" w14:textId="6FD99FA1" w:rsidR="00A52DD2" w:rsidRDefault="00A52DD2" w:rsidP="006946B8">
      <w:r>
        <w:t xml:space="preserve">MSAC noted that this </w:t>
      </w:r>
      <w:r w:rsidR="00D1503E">
        <w:t>application</w:t>
      </w:r>
      <w:r>
        <w:t xml:space="preserve"> from a group of academic specialists and co-sponsored by the AANMS, </w:t>
      </w:r>
      <w:r w:rsidR="00B2527A">
        <w:t xml:space="preserve">is for </w:t>
      </w:r>
      <w:r>
        <w:t>Medicare Benefits Schedule (MBS) funding</w:t>
      </w:r>
      <w:r w:rsidR="00B2527A">
        <w:t xml:space="preserve"> of </w:t>
      </w:r>
      <w:r w:rsidR="005A1EF4">
        <w:rPr>
          <w:vertAlign w:val="superscript"/>
        </w:rPr>
        <w:t>177</w:t>
      </w:r>
      <w:r w:rsidR="005A1EF4">
        <w:t xml:space="preserve">Lu PSMA therapy </w:t>
      </w:r>
      <w:r w:rsidR="00267102">
        <w:t xml:space="preserve">to treat patients </w:t>
      </w:r>
      <w:r w:rsidR="00B9028A">
        <w:t xml:space="preserve">with progressive </w:t>
      </w:r>
      <w:r>
        <w:t xml:space="preserve">or symptomatic </w:t>
      </w:r>
      <w:proofErr w:type="spellStart"/>
      <w:r>
        <w:t>mCRPC</w:t>
      </w:r>
      <w:proofErr w:type="spellEnd"/>
      <w:r>
        <w:t xml:space="preserve"> in patients who have received at least one androgen receptor signalling inhibitor and at least one line of chemotherapy (docetaxel +/− cabazitaxel</w:t>
      </w:r>
      <w:r w:rsidR="006946B8">
        <w:t xml:space="preserve">). </w:t>
      </w:r>
      <w:r>
        <w:t>The intervention would replace or displace cabazitaxel and displace best supportive care.</w:t>
      </w:r>
    </w:p>
    <w:p w14:paraId="292DAD63" w14:textId="42BAA829" w:rsidR="00BC2364" w:rsidRDefault="00BC2364" w:rsidP="00A52DD2">
      <w:r>
        <w:t>MSAC noted that this is a resubmission</w:t>
      </w:r>
      <w:r w:rsidR="00481AB3">
        <w:t xml:space="preserve">, with the </w:t>
      </w:r>
      <w:r w:rsidR="00606B17">
        <w:t>previous submission considered by MSAC in July 2022.</w:t>
      </w:r>
    </w:p>
    <w:p w14:paraId="49BB40E5" w14:textId="0A5197F5" w:rsidR="00003805" w:rsidRPr="008E179C" w:rsidRDefault="00A52DD2" w:rsidP="00AB49AA">
      <w:r>
        <w:t xml:space="preserve">MSAC recalled that, during its </w:t>
      </w:r>
      <w:r w:rsidR="00587F47">
        <w:t xml:space="preserve">previous </w:t>
      </w:r>
      <w:r>
        <w:t xml:space="preserve">consideration of application 1686, it had acknowledged that there was a high clinical </w:t>
      </w:r>
      <w:r w:rsidR="002E1C86">
        <w:rPr>
          <w:szCs w:val="24"/>
        </w:rPr>
        <w:t>need for this population with advanced disease,</w:t>
      </w:r>
      <w:r w:rsidR="00D31943">
        <w:rPr>
          <w:szCs w:val="24"/>
        </w:rPr>
        <w:t xml:space="preserve"> and</w:t>
      </w:r>
      <w:r w:rsidR="002E1C86">
        <w:rPr>
          <w:szCs w:val="24"/>
        </w:rPr>
        <w:t xml:space="preserve"> the consumer preference for </w:t>
      </w:r>
      <w:r w:rsidR="002E1C86">
        <w:rPr>
          <w:szCs w:val="24"/>
          <w:vertAlign w:val="superscript"/>
        </w:rPr>
        <w:t>177</w:t>
      </w:r>
      <w:r w:rsidR="002E1C86">
        <w:rPr>
          <w:szCs w:val="24"/>
        </w:rPr>
        <w:t>Lu PSMA therapy over its comparators of best supportive care and cabazitaxel</w:t>
      </w:r>
      <w:r w:rsidR="00D31943">
        <w:t xml:space="preserve">. </w:t>
      </w:r>
      <w:r w:rsidR="007E3978" w:rsidRPr="008E179C">
        <w:t xml:space="preserve">At that time, </w:t>
      </w:r>
      <w:r w:rsidR="008D363E" w:rsidRPr="008E179C">
        <w:rPr>
          <w:szCs w:val="24"/>
        </w:rPr>
        <w:t xml:space="preserve">MSAC noted the limitations in the evidence comparing </w:t>
      </w:r>
      <w:r w:rsidR="008D363E" w:rsidRPr="008E179C">
        <w:rPr>
          <w:szCs w:val="24"/>
          <w:vertAlign w:val="superscript"/>
        </w:rPr>
        <w:t>177</w:t>
      </w:r>
      <w:r w:rsidR="008D363E" w:rsidRPr="008E179C">
        <w:rPr>
          <w:szCs w:val="24"/>
        </w:rPr>
        <w:t>Lu PSMA </w:t>
      </w:r>
      <w:proofErr w:type="spellStart"/>
      <w:r w:rsidR="008D363E" w:rsidRPr="008E179C">
        <w:rPr>
          <w:szCs w:val="24"/>
        </w:rPr>
        <w:t>i&amp;t</w:t>
      </w:r>
      <w:proofErr w:type="spellEnd"/>
      <w:r w:rsidR="008D363E" w:rsidRPr="008E179C">
        <w:rPr>
          <w:szCs w:val="24"/>
        </w:rPr>
        <w:t xml:space="preserve"> and </w:t>
      </w:r>
      <w:r w:rsidR="008D363E" w:rsidRPr="008E179C">
        <w:rPr>
          <w:szCs w:val="24"/>
          <w:vertAlign w:val="superscript"/>
        </w:rPr>
        <w:t>177</w:t>
      </w:r>
      <w:r w:rsidR="008D363E" w:rsidRPr="008E179C">
        <w:rPr>
          <w:szCs w:val="24"/>
        </w:rPr>
        <w:t xml:space="preserve">Lu PSMA-617 products, but concluded from the evidence available that these two products are mutually noninferior and thus considered the evidence for </w:t>
      </w:r>
      <w:r w:rsidR="008D363E" w:rsidRPr="008E179C">
        <w:rPr>
          <w:szCs w:val="24"/>
          <w:vertAlign w:val="superscript"/>
        </w:rPr>
        <w:t>177</w:t>
      </w:r>
      <w:r w:rsidR="008D363E" w:rsidRPr="008E179C">
        <w:rPr>
          <w:szCs w:val="24"/>
        </w:rPr>
        <w:t xml:space="preserve">Lu PSMA-617 to be relevant for </w:t>
      </w:r>
      <w:r w:rsidR="008D363E" w:rsidRPr="008E179C">
        <w:rPr>
          <w:szCs w:val="24"/>
          <w:vertAlign w:val="superscript"/>
        </w:rPr>
        <w:t>177</w:t>
      </w:r>
      <w:r w:rsidR="008D363E" w:rsidRPr="008E179C">
        <w:rPr>
          <w:szCs w:val="24"/>
        </w:rPr>
        <w:t>Lu PSMA </w:t>
      </w:r>
      <w:proofErr w:type="spellStart"/>
      <w:r w:rsidR="008D363E" w:rsidRPr="008E179C">
        <w:rPr>
          <w:szCs w:val="24"/>
        </w:rPr>
        <w:t>i&amp;t</w:t>
      </w:r>
      <w:proofErr w:type="spellEnd"/>
      <w:r w:rsidRPr="008E179C">
        <w:t xml:space="preserve">. However, MSAC </w:t>
      </w:r>
      <w:r w:rsidR="0021014B" w:rsidRPr="008E179C">
        <w:t xml:space="preserve">did not support </w:t>
      </w:r>
      <w:r w:rsidRPr="008E179C">
        <w:t>the application because of uncertainties around the economic model</w:t>
      </w:r>
      <w:r w:rsidR="00010ECA" w:rsidRPr="008E179C">
        <w:t xml:space="preserve">, including the </w:t>
      </w:r>
      <w:r w:rsidRPr="008E179C">
        <w:t>ICER</w:t>
      </w:r>
      <w:r w:rsidR="00010ECA" w:rsidRPr="008E179C">
        <w:t xml:space="preserve"> </w:t>
      </w:r>
      <w:r w:rsidRPr="008E179C">
        <w:t>was considered too high and uncertain – the ICER per quality-adjusted life year (QALY) was close to $100,000 for several potentially plausible scenarios, which MSAC considered to be unacceptably high for the proposed population</w:t>
      </w:r>
      <w:r w:rsidR="00010ECA" w:rsidRPr="008E179C">
        <w:t xml:space="preserve"> and estimated utilisation.</w:t>
      </w:r>
      <w:r w:rsidR="00003805" w:rsidRPr="008E179C">
        <w:t xml:space="preserve"> </w:t>
      </w:r>
    </w:p>
    <w:p w14:paraId="3DC8D0D0" w14:textId="640FC34C" w:rsidR="00A52DD2" w:rsidRPr="008E179C" w:rsidRDefault="00A52DD2" w:rsidP="00A52DD2">
      <w:r w:rsidRPr="008E179C">
        <w:t>MSAC noted that this resubmission mainly focused on the economic</w:t>
      </w:r>
      <w:r w:rsidR="006F4662" w:rsidRPr="008E179C">
        <w:t xml:space="preserve"> evaluation </w:t>
      </w:r>
      <w:r w:rsidRPr="008E179C">
        <w:t>of the intervention</w:t>
      </w:r>
      <w:r w:rsidR="00813F46" w:rsidRPr="008E179C">
        <w:t>.</w:t>
      </w:r>
    </w:p>
    <w:p w14:paraId="2E902EBB" w14:textId="33A9E3F1" w:rsidR="00D1503E" w:rsidRPr="008E179C" w:rsidRDefault="00D1503E" w:rsidP="00AB49AA">
      <w:r w:rsidRPr="008E179C">
        <w:t xml:space="preserve">MSAC noted that there continues to be public interest and support for this application from </w:t>
      </w:r>
      <w:r w:rsidR="00B74D3C" w:rsidRPr="008E179C">
        <w:t xml:space="preserve">all consumer </w:t>
      </w:r>
      <w:r w:rsidRPr="008E179C">
        <w:t>organisations</w:t>
      </w:r>
      <w:r w:rsidR="00B74D3C" w:rsidRPr="008E179C">
        <w:t xml:space="preserve"> and </w:t>
      </w:r>
      <w:r w:rsidR="007868B0" w:rsidRPr="008E179C">
        <w:t>most other organisations</w:t>
      </w:r>
      <w:r w:rsidRPr="008E179C">
        <w:t xml:space="preserve"> who provided consultation input. MSAC </w:t>
      </w:r>
      <w:r w:rsidR="001F7AE1" w:rsidRPr="008E179C">
        <w:t xml:space="preserve">also </w:t>
      </w:r>
      <w:r w:rsidRPr="008E179C">
        <w:t>noted</w:t>
      </w:r>
      <w:r w:rsidR="001F7AE1" w:rsidRPr="008E179C">
        <w:t xml:space="preserve"> and considered the consultation input from</w:t>
      </w:r>
      <w:r w:rsidRPr="008E179C">
        <w:t xml:space="preserve"> </w:t>
      </w:r>
      <w:r w:rsidR="001F7AE1" w:rsidRPr="008E179C">
        <w:t>those</w:t>
      </w:r>
      <w:r w:rsidR="00352D57" w:rsidRPr="008E179C">
        <w:t xml:space="preserve"> who </w:t>
      </w:r>
      <w:r w:rsidR="001F7AE1" w:rsidRPr="008E179C">
        <w:t>were not supportive of the application, including from commercial organisations who</w:t>
      </w:r>
      <w:r w:rsidR="00352D57" w:rsidRPr="008E179C">
        <w:t xml:space="preserve"> considered there is insufficient high-quality evidence to support the claim of equivalence between </w:t>
      </w:r>
      <w:r w:rsidR="00352D57" w:rsidRPr="008E179C">
        <w:rPr>
          <w:vertAlign w:val="superscript"/>
        </w:rPr>
        <w:t>177</w:t>
      </w:r>
      <w:r w:rsidR="00352D57" w:rsidRPr="008E179C">
        <w:t>Lu</w:t>
      </w:r>
      <w:r w:rsidR="00C258A2" w:rsidRPr="008E179C">
        <w:t> </w:t>
      </w:r>
      <w:r w:rsidR="00352D57" w:rsidRPr="008E179C">
        <w:t>PSMA</w:t>
      </w:r>
      <w:r w:rsidR="002345AB" w:rsidRPr="008E179C">
        <w:t> </w:t>
      </w:r>
      <w:proofErr w:type="spellStart"/>
      <w:r w:rsidR="00352D57" w:rsidRPr="008E179C">
        <w:t>i&amp;t</w:t>
      </w:r>
      <w:proofErr w:type="spellEnd"/>
      <w:r w:rsidR="00352D57" w:rsidRPr="008E179C">
        <w:t xml:space="preserve"> and </w:t>
      </w:r>
      <w:r w:rsidR="00352D57" w:rsidRPr="008E179C">
        <w:rPr>
          <w:vertAlign w:val="superscript"/>
        </w:rPr>
        <w:t>177</w:t>
      </w:r>
      <w:r w:rsidR="00352D57" w:rsidRPr="008E179C">
        <w:t xml:space="preserve">LuPSMA-617, and therefore it is not valid to use studies on </w:t>
      </w:r>
      <w:r w:rsidR="00352D57" w:rsidRPr="008E179C">
        <w:rPr>
          <w:vertAlign w:val="superscript"/>
        </w:rPr>
        <w:t>177</w:t>
      </w:r>
      <w:r w:rsidR="00352D57" w:rsidRPr="008E179C">
        <w:t>Lu</w:t>
      </w:r>
      <w:r w:rsidR="002345AB" w:rsidRPr="008E179C">
        <w:t> </w:t>
      </w:r>
      <w:r w:rsidR="00352D57" w:rsidRPr="008E179C">
        <w:t xml:space="preserve">PSMA-617 to support claims of efficacy and safety for </w:t>
      </w:r>
      <w:r w:rsidR="00352D57" w:rsidRPr="008E179C">
        <w:rPr>
          <w:vertAlign w:val="superscript"/>
        </w:rPr>
        <w:t>177</w:t>
      </w:r>
      <w:r w:rsidR="00352D57" w:rsidRPr="008E179C">
        <w:t>Lu</w:t>
      </w:r>
      <w:r w:rsidR="00C258A2" w:rsidRPr="008E179C">
        <w:t> </w:t>
      </w:r>
      <w:r w:rsidR="00352D57" w:rsidRPr="008E179C">
        <w:t>PSMA</w:t>
      </w:r>
      <w:r w:rsidR="00596081" w:rsidRPr="008E179C">
        <w:t> </w:t>
      </w:r>
      <w:proofErr w:type="spellStart"/>
      <w:r w:rsidR="00352D57" w:rsidRPr="008E179C">
        <w:t>i&amp;t</w:t>
      </w:r>
      <w:proofErr w:type="spellEnd"/>
      <w:r w:rsidR="00352D57" w:rsidRPr="008E179C">
        <w:t>.</w:t>
      </w:r>
    </w:p>
    <w:p w14:paraId="2EBA8E95" w14:textId="232EB79C" w:rsidR="0044593F" w:rsidRPr="008E179C" w:rsidRDefault="0044593F" w:rsidP="00AB49AA">
      <w:r w:rsidRPr="008E179C">
        <w:t xml:space="preserve">MSAC </w:t>
      </w:r>
      <w:r w:rsidR="00417773" w:rsidRPr="008E179C">
        <w:t xml:space="preserve">further </w:t>
      </w:r>
      <w:r w:rsidRPr="008E179C">
        <w:t>noted that</w:t>
      </w:r>
      <w:r w:rsidR="00AE00EA" w:rsidRPr="008E179C">
        <w:t xml:space="preserve"> </w:t>
      </w:r>
      <w:r w:rsidRPr="008E179C">
        <w:t xml:space="preserve">patent-related issues </w:t>
      </w:r>
      <w:r w:rsidR="002B5264" w:rsidRPr="008E179C">
        <w:t xml:space="preserve">arising from any manufacture, use or administration of </w:t>
      </w:r>
      <w:r w:rsidR="002B5264" w:rsidRPr="008E179C">
        <w:rPr>
          <w:vertAlign w:val="superscript"/>
        </w:rPr>
        <w:t>177</w:t>
      </w:r>
      <w:r w:rsidR="002B5264" w:rsidRPr="008E179C">
        <w:t>Lu PSMA </w:t>
      </w:r>
      <w:proofErr w:type="spellStart"/>
      <w:r w:rsidR="002B5264" w:rsidRPr="008E179C">
        <w:t>i&amp;t</w:t>
      </w:r>
      <w:proofErr w:type="spellEnd"/>
      <w:r w:rsidR="002B5264" w:rsidRPr="008E179C">
        <w:t xml:space="preserve"> in Australia</w:t>
      </w:r>
      <w:r w:rsidR="00870DFD" w:rsidRPr="008E179C">
        <w:t xml:space="preserve"> </w:t>
      </w:r>
      <w:r w:rsidRPr="008E179C">
        <w:t>were again raised in the public consultation.</w:t>
      </w:r>
      <w:r w:rsidR="00FA3FCC" w:rsidRPr="008E179C">
        <w:t xml:space="preserve"> MSAC noted </w:t>
      </w:r>
      <w:r w:rsidR="00DB4310" w:rsidRPr="008E179C">
        <w:t xml:space="preserve">the </w:t>
      </w:r>
      <w:r w:rsidR="00F70ABE" w:rsidRPr="008E179C">
        <w:t>pre-MSAC response</w:t>
      </w:r>
      <w:r w:rsidR="007F648F" w:rsidRPr="008E179C">
        <w:t xml:space="preserve"> </w:t>
      </w:r>
      <w:r w:rsidR="006E1242" w:rsidRPr="008E179C">
        <w:t xml:space="preserve">also provided advice </w:t>
      </w:r>
      <w:r w:rsidR="00D31F52" w:rsidRPr="008E179C">
        <w:t>upon these matters</w:t>
      </w:r>
      <w:r w:rsidR="002B5264" w:rsidRPr="008E179C">
        <w:t>.</w:t>
      </w:r>
      <w:r w:rsidR="00F4169A" w:rsidRPr="008E179C">
        <w:t xml:space="preserve"> </w:t>
      </w:r>
      <w:r w:rsidRPr="008E179C">
        <w:t xml:space="preserve">MSAC noted that advising on patent matters is not within its Terms of Reference and considered </w:t>
      </w:r>
      <w:r w:rsidR="001F7AE1" w:rsidRPr="008E179C">
        <w:t xml:space="preserve">that </w:t>
      </w:r>
      <w:r w:rsidRPr="008E179C">
        <w:t xml:space="preserve">this </w:t>
      </w:r>
      <w:r w:rsidRPr="008E179C">
        <w:rPr>
          <w:rFonts w:cs="Calibri"/>
        </w:rPr>
        <w:t>uncertainty would require further consideration by government prior to</w:t>
      </w:r>
      <w:r w:rsidR="001F7AE1" w:rsidRPr="008E179C">
        <w:rPr>
          <w:rFonts w:cs="Calibri"/>
        </w:rPr>
        <w:t xml:space="preserve"> the listing of any MBS items </w:t>
      </w:r>
      <w:proofErr w:type="gramStart"/>
      <w:r w:rsidR="001F7AE1" w:rsidRPr="008E179C">
        <w:rPr>
          <w:rFonts w:cs="Calibri"/>
        </w:rPr>
        <w:t>as a result of</w:t>
      </w:r>
      <w:proofErr w:type="gramEnd"/>
      <w:r w:rsidRPr="008E179C">
        <w:rPr>
          <w:rFonts w:cs="Calibri"/>
        </w:rPr>
        <w:t xml:space="preserve"> </w:t>
      </w:r>
      <w:r w:rsidR="00172AC8" w:rsidRPr="008E179C">
        <w:rPr>
          <w:rFonts w:cs="Calibri"/>
        </w:rPr>
        <w:t>this application</w:t>
      </w:r>
      <w:r w:rsidR="001F7AE1" w:rsidRPr="008E179C">
        <w:rPr>
          <w:rFonts w:cs="Calibri"/>
        </w:rPr>
        <w:t xml:space="preserve"> </w:t>
      </w:r>
      <w:r w:rsidR="00A03681" w:rsidRPr="008E179C">
        <w:rPr>
          <w:rFonts w:cs="Calibri"/>
        </w:rPr>
        <w:t>(if subsequently supported)</w:t>
      </w:r>
      <w:r w:rsidR="00C60623" w:rsidRPr="008E179C">
        <w:rPr>
          <w:rFonts w:cs="Calibri"/>
        </w:rPr>
        <w:t xml:space="preserve">. </w:t>
      </w:r>
      <w:r w:rsidRPr="008E179C">
        <w:t xml:space="preserve">MSAC’s consideration </w:t>
      </w:r>
      <w:r w:rsidR="00172AC8" w:rsidRPr="008E179C">
        <w:t>proceeded</w:t>
      </w:r>
      <w:r w:rsidRPr="008E179C">
        <w:t xml:space="preserve"> </w:t>
      </w:r>
      <w:proofErr w:type="gramStart"/>
      <w:r w:rsidRPr="008E179C">
        <w:t>on the basis of</w:t>
      </w:r>
      <w:proofErr w:type="gramEnd"/>
      <w:r w:rsidRPr="008E179C">
        <w:t xml:space="preserve"> the current </w:t>
      </w:r>
      <w:r w:rsidR="00E566DC" w:rsidRPr="008E179C">
        <w:t xml:space="preserve">information before it </w:t>
      </w:r>
      <w:r w:rsidRPr="008E179C">
        <w:t xml:space="preserve">and </w:t>
      </w:r>
      <w:r w:rsidR="001F7AE1" w:rsidRPr="008E179C">
        <w:t xml:space="preserve">subject to </w:t>
      </w:r>
      <w:r w:rsidRPr="008E179C">
        <w:t xml:space="preserve">the applicants </w:t>
      </w:r>
      <w:r w:rsidR="001F7AE1" w:rsidRPr="008E179C">
        <w:t xml:space="preserve">having </w:t>
      </w:r>
      <w:r w:rsidRPr="008E179C">
        <w:t xml:space="preserve">a legal right to use </w:t>
      </w:r>
      <w:r w:rsidRPr="008E179C">
        <w:rPr>
          <w:vertAlign w:val="superscript"/>
        </w:rPr>
        <w:t>177</w:t>
      </w:r>
      <w:r w:rsidRPr="008E179C">
        <w:t>LuPSMA</w:t>
      </w:r>
      <w:r w:rsidR="007303CD" w:rsidRPr="008E179C">
        <w:t> </w:t>
      </w:r>
      <w:proofErr w:type="spellStart"/>
      <w:r w:rsidR="007303CD" w:rsidRPr="008E179C">
        <w:t>i</w:t>
      </w:r>
      <w:r w:rsidRPr="008E179C">
        <w:t>&amp;</w:t>
      </w:r>
      <w:r w:rsidR="007303CD" w:rsidRPr="008E179C">
        <w:t>t</w:t>
      </w:r>
      <w:proofErr w:type="spellEnd"/>
      <w:r w:rsidRPr="008E179C">
        <w:t xml:space="preserve"> in Australia.</w:t>
      </w:r>
    </w:p>
    <w:p w14:paraId="61C26636" w14:textId="4AA2F8A1" w:rsidR="00EE72BB" w:rsidRPr="008E179C" w:rsidRDefault="00DE43FE" w:rsidP="00D4136D">
      <w:r w:rsidRPr="008E179C">
        <w:rPr>
          <w:rFonts w:cs="Calibri"/>
        </w:rPr>
        <w:t>MSAC reconsidered</w:t>
      </w:r>
      <w:r w:rsidR="005D1712" w:rsidRPr="008E179C">
        <w:rPr>
          <w:rFonts w:cs="Calibri"/>
        </w:rPr>
        <w:t xml:space="preserve"> </w:t>
      </w:r>
      <w:r w:rsidR="00A36176" w:rsidRPr="008E179C">
        <w:rPr>
          <w:rFonts w:cs="Calibri"/>
        </w:rPr>
        <w:t xml:space="preserve">the </w:t>
      </w:r>
      <w:r w:rsidR="00271EE8" w:rsidRPr="008E179C">
        <w:rPr>
          <w:rFonts w:cs="Calibri"/>
        </w:rPr>
        <w:t>available</w:t>
      </w:r>
      <w:r w:rsidR="008E0D39" w:rsidRPr="008E179C">
        <w:rPr>
          <w:rFonts w:cs="Calibri"/>
        </w:rPr>
        <w:t xml:space="preserve"> evidence base</w:t>
      </w:r>
      <w:r w:rsidR="00271EE8" w:rsidRPr="008E179C">
        <w:rPr>
          <w:rFonts w:cs="Calibri"/>
        </w:rPr>
        <w:t xml:space="preserve"> </w:t>
      </w:r>
      <w:r w:rsidR="00A36176" w:rsidRPr="008E179C">
        <w:rPr>
          <w:rFonts w:cs="Calibri"/>
        </w:rPr>
        <w:t xml:space="preserve">and </w:t>
      </w:r>
      <w:r w:rsidR="0031755D" w:rsidRPr="008E179C">
        <w:rPr>
          <w:rFonts w:cs="Calibri"/>
        </w:rPr>
        <w:t xml:space="preserve">new information and </w:t>
      </w:r>
      <w:r w:rsidR="00A36176" w:rsidRPr="008E179C">
        <w:rPr>
          <w:rFonts w:cs="Calibri"/>
        </w:rPr>
        <w:t>submission</w:t>
      </w:r>
      <w:r w:rsidR="00060E34" w:rsidRPr="008E179C">
        <w:rPr>
          <w:rFonts w:cs="Calibri"/>
        </w:rPr>
        <w:t>s</w:t>
      </w:r>
      <w:r w:rsidR="00A36176" w:rsidRPr="008E179C">
        <w:rPr>
          <w:rFonts w:cs="Calibri"/>
        </w:rPr>
        <w:t xml:space="preserve"> </w:t>
      </w:r>
      <w:r w:rsidR="00060E34" w:rsidRPr="008E179C">
        <w:rPr>
          <w:rFonts w:cs="Calibri"/>
        </w:rPr>
        <w:t>comparing</w:t>
      </w:r>
      <w:r w:rsidR="00337C65" w:rsidRPr="008E179C">
        <w:rPr>
          <w:rFonts w:cs="Calibri"/>
        </w:rPr>
        <w:t xml:space="preserve"> </w:t>
      </w:r>
      <w:r w:rsidRPr="008E179C">
        <w:rPr>
          <w:rFonts w:cs="Calibri"/>
          <w:vertAlign w:val="superscript"/>
        </w:rPr>
        <w:t>177</w:t>
      </w:r>
      <w:r w:rsidRPr="008E179C">
        <w:rPr>
          <w:rFonts w:cs="Calibri"/>
        </w:rPr>
        <w:t>Lu</w:t>
      </w:r>
      <w:r w:rsidR="00C258A2" w:rsidRPr="008E179C">
        <w:rPr>
          <w:rFonts w:cs="Calibri"/>
        </w:rPr>
        <w:t> </w:t>
      </w:r>
      <w:r w:rsidRPr="008E179C">
        <w:rPr>
          <w:rFonts w:cs="Calibri"/>
        </w:rPr>
        <w:t>PSMA</w:t>
      </w:r>
      <w:r w:rsidR="00C258A2" w:rsidRPr="008E179C">
        <w:rPr>
          <w:rFonts w:cs="Calibri"/>
        </w:rPr>
        <w:t> </w:t>
      </w:r>
      <w:proofErr w:type="spellStart"/>
      <w:r w:rsidRPr="008E179C">
        <w:rPr>
          <w:rFonts w:cs="Calibri"/>
        </w:rPr>
        <w:t>i&amp;t</w:t>
      </w:r>
      <w:proofErr w:type="spellEnd"/>
      <w:r w:rsidRPr="008E179C">
        <w:rPr>
          <w:rFonts w:cs="Calibri"/>
        </w:rPr>
        <w:t xml:space="preserve"> and </w:t>
      </w:r>
      <w:r w:rsidRPr="008E179C">
        <w:rPr>
          <w:rFonts w:cs="Calibri"/>
          <w:vertAlign w:val="superscript"/>
        </w:rPr>
        <w:t>177</w:t>
      </w:r>
      <w:r w:rsidRPr="008E179C">
        <w:rPr>
          <w:rFonts w:cs="Calibri"/>
        </w:rPr>
        <w:t>Lu</w:t>
      </w:r>
      <w:r w:rsidR="00C258A2" w:rsidRPr="008E179C">
        <w:rPr>
          <w:rFonts w:cs="Calibri"/>
        </w:rPr>
        <w:t> </w:t>
      </w:r>
      <w:r w:rsidRPr="008E179C">
        <w:rPr>
          <w:rFonts w:cs="Calibri"/>
        </w:rPr>
        <w:t>PSMA-617 products</w:t>
      </w:r>
      <w:r w:rsidR="00DE694E" w:rsidRPr="008E179C">
        <w:rPr>
          <w:rFonts w:cs="Calibri"/>
        </w:rPr>
        <w:t>.</w:t>
      </w:r>
      <w:r w:rsidRPr="008E179C">
        <w:rPr>
          <w:rFonts w:cs="Calibri"/>
        </w:rPr>
        <w:t xml:space="preserve"> </w:t>
      </w:r>
      <w:r w:rsidR="00345C47" w:rsidRPr="008E179C">
        <w:t xml:space="preserve">MSAC noted that </w:t>
      </w:r>
      <w:r w:rsidR="00345C47" w:rsidRPr="008E179C">
        <w:rPr>
          <w:vertAlign w:val="superscript"/>
        </w:rPr>
        <w:t>177</w:t>
      </w:r>
      <w:r w:rsidR="00345C47" w:rsidRPr="008E179C">
        <w:t>Lu PSMA </w:t>
      </w:r>
      <w:proofErr w:type="spellStart"/>
      <w:r w:rsidR="00345C47" w:rsidRPr="008E179C">
        <w:t>i&amp;t</w:t>
      </w:r>
      <w:proofErr w:type="spellEnd"/>
      <w:r w:rsidR="00345C47" w:rsidRPr="008E179C">
        <w:t xml:space="preserve"> and </w:t>
      </w:r>
      <w:r w:rsidR="00345C47" w:rsidRPr="008E179C">
        <w:rPr>
          <w:vertAlign w:val="superscript"/>
        </w:rPr>
        <w:t>177</w:t>
      </w:r>
      <w:r w:rsidR="00345C47" w:rsidRPr="008E179C">
        <w:t xml:space="preserve">Lu PSMA-617 have related, but not identical, structures, with the differences being their chelators and linking portions. </w:t>
      </w:r>
      <w:r w:rsidR="00640B62" w:rsidRPr="008E179C">
        <w:t>MSAC noted the pre-MSAC response</w:t>
      </w:r>
      <w:r w:rsidR="006F64E8" w:rsidRPr="008E179C">
        <w:t xml:space="preserve">, </w:t>
      </w:r>
      <w:r w:rsidR="00D22566" w:rsidRPr="008E179C">
        <w:t>in</w:t>
      </w:r>
      <w:r w:rsidR="006F64E8" w:rsidRPr="008E179C">
        <w:t xml:space="preserve"> which the applicant </w:t>
      </w:r>
      <w:r w:rsidR="00026445" w:rsidRPr="008E179C">
        <w:lastRenderedPageBreak/>
        <w:t>referred to</w:t>
      </w:r>
      <w:r w:rsidR="00640B62" w:rsidRPr="008E179C">
        <w:t xml:space="preserve"> recent procedure guidelines from the European Association of Nuclear Medicine and the Society of Nuclear Medicine and Molecular Imaging (United States) </w:t>
      </w:r>
      <w:r w:rsidR="00026445" w:rsidRPr="008E179C">
        <w:t xml:space="preserve">that </w:t>
      </w:r>
      <w:r w:rsidR="00640B62" w:rsidRPr="008E179C">
        <w:t>suggest</w:t>
      </w:r>
      <w:r w:rsidR="00D234DD" w:rsidRPr="008E179C">
        <w:t>ed</w:t>
      </w:r>
      <w:r w:rsidR="00640B62" w:rsidRPr="008E179C">
        <w:t xml:space="preserve"> that both </w:t>
      </w:r>
      <w:r w:rsidR="00640B62" w:rsidRPr="008E179C">
        <w:rPr>
          <w:vertAlign w:val="superscript"/>
        </w:rPr>
        <w:t>177</w:t>
      </w:r>
      <w:r w:rsidR="00640B62" w:rsidRPr="008E179C">
        <w:t>Lu</w:t>
      </w:r>
      <w:r w:rsidR="00CF6374" w:rsidRPr="008E179C">
        <w:t> </w:t>
      </w:r>
      <w:r w:rsidR="00640B62" w:rsidRPr="008E179C">
        <w:t>PSMA products could be considered as equivalent</w:t>
      </w:r>
      <w:r w:rsidR="00D86372" w:rsidRPr="008E179C">
        <w:rPr>
          <w:rStyle w:val="FootnoteReference"/>
        </w:rPr>
        <w:footnoteReference w:id="2"/>
      </w:r>
      <w:r w:rsidR="00640B62" w:rsidRPr="008E179C">
        <w:t xml:space="preserve">. </w:t>
      </w:r>
      <w:r w:rsidR="00E0010F" w:rsidRPr="008E179C">
        <w:t xml:space="preserve">MSAC considered that there was no new substantive clinical trial data that changed MSAC’s previous conclusion of </w:t>
      </w:r>
      <w:r w:rsidR="00C70342" w:rsidRPr="008E179C">
        <w:t xml:space="preserve">mutual </w:t>
      </w:r>
      <w:r w:rsidR="00E0010F" w:rsidRPr="008E179C">
        <w:t>noninferiority between</w:t>
      </w:r>
      <w:r w:rsidR="00FE5449" w:rsidRPr="008E179C">
        <w:t xml:space="preserve"> the two products</w:t>
      </w:r>
      <w:r w:rsidR="00E8192B" w:rsidRPr="008E179C">
        <w:t xml:space="preserve"> –</w:t>
      </w:r>
      <w:r w:rsidR="00E0010F" w:rsidRPr="008E179C">
        <w:t xml:space="preserve"> </w:t>
      </w:r>
      <w:r w:rsidR="00E0010F" w:rsidRPr="008E179C">
        <w:rPr>
          <w:vertAlign w:val="superscript"/>
        </w:rPr>
        <w:t>177</w:t>
      </w:r>
      <w:r w:rsidR="00E0010F" w:rsidRPr="008E179C">
        <w:t>Lu</w:t>
      </w:r>
      <w:r w:rsidR="00864856" w:rsidRPr="008E179C">
        <w:t> </w:t>
      </w:r>
      <w:r w:rsidR="00E0010F" w:rsidRPr="008E179C">
        <w:t>PSMA</w:t>
      </w:r>
      <w:r w:rsidR="00864856" w:rsidRPr="008E179C">
        <w:t> </w:t>
      </w:r>
      <w:proofErr w:type="spellStart"/>
      <w:r w:rsidR="00E0010F" w:rsidRPr="008E179C">
        <w:t>i&amp;t</w:t>
      </w:r>
      <w:proofErr w:type="spellEnd"/>
      <w:r w:rsidR="00E0010F" w:rsidRPr="008E179C">
        <w:t xml:space="preserve"> and </w:t>
      </w:r>
      <w:r w:rsidR="00E0010F" w:rsidRPr="008E179C">
        <w:rPr>
          <w:vertAlign w:val="superscript"/>
        </w:rPr>
        <w:t>177</w:t>
      </w:r>
      <w:r w:rsidR="00E0010F" w:rsidRPr="008E179C">
        <w:t>Lu</w:t>
      </w:r>
      <w:r w:rsidR="00864856" w:rsidRPr="008E179C">
        <w:t> </w:t>
      </w:r>
      <w:r w:rsidR="00E0010F" w:rsidRPr="008E179C">
        <w:t xml:space="preserve">PSMA-617 </w:t>
      </w:r>
      <w:r w:rsidR="006504A4" w:rsidRPr="008E179C">
        <w:t>have similar</w:t>
      </w:r>
      <w:r w:rsidR="00221C75" w:rsidRPr="008E179C">
        <w:t xml:space="preserve"> safety,</w:t>
      </w:r>
      <w:r w:rsidR="006504A4" w:rsidRPr="008E179C">
        <w:t xml:space="preserve"> efficacy, biodistribution and are </w:t>
      </w:r>
      <w:proofErr w:type="spellStart"/>
      <w:r w:rsidR="006504A4" w:rsidRPr="008E179C">
        <w:t>radioequivalent</w:t>
      </w:r>
      <w:proofErr w:type="spellEnd"/>
      <w:r w:rsidR="006504A4" w:rsidRPr="008E179C">
        <w:t xml:space="preserve">, </w:t>
      </w:r>
      <w:r w:rsidR="00E0010F" w:rsidRPr="008E179C">
        <w:t xml:space="preserve">despite both products using different dosing schedules. </w:t>
      </w:r>
      <w:r w:rsidR="00A52DD2" w:rsidRPr="008E179C">
        <w:t xml:space="preserve">Therefore, </w:t>
      </w:r>
      <w:r w:rsidR="007446EC" w:rsidRPr="008E179C">
        <w:t xml:space="preserve">despite </w:t>
      </w:r>
      <w:r w:rsidR="007160BD" w:rsidRPr="008E179C">
        <w:t xml:space="preserve">the </w:t>
      </w:r>
      <w:r w:rsidR="007160BD" w:rsidRPr="008E179C">
        <w:rPr>
          <w:szCs w:val="24"/>
        </w:rPr>
        <w:t xml:space="preserve">limitations in the evidence comparing </w:t>
      </w:r>
      <w:r w:rsidR="007160BD" w:rsidRPr="008E179C">
        <w:rPr>
          <w:szCs w:val="24"/>
          <w:vertAlign w:val="superscript"/>
        </w:rPr>
        <w:t>177</w:t>
      </w:r>
      <w:r w:rsidR="007160BD" w:rsidRPr="008E179C">
        <w:rPr>
          <w:szCs w:val="24"/>
        </w:rPr>
        <w:t>Lu PSMA </w:t>
      </w:r>
      <w:proofErr w:type="spellStart"/>
      <w:r w:rsidR="007160BD" w:rsidRPr="008E179C">
        <w:rPr>
          <w:szCs w:val="24"/>
        </w:rPr>
        <w:t>i&amp;t</w:t>
      </w:r>
      <w:proofErr w:type="spellEnd"/>
      <w:r w:rsidR="007160BD" w:rsidRPr="008E179C">
        <w:rPr>
          <w:szCs w:val="24"/>
        </w:rPr>
        <w:t xml:space="preserve"> and </w:t>
      </w:r>
      <w:r w:rsidR="007160BD" w:rsidRPr="008E179C">
        <w:rPr>
          <w:szCs w:val="24"/>
          <w:vertAlign w:val="superscript"/>
        </w:rPr>
        <w:t>177</w:t>
      </w:r>
      <w:r w:rsidR="007160BD" w:rsidRPr="008E179C">
        <w:rPr>
          <w:szCs w:val="24"/>
        </w:rPr>
        <w:t>Lu PSMA-617 products,</w:t>
      </w:r>
      <w:r w:rsidR="007446EC" w:rsidRPr="008E179C">
        <w:t xml:space="preserve"> </w:t>
      </w:r>
      <w:r w:rsidR="008A08A6" w:rsidRPr="008E179C">
        <w:rPr>
          <w:szCs w:val="24"/>
        </w:rPr>
        <w:t xml:space="preserve">MSAC </w:t>
      </w:r>
      <w:r w:rsidR="00417773" w:rsidRPr="008E179C">
        <w:rPr>
          <w:szCs w:val="24"/>
        </w:rPr>
        <w:t xml:space="preserve">accepted </w:t>
      </w:r>
      <w:r w:rsidR="008A08A6" w:rsidRPr="008E179C">
        <w:rPr>
          <w:szCs w:val="24"/>
        </w:rPr>
        <w:t>that these two products are mutually noninferior for patient outcomes</w:t>
      </w:r>
      <w:r w:rsidR="00A94857" w:rsidRPr="008E179C">
        <w:rPr>
          <w:szCs w:val="24"/>
        </w:rPr>
        <w:t>.</w:t>
      </w:r>
      <w:r w:rsidR="008A08A6" w:rsidRPr="008E179C">
        <w:rPr>
          <w:szCs w:val="24"/>
        </w:rPr>
        <w:t xml:space="preserve"> </w:t>
      </w:r>
      <w:proofErr w:type="gramStart"/>
      <w:r w:rsidR="00A94857" w:rsidRPr="008E179C">
        <w:rPr>
          <w:szCs w:val="24"/>
        </w:rPr>
        <w:t>Therefore</w:t>
      </w:r>
      <w:proofErr w:type="gramEnd"/>
      <w:r w:rsidR="00A94857" w:rsidRPr="008E179C">
        <w:rPr>
          <w:szCs w:val="24"/>
        </w:rPr>
        <w:t xml:space="preserve"> MSAC</w:t>
      </w:r>
      <w:r w:rsidR="008A08A6" w:rsidRPr="008E179C">
        <w:rPr>
          <w:szCs w:val="24"/>
        </w:rPr>
        <w:t xml:space="preserve"> considered the evidence for </w:t>
      </w:r>
      <w:r w:rsidR="008A08A6" w:rsidRPr="008E179C">
        <w:rPr>
          <w:szCs w:val="24"/>
          <w:vertAlign w:val="superscript"/>
        </w:rPr>
        <w:t>177</w:t>
      </w:r>
      <w:r w:rsidR="008A08A6" w:rsidRPr="008E179C">
        <w:rPr>
          <w:szCs w:val="24"/>
        </w:rPr>
        <w:t xml:space="preserve">Lu PSMA-617 to be relevant for </w:t>
      </w:r>
      <w:bookmarkStart w:id="4" w:name="_Hlk113815563"/>
      <w:r w:rsidR="008A08A6" w:rsidRPr="008E179C">
        <w:rPr>
          <w:szCs w:val="24"/>
          <w:vertAlign w:val="superscript"/>
        </w:rPr>
        <w:t>177</w:t>
      </w:r>
      <w:r w:rsidR="008A08A6" w:rsidRPr="008E179C">
        <w:rPr>
          <w:szCs w:val="24"/>
        </w:rPr>
        <w:t>Lu PSMA </w:t>
      </w:r>
      <w:proofErr w:type="spellStart"/>
      <w:r w:rsidR="008A08A6" w:rsidRPr="008E179C">
        <w:rPr>
          <w:szCs w:val="24"/>
        </w:rPr>
        <w:t>i&amp;t</w:t>
      </w:r>
      <w:bookmarkEnd w:id="4"/>
      <w:proofErr w:type="spellEnd"/>
      <w:r w:rsidR="009538AA" w:rsidRPr="008E179C">
        <w:rPr>
          <w:szCs w:val="24"/>
        </w:rPr>
        <w:t>, and therefore</w:t>
      </w:r>
      <w:r w:rsidR="008A08A6" w:rsidRPr="008E179C">
        <w:rPr>
          <w:szCs w:val="24"/>
        </w:rPr>
        <w:t xml:space="preserve"> </w:t>
      </w:r>
      <w:r w:rsidR="008A08A6" w:rsidRPr="008E179C">
        <w:rPr>
          <w:rFonts w:eastAsia="Calibri" w:cs="Times New Roman"/>
        </w:rPr>
        <w:t>accept</w:t>
      </w:r>
      <w:r w:rsidR="009538AA" w:rsidRPr="008E179C">
        <w:rPr>
          <w:rFonts w:eastAsia="Calibri" w:cs="Times New Roman"/>
        </w:rPr>
        <w:t>ed</w:t>
      </w:r>
      <w:r w:rsidR="008A08A6" w:rsidRPr="008E179C">
        <w:rPr>
          <w:rFonts w:eastAsia="Calibri" w:cs="Times New Roman"/>
        </w:rPr>
        <w:t xml:space="preserve"> the results of the clinical evaluation and the clinical aspects of the modelled economic evaluation across these two </w:t>
      </w:r>
      <w:r w:rsidR="008A08A6" w:rsidRPr="008E179C">
        <w:rPr>
          <w:rFonts w:eastAsia="Calibri" w:cs="Times New Roman"/>
          <w:vertAlign w:val="superscript"/>
        </w:rPr>
        <w:t>177</w:t>
      </w:r>
      <w:r w:rsidR="008A08A6" w:rsidRPr="008E179C">
        <w:rPr>
          <w:rFonts w:eastAsia="Calibri" w:cs="Times New Roman"/>
        </w:rPr>
        <w:t>Lu PSMA products</w:t>
      </w:r>
      <w:r w:rsidR="00A52DD2" w:rsidRPr="008E179C">
        <w:t>.</w:t>
      </w:r>
      <w:r w:rsidR="00EE72BB" w:rsidRPr="008E179C">
        <w:t xml:space="preserve"> </w:t>
      </w:r>
      <w:r w:rsidR="009F0AEC" w:rsidRPr="008E179C">
        <w:t xml:space="preserve">Thus, </w:t>
      </w:r>
      <w:r w:rsidR="009F0AEC" w:rsidRPr="008E179C">
        <w:rPr>
          <w:rFonts w:cs="Calibri"/>
        </w:rPr>
        <w:t>MSAC</w:t>
      </w:r>
      <w:r w:rsidR="009F0AEC" w:rsidRPr="008E179C">
        <w:t xml:space="preserve"> also </w:t>
      </w:r>
      <w:r w:rsidR="009F0AEC" w:rsidRPr="008E179C">
        <w:rPr>
          <w:rFonts w:cs="Calibri"/>
        </w:rPr>
        <w:t xml:space="preserve">accepted the evidence that </w:t>
      </w:r>
      <w:r w:rsidR="009F0AEC" w:rsidRPr="008E179C">
        <w:rPr>
          <w:rFonts w:cs="Calibri"/>
          <w:vertAlign w:val="superscript"/>
        </w:rPr>
        <w:t>177</w:t>
      </w:r>
      <w:r w:rsidR="009F0AEC" w:rsidRPr="008E179C">
        <w:rPr>
          <w:rFonts w:cs="Calibri"/>
        </w:rPr>
        <w:t>Lu PSMA</w:t>
      </w:r>
      <w:r w:rsidR="009F0AEC" w:rsidRPr="008E179C">
        <w:t> </w:t>
      </w:r>
      <w:proofErr w:type="spellStart"/>
      <w:r w:rsidR="009F0AEC" w:rsidRPr="008E179C">
        <w:rPr>
          <w:rFonts w:cs="Calibri"/>
        </w:rPr>
        <w:t>i&amp;t</w:t>
      </w:r>
      <w:proofErr w:type="spellEnd"/>
      <w:r w:rsidR="009F0AEC" w:rsidRPr="008E179C">
        <w:rPr>
          <w:rFonts w:cs="Calibri"/>
        </w:rPr>
        <w:t xml:space="preserve"> therapy is acceptably safe and effective. </w:t>
      </w:r>
      <w:r w:rsidR="00640E8D" w:rsidRPr="008E179C">
        <w:rPr>
          <w:rFonts w:eastAsia="Calibri" w:cs="Times New Roman"/>
        </w:rPr>
        <w:t xml:space="preserve">However, MSAC recalled it was not prepared to generalise this conclusion to include other </w:t>
      </w:r>
      <w:r w:rsidR="00640E8D" w:rsidRPr="008E179C">
        <w:rPr>
          <w:rFonts w:eastAsia="Calibri" w:cs="Times New Roman"/>
          <w:vertAlign w:val="superscript"/>
        </w:rPr>
        <w:t>177</w:t>
      </w:r>
      <w:r w:rsidR="00640E8D" w:rsidRPr="008E179C">
        <w:rPr>
          <w:rFonts w:eastAsia="Calibri" w:cs="Times New Roman"/>
        </w:rPr>
        <w:t>Lu PSMA products</w:t>
      </w:r>
      <w:r w:rsidR="007C2E70" w:rsidRPr="008E179C">
        <w:rPr>
          <w:rFonts w:eastAsia="Calibri" w:cs="Times New Roman"/>
        </w:rPr>
        <w:t xml:space="preserve"> and i</w:t>
      </w:r>
      <w:r w:rsidR="00640E8D" w:rsidRPr="008E179C">
        <w:rPr>
          <w:rFonts w:eastAsia="Calibri" w:cs="Times New Roman"/>
        </w:rPr>
        <w:t xml:space="preserve">nstead MSAC </w:t>
      </w:r>
      <w:r w:rsidR="00640E8D" w:rsidRPr="008E179C">
        <w:t xml:space="preserve">considered it necessary for an MBS item descriptor </w:t>
      </w:r>
      <w:r w:rsidR="00640E8D" w:rsidRPr="008E179C">
        <w:rPr>
          <w:rFonts w:eastAsia="Calibri" w:cs="Times New Roman"/>
        </w:rPr>
        <w:t>to appropriately define</w:t>
      </w:r>
      <w:r w:rsidR="00640E8D" w:rsidRPr="008E179C">
        <w:t xml:space="preserve"> the </w:t>
      </w:r>
      <w:r w:rsidR="00640E8D" w:rsidRPr="008E179C">
        <w:rPr>
          <w:iCs/>
          <w:vertAlign w:val="superscript"/>
        </w:rPr>
        <w:t>177</w:t>
      </w:r>
      <w:r w:rsidR="00640E8D" w:rsidRPr="008E179C">
        <w:rPr>
          <w:iCs/>
        </w:rPr>
        <w:t>Lu PSMA therapy (if subsequently supported)</w:t>
      </w:r>
      <w:r w:rsidR="00640E8D" w:rsidRPr="008E179C">
        <w:rPr>
          <w:rFonts w:eastAsia="Calibri" w:cs="Times New Roman"/>
        </w:rPr>
        <w:t xml:space="preserve">. Throughout this document, MSAC has therefore referred to specific </w:t>
      </w:r>
      <w:r w:rsidR="00640E8D" w:rsidRPr="008E179C">
        <w:rPr>
          <w:rFonts w:eastAsia="Calibri" w:cs="Times New Roman"/>
          <w:vertAlign w:val="superscript"/>
        </w:rPr>
        <w:t>177</w:t>
      </w:r>
      <w:r w:rsidR="00640E8D" w:rsidRPr="008E179C">
        <w:rPr>
          <w:rFonts w:eastAsia="Calibri" w:cs="Times New Roman"/>
        </w:rPr>
        <w:t xml:space="preserve">Lu PSMA products, either </w:t>
      </w:r>
      <w:r w:rsidR="00640E8D" w:rsidRPr="008E179C">
        <w:rPr>
          <w:szCs w:val="24"/>
          <w:vertAlign w:val="superscript"/>
        </w:rPr>
        <w:t>177</w:t>
      </w:r>
      <w:r w:rsidR="00640E8D" w:rsidRPr="008E179C">
        <w:rPr>
          <w:szCs w:val="24"/>
        </w:rPr>
        <w:t>Lu PSMA </w:t>
      </w:r>
      <w:proofErr w:type="spellStart"/>
      <w:r w:rsidR="00640E8D" w:rsidRPr="008E179C">
        <w:rPr>
          <w:szCs w:val="24"/>
        </w:rPr>
        <w:t>i&amp;t</w:t>
      </w:r>
      <w:proofErr w:type="spellEnd"/>
      <w:r w:rsidR="00640E8D" w:rsidRPr="008E179C">
        <w:rPr>
          <w:szCs w:val="24"/>
        </w:rPr>
        <w:t xml:space="preserve"> or </w:t>
      </w:r>
      <w:r w:rsidR="00640E8D" w:rsidRPr="008E179C">
        <w:rPr>
          <w:szCs w:val="24"/>
          <w:vertAlign w:val="superscript"/>
        </w:rPr>
        <w:t>177</w:t>
      </w:r>
      <w:r w:rsidR="00640E8D" w:rsidRPr="008E179C">
        <w:rPr>
          <w:szCs w:val="24"/>
        </w:rPr>
        <w:t>Lu PSMA-617.</w:t>
      </w:r>
      <w:r w:rsidR="002323F2" w:rsidRPr="008E179C">
        <w:rPr>
          <w:szCs w:val="24"/>
        </w:rPr>
        <w:t xml:space="preserve"> </w:t>
      </w:r>
    </w:p>
    <w:p w14:paraId="482F52A0" w14:textId="7F29CA75" w:rsidR="00A52DD2" w:rsidRDefault="00A52DD2" w:rsidP="00A52DD2">
      <w:r w:rsidRPr="008E179C">
        <w:t xml:space="preserve">MSAC noted that there were three items proposed for this service: one for PSMA PET/CT and two for </w:t>
      </w:r>
      <w:r w:rsidRPr="008E179C">
        <w:rPr>
          <w:vertAlign w:val="superscript"/>
        </w:rPr>
        <w:t>177</w:t>
      </w:r>
      <w:r w:rsidRPr="008E179C">
        <w:t>Lu</w:t>
      </w:r>
      <w:r w:rsidR="000439C5" w:rsidRPr="008E179C">
        <w:t> </w:t>
      </w:r>
      <w:r w:rsidRPr="008E179C">
        <w:t>PSMA</w:t>
      </w:r>
      <w:r w:rsidR="000439C5" w:rsidRPr="008E179C">
        <w:t> </w:t>
      </w:r>
      <w:proofErr w:type="spellStart"/>
      <w:r w:rsidR="000439C5" w:rsidRPr="008E179C">
        <w:t>i</w:t>
      </w:r>
      <w:r w:rsidR="000528B3" w:rsidRPr="008E179C">
        <w:t>&amp;t</w:t>
      </w:r>
      <w:proofErr w:type="spellEnd"/>
      <w:r w:rsidRPr="008E179C">
        <w:t xml:space="preserve"> treatment</w:t>
      </w:r>
      <w:r w:rsidR="000528B3" w:rsidRPr="008E179C">
        <w:t xml:space="preserve"> (referred to as </w:t>
      </w:r>
      <w:r w:rsidR="000528B3" w:rsidRPr="008E179C">
        <w:rPr>
          <w:vertAlign w:val="superscript"/>
        </w:rPr>
        <w:t>177</w:t>
      </w:r>
      <w:r w:rsidR="000528B3" w:rsidRPr="008E179C">
        <w:t>Lu-PSMA in proposed MBS items</w:t>
      </w:r>
      <w:r w:rsidR="00DE7083" w:rsidRPr="008E179C">
        <w:t xml:space="preserve"> for therapy</w:t>
      </w:r>
      <w:r w:rsidR="00206A4E" w:rsidRPr="008E179C">
        <w:t xml:space="preserve">; see </w:t>
      </w:r>
      <w:r w:rsidR="0043057C" w:rsidRPr="008E179C">
        <w:t>MBS item ZZZZ</w:t>
      </w:r>
      <w:r w:rsidR="00140B71" w:rsidRPr="008E179C">
        <w:t xml:space="preserve"> [initial treatment]</w:t>
      </w:r>
      <w:r w:rsidR="0043057C" w:rsidRPr="008E179C">
        <w:t xml:space="preserve"> in </w:t>
      </w:r>
      <w:r w:rsidR="00206A4E" w:rsidRPr="008E179C">
        <w:t>Table 3 and</w:t>
      </w:r>
      <w:r w:rsidR="0043057C" w:rsidRPr="008E179C">
        <w:t xml:space="preserve"> MBS item </w:t>
      </w:r>
      <w:r w:rsidR="00140B71" w:rsidRPr="008E179C">
        <w:t>YYYY [continuing treatment] in Table</w:t>
      </w:r>
      <w:r w:rsidR="00206A4E" w:rsidRPr="008E179C">
        <w:t xml:space="preserve"> 4</w:t>
      </w:r>
      <w:r w:rsidR="00DE7083" w:rsidRPr="008E179C">
        <w:t>)</w:t>
      </w:r>
      <w:r w:rsidRPr="008E179C">
        <w:t>. MSAC noted that the descriptor for PSMA PET/CT included the changes previously suggested by MSAC, but otherwise remained</w:t>
      </w:r>
      <w:r>
        <w:t xml:space="preserve"> unchanged from what was presented in the previous application. Conversely, unlike the previous application, </w:t>
      </w:r>
      <w:r>
        <w:rPr>
          <w:vertAlign w:val="superscript"/>
        </w:rPr>
        <w:t>177</w:t>
      </w:r>
      <w:r>
        <w:t>Lu</w:t>
      </w:r>
      <w:r w:rsidR="00B42E6A">
        <w:t> </w:t>
      </w:r>
      <w:r>
        <w:t>PSMA</w:t>
      </w:r>
      <w:r w:rsidR="001831DE">
        <w:t> </w:t>
      </w:r>
      <w:proofErr w:type="spellStart"/>
      <w:r w:rsidR="001831DE">
        <w:t>i&amp;t</w:t>
      </w:r>
      <w:proofErr w:type="spellEnd"/>
      <w:r>
        <w:t xml:space="preserve"> treatment was separated into two items that covered initial (</w:t>
      </w:r>
      <w:r w:rsidR="00E221AF">
        <w:t>up to</w:t>
      </w:r>
      <w:r w:rsidR="00B2256F">
        <w:t xml:space="preserve"> a maximum of</w:t>
      </w:r>
      <w:r w:rsidR="00E221AF">
        <w:t xml:space="preserve"> </w:t>
      </w:r>
      <w:r w:rsidR="00072144">
        <w:t>2 </w:t>
      </w:r>
      <w:r>
        <w:t>cycles) and continuing (</w:t>
      </w:r>
      <w:r w:rsidR="00836D29">
        <w:t xml:space="preserve">up to a maximum of </w:t>
      </w:r>
      <w:r w:rsidR="00072144">
        <w:t>4 </w:t>
      </w:r>
      <w:r>
        <w:t xml:space="preserve">cycles) treatment, with single-photon emission CT (SPECT) performed 24 hours post-infusion for each cycle. Eligibility for the continuing treatment item was only for those patients whose disease had not progressed </w:t>
      </w:r>
      <w:r w:rsidR="00621B10">
        <w:t>following the initia</w:t>
      </w:r>
      <w:r w:rsidR="006B290D">
        <w:t xml:space="preserve">l two cycles of </w:t>
      </w:r>
      <w:r>
        <w:rPr>
          <w:vertAlign w:val="superscript"/>
        </w:rPr>
        <w:t>177</w:t>
      </w:r>
      <w:r>
        <w:t>Lu</w:t>
      </w:r>
      <w:r w:rsidR="00583FF6">
        <w:t> </w:t>
      </w:r>
      <w:r>
        <w:t>PSMA</w:t>
      </w:r>
      <w:r w:rsidR="001831DE">
        <w:t> </w:t>
      </w:r>
      <w:proofErr w:type="spellStart"/>
      <w:r w:rsidR="001831DE">
        <w:t>i&amp;t</w:t>
      </w:r>
      <w:proofErr w:type="spellEnd"/>
      <w:r>
        <w:t xml:space="preserve"> treatment</w:t>
      </w:r>
      <w:r w:rsidR="00DB25C6">
        <w:t xml:space="preserve">. </w:t>
      </w:r>
      <w:r w:rsidR="00310C67">
        <w:t>It was</w:t>
      </w:r>
      <w:r w:rsidR="00DB25C6">
        <w:t xml:space="preserve"> proposed that </w:t>
      </w:r>
      <w:r w:rsidR="0083014F">
        <w:t>absence of</w:t>
      </w:r>
      <w:r w:rsidR="00DB25C6">
        <w:t xml:space="preserve"> </w:t>
      </w:r>
      <w:r w:rsidR="005A6436">
        <w:t>disease progression should be defined as</w:t>
      </w:r>
      <w:r>
        <w:t xml:space="preserve"> no PSA rise or </w:t>
      </w:r>
      <w:r w:rsidR="005A6436">
        <w:t xml:space="preserve">no </w:t>
      </w:r>
      <w:r>
        <w:t xml:space="preserve">new sites of soft tissue metastatic disease on CT. </w:t>
      </w:r>
      <w:r w:rsidRPr="00C2340A">
        <w:t xml:space="preserve">MSAC noted that this </w:t>
      </w:r>
      <w:r w:rsidR="005A6436">
        <w:t>new two-step approach</w:t>
      </w:r>
      <w:r w:rsidRPr="00C2340A">
        <w:t xml:space="preserve"> had implications for the economic model</w:t>
      </w:r>
      <w:r w:rsidR="00507CA9">
        <w:t xml:space="preserve"> (discussed below)</w:t>
      </w:r>
      <w:r w:rsidRPr="00C2340A">
        <w:t>.</w:t>
      </w:r>
    </w:p>
    <w:p w14:paraId="5A818E14" w14:textId="2367E7F1" w:rsidR="00A52DD2" w:rsidRDefault="00A52DD2" w:rsidP="00A52DD2">
      <w:r>
        <w:t xml:space="preserve">MSAC noted that the </w:t>
      </w:r>
      <w:r w:rsidR="00966724">
        <w:t xml:space="preserve">proposal </w:t>
      </w:r>
      <w:r w:rsidR="00EE5A3B">
        <w:t xml:space="preserve">for the </w:t>
      </w:r>
      <w:r>
        <w:t xml:space="preserve">initial phase of </w:t>
      </w:r>
      <w:r w:rsidR="007B684C">
        <w:rPr>
          <w:vertAlign w:val="superscript"/>
        </w:rPr>
        <w:t>177</w:t>
      </w:r>
      <w:r w:rsidR="007B684C">
        <w:t>Lu</w:t>
      </w:r>
      <w:r w:rsidR="00DE7083">
        <w:t> </w:t>
      </w:r>
      <w:r w:rsidR="007B684C">
        <w:t>PSMA</w:t>
      </w:r>
      <w:r w:rsidR="000C4472">
        <w:t> </w:t>
      </w:r>
      <w:proofErr w:type="spellStart"/>
      <w:r w:rsidR="000C4472">
        <w:t>i&amp;t</w:t>
      </w:r>
      <w:proofErr w:type="spellEnd"/>
      <w:r w:rsidR="007B684C">
        <w:t xml:space="preserve"> treatment to consist of </w:t>
      </w:r>
      <w:r>
        <w:t>two cycles was based on the results from Emmett et al. (2023)</w:t>
      </w:r>
      <w:r>
        <w:rPr>
          <w:rStyle w:val="FootnoteReference"/>
        </w:rPr>
        <w:footnoteReference w:id="3"/>
      </w:r>
      <w:r>
        <w:t xml:space="preserve"> (the Re-SPECT study)</w:t>
      </w:r>
      <w:r w:rsidR="006A4011">
        <w:t>. The study</w:t>
      </w:r>
      <w:r>
        <w:t xml:space="preserve"> found that both serum </w:t>
      </w:r>
      <w:r w:rsidR="00A37325">
        <w:t>prostate specific antigen (</w:t>
      </w:r>
      <w:r>
        <w:t>PSA</w:t>
      </w:r>
      <w:r w:rsidR="00A37325">
        <w:t>)</w:t>
      </w:r>
      <w:r>
        <w:t xml:space="preserve"> response and changes in tumour volume on a SPECT/CT scan can predict how patients will respond to treatment </w:t>
      </w:r>
      <w:r w:rsidR="00F06510">
        <w:t xml:space="preserve">after </w:t>
      </w:r>
      <w:r>
        <w:t>the second dose (</w:t>
      </w:r>
      <w:r w:rsidDel="00F06510">
        <w:t xml:space="preserve">or after </w:t>
      </w:r>
      <w:r>
        <w:t xml:space="preserve">six weeks), and that adjusting treatment intervals </w:t>
      </w:r>
      <w:r w:rsidR="00B549C9">
        <w:t xml:space="preserve">based on </w:t>
      </w:r>
      <w:r>
        <w:t xml:space="preserve">early response biomarkers may improve patient outcomes. </w:t>
      </w:r>
      <w:r w:rsidR="00882B0D">
        <w:t xml:space="preserve">Results from the Re-SPECT study </w:t>
      </w:r>
      <w:r w:rsidR="00703442">
        <w:t xml:space="preserve">also </w:t>
      </w:r>
      <w:r w:rsidR="00882B0D">
        <w:t xml:space="preserve">informed the applicant’s </w:t>
      </w:r>
      <w:r w:rsidR="00873C74">
        <w:t>approach</w:t>
      </w:r>
      <w:r w:rsidR="005A4F12">
        <w:t xml:space="preserve"> </w:t>
      </w:r>
      <w:r w:rsidR="003D1C73">
        <w:t>to provide</w:t>
      </w:r>
      <w:r w:rsidR="00574055">
        <w:t xml:space="preserve"> continuing </w:t>
      </w:r>
      <w:r w:rsidR="0044692C">
        <w:rPr>
          <w:vertAlign w:val="superscript"/>
        </w:rPr>
        <w:t>177</w:t>
      </w:r>
      <w:r w:rsidR="0044692C">
        <w:t>Lu</w:t>
      </w:r>
      <w:r w:rsidR="000C4472">
        <w:t> </w:t>
      </w:r>
      <w:r w:rsidR="0044692C">
        <w:t>PSMA</w:t>
      </w:r>
      <w:r w:rsidR="000C4472">
        <w:t> </w:t>
      </w:r>
      <w:proofErr w:type="spellStart"/>
      <w:r w:rsidR="000C4472">
        <w:t>i&amp;t</w:t>
      </w:r>
      <w:proofErr w:type="spellEnd"/>
      <w:r w:rsidR="0044692C">
        <w:t xml:space="preserve"> treatment</w:t>
      </w:r>
      <w:r w:rsidR="00574055">
        <w:t xml:space="preserve"> only to patients who </w:t>
      </w:r>
      <w:r w:rsidR="00AA53AB">
        <w:t>did not demonstrate disease progression</w:t>
      </w:r>
      <w:r w:rsidR="007C5FC7">
        <w:t xml:space="preserve"> and ceasing </w:t>
      </w:r>
      <w:r w:rsidR="00016303">
        <w:rPr>
          <w:vertAlign w:val="superscript"/>
        </w:rPr>
        <w:t>177</w:t>
      </w:r>
      <w:r w:rsidR="00016303">
        <w:t>Lu</w:t>
      </w:r>
      <w:r w:rsidR="000C4472">
        <w:t> </w:t>
      </w:r>
      <w:r w:rsidR="00016303">
        <w:t>PSMA</w:t>
      </w:r>
      <w:r w:rsidR="000C4472">
        <w:t> </w:t>
      </w:r>
      <w:proofErr w:type="spellStart"/>
      <w:r w:rsidR="000C4472">
        <w:t>i&amp;t</w:t>
      </w:r>
      <w:proofErr w:type="spellEnd"/>
      <w:r w:rsidR="00016303">
        <w:t xml:space="preserve"> </w:t>
      </w:r>
      <w:r w:rsidR="007C5FC7">
        <w:t>treat</w:t>
      </w:r>
      <w:r w:rsidR="008B122D">
        <w:t>ment in patients with early disease progression</w:t>
      </w:r>
      <w:r w:rsidR="00AA53AB">
        <w:t xml:space="preserve">. </w:t>
      </w:r>
      <w:r w:rsidR="00016303">
        <w:t xml:space="preserve">MSAC noted </w:t>
      </w:r>
      <w:r w:rsidR="0096496B">
        <w:t xml:space="preserve">ceasing </w:t>
      </w:r>
      <w:r w:rsidR="0096496B">
        <w:rPr>
          <w:vertAlign w:val="superscript"/>
        </w:rPr>
        <w:t>177</w:t>
      </w:r>
      <w:r w:rsidR="0096496B">
        <w:t>Lu</w:t>
      </w:r>
      <w:r w:rsidR="000C4472">
        <w:t> </w:t>
      </w:r>
      <w:r w:rsidR="0096496B">
        <w:t>PSMA</w:t>
      </w:r>
      <w:r w:rsidR="000C4472">
        <w:t> </w:t>
      </w:r>
      <w:proofErr w:type="spellStart"/>
      <w:r w:rsidR="000C4472">
        <w:t>i&amp;t</w:t>
      </w:r>
      <w:proofErr w:type="spellEnd"/>
      <w:r w:rsidR="0096496B">
        <w:t xml:space="preserve"> treatment in patients</w:t>
      </w:r>
      <w:r w:rsidR="00016303">
        <w:t xml:space="preserve"> with early disease progression may </w:t>
      </w:r>
      <w:r w:rsidR="0096496B">
        <w:t>give</w:t>
      </w:r>
      <w:r w:rsidR="00016303">
        <w:t xml:space="preserve"> the</w:t>
      </w:r>
      <w:r w:rsidR="007B0823">
        <w:t>m the</w:t>
      </w:r>
      <w:r w:rsidR="00016303">
        <w:t xml:space="preserve"> opportunity </w:t>
      </w:r>
      <w:r w:rsidR="007B0823">
        <w:t>to access</w:t>
      </w:r>
      <w:r w:rsidR="00016303">
        <w:t xml:space="preserve"> alternative, potentially </w:t>
      </w:r>
      <w:r w:rsidR="007B0823">
        <w:t xml:space="preserve">more </w:t>
      </w:r>
      <w:r w:rsidR="00016303">
        <w:t>effective treatment</w:t>
      </w:r>
      <w:r w:rsidR="0096496B">
        <w:t xml:space="preserve">. </w:t>
      </w:r>
      <w:r>
        <w:t xml:space="preserve">Overall, </w:t>
      </w:r>
      <w:r w:rsidRPr="00117A94">
        <w:t xml:space="preserve">MSAC considered it appropriate to </w:t>
      </w:r>
      <w:r>
        <w:t>separate</w:t>
      </w:r>
      <w:r w:rsidRPr="00117A94">
        <w:t xml:space="preserve"> </w:t>
      </w:r>
      <w:r w:rsidRPr="00117A94">
        <w:rPr>
          <w:vertAlign w:val="superscript"/>
        </w:rPr>
        <w:t>177</w:t>
      </w:r>
      <w:r w:rsidRPr="00117A94">
        <w:t>Lu PSMA</w:t>
      </w:r>
      <w:r w:rsidR="00B0693D">
        <w:t> </w:t>
      </w:r>
      <w:proofErr w:type="spellStart"/>
      <w:r w:rsidR="00B0693D">
        <w:t>i&amp;t</w:t>
      </w:r>
      <w:proofErr w:type="spellEnd"/>
      <w:r w:rsidRPr="00117A94">
        <w:t xml:space="preserve"> treatment into initial (two cycles) and continuing (four cycles) treatment items.</w:t>
      </w:r>
    </w:p>
    <w:p w14:paraId="373479D2" w14:textId="6439D041" w:rsidR="00A52DD2" w:rsidRDefault="00DA2FEA" w:rsidP="00A52DD2">
      <w:r>
        <w:lastRenderedPageBreak/>
        <w:t xml:space="preserve">The Re-SPECT study also found that allowing men who showed good treatment response based on biomarker levels (35% of cohort) to have a treatment break </w:t>
      </w:r>
      <w:r w:rsidR="00ED423C">
        <w:t xml:space="preserve">or </w:t>
      </w:r>
      <w:r w:rsidR="00AF4BC1">
        <w:t>“</w:t>
      </w:r>
      <w:r w:rsidR="00ED423C">
        <w:t>treatment holiday</w:t>
      </w:r>
      <w:r w:rsidR="00AF4BC1">
        <w:t>”</w:t>
      </w:r>
      <w:r>
        <w:t xml:space="preserve"> (for a median of six months), may improve quality of life in men who often have treatment fatigue and side effects.</w:t>
      </w:r>
      <w:r w:rsidR="006456ED">
        <w:t xml:space="preserve"> This approach may lead to lower costs associated with reduced utilisation of the intervention and thus possibly improved cost-effectiveness.</w:t>
      </w:r>
      <w:r>
        <w:t xml:space="preserve"> </w:t>
      </w:r>
      <w:r w:rsidR="00A52DD2">
        <w:t xml:space="preserve">MSAC considered that, while there should be an allowance for a “treatment holiday” for those patients who respond early and well to treatment, it did not need to be specified in the item descriptor and should be left to clinical judgement. MSAC noted that the pre-MSAC response agreed </w:t>
      </w:r>
      <w:r w:rsidR="00DB7608">
        <w:t>as a treatment holiday could be incorporated in the treatment regimen if the patient does not progress during the holiday and the treating physician considers it clinically appropriate</w:t>
      </w:r>
      <w:r w:rsidR="00E73E66">
        <w:t>.</w:t>
      </w:r>
    </w:p>
    <w:p w14:paraId="6980DE70" w14:textId="64BC9422" w:rsidR="00A52DD2" w:rsidRDefault="3558D225" w:rsidP="00A52DD2">
      <w:r>
        <w:t>MSAC further considered the assessment of disease response and progression. MSAC noted that the applicant agreed that a 50% or more reduction in PSA (based on the Re-SPECT study), as well as SPECT/CT</w:t>
      </w:r>
      <w:r w:rsidR="789A390B">
        <w:t xml:space="preserve"> </w:t>
      </w:r>
      <w:r w:rsidR="789A390B" w:rsidRPr="1C880F1B">
        <w:rPr>
          <w:rFonts w:eastAsia="Calibri" w:cs="Calibri"/>
        </w:rPr>
        <w:t>24 hours following each treatment</w:t>
      </w:r>
      <w:r>
        <w:t xml:space="preserve">, were the best ways to assess treatment response. </w:t>
      </w:r>
      <w:r w:rsidR="1FE074B4">
        <w:t xml:space="preserve">Regarding the timing of response assessment, MSAC noted from the Re-SPECT study that progression may be determined as early as week six (or one day after the second dose is given), rather than at 12 weeks (or just before the third cycle). </w:t>
      </w:r>
      <w:r w:rsidR="4669B593">
        <w:t xml:space="preserve">MSAC </w:t>
      </w:r>
      <w:r w:rsidR="1011F035">
        <w:t>considered</w:t>
      </w:r>
      <w:r w:rsidR="4669B593">
        <w:t xml:space="preserve"> that the timing of the assessment </w:t>
      </w:r>
      <w:r w:rsidR="49B524FA">
        <w:t>did not need to be specified in the item descriptor</w:t>
      </w:r>
      <w:r w:rsidR="676E9A0C">
        <w:t xml:space="preserve">. </w:t>
      </w:r>
      <w:r>
        <w:t xml:space="preserve">For the assessment of disease progression, MSAC </w:t>
      </w:r>
      <w:r w:rsidR="79C8EA99">
        <w:t>noted</w:t>
      </w:r>
      <w:r w:rsidR="5004DB7F">
        <w:t xml:space="preserve"> the</w:t>
      </w:r>
      <w:r>
        <w:t xml:space="preserve"> applicant</w:t>
      </w:r>
      <w:r w:rsidR="79C8EA99">
        <w:t xml:space="preserve"> proposed</w:t>
      </w:r>
      <w:r w:rsidR="33A647B8">
        <w:t xml:space="preserve"> an amendment</w:t>
      </w:r>
      <w:r w:rsidR="79C8EA99">
        <w:t xml:space="preserve"> </w:t>
      </w:r>
      <w:r w:rsidR="0D64EBD5">
        <w:t>that the disease progression</w:t>
      </w:r>
      <w:r>
        <w:t xml:space="preserve"> </w:t>
      </w:r>
      <w:r w:rsidR="6135F82D">
        <w:t>would be define</w:t>
      </w:r>
      <w:r w:rsidR="67371EDB">
        <w:t xml:space="preserve">d </w:t>
      </w:r>
      <w:r w:rsidR="5004DB7F">
        <w:t xml:space="preserve">in the item descriptor </w:t>
      </w:r>
      <w:r w:rsidR="67371EDB">
        <w:t>as</w:t>
      </w:r>
      <w:r w:rsidR="5004DB7F">
        <w:t xml:space="preserve"> an</w:t>
      </w:r>
      <w:r w:rsidR="67371EDB">
        <w:t xml:space="preserve"> </w:t>
      </w:r>
      <w:r w:rsidR="0D64EBD5">
        <w:t>‘</w:t>
      </w:r>
      <w:r w:rsidR="67371EDB">
        <w:t>inc</w:t>
      </w:r>
      <w:r w:rsidR="5004DB7F">
        <w:t>rease</w:t>
      </w:r>
      <w:r>
        <w:t xml:space="preserve"> in serum PSA of at least 25% and at least 2 ng/mL</w:t>
      </w:r>
      <w:r w:rsidR="7421AF7E">
        <w:t xml:space="preserve"> after 12 weeks or evidence of new soft tissue metastases on diagnostic CT</w:t>
      </w:r>
      <w:r w:rsidR="0D64EBD5">
        <w:t>’</w:t>
      </w:r>
      <w:r>
        <w:t xml:space="preserve">. MSAC </w:t>
      </w:r>
      <w:r w:rsidR="7996246D">
        <w:t>noted</w:t>
      </w:r>
      <w:r>
        <w:t xml:space="preserve"> that the Response Evaluation Criteria in PSMA-PET/CT (RECIP) 1.0 could be </w:t>
      </w:r>
      <w:r w:rsidR="74D9D7F1">
        <w:t>used to</w:t>
      </w:r>
      <w:r w:rsidR="2219D2BE">
        <w:t xml:space="preserve"> assess</w:t>
      </w:r>
      <w:r w:rsidR="3E8ADB3D">
        <w:t xml:space="preserve"> </w:t>
      </w:r>
      <w:r w:rsidR="4B87F9C1">
        <w:t>disease progression</w:t>
      </w:r>
      <w:r w:rsidR="515ED31A">
        <w:t>, however</w:t>
      </w:r>
      <w:r w:rsidR="74D9D7F1">
        <w:t xml:space="preserve"> </w:t>
      </w:r>
      <w:r w:rsidR="59FED469">
        <w:t>considered</w:t>
      </w:r>
      <w:r w:rsidR="1E09F87B">
        <w:t xml:space="preserve"> that </w:t>
      </w:r>
      <w:r>
        <w:t xml:space="preserve">any further tests </w:t>
      </w:r>
      <w:r w:rsidR="1E09F87B">
        <w:t xml:space="preserve">needed </w:t>
      </w:r>
      <w:r w:rsidR="562D182F">
        <w:t>to assess disease progression</w:t>
      </w:r>
      <w:r>
        <w:t xml:space="preserve"> could be left to clinical judgement</w:t>
      </w:r>
      <w:r w:rsidR="1E09F87B">
        <w:t xml:space="preserve"> and did not need</w:t>
      </w:r>
      <w:r w:rsidR="35CB73DF">
        <w:t xml:space="preserve"> to be specified in the item descriptor</w:t>
      </w:r>
      <w:r>
        <w:t>.</w:t>
      </w:r>
    </w:p>
    <w:p w14:paraId="4A6E0EBD" w14:textId="26F13DEE" w:rsidR="007D3A7E" w:rsidRDefault="007D3A7E" w:rsidP="00A52DD2">
      <w:r>
        <w:t xml:space="preserve">MSAC </w:t>
      </w:r>
      <w:r w:rsidR="004A4D8D">
        <w:t>recalled that the proposed fee of $8,000 per dose would be sufficient to cover the costs of safe delivery of the service across all settings in Australia.</w:t>
      </w:r>
    </w:p>
    <w:p w14:paraId="005AE230" w14:textId="0703D370" w:rsidR="00314A23" w:rsidRDefault="00A52DD2" w:rsidP="00A52DD2">
      <w:r>
        <w:t xml:space="preserve">MSAC noted that the </w:t>
      </w:r>
      <w:r w:rsidR="001B4E9A">
        <w:t>structure</w:t>
      </w:r>
      <w:r w:rsidR="00E25723">
        <w:t xml:space="preserve"> of the</w:t>
      </w:r>
      <w:r w:rsidR="001B4E9A">
        <w:t xml:space="preserve"> </w:t>
      </w:r>
      <w:r>
        <w:t xml:space="preserve">economic model, which was based on a cost-effectiveness and cost-utility analysis, was unchanged from the previous application. The model used a proportional hazards approach and partitioned survival model, with a cycle length of one week and using three health states. </w:t>
      </w:r>
      <w:r w:rsidR="00314A23">
        <w:t xml:space="preserve">MSAC noted that the ICER in the resubmission was $73,622, which was less than the ICER in the </w:t>
      </w:r>
      <w:r w:rsidR="008669C8">
        <w:t>previous</w:t>
      </w:r>
      <w:r w:rsidR="00314A23">
        <w:t xml:space="preserve"> submission ($81,653).</w:t>
      </w:r>
    </w:p>
    <w:p w14:paraId="27D6280C" w14:textId="28F5A3FD" w:rsidR="00A52DD2" w:rsidRDefault="0013123F" w:rsidP="00AB49AA">
      <w:r>
        <w:rPr>
          <w:rFonts w:cs="Calibri"/>
        </w:rPr>
        <w:t>MSAC considered that the new two-step approach to treatment whereby treatment is split into initial (</w:t>
      </w:r>
      <w:r w:rsidR="00147A43">
        <w:rPr>
          <w:rFonts w:cs="Calibri"/>
        </w:rPr>
        <w:t xml:space="preserve">up to </w:t>
      </w:r>
      <w:r>
        <w:rPr>
          <w:rFonts w:cs="Calibri"/>
        </w:rPr>
        <w:t>2 cycles) and continuing treatment (</w:t>
      </w:r>
      <w:r w:rsidR="00147A43">
        <w:rPr>
          <w:rFonts w:cs="Calibri"/>
        </w:rPr>
        <w:t xml:space="preserve">3-6 </w:t>
      </w:r>
      <w:r>
        <w:rPr>
          <w:rFonts w:cs="Calibri"/>
        </w:rPr>
        <w:t>cycles) was appropriate but that the model</w:t>
      </w:r>
      <w:r w:rsidR="00C050DA">
        <w:rPr>
          <w:rFonts w:cs="Calibri"/>
        </w:rPr>
        <w:t xml:space="preserve"> structure</w:t>
      </w:r>
      <w:r w:rsidR="00772133">
        <w:rPr>
          <w:rFonts w:cs="Calibri"/>
        </w:rPr>
        <w:t xml:space="preserve"> </w:t>
      </w:r>
      <w:r w:rsidR="00100847">
        <w:rPr>
          <w:rFonts w:cs="Calibri"/>
        </w:rPr>
        <w:t>u</w:t>
      </w:r>
      <w:r w:rsidR="00772133">
        <w:rPr>
          <w:rFonts w:cs="Calibri"/>
        </w:rPr>
        <w:t xml:space="preserve">sed in the economic evaluation </w:t>
      </w:r>
      <w:r w:rsidR="00100847">
        <w:rPr>
          <w:rFonts w:cs="Calibri"/>
        </w:rPr>
        <w:t xml:space="preserve">did not </w:t>
      </w:r>
      <w:r w:rsidR="00C050DA">
        <w:rPr>
          <w:rFonts w:cs="Calibri"/>
        </w:rPr>
        <w:t xml:space="preserve">capture </w:t>
      </w:r>
      <w:r w:rsidR="00CF0A7E">
        <w:rPr>
          <w:rFonts w:cs="Calibri"/>
        </w:rPr>
        <w:t>each step</w:t>
      </w:r>
      <w:r w:rsidR="00671386">
        <w:rPr>
          <w:rFonts w:cs="Calibri"/>
        </w:rPr>
        <w:t xml:space="preserve"> </w:t>
      </w:r>
      <w:r w:rsidR="00C20714">
        <w:rPr>
          <w:rFonts w:cs="Calibri"/>
        </w:rPr>
        <w:t>separately</w:t>
      </w:r>
      <w:r w:rsidR="0061203A">
        <w:rPr>
          <w:rFonts w:cs="Calibri"/>
        </w:rPr>
        <w:t>.</w:t>
      </w:r>
      <w:r w:rsidR="003C3251">
        <w:rPr>
          <w:rFonts w:cs="Calibri"/>
        </w:rPr>
        <w:t xml:space="preserve"> </w:t>
      </w:r>
      <w:r w:rsidR="00C34244">
        <w:rPr>
          <w:rFonts w:cs="Calibri"/>
        </w:rPr>
        <w:t xml:space="preserve">For example, </w:t>
      </w:r>
      <w:r w:rsidR="000E77B2">
        <w:t xml:space="preserve">the model allowed patients to exit treatment weekly </w:t>
      </w:r>
      <w:r w:rsidR="00A52DD2">
        <w:t xml:space="preserve">(after each </w:t>
      </w:r>
      <w:r w:rsidR="00AC2568">
        <w:t xml:space="preserve">model </w:t>
      </w:r>
      <w:r w:rsidR="00A52DD2">
        <w:t>cycle)</w:t>
      </w:r>
      <w:r w:rsidR="000E77B2">
        <w:t xml:space="preserve">; </w:t>
      </w:r>
      <w:r w:rsidR="00F8444F" w:rsidRPr="00F8444F">
        <w:t>however, MSAC considered this to be clinically unrealistic as it was more likely that a group of patients would stop treatment after two cycles (once they were determined to be non-responders).</w:t>
      </w:r>
      <w:r w:rsidR="00923B82">
        <w:t xml:space="preserve"> MSAC considered this may lower the ICER</w:t>
      </w:r>
      <w:r w:rsidR="00D52FD3">
        <w:t xml:space="preserve"> </w:t>
      </w:r>
      <w:r w:rsidR="00DB6674">
        <w:t>as a greater proportion of non-responders would leave the model after the first or second cycle.</w:t>
      </w:r>
      <w:r w:rsidR="00923B82">
        <w:t xml:space="preserve"> </w:t>
      </w:r>
      <w:r w:rsidR="001B0B59">
        <w:t xml:space="preserve"> </w:t>
      </w:r>
      <w:r w:rsidR="00163CFC">
        <w:t xml:space="preserve">MSAC considered </w:t>
      </w:r>
      <w:r w:rsidR="006C4656">
        <w:t>any revised model should capture the</w:t>
      </w:r>
      <w:r w:rsidR="00163CFC">
        <w:t xml:space="preserve"> difference in probability of response in the first 2 cycles over the following 4 cycles</w:t>
      </w:r>
      <w:r w:rsidR="00FA30D8">
        <w:t xml:space="preserve"> as demonstrated in the </w:t>
      </w:r>
      <w:r w:rsidR="00156266">
        <w:t>Re</w:t>
      </w:r>
      <w:r w:rsidR="0037620C">
        <w:t>-SPECT study</w:t>
      </w:r>
      <w:r w:rsidR="006C4656">
        <w:t>.</w:t>
      </w:r>
    </w:p>
    <w:p w14:paraId="6D2D250B" w14:textId="49CD3D04" w:rsidR="00A52DD2" w:rsidRDefault="00A52DD2" w:rsidP="00A52DD2">
      <w:r>
        <w:t xml:space="preserve">MSAC also noted that the model used </w:t>
      </w:r>
      <w:r w:rsidR="00B934CE">
        <w:t>Time on Treatment</w:t>
      </w:r>
      <w:r>
        <w:t xml:space="preserve"> </w:t>
      </w:r>
      <w:r w:rsidR="00B934CE">
        <w:t>(</w:t>
      </w:r>
      <w:proofErr w:type="spellStart"/>
      <w:r>
        <w:t>ToT</w:t>
      </w:r>
      <w:proofErr w:type="spellEnd"/>
      <w:r w:rsidR="00B934CE">
        <w:t>)</w:t>
      </w:r>
      <w:r>
        <w:t xml:space="preserve"> to calculate the cost of </w:t>
      </w:r>
      <w:r>
        <w:rPr>
          <w:vertAlign w:val="superscript"/>
        </w:rPr>
        <w:t>177</w:t>
      </w:r>
      <w:r>
        <w:t>Lu</w:t>
      </w:r>
      <w:r w:rsidR="007371FE">
        <w:t> </w:t>
      </w:r>
      <w:r>
        <w:t>PSMA</w:t>
      </w:r>
      <w:r w:rsidR="00DA4FCB">
        <w:t> </w:t>
      </w:r>
      <w:proofErr w:type="spellStart"/>
      <w:r w:rsidR="00DA4FCB">
        <w:t>i&amp;t</w:t>
      </w:r>
      <w:proofErr w:type="spellEnd"/>
      <w:r>
        <w:t xml:space="preserve"> treatment cycles. This resulted in the unit cost for </w:t>
      </w:r>
      <w:r>
        <w:rPr>
          <w:vertAlign w:val="superscript"/>
        </w:rPr>
        <w:t>177</w:t>
      </w:r>
      <w:r>
        <w:t>Lu</w:t>
      </w:r>
      <w:r w:rsidR="007371FE">
        <w:t> </w:t>
      </w:r>
      <w:r>
        <w:t>PSMA</w:t>
      </w:r>
      <w:r w:rsidR="00DA4FCB">
        <w:t> </w:t>
      </w:r>
      <w:proofErr w:type="spellStart"/>
      <w:r w:rsidR="00DA4FCB">
        <w:t>i&amp;t</w:t>
      </w:r>
      <w:proofErr w:type="spellEnd"/>
      <w:r>
        <w:t xml:space="preserve"> treatment only applying to progression-free patients, with the implicit assumption that only progression-free patients remain eligible for treatment on a week-by-week basis. MSAC noted that, in the original model, </w:t>
      </w:r>
      <w:proofErr w:type="spellStart"/>
      <w:r>
        <w:t>ToT</w:t>
      </w:r>
      <w:proofErr w:type="spellEnd"/>
      <w:r>
        <w:t xml:space="preserve"> was equal to progression-free survival (PFS) extracted from the graphical representation of the Kaplan—Meier survival data from the </w:t>
      </w:r>
      <w:r w:rsidR="00AA1B2A">
        <w:t xml:space="preserve">VISION </w:t>
      </w:r>
      <w:r>
        <w:t xml:space="preserve">trial. In the revised model, </w:t>
      </w:r>
      <w:proofErr w:type="spellStart"/>
      <w:r>
        <w:t>ToT</w:t>
      </w:r>
      <w:proofErr w:type="spellEnd"/>
      <w:r>
        <w:t xml:space="preserve"> was decoupled from PFS and, for the first 36 weeks (the maximum duration of the six cycles of </w:t>
      </w:r>
      <w:r>
        <w:lastRenderedPageBreak/>
        <w:t xml:space="preserve">treatment), was based on the Kaplan—Meier survival data from the </w:t>
      </w:r>
      <w:proofErr w:type="spellStart"/>
      <w:r>
        <w:t>TheraP</w:t>
      </w:r>
      <w:proofErr w:type="spellEnd"/>
      <w:r>
        <w:t xml:space="preserve"> trial. Apart from the </w:t>
      </w:r>
      <w:proofErr w:type="spellStart"/>
      <w:r>
        <w:t>ToT</w:t>
      </w:r>
      <w:proofErr w:type="spellEnd"/>
      <w:r>
        <w:t xml:space="preserve"> values used in cost calculation, the rest of the model (that is, PFS, OS [overall survival], LYs [life years] and QALYs) remained linked to Kaplan—Meier data from the VISION trial for the entire span of the model, starting from week one. MSAC considered this to violate the model’s integrity, as it introduced inconsistencies in the model treatment of costs and gains. MSAC noted that using this approach for the economic model reduced the total cost of treatment by 21%, as </w:t>
      </w:r>
      <w:proofErr w:type="spellStart"/>
      <w:r>
        <w:t>TheraP</w:t>
      </w:r>
      <w:proofErr w:type="spellEnd"/>
      <w:r>
        <w:t xml:space="preserve"> had a higher rate of progression than the VISION trial and, therefore, a lower rate of patients remaining on treatment. MSAC noted that</w:t>
      </w:r>
      <w:r w:rsidR="00445134">
        <w:t xml:space="preserve"> t</w:t>
      </w:r>
      <w:r w:rsidR="00445134" w:rsidRPr="00445134">
        <w:t>here was no adjustment in the cost calculation that would correspond to the initial treatment phase item descriptor, wh</w:t>
      </w:r>
      <w:r w:rsidR="00442368">
        <w:t>ich</w:t>
      </w:r>
      <w:r w:rsidR="00445134" w:rsidRPr="00445134">
        <w:t xml:space="preserve"> for the first two cycles (12 weeks of treatment) the </w:t>
      </w:r>
      <w:r w:rsidR="00445134" w:rsidRPr="00AB49AA">
        <w:rPr>
          <w:vertAlign w:val="superscript"/>
        </w:rPr>
        <w:t>177</w:t>
      </w:r>
      <w:r w:rsidR="00445134" w:rsidRPr="00445134">
        <w:t>Lu</w:t>
      </w:r>
      <w:r w:rsidR="002A4F75">
        <w:t> </w:t>
      </w:r>
      <w:r w:rsidR="00445134" w:rsidRPr="00445134">
        <w:t>PSMA</w:t>
      </w:r>
      <w:r w:rsidR="002A4F75">
        <w:t> </w:t>
      </w:r>
      <w:proofErr w:type="spellStart"/>
      <w:r w:rsidR="002A4F75">
        <w:t>i</w:t>
      </w:r>
      <w:r w:rsidR="005449D7">
        <w:t>&amp;t</w:t>
      </w:r>
      <w:proofErr w:type="spellEnd"/>
      <w:r w:rsidR="00445134" w:rsidRPr="00445134">
        <w:t xml:space="preserve"> unit cost would apply to all surviving patients, whether remaining progression-free or not</w:t>
      </w:r>
      <w:r w:rsidR="00112A6D">
        <w:t xml:space="preserve">. When this was </w:t>
      </w:r>
      <w:r w:rsidR="001C04FD">
        <w:t>corrected for during evaluation</w:t>
      </w:r>
      <w:r w:rsidR="00F502F5">
        <w:t xml:space="preserve"> using the VISION trial survival data to determine </w:t>
      </w:r>
      <w:proofErr w:type="spellStart"/>
      <w:r w:rsidR="00F502F5">
        <w:t>ToT</w:t>
      </w:r>
      <w:proofErr w:type="spellEnd"/>
      <w:r w:rsidR="00C36600">
        <w:t xml:space="preserve"> in</w:t>
      </w:r>
      <w:r w:rsidR="001A2A1E">
        <w:t xml:space="preserve"> one-way sensitivity analyses</w:t>
      </w:r>
      <w:r w:rsidR="00BF5EC7">
        <w:t>,</w:t>
      </w:r>
      <w:r w:rsidR="001A2A1E">
        <w:t xml:space="preserve"> </w:t>
      </w:r>
      <w:r w:rsidR="00ED45E0">
        <w:t xml:space="preserve">the </w:t>
      </w:r>
      <w:r>
        <w:t xml:space="preserve">ICER </w:t>
      </w:r>
      <w:r w:rsidR="00ED45E0">
        <w:t xml:space="preserve">increased </w:t>
      </w:r>
      <w:r>
        <w:t>by 29%, to $94,936</w:t>
      </w:r>
      <w:r w:rsidR="00451CE7">
        <w:t>.</w:t>
      </w:r>
      <w:r w:rsidR="00F502F5">
        <w:t xml:space="preserve"> MSAC considered th</w:t>
      </w:r>
      <w:r w:rsidR="00E679FC">
        <w:t xml:space="preserve">ese plausible estimates to </w:t>
      </w:r>
      <w:r w:rsidR="00F502F5">
        <w:t>be the key source of uncertainty</w:t>
      </w:r>
      <w:r w:rsidR="00ED2938">
        <w:t xml:space="preserve"> </w:t>
      </w:r>
      <w:r w:rsidR="0096187F">
        <w:t>as to whether</w:t>
      </w:r>
      <w:r w:rsidR="00191602">
        <w:t xml:space="preserve"> </w:t>
      </w:r>
      <w:r w:rsidR="00191602">
        <w:rPr>
          <w:vertAlign w:val="superscript"/>
        </w:rPr>
        <w:t>177</w:t>
      </w:r>
      <w:r w:rsidR="00191602">
        <w:t>Lu</w:t>
      </w:r>
      <w:r w:rsidR="00DA4FCB">
        <w:t> </w:t>
      </w:r>
      <w:r w:rsidR="00191602">
        <w:t>PSMA</w:t>
      </w:r>
      <w:r w:rsidR="00DA4FCB">
        <w:t> </w:t>
      </w:r>
      <w:proofErr w:type="spellStart"/>
      <w:r w:rsidR="00DA4FCB">
        <w:t>i&amp;t</w:t>
      </w:r>
      <w:proofErr w:type="spellEnd"/>
      <w:r w:rsidR="00191602">
        <w:t xml:space="preserve"> therapy would be acceptably cost-effective.</w:t>
      </w:r>
    </w:p>
    <w:p w14:paraId="77F30D28" w14:textId="57BB32C8" w:rsidR="00A52DD2" w:rsidRDefault="00A52DD2" w:rsidP="00A52DD2">
      <w:r>
        <w:t xml:space="preserve">Regarding treatment-dependent utilities, MSAC noted that the utility in the PFS state was a weighted average of cabazitaxel and </w:t>
      </w:r>
      <w:r w:rsidR="00257E1A">
        <w:t>best supportive care</w:t>
      </w:r>
      <w:r>
        <w:t>. In the original model, treatment-agnostic utility values were used for the health states (PFS = 0.74; progressed disease [PD] = 0.59; death = 0), but the revised model used treatment-specific utilities (</w:t>
      </w:r>
      <w:r>
        <w:rPr>
          <w:vertAlign w:val="superscript"/>
        </w:rPr>
        <w:t>177</w:t>
      </w:r>
      <w:r>
        <w:t>Lu</w:t>
      </w:r>
      <w:r w:rsidR="00751EB9">
        <w:t> </w:t>
      </w:r>
      <w:r>
        <w:t>PSMA</w:t>
      </w:r>
      <w:r w:rsidR="00751EB9">
        <w:t> </w:t>
      </w:r>
      <w:proofErr w:type="spellStart"/>
      <w:r w:rsidR="00751EB9">
        <w:t>i&amp;t</w:t>
      </w:r>
      <w:proofErr w:type="spellEnd"/>
      <w:r>
        <w:t xml:space="preserve"> = 0.74; </w:t>
      </w:r>
      <w:proofErr w:type="spellStart"/>
      <w:r>
        <w:t>cabazitaxel</w:t>
      </w:r>
      <w:proofErr w:type="spellEnd"/>
      <w:r>
        <w:t>/</w:t>
      </w:r>
      <w:r w:rsidR="00AD751E" w:rsidRPr="00AD751E">
        <w:t xml:space="preserve"> </w:t>
      </w:r>
      <w:r w:rsidR="00AD751E">
        <w:t>best supportive care</w:t>
      </w:r>
      <w:r>
        <w:t xml:space="preserve"> = 0.62; weighted cabazitaxel+</w:t>
      </w:r>
      <w:r w:rsidR="00AD751E" w:rsidRPr="00AD751E">
        <w:t xml:space="preserve"> </w:t>
      </w:r>
      <w:r w:rsidR="00AD751E">
        <w:t>best supportive care</w:t>
      </w:r>
      <w:r>
        <w:t xml:space="preserve"> utility of PD = 0.59). MSAC considered that treatment-specific utilities may not be reasonable, as there is a complex non-linear relationship between the type of treatment, the stage of disease progression, symptoms (including adverse events) and quality of life (QoL). MSAC also noted that </w:t>
      </w:r>
      <w:r w:rsidR="002869C0">
        <w:t>best supportive care</w:t>
      </w:r>
      <w:r>
        <w:t xml:space="preserve"> was given the same utility in the PFS state as in the PD state (0.59), which it did not consider reasonable. MSAC noted that this created a QoL increment that favoured the intervention; using a utility of 0.74 for </w:t>
      </w:r>
      <w:r w:rsidR="002869C0">
        <w:t>best supportive care</w:t>
      </w:r>
      <w:r w:rsidR="002869C0" w:rsidDel="002869C0">
        <w:t xml:space="preserve"> </w:t>
      </w:r>
      <w:r>
        <w:t>in the PFS state increased the ICER by 16%. MSAC noted that, apart from the disutility of 0.04 that</w:t>
      </w:r>
      <w:r w:rsidR="00185779">
        <w:t xml:space="preserve"> </w:t>
      </w:r>
      <w:r>
        <w:t>applied to cabazitaxel patients (to reflect its toxicity), there was no other treatment-specific utility estimate in the proposed population that could be used in the PFS health state with any degree of certainty. MSAC noted th</w:t>
      </w:r>
      <w:r w:rsidR="00081E72">
        <w:t xml:space="preserve">e </w:t>
      </w:r>
      <w:r>
        <w:t>pre-MSAC response,</w:t>
      </w:r>
      <w:r w:rsidR="00994BB8">
        <w:t xml:space="preserve"> </w:t>
      </w:r>
      <w:r w:rsidR="00081E72">
        <w:t xml:space="preserve">which </w:t>
      </w:r>
      <w:r>
        <w:t xml:space="preserve">the applicant acknowledged the </w:t>
      </w:r>
      <w:r w:rsidR="008D6834" w:rsidRPr="008D6834">
        <w:t>uncertainties</w:t>
      </w:r>
      <w:r w:rsidR="00AC7C6E">
        <w:t xml:space="preserve"> with the selected</w:t>
      </w:r>
      <w:r w:rsidR="00FB515F">
        <w:t xml:space="preserve"> utility values</w:t>
      </w:r>
      <w:r w:rsidR="00893557">
        <w:t xml:space="preserve"> and </w:t>
      </w:r>
      <w:r w:rsidR="005328FD">
        <w:t>provided additional one-way sensitivity</w:t>
      </w:r>
      <w:r w:rsidR="00D95850">
        <w:t xml:space="preserve"> and scenario</w:t>
      </w:r>
      <w:r w:rsidR="005328FD">
        <w:t xml:space="preserve"> analys</w:t>
      </w:r>
      <w:r w:rsidR="0021445B">
        <w:t>e</w:t>
      </w:r>
      <w:r w:rsidR="005328FD">
        <w:t xml:space="preserve">s </w:t>
      </w:r>
      <w:r w:rsidR="00377B34">
        <w:t xml:space="preserve">which attempted to address </w:t>
      </w:r>
      <w:r w:rsidR="005043E3">
        <w:t xml:space="preserve">the </w:t>
      </w:r>
      <w:r w:rsidR="009B7D4C" w:rsidRPr="009B7D4C">
        <w:t>ESC’s concerns</w:t>
      </w:r>
      <w:r w:rsidR="00EE3042">
        <w:t xml:space="preserve"> (see Table 10). MSAC </w:t>
      </w:r>
      <w:r w:rsidR="009427F1">
        <w:t xml:space="preserve">noted that </w:t>
      </w:r>
      <w:r w:rsidR="005A5EF8">
        <w:t xml:space="preserve">this resulted </w:t>
      </w:r>
      <w:r w:rsidR="009427F1">
        <w:t>in a moderate impact on the base case ICER (increase of 10-16%).</w:t>
      </w:r>
    </w:p>
    <w:p w14:paraId="424CA29B" w14:textId="4E6A3903" w:rsidR="00A52DD2" w:rsidRDefault="00A52DD2" w:rsidP="00A52DD2">
      <w:r>
        <w:t xml:space="preserve">MSAC considered the time horizon used in the economic model. The original model used a time horizon of 10 years. In its </w:t>
      </w:r>
      <w:r w:rsidR="005D1F79">
        <w:t xml:space="preserve">previous </w:t>
      </w:r>
      <w:r>
        <w:t xml:space="preserve">consideration, MSAC noted that a 10-year time horizon was </w:t>
      </w:r>
      <w:r w:rsidR="00D05330">
        <w:t>in</w:t>
      </w:r>
      <w:r>
        <w:t xml:space="preserve">consistent with previous advice from the Pharmaceutical Benefits Advisory Committee (PBAC) for medicines in later-line </w:t>
      </w:r>
      <w:proofErr w:type="spellStart"/>
      <w:r>
        <w:t>mCRPC</w:t>
      </w:r>
      <w:proofErr w:type="spellEnd"/>
      <w:r>
        <w:t xml:space="preserve"> </w:t>
      </w:r>
      <w:proofErr w:type="gramStart"/>
      <w:r>
        <w:t>treatment, and</w:t>
      </w:r>
      <w:proofErr w:type="gramEnd"/>
      <w:r>
        <w:t xml:space="preserve"> advised that a time horizon of 5 years would be more appropriate in the base case model (noting that this would increase the ICER). However, the current model used a time horizon of 7.5 years. MSAC noted that the applicant </w:t>
      </w:r>
      <w:r w:rsidR="00912AC2">
        <w:t xml:space="preserve">considered </w:t>
      </w:r>
      <w:r>
        <w:t xml:space="preserve">that a 7.5-year time horizon was appropriate, given the “plateau” for </w:t>
      </w:r>
      <w:r>
        <w:rPr>
          <w:vertAlign w:val="superscript"/>
        </w:rPr>
        <w:t>177</w:t>
      </w:r>
      <w:r>
        <w:t>Lu</w:t>
      </w:r>
      <w:r w:rsidR="00751EB9">
        <w:t> </w:t>
      </w:r>
      <w:r>
        <w:t>PSMA</w:t>
      </w:r>
      <w:r w:rsidR="00A565FF">
        <w:t>-617</w:t>
      </w:r>
      <w:r>
        <w:t xml:space="preserve"> in OS reported in several trials, including the more mature data for </w:t>
      </w:r>
      <w:proofErr w:type="spellStart"/>
      <w:r>
        <w:t>TheraP</w:t>
      </w:r>
      <w:proofErr w:type="spellEnd"/>
      <w:r>
        <w:t xml:space="preserve"> compared to </w:t>
      </w:r>
      <w:proofErr w:type="spellStart"/>
      <w:r>
        <w:t>PROfound</w:t>
      </w:r>
      <w:proofErr w:type="spellEnd"/>
      <w:r>
        <w:t xml:space="preserve"> (Olaparib) where a 7.5-year time horizon was </w:t>
      </w:r>
      <w:r w:rsidR="0074723C">
        <w:t xml:space="preserve">claimed to be </w:t>
      </w:r>
      <w:r>
        <w:t xml:space="preserve">accepted by the PBAC. However, MSAC noted that the available data were for 3 years of follow-up, with the remainder of the analysis relying on extrapolation. </w:t>
      </w:r>
      <w:r w:rsidR="00613D74">
        <w:t xml:space="preserve">MSAC also considered that the interpretation of </w:t>
      </w:r>
      <w:r w:rsidR="00CC32FD">
        <w:t>the observed</w:t>
      </w:r>
      <w:r w:rsidR="00613D74">
        <w:t xml:space="preserve"> plateau</w:t>
      </w:r>
      <w:r w:rsidR="00CC32FD">
        <w:t xml:space="preserve"> in the Kaplan Meir </w:t>
      </w:r>
      <w:r w:rsidR="00AF2B55">
        <w:t xml:space="preserve">curve </w:t>
      </w:r>
      <w:r w:rsidR="00613D74">
        <w:t>was limited by the low remaining numbers at risk</w:t>
      </w:r>
      <w:r w:rsidR="00E210BB">
        <w:t xml:space="preserve"> at 3 years in the </w:t>
      </w:r>
      <w:proofErr w:type="spellStart"/>
      <w:r w:rsidR="00E210BB">
        <w:t>TheraP</w:t>
      </w:r>
      <w:proofErr w:type="spellEnd"/>
      <w:r w:rsidR="00E210BB">
        <w:t xml:space="preserve"> </w:t>
      </w:r>
      <w:r w:rsidR="00272DAD">
        <w:t>trial</w:t>
      </w:r>
      <w:r w:rsidR="00D36A0D">
        <w:t xml:space="preserve">. </w:t>
      </w:r>
      <w:r w:rsidR="009A2EA1">
        <w:t xml:space="preserve">However, </w:t>
      </w:r>
      <w:r>
        <w:t xml:space="preserve">MSAC noted that reducing the horizon to 5 years had a </w:t>
      </w:r>
      <w:r w:rsidR="00BC7E48">
        <w:t>low-</w:t>
      </w:r>
      <w:r>
        <w:t>moderate impact on the base case ICER (increase of 8%).</w:t>
      </w:r>
      <w:r w:rsidR="007A4C7E">
        <w:t xml:space="preserve"> Although MSAC had a preference for a more conservative time horizon of 5 years, MSAC </w:t>
      </w:r>
      <w:r w:rsidR="00A845EA">
        <w:t>considered</w:t>
      </w:r>
      <w:r w:rsidR="007A4C7E">
        <w:t xml:space="preserve"> </w:t>
      </w:r>
      <w:r w:rsidR="00411E8F">
        <w:t xml:space="preserve">a </w:t>
      </w:r>
      <w:proofErr w:type="gramStart"/>
      <w:r w:rsidR="00411E8F">
        <w:t>7.5</w:t>
      </w:r>
      <w:r w:rsidR="00DB4525">
        <w:t xml:space="preserve"> </w:t>
      </w:r>
      <w:r w:rsidR="00411E8F">
        <w:t>year</w:t>
      </w:r>
      <w:proofErr w:type="gramEnd"/>
      <w:r w:rsidR="00411E8F">
        <w:t xml:space="preserve"> time horizon</w:t>
      </w:r>
      <w:r w:rsidR="002259F4">
        <w:t xml:space="preserve"> would be </w:t>
      </w:r>
      <w:r w:rsidR="000D7A47">
        <w:t>likely</w:t>
      </w:r>
      <w:r w:rsidR="00B42839">
        <w:t xml:space="preserve"> to be</w:t>
      </w:r>
      <w:r w:rsidR="000D7A47">
        <w:t xml:space="preserve"> </w:t>
      </w:r>
      <w:r w:rsidR="002259F4">
        <w:t>acceptable</w:t>
      </w:r>
      <w:r w:rsidR="00B42839">
        <w:t>.</w:t>
      </w:r>
    </w:p>
    <w:p w14:paraId="43ED8665" w14:textId="20CA3C0E" w:rsidR="00C02E8E" w:rsidRDefault="00277747" w:rsidP="00277747">
      <w:pPr>
        <w:spacing w:before="0" w:after="0" w:line="240" w:lineRule="auto"/>
      </w:pPr>
      <w:r>
        <w:lastRenderedPageBreak/>
        <w:t>MSAC noted that the model did not include incremental costs of extra tests used to define clinical progression</w:t>
      </w:r>
      <w:r w:rsidR="00CF38A3">
        <w:t>.</w:t>
      </w:r>
      <w:r>
        <w:t xml:space="preserve"> MSAC considered </w:t>
      </w:r>
      <w:r w:rsidR="005F6710">
        <w:t xml:space="preserve">this to be appropriate </w:t>
      </w:r>
      <w:r w:rsidR="005304E6">
        <w:t xml:space="preserve">as </w:t>
      </w:r>
      <w:r>
        <w:t>these tests were likely to be clinically driven in response to patients’ symptoms</w:t>
      </w:r>
      <w:r w:rsidR="004B4609">
        <w:t xml:space="preserve"> </w:t>
      </w:r>
      <w:r w:rsidR="008C75E9">
        <w:t>irrespective of being on treatment with</w:t>
      </w:r>
      <w:r w:rsidR="0018506F">
        <w:t xml:space="preserve"> </w:t>
      </w:r>
      <w:r w:rsidR="0018506F" w:rsidRPr="008174B1">
        <w:rPr>
          <w:vertAlign w:val="superscript"/>
        </w:rPr>
        <w:t>177</w:t>
      </w:r>
      <w:r w:rsidR="0018506F" w:rsidRPr="008174B1">
        <w:t>Lu</w:t>
      </w:r>
      <w:r w:rsidR="002936E3">
        <w:t> </w:t>
      </w:r>
      <w:r w:rsidR="0018506F" w:rsidRPr="008174B1">
        <w:t>PSMA</w:t>
      </w:r>
      <w:r w:rsidR="007C0E4E">
        <w:t> </w:t>
      </w:r>
      <w:proofErr w:type="spellStart"/>
      <w:r w:rsidR="007C0E4E">
        <w:t>i&amp;t</w:t>
      </w:r>
      <w:proofErr w:type="spellEnd"/>
      <w:r w:rsidR="0018506F">
        <w:t xml:space="preserve"> or </w:t>
      </w:r>
      <w:proofErr w:type="spellStart"/>
      <w:r w:rsidR="0018506F">
        <w:t>cabazitaxel</w:t>
      </w:r>
      <w:proofErr w:type="spellEnd"/>
      <w:r w:rsidR="0018506F">
        <w:t xml:space="preserve"> or </w:t>
      </w:r>
      <w:r w:rsidR="00AD751E">
        <w:t>best supportive care</w:t>
      </w:r>
      <w:r w:rsidR="005F6710">
        <w:t>. MSAC also noted that the inclusion of these</w:t>
      </w:r>
      <w:r w:rsidR="0016284A">
        <w:t xml:space="preserve"> costs</w:t>
      </w:r>
      <w:r>
        <w:t xml:space="preserve"> only ma</w:t>
      </w:r>
      <w:r w:rsidR="00AE2BDC">
        <w:t>de</w:t>
      </w:r>
      <w:r>
        <w:t xml:space="preserve"> a small difference to the ICER</w:t>
      </w:r>
      <w:r w:rsidR="00113F64">
        <w:t xml:space="preserve"> </w:t>
      </w:r>
      <w:r w:rsidR="00BC7E48">
        <w:t>(increase of 5%)</w:t>
      </w:r>
      <w:r>
        <w:t>.</w:t>
      </w:r>
    </w:p>
    <w:p w14:paraId="1106DD84" w14:textId="78D3B57C" w:rsidR="00A52DD2" w:rsidRDefault="00A52DD2" w:rsidP="00A52DD2">
      <w:r>
        <w:t>MSAC considered the financial estimates to likely be underestimated, based on an uptake of 11.5% likely being too low. Justification for why the uptake rate for this last-</w:t>
      </w:r>
      <w:r w:rsidR="00AB4196">
        <w:t xml:space="preserve">line </w:t>
      </w:r>
      <w:r>
        <w:t>therapy would remain under 20% for the eligible population after five years was not provided. MSAC noted that the use of the health technology in practice that was presented in the resubmission was based on some changes to the previous submission, and not a new presentation of the financial impacts</w:t>
      </w:r>
      <w:r w:rsidR="00E427D7">
        <w:t>,</w:t>
      </w:r>
      <w:r w:rsidR="00027484">
        <w:t xml:space="preserve"> including </w:t>
      </w:r>
      <w:r w:rsidR="00C42E8A">
        <w:t>disaggregation</w:t>
      </w:r>
      <w:r w:rsidR="00027484">
        <w:t xml:space="preserve"> of utilisation estimates for the proposed 2-stage approach to treatment</w:t>
      </w:r>
      <w:r w:rsidR="00F77522">
        <w:t>.</w:t>
      </w:r>
      <w:r>
        <w:t xml:space="preserve"> MSAC also noted that the </w:t>
      </w:r>
      <w:r w:rsidR="000307D3">
        <w:t>commentary appropriately</w:t>
      </w:r>
      <w:r w:rsidR="002270EA">
        <w:t xml:space="preserve"> </w:t>
      </w:r>
      <w:r>
        <w:t>include</w:t>
      </w:r>
      <w:r w:rsidR="000307D3">
        <w:t>d</w:t>
      </w:r>
      <w:r>
        <w:t xml:space="preserve"> the financial implications of the use of cabazitaxel following </w:t>
      </w:r>
      <w:r>
        <w:rPr>
          <w:vertAlign w:val="superscript"/>
        </w:rPr>
        <w:t>177</w:t>
      </w:r>
      <w:r>
        <w:t>Lu PSMA</w:t>
      </w:r>
      <w:r w:rsidR="007C0E4E">
        <w:t> </w:t>
      </w:r>
      <w:proofErr w:type="spellStart"/>
      <w:r w:rsidR="007C0E4E">
        <w:t>i&amp;t</w:t>
      </w:r>
      <w:proofErr w:type="spellEnd"/>
      <w:r>
        <w:t xml:space="preserve"> treatment.</w:t>
      </w:r>
    </w:p>
    <w:p w14:paraId="4F6CD630" w14:textId="388F5C77" w:rsidR="00A52DD2" w:rsidRDefault="00A52DD2" w:rsidP="00A52DD2">
      <w:r>
        <w:t xml:space="preserve">Overall, MSAC deferred its </w:t>
      </w:r>
      <w:r w:rsidR="00440033">
        <w:t xml:space="preserve">advice </w:t>
      </w:r>
      <w:r>
        <w:t>to</w:t>
      </w:r>
      <w:r w:rsidR="00323F3B">
        <w:t xml:space="preserve"> the Minister in relation to the</w:t>
      </w:r>
      <w:r>
        <w:t xml:space="preserve"> fund</w:t>
      </w:r>
      <w:r w:rsidR="00323F3B">
        <w:t>ing of</w:t>
      </w:r>
      <w:r>
        <w:t xml:space="preserve"> </w:t>
      </w:r>
      <w:r w:rsidR="008C4D7E">
        <w:rPr>
          <w:vertAlign w:val="superscript"/>
        </w:rPr>
        <w:t>177</w:t>
      </w:r>
      <w:r w:rsidR="008C4D7E">
        <w:t>Lu</w:t>
      </w:r>
      <w:r w:rsidR="00A464E0">
        <w:t> </w:t>
      </w:r>
      <w:r>
        <w:t>PSMA</w:t>
      </w:r>
      <w:r w:rsidR="004F513A">
        <w:t> </w:t>
      </w:r>
      <w:proofErr w:type="spellStart"/>
      <w:r w:rsidR="004F513A">
        <w:t>i&amp;t</w:t>
      </w:r>
      <w:proofErr w:type="spellEnd"/>
      <w:r>
        <w:t xml:space="preserve"> therapy and PSMA PET/CT for the treatment of progressive or symptomatic </w:t>
      </w:r>
      <w:proofErr w:type="spellStart"/>
      <w:r>
        <w:t>mCRPC</w:t>
      </w:r>
      <w:proofErr w:type="spellEnd"/>
      <w:r>
        <w:t>. MSAC acknowledged that there was a high clinical need</w:t>
      </w:r>
      <w:r w:rsidR="00A464E0">
        <w:t xml:space="preserve">, </w:t>
      </w:r>
      <w:r w:rsidR="00B57079">
        <w:t>consumer pre</w:t>
      </w:r>
      <w:r w:rsidR="003840E1">
        <w:t>ference</w:t>
      </w:r>
      <w:r>
        <w:t xml:space="preserve"> for </w:t>
      </w:r>
      <w:r w:rsidR="00A55817">
        <w:rPr>
          <w:szCs w:val="24"/>
          <w:vertAlign w:val="superscript"/>
        </w:rPr>
        <w:t>177</w:t>
      </w:r>
      <w:r w:rsidR="00A55817">
        <w:rPr>
          <w:szCs w:val="24"/>
        </w:rPr>
        <w:t xml:space="preserve">Lu PSMA therapy </w:t>
      </w:r>
      <w:r w:rsidR="00D3585B" w:rsidRPr="008E179C">
        <w:t xml:space="preserve">over </w:t>
      </w:r>
      <w:r w:rsidR="008B6207" w:rsidRPr="008E179C">
        <w:t>cabazitaxel</w:t>
      </w:r>
      <w:r w:rsidR="003962E1" w:rsidRPr="008E179C">
        <w:t xml:space="preserve"> </w:t>
      </w:r>
      <w:r w:rsidR="0024002F" w:rsidRPr="008E179C">
        <w:t xml:space="preserve">or </w:t>
      </w:r>
      <w:r w:rsidR="002869C0" w:rsidRPr="008E179C">
        <w:t>best supportive care</w:t>
      </w:r>
      <w:r w:rsidRPr="008E179C">
        <w:t xml:space="preserve">, and that equity of current treatments was an issue. MSAC also acknowledged that direct evidence </w:t>
      </w:r>
      <w:r w:rsidR="00430853" w:rsidRPr="008E179C">
        <w:t xml:space="preserve">comparing </w:t>
      </w:r>
      <w:r w:rsidR="00430853" w:rsidRPr="008E179C">
        <w:rPr>
          <w:vertAlign w:val="superscript"/>
        </w:rPr>
        <w:t>177</w:t>
      </w:r>
      <w:r w:rsidR="00430853" w:rsidRPr="008E179C">
        <w:t>Lu</w:t>
      </w:r>
      <w:r w:rsidR="00F40114" w:rsidRPr="008E179C">
        <w:t> </w:t>
      </w:r>
      <w:r w:rsidR="00430853" w:rsidRPr="008E179C">
        <w:t>PSMA</w:t>
      </w:r>
      <w:r w:rsidR="00F40114" w:rsidRPr="008E179C">
        <w:t> </w:t>
      </w:r>
      <w:proofErr w:type="spellStart"/>
      <w:r w:rsidR="00430853" w:rsidRPr="008E179C">
        <w:t>i&amp;t</w:t>
      </w:r>
      <w:proofErr w:type="spellEnd"/>
      <w:r w:rsidR="00430853" w:rsidRPr="008E179C">
        <w:t xml:space="preserve"> and </w:t>
      </w:r>
      <w:r w:rsidR="00430853" w:rsidRPr="008E179C">
        <w:rPr>
          <w:vertAlign w:val="superscript"/>
        </w:rPr>
        <w:t>177</w:t>
      </w:r>
      <w:r w:rsidR="00430853" w:rsidRPr="008E179C">
        <w:t xml:space="preserve">Lu PSMA-617 </w:t>
      </w:r>
      <w:r w:rsidRPr="008E179C">
        <w:t xml:space="preserve">was not available and </w:t>
      </w:r>
      <w:r w:rsidR="007C296C" w:rsidRPr="008E179C">
        <w:t xml:space="preserve">would be </w:t>
      </w:r>
      <w:r w:rsidRPr="008E179C">
        <w:t>unlikely</w:t>
      </w:r>
      <w:r w:rsidR="002826CB" w:rsidRPr="008E179C">
        <w:t xml:space="preserve"> to eventuate</w:t>
      </w:r>
      <w:r w:rsidRPr="008E179C">
        <w:t xml:space="preserve">, but </w:t>
      </w:r>
      <w:r w:rsidR="00417773" w:rsidRPr="008E179C">
        <w:t>concluded on consideration of the evidence before it,</w:t>
      </w:r>
      <w:r w:rsidRPr="008E179C">
        <w:t xml:space="preserve"> that </w:t>
      </w:r>
      <w:r w:rsidR="00137BD8" w:rsidRPr="008E179C">
        <w:t xml:space="preserve">MSAC’s </w:t>
      </w:r>
      <w:r w:rsidRPr="008E179C">
        <w:t xml:space="preserve">previous </w:t>
      </w:r>
      <w:r w:rsidR="00137BD8" w:rsidRPr="008E179C">
        <w:t xml:space="preserve">conclusion </w:t>
      </w:r>
      <w:r w:rsidRPr="008E179C">
        <w:t xml:space="preserve">of </w:t>
      </w:r>
      <w:r w:rsidR="00B27B7F" w:rsidRPr="008E179C">
        <w:t xml:space="preserve">mutual </w:t>
      </w:r>
      <w:r w:rsidRPr="008E179C">
        <w:t>noninferiority remained</w:t>
      </w:r>
      <w:r w:rsidR="00417773" w:rsidRPr="008E179C">
        <w:t xml:space="preserve"> sound</w:t>
      </w:r>
      <w:r w:rsidR="00145B8A" w:rsidRPr="008E179C">
        <w:t>.</w:t>
      </w:r>
      <w:r w:rsidRPr="008E179C">
        <w:t xml:space="preserve"> </w:t>
      </w:r>
      <w:r w:rsidR="004A6E12" w:rsidRPr="008E179C">
        <w:rPr>
          <w:rFonts w:cs="Calibri"/>
        </w:rPr>
        <w:t>Thus, MSAC</w:t>
      </w:r>
      <w:r w:rsidR="004A6E12" w:rsidRPr="008E179C">
        <w:t xml:space="preserve"> </w:t>
      </w:r>
      <w:r w:rsidR="004A6E12" w:rsidRPr="008E179C">
        <w:rPr>
          <w:rFonts w:cs="Calibri"/>
        </w:rPr>
        <w:t xml:space="preserve">accepted that </w:t>
      </w:r>
      <w:r w:rsidR="004A6E12" w:rsidRPr="008E179C">
        <w:rPr>
          <w:rFonts w:cs="Calibri"/>
          <w:vertAlign w:val="superscript"/>
        </w:rPr>
        <w:t>177</w:t>
      </w:r>
      <w:r w:rsidR="004A6E12" w:rsidRPr="008E179C">
        <w:rPr>
          <w:rFonts w:cs="Calibri"/>
        </w:rPr>
        <w:t xml:space="preserve">Lu PSMA </w:t>
      </w:r>
      <w:proofErr w:type="spellStart"/>
      <w:r w:rsidR="004A6E12" w:rsidRPr="008E179C">
        <w:rPr>
          <w:rFonts w:cs="Calibri"/>
        </w:rPr>
        <w:t>i&amp;t</w:t>
      </w:r>
      <w:proofErr w:type="spellEnd"/>
      <w:r w:rsidR="004A6E12" w:rsidRPr="008E179C">
        <w:rPr>
          <w:rFonts w:cs="Calibri"/>
        </w:rPr>
        <w:t xml:space="preserve"> therapy is acceptably safe and effective</w:t>
      </w:r>
      <w:r w:rsidR="00A04454" w:rsidRPr="008E179C">
        <w:rPr>
          <w:rFonts w:cs="Calibri"/>
        </w:rPr>
        <w:t>.</w:t>
      </w:r>
      <w:r w:rsidR="00666885" w:rsidRPr="008E179C">
        <w:rPr>
          <w:rFonts w:cs="Calibri"/>
        </w:rPr>
        <w:t xml:space="preserve"> MSAC considered that the</w:t>
      </w:r>
      <w:r w:rsidR="00666885">
        <w:rPr>
          <w:rFonts w:cs="Calibri"/>
        </w:rPr>
        <w:t xml:space="preserve"> new two-step approach to treatment whereby treatment is split into initial (</w:t>
      </w:r>
      <w:r w:rsidR="00B738D3">
        <w:t xml:space="preserve">up to a maximum of </w:t>
      </w:r>
      <w:r w:rsidR="00666885">
        <w:rPr>
          <w:rFonts w:cs="Calibri"/>
        </w:rPr>
        <w:t>2 cycles) and continuing treatment (</w:t>
      </w:r>
      <w:r w:rsidR="00B738D3">
        <w:t xml:space="preserve">up to a maximum of </w:t>
      </w:r>
      <w:r w:rsidR="00666885">
        <w:rPr>
          <w:rFonts w:cs="Calibri"/>
        </w:rPr>
        <w:t>4 cycles) was appropriate but that the applicant’s economic model did not appropriately capture this, including the</w:t>
      </w:r>
      <w:r w:rsidR="003F6CA6">
        <w:rPr>
          <w:rFonts w:cs="Calibri"/>
        </w:rPr>
        <w:t xml:space="preserve"> problematic</w:t>
      </w:r>
      <w:r w:rsidR="00666885">
        <w:rPr>
          <w:rFonts w:cs="Calibri"/>
        </w:rPr>
        <w:t xml:space="preserve"> </w:t>
      </w:r>
      <w:r w:rsidR="003F6CA6">
        <w:rPr>
          <w:rFonts w:cs="Calibri"/>
        </w:rPr>
        <w:t>use of</w:t>
      </w:r>
      <w:r w:rsidR="00666885">
        <w:rPr>
          <w:rFonts w:cs="Calibri"/>
        </w:rPr>
        <w:t xml:space="preserve"> different trial data for the determination of the PFS benefits and costs</w:t>
      </w:r>
      <w:r w:rsidR="00963AC8" w:rsidRPr="00963AC8">
        <w:rPr>
          <w:rFonts w:cs="Calibri"/>
        </w:rPr>
        <w:t xml:space="preserve"> </w:t>
      </w:r>
      <w:r w:rsidR="00963AC8">
        <w:rPr>
          <w:rFonts w:cs="Calibri"/>
        </w:rPr>
        <w:t>associated with the intervention</w:t>
      </w:r>
      <w:r w:rsidR="00DA538F">
        <w:rPr>
          <w:rFonts w:cs="Calibri"/>
        </w:rPr>
        <w:t>.</w:t>
      </w:r>
      <w:r w:rsidR="00666885">
        <w:rPr>
          <w:rFonts w:cs="Calibri"/>
        </w:rPr>
        <w:t xml:space="preserve"> When this was corrected for in the commentary the ICER per QALY was close to $100,000 which MSAC considered to be unacceptably high for the proposed population and expected utilisation.</w:t>
      </w:r>
      <w:r w:rsidR="00465C8D">
        <w:rPr>
          <w:rFonts w:cs="Calibri"/>
        </w:rPr>
        <w:t xml:space="preserve"> </w:t>
      </w:r>
      <w:r w:rsidR="00E27A78">
        <w:rPr>
          <w:rFonts w:cs="Calibri"/>
        </w:rPr>
        <w:t>Thus</w:t>
      </w:r>
      <w:r w:rsidR="00CF6B4F">
        <w:rPr>
          <w:rFonts w:cs="Calibri"/>
        </w:rPr>
        <w:t>,</w:t>
      </w:r>
      <w:r w:rsidR="00E27A78">
        <w:rPr>
          <w:rFonts w:cs="Calibri"/>
        </w:rPr>
        <w:t xml:space="preserve"> </w:t>
      </w:r>
      <w:r w:rsidR="00666885">
        <w:rPr>
          <w:rFonts w:cs="Calibri"/>
        </w:rPr>
        <w:t xml:space="preserve">MSAC continued to have concerns that the </w:t>
      </w:r>
      <w:r w:rsidR="00F9672A">
        <w:rPr>
          <w:rFonts w:cs="Calibri"/>
        </w:rPr>
        <w:t>ICER</w:t>
      </w:r>
      <w:r w:rsidR="00666885">
        <w:rPr>
          <w:rFonts w:cs="Calibri"/>
        </w:rPr>
        <w:t xml:space="preserve"> was too high and uncertain</w:t>
      </w:r>
      <w:r w:rsidR="00B01834" w:rsidRPr="00840E53">
        <w:rPr>
          <w:rFonts w:cs="Calibri"/>
        </w:rPr>
        <w:t>.</w:t>
      </w:r>
      <w:r w:rsidR="00F9672A">
        <w:rPr>
          <w:rFonts w:cs="Calibri"/>
        </w:rPr>
        <w:t xml:space="preserve"> </w:t>
      </w:r>
      <w:r w:rsidR="00AE76E0">
        <w:t xml:space="preserve">MSAC noted consistent with the previous submission, the cost effectiveness was more favourable when placed after cabazitaxel and against </w:t>
      </w:r>
      <w:r w:rsidR="00121FD8">
        <w:t>best supportive care</w:t>
      </w:r>
      <w:r w:rsidR="0077529F">
        <w:t xml:space="preserve">; </w:t>
      </w:r>
      <w:proofErr w:type="gramStart"/>
      <w:r w:rsidR="0077529F">
        <w:t>however</w:t>
      </w:r>
      <w:proofErr w:type="gramEnd"/>
      <w:r w:rsidR="00BB0A68">
        <w:t xml:space="preserve"> MSAC </w:t>
      </w:r>
      <w:r w:rsidR="00510500">
        <w:t>considered the</w:t>
      </w:r>
      <w:r w:rsidR="002B3F18">
        <w:t xml:space="preserve"> proposed </w:t>
      </w:r>
      <w:r w:rsidR="00510500">
        <w:t xml:space="preserve">place in therapy </w:t>
      </w:r>
      <w:r w:rsidR="002B3F18">
        <w:t>appropriate because</w:t>
      </w:r>
      <w:r w:rsidR="005F0389">
        <w:t xml:space="preserve"> </w:t>
      </w:r>
      <w:r w:rsidR="005F0389" w:rsidRPr="00F465E6">
        <w:t>many</w:t>
      </w:r>
      <w:r w:rsidR="002B3F18">
        <w:t xml:space="preserve"> (but not all)</w:t>
      </w:r>
      <w:r w:rsidR="005F0389" w:rsidRPr="00F465E6">
        <w:t xml:space="preserve"> men forgo cabazitaxel treatment</w:t>
      </w:r>
      <w:r w:rsidR="00DD2838">
        <w:t xml:space="preserve"> (due to its toxicity)</w:t>
      </w:r>
      <w:r w:rsidR="005F0389" w:rsidRPr="00F465E6">
        <w:t xml:space="preserve"> in favour of palliative treatment (i.e. </w:t>
      </w:r>
      <w:r w:rsidR="00AD751E">
        <w:t>best supportive care</w:t>
      </w:r>
      <w:r w:rsidR="005F0389">
        <w:t>)</w:t>
      </w:r>
      <w:r w:rsidR="00DD2838">
        <w:t>.</w:t>
      </w:r>
      <w:r w:rsidR="00C5399A">
        <w:t xml:space="preserve"> </w:t>
      </w:r>
      <w:r w:rsidR="002B3F18">
        <w:t xml:space="preserve">In addition, </w:t>
      </w:r>
      <w:r w:rsidR="00757F40">
        <w:rPr>
          <w:rFonts w:cs="Calibri"/>
        </w:rPr>
        <w:t>MSAC also considered that the financial impact was underestimated due to a likely higher uptake rate than assumed for a comparatively safe and effective therapy used in last line.</w:t>
      </w:r>
    </w:p>
    <w:p w14:paraId="32611394" w14:textId="67893CCE" w:rsidR="00F910BF" w:rsidRDefault="00A52DD2" w:rsidP="00A52DD2">
      <w:pPr>
        <w:rPr>
          <w:rFonts w:cs="Calibri"/>
        </w:rPr>
      </w:pPr>
      <w:r>
        <w:t xml:space="preserve">MSAC </w:t>
      </w:r>
      <w:r w:rsidR="00F91E68" w:rsidRPr="4588BBB6">
        <w:rPr>
          <w:rFonts w:cs="Calibri"/>
        </w:rPr>
        <w:t>requested that a revised economic evaluation be conducted</w:t>
      </w:r>
      <w:r w:rsidR="00E11FB3" w:rsidRPr="002B6FFD">
        <w:rPr>
          <w:rFonts w:cs="Calibri"/>
        </w:rPr>
        <w:t>:</w:t>
      </w:r>
    </w:p>
    <w:p w14:paraId="72134D67" w14:textId="1833A0AE" w:rsidR="00F910BF" w:rsidRPr="00F910BF" w:rsidRDefault="00C0203D" w:rsidP="00F910BF">
      <w:pPr>
        <w:pStyle w:val="ListParagraph"/>
        <w:numPr>
          <w:ilvl w:val="0"/>
          <w:numId w:val="32"/>
        </w:numPr>
      </w:pPr>
      <w:r>
        <w:rPr>
          <w:rFonts w:cs="Calibri"/>
        </w:rPr>
        <w:t xml:space="preserve">The </w:t>
      </w:r>
      <w:r w:rsidR="00F91E68" w:rsidRPr="00F910BF">
        <w:rPr>
          <w:rFonts w:cs="Calibri"/>
        </w:rPr>
        <w:t>model structure corrected to capture the two-step approach to treatment</w:t>
      </w:r>
      <w:r w:rsidR="00E11FB3">
        <w:rPr>
          <w:rFonts w:cs="Calibri"/>
        </w:rPr>
        <w:t xml:space="preserve"> </w:t>
      </w:r>
      <w:r w:rsidR="00E11FB3">
        <w:t>(based on the Re-SPECT study)</w:t>
      </w:r>
      <w:r w:rsidR="00A20E75">
        <w:rPr>
          <w:rFonts w:cs="Calibri"/>
        </w:rPr>
        <w:t xml:space="preserve"> </w:t>
      </w:r>
      <w:r w:rsidR="00F91E68" w:rsidRPr="00F910BF">
        <w:rPr>
          <w:rFonts w:cs="Calibri"/>
        </w:rPr>
        <w:t>proposed in the MBS items</w:t>
      </w:r>
      <w:r w:rsidR="004175CC" w:rsidRPr="00F910BF">
        <w:rPr>
          <w:rFonts w:cs="Calibri"/>
        </w:rPr>
        <w:t xml:space="preserve"> for</w:t>
      </w:r>
      <w:r w:rsidR="00121FD8" w:rsidRPr="00F910BF">
        <w:rPr>
          <w:rFonts w:cs="Calibri"/>
        </w:rPr>
        <w:t xml:space="preserve"> </w:t>
      </w:r>
      <w:r w:rsidR="004175CC" w:rsidRPr="00F910BF">
        <w:rPr>
          <w:vertAlign w:val="superscript"/>
        </w:rPr>
        <w:t>177</w:t>
      </w:r>
      <w:r w:rsidR="004175CC">
        <w:t>Lu</w:t>
      </w:r>
      <w:r w:rsidR="004175CC" w:rsidDel="008C4D7E">
        <w:t xml:space="preserve"> </w:t>
      </w:r>
      <w:r w:rsidR="004175CC">
        <w:t xml:space="preserve">PSMA </w:t>
      </w:r>
      <w:proofErr w:type="gramStart"/>
      <w:r w:rsidR="004175CC">
        <w:t>therapy</w:t>
      </w:r>
      <w:proofErr w:type="gramEnd"/>
      <w:r w:rsidR="00F91E68" w:rsidRPr="00F910BF">
        <w:rPr>
          <w:rFonts w:cs="Calibri"/>
        </w:rPr>
        <w:t xml:space="preserve"> </w:t>
      </w:r>
    </w:p>
    <w:p w14:paraId="37647FE5" w14:textId="442A4C18" w:rsidR="00E729E7" w:rsidRPr="00E729E7" w:rsidRDefault="00C0203D" w:rsidP="00F910BF">
      <w:pPr>
        <w:pStyle w:val="ListParagraph"/>
        <w:numPr>
          <w:ilvl w:val="0"/>
          <w:numId w:val="32"/>
        </w:numPr>
      </w:pPr>
      <w:r>
        <w:rPr>
          <w:rFonts w:cs="Calibri"/>
        </w:rPr>
        <w:t>R</w:t>
      </w:r>
      <w:r w:rsidR="00E123D7" w:rsidRPr="00F910BF">
        <w:rPr>
          <w:rFonts w:cs="Calibri"/>
        </w:rPr>
        <w:t xml:space="preserve">educe the uncertainty created in the </w:t>
      </w:r>
      <w:r w:rsidR="001C552C" w:rsidRPr="00F910BF">
        <w:rPr>
          <w:rFonts w:cs="Calibri"/>
        </w:rPr>
        <w:t>model by</w:t>
      </w:r>
      <w:r w:rsidR="00AF0E19" w:rsidRPr="00F910BF">
        <w:rPr>
          <w:rFonts w:cs="Calibri"/>
        </w:rPr>
        <w:t xml:space="preserve"> the</w:t>
      </w:r>
      <w:r w:rsidR="001C552C" w:rsidRPr="00F910BF">
        <w:rPr>
          <w:rFonts w:cs="Calibri"/>
        </w:rPr>
        <w:t xml:space="preserve"> patient-level dat</w:t>
      </w:r>
      <w:r w:rsidR="001C2AF9" w:rsidRPr="00F910BF">
        <w:rPr>
          <w:rFonts w:cs="Calibri"/>
        </w:rPr>
        <w:t>a from differ</w:t>
      </w:r>
      <w:r w:rsidR="001F377C" w:rsidRPr="00F910BF">
        <w:rPr>
          <w:rFonts w:cs="Calibri"/>
        </w:rPr>
        <w:t>ent trials in the same model</w:t>
      </w:r>
      <w:r w:rsidR="00F91E68" w:rsidRPr="00F910BF">
        <w:rPr>
          <w:rFonts w:cs="Calibri"/>
        </w:rPr>
        <w:t xml:space="preserve"> for determination of PFS benefits and costs</w:t>
      </w:r>
      <w:r w:rsidR="0047088F" w:rsidRPr="00F910BF">
        <w:rPr>
          <w:rFonts w:cs="Calibri"/>
        </w:rPr>
        <w:t xml:space="preserve"> </w:t>
      </w:r>
      <w:r w:rsidR="007B20C3" w:rsidRPr="00F910BF">
        <w:rPr>
          <w:rFonts w:cs="Calibri"/>
        </w:rPr>
        <w:t>associated with the intervention</w:t>
      </w:r>
      <w:r w:rsidR="00DA5810">
        <w:rPr>
          <w:rFonts w:cs="Calibri"/>
        </w:rPr>
        <w:t>.</w:t>
      </w:r>
    </w:p>
    <w:p w14:paraId="06A86375" w14:textId="5387CDAA" w:rsidR="00E729E7" w:rsidRPr="00E729E7" w:rsidRDefault="00E729E7" w:rsidP="00F910BF">
      <w:pPr>
        <w:pStyle w:val="ListParagraph"/>
        <w:numPr>
          <w:ilvl w:val="0"/>
          <w:numId w:val="32"/>
        </w:numPr>
      </w:pPr>
      <w:r>
        <w:rPr>
          <w:rFonts w:cs="Calibri"/>
        </w:rPr>
        <w:t>T</w:t>
      </w:r>
      <w:r w:rsidR="00E84947" w:rsidRPr="00F910BF">
        <w:rPr>
          <w:rFonts w:cs="Calibri"/>
        </w:rPr>
        <w:t>he treatment specific utility weights</w:t>
      </w:r>
      <w:r>
        <w:rPr>
          <w:rFonts w:cs="Calibri"/>
        </w:rPr>
        <w:t xml:space="preserve"> require better justification (or removal)</w:t>
      </w:r>
      <w:r w:rsidR="00E84947" w:rsidRPr="00F910BF">
        <w:rPr>
          <w:rFonts w:cs="Calibri"/>
        </w:rPr>
        <w:t>.</w:t>
      </w:r>
      <w:r w:rsidR="009C726A" w:rsidRPr="00F910BF">
        <w:rPr>
          <w:rFonts w:cs="Calibri"/>
        </w:rPr>
        <w:t xml:space="preserve"> </w:t>
      </w:r>
    </w:p>
    <w:p w14:paraId="11E1A887" w14:textId="730A5EDF" w:rsidR="00D74531" w:rsidRDefault="00A52DD2" w:rsidP="00E729E7">
      <w:r>
        <w:t>This would allow a more accurate estimate for the ICER</w:t>
      </w:r>
      <w:r w:rsidR="00CA0B32">
        <w:t xml:space="preserve"> including whether </w:t>
      </w:r>
      <w:r w:rsidR="00CA0B32" w:rsidRPr="00E729E7">
        <w:rPr>
          <w:vertAlign w:val="superscript"/>
        </w:rPr>
        <w:t>177</w:t>
      </w:r>
      <w:r w:rsidR="00CA0B32">
        <w:t>Lu</w:t>
      </w:r>
      <w:r w:rsidR="00F40114">
        <w:t> </w:t>
      </w:r>
      <w:r w:rsidR="00CA0B32">
        <w:t>PSMA</w:t>
      </w:r>
      <w:r w:rsidR="004F513A">
        <w:t> </w:t>
      </w:r>
      <w:proofErr w:type="spellStart"/>
      <w:r w:rsidR="004F513A">
        <w:t>i</w:t>
      </w:r>
      <w:r w:rsidR="001D11A9">
        <w:t>&amp;t</w:t>
      </w:r>
      <w:proofErr w:type="spellEnd"/>
      <w:r w:rsidR="00CA0B32">
        <w:t xml:space="preserve"> therapy</w:t>
      </w:r>
      <w:r w:rsidR="00CA0B32" w:rsidRPr="00E729E7">
        <w:rPr>
          <w:rFonts w:cs="Calibri"/>
        </w:rPr>
        <w:t xml:space="preserve"> was acceptably cost effective at </w:t>
      </w:r>
      <w:r w:rsidR="00CA0B32">
        <w:t xml:space="preserve">the </w:t>
      </w:r>
      <w:r w:rsidR="00CA0B32" w:rsidRPr="00E729E7">
        <w:rPr>
          <w:rFonts w:cs="Calibri"/>
        </w:rPr>
        <w:t>proposed price of the therapy</w:t>
      </w:r>
      <w:r>
        <w:t xml:space="preserve">. </w:t>
      </w:r>
    </w:p>
    <w:p w14:paraId="1057F332" w14:textId="304994E3" w:rsidR="00C7462B" w:rsidRDefault="00A52DD2" w:rsidP="00A52DD2">
      <w:r>
        <w:t>MSAC advised that the re-entry pathway would first involve consideration by the MSAC Executive, who will then advise whether the application should proceed to ESC or MSAC.</w:t>
      </w:r>
    </w:p>
    <w:p w14:paraId="63B81C34" w14:textId="32697C39" w:rsidR="00E12656" w:rsidRPr="001A4B85" w:rsidRDefault="00C7462B" w:rsidP="00C7462B">
      <w:pPr>
        <w:pStyle w:val="ESHeading1"/>
        <w:numPr>
          <w:ilvl w:val="0"/>
          <w:numId w:val="0"/>
        </w:numPr>
        <w:spacing w:before="360"/>
        <w:ind w:hanging="74"/>
      </w:pPr>
      <w:r>
        <w:lastRenderedPageBreak/>
        <w:t>4.</w:t>
      </w:r>
      <w:r>
        <w:tab/>
      </w:r>
      <w:r w:rsidR="00E12656" w:rsidRPr="001A4B85">
        <w:t>Background</w:t>
      </w:r>
      <w:bookmarkEnd w:id="2"/>
    </w:p>
    <w:p w14:paraId="7F3B1D1D" w14:textId="7B834B33" w:rsidR="007E1A8D" w:rsidRPr="00AF7248" w:rsidRDefault="007E1A8D" w:rsidP="007E1A8D">
      <w:bookmarkStart w:id="5" w:name="_Hlk69734494"/>
      <w:bookmarkStart w:id="6" w:name="_Toc69491417"/>
      <w:bookmarkEnd w:id="1"/>
      <w:r w:rsidRPr="0001342B">
        <w:t xml:space="preserve">Application 1686 was </w:t>
      </w:r>
      <w:r>
        <w:t>first</w:t>
      </w:r>
      <w:r w:rsidRPr="0001342B">
        <w:t xml:space="preserve"> considered by MSAC at the July 2022 meeting. MSAC </w:t>
      </w:r>
      <w:r w:rsidRPr="00AF7248">
        <w:t xml:space="preserve">acknowledged the high clinical need for this population with advanced disease, and the consumer preference for </w:t>
      </w:r>
      <w:r w:rsidRPr="00AF7248">
        <w:rPr>
          <w:vertAlign w:val="superscript"/>
        </w:rPr>
        <w:t>177</w:t>
      </w:r>
      <w:r w:rsidRPr="00AF7248">
        <w:t>Lu</w:t>
      </w:r>
      <w:r w:rsidR="00185779">
        <w:t> </w:t>
      </w:r>
      <w:r w:rsidRPr="00AF7248">
        <w:t xml:space="preserve">PSMA therapy over its comparators of best supportive care and cabazitaxel. MSAC noted the limitations in the evidence comparing </w:t>
      </w:r>
      <w:r w:rsidRPr="00AF7248">
        <w:rPr>
          <w:vertAlign w:val="superscript"/>
        </w:rPr>
        <w:t>177</w:t>
      </w:r>
      <w:r w:rsidRPr="00AF7248">
        <w:t>Lu</w:t>
      </w:r>
      <w:r w:rsidR="00AC79D1">
        <w:t> </w:t>
      </w:r>
      <w:r w:rsidRPr="00AF7248">
        <w:t>PSMA</w:t>
      </w:r>
      <w:r w:rsidR="00AC79D1">
        <w:t> </w:t>
      </w:r>
      <w:proofErr w:type="spellStart"/>
      <w:r w:rsidRPr="00AF7248">
        <w:t>i&amp;t</w:t>
      </w:r>
      <w:proofErr w:type="spellEnd"/>
      <w:r w:rsidRPr="00AF7248">
        <w:t xml:space="preserve"> and </w:t>
      </w:r>
      <w:r w:rsidRPr="00AF7248">
        <w:rPr>
          <w:vertAlign w:val="superscript"/>
        </w:rPr>
        <w:t>177</w:t>
      </w:r>
      <w:r w:rsidRPr="00AF7248">
        <w:t>Lu</w:t>
      </w:r>
      <w:r w:rsidR="00AC79D1">
        <w:t> </w:t>
      </w:r>
      <w:r w:rsidRPr="00AF7248">
        <w:t xml:space="preserve">PSMA-617 products, but concluded from the evidence available that these two products are mutually noninferior and thus considered the evidence for </w:t>
      </w:r>
      <w:r w:rsidRPr="00AF7248">
        <w:rPr>
          <w:vertAlign w:val="superscript"/>
        </w:rPr>
        <w:t>177</w:t>
      </w:r>
      <w:r w:rsidRPr="00AF7248">
        <w:t>Lu</w:t>
      </w:r>
      <w:r w:rsidR="00AC79D1">
        <w:t> </w:t>
      </w:r>
      <w:r w:rsidRPr="00AF7248">
        <w:t xml:space="preserve">PSMA-617 to be relevant for </w:t>
      </w:r>
      <w:r w:rsidRPr="00AF7248">
        <w:rPr>
          <w:vertAlign w:val="superscript"/>
        </w:rPr>
        <w:t>177</w:t>
      </w:r>
      <w:r w:rsidRPr="00AF7248">
        <w:t>Lu</w:t>
      </w:r>
      <w:r w:rsidR="00AC79D1">
        <w:t> </w:t>
      </w:r>
      <w:r w:rsidRPr="00AF7248">
        <w:t>PSMA</w:t>
      </w:r>
      <w:r w:rsidR="00AC79D1">
        <w:t> </w:t>
      </w:r>
      <w:proofErr w:type="spellStart"/>
      <w:r w:rsidRPr="00AF7248">
        <w:t>i&amp;t</w:t>
      </w:r>
      <w:proofErr w:type="spellEnd"/>
      <w:r w:rsidRPr="00AF7248">
        <w:t xml:space="preserve">. MSAC accepted the high certainty from the evidence that </w:t>
      </w:r>
      <w:r w:rsidRPr="00AF7248">
        <w:rPr>
          <w:vertAlign w:val="superscript"/>
        </w:rPr>
        <w:t>177</w:t>
      </w:r>
      <w:r w:rsidRPr="00AF7248">
        <w:t>Lu</w:t>
      </w:r>
      <w:r w:rsidR="00AC79D1">
        <w:t> </w:t>
      </w:r>
      <w:r w:rsidRPr="00AF7248">
        <w:t>PSMA</w:t>
      </w:r>
      <w:r w:rsidR="00AC79D1">
        <w:t> </w:t>
      </w:r>
      <w:proofErr w:type="spellStart"/>
      <w:r w:rsidRPr="00AF7248">
        <w:t>i&amp;t</w:t>
      </w:r>
      <w:proofErr w:type="spellEnd"/>
      <w:r w:rsidRPr="00AF7248">
        <w:t xml:space="preserve"> therapy is acceptably safe and effective, but that the incremental cost-effectiveness ratio (ICER) was too high and uncertain (1686 Final PSD p1-2).</w:t>
      </w:r>
    </w:p>
    <w:p w14:paraId="58AE4717" w14:textId="6F402350" w:rsidR="006B56A1" w:rsidRPr="0001342B" w:rsidRDefault="006B56A1" w:rsidP="006B56A1">
      <w:pPr>
        <w:spacing w:before="0" w:after="120" w:line="276" w:lineRule="auto"/>
        <w:rPr>
          <w:rFonts w:eastAsia="Calibri" w:cs="Calibri"/>
        </w:rPr>
      </w:pPr>
      <w:r w:rsidRPr="0001342B">
        <w:rPr>
          <w:rFonts w:eastAsia="Calibri" w:cs="Calibri"/>
        </w:rPr>
        <w:t xml:space="preserve">This </w:t>
      </w:r>
      <w:r w:rsidR="007F120D">
        <w:rPr>
          <w:rFonts w:eastAsia="Calibri" w:cs="Calibri"/>
        </w:rPr>
        <w:t>ADAR</w:t>
      </w:r>
      <w:r w:rsidR="007F120D" w:rsidRPr="0001342B">
        <w:rPr>
          <w:rFonts w:eastAsia="Calibri" w:cs="Calibri"/>
        </w:rPr>
        <w:t xml:space="preserve"> </w:t>
      </w:r>
      <w:r w:rsidRPr="0001342B">
        <w:rPr>
          <w:rFonts w:eastAsia="Calibri" w:cs="Calibri"/>
        </w:rPr>
        <w:t xml:space="preserve">to MSAC addresses the key matters of concern as outlined in the public summary document (PSD) for Application 1686 and summarised in </w:t>
      </w:r>
      <w:r w:rsidRPr="0001342B">
        <w:rPr>
          <w:rFonts w:eastAsia="Calibri" w:cs="Calibri"/>
        </w:rPr>
        <w:fldChar w:fldCharType="begin"/>
      </w:r>
      <w:r w:rsidRPr="0001342B">
        <w:rPr>
          <w:rFonts w:eastAsia="Calibri" w:cs="Calibri"/>
        </w:rPr>
        <w:instrText xml:space="preserve"> REF _Ref124335970 \h </w:instrText>
      </w:r>
      <w:r w:rsidR="0001342B" w:rsidRPr="0001342B">
        <w:rPr>
          <w:rFonts w:eastAsia="Calibri" w:cs="Calibri"/>
        </w:rPr>
        <w:instrText xml:space="preserve"> \* MERGEFORMAT </w:instrText>
      </w:r>
      <w:r w:rsidRPr="0001342B">
        <w:rPr>
          <w:rFonts w:eastAsia="Calibri" w:cs="Calibri"/>
        </w:rPr>
      </w:r>
      <w:r w:rsidRPr="0001342B">
        <w:rPr>
          <w:rFonts w:eastAsia="Calibri" w:cs="Calibri"/>
        </w:rPr>
        <w:fldChar w:fldCharType="separate"/>
      </w:r>
      <w:r w:rsidRPr="0001342B">
        <w:rPr>
          <w:rFonts w:eastAsia="Calibri" w:cs="Calibri"/>
        </w:rPr>
        <w:t xml:space="preserve">Table </w:t>
      </w:r>
      <w:r w:rsidRPr="0001342B">
        <w:rPr>
          <w:rFonts w:eastAsia="Calibri" w:cs="Calibri"/>
          <w:noProof/>
        </w:rPr>
        <w:t>1</w:t>
      </w:r>
      <w:r w:rsidRPr="0001342B">
        <w:rPr>
          <w:rFonts w:eastAsia="Calibri" w:cs="Calibri"/>
        </w:rPr>
        <w:fldChar w:fldCharType="end"/>
      </w:r>
      <w:r w:rsidRPr="0001342B">
        <w:rPr>
          <w:rFonts w:eastAsia="Calibri" w:cs="Calibri"/>
        </w:rPr>
        <w:t xml:space="preserve"> below.</w:t>
      </w:r>
    </w:p>
    <w:p w14:paraId="1B1D3D87" w14:textId="4368D3A4" w:rsidR="00813D6C" w:rsidRPr="00F465E6" w:rsidRDefault="00813D6C" w:rsidP="00813D6C">
      <w:pPr>
        <w:pStyle w:val="Caption"/>
      </w:pPr>
      <w:bookmarkStart w:id="7" w:name="_Ref124335970"/>
      <w:r w:rsidRPr="00F465E6">
        <w:t xml:space="preserve">Table </w:t>
      </w:r>
      <w:r w:rsidR="005C56E0">
        <w:fldChar w:fldCharType="begin"/>
      </w:r>
      <w:r w:rsidR="005C56E0">
        <w:instrText xml:space="preserve"> SEQ Table \* ARABIC </w:instrText>
      </w:r>
      <w:r w:rsidR="005C56E0">
        <w:fldChar w:fldCharType="separate"/>
      </w:r>
      <w:r w:rsidR="001C636D">
        <w:rPr>
          <w:noProof/>
        </w:rPr>
        <w:t>1</w:t>
      </w:r>
      <w:r w:rsidR="005C56E0">
        <w:rPr>
          <w:noProof/>
        </w:rPr>
        <w:fldChar w:fldCharType="end"/>
      </w:r>
      <w:bookmarkEnd w:id="7"/>
      <w:r w:rsidRPr="00F465E6">
        <w:tab/>
        <w:t>Summary of key matters of concern</w:t>
      </w:r>
    </w:p>
    <w:tbl>
      <w:tblPr>
        <w:tblStyle w:val="TableGrid"/>
        <w:tblW w:w="5000" w:type="pct"/>
        <w:tblLook w:val="04A0" w:firstRow="1" w:lastRow="0" w:firstColumn="1" w:lastColumn="0" w:noHBand="0" w:noVBand="1"/>
      </w:tblPr>
      <w:tblGrid>
        <w:gridCol w:w="1336"/>
        <w:gridCol w:w="4418"/>
        <w:gridCol w:w="3262"/>
      </w:tblGrid>
      <w:tr w:rsidR="00813D6C" w:rsidRPr="007E1A8D" w14:paraId="7991C4BC" w14:textId="77777777" w:rsidTr="00ED1AE4">
        <w:tc>
          <w:tcPr>
            <w:tcW w:w="741" w:type="pct"/>
          </w:tcPr>
          <w:p w14:paraId="4BCE2A96" w14:textId="77777777" w:rsidR="00813D6C" w:rsidRPr="007E1A8D" w:rsidRDefault="00813D6C" w:rsidP="00ED1AE4">
            <w:pPr>
              <w:pStyle w:val="TableH29pt"/>
              <w:rPr>
                <w:rFonts w:ascii="Arial Narrow" w:hAnsi="Arial Narrow"/>
                <w:sz w:val="20"/>
                <w:szCs w:val="22"/>
              </w:rPr>
            </w:pPr>
            <w:r w:rsidRPr="007E1A8D">
              <w:rPr>
                <w:rFonts w:ascii="Arial Narrow" w:hAnsi="Arial Narrow"/>
                <w:sz w:val="20"/>
                <w:szCs w:val="22"/>
              </w:rPr>
              <w:t>Component</w:t>
            </w:r>
          </w:p>
        </w:tc>
        <w:tc>
          <w:tcPr>
            <w:tcW w:w="2450" w:type="pct"/>
          </w:tcPr>
          <w:p w14:paraId="3F44AA13" w14:textId="77777777" w:rsidR="00813D6C" w:rsidRPr="007E1A8D" w:rsidRDefault="00813D6C" w:rsidP="00ED1AE4">
            <w:pPr>
              <w:pStyle w:val="TableH29pt"/>
              <w:rPr>
                <w:rFonts w:ascii="Arial Narrow" w:hAnsi="Arial Narrow"/>
                <w:sz w:val="20"/>
                <w:szCs w:val="22"/>
              </w:rPr>
            </w:pPr>
            <w:r w:rsidRPr="007E1A8D">
              <w:rPr>
                <w:rFonts w:ascii="Arial Narrow" w:hAnsi="Arial Narrow"/>
                <w:sz w:val="20"/>
                <w:szCs w:val="22"/>
              </w:rPr>
              <w:t>Matter of concern</w:t>
            </w:r>
          </w:p>
        </w:tc>
        <w:tc>
          <w:tcPr>
            <w:tcW w:w="1809" w:type="pct"/>
          </w:tcPr>
          <w:p w14:paraId="483D7A83" w14:textId="77777777" w:rsidR="00813D6C" w:rsidRPr="007E1A8D" w:rsidRDefault="00813D6C" w:rsidP="00ED1AE4">
            <w:pPr>
              <w:pStyle w:val="TableH29pt"/>
              <w:rPr>
                <w:rFonts w:ascii="Arial Narrow" w:hAnsi="Arial Narrow"/>
                <w:sz w:val="20"/>
                <w:szCs w:val="22"/>
              </w:rPr>
            </w:pPr>
            <w:r w:rsidRPr="007E1A8D">
              <w:rPr>
                <w:rFonts w:ascii="Arial Narrow" w:hAnsi="Arial Narrow"/>
                <w:sz w:val="20"/>
                <w:szCs w:val="22"/>
              </w:rPr>
              <w:t>How the current assessment report addresses it</w:t>
            </w:r>
          </w:p>
        </w:tc>
      </w:tr>
      <w:tr w:rsidR="00813D6C" w:rsidRPr="007E1A8D" w14:paraId="1A6F847C" w14:textId="77777777" w:rsidTr="00ED1AE4">
        <w:tc>
          <w:tcPr>
            <w:tcW w:w="741" w:type="pct"/>
          </w:tcPr>
          <w:p w14:paraId="683555A2" w14:textId="77777777" w:rsidR="00813D6C" w:rsidRPr="007E1A8D" w:rsidRDefault="00813D6C" w:rsidP="00ED1AE4">
            <w:pPr>
              <w:pStyle w:val="Tabletext9pt"/>
              <w:rPr>
                <w:rFonts w:ascii="Arial Narrow" w:hAnsi="Arial Narrow"/>
                <w:sz w:val="20"/>
                <w:szCs w:val="22"/>
              </w:rPr>
            </w:pPr>
            <w:r w:rsidRPr="007E1A8D">
              <w:rPr>
                <w:rFonts w:ascii="Arial Narrow" w:hAnsi="Arial Narrow"/>
                <w:sz w:val="20"/>
                <w:szCs w:val="22"/>
              </w:rPr>
              <w:t>Comparator</w:t>
            </w:r>
          </w:p>
        </w:tc>
        <w:tc>
          <w:tcPr>
            <w:tcW w:w="2450" w:type="pct"/>
          </w:tcPr>
          <w:p w14:paraId="61231312" w14:textId="77777777" w:rsidR="00813D6C" w:rsidRPr="007E1A8D" w:rsidRDefault="00813D6C" w:rsidP="00ED1AE4">
            <w:pPr>
              <w:pStyle w:val="Tabletext9pt"/>
              <w:rPr>
                <w:rFonts w:ascii="Arial Narrow" w:hAnsi="Arial Narrow"/>
                <w:sz w:val="20"/>
                <w:szCs w:val="22"/>
              </w:rPr>
            </w:pPr>
            <w:r w:rsidRPr="007E1A8D">
              <w:rPr>
                <w:rFonts w:ascii="Arial Narrow" w:hAnsi="Arial Narrow"/>
                <w:sz w:val="20"/>
                <w:szCs w:val="22"/>
              </w:rPr>
              <w:t>MSAC considered a comparator weighting of 75% best supportive care and 25% cabazitaxel appropriate (PSD p6).</w:t>
            </w:r>
          </w:p>
        </w:tc>
        <w:tc>
          <w:tcPr>
            <w:tcW w:w="1809" w:type="pct"/>
          </w:tcPr>
          <w:p w14:paraId="199F96F9" w14:textId="40F78D4B" w:rsidR="00813D6C" w:rsidRPr="007E1A8D" w:rsidRDefault="00813D6C" w:rsidP="00ED1AE4">
            <w:pPr>
              <w:pStyle w:val="Tabletext9pt"/>
              <w:rPr>
                <w:rFonts w:ascii="Arial Narrow" w:hAnsi="Arial Narrow"/>
                <w:sz w:val="20"/>
                <w:szCs w:val="22"/>
              </w:rPr>
            </w:pPr>
            <w:r w:rsidRPr="007E1A8D">
              <w:rPr>
                <w:rFonts w:ascii="Arial Narrow" w:hAnsi="Arial Narrow"/>
                <w:sz w:val="20"/>
                <w:szCs w:val="22"/>
              </w:rPr>
              <w:t>The base-case economic analysis has been updated to use this comparator weighting.</w:t>
            </w:r>
            <w:r w:rsidR="007E1A8D">
              <w:rPr>
                <w:rFonts w:ascii="Arial Narrow" w:hAnsi="Arial Narrow"/>
                <w:sz w:val="20"/>
                <w:szCs w:val="22"/>
              </w:rPr>
              <w:t xml:space="preserve"> </w:t>
            </w:r>
            <w:r w:rsidR="007E1A8D" w:rsidRPr="007E1A8D">
              <w:rPr>
                <w:rFonts w:ascii="Arial Narrow" w:hAnsi="Arial Narrow"/>
                <w:i/>
                <w:iCs/>
                <w:sz w:val="20"/>
                <w:szCs w:val="22"/>
              </w:rPr>
              <w:t>This has been reasonably adjusted in the modelled economic evaluation.</w:t>
            </w:r>
          </w:p>
        </w:tc>
      </w:tr>
      <w:tr w:rsidR="00813D6C" w:rsidRPr="007E1A8D" w14:paraId="1161265E" w14:textId="77777777" w:rsidTr="00ED1AE4">
        <w:tc>
          <w:tcPr>
            <w:tcW w:w="741" w:type="pct"/>
          </w:tcPr>
          <w:p w14:paraId="433A3B19" w14:textId="77777777" w:rsidR="00813D6C" w:rsidRPr="007E1A8D" w:rsidRDefault="00813D6C" w:rsidP="00ED1AE4">
            <w:pPr>
              <w:pStyle w:val="Tabletext9pt"/>
              <w:rPr>
                <w:rFonts w:ascii="Arial Narrow" w:hAnsi="Arial Narrow"/>
                <w:sz w:val="20"/>
                <w:szCs w:val="22"/>
              </w:rPr>
            </w:pPr>
            <w:r w:rsidRPr="007E1A8D">
              <w:rPr>
                <w:rFonts w:ascii="Arial Narrow" w:hAnsi="Arial Narrow"/>
                <w:sz w:val="20"/>
                <w:szCs w:val="22"/>
              </w:rPr>
              <w:t>MBS item</w:t>
            </w:r>
          </w:p>
        </w:tc>
        <w:tc>
          <w:tcPr>
            <w:tcW w:w="2450" w:type="pct"/>
          </w:tcPr>
          <w:p w14:paraId="2BFA14CF" w14:textId="0658C1E5" w:rsidR="00813D6C" w:rsidRPr="007E1A8D" w:rsidRDefault="00813D6C" w:rsidP="00ED1AE4">
            <w:pPr>
              <w:pStyle w:val="Tabletext9pt"/>
              <w:rPr>
                <w:rFonts w:ascii="Arial Narrow" w:hAnsi="Arial Narrow"/>
                <w:sz w:val="20"/>
                <w:szCs w:val="22"/>
              </w:rPr>
            </w:pPr>
            <w:r w:rsidRPr="007E1A8D">
              <w:rPr>
                <w:rFonts w:ascii="Arial Narrow" w:hAnsi="Arial Narrow"/>
                <w:sz w:val="20"/>
                <w:szCs w:val="22"/>
              </w:rPr>
              <w:t xml:space="preserve">MSAC considered that the proposed item descriptor for </w:t>
            </w:r>
            <w:r w:rsidRPr="007E1A8D">
              <w:rPr>
                <w:rFonts w:ascii="Arial Narrow" w:hAnsi="Arial Narrow"/>
                <w:sz w:val="20"/>
                <w:szCs w:val="22"/>
                <w:vertAlign w:val="superscript"/>
              </w:rPr>
              <w:t>177</w:t>
            </w:r>
            <w:r w:rsidRPr="007E1A8D">
              <w:rPr>
                <w:rFonts w:ascii="Arial Narrow" w:hAnsi="Arial Narrow"/>
                <w:sz w:val="20"/>
                <w:szCs w:val="22"/>
              </w:rPr>
              <w:t>Lu</w:t>
            </w:r>
            <w:r w:rsidR="0097314B">
              <w:rPr>
                <w:rFonts w:ascii="Arial Narrow" w:hAnsi="Arial Narrow"/>
                <w:sz w:val="20"/>
                <w:szCs w:val="22"/>
              </w:rPr>
              <w:t> </w:t>
            </w:r>
            <w:r w:rsidRPr="007E1A8D">
              <w:rPr>
                <w:rFonts w:ascii="Arial Narrow" w:hAnsi="Arial Narrow"/>
                <w:sz w:val="20"/>
                <w:szCs w:val="22"/>
              </w:rPr>
              <w:t>PSMA</w:t>
            </w:r>
            <w:r w:rsidR="0097314B">
              <w:rPr>
                <w:rFonts w:ascii="Arial Narrow" w:hAnsi="Arial Narrow"/>
                <w:sz w:val="20"/>
                <w:szCs w:val="22"/>
              </w:rPr>
              <w:t> </w:t>
            </w:r>
            <w:proofErr w:type="spellStart"/>
            <w:r w:rsidRPr="007E1A8D">
              <w:rPr>
                <w:rFonts w:ascii="Arial Narrow" w:hAnsi="Arial Narrow"/>
                <w:sz w:val="20"/>
                <w:szCs w:val="22"/>
              </w:rPr>
              <w:t>i&amp;t</w:t>
            </w:r>
            <w:proofErr w:type="spellEnd"/>
            <w:r w:rsidRPr="007E1A8D">
              <w:rPr>
                <w:rFonts w:ascii="Arial Narrow" w:hAnsi="Arial Narrow"/>
                <w:sz w:val="20"/>
                <w:szCs w:val="22"/>
              </w:rPr>
              <w:t xml:space="preserve"> did not specify how ‘evidence of disease progression’ should be measured for treatment with </w:t>
            </w:r>
            <w:r w:rsidRPr="007E1A8D">
              <w:rPr>
                <w:rFonts w:ascii="Arial Narrow" w:hAnsi="Arial Narrow"/>
                <w:sz w:val="20"/>
                <w:szCs w:val="22"/>
                <w:vertAlign w:val="superscript"/>
              </w:rPr>
              <w:t>177</w:t>
            </w:r>
            <w:r w:rsidRPr="007E1A8D">
              <w:rPr>
                <w:rFonts w:ascii="Arial Narrow" w:hAnsi="Arial Narrow"/>
                <w:sz w:val="20"/>
                <w:szCs w:val="22"/>
              </w:rPr>
              <w:t>Lu</w:t>
            </w:r>
            <w:r w:rsidR="0097314B">
              <w:rPr>
                <w:rFonts w:ascii="Arial Narrow" w:hAnsi="Arial Narrow"/>
                <w:sz w:val="20"/>
                <w:szCs w:val="22"/>
              </w:rPr>
              <w:t> </w:t>
            </w:r>
            <w:r w:rsidRPr="007E1A8D">
              <w:rPr>
                <w:rFonts w:ascii="Arial Narrow" w:hAnsi="Arial Narrow"/>
                <w:sz w:val="20"/>
                <w:szCs w:val="22"/>
              </w:rPr>
              <w:t>PSMA</w:t>
            </w:r>
            <w:r w:rsidR="002C4B6E">
              <w:rPr>
                <w:rFonts w:ascii="Arial Narrow" w:hAnsi="Arial Narrow"/>
                <w:sz w:val="20"/>
                <w:szCs w:val="22"/>
              </w:rPr>
              <w:t> </w:t>
            </w:r>
            <w:proofErr w:type="spellStart"/>
            <w:r w:rsidRPr="007E1A8D">
              <w:rPr>
                <w:rFonts w:ascii="Arial Narrow" w:hAnsi="Arial Narrow"/>
                <w:sz w:val="20"/>
                <w:szCs w:val="22"/>
              </w:rPr>
              <w:t>i&amp;t</w:t>
            </w:r>
            <w:proofErr w:type="spellEnd"/>
            <w:r w:rsidRPr="007E1A8D">
              <w:rPr>
                <w:rFonts w:ascii="Arial Narrow" w:hAnsi="Arial Narrow"/>
                <w:sz w:val="20"/>
                <w:szCs w:val="22"/>
              </w:rPr>
              <w:t xml:space="preserve"> to cease before 6 cycles (</w:t>
            </w:r>
            <w:proofErr w:type="spellStart"/>
            <w:r w:rsidRPr="007E1A8D">
              <w:rPr>
                <w:rFonts w:ascii="Arial Narrow" w:hAnsi="Arial Narrow"/>
                <w:sz w:val="20"/>
                <w:szCs w:val="22"/>
              </w:rPr>
              <w:t>i.e</w:t>
            </w:r>
            <w:proofErr w:type="spellEnd"/>
            <w:r w:rsidRPr="007E1A8D">
              <w:rPr>
                <w:rFonts w:ascii="Arial Narrow" w:hAnsi="Arial Narrow"/>
                <w:sz w:val="20"/>
                <w:szCs w:val="22"/>
              </w:rPr>
              <w:t xml:space="preserve">, prostate specific antigen (PSA) or radiographic progression as per </w:t>
            </w:r>
            <w:proofErr w:type="spellStart"/>
            <w:r w:rsidRPr="007E1A8D">
              <w:rPr>
                <w:rFonts w:ascii="Arial Narrow" w:hAnsi="Arial Narrow"/>
                <w:sz w:val="20"/>
                <w:szCs w:val="22"/>
              </w:rPr>
              <w:t>TheraP</w:t>
            </w:r>
            <w:proofErr w:type="spellEnd"/>
            <w:r w:rsidRPr="007E1A8D">
              <w:rPr>
                <w:rFonts w:ascii="Arial Narrow" w:hAnsi="Arial Narrow"/>
                <w:sz w:val="20"/>
                <w:szCs w:val="22"/>
              </w:rPr>
              <w:t xml:space="preserve"> or image-based progression only as per VISION)</w:t>
            </w:r>
            <w:r w:rsidR="009D0C10">
              <w:rPr>
                <w:rFonts w:ascii="Arial Narrow" w:hAnsi="Arial Narrow"/>
                <w:sz w:val="20"/>
                <w:szCs w:val="22"/>
              </w:rPr>
              <w:t>.</w:t>
            </w:r>
            <w:r w:rsidRPr="007E1A8D">
              <w:rPr>
                <w:rFonts w:ascii="Arial Narrow" w:hAnsi="Arial Narrow"/>
                <w:sz w:val="20"/>
                <w:szCs w:val="22"/>
              </w:rPr>
              <w:t xml:space="preserve"> The definition of PFS had implications for the cost-effectiveness and overall cost of listing </w:t>
            </w:r>
            <w:r w:rsidRPr="007E1A8D">
              <w:rPr>
                <w:rFonts w:ascii="Arial Narrow" w:hAnsi="Arial Narrow"/>
                <w:sz w:val="20"/>
                <w:szCs w:val="22"/>
                <w:vertAlign w:val="superscript"/>
              </w:rPr>
              <w:t>177</w:t>
            </w:r>
            <w:r w:rsidRPr="007E1A8D">
              <w:rPr>
                <w:rFonts w:ascii="Arial Narrow" w:hAnsi="Arial Narrow"/>
                <w:sz w:val="20"/>
                <w:szCs w:val="22"/>
              </w:rPr>
              <w:t>Lu</w:t>
            </w:r>
            <w:r w:rsidR="002825B1">
              <w:rPr>
                <w:rFonts w:ascii="Arial Narrow" w:hAnsi="Arial Narrow"/>
                <w:sz w:val="20"/>
                <w:szCs w:val="22"/>
              </w:rPr>
              <w:t> </w:t>
            </w:r>
            <w:r w:rsidRPr="007E1A8D">
              <w:rPr>
                <w:rFonts w:ascii="Arial Narrow" w:hAnsi="Arial Narrow"/>
                <w:sz w:val="20"/>
                <w:szCs w:val="22"/>
              </w:rPr>
              <w:t>PSMA</w:t>
            </w:r>
            <w:r w:rsidR="002825B1">
              <w:rPr>
                <w:rFonts w:ascii="Arial Narrow" w:hAnsi="Arial Narrow"/>
                <w:sz w:val="20"/>
                <w:szCs w:val="22"/>
              </w:rPr>
              <w:t> </w:t>
            </w:r>
            <w:proofErr w:type="spellStart"/>
            <w:r w:rsidRPr="007E1A8D">
              <w:rPr>
                <w:rFonts w:ascii="Arial Narrow" w:hAnsi="Arial Narrow"/>
                <w:sz w:val="20"/>
                <w:szCs w:val="22"/>
              </w:rPr>
              <w:t>i&amp;t</w:t>
            </w:r>
            <w:proofErr w:type="spellEnd"/>
            <w:r w:rsidRPr="007E1A8D">
              <w:rPr>
                <w:rFonts w:ascii="Arial Narrow" w:hAnsi="Arial Narrow"/>
                <w:sz w:val="20"/>
                <w:szCs w:val="22"/>
              </w:rPr>
              <w:t xml:space="preserve"> on the MBS. (PSD p10).</w:t>
            </w:r>
          </w:p>
        </w:tc>
        <w:tc>
          <w:tcPr>
            <w:tcW w:w="1809" w:type="pct"/>
          </w:tcPr>
          <w:p w14:paraId="33FD242A" w14:textId="16131B14" w:rsidR="00813D6C" w:rsidRPr="007E1A8D" w:rsidRDefault="00813D6C" w:rsidP="00ED1AE4">
            <w:pPr>
              <w:pStyle w:val="Tabletext9pt"/>
              <w:rPr>
                <w:rFonts w:ascii="Arial Narrow" w:hAnsi="Arial Narrow"/>
                <w:sz w:val="20"/>
                <w:szCs w:val="22"/>
              </w:rPr>
            </w:pPr>
            <w:r w:rsidRPr="007E1A8D">
              <w:rPr>
                <w:rFonts w:ascii="Arial Narrow" w:hAnsi="Arial Narrow"/>
                <w:sz w:val="20"/>
                <w:szCs w:val="22"/>
              </w:rPr>
              <w:t xml:space="preserve">The proposed MBS items for </w:t>
            </w:r>
            <w:r w:rsidRPr="007E1A8D">
              <w:rPr>
                <w:rFonts w:ascii="Arial Narrow" w:hAnsi="Arial Narrow"/>
                <w:sz w:val="20"/>
                <w:szCs w:val="22"/>
                <w:vertAlign w:val="superscript"/>
              </w:rPr>
              <w:t>177</w:t>
            </w:r>
            <w:r w:rsidRPr="007E1A8D">
              <w:rPr>
                <w:rFonts w:ascii="Arial Narrow" w:hAnsi="Arial Narrow"/>
                <w:sz w:val="20"/>
                <w:szCs w:val="22"/>
              </w:rPr>
              <w:t>Lu</w:t>
            </w:r>
            <w:r w:rsidR="0086723F">
              <w:rPr>
                <w:rFonts w:ascii="Arial Narrow" w:hAnsi="Arial Narrow"/>
                <w:sz w:val="20"/>
                <w:szCs w:val="22"/>
              </w:rPr>
              <w:t> </w:t>
            </w:r>
            <w:r w:rsidRPr="007E1A8D">
              <w:rPr>
                <w:rFonts w:ascii="Arial Narrow" w:hAnsi="Arial Narrow"/>
                <w:sz w:val="20"/>
                <w:szCs w:val="22"/>
              </w:rPr>
              <w:t>PSMA</w:t>
            </w:r>
            <w:r w:rsidR="0068721C">
              <w:rPr>
                <w:rFonts w:ascii="Arial Narrow" w:hAnsi="Arial Narrow"/>
                <w:sz w:val="20"/>
                <w:szCs w:val="22"/>
              </w:rPr>
              <w:t> </w:t>
            </w:r>
            <w:proofErr w:type="spellStart"/>
            <w:r w:rsidR="0068721C">
              <w:rPr>
                <w:rFonts w:ascii="Arial Narrow" w:hAnsi="Arial Narrow"/>
                <w:sz w:val="20"/>
                <w:szCs w:val="22"/>
              </w:rPr>
              <w:t>i&amp;t</w:t>
            </w:r>
            <w:proofErr w:type="spellEnd"/>
            <w:r w:rsidR="0068721C">
              <w:rPr>
                <w:rFonts w:ascii="Arial Narrow" w:hAnsi="Arial Narrow"/>
                <w:sz w:val="20"/>
                <w:szCs w:val="22"/>
              </w:rPr>
              <w:t xml:space="preserve"> (referred to as Lu</w:t>
            </w:r>
            <w:r w:rsidR="00886A39">
              <w:rPr>
                <w:rFonts w:ascii="Arial Narrow" w:hAnsi="Arial Narrow"/>
                <w:sz w:val="20"/>
                <w:szCs w:val="22"/>
              </w:rPr>
              <w:t>-PSMA in proposed MBS items for therapy)</w:t>
            </w:r>
            <w:r w:rsidRPr="007E1A8D">
              <w:rPr>
                <w:rFonts w:ascii="Arial Narrow" w:hAnsi="Arial Narrow"/>
                <w:sz w:val="20"/>
                <w:szCs w:val="22"/>
              </w:rPr>
              <w:t xml:space="preserve"> has been updated to include separate MBS items for initial and continuing treatment phases and includes a definition of disease progression based on PSA and radiographic progression. </w:t>
            </w:r>
            <w:r w:rsidRPr="007E1A8D">
              <w:rPr>
                <w:rFonts w:ascii="Arial Narrow" w:hAnsi="Arial Narrow"/>
                <w:i/>
                <w:iCs/>
                <w:sz w:val="20"/>
                <w:szCs w:val="22"/>
              </w:rPr>
              <w:t>The</w:t>
            </w:r>
            <w:r w:rsidR="005F1D07">
              <w:rPr>
                <w:rFonts w:ascii="Arial Narrow" w:hAnsi="Arial Narrow"/>
                <w:i/>
                <w:iCs/>
                <w:sz w:val="20"/>
                <w:szCs w:val="22"/>
              </w:rPr>
              <w:t xml:space="preserve"> continuing</w:t>
            </w:r>
            <w:r w:rsidR="007700BE">
              <w:rPr>
                <w:rFonts w:ascii="Arial Narrow" w:hAnsi="Arial Narrow"/>
                <w:i/>
                <w:iCs/>
                <w:sz w:val="20"/>
                <w:szCs w:val="22"/>
              </w:rPr>
              <w:t xml:space="preserve"> treatment</w:t>
            </w:r>
            <w:r w:rsidRPr="007E1A8D">
              <w:rPr>
                <w:rFonts w:ascii="Arial Narrow" w:hAnsi="Arial Narrow"/>
                <w:i/>
                <w:iCs/>
                <w:sz w:val="20"/>
                <w:szCs w:val="22"/>
              </w:rPr>
              <w:t xml:space="preserve"> item descriptor is insufficiently defined with respect to evidence of disease progression and how </w:t>
            </w:r>
            <w:r w:rsidR="007E1A8D" w:rsidRPr="007E1A8D">
              <w:rPr>
                <w:rFonts w:ascii="Arial Narrow" w:hAnsi="Arial Narrow"/>
                <w:i/>
                <w:iCs/>
                <w:sz w:val="20"/>
                <w:szCs w:val="22"/>
              </w:rPr>
              <w:t xml:space="preserve">and when </w:t>
            </w:r>
            <w:r w:rsidRPr="007E1A8D">
              <w:rPr>
                <w:rFonts w:ascii="Arial Narrow" w:hAnsi="Arial Narrow"/>
                <w:i/>
                <w:iCs/>
                <w:sz w:val="20"/>
                <w:szCs w:val="22"/>
              </w:rPr>
              <w:t>this should be measured</w:t>
            </w:r>
            <w:r w:rsidR="005F1D07">
              <w:rPr>
                <w:rFonts w:ascii="Arial Narrow" w:hAnsi="Arial Narrow"/>
                <w:i/>
                <w:iCs/>
                <w:sz w:val="20"/>
                <w:szCs w:val="22"/>
              </w:rPr>
              <w:t>.</w:t>
            </w:r>
          </w:p>
        </w:tc>
      </w:tr>
      <w:tr w:rsidR="00813D6C" w:rsidRPr="007E1A8D" w14:paraId="7D3AA8DB" w14:textId="77777777" w:rsidTr="00ED1AE4">
        <w:tc>
          <w:tcPr>
            <w:tcW w:w="741" w:type="pct"/>
          </w:tcPr>
          <w:p w14:paraId="5709A616" w14:textId="77777777" w:rsidR="00813D6C" w:rsidRPr="007E1A8D" w:rsidRDefault="00813D6C" w:rsidP="00ED1AE4">
            <w:pPr>
              <w:pStyle w:val="Tabletext9pt"/>
              <w:rPr>
                <w:rFonts w:ascii="Arial Narrow" w:hAnsi="Arial Narrow"/>
                <w:sz w:val="20"/>
                <w:szCs w:val="22"/>
              </w:rPr>
            </w:pPr>
            <w:r w:rsidRPr="007E1A8D">
              <w:rPr>
                <w:rFonts w:ascii="Arial Narrow" w:hAnsi="Arial Narrow"/>
                <w:sz w:val="20"/>
                <w:szCs w:val="22"/>
              </w:rPr>
              <w:t>Cost-effectiveness</w:t>
            </w:r>
          </w:p>
        </w:tc>
        <w:tc>
          <w:tcPr>
            <w:tcW w:w="2450" w:type="pct"/>
          </w:tcPr>
          <w:p w14:paraId="28356DD7" w14:textId="1ECF4929" w:rsidR="00813D6C" w:rsidRPr="007E1A8D" w:rsidRDefault="00813D6C" w:rsidP="00ED1AE4">
            <w:pPr>
              <w:pStyle w:val="Tabletext9pt"/>
              <w:rPr>
                <w:rFonts w:ascii="Arial Narrow" w:hAnsi="Arial Narrow"/>
                <w:sz w:val="20"/>
                <w:szCs w:val="22"/>
              </w:rPr>
            </w:pPr>
            <w:r w:rsidRPr="007E1A8D">
              <w:rPr>
                <w:rFonts w:ascii="Arial Narrow" w:hAnsi="Arial Narrow"/>
                <w:sz w:val="20"/>
                <w:szCs w:val="22"/>
              </w:rPr>
              <w:t>MSAC considered the ICER was too high and uncertain (PSD p2) and advised the applicant to consider how the ICER may be reduced (PSD p6).</w:t>
            </w:r>
          </w:p>
        </w:tc>
        <w:tc>
          <w:tcPr>
            <w:tcW w:w="1809" w:type="pct"/>
          </w:tcPr>
          <w:p w14:paraId="24C38E66" w14:textId="6B2A4047" w:rsidR="00813D6C" w:rsidRPr="007E1A8D" w:rsidRDefault="00813D6C" w:rsidP="00ED1AE4">
            <w:pPr>
              <w:pStyle w:val="Tabletext9pt"/>
              <w:rPr>
                <w:rFonts w:ascii="Arial Narrow" w:hAnsi="Arial Narrow"/>
                <w:sz w:val="20"/>
                <w:szCs w:val="22"/>
              </w:rPr>
            </w:pPr>
            <w:r w:rsidRPr="007E1A8D">
              <w:rPr>
                <w:rFonts w:ascii="Arial Narrow" w:hAnsi="Arial Narrow"/>
                <w:sz w:val="20"/>
                <w:szCs w:val="22"/>
              </w:rPr>
              <w:t xml:space="preserve">The CEA has been updated </w:t>
            </w:r>
            <w:proofErr w:type="gramStart"/>
            <w:r w:rsidRPr="007E1A8D">
              <w:rPr>
                <w:rFonts w:ascii="Arial Narrow" w:hAnsi="Arial Narrow"/>
                <w:sz w:val="20"/>
                <w:szCs w:val="22"/>
              </w:rPr>
              <w:t>taking into account</w:t>
            </w:r>
            <w:proofErr w:type="gramEnd"/>
            <w:r w:rsidRPr="007E1A8D">
              <w:rPr>
                <w:rFonts w:ascii="Arial Narrow" w:hAnsi="Arial Narrow"/>
                <w:sz w:val="20"/>
                <w:szCs w:val="22"/>
              </w:rPr>
              <w:t xml:space="preserve"> feedback from MSAC, the updated restriction and further information on time on treatment, response to therapy and quality of life.</w:t>
            </w:r>
            <w:r w:rsidR="007E1A8D">
              <w:rPr>
                <w:rFonts w:ascii="Arial Narrow" w:hAnsi="Arial Narrow"/>
                <w:sz w:val="20"/>
                <w:szCs w:val="22"/>
              </w:rPr>
              <w:t xml:space="preserve"> </w:t>
            </w:r>
            <w:r w:rsidR="007E1A8D" w:rsidRPr="007E1A8D">
              <w:rPr>
                <w:rFonts w:ascii="Arial Narrow" w:hAnsi="Arial Narrow"/>
                <w:i/>
                <w:iCs/>
                <w:sz w:val="20"/>
                <w:szCs w:val="22"/>
              </w:rPr>
              <w:t>Methods used to adjust for time on treatment and utilities applied require consideration, see below.</w:t>
            </w:r>
          </w:p>
        </w:tc>
      </w:tr>
      <w:tr w:rsidR="00813D6C" w:rsidRPr="007E1A8D" w14:paraId="7A555BB0" w14:textId="77777777" w:rsidTr="00ED1AE4">
        <w:tc>
          <w:tcPr>
            <w:tcW w:w="741" w:type="pct"/>
          </w:tcPr>
          <w:p w14:paraId="4E6CD68A" w14:textId="77777777" w:rsidR="00813D6C" w:rsidRPr="007E1A8D" w:rsidRDefault="00813D6C" w:rsidP="00ED1AE4">
            <w:pPr>
              <w:pStyle w:val="Tabletext9pt"/>
              <w:rPr>
                <w:rFonts w:ascii="Arial Narrow" w:hAnsi="Arial Narrow"/>
                <w:sz w:val="20"/>
                <w:szCs w:val="22"/>
              </w:rPr>
            </w:pPr>
            <w:r w:rsidRPr="007E1A8D">
              <w:rPr>
                <w:rFonts w:ascii="Arial Narrow" w:hAnsi="Arial Narrow"/>
                <w:sz w:val="20"/>
                <w:szCs w:val="22"/>
              </w:rPr>
              <w:t>Financial impact</w:t>
            </w:r>
          </w:p>
        </w:tc>
        <w:tc>
          <w:tcPr>
            <w:tcW w:w="2450" w:type="pct"/>
          </w:tcPr>
          <w:p w14:paraId="406F4513" w14:textId="77777777" w:rsidR="00813D6C" w:rsidRPr="007E1A8D" w:rsidRDefault="00813D6C" w:rsidP="00ED1AE4">
            <w:pPr>
              <w:pStyle w:val="Tabletext9pt"/>
              <w:rPr>
                <w:rFonts w:ascii="Arial Narrow" w:hAnsi="Arial Narrow"/>
                <w:sz w:val="20"/>
                <w:szCs w:val="22"/>
              </w:rPr>
            </w:pPr>
            <w:r w:rsidRPr="007E1A8D">
              <w:rPr>
                <w:rFonts w:ascii="Arial Narrow" w:hAnsi="Arial Narrow"/>
                <w:sz w:val="20"/>
                <w:szCs w:val="22"/>
              </w:rPr>
              <w:t>Updates to the financial impact based on the above issues.</w:t>
            </w:r>
          </w:p>
        </w:tc>
        <w:tc>
          <w:tcPr>
            <w:tcW w:w="1809" w:type="pct"/>
          </w:tcPr>
          <w:p w14:paraId="07B9B4AF" w14:textId="76027A2C" w:rsidR="00813D6C" w:rsidRPr="007E1A8D" w:rsidRDefault="00813D6C" w:rsidP="00ED1AE4">
            <w:pPr>
              <w:pStyle w:val="Tabletext9pt"/>
              <w:rPr>
                <w:rFonts w:ascii="Arial Narrow" w:hAnsi="Arial Narrow"/>
                <w:i/>
                <w:iCs/>
                <w:sz w:val="20"/>
                <w:szCs w:val="22"/>
              </w:rPr>
            </w:pPr>
            <w:r w:rsidRPr="007E1A8D">
              <w:rPr>
                <w:rFonts w:ascii="Arial Narrow" w:hAnsi="Arial Narrow"/>
                <w:sz w:val="20"/>
                <w:szCs w:val="22"/>
              </w:rPr>
              <w:t xml:space="preserve">The financial impact has been updated </w:t>
            </w:r>
            <w:proofErr w:type="gramStart"/>
            <w:r w:rsidRPr="007E1A8D">
              <w:rPr>
                <w:rFonts w:ascii="Arial Narrow" w:hAnsi="Arial Narrow"/>
                <w:sz w:val="20"/>
                <w:szCs w:val="22"/>
              </w:rPr>
              <w:t>taking into account</w:t>
            </w:r>
            <w:proofErr w:type="gramEnd"/>
            <w:r w:rsidRPr="007E1A8D">
              <w:rPr>
                <w:rFonts w:ascii="Arial Narrow" w:hAnsi="Arial Narrow"/>
                <w:sz w:val="20"/>
                <w:szCs w:val="22"/>
              </w:rPr>
              <w:t xml:space="preserve"> the updates to the comparator weighting and time on treatment.</w:t>
            </w:r>
            <w:r w:rsidR="007E1A8D">
              <w:rPr>
                <w:rFonts w:ascii="Arial Narrow" w:hAnsi="Arial Narrow"/>
                <w:sz w:val="20"/>
                <w:szCs w:val="22"/>
              </w:rPr>
              <w:t xml:space="preserve"> </w:t>
            </w:r>
            <w:r w:rsidR="007E1A8D" w:rsidRPr="007E1A8D">
              <w:rPr>
                <w:rFonts w:ascii="Arial Narrow" w:hAnsi="Arial Narrow"/>
                <w:i/>
                <w:iCs/>
                <w:sz w:val="20"/>
                <w:szCs w:val="22"/>
              </w:rPr>
              <w:t>T</w:t>
            </w:r>
            <w:r w:rsidR="007E1A8D">
              <w:rPr>
                <w:rFonts w:ascii="Arial Narrow" w:hAnsi="Arial Narrow"/>
                <w:i/>
                <w:iCs/>
                <w:sz w:val="20"/>
                <w:szCs w:val="22"/>
              </w:rPr>
              <w:t xml:space="preserve">he financial </w:t>
            </w:r>
            <w:proofErr w:type="gramStart"/>
            <w:r w:rsidR="007E1A8D">
              <w:rPr>
                <w:rFonts w:ascii="Arial Narrow" w:hAnsi="Arial Narrow"/>
                <w:i/>
                <w:iCs/>
                <w:sz w:val="20"/>
                <w:szCs w:val="22"/>
              </w:rPr>
              <w:t>estimates</w:t>
            </w:r>
            <w:proofErr w:type="gramEnd"/>
            <w:r w:rsidR="007E1A8D">
              <w:rPr>
                <w:rFonts w:ascii="Arial Narrow" w:hAnsi="Arial Narrow"/>
                <w:i/>
                <w:iCs/>
                <w:sz w:val="20"/>
                <w:szCs w:val="22"/>
              </w:rPr>
              <w:t xml:space="preserve"> however, do not consider treatment with cabazitaxel following </w:t>
            </w:r>
            <w:r w:rsidR="007E1A8D">
              <w:rPr>
                <w:rFonts w:ascii="Arial Narrow" w:hAnsi="Arial Narrow"/>
                <w:i/>
                <w:iCs/>
                <w:sz w:val="20"/>
                <w:szCs w:val="22"/>
                <w:vertAlign w:val="superscript"/>
              </w:rPr>
              <w:t>177</w:t>
            </w:r>
            <w:r w:rsidR="007E1A8D">
              <w:rPr>
                <w:rFonts w:ascii="Arial Narrow" w:hAnsi="Arial Narrow"/>
                <w:i/>
                <w:iCs/>
                <w:sz w:val="20"/>
                <w:szCs w:val="22"/>
              </w:rPr>
              <w:t>Lu</w:t>
            </w:r>
            <w:r w:rsidR="0086723F">
              <w:rPr>
                <w:rFonts w:ascii="Arial Narrow" w:hAnsi="Arial Narrow"/>
                <w:i/>
                <w:iCs/>
                <w:sz w:val="20"/>
                <w:szCs w:val="22"/>
              </w:rPr>
              <w:t> </w:t>
            </w:r>
            <w:r w:rsidR="007E1A8D">
              <w:rPr>
                <w:rFonts w:ascii="Arial Narrow" w:hAnsi="Arial Narrow"/>
                <w:i/>
                <w:iCs/>
                <w:sz w:val="20"/>
                <w:szCs w:val="22"/>
              </w:rPr>
              <w:t>PSMA</w:t>
            </w:r>
            <w:r w:rsidR="0086723F">
              <w:rPr>
                <w:rFonts w:ascii="Arial Narrow" w:hAnsi="Arial Narrow"/>
                <w:i/>
                <w:iCs/>
                <w:sz w:val="20"/>
                <w:szCs w:val="22"/>
              </w:rPr>
              <w:t> </w:t>
            </w:r>
            <w:proofErr w:type="spellStart"/>
            <w:r w:rsidR="0086723F">
              <w:rPr>
                <w:rFonts w:ascii="Arial Narrow" w:hAnsi="Arial Narrow"/>
                <w:i/>
                <w:iCs/>
                <w:sz w:val="20"/>
                <w:szCs w:val="22"/>
              </w:rPr>
              <w:t>i&amp;t</w:t>
            </w:r>
            <w:proofErr w:type="spellEnd"/>
            <w:r w:rsidR="00D77547">
              <w:rPr>
                <w:rFonts w:ascii="Arial Narrow" w:hAnsi="Arial Narrow"/>
                <w:i/>
                <w:iCs/>
                <w:sz w:val="20"/>
                <w:szCs w:val="22"/>
              </w:rPr>
              <w:t xml:space="preserve"> therapy</w:t>
            </w:r>
            <w:r w:rsidR="007E1A8D">
              <w:rPr>
                <w:rFonts w:ascii="Arial Narrow" w:hAnsi="Arial Narrow"/>
                <w:i/>
                <w:iCs/>
                <w:sz w:val="20"/>
                <w:szCs w:val="22"/>
              </w:rPr>
              <w:t>.</w:t>
            </w:r>
          </w:p>
        </w:tc>
      </w:tr>
    </w:tbl>
    <w:p w14:paraId="37AB5F08" w14:textId="77777777" w:rsidR="00813D6C" w:rsidRPr="00F465E6" w:rsidRDefault="00813D6C" w:rsidP="003B2F11">
      <w:pPr>
        <w:pStyle w:val="Tablenotes"/>
      </w:pPr>
      <w:r w:rsidRPr="00F465E6">
        <w:t xml:space="preserve">Abbreviations: CEA, cost-effectiveness analysis; ICER, incremental cost-effectiveness ratio; MBS, Medicare Benefits Schedule; MSAC, Medicare Benefits Advisory Committee; PSA, prostate specific antigen; PSD, public summary document </w:t>
      </w:r>
    </w:p>
    <w:p w14:paraId="4469858E" w14:textId="45FF195D" w:rsidR="00813D6C" w:rsidRPr="00F465E6" w:rsidRDefault="00813D6C" w:rsidP="003B2F11">
      <w:pPr>
        <w:pStyle w:val="Tablenotes"/>
      </w:pPr>
      <w:r w:rsidRPr="00F465E6">
        <w:t xml:space="preserve">Source: </w:t>
      </w:r>
      <w:r w:rsidR="00580A2A">
        <w:t>Compiled</w:t>
      </w:r>
      <w:r w:rsidR="0025559A">
        <w:t xml:space="preserve"> </w:t>
      </w:r>
      <w:r w:rsidR="00580A2A">
        <w:t>during evaluation</w:t>
      </w:r>
      <w:r w:rsidR="00216395">
        <w:t xml:space="preserve"> from Table 1</w:t>
      </w:r>
      <w:r w:rsidR="00580A2A">
        <w:t>, p9 of the ADAR</w:t>
      </w:r>
    </w:p>
    <w:bookmarkEnd w:id="5"/>
    <w:p w14:paraId="6F52500A" w14:textId="0A11C9D1" w:rsidR="00772829" w:rsidRDefault="00C7462B" w:rsidP="00C7462B">
      <w:pPr>
        <w:pStyle w:val="ESHeading1"/>
        <w:numPr>
          <w:ilvl w:val="0"/>
          <w:numId w:val="0"/>
        </w:numPr>
        <w:spacing w:before="360"/>
        <w:ind w:hanging="74"/>
      </w:pPr>
      <w:r>
        <w:lastRenderedPageBreak/>
        <w:t>5.</w:t>
      </w:r>
      <w:r>
        <w:tab/>
      </w:r>
      <w:r w:rsidR="00772829" w:rsidRPr="00CE28E3">
        <w:t>Prerequisites to implementation of any funding advice</w:t>
      </w:r>
      <w:bookmarkEnd w:id="6"/>
    </w:p>
    <w:p w14:paraId="0B2DC461" w14:textId="0520548D" w:rsidR="00D806CE" w:rsidRPr="0001342B" w:rsidRDefault="002F5797" w:rsidP="00D806CE">
      <w:r w:rsidRPr="0001342B">
        <w:t>Consistent with other radiopharmaceutical products for which the administration is funded through the MBS, t</w:t>
      </w:r>
      <w:r w:rsidR="00D806CE" w:rsidRPr="0001342B">
        <w:t>he proposed therapeutic intervention</w:t>
      </w:r>
      <w:r w:rsidR="00D806CE" w:rsidRPr="0001342B">
        <w:rPr>
          <w:vertAlign w:val="superscript"/>
        </w:rPr>
        <w:t xml:space="preserve"> 177</w:t>
      </w:r>
      <w:r w:rsidR="00D806CE" w:rsidRPr="0001342B">
        <w:t>Lu</w:t>
      </w:r>
      <w:r w:rsidR="00402028">
        <w:t> </w:t>
      </w:r>
      <w:r w:rsidR="00D806CE" w:rsidRPr="0001342B">
        <w:t>PSMA</w:t>
      </w:r>
      <w:r w:rsidR="00402028">
        <w:t> </w:t>
      </w:r>
      <w:proofErr w:type="spellStart"/>
      <w:r w:rsidR="00D806CE" w:rsidRPr="0001342B">
        <w:t>i&amp;t</w:t>
      </w:r>
      <w:proofErr w:type="spellEnd"/>
      <w:r w:rsidR="00D806CE" w:rsidRPr="0001342B">
        <w:t>, is produced under G</w:t>
      </w:r>
      <w:r w:rsidR="00773F4C" w:rsidRPr="0001342B">
        <w:t>o</w:t>
      </w:r>
      <w:r w:rsidR="007932EA" w:rsidRPr="0001342B">
        <w:t xml:space="preserve">od </w:t>
      </w:r>
      <w:r w:rsidR="00D806CE" w:rsidRPr="0001342B">
        <w:t>L</w:t>
      </w:r>
      <w:r w:rsidR="007932EA" w:rsidRPr="0001342B">
        <w:t xml:space="preserve">aboratory </w:t>
      </w:r>
      <w:r w:rsidR="00D806CE" w:rsidRPr="0001342B">
        <w:t>P</w:t>
      </w:r>
      <w:r w:rsidR="007932EA" w:rsidRPr="0001342B">
        <w:t>ractice (GLP)</w:t>
      </w:r>
      <w:r w:rsidR="00D806CE" w:rsidRPr="0001342B">
        <w:t xml:space="preserve"> in Australia. GLP</w:t>
      </w:r>
      <w:r w:rsidRPr="0001342B">
        <w:t>-</w:t>
      </w:r>
      <w:r w:rsidR="00D806CE" w:rsidRPr="0001342B">
        <w:t xml:space="preserve">compliant production of </w:t>
      </w:r>
      <w:r w:rsidR="00D806CE" w:rsidRPr="0001342B">
        <w:rPr>
          <w:vertAlign w:val="superscript"/>
        </w:rPr>
        <w:t>177</w:t>
      </w:r>
      <w:r w:rsidR="00D806CE" w:rsidRPr="0001342B">
        <w:t>Lu</w:t>
      </w:r>
      <w:r w:rsidR="00402028">
        <w:t> </w:t>
      </w:r>
      <w:r w:rsidR="00D806CE" w:rsidRPr="0001342B">
        <w:t>PSMA</w:t>
      </w:r>
      <w:r w:rsidR="00402028">
        <w:t> </w:t>
      </w:r>
      <w:proofErr w:type="spellStart"/>
      <w:r w:rsidR="00D806CE" w:rsidRPr="0001342B">
        <w:t>i&amp;t</w:t>
      </w:r>
      <w:proofErr w:type="spellEnd"/>
      <w:r w:rsidR="00D806CE" w:rsidRPr="0001342B">
        <w:t xml:space="preserve"> is the current standard of care (SoC) for the provision of </w:t>
      </w:r>
      <w:r w:rsidRPr="0001342B">
        <w:t>radiopharmaceutical</w:t>
      </w:r>
      <w:r w:rsidR="00D806CE" w:rsidRPr="0001342B">
        <w:t xml:space="preserve"> treatments across Australia, within trials and </w:t>
      </w:r>
      <w:r w:rsidR="00EE6141">
        <w:t xml:space="preserve">in </w:t>
      </w:r>
      <w:r w:rsidR="00D806CE" w:rsidRPr="0001342B">
        <w:t>clinical</w:t>
      </w:r>
      <w:r w:rsidR="00EE6141">
        <w:t xml:space="preserve"> practice</w:t>
      </w:r>
      <w:r w:rsidR="00D806CE" w:rsidRPr="0001342B">
        <w:t xml:space="preserve">. It is routinely used in nuclear medicine departments for radio-pharmacy production across Australia. GLP production of </w:t>
      </w:r>
      <w:r w:rsidR="00D806CE" w:rsidRPr="0001342B">
        <w:rPr>
          <w:vertAlign w:val="superscript"/>
        </w:rPr>
        <w:t>177</w:t>
      </w:r>
      <w:r w:rsidR="00D806CE" w:rsidRPr="0001342B">
        <w:t>Lu</w:t>
      </w:r>
      <w:r w:rsidR="00402028">
        <w:t> </w:t>
      </w:r>
      <w:r w:rsidR="00D806CE" w:rsidRPr="0001342B">
        <w:t>PSMA</w:t>
      </w:r>
      <w:r w:rsidR="00402028">
        <w:t> </w:t>
      </w:r>
      <w:proofErr w:type="spellStart"/>
      <w:r w:rsidR="00D806CE" w:rsidRPr="0001342B">
        <w:t>i&amp;t</w:t>
      </w:r>
      <w:proofErr w:type="spellEnd"/>
      <w:r w:rsidR="00D806CE" w:rsidRPr="0001342B">
        <w:t xml:space="preserve"> is currently available through the TGA exemption for production of radiopharmaceuticals in public or private hospitals for local use and not for on-sale.</w:t>
      </w:r>
    </w:p>
    <w:p w14:paraId="44C3B242" w14:textId="5B08C5F5" w:rsidR="00772829" w:rsidRDefault="00C7462B" w:rsidP="00C7462B">
      <w:pPr>
        <w:pStyle w:val="ESHeading1"/>
        <w:numPr>
          <w:ilvl w:val="0"/>
          <w:numId w:val="0"/>
        </w:numPr>
        <w:spacing w:before="360"/>
        <w:ind w:hanging="74"/>
      </w:pPr>
      <w:bookmarkStart w:id="8" w:name="_Toc69491418"/>
      <w:r>
        <w:t>6.</w:t>
      </w:r>
      <w:r>
        <w:tab/>
      </w:r>
      <w:r w:rsidR="00772829" w:rsidRPr="00CE28E3">
        <w:t>Proposal for public funding</w:t>
      </w:r>
      <w:bookmarkEnd w:id="8"/>
    </w:p>
    <w:p w14:paraId="54F6E125" w14:textId="44585241" w:rsidR="004D04A2" w:rsidRDefault="004D04A2" w:rsidP="00CD5A4F">
      <w:pPr>
        <w:keepLines/>
        <w:spacing w:before="0" w:after="120"/>
      </w:pPr>
      <w:r w:rsidRPr="0001342B">
        <w:rPr>
          <w:rFonts w:eastAsia="Calibri" w:cs="Calibri"/>
        </w:rPr>
        <w:t xml:space="preserve">The proposed item descriptor for PSMA PET is presented in </w:t>
      </w:r>
      <w:r w:rsidRPr="0001342B">
        <w:rPr>
          <w:rFonts w:eastAsia="Calibri" w:cs="Calibri"/>
        </w:rPr>
        <w:fldChar w:fldCharType="begin"/>
      </w:r>
      <w:r w:rsidRPr="0001342B">
        <w:rPr>
          <w:rFonts w:eastAsia="Calibri" w:cs="Calibri"/>
        </w:rPr>
        <w:instrText xml:space="preserve"> REF _Ref124335971 \h </w:instrText>
      </w:r>
      <w:r w:rsidR="0001342B" w:rsidRPr="0001342B">
        <w:rPr>
          <w:rFonts w:eastAsia="Calibri" w:cs="Calibri"/>
        </w:rPr>
        <w:instrText xml:space="preserve"> \* MERGEFORMAT </w:instrText>
      </w:r>
      <w:r w:rsidRPr="0001342B">
        <w:rPr>
          <w:rFonts w:eastAsia="Calibri" w:cs="Calibri"/>
        </w:rPr>
      </w:r>
      <w:r w:rsidRPr="0001342B">
        <w:rPr>
          <w:rFonts w:eastAsia="Calibri" w:cs="Calibri"/>
        </w:rPr>
        <w:fldChar w:fldCharType="separate"/>
      </w:r>
      <w:r w:rsidRPr="0001342B">
        <w:rPr>
          <w:rFonts w:eastAsia="Calibri" w:cs="Calibri"/>
        </w:rPr>
        <w:t xml:space="preserve">Table </w:t>
      </w:r>
      <w:r w:rsidRPr="0001342B">
        <w:rPr>
          <w:rFonts w:eastAsia="Calibri" w:cs="Calibri"/>
          <w:noProof/>
        </w:rPr>
        <w:t>2</w:t>
      </w:r>
      <w:r w:rsidRPr="0001342B">
        <w:rPr>
          <w:rFonts w:eastAsia="Calibri" w:cs="Calibri"/>
        </w:rPr>
        <w:fldChar w:fldCharType="end"/>
      </w:r>
      <w:r w:rsidRPr="0001342B">
        <w:rPr>
          <w:rFonts w:eastAsia="Calibri" w:cs="Calibri"/>
        </w:rPr>
        <w:t>. The item descriptor remains unchanged from that presented in 1686 PSD</w:t>
      </w:r>
      <w:r w:rsidR="003F7490">
        <w:rPr>
          <w:rFonts w:eastAsia="Calibri" w:cs="Calibri"/>
        </w:rPr>
        <w:t xml:space="preserve"> (with the suggested changes being accepted)</w:t>
      </w:r>
      <w:r w:rsidR="007E1A8D">
        <w:rPr>
          <w:rFonts w:eastAsia="Calibri" w:cs="Calibri"/>
        </w:rPr>
        <w:t xml:space="preserve">, </w:t>
      </w:r>
      <w:r w:rsidR="007E1A8D" w:rsidRPr="00CD5A4F">
        <w:t>as does the requested fee</w:t>
      </w:r>
      <w:r w:rsidR="007E1A8D" w:rsidRPr="00C16D45">
        <w:t xml:space="preserve">. </w:t>
      </w:r>
      <w:r w:rsidR="007E1A8D" w:rsidRPr="00CD5A4F">
        <w:t xml:space="preserve">As noted in the </w:t>
      </w:r>
      <w:r w:rsidR="00646063">
        <w:t>previous PSD</w:t>
      </w:r>
      <w:r w:rsidR="007E1A8D" w:rsidRPr="00CD5A4F">
        <w:t>, outpatient treatment is appropriate and currently in place with some providers, in these cases the greatest permissible gap (GPG; $93.20) would apply.</w:t>
      </w:r>
    </w:p>
    <w:p w14:paraId="59386E8B" w14:textId="580C8706" w:rsidR="00CE453D" w:rsidRPr="00AF7248" w:rsidRDefault="00CE453D" w:rsidP="00CE453D">
      <w:pPr>
        <w:keepNext/>
        <w:keepLines/>
        <w:spacing w:before="240" w:after="120" w:line="288" w:lineRule="auto"/>
        <w:ind w:left="794" w:hanging="794"/>
        <w:rPr>
          <w:rFonts w:ascii="Arial Narrow" w:eastAsia="Calibri" w:hAnsi="Arial Narrow" w:cs="Calibri"/>
          <w:b/>
          <w:bCs/>
          <w:sz w:val="20"/>
          <w:szCs w:val="20"/>
        </w:rPr>
      </w:pPr>
      <w:bookmarkStart w:id="9" w:name="_Ref124335971"/>
      <w:bookmarkStart w:id="10" w:name="_Toc69491419"/>
      <w:r w:rsidRPr="00AF7248">
        <w:rPr>
          <w:rFonts w:ascii="Arial Narrow" w:eastAsia="Calibri" w:hAnsi="Arial Narrow" w:cs="Calibri"/>
          <w:b/>
          <w:bCs/>
          <w:sz w:val="20"/>
          <w:szCs w:val="20"/>
        </w:rPr>
        <w:t xml:space="preserve">Table </w:t>
      </w:r>
      <w:r w:rsidRPr="00AF7248">
        <w:rPr>
          <w:rFonts w:ascii="Arial Narrow" w:eastAsia="Calibri" w:hAnsi="Arial Narrow" w:cs="Calibri"/>
          <w:b/>
          <w:bCs/>
          <w:sz w:val="20"/>
          <w:szCs w:val="20"/>
        </w:rPr>
        <w:fldChar w:fldCharType="begin"/>
      </w:r>
      <w:r w:rsidRPr="00AF7248">
        <w:rPr>
          <w:rFonts w:ascii="Arial Narrow" w:eastAsia="Calibri" w:hAnsi="Arial Narrow" w:cs="Calibri"/>
          <w:b/>
          <w:bCs/>
          <w:sz w:val="20"/>
          <w:szCs w:val="20"/>
        </w:rPr>
        <w:instrText xml:space="preserve"> SEQ Table \* ARABIC </w:instrText>
      </w:r>
      <w:r w:rsidRPr="00AF7248">
        <w:rPr>
          <w:rFonts w:ascii="Arial Narrow" w:eastAsia="Calibri" w:hAnsi="Arial Narrow" w:cs="Calibri"/>
          <w:b/>
          <w:bCs/>
          <w:sz w:val="20"/>
          <w:szCs w:val="20"/>
        </w:rPr>
        <w:fldChar w:fldCharType="separate"/>
      </w:r>
      <w:r w:rsidR="001C636D">
        <w:rPr>
          <w:rFonts w:ascii="Arial Narrow" w:eastAsia="Calibri" w:hAnsi="Arial Narrow" w:cs="Calibri"/>
          <w:b/>
          <w:bCs/>
          <w:noProof/>
          <w:sz w:val="20"/>
          <w:szCs w:val="20"/>
        </w:rPr>
        <w:t>2</w:t>
      </w:r>
      <w:r w:rsidRPr="00AF7248">
        <w:rPr>
          <w:rFonts w:ascii="Arial Narrow" w:eastAsia="Calibri" w:hAnsi="Arial Narrow" w:cs="Calibri"/>
          <w:b/>
          <w:bCs/>
          <w:sz w:val="20"/>
          <w:szCs w:val="20"/>
        </w:rPr>
        <w:fldChar w:fldCharType="end"/>
      </w:r>
      <w:bookmarkEnd w:id="9"/>
      <w:r w:rsidRPr="00AF7248">
        <w:rPr>
          <w:rFonts w:ascii="Arial Narrow" w:eastAsia="Calibri" w:hAnsi="Arial Narrow" w:cs="Calibri"/>
          <w:b/>
          <w:bCs/>
          <w:sz w:val="20"/>
          <w:szCs w:val="20"/>
        </w:rPr>
        <w:tab/>
      </w:r>
      <w:r w:rsidR="00381B34">
        <w:rPr>
          <w:rFonts w:ascii="Arial Narrow" w:eastAsia="Calibri" w:hAnsi="Arial Narrow" w:cs="Calibri"/>
          <w:b/>
          <w:bCs/>
          <w:sz w:val="20"/>
          <w:szCs w:val="20"/>
        </w:rPr>
        <w:t>ADAR p</w:t>
      </w:r>
      <w:r w:rsidRPr="00AF7248">
        <w:rPr>
          <w:rFonts w:ascii="Arial Narrow" w:eastAsia="Calibri" w:hAnsi="Arial Narrow" w:cs="Calibri"/>
          <w:b/>
          <w:bCs/>
          <w:sz w:val="20"/>
          <w:szCs w:val="20"/>
        </w:rPr>
        <w:t>roposed item descriptor for PSMA PET</w:t>
      </w:r>
    </w:p>
    <w:tbl>
      <w:tblPr>
        <w:tblStyle w:val="LashStyleTable1"/>
        <w:tblW w:w="5000" w:type="pct"/>
        <w:tblLook w:val="04A0" w:firstRow="1" w:lastRow="0" w:firstColumn="1" w:lastColumn="0" w:noHBand="0" w:noVBand="1"/>
        <w:tblCaption w:val="Proposed item descriptor for PSMA PET/CT"/>
        <w:tblDescription w:val="Proposed item descriptor for diagnostic testing of PSMA PET/CT for eligibility of 177Lu PSMA therapy in mCRPC. "/>
      </w:tblPr>
      <w:tblGrid>
        <w:gridCol w:w="9016"/>
      </w:tblGrid>
      <w:tr w:rsidR="00CE453D" w:rsidRPr="00AF7248" w14:paraId="430996BC" w14:textId="77777777" w:rsidTr="275FDFBE">
        <w:trPr>
          <w:trHeight w:val="89"/>
        </w:trPr>
        <w:tc>
          <w:tcPr>
            <w:tcW w:w="5000" w:type="pct"/>
          </w:tcPr>
          <w:p w14:paraId="64F5C168" w14:textId="77777777" w:rsidR="00CE453D" w:rsidRPr="00AF7248" w:rsidRDefault="00CE453D" w:rsidP="00ED1AE4">
            <w:pPr>
              <w:keepNext/>
              <w:keepLines/>
              <w:spacing w:before="20" w:after="20"/>
              <w:rPr>
                <w:rFonts w:ascii="Arial Narrow" w:hAnsi="Arial Narrow" w:cs="Calibri"/>
                <w:b/>
                <w:bCs/>
                <w:sz w:val="20"/>
                <w:szCs w:val="20"/>
              </w:rPr>
            </w:pPr>
            <w:bookmarkStart w:id="11" w:name="_Hlk107406970"/>
            <w:r w:rsidRPr="00AF7248">
              <w:rPr>
                <w:rFonts w:ascii="Arial Narrow" w:hAnsi="Arial Narrow" w:cs="Calibri"/>
                <w:b/>
                <w:bCs/>
                <w:sz w:val="20"/>
                <w:szCs w:val="20"/>
              </w:rPr>
              <w:t>Category 5 - Diagnostic Imaging Services</w:t>
            </w:r>
          </w:p>
        </w:tc>
      </w:tr>
      <w:tr w:rsidR="00CE453D" w:rsidRPr="00AF7248" w14:paraId="11773094" w14:textId="77777777" w:rsidTr="275FDFBE">
        <w:tc>
          <w:tcPr>
            <w:tcW w:w="5000" w:type="pct"/>
          </w:tcPr>
          <w:p w14:paraId="61E88FF9" w14:textId="77777777" w:rsidR="00CE453D" w:rsidRPr="00AF7248" w:rsidRDefault="00CE453D" w:rsidP="00ED1AE4">
            <w:pPr>
              <w:keepNext/>
              <w:keepLines/>
              <w:spacing w:before="20" w:after="20"/>
              <w:rPr>
                <w:rFonts w:ascii="Arial Narrow" w:hAnsi="Arial Narrow" w:cs="Calibri"/>
                <w:sz w:val="20"/>
                <w:szCs w:val="20"/>
              </w:rPr>
            </w:pPr>
            <w:r w:rsidRPr="00AF7248">
              <w:rPr>
                <w:rFonts w:ascii="Arial Narrow" w:hAnsi="Arial Narrow" w:cs="Calibri"/>
                <w:sz w:val="20"/>
                <w:szCs w:val="20"/>
              </w:rPr>
              <w:t>MBS item XXXX</w:t>
            </w:r>
          </w:p>
          <w:p w14:paraId="33847E15" w14:textId="3FF343B4" w:rsidR="00CE453D" w:rsidRPr="00AF7248" w:rsidRDefault="00CE453D" w:rsidP="00ED1AE4">
            <w:pPr>
              <w:keepNext/>
              <w:keepLines/>
              <w:spacing w:before="20" w:after="20"/>
              <w:rPr>
                <w:rFonts w:ascii="Arial Narrow" w:hAnsi="Arial Narrow" w:cs="Calibri"/>
                <w:sz w:val="20"/>
                <w:szCs w:val="20"/>
              </w:rPr>
            </w:pPr>
            <w:r w:rsidRPr="003F7490">
              <w:rPr>
                <w:rFonts w:ascii="Arial Narrow" w:hAnsi="Arial Narrow" w:cs="Calibri"/>
                <w:sz w:val="20"/>
                <w:szCs w:val="20"/>
              </w:rPr>
              <w:t>Whole body prostate specific membrane antigen (PSMA) positron emission tomography (PET) study, performed for the assessment of suitability for Lu</w:t>
            </w:r>
            <w:r w:rsidRPr="00CD5A4F">
              <w:rPr>
                <w:rFonts w:ascii="Arial Narrow" w:hAnsi="Arial Narrow" w:cs="Calibri"/>
                <w:sz w:val="20"/>
                <w:szCs w:val="20"/>
              </w:rPr>
              <w:t>tetium 177</w:t>
            </w:r>
            <w:r w:rsidRPr="003F7490">
              <w:rPr>
                <w:rFonts w:ascii="Arial Narrow" w:hAnsi="Arial Narrow" w:cs="Calibri"/>
                <w:sz w:val="20"/>
                <w:szCs w:val="20"/>
              </w:rPr>
              <w:t xml:space="preserve"> PSMA therapy in a patient with metastatic castrate resistant prostate cancer </w:t>
            </w:r>
            <w:r w:rsidRPr="00CD5A4F">
              <w:rPr>
                <w:rFonts w:ascii="Arial Narrow" w:hAnsi="Arial Narrow" w:cs="Calibri"/>
                <w:sz w:val="20"/>
                <w:szCs w:val="20"/>
              </w:rPr>
              <w:t>after progressive disease has developed while on at least one</w:t>
            </w:r>
            <w:r w:rsidRPr="003F7490">
              <w:rPr>
                <w:rFonts w:ascii="Arial Narrow" w:hAnsi="Arial Narrow" w:cs="Calibri"/>
                <w:sz w:val="20"/>
                <w:szCs w:val="20"/>
              </w:rPr>
              <w:t xml:space="preserve"> taxane chemotherapy and </w:t>
            </w:r>
            <w:r w:rsidRPr="00CD5A4F">
              <w:rPr>
                <w:rFonts w:ascii="Arial Narrow" w:hAnsi="Arial Narrow" w:cs="Calibri"/>
                <w:sz w:val="20"/>
                <w:szCs w:val="20"/>
              </w:rPr>
              <w:t>at least one</w:t>
            </w:r>
            <w:r w:rsidRPr="003F7490">
              <w:rPr>
                <w:rFonts w:ascii="Arial Narrow" w:hAnsi="Arial Narrow" w:cs="Calibri"/>
                <w:sz w:val="20"/>
                <w:szCs w:val="20"/>
              </w:rPr>
              <w:t xml:space="preserve"> androgen </w:t>
            </w:r>
            <w:r w:rsidRPr="00CD5A4F">
              <w:rPr>
                <w:rFonts w:ascii="Arial Narrow" w:hAnsi="Arial Narrow" w:cs="Calibri"/>
                <w:sz w:val="20"/>
                <w:szCs w:val="20"/>
              </w:rPr>
              <w:t>receptor</w:t>
            </w:r>
            <w:r w:rsidRPr="003F7490">
              <w:rPr>
                <w:rFonts w:ascii="Arial Narrow" w:hAnsi="Arial Narrow" w:cs="Calibri"/>
                <w:sz w:val="20"/>
                <w:szCs w:val="20"/>
              </w:rPr>
              <w:t xml:space="preserve"> signalling inhibitor.</w:t>
            </w:r>
          </w:p>
          <w:p w14:paraId="7CE5A851" w14:textId="77777777" w:rsidR="00CE453D" w:rsidRPr="00AF7248" w:rsidRDefault="00CE453D" w:rsidP="00C7462B">
            <w:pPr>
              <w:keepNext/>
              <w:keepLines/>
              <w:spacing w:before="240" w:after="20"/>
              <w:rPr>
                <w:rFonts w:ascii="Arial Narrow" w:hAnsi="Arial Narrow" w:cs="Calibri"/>
                <w:i/>
                <w:iCs/>
                <w:sz w:val="20"/>
                <w:szCs w:val="20"/>
              </w:rPr>
            </w:pPr>
            <w:r w:rsidRPr="00AF7248">
              <w:rPr>
                <w:rFonts w:ascii="Arial Narrow" w:hAnsi="Arial Narrow" w:cs="Calibri"/>
                <w:i/>
                <w:iCs/>
                <w:sz w:val="20"/>
                <w:szCs w:val="20"/>
              </w:rPr>
              <w:t>(R) (Anaes)</w:t>
            </w:r>
          </w:p>
        </w:tc>
      </w:tr>
      <w:tr w:rsidR="00CE453D" w:rsidRPr="00AF7248" w14:paraId="27E4D7F1" w14:textId="77777777" w:rsidTr="275FDFBE">
        <w:trPr>
          <w:trHeight w:val="223"/>
        </w:trPr>
        <w:tc>
          <w:tcPr>
            <w:tcW w:w="5000" w:type="pct"/>
          </w:tcPr>
          <w:p w14:paraId="248F48B4" w14:textId="7CABC35F" w:rsidR="00CE453D" w:rsidRPr="00AF7248" w:rsidRDefault="00CE453D" w:rsidP="00ED1AE4">
            <w:pPr>
              <w:keepNext/>
              <w:keepLines/>
              <w:spacing w:before="20" w:after="20"/>
              <w:rPr>
                <w:rFonts w:ascii="Arial Narrow" w:hAnsi="Arial Narrow" w:cs="Calibri"/>
                <w:sz w:val="20"/>
                <w:szCs w:val="20"/>
              </w:rPr>
            </w:pPr>
            <w:r w:rsidRPr="00AF7248">
              <w:rPr>
                <w:rFonts w:ascii="Arial Narrow" w:hAnsi="Arial Narrow" w:cs="Calibri"/>
                <w:sz w:val="20"/>
                <w:szCs w:val="20"/>
              </w:rPr>
              <w:t xml:space="preserve">Fee: </w:t>
            </w:r>
            <w:r w:rsidRPr="00AF7248">
              <w:rPr>
                <w:rFonts w:ascii="Arial Narrow" w:hAnsi="Arial Narrow" w:cs="Calibri"/>
                <w:i/>
                <w:iCs/>
                <w:sz w:val="20"/>
                <w:szCs w:val="20"/>
              </w:rPr>
              <w:t>$1,300</w:t>
            </w:r>
            <w:r w:rsidRPr="00AF7248">
              <w:rPr>
                <w:rFonts w:ascii="Arial Narrow" w:hAnsi="Arial Narrow" w:cs="Calibri"/>
                <w:sz w:val="20"/>
                <w:szCs w:val="20"/>
              </w:rPr>
              <w:t xml:space="preserve"> </w:t>
            </w:r>
            <w:r w:rsidRPr="00AF7248">
              <w:rPr>
                <w:rFonts w:ascii="Arial Narrow" w:hAnsi="Arial Narrow" w:cs="Calibri"/>
                <w:i/>
                <w:sz w:val="20"/>
                <w:szCs w:val="20"/>
              </w:rPr>
              <w:t>Benefit: 85%</w:t>
            </w:r>
            <w:r w:rsidR="003F7490">
              <w:rPr>
                <w:rFonts w:ascii="Arial Narrow" w:hAnsi="Arial Narrow" w:cs="Calibri"/>
                <w:i/>
                <w:sz w:val="20"/>
                <w:szCs w:val="20"/>
              </w:rPr>
              <w:t>*</w:t>
            </w:r>
            <w:r w:rsidRPr="00AF7248">
              <w:rPr>
                <w:rFonts w:ascii="Arial Narrow" w:hAnsi="Arial Narrow" w:cs="Calibri"/>
                <w:i/>
                <w:sz w:val="20"/>
                <w:szCs w:val="20"/>
              </w:rPr>
              <w:t xml:space="preserve"> = $1,</w:t>
            </w:r>
            <w:r w:rsidR="000B0680">
              <w:rPr>
                <w:rFonts w:ascii="Arial Narrow" w:hAnsi="Arial Narrow" w:cs="Calibri"/>
                <w:i/>
                <w:sz w:val="20"/>
                <w:szCs w:val="20"/>
              </w:rPr>
              <w:t>206.80</w:t>
            </w:r>
          </w:p>
        </w:tc>
      </w:tr>
    </w:tbl>
    <w:bookmarkEnd w:id="11"/>
    <w:p w14:paraId="0E0FEADB" w14:textId="77777777" w:rsidR="003F7490" w:rsidRDefault="003F7490" w:rsidP="00CD5A4F">
      <w:pPr>
        <w:spacing w:before="0" w:after="0" w:line="240" w:lineRule="auto"/>
        <w:rPr>
          <w:rFonts w:ascii="Arial Narrow" w:hAnsi="Arial Narrow"/>
          <w:sz w:val="18"/>
          <w:szCs w:val="18"/>
        </w:rPr>
      </w:pPr>
      <w:r>
        <w:rPr>
          <w:rFonts w:ascii="Arial Narrow" w:hAnsi="Arial Narrow"/>
          <w:sz w:val="18"/>
          <w:szCs w:val="18"/>
        </w:rPr>
        <w:t>Source: Table 2, p10 of the ADAR. This is consistent with the changes suggested to the item descriptor in Table 1, p8 of the MSAC 1686 public summary document (PSD)</w:t>
      </w:r>
    </w:p>
    <w:p w14:paraId="3C3CC42B" w14:textId="25DF83BF" w:rsidR="005241DF" w:rsidRDefault="003F7490" w:rsidP="003F7490">
      <w:pPr>
        <w:tabs>
          <w:tab w:val="left" w:pos="284"/>
        </w:tabs>
        <w:spacing w:before="0" w:line="240" w:lineRule="auto"/>
        <w:ind w:left="284" w:hanging="284"/>
        <w:rPr>
          <w:rFonts w:ascii="Calibri" w:hAnsi="Calibri"/>
        </w:rPr>
      </w:pPr>
      <w:r>
        <w:rPr>
          <w:rFonts w:ascii="Arial Narrow" w:hAnsi="Arial Narrow"/>
          <w:sz w:val="18"/>
          <w:szCs w:val="18"/>
        </w:rPr>
        <w:t>*</w:t>
      </w:r>
      <w:r>
        <w:rPr>
          <w:rFonts w:ascii="Arial Narrow" w:hAnsi="Arial Narrow"/>
          <w:sz w:val="18"/>
          <w:szCs w:val="18"/>
        </w:rPr>
        <w:tab/>
      </w:r>
      <w:r w:rsidR="005241DF" w:rsidRPr="5D01B262">
        <w:rPr>
          <w:rFonts w:ascii="Arial Narrow" w:hAnsi="Arial Narrow"/>
          <w:sz w:val="18"/>
          <w:szCs w:val="18"/>
        </w:rPr>
        <w:t>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7682E02B" w14:textId="36397DCB" w:rsidR="00A949C0" w:rsidRPr="00323DEE" w:rsidRDefault="00A949C0" w:rsidP="00A949C0">
      <w:pPr>
        <w:spacing w:before="0" w:after="120"/>
        <w:rPr>
          <w:rFonts w:eastAsia="Calibri" w:cs="Calibri"/>
        </w:rPr>
      </w:pPr>
      <w:r w:rsidRPr="00AD35AE">
        <w:t xml:space="preserve">Note, </w:t>
      </w:r>
      <w:r w:rsidRPr="00AD35AE">
        <w:rPr>
          <w:iCs/>
        </w:rPr>
        <w:t>t</w:t>
      </w:r>
      <w:r w:rsidRPr="00AD35AE">
        <w:rPr>
          <w:bCs/>
          <w:iCs/>
        </w:rPr>
        <w:t>he current ADAR, unlike the previous ADAR, removed all references to “</w:t>
      </w:r>
      <w:proofErr w:type="spellStart"/>
      <w:r w:rsidRPr="00AD35AE">
        <w:rPr>
          <w:bCs/>
          <w:iCs/>
        </w:rPr>
        <w:t>i&amp;t</w:t>
      </w:r>
      <w:proofErr w:type="spellEnd"/>
      <w:r w:rsidRPr="00AD35AE">
        <w:rPr>
          <w:bCs/>
          <w:iCs/>
        </w:rPr>
        <w:t xml:space="preserve">” </w:t>
      </w:r>
      <w:r w:rsidRPr="00AD35AE">
        <w:rPr>
          <w:iCs/>
        </w:rPr>
        <w:t>(</w:t>
      </w:r>
      <w:r w:rsidRPr="00AD35AE">
        <w:rPr>
          <w:iCs/>
          <w:vertAlign w:val="superscript"/>
        </w:rPr>
        <w:t>177</w:t>
      </w:r>
      <w:r w:rsidRPr="00AD35AE">
        <w:rPr>
          <w:iCs/>
        </w:rPr>
        <w:t>Lu PSMA </w:t>
      </w:r>
      <w:proofErr w:type="spellStart"/>
      <w:r w:rsidRPr="00AD35AE">
        <w:rPr>
          <w:iCs/>
        </w:rPr>
        <w:t>i&amp;t</w:t>
      </w:r>
      <w:proofErr w:type="spellEnd"/>
      <w:r w:rsidRPr="00AD35AE">
        <w:rPr>
          <w:iCs/>
        </w:rPr>
        <w:t xml:space="preserve">) </w:t>
      </w:r>
      <w:r w:rsidRPr="00AD35AE">
        <w:rPr>
          <w:bCs/>
          <w:iCs/>
        </w:rPr>
        <w:t xml:space="preserve">when referring to </w:t>
      </w:r>
      <w:r w:rsidRPr="00AD35AE">
        <w:rPr>
          <w:bCs/>
          <w:iCs/>
          <w:vertAlign w:val="superscript"/>
        </w:rPr>
        <w:t>177</w:t>
      </w:r>
      <w:r w:rsidRPr="00AD35AE">
        <w:rPr>
          <w:bCs/>
          <w:iCs/>
        </w:rPr>
        <w:t>Lu</w:t>
      </w:r>
      <w:r w:rsidR="003827A5">
        <w:rPr>
          <w:bCs/>
          <w:iCs/>
        </w:rPr>
        <w:t>-</w:t>
      </w:r>
      <w:r w:rsidRPr="00AD35AE">
        <w:rPr>
          <w:bCs/>
          <w:iCs/>
        </w:rPr>
        <w:t>PSMA</w:t>
      </w:r>
      <w:r w:rsidR="00C82782">
        <w:rPr>
          <w:bCs/>
          <w:iCs/>
        </w:rPr>
        <w:t xml:space="preserve"> </w:t>
      </w:r>
      <w:r w:rsidRPr="00AD35AE">
        <w:rPr>
          <w:bCs/>
          <w:iCs/>
        </w:rPr>
        <w:t>therapy</w:t>
      </w:r>
      <w:r w:rsidR="00297BA3">
        <w:rPr>
          <w:bCs/>
          <w:iCs/>
        </w:rPr>
        <w:t xml:space="preserve"> </w:t>
      </w:r>
      <w:r w:rsidR="00893FF5">
        <w:rPr>
          <w:bCs/>
          <w:iCs/>
        </w:rPr>
        <w:t>in</w:t>
      </w:r>
      <w:r w:rsidR="00297BA3">
        <w:rPr>
          <w:bCs/>
          <w:iCs/>
        </w:rPr>
        <w:t xml:space="preserve"> MBS items ZZZZ and YYYY</w:t>
      </w:r>
      <w:r w:rsidRPr="00AD35AE">
        <w:rPr>
          <w:bCs/>
          <w:iCs/>
        </w:rPr>
        <w:t>.</w:t>
      </w:r>
    </w:p>
    <w:p w14:paraId="41A1D2DD" w14:textId="1518DDA9" w:rsidR="00D95D70" w:rsidRDefault="00B10F84" w:rsidP="00CD5A4F">
      <w:pPr>
        <w:spacing w:before="0" w:after="120"/>
      </w:pPr>
      <w:r>
        <w:t>The most significant change</w:t>
      </w:r>
      <w:r w:rsidR="00F860D2">
        <w:t xml:space="preserve"> from the previous ADAR</w:t>
      </w:r>
      <w:r>
        <w:t xml:space="preserve"> to the item descriptor </w:t>
      </w:r>
      <w:r w:rsidR="00F860D2">
        <w:t xml:space="preserve">for administration of </w:t>
      </w:r>
      <w:r w:rsidR="00B05AEF">
        <w:t xml:space="preserve">lutetium </w:t>
      </w:r>
      <w:r w:rsidR="00B05AEF" w:rsidRPr="00AB49AA">
        <w:rPr>
          <w:vertAlign w:val="superscript"/>
        </w:rPr>
        <w:t>177</w:t>
      </w:r>
      <w:r w:rsidR="00B53208">
        <w:t>Lu </w:t>
      </w:r>
      <w:r w:rsidR="00B05AEF">
        <w:t>PSMA</w:t>
      </w:r>
      <w:r w:rsidR="00893FF5">
        <w:t> </w:t>
      </w:r>
      <w:proofErr w:type="spellStart"/>
      <w:r w:rsidR="00893FF5">
        <w:t>i&amp;t</w:t>
      </w:r>
      <w:proofErr w:type="spellEnd"/>
      <w:r w:rsidR="00B05AEF">
        <w:t xml:space="preserve"> </w:t>
      </w:r>
      <w:r w:rsidR="00EF0732">
        <w:t>therapy</w:t>
      </w:r>
      <w:r w:rsidR="00B05AEF">
        <w:t xml:space="preserve"> </w:t>
      </w:r>
      <w:r>
        <w:t>is splitting treatment, for up to 6 cycles in total, into initial (</w:t>
      </w:r>
      <w:r w:rsidR="00D95D70">
        <w:fldChar w:fldCharType="begin"/>
      </w:r>
      <w:r w:rsidR="00D95D70">
        <w:instrText xml:space="preserve"> REF _Ref131631546 \h  \* MERGEFORMAT </w:instrText>
      </w:r>
      <w:r w:rsidR="00D95D70">
        <w:fldChar w:fldCharType="separate"/>
      </w:r>
      <w:r w:rsidR="003056DE" w:rsidRPr="002079DB">
        <w:t>Table 3</w:t>
      </w:r>
      <w:r w:rsidR="00D95D70">
        <w:fldChar w:fldCharType="end"/>
      </w:r>
      <w:r w:rsidR="00D95D70">
        <w:t xml:space="preserve">; </w:t>
      </w:r>
      <w:r>
        <w:t>2 cycles) and continuing treatment (</w:t>
      </w:r>
      <w:r w:rsidR="00D95D70" w:rsidRPr="007E1A8D">
        <w:fldChar w:fldCharType="begin"/>
      </w:r>
      <w:r w:rsidR="00D95D70" w:rsidRPr="007E1A8D">
        <w:instrText xml:space="preserve"> REF _Ref124340101 \h </w:instrText>
      </w:r>
      <w:r w:rsidR="00D95D70">
        <w:instrText xml:space="preserve"> \* MERGEFORMAT </w:instrText>
      </w:r>
      <w:r w:rsidR="00D95D70" w:rsidRPr="007E1A8D">
        <w:fldChar w:fldCharType="separate"/>
      </w:r>
      <w:r w:rsidR="003056DE" w:rsidRPr="002079DB">
        <w:t>Table 4</w:t>
      </w:r>
      <w:r w:rsidR="00D95D70" w:rsidRPr="007E1A8D">
        <w:fldChar w:fldCharType="end"/>
      </w:r>
      <w:r w:rsidR="00D95D70">
        <w:t>;</w:t>
      </w:r>
      <w:r w:rsidR="00D95D70" w:rsidRPr="007E1A8D">
        <w:t xml:space="preserve"> </w:t>
      </w:r>
      <w:r>
        <w:t xml:space="preserve">4 cycles). For continuing treatment, only those who have not developed disease progression while receiving </w:t>
      </w:r>
      <w:r w:rsidRPr="00D95D70">
        <w:rPr>
          <w:vertAlign w:val="superscript"/>
        </w:rPr>
        <w:t>177</w:t>
      </w:r>
      <w:r>
        <w:t>Lu</w:t>
      </w:r>
      <w:r w:rsidR="00B53208">
        <w:t> </w:t>
      </w:r>
      <w:r>
        <w:t>PSMA</w:t>
      </w:r>
      <w:r w:rsidR="00893FF5">
        <w:t> </w:t>
      </w:r>
      <w:proofErr w:type="spellStart"/>
      <w:r w:rsidR="00893FF5">
        <w:t>i&amp;t</w:t>
      </w:r>
      <w:proofErr w:type="spellEnd"/>
      <w:r>
        <w:t xml:space="preserve"> for this condition are eligible.</w:t>
      </w:r>
      <w:r w:rsidR="00D95D70">
        <w:t xml:space="preserve"> The ADAR states there are</w:t>
      </w:r>
      <w:r w:rsidR="00CE453D" w:rsidRPr="007E1A8D">
        <w:t xml:space="preserve"> separate item descriptors for initial and continuing phases of treatment to ensure appropriate use of </w:t>
      </w:r>
      <w:r w:rsidR="00CE453D" w:rsidRPr="007E1A8D">
        <w:rPr>
          <w:vertAlign w:val="superscript"/>
        </w:rPr>
        <w:t>177</w:t>
      </w:r>
      <w:r w:rsidR="00CE453D" w:rsidRPr="007E1A8D">
        <w:t>Lu</w:t>
      </w:r>
      <w:r w:rsidR="00D5221B">
        <w:t> </w:t>
      </w:r>
      <w:r w:rsidR="00CE453D" w:rsidRPr="007E1A8D">
        <w:t>PSMA</w:t>
      </w:r>
      <w:r w:rsidR="00893FF5">
        <w:t> </w:t>
      </w:r>
      <w:proofErr w:type="spellStart"/>
      <w:r w:rsidR="00893FF5">
        <w:t>i&amp;t</w:t>
      </w:r>
      <w:proofErr w:type="spellEnd"/>
      <w:r w:rsidR="00CE453D" w:rsidRPr="007E1A8D">
        <w:t xml:space="preserve"> in patients who continue to derive benefit from treatment. </w:t>
      </w:r>
    </w:p>
    <w:p w14:paraId="70433161" w14:textId="323C9BC6" w:rsidR="00731382" w:rsidRDefault="007E1A8D" w:rsidP="00CD5A4F">
      <w:pPr>
        <w:spacing w:before="0" w:after="120"/>
      </w:pPr>
      <w:r w:rsidRPr="00323DEE">
        <w:rPr>
          <w:rFonts w:eastAsia="Calibri" w:cs="Calibri"/>
        </w:rPr>
        <w:t xml:space="preserve">The proposed fee for </w:t>
      </w:r>
      <w:r w:rsidRPr="00323DEE">
        <w:rPr>
          <w:rFonts w:eastAsia="Calibri" w:cs="Calibri"/>
          <w:vertAlign w:val="superscript"/>
        </w:rPr>
        <w:t>177</w:t>
      </w:r>
      <w:r w:rsidRPr="00323DEE">
        <w:rPr>
          <w:rFonts w:eastAsia="Calibri" w:cs="Calibri"/>
        </w:rPr>
        <w:t>Lu</w:t>
      </w:r>
      <w:r w:rsidR="00D5221B">
        <w:rPr>
          <w:rFonts w:eastAsia="Calibri" w:cs="Calibri"/>
        </w:rPr>
        <w:t> </w:t>
      </w:r>
      <w:r w:rsidRPr="00323DEE">
        <w:rPr>
          <w:rFonts w:eastAsia="Calibri" w:cs="Calibri"/>
        </w:rPr>
        <w:t>PSMA</w:t>
      </w:r>
      <w:r w:rsidR="00F16123">
        <w:rPr>
          <w:rFonts w:eastAsia="Calibri" w:cs="Calibri"/>
        </w:rPr>
        <w:t> </w:t>
      </w:r>
      <w:proofErr w:type="spellStart"/>
      <w:r w:rsidR="00F16123">
        <w:rPr>
          <w:rFonts w:eastAsia="Calibri" w:cs="Calibri"/>
        </w:rPr>
        <w:t>i&amp;t</w:t>
      </w:r>
      <w:proofErr w:type="spellEnd"/>
      <w:r w:rsidRPr="00323DEE">
        <w:rPr>
          <w:rFonts w:eastAsia="Calibri" w:cs="Calibri"/>
        </w:rPr>
        <w:t xml:space="preserve"> remains unchanged from the previous ADAR at $8,000 per dose, which includes a whole</w:t>
      </w:r>
      <w:r w:rsidR="00323DEE">
        <w:rPr>
          <w:rFonts w:eastAsia="Calibri" w:cs="Calibri"/>
        </w:rPr>
        <w:t>-</w:t>
      </w:r>
      <w:r w:rsidRPr="00323DEE">
        <w:rPr>
          <w:rFonts w:eastAsia="Calibri" w:cs="Calibri"/>
        </w:rPr>
        <w:t>body Lu</w:t>
      </w:r>
      <w:r w:rsidR="00D5221B">
        <w:rPr>
          <w:rFonts w:eastAsia="Calibri" w:cs="Calibri"/>
        </w:rPr>
        <w:t> </w:t>
      </w:r>
      <w:r w:rsidRPr="00323DEE">
        <w:rPr>
          <w:rFonts w:eastAsia="Calibri" w:cs="Calibri"/>
        </w:rPr>
        <w:t>PSMA single-photon emission computed tomography (SPECT) 24 hours following each treatment. As noted in the commentary to the previous ADAR, the patient contribution ($1,200) may be prohibitive for some patients. Outpatient treatment is appropriate and currently in place with some providers, in these cases the greatest permissible gap (GPG; $93.20) would apply</w:t>
      </w:r>
      <w:r w:rsidR="002C783F" w:rsidRPr="00323DEE">
        <w:t>.</w:t>
      </w:r>
    </w:p>
    <w:p w14:paraId="4625AC40" w14:textId="2370B0E3" w:rsidR="00CE453D" w:rsidRPr="00AF7248" w:rsidRDefault="00CE453D" w:rsidP="00CE453D">
      <w:pPr>
        <w:keepNext/>
        <w:keepLines/>
        <w:spacing w:before="240" w:after="120" w:line="288" w:lineRule="auto"/>
        <w:ind w:left="794" w:hanging="794"/>
        <w:rPr>
          <w:rFonts w:ascii="Arial Narrow" w:eastAsia="Calibri" w:hAnsi="Arial Narrow" w:cs="Calibri"/>
          <w:b/>
          <w:bCs/>
          <w:sz w:val="20"/>
          <w:szCs w:val="20"/>
        </w:rPr>
      </w:pPr>
      <w:bookmarkStart w:id="12" w:name="_Ref131631546"/>
      <w:r w:rsidRPr="00AF7248">
        <w:rPr>
          <w:rFonts w:ascii="Arial Narrow" w:eastAsia="Calibri" w:hAnsi="Arial Narrow" w:cs="Calibri"/>
          <w:b/>
          <w:bCs/>
          <w:sz w:val="20"/>
          <w:szCs w:val="20"/>
        </w:rPr>
        <w:lastRenderedPageBreak/>
        <w:t xml:space="preserve">Table </w:t>
      </w:r>
      <w:r w:rsidRPr="00AF7248">
        <w:rPr>
          <w:rFonts w:ascii="Arial Narrow" w:eastAsia="Calibri" w:hAnsi="Arial Narrow" w:cs="Calibri"/>
          <w:b/>
          <w:bCs/>
          <w:sz w:val="20"/>
          <w:szCs w:val="20"/>
        </w:rPr>
        <w:fldChar w:fldCharType="begin"/>
      </w:r>
      <w:r w:rsidRPr="00AF7248">
        <w:rPr>
          <w:rFonts w:ascii="Arial Narrow" w:eastAsia="Calibri" w:hAnsi="Arial Narrow" w:cs="Calibri"/>
          <w:b/>
          <w:bCs/>
          <w:sz w:val="20"/>
          <w:szCs w:val="20"/>
        </w:rPr>
        <w:instrText xml:space="preserve"> SEQ Table \* ARABIC </w:instrText>
      </w:r>
      <w:r w:rsidRPr="00AF7248">
        <w:rPr>
          <w:rFonts w:ascii="Arial Narrow" w:eastAsia="Calibri" w:hAnsi="Arial Narrow" w:cs="Calibri"/>
          <w:b/>
          <w:bCs/>
          <w:sz w:val="20"/>
          <w:szCs w:val="20"/>
        </w:rPr>
        <w:fldChar w:fldCharType="separate"/>
      </w:r>
      <w:r w:rsidR="00E62052">
        <w:rPr>
          <w:rFonts w:ascii="Arial Narrow" w:eastAsia="Calibri" w:hAnsi="Arial Narrow" w:cs="Calibri"/>
          <w:b/>
          <w:bCs/>
          <w:noProof/>
          <w:sz w:val="20"/>
          <w:szCs w:val="20"/>
        </w:rPr>
        <w:t>3</w:t>
      </w:r>
      <w:r w:rsidRPr="00AF7248">
        <w:rPr>
          <w:rFonts w:ascii="Arial Narrow" w:eastAsia="Calibri" w:hAnsi="Arial Narrow" w:cs="Calibri"/>
          <w:b/>
          <w:bCs/>
          <w:sz w:val="20"/>
          <w:szCs w:val="20"/>
        </w:rPr>
        <w:fldChar w:fldCharType="end"/>
      </w:r>
      <w:bookmarkEnd w:id="12"/>
      <w:r w:rsidRPr="00AF7248">
        <w:rPr>
          <w:rFonts w:ascii="Arial Narrow" w:eastAsia="Calibri" w:hAnsi="Arial Narrow" w:cs="Calibri"/>
          <w:b/>
          <w:bCs/>
          <w:sz w:val="20"/>
          <w:szCs w:val="20"/>
        </w:rPr>
        <w:tab/>
      </w:r>
      <w:r w:rsidR="00381B34">
        <w:rPr>
          <w:rFonts w:ascii="Arial Narrow" w:eastAsia="Calibri" w:hAnsi="Arial Narrow" w:cs="Calibri"/>
          <w:b/>
          <w:bCs/>
          <w:sz w:val="20"/>
          <w:szCs w:val="20"/>
        </w:rPr>
        <w:t>ADAR p</w:t>
      </w:r>
      <w:r w:rsidRPr="00AF7248">
        <w:rPr>
          <w:rFonts w:ascii="Arial Narrow" w:eastAsia="Calibri" w:hAnsi="Arial Narrow" w:cs="Calibri"/>
          <w:b/>
          <w:bCs/>
          <w:sz w:val="20"/>
          <w:szCs w:val="20"/>
        </w:rPr>
        <w:t xml:space="preserve">roposed item descriptor </w:t>
      </w:r>
      <w:bookmarkStart w:id="13" w:name="_Hlk132815427"/>
      <w:r w:rsidRPr="00AF7248">
        <w:rPr>
          <w:rFonts w:ascii="Arial Narrow" w:eastAsia="Calibri" w:hAnsi="Arial Narrow" w:cs="Calibri"/>
          <w:b/>
          <w:bCs/>
          <w:sz w:val="20"/>
          <w:szCs w:val="20"/>
        </w:rPr>
        <w:t>for</w:t>
      </w:r>
      <w:r w:rsidR="00AF7248" w:rsidRPr="00AF7248">
        <w:rPr>
          <w:rFonts w:ascii="Arial Narrow" w:eastAsia="Calibri" w:hAnsi="Arial Narrow" w:cs="Calibri"/>
          <w:b/>
          <w:bCs/>
          <w:sz w:val="20"/>
          <w:szCs w:val="20"/>
        </w:rPr>
        <w:t xml:space="preserve"> </w:t>
      </w:r>
      <w:r w:rsidRPr="00AF7248">
        <w:rPr>
          <w:rFonts w:ascii="Arial Narrow" w:eastAsia="Calibri" w:hAnsi="Arial Narrow" w:cs="Calibri"/>
          <w:b/>
          <w:bCs/>
          <w:sz w:val="20"/>
          <w:szCs w:val="20"/>
        </w:rPr>
        <w:t xml:space="preserve">Lutetium 177 PSMA   </w:t>
      </w:r>
      <w:bookmarkEnd w:id="13"/>
      <w:r w:rsidRPr="00AF7248">
        <w:rPr>
          <w:rFonts w:ascii="Arial Narrow" w:eastAsia="Calibri" w:hAnsi="Arial Narrow" w:cs="Calibri"/>
          <w:b/>
          <w:bCs/>
          <w:sz w:val="20"/>
          <w:szCs w:val="20"/>
        </w:rPr>
        <w:t>– initial phase</w:t>
      </w:r>
    </w:p>
    <w:tbl>
      <w:tblPr>
        <w:tblStyle w:val="LashStyleTable2"/>
        <w:tblW w:w="5000" w:type="pct"/>
        <w:tblLook w:val="04A0" w:firstRow="1" w:lastRow="0" w:firstColumn="1" w:lastColumn="0" w:noHBand="0" w:noVBand="1"/>
        <w:tblCaption w:val="Proposed item descriptor for PSMA PET/CT"/>
        <w:tblDescription w:val="Proposed item descriptor for diagnostic testing of PSMA PET/CT for eligibility of 177Lu PSMA therapy in mCRPC. "/>
      </w:tblPr>
      <w:tblGrid>
        <w:gridCol w:w="9016"/>
      </w:tblGrid>
      <w:tr w:rsidR="00CE453D" w:rsidRPr="00AF7248" w14:paraId="7DCCC5B0" w14:textId="77777777" w:rsidTr="0068503A">
        <w:trPr>
          <w:trHeight w:val="89"/>
        </w:trPr>
        <w:tc>
          <w:tcPr>
            <w:tcW w:w="5000" w:type="pct"/>
          </w:tcPr>
          <w:p w14:paraId="2E4DE812" w14:textId="77777777" w:rsidR="00CE453D" w:rsidRPr="00AF7248" w:rsidRDefault="00CE453D" w:rsidP="00ED1AE4">
            <w:pPr>
              <w:keepNext/>
              <w:keepLines/>
              <w:spacing w:before="20" w:after="20"/>
              <w:rPr>
                <w:rFonts w:ascii="Arial Narrow" w:hAnsi="Arial Narrow" w:cs="Calibri"/>
                <w:b/>
                <w:bCs/>
                <w:sz w:val="20"/>
                <w:szCs w:val="20"/>
              </w:rPr>
            </w:pPr>
            <w:r w:rsidRPr="00AF7248">
              <w:rPr>
                <w:rFonts w:ascii="Arial Narrow" w:hAnsi="Arial Narrow" w:cs="Calibri"/>
                <w:b/>
                <w:bCs/>
                <w:sz w:val="20"/>
                <w:szCs w:val="20"/>
              </w:rPr>
              <w:t>Category 3 - Therapeutic Procedures T3. Therapeutic Nuclear Medicine</w:t>
            </w:r>
          </w:p>
        </w:tc>
      </w:tr>
      <w:tr w:rsidR="00CE453D" w:rsidRPr="00AF7248" w14:paraId="3393A940" w14:textId="77777777" w:rsidTr="0068503A">
        <w:tc>
          <w:tcPr>
            <w:tcW w:w="5000" w:type="pct"/>
          </w:tcPr>
          <w:p w14:paraId="3FE8D79D" w14:textId="23B26184" w:rsidR="00CE453D" w:rsidRPr="00AF7248" w:rsidRDefault="00CE453D" w:rsidP="00ED1AE4">
            <w:pPr>
              <w:keepNext/>
              <w:keepLines/>
              <w:spacing w:before="20" w:after="20"/>
              <w:rPr>
                <w:rFonts w:ascii="Arial Narrow" w:hAnsi="Arial Narrow" w:cs="Calibri"/>
                <w:sz w:val="20"/>
                <w:szCs w:val="20"/>
              </w:rPr>
            </w:pPr>
            <w:r w:rsidRPr="00AF7248">
              <w:rPr>
                <w:rFonts w:ascii="Arial Narrow" w:hAnsi="Arial Narrow" w:cs="Calibri"/>
                <w:sz w:val="20"/>
                <w:szCs w:val="20"/>
              </w:rPr>
              <w:t>MBS item ZZZZ</w:t>
            </w:r>
          </w:p>
          <w:p w14:paraId="5C08A859" w14:textId="6AA3A9B4" w:rsidR="00CE453D" w:rsidRPr="00AF7248" w:rsidRDefault="00CE453D" w:rsidP="00C7462B">
            <w:pPr>
              <w:keepNext/>
              <w:keepLines/>
              <w:spacing w:before="240" w:after="240"/>
              <w:rPr>
                <w:rFonts w:ascii="Arial Narrow" w:hAnsi="Arial Narrow" w:cs="Calibri"/>
                <w:sz w:val="20"/>
                <w:szCs w:val="20"/>
              </w:rPr>
            </w:pPr>
            <w:r w:rsidRPr="00AF7248">
              <w:rPr>
                <w:rFonts w:ascii="Arial Narrow" w:hAnsi="Arial Narrow" w:cs="Calibri"/>
                <w:sz w:val="20"/>
                <w:szCs w:val="20"/>
              </w:rPr>
              <w:t>Treatment phase: initial treatment</w:t>
            </w:r>
          </w:p>
          <w:p w14:paraId="532F358C" w14:textId="6D0F34E7" w:rsidR="00CE453D" w:rsidRPr="00AF7248" w:rsidRDefault="00CE453D" w:rsidP="00ED1AE4">
            <w:pPr>
              <w:keepNext/>
              <w:keepLines/>
              <w:spacing w:before="20" w:after="20"/>
              <w:rPr>
                <w:rFonts w:ascii="Arial Narrow" w:hAnsi="Arial Narrow" w:cs="Calibri"/>
                <w:sz w:val="20"/>
                <w:szCs w:val="20"/>
              </w:rPr>
            </w:pPr>
            <w:r w:rsidRPr="00AF7248">
              <w:rPr>
                <w:rFonts w:ascii="Arial Narrow" w:hAnsi="Arial Narrow" w:cs="Calibri"/>
                <w:sz w:val="20"/>
                <w:szCs w:val="20"/>
              </w:rPr>
              <w:t xml:space="preserve">Administration of </w:t>
            </w:r>
            <w:bookmarkStart w:id="14" w:name="_Hlk128398917"/>
            <w:r w:rsidRPr="00AF7248">
              <w:rPr>
                <w:rFonts w:ascii="Arial Narrow" w:hAnsi="Arial Narrow" w:cs="Calibri"/>
                <w:sz w:val="20"/>
                <w:szCs w:val="20"/>
              </w:rPr>
              <w:t xml:space="preserve">Lutetium 177 PSMA </w:t>
            </w:r>
            <w:bookmarkEnd w:id="14"/>
            <w:r w:rsidRPr="00AF7248">
              <w:rPr>
                <w:rFonts w:ascii="Arial Narrow" w:hAnsi="Arial Narrow" w:cs="Calibri"/>
                <w:sz w:val="20"/>
                <w:szCs w:val="20"/>
              </w:rPr>
              <w:t>followed 24 hours later by whole body Lu-PSMA single-photon emission computed tomography (SPECT) for treatment of a patient with metastatic castrate resistant prostate cancer, who is PSMA-positive as determined by PSMA PET defined as SUVmax &gt;15 at a single site of disease and SUVmax &gt;10 at all sites of measurable disease, after progressive disease has developed while on at least one taxane chemotherapy and at least one androgen receptor signalling inhibitor</w:t>
            </w:r>
          </w:p>
          <w:p w14:paraId="5526262F" w14:textId="40BFF8A8" w:rsidR="00CE453D" w:rsidRPr="00AF7248" w:rsidRDefault="00CE453D" w:rsidP="00ED1AE4">
            <w:pPr>
              <w:keepNext/>
              <w:keepLines/>
              <w:spacing w:before="20" w:after="20"/>
              <w:rPr>
                <w:rFonts w:ascii="Arial Narrow" w:hAnsi="Arial Narrow" w:cs="Calibri"/>
                <w:i/>
                <w:iCs/>
                <w:sz w:val="20"/>
                <w:szCs w:val="20"/>
              </w:rPr>
            </w:pPr>
            <w:r w:rsidRPr="00AF7248">
              <w:rPr>
                <w:rFonts w:ascii="Arial Narrow" w:hAnsi="Arial Narrow" w:cs="Calibri"/>
                <w:sz w:val="20"/>
                <w:szCs w:val="20"/>
              </w:rPr>
              <w:t>A patient is eligible to claim once per cycle up to a maximum of 2 cycles in the initial treatment phase</w:t>
            </w:r>
            <w:r w:rsidRPr="00AF7248">
              <w:rPr>
                <w:rFonts w:ascii="Arial Narrow" w:hAnsi="Arial Narrow" w:cs="Calibri"/>
                <w:i/>
                <w:iCs/>
                <w:sz w:val="20"/>
                <w:szCs w:val="20"/>
              </w:rPr>
              <w:t>.</w:t>
            </w:r>
          </w:p>
        </w:tc>
      </w:tr>
      <w:tr w:rsidR="00CE453D" w:rsidRPr="00AF7248" w14:paraId="5CFD6CB4" w14:textId="77777777" w:rsidTr="0068503A">
        <w:trPr>
          <w:trHeight w:val="223"/>
        </w:trPr>
        <w:tc>
          <w:tcPr>
            <w:tcW w:w="5000" w:type="pct"/>
          </w:tcPr>
          <w:p w14:paraId="42D0BD5D" w14:textId="0BB7EA1C" w:rsidR="00CE453D" w:rsidRPr="00AF7248" w:rsidRDefault="00CE453D" w:rsidP="00ED1AE4">
            <w:pPr>
              <w:keepNext/>
              <w:keepLines/>
              <w:spacing w:before="20" w:after="20"/>
              <w:rPr>
                <w:rFonts w:ascii="Arial Narrow" w:hAnsi="Arial Narrow" w:cs="Calibri"/>
                <w:sz w:val="20"/>
                <w:szCs w:val="20"/>
              </w:rPr>
            </w:pPr>
            <w:r w:rsidRPr="00AF7248">
              <w:rPr>
                <w:rFonts w:ascii="Arial Narrow" w:hAnsi="Arial Narrow" w:cs="Calibri"/>
                <w:sz w:val="20"/>
                <w:szCs w:val="20"/>
              </w:rPr>
              <w:t>Fee: $8,000 Benefit: 85%</w:t>
            </w:r>
            <w:r w:rsidR="00D61A69">
              <w:rPr>
                <w:rFonts w:ascii="Arial Narrow" w:hAnsi="Arial Narrow" w:cs="Calibri"/>
                <w:sz w:val="20"/>
                <w:szCs w:val="20"/>
              </w:rPr>
              <w:t>*</w:t>
            </w:r>
            <w:r w:rsidRPr="00AF7248">
              <w:rPr>
                <w:rFonts w:ascii="Arial Narrow" w:hAnsi="Arial Narrow" w:cs="Calibri"/>
                <w:sz w:val="20"/>
                <w:szCs w:val="20"/>
              </w:rPr>
              <w:t xml:space="preserve"> = $</w:t>
            </w:r>
            <w:r w:rsidR="007A23E2">
              <w:rPr>
                <w:rFonts w:ascii="Arial Narrow" w:hAnsi="Arial Narrow" w:cs="Calibri"/>
                <w:sz w:val="20"/>
                <w:szCs w:val="20"/>
              </w:rPr>
              <w:t>7,</w:t>
            </w:r>
            <w:r w:rsidR="0068503A">
              <w:rPr>
                <w:rFonts w:ascii="Arial Narrow" w:hAnsi="Arial Narrow" w:cs="Calibri"/>
                <w:sz w:val="20"/>
                <w:szCs w:val="20"/>
              </w:rPr>
              <w:t>906.80</w:t>
            </w:r>
          </w:p>
        </w:tc>
      </w:tr>
    </w:tbl>
    <w:p w14:paraId="01402005" w14:textId="0D53D9DA" w:rsidR="00CE453D" w:rsidRPr="00C7462B" w:rsidRDefault="0068503A" w:rsidP="00C7462B">
      <w:pPr>
        <w:tabs>
          <w:tab w:val="left" w:pos="284"/>
        </w:tabs>
        <w:spacing w:before="0" w:line="240" w:lineRule="auto"/>
        <w:ind w:left="284" w:hanging="284"/>
        <w:rPr>
          <w:rFonts w:ascii="Calibri" w:hAnsi="Calibri"/>
        </w:rPr>
      </w:pPr>
      <w:r>
        <w:rPr>
          <w:rFonts w:ascii="Arial Narrow" w:hAnsi="Arial Narrow"/>
          <w:sz w:val="18"/>
          <w:szCs w:val="18"/>
        </w:rPr>
        <w:t>*</w:t>
      </w:r>
      <w:r>
        <w:rPr>
          <w:rFonts w:ascii="Arial Narrow" w:hAnsi="Arial Narrow"/>
          <w:sz w:val="18"/>
          <w:szCs w:val="18"/>
        </w:rPr>
        <w:tab/>
      </w:r>
      <w:r w:rsidRPr="5D01B262">
        <w:rPr>
          <w:rFonts w:ascii="Arial Narrow" w:hAnsi="Arial Narrow"/>
          <w:sz w:val="18"/>
          <w:szCs w:val="18"/>
        </w:rPr>
        <w:t>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6AFF5CDD" w14:textId="4014DB70" w:rsidR="001C7560" w:rsidRPr="00323DEE" w:rsidRDefault="001C7560" w:rsidP="00C7462B">
      <w:pPr>
        <w:spacing w:before="240" w:after="120"/>
        <w:rPr>
          <w:rFonts w:eastAsia="Calibri" w:cs="Calibri"/>
        </w:rPr>
      </w:pPr>
      <w:r w:rsidRPr="00323DEE">
        <w:rPr>
          <w:rFonts w:eastAsia="Calibri" w:cs="Calibri"/>
        </w:rPr>
        <w:t>The criteria for eligibility for initial treatment remains the same as that in the previous ADAR. Patients are required to be PSMA-positive as determined by PSMA PET defined as</w:t>
      </w:r>
      <w:r>
        <w:rPr>
          <w:rFonts w:eastAsia="Calibri" w:cs="Calibri"/>
        </w:rPr>
        <w:t xml:space="preserve"> </w:t>
      </w:r>
      <w:r w:rsidR="00490A64">
        <w:rPr>
          <w:rFonts w:eastAsia="Calibri" w:cs="Calibri"/>
        </w:rPr>
        <w:t>maximum standardized uptake value</w:t>
      </w:r>
      <w:r w:rsidRPr="00323DEE">
        <w:rPr>
          <w:rFonts w:eastAsia="Calibri" w:cs="Calibri"/>
        </w:rPr>
        <w:t xml:space="preserve"> </w:t>
      </w:r>
      <w:r w:rsidR="00490A64">
        <w:rPr>
          <w:rFonts w:eastAsia="Calibri" w:cs="Calibri"/>
        </w:rPr>
        <w:t>(</w:t>
      </w:r>
      <w:proofErr w:type="spellStart"/>
      <w:r w:rsidRPr="00323DEE">
        <w:rPr>
          <w:rFonts w:eastAsia="Calibri" w:cs="Calibri"/>
        </w:rPr>
        <w:t>SUV</w:t>
      </w:r>
      <w:r w:rsidRPr="00323DEE">
        <w:rPr>
          <w:rFonts w:eastAsia="Calibri" w:cs="Calibri"/>
          <w:vertAlign w:val="subscript"/>
        </w:rPr>
        <w:t>max</w:t>
      </w:r>
      <w:proofErr w:type="spellEnd"/>
      <w:r w:rsidR="00490A64" w:rsidRPr="002079DB">
        <w:rPr>
          <w:rFonts w:eastAsia="Calibri" w:cs="Calibri"/>
        </w:rPr>
        <w:t>)</w:t>
      </w:r>
      <w:r w:rsidRPr="00323DEE">
        <w:rPr>
          <w:rFonts w:eastAsia="Calibri" w:cs="Calibri"/>
        </w:rPr>
        <w:t xml:space="preserve"> &gt;15 at a single site of disease and </w:t>
      </w:r>
      <w:proofErr w:type="spellStart"/>
      <w:r w:rsidRPr="00323DEE">
        <w:rPr>
          <w:rFonts w:eastAsia="Calibri" w:cs="Calibri"/>
        </w:rPr>
        <w:t>SUV</w:t>
      </w:r>
      <w:r w:rsidRPr="00323DEE">
        <w:rPr>
          <w:rFonts w:eastAsia="Calibri" w:cs="Calibri"/>
          <w:vertAlign w:val="subscript"/>
        </w:rPr>
        <w:t>max</w:t>
      </w:r>
      <w:proofErr w:type="spellEnd"/>
      <w:r w:rsidRPr="00323DEE">
        <w:rPr>
          <w:rFonts w:eastAsia="Calibri" w:cs="Calibri"/>
        </w:rPr>
        <w:t xml:space="preserve"> &gt;10 at all sites of measurable disease, after progressive disease has developed while on at least one </w:t>
      </w:r>
      <w:proofErr w:type="spellStart"/>
      <w:r w:rsidRPr="00323DEE">
        <w:rPr>
          <w:rFonts w:eastAsia="Calibri" w:cs="Calibri"/>
        </w:rPr>
        <w:t>taxane</w:t>
      </w:r>
      <w:proofErr w:type="spellEnd"/>
      <w:r w:rsidRPr="00323DEE">
        <w:rPr>
          <w:rFonts w:eastAsia="Calibri" w:cs="Calibri"/>
        </w:rPr>
        <w:t xml:space="preserve"> chemotherapy and at least one androgen receptor signalling inhibitor. The initial phase is limited to 2 cycles.</w:t>
      </w:r>
    </w:p>
    <w:p w14:paraId="619A71E9" w14:textId="38752A3B" w:rsidR="001C7560" w:rsidRPr="00323DEE" w:rsidRDefault="001C7560" w:rsidP="00CD5A4F">
      <w:pPr>
        <w:spacing w:before="0" w:after="120"/>
      </w:pPr>
      <w:r w:rsidRPr="00323DEE">
        <w:t>The ADAR proposes the initial phase of treatment constitutes at least 2 cycles of treatment before the assessment of response based on the results from Emmett et al (2023)</w:t>
      </w:r>
      <w:r w:rsidR="005C6517" w:rsidRPr="00323DEE">
        <w:t xml:space="preserve"> (the Re-SPECT study, a </w:t>
      </w:r>
      <w:r w:rsidR="005C6517" w:rsidRPr="00323DEE">
        <w:rPr>
          <w:bCs/>
        </w:rPr>
        <w:t>retrospective</w:t>
      </w:r>
      <w:r w:rsidR="005C6517" w:rsidRPr="00323DEE">
        <w:rPr>
          <w:b/>
          <w:bCs/>
        </w:rPr>
        <w:t xml:space="preserve"> </w:t>
      </w:r>
      <w:r w:rsidR="005C6517" w:rsidRPr="00323DEE">
        <w:rPr>
          <w:lang w:val="en-US"/>
        </w:rPr>
        <w:t xml:space="preserve">analysis of a clinical </w:t>
      </w:r>
      <w:r w:rsidR="005C6517" w:rsidRPr="00323DEE">
        <w:rPr>
          <w:vertAlign w:val="superscript"/>
          <w:lang w:val="en-US"/>
        </w:rPr>
        <w:t>177</w:t>
      </w:r>
      <w:r w:rsidR="005C6517" w:rsidRPr="00323DEE">
        <w:rPr>
          <w:lang w:val="en-US"/>
        </w:rPr>
        <w:t>Lu</w:t>
      </w:r>
      <w:r w:rsidR="00EA1FE3">
        <w:rPr>
          <w:lang w:val="en-US"/>
        </w:rPr>
        <w:t> </w:t>
      </w:r>
      <w:r w:rsidR="005C6517" w:rsidRPr="00323DEE">
        <w:rPr>
          <w:lang w:val="en-US"/>
        </w:rPr>
        <w:t>PSMA</w:t>
      </w:r>
      <w:r w:rsidR="00EA1FE3">
        <w:rPr>
          <w:lang w:val="en-US"/>
        </w:rPr>
        <w:t> </w:t>
      </w:r>
      <w:proofErr w:type="spellStart"/>
      <w:r w:rsidR="00EA1FE3">
        <w:rPr>
          <w:lang w:val="en-US"/>
        </w:rPr>
        <w:t>i</w:t>
      </w:r>
      <w:r w:rsidR="005C6517" w:rsidRPr="00323DEE">
        <w:rPr>
          <w:lang w:val="en-US"/>
        </w:rPr>
        <w:t>&amp;</w:t>
      </w:r>
      <w:r w:rsidR="00EA1FE3">
        <w:rPr>
          <w:lang w:val="en-US"/>
        </w:rPr>
        <w:t>t</w:t>
      </w:r>
      <w:proofErr w:type="spellEnd"/>
      <w:r w:rsidR="005C6517" w:rsidRPr="00323DEE">
        <w:rPr>
          <w:lang w:val="en-US"/>
        </w:rPr>
        <w:t xml:space="preserve"> treatment program, n= 125)</w:t>
      </w:r>
      <w:r w:rsidRPr="00323DEE">
        <w:t xml:space="preserve">. The </w:t>
      </w:r>
      <w:r w:rsidR="00E824EB" w:rsidRPr="00323DEE">
        <w:t xml:space="preserve">only rationale provided for limiting initial therapy to two cycles </w:t>
      </w:r>
      <w:r w:rsidR="00073E2F">
        <w:t xml:space="preserve">provided in the ADAR </w:t>
      </w:r>
      <w:r w:rsidR="00E824EB" w:rsidRPr="00323DEE">
        <w:t xml:space="preserve">states </w:t>
      </w:r>
      <w:r w:rsidRPr="00323DEE">
        <w:t>that “</w:t>
      </w:r>
      <w:r w:rsidRPr="00611F44">
        <w:t xml:space="preserve">Of patients </w:t>
      </w:r>
      <w:r w:rsidRPr="00323DEE">
        <w:t xml:space="preserve">(n=36) </w:t>
      </w:r>
      <w:r w:rsidRPr="00611F44">
        <w:t>that</w:t>
      </w:r>
      <w:r w:rsidRPr="00351642">
        <w:t xml:space="preserve"> </w:t>
      </w:r>
      <w:r w:rsidRPr="008D55FE">
        <w:rPr>
          <w:strike/>
        </w:rPr>
        <w:t xml:space="preserve">received </w:t>
      </w:r>
      <w:r w:rsidRPr="008344E7">
        <w:t>had PSA or RECIST progression before dose 3 (</w:t>
      </w:r>
      <w:proofErr w:type="gramStart"/>
      <w:r w:rsidRPr="008344E7">
        <w:t>i.e.</w:t>
      </w:r>
      <w:proofErr w:type="gramEnd"/>
      <w:r w:rsidRPr="008344E7">
        <w:t xml:space="preserve"> response group 3 </w:t>
      </w:r>
      <w:r w:rsidRPr="00323DEE">
        <w:t>[Rise in PSA and/or imaging PD; recommended for an alternative treatment]</w:t>
      </w:r>
      <w:r w:rsidRPr="00611F44">
        <w:t>, 17 received a subsequent Lu</w:t>
      </w:r>
      <w:r w:rsidR="00EA1FE3">
        <w:t> </w:t>
      </w:r>
      <w:r w:rsidRPr="00611F44">
        <w:t>PSMA</w:t>
      </w:r>
      <w:r w:rsidR="00EA1FE3">
        <w:t> </w:t>
      </w:r>
      <w:proofErr w:type="spellStart"/>
      <w:r w:rsidR="00EA1FE3">
        <w:t>i&amp;t</w:t>
      </w:r>
      <w:proofErr w:type="spellEnd"/>
      <w:r w:rsidRPr="00611F44">
        <w:t xml:space="preserve"> dose. Of these, none had a treatment response</w:t>
      </w:r>
      <w:r w:rsidR="00AE4760">
        <w:t xml:space="preserve"> </w:t>
      </w:r>
      <w:r w:rsidRPr="00323DEE">
        <w:t xml:space="preserve">to </w:t>
      </w:r>
      <w:r w:rsidRPr="00611F44">
        <w:t>a subsequent Lu</w:t>
      </w:r>
      <w:r w:rsidR="00EA1FE3">
        <w:t> </w:t>
      </w:r>
      <w:r w:rsidRPr="00611F44">
        <w:t>PSMA</w:t>
      </w:r>
      <w:r w:rsidR="008A395E">
        <w:t> </w:t>
      </w:r>
      <w:proofErr w:type="spellStart"/>
      <w:r w:rsidR="008A395E">
        <w:t>i&amp;t</w:t>
      </w:r>
      <w:proofErr w:type="spellEnd"/>
      <w:r w:rsidR="00F16123">
        <w:t xml:space="preserve"> </w:t>
      </w:r>
      <w:r w:rsidRPr="00611F44">
        <w:t xml:space="preserve">dose (unpublished data on file </w:t>
      </w:r>
      <w:r w:rsidRPr="00323DEE">
        <w:t>– this could not be independently verified).”</w:t>
      </w:r>
    </w:p>
    <w:p w14:paraId="71267264" w14:textId="7D10D993" w:rsidR="001C7560" w:rsidRPr="00611F44" w:rsidRDefault="001C7560" w:rsidP="00CD5A4F">
      <w:pPr>
        <w:spacing w:before="0" w:after="120"/>
        <w:rPr>
          <w:rFonts w:ascii="Montserrat" w:eastAsia="Calibri" w:hAnsi="Montserrat" w:cs="Calibri"/>
          <w:sz w:val="18"/>
          <w:szCs w:val="20"/>
        </w:rPr>
      </w:pPr>
      <w:r w:rsidRPr="00323DEE">
        <w:t>Additionally, the item descriptor does not indicate whether assessment of response (or progression) is conducted after each cycle or only after cycle 2. It is also unclear whether response would be assessed immediately after the first or second dose (at weeks 0 and/or 6) or before the subsequent dose (doses 2 and/or 3 at weeks 6 and/or 12).</w:t>
      </w:r>
    </w:p>
    <w:p w14:paraId="71EFF029" w14:textId="2C75743C" w:rsidR="00CE453D" w:rsidRPr="00AF7248" w:rsidRDefault="00CE453D" w:rsidP="00CE453D">
      <w:pPr>
        <w:keepNext/>
        <w:keepLines/>
        <w:spacing w:before="240" w:after="120" w:line="288" w:lineRule="auto"/>
        <w:ind w:left="794" w:hanging="794"/>
        <w:rPr>
          <w:rFonts w:ascii="Arial Narrow" w:eastAsia="Calibri" w:hAnsi="Arial Narrow" w:cs="Calibri"/>
          <w:b/>
          <w:bCs/>
          <w:sz w:val="20"/>
          <w:szCs w:val="20"/>
        </w:rPr>
      </w:pPr>
      <w:bookmarkStart w:id="15" w:name="_Ref124340101"/>
      <w:r w:rsidRPr="00AF7248">
        <w:rPr>
          <w:rFonts w:ascii="Arial Narrow" w:eastAsia="Calibri" w:hAnsi="Arial Narrow" w:cs="Calibri"/>
          <w:b/>
          <w:bCs/>
          <w:sz w:val="20"/>
          <w:szCs w:val="20"/>
        </w:rPr>
        <w:lastRenderedPageBreak/>
        <w:t xml:space="preserve">Table </w:t>
      </w:r>
      <w:r w:rsidRPr="00AF7248">
        <w:rPr>
          <w:rFonts w:ascii="Arial Narrow" w:eastAsia="Calibri" w:hAnsi="Arial Narrow" w:cs="Calibri"/>
          <w:b/>
          <w:bCs/>
          <w:sz w:val="20"/>
          <w:szCs w:val="20"/>
        </w:rPr>
        <w:fldChar w:fldCharType="begin"/>
      </w:r>
      <w:r w:rsidRPr="00AF7248">
        <w:rPr>
          <w:rFonts w:ascii="Arial Narrow" w:eastAsia="Calibri" w:hAnsi="Arial Narrow" w:cs="Calibri"/>
          <w:b/>
          <w:bCs/>
          <w:sz w:val="20"/>
          <w:szCs w:val="20"/>
        </w:rPr>
        <w:instrText xml:space="preserve"> SEQ Table \* ARABIC </w:instrText>
      </w:r>
      <w:r w:rsidRPr="00AF7248">
        <w:rPr>
          <w:rFonts w:ascii="Arial Narrow" w:eastAsia="Calibri" w:hAnsi="Arial Narrow" w:cs="Calibri"/>
          <w:b/>
          <w:bCs/>
          <w:sz w:val="20"/>
          <w:szCs w:val="20"/>
        </w:rPr>
        <w:fldChar w:fldCharType="separate"/>
      </w:r>
      <w:r w:rsidR="00E62052">
        <w:rPr>
          <w:rFonts w:ascii="Arial Narrow" w:eastAsia="Calibri" w:hAnsi="Arial Narrow" w:cs="Calibri"/>
          <w:b/>
          <w:bCs/>
          <w:noProof/>
          <w:sz w:val="20"/>
          <w:szCs w:val="20"/>
        </w:rPr>
        <w:t>4</w:t>
      </w:r>
      <w:r w:rsidRPr="00AF7248">
        <w:rPr>
          <w:rFonts w:ascii="Arial Narrow" w:eastAsia="Calibri" w:hAnsi="Arial Narrow" w:cs="Calibri"/>
          <w:b/>
          <w:bCs/>
          <w:sz w:val="20"/>
          <w:szCs w:val="20"/>
        </w:rPr>
        <w:fldChar w:fldCharType="end"/>
      </w:r>
      <w:bookmarkEnd w:id="15"/>
      <w:r w:rsidRPr="00AF7248">
        <w:rPr>
          <w:rFonts w:ascii="Arial Narrow" w:eastAsia="Calibri" w:hAnsi="Arial Narrow" w:cs="Calibri"/>
          <w:b/>
          <w:bCs/>
          <w:sz w:val="20"/>
          <w:szCs w:val="20"/>
        </w:rPr>
        <w:tab/>
      </w:r>
      <w:r w:rsidR="00381B34">
        <w:rPr>
          <w:rFonts w:ascii="Arial Narrow" w:eastAsia="Calibri" w:hAnsi="Arial Narrow" w:cs="Calibri"/>
          <w:b/>
          <w:bCs/>
          <w:sz w:val="20"/>
          <w:szCs w:val="20"/>
        </w:rPr>
        <w:t>ADAR p</w:t>
      </w:r>
      <w:r w:rsidRPr="00AF7248">
        <w:rPr>
          <w:rFonts w:ascii="Arial Narrow" w:eastAsia="Calibri" w:hAnsi="Arial Narrow" w:cs="Calibri"/>
          <w:b/>
          <w:bCs/>
          <w:sz w:val="20"/>
          <w:szCs w:val="20"/>
        </w:rPr>
        <w:t xml:space="preserve">roposed item descriptor for Lutetium 177 PSMA – continuing </w:t>
      </w:r>
      <w:proofErr w:type="gramStart"/>
      <w:r w:rsidRPr="00AF7248">
        <w:rPr>
          <w:rFonts w:ascii="Arial Narrow" w:eastAsia="Calibri" w:hAnsi="Arial Narrow" w:cs="Calibri"/>
          <w:b/>
          <w:bCs/>
          <w:sz w:val="20"/>
          <w:szCs w:val="20"/>
        </w:rPr>
        <w:t>phase</w:t>
      </w:r>
      <w:proofErr w:type="gramEnd"/>
    </w:p>
    <w:tbl>
      <w:tblPr>
        <w:tblStyle w:val="LashStyleTable2"/>
        <w:tblW w:w="5000" w:type="pct"/>
        <w:tblLook w:val="04A0" w:firstRow="1" w:lastRow="0" w:firstColumn="1" w:lastColumn="0" w:noHBand="0" w:noVBand="1"/>
        <w:tblCaption w:val="Proposed item descriptor for PSMA PET/CT"/>
        <w:tblDescription w:val="Proposed item descriptor for diagnostic testing of PSMA PET/CT for eligibility of 177Lu PSMA therapy in mCRPC. "/>
      </w:tblPr>
      <w:tblGrid>
        <w:gridCol w:w="9016"/>
      </w:tblGrid>
      <w:tr w:rsidR="00CE453D" w:rsidRPr="00AF7248" w14:paraId="7307E6F6" w14:textId="77777777" w:rsidTr="00ED1AE4">
        <w:trPr>
          <w:trHeight w:val="89"/>
        </w:trPr>
        <w:tc>
          <w:tcPr>
            <w:tcW w:w="5000" w:type="pct"/>
          </w:tcPr>
          <w:p w14:paraId="1CDD5B65" w14:textId="77777777" w:rsidR="00CE453D" w:rsidRPr="00AF7248" w:rsidRDefault="00CE453D" w:rsidP="00ED1AE4">
            <w:pPr>
              <w:keepNext/>
              <w:keepLines/>
              <w:spacing w:before="20" w:after="20"/>
              <w:rPr>
                <w:rFonts w:ascii="Arial Narrow" w:hAnsi="Arial Narrow" w:cs="Calibri"/>
                <w:b/>
                <w:bCs/>
                <w:sz w:val="20"/>
                <w:szCs w:val="20"/>
              </w:rPr>
            </w:pPr>
            <w:r w:rsidRPr="00AF7248">
              <w:rPr>
                <w:rFonts w:ascii="Arial Narrow" w:hAnsi="Arial Narrow" w:cs="Calibri"/>
                <w:b/>
                <w:bCs/>
                <w:sz w:val="20"/>
                <w:szCs w:val="20"/>
              </w:rPr>
              <w:t>Category 3 - Therapeutic Procedures T3. Therapeutic Nuclear Medicine</w:t>
            </w:r>
          </w:p>
        </w:tc>
      </w:tr>
      <w:tr w:rsidR="00CE453D" w:rsidRPr="00AF7248" w14:paraId="5C01938D" w14:textId="77777777" w:rsidTr="00ED1AE4">
        <w:tc>
          <w:tcPr>
            <w:tcW w:w="5000" w:type="pct"/>
          </w:tcPr>
          <w:p w14:paraId="23E7282A" w14:textId="6A5A9705" w:rsidR="00CE453D" w:rsidRPr="00AF7248" w:rsidRDefault="00CE453D" w:rsidP="00ED1AE4">
            <w:pPr>
              <w:keepNext/>
              <w:keepLines/>
              <w:spacing w:before="20" w:after="20"/>
              <w:rPr>
                <w:rFonts w:ascii="Arial Narrow" w:hAnsi="Arial Narrow" w:cs="Calibri"/>
                <w:sz w:val="20"/>
                <w:szCs w:val="20"/>
              </w:rPr>
            </w:pPr>
            <w:r w:rsidRPr="00AF7248">
              <w:rPr>
                <w:rFonts w:ascii="Arial Narrow" w:hAnsi="Arial Narrow" w:cs="Calibri"/>
                <w:sz w:val="20"/>
                <w:szCs w:val="20"/>
              </w:rPr>
              <w:t>MBS item YYYY</w:t>
            </w:r>
          </w:p>
          <w:p w14:paraId="757BB870" w14:textId="3060813F" w:rsidR="00CE453D" w:rsidRPr="00AF7248" w:rsidRDefault="00CE453D" w:rsidP="00C7462B">
            <w:pPr>
              <w:keepNext/>
              <w:keepLines/>
              <w:spacing w:before="240" w:after="240"/>
              <w:rPr>
                <w:rFonts w:ascii="Arial Narrow" w:hAnsi="Arial Narrow" w:cs="Calibri"/>
                <w:sz w:val="20"/>
                <w:szCs w:val="20"/>
              </w:rPr>
            </w:pPr>
            <w:r w:rsidRPr="00AF7248">
              <w:rPr>
                <w:rFonts w:ascii="Arial Narrow" w:hAnsi="Arial Narrow" w:cs="Calibri"/>
                <w:sz w:val="20"/>
                <w:szCs w:val="20"/>
              </w:rPr>
              <w:t>Treatment phase: continuing treatment</w:t>
            </w:r>
          </w:p>
          <w:p w14:paraId="265F980D" w14:textId="77777777" w:rsidR="00CE453D" w:rsidRPr="00AF7248" w:rsidRDefault="00CE453D" w:rsidP="00ED1AE4">
            <w:pPr>
              <w:keepNext/>
              <w:keepLines/>
              <w:spacing w:before="20" w:after="20"/>
              <w:rPr>
                <w:rFonts w:ascii="Arial Narrow" w:hAnsi="Arial Narrow" w:cs="Calibri"/>
                <w:sz w:val="20"/>
                <w:szCs w:val="20"/>
              </w:rPr>
            </w:pPr>
            <w:r w:rsidRPr="00AF7248">
              <w:rPr>
                <w:rFonts w:ascii="Arial Narrow" w:hAnsi="Arial Narrow" w:cs="Calibri"/>
                <w:sz w:val="20"/>
                <w:szCs w:val="20"/>
              </w:rPr>
              <w:t>Administration of Lutetium 177 PSMA followed 24 hours later by whole body Lu-PSMA single-photon emission computed tomography (SPECT) for treatment of a patient with metastatic castrate resistant prostate cancer, if:</w:t>
            </w:r>
          </w:p>
          <w:p w14:paraId="3C58EBD6" w14:textId="77777777" w:rsidR="00CE453D" w:rsidRPr="00AF7248" w:rsidRDefault="00CE453D" w:rsidP="00C7462B">
            <w:pPr>
              <w:keepNext/>
              <w:keepLines/>
              <w:numPr>
                <w:ilvl w:val="0"/>
                <w:numId w:val="13"/>
              </w:numPr>
              <w:spacing w:before="20" w:after="20"/>
              <w:rPr>
                <w:rFonts w:ascii="Arial Narrow" w:hAnsi="Arial Narrow" w:cs="Calibri"/>
                <w:sz w:val="20"/>
                <w:szCs w:val="20"/>
              </w:rPr>
            </w:pPr>
            <w:r w:rsidRPr="00AF7248">
              <w:rPr>
                <w:rFonts w:ascii="Arial Narrow" w:hAnsi="Arial Narrow" w:cs="Calibri"/>
                <w:sz w:val="20"/>
                <w:szCs w:val="20"/>
              </w:rPr>
              <w:t>a service to which item ZZZZ has been provided; and</w:t>
            </w:r>
          </w:p>
          <w:p w14:paraId="00C2F206" w14:textId="7B4F3779" w:rsidR="00CE453D" w:rsidRPr="00C7462B" w:rsidRDefault="00CE453D" w:rsidP="00C7462B">
            <w:pPr>
              <w:keepNext/>
              <w:keepLines/>
              <w:numPr>
                <w:ilvl w:val="0"/>
                <w:numId w:val="13"/>
              </w:numPr>
              <w:spacing w:before="20" w:after="20"/>
              <w:rPr>
                <w:rFonts w:ascii="Arial Narrow" w:hAnsi="Arial Narrow" w:cs="Calibri"/>
                <w:sz w:val="20"/>
                <w:szCs w:val="20"/>
              </w:rPr>
            </w:pPr>
            <w:r w:rsidRPr="00AF7248">
              <w:rPr>
                <w:rFonts w:ascii="Arial Narrow" w:hAnsi="Arial Narrow" w:cs="Calibri"/>
                <w:sz w:val="20"/>
                <w:szCs w:val="20"/>
              </w:rPr>
              <w:t>the patient must not have developed disease progression while receiving Lutetium 177 PSMA for this condition</w:t>
            </w:r>
          </w:p>
          <w:p w14:paraId="0481587F" w14:textId="0CD031BE" w:rsidR="00CE453D" w:rsidRPr="00AF7248" w:rsidRDefault="00CE453D" w:rsidP="00C7462B">
            <w:pPr>
              <w:keepNext/>
              <w:keepLines/>
              <w:spacing w:before="240" w:after="20"/>
              <w:rPr>
                <w:rFonts w:ascii="Arial Narrow" w:hAnsi="Arial Narrow" w:cs="Calibri"/>
                <w:sz w:val="20"/>
                <w:szCs w:val="20"/>
              </w:rPr>
            </w:pPr>
            <w:r w:rsidRPr="00AF7248">
              <w:rPr>
                <w:rFonts w:ascii="Arial Narrow" w:hAnsi="Arial Narrow" w:cs="Calibri"/>
                <w:sz w:val="20"/>
                <w:szCs w:val="20"/>
              </w:rPr>
              <w:t xml:space="preserve">Disease progression for the purposes of administering MBS item YYYY is defined as a rise in PSA of &gt; 2 ng/mL confirmed by 2 tests a minimum 2 weeks apart and/or </w:t>
            </w:r>
            <w:bookmarkStart w:id="16" w:name="_Hlk130548930"/>
            <w:r w:rsidRPr="00AF7248">
              <w:rPr>
                <w:rFonts w:ascii="Arial Narrow" w:hAnsi="Arial Narrow" w:cs="Calibri"/>
                <w:sz w:val="20"/>
                <w:szCs w:val="20"/>
              </w:rPr>
              <w:t>evidence of new soft tissue metastases on diagnostic CT as per RECIST criteria.</w:t>
            </w:r>
            <w:bookmarkEnd w:id="16"/>
          </w:p>
          <w:p w14:paraId="712CBAA7" w14:textId="77777777" w:rsidR="00CE453D" w:rsidRPr="00AF7248" w:rsidRDefault="00CE453D" w:rsidP="00C7462B">
            <w:pPr>
              <w:keepNext/>
              <w:keepLines/>
              <w:spacing w:before="240" w:after="20"/>
              <w:rPr>
                <w:rFonts w:ascii="Arial Narrow" w:hAnsi="Arial Narrow" w:cs="Calibri"/>
                <w:i/>
                <w:iCs/>
                <w:sz w:val="20"/>
                <w:szCs w:val="20"/>
              </w:rPr>
            </w:pPr>
            <w:r w:rsidRPr="00AF7248">
              <w:rPr>
                <w:rFonts w:ascii="Arial Narrow" w:hAnsi="Arial Narrow" w:cs="Calibri"/>
                <w:sz w:val="20"/>
                <w:szCs w:val="20"/>
              </w:rPr>
              <w:t>A patient is eligible to claim once per cycle up to a maximum of 4 cycles in the continuing treatment phase.</w:t>
            </w:r>
          </w:p>
        </w:tc>
      </w:tr>
      <w:tr w:rsidR="00CE453D" w:rsidRPr="00AF7248" w14:paraId="14CBD8BB" w14:textId="77777777" w:rsidTr="00ED1AE4">
        <w:trPr>
          <w:trHeight w:val="223"/>
        </w:trPr>
        <w:tc>
          <w:tcPr>
            <w:tcW w:w="5000" w:type="pct"/>
          </w:tcPr>
          <w:p w14:paraId="43865DDE" w14:textId="73F4E82E" w:rsidR="00CE453D" w:rsidRPr="00AF7248" w:rsidRDefault="00CE453D" w:rsidP="00ED1AE4">
            <w:pPr>
              <w:keepNext/>
              <w:keepLines/>
              <w:spacing w:before="20" w:after="20"/>
              <w:rPr>
                <w:rFonts w:ascii="Arial Narrow" w:hAnsi="Arial Narrow" w:cs="Calibri"/>
                <w:sz w:val="20"/>
                <w:szCs w:val="20"/>
              </w:rPr>
            </w:pPr>
            <w:r w:rsidRPr="00AF7248">
              <w:rPr>
                <w:rFonts w:ascii="Arial Narrow" w:hAnsi="Arial Narrow" w:cs="Calibri"/>
                <w:sz w:val="20"/>
                <w:szCs w:val="20"/>
              </w:rPr>
              <w:t>Fee: $8,000 Benefit: 85%</w:t>
            </w:r>
            <w:r w:rsidR="00613593">
              <w:rPr>
                <w:rFonts w:ascii="Arial Narrow" w:hAnsi="Arial Narrow" w:cs="Calibri"/>
                <w:sz w:val="20"/>
                <w:szCs w:val="20"/>
              </w:rPr>
              <w:t>*</w:t>
            </w:r>
            <w:r w:rsidRPr="00AF7248">
              <w:rPr>
                <w:rFonts w:ascii="Arial Narrow" w:hAnsi="Arial Narrow" w:cs="Calibri"/>
                <w:sz w:val="20"/>
                <w:szCs w:val="20"/>
              </w:rPr>
              <w:t xml:space="preserve"> = $</w:t>
            </w:r>
            <w:r w:rsidR="00613593">
              <w:rPr>
                <w:rFonts w:ascii="Arial Narrow" w:hAnsi="Arial Narrow" w:cs="Calibri"/>
                <w:sz w:val="20"/>
                <w:szCs w:val="20"/>
              </w:rPr>
              <w:t>7,906.80</w:t>
            </w:r>
          </w:p>
        </w:tc>
      </w:tr>
    </w:tbl>
    <w:p w14:paraId="7EE81A8E" w14:textId="2A110D95" w:rsidR="00CE453D" w:rsidRPr="00C7462B" w:rsidRDefault="00613593" w:rsidP="00C7462B">
      <w:pPr>
        <w:tabs>
          <w:tab w:val="left" w:pos="284"/>
        </w:tabs>
        <w:spacing w:before="0" w:line="240" w:lineRule="auto"/>
        <w:ind w:left="284" w:hanging="284"/>
        <w:rPr>
          <w:rFonts w:ascii="Calibri" w:hAnsi="Calibri"/>
        </w:rPr>
      </w:pPr>
      <w:r>
        <w:rPr>
          <w:rFonts w:ascii="Arial Narrow" w:hAnsi="Arial Narrow"/>
          <w:sz w:val="18"/>
          <w:szCs w:val="18"/>
        </w:rPr>
        <w:t>*</w:t>
      </w:r>
      <w:r>
        <w:rPr>
          <w:rFonts w:ascii="Arial Narrow" w:hAnsi="Arial Narrow"/>
          <w:sz w:val="18"/>
          <w:szCs w:val="18"/>
        </w:rPr>
        <w:tab/>
      </w:r>
      <w:r w:rsidRPr="5D01B262">
        <w:rPr>
          <w:rFonts w:ascii="Arial Narrow" w:hAnsi="Arial Narrow"/>
          <w:sz w:val="18"/>
          <w:szCs w:val="18"/>
        </w:rPr>
        <w:t>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1494B8D2" w14:textId="65380C4C" w:rsidR="001C7560" w:rsidRDefault="001C7560" w:rsidP="00C7462B">
      <w:pPr>
        <w:pStyle w:val="BodyText"/>
        <w:spacing w:before="240"/>
        <w:jc w:val="left"/>
        <w:rPr>
          <w:rFonts w:ascii="Franklin Gothic Book" w:hAnsi="Franklin Gothic Book"/>
          <w:i/>
          <w:iCs/>
        </w:rPr>
      </w:pPr>
      <w:r w:rsidRPr="00CD5A4F">
        <w:rPr>
          <w:rFonts w:ascii="Franklin Gothic Book" w:hAnsi="Franklin Gothic Book"/>
        </w:rPr>
        <w:t xml:space="preserve">The item descriptor for continuing treatment is limited to those who do not develop disease progression while on treatment with </w:t>
      </w:r>
      <w:r w:rsidRPr="00CD5A4F">
        <w:rPr>
          <w:rFonts w:ascii="Franklin Gothic Book" w:hAnsi="Franklin Gothic Book"/>
          <w:vertAlign w:val="superscript"/>
        </w:rPr>
        <w:t>177</w:t>
      </w:r>
      <w:r w:rsidRPr="00CD5A4F">
        <w:rPr>
          <w:rFonts w:ascii="Franklin Gothic Book" w:hAnsi="Franklin Gothic Book"/>
        </w:rPr>
        <w:t>Lu</w:t>
      </w:r>
      <w:r w:rsidR="00111892">
        <w:t> </w:t>
      </w:r>
      <w:r w:rsidRPr="00CD5A4F">
        <w:rPr>
          <w:rFonts w:ascii="Franklin Gothic Book" w:hAnsi="Franklin Gothic Book"/>
        </w:rPr>
        <w:t>PSMA</w:t>
      </w:r>
      <w:r w:rsidR="00374477">
        <w:rPr>
          <w:rFonts w:ascii="Franklin Gothic Book" w:hAnsi="Franklin Gothic Book"/>
        </w:rPr>
        <w:t> </w:t>
      </w:r>
      <w:proofErr w:type="spellStart"/>
      <w:r w:rsidR="00374477">
        <w:rPr>
          <w:rFonts w:ascii="Franklin Gothic Book" w:hAnsi="Franklin Gothic Book"/>
        </w:rPr>
        <w:t>i&amp;t</w:t>
      </w:r>
      <w:proofErr w:type="spellEnd"/>
      <w:r w:rsidRPr="001C7560">
        <w:rPr>
          <w:rFonts w:ascii="Franklin Gothic Book" w:hAnsi="Franklin Gothic Book"/>
          <w:i/>
          <w:iCs/>
        </w:rPr>
        <w:t xml:space="preserve">. </w:t>
      </w:r>
      <w:r w:rsidRPr="001C7560">
        <w:rPr>
          <w:rFonts w:ascii="Franklin Gothic Book" w:hAnsi="Franklin Gothic Book"/>
        </w:rPr>
        <w:t xml:space="preserve">Disease progression is defined as a rise in PSA of &gt; 2 ng/mL confirmed by 2 tests a minimum 2 </w:t>
      </w:r>
      <w:proofErr w:type="gramStart"/>
      <w:r w:rsidRPr="001C7560">
        <w:rPr>
          <w:rFonts w:ascii="Franklin Gothic Book" w:hAnsi="Franklin Gothic Book"/>
        </w:rPr>
        <w:t>weeks</w:t>
      </w:r>
      <w:proofErr w:type="gramEnd"/>
      <w:r w:rsidRPr="001C7560">
        <w:rPr>
          <w:rFonts w:ascii="Franklin Gothic Book" w:hAnsi="Franklin Gothic Book"/>
        </w:rPr>
        <w:t xml:space="preserve"> apart or evidence of new soft tissue </w:t>
      </w:r>
      <w:r w:rsidRPr="00CD5A4F">
        <w:rPr>
          <w:rFonts w:ascii="Franklin Gothic Book" w:hAnsi="Franklin Gothic Book"/>
        </w:rPr>
        <w:t>metastases on diagnostic CT as per RECIST criteria.</w:t>
      </w:r>
    </w:p>
    <w:p w14:paraId="3BB41AE1" w14:textId="7B4DAFA4" w:rsidR="001C7560" w:rsidRPr="00FD06D9" w:rsidRDefault="001C7560" w:rsidP="00D95D70">
      <w:pPr>
        <w:pStyle w:val="BodyText"/>
        <w:jc w:val="left"/>
        <w:rPr>
          <w:rFonts w:ascii="Franklin Gothic Book" w:hAnsi="Franklin Gothic Book"/>
        </w:rPr>
      </w:pPr>
      <w:r w:rsidRPr="00FD06D9">
        <w:rPr>
          <w:rFonts w:ascii="Franklin Gothic Book" w:hAnsi="Franklin Gothic Book"/>
        </w:rPr>
        <w:t xml:space="preserve">The definition of PSA progression provided in the ADAR is not entirely consistent with Prostate Cancer Working Group 3 (PCWG3) definition (≥25% and ≥2ng/mL above the nadir, and which is confirmed by a second value ≥3 weeks later) or the definition used in </w:t>
      </w:r>
      <w:proofErr w:type="spellStart"/>
      <w:r w:rsidRPr="00FD06D9">
        <w:rPr>
          <w:rFonts w:ascii="Franklin Gothic Book" w:hAnsi="Franklin Gothic Book"/>
        </w:rPr>
        <w:t>TheraP</w:t>
      </w:r>
      <w:proofErr w:type="spellEnd"/>
      <w:r w:rsidRPr="00FD06D9">
        <w:rPr>
          <w:rFonts w:ascii="Franklin Gothic Book" w:hAnsi="Franklin Gothic Book"/>
        </w:rPr>
        <w:t xml:space="preserve"> (an increase of at least 25% and at least 2 ng/mL after 12 weeks).</w:t>
      </w:r>
    </w:p>
    <w:p w14:paraId="39603A94" w14:textId="3963059D" w:rsidR="001C7560" w:rsidRPr="00FD06D9" w:rsidRDefault="001C7560" w:rsidP="00D95D70">
      <w:pPr>
        <w:pStyle w:val="BodyText"/>
        <w:jc w:val="left"/>
        <w:rPr>
          <w:rFonts w:ascii="Franklin Gothic Book" w:hAnsi="Franklin Gothic Book"/>
        </w:rPr>
      </w:pPr>
      <w:r w:rsidRPr="00FD06D9">
        <w:rPr>
          <w:rFonts w:ascii="Franklin Gothic Book" w:hAnsi="Franklin Gothic Book"/>
        </w:rPr>
        <w:t xml:space="preserve">It is not clear why there is a </w:t>
      </w:r>
      <w:proofErr w:type="gramStart"/>
      <w:r w:rsidRPr="00FD06D9">
        <w:rPr>
          <w:rFonts w:ascii="Franklin Gothic Book" w:hAnsi="Franklin Gothic Book"/>
        </w:rPr>
        <w:t>criteria</w:t>
      </w:r>
      <w:proofErr w:type="gramEnd"/>
      <w:r w:rsidRPr="00FD06D9">
        <w:rPr>
          <w:rFonts w:ascii="Franklin Gothic Book" w:hAnsi="Franklin Gothic Book"/>
        </w:rPr>
        <w:t xml:space="preserve"> of “</w:t>
      </w:r>
      <w:r w:rsidRPr="003056DE">
        <w:rPr>
          <w:rFonts w:ascii="Franklin Gothic Book" w:hAnsi="Franklin Gothic Book"/>
        </w:rPr>
        <w:t>new soft tissue metastases on diagnostic CT as per RECIST criter</w:t>
      </w:r>
      <w:r w:rsidRPr="005B3A33">
        <w:rPr>
          <w:rFonts w:ascii="Franklin Gothic Book" w:hAnsi="Franklin Gothic Book"/>
        </w:rPr>
        <w:t>ia”</w:t>
      </w:r>
      <w:r w:rsidRPr="00FD06D9">
        <w:rPr>
          <w:rFonts w:ascii="Franklin Gothic Book" w:hAnsi="Franklin Gothic Book"/>
        </w:rPr>
        <w:t xml:space="preserve"> without assessment of existing sites of metastatic disease. RECIST 1.1 primary focus is on existing target and non-target lesions. Additionally, in both </w:t>
      </w:r>
      <w:proofErr w:type="spellStart"/>
      <w:r w:rsidRPr="00FD06D9">
        <w:rPr>
          <w:rFonts w:ascii="Franklin Gothic Book" w:hAnsi="Franklin Gothic Book"/>
        </w:rPr>
        <w:t>TheraP</w:t>
      </w:r>
      <w:proofErr w:type="spellEnd"/>
      <w:r w:rsidRPr="00FD06D9">
        <w:rPr>
          <w:rFonts w:ascii="Franklin Gothic Book" w:hAnsi="Franklin Gothic Book"/>
        </w:rPr>
        <w:t xml:space="preserve"> and VISION, bone scans and clinical progression were also used to assess disease progression. PCWG3 and the National Comprehensive Cancer Network (NCCN) also recommend histology to assess disease progression.</w:t>
      </w:r>
    </w:p>
    <w:p w14:paraId="17B9795C" w14:textId="719656B4" w:rsidR="001C7560" w:rsidRPr="00FD06D9" w:rsidRDefault="001C7560" w:rsidP="00CD5A4F">
      <w:pPr>
        <w:pStyle w:val="BodyText"/>
        <w:spacing w:line="22" w:lineRule="atLeast"/>
        <w:jc w:val="left"/>
        <w:rPr>
          <w:rFonts w:ascii="Franklin Gothic Book" w:hAnsi="Franklin Gothic Book"/>
        </w:rPr>
      </w:pPr>
      <w:r w:rsidRPr="00FD06D9">
        <w:rPr>
          <w:rFonts w:ascii="Franklin Gothic Book" w:hAnsi="Franklin Gothic Book"/>
        </w:rPr>
        <w:t>As for the item descriptor for initial treatment, the item descriptor for continuing treatment does not specify how often or when disease progression will be assessed.</w:t>
      </w:r>
    </w:p>
    <w:p w14:paraId="7D80609C" w14:textId="0C868405" w:rsidR="00D95D70" w:rsidRPr="00FD06D9" w:rsidRDefault="00D95D70" w:rsidP="00CD5A4F">
      <w:pPr>
        <w:keepLines/>
        <w:spacing w:before="0" w:after="120" w:line="22" w:lineRule="atLeast"/>
        <w:rPr>
          <w:rFonts w:eastAsia="Calibri" w:cs="Calibri"/>
        </w:rPr>
      </w:pPr>
      <w:r w:rsidRPr="00FD06D9">
        <w:rPr>
          <w:rFonts w:eastAsia="Calibri" w:cs="Calibri"/>
        </w:rPr>
        <w:t>Although SPECT/CT</w:t>
      </w:r>
      <w:r w:rsidR="0093273A">
        <w:rPr>
          <w:rFonts w:eastAsia="Calibri" w:cs="Calibri"/>
        </w:rPr>
        <w:t xml:space="preserve"> post therapy</w:t>
      </w:r>
      <w:r w:rsidRPr="00FD06D9">
        <w:rPr>
          <w:rFonts w:eastAsia="Calibri" w:cs="Calibri"/>
        </w:rPr>
        <w:t xml:space="preserve"> is required after each cycle to confirm ¹</w:t>
      </w:r>
      <w:r w:rsidRPr="00FD06D9">
        <w:rPr>
          <w:rFonts w:ascii="Arial" w:eastAsia="Calibri" w:hAnsi="Arial" w:cs="Arial"/>
        </w:rPr>
        <w:t>⁷⁷</w:t>
      </w:r>
      <w:r w:rsidRPr="00FD06D9">
        <w:rPr>
          <w:rFonts w:eastAsia="Calibri" w:cs="Calibri"/>
        </w:rPr>
        <w:t xml:space="preserve">Lu uptake at tumour sites, the item descriptor does not specify the role of SPECT/CT to determine the continuation of the treatment. </w:t>
      </w:r>
    </w:p>
    <w:p w14:paraId="7EDBBBC0" w14:textId="1F837D53" w:rsidR="00CE453D" w:rsidRPr="00FD06D9" w:rsidRDefault="00D95D70" w:rsidP="00CD5A4F">
      <w:pPr>
        <w:keepLines/>
        <w:spacing w:before="0" w:after="120" w:line="22" w:lineRule="atLeast"/>
        <w:rPr>
          <w:rFonts w:eastAsia="Calibri" w:cs="Calibri"/>
        </w:rPr>
      </w:pPr>
      <w:r w:rsidRPr="00FD06D9">
        <w:rPr>
          <w:rFonts w:eastAsia="Calibri" w:cs="Calibri"/>
        </w:rPr>
        <w:t>Additionally</w:t>
      </w:r>
      <w:r w:rsidR="00CE453D" w:rsidRPr="00FD06D9">
        <w:rPr>
          <w:rFonts w:eastAsia="Calibri" w:cs="Calibri"/>
        </w:rPr>
        <w:t xml:space="preserve">, it </w:t>
      </w:r>
      <w:r w:rsidRPr="00FD06D9">
        <w:rPr>
          <w:rFonts w:eastAsia="Calibri" w:cs="Calibri"/>
        </w:rPr>
        <w:t>is</w:t>
      </w:r>
      <w:r w:rsidR="00CE453D" w:rsidRPr="00FD06D9">
        <w:rPr>
          <w:rFonts w:eastAsia="Calibri" w:cs="Calibri"/>
        </w:rPr>
        <w:t xml:space="preserve"> unclear what will happen with patients who have complete response, partial response, or stable response and if the type of response will </w:t>
      </w:r>
      <w:r w:rsidR="00875516" w:rsidRPr="00FD06D9">
        <w:rPr>
          <w:rFonts w:eastAsia="Calibri" w:cs="Calibri"/>
        </w:rPr>
        <w:t xml:space="preserve">have </w:t>
      </w:r>
      <w:r w:rsidR="00CE453D" w:rsidRPr="00FD06D9">
        <w:rPr>
          <w:rFonts w:eastAsia="Calibri" w:cs="Calibri"/>
        </w:rPr>
        <w:t xml:space="preserve">an impact on the number of treatment cycles. For instance, according to the </w:t>
      </w:r>
      <w:proofErr w:type="spellStart"/>
      <w:r w:rsidR="00CE453D" w:rsidRPr="00FD06D9">
        <w:rPr>
          <w:rFonts w:eastAsia="Calibri" w:cs="Calibri"/>
        </w:rPr>
        <w:t>TheraP</w:t>
      </w:r>
      <w:proofErr w:type="spellEnd"/>
      <w:r w:rsidR="00CE453D" w:rsidRPr="00FD06D9">
        <w:rPr>
          <w:rFonts w:eastAsia="Calibri" w:cs="Calibri"/>
        </w:rPr>
        <w:t xml:space="preserve"> study, </w:t>
      </w:r>
      <w:r w:rsidR="00875516" w:rsidRPr="00FD06D9">
        <w:rPr>
          <w:rFonts w:eastAsia="Calibri" w:cs="Calibri"/>
          <w:vertAlign w:val="superscript"/>
        </w:rPr>
        <w:t>177</w:t>
      </w:r>
      <w:r w:rsidR="00CE453D" w:rsidRPr="00FD06D9">
        <w:rPr>
          <w:rFonts w:eastAsia="Calibri" w:cs="Calibri"/>
        </w:rPr>
        <w:t>Lu</w:t>
      </w:r>
      <w:r w:rsidR="009E1170">
        <w:rPr>
          <w:rFonts w:eastAsia="Calibri" w:cs="Calibri"/>
        </w:rPr>
        <w:t> </w:t>
      </w:r>
      <w:r w:rsidR="00CE453D" w:rsidRPr="00FD06D9">
        <w:rPr>
          <w:rFonts w:eastAsia="Calibri" w:cs="Calibri"/>
        </w:rPr>
        <w:t>PSMA</w:t>
      </w:r>
      <w:r w:rsidR="00B80F6C">
        <w:rPr>
          <w:rFonts w:eastAsia="Calibri" w:cs="Calibri"/>
        </w:rPr>
        <w:t>-617</w:t>
      </w:r>
      <w:r w:rsidR="00CE453D" w:rsidRPr="00FD06D9">
        <w:rPr>
          <w:rFonts w:eastAsia="Calibri" w:cs="Calibri"/>
        </w:rPr>
        <w:t xml:space="preserve"> treatment </w:t>
      </w:r>
      <w:r w:rsidRPr="00FD06D9">
        <w:rPr>
          <w:rFonts w:eastAsia="Calibri" w:cs="Calibri"/>
        </w:rPr>
        <w:t>could</w:t>
      </w:r>
      <w:r w:rsidR="00CE453D" w:rsidRPr="00FD06D9">
        <w:rPr>
          <w:rFonts w:eastAsia="Calibri" w:cs="Calibri"/>
        </w:rPr>
        <w:t xml:space="preserve"> be suspended in the following situations:</w:t>
      </w:r>
    </w:p>
    <w:p w14:paraId="4EBEA72A" w14:textId="6FFA52C8" w:rsidR="00CE453D" w:rsidRPr="00FD06D9" w:rsidRDefault="00CE453D" w:rsidP="00C7462B">
      <w:pPr>
        <w:keepLines/>
        <w:numPr>
          <w:ilvl w:val="0"/>
          <w:numId w:val="14"/>
        </w:numPr>
        <w:spacing w:before="0" w:after="120" w:line="22" w:lineRule="atLeast"/>
        <w:ind w:left="284" w:hanging="284"/>
        <w:rPr>
          <w:rFonts w:eastAsia="Calibri" w:cs="Calibri"/>
        </w:rPr>
      </w:pPr>
      <w:r w:rsidRPr="00FD06D9">
        <w:rPr>
          <w:rFonts w:eastAsia="Calibri" w:cs="Calibri"/>
        </w:rPr>
        <w:t>“The SPECT</w:t>
      </w:r>
      <w:r w:rsidR="00875516" w:rsidRPr="00FD06D9">
        <w:rPr>
          <w:rFonts w:eastAsia="Calibri" w:cs="Calibri"/>
        </w:rPr>
        <w:t>/</w:t>
      </w:r>
      <w:r w:rsidRPr="00FD06D9">
        <w:rPr>
          <w:rFonts w:eastAsia="Calibri" w:cs="Calibri"/>
        </w:rPr>
        <w:t>CT showed very low or no PSMA uptake at sites of metastatic disease (intensity less than physiological liver activity) on central review</w:t>
      </w:r>
      <w:r w:rsidR="005B3A33" w:rsidRPr="00FD06D9">
        <w:rPr>
          <w:rFonts w:eastAsia="Calibri" w:cs="Calibri"/>
        </w:rPr>
        <w:t>”</w:t>
      </w:r>
      <w:r w:rsidRPr="00FD06D9">
        <w:rPr>
          <w:rFonts w:eastAsia="Calibri" w:cs="Calibri"/>
        </w:rPr>
        <w:t xml:space="preserve"> (</w:t>
      </w:r>
      <w:proofErr w:type="spellStart"/>
      <w:r w:rsidRPr="00FD06D9">
        <w:rPr>
          <w:rFonts w:eastAsia="Calibri" w:cs="Calibri"/>
        </w:rPr>
        <w:t>TheraP</w:t>
      </w:r>
      <w:proofErr w:type="spellEnd"/>
      <w:r w:rsidRPr="00FD06D9">
        <w:rPr>
          <w:rFonts w:eastAsia="Calibri" w:cs="Calibri"/>
        </w:rPr>
        <w:t xml:space="preserve">, </w:t>
      </w:r>
      <w:proofErr w:type="spellStart"/>
      <w:r w:rsidRPr="00FD06D9">
        <w:rPr>
          <w:rFonts w:eastAsia="Calibri" w:cs="Calibri"/>
        </w:rPr>
        <w:t>Hofman</w:t>
      </w:r>
      <w:proofErr w:type="spellEnd"/>
      <w:r w:rsidRPr="00FD06D9">
        <w:rPr>
          <w:rFonts w:eastAsia="Calibri" w:cs="Calibri"/>
        </w:rPr>
        <w:t xml:space="preserve"> et al 2021 pp. 798-799).</w:t>
      </w:r>
    </w:p>
    <w:p w14:paraId="031FDE30" w14:textId="4415A19E" w:rsidR="00CE453D" w:rsidRPr="00FD06D9" w:rsidRDefault="00CE453D" w:rsidP="00C7462B">
      <w:pPr>
        <w:keepLines/>
        <w:numPr>
          <w:ilvl w:val="0"/>
          <w:numId w:val="14"/>
        </w:numPr>
        <w:spacing w:before="0" w:after="120"/>
        <w:ind w:left="284" w:hanging="284"/>
        <w:rPr>
          <w:rFonts w:eastAsia="Calibri" w:cs="Calibri"/>
        </w:rPr>
      </w:pPr>
      <w:r w:rsidRPr="00FD06D9">
        <w:rPr>
          <w:rFonts w:eastAsia="Calibri" w:cs="Calibri"/>
        </w:rPr>
        <w:lastRenderedPageBreak/>
        <w:t xml:space="preserve">Exceptional response to </w:t>
      </w:r>
      <w:r w:rsidRPr="00FD06D9">
        <w:rPr>
          <w:rFonts w:eastAsia="Calibri" w:cs="Calibri"/>
          <w:vertAlign w:val="superscript"/>
        </w:rPr>
        <w:t>177</w:t>
      </w:r>
      <w:r w:rsidRPr="00FD06D9">
        <w:rPr>
          <w:rFonts w:eastAsia="Calibri" w:cs="Calibri"/>
        </w:rPr>
        <w:t>Lu</w:t>
      </w:r>
      <w:r w:rsidR="004D19BD">
        <w:rPr>
          <w:rFonts w:eastAsia="Calibri" w:cs="Calibri"/>
        </w:rPr>
        <w:t> </w:t>
      </w:r>
      <w:r w:rsidRPr="00FD06D9">
        <w:rPr>
          <w:rFonts w:eastAsia="Calibri" w:cs="Calibri"/>
        </w:rPr>
        <w:t xml:space="preserve">PSMA-617. “An exceptional response is defined on the 24-h post treatment single-photon emission CT (SPECT)/CT as a marked reduction in uptake at all sites of disease with minimally avid or non-PSMA-avid disease. Patients who subsequently experience disease progression may be considered for re-treatment with </w:t>
      </w:r>
      <w:r w:rsidRPr="00FD06D9">
        <w:rPr>
          <w:rFonts w:eastAsia="Calibri" w:cs="Calibri"/>
          <w:vertAlign w:val="superscript"/>
        </w:rPr>
        <w:t>177</w:t>
      </w:r>
      <w:r w:rsidRPr="00FD06D9">
        <w:rPr>
          <w:rFonts w:eastAsia="Calibri" w:cs="Calibri"/>
        </w:rPr>
        <w:t>Lu</w:t>
      </w:r>
      <w:r w:rsidR="004D19BD">
        <w:rPr>
          <w:rFonts w:eastAsia="Calibri" w:cs="Calibri"/>
        </w:rPr>
        <w:t> </w:t>
      </w:r>
      <w:r w:rsidRPr="00FD06D9">
        <w:rPr>
          <w:rFonts w:eastAsia="Calibri" w:cs="Calibri"/>
        </w:rPr>
        <w:t>PSMA-617” (</w:t>
      </w:r>
      <w:bookmarkStart w:id="17" w:name="_Hlk129598580"/>
      <w:r w:rsidRPr="00FD06D9">
        <w:rPr>
          <w:rFonts w:eastAsia="Calibri" w:cs="Calibri"/>
        </w:rPr>
        <w:t>Clinical Trial Protocol ANZUP 1603, Hofman et al 2019, p.8</w:t>
      </w:r>
      <w:bookmarkEnd w:id="17"/>
      <w:r w:rsidRPr="00FD06D9">
        <w:rPr>
          <w:rFonts w:eastAsia="Calibri" w:cs="Calibri"/>
        </w:rPr>
        <w:t>).</w:t>
      </w:r>
    </w:p>
    <w:p w14:paraId="789B8870" w14:textId="77777777" w:rsidR="00CE453D" w:rsidRPr="00FD06D9" w:rsidRDefault="00CE453D" w:rsidP="00C7462B">
      <w:pPr>
        <w:keepLines/>
        <w:numPr>
          <w:ilvl w:val="0"/>
          <w:numId w:val="14"/>
        </w:numPr>
        <w:spacing w:before="0" w:after="120"/>
        <w:ind w:left="284" w:hanging="284"/>
        <w:rPr>
          <w:rFonts w:eastAsia="Calibri" w:cs="Calibri"/>
        </w:rPr>
      </w:pPr>
      <w:r w:rsidRPr="00FD06D9">
        <w:rPr>
          <w:rFonts w:eastAsia="Calibri" w:cs="Calibri"/>
        </w:rPr>
        <w:t xml:space="preserve">Adverse events of severity grade 3–4, </w:t>
      </w:r>
      <w:proofErr w:type="gramStart"/>
      <w:r w:rsidRPr="00FD06D9">
        <w:rPr>
          <w:rFonts w:eastAsia="Calibri" w:cs="Calibri"/>
        </w:rPr>
        <w:t>with the exception of</w:t>
      </w:r>
      <w:proofErr w:type="gramEnd"/>
      <w:r w:rsidRPr="00FD06D9">
        <w:rPr>
          <w:rFonts w:eastAsia="Calibri" w:cs="Calibri"/>
        </w:rPr>
        <w:t xml:space="preserve"> fatigue or </w:t>
      </w:r>
      <w:proofErr w:type="spellStart"/>
      <w:r w:rsidRPr="00FD06D9">
        <w:rPr>
          <w:rFonts w:eastAsia="Calibri" w:cs="Calibri"/>
        </w:rPr>
        <w:t>lymphocytopaenia</w:t>
      </w:r>
      <w:proofErr w:type="spellEnd"/>
      <w:r w:rsidRPr="00FD06D9">
        <w:rPr>
          <w:rFonts w:eastAsia="Calibri" w:cs="Calibri"/>
        </w:rPr>
        <w:t>, and not restarted until the adverse event has resolved to grade 0–2 (Clinical Trial Protocol ANZUP 1603, Hofman et al 2019, p.8)</w:t>
      </w:r>
    </w:p>
    <w:p w14:paraId="01CE28F4" w14:textId="0CE5F3AF" w:rsidR="00CE453D" w:rsidRPr="00FD06D9" w:rsidRDefault="00CE453D" w:rsidP="00CD5A4F">
      <w:pPr>
        <w:keepLines/>
        <w:spacing w:before="0" w:after="120"/>
        <w:rPr>
          <w:rFonts w:eastAsia="Calibri" w:cs="Calibri"/>
        </w:rPr>
      </w:pPr>
      <w:r w:rsidRPr="00FD06D9">
        <w:rPr>
          <w:rFonts w:eastAsia="Calibri" w:cs="Calibri"/>
        </w:rPr>
        <w:t xml:space="preserve">In case of treatment suspension patients could recommence </w:t>
      </w:r>
      <w:r w:rsidRPr="00FD06D9">
        <w:rPr>
          <w:rFonts w:eastAsia="Calibri" w:cs="Calibri"/>
          <w:vertAlign w:val="superscript"/>
        </w:rPr>
        <w:t>177</w:t>
      </w:r>
      <w:r w:rsidRPr="00FD06D9">
        <w:rPr>
          <w:rFonts w:eastAsia="Calibri" w:cs="Calibri"/>
        </w:rPr>
        <w:t>Lu</w:t>
      </w:r>
      <w:r w:rsidR="008118F6">
        <w:rPr>
          <w:rFonts w:eastAsia="Calibri" w:cs="Calibri"/>
        </w:rPr>
        <w:t> </w:t>
      </w:r>
      <w:r w:rsidRPr="00FD06D9">
        <w:rPr>
          <w:rFonts w:eastAsia="Calibri" w:cs="Calibri"/>
        </w:rPr>
        <w:t>PSMA</w:t>
      </w:r>
      <w:r w:rsidR="008118F6">
        <w:rPr>
          <w:rFonts w:eastAsia="Calibri" w:cs="Calibri"/>
        </w:rPr>
        <w:t>-617</w:t>
      </w:r>
      <w:r w:rsidRPr="00FD06D9">
        <w:rPr>
          <w:rFonts w:eastAsia="Calibri" w:cs="Calibri"/>
        </w:rPr>
        <w:t xml:space="preserve"> treatment “at symptomatic progression, PSA progression, or radiological progression if patients had received fewer than six cycles and repeat imaging with [</w:t>
      </w:r>
      <w:r w:rsidRPr="00FD06D9">
        <w:rPr>
          <w:rFonts w:ascii="Arial" w:eastAsia="Calibri" w:hAnsi="Arial" w:cs="Arial"/>
        </w:rPr>
        <w:t>⁶⁸</w:t>
      </w:r>
      <w:r w:rsidRPr="00FD06D9">
        <w:rPr>
          <w:rFonts w:eastAsia="Calibri" w:cs="Calibri"/>
        </w:rPr>
        <w:t>Ga]Ga-PSMA-11 and 2-[</w:t>
      </w:r>
      <w:r w:rsidRPr="00FD06D9">
        <w:rPr>
          <w:rFonts w:eastAsia="Calibri" w:cs="Franklin Gothic Book"/>
        </w:rPr>
        <w:t>¹</w:t>
      </w:r>
      <w:r w:rsidRPr="00FD06D9">
        <w:rPr>
          <w:rFonts w:ascii="Arial" w:eastAsia="Calibri" w:hAnsi="Arial" w:cs="Arial"/>
        </w:rPr>
        <w:t>⁸</w:t>
      </w:r>
      <w:r w:rsidRPr="00FD06D9">
        <w:rPr>
          <w:rFonts w:eastAsia="Calibri" w:cs="Calibri"/>
        </w:rPr>
        <w:t>F]FDG PET-CT met the criteria for PET scan eligibility</w:t>
      </w:r>
      <w:r w:rsidRPr="00FD06D9">
        <w:rPr>
          <w:rFonts w:eastAsia="Calibri" w:cs="Franklin Gothic Book"/>
        </w:rPr>
        <w:t>”</w:t>
      </w:r>
      <w:r w:rsidRPr="00FD06D9">
        <w:rPr>
          <w:rFonts w:eastAsia="Calibri" w:cs="Calibri"/>
        </w:rPr>
        <w:t xml:space="preserve"> (</w:t>
      </w:r>
      <w:proofErr w:type="spellStart"/>
      <w:r w:rsidRPr="00FD06D9">
        <w:rPr>
          <w:rFonts w:eastAsia="Calibri" w:cs="Calibri"/>
        </w:rPr>
        <w:t>TheraP</w:t>
      </w:r>
      <w:proofErr w:type="spellEnd"/>
      <w:r w:rsidRPr="00FD06D9">
        <w:rPr>
          <w:rFonts w:eastAsia="Calibri" w:cs="Calibri"/>
        </w:rPr>
        <w:t xml:space="preserve">, </w:t>
      </w:r>
      <w:proofErr w:type="spellStart"/>
      <w:r w:rsidRPr="00FD06D9">
        <w:rPr>
          <w:rFonts w:eastAsia="Calibri" w:cs="Calibri"/>
        </w:rPr>
        <w:t>Hofman</w:t>
      </w:r>
      <w:proofErr w:type="spellEnd"/>
      <w:r w:rsidRPr="00FD06D9">
        <w:rPr>
          <w:rFonts w:eastAsia="Calibri" w:cs="Calibri"/>
        </w:rPr>
        <w:t xml:space="preserve"> et al 2021 p.799; Clinical Trial Protocol ANZUP 1603, Hofman et al 2019, p.8).</w:t>
      </w:r>
    </w:p>
    <w:p w14:paraId="5D05D136" w14:textId="67300FAA" w:rsidR="00CE453D" w:rsidRPr="00FD06D9" w:rsidRDefault="00CE453D" w:rsidP="00875516">
      <w:pPr>
        <w:keepLines/>
        <w:spacing w:before="0" w:after="120"/>
        <w:rPr>
          <w:rFonts w:eastAsia="Calibri" w:cs="Calibri"/>
        </w:rPr>
      </w:pPr>
      <w:r w:rsidRPr="00FD06D9">
        <w:rPr>
          <w:rFonts w:eastAsia="Calibri" w:cs="Calibri"/>
          <w:lang w:val="en-US"/>
        </w:rPr>
        <w:t xml:space="preserve">Emmett et al 2023 also suggested a break in treatment in case of marked reduction (50% in PSA and imaging-PR) until subsequent PSA rise, then consider re-treatment. Median treatment break was 6.1 months (IQR 3.4-8.7). </w:t>
      </w:r>
    </w:p>
    <w:p w14:paraId="0F37A7F7" w14:textId="6CC22669" w:rsidR="00CE453D" w:rsidRPr="00AB49AA" w:rsidRDefault="00CE453D" w:rsidP="00CD5A4F">
      <w:pPr>
        <w:keepLines/>
        <w:spacing w:before="0" w:after="120"/>
        <w:rPr>
          <w:rFonts w:eastAsia="Calibri" w:cs="Calibri"/>
        </w:rPr>
      </w:pPr>
      <w:proofErr w:type="gramStart"/>
      <w:r w:rsidRPr="00AB49AA">
        <w:rPr>
          <w:rFonts w:eastAsia="Calibri" w:cs="Calibri"/>
        </w:rPr>
        <w:t>Overall</w:t>
      </w:r>
      <w:proofErr w:type="gramEnd"/>
      <w:r w:rsidR="00EA133D" w:rsidRPr="00AB49AA">
        <w:rPr>
          <w:rFonts w:eastAsia="Calibri" w:cs="Calibri"/>
        </w:rPr>
        <w:t xml:space="preserve"> the commentary considered:</w:t>
      </w:r>
    </w:p>
    <w:p w14:paraId="653358EA" w14:textId="1364A440" w:rsidR="00CE453D" w:rsidRPr="00AB49AA" w:rsidRDefault="00CE453D" w:rsidP="00C11412">
      <w:pPr>
        <w:keepLines/>
        <w:spacing w:before="0" w:after="120"/>
        <w:ind w:left="284" w:hanging="284"/>
        <w:rPr>
          <w:rFonts w:eastAsia="Calibri" w:cs="Calibri"/>
        </w:rPr>
      </w:pPr>
      <w:r w:rsidRPr="00AB49AA">
        <w:rPr>
          <w:rFonts w:eastAsia="Calibri" w:cs="Calibri"/>
        </w:rPr>
        <w:t>1.</w:t>
      </w:r>
      <w:r w:rsidRPr="00AB49AA">
        <w:rPr>
          <w:rFonts w:eastAsia="Calibri" w:cs="Calibri"/>
        </w:rPr>
        <w:tab/>
      </w:r>
      <w:r w:rsidR="00D95D70" w:rsidRPr="00AB49AA">
        <w:rPr>
          <w:rFonts w:eastAsia="Calibri" w:cs="Calibri"/>
        </w:rPr>
        <w:t>The d</w:t>
      </w:r>
      <w:r w:rsidRPr="00AB49AA">
        <w:rPr>
          <w:rFonts w:eastAsia="Calibri" w:cs="Calibri"/>
        </w:rPr>
        <w:t xml:space="preserve">efinition of </w:t>
      </w:r>
      <w:proofErr w:type="spellStart"/>
      <w:r w:rsidRPr="00AB49AA">
        <w:rPr>
          <w:rFonts w:eastAsia="Calibri" w:cs="Calibri"/>
        </w:rPr>
        <w:t>mCRPC</w:t>
      </w:r>
      <w:proofErr w:type="spellEnd"/>
      <w:r w:rsidRPr="00AB49AA">
        <w:rPr>
          <w:rFonts w:eastAsia="Calibri" w:cs="Calibri"/>
        </w:rPr>
        <w:t xml:space="preserve"> disease progression remains uncertain with respect to the inclusion of clinical progression, histology, and bone lesions assessment</w:t>
      </w:r>
      <w:r w:rsidR="00D95D70" w:rsidRPr="00AB49AA">
        <w:rPr>
          <w:rFonts w:eastAsia="Calibri" w:cs="Calibri"/>
        </w:rPr>
        <w:t>.</w:t>
      </w:r>
    </w:p>
    <w:p w14:paraId="7DE6ECF5" w14:textId="446E7809" w:rsidR="00CE453D" w:rsidRPr="00AB49AA" w:rsidRDefault="00CE453D" w:rsidP="00CD5A4F">
      <w:pPr>
        <w:keepLines/>
        <w:spacing w:before="0" w:after="120"/>
        <w:ind w:left="284" w:hanging="284"/>
        <w:rPr>
          <w:rFonts w:eastAsia="Calibri" w:cs="Calibri"/>
        </w:rPr>
      </w:pPr>
      <w:r w:rsidRPr="00AB49AA">
        <w:rPr>
          <w:rFonts w:eastAsia="Calibri" w:cs="Calibri"/>
        </w:rPr>
        <w:t>2.</w:t>
      </w:r>
      <w:r w:rsidRPr="00AB49AA">
        <w:rPr>
          <w:rFonts w:eastAsia="Calibri" w:cs="Calibri"/>
        </w:rPr>
        <w:tab/>
      </w:r>
      <w:r w:rsidR="00D95D70" w:rsidRPr="00AB49AA">
        <w:rPr>
          <w:rFonts w:eastAsia="Calibri" w:cs="Calibri"/>
        </w:rPr>
        <w:t>The d</w:t>
      </w:r>
      <w:r w:rsidRPr="00AB49AA">
        <w:rPr>
          <w:rFonts w:eastAsia="Calibri" w:cs="Calibri"/>
        </w:rPr>
        <w:t xml:space="preserve">efinition of PSA progression is not </w:t>
      </w:r>
      <w:r w:rsidR="00D95D70" w:rsidRPr="00AB49AA">
        <w:rPr>
          <w:rFonts w:eastAsia="Calibri" w:cs="Calibri"/>
        </w:rPr>
        <w:t>entirely consistent</w:t>
      </w:r>
      <w:r w:rsidRPr="00AB49AA">
        <w:rPr>
          <w:rFonts w:eastAsia="Calibri" w:cs="Calibri"/>
        </w:rPr>
        <w:t xml:space="preserve"> with the PCWG3 and </w:t>
      </w:r>
      <w:r w:rsidR="00D95D70" w:rsidRPr="00AB49AA">
        <w:rPr>
          <w:rFonts w:eastAsia="Calibri" w:cs="Calibri"/>
        </w:rPr>
        <w:t>NCCN</w:t>
      </w:r>
      <w:r w:rsidRPr="00AB49AA">
        <w:rPr>
          <w:rFonts w:eastAsia="Calibri" w:cs="Calibri"/>
        </w:rPr>
        <w:t xml:space="preserve"> definition.</w:t>
      </w:r>
    </w:p>
    <w:p w14:paraId="499FB591" w14:textId="4C8B650D" w:rsidR="00CE453D" w:rsidRPr="00AB49AA" w:rsidRDefault="00CE453D" w:rsidP="00CD5A4F">
      <w:pPr>
        <w:keepLines/>
        <w:spacing w:before="0" w:after="120"/>
        <w:ind w:left="284" w:hanging="284"/>
        <w:rPr>
          <w:rFonts w:eastAsia="Calibri" w:cs="Calibri"/>
        </w:rPr>
      </w:pPr>
      <w:r w:rsidRPr="00AB49AA">
        <w:rPr>
          <w:rFonts w:eastAsia="Calibri" w:cs="Calibri"/>
        </w:rPr>
        <w:t>3.</w:t>
      </w:r>
      <w:r w:rsidRPr="00AB49AA">
        <w:rPr>
          <w:rFonts w:eastAsia="Calibri" w:cs="Calibri"/>
        </w:rPr>
        <w:tab/>
        <w:t xml:space="preserve">Frequency of diagnostic workup and timing to assess the disease progression </w:t>
      </w:r>
      <w:r w:rsidR="00D95D70" w:rsidRPr="00AB49AA">
        <w:rPr>
          <w:rFonts w:eastAsia="Calibri" w:cs="Calibri"/>
        </w:rPr>
        <w:t>is</w:t>
      </w:r>
      <w:r w:rsidRPr="00AB49AA">
        <w:rPr>
          <w:rFonts w:eastAsia="Calibri" w:cs="Calibri"/>
        </w:rPr>
        <w:t xml:space="preserve"> uncertain. </w:t>
      </w:r>
    </w:p>
    <w:p w14:paraId="0F055D16" w14:textId="29FF7AC1" w:rsidR="00CE453D" w:rsidRPr="00AB49AA" w:rsidRDefault="00D95D70" w:rsidP="00CD5A4F">
      <w:pPr>
        <w:keepLines/>
        <w:spacing w:before="0" w:after="120"/>
        <w:rPr>
          <w:rFonts w:eastAsia="Calibri" w:cs="Calibri"/>
        </w:rPr>
      </w:pPr>
      <w:r w:rsidRPr="00AB49AA">
        <w:rPr>
          <w:rFonts w:eastAsia="Calibri" w:cs="Calibri"/>
        </w:rPr>
        <w:t>Consideration of</w:t>
      </w:r>
      <w:r w:rsidR="00CE453D" w:rsidRPr="00AB49AA">
        <w:rPr>
          <w:rFonts w:eastAsia="Calibri" w:cs="Calibri"/>
        </w:rPr>
        <w:t xml:space="preserve"> whether the item descriptor should specify</w:t>
      </w:r>
      <w:r w:rsidRPr="00AB49AA">
        <w:rPr>
          <w:rFonts w:eastAsia="Calibri" w:cs="Calibri"/>
        </w:rPr>
        <w:t xml:space="preserve"> the following is required</w:t>
      </w:r>
      <w:r w:rsidR="00CE453D" w:rsidRPr="00AB49AA">
        <w:rPr>
          <w:rFonts w:eastAsia="Calibri" w:cs="Calibri"/>
        </w:rPr>
        <w:t>:</w:t>
      </w:r>
    </w:p>
    <w:p w14:paraId="5BD0CD90" w14:textId="6F487FEE" w:rsidR="00CE453D" w:rsidRPr="00AB49AA" w:rsidRDefault="00CE453D" w:rsidP="00C7462B">
      <w:pPr>
        <w:keepLines/>
        <w:numPr>
          <w:ilvl w:val="0"/>
          <w:numId w:val="15"/>
        </w:numPr>
        <w:spacing w:before="0" w:after="120"/>
        <w:ind w:left="284" w:hanging="284"/>
        <w:rPr>
          <w:rFonts w:eastAsia="Calibri" w:cs="Calibri"/>
        </w:rPr>
      </w:pPr>
      <w:r w:rsidRPr="00AB49AA">
        <w:rPr>
          <w:rFonts w:eastAsia="Calibri" w:cs="Calibri"/>
        </w:rPr>
        <w:t>the inclusion of Lu</w:t>
      </w:r>
      <w:r w:rsidR="004D19BD">
        <w:rPr>
          <w:rFonts w:eastAsia="Calibri" w:cs="Calibri"/>
        </w:rPr>
        <w:t> </w:t>
      </w:r>
      <w:r w:rsidRPr="00AB49AA">
        <w:rPr>
          <w:rFonts w:eastAsia="Calibri" w:cs="Calibri"/>
        </w:rPr>
        <w:t xml:space="preserve">PSMA SPECT/CT as one of </w:t>
      </w:r>
      <w:r w:rsidR="000768DA" w:rsidRPr="00AB49AA">
        <w:rPr>
          <w:rFonts w:eastAsia="Calibri" w:cs="Calibri"/>
        </w:rPr>
        <w:t xml:space="preserve">the </w:t>
      </w:r>
      <w:r w:rsidRPr="00AB49AA">
        <w:rPr>
          <w:rFonts w:eastAsia="Calibri" w:cs="Calibri"/>
        </w:rPr>
        <w:t>criteria for continuing treatment,</w:t>
      </w:r>
    </w:p>
    <w:p w14:paraId="746AEC78" w14:textId="77777777" w:rsidR="00CE453D" w:rsidRPr="00AB49AA" w:rsidRDefault="00CE453D" w:rsidP="00C7462B">
      <w:pPr>
        <w:keepLines/>
        <w:numPr>
          <w:ilvl w:val="0"/>
          <w:numId w:val="15"/>
        </w:numPr>
        <w:spacing w:before="0" w:after="120"/>
        <w:ind w:left="284" w:hanging="284"/>
        <w:rPr>
          <w:rFonts w:eastAsia="Calibri" w:cs="Calibri"/>
        </w:rPr>
      </w:pPr>
      <w:r w:rsidRPr="00AB49AA">
        <w:rPr>
          <w:rFonts w:eastAsia="Calibri" w:cs="Calibri"/>
        </w:rPr>
        <w:t xml:space="preserve">the inclusion of evidence of target and non-target existing soft tissue lesions in addition to the new soft tissue lesions. </w:t>
      </w:r>
    </w:p>
    <w:p w14:paraId="44FEABA8" w14:textId="77777777" w:rsidR="00CE453D" w:rsidRPr="00AB49AA" w:rsidRDefault="00CE453D" w:rsidP="00C7462B">
      <w:pPr>
        <w:keepLines/>
        <w:numPr>
          <w:ilvl w:val="0"/>
          <w:numId w:val="15"/>
        </w:numPr>
        <w:spacing w:before="0" w:after="120"/>
        <w:ind w:left="284" w:hanging="284"/>
        <w:rPr>
          <w:rFonts w:eastAsia="Calibri" w:cs="Calibri"/>
        </w:rPr>
      </w:pPr>
      <w:r w:rsidRPr="00AB49AA">
        <w:rPr>
          <w:rFonts w:eastAsia="Calibri" w:cs="Calibri"/>
        </w:rPr>
        <w:t>the type of CT imaging,</w:t>
      </w:r>
    </w:p>
    <w:p w14:paraId="790C33CE" w14:textId="77777777" w:rsidR="00CE453D" w:rsidRPr="00AB49AA" w:rsidRDefault="00CE453D" w:rsidP="00C7462B">
      <w:pPr>
        <w:keepLines/>
        <w:numPr>
          <w:ilvl w:val="0"/>
          <w:numId w:val="15"/>
        </w:numPr>
        <w:spacing w:before="0" w:after="120"/>
        <w:ind w:left="284" w:hanging="284"/>
        <w:rPr>
          <w:rFonts w:eastAsia="Calibri" w:cs="Calibri"/>
        </w:rPr>
      </w:pPr>
      <w:r w:rsidRPr="00AB49AA">
        <w:rPr>
          <w:rFonts w:eastAsia="Calibri" w:cs="Calibri"/>
        </w:rPr>
        <w:t>criteria of continuing treatment for patients with the exceptional response, especially if they can recommence the treatment on their progression based on the criteria of disease progression for continuing treatment.</w:t>
      </w:r>
    </w:p>
    <w:p w14:paraId="642C55A1" w14:textId="77777777" w:rsidR="00CE453D" w:rsidRPr="00AB49AA" w:rsidRDefault="00CE453D" w:rsidP="00C7462B">
      <w:pPr>
        <w:keepLines/>
        <w:numPr>
          <w:ilvl w:val="0"/>
          <w:numId w:val="15"/>
        </w:numPr>
        <w:spacing w:before="0" w:after="120"/>
        <w:ind w:left="284" w:hanging="284"/>
        <w:rPr>
          <w:rFonts w:eastAsia="Calibri" w:cs="Calibri"/>
        </w:rPr>
      </w:pPr>
      <w:r w:rsidRPr="00AB49AA">
        <w:rPr>
          <w:rFonts w:eastAsia="Calibri" w:cs="Calibri"/>
        </w:rPr>
        <w:t xml:space="preserve">criteria of continuing treatment for patients with complete, </w:t>
      </w:r>
      <w:proofErr w:type="gramStart"/>
      <w:r w:rsidRPr="00AB49AA">
        <w:rPr>
          <w:rFonts w:eastAsia="Calibri" w:cs="Calibri"/>
        </w:rPr>
        <w:t>partial</w:t>
      </w:r>
      <w:proofErr w:type="gramEnd"/>
      <w:r w:rsidRPr="00AB49AA">
        <w:rPr>
          <w:rFonts w:eastAsia="Calibri" w:cs="Calibri"/>
        </w:rPr>
        <w:t xml:space="preserve"> or stable response.</w:t>
      </w:r>
    </w:p>
    <w:p w14:paraId="13DDDBA1" w14:textId="77777777" w:rsidR="00CE453D" w:rsidRPr="00AB49AA" w:rsidRDefault="00CE453D" w:rsidP="00C7462B">
      <w:pPr>
        <w:keepLines/>
        <w:numPr>
          <w:ilvl w:val="0"/>
          <w:numId w:val="15"/>
        </w:numPr>
        <w:spacing w:before="0" w:after="120"/>
        <w:ind w:left="284" w:hanging="284"/>
        <w:rPr>
          <w:rFonts w:eastAsia="Calibri" w:cs="Calibri"/>
        </w:rPr>
      </w:pPr>
      <w:r w:rsidRPr="00AB49AA">
        <w:rPr>
          <w:rFonts w:eastAsia="Calibri" w:cs="Calibri"/>
        </w:rPr>
        <w:t>criteria of treatment suspension and consequently recommencement of treatment.</w:t>
      </w:r>
    </w:p>
    <w:p w14:paraId="34E0B08F" w14:textId="7DE948EE" w:rsidR="00772829" w:rsidRDefault="00C7462B" w:rsidP="00C7462B">
      <w:pPr>
        <w:pStyle w:val="ESHeading1"/>
        <w:numPr>
          <w:ilvl w:val="0"/>
          <w:numId w:val="0"/>
        </w:numPr>
        <w:spacing w:before="360"/>
        <w:ind w:hanging="74"/>
      </w:pPr>
      <w:r>
        <w:t>7</w:t>
      </w:r>
      <w:r w:rsidR="00C36633">
        <w:t>.</w:t>
      </w:r>
      <w:r w:rsidR="00C36633">
        <w:tab/>
      </w:r>
      <w:r w:rsidR="00772829" w:rsidRPr="00CE28E3">
        <w:t>Population</w:t>
      </w:r>
      <w:bookmarkEnd w:id="10"/>
    </w:p>
    <w:p w14:paraId="3D059539" w14:textId="77777777" w:rsidR="00CD5D29" w:rsidRPr="006245F0" w:rsidRDefault="00CD5D29" w:rsidP="00D95D70">
      <w:pPr>
        <w:keepNext/>
        <w:contextualSpacing/>
      </w:pPr>
      <w:r w:rsidRPr="006245F0">
        <w:t>Patients who have:</w:t>
      </w:r>
    </w:p>
    <w:p w14:paraId="1A3A7AFC" w14:textId="0136FF01" w:rsidR="00CD5D29" w:rsidRPr="006245F0" w:rsidRDefault="00CD5D29" w:rsidP="00D95D70">
      <w:pPr>
        <w:tabs>
          <w:tab w:val="left" w:pos="284"/>
        </w:tabs>
        <w:contextualSpacing/>
      </w:pPr>
      <w:r w:rsidRPr="006245F0">
        <w:t>•</w:t>
      </w:r>
      <w:r w:rsidRPr="006245F0">
        <w:tab/>
        <w:t>progressive or symptomatic metastatic castrate resistant prostate cancer (</w:t>
      </w:r>
      <w:proofErr w:type="spellStart"/>
      <w:r w:rsidRPr="006245F0">
        <w:t>mCRPC</w:t>
      </w:r>
      <w:proofErr w:type="spellEnd"/>
      <w:r w:rsidRPr="006245F0">
        <w:t>), AND</w:t>
      </w:r>
    </w:p>
    <w:p w14:paraId="508CCFC4" w14:textId="6D1311F4" w:rsidR="00CD5D29" w:rsidRPr="006245F0" w:rsidRDefault="00CD5D29" w:rsidP="00D95D70">
      <w:pPr>
        <w:tabs>
          <w:tab w:val="left" w:pos="284"/>
        </w:tabs>
        <w:contextualSpacing/>
      </w:pPr>
      <w:r w:rsidRPr="006245F0">
        <w:t>•</w:t>
      </w:r>
      <w:r w:rsidRPr="006245F0">
        <w:tab/>
        <w:t>received:</w:t>
      </w:r>
    </w:p>
    <w:p w14:paraId="450B7136" w14:textId="7A1C0B0D" w:rsidR="00CD5D29" w:rsidRPr="006245F0" w:rsidRDefault="00CD5D29" w:rsidP="00D95D70">
      <w:pPr>
        <w:ind w:left="567" w:hanging="283"/>
        <w:contextualSpacing/>
      </w:pPr>
      <w:r w:rsidRPr="006245F0">
        <w:t>-</w:t>
      </w:r>
      <w:r w:rsidRPr="006245F0">
        <w:tab/>
        <w:t xml:space="preserve">at least one ASI (abiraterone / enzalutamide / </w:t>
      </w:r>
      <w:proofErr w:type="spellStart"/>
      <w:r w:rsidRPr="006245F0">
        <w:t>darolutamide</w:t>
      </w:r>
      <w:proofErr w:type="spellEnd"/>
      <w:r w:rsidRPr="006245F0">
        <w:t xml:space="preserve"> via PBS/RPBS), AND</w:t>
      </w:r>
    </w:p>
    <w:p w14:paraId="002AF82F" w14:textId="736147E8" w:rsidR="00CD5D29" w:rsidRPr="006245F0" w:rsidRDefault="00CD5D29" w:rsidP="00D95D70">
      <w:pPr>
        <w:ind w:left="567" w:hanging="283"/>
        <w:contextualSpacing/>
      </w:pPr>
      <w:r w:rsidRPr="006245F0">
        <w:t>-</w:t>
      </w:r>
      <w:r w:rsidRPr="006245F0">
        <w:tab/>
        <w:t>at least one line of chemotherapy (docetaxel +/- cabazitaxel via PBS/RPBS)</w:t>
      </w:r>
      <w:r w:rsidR="007302FA" w:rsidRPr="006245F0">
        <w:t>.</w:t>
      </w:r>
    </w:p>
    <w:p w14:paraId="4457F343" w14:textId="77777777" w:rsidR="00CD5D29" w:rsidRPr="006245F0" w:rsidRDefault="00CD5D29" w:rsidP="00741CB2">
      <w:pPr>
        <w:keepNext/>
        <w:spacing w:after="0" w:line="240" w:lineRule="auto"/>
      </w:pPr>
      <w:r w:rsidRPr="006245F0">
        <w:rPr>
          <w:u w:val="single"/>
        </w:rPr>
        <w:t>Diagnostic test 1</w:t>
      </w:r>
      <w:r w:rsidRPr="006245F0">
        <w:t>: PSMA PET/CT</w:t>
      </w:r>
    </w:p>
    <w:p w14:paraId="47A93FFA" w14:textId="0FA4A977" w:rsidR="00CD5D29" w:rsidRPr="006245F0" w:rsidRDefault="00CD5D29" w:rsidP="00741CB2">
      <w:pPr>
        <w:spacing w:before="0"/>
      </w:pPr>
      <w:r w:rsidRPr="006245F0">
        <w:rPr>
          <w:i/>
          <w:iCs/>
        </w:rPr>
        <w:t>If positive</w:t>
      </w:r>
      <w:r w:rsidRPr="006245F0">
        <w:t xml:space="preserve"> (</w:t>
      </w:r>
      <w:proofErr w:type="spellStart"/>
      <w:r w:rsidRPr="006245F0">
        <w:t>SUV</w:t>
      </w:r>
      <w:r w:rsidRPr="006245F0">
        <w:rPr>
          <w:vertAlign w:val="subscript"/>
        </w:rPr>
        <w:t>max</w:t>
      </w:r>
      <w:proofErr w:type="spellEnd"/>
      <w:r w:rsidRPr="006245F0">
        <w:t xml:space="preserve"> of &gt;15 at </w:t>
      </w:r>
      <w:r w:rsidRPr="006245F0">
        <w:rPr>
          <w:rFonts w:cs="Calibri"/>
        </w:rPr>
        <w:t>≥</w:t>
      </w:r>
      <w:r w:rsidRPr="006245F0">
        <w:t xml:space="preserve">1 disease site </w:t>
      </w:r>
      <w:r w:rsidRPr="006245F0">
        <w:rPr>
          <w:i/>
          <w:iCs/>
        </w:rPr>
        <w:t>AND</w:t>
      </w:r>
      <w:r w:rsidRPr="006245F0">
        <w:t xml:space="preserve"> </w:t>
      </w:r>
      <w:proofErr w:type="spellStart"/>
      <w:r w:rsidRPr="006245F0">
        <w:t>SUV</w:t>
      </w:r>
      <w:r w:rsidRPr="006245F0">
        <w:rPr>
          <w:vertAlign w:val="subscript"/>
        </w:rPr>
        <w:t>max</w:t>
      </w:r>
      <w:proofErr w:type="spellEnd"/>
      <w:r w:rsidRPr="006245F0">
        <w:t xml:space="preserve"> &gt;10 at all measurable sites)</w:t>
      </w:r>
      <w:r w:rsidR="00DF5994" w:rsidRPr="006245F0">
        <w:t xml:space="preserve"> and</w:t>
      </w:r>
      <w:r w:rsidRPr="006245F0">
        <w:t xml:space="preserve"> adequate marrow/liver/renal function</w:t>
      </w:r>
      <w:r w:rsidR="00DF5994" w:rsidRPr="006245F0">
        <w:t>, patients</w:t>
      </w:r>
      <w:r w:rsidRPr="006245F0">
        <w:t xml:space="preserve"> are </w:t>
      </w:r>
      <w:r w:rsidR="00DF5994" w:rsidRPr="006245F0">
        <w:t xml:space="preserve">then </w:t>
      </w:r>
      <w:r w:rsidRPr="006245F0">
        <w:t>eligible for</w:t>
      </w:r>
    </w:p>
    <w:p w14:paraId="43083FA6" w14:textId="77777777" w:rsidR="00CD5D29" w:rsidRPr="006245F0" w:rsidRDefault="00CD5D29" w:rsidP="00DF5994">
      <w:pPr>
        <w:keepNext/>
        <w:spacing w:after="0" w:line="240" w:lineRule="auto"/>
      </w:pPr>
      <w:r w:rsidRPr="006245F0">
        <w:rPr>
          <w:u w:val="single"/>
        </w:rPr>
        <w:lastRenderedPageBreak/>
        <w:t>Therapeutic intervention</w:t>
      </w:r>
      <w:r w:rsidRPr="006245F0">
        <w:t>:</w:t>
      </w:r>
    </w:p>
    <w:p w14:paraId="2E7E9760" w14:textId="1E3468E2" w:rsidR="00CD5D29" w:rsidRDefault="009F77AC">
      <w:pPr>
        <w:pStyle w:val="ListParagraph"/>
        <w:numPr>
          <w:ilvl w:val="0"/>
          <w:numId w:val="10"/>
        </w:numPr>
        <w:spacing w:before="0" w:after="0" w:line="240" w:lineRule="auto"/>
      </w:pPr>
      <w:r w:rsidRPr="00307387">
        <w:rPr>
          <w:vertAlign w:val="superscript"/>
        </w:rPr>
        <w:t>177</w:t>
      </w:r>
      <w:r>
        <w:t>Lu PSMA </w:t>
      </w:r>
      <w:proofErr w:type="spellStart"/>
      <w:r>
        <w:t>i&amp;</w:t>
      </w:r>
      <w:proofErr w:type="gramStart"/>
      <w:r>
        <w:t>t</w:t>
      </w:r>
      <w:proofErr w:type="spellEnd"/>
      <w:r w:rsidRPr="006245F0" w:rsidDel="009F77AC">
        <w:rPr>
          <w:vertAlign w:val="superscript"/>
        </w:rPr>
        <w:t xml:space="preserve"> </w:t>
      </w:r>
      <w:r w:rsidR="00CD5D29" w:rsidRPr="006245F0">
        <w:t>,</w:t>
      </w:r>
      <w:proofErr w:type="gramEnd"/>
      <w:r w:rsidR="00CD5D29" w:rsidRPr="006245F0">
        <w:t xml:space="preserve"> 7.5-8.5 </w:t>
      </w:r>
      <w:proofErr w:type="spellStart"/>
      <w:r w:rsidR="00CD5D29" w:rsidRPr="006245F0">
        <w:t>GBq</w:t>
      </w:r>
      <w:proofErr w:type="spellEnd"/>
      <w:r w:rsidR="00CD5D29" w:rsidRPr="006245F0">
        <w:t xml:space="preserve"> IVI every 6 weeks for up to </w:t>
      </w:r>
      <w:r w:rsidR="00D95D70">
        <w:t>2</w:t>
      </w:r>
      <w:r w:rsidR="00CD5D29" w:rsidRPr="006245F0">
        <w:t xml:space="preserve"> cycles</w:t>
      </w:r>
      <w:r w:rsidR="00D95D70">
        <w:t xml:space="preserve"> (initial)</w:t>
      </w:r>
    </w:p>
    <w:p w14:paraId="39E1815C" w14:textId="1AB5A049" w:rsidR="00D95D70" w:rsidRDefault="009F77AC" w:rsidP="00D95D70">
      <w:pPr>
        <w:pStyle w:val="ListParagraph"/>
        <w:numPr>
          <w:ilvl w:val="0"/>
          <w:numId w:val="10"/>
        </w:numPr>
        <w:spacing w:before="0" w:after="0" w:line="240" w:lineRule="auto"/>
      </w:pPr>
      <w:r w:rsidRPr="00307387">
        <w:rPr>
          <w:vertAlign w:val="superscript"/>
        </w:rPr>
        <w:t>177</w:t>
      </w:r>
      <w:r>
        <w:t>Lu PSMA </w:t>
      </w:r>
      <w:proofErr w:type="spellStart"/>
      <w:r>
        <w:t>i&amp;</w:t>
      </w:r>
      <w:proofErr w:type="gramStart"/>
      <w:r>
        <w:t>t</w:t>
      </w:r>
      <w:proofErr w:type="spellEnd"/>
      <w:r w:rsidRPr="006245F0" w:rsidDel="009F77AC">
        <w:rPr>
          <w:vertAlign w:val="superscript"/>
        </w:rPr>
        <w:t xml:space="preserve"> </w:t>
      </w:r>
      <w:r w:rsidR="00D95D70" w:rsidRPr="006245F0">
        <w:t>,</w:t>
      </w:r>
      <w:proofErr w:type="gramEnd"/>
      <w:r w:rsidR="00D95D70" w:rsidRPr="006245F0">
        <w:t xml:space="preserve"> 7.5-8.5 </w:t>
      </w:r>
      <w:proofErr w:type="spellStart"/>
      <w:r w:rsidR="00D95D70" w:rsidRPr="006245F0">
        <w:t>GBq</w:t>
      </w:r>
      <w:proofErr w:type="spellEnd"/>
      <w:r w:rsidR="00D95D70" w:rsidRPr="006245F0">
        <w:t xml:space="preserve"> IVI every 6 weeks for up to </w:t>
      </w:r>
      <w:r w:rsidR="00D95D70">
        <w:t>4</w:t>
      </w:r>
      <w:r w:rsidR="00D95D70" w:rsidRPr="006245F0">
        <w:t xml:space="preserve"> cycles</w:t>
      </w:r>
      <w:r w:rsidR="00D95D70">
        <w:t xml:space="preserve"> (continuing; if have not developed disease progression while being treated with </w:t>
      </w:r>
      <w:r w:rsidR="00D95D70">
        <w:rPr>
          <w:vertAlign w:val="superscript"/>
        </w:rPr>
        <w:t>177</w:t>
      </w:r>
      <w:r w:rsidR="00D95D70">
        <w:t>Lu</w:t>
      </w:r>
      <w:r w:rsidR="00FA3173">
        <w:t> </w:t>
      </w:r>
      <w:r w:rsidR="00D95D70">
        <w:t>PSMA</w:t>
      </w:r>
      <w:r w:rsidR="00FA3173">
        <w:t> </w:t>
      </w:r>
      <w:proofErr w:type="spellStart"/>
      <w:r w:rsidR="00FA3173">
        <w:t>i&amp;t</w:t>
      </w:r>
      <w:proofErr w:type="spellEnd"/>
      <w:r w:rsidR="00D95D70">
        <w:t>)</w:t>
      </w:r>
    </w:p>
    <w:p w14:paraId="7EDECC7E" w14:textId="44D2DB13" w:rsidR="00CD5D29" w:rsidRPr="006245F0" w:rsidRDefault="00CD5D29">
      <w:pPr>
        <w:pStyle w:val="ListParagraph"/>
        <w:numPr>
          <w:ilvl w:val="0"/>
          <w:numId w:val="10"/>
        </w:numPr>
        <w:spacing w:before="0" w:after="0" w:line="240" w:lineRule="auto"/>
      </w:pPr>
      <w:r w:rsidRPr="006245F0">
        <w:rPr>
          <w:vertAlign w:val="superscript"/>
        </w:rPr>
        <w:t>177</w:t>
      </w:r>
      <w:r w:rsidRPr="006245F0">
        <w:t>Lu</w:t>
      </w:r>
      <w:r w:rsidR="001A5140">
        <w:t> </w:t>
      </w:r>
      <w:r w:rsidRPr="006245F0">
        <w:t>PSMA SPECT/CT 24 hours post-infusion</w:t>
      </w:r>
      <w:r w:rsidR="00665903" w:rsidRPr="006245F0">
        <w:t xml:space="preserve"> for each cycle</w:t>
      </w:r>
    </w:p>
    <w:p w14:paraId="25684253" w14:textId="67F0E1A4" w:rsidR="00CD5D29" w:rsidRPr="006245F0" w:rsidRDefault="00CD5D29" w:rsidP="00DF5994">
      <w:pPr>
        <w:spacing w:before="160" w:after="120"/>
      </w:pPr>
      <w:r w:rsidRPr="006245F0">
        <w:t>The diagnostic test (PSMA PET/CT) will not replace any currently funded tests.</w:t>
      </w:r>
    </w:p>
    <w:p w14:paraId="65B97CD7" w14:textId="4E67C608" w:rsidR="00CD5D29" w:rsidRPr="006245F0" w:rsidRDefault="00CD5D29" w:rsidP="00CD5D29">
      <w:r w:rsidRPr="006245F0">
        <w:t>The intervention (</w:t>
      </w:r>
      <w:r w:rsidRPr="006245F0">
        <w:rPr>
          <w:vertAlign w:val="superscript"/>
        </w:rPr>
        <w:t>177</w:t>
      </w:r>
      <w:r w:rsidRPr="006245F0">
        <w:t>Lu</w:t>
      </w:r>
      <w:r w:rsidR="00FA3173">
        <w:t> </w:t>
      </w:r>
      <w:r w:rsidRPr="006245F0">
        <w:t>PSMA</w:t>
      </w:r>
      <w:r w:rsidR="00FA3173">
        <w:t> </w:t>
      </w:r>
      <w:proofErr w:type="spellStart"/>
      <w:r w:rsidRPr="006245F0">
        <w:t>i&amp;t</w:t>
      </w:r>
      <w:proofErr w:type="spellEnd"/>
      <w:r w:rsidRPr="006245F0">
        <w:t>) will replace or displace cabazitaxel and displace best supportive care.</w:t>
      </w:r>
    </w:p>
    <w:p w14:paraId="66BDFCC1" w14:textId="69435974" w:rsidR="00772829" w:rsidRDefault="00C7462B" w:rsidP="00C7462B">
      <w:pPr>
        <w:pStyle w:val="ESHeading1"/>
        <w:numPr>
          <w:ilvl w:val="0"/>
          <w:numId w:val="0"/>
        </w:numPr>
        <w:spacing w:before="360"/>
        <w:ind w:hanging="74"/>
      </w:pPr>
      <w:bookmarkStart w:id="18" w:name="_Toc69491420"/>
      <w:r>
        <w:t>8</w:t>
      </w:r>
      <w:r w:rsidR="00C36633">
        <w:t>.</w:t>
      </w:r>
      <w:r w:rsidR="00C36633">
        <w:tab/>
      </w:r>
      <w:r w:rsidR="00772829" w:rsidRPr="00CE28E3">
        <w:t>Comparator</w:t>
      </w:r>
      <w:bookmarkEnd w:id="18"/>
    </w:p>
    <w:p w14:paraId="13A9DDA0" w14:textId="5D79EC44" w:rsidR="00291FD7" w:rsidRPr="006245F0" w:rsidRDefault="00291FD7" w:rsidP="00291FD7">
      <w:pPr>
        <w:spacing w:after="0" w:line="240" w:lineRule="auto"/>
      </w:pPr>
      <w:r w:rsidRPr="006245F0">
        <w:rPr>
          <w:u w:val="single"/>
        </w:rPr>
        <w:t>Diagnostic test</w:t>
      </w:r>
      <w:r w:rsidRPr="006245F0">
        <w:t>: no testing with PSMA PET/CT</w:t>
      </w:r>
    </w:p>
    <w:p w14:paraId="76A80D4D" w14:textId="77777777" w:rsidR="00291FD7" w:rsidRPr="006245F0" w:rsidRDefault="00291FD7" w:rsidP="00741CB2">
      <w:pPr>
        <w:keepNext/>
        <w:spacing w:after="0" w:line="240" w:lineRule="auto"/>
      </w:pPr>
      <w:r w:rsidRPr="006245F0">
        <w:rPr>
          <w:u w:val="single"/>
        </w:rPr>
        <w:t>Therapy</w:t>
      </w:r>
      <w:r w:rsidRPr="006245F0">
        <w:t>:</w:t>
      </w:r>
    </w:p>
    <w:p w14:paraId="28133C6F" w14:textId="5D3FAE25" w:rsidR="00291FD7" w:rsidRPr="006245F0" w:rsidRDefault="00741CB2">
      <w:pPr>
        <w:pStyle w:val="ListParagraph"/>
        <w:numPr>
          <w:ilvl w:val="0"/>
          <w:numId w:val="11"/>
        </w:numPr>
        <w:spacing w:before="0" w:after="0" w:line="240" w:lineRule="auto"/>
      </w:pPr>
      <w:r w:rsidRPr="006245F0">
        <w:t>c</w:t>
      </w:r>
      <w:r w:rsidR="00291FD7" w:rsidRPr="006245F0">
        <w:t>abazitaxel; or</w:t>
      </w:r>
    </w:p>
    <w:p w14:paraId="3CD00703" w14:textId="3DB614C5" w:rsidR="00291FD7" w:rsidRPr="006245F0" w:rsidRDefault="00291FD7">
      <w:pPr>
        <w:pStyle w:val="ListParagraph"/>
        <w:numPr>
          <w:ilvl w:val="0"/>
          <w:numId w:val="11"/>
        </w:numPr>
        <w:spacing w:before="0" w:after="0" w:line="240" w:lineRule="auto"/>
      </w:pPr>
      <w:r w:rsidRPr="006245F0">
        <w:t>standard care if prior cabazitaxel, or unsuitable/unwilling for cabazitaxel.</w:t>
      </w:r>
    </w:p>
    <w:p w14:paraId="47BC3A84" w14:textId="28355F01" w:rsidR="00772829" w:rsidRDefault="00C7462B" w:rsidP="00C7462B">
      <w:pPr>
        <w:pStyle w:val="ESHeading1"/>
        <w:numPr>
          <w:ilvl w:val="0"/>
          <w:numId w:val="0"/>
        </w:numPr>
        <w:spacing w:before="360"/>
        <w:ind w:hanging="74"/>
      </w:pPr>
      <w:bookmarkStart w:id="19" w:name="_Toc69491421"/>
      <w:r>
        <w:t>9</w:t>
      </w:r>
      <w:r w:rsidR="00C36633">
        <w:t>.</w:t>
      </w:r>
      <w:r w:rsidR="00C36633">
        <w:tab/>
      </w:r>
      <w:r w:rsidR="00772829" w:rsidRPr="00CE28E3">
        <w:t xml:space="preserve">Summary of public consultation </w:t>
      </w:r>
      <w:r w:rsidR="0052575D">
        <w:t>input</w:t>
      </w:r>
      <w:bookmarkEnd w:id="19"/>
    </w:p>
    <w:p w14:paraId="2406DFB1" w14:textId="77777777" w:rsidR="001157BA" w:rsidRPr="0060481E" w:rsidRDefault="001157BA" w:rsidP="001157BA">
      <w:r w:rsidRPr="0060481E">
        <w:t xml:space="preserve">The previous ADAR 1686 received input from 22 organisations and 25 individuals. For further details see the </w:t>
      </w:r>
      <w:hyperlink r:id="rId10" w:history="1">
        <w:r w:rsidRPr="0060481E">
          <w:rPr>
            <w:rStyle w:val="Hyperlink"/>
          </w:rPr>
          <w:t>1686 Public Summary Document</w:t>
        </w:r>
      </w:hyperlink>
      <w:r w:rsidRPr="0060481E">
        <w:t>.</w:t>
      </w:r>
    </w:p>
    <w:p w14:paraId="36C0508F" w14:textId="77777777" w:rsidR="001157BA" w:rsidRPr="0060481E" w:rsidRDefault="001157BA" w:rsidP="001157BA">
      <w:r w:rsidRPr="0060481E">
        <w:t>Additional feedback was received for the current ADAR 1686.1 from 11 organisations, and three (3) consumer organisations (14 organisations in total):</w:t>
      </w:r>
    </w:p>
    <w:p w14:paraId="0ADF4DD4" w14:textId="77777777" w:rsidR="001157BA" w:rsidRPr="0060481E" w:rsidRDefault="001157BA" w:rsidP="001157BA">
      <w:r w:rsidRPr="0060481E">
        <w:t>As with the previous feedback received for the 1686 ADAR, all consumer organisations and most other organisations were supportive of the application.</w:t>
      </w:r>
    </w:p>
    <w:p w14:paraId="33B96342" w14:textId="77777777" w:rsidR="001157BA" w:rsidRPr="0060481E" w:rsidRDefault="001157BA" w:rsidP="001157BA">
      <w:r w:rsidRPr="0060481E">
        <w:t xml:space="preserve">The benefits of the proposed medical service for patients </w:t>
      </w:r>
      <w:proofErr w:type="gramStart"/>
      <w:r w:rsidRPr="0060481E">
        <w:t>were considered to be</w:t>
      </w:r>
      <w:proofErr w:type="gramEnd"/>
      <w:r w:rsidRPr="0060481E">
        <w:t>:</w:t>
      </w:r>
    </w:p>
    <w:p w14:paraId="6A219904" w14:textId="77777777" w:rsidR="001157BA" w:rsidRPr="0045673A" w:rsidRDefault="001157BA" w:rsidP="001157BA">
      <w:pPr>
        <w:pStyle w:val="ListParagraph"/>
        <w:numPr>
          <w:ilvl w:val="0"/>
          <w:numId w:val="24"/>
        </w:numPr>
        <w:spacing w:before="0" w:after="200" w:line="276" w:lineRule="auto"/>
      </w:pPr>
      <w:r>
        <w:t xml:space="preserve">Consumer organisations noted the </w:t>
      </w:r>
      <w:r w:rsidRPr="0060481E">
        <w:t>improved quality of life as the treatment not only extends overall survival</w:t>
      </w:r>
      <w:r>
        <w:t xml:space="preserve"> and delays treatment progression, but it</w:t>
      </w:r>
      <w:r w:rsidRPr="0060481E">
        <w:t xml:space="preserve"> also results in improvements in pain, </w:t>
      </w:r>
      <w:proofErr w:type="gramStart"/>
      <w:r w:rsidRPr="0060481E">
        <w:t>fatigue</w:t>
      </w:r>
      <w:proofErr w:type="gramEnd"/>
      <w:r w:rsidRPr="0060481E">
        <w:t xml:space="preserve"> and social functioning</w:t>
      </w:r>
      <w:r>
        <w:t xml:space="preserve">. A specialist organisation also noted the proposed treatment has the </w:t>
      </w:r>
      <w:r w:rsidRPr="00395FDF">
        <w:t>potential to significantly reduce the intensity of care for the</w:t>
      </w:r>
      <w:r>
        <w:t xml:space="preserve"> </w:t>
      </w:r>
      <w:r w:rsidRPr="0045673A">
        <w:t>patient and improve the quality of life for the patient’s carers and family.</w:t>
      </w:r>
    </w:p>
    <w:p w14:paraId="25F81794" w14:textId="77777777" w:rsidR="001157BA" w:rsidRPr="0060481E" w:rsidRDefault="001157BA" w:rsidP="001157BA">
      <w:pPr>
        <w:pStyle w:val="ListParagraph"/>
        <w:numPr>
          <w:ilvl w:val="0"/>
          <w:numId w:val="24"/>
        </w:numPr>
        <w:spacing w:before="0" w:after="200" w:line="276" w:lineRule="auto"/>
      </w:pPr>
      <w:r>
        <w:t xml:space="preserve">One consumer organisation noted the proposed treatment would </w:t>
      </w:r>
      <w:r w:rsidRPr="0060481E">
        <w:t xml:space="preserve">provide accessible and affordable options for patients with few or no other treatments available, allow people with </w:t>
      </w:r>
      <w:proofErr w:type="spellStart"/>
      <w:r w:rsidRPr="0060481E">
        <w:t>mCRPC</w:t>
      </w:r>
      <w:proofErr w:type="spellEnd"/>
      <w:r w:rsidRPr="0060481E">
        <w:t xml:space="preserve"> to live longer at home </w:t>
      </w:r>
      <w:proofErr w:type="gramStart"/>
      <w:r w:rsidRPr="0060481E">
        <w:t>and also</w:t>
      </w:r>
      <w:proofErr w:type="gramEnd"/>
      <w:r w:rsidRPr="0060481E">
        <w:t xml:space="preserve"> buy them more time until another treatment may become available in the future</w:t>
      </w:r>
      <w:r>
        <w:t>.</w:t>
      </w:r>
    </w:p>
    <w:p w14:paraId="39AD5C89" w14:textId="77777777" w:rsidR="001157BA" w:rsidRPr="0060481E" w:rsidRDefault="001157BA" w:rsidP="001157BA">
      <w:pPr>
        <w:pStyle w:val="ListParagraph"/>
        <w:numPr>
          <w:ilvl w:val="0"/>
          <w:numId w:val="24"/>
        </w:numPr>
        <w:spacing w:before="0" w:after="200" w:line="276" w:lineRule="auto"/>
      </w:pPr>
      <w:r>
        <w:t xml:space="preserve">A consumer organisation and specialist organisation noted the trials </w:t>
      </w:r>
      <w:r w:rsidRPr="0060481E">
        <w:t>demonstrated efficacy with fewer side effects even in patients who have previously received other treatments, including chemotherapy and androgen receptor-targeted therapies</w:t>
      </w:r>
      <w:r>
        <w:t>.</w:t>
      </w:r>
    </w:p>
    <w:p w14:paraId="4AC3D075" w14:textId="77777777" w:rsidR="001157BA" w:rsidRPr="0045673A" w:rsidRDefault="001157BA" w:rsidP="001157BA">
      <w:pPr>
        <w:pStyle w:val="ListParagraph"/>
        <w:numPr>
          <w:ilvl w:val="0"/>
          <w:numId w:val="24"/>
        </w:numPr>
        <w:spacing w:before="0" w:after="200" w:line="276" w:lineRule="auto"/>
      </w:pPr>
      <w:r>
        <w:t xml:space="preserve">A specialist organisation noted </w:t>
      </w:r>
      <w:r w:rsidRPr="0060481E">
        <w:t>the proposed descriptors for the imaging, initial treatment and ongoing treatments ensure that patients who have appropriate PSMA expression are being treated, and that those who are benefiting from initial treatment will receive ongoing treatment. Men who are not benefiting from the treatment can be identified early and have their management changed to other forms of treatment.</w:t>
      </w:r>
    </w:p>
    <w:p w14:paraId="5520E66E" w14:textId="77777777" w:rsidR="001157BA" w:rsidRPr="0060481E" w:rsidRDefault="001157BA" w:rsidP="00854113">
      <w:pPr>
        <w:keepNext/>
        <w:keepLines/>
      </w:pPr>
      <w:r w:rsidRPr="0060481E">
        <w:lastRenderedPageBreak/>
        <w:t>The disadvantages and concerns raised in the consultation feedback for the proposed intervention were:</w:t>
      </w:r>
    </w:p>
    <w:p w14:paraId="6A34E033" w14:textId="21999CBC" w:rsidR="001157BA" w:rsidRPr="007F4E52" w:rsidRDefault="0089538D" w:rsidP="00854113">
      <w:pPr>
        <w:pStyle w:val="ListParagraph"/>
        <w:keepNext/>
        <w:keepLines/>
        <w:numPr>
          <w:ilvl w:val="0"/>
          <w:numId w:val="24"/>
        </w:numPr>
        <w:spacing w:before="0" w:after="200" w:line="276" w:lineRule="auto"/>
      </w:pPr>
      <w:r w:rsidRPr="007F4E52">
        <w:t xml:space="preserve">Some organisations </w:t>
      </w:r>
      <w:r w:rsidR="001157BA" w:rsidRPr="007F4E52">
        <w:t>again</w:t>
      </w:r>
      <w:r w:rsidRPr="007F4E52">
        <w:t xml:space="preserve"> raised a concern that</w:t>
      </w:r>
      <w:r w:rsidR="001157BA" w:rsidRPr="007F4E52">
        <w:t xml:space="preserve"> there is insufficient high-quality evidence to support the claim of equivalence between 177LuPSMA</w:t>
      </w:r>
      <w:r w:rsidR="00F6032F" w:rsidRPr="007F4E52">
        <w:t> </w:t>
      </w:r>
      <w:proofErr w:type="spellStart"/>
      <w:r w:rsidR="001157BA" w:rsidRPr="007F4E52">
        <w:t>i&amp;t</w:t>
      </w:r>
      <w:proofErr w:type="spellEnd"/>
      <w:r w:rsidR="001157BA" w:rsidRPr="007F4E52">
        <w:t xml:space="preserve"> and </w:t>
      </w:r>
      <w:r w:rsidR="001157BA" w:rsidRPr="007F4E52">
        <w:rPr>
          <w:vertAlign w:val="superscript"/>
        </w:rPr>
        <w:t>177</w:t>
      </w:r>
      <w:r w:rsidR="001157BA" w:rsidRPr="007F4E52">
        <w:t>Lu</w:t>
      </w:r>
      <w:r w:rsidR="00F6032F" w:rsidRPr="007F4E52">
        <w:t> </w:t>
      </w:r>
      <w:r w:rsidR="001157BA" w:rsidRPr="007F4E52">
        <w:t xml:space="preserve">PSMA-617, and therefore it is not valid to use studies on </w:t>
      </w:r>
      <w:r w:rsidR="001157BA" w:rsidRPr="007F4E52">
        <w:rPr>
          <w:vertAlign w:val="superscript"/>
        </w:rPr>
        <w:t>177</w:t>
      </w:r>
      <w:r w:rsidR="001157BA" w:rsidRPr="007F4E52">
        <w:t>Lu</w:t>
      </w:r>
      <w:r w:rsidR="00F6032F" w:rsidRPr="007F4E52">
        <w:t> </w:t>
      </w:r>
      <w:r w:rsidR="001157BA" w:rsidRPr="007F4E52">
        <w:t>PSMA-617 to support claims of efficacy and safety for PSMA</w:t>
      </w:r>
      <w:r w:rsidR="00F6032F" w:rsidRPr="007F4E52">
        <w:t> </w:t>
      </w:r>
      <w:proofErr w:type="spellStart"/>
      <w:r w:rsidR="001157BA" w:rsidRPr="007F4E52">
        <w:t>i&amp;t</w:t>
      </w:r>
      <w:proofErr w:type="spellEnd"/>
      <w:r w:rsidR="001157BA" w:rsidRPr="007F4E52">
        <w:t>.</w:t>
      </w:r>
    </w:p>
    <w:p w14:paraId="098A075B" w14:textId="1D1EA061" w:rsidR="001157BA" w:rsidRPr="0060481E" w:rsidRDefault="0089538D" w:rsidP="001157BA">
      <w:pPr>
        <w:pStyle w:val="ListParagraph"/>
        <w:numPr>
          <w:ilvl w:val="0"/>
          <w:numId w:val="24"/>
        </w:numPr>
        <w:spacing w:before="0" w:after="200" w:line="276" w:lineRule="auto"/>
      </w:pPr>
      <w:r>
        <w:t xml:space="preserve">Some organisations </w:t>
      </w:r>
      <w:r w:rsidR="001157BA">
        <w:t xml:space="preserve">considered </w:t>
      </w:r>
      <w:r w:rsidR="001157BA" w:rsidRPr="0060481E">
        <w:t>the proposed MBS fee per cycle is insufficient for the cost of supply and delivering this agent</w:t>
      </w:r>
      <w:r w:rsidR="001157BA">
        <w:t>. A commercial organisation</w:t>
      </w:r>
      <w:r w:rsidR="001157BA" w:rsidRPr="0060481E">
        <w:t xml:space="preserve"> therefore </w:t>
      </w:r>
      <w:r w:rsidR="001157BA">
        <w:t>considered there may be</w:t>
      </w:r>
      <w:r w:rsidR="001157BA" w:rsidRPr="0060481E">
        <w:t xml:space="preserve"> significant out of pocket costs for patients or public hospitals, noting that DVA is currently funding patients to receive this treatment at $10,000 per cycle</w:t>
      </w:r>
      <w:r w:rsidR="001157BA">
        <w:t>. Another commercial organisation considered that the proposed fee raised implications for equity of access and additional environmental costs.</w:t>
      </w:r>
    </w:p>
    <w:p w14:paraId="0F48E715" w14:textId="58778DB4" w:rsidR="001157BA" w:rsidRPr="003F71F9" w:rsidRDefault="001157BA" w:rsidP="001157BA">
      <w:pPr>
        <w:pStyle w:val="ListParagraph"/>
        <w:numPr>
          <w:ilvl w:val="0"/>
          <w:numId w:val="24"/>
        </w:numPr>
        <w:spacing w:before="0" w:after="200" w:line="276" w:lineRule="auto"/>
      </w:pPr>
      <w:r w:rsidRPr="003F71F9">
        <w:t xml:space="preserve">One commercial company </w:t>
      </w:r>
      <w:r>
        <w:t xml:space="preserve">again </w:t>
      </w:r>
      <w:r w:rsidRPr="003F71F9">
        <w:t xml:space="preserve">noted that </w:t>
      </w:r>
      <w:r w:rsidRPr="00AB49AA">
        <w:rPr>
          <w:vertAlign w:val="superscript"/>
        </w:rPr>
        <w:t>177</w:t>
      </w:r>
      <w:r w:rsidRPr="003F71F9">
        <w:t>Lu</w:t>
      </w:r>
      <w:r w:rsidR="00F6032F">
        <w:t> </w:t>
      </w:r>
      <w:r w:rsidRPr="003F71F9">
        <w:t>PSMA</w:t>
      </w:r>
      <w:r w:rsidR="00F6032F">
        <w:t> </w:t>
      </w:r>
      <w:proofErr w:type="spellStart"/>
      <w:r w:rsidRPr="003F71F9">
        <w:t>i&amp;t</w:t>
      </w:r>
      <w:proofErr w:type="spellEnd"/>
      <w:r w:rsidRPr="003F71F9">
        <w:t xml:space="preserve"> is proposed to be produced under TGA exemption in public hospitals. It considered that this would limit the availability of the service and may result in variable service due to the lack of regulated quality standards and oversight.</w:t>
      </w:r>
    </w:p>
    <w:p w14:paraId="7AD5CCDE" w14:textId="77777777" w:rsidR="001157BA" w:rsidRPr="0060481E" w:rsidRDefault="001157BA" w:rsidP="001157BA">
      <w:pPr>
        <w:pStyle w:val="ListParagraph"/>
        <w:numPr>
          <w:ilvl w:val="0"/>
          <w:numId w:val="24"/>
        </w:numPr>
        <w:spacing w:before="0" w:after="200" w:line="276" w:lineRule="auto"/>
      </w:pPr>
      <w:r>
        <w:t>O</w:t>
      </w:r>
      <w:r w:rsidRPr="0060481E">
        <w:t>ne organisation raised concerns that the proposed accreditation requirements are restrictive and not clinically appropriate.</w:t>
      </w:r>
    </w:p>
    <w:p w14:paraId="77216259" w14:textId="77777777" w:rsidR="001157BA" w:rsidRPr="0060481E" w:rsidRDefault="001157BA" w:rsidP="001157BA">
      <w:r w:rsidRPr="0060481E">
        <w:t>Other comments raised regarding the proposed interventions were:</w:t>
      </w:r>
    </w:p>
    <w:p w14:paraId="56C6DA5B" w14:textId="07B11F42" w:rsidR="001157BA" w:rsidRPr="0060481E" w:rsidRDefault="001157BA" w:rsidP="001157BA">
      <w:pPr>
        <w:pStyle w:val="ListParagraph"/>
        <w:numPr>
          <w:ilvl w:val="0"/>
          <w:numId w:val="24"/>
        </w:numPr>
        <w:spacing w:before="0" w:after="200" w:line="276" w:lineRule="auto"/>
      </w:pPr>
      <w:r>
        <w:t>T</w:t>
      </w:r>
      <w:r w:rsidRPr="0060481E">
        <w:t xml:space="preserve">hat </w:t>
      </w:r>
      <w:r w:rsidRPr="00AB49AA">
        <w:rPr>
          <w:vertAlign w:val="superscript"/>
        </w:rPr>
        <w:t>177</w:t>
      </w:r>
      <w:r w:rsidRPr="0060481E">
        <w:t>Lu</w:t>
      </w:r>
      <w:r w:rsidR="00F6032F">
        <w:t> </w:t>
      </w:r>
      <w:proofErr w:type="spellStart"/>
      <w:r w:rsidRPr="00F6032F">
        <w:t>PSMAi</w:t>
      </w:r>
      <w:r w:rsidRPr="0060481E">
        <w:t>&amp;t</w:t>
      </w:r>
      <w:proofErr w:type="spellEnd"/>
      <w:r w:rsidRPr="0060481E">
        <w:t xml:space="preserve"> is a non-GMP non-TGA approved therapeutic agent, </w:t>
      </w:r>
      <w:r w:rsidR="0089538D">
        <w:t xml:space="preserve">and </w:t>
      </w:r>
      <w:r w:rsidRPr="0060481E">
        <w:t>the proposed medical service is made under the TGA exemption which is offered only in public hospitals</w:t>
      </w:r>
      <w:r>
        <w:t>.</w:t>
      </w:r>
    </w:p>
    <w:p w14:paraId="25B3AFCC" w14:textId="77777777" w:rsidR="001157BA" w:rsidRPr="0060481E" w:rsidRDefault="001157BA" w:rsidP="001157BA">
      <w:pPr>
        <w:pStyle w:val="ListParagraph"/>
        <w:numPr>
          <w:ilvl w:val="0"/>
          <w:numId w:val="24"/>
        </w:numPr>
        <w:spacing w:before="0" w:after="200" w:line="276" w:lineRule="auto"/>
      </w:pPr>
      <w:r>
        <w:t>One</w:t>
      </w:r>
      <w:r w:rsidRPr="0060481E">
        <w:t xml:space="preserve"> organisation noted there is no further substantive data showing the necessity for post-treatment SPECT scans or pre-treatment FDG PET scans, however there is a need for serial PSMA PET imaging in monitoring response to therapy</w:t>
      </w:r>
      <w:r>
        <w:t xml:space="preserve">. Another organisation considered 24-hour post treatment SPECT/CT has a </w:t>
      </w:r>
      <w:proofErr w:type="gramStart"/>
      <w:r>
        <w:t>role, but</w:t>
      </w:r>
      <w:proofErr w:type="gramEnd"/>
      <w:r>
        <w:t xml:space="preserve"> is not mandatory for patient benefit.</w:t>
      </w:r>
    </w:p>
    <w:p w14:paraId="796BFDAC" w14:textId="77777777" w:rsidR="001157BA" w:rsidRPr="0060481E" w:rsidRDefault="001157BA" w:rsidP="001157BA">
      <w:pPr>
        <w:pStyle w:val="ListParagraph"/>
        <w:numPr>
          <w:ilvl w:val="0"/>
          <w:numId w:val="24"/>
        </w:numPr>
        <w:spacing w:before="0" w:after="200" w:line="276" w:lineRule="auto"/>
      </w:pPr>
      <w:r>
        <w:t>O</w:t>
      </w:r>
      <w:r w:rsidRPr="0060481E">
        <w:t>ne consumer organisation disagreed with the previous MSAC preference for a 5-year time horizon and supported the 7-year horizon proposed for this population, with the suggestion that the economics could be reviewed in 5 years in the light of more mature trial data and real-life experience</w:t>
      </w:r>
      <w:r>
        <w:t>.</w:t>
      </w:r>
    </w:p>
    <w:p w14:paraId="3EEFA426" w14:textId="553224CE" w:rsidR="001157BA" w:rsidRPr="0060481E" w:rsidRDefault="001157BA" w:rsidP="001157BA">
      <w:pPr>
        <w:pStyle w:val="ListParagraph"/>
        <w:numPr>
          <w:ilvl w:val="0"/>
          <w:numId w:val="24"/>
        </w:numPr>
        <w:spacing w:before="0" w:after="200" w:line="276" w:lineRule="auto"/>
      </w:pPr>
      <w:r>
        <w:t xml:space="preserve">One consumer organisation considered </w:t>
      </w:r>
      <w:r w:rsidRPr="0060481E">
        <w:t xml:space="preserve">that </w:t>
      </w:r>
      <w:r w:rsidRPr="0060481E">
        <w:rPr>
          <w:vertAlign w:val="superscript"/>
        </w:rPr>
        <w:t>177</w:t>
      </w:r>
      <w:r w:rsidRPr="0060481E">
        <w:t>Lu</w:t>
      </w:r>
      <w:r w:rsidR="00FA3173">
        <w:t> </w:t>
      </w:r>
      <w:r w:rsidRPr="0060481E">
        <w:t>PSMA</w:t>
      </w:r>
      <w:r w:rsidR="00FA3173">
        <w:t> </w:t>
      </w:r>
      <w:proofErr w:type="spellStart"/>
      <w:r w:rsidRPr="0060481E">
        <w:t>i&amp;t</w:t>
      </w:r>
      <w:proofErr w:type="spellEnd"/>
      <w:r w:rsidRPr="0060481E">
        <w:t xml:space="preserve"> therapy could follow unsuccessful second-line chemotherapy </w:t>
      </w:r>
      <w:proofErr w:type="gramStart"/>
      <w:r w:rsidRPr="0060481E">
        <w:t>on the basis of</w:t>
      </w:r>
      <w:proofErr w:type="gramEnd"/>
      <w:r w:rsidRPr="0060481E">
        <w:t xml:space="preserve"> a more ‘acceptable’ cost effectiveness</w:t>
      </w:r>
      <w:r>
        <w:t>.</w:t>
      </w:r>
    </w:p>
    <w:p w14:paraId="0A79189B" w14:textId="6C6CBB28" w:rsidR="001157BA" w:rsidRPr="008E179C" w:rsidRDefault="001157BA" w:rsidP="001157BA">
      <w:pPr>
        <w:pStyle w:val="ListParagraph"/>
        <w:numPr>
          <w:ilvl w:val="0"/>
          <w:numId w:val="24"/>
        </w:numPr>
        <w:spacing w:before="0" w:after="200" w:line="276" w:lineRule="auto"/>
      </w:pPr>
      <w:r w:rsidRPr="008E179C">
        <w:t xml:space="preserve">Two commercial organisations again raised concern regarding patent issues arising from any manufacture, use or administration of </w:t>
      </w:r>
      <w:r w:rsidRPr="008E179C">
        <w:rPr>
          <w:vertAlign w:val="superscript"/>
        </w:rPr>
        <w:t>177</w:t>
      </w:r>
      <w:r w:rsidRPr="008E179C">
        <w:t>Lu</w:t>
      </w:r>
      <w:r w:rsidR="00F6032F" w:rsidRPr="008E179C">
        <w:t> </w:t>
      </w:r>
      <w:r w:rsidRPr="008E179C">
        <w:t>PSMA</w:t>
      </w:r>
      <w:r w:rsidR="00F6032F" w:rsidRPr="008E179C">
        <w:t> </w:t>
      </w:r>
      <w:proofErr w:type="spellStart"/>
      <w:r w:rsidRPr="008E179C">
        <w:t>i&amp;t</w:t>
      </w:r>
      <w:proofErr w:type="spellEnd"/>
      <w:r w:rsidRPr="008E179C">
        <w:t xml:space="preserve"> in Australia.</w:t>
      </w:r>
    </w:p>
    <w:p w14:paraId="03C7A1F1" w14:textId="248D01AA" w:rsidR="00772829" w:rsidRDefault="00C7462B" w:rsidP="00C7462B">
      <w:pPr>
        <w:pStyle w:val="ESHeading1"/>
        <w:numPr>
          <w:ilvl w:val="0"/>
          <w:numId w:val="0"/>
        </w:numPr>
        <w:spacing w:before="360"/>
        <w:ind w:hanging="74"/>
      </w:pPr>
      <w:bookmarkStart w:id="20" w:name="_Toc69491422"/>
      <w:r>
        <w:t>10</w:t>
      </w:r>
      <w:r w:rsidR="00C36633">
        <w:t>.</w:t>
      </w:r>
      <w:r w:rsidR="00C36633">
        <w:tab/>
      </w:r>
      <w:r w:rsidR="00772829" w:rsidRPr="00CE28E3">
        <w:t>Characteristics of the evidence base</w:t>
      </w:r>
      <w:bookmarkEnd w:id="20"/>
    </w:p>
    <w:p w14:paraId="5DFCAB75" w14:textId="4C886E47" w:rsidR="009F2342" w:rsidRDefault="007F120D">
      <w:r>
        <w:t>No new evidence was presented informing outcomes for comparative safety and effectiveness.</w:t>
      </w:r>
      <w:bookmarkStart w:id="21" w:name="ColumnTitle_Table4"/>
      <w:bookmarkStart w:id="22" w:name="_Toc69491423"/>
      <w:bookmarkEnd w:id="21"/>
    </w:p>
    <w:bookmarkEnd w:id="22"/>
    <w:p w14:paraId="40324542" w14:textId="425D5986" w:rsidR="004D5780" w:rsidRPr="00F458C4" w:rsidRDefault="004D5780" w:rsidP="00F93412">
      <w:r>
        <w:t xml:space="preserve">The comparative safety was not reconsidered in this </w:t>
      </w:r>
      <w:r w:rsidR="00AF7248">
        <w:t>ADAR</w:t>
      </w:r>
      <w:r>
        <w:t>.</w:t>
      </w:r>
      <w:r w:rsidR="005E3D87">
        <w:t xml:space="preserve"> </w:t>
      </w:r>
      <w:r w:rsidR="005E3D87" w:rsidRPr="00635EB8">
        <w:t xml:space="preserve">MSAC </w:t>
      </w:r>
      <w:r w:rsidR="002D6352" w:rsidRPr="00635EB8">
        <w:t xml:space="preserve">previously </w:t>
      </w:r>
      <w:r w:rsidR="005E3D87" w:rsidRPr="00635EB8">
        <w:t xml:space="preserve">accepted the high certainty from the evidence that </w:t>
      </w:r>
      <w:r w:rsidR="005E3D87" w:rsidRPr="00635EB8">
        <w:rPr>
          <w:vertAlign w:val="superscript"/>
        </w:rPr>
        <w:t>177</w:t>
      </w:r>
      <w:r w:rsidR="005E3D87" w:rsidRPr="00635EB8">
        <w:t>Lu</w:t>
      </w:r>
      <w:r w:rsidR="00FA3173">
        <w:t> </w:t>
      </w:r>
      <w:r w:rsidR="005E3D87" w:rsidRPr="00635EB8">
        <w:t>PSMA</w:t>
      </w:r>
      <w:r w:rsidR="00FA3173">
        <w:t> </w:t>
      </w:r>
      <w:proofErr w:type="spellStart"/>
      <w:r w:rsidR="005E3D87" w:rsidRPr="00635EB8">
        <w:t>i&amp;t</w:t>
      </w:r>
      <w:proofErr w:type="spellEnd"/>
      <w:r w:rsidR="005E3D87" w:rsidRPr="00635EB8">
        <w:t xml:space="preserve"> therapy is acceptably safe.</w:t>
      </w:r>
    </w:p>
    <w:p w14:paraId="0F47F74E" w14:textId="06252F7E" w:rsidR="00596292" w:rsidRDefault="00C7462B" w:rsidP="00C7462B">
      <w:pPr>
        <w:pStyle w:val="ESHeading1"/>
        <w:numPr>
          <w:ilvl w:val="0"/>
          <w:numId w:val="0"/>
        </w:numPr>
        <w:spacing w:before="360"/>
        <w:ind w:hanging="74"/>
      </w:pPr>
      <w:bookmarkStart w:id="23" w:name="_Toc69491424"/>
      <w:r>
        <w:lastRenderedPageBreak/>
        <w:t>11</w:t>
      </w:r>
      <w:r w:rsidR="00596292">
        <w:t>.</w:t>
      </w:r>
      <w:r w:rsidR="00596292">
        <w:tab/>
      </w:r>
      <w:r w:rsidR="00596292" w:rsidRPr="00CE28E3">
        <w:t xml:space="preserve">Comparative </w:t>
      </w:r>
      <w:r w:rsidR="00AA2280">
        <w:t>safety</w:t>
      </w:r>
    </w:p>
    <w:p w14:paraId="39125EAB" w14:textId="48901E49" w:rsidR="00C81D00" w:rsidRPr="00F93412" w:rsidRDefault="00C81D00" w:rsidP="00C81D00">
      <w:r>
        <w:t xml:space="preserve">The comparative safety was not reconsidered in this ADAR. </w:t>
      </w:r>
      <w:r w:rsidRPr="00A023A6">
        <w:t xml:space="preserve">MSAC previously accepted the high certainty from the evidence that </w:t>
      </w:r>
      <w:r w:rsidRPr="00A023A6">
        <w:rPr>
          <w:vertAlign w:val="superscript"/>
        </w:rPr>
        <w:t>177</w:t>
      </w:r>
      <w:r w:rsidRPr="00A023A6">
        <w:t>Lu</w:t>
      </w:r>
      <w:r w:rsidR="00FA3173">
        <w:t> </w:t>
      </w:r>
      <w:r w:rsidRPr="00A023A6">
        <w:t>PSMA</w:t>
      </w:r>
      <w:r w:rsidR="00FA3173">
        <w:t> </w:t>
      </w:r>
      <w:proofErr w:type="spellStart"/>
      <w:r w:rsidRPr="00A023A6">
        <w:t>i&amp;t</w:t>
      </w:r>
      <w:proofErr w:type="spellEnd"/>
      <w:r w:rsidRPr="00A023A6">
        <w:t xml:space="preserve"> therapy is acceptably safe.</w:t>
      </w:r>
    </w:p>
    <w:p w14:paraId="3717AA01" w14:textId="6D4EDA72" w:rsidR="00772829" w:rsidRDefault="00C36633" w:rsidP="00C7462B">
      <w:pPr>
        <w:pStyle w:val="ESHeading1"/>
        <w:numPr>
          <w:ilvl w:val="0"/>
          <w:numId w:val="0"/>
        </w:numPr>
        <w:spacing w:before="360"/>
        <w:ind w:hanging="74"/>
      </w:pPr>
      <w:r>
        <w:t>1</w:t>
      </w:r>
      <w:r w:rsidR="00C7462B">
        <w:t>2</w:t>
      </w:r>
      <w:r>
        <w:t>.</w:t>
      </w:r>
      <w:r>
        <w:tab/>
      </w:r>
      <w:r w:rsidR="00772829" w:rsidRPr="00CE28E3">
        <w:t>Comparative effectiveness</w:t>
      </w:r>
      <w:bookmarkEnd w:id="23"/>
    </w:p>
    <w:p w14:paraId="69D8628E" w14:textId="4E9C7270" w:rsidR="004D5780" w:rsidRPr="00635EB8" w:rsidRDefault="004D5780" w:rsidP="007D3C94">
      <w:pPr>
        <w:keepNext/>
      </w:pPr>
      <w:r w:rsidRPr="007A135D">
        <w:t xml:space="preserve">The comparative effectiveness was not reconsidered in this </w:t>
      </w:r>
      <w:r w:rsidR="005E3D87" w:rsidRPr="007A135D">
        <w:t>ADAR</w:t>
      </w:r>
      <w:r w:rsidRPr="0087702F">
        <w:t>.</w:t>
      </w:r>
      <w:r w:rsidR="005E3D87" w:rsidRPr="0087702F">
        <w:t xml:space="preserve"> </w:t>
      </w:r>
      <w:r w:rsidR="005E3D87" w:rsidRPr="00635EB8">
        <w:t xml:space="preserve">MSAC </w:t>
      </w:r>
      <w:r w:rsidR="002D6352" w:rsidRPr="00635EB8">
        <w:t xml:space="preserve">previously </w:t>
      </w:r>
      <w:r w:rsidR="005E3D87" w:rsidRPr="00635EB8">
        <w:t xml:space="preserve">accepted the high certainty from the evidence that </w:t>
      </w:r>
      <w:r w:rsidR="005E3D87" w:rsidRPr="00635EB8">
        <w:rPr>
          <w:vertAlign w:val="superscript"/>
        </w:rPr>
        <w:t>177</w:t>
      </w:r>
      <w:r w:rsidR="005E3D87" w:rsidRPr="00635EB8">
        <w:t>Lu</w:t>
      </w:r>
      <w:r w:rsidR="00FA3173">
        <w:t> </w:t>
      </w:r>
      <w:r w:rsidR="005E3D87" w:rsidRPr="00635EB8">
        <w:t>PSMA</w:t>
      </w:r>
      <w:r w:rsidR="00FA3173">
        <w:t> </w:t>
      </w:r>
      <w:proofErr w:type="spellStart"/>
      <w:r w:rsidR="005E3D87" w:rsidRPr="00635EB8">
        <w:t>i&amp;t</w:t>
      </w:r>
      <w:proofErr w:type="spellEnd"/>
      <w:r w:rsidR="005E3D87" w:rsidRPr="00635EB8">
        <w:t xml:space="preserve"> therapy is acceptably effective.</w:t>
      </w:r>
    </w:p>
    <w:p w14:paraId="0D09C9E4" w14:textId="49A98830" w:rsidR="00772829" w:rsidRDefault="00C36633" w:rsidP="00C7462B">
      <w:pPr>
        <w:pStyle w:val="ESHeading1"/>
        <w:numPr>
          <w:ilvl w:val="0"/>
          <w:numId w:val="0"/>
        </w:numPr>
        <w:spacing w:before="360"/>
        <w:ind w:hanging="74"/>
      </w:pPr>
      <w:bookmarkStart w:id="24" w:name="_Toc69491425"/>
      <w:r>
        <w:t>1</w:t>
      </w:r>
      <w:r w:rsidR="00C7462B">
        <w:t>3</w:t>
      </w:r>
      <w:r>
        <w:t>.</w:t>
      </w:r>
      <w:r>
        <w:tab/>
      </w:r>
      <w:r w:rsidR="00772829" w:rsidRPr="00CE28E3">
        <w:t>Economic evaluation</w:t>
      </w:r>
      <w:bookmarkEnd w:id="24"/>
    </w:p>
    <w:p w14:paraId="221D6FCF" w14:textId="7929A942" w:rsidR="005E3D87" w:rsidRDefault="005E3D87" w:rsidP="005E3D87">
      <w:pPr>
        <w:pStyle w:val="Instructionaltext"/>
        <w:rPr>
          <w:color w:val="auto"/>
        </w:rPr>
      </w:pPr>
      <w:r>
        <w:rPr>
          <w:color w:val="auto"/>
        </w:rPr>
        <w:t xml:space="preserve">The </w:t>
      </w:r>
      <w:r w:rsidR="0029322D">
        <w:rPr>
          <w:color w:val="auto"/>
        </w:rPr>
        <w:t xml:space="preserve">ADAR </w:t>
      </w:r>
      <w:r>
        <w:rPr>
          <w:color w:val="auto"/>
        </w:rPr>
        <w:t xml:space="preserve">presented a cost-effectiveness/cost-utility analyses (CEA/CUA) using the same partitioned survival model and a proportional hazards approach as in the original ADAR </w:t>
      </w:r>
      <w:r w:rsidR="00731E70">
        <w:rPr>
          <w:color w:val="auto"/>
        </w:rPr>
        <w:t xml:space="preserve">(MSAC </w:t>
      </w:r>
      <w:r>
        <w:rPr>
          <w:color w:val="auto"/>
        </w:rPr>
        <w:t>1686</w:t>
      </w:r>
      <w:r w:rsidR="00731E70">
        <w:rPr>
          <w:color w:val="auto"/>
        </w:rPr>
        <w:t>)</w:t>
      </w:r>
      <w:r>
        <w:rPr>
          <w:color w:val="auto"/>
        </w:rPr>
        <w:t xml:space="preserve">. Both models have a cycle length of one week and three health states: </w:t>
      </w:r>
      <w:r w:rsidR="00731E70">
        <w:rPr>
          <w:color w:val="auto"/>
        </w:rPr>
        <w:t>progression-free survival (</w:t>
      </w:r>
      <w:r>
        <w:rPr>
          <w:color w:val="auto"/>
        </w:rPr>
        <w:t>PFS</w:t>
      </w:r>
      <w:r w:rsidR="00731E70">
        <w:rPr>
          <w:color w:val="auto"/>
        </w:rPr>
        <w:t>)</w:t>
      </w:r>
      <w:r>
        <w:rPr>
          <w:color w:val="auto"/>
        </w:rPr>
        <w:t xml:space="preserve">, progressed disease, and death. The underlying logic of the model remained unchanged and includes the application of hazard ratios (HRs) from the </w:t>
      </w:r>
      <w:proofErr w:type="spellStart"/>
      <w:r>
        <w:rPr>
          <w:color w:val="auto"/>
        </w:rPr>
        <w:t>TheraP</w:t>
      </w:r>
      <w:proofErr w:type="spellEnd"/>
      <w:r>
        <w:rPr>
          <w:color w:val="auto"/>
        </w:rPr>
        <w:t xml:space="preserve"> trial to the K-M survival data from the VISION trial and an implicit assumption that the treatment cost applies only to the patients who remain progression-free.</w:t>
      </w:r>
    </w:p>
    <w:p w14:paraId="5E571E55" w14:textId="4E4F4AC0" w:rsidR="005E3D87" w:rsidRDefault="005E3D87" w:rsidP="005E3D87">
      <w:pPr>
        <w:pStyle w:val="Instructionaltext"/>
        <w:rPr>
          <w:color w:val="auto"/>
        </w:rPr>
      </w:pPr>
      <w:r>
        <w:rPr>
          <w:color w:val="auto"/>
        </w:rPr>
        <w:t xml:space="preserve">The Applicant stated that </w:t>
      </w:r>
      <w:proofErr w:type="gramStart"/>
      <w:r>
        <w:rPr>
          <w:color w:val="auto"/>
        </w:rPr>
        <w:t>in order to</w:t>
      </w:r>
      <w:proofErr w:type="gramEnd"/>
      <w:r>
        <w:rPr>
          <w:color w:val="auto"/>
        </w:rPr>
        <w:t xml:space="preserve"> align with advice from MSAC and the PBAC, the original model has been re-specified with respect to the following:</w:t>
      </w:r>
    </w:p>
    <w:p w14:paraId="4F337D51" w14:textId="4B277140" w:rsidR="005E3D87" w:rsidRDefault="00FC3EC4" w:rsidP="00C7462B">
      <w:pPr>
        <w:pStyle w:val="Instructionaltext"/>
        <w:numPr>
          <w:ilvl w:val="0"/>
          <w:numId w:val="17"/>
        </w:numPr>
        <w:spacing w:line="256" w:lineRule="auto"/>
        <w:ind w:left="426"/>
        <w:rPr>
          <w:color w:val="auto"/>
        </w:rPr>
      </w:pPr>
      <w:r>
        <w:rPr>
          <w:color w:val="auto"/>
        </w:rPr>
        <w:t xml:space="preserve">The model in the current ADAR has a </w:t>
      </w:r>
      <w:proofErr w:type="gramStart"/>
      <w:r>
        <w:rPr>
          <w:color w:val="auto"/>
        </w:rPr>
        <w:t>7.5 year</w:t>
      </w:r>
      <w:proofErr w:type="gramEnd"/>
      <w:r>
        <w:rPr>
          <w:color w:val="auto"/>
        </w:rPr>
        <w:t xml:space="preserve"> time horizon, d</w:t>
      </w:r>
      <w:r w:rsidR="00731E70">
        <w:rPr>
          <w:color w:val="auto"/>
        </w:rPr>
        <w:t>espite</w:t>
      </w:r>
      <w:r w:rsidR="005E3D87">
        <w:rPr>
          <w:color w:val="auto"/>
        </w:rPr>
        <w:t xml:space="preserve"> advice </w:t>
      </w:r>
      <w:r w:rsidR="00731E70">
        <w:rPr>
          <w:color w:val="auto"/>
        </w:rPr>
        <w:t xml:space="preserve">from MSAC </w:t>
      </w:r>
      <w:r w:rsidR="005E3D87">
        <w:rPr>
          <w:color w:val="auto"/>
        </w:rPr>
        <w:t>that for the proposed population</w:t>
      </w:r>
      <w:r w:rsidR="005E3D87">
        <w:rPr>
          <w:i/>
          <w:iCs/>
          <w:color w:val="auto"/>
        </w:rPr>
        <w:t xml:space="preserve">, </w:t>
      </w:r>
      <w:r w:rsidR="005E3D87" w:rsidRPr="00E641CE">
        <w:rPr>
          <w:color w:val="auto"/>
        </w:rPr>
        <w:t>a time horizon of five years would be more appropriate in the base case model noting that this change</w:t>
      </w:r>
      <w:r w:rsidR="005E3D87">
        <w:rPr>
          <w:i/>
          <w:iCs/>
          <w:color w:val="auto"/>
        </w:rPr>
        <w:t xml:space="preserve"> </w:t>
      </w:r>
      <w:r w:rsidR="005E3D87">
        <w:rPr>
          <w:color w:val="auto"/>
        </w:rPr>
        <w:t>[</w:t>
      </w:r>
      <w:r>
        <w:rPr>
          <w:color w:val="auto"/>
        </w:rPr>
        <w:t>from</w:t>
      </w:r>
      <w:r w:rsidR="005E3D87">
        <w:rPr>
          <w:color w:val="auto"/>
        </w:rPr>
        <w:t xml:space="preserve"> the longer time horizon</w:t>
      </w:r>
      <w:r w:rsidR="00731E70">
        <w:rPr>
          <w:color w:val="auto"/>
        </w:rPr>
        <w:t xml:space="preserve"> of 10 years considered in the previous ADAR</w:t>
      </w:r>
      <w:r w:rsidR="005E3D87">
        <w:rPr>
          <w:color w:val="auto"/>
        </w:rPr>
        <w:t>]</w:t>
      </w:r>
      <w:r w:rsidR="005E3D87">
        <w:rPr>
          <w:i/>
          <w:iCs/>
          <w:color w:val="auto"/>
        </w:rPr>
        <w:t xml:space="preserve"> </w:t>
      </w:r>
      <w:r w:rsidR="005E3D87" w:rsidRPr="00E641CE">
        <w:rPr>
          <w:color w:val="auto"/>
        </w:rPr>
        <w:t>would increase the ICER</w:t>
      </w:r>
      <w:r w:rsidR="005E3D87">
        <w:rPr>
          <w:color w:val="auto"/>
        </w:rPr>
        <w:t xml:space="preserve"> (</w:t>
      </w:r>
      <w:r w:rsidR="0087702F">
        <w:rPr>
          <w:color w:val="auto"/>
        </w:rPr>
        <w:t xml:space="preserve">MSAC 1686 </w:t>
      </w:r>
      <w:r w:rsidR="005E3D87">
        <w:rPr>
          <w:color w:val="auto"/>
        </w:rPr>
        <w:t>PSD, p.6)</w:t>
      </w:r>
      <w:r w:rsidR="00731E70">
        <w:rPr>
          <w:color w:val="auto"/>
        </w:rPr>
        <w:t>.</w:t>
      </w:r>
    </w:p>
    <w:p w14:paraId="055B6F7C" w14:textId="52F398AB" w:rsidR="005E3D87" w:rsidRDefault="005E3D87" w:rsidP="00C7462B">
      <w:pPr>
        <w:pStyle w:val="Instructionaltext"/>
        <w:numPr>
          <w:ilvl w:val="0"/>
          <w:numId w:val="17"/>
        </w:numPr>
        <w:spacing w:line="256" w:lineRule="auto"/>
        <w:ind w:left="426"/>
        <w:rPr>
          <w:color w:val="auto"/>
        </w:rPr>
      </w:pPr>
      <w:r>
        <w:rPr>
          <w:color w:val="auto"/>
        </w:rPr>
        <w:t xml:space="preserve">The time on </w:t>
      </w:r>
      <w:r>
        <w:rPr>
          <w:color w:val="auto"/>
          <w:vertAlign w:val="superscript"/>
        </w:rPr>
        <w:t>177</w:t>
      </w:r>
      <w:r>
        <w:rPr>
          <w:color w:val="auto"/>
        </w:rPr>
        <w:t>Lu</w:t>
      </w:r>
      <w:r w:rsidR="00FA3173">
        <w:rPr>
          <w:color w:val="auto"/>
        </w:rPr>
        <w:t> </w:t>
      </w:r>
      <w:r>
        <w:rPr>
          <w:color w:val="auto"/>
        </w:rPr>
        <w:t>PSMA</w:t>
      </w:r>
      <w:r w:rsidR="00E1656C">
        <w:rPr>
          <w:color w:val="auto"/>
        </w:rPr>
        <w:t> </w:t>
      </w:r>
      <w:proofErr w:type="spellStart"/>
      <w:r w:rsidR="00E1656C">
        <w:rPr>
          <w:color w:val="auto"/>
        </w:rPr>
        <w:t>i&amp;t</w:t>
      </w:r>
      <w:proofErr w:type="spellEnd"/>
      <w:r>
        <w:rPr>
          <w:color w:val="auto"/>
        </w:rPr>
        <w:t xml:space="preserve"> treatment (</w:t>
      </w:r>
      <w:proofErr w:type="spellStart"/>
      <w:r>
        <w:rPr>
          <w:color w:val="auto"/>
        </w:rPr>
        <w:t>ToT</w:t>
      </w:r>
      <w:proofErr w:type="spellEnd"/>
      <w:r>
        <w:rPr>
          <w:color w:val="auto"/>
        </w:rPr>
        <w:t xml:space="preserve">) in the model </w:t>
      </w:r>
      <w:r w:rsidR="0029322D">
        <w:rPr>
          <w:color w:val="auto"/>
        </w:rPr>
        <w:t xml:space="preserve">presented in the current ADAR </w:t>
      </w:r>
      <w:r>
        <w:rPr>
          <w:color w:val="auto"/>
        </w:rPr>
        <w:t xml:space="preserve">has been changed and is now based on the 3-year PFS data from </w:t>
      </w:r>
      <w:r w:rsidR="0007510D">
        <w:rPr>
          <w:color w:val="auto"/>
        </w:rPr>
        <w:t>the Australian</w:t>
      </w:r>
      <w:r>
        <w:rPr>
          <w:color w:val="auto"/>
        </w:rPr>
        <w:t xml:space="preserve"> </w:t>
      </w:r>
      <w:proofErr w:type="spellStart"/>
      <w:r>
        <w:rPr>
          <w:color w:val="auto"/>
        </w:rPr>
        <w:t>TheraP</w:t>
      </w:r>
      <w:proofErr w:type="spellEnd"/>
      <w:r w:rsidR="0007510D">
        <w:rPr>
          <w:color w:val="auto"/>
        </w:rPr>
        <w:t xml:space="preserve"> trial</w:t>
      </w:r>
      <w:r>
        <w:rPr>
          <w:color w:val="auto"/>
        </w:rPr>
        <w:t>, with a mean value now estimated at 3.63 cycles per patient</w:t>
      </w:r>
      <w:r w:rsidR="00731E70">
        <w:rPr>
          <w:color w:val="auto"/>
        </w:rPr>
        <w:t xml:space="preserve"> </w:t>
      </w:r>
      <w:r w:rsidR="00731E70" w:rsidRPr="00635EB8">
        <w:rPr>
          <w:color w:val="auto"/>
        </w:rPr>
        <w:t>(compared with</w:t>
      </w:r>
      <w:r w:rsidR="00731E70" w:rsidRPr="00C1732F">
        <w:rPr>
          <w:color w:val="auto"/>
        </w:rPr>
        <w:t xml:space="preserve"> </w:t>
      </w:r>
      <w:r w:rsidR="00731E70" w:rsidRPr="00635EB8">
        <w:rPr>
          <w:color w:val="auto"/>
        </w:rPr>
        <w:t>4.71 cycles per patient based on VISION PFS in the previous ADAR)</w:t>
      </w:r>
      <w:r w:rsidRPr="00C1732F">
        <w:rPr>
          <w:color w:val="auto"/>
        </w:rPr>
        <w:t xml:space="preserve">. </w:t>
      </w:r>
      <w:r>
        <w:rPr>
          <w:color w:val="auto"/>
        </w:rPr>
        <w:t xml:space="preserve">The </w:t>
      </w:r>
      <w:r w:rsidR="00C1732F">
        <w:rPr>
          <w:color w:val="auto"/>
        </w:rPr>
        <w:t xml:space="preserve">ADAR </w:t>
      </w:r>
      <w:r>
        <w:rPr>
          <w:color w:val="auto"/>
        </w:rPr>
        <w:t xml:space="preserve">stated that the use of </w:t>
      </w:r>
      <w:proofErr w:type="spellStart"/>
      <w:r>
        <w:rPr>
          <w:color w:val="auto"/>
        </w:rPr>
        <w:t>TheraP</w:t>
      </w:r>
      <w:proofErr w:type="spellEnd"/>
      <w:r>
        <w:rPr>
          <w:color w:val="auto"/>
        </w:rPr>
        <w:t xml:space="preserve"> PFS data is considered applicable to estimate </w:t>
      </w:r>
      <w:proofErr w:type="spellStart"/>
      <w:r>
        <w:rPr>
          <w:color w:val="auto"/>
        </w:rPr>
        <w:t>ToT</w:t>
      </w:r>
      <w:proofErr w:type="spellEnd"/>
      <w:r>
        <w:rPr>
          <w:color w:val="auto"/>
        </w:rPr>
        <w:t xml:space="preserve"> as it is </w:t>
      </w:r>
      <w:r w:rsidR="00E641CE">
        <w:rPr>
          <w:color w:val="auto"/>
        </w:rPr>
        <w:t>(</w:t>
      </w:r>
      <w:r>
        <w:rPr>
          <w:color w:val="auto"/>
        </w:rPr>
        <w:t>a) consistent with the proposed definition of disease progression in the MBS item descriptor (</w:t>
      </w:r>
      <w:r>
        <w:rPr>
          <w:i/>
          <w:iCs/>
          <w:color w:val="auto"/>
        </w:rPr>
        <w:t xml:space="preserve">first introduced in the </w:t>
      </w:r>
      <w:r w:rsidR="00731E70">
        <w:rPr>
          <w:i/>
          <w:iCs/>
          <w:color w:val="auto"/>
        </w:rPr>
        <w:t xml:space="preserve">current </w:t>
      </w:r>
      <w:r>
        <w:rPr>
          <w:i/>
          <w:iCs/>
          <w:color w:val="auto"/>
        </w:rPr>
        <w:t>ADAR</w:t>
      </w:r>
      <w:r>
        <w:rPr>
          <w:color w:val="auto"/>
        </w:rPr>
        <w:t xml:space="preserve">) and </w:t>
      </w:r>
      <w:r w:rsidR="00E641CE">
        <w:rPr>
          <w:color w:val="auto"/>
        </w:rPr>
        <w:t>(</w:t>
      </w:r>
      <w:r>
        <w:rPr>
          <w:color w:val="auto"/>
        </w:rPr>
        <w:t>b) consistent with the median number of 4 treatment cycles observed in Australian clinical practice.</w:t>
      </w:r>
    </w:p>
    <w:p w14:paraId="1FD0A078" w14:textId="0C70978D" w:rsidR="005E3D87" w:rsidRPr="00635EB8" w:rsidRDefault="005E3D87" w:rsidP="00C7462B">
      <w:pPr>
        <w:pStyle w:val="Instructionaltext"/>
        <w:numPr>
          <w:ilvl w:val="2"/>
          <w:numId w:val="17"/>
        </w:numPr>
        <w:spacing w:line="256" w:lineRule="auto"/>
        <w:ind w:left="709" w:hanging="283"/>
        <w:rPr>
          <w:color w:val="auto"/>
        </w:rPr>
      </w:pPr>
      <w:r w:rsidRPr="00635EB8">
        <w:rPr>
          <w:color w:val="auto"/>
        </w:rPr>
        <w:t xml:space="preserve">Setting aside an incorrect comparison of mean and median values from two different settings, the mean value of </w:t>
      </w:r>
      <w:proofErr w:type="spellStart"/>
      <w:r w:rsidRPr="00635EB8">
        <w:rPr>
          <w:color w:val="auto"/>
        </w:rPr>
        <w:t>ToT</w:t>
      </w:r>
      <w:proofErr w:type="spellEnd"/>
      <w:r w:rsidRPr="00635EB8">
        <w:rPr>
          <w:color w:val="auto"/>
        </w:rPr>
        <w:t xml:space="preserve"> is not used in</w:t>
      </w:r>
      <w:r w:rsidR="00B30B53">
        <w:rPr>
          <w:color w:val="auto"/>
        </w:rPr>
        <w:t xml:space="preserve"> the</w:t>
      </w:r>
      <w:r w:rsidRPr="00635EB8">
        <w:rPr>
          <w:color w:val="auto"/>
        </w:rPr>
        <w:t xml:space="preserve"> CEA. Instead, the variable, confusingly titled “time on treatment” or “</w:t>
      </w:r>
      <w:proofErr w:type="spellStart"/>
      <w:r w:rsidRPr="00635EB8">
        <w:rPr>
          <w:color w:val="auto"/>
        </w:rPr>
        <w:t>ToT</w:t>
      </w:r>
      <w:proofErr w:type="spellEnd"/>
      <w:r w:rsidRPr="00635EB8">
        <w:rPr>
          <w:color w:val="auto"/>
        </w:rPr>
        <w:t xml:space="preserve">” is used to calculate the total cost of </w:t>
      </w:r>
      <w:r w:rsidRPr="00635EB8">
        <w:rPr>
          <w:color w:val="auto"/>
          <w:vertAlign w:val="superscript"/>
        </w:rPr>
        <w:t>177</w:t>
      </w:r>
      <w:r w:rsidRPr="00635EB8">
        <w:rPr>
          <w:color w:val="auto"/>
        </w:rPr>
        <w:t>Lu</w:t>
      </w:r>
      <w:r w:rsidR="008C20A3">
        <w:rPr>
          <w:color w:val="auto"/>
        </w:rPr>
        <w:t> </w:t>
      </w:r>
      <w:r w:rsidRPr="00635EB8">
        <w:rPr>
          <w:color w:val="auto"/>
        </w:rPr>
        <w:t>PSMA</w:t>
      </w:r>
      <w:r w:rsidR="008C20A3">
        <w:rPr>
          <w:color w:val="auto"/>
        </w:rPr>
        <w:t> </w:t>
      </w:r>
      <w:proofErr w:type="gramStart"/>
      <w:r w:rsidR="008C20A3" w:rsidRPr="00AB49AA">
        <w:t>it</w:t>
      </w:r>
      <w:proofErr w:type="gramEnd"/>
      <w:r w:rsidRPr="00635EB8">
        <w:rPr>
          <w:color w:val="auto"/>
        </w:rPr>
        <w:t xml:space="preserve"> treatment. Since the unit cost for </w:t>
      </w:r>
      <w:r w:rsidRPr="00635EB8">
        <w:rPr>
          <w:color w:val="auto"/>
          <w:vertAlign w:val="superscript"/>
        </w:rPr>
        <w:t>177</w:t>
      </w:r>
      <w:r w:rsidRPr="00635EB8">
        <w:rPr>
          <w:color w:val="auto"/>
        </w:rPr>
        <w:t>Lu</w:t>
      </w:r>
      <w:r w:rsidR="008C20A3">
        <w:rPr>
          <w:color w:val="auto"/>
        </w:rPr>
        <w:t> </w:t>
      </w:r>
      <w:r w:rsidRPr="00635EB8">
        <w:rPr>
          <w:color w:val="auto"/>
        </w:rPr>
        <w:t>PSMA</w:t>
      </w:r>
      <w:r w:rsidR="008C20A3">
        <w:rPr>
          <w:color w:val="auto"/>
        </w:rPr>
        <w:t> </w:t>
      </w:r>
      <w:proofErr w:type="spellStart"/>
      <w:r w:rsidR="008C20A3">
        <w:rPr>
          <w:color w:val="auto"/>
        </w:rPr>
        <w:t>i&amp;t</w:t>
      </w:r>
      <w:proofErr w:type="spellEnd"/>
      <w:r w:rsidRPr="00635EB8">
        <w:rPr>
          <w:color w:val="auto"/>
        </w:rPr>
        <w:t xml:space="preserve"> treatment applies ONLY to progression-free patients, there is an implicit assumption that only progression-free patients remain eligible for treatment on a week-by-week basis. This assumption was used in both the original (</w:t>
      </w:r>
      <w:r w:rsidR="00731E70" w:rsidRPr="00635EB8">
        <w:rPr>
          <w:color w:val="auto"/>
        </w:rPr>
        <w:t>MSAC</w:t>
      </w:r>
      <w:r w:rsidRPr="00635EB8">
        <w:rPr>
          <w:color w:val="auto"/>
        </w:rPr>
        <w:t xml:space="preserve"> 1686) and the revised models. While in the original model </w:t>
      </w:r>
      <w:proofErr w:type="spellStart"/>
      <w:r w:rsidRPr="00635EB8">
        <w:rPr>
          <w:color w:val="auto"/>
        </w:rPr>
        <w:t>ToT</w:t>
      </w:r>
      <w:proofErr w:type="spellEnd"/>
      <w:r w:rsidRPr="00635EB8">
        <w:rPr>
          <w:color w:val="auto"/>
        </w:rPr>
        <w:t xml:space="preserve"> was equal to progression-free survival extracted from the graphical representation of the K-M data from the VISION trial, in the revised model the </w:t>
      </w:r>
      <w:proofErr w:type="spellStart"/>
      <w:r w:rsidRPr="00635EB8">
        <w:rPr>
          <w:color w:val="auto"/>
        </w:rPr>
        <w:t>ToT</w:t>
      </w:r>
      <w:proofErr w:type="spellEnd"/>
      <w:r w:rsidRPr="00635EB8">
        <w:rPr>
          <w:color w:val="auto"/>
        </w:rPr>
        <w:t xml:space="preserve"> is decoupled from PFS and for the first 36 weeks (the maximum duration of the 6 cycles of treatment) is based on the K-M survival data from the </w:t>
      </w:r>
      <w:proofErr w:type="spellStart"/>
      <w:r w:rsidRPr="00635EB8">
        <w:rPr>
          <w:color w:val="auto"/>
        </w:rPr>
        <w:t>TheraP</w:t>
      </w:r>
      <w:proofErr w:type="spellEnd"/>
      <w:r w:rsidRPr="00635EB8">
        <w:rPr>
          <w:color w:val="auto"/>
        </w:rPr>
        <w:t xml:space="preserve"> trial. Importantly, apart from the </w:t>
      </w:r>
      <w:proofErr w:type="spellStart"/>
      <w:r w:rsidRPr="00635EB8">
        <w:rPr>
          <w:color w:val="auto"/>
        </w:rPr>
        <w:t>ToT</w:t>
      </w:r>
      <w:proofErr w:type="spellEnd"/>
      <w:r w:rsidRPr="00635EB8">
        <w:rPr>
          <w:color w:val="auto"/>
        </w:rPr>
        <w:t xml:space="preserve"> values used in cost calculation, the rest of the model (</w:t>
      </w:r>
      <w:proofErr w:type="gramStart"/>
      <w:r w:rsidRPr="00635EB8">
        <w:rPr>
          <w:color w:val="auto"/>
        </w:rPr>
        <w:t>i.e.</w:t>
      </w:r>
      <w:proofErr w:type="gramEnd"/>
      <w:r w:rsidRPr="00635EB8">
        <w:rPr>
          <w:color w:val="auto"/>
        </w:rPr>
        <w:t xml:space="preserve"> PFS, OS, LYs and QALYs) remains linked to K-M data from the VISION trial for the entire span of the model, starting from week one. This is a violation of model integrity. The evaluators could not find a precedent of a model that incorporate</w:t>
      </w:r>
      <w:r w:rsidR="00E641CE" w:rsidRPr="00635EB8">
        <w:rPr>
          <w:color w:val="auto"/>
        </w:rPr>
        <w:t>s</w:t>
      </w:r>
      <w:r w:rsidRPr="00635EB8">
        <w:rPr>
          <w:color w:val="auto"/>
        </w:rPr>
        <w:t xml:space="preserve"> patient-level data from two different trials. This approach reduced the total </w:t>
      </w:r>
      <w:r w:rsidRPr="00635EB8">
        <w:rPr>
          <w:color w:val="auto"/>
        </w:rPr>
        <w:lastRenderedPageBreak/>
        <w:t>cost of treatment by 2</w:t>
      </w:r>
      <w:r w:rsidR="00731E70" w:rsidRPr="00635EB8">
        <w:rPr>
          <w:color w:val="auto"/>
        </w:rPr>
        <w:t>1</w:t>
      </w:r>
      <w:r w:rsidRPr="00635EB8">
        <w:rPr>
          <w:color w:val="auto"/>
        </w:rPr>
        <w:t xml:space="preserve">%. In comparison to the PFS observed in the larger phase III VISION trial, transition to the progressed disease in the </w:t>
      </w:r>
      <w:proofErr w:type="spellStart"/>
      <w:r w:rsidRPr="00635EB8">
        <w:rPr>
          <w:color w:val="auto"/>
        </w:rPr>
        <w:t>TheraP</w:t>
      </w:r>
      <w:proofErr w:type="spellEnd"/>
      <w:r w:rsidRPr="00635EB8">
        <w:rPr>
          <w:color w:val="auto"/>
        </w:rPr>
        <w:t xml:space="preserve"> trial occurs at a higher rate so that by the end of the 36</w:t>
      </w:r>
      <w:r w:rsidRPr="00635EB8">
        <w:rPr>
          <w:color w:val="auto"/>
          <w:vertAlign w:val="superscript"/>
        </w:rPr>
        <w:t>th</w:t>
      </w:r>
      <w:r w:rsidRPr="00635EB8">
        <w:rPr>
          <w:color w:val="auto"/>
        </w:rPr>
        <w:t xml:space="preserve"> week, there are 34% of all patients in the PFS state versus the estimated 57% if the VISION data were used for </w:t>
      </w:r>
      <w:r w:rsidR="00E641CE" w:rsidRPr="00635EB8">
        <w:rPr>
          <w:color w:val="auto"/>
        </w:rPr>
        <w:t xml:space="preserve">the </w:t>
      </w:r>
      <w:r w:rsidRPr="00635EB8">
        <w:rPr>
          <w:color w:val="auto"/>
        </w:rPr>
        <w:t xml:space="preserve">cost calculation. MSAC noted a marked difference between PFS reported in the </w:t>
      </w:r>
      <w:r w:rsidRPr="00635EB8">
        <w:rPr>
          <w:color w:val="auto"/>
          <w:vertAlign w:val="superscript"/>
        </w:rPr>
        <w:t>177</w:t>
      </w:r>
      <w:r w:rsidRPr="00635EB8">
        <w:rPr>
          <w:color w:val="auto"/>
        </w:rPr>
        <w:t>Lu</w:t>
      </w:r>
      <w:r w:rsidR="002A222E">
        <w:rPr>
          <w:color w:val="auto"/>
        </w:rPr>
        <w:t> </w:t>
      </w:r>
      <w:r w:rsidRPr="00635EB8">
        <w:rPr>
          <w:color w:val="auto"/>
        </w:rPr>
        <w:t>PSMA</w:t>
      </w:r>
      <w:r w:rsidR="002A222E">
        <w:rPr>
          <w:color w:val="auto"/>
        </w:rPr>
        <w:t>-617</w:t>
      </w:r>
      <w:r w:rsidRPr="00635EB8">
        <w:rPr>
          <w:color w:val="auto"/>
        </w:rPr>
        <w:t xml:space="preserve"> arms in </w:t>
      </w:r>
      <w:proofErr w:type="spellStart"/>
      <w:r w:rsidRPr="00635EB8">
        <w:rPr>
          <w:color w:val="auto"/>
        </w:rPr>
        <w:t>TheraP</w:t>
      </w:r>
      <w:proofErr w:type="spellEnd"/>
      <w:r w:rsidRPr="00635EB8">
        <w:rPr>
          <w:color w:val="auto"/>
        </w:rPr>
        <w:t xml:space="preserve"> (5.1 months) versus VISION (8.7 months), however similar radiologic/ radiographic PFS was observed in </w:t>
      </w:r>
      <w:proofErr w:type="spellStart"/>
      <w:r w:rsidRPr="00635EB8">
        <w:rPr>
          <w:color w:val="auto"/>
        </w:rPr>
        <w:t>TheraP</w:t>
      </w:r>
      <w:proofErr w:type="spellEnd"/>
      <w:r w:rsidRPr="00635EB8">
        <w:rPr>
          <w:color w:val="auto"/>
        </w:rPr>
        <w:t xml:space="preserve"> (approximately 9 months) compared with 8.7 months in VISION (PSD, p.10). It remains uncertain whether the difference in the rates of disease progression between the trials can be solely explained by the differences in the criteria for establishing progression. MSAC noted that the definition of PFS had implications for the cost-effectiveness and overall cost of listing </w:t>
      </w:r>
      <w:r w:rsidRPr="00635EB8">
        <w:rPr>
          <w:color w:val="auto"/>
          <w:vertAlign w:val="superscript"/>
        </w:rPr>
        <w:t>177</w:t>
      </w:r>
      <w:r w:rsidRPr="00635EB8">
        <w:rPr>
          <w:color w:val="auto"/>
        </w:rPr>
        <w:t>Lu PSMA </w:t>
      </w:r>
      <w:proofErr w:type="spellStart"/>
      <w:r w:rsidR="00F6032F">
        <w:rPr>
          <w:color w:val="auto"/>
        </w:rPr>
        <w:t>i&amp;t</w:t>
      </w:r>
      <w:proofErr w:type="spellEnd"/>
      <w:r w:rsidR="00F6032F">
        <w:rPr>
          <w:color w:val="auto"/>
        </w:rPr>
        <w:t xml:space="preserve"> </w:t>
      </w:r>
      <w:r w:rsidRPr="00635EB8">
        <w:rPr>
          <w:color w:val="auto"/>
        </w:rPr>
        <w:t>on the MBS (</w:t>
      </w:r>
      <w:r w:rsidR="00107B07">
        <w:rPr>
          <w:color w:val="auto"/>
        </w:rPr>
        <w:t xml:space="preserve">MSAC 1686 </w:t>
      </w:r>
      <w:r w:rsidRPr="00635EB8">
        <w:rPr>
          <w:color w:val="auto"/>
        </w:rPr>
        <w:t>PSD, p.10).</w:t>
      </w:r>
    </w:p>
    <w:p w14:paraId="21A8ECD1" w14:textId="1DDB17B8" w:rsidR="005E3D87" w:rsidRDefault="005E3D87" w:rsidP="00C7462B">
      <w:pPr>
        <w:pStyle w:val="Instructionaltext"/>
        <w:numPr>
          <w:ilvl w:val="0"/>
          <w:numId w:val="17"/>
        </w:numPr>
        <w:spacing w:line="256" w:lineRule="auto"/>
        <w:ind w:left="426"/>
        <w:rPr>
          <w:color w:val="auto"/>
        </w:rPr>
      </w:pPr>
      <w:r>
        <w:rPr>
          <w:color w:val="auto"/>
        </w:rPr>
        <w:t xml:space="preserve">The base case economic analysis has been updated to use the comparator weighting 75% </w:t>
      </w:r>
      <w:r w:rsidR="00A55817">
        <w:rPr>
          <w:color w:val="auto"/>
        </w:rPr>
        <w:t>b</w:t>
      </w:r>
      <w:r>
        <w:rPr>
          <w:color w:val="auto"/>
        </w:rPr>
        <w:t xml:space="preserve">est </w:t>
      </w:r>
      <w:r w:rsidR="00A55817">
        <w:rPr>
          <w:color w:val="auto"/>
        </w:rPr>
        <w:t>s</w:t>
      </w:r>
      <w:r>
        <w:rPr>
          <w:color w:val="auto"/>
        </w:rPr>
        <w:t xml:space="preserve">upportive </w:t>
      </w:r>
      <w:r w:rsidR="00A55817">
        <w:rPr>
          <w:color w:val="auto"/>
        </w:rPr>
        <w:t>c</w:t>
      </w:r>
      <w:r>
        <w:rPr>
          <w:color w:val="auto"/>
        </w:rPr>
        <w:t>are</w:t>
      </w:r>
      <w:r w:rsidR="00A55817">
        <w:rPr>
          <w:color w:val="auto"/>
        </w:rPr>
        <w:t> </w:t>
      </w:r>
      <w:r>
        <w:rPr>
          <w:color w:val="auto"/>
        </w:rPr>
        <w:t xml:space="preserve">/25% cabazitaxel, which aligns with previous PBAC decision for </w:t>
      </w:r>
      <w:proofErr w:type="spellStart"/>
      <w:r>
        <w:rPr>
          <w:color w:val="auto"/>
        </w:rPr>
        <w:t>olaparib</w:t>
      </w:r>
      <w:proofErr w:type="spellEnd"/>
      <w:r>
        <w:rPr>
          <w:color w:val="auto"/>
        </w:rPr>
        <w:t xml:space="preserve"> in advanced prostate cancer.</w:t>
      </w:r>
    </w:p>
    <w:p w14:paraId="6891E3DE" w14:textId="767581D1" w:rsidR="005E3D87" w:rsidRPr="00166011" w:rsidRDefault="005E3D87" w:rsidP="00C7462B">
      <w:pPr>
        <w:pStyle w:val="Instructionaltext"/>
        <w:numPr>
          <w:ilvl w:val="0"/>
          <w:numId w:val="17"/>
        </w:numPr>
        <w:spacing w:line="256" w:lineRule="auto"/>
        <w:ind w:left="426"/>
        <w:rPr>
          <w:color w:val="auto"/>
        </w:rPr>
      </w:pPr>
      <w:r w:rsidRPr="00635EB8">
        <w:rPr>
          <w:color w:val="auto"/>
        </w:rPr>
        <w:t>MSAC</w:t>
      </w:r>
      <w:r w:rsidR="00F947F2" w:rsidRPr="00635EB8">
        <w:rPr>
          <w:color w:val="auto"/>
        </w:rPr>
        <w:t xml:space="preserve"> previously</w:t>
      </w:r>
      <w:r w:rsidR="005E5D79" w:rsidRPr="00635EB8">
        <w:rPr>
          <w:color w:val="auto"/>
        </w:rPr>
        <w:t xml:space="preserve"> </w:t>
      </w:r>
      <w:r w:rsidRPr="00635EB8">
        <w:rPr>
          <w:color w:val="auto"/>
        </w:rPr>
        <w:t>noted that ESC considered the utilities to be appropriate. MSAC also noted (</w:t>
      </w:r>
      <w:r w:rsidR="00107B07" w:rsidRPr="00635EB8">
        <w:rPr>
          <w:color w:val="auto"/>
        </w:rPr>
        <w:t>MSAC</w:t>
      </w:r>
      <w:r w:rsidR="00166011" w:rsidRPr="00635EB8">
        <w:rPr>
          <w:color w:val="auto"/>
        </w:rPr>
        <w:t xml:space="preserve"> 1686 </w:t>
      </w:r>
      <w:r w:rsidRPr="00635EB8">
        <w:rPr>
          <w:color w:val="auto"/>
        </w:rPr>
        <w:t xml:space="preserve">PSD, p.5) that in the </w:t>
      </w:r>
      <w:proofErr w:type="spellStart"/>
      <w:r w:rsidRPr="00635EB8">
        <w:rPr>
          <w:color w:val="auto"/>
        </w:rPr>
        <w:t>TheraP</w:t>
      </w:r>
      <w:proofErr w:type="spellEnd"/>
      <w:r w:rsidRPr="00635EB8">
        <w:rPr>
          <w:color w:val="auto"/>
        </w:rPr>
        <w:t xml:space="preserve"> trial, patient reported outcomes and quality of life were better with </w:t>
      </w:r>
      <w:r w:rsidRPr="00635EB8">
        <w:rPr>
          <w:color w:val="auto"/>
          <w:vertAlign w:val="superscript"/>
        </w:rPr>
        <w:t>177</w:t>
      </w:r>
      <w:r w:rsidRPr="00635EB8">
        <w:rPr>
          <w:color w:val="auto"/>
        </w:rPr>
        <w:t>Lu</w:t>
      </w:r>
      <w:r w:rsidR="001524FF">
        <w:rPr>
          <w:color w:val="auto"/>
        </w:rPr>
        <w:t> </w:t>
      </w:r>
      <w:r w:rsidRPr="00635EB8">
        <w:rPr>
          <w:color w:val="auto"/>
        </w:rPr>
        <w:t>PSMA</w:t>
      </w:r>
      <w:r w:rsidR="001524FF">
        <w:rPr>
          <w:color w:val="auto"/>
        </w:rPr>
        <w:t>-617</w:t>
      </w:r>
      <w:r w:rsidRPr="00635EB8">
        <w:rPr>
          <w:color w:val="auto"/>
        </w:rPr>
        <w:t xml:space="preserve"> than cabazitaxel, suggesting that the utility of PFS should be higher with </w:t>
      </w:r>
      <w:r w:rsidRPr="00635EB8">
        <w:rPr>
          <w:color w:val="auto"/>
          <w:vertAlign w:val="superscript"/>
        </w:rPr>
        <w:t>177</w:t>
      </w:r>
      <w:r w:rsidRPr="00635EB8">
        <w:rPr>
          <w:color w:val="auto"/>
        </w:rPr>
        <w:t>Lu</w:t>
      </w:r>
      <w:r w:rsidR="001524FF">
        <w:rPr>
          <w:color w:val="auto"/>
        </w:rPr>
        <w:t> </w:t>
      </w:r>
      <w:r w:rsidRPr="00635EB8">
        <w:rPr>
          <w:color w:val="auto"/>
        </w:rPr>
        <w:t>PSMA</w:t>
      </w:r>
      <w:r w:rsidR="001524FF">
        <w:rPr>
          <w:color w:val="auto"/>
        </w:rPr>
        <w:t>-617</w:t>
      </w:r>
      <w:r w:rsidRPr="00635EB8">
        <w:rPr>
          <w:color w:val="auto"/>
        </w:rPr>
        <w:t xml:space="preserve"> than cabazitaxel. The model </w:t>
      </w:r>
      <w:r w:rsidR="0029322D" w:rsidRPr="00635EB8">
        <w:rPr>
          <w:color w:val="auto"/>
        </w:rPr>
        <w:t xml:space="preserve">in the current ADAR </w:t>
      </w:r>
      <w:r w:rsidRPr="00635EB8">
        <w:rPr>
          <w:color w:val="auto"/>
        </w:rPr>
        <w:t>converted the treatment-agnostic utility value of 0.74, that equally appl</w:t>
      </w:r>
      <w:r w:rsidR="00E641CE" w:rsidRPr="00635EB8">
        <w:rPr>
          <w:color w:val="auto"/>
        </w:rPr>
        <w:t>ied</w:t>
      </w:r>
      <w:r w:rsidRPr="00635EB8">
        <w:rPr>
          <w:color w:val="auto"/>
        </w:rPr>
        <w:t xml:space="preserve"> to PFS patients in either </w:t>
      </w:r>
      <w:r w:rsidRPr="00635EB8">
        <w:rPr>
          <w:color w:val="auto"/>
          <w:vertAlign w:val="superscript"/>
        </w:rPr>
        <w:t>177</w:t>
      </w:r>
      <w:r w:rsidRPr="00635EB8">
        <w:rPr>
          <w:color w:val="auto"/>
        </w:rPr>
        <w:t>Lu</w:t>
      </w:r>
      <w:r w:rsidR="00BD3906">
        <w:rPr>
          <w:color w:val="auto"/>
        </w:rPr>
        <w:t> </w:t>
      </w:r>
      <w:r w:rsidRPr="00635EB8">
        <w:rPr>
          <w:color w:val="auto"/>
        </w:rPr>
        <w:t>PSMA</w:t>
      </w:r>
      <w:r w:rsidR="00BD3906">
        <w:rPr>
          <w:color w:val="auto"/>
        </w:rPr>
        <w:t> </w:t>
      </w:r>
      <w:proofErr w:type="spellStart"/>
      <w:r w:rsidR="00BD3906">
        <w:rPr>
          <w:color w:val="auto"/>
        </w:rPr>
        <w:t>i&amp;t</w:t>
      </w:r>
      <w:proofErr w:type="spellEnd"/>
      <w:r w:rsidRPr="00635EB8">
        <w:rPr>
          <w:color w:val="auto"/>
        </w:rPr>
        <w:t xml:space="preserve"> or the comparator arm, into two treatment-specific utilities where patients, who received </w:t>
      </w:r>
      <w:r w:rsidR="00A55817">
        <w:rPr>
          <w:color w:val="auto"/>
        </w:rPr>
        <w:t>best supportive care</w:t>
      </w:r>
      <w:r w:rsidR="00A55817" w:rsidRPr="00635EB8">
        <w:rPr>
          <w:color w:val="auto"/>
        </w:rPr>
        <w:t xml:space="preserve"> </w:t>
      </w:r>
      <w:r w:rsidRPr="00635EB8">
        <w:rPr>
          <w:color w:val="auto"/>
        </w:rPr>
        <w:t xml:space="preserve">but still remained progression-free, attracted a specifically utility value of 0.59, which in the original model applied only to the progressed disease state in both arms of the model. </w:t>
      </w:r>
      <w:r w:rsidR="00E641CE" w:rsidRPr="00635EB8">
        <w:rPr>
          <w:color w:val="auto"/>
        </w:rPr>
        <w:t>T</w:t>
      </w:r>
      <w:r w:rsidRPr="00635EB8">
        <w:rPr>
          <w:color w:val="auto"/>
        </w:rPr>
        <w:t xml:space="preserve">he base-case analysis </w:t>
      </w:r>
      <w:r w:rsidR="00E641CE" w:rsidRPr="00635EB8">
        <w:rPr>
          <w:color w:val="auto"/>
        </w:rPr>
        <w:t>in</w:t>
      </w:r>
      <w:r w:rsidR="00A55817">
        <w:rPr>
          <w:color w:val="auto"/>
        </w:rPr>
        <w:t xml:space="preserve"> </w:t>
      </w:r>
      <w:r w:rsidRPr="00635EB8">
        <w:rPr>
          <w:color w:val="auto"/>
        </w:rPr>
        <w:t xml:space="preserve">the </w:t>
      </w:r>
      <w:r w:rsidR="0029322D" w:rsidRPr="00635EB8">
        <w:rPr>
          <w:color w:val="auto"/>
        </w:rPr>
        <w:t xml:space="preserve">current ADAR </w:t>
      </w:r>
      <w:r w:rsidR="00E641CE" w:rsidRPr="00635EB8">
        <w:rPr>
          <w:color w:val="auto"/>
        </w:rPr>
        <w:t>(</w:t>
      </w:r>
      <w:r w:rsidRPr="00635EB8">
        <w:rPr>
          <w:color w:val="auto"/>
        </w:rPr>
        <w:t xml:space="preserve">1) reversed the allocation of patients in the comparator arm to 25% cabazitaxel and 75% </w:t>
      </w:r>
      <w:r w:rsidR="00A55817">
        <w:rPr>
          <w:color w:val="auto"/>
        </w:rPr>
        <w:t>best supportive care</w:t>
      </w:r>
      <w:r w:rsidRPr="00635EB8">
        <w:rPr>
          <w:color w:val="auto"/>
        </w:rPr>
        <w:t xml:space="preserve">, as suggested by MSAC and </w:t>
      </w:r>
      <w:r w:rsidR="00E641CE" w:rsidRPr="00635EB8">
        <w:rPr>
          <w:color w:val="auto"/>
        </w:rPr>
        <w:t>(</w:t>
      </w:r>
      <w:r w:rsidRPr="00635EB8">
        <w:rPr>
          <w:color w:val="auto"/>
        </w:rPr>
        <w:t xml:space="preserve">2) differentiated </w:t>
      </w:r>
      <w:r w:rsidR="001C636D" w:rsidRPr="00635EB8">
        <w:rPr>
          <w:color w:val="auto"/>
        </w:rPr>
        <w:t xml:space="preserve">the </w:t>
      </w:r>
      <w:r w:rsidRPr="00635EB8">
        <w:rPr>
          <w:color w:val="auto"/>
        </w:rPr>
        <w:t xml:space="preserve">PFS health state utilities between </w:t>
      </w:r>
      <w:r w:rsidRPr="00635EB8">
        <w:rPr>
          <w:color w:val="auto"/>
          <w:vertAlign w:val="superscript"/>
        </w:rPr>
        <w:t>177</w:t>
      </w:r>
      <w:r w:rsidRPr="00635EB8">
        <w:rPr>
          <w:color w:val="auto"/>
        </w:rPr>
        <w:t>Lu</w:t>
      </w:r>
      <w:r w:rsidR="00B46B95">
        <w:rPr>
          <w:color w:val="auto"/>
        </w:rPr>
        <w:t> </w:t>
      </w:r>
      <w:r w:rsidRPr="00635EB8">
        <w:rPr>
          <w:color w:val="auto"/>
        </w:rPr>
        <w:t>PSMA</w:t>
      </w:r>
      <w:r w:rsidR="00B46B95">
        <w:rPr>
          <w:color w:val="auto"/>
        </w:rPr>
        <w:t> </w:t>
      </w:r>
      <w:proofErr w:type="spellStart"/>
      <w:r w:rsidR="00B46B95">
        <w:rPr>
          <w:color w:val="auto"/>
        </w:rPr>
        <w:t>i&amp;t</w:t>
      </w:r>
      <w:proofErr w:type="spellEnd"/>
      <w:r w:rsidRPr="00635EB8">
        <w:rPr>
          <w:color w:val="auto"/>
        </w:rPr>
        <w:t xml:space="preserve"> and </w:t>
      </w:r>
      <w:proofErr w:type="spellStart"/>
      <w:r w:rsidRPr="00635EB8">
        <w:rPr>
          <w:color w:val="auto"/>
        </w:rPr>
        <w:t>cabazitaxel</w:t>
      </w:r>
      <w:proofErr w:type="spellEnd"/>
      <w:r w:rsidRPr="00635EB8">
        <w:rPr>
          <w:color w:val="auto"/>
        </w:rPr>
        <w:t>/</w:t>
      </w:r>
      <w:r w:rsidR="00A55817">
        <w:rPr>
          <w:color w:val="auto"/>
        </w:rPr>
        <w:t>best supportive care</w:t>
      </w:r>
      <w:r w:rsidR="00A55817" w:rsidRPr="00635EB8">
        <w:rPr>
          <w:color w:val="auto"/>
        </w:rPr>
        <w:t xml:space="preserve"> </w:t>
      </w:r>
      <w:r w:rsidRPr="00635EB8">
        <w:rPr>
          <w:color w:val="auto"/>
        </w:rPr>
        <w:t>patients. In fact, both suggestions were combined. The weighted new utility estimate for the PFS in the cabazitaxel/</w:t>
      </w:r>
      <w:r w:rsidR="00A55817">
        <w:rPr>
          <w:color w:val="auto"/>
        </w:rPr>
        <w:t>best supportive care</w:t>
      </w:r>
      <w:r w:rsidR="00A55817" w:rsidRPr="00635EB8">
        <w:rPr>
          <w:color w:val="auto"/>
        </w:rPr>
        <w:t xml:space="preserve"> </w:t>
      </w:r>
      <w:r w:rsidRPr="00635EB8">
        <w:rPr>
          <w:color w:val="auto"/>
        </w:rPr>
        <w:t>arm became 0.62.</w:t>
      </w:r>
      <w:r w:rsidRPr="00166011">
        <w:rPr>
          <w:color w:val="auto"/>
        </w:rPr>
        <w:t xml:space="preserve"> </w:t>
      </w:r>
      <w:r w:rsidR="001C636D" w:rsidRPr="00166011">
        <w:rPr>
          <w:color w:val="auto"/>
        </w:rPr>
        <w:t>The u</w:t>
      </w:r>
      <w:r w:rsidRPr="00166011">
        <w:rPr>
          <w:color w:val="auto"/>
        </w:rPr>
        <w:t>tility value for progressed disease (0.59) remained unchanged regardless of the pathway that led to the PD health state.</w:t>
      </w:r>
    </w:p>
    <w:p w14:paraId="695E6075" w14:textId="64A74F3B" w:rsidR="00C7462B" w:rsidRPr="00C7462B" w:rsidRDefault="005E3D87" w:rsidP="00C7462B">
      <w:pPr>
        <w:pStyle w:val="Instructionaltext"/>
        <w:ind w:left="66"/>
        <w:rPr>
          <w:color w:val="auto"/>
        </w:rPr>
      </w:pPr>
      <w:r w:rsidRPr="00635EB8">
        <w:rPr>
          <w:color w:val="auto"/>
        </w:rPr>
        <w:t xml:space="preserve">The reassignment of the previously identified health state-specific utility values to become treatment-specific utility values was not sufficiently justified in the </w:t>
      </w:r>
      <w:r w:rsidR="0029322D" w:rsidRPr="00635EB8">
        <w:rPr>
          <w:color w:val="auto"/>
        </w:rPr>
        <w:t>ADAR</w:t>
      </w:r>
      <w:r w:rsidRPr="00635EB8">
        <w:rPr>
          <w:color w:val="auto"/>
        </w:rPr>
        <w:t>. A brief ad-hoc literature search was conducted and revealed a complex non-linear relationship between the type of treatment (</w:t>
      </w:r>
      <w:proofErr w:type="gramStart"/>
      <w:r w:rsidRPr="00635EB8">
        <w:rPr>
          <w:color w:val="auto"/>
        </w:rPr>
        <w:t>e.g.</w:t>
      </w:r>
      <w:proofErr w:type="gramEnd"/>
      <w:r w:rsidRPr="00635EB8">
        <w:rPr>
          <w:color w:val="auto"/>
        </w:rPr>
        <w:t xml:space="preserve"> chemotherapy), the stage of disease progression, symptoms (adverse events) and quality of life. Apart from the disutility of 0.04 that applied to cabazitaxel patients to reflect its toxicity (</w:t>
      </w:r>
      <w:proofErr w:type="gramStart"/>
      <w:r w:rsidRPr="00635EB8">
        <w:rPr>
          <w:color w:val="auto"/>
        </w:rPr>
        <w:t>i.e.</w:t>
      </w:r>
      <w:proofErr w:type="gramEnd"/>
      <w:r w:rsidRPr="00635EB8">
        <w:rPr>
          <w:color w:val="auto"/>
        </w:rPr>
        <w:t>0.74 -0.04=0.70), there was no other treatment-specific utility estimate in the proposed population that could be used in the PFS health state with any degree of certainty.</w:t>
      </w:r>
      <w:bookmarkStart w:id="25" w:name="_Ref69725820"/>
      <w:bookmarkStart w:id="26" w:name="_Hlk134461559"/>
      <w:r w:rsidR="00C7462B">
        <w:rPr>
          <w:rFonts w:ascii="Arial Narrow" w:hAnsi="Arial Narrow"/>
          <w:b/>
          <w:bCs/>
          <w:sz w:val="20"/>
          <w:szCs w:val="20"/>
        </w:rPr>
        <w:br w:type="page"/>
      </w:r>
    </w:p>
    <w:p w14:paraId="016DB774" w14:textId="4DD7C2F0" w:rsidR="005E3D87" w:rsidRDefault="005E3D87" w:rsidP="00716136">
      <w:pPr>
        <w:rPr>
          <w:rFonts w:ascii="Arial Narrow" w:hAnsi="Arial Narrow"/>
          <w:b/>
          <w:bCs/>
          <w:sz w:val="20"/>
          <w:szCs w:val="20"/>
        </w:rPr>
      </w:pPr>
      <w:r w:rsidRPr="00716136">
        <w:rPr>
          <w:rFonts w:ascii="Arial Narrow" w:hAnsi="Arial Narrow"/>
          <w:b/>
          <w:bCs/>
          <w:sz w:val="20"/>
          <w:szCs w:val="20"/>
        </w:rPr>
        <w:lastRenderedPageBreak/>
        <w:t>Table </w:t>
      </w:r>
      <w:r w:rsidRPr="00716136">
        <w:rPr>
          <w:rFonts w:ascii="Arial Narrow" w:hAnsi="Arial Narrow"/>
          <w:b/>
          <w:bCs/>
          <w:sz w:val="20"/>
          <w:szCs w:val="20"/>
        </w:rPr>
        <w:fldChar w:fldCharType="begin"/>
      </w:r>
      <w:r w:rsidRPr="00716136">
        <w:rPr>
          <w:rFonts w:ascii="Arial Narrow" w:hAnsi="Arial Narrow"/>
          <w:b/>
          <w:bCs/>
          <w:noProof/>
          <w:sz w:val="20"/>
          <w:szCs w:val="20"/>
        </w:rPr>
        <w:instrText xml:space="preserve"> SEQ Table \* ARABIC </w:instrText>
      </w:r>
      <w:r w:rsidRPr="00716136">
        <w:rPr>
          <w:rFonts w:ascii="Arial Narrow" w:hAnsi="Arial Narrow"/>
          <w:b/>
          <w:bCs/>
          <w:sz w:val="20"/>
          <w:szCs w:val="20"/>
        </w:rPr>
        <w:fldChar w:fldCharType="separate"/>
      </w:r>
      <w:r w:rsidR="00C77D78">
        <w:rPr>
          <w:rFonts w:ascii="Arial Narrow" w:hAnsi="Arial Narrow"/>
          <w:b/>
          <w:bCs/>
          <w:noProof/>
          <w:sz w:val="20"/>
          <w:szCs w:val="20"/>
        </w:rPr>
        <w:t>5</w:t>
      </w:r>
      <w:r w:rsidRPr="00716136">
        <w:rPr>
          <w:rFonts w:ascii="Arial Narrow" w:hAnsi="Arial Narrow"/>
          <w:b/>
          <w:bCs/>
          <w:sz w:val="20"/>
          <w:szCs w:val="20"/>
        </w:rPr>
        <w:fldChar w:fldCharType="end"/>
      </w:r>
      <w:bookmarkEnd w:id="25"/>
      <w:r w:rsidRPr="00716136">
        <w:rPr>
          <w:rFonts w:ascii="Arial Narrow" w:hAnsi="Arial Narrow"/>
          <w:b/>
          <w:bCs/>
          <w:sz w:val="20"/>
          <w:szCs w:val="20"/>
        </w:rPr>
        <w:tab/>
        <w:t xml:space="preserve">Summary of the economic evaluation incorporating the changes made by the Applicant in </w:t>
      </w:r>
      <w:r w:rsidR="0029322D" w:rsidRPr="00716136">
        <w:rPr>
          <w:rFonts w:ascii="Arial Narrow" w:hAnsi="Arial Narrow"/>
          <w:b/>
          <w:bCs/>
          <w:sz w:val="20"/>
          <w:szCs w:val="20"/>
        </w:rPr>
        <w:t>the ADAR</w:t>
      </w:r>
    </w:p>
    <w:tbl>
      <w:tblPr>
        <w:tblStyle w:val="TableGrid"/>
        <w:tblW w:w="0" w:type="auto"/>
        <w:tblLook w:val="04A0" w:firstRow="1" w:lastRow="0" w:firstColumn="1" w:lastColumn="0" w:noHBand="0" w:noVBand="1"/>
      </w:tblPr>
      <w:tblGrid>
        <w:gridCol w:w="1696"/>
        <w:gridCol w:w="3660"/>
        <w:gridCol w:w="3660"/>
      </w:tblGrid>
      <w:tr w:rsidR="00E612D8" w:rsidRPr="00716136" w14:paraId="136EECFB" w14:textId="77777777" w:rsidTr="00E612D8">
        <w:trPr>
          <w:tblHeader/>
        </w:trPr>
        <w:tc>
          <w:tcPr>
            <w:tcW w:w="1696" w:type="dxa"/>
          </w:tcPr>
          <w:p w14:paraId="36A92A1C" w14:textId="01EA9D54" w:rsidR="00E612D8" w:rsidRPr="00716136" w:rsidRDefault="00E612D8" w:rsidP="00E612D8">
            <w:pPr>
              <w:spacing w:before="40" w:after="40"/>
              <w:rPr>
                <w:rFonts w:ascii="Arial Narrow" w:hAnsi="Arial Narrow"/>
                <w:b/>
                <w:bCs/>
                <w:sz w:val="20"/>
                <w:szCs w:val="20"/>
              </w:rPr>
            </w:pPr>
            <w:r w:rsidRPr="00716136">
              <w:rPr>
                <w:rFonts w:ascii="Arial Narrow" w:hAnsi="Arial Narrow"/>
                <w:b/>
                <w:bCs/>
                <w:sz w:val="20"/>
                <w:szCs w:val="20"/>
              </w:rPr>
              <w:t>Component</w:t>
            </w:r>
          </w:p>
        </w:tc>
        <w:tc>
          <w:tcPr>
            <w:tcW w:w="3660" w:type="dxa"/>
            <w:vAlign w:val="center"/>
          </w:tcPr>
          <w:p w14:paraId="12C14805" w14:textId="20A25265" w:rsidR="00E612D8" w:rsidRPr="00716136" w:rsidRDefault="00E612D8" w:rsidP="00E612D8">
            <w:pPr>
              <w:spacing w:before="40" w:after="40"/>
              <w:jc w:val="center"/>
              <w:rPr>
                <w:rFonts w:ascii="Arial Narrow" w:hAnsi="Arial Narrow"/>
                <w:b/>
                <w:bCs/>
                <w:sz w:val="20"/>
                <w:szCs w:val="20"/>
              </w:rPr>
            </w:pPr>
            <w:r w:rsidRPr="00716136">
              <w:rPr>
                <w:rFonts w:ascii="Arial Narrow" w:hAnsi="Arial Narrow" w:cs="Times New Roman"/>
                <w:b/>
                <w:bCs/>
                <w:sz w:val="20"/>
                <w:szCs w:val="20"/>
              </w:rPr>
              <w:t>1686 ADAR</w:t>
            </w:r>
          </w:p>
        </w:tc>
        <w:tc>
          <w:tcPr>
            <w:tcW w:w="3660" w:type="dxa"/>
            <w:vAlign w:val="center"/>
          </w:tcPr>
          <w:p w14:paraId="1BF4A51C" w14:textId="0E3FACFC" w:rsidR="00E612D8" w:rsidRPr="00716136" w:rsidRDefault="00E612D8" w:rsidP="00E612D8">
            <w:pPr>
              <w:spacing w:before="40" w:after="40"/>
              <w:jc w:val="center"/>
              <w:rPr>
                <w:rFonts w:ascii="Arial Narrow" w:hAnsi="Arial Narrow"/>
                <w:b/>
                <w:bCs/>
                <w:sz w:val="20"/>
                <w:szCs w:val="20"/>
              </w:rPr>
            </w:pPr>
            <w:r w:rsidRPr="00716136">
              <w:rPr>
                <w:rFonts w:ascii="Arial Narrow" w:hAnsi="Arial Narrow" w:cs="Times New Roman"/>
                <w:b/>
                <w:bCs/>
                <w:sz w:val="20"/>
                <w:szCs w:val="20"/>
              </w:rPr>
              <w:t>1686.1 ADAR</w:t>
            </w:r>
          </w:p>
        </w:tc>
      </w:tr>
      <w:tr w:rsidR="00E612D8" w:rsidRPr="00716136" w14:paraId="05290A30" w14:textId="77777777" w:rsidTr="00E612D8">
        <w:tc>
          <w:tcPr>
            <w:tcW w:w="1696" w:type="dxa"/>
          </w:tcPr>
          <w:p w14:paraId="21860971" w14:textId="3BDC042F"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Perspective</w:t>
            </w:r>
          </w:p>
        </w:tc>
        <w:tc>
          <w:tcPr>
            <w:tcW w:w="3660" w:type="dxa"/>
          </w:tcPr>
          <w:p w14:paraId="2E24E6A1" w14:textId="0299413D"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 xml:space="preserve">Australian healthcare system </w:t>
            </w:r>
          </w:p>
        </w:tc>
        <w:tc>
          <w:tcPr>
            <w:tcW w:w="3660" w:type="dxa"/>
          </w:tcPr>
          <w:p w14:paraId="58B07944" w14:textId="4C68838C"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No change</w:t>
            </w:r>
          </w:p>
        </w:tc>
      </w:tr>
      <w:tr w:rsidR="00E612D8" w:rsidRPr="00716136" w14:paraId="41B55293" w14:textId="77777777" w:rsidTr="00E612D8">
        <w:tc>
          <w:tcPr>
            <w:tcW w:w="1696" w:type="dxa"/>
          </w:tcPr>
          <w:p w14:paraId="127876CF" w14:textId="608B6927"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Population</w:t>
            </w:r>
          </w:p>
        </w:tc>
        <w:tc>
          <w:tcPr>
            <w:tcW w:w="3660" w:type="dxa"/>
          </w:tcPr>
          <w:p w14:paraId="32728C7C" w14:textId="15022FA8"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 xml:space="preserve">Patients with </w:t>
            </w:r>
            <w:proofErr w:type="spellStart"/>
            <w:r w:rsidRPr="00716136">
              <w:rPr>
                <w:rFonts w:ascii="Arial Narrow" w:hAnsi="Arial Narrow"/>
                <w:sz w:val="20"/>
                <w:szCs w:val="20"/>
              </w:rPr>
              <w:t>mCRPC</w:t>
            </w:r>
            <w:proofErr w:type="spellEnd"/>
            <w:r w:rsidRPr="00716136">
              <w:rPr>
                <w:rFonts w:ascii="Arial Narrow" w:hAnsi="Arial Narrow"/>
                <w:sz w:val="20"/>
                <w:szCs w:val="20"/>
              </w:rPr>
              <w:t xml:space="preserve"> who have received at least one ASI (</w:t>
            </w:r>
            <w:proofErr w:type="gramStart"/>
            <w:r w:rsidRPr="00716136">
              <w:rPr>
                <w:rFonts w:ascii="Arial Narrow" w:hAnsi="Arial Narrow"/>
                <w:sz w:val="20"/>
                <w:szCs w:val="20"/>
              </w:rPr>
              <w:t>i.e.</w:t>
            </w:r>
            <w:proofErr w:type="gramEnd"/>
            <w:r w:rsidRPr="00716136">
              <w:rPr>
                <w:rFonts w:ascii="Arial Narrow" w:hAnsi="Arial Narrow"/>
                <w:sz w:val="20"/>
                <w:szCs w:val="20"/>
              </w:rPr>
              <w:t xml:space="preserve"> abiraterone, enzalutamide or </w:t>
            </w:r>
            <w:proofErr w:type="spellStart"/>
            <w:r w:rsidRPr="00716136">
              <w:rPr>
                <w:rFonts w:ascii="Arial Narrow" w:hAnsi="Arial Narrow"/>
                <w:sz w:val="20"/>
                <w:szCs w:val="20"/>
              </w:rPr>
              <w:t>darolutamide</w:t>
            </w:r>
            <w:proofErr w:type="spellEnd"/>
            <w:r w:rsidRPr="00716136">
              <w:rPr>
                <w:rFonts w:ascii="Arial Narrow" w:hAnsi="Arial Narrow"/>
                <w:sz w:val="20"/>
                <w:szCs w:val="20"/>
              </w:rPr>
              <w:t xml:space="preserve"> via PBS/RPBS) as well as at least one line of chemotherapy (docetaxel +/- cabazitaxel via PBS/RPBS) in the setting of </w:t>
            </w:r>
            <w:proofErr w:type="spellStart"/>
            <w:r w:rsidRPr="00716136">
              <w:rPr>
                <w:rFonts w:ascii="Arial Narrow" w:hAnsi="Arial Narrow"/>
                <w:sz w:val="20"/>
                <w:szCs w:val="20"/>
              </w:rPr>
              <w:t>mCRPC</w:t>
            </w:r>
            <w:proofErr w:type="spellEnd"/>
            <w:r w:rsidRPr="00716136">
              <w:rPr>
                <w:rFonts w:ascii="Arial Narrow" w:hAnsi="Arial Narrow"/>
                <w:sz w:val="20"/>
                <w:szCs w:val="20"/>
              </w:rPr>
              <w:t xml:space="preserve"> </w:t>
            </w:r>
          </w:p>
        </w:tc>
        <w:tc>
          <w:tcPr>
            <w:tcW w:w="3660" w:type="dxa"/>
          </w:tcPr>
          <w:p w14:paraId="6F844E1B" w14:textId="4974AB6E"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No change</w:t>
            </w:r>
          </w:p>
        </w:tc>
      </w:tr>
      <w:tr w:rsidR="00E612D8" w:rsidRPr="00716136" w14:paraId="77978A55" w14:textId="77777777" w:rsidTr="00E612D8">
        <w:tc>
          <w:tcPr>
            <w:tcW w:w="1696" w:type="dxa"/>
          </w:tcPr>
          <w:p w14:paraId="642DB97A" w14:textId="1BE183A3"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Prior testing</w:t>
            </w:r>
          </w:p>
        </w:tc>
        <w:tc>
          <w:tcPr>
            <w:tcW w:w="3660" w:type="dxa"/>
          </w:tcPr>
          <w:p w14:paraId="493162A0" w14:textId="3583D48A"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 xml:space="preserve">PSMA PET/CT </w:t>
            </w:r>
          </w:p>
        </w:tc>
        <w:tc>
          <w:tcPr>
            <w:tcW w:w="3660" w:type="dxa"/>
          </w:tcPr>
          <w:p w14:paraId="06A15DC9" w14:textId="1D7D812F"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No change</w:t>
            </w:r>
          </w:p>
        </w:tc>
      </w:tr>
      <w:tr w:rsidR="00E612D8" w:rsidRPr="00716136" w14:paraId="5A701CC5" w14:textId="77777777" w:rsidTr="00E612D8">
        <w:tc>
          <w:tcPr>
            <w:tcW w:w="1696" w:type="dxa"/>
          </w:tcPr>
          <w:p w14:paraId="0BA2E66D" w14:textId="72D1B3C0" w:rsidR="00E612D8" w:rsidRPr="00716136" w:rsidRDefault="00E612D8" w:rsidP="00E612D8">
            <w:pPr>
              <w:spacing w:before="40" w:after="40"/>
              <w:rPr>
                <w:rFonts w:ascii="Arial Narrow" w:hAnsi="Arial Narrow"/>
                <w:b/>
                <w:bCs/>
                <w:sz w:val="20"/>
                <w:szCs w:val="20"/>
              </w:rPr>
            </w:pPr>
            <w:r w:rsidRPr="00716136">
              <w:rPr>
                <w:rFonts w:ascii="Arial Narrow" w:hAnsi="Arial Narrow"/>
                <w:i/>
                <w:iCs/>
                <w:sz w:val="20"/>
                <w:szCs w:val="20"/>
              </w:rPr>
              <w:t>Patient pathway</w:t>
            </w:r>
          </w:p>
        </w:tc>
        <w:tc>
          <w:tcPr>
            <w:tcW w:w="3660" w:type="dxa"/>
          </w:tcPr>
          <w:p w14:paraId="036EADB5" w14:textId="3E6AD899" w:rsidR="00E612D8" w:rsidRPr="005D5093" w:rsidRDefault="00E612D8" w:rsidP="00E612D8">
            <w:pPr>
              <w:spacing w:before="40" w:after="40"/>
              <w:rPr>
                <w:rFonts w:ascii="Arial Narrow" w:hAnsi="Arial Narrow"/>
                <w:b/>
                <w:bCs/>
                <w:sz w:val="20"/>
                <w:szCs w:val="20"/>
              </w:rPr>
            </w:pPr>
            <w:r w:rsidRPr="00A12B37">
              <w:rPr>
                <w:rFonts w:ascii="Arial Narrow" w:hAnsi="Arial Narrow"/>
                <w:sz w:val="20"/>
                <w:szCs w:val="20"/>
              </w:rPr>
              <w:t xml:space="preserve">Treatment with </w:t>
            </w:r>
            <w:r w:rsidRPr="00A12B37">
              <w:rPr>
                <w:rFonts w:ascii="Arial Narrow" w:hAnsi="Arial Narrow"/>
                <w:sz w:val="20"/>
                <w:szCs w:val="20"/>
                <w:vertAlign w:val="superscript"/>
              </w:rPr>
              <w:t>177</w:t>
            </w:r>
            <w:r w:rsidRPr="00A12B37">
              <w:rPr>
                <w:rFonts w:ascii="Arial Narrow" w:hAnsi="Arial Narrow"/>
                <w:sz w:val="20"/>
                <w:szCs w:val="20"/>
              </w:rPr>
              <w:t>Lu</w:t>
            </w:r>
            <w:r w:rsidR="0096602D">
              <w:rPr>
                <w:rFonts w:ascii="Arial Narrow" w:hAnsi="Arial Narrow"/>
                <w:sz w:val="20"/>
                <w:szCs w:val="20"/>
              </w:rPr>
              <w:t> </w:t>
            </w:r>
            <w:r w:rsidRPr="00A12B37">
              <w:rPr>
                <w:rFonts w:ascii="Arial Narrow" w:hAnsi="Arial Narrow"/>
                <w:sz w:val="20"/>
                <w:szCs w:val="20"/>
              </w:rPr>
              <w:t>PSMA</w:t>
            </w:r>
            <w:r w:rsidR="0096602D">
              <w:rPr>
                <w:rFonts w:ascii="Arial Narrow" w:hAnsi="Arial Narrow"/>
                <w:sz w:val="20"/>
                <w:szCs w:val="20"/>
              </w:rPr>
              <w:t> </w:t>
            </w:r>
            <w:proofErr w:type="spellStart"/>
            <w:r w:rsidR="0096602D">
              <w:rPr>
                <w:rFonts w:ascii="Arial Narrow" w:hAnsi="Arial Narrow"/>
                <w:sz w:val="20"/>
                <w:szCs w:val="20"/>
              </w:rPr>
              <w:t>i&amp;t</w:t>
            </w:r>
            <w:proofErr w:type="spellEnd"/>
            <w:r w:rsidRPr="00A12B37">
              <w:rPr>
                <w:rFonts w:ascii="Arial Narrow" w:hAnsi="Arial Narrow"/>
                <w:sz w:val="20"/>
                <w:szCs w:val="20"/>
              </w:rPr>
              <w:t xml:space="preserve"> is continued for a maximum of 6 cycles but should be ceased if there is evidence of disease progression or unacceptable toxicity </w:t>
            </w:r>
            <w:r w:rsidR="005D5093" w:rsidRPr="00A12B37">
              <w:rPr>
                <w:rFonts w:ascii="Arial Narrow" w:hAnsi="Arial Narrow"/>
                <w:sz w:val="20"/>
                <w:szCs w:val="20"/>
              </w:rPr>
              <w:t>h</w:t>
            </w:r>
            <w:r w:rsidRPr="00A12B37">
              <w:rPr>
                <w:rFonts w:ascii="Arial Narrow" w:hAnsi="Arial Narrow"/>
                <w:sz w:val="20"/>
                <w:szCs w:val="20"/>
              </w:rPr>
              <w:t>owever, the termination conditions were removed from the final version of the item descriptor (1686 PSD, Table 2, p.10)</w:t>
            </w:r>
          </w:p>
        </w:tc>
        <w:tc>
          <w:tcPr>
            <w:tcW w:w="3660" w:type="dxa"/>
          </w:tcPr>
          <w:p w14:paraId="480A9E85" w14:textId="2E496257" w:rsidR="00E612D8" w:rsidRPr="005D5093" w:rsidRDefault="00E612D8" w:rsidP="00E612D8">
            <w:pPr>
              <w:spacing w:before="40" w:after="40"/>
              <w:rPr>
                <w:rFonts w:ascii="Arial Narrow" w:hAnsi="Arial Narrow"/>
                <w:b/>
                <w:bCs/>
                <w:sz w:val="20"/>
                <w:szCs w:val="20"/>
              </w:rPr>
            </w:pPr>
            <w:r w:rsidRPr="00A12B37">
              <w:rPr>
                <w:rFonts w:ascii="Arial Narrow" w:hAnsi="Arial Narrow" w:cs="Times New Roman"/>
                <w:sz w:val="20"/>
                <w:szCs w:val="20"/>
              </w:rPr>
              <w:t xml:space="preserve">Only the patients who have not developed disease progression after receiving Lutetium </w:t>
            </w:r>
            <w:r w:rsidRPr="00A12B37">
              <w:rPr>
                <w:rFonts w:ascii="Arial Narrow" w:hAnsi="Arial Narrow" w:cs="Times New Roman"/>
                <w:sz w:val="20"/>
                <w:szCs w:val="20"/>
                <w:vertAlign w:val="superscript"/>
              </w:rPr>
              <w:t>177</w:t>
            </w:r>
            <w:r w:rsidRPr="00A12B37">
              <w:rPr>
                <w:rFonts w:ascii="Arial Narrow" w:hAnsi="Arial Narrow" w:cs="Times New Roman"/>
                <w:sz w:val="20"/>
                <w:szCs w:val="20"/>
              </w:rPr>
              <w:t xml:space="preserve"> PSMA in the first two cycles are eligible to continue the treatment for up to 6 cycles.</w:t>
            </w:r>
          </w:p>
        </w:tc>
      </w:tr>
      <w:tr w:rsidR="00E612D8" w:rsidRPr="00716136" w14:paraId="2FB8E7C0" w14:textId="77777777" w:rsidTr="00E612D8">
        <w:tc>
          <w:tcPr>
            <w:tcW w:w="1696" w:type="dxa"/>
          </w:tcPr>
          <w:p w14:paraId="1A0CA436" w14:textId="504E7ECB"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Comparator</w:t>
            </w:r>
          </w:p>
        </w:tc>
        <w:tc>
          <w:tcPr>
            <w:tcW w:w="3660" w:type="dxa"/>
          </w:tcPr>
          <w:p w14:paraId="6E630DC1" w14:textId="240430E3" w:rsidR="00E612D8" w:rsidRPr="00716136" w:rsidRDefault="00E612D8" w:rsidP="00E612D8">
            <w:pPr>
              <w:spacing w:before="40" w:after="40"/>
              <w:rPr>
                <w:rFonts w:ascii="Arial Narrow" w:hAnsi="Arial Narrow"/>
                <w:sz w:val="20"/>
                <w:szCs w:val="20"/>
              </w:rPr>
            </w:pPr>
            <w:r w:rsidRPr="00716136">
              <w:rPr>
                <w:rFonts w:ascii="Arial Narrow" w:hAnsi="Arial Narrow"/>
                <w:sz w:val="20"/>
                <w:szCs w:val="20"/>
              </w:rPr>
              <w:t>Base-case: Weighted comparator of 75% cabazitaxel and 25% BS</w:t>
            </w:r>
            <w:r w:rsidR="00A55817">
              <w:rPr>
                <w:rFonts w:ascii="Arial Narrow" w:hAnsi="Arial Narrow"/>
                <w:sz w:val="20"/>
                <w:szCs w:val="20"/>
              </w:rPr>
              <w:t>c</w:t>
            </w:r>
            <w:r w:rsidRPr="00716136">
              <w:rPr>
                <w:rFonts w:ascii="Arial Narrow" w:hAnsi="Arial Narrow"/>
                <w:sz w:val="20"/>
                <w:szCs w:val="20"/>
              </w:rPr>
              <w:t>.</w:t>
            </w:r>
          </w:p>
          <w:p w14:paraId="72045BA5" w14:textId="4FD43CFF"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Alternative base-case: Weighted comparator of 25% cabazitaxel and 75% BS</w:t>
            </w:r>
            <w:r w:rsidR="00A55817">
              <w:rPr>
                <w:rFonts w:ascii="Arial Narrow" w:hAnsi="Arial Narrow"/>
                <w:sz w:val="20"/>
                <w:szCs w:val="20"/>
              </w:rPr>
              <w:t>c</w:t>
            </w:r>
            <w:r w:rsidRPr="00716136">
              <w:rPr>
                <w:rFonts w:ascii="Arial Narrow" w:hAnsi="Arial Narrow"/>
                <w:sz w:val="20"/>
                <w:szCs w:val="20"/>
              </w:rPr>
              <w:t>.</w:t>
            </w:r>
          </w:p>
        </w:tc>
        <w:tc>
          <w:tcPr>
            <w:tcW w:w="3660" w:type="dxa"/>
          </w:tcPr>
          <w:p w14:paraId="2C3CB357" w14:textId="1C34D5E2"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Base-case: weighted comparator of 75% BS</w:t>
            </w:r>
            <w:r w:rsidR="00A55817">
              <w:rPr>
                <w:rFonts w:ascii="Arial Narrow" w:hAnsi="Arial Narrow"/>
                <w:sz w:val="20"/>
                <w:szCs w:val="20"/>
              </w:rPr>
              <w:t>c</w:t>
            </w:r>
            <w:r w:rsidRPr="00716136">
              <w:rPr>
                <w:rFonts w:ascii="Arial Narrow" w:hAnsi="Arial Narrow"/>
                <w:sz w:val="20"/>
                <w:szCs w:val="20"/>
              </w:rPr>
              <w:t xml:space="preserve"> and 25% cabazitaxel was made consistent with that previously considered for </w:t>
            </w:r>
            <w:proofErr w:type="spellStart"/>
            <w:r w:rsidRPr="00716136">
              <w:rPr>
                <w:rFonts w:ascii="Arial Narrow" w:hAnsi="Arial Narrow"/>
                <w:sz w:val="20"/>
                <w:szCs w:val="20"/>
              </w:rPr>
              <w:t>olaparib</w:t>
            </w:r>
            <w:proofErr w:type="spellEnd"/>
            <w:r w:rsidRPr="00716136">
              <w:rPr>
                <w:rFonts w:ascii="Arial Narrow" w:hAnsi="Arial Narrow"/>
                <w:sz w:val="20"/>
                <w:szCs w:val="20"/>
              </w:rPr>
              <w:t xml:space="preserve"> in </w:t>
            </w:r>
            <w:proofErr w:type="spellStart"/>
            <w:r w:rsidRPr="00716136">
              <w:rPr>
                <w:rFonts w:ascii="Arial Narrow" w:hAnsi="Arial Narrow"/>
                <w:sz w:val="20"/>
                <w:szCs w:val="20"/>
              </w:rPr>
              <w:t>mCRPC</w:t>
            </w:r>
            <w:proofErr w:type="spellEnd"/>
            <w:r w:rsidRPr="00716136">
              <w:rPr>
                <w:rFonts w:ascii="Arial Narrow" w:hAnsi="Arial Narrow"/>
                <w:sz w:val="20"/>
                <w:szCs w:val="20"/>
              </w:rPr>
              <w:t xml:space="preserve"> (</w:t>
            </w:r>
            <w:proofErr w:type="spellStart"/>
            <w:r w:rsidRPr="00716136">
              <w:rPr>
                <w:rFonts w:ascii="Arial Narrow" w:hAnsi="Arial Narrow"/>
                <w:sz w:val="20"/>
                <w:szCs w:val="20"/>
              </w:rPr>
              <w:t>olaparib</w:t>
            </w:r>
            <w:proofErr w:type="spellEnd"/>
            <w:r w:rsidRPr="00716136">
              <w:rPr>
                <w:rFonts w:ascii="Arial Narrow" w:hAnsi="Arial Narrow"/>
                <w:sz w:val="20"/>
                <w:szCs w:val="20"/>
              </w:rPr>
              <w:t xml:space="preserve"> PSD July 2021).</w:t>
            </w:r>
          </w:p>
        </w:tc>
      </w:tr>
      <w:tr w:rsidR="00E612D8" w:rsidRPr="00716136" w14:paraId="45414A7C" w14:textId="77777777" w:rsidTr="00E612D8">
        <w:tc>
          <w:tcPr>
            <w:tcW w:w="1696" w:type="dxa"/>
          </w:tcPr>
          <w:p w14:paraId="639F6DBD" w14:textId="53739B48"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Type(s) of analysis</w:t>
            </w:r>
          </w:p>
        </w:tc>
        <w:tc>
          <w:tcPr>
            <w:tcW w:w="3660" w:type="dxa"/>
          </w:tcPr>
          <w:p w14:paraId="7641E651" w14:textId="1518EDC1"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Cost-effectiveness analysis, and cost-utility analysis</w:t>
            </w:r>
          </w:p>
        </w:tc>
        <w:tc>
          <w:tcPr>
            <w:tcW w:w="3660" w:type="dxa"/>
          </w:tcPr>
          <w:p w14:paraId="592D9887" w14:textId="7865BB5C"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No change</w:t>
            </w:r>
          </w:p>
        </w:tc>
      </w:tr>
      <w:tr w:rsidR="00E612D8" w:rsidRPr="00716136" w14:paraId="59BAF544" w14:textId="77777777" w:rsidTr="00E612D8">
        <w:tc>
          <w:tcPr>
            <w:tcW w:w="1696" w:type="dxa"/>
          </w:tcPr>
          <w:p w14:paraId="74D34FE9" w14:textId="71D1A5BD"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Outcomes</w:t>
            </w:r>
          </w:p>
        </w:tc>
        <w:tc>
          <w:tcPr>
            <w:tcW w:w="3660" w:type="dxa"/>
          </w:tcPr>
          <w:p w14:paraId="12D04477" w14:textId="77777777" w:rsidR="00E612D8" w:rsidRPr="00716136" w:rsidRDefault="00E612D8" w:rsidP="00E612D8">
            <w:pPr>
              <w:spacing w:before="40" w:after="40"/>
              <w:rPr>
                <w:rFonts w:ascii="Arial Narrow" w:hAnsi="Arial Narrow"/>
                <w:sz w:val="20"/>
                <w:szCs w:val="20"/>
              </w:rPr>
            </w:pPr>
            <w:r w:rsidRPr="00716136">
              <w:rPr>
                <w:rFonts w:ascii="Arial Narrow" w:hAnsi="Arial Narrow"/>
                <w:sz w:val="20"/>
                <w:szCs w:val="20"/>
              </w:rPr>
              <w:t>Cost per life-year gained (cost/LYG)</w:t>
            </w:r>
          </w:p>
          <w:p w14:paraId="69AD87D1" w14:textId="5ADF45FF"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Cost per quality-adjusted life year (cost/QALY)</w:t>
            </w:r>
          </w:p>
        </w:tc>
        <w:tc>
          <w:tcPr>
            <w:tcW w:w="3660" w:type="dxa"/>
          </w:tcPr>
          <w:p w14:paraId="4140459A" w14:textId="428D2D64"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No change</w:t>
            </w:r>
          </w:p>
        </w:tc>
      </w:tr>
      <w:tr w:rsidR="00E612D8" w:rsidRPr="00716136" w14:paraId="2D6ED42E" w14:textId="77777777" w:rsidTr="00E612D8">
        <w:tc>
          <w:tcPr>
            <w:tcW w:w="1696" w:type="dxa"/>
          </w:tcPr>
          <w:p w14:paraId="6A5C17AC" w14:textId="3D13226E"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Time horizon</w:t>
            </w:r>
          </w:p>
        </w:tc>
        <w:tc>
          <w:tcPr>
            <w:tcW w:w="3660" w:type="dxa"/>
          </w:tcPr>
          <w:p w14:paraId="6A0513E6" w14:textId="221CAC48"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10 years in the base-case (vs median follow-up of 20.9 months in VISION)</w:t>
            </w:r>
          </w:p>
        </w:tc>
        <w:tc>
          <w:tcPr>
            <w:tcW w:w="3660" w:type="dxa"/>
          </w:tcPr>
          <w:p w14:paraId="5FD94667" w14:textId="01976567"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 xml:space="preserve">7.5 years in the base-case. </w:t>
            </w:r>
            <w:r w:rsidRPr="00716136">
              <w:rPr>
                <w:rFonts w:ascii="Arial Narrow" w:hAnsi="Arial Narrow"/>
                <w:i/>
                <w:iCs/>
                <w:sz w:val="20"/>
                <w:szCs w:val="20"/>
              </w:rPr>
              <w:t>The more conservative 5-year time horizon suggested by MSAC may be more</w:t>
            </w:r>
            <w:r w:rsidRPr="00716136">
              <w:rPr>
                <w:rFonts w:ascii="Arial Narrow" w:hAnsi="Arial Narrow"/>
                <w:i/>
                <w:sz w:val="20"/>
                <w:szCs w:val="20"/>
              </w:rPr>
              <w:t xml:space="preserve"> </w:t>
            </w:r>
            <w:r w:rsidRPr="00716136">
              <w:rPr>
                <w:rFonts w:ascii="Arial Narrow" w:hAnsi="Arial Narrow"/>
                <w:i/>
                <w:iCs/>
                <w:sz w:val="20"/>
                <w:szCs w:val="20"/>
              </w:rPr>
              <w:t xml:space="preserve">appropriate for the proposed population and was tested in sensitivity analysis. </w:t>
            </w:r>
          </w:p>
        </w:tc>
      </w:tr>
      <w:tr w:rsidR="00E612D8" w:rsidRPr="00716136" w14:paraId="7B383602" w14:textId="77777777" w:rsidTr="00E612D8">
        <w:tc>
          <w:tcPr>
            <w:tcW w:w="1696" w:type="dxa"/>
          </w:tcPr>
          <w:p w14:paraId="0FCEBEBB" w14:textId="382A7CF8"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Computational method</w:t>
            </w:r>
          </w:p>
        </w:tc>
        <w:tc>
          <w:tcPr>
            <w:tcW w:w="3660" w:type="dxa"/>
          </w:tcPr>
          <w:p w14:paraId="0977D37E" w14:textId="51091913"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Partitioned survival analysis, including proportional hazards approach</w:t>
            </w:r>
          </w:p>
        </w:tc>
        <w:tc>
          <w:tcPr>
            <w:tcW w:w="3660" w:type="dxa"/>
          </w:tcPr>
          <w:p w14:paraId="54F94E28" w14:textId="6513C5B7"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No change</w:t>
            </w:r>
          </w:p>
        </w:tc>
      </w:tr>
      <w:tr w:rsidR="00E612D8" w:rsidRPr="00716136" w14:paraId="5B50330B" w14:textId="77777777" w:rsidTr="00E612D8">
        <w:tc>
          <w:tcPr>
            <w:tcW w:w="1696" w:type="dxa"/>
          </w:tcPr>
          <w:p w14:paraId="367CF6FE" w14:textId="68B7BD25"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Generation of the base case</w:t>
            </w:r>
          </w:p>
        </w:tc>
        <w:tc>
          <w:tcPr>
            <w:tcW w:w="3660" w:type="dxa"/>
          </w:tcPr>
          <w:p w14:paraId="6BE0220F" w14:textId="7DC74823" w:rsidR="00E612D8" w:rsidRPr="00716136" w:rsidRDefault="00E612D8" w:rsidP="00E612D8">
            <w:pPr>
              <w:spacing w:before="40" w:after="40"/>
              <w:rPr>
                <w:rFonts w:ascii="Arial Narrow" w:hAnsi="Arial Narrow"/>
                <w:sz w:val="20"/>
                <w:szCs w:val="20"/>
              </w:rPr>
            </w:pPr>
            <w:r w:rsidRPr="00716136">
              <w:rPr>
                <w:rFonts w:ascii="Arial Narrow" w:hAnsi="Arial Narrow"/>
                <w:sz w:val="20"/>
                <w:szCs w:val="20"/>
              </w:rPr>
              <w:t xml:space="preserve">Outcomes of PFS and OS for </w:t>
            </w:r>
            <w:r w:rsidRPr="00716136">
              <w:rPr>
                <w:rFonts w:ascii="Arial Narrow" w:hAnsi="Arial Narrow"/>
                <w:sz w:val="20"/>
                <w:szCs w:val="20"/>
                <w:vertAlign w:val="superscript"/>
              </w:rPr>
              <w:t>177</w:t>
            </w:r>
            <w:r w:rsidRPr="00716136">
              <w:rPr>
                <w:rFonts w:ascii="Arial Narrow" w:hAnsi="Arial Narrow"/>
                <w:sz w:val="20"/>
                <w:szCs w:val="20"/>
              </w:rPr>
              <w:t>Lu</w:t>
            </w:r>
            <w:r w:rsidR="0096602D">
              <w:rPr>
                <w:rFonts w:ascii="Arial Narrow" w:hAnsi="Arial Narrow"/>
                <w:sz w:val="20"/>
                <w:szCs w:val="20"/>
              </w:rPr>
              <w:t> </w:t>
            </w:r>
            <w:r w:rsidRPr="00716136">
              <w:rPr>
                <w:rFonts w:ascii="Arial Narrow" w:hAnsi="Arial Narrow"/>
                <w:sz w:val="20"/>
                <w:szCs w:val="20"/>
              </w:rPr>
              <w:t>PSMA</w:t>
            </w:r>
            <w:r w:rsidR="0096602D">
              <w:rPr>
                <w:rFonts w:ascii="Arial Narrow" w:hAnsi="Arial Narrow"/>
                <w:sz w:val="20"/>
                <w:szCs w:val="20"/>
              </w:rPr>
              <w:t> </w:t>
            </w:r>
            <w:proofErr w:type="spellStart"/>
            <w:r w:rsidR="0096602D">
              <w:rPr>
                <w:rFonts w:ascii="Arial Narrow" w:hAnsi="Arial Narrow"/>
                <w:sz w:val="20"/>
                <w:szCs w:val="20"/>
              </w:rPr>
              <w:t>i&amp;t</w:t>
            </w:r>
            <w:proofErr w:type="spellEnd"/>
            <w:r w:rsidRPr="00716136">
              <w:rPr>
                <w:rFonts w:ascii="Arial Narrow" w:hAnsi="Arial Narrow"/>
                <w:sz w:val="20"/>
                <w:szCs w:val="20"/>
              </w:rPr>
              <w:t xml:space="preserve"> were sourced directly from the </w:t>
            </w:r>
            <w:r w:rsidRPr="00716136">
              <w:rPr>
                <w:rFonts w:ascii="Arial Narrow" w:hAnsi="Arial Narrow"/>
                <w:sz w:val="20"/>
                <w:szCs w:val="20"/>
                <w:vertAlign w:val="superscript"/>
              </w:rPr>
              <w:t>177</w:t>
            </w:r>
            <w:r w:rsidRPr="00716136">
              <w:rPr>
                <w:rFonts w:ascii="Arial Narrow" w:hAnsi="Arial Narrow"/>
                <w:sz w:val="20"/>
                <w:szCs w:val="20"/>
              </w:rPr>
              <w:t>Lu</w:t>
            </w:r>
            <w:r w:rsidR="0096602D">
              <w:rPr>
                <w:rFonts w:ascii="Arial Narrow" w:hAnsi="Arial Narrow"/>
                <w:sz w:val="20"/>
                <w:szCs w:val="20"/>
              </w:rPr>
              <w:t> </w:t>
            </w:r>
            <w:r w:rsidRPr="00716136">
              <w:rPr>
                <w:rFonts w:ascii="Arial Narrow" w:hAnsi="Arial Narrow"/>
                <w:sz w:val="20"/>
                <w:szCs w:val="20"/>
              </w:rPr>
              <w:t xml:space="preserve">PSMA-617 KM (ITT) data from VISION (Sartor, 2021a). Parametric functions were fitted to </w:t>
            </w:r>
            <w:r w:rsidRPr="00716136">
              <w:rPr>
                <w:rFonts w:ascii="Arial Narrow" w:hAnsi="Arial Narrow"/>
                <w:sz w:val="20"/>
                <w:szCs w:val="20"/>
                <w:vertAlign w:val="superscript"/>
              </w:rPr>
              <w:t>177</w:t>
            </w:r>
            <w:r w:rsidRPr="00716136">
              <w:rPr>
                <w:rFonts w:ascii="Arial Narrow" w:hAnsi="Arial Narrow"/>
                <w:sz w:val="20"/>
                <w:szCs w:val="20"/>
              </w:rPr>
              <w:t>Lu</w:t>
            </w:r>
            <w:r w:rsidR="0096602D">
              <w:rPr>
                <w:rFonts w:ascii="Arial Narrow" w:hAnsi="Arial Narrow"/>
                <w:sz w:val="20"/>
                <w:szCs w:val="20"/>
              </w:rPr>
              <w:t> </w:t>
            </w:r>
            <w:r w:rsidRPr="00716136">
              <w:rPr>
                <w:rFonts w:ascii="Arial Narrow" w:hAnsi="Arial Narrow"/>
                <w:sz w:val="20"/>
                <w:szCs w:val="20"/>
              </w:rPr>
              <w:t>PSMA-617 KM data (from t=0) to extrapolate PFS and OS to the model time horizon of 10 years.</w:t>
            </w:r>
          </w:p>
          <w:p w14:paraId="10878FB0" w14:textId="61275BD3" w:rsidR="00E612D8" w:rsidRPr="00716136" w:rsidRDefault="00E612D8" w:rsidP="00E612D8">
            <w:pPr>
              <w:spacing w:before="40" w:after="40"/>
              <w:rPr>
                <w:rFonts w:ascii="Arial Narrow" w:hAnsi="Arial Narrow"/>
                <w:sz w:val="20"/>
                <w:szCs w:val="20"/>
              </w:rPr>
            </w:pPr>
            <w:r w:rsidRPr="00716136">
              <w:rPr>
                <w:rFonts w:ascii="Arial Narrow" w:hAnsi="Arial Narrow"/>
                <w:sz w:val="20"/>
                <w:szCs w:val="20"/>
              </w:rPr>
              <w:t xml:space="preserve">To model </w:t>
            </w:r>
            <w:r w:rsidRPr="00716136">
              <w:rPr>
                <w:rFonts w:ascii="Arial Narrow" w:hAnsi="Arial Narrow"/>
                <w:sz w:val="20"/>
                <w:szCs w:val="20"/>
                <w:vertAlign w:val="superscript"/>
              </w:rPr>
              <w:t>177</w:t>
            </w:r>
            <w:r w:rsidRPr="00716136">
              <w:rPr>
                <w:rFonts w:ascii="Arial Narrow" w:hAnsi="Arial Narrow"/>
                <w:sz w:val="20"/>
                <w:szCs w:val="20"/>
              </w:rPr>
              <w:t>Lu</w:t>
            </w:r>
            <w:r w:rsidR="0096602D">
              <w:rPr>
                <w:rFonts w:ascii="Arial Narrow" w:hAnsi="Arial Narrow"/>
                <w:sz w:val="20"/>
                <w:szCs w:val="20"/>
              </w:rPr>
              <w:t> </w:t>
            </w:r>
            <w:r w:rsidRPr="00716136">
              <w:rPr>
                <w:rFonts w:ascii="Arial Narrow" w:hAnsi="Arial Narrow"/>
                <w:sz w:val="20"/>
                <w:szCs w:val="20"/>
              </w:rPr>
              <w:t>PSMA</w:t>
            </w:r>
            <w:r w:rsidR="0096602D">
              <w:rPr>
                <w:rFonts w:ascii="Arial Narrow" w:hAnsi="Arial Narrow"/>
                <w:sz w:val="20"/>
                <w:szCs w:val="20"/>
              </w:rPr>
              <w:t> </w:t>
            </w:r>
            <w:proofErr w:type="spellStart"/>
            <w:r w:rsidR="0096602D">
              <w:rPr>
                <w:rFonts w:ascii="Arial Narrow" w:hAnsi="Arial Narrow"/>
                <w:sz w:val="20"/>
                <w:szCs w:val="20"/>
              </w:rPr>
              <w:t>i&amp;t</w:t>
            </w:r>
            <w:proofErr w:type="spellEnd"/>
            <w:r w:rsidRPr="00716136">
              <w:rPr>
                <w:rFonts w:ascii="Arial Narrow" w:hAnsi="Arial Narrow"/>
                <w:sz w:val="20"/>
                <w:szCs w:val="20"/>
              </w:rPr>
              <w:t xml:space="preserve"> outcomes:</w:t>
            </w:r>
          </w:p>
          <w:p w14:paraId="3BA01EB1" w14:textId="3DFAAA42" w:rsidR="00E612D8" w:rsidRPr="00716136" w:rsidRDefault="00E612D8" w:rsidP="00E612D8">
            <w:pPr>
              <w:spacing w:before="40" w:after="40"/>
              <w:rPr>
                <w:rFonts w:ascii="Arial Narrow" w:hAnsi="Arial Narrow"/>
                <w:sz w:val="20"/>
                <w:szCs w:val="20"/>
              </w:rPr>
            </w:pPr>
            <w:r w:rsidRPr="00716136">
              <w:rPr>
                <w:rFonts w:ascii="Arial Narrow" w:hAnsi="Arial Narrow"/>
                <w:sz w:val="20"/>
                <w:szCs w:val="20"/>
              </w:rPr>
              <w:t xml:space="preserve">PFS and OS KM data for </w:t>
            </w:r>
            <w:r w:rsidRPr="00716136">
              <w:rPr>
                <w:rFonts w:ascii="Arial Narrow" w:hAnsi="Arial Narrow"/>
                <w:sz w:val="20"/>
                <w:szCs w:val="20"/>
                <w:vertAlign w:val="superscript"/>
              </w:rPr>
              <w:t>177</w:t>
            </w:r>
            <w:r w:rsidRPr="00716136">
              <w:rPr>
                <w:rFonts w:ascii="Arial Narrow" w:hAnsi="Arial Narrow"/>
                <w:sz w:val="20"/>
                <w:szCs w:val="20"/>
              </w:rPr>
              <w:t>Lu</w:t>
            </w:r>
            <w:r w:rsidR="0096602D">
              <w:rPr>
                <w:rFonts w:ascii="Arial Narrow" w:hAnsi="Arial Narrow"/>
                <w:sz w:val="20"/>
                <w:szCs w:val="20"/>
              </w:rPr>
              <w:t> </w:t>
            </w:r>
            <w:r w:rsidRPr="00716136">
              <w:rPr>
                <w:rFonts w:ascii="Arial Narrow" w:hAnsi="Arial Narrow"/>
                <w:sz w:val="20"/>
                <w:szCs w:val="20"/>
              </w:rPr>
              <w:t>PSMA-617 was used until 20.9 months (median follow-up of VISION as reported in Sartor (2021a)). Beyond 20.9 months, parametric functions were used. The selection of parametric extrapolation was based on goodness-of-fit and clinical plausibility (as per original ADAR).</w:t>
            </w:r>
          </w:p>
          <w:p w14:paraId="08C63848" w14:textId="54628270" w:rsidR="00E612D8" w:rsidRPr="00716136" w:rsidRDefault="00E612D8" w:rsidP="00E612D8">
            <w:pPr>
              <w:spacing w:before="40" w:after="40"/>
              <w:rPr>
                <w:rFonts w:ascii="Arial Narrow" w:hAnsi="Arial Narrow"/>
                <w:sz w:val="20"/>
                <w:szCs w:val="20"/>
              </w:rPr>
            </w:pPr>
            <w:r w:rsidRPr="00716136">
              <w:rPr>
                <w:rFonts w:ascii="Arial Narrow" w:hAnsi="Arial Narrow"/>
                <w:sz w:val="20"/>
                <w:szCs w:val="20"/>
              </w:rPr>
              <w:t>To model cabazitaxel/BS</w:t>
            </w:r>
            <w:r w:rsidR="00A55817">
              <w:rPr>
                <w:rFonts w:ascii="Arial Narrow" w:hAnsi="Arial Narrow"/>
                <w:sz w:val="20"/>
                <w:szCs w:val="20"/>
              </w:rPr>
              <w:t>c</w:t>
            </w:r>
            <w:r w:rsidRPr="00716136">
              <w:rPr>
                <w:rFonts w:ascii="Arial Narrow" w:hAnsi="Arial Narrow"/>
                <w:sz w:val="20"/>
                <w:szCs w:val="20"/>
              </w:rPr>
              <w:t xml:space="preserve"> outcomes:</w:t>
            </w:r>
          </w:p>
          <w:p w14:paraId="3769DCAD" w14:textId="6232E212" w:rsidR="00E612D8" w:rsidRPr="00716136" w:rsidRDefault="00E612D8" w:rsidP="00E612D8">
            <w:pPr>
              <w:spacing w:before="40" w:after="40"/>
              <w:rPr>
                <w:rFonts w:ascii="Arial Narrow" w:hAnsi="Arial Narrow"/>
                <w:sz w:val="20"/>
                <w:szCs w:val="20"/>
              </w:rPr>
            </w:pPr>
            <w:r w:rsidRPr="00716136">
              <w:rPr>
                <w:rFonts w:ascii="Arial Narrow" w:hAnsi="Arial Narrow"/>
                <w:sz w:val="20"/>
                <w:szCs w:val="20"/>
              </w:rPr>
              <w:t xml:space="preserve">Proportional hazards approach was adopted whereby hazard ratios for PFS and OS from </w:t>
            </w:r>
            <w:proofErr w:type="spellStart"/>
            <w:r w:rsidRPr="00716136">
              <w:rPr>
                <w:rFonts w:ascii="Arial Narrow" w:hAnsi="Arial Narrow"/>
                <w:sz w:val="20"/>
                <w:szCs w:val="20"/>
              </w:rPr>
              <w:t>TheraP</w:t>
            </w:r>
            <w:proofErr w:type="spellEnd"/>
            <w:r w:rsidRPr="00716136">
              <w:rPr>
                <w:rFonts w:ascii="Arial Narrow" w:hAnsi="Arial Narrow"/>
                <w:sz w:val="20"/>
                <w:szCs w:val="20"/>
              </w:rPr>
              <w:t xml:space="preserve"> and VISION (</w:t>
            </w:r>
            <w:proofErr w:type="spellStart"/>
            <w:r w:rsidRPr="00716136">
              <w:rPr>
                <w:rFonts w:ascii="Arial Narrow" w:hAnsi="Arial Narrow"/>
                <w:sz w:val="20"/>
                <w:szCs w:val="20"/>
              </w:rPr>
              <w:t>Hofman</w:t>
            </w:r>
            <w:proofErr w:type="spellEnd"/>
            <w:r w:rsidRPr="00716136">
              <w:rPr>
                <w:rFonts w:ascii="Arial Narrow" w:hAnsi="Arial Narrow"/>
                <w:sz w:val="20"/>
                <w:szCs w:val="20"/>
              </w:rPr>
              <w:t xml:space="preserve"> 2021, Sartor, 2021a) were applied to the modelled PFS and OS in the </w:t>
            </w:r>
            <w:r w:rsidRPr="00716136">
              <w:rPr>
                <w:rFonts w:ascii="Arial Narrow" w:hAnsi="Arial Narrow"/>
                <w:sz w:val="20"/>
                <w:szCs w:val="20"/>
                <w:vertAlign w:val="superscript"/>
              </w:rPr>
              <w:t>177</w:t>
            </w:r>
            <w:r w:rsidRPr="00716136">
              <w:rPr>
                <w:rFonts w:ascii="Arial Narrow" w:hAnsi="Arial Narrow"/>
                <w:sz w:val="20"/>
                <w:szCs w:val="20"/>
              </w:rPr>
              <w:t>Lu</w:t>
            </w:r>
            <w:r w:rsidR="007274B2">
              <w:rPr>
                <w:rFonts w:ascii="Arial Narrow" w:hAnsi="Arial Narrow"/>
                <w:sz w:val="20"/>
                <w:szCs w:val="20"/>
              </w:rPr>
              <w:t> </w:t>
            </w:r>
            <w:r w:rsidRPr="00716136">
              <w:rPr>
                <w:rFonts w:ascii="Arial Narrow" w:hAnsi="Arial Narrow"/>
                <w:sz w:val="20"/>
                <w:szCs w:val="20"/>
              </w:rPr>
              <w:t>PSMA</w:t>
            </w:r>
            <w:r w:rsidR="007274B2">
              <w:rPr>
                <w:rFonts w:ascii="Arial Narrow" w:hAnsi="Arial Narrow"/>
                <w:sz w:val="20"/>
                <w:szCs w:val="20"/>
              </w:rPr>
              <w:t> </w:t>
            </w:r>
            <w:proofErr w:type="spellStart"/>
            <w:r w:rsidR="007274B2">
              <w:rPr>
                <w:rFonts w:ascii="Arial Narrow" w:hAnsi="Arial Narrow"/>
                <w:sz w:val="20"/>
                <w:szCs w:val="20"/>
              </w:rPr>
              <w:t>i&amp;T</w:t>
            </w:r>
            <w:proofErr w:type="spellEnd"/>
            <w:r w:rsidRPr="00716136">
              <w:rPr>
                <w:rFonts w:ascii="Arial Narrow" w:hAnsi="Arial Narrow"/>
                <w:sz w:val="20"/>
                <w:szCs w:val="20"/>
              </w:rPr>
              <w:t xml:space="preserve"> arm.</w:t>
            </w:r>
          </w:p>
          <w:p w14:paraId="7343AD5D" w14:textId="77777777" w:rsidR="00E612D8" w:rsidRPr="00716136" w:rsidRDefault="00E612D8" w:rsidP="00E612D8">
            <w:pPr>
              <w:spacing w:before="40" w:after="40"/>
              <w:rPr>
                <w:rFonts w:ascii="Arial Narrow" w:hAnsi="Arial Narrow" w:cs="Times New Roman"/>
                <w:i/>
                <w:iCs/>
                <w:sz w:val="20"/>
                <w:szCs w:val="20"/>
              </w:rPr>
            </w:pPr>
            <w:r w:rsidRPr="00716136">
              <w:rPr>
                <w:rFonts w:ascii="Arial Narrow" w:hAnsi="Arial Narrow" w:cs="Times New Roman"/>
                <w:i/>
                <w:iCs/>
                <w:sz w:val="20"/>
                <w:szCs w:val="20"/>
              </w:rPr>
              <w:t>In particular,</w:t>
            </w:r>
          </w:p>
          <w:p w14:paraId="065EC4CC" w14:textId="08C9313F" w:rsidR="00E612D8" w:rsidRPr="00716136" w:rsidRDefault="00E612D8" w:rsidP="00E612D8">
            <w:pPr>
              <w:spacing w:before="40" w:after="40"/>
              <w:rPr>
                <w:rFonts w:ascii="Arial Narrow" w:hAnsi="Arial Narrow" w:cs="Times New Roman"/>
                <w:i/>
                <w:iCs/>
                <w:sz w:val="20"/>
                <w:szCs w:val="20"/>
              </w:rPr>
            </w:pPr>
            <w:r w:rsidRPr="00716136">
              <w:rPr>
                <w:rFonts w:ascii="Arial Narrow" w:hAnsi="Arial Narrow" w:cs="Times New Roman"/>
                <w:i/>
                <w:iCs/>
                <w:sz w:val="20"/>
                <w:szCs w:val="20"/>
              </w:rPr>
              <w:lastRenderedPageBreak/>
              <w:t>Data from VISION</w:t>
            </w:r>
            <w:r w:rsidR="00AE1232">
              <w:rPr>
                <w:rFonts w:ascii="Arial Narrow" w:hAnsi="Arial Narrow" w:cs="Times New Roman"/>
                <w:i/>
                <w:iCs/>
                <w:sz w:val="20"/>
                <w:szCs w:val="20"/>
              </w:rPr>
              <w:t xml:space="preserve"> </w:t>
            </w:r>
            <w:r w:rsidR="00AE1232" w:rsidRPr="00AE1232">
              <w:rPr>
                <w:rFonts w:ascii="Arial Narrow" w:hAnsi="Arial Narrow" w:cs="Times New Roman"/>
                <w:i/>
                <w:iCs/>
                <w:sz w:val="20"/>
                <w:szCs w:val="20"/>
              </w:rPr>
              <w:t>(</w:t>
            </w:r>
            <w:r w:rsidR="00AE1232" w:rsidRPr="00AB49AA">
              <w:rPr>
                <w:rFonts w:ascii="Arial Narrow" w:hAnsi="Arial Narrow"/>
                <w:i/>
                <w:iCs/>
                <w:sz w:val="20"/>
                <w:szCs w:val="20"/>
                <w:vertAlign w:val="superscript"/>
              </w:rPr>
              <w:t>177</w:t>
            </w:r>
            <w:r w:rsidR="00AE1232" w:rsidRPr="00AB49AA">
              <w:rPr>
                <w:rFonts w:ascii="Arial Narrow" w:hAnsi="Arial Narrow"/>
                <w:i/>
                <w:iCs/>
                <w:sz w:val="20"/>
                <w:szCs w:val="20"/>
              </w:rPr>
              <w:t>Lu PSMA-617)</w:t>
            </w:r>
            <w:r w:rsidR="00AE1232">
              <w:rPr>
                <w:rFonts w:ascii="Arial Narrow" w:hAnsi="Arial Narrow"/>
                <w:sz w:val="20"/>
                <w:szCs w:val="20"/>
              </w:rPr>
              <w:t xml:space="preserve"> </w:t>
            </w:r>
            <w:r w:rsidRPr="00716136">
              <w:rPr>
                <w:rFonts w:ascii="Arial Narrow" w:hAnsi="Arial Narrow" w:cs="Times New Roman"/>
                <w:i/>
                <w:iCs/>
                <w:sz w:val="20"/>
                <w:szCs w:val="20"/>
              </w:rPr>
              <w:t xml:space="preserve">was used to inform PFS and OS of </w:t>
            </w:r>
            <w:r w:rsidRPr="00716136">
              <w:rPr>
                <w:rFonts w:ascii="Arial Narrow" w:hAnsi="Arial Narrow" w:cs="Times New Roman"/>
                <w:i/>
                <w:iCs/>
                <w:sz w:val="20"/>
                <w:szCs w:val="20"/>
                <w:vertAlign w:val="superscript"/>
              </w:rPr>
              <w:t>177</w:t>
            </w:r>
            <w:r w:rsidRPr="00716136">
              <w:rPr>
                <w:rFonts w:ascii="Arial Narrow" w:hAnsi="Arial Narrow" w:cs="Times New Roman"/>
                <w:i/>
                <w:iCs/>
                <w:sz w:val="20"/>
                <w:szCs w:val="20"/>
              </w:rPr>
              <w:t>Lu</w:t>
            </w:r>
            <w:r w:rsidR="00AE1232">
              <w:rPr>
                <w:rFonts w:ascii="Arial Narrow" w:hAnsi="Arial Narrow" w:cs="Times New Roman"/>
                <w:i/>
                <w:iCs/>
                <w:sz w:val="20"/>
                <w:szCs w:val="20"/>
              </w:rPr>
              <w:t> </w:t>
            </w:r>
            <w:r w:rsidRPr="00716136">
              <w:rPr>
                <w:rFonts w:ascii="Arial Narrow" w:hAnsi="Arial Narrow" w:cs="Times New Roman"/>
                <w:i/>
                <w:iCs/>
                <w:sz w:val="20"/>
                <w:szCs w:val="20"/>
              </w:rPr>
              <w:t>PSMA</w:t>
            </w:r>
            <w:r w:rsidR="00AE1232">
              <w:rPr>
                <w:rFonts w:ascii="Arial Narrow" w:hAnsi="Arial Narrow" w:cs="Times New Roman"/>
                <w:i/>
                <w:iCs/>
                <w:sz w:val="20"/>
                <w:szCs w:val="20"/>
              </w:rPr>
              <w:t> </w:t>
            </w:r>
            <w:proofErr w:type="spellStart"/>
            <w:r w:rsidR="00AE1232">
              <w:rPr>
                <w:rFonts w:ascii="Arial Narrow" w:hAnsi="Arial Narrow" w:cs="Times New Roman"/>
                <w:i/>
                <w:iCs/>
                <w:sz w:val="20"/>
                <w:szCs w:val="20"/>
              </w:rPr>
              <w:t>i&amp;t</w:t>
            </w:r>
            <w:proofErr w:type="spellEnd"/>
            <w:r w:rsidRPr="00716136">
              <w:rPr>
                <w:rFonts w:ascii="Arial Narrow" w:hAnsi="Arial Narrow" w:cs="Times New Roman"/>
                <w:i/>
                <w:iCs/>
                <w:sz w:val="20"/>
                <w:szCs w:val="20"/>
              </w:rPr>
              <w:t xml:space="preserve"> vs BS</w:t>
            </w:r>
            <w:r w:rsidR="00A55817">
              <w:rPr>
                <w:rFonts w:ascii="Arial Narrow" w:hAnsi="Arial Narrow" w:cs="Times New Roman"/>
                <w:i/>
                <w:iCs/>
                <w:sz w:val="20"/>
                <w:szCs w:val="20"/>
              </w:rPr>
              <w:t>c</w:t>
            </w:r>
            <w:r w:rsidR="00AE1232">
              <w:rPr>
                <w:rFonts w:ascii="Arial Narrow" w:hAnsi="Arial Narrow" w:cs="Times New Roman"/>
                <w:i/>
                <w:iCs/>
                <w:sz w:val="20"/>
                <w:szCs w:val="20"/>
              </w:rPr>
              <w:t xml:space="preserve"> in the </w:t>
            </w:r>
            <w:proofErr w:type="gramStart"/>
            <w:r w:rsidR="00AE1232">
              <w:rPr>
                <w:rFonts w:ascii="Arial Narrow" w:hAnsi="Arial Narrow" w:cs="Times New Roman"/>
                <w:i/>
                <w:iCs/>
                <w:sz w:val="20"/>
                <w:szCs w:val="20"/>
              </w:rPr>
              <w:t>model</w:t>
            </w:r>
            <w:proofErr w:type="gramEnd"/>
          </w:p>
          <w:p w14:paraId="7CB06AE5" w14:textId="2972EB38" w:rsidR="00E612D8" w:rsidRPr="00716136" w:rsidRDefault="00E612D8" w:rsidP="00E612D8">
            <w:pPr>
              <w:spacing w:before="40" w:after="40"/>
              <w:rPr>
                <w:rFonts w:ascii="Arial Narrow" w:hAnsi="Arial Narrow" w:cs="Times New Roman"/>
                <w:i/>
                <w:iCs/>
                <w:sz w:val="20"/>
                <w:szCs w:val="20"/>
              </w:rPr>
            </w:pPr>
            <w:proofErr w:type="spellStart"/>
            <w:r w:rsidRPr="00716136">
              <w:rPr>
                <w:rFonts w:ascii="Arial Narrow" w:hAnsi="Arial Narrow" w:cs="Times New Roman"/>
                <w:i/>
                <w:iCs/>
                <w:sz w:val="20"/>
                <w:szCs w:val="20"/>
              </w:rPr>
              <w:t>TheraP</w:t>
            </w:r>
            <w:proofErr w:type="spellEnd"/>
            <w:r w:rsidRPr="00716136">
              <w:rPr>
                <w:rFonts w:ascii="Arial Narrow" w:hAnsi="Arial Narrow" w:cs="Times New Roman"/>
                <w:i/>
                <w:iCs/>
                <w:sz w:val="20"/>
                <w:szCs w:val="20"/>
              </w:rPr>
              <w:t xml:space="preserve"> </w:t>
            </w:r>
            <w:r w:rsidR="00AE1232" w:rsidRPr="00AE1232">
              <w:rPr>
                <w:rFonts w:ascii="Arial Narrow" w:hAnsi="Arial Narrow" w:cs="Times New Roman"/>
                <w:i/>
                <w:iCs/>
                <w:sz w:val="20"/>
                <w:szCs w:val="20"/>
              </w:rPr>
              <w:t>(</w:t>
            </w:r>
            <w:r w:rsidR="00AE1232" w:rsidRPr="00AD35AE">
              <w:rPr>
                <w:rFonts w:ascii="Arial Narrow" w:hAnsi="Arial Narrow"/>
                <w:i/>
                <w:iCs/>
                <w:sz w:val="20"/>
                <w:szCs w:val="20"/>
                <w:vertAlign w:val="superscript"/>
              </w:rPr>
              <w:t>177</w:t>
            </w:r>
            <w:r w:rsidR="00AE1232" w:rsidRPr="00AD35AE">
              <w:rPr>
                <w:rFonts w:ascii="Arial Narrow" w:hAnsi="Arial Narrow"/>
                <w:i/>
                <w:iCs/>
                <w:sz w:val="20"/>
                <w:szCs w:val="20"/>
              </w:rPr>
              <w:t>Lu PSMA-617)</w:t>
            </w:r>
            <w:r w:rsidR="00AE1232">
              <w:rPr>
                <w:rFonts w:ascii="Arial Narrow" w:hAnsi="Arial Narrow"/>
                <w:sz w:val="20"/>
                <w:szCs w:val="20"/>
              </w:rPr>
              <w:t xml:space="preserve"> </w:t>
            </w:r>
            <w:r w:rsidRPr="00716136">
              <w:rPr>
                <w:rFonts w:ascii="Arial Narrow" w:hAnsi="Arial Narrow" w:cs="Times New Roman"/>
                <w:i/>
                <w:iCs/>
                <w:sz w:val="20"/>
                <w:szCs w:val="20"/>
              </w:rPr>
              <w:t xml:space="preserve">was used to inform the PFS of </w:t>
            </w:r>
            <w:r w:rsidRPr="00716136">
              <w:rPr>
                <w:rFonts w:ascii="Arial Narrow" w:hAnsi="Arial Narrow" w:cs="Times New Roman"/>
                <w:i/>
                <w:iCs/>
                <w:sz w:val="20"/>
                <w:szCs w:val="20"/>
                <w:vertAlign w:val="superscript"/>
              </w:rPr>
              <w:t>177</w:t>
            </w:r>
            <w:r w:rsidRPr="00716136">
              <w:rPr>
                <w:rFonts w:ascii="Arial Narrow" w:hAnsi="Arial Narrow" w:cs="Times New Roman"/>
                <w:i/>
                <w:iCs/>
                <w:sz w:val="20"/>
                <w:szCs w:val="20"/>
              </w:rPr>
              <w:t>Lu</w:t>
            </w:r>
            <w:r w:rsidR="00AE1232">
              <w:rPr>
                <w:rFonts w:ascii="Arial Narrow" w:hAnsi="Arial Narrow" w:cs="Times New Roman"/>
                <w:i/>
                <w:iCs/>
                <w:sz w:val="20"/>
                <w:szCs w:val="20"/>
              </w:rPr>
              <w:t> </w:t>
            </w:r>
            <w:r w:rsidRPr="00716136">
              <w:rPr>
                <w:rFonts w:ascii="Arial Narrow" w:hAnsi="Arial Narrow" w:cs="Times New Roman"/>
                <w:i/>
                <w:iCs/>
                <w:sz w:val="20"/>
                <w:szCs w:val="20"/>
              </w:rPr>
              <w:t>PSMA</w:t>
            </w:r>
            <w:r w:rsidR="00AE1232">
              <w:rPr>
                <w:rFonts w:ascii="Arial Narrow" w:hAnsi="Arial Narrow" w:cs="Times New Roman"/>
                <w:i/>
                <w:iCs/>
                <w:sz w:val="20"/>
                <w:szCs w:val="20"/>
              </w:rPr>
              <w:t> </w:t>
            </w:r>
            <w:proofErr w:type="spellStart"/>
            <w:r w:rsidR="00AE1232">
              <w:rPr>
                <w:rFonts w:ascii="Arial Narrow" w:hAnsi="Arial Narrow" w:cs="Times New Roman"/>
                <w:i/>
                <w:iCs/>
                <w:sz w:val="20"/>
                <w:szCs w:val="20"/>
              </w:rPr>
              <w:t>i&amp;t</w:t>
            </w:r>
            <w:proofErr w:type="spellEnd"/>
            <w:r w:rsidRPr="00716136">
              <w:rPr>
                <w:rFonts w:ascii="Arial Narrow" w:hAnsi="Arial Narrow" w:cs="Times New Roman"/>
                <w:i/>
                <w:iCs/>
                <w:sz w:val="20"/>
                <w:szCs w:val="20"/>
              </w:rPr>
              <w:t xml:space="preserve"> versus </w:t>
            </w:r>
            <w:proofErr w:type="spellStart"/>
            <w:proofErr w:type="gramStart"/>
            <w:r w:rsidRPr="00716136">
              <w:rPr>
                <w:rFonts w:ascii="Arial Narrow" w:hAnsi="Arial Narrow" w:cs="Times New Roman"/>
                <w:i/>
                <w:iCs/>
                <w:sz w:val="20"/>
                <w:szCs w:val="20"/>
              </w:rPr>
              <w:t>cabazitaxel</w:t>
            </w:r>
            <w:proofErr w:type="spellEnd"/>
            <w:proofErr w:type="gramEnd"/>
            <w:r w:rsidRPr="00716136">
              <w:rPr>
                <w:rFonts w:ascii="Arial Narrow" w:hAnsi="Arial Narrow" w:cs="Times New Roman"/>
                <w:i/>
                <w:iCs/>
                <w:sz w:val="20"/>
                <w:szCs w:val="20"/>
              </w:rPr>
              <w:t xml:space="preserve"> </w:t>
            </w:r>
          </w:p>
          <w:p w14:paraId="1701DA84" w14:textId="1F7A45C7" w:rsidR="00E612D8" w:rsidRPr="00716136" w:rsidRDefault="00E612D8" w:rsidP="00E612D8">
            <w:pPr>
              <w:spacing w:before="40" w:after="40"/>
              <w:rPr>
                <w:rFonts w:ascii="Arial Narrow" w:hAnsi="Arial Narrow" w:cs="Times New Roman"/>
                <w:i/>
                <w:iCs/>
                <w:sz w:val="20"/>
                <w:szCs w:val="20"/>
              </w:rPr>
            </w:pPr>
            <w:r w:rsidRPr="00716136">
              <w:rPr>
                <w:rFonts w:ascii="Arial Narrow" w:hAnsi="Arial Narrow" w:cs="Times New Roman"/>
                <w:i/>
                <w:iCs/>
                <w:sz w:val="20"/>
                <w:szCs w:val="20"/>
              </w:rPr>
              <w:t xml:space="preserve">In the absence of OS data from </w:t>
            </w:r>
            <w:proofErr w:type="spellStart"/>
            <w:r w:rsidRPr="00716136">
              <w:rPr>
                <w:rFonts w:ascii="Arial Narrow" w:hAnsi="Arial Narrow" w:cs="Times New Roman"/>
                <w:i/>
                <w:iCs/>
                <w:sz w:val="20"/>
                <w:szCs w:val="20"/>
              </w:rPr>
              <w:t>TheraP</w:t>
            </w:r>
            <w:proofErr w:type="spellEnd"/>
            <w:r w:rsidRPr="00716136">
              <w:rPr>
                <w:rFonts w:ascii="Arial Narrow" w:hAnsi="Arial Narrow" w:cs="Times New Roman"/>
                <w:i/>
                <w:iCs/>
                <w:sz w:val="20"/>
                <w:szCs w:val="20"/>
              </w:rPr>
              <w:t xml:space="preserve"> to inform the comparative effectiveness of </w:t>
            </w:r>
            <w:r w:rsidRPr="00716136">
              <w:rPr>
                <w:rFonts w:ascii="Arial Narrow" w:hAnsi="Arial Narrow" w:cs="Times New Roman"/>
                <w:i/>
                <w:iCs/>
                <w:sz w:val="20"/>
                <w:szCs w:val="20"/>
                <w:vertAlign w:val="superscript"/>
              </w:rPr>
              <w:t>177</w:t>
            </w:r>
            <w:r w:rsidRPr="00716136">
              <w:rPr>
                <w:rFonts w:ascii="Arial Narrow" w:hAnsi="Arial Narrow" w:cs="Times New Roman"/>
                <w:i/>
                <w:iCs/>
                <w:sz w:val="20"/>
                <w:szCs w:val="20"/>
              </w:rPr>
              <w:t>Lu</w:t>
            </w:r>
            <w:r w:rsidR="005774C9">
              <w:rPr>
                <w:rFonts w:ascii="Arial Narrow" w:hAnsi="Arial Narrow" w:cs="Times New Roman"/>
                <w:i/>
                <w:iCs/>
                <w:sz w:val="20"/>
                <w:szCs w:val="20"/>
              </w:rPr>
              <w:t> </w:t>
            </w:r>
            <w:r w:rsidRPr="00716136">
              <w:rPr>
                <w:rFonts w:ascii="Arial Narrow" w:hAnsi="Arial Narrow" w:cs="Times New Roman"/>
                <w:i/>
                <w:iCs/>
                <w:sz w:val="20"/>
                <w:szCs w:val="20"/>
              </w:rPr>
              <w:t>PSM</w:t>
            </w:r>
            <w:r w:rsidR="005774C9">
              <w:rPr>
                <w:rFonts w:cs="Times New Roman"/>
                <w:i/>
                <w:iCs/>
                <w:sz w:val="20"/>
                <w:szCs w:val="20"/>
              </w:rPr>
              <w:t>A </w:t>
            </w:r>
            <w:proofErr w:type="spellStart"/>
            <w:r w:rsidR="005774C9">
              <w:rPr>
                <w:rFonts w:cs="Times New Roman"/>
                <w:i/>
                <w:iCs/>
                <w:sz w:val="20"/>
                <w:szCs w:val="20"/>
              </w:rPr>
              <w:t>i&amp;t</w:t>
            </w:r>
            <w:proofErr w:type="spellEnd"/>
            <w:r w:rsidRPr="00716136">
              <w:rPr>
                <w:rFonts w:ascii="Arial Narrow" w:hAnsi="Arial Narrow" w:cs="Times New Roman"/>
                <w:i/>
                <w:iCs/>
                <w:sz w:val="20"/>
                <w:szCs w:val="20"/>
              </w:rPr>
              <w:t xml:space="preserve"> versus </w:t>
            </w:r>
            <w:proofErr w:type="spellStart"/>
            <w:r w:rsidRPr="00716136">
              <w:rPr>
                <w:rFonts w:ascii="Arial Narrow" w:hAnsi="Arial Narrow" w:cs="Times New Roman"/>
                <w:i/>
                <w:iCs/>
                <w:sz w:val="20"/>
                <w:szCs w:val="20"/>
              </w:rPr>
              <w:t>cabazitaxel</w:t>
            </w:r>
            <w:proofErr w:type="spellEnd"/>
            <w:r w:rsidRPr="00716136">
              <w:rPr>
                <w:rFonts w:ascii="Arial Narrow" w:hAnsi="Arial Narrow" w:cs="Times New Roman"/>
                <w:i/>
                <w:iCs/>
                <w:sz w:val="20"/>
                <w:szCs w:val="20"/>
              </w:rPr>
              <w:t xml:space="preserve">, the base case assumed the comparative OS benefit for </w:t>
            </w:r>
            <w:r w:rsidRPr="00716136">
              <w:rPr>
                <w:rFonts w:ascii="Arial Narrow" w:hAnsi="Arial Narrow" w:cs="Times New Roman"/>
                <w:i/>
                <w:iCs/>
                <w:sz w:val="20"/>
                <w:szCs w:val="20"/>
                <w:vertAlign w:val="superscript"/>
              </w:rPr>
              <w:t>177</w:t>
            </w:r>
            <w:r w:rsidRPr="00716136">
              <w:rPr>
                <w:rFonts w:ascii="Arial Narrow" w:hAnsi="Arial Narrow" w:cs="Times New Roman"/>
                <w:i/>
                <w:iCs/>
                <w:sz w:val="20"/>
                <w:szCs w:val="20"/>
              </w:rPr>
              <w:t>Lu</w:t>
            </w:r>
            <w:r w:rsidR="00217FC1">
              <w:rPr>
                <w:rFonts w:ascii="Arial Narrow" w:hAnsi="Arial Narrow" w:cs="Times New Roman"/>
                <w:i/>
                <w:iCs/>
                <w:sz w:val="20"/>
                <w:szCs w:val="20"/>
              </w:rPr>
              <w:t> </w:t>
            </w:r>
            <w:r w:rsidRPr="00716136">
              <w:rPr>
                <w:rFonts w:ascii="Arial Narrow" w:hAnsi="Arial Narrow" w:cs="Times New Roman"/>
                <w:i/>
                <w:iCs/>
                <w:sz w:val="20"/>
                <w:szCs w:val="20"/>
              </w:rPr>
              <w:t>PSMA</w:t>
            </w:r>
            <w:r w:rsidR="00CA0CAC">
              <w:rPr>
                <w:rFonts w:ascii="Arial Narrow" w:hAnsi="Arial Narrow" w:cs="Times New Roman"/>
                <w:i/>
                <w:iCs/>
                <w:sz w:val="20"/>
                <w:szCs w:val="20"/>
              </w:rPr>
              <w:t>-617</w:t>
            </w:r>
            <w:r w:rsidRPr="00716136">
              <w:rPr>
                <w:rFonts w:ascii="Arial Narrow" w:hAnsi="Arial Narrow" w:cs="Times New Roman"/>
                <w:i/>
                <w:iCs/>
                <w:sz w:val="20"/>
                <w:szCs w:val="20"/>
              </w:rPr>
              <w:t xml:space="preserve"> versus cabazitaxel is the same for </w:t>
            </w:r>
            <w:r w:rsidRPr="00716136">
              <w:rPr>
                <w:rFonts w:ascii="Arial Narrow" w:hAnsi="Arial Narrow" w:cs="Times New Roman"/>
                <w:i/>
                <w:iCs/>
                <w:sz w:val="20"/>
                <w:szCs w:val="20"/>
                <w:vertAlign w:val="superscript"/>
              </w:rPr>
              <w:t>177</w:t>
            </w:r>
            <w:r w:rsidRPr="00716136">
              <w:rPr>
                <w:rFonts w:ascii="Arial Narrow" w:hAnsi="Arial Narrow" w:cs="Times New Roman"/>
                <w:i/>
                <w:iCs/>
                <w:sz w:val="20"/>
                <w:szCs w:val="20"/>
              </w:rPr>
              <w:t>Lu</w:t>
            </w:r>
            <w:r w:rsidR="00CA0CAC">
              <w:rPr>
                <w:rFonts w:ascii="Arial Narrow" w:hAnsi="Arial Narrow" w:cs="Times New Roman"/>
                <w:i/>
                <w:iCs/>
                <w:sz w:val="20"/>
                <w:szCs w:val="20"/>
              </w:rPr>
              <w:t> </w:t>
            </w:r>
            <w:r w:rsidRPr="00716136">
              <w:rPr>
                <w:rFonts w:ascii="Arial Narrow" w:hAnsi="Arial Narrow" w:cs="Times New Roman"/>
                <w:i/>
                <w:iCs/>
                <w:sz w:val="20"/>
                <w:szCs w:val="20"/>
              </w:rPr>
              <w:t>PSM</w:t>
            </w:r>
            <w:r w:rsidR="00CA0CAC">
              <w:rPr>
                <w:rFonts w:ascii="Arial Narrow" w:hAnsi="Arial Narrow" w:cs="Times New Roman"/>
                <w:i/>
                <w:iCs/>
                <w:sz w:val="20"/>
                <w:szCs w:val="20"/>
              </w:rPr>
              <w:t>-617</w:t>
            </w:r>
            <w:r w:rsidRPr="00716136">
              <w:rPr>
                <w:rFonts w:ascii="Arial Narrow" w:hAnsi="Arial Narrow" w:cs="Times New Roman"/>
                <w:i/>
                <w:iCs/>
                <w:sz w:val="20"/>
                <w:szCs w:val="20"/>
              </w:rPr>
              <w:t>A versus BS</w:t>
            </w:r>
            <w:r w:rsidR="00A55817">
              <w:rPr>
                <w:rFonts w:ascii="Arial Narrow" w:hAnsi="Arial Narrow" w:cs="Times New Roman"/>
                <w:i/>
                <w:iCs/>
                <w:sz w:val="20"/>
                <w:szCs w:val="20"/>
              </w:rPr>
              <w:t>c</w:t>
            </w:r>
            <w:r w:rsidRPr="00716136">
              <w:rPr>
                <w:rFonts w:ascii="Arial Narrow" w:hAnsi="Arial Narrow" w:cs="Times New Roman"/>
                <w:i/>
                <w:iCs/>
                <w:sz w:val="20"/>
                <w:szCs w:val="20"/>
              </w:rPr>
              <w:t xml:space="preserve"> (</w:t>
            </w:r>
            <w:proofErr w:type="gramStart"/>
            <w:r w:rsidRPr="00716136">
              <w:rPr>
                <w:rFonts w:ascii="Arial Narrow" w:hAnsi="Arial Narrow" w:cs="Times New Roman"/>
                <w:i/>
                <w:iCs/>
                <w:sz w:val="20"/>
                <w:szCs w:val="20"/>
              </w:rPr>
              <w:t>i.e.</w:t>
            </w:r>
            <w:proofErr w:type="gramEnd"/>
            <w:r w:rsidRPr="00716136">
              <w:rPr>
                <w:rFonts w:ascii="Arial Narrow" w:hAnsi="Arial Narrow" w:cs="Times New Roman"/>
                <w:i/>
                <w:iCs/>
                <w:sz w:val="20"/>
                <w:szCs w:val="20"/>
              </w:rPr>
              <w:t xml:space="preserve"> HR=0.62) </w:t>
            </w:r>
          </w:p>
          <w:p w14:paraId="731C494F" w14:textId="3D28AF3A"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i/>
                <w:iCs/>
                <w:sz w:val="20"/>
                <w:szCs w:val="20"/>
              </w:rPr>
              <w:t>This value of HR=0.62 was subjected to extensive sensitivity analysis</w:t>
            </w:r>
            <w:r w:rsidRPr="00716136">
              <w:rPr>
                <w:rFonts w:ascii="Arial Narrow" w:hAnsi="Arial Narrow" w:cs="Times New Roman"/>
                <w:sz w:val="20"/>
                <w:szCs w:val="20"/>
              </w:rPr>
              <w:t xml:space="preserve"> </w:t>
            </w:r>
          </w:p>
        </w:tc>
        <w:tc>
          <w:tcPr>
            <w:tcW w:w="3660" w:type="dxa"/>
          </w:tcPr>
          <w:p w14:paraId="5CD72387" w14:textId="77777777" w:rsidR="00E612D8" w:rsidRPr="00716136" w:rsidRDefault="00E612D8" w:rsidP="00E612D8">
            <w:pPr>
              <w:spacing w:before="40" w:after="40"/>
              <w:rPr>
                <w:rFonts w:ascii="Arial Narrow" w:hAnsi="Arial Narrow" w:cs="Times New Roman"/>
                <w:sz w:val="20"/>
                <w:szCs w:val="20"/>
              </w:rPr>
            </w:pPr>
            <w:r w:rsidRPr="00716136">
              <w:rPr>
                <w:rFonts w:ascii="Arial Narrow" w:hAnsi="Arial Narrow" w:cs="Times New Roman"/>
                <w:sz w:val="20"/>
                <w:szCs w:val="20"/>
              </w:rPr>
              <w:lastRenderedPageBreak/>
              <w:t xml:space="preserve">No change in the modelling approach. Hazard ratios for OS [updated to 1.0 from 0.62] and PFS [updated to 0.62 from 0.63] in the cabazitaxel comparator arm were sourced from latest data from the </w:t>
            </w:r>
            <w:proofErr w:type="gramStart"/>
            <w:r w:rsidRPr="00716136">
              <w:rPr>
                <w:rFonts w:ascii="Arial Narrow" w:hAnsi="Arial Narrow" w:cs="Times New Roman"/>
                <w:sz w:val="20"/>
                <w:szCs w:val="20"/>
              </w:rPr>
              <w:t>three year</w:t>
            </w:r>
            <w:proofErr w:type="gramEnd"/>
            <w:r w:rsidRPr="00716136">
              <w:rPr>
                <w:rFonts w:ascii="Arial Narrow" w:hAnsi="Arial Narrow" w:cs="Times New Roman"/>
                <w:sz w:val="20"/>
                <w:szCs w:val="20"/>
              </w:rPr>
              <w:t xml:space="preserve"> follow-up of </w:t>
            </w:r>
            <w:proofErr w:type="spellStart"/>
            <w:r w:rsidRPr="00716136">
              <w:rPr>
                <w:rFonts w:ascii="Arial Narrow" w:hAnsi="Arial Narrow" w:cs="Times New Roman"/>
                <w:sz w:val="20"/>
                <w:szCs w:val="20"/>
              </w:rPr>
              <w:t>TheraP</w:t>
            </w:r>
            <w:proofErr w:type="spellEnd"/>
            <w:r w:rsidRPr="00716136">
              <w:rPr>
                <w:rFonts w:ascii="Arial Narrow" w:hAnsi="Arial Narrow" w:cs="Times New Roman"/>
                <w:sz w:val="20"/>
                <w:szCs w:val="20"/>
              </w:rPr>
              <w:t xml:space="preserve"> (</w:t>
            </w:r>
            <w:proofErr w:type="spellStart"/>
            <w:r w:rsidRPr="00716136">
              <w:rPr>
                <w:rFonts w:ascii="Arial Narrow" w:hAnsi="Arial Narrow" w:cs="Times New Roman"/>
                <w:sz w:val="20"/>
                <w:szCs w:val="20"/>
              </w:rPr>
              <w:t>Hofman</w:t>
            </w:r>
            <w:proofErr w:type="spellEnd"/>
            <w:r w:rsidRPr="00716136">
              <w:rPr>
                <w:rFonts w:ascii="Arial Narrow" w:hAnsi="Arial Narrow" w:cs="Times New Roman"/>
                <w:sz w:val="20"/>
                <w:szCs w:val="20"/>
              </w:rPr>
              <w:t xml:space="preserve"> 2022) provided in the previous application [pre-MSAC response].</w:t>
            </w:r>
          </w:p>
          <w:p w14:paraId="447ADB9E" w14:textId="33A90E7B" w:rsidR="00E612D8" w:rsidRPr="00716136" w:rsidRDefault="00E612D8" w:rsidP="00E612D8">
            <w:pPr>
              <w:spacing w:before="40" w:after="40"/>
              <w:rPr>
                <w:rFonts w:ascii="Arial Narrow" w:hAnsi="Arial Narrow"/>
                <w:i/>
                <w:iCs/>
                <w:sz w:val="20"/>
                <w:szCs w:val="20"/>
              </w:rPr>
            </w:pPr>
            <w:r w:rsidRPr="00716136">
              <w:rPr>
                <w:rFonts w:ascii="Arial Narrow" w:hAnsi="Arial Narrow"/>
                <w:i/>
                <w:iCs/>
                <w:sz w:val="20"/>
                <w:szCs w:val="20"/>
              </w:rPr>
              <w:t>Note, HR for the comparator PFS is a weighted sum of HR Lu</w:t>
            </w:r>
            <w:r w:rsidR="007274B2">
              <w:rPr>
                <w:rFonts w:ascii="Arial Narrow" w:hAnsi="Arial Narrow"/>
                <w:i/>
                <w:iCs/>
                <w:sz w:val="20"/>
                <w:szCs w:val="20"/>
              </w:rPr>
              <w:t> </w:t>
            </w:r>
            <w:r w:rsidRPr="00716136">
              <w:rPr>
                <w:rFonts w:ascii="Arial Narrow" w:hAnsi="Arial Narrow"/>
                <w:i/>
                <w:iCs/>
                <w:sz w:val="20"/>
                <w:szCs w:val="20"/>
              </w:rPr>
              <w:t>PSMA</w:t>
            </w:r>
            <w:r w:rsidR="0062196D">
              <w:rPr>
                <w:rFonts w:ascii="Arial Narrow" w:hAnsi="Arial Narrow"/>
                <w:i/>
                <w:iCs/>
                <w:sz w:val="20"/>
                <w:szCs w:val="20"/>
              </w:rPr>
              <w:t>-617</w:t>
            </w:r>
            <w:r w:rsidRPr="00716136">
              <w:rPr>
                <w:rFonts w:ascii="Arial Narrow" w:hAnsi="Arial Narrow"/>
                <w:i/>
                <w:iCs/>
                <w:sz w:val="20"/>
                <w:szCs w:val="20"/>
              </w:rPr>
              <w:t xml:space="preserve"> + B</w:t>
            </w:r>
            <w:r w:rsidR="00767D9A">
              <w:rPr>
                <w:rFonts w:ascii="Arial Narrow" w:hAnsi="Arial Narrow"/>
                <w:i/>
                <w:iCs/>
                <w:sz w:val="20"/>
                <w:szCs w:val="20"/>
              </w:rPr>
              <w:t>S</w:t>
            </w:r>
            <w:r w:rsidR="00A55817">
              <w:rPr>
                <w:rFonts w:ascii="Arial Narrow" w:hAnsi="Arial Narrow"/>
                <w:i/>
                <w:iCs/>
                <w:sz w:val="20"/>
                <w:szCs w:val="20"/>
              </w:rPr>
              <w:t>c</w:t>
            </w:r>
            <w:r w:rsidRPr="00716136">
              <w:rPr>
                <w:rFonts w:ascii="Arial Narrow" w:hAnsi="Arial Narrow"/>
                <w:i/>
                <w:iCs/>
                <w:sz w:val="20"/>
                <w:szCs w:val="20"/>
              </w:rPr>
              <w:t xml:space="preserve"> vs BS</w:t>
            </w:r>
            <w:r w:rsidR="00A55817">
              <w:rPr>
                <w:rFonts w:ascii="Arial Narrow" w:hAnsi="Arial Narrow"/>
                <w:i/>
                <w:iCs/>
                <w:sz w:val="20"/>
                <w:szCs w:val="20"/>
              </w:rPr>
              <w:t>c</w:t>
            </w:r>
            <w:r w:rsidRPr="00716136">
              <w:rPr>
                <w:rFonts w:ascii="Arial Narrow" w:hAnsi="Arial Narrow"/>
                <w:i/>
                <w:iCs/>
                <w:sz w:val="20"/>
                <w:szCs w:val="20"/>
              </w:rPr>
              <w:t xml:space="preserve"> (0.40) and Lu</w:t>
            </w:r>
            <w:r w:rsidR="0062196D">
              <w:rPr>
                <w:rFonts w:ascii="Arial Narrow" w:hAnsi="Arial Narrow"/>
                <w:i/>
                <w:iCs/>
                <w:sz w:val="20"/>
                <w:szCs w:val="20"/>
              </w:rPr>
              <w:t> </w:t>
            </w:r>
            <w:r w:rsidRPr="00716136">
              <w:rPr>
                <w:rFonts w:ascii="Arial Narrow" w:hAnsi="Arial Narrow"/>
                <w:i/>
                <w:iCs/>
                <w:sz w:val="20"/>
                <w:szCs w:val="20"/>
              </w:rPr>
              <w:t>PSMA</w:t>
            </w:r>
            <w:r w:rsidR="0062196D">
              <w:rPr>
                <w:rFonts w:ascii="Arial Narrow" w:hAnsi="Arial Narrow"/>
                <w:i/>
                <w:iCs/>
                <w:sz w:val="20"/>
                <w:szCs w:val="20"/>
              </w:rPr>
              <w:t>-617</w:t>
            </w:r>
            <w:r w:rsidRPr="00716136">
              <w:rPr>
                <w:rFonts w:ascii="Arial Narrow" w:hAnsi="Arial Narrow"/>
                <w:i/>
                <w:iCs/>
                <w:sz w:val="20"/>
                <w:szCs w:val="20"/>
              </w:rPr>
              <w:t xml:space="preserve"> + B</w:t>
            </w:r>
            <w:r w:rsidR="00767D9A">
              <w:rPr>
                <w:rFonts w:ascii="Arial Narrow" w:hAnsi="Arial Narrow"/>
                <w:i/>
                <w:iCs/>
                <w:sz w:val="20"/>
                <w:szCs w:val="20"/>
              </w:rPr>
              <w:t>S</w:t>
            </w:r>
            <w:r w:rsidR="00A55817">
              <w:rPr>
                <w:rFonts w:ascii="Arial Narrow" w:hAnsi="Arial Narrow"/>
                <w:i/>
                <w:iCs/>
                <w:sz w:val="20"/>
                <w:szCs w:val="20"/>
              </w:rPr>
              <w:t>c</w:t>
            </w:r>
            <w:r w:rsidRPr="00716136">
              <w:rPr>
                <w:rFonts w:ascii="Arial Narrow" w:hAnsi="Arial Narrow"/>
                <w:i/>
                <w:iCs/>
                <w:sz w:val="20"/>
                <w:szCs w:val="20"/>
              </w:rPr>
              <w:t xml:space="preserve"> vs cabazitaxel (0.62).</w:t>
            </w:r>
          </w:p>
          <w:p w14:paraId="1F355024" w14:textId="09A0AAC1" w:rsidR="00E612D8" w:rsidRPr="00716136" w:rsidRDefault="00E612D8" w:rsidP="00E612D8">
            <w:pPr>
              <w:spacing w:before="40" w:after="40"/>
              <w:rPr>
                <w:rFonts w:ascii="Arial Narrow" w:hAnsi="Arial Narrow"/>
                <w:b/>
                <w:bCs/>
                <w:sz w:val="20"/>
                <w:szCs w:val="20"/>
              </w:rPr>
            </w:pPr>
            <w:r w:rsidRPr="00716136">
              <w:rPr>
                <w:rFonts w:ascii="Arial Narrow" w:hAnsi="Arial Narrow"/>
                <w:i/>
                <w:iCs/>
                <w:sz w:val="20"/>
                <w:szCs w:val="20"/>
              </w:rPr>
              <w:t xml:space="preserve">In the </w:t>
            </w:r>
            <w:r w:rsidR="001C624C">
              <w:rPr>
                <w:rFonts w:ascii="Arial Narrow" w:hAnsi="Arial Narrow"/>
                <w:i/>
                <w:iCs/>
                <w:sz w:val="20"/>
                <w:szCs w:val="20"/>
              </w:rPr>
              <w:t>current</w:t>
            </w:r>
            <w:r w:rsidRPr="00716136">
              <w:rPr>
                <w:rFonts w:ascii="Arial Narrow" w:hAnsi="Arial Narrow"/>
                <w:i/>
                <w:iCs/>
                <w:sz w:val="20"/>
                <w:szCs w:val="20"/>
              </w:rPr>
              <w:t xml:space="preserve"> ADAR the base-case HR for the comparator PFS becomes (0.62*75</w:t>
            </w:r>
            <w:proofErr w:type="gramStart"/>
            <w:r w:rsidRPr="00716136">
              <w:rPr>
                <w:rFonts w:ascii="Arial Narrow" w:hAnsi="Arial Narrow"/>
                <w:i/>
                <w:iCs/>
                <w:sz w:val="20"/>
                <w:szCs w:val="20"/>
              </w:rPr>
              <w:t>%)+(</w:t>
            </w:r>
            <w:proofErr w:type="gramEnd"/>
            <w:r w:rsidRPr="00716136">
              <w:rPr>
                <w:rFonts w:ascii="Arial Narrow" w:hAnsi="Arial Narrow"/>
                <w:i/>
                <w:iCs/>
                <w:sz w:val="20"/>
                <w:szCs w:val="20"/>
              </w:rPr>
              <w:t>0.40*25%)=0.565</w:t>
            </w:r>
            <w:r w:rsidRPr="00716136">
              <w:rPr>
                <w:rFonts w:ascii="Arial Narrow" w:hAnsi="Arial Narrow"/>
                <w:sz w:val="20"/>
                <w:szCs w:val="20"/>
              </w:rPr>
              <w:t xml:space="preserve"> (compared with 0.4575 previously)</w:t>
            </w:r>
          </w:p>
        </w:tc>
      </w:tr>
      <w:tr w:rsidR="00E612D8" w:rsidRPr="00716136" w14:paraId="35CC544A" w14:textId="77777777" w:rsidTr="00E612D8">
        <w:tc>
          <w:tcPr>
            <w:tcW w:w="1696" w:type="dxa"/>
          </w:tcPr>
          <w:p w14:paraId="2EC30F27" w14:textId="4025585C"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Health states</w:t>
            </w:r>
          </w:p>
        </w:tc>
        <w:tc>
          <w:tcPr>
            <w:tcW w:w="3660" w:type="dxa"/>
          </w:tcPr>
          <w:p w14:paraId="0C292310" w14:textId="73BB9198"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sz w:val="20"/>
                <w:szCs w:val="20"/>
              </w:rPr>
              <w:t>Three health states: progression-free survival, progressed disease and death</w:t>
            </w:r>
          </w:p>
        </w:tc>
        <w:tc>
          <w:tcPr>
            <w:tcW w:w="3660" w:type="dxa"/>
          </w:tcPr>
          <w:p w14:paraId="2132D2C3" w14:textId="7DCD5BB1"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sz w:val="20"/>
                <w:szCs w:val="20"/>
              </w:rPr>
              <w:t>No change</w:t>
            </w:r>
          </w:p>
        </w:tc>
      </w:tr>
      <w:tr w:rsidR="00E612D8" w:rsidRPr="00716136" w14:paraId="1BDAA14C" w14:textId="77777777" w:rsidTr="00E612D8">
        <w:tc>
          <w:tcPr>
            <w:tcW w:w="1696" w:type="dxa"/>
          </w:tcPr>
          <w:p w14:paraId="7ACA5F5D" w14:textId="4A438FA9"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Cycle length</w:t>
            </w:r>
          </w:p>
        </w:tc>
        <w:tc>
          <w:tcPr>
            <w:tcW w:w="3660" w:type="dxa"/>
          </w:tcPr>
          <w:p w14:paraId="40B973BD" w14:textId="1CEB11B3" w:rsidR="00E612D8" w:rsidRPr="00716136" w:rsidRDefault="00E612D8" w:rsidP="00E612D8">
            <w:pPr>
              <w:spacing w:before="40" w:after="40"/>
              <w:rPr>
                <w:rFonts w:ascii="Arial Narrow" w:hAnsi="Arial Narrow"/>
                <w:b/>
                <w:bCs/>
                <w:sz w:val="20"/>
                <w:szCs w:val="20"/>
              </w:rPr>
            </w:pPr>
            <w:r w:rsidRPr="00716136">
              <w:rPr>
                <w:rFonts w:ascii="Arial Narrow" w:hAnsi="Arial Narrow" w:cs="Arial"/>
                <w:sz w:val="20"/>
                <w:szCs w:val="20"/>
              </w:rPr>
              <w:t>1 week</w:t>
            </w:r>
          </w:p>
        </w:tc>
        <w:tc>
          <w:tcPr>
            <w:tcW w:w="3660" w:type="dxa"/>
          </w:tcPr>
          <w:p w14:paraId="2599E45E" w14:textId="0112C890" w:rsidR="00E612D8" w:rsidRPr="00716136" w:rsidRDefault="00E612D8" w:rsidP="00E612D8">
            <w:pPr>
              <w:spacing w:before="40" w:after="40"/>
              <w:rPr>
                <w:rFonts w:ascii="Arial Narrow" w:hAnsi="Arial Narrow"/>
                <w:b/>
                <w:bCs/>
                <w:sz w:val="20"/>
                <w:szCs w:val="20"/>
              </w:rPr>
            </w:pPr>
            <w:r w:rsidRPr="00716136">
              <w:rPr>
                <w:rFonts w:ascii="Arial Narrow" w:hAnsi="Arial Narrow" w:cs="Arial"/>
                <w:sz w:val="20"/>
                <w:szCs w:val="20"/>
              </w:rPr>
              <w:t>No change</w:t>
            </w:r>
          </w:p>
        </w:tc>
      </w:tr>
      <w:tr w:rsidR="00E612D8" w:rsidRPr="00716136" w14:paraId="1C03977B" w14:textId="77777777" w:rsidTr="00E612D8">
        <w:tc>
          <w:tcPr>
            <w:tcW w:w="1696" w:type="dxa"/>
          </w:tcPr>
          <w:p w14:paraId="2D6AAE76" w14:textId="48A4E932"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Transition probabilities</w:t>
            </w:r>
          </w:p>
        </w:tc>
        <w:tc>
          <w:tcPr>
            <w:tcW w:w="3660" w:type="dxa"/>
          </w:tcPr>
          <w:p w14:paraId="70B3B424" w14:textId="779D40C6"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 xml:space="preserve">Health state allocation over time determined by PFS and OS data. PFS and OS data for </w:t>
            </w:r>
            <w:r w:rsidRPr="00716136">
              <w:rPr>
                <w:rFonts w:ascii="Arial Narrow" w:hAnsi="Arial Narrow"/>
                <w:sz w:val="20"/>
                <w:szCs w:val="20"/>
                <w:vertAlign w:val="superscript"/>
              </w:rPr>
              <w:t>177</w:t>
            </w:r>
            <w:r w:rsidRPr="00716136">
              <w:rPr>
                <w:rFonts w:ascii="Arial Narrow" w:hAnsi="Arial Narrow"/>
                <w:sz w:val="20"/>
                <w:szCs w:val="20"/>
              </w:rPr>
              <w:t>Lu</w:t>
            </w:r>
            <w:r w:rsidR="00CA0CAC">
              <w:rPr>
                <w:rFonts w:ascii="Arial Narrow" w:hAnsi="Arial Narrow"/>
                <w:sz w:val="20"/>
                <w:szCs w:val="20"/>
              </w:rPr>
              <w:t> </w:t>
            </w:r>
            <w:r w:rsidRPr="00716136">
              <w:rPr>
                <w:rFonts w:ascii="Arial Narrow" w:hAnsi="Arial Narrow"/>
                <w:sz w:val="20"/>
                <w:szCs w:val="20"/>
              </w:rPr>
              <w:t>PSMA</w:t>
            </w:r>
            <w:r w:rsidR="00CA0CAC">
              <w:rPr>
                <w:rFonts w:ascii="Arial Narrow" w:hAnsi="Arial Narrow"/>
                <w:sz w:val="20"/>
                <w:szCs w:val="20"/>
              </w:rPr>
              <w:t> </w:t>
            </w:r>
            <w:proofErr w:type="spellStart"/>
            <w:r w:rsidR="00CA0CAC">
              <w:rPr>
                <w:rFonts w:ascii="Arial Narrow" w:hAnsi="Arial Narrow"/>
                <w:sz w:val="20"/>
                <w:szCs w:val="20"/>
              </w:rPr>
              <w:t>i&amp;t</w:t>
            </w:r>
            <w:proofErr w:type="spellEnd"/>
            <w:r w:rsidRPr="00716136">
              <w:rPr>
                <w:rFonts w:ascii="Arial Narrow" w:hAnsi="Arial Narrow"/>
                <w:sz w:val="20"/>
                <w:szCs w:val="20"/>
              </w:rPr>
              <w:t xml:space="preserve"> were sourced from VISION representing a median follow-up of 20.9 months</w:t>
            </w:r>
          </w:p>
        </w:tc>
        <w:tc>
          <w:tcPr>
            <w:tcW w:w="3660" w:type="dxa"/>
          </w:tcPr>
          <w:p w14:paraId="3912A9A9" w14:textId="15DE9990"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sz w:val="20"/>
                <w:szCs w:val="20"/>
              </w:rPr>
              <w:t xml:space="preserve">No change to health state allocation over time approach.  </w:t>
            </w:r>
          </w:p>
        </w:tc>
      </w:tr>
      <w:tr w:rsidR="00E612D8" w:rsidRPr="00716136" w14:paraId="448FB983" w14:textId="77777777" w:rsidTr="00E612D8">
        <w:tc>
          <w:tcPr>
            <w:tcW w:w="1696" w:type="dxa"/>
          </w:tcPr>
          <w:p w14:paraId="50D7106A" w14:textId="17B5F511"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sz w:val="20"/>
                <w:szCs w:val="20"/>
              </w:rPr>
              <w:t>Utilities</w:t>
            </w:r>
          </w:p>
        </w:tc>
        <w:tc>
          <w:tcPr>
            <w:tcW w:w="3660" w:type="dxa"/>
          </w:tcPr>
          <w:p w14:paraId="659D9E54" w14:textId="2819C12A"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sz w:val="20"/>
                <w:szCs w:val="20"/>
              </w:rPr>
              <w:t>Treatment-agnostic utility values used for the health states: PFS - 0.74, progressed disease - 0.59; death- 0</w:t>
            </w:r>
          </w:p>
        </w:tc>
        <w:tc>
          <w:tcPr>
            <w:tcW w:w="3660" w:type="dxa"/>
          </w:tcPr>
          <w:p w14:paraId="6ACFE4F7" w14:textId="0FF47B92"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sz w:val="20"/>
                <w:szCs w:val="20"/>
              </w:rPr>
              <w:t>Treatment specific utilities for the PFS health state are applied (Lu</w:t>
            </w:r>
            <w:r w:rsidR="009C34E7">
              <w:rPr>
                <w:rFonts w:ascii="Arial Narrow" w:hAnsi="Arial Narrow" w:cs="Times New Roman"/>
                <w:sz w:val="20"/>
                <w:szCs w:val="20"/>
              </w:rPr>
              <w:t> </w:t>
            </w:r>
            <w:proofErr w:type="spellStart"/>
            <w:r w:rsidRPr="00716136">
              <w:rPr>
                <w:rFonts w:ascii="Arial Narrow" w:hAnsi="Arial Narrow" w:cs="Times New Roman"/>
                <w:sz w:val="20"/>
                <w:szCs w:val="20"/>
              </w:rPr>
              <w:t>PSMA</w:t>
            </w:r>
            <w:r w:rsidR="009C34E7">
              <w:rPr>
                <w:rFonts w:ascii="Arial Narrow" w:hAnsi="Arial Narrow" w:cs="Times New Roman"/>
                <w:sz w:val="20"/>
                <w:szCs w:val="20"/>
              </w:rPr>
              <w:t>-i&amp;t</w:t>
            </w:r>
            <w:proofErr w:type="spellEnd"/>
            <w:r w:rsidRPr="00716136">
              <w:rPr>
                <w:rFonts w:ascii="Arial Narrow" w:hAnsi="Arial Narrow" w:cs="Times New Roman"/>
                <w:sz w:val="20"/>
                <w:szCs w:val="20"/>
              </w:rPr>
              <w:t xml:space="preserve"> 0.74; </w:t>
            </w:r>
            <w:proofErr w:type="spellStart"/>
            <w:r w:rsidRPr="00716136">
              <w:rPr>
                <w:rFonts w:ascii="Arial Narrow" w:hAnsi="Arial Narrow" w:cs="Times New Roman"/>
                <w:sz w:val="20"/>
                <w:szCs w:val="20"/>
              </w:rPr>
              <w:t>Cabazitaxel</w:t>
            </w:r>
            <w:proofErr w:type="spellEnd"/>
            <w:r w:rsidRPr="00716136">
              <w:rPr>
                <w:rFonts w:ascii="Arial Narrow" w:hAnsi="Arial Narrow" w:cs="Times New Roman"/>
                <w:sz w:val="20"/>
                <w:szCs w:val="20"/>
              </w:rPr>
              <w:t>/BS</w:t>
            </w:r>
            <w:r w:rsidR="00A55817">
              <w:rPr>
                <w:rFonts w:ascii="Arial Narrow" w:hAnsi="Arial Narrow" w:cs="Times New Roman"/>
                <w:sz w:val="20"/>
                <w:szCs w:val="20"/>
              </w:rPr>
              <w:t>c</w:t>
            </w:r>
            <w:r w:rsidRPr="00716136">
              <w:rPr>
                <w:rFonts w:ascii="Arial Narrow" w:hAnsi="Arial Narrow" w:cs="Times New Roman"/>
                <w:sz w:val="20"/>
                <w:szCs w:val="20"/>
              </w:rPr>
              <w:t xml:space="preserve"> 0.62). </w:t>
            </w:r>
            <w:r w:rsidRPr="00716136">
              <w:rPr>
                <w:rFonts w:ascii="Arial Narrow" w:hAnsi="Arial Narrow" w:cs="Times New Roman"/>
                <w:i/>
                <w:iCs/>
                <w:sz w:val="20"/>
                <w:szCs w:val="20"/>
              </w:rPr>
              <w:t>Evaluators dispute the choice of treatment-specific utilities, which does not correspond to the structure of the model and is not adequately supported by the clinical evidence.</w:t>
            </w:r>
            <w:r w:rsidRPr="00716136">
              <w:rPr>
                <w:rFonts w:ascii="Arial Narrow" w:hAnsi="Arial Narrow" w:cs="Times New Roman"/>
                <w:sz w:val="20"/>
                <w:szCs w:val="20"/>
              </w:rPr>
              <w:t xml:space="preserve"> </w:t>
            </w:r>
          </w:p>
        </w:tc>
      </w:tr>
      <w:tr w:rsidR="00E612D8" w:rsidRPr="00716136" w14:paraId="573B8235" w14:textId="77777777" w:rsidTr="00E612D8">
        <w:tc>
          <w:tcPr>
            <w:tcW w:w="1696" w:type="dxa"/>
          </w:tcPr>
          <w:p w14:paraId="58CCB213" w14:textId="004BDD3F"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sz w:val="20"/>
                <w:szCs w:val="20"/>
              </w:rPr>
              <w:t>Costs</w:t>
            </w:r>
          </w:p>
        </w:tc>
        <w:tc>
          <w:tcPr>
            <w:tcW w:w="3660" w:type="dxa"/>
          </w:tcPr>
          <w:p w14:paraId="3FD87ACA" w14:textId="7973692A"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sz w:val="20"/>
                <w:szCs w:val="20"/>
              </w:rPr>
              <w:t>2022 costs</w:t>
            </w:r>
          </w:p>
        </w:tc>
        <w:tc>
          <w:tcPr>
            <w:tcW w:w="3660" w:type="dxa"/>
          </w:tcPr>
          <w:p w14:paraId="6EEB62D5" w14:textId="5B9661B3"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sz w:val="20"/>
                <w:szCs w:val="20"/>
              </w:rPr>
              <w:t>Updated to January 2023 costs</w:t>
            </w:r>
          </w:p>
        </w:tc>
      </w:tr>
      <w:tr w:rsidR="00E612D8" w:rsidRPr="00716136" w14:paraId="4F3F889A" w14:textId="77777777" w:rsidTr="00E612D8">
        <w:tc>
          <w:tcPr>
            <w:tcW w:w="1696" w:type="dxa"/>
          </w:tcPr>
          <w:p w14:paraId="1C1E1538" w14:textId="332EF867"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Discount rate</w:t>
            </w:r>
          </w:p>
        </w:tc>
        <w:tc>
          <w:tcPr>
            <w:tcW w:w="3660" w:type="dxa"/>
          </w:tcPr>
          <w:p w14:paraId="4920D7C4" w14:textId="2BFC623C"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5% for both costs and outcomes]</w:t>
            </w:r>
          </w:p>
        </w:tc>
        <w:tc>
          <w:tcPr>
            <w:tcW w:w="3660" w:type="dxa"/>
          </w:tcPr>
          <w:p w14:paraId="0C024C8E" w14:textId="0C5150F8"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sz w:val="20"/>
                <w:szCs w:val="20"/>
              </w:rPr>
              <w:t>No change</w:t>
            </w:r>
          </w:p>
        </w:tc>
      </w:tr>
      <w:tr w:rsidR="00E612D8" w:rsidRPr="00716136" w14:paraId="53C3B48B" w14:textId="77777777" w:rsidTr="00E612D8">
        <w:tc>
          <w:tcPr>
            <w:tcW w:w="1696" w:type="dxa"/>
          </w:tcPr>
          <w:p w14:paraId="53684B72" w14:textId="269C0446"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Software</w:t>
            </w:r>
          </w:p>
        </w:tc>
        <w:tc>
          <w:tcPr>
            <w:tcW w:w="3660" w:type="dxa"/>
          </w:tcPr>
          <w:p w14:paraId="63232389" w14:textId="4A5CC486" w:rsidR="00E612D8" w:rsidRPr="00716136" w:rsidRDefault="00E612D8" w:rsidP="00E612D8">
            <w:pPr>
              <w:spacing w:before="40" w:after="40"/>
              <w:rPr>
                <w:rFonts w:ascii="Arial Narrow" w:hAnsi="Arial Narrow"/>
                <w:b/>
                <w:bCs/>
                <w:sz w:val="20"/>
                <w:szCs w:val="20"/>
              </w:rPr>
            </w:pPr>
            <w:r w:rsidRPr="00716136">
              <w:rPr>
                <w:rFonts w:ascii="Arial Narrow" w:hAnsi="Arial Narrow"/>
                <w:sz w:val="20"/>
                <w:szCs w:val="20"/>
              </w:rPr>
              <w:t>Microsoft Excel</w:t>
            </w:r>
          </w:p>
        </w:tc>
        <w:tc>
          <w:tcPr>
            <w:tcW w:w="3660" w:type="dxa"/>
          </w:tcPr>
          <w:p w14:paraId="561737C7" w14:textId="63EC3360" w:rsidR="00E612D8" w:rsidRPr="00716136" w:rsidRDefault="00E612D8" w:rsidP="00E612D8">
            <w:pPr>
              <w:spacing w:before="40" w:after="40"/>
              <w:rPr>
                <w:rFonts w:ascii="Arial Narrow" w:hAnsi="Arial Narrow"/>
                <w:b/>
                <w:bCs/>
                <w:sz w:val="20"/>
                <w:szCs w:val="20"/>
              </w:rPr>
            </w:pPr>
            <w:r w:rsidRPr="00716136">
              <w:rPr>
                <w:rFonts w:ascii="Arial Narrow" w:hAnsi="Arial Narrow" w:cs="Times New Roman"/>
                <w:sz w:val="20"/>
                <w:szCs w:val="20"/>
              </w:rPr>
              <w:t>No change</w:t>
            </w:r>
          </w:p>
        </w:tc>
      </w:tr>
    </w:tbl>
    <w:p w14:paraId="7DC571E3" w14:textId="7CE51B7B" w:rsidR="005E3D87" w:rsidRPr="00CD5A4F" w:rsidRDefault="005E3D87" w:rsidP="00E612D8">
      <w:pPr>
        <w:spacing w:before="0"/>
        <w:rPr>
          <w:rFonts w:ascii="Arial Narrow" w:hAnsi="Arial Narrow" w:cs="Times New Roman"/>
          <w:sz w:val="18"/>
          <w:szCs w:val="18"/>
        </w:rPr>
      </w:pPr>
      <w:bookmarkStart w:id="27" w:name="Title_Table5"/>
      <w:bookmarkEnd w:id="27"/>
      <w:r w:rsidRPr="00CD5A4F">
        <w:rPr>
          <w:rFonts w:ascii="Arial Narrow" w:hAnsi="Arial Narrow" w:cs="Times New Roman"/>
          <w:sz w:val="18"/>
          <w:szCs w:val="18"/>
        </w:rPr>
        <w:t>ADAR=applicant developed assessment report; ASI=androgen signalling inhibitor; OS=overall survival; PFS=progression-free survival</w:t>
      </w:r>
    </w:p>
    <w:bookmarkEnd w:id="26"/>
    <w:p w14:paraId="47AD713B" w14:textId="77777777" w:rsidR="005E3D87" w:rsidRPr="00A12B37" w:rsidRDefault="005E3D87" w:rsidP="005E3D87">
      <w:pPr>
        <w:pStyle w:val="BodyText"/>
        <w:spacing w:before="240"/>
        <w:rPr>
          <w:rFonts w:ascii="Franklin Gothic Book" w:hAnsi="Franklin Gothic Book"/>
        </w:rPr>
      </w:pPr>
      <w:r w:rsidRPr="00A12B37">
        <w:rPr>
          <w:rFonts w:ascii="Franklin Gothic Book" w:hAnsi="Franklin Gothic Book"/>
        </w:rPr>
        <w:t>The following corrections to the cost calculations were undertaken by the evaluators:</w:t>
      </w:r>
    </w:p>
    <w:p w14:paraId="63DDCE88" w14:textId="46FF5989" w:rsidR="005E3D87" w:rsidRPr="001C636D" w:rsidRDefault="005E3D87" w:rsidP="001C636D">
      <w:pPr>
        <w:pStyle w:val="Instructionaltext-afterfiguretable"/>
        <w:ind w:left="426" w:hanging="426"/>
        <w:rPr>
          <w:i/>
          <w:iCs/>
          <w:color w:val="auto"/>
        </w:rPr>
      </w:pPr>
      <w:bookmarkStart w:id="28" w:name="_Hlk131163166"/>
      <w:r w:rsidRPr="001C636D">
        <w:rPr>
          <w:i/>
          <w:iCs/>
          <w:color w:val="auto"/>
        </w:rPr>
        <w:t>1.</w:t>
      </w:r>
      <w:r w:rsidRPr="00A12B37">
        <w:rPr>
          <w:color w:val="auto"/>
        </w:rPr>
        <w:tab/>
        <w:t>Eligibility for continuation with Lu</w:t>
      </w:r>
      <w:r w:rsidR="005C30EE">
        <w:rPr>
          <w:color w:val="auto"/>
        </w:rPr>
        <w:t> </w:t>
      </w:r>
      <w:r w:rsidRPr="00A12B37">
        <w:rPr>
          <w:color w:val="auto"/>
        </w:rPr>
        <w:t>PSMA</w:t>
      </w:r>
      <w:r w:rsidR="005C30EE">
        <w:rPr>
          <w:color w:val="auto"/>
        </w:rPr>
        <w:t> </w:t>
      </w:r>
      <w:proofErr w:type="spellStart"/>
      <w:r w:rsidR="005C30EE">
        <w:rPr>
          <w:color w:val="auto"/>
        </w:rPr>
        <w:t>i&amp;t</w:t>
      </w:r>
      <w:proofErr w:type="spellEnd"/>
      <w:r w:rsidRPr="00A12B37">
        <w:rPr>
          <w:color w:val="auto"/>
        </w:rPr>
        <w:t xml:space="preserve"> treatment (</w:t>
      </w:r>
      <w:r w:rsidR="005C30EE">
        <w:rPr>
          <w:color w:val="auto"/>
        </w:rPr>
        <w:t xml:space="preserve">referred to as </w:t>
      </w:r>
      <w:r w:rsidR="00303C97">
        <w:rPr>
          <w:color w:val="auto"/>
          <w:vertAlign w:val="superscript"/>
        </w:rPr>
        <w:t>177</w:t>
      </w:r>
      <w:r w:rsidR="005C30EE">
        <w:rPr>
          <w:color w:val="auto"/>
        </w:rPr>
        <w:t xml:space="preserve">Lu-PSMA in </w:t>
      </w:r>
      <w:r w:rsidRPr="00A12B37">
        <w:rPr>
          <w:color w:val="auto"/>
        </w:rPr>
        <w:t xml:space="preserve">MBS item YYYY) is established after the second cycle. This implies that all the surviving patients, whether in a progressed or a progression-free disease state, are eligible and receiving </w:t>
      </w:r>
      <w:r w:rsidR="005C30EE" w:rsidRPr="00A12B37">
        <w:rPr>
          <w:color w:val="auto"/>
        </w:rPr>
        <w:t>Lu</w:t>
      </w:r>
      <w:r w:rsidR="005C30EE">
        <w:rPr>
          <w:color w:val="auto"/>
        </w:rPr>
        <w:t> </w:t>
      </w:r>
      <w:r w:rsidR="005C30EE" w:rsidRPr="00A12B37">
        <w:rPr>
          <w:color w:val="auto"/>
        </w:rPr>
        <w:t>PSMA</w:t>
      </w:r>
      <w:r w:rsidR="005C30EE">
        <w:rPr>
          <w:color w:val="auto"/>
        </w:rPr>
        <w:t> </w:t>
      </w:r>
      <w:proofErr w:type="spellStart"/>
      <w:r w:rsidR="005C30EE">
        <w:rPr>
          <w:color w:val="auto"/>
        </w:rPr>
        <w:t>i&amp;t</w:t>
      </w:r>
      <w:proofErr w:type="spellEnd"/>
      <w:r w:rsidR="005C30EE" w:rsidRPr="00A12B37">
        <w:rPr>
          <w:color w:val="auto"/>
        </w:rPr>
        <w:t xml:space="preserve"> </w:t>
      </w:r>
      <w:r w:rsidRPr="00A12B37">
        <w:rPr>
          <w:color w:val="auto"/>
        </w:rPr>
        <w:t xml:space="preserve">treatment for the first 12 weeks. </w:t>
      </w:r>
      <w:proofErr w:type="gramStart"/>
      <w:r w:rsidRPr="00A12B37">
        <w:rPr>
          <w:color w:val="auto"/>
        </w:rPr>
        <w:t>At the moment</w:t>
      </w:r>
      <w:proofErr w:type="gramEnd"/>
      <w:r w:rsidRPr="00A12B37">
        <w:rPr>
          <w:color w:val="auto"/>
        </w:rPr>
        <w:t xml:space="preserve">, as explained above, only PFS patients (following K-M survival data from the latest </w:t>
      </w:r>
      <w:proofErr w:type="spellStart"/>
      <w:r w:rsidRPr="00A12B37">
        <w:rPr>
          <w:color w:val="auto"/>
        </w:rPr>
        <w:t>TheraP</w:t>
      </w:r>
      <w:proofErr w:type="spellEnd"/>
      <w:r w:rsidRPr="00A12B37">
        <w:rPr>
          <w:color w:val="auto"/>
        </w:rPr>
        <w:t xml:space="preserve"> follow-up) attract the </w:t>
      </w:r>
      <w:r w:rsidR="005C30EE" w:rsidRPr="00A12B37">
        <w:rPr>
          <w:color w:val="auto"/>
        </w:rPr>
        <w:t>Lu</w:t>
      </w:r>
      <w:r w:rsidR="005C30EE">
        <w:rPr>
          <w:color w:val="auto"/>
        </w:rPr>
        <w:t> </w:t>
      </w:r>
      <w:r w:rsidR="005C30EE" w:rsidRPr="00A12B37">
        <w:rPr>
          <w:color w:val="auto"/>
        </w:rPr>
        <w:t>PSMA</w:t>
      </w:r>
      <w:r w:rsidR="005C30EE">
        <w:rPr>
          <w:color w:val="auto"/>
        </w:rPr>
        <w:t> </w:t>
      </w:r>
      <w:proofErr w:type="spellStart"/>
      <w:r w:rsidR="005C30EE">
        <w:rPr>
          <w:color w:val="auto"/>
        </w:rPr>
        <w:t>i&amp;t</w:t>
      </w:r>
      <w:proofErr w:type="spellEnd"/>
      <w:r w:rsidR="005C30EE" w:rsidRPr="00A12B37">
        <w:rPr>
          <w:color w:val="auto"/>
        </w:rPr>
        <w:t xml:space="preserve"> </w:t>
      </w:r>
      <w:r w:rsidRPr="00A12B37">
        <w:rPr>
          <w:color w:val="auto"/>
        </w:rPr>
        <w:t xml:space="preserve">treatment unit cost. This was corrected by applying the </w:t>
      </w:r>
      <w:r w:rsidR="005C30EE" w:rsidRPr="00A12B37">
        <w:rPr>
          <w:color w:val="auto"/>
        </w:rPr>
        <w:t>Lu</w:t>
      </w:r>
      <w:r w:rsidR="005C30EE">
        <w:rPr>
          <w:color w:val="auto"/>
        </w:rPr>
        <w:t> </w:t>
      </w:r>
      <w:r w:rsidR="005C30EE" w:rsidRPr="00A12B37">
        <w:rPr>
          <w:color w:val="auto"/>
        </w:rPr>
        <w:t>PSMA</w:t>
      </w:r>
      <w:r w:rsidR="005C30EE">
        <w:rPr>
          <w:color w:val="auto"/>
        </w:rPr>
        <w:t> </w:t>
      </w:r>
      <w:proofErr w:type="spellStart"/>
      <w:r w:rsidR="005C30EE">
        <w:rPr>
          <w:color w:val="auto"/>
        </w:rPr>
        <w:t>i&amp;t</w:t>
      </w:r>
      <w:proofErr w:type="spellEnd"/>
      <w:r w:rsidR="005C30EE" w:rsidRPr="00A12B37">
        <w:rPr>
          <w:color w:val="auto"/>
        </w:rPr>
        <w:t xml:space="preserve"> </w:t>
      </w:r>
      <w:r w:rsidRPr="00A12B37">
        <w:rPr>
          <w:color w:val="auto"/>
        </w:rPr>
        <w:t xml:space="preserve">treatment unit cost to all surviving patients for the first 12 weeks. Since the latest OS data from the 3-year </w:t>
      </w:r>
      <w:proofErr w:type="spellStart"/>
      <w:r w:rsidRPr="00A12B37">
        <w:rPr>
          <w:color w:val="auto"/>
        </w:rPr>
        <w:t>TheraP</w:t>
      </w:r>
      <w:proofErr w:type="spellEnd"/>
      <w:r w:rsidRPr="00A12B37">
        <w:rPr>
          <w:color w:val="auto"/>
        </w:rPr>
        <w:t xml:space="preserve"> follow-up was not presented in the </w:t>
      </w:r>
      <w:r w:rsidR="007F120D" w:rsidRPr="00A12B37">
        <w:rPr>
          <w:color w:val="auto"/>
        </w:rPr>
        <w:t>ADAR</w:t>
      </w:r>
      <w:r w:rsidRPr="00A12B37">
        <w:rPr>
          <w:color w:val="auto"/>
        </w:rPr>
        <w:t xml:space="preserve">, the OS from the VISION trial was used to estimate the cost of treatment in the first two cycles. Subsequently, to preserve consistency in the PFS data in the context of a partition survival model, the proportions of progression-free patients eligible for </w:t>
      </w:r>
      <w:r w:rsidR="005C30EE" w:rsidRPr="00A12B37">
        <w:rPr>
          <w:color w:val="auto"/>
        </w:rPr>
        <w:t>Lu</w:t>
      </w:r>
      <w:r w:rsidR="005C30EE">
        <w:rPr>
          <w:color w:val="auto"/>
        </w:rPr>
        <w:t> </w:t>
      </w:r>
      <w:r w:rsidR="005C30EE" w:rsidRPr="00A12B37">
        <w:rPr>
          <w:color w:val="auto"/>
        </w:rPr>
        <w:t>PSMA</w:t>
      </w:r>
      <w:r w:rsidR="005C30EE">
        <w:rPr>
          <w:color w:val="auto"/>
        </w:rPr>
        <w:t> </w:t>
      </w:r>
      <w:proofErr w:type="spellStart"/>
      <w:r w:rsidR="005C30EE">
        <w:rPr>
          <w:color w:val="auto"/>
        </w:rPr>
        <w:t>i&amp;t</w:t>
      </w:r>
      <w:proofErr w:type="spellEnd"/>
      <w:r w:rsidR="005C30EE" w:rsidRPr="00A12B37">
        <w:rPr>
          <w:color w:val="auto"/>
        </w:rPr>
        <w:t xml:space="preserve"> </w:t>
      </w:r>
      <w:r w:rsidRPr="00A12B37">
        <w:rPr>
          <w:color w:val="auto"/>
        </w:rPr>
        <w:t xml:space="preserve">continuation in the next cycles four, five and six were also obtained from the VISION PFS data. This logical necessity effectively exposed the use of the </w:t>
      </w:r>
      <w:proofErr w:type="spellStart"/>
      <w:r w:rsidRPr="00A12B37">
        <w:rPr>
          <w:color w:val="auto"/>
        </w:rPr>
        <w:t>TheraP</w:t>
      </w:r>
      <w:proofErr w:type="spellEnd"/>
      <w:r w:rsidRPr="00A12B37">
        <w:rPr>
          <w:color w:val="auto"/>
        </w:rPr>
        <w:t xml:space="preserve"> PFS data solely for </w:t>
      </w:r>
      <w:r w:rsidR="005C30EE" w:rsidRPr="00A12B37">
        <w:rPr>
          <w:color w:val="auto"/>
        </w:rPr>
        <w:t>Lu</w:t>
      </w:r>
      <w:r w:rsidR="005C30EE">
        <w:rPr>
          <w:color w:val="auto"/>
        </w:rPr>
        <w:t> </w:t>
      </w:r>
      <w:r w:rsidR="005C30EE" w:rsidRPr="00A12B37">
        <w:rPr>
          <w:color w:val="auto"/>
        </w:rPr>
        <w:t>PSMA</w:t>
      </w:r>
      <w:r w:rsidR="005C30EE">
        <w:rPr>
          <w:color w:val="auto"/>
        </w:rPr>
        <w:t> </w:t>
      </w:r>
      <w:proofErr w:type="spellStart"/>
      <w:r w:rsidR="005C30EE">
        <w:rPr>
          <w:color w:val="auto"/>
        </w:rPr>
        <w:t>i&amp;t</w:t>
      </w:r>
      <w:proofErr w:type="spellEnd"/>
      <w:r w:rsidR="005C30EE" w:rsidRPr="00A12B37">
        <w:rPr>
          <w:color w:val="auto"/>
        </w:rPr>
        <w:t xml:space="preserve"> </w:t>
      </w:r>
      <w:r w:rsidRPr="00A12B37">
        <w:rPr>
          <w:color w:val="auto"/>
        </w:rPr>
        <w:t xml:space="preserve">treatment costing as incompatible with partition-survival modelling that relies on the VISION data for every other outcome. </w:t>
      </w:r>
    </w:p>
    <w:p w14:paraId="4F49190A" w14:textId="5F7C427D" w:rsidR="005E3D87" w:rsidRPr="001C636D" w:rsidRDefault="005E3D87" w:rsidP="001C636D">
      <w:pPr>
        <w:pStyle w:val="Instructionaltext-afterfiguretable"/>
        <w:ind w:left="426" w:hanging="426"/>
        <w:rPr>
          <w:i/>
          <w:iCs/>
          <w:color w:val="auto"/>
        </w:rPr>
      </w:pPr>
      <w:r w:rsidRPr="001C636D">
        <w:rPr>
          <w:i/>
          <w:iCs/>
          <w:color w:val="auto"/>
        </w:rPr>
        <w:lastRenderedPageBreak/>
        <w:t>2.</w:t>
      </w:r>
      <w:r w:rsidRPr="001C636D">
        <w:rPr>
          <w:i/>
          <w:iCs/>
          <w:color w:val="auto"/>
        </w:rPr>
        <w:tab/>
      </w:r>
      <w:r w:rsidRPr="00A12B37">
        <w:rPr>
          <w:color w:val="auto"/>
        </w:rPr>
        <w:t>The amended item descriptor (MBS item YYYY – continuation) required a diagnostic computerised tomography (CT) scan to establish disease progression (along with a rise in PSA of &gt; 2 ng/mL confirmed by 2 tests a minimum 2 weeks apart). This is a separate CT test, distinct from the whole</w:t>
      </w:r>
      <w:r w:rsidR="001C624C">
        <w:rPr>
          <w:color w:val="auto"/>
        </w:rPr>
        <w:t>-</w:t>
      </w:r>
      <w:r w:rsidRPr="00A12B37">
        <w:rPr>
          <w:color w:val="auto"/>
        </w:rPr>
        <w:t xml:space="preserve">body prostate specific membrane antigen [PSMA] positron emission tomography [PET]/[CT] administered at baseline to establish eligibility for initial </w:t>
      </w:r>
      <w:r w:rsidR="00570843" w:rsidRPr="00A12B37">
        <w:rPr>
          <w:color w:val="auto"/>
        </w:rPr>
        <w:t>Lu</w:t>
      </w:r>
      <w:r w:rsidR="00570843">
        <w:rPr>
          <w:color w:val="auto"/>
        </w:rPr>
        <w:t> </w:t>
      </w:r>
      <w:r w:rsidR="00570843" w:rsidRPr="00A12B37">
        <w:rPr>
          <w:color w:val="auto"/>
        </w:rPr>
        <w:t>PSMA</w:t>
      </w:r>
      <w:r w:rsidR="00570843">
        <w:rPr>
          <w:color w:val="auto"/>
        </w:rPr>
        <w:t> </w:t>
      </w:r>
      <w:proofErr w:type="spellStart"/>
      <w:r w:rsidR="00570843">
        <w:rPr>
          <w:color w:val="auto"/>
        </w:rPr>
        <w:t>i&amp;t</w:t>
      </w:r>
      <w:proofErr w:type="spellEnd"/>
      <w:r w:rsidR="00570843" w:rsidRPr="00A12B37">
        <w:rPr>
          <w:color w:val="auto"/>
        </w:rPr>
        <w:t xml:space="preserve"> </w:t>
      </w:r>
      <w:r w:rsidRPr="00A12B37">
        <w:rPr>
          <w:color w:val="auto"/>
        </w:rPr>
        <w:t xml:space="preserve">treatment. Although not clearly explained in the </w:t>
      </w:r>
      <w:r w:rsidR="007F120D" w:rsidRPr="00A12B37">
        <w:rPr>
          <w:color w:val="auto"/>
        </w:rPr>
        <w:t>ADAR</w:t>
      </w:r>
      <w:r w:rsidRPr="00A12B37">
        <w:rPr>
          <w:color w:val="auto"/>
        </w:rPr>
        <w:t xml:space="preserve">, it appears that a CT/bone scan is administered regularly to confirm eligibility for </w:t>
      </w:r>
      <w:r w:rsidR="00570843" w:rsidRPr="00A12B37">
        <w:rPr>
          <w:color w:val="auto"/>
        </w:rPr>
        <w:t>Lu</w:t>
      </w:r>
      <w:r w:rsidR="00570843">
        <w:rPr>
          <w:color w:val="auto"/>
        </w:rPr>
        <w:t> </w:t>
      </w:r>
      <w:r w:rsidR="00570843" w:rsidRPr="00A12B37">
        <w:rPr>
          <w:color w:val="auto"/>
        </w:rPr>
        <w:t>PSMA</w:t>
      </w:r>
      <w:r w:rsidR="00570843">
        <w:rPr>
          <w:color w:val="auto"/>
        </w:rPr>
        <w:t> </w:t>
      </w:r>
      <w:proofErr w:type="spellStart"/>
      <w:r w:rsidR="00570843">
        <w:rPr>
          <w:color w:val="auto"/>
        </w:rPr>
        <w:t>i&amp;t</w:t>
      </w:r>
      <w:proofErr w:type="spellEnd"/>
      <w:r w:rsidR="00570843" w:rsidRPr="00A12B37">
        <w:rPr>
          <w:color w:val="auto"/>
        </w:rPr>
        <w:t xml:space="preserve"> </w:t>
      </w:r>
      <w:r w:rsidRPr="00A12B37">
        <w:rPr>
          <w:color w:val="auto"/>
        </w:rPr>
        <w:t xml:space="preserve">treatment. In the </w:t>
      </w:r>
      <w:proofErr w:type="spellStart"/>
      <w:r w:rsidRPr="00A12B37">
        <w:rPr>
          <w:color w:val="auto"/>
        </w:rPr>
        <w:t>TheraP</w:t>
      </w:r>
      <w:proofErr w:type="spellEnd"/>
      <w:r w:rsidRPr="00A12B37">
        <w:rPr>
          <w:color w:val="auto"/>
        </w:rPr>
        <w:t xml:space="preserve"> trial</w:t>
      </w:r>
      <w:r w:rsidR="00845294" w:rsidRPr="00A12B37">
        <w:rPr>
          <w:color w:val="auto"/>
        </w:rPr>
        <w:t>,</w:t>
      </w:r>
      <w:r w:rsidRPr="00A12B37">
        <w:rPr>
          <w:color w:val="auto"/>
        </w:rPr>
        <w:t xml:space="preserve"> CT of the chest, </w:t>
      </w:r>
      <w:proofErr w:type="gramStart"/>
      <w:r w:rsidRPr="00A12B37">
        <w:rPr>
          <w:color w:val="auto"/>
        </w:rPr>
        <w:t>abdomen</w:t>
      </w:r>
      <w:proofErr w:type="gramEnd"/>
      <w:r w:rsidRPr="00A12B37">
        <w:rPr>
          <w:color w:val="auto"/>
        </w:rPr>
        <w:t xml:space="preserve"> and pelvis, and technetium-</w:t>
      </w:r>
      <w:r w:rsidRPr="00A12B37">
        <w:rPr>
          <w:rFonts w:ascii="Arial" w:hAnsi="Arial" w:cs="Arial"/>
          <w:color w:val="auto"/>
        </w:rPr>
        <w:t>⁹⁹</w:t>
      </w:r>
      <w:r w:rsidRPr="00A12B37">
        <w:rPr>
          <w:color w:val="auto"/>
        </w:rPr>
        <w:t>m-phosphonate bone scan were done every 12 weeks until radiological progression (Hofman, 2021 p.799). However, neither the CT unit cost of $100 (MBS item 61505) nor the bone scan cost of $333.55 (MBS item 61446) were utilised in the calculation of the pre-progression disease management cost (the corresponding frequencies were set to zero). These costs were added by the evaluators to the total cost of pre-progression disease management assuming it is conducted every 12 weeks until radiological progression.</w:t>
      </w:r>
    </w:p>
    <w:p w14:paraId="4252621C" w14:textId="081CE164" w:rsidR="005E3D87" w:rsidRPr="001C636D" w:rsidRDefault="001C636D" w:rsidP="005E3D87">
      <w:pPr>
        <w:pStyle w:val="Instructionaltext-afterfiguretable"/>
        <w:rPr>
          <w:color w:val="auto"/>
        </w:rPr>
      </w:pPr>
      <w:r w:rsidRPr="00040D0C">
        <w:rPr>
          <w:color w:val="auto"/>
        </w:rPr>
        <w:fldChar w:fldCharType="begin"/>
      </w:r>
      <w:r w:rsidRPr="00040D0C">
        <w:rPr>
          <w:color w:val="auto"/>
        </w:rPr>
        <w:instrText xml:space="preserve"> REF _Ref69725870 \h </w:instrText>
      </w:r>
      <w:r w:rsidRPr="00040D0C">
        <w:rPr>
          <w:color w:val="auto"/>
        </w:rPr>
      </w:r>
      <w:r w:rsidRPr="00040D0C">
        <w:rPr>
          <w:color w:val="auto"/>
        </w:rPr>
        <w:fldChar w:fldCharType="separate"/>
      </w:r>
      <w:r w:rsidR="00B73B2F" w:rsidRPr="003C2173">
        <w:rPr>
          <w:color w:val="auto"/>
        </w:rPr>
        <w:t>Table </w:t>
      </w:r>
      <w:r w:rsidR="00B73B2F" w:rsidRPr="003C2173">
        <w:rPr>
          <w:noProof/>
          <w:color w:val="auto"/>
        </w:rPr>
        <w:t>6</w:t>
      </w:r>
      <w:r w:rsidRPr="00040D0C">
        <w:rPr>
          <w:color w:val="auto"/>
        </w:rPr>
        <w:fldChar w:fldCharType="end"/>
      </w:r>
      <w:r w:rsidR="005E3D87" w:rsidRPr="00040D0C">
        <w:rPr>
          <w:color w:val="auto"/>
        </w:rPr>
        <w:t xml:space="preserve"> and </w:t>
      </w:r>
      <w:r w:rsidRPr="00040D0C">
        <w:rPr>
          <w:color w:val="auto"/>
        </w:rPr>
        <w:fldChar w:fldCharType="begin"/>
      </w:r>
      <w:r w:rsidRPr="003C2173">
        <w:rPr>
          <w:color w:val="auto"/>
        </w:rPr>
        <w:instrText xml:space="preserve"> REF _Ref69726284 \h </w:instrText>
      </w:r>
      <w:r w:rsidRPr="00040D0C">
        <w:rPr>
          <w:color w:val="auto"/>
        </w:rPr>
      </w:r>
      <w:r w:rsidRPr="00040D0C">
        <w:rPr>
          <w:color w:val="auto"/>
        </w:rPr>
        <w:fldChar w:fldCharType="separate"/>
      </w:r>
      <w:r w:rsidR="00C77D78" w:rsidRPr="003C2173">
        <w:rPr>
          <w:color w:val="auto"/>
        </w:rPr>
        <w:t xml:space="preserve">Table </w:t>
      </w:r>
      <w:r w:rsidR="00C77D78" w:rsidRPr="003C2173">
        <w:rPr>
          <w:noProof/>
          <w:color w:val="auto"/>
        </w:rPr>
        <w:t>7</w:t>
      </w:r>
      <w:r w:rsidRPr="00040D0C">
        <w:rPr>
          <w:color w:val="auto"/>
        </w:rPr>
        <w:fldChar w:fldCharType="end"/>
      </w:r>
      <w:r w:rsidR="005E3D87" w:rsidRPr="001C636D">
        <w:rPr>
          <w:color w:val="auto"/>
        </w:rPr>
        <w:t xml:space="preserve"> show results of an economic evaluation as present</w:t>
      </w:r>
      <w:r w:rsidR="00AE6700">
        <w:rPr>
          <w:color w:val="auto"/>
        </w:rPr>
        <w:t>ed</w:t>
      </w:r>
      <w:r w:rsidR="005E3D87" w:rsidRPr="001C636D">
        <w:rPr>
          <w:color w:val="auto"/>
        </w:rPr>
        <w:t xml:space="preserve"> in the </w:t>
      </w:r>
      <w:r w:rsidRPr="001C636D">
        <w:rPr>
          <w:color w:val="auto"/>
        </w:rPr>
        <w:t>ADAR</w:t>
      </w:r>
      <w:r w:rsidR="005E3D87" w:rsidRPr="001C636D">
        <w:rPr>
          <w:color w:val="auto"/>
        </w:rPr>
        <w:t xml:space="preserve">. </w:t>
      </w:r>
    </w:p>
    <w:p w14:paraId="6D8A9EF7" w14:textId="56FF7B0A" w:rsidR="005E3D87" w:rsidRDefault="005E3D87" w:rsidP="005E3D87">
      <w:pPr>
        <w:pStyle w:val="Caption"/>
      </w:pPr>
      <w:bookmarkStart w:id="29" w:name="_Ref69725870"/>
      <w:bookmarkEnd w:id="28"/>
      <w:r>
        <w:t>Table </w:t>
      </w:r>
      <w:r>
        <w:fldChar w:fldCharType="begin"/>
      </w:r>
      <w:r>
        <w:rPr>
          <w:noProof/>
        </w:rPr>
        <w:instrText xml:space="preserve"> SEQ Table \* ARABIC </w:instrText>
      </w:r>
      <w:r>
        <w:fldChar w:fldCharType="separate"/>
      </w:r>
      <w:r w:rsidR="00B73B2F">
        <w:rPr>
          <w:noProof/>
        </w:rPr>
        <w:t>6</w:t>
      </w:r>
      <w:r>
        <w:fldChar w:fldCharType="end"/>
      </w:r>
      <w:bookmarkEnd w:id="29"/>
      <w:r>
        <w:t xml:space="preserve"> </w:t>
      </w:r>
      <w:r>
        <w:tab/>
        <w:t xml:space="preserve">Results of the stepped economic analysis (as in </w:t>
      </w:r>
      <w:r w:rsidR="001C636D">
        <w:t>ADAR</w:t>
      </w:r>
      <w:r>
        <w:t xml:space="preserve">) </w:t>
      </w:r>
    </w:p>
    <w:tbl>
      <w:tblPr>
        <w:tblStyle w:val="TableGrid"/>
        <w:tblW w:w="5000" w:type="pct"/>
        <w:tblCellMar>
          <w:left w:w="28" w:type="dxa"/>
          <w:right w:w="28" w:type="dxa"/>
        </w:tblCellMar>
        <w:tblLook w:val="04A0" w:firstRow="1" w:lastRow="0" w:firstColumn="1" w:lastColumn="0" w:noHBand="0" w:noVBand="1"/>
      </w:tblPr>
      <w:tblGrid>
        <w:gridCol w:w="2983"/>
        <w:gridCol w:w="1288"/>
        <w:gridCol w:w="1339"/>
        <w:gridCol w:w="1179"/>
        <w:gridCol w:w="1260"/>
        <w:gridCol w:w="967"/>
      </w:tblGrid>
      <w:tr w:rsidR="005E3D87" w14:paraId="12ECF11F" w14:textId="77777777" w:rsidTr="00A12B37">
        <w:trPr>
          <w:tblHeader/>
        </w:trPr>
        <w:tc>
          <w:tcPr>
            <w:tcW w:w="1654" w:type="pct"/>
            <w:tcBorders>
              <w:top w:val="single" w:sz="4" w:space="0" w:color="auto"/>
              <w:left w:val="single" w:sz="4" w:space="0" w:color="auto"/>
              <w:bottom w:val="single" w:sz="4" w:space="0" w:color="auto"/>
              <w:right w:val="single" w:sz="4" w:space="0" w:color="auto"/>
            </w:tcBorders>
            <w:hideMark/>
          </w:tcPr>
          <w:p w14:paraId="7A015EEA" w14:textId="77777777" w:rsidR="005E3D87" w:rsidRDefault="005E3D87">
            <w:pPr>
              <w:pStyle w:val="Tabletext0"/>
              <w:rPr>
                <w:rFonts w:cs="Times New Roman"/>
                <w:b/>
                <w:bCs/>
              </w:rPr>
            </w:pPr>
            <w:bookmarkStart w:id="30" w:name="Title_Table6"/>
            <w:bookmarkStart w:id="31" w:name="_Hlk68276518"/>
            <w:bookmarkEnd w:id="30"/>
            <w:r>
              <w:rPr>
                <w:rFonts w:cs="Times New Roman"/>
                <w:b/>
                <w:bCs/>
              </w:rPr>
              <w:t>Strategy</w:t>
            </w:r>
          </w:p>
        </w:tc>
        <w:tc>
          <w:tcPr>
            <w:tcW w:w="714" w:type="pct"/>
            <w:tcBorders>
              <w:top w:val="single" w:sz="4" w:space="0" w:color="auto"/>
              <w:left w:val="single" w:sz="4" w:space="0" w:color="auto"/>
              <w:bottom w:val="single" w:sz="4" w:space="0" w:color="auto"/>
              <w:right w:val="single" w:sz="4" w:space="0" w:color="auto"/>
            </w:tcBorders>
            <w:hideMark/>
          </w:tcPr>
          <w:p w14:paraId="21A33A82" w14:textId="77777777" w:rsidR="005E3D87" w:rsidRDefault="005E3D87">
            <w:pPr>
              <w:pStyle w:val="Tabletext0"/>
              <w:rPr>
                <w:rFonts w:cs="Times New Roman"/>
                <w:b/>
                <w:bCs/>
              </w:rPr>
            </w:pPr>
            <w:r>
              <w:rPr>
                <w:rFonts w:cs="Times New Roman"/>
                <w:b/>
                <w:bCs/>
              </w:rPr>
              <w:t>Cost</w:t>
            </w:r>
          </w:p>
        </w:tc>
        <w:tc>
          <w:tcPr>
            <w:tcW w:w="742" w:type="pct"/>
            <w:tcBorders>
              <w:top w:val="single" w:sz="4" w:space="0" w:color="auto"/>
              <w:left w:val="single" w:sz="4" w:space="0" w:color="auto"/>
              <w:bottom w:val="single" w:sz="4" w:space="0" w:color="auto"/>
              <w:right w:val="single" w:sz="4" w:space="0" w:color="auto"/>
            </w:tcBorders>
            <w:hideMark/>
          </w:tcPr>
          <w:p w14:paraId="0E085EAD" w14:textId="77777777" w:rsidR="005E3D87" w:rsidRDefault="005E3D87">
            <w:pPr>
              <w:pStyle w:val="Tabletext0"/>
              <w:rPr>
                <w:rFonts w:cs="Times New Roman"/>
                <w:b/>
                <w:bCs/>
              </w:rPr>
            </w:pPr>
            <w:r>
              <w:rPr>
                <w:rFonts w:cs="Times New Roman"/>
                <w:b/>
                <w:bCs/>
              </w:rPr>
              <w:t>Incremental cost</w:t>
            </w:r>
          </w:p>
        </w:tc>
        <w:tc>
          <w:tcPr>
            <w:tcW w:w="654" w:type="pct"/>
            <w:tcBorders>
              <w:top w:val="single" w:sz="4" w:space="0" w:color="auto"/>
              <w:left w:val="single" w:sz="4" w:space="0" w:color="auto"/>
              <w:bottom w:val="single" w:sz="4" w:space="0" w:color="auto"/>
              <w:right w:val="single" w:sz="4" w:space="0" w:color="auto"/>
            </w:tcBorders>
            <w:hideMark/>
          </w:tcPr>
          <w:p w14:paraId="7224D754" w14:textId="77777777" w:rsidR="005E3D87" w:rsidRDefault="005E3D87">
            <w:pPr>
              <w:pStyle w:val="Tabletext0"/>
              <w:rPr>
                <w:rFonts w:cs="Times New Roman"/>
                <w:b/>
                <w:bCs/>
              </w:rPr>
            </w:pPr>
            <w:r>
              <w:rPr>
                <w:rFonts w:cs="Times New Roman"/>
                <w:b/>
                <w:bCs/>
              </w:rPr>
              <w:t>Effectiveness</w:t>
            </w:r>
          </w:p>
        </w:tc>
        <w:tc>
          <w:tcPr>
            <w:tcW w:w="699" w:type="pct"/>
            <w:tcBorders>
              <w:top w:val="single" w:sz="4" w:space="0" w:color="auto"/>
              <w:left w:val="single" w:sz="4" w:space="0" w:color="auto"/>
              <w:bottom w:val="single" w:sz="4" w:space="0" w:color="auto"/>
              <w:right w:val="single" w:sz="4" w:space="0" w:color="auto"/>
            </w:tcBorders>
            <w:hideMark/>
          </w:tcPr>
          <w:p w14:paraId="0A65B279" w14:textId="77777777" w:rsidR="005E3D87" w:rsidRDefault="005E3D87">
            <w:pPr>
              <w:pStyle w:val="Tabletext0"/>
              <w:rPr>
                <w:rFonts w:cs="Times New Roman"/>
                <w:b/>
                <w:bCs/>
              </w:rPr>
            </w:pPr>
            <w:r>
              <w:rPr>
                <w:rFonts w:cs="Times New Roman"/>
                <w:b/>
                <w:bCs/>
              </w:rPr>
              <w:t>Incremental effectiveness</w:t>
            </w:r>
          </w:p>
        </w:tc>
        <w:tc>
          <w:tcPr>
            <w:tcW w:w="536" w:type="pct"/>
            <w:tcBorders>
              <w:top w:val="single" w:sz="4" w:space="0" w:color="auto"/>
              <w:left w:val="single" w:sz="4" w:space="0" w:color="auto"/>
              <w:bottom w:val="single" w:sz="4" w:space="0" w:color="auto"/>
              <w:right w:val="single" w:sz="4" w:space="0" w:color="auto"/>
            </w:tcBorders>
            <w:hideMark/>
          </w:tcPr>
          <w:p w14:paraId="7A7C704B" w14:textId="77777777" w:rsidR="005E3D87" w:rsidRDefault="005E3D87">
            <w:pPr>
              <w:pStyle w:val="Tabletext0"/>
              <w:rPr>
                <w:rFonts w:cs="Times New Roman"/>
                <w:b/>
                <w:bCs/>
              </w:rPr>
            </w:pPr>
            <w:r>
              <w:rPr>
                <w:rFonts w:cs="Times New Roman"/>
                <w:b/>
                <w:bCs/>
              </w:rPr>
              <w:t>ICER</w:t>
            </w:r>
          </w:p>
        </w:tc>
      </w:tr>
      <w:tr w:rsidR="005E3D87" w14:paraId="07263E13" w14:textId="77777777" w:rsidTr="005E3D87">
        <w:tc>
          <w:tcPr>
            <w:tcW w:w="1654" w:type="pct"/>
            <w:tcBorders>
              <w:top w:val="single" w:sz="4" w:space="0" w:color="auto"/>
              <w:left w:val="single" w:sz="4" w:space="0" w:color="auto"/>
              <w:bottom w:val="single" w:sz="4" w:space="0" w:color="auto"/>
              <w:right w:val="nil"/>
            </w:tcBorders>
            <w:hideMark/>
          </w:tcPr>
          <w:p w14:paraId="26EB001D" w14:textId="77777777" w:rsidR="005E3D87" w:rsidRDefault="005E3D87">
            <w:pPr>
              <w:pStyle w:val="Tabletext0"/>
              <w:rPr>
                <w:rFonts w:cs="Times New Roman"/>
                <w:b/>
                <w:bCs/>
              </w:rPr>
            </w:pPr>
            <w:r>
              <w:rPr>
                <w:rFonts w:cs="Times New Roman"/>
                <w:b/>
                <w:bCs/>
              </w:rPr>
              <w:t>Step 1 (cost per LY – 90.8-week time horizon)</w:t>
            </w:r>
          </w:p>
        </w:tc>
        <w:tc>
          <w:tcPr>
            <w:tcW w:w="714" w:type="pct"/>
            <w:tcBorders>
              <w:top w:val="single" w:sz="4" w:space="0" w:color="auto"/>
              <w:left w:val="nil"/>
              <w:bottom w:val="single" w:sz="4" w:space="0" w:color="auto"/>
              <w:right w:val="nil"/>
            </w:tcBorders>
          </w:tcPr>
          <w:p w14:paraId="207027D0" w14:textId="77777777" w:rsidR="005E3D87" w:rsidRDefault="005E3D87">
            <w:pPr>
              <w:pStyle w:val="Tabletext0"/>
              <w:rPr>
                <w:rFonts w:cs="Times New Roman"/>
                <w:b/>
                <w:bCs/>
              </w:rPr>
            </w:pPr>
          </w:p>
        </w:tc>
        <w:tc>
          <w:tcPr>
            <w:tcW w:w="742" w:type="pct"/>
            <w:tcBorders>
              <w:top w:val="single" w:sz="4" w:space="0" w:color="auto"/>
              <w:left w:val="nil"/>
              <w:bottom w:val="single" w:sz="4" w:space="0" w:color="auto"/>
              <w:right w:val="nil"/>
            </w:tcBorders>
          </w:tcPr>
          <w:p w14:paraId="09B410C9" w14:textId="77777777" w:rsidR="005E3D87" w:rsidRDefault="005E3D87">
            <w:pPr>
              <w:pStyle w:val="Tabletext0"/>
              <w:rPr>
                <w:rFonts w:cs="Times New Roman"/>
                <w:b/>
                <w:bCs/>
              </w:rPr>
            </w:pPr>
          </w:p>
        </w:tc>
        <w:tc>
          <w:tcPr>
            <w:tcW w:w="654" w:type="pct"/>
            <w:tcBorders>
              <w:top w:val="single" w:sz="4" w:space="0" w:color="auto"/>
              <w:left w:val="nil"/>
              <w:bottom w:val="single" w:sz="4" w:space="0" w:color="auto"/>
              <w:right w:val="nil"/>
            </w:tcBorders>
          </w:tcPr>
          <w:p w14:paraId="5BF4A7AA" w14:textId="77777777" w:rsidR="005E3D87" w:rsidRDefault="005E3D87">
            <w:pPr>
              <w:pStyle w:val="Tabletext0"/>
              <w:rPr>
                <w:rFonts w:cs="Times New Roman"/>
                <w:b/>
                <w:bCs/>
              </w:rPr>
            </w:pPr>
          </w:p>
        </w:tc>
        <w:tc>
          <w:tcPr>
            <w:tcW w:w="699" w:type="pct"/>
            <w:tcBorders>
              <w:top w:val="single" w:sz="4" w:space="0" w:color="auto"/>
              <w:left w:val="nil"/>
              <w:bottom w:val="single" w:sz="4" w:space="0" w:color="auto"/>
              <w:right w:val="nil"/>
            </w:tcBorders>
          </w:tcPr>
          <w:p w14:paraId="53D10AE2" w14:textId="77777777" w:rsidR="005E3D87" w:rsidRDefault="005E3D87">
            <w:pPr>
              <w:pStyle w:val="Tabletext0"/>
              <w:rPr>
                <w:rFonts w:cs="Times New Roman"/>
                <w:b/>
                <w:bCs/>
              </w:rPr>
            </w:pPr>
          </w:p>
        </w:tc>
        <w:tc>
          <w:tcPr>
            <w:tcW w:w="536" w:type="pct"/>
            <w:tcBorders>
              <w:top w:val="single" w:sz="4" w:space="0" w:color="auto"/>
              <w:left w:val="nil"/>
              <w:bottom w:val="single" w:sz="4" w:space="0" w:color="auto"/>
              <w:right w:val="single" w:sz="4" w:space="0" w:color="auto"/>
            </w:tcBorders>
          </w:tcPr>
          <w:p w14:paraId="159B700C" w14:textId="77777777" w:rsidR="005E3D87" w:rsidRDefault="005E3D87">
            <w:pPr>
              <w:pStyle w:val="Tabletext0"/>
              <w:rPr>
                <w:rFonts w:cs="Times New Roman"/>
                <w:b/>
                <w:bCs/>
              </w:rPr>
            </w:pPr>
          </w:p>
        </w:tc>
      </w:tr>
      <w:tr w:rsidR="005E3D87" w14:paraId="1F777B5A" w14:textId="77777777" w:rsidTr="005E3D87">
        <w:tc>
          <w:tcPr>
            <w:tcW w:w="1654" w:type="pct"/>
            <w:tcBorders>
              <w:top w:val="single" w:sz="4" w:space="0" w:color="auto"/>
              <w:left w:val="single" w:sz="4" w:space="0" w:color="auto"/>
              <w:bottom w:val="single" w:sz="4" w:space="0" w:color="auto"/>
              <w:right w:val="single" w:sz="4" w:space="0" w:color="auto"/>
            </w:tcBorders>
            <w:hideMark/>
          </w:tcPr>
          <w:p w14:paraId="61281DD7" w14:textId="33E5FBB9" w:rsidR="005E3D87" w:rsidRDefault="005E3D87">
            <w:pPr>
              <w:pStyle w:val="Tabletext0"/>
              <w:rPr>
                <w:rFonts w:cs="Times New Roman"/>
              </w:rPr>
            </w:pPr>
            <w:r>
              <w:rPr>
                <w:rFonts w:cs="Times New Roman"/>
                <w:vertAlign w:val="superscript"/>
              </w:rPr>
              <w:t>177</w:t>
            </w:r>
            <w:r>
              <w:rPr>
                <w:rFonts w:cs="Times New Roman"/>
              </w:rPr>
              <w:t>Lu</w:t>
            </w:r>
            <w:r w:rsidR="00D05081">
              <w:t> </w:t>
            </w:r>
            <w:r>
              <w:rPr>
                <w:rFonts w:cs="Times New Roman"/>
              </w:rPr>
              <w:t>PSMA</w:t>
            </w:r>
            <w:r w:rsidR="00D05081">
              <w:rPr>
                <w:rFonts w:cs="Times New Roman"/>
              </w:rPr>
              <w:t> </w:t>
            </w:r>
            <w:proofErr w:type="spellStart"/>
            <w:r w:rsidR="00D05081">
              <w:rPr>
                <w:rFonts w:cs="Times New Roman"/>
              </w:rPr>
              <w:t>i&amp;t</w:t>
            </w:r>
            <w:proofErr w:type="spellEnd"/>
          </w:p>
        </w:tc>
        <w:tc>
          <w:tcPr>
            <w:tcW w:w="714" w:type="pct"/>
            <w:tcBorders>
              <w:top w:val="single" w:sz="4" w:space="0" w:color="auto"/>
              <w:left w:val="single" w:sz="4" w:space="0" w:color="auto"/>
              <w:bottom w:val="single" w:sz="4" w:space="0" w:color="auto"/>
              <w:right w:val="single" w:sz="4" w:space="0" w:color="auto"/>
            </w:tcBorders>
            <w:vAlign w:val="bottom"/>
            <w:hideMark/>
          </w:tcPr>
          <w:p w14:paraId="5B0DB11F" w14:textId="77777777" w:rsidR="005E3D87" w:rsidRDefault="005E3D87">
            <w:pPr>
              <w:pStyle w:val="Tabletext0"/>
              <w:rPr>
                <w:rFonts w:cs="Times New Roman"/>
              </w:rPr>
            </w:pPr>
            <w:r>
              <w:rPr>
                <w:rFonts w:cs="Times New Roman"/>
              </w:rPr>
              <w:t>$57,169</w:t>
            </w:r>
          </w:p>
        </w:tc>
        <w:tc>
          <w:tcPr>
            <w:tcW w:w="742" w:type="pct"/>
            <w:tcBorders>
              <w:top w:val="single" w:sz="4" w:space="0" w:color="auto"/>
              <w:left w:val="single" w:sz="4" w:space="0" w:color="auto"/>
              <w:bottom w:val="single" w:sz="4" w:space="0" w:color="auto"/>
              <w:right w:val="single" w:sz="4" w:space="0" w:color="auto"/>
            </w:tcBorders>
            <w:vAlign w:val="bottom"/>
            <w:hideMark/>
          </w:tcPr>
          <w:p w14:paraId="3750E14E" w14:textId="77777777" w:rsidR="005E3D87" w:rsidRDefault="005E3D87">
            <w:pPr>
              <w:pStyle w:val="Tabletext0"/>
              <w:rPr>
                <w:rFonts w:cs="Times New Roman"/>
              </w:rPr>
            </w:pPr>
            <w:r>
              <w:rPr>
                <w:rFonts w:cs="Times New Roman"/>
              </w:rPr>
              <w:t>$21,887</w:t>
            </w:r>
          </w:p>
        </w:tc>
        <w:tc>
          <w:tcPr>
            <w:tcW w:w="654" w:type="pct"/>
            <w:tcBorders>
              <w:top w:val="single" w:sz="4" w:space="0" w:color="auto"/>
              <w:left w:val="single" w:sz="4" w:space="0" w:color="auto"/>
              <w:bottom w:val="single" w:sz="4" w:space="0" w:color="auto"/>
              <w:right w:val="single" w:sz="4" w:space="0" w:color="auto"/>
            </w:tcBorders>
            <w:vAlign w:val="bottom"/>
            <w:hideMark/>
          </w:tcPr>
          <w:p w14:paraId="34E04E85" w14:textId="77777777" w:rsidR="005E3D87" w:rsidRDefault="005E3D87">
            <w:pPr>
              <w:pStyle w:val="Tabletext0"/>
              <w:rPr>
                <w:rFonts w:cs="Times New Roman"/>
              </w:rPr>
            </w:pPr>
            <w:r>
              <w:rPr>
                <w:rFonts w:cs="Times New Roman"/>
              </w:rPr>
              <w:t>1.158</w:t>
            </w:r>
          </w:p>
        </w:tc>
        <w:tc>
          <w:tcPr>
            <w:tcW w:w="699" w:type="pct"/>
            <w:tcBorders>
              <w:top w:val="single" w:sz="4" w:space="0" w:color="auto"/>
              <w:left w:val="single" w:sz="4" w:space="0" w:color="auto"/>
              <w:bottom w:val="single" w:sz="4" w:space="0" w:color="auto"/>
              <w:right w:val="single" w:sz="4" w:space="0" w:color="auto"/>
            </w:tcBorders>
            <w:vAlign w:val="bottom"/>
            <w:hideMark/>
          </w:tcPr>
          <w:p w14:paraId="1C310E59" w14:textId="77777777" w:rsidR="005E3D87" w:rsidRDefault="005E3D87">
            <w:pPr>
              <w:pStyle w:val="Tabletext0"/>
              <w:rPr>
                <w:rFonts w:cs="Times New Roman"/>
              </w:rPr>
            </w:pPr>
            <w:r>
              <w:rPr>
                <w:rFonts w:cs="Times New Roman"/>
              </w:rPr>
              <w:t>0.135</w:t>
            </w:r>
          </w:p>
        </w:tc>
        <w:tc>
          <w:tcPr>
            <w:tcW w:w="536" w:type="pct"/>
            <w:tcBorders>
              <w:top w:val="single" w:sz="4" w:space="0" w:color="auto"/>
              <w:left w:val="single" w:sz="4" w:space="0" w:color="auto"/>
              <w:bottom w:val="single" w:sz="4" w:space="0" w:color="auto"/>
              <w:right w:val="single" w:sz="4" w:space="0" w:color="auto"/>
            </w:tcBorders>
            <w:vAlign w:val="bottom"/>
            <w:hideMark/>
          </w:tcPr>
          <w:p w14:paraId="2100317E" w14:textId="77777777" w:rsidR="005E3D87" w:rsidRDefault="005E3D87">
            <w:pPr>
              <w:pStyle w:val="Tabletext0"/>
              <w:rPr>
                <w:rFonts w:cs="Times New Roman"/>
              </w:rPr>
            </w:pPr>
            <w:r>
              <w:rPr>
                <w:rFonts w:cs="Times New Roman"/>
              </w:rPr>
              <w:t>$161,960</w:t>
            </w:r>
          </w:p>
        </w:tc>
      </w:tr>
      <w:tr w:rsidR="005E3D87" w14:paraId="5F9325D7" w14:textId="77777777" w:rsidTr="005E3D87">
        <w:tc>
          <w:tcPr>
            <w:tcW w:w="1654" w:type="pct"/>
            <w:tcBorders>
              <w:top w:val="single" w:sz="4" w:space="0" w:color="auto"/>
              <w:left w:val="single" w:sz="4" w:space="0" w:color="auto"/>
              <w:bottom w:val="single" w:sz="4" w:space="0" w:color="auto"/>
              <w:right w:val="single" w:sz="4" w:space="0" w:color="auto"/>
            </w:tcBorders>
            <w:hideMark/>
          </w:tcPr>
          <w:p w14:paraId="45C3F799" w14:textId="77777777" w:rsidR="005E3D87" w:rsidRDefault="005E3D87">
            <w:pPr>
              <w:pStyle w:val="Tabletext0"/>
              <w:rPr>
                <w:rFonts w:cs="Times New Roman"/>
              </w:rPr>
            </w:pPr>
            <w:r>
              <w:rPr>
                <w:rFonts w:cs="Times New Roman"/>
              </w:rPr>
              <w:t>Cabazitaxel/BSc</w:t>
            </w:r>
          </w:p>
        </w:tc>
        <w:tc>
          <w:tcPr>
            <w:tcW w:w="714" w:type="pct"/>
            <w:tcBorders>
              <w:top w:val="single" w:sz="4" w:space="0" w:color="auto"/>
              <w:left w:val="single" w:sz="4" w:space="0" w:color="auto"/>
              <w:bottom w:val="single" w:sz="4" w:space="0" w:color="auto"/>
              <w:right w:val="single" w:sz="4" w:space="0" w:color="auto"/>
            </w:tcBorders>
            <w:vAlign w:val="bottom"/>
            <w:hideMark/>
          </w:tcPr>
          <w:p w14:paraId="09FE8280" w14:textId="77777777" w:rsidR="005E3D87" w:rsidRDefault="005E3D87">
            <w:pPr>
              <w:pStyle w:val="Tabletext0"/>
              <w:rPr>
                <w:rFonts w:cs="Times New Roman"/>
              </w:rPr>
            </w:pPr>
            <w:r>
              <w:rPr>
                <w:rFonts w:cs="Times New Roman"/>
              </w:rPr>
              <w:t>$35,282</w:t>
            </w:r>
          </w:p>
        </w:tc>
        <w:tc>
          <w:tcPr>
            <w:tcW w:w="742" w:type="pct"/>
            <w:tcBorders>
              <w:top w:val="single" w:sz="4" w:space="0" w:color="auto"/>
              <w:left w:val="single" w:sz="4" w:space="0" w:color="auto"/>
              <w:bottom w:val="single" w:sz="4" w:space="0" w:color="auto"/>
              <w:right w:val="single" w:sz="4" w:space="0" w:color="auto"/>
            </w:tcBorders>
            <w:vAlign w:val="bottom"/>
          </w:tcPr>
          <w:p w14:paraId="03E11AC8" w14:textId="77777777" w:rsidR="005E3D87" w:rsidRDefault="005E3D87">
            <w:pPr>
              <w:pStyle w:val="Tabletext0"/>
              <w:rPr>
                <w:rFonts w:cs="Times New Roman"/>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6DCD198F" w14:textId="77777777" w:rsidR="005E3D87" w:rsidRDefault="005E3D87">
            <w:pPr>
              <w:pStyle w:val="Tabletext0"/>
              <w:rPr>
                <w:rFonts w:cs="Times New Roman"/>
              </w:rPr>
            </w:pPr>
            <w:r>
              <w:rPr>
                <w:rFonts w:cs="Times New Roman"/>
              </w:rPr>
              <w:t>1.023</w:t>
            </w:r>
          </w:p>
        </w:tc>
        <w:tc>
          <w:tcPr>
            <w:tcW w:w="699" w:type="pct"/>
            <w:tcBorders>
              <w:top w:val="single" w:sz="4" w:space="0" w:color="auto"/>
              <w:left w:val="single" w:sz="4" w:space="0" w:color="auto"/>
              <w:bottom w:val="single" w:sz="4" w:space="0" w:color="auto"/>
              <w:right w:val="single" w:sz="4" w:space="0" w:color="auto"/>
            </w:tcBorders>
            <w:vAlign w:val="bottom"/>
          </w:tcPr>
          <w:p w14:paraId="705A77E9" w14:textId="77777777" w:rsidR="005E3D87" w:rsidRDefault="005E3D87">
            <w:pPr>
              <w:pStyle w:val="Tabletext0"/>
              <w:rPr>
                <w:rFonts w:cs="Times New Roman"/>
              </w:rPr>
            </w:pPr>
          </w:p>
        </w:tc>
        <w:tc>
          <w:tcPr>
            <w:tcW w:w="536" w:type="pct"/>
            <w:tcBorders>
              <w:top w:val="single" w:sz="4" w:space="0" w:color="auto"/>
              <w:left w:val="single" w:sz="4" w:space="0" w:color="auto"/>
              <w:bottom w:val="single" w:sz="4" w:space="0" w:color="auto"/>
              <w:right w:val="single" w:sz="4" w:space="0" w:color="auto"/>
            </w:tcBorders>
            <w:vAlign w:val="bottom"/>
          </w:tcPr>
          <w:p w14:paraId="59B71450" w14:textId="77777777" w:rsidR="005E3D87" w:rsidRDefault="005E3D87">
            <w:pPr>
              <w:pStyle w:val="Tabletext0"/>
              <w:rPr>
                <w:rFonts w:cs="Times New Roman"/>
              </w:rPr>
            </w:pPr>
          </w:p>
        </w:tc>
      </w:tr>
      <w:tr w:rsidR="005E3D87" w14:paraId="61CA62D4" w14:textId="77777777" w:rsidTr="005E3D87">
        <w:tc>
          <w:tcPr>
            <w:tcW w:w="1654" w:type="pct"/>
            <w:tcBorders>
              <w:top w:val="single" w:sz="4" w:space="0" w:color="auto"/>
              <w:left w:val="single" w:sz="4" w:space="0" w:color="auto"/>
              <w:bottom w:val="single" w:sz="4" w:space="0" w:color="auto"/>
              <w:right w:val="nil"/>
            </w:tcBorders>
            <w:hideMark/>
          </w:tcPr>
          <w:p w14:paraId="2B1F8EB6" w14:textId="77777777" w:rsidR="005E3D87" w:rsidRDefault="005E3D87">
            <w:pPr>
              <w:pStyle w:val="Tabletext0"/>
              <w:rPr>
                <w:rFonts w:cs="Times New Roman"/>
                <w:b/>
                <w:bCs/>
              </w:rPr>
            </w:pPr>
            <w:r>
              <w:rPr>
                <w:rFonts w:cs="Times New Roman"/>
                <w:b/>
                <w:bCs/>
              </w:rPr>
              <w:t>Step 2 (cost per LY – 7.5-year time horizon)</w:t>
            </w:r>
          </w:p>
        </w:tc>
        <w:tc>
          <w:tcPr>
            <w:tcW w:w="714" w:type="pct"/>
            <w:tcBorders>
              <w:top w:val="single" w:sz="4" w:space="0" w:color="auto"/>
              <w:left w:val="nil"/>
              <w:bottom w:val="single" w:sz="4" w:space="0" w:color="auto"/>
              <w:right w:val="nil"/>
            </w:tcBorders>
          </w:tcPr>
          <w:p w14:paraId="74B29B47" w14:textId="77777777" w:rsidR="005E3D87" w:rsidRDefault="005E3D87">
            <w:pPr>
              <w:pStyle w:val="Tabletext0"/>
              <w:rPr>
                <w:rFonts w:cs="Times New Roman"/>
                <w:b/>
                <w:bCs/>
              </w:rPr>
            </w:pPr>
          </w:p>
        </w:tc>
        <w:tc>
          <w:tcPr>
            <w:tcW w:w="742" w:type="pct"/>
            <w:tcBorders>
              <w:top w:val="single" w:sz="4" w:space="0" w:color="auto"/>
              <w:left w:val="nil"/>
              <w:bottom w:val="single" w:sz="4" w:space="0" w:color="auto"/>
              <w:right w:val="nil"/>
            </w:tcBorders>
          </w:tcPr>
          <w:p w14:paraId="02FBF7B8" w14:textId="77777777" w:rsidR="005E3D87" w:rsidRDefault="005E3D87">
            <w:pPr>
              <w:pStyle w:val="Tabletext0"/>
              <w:rPr>
                <w:rFonts w:cs="Times New Roman"/>
                <w:b/>
                <w:bCs/>
              </w:rPr>
            </w:pPr>
          </w:p>
        </w:tc>
        <w:tc>
          <w:tcPr>
            <w:tcW w:w="654" w:type="pct"/>
            <w:tcBorders>
              <w:top w:val="single" w:sz="4" w:space="0" w:color="auto"/>
              <w:left w:val="nil"/>
              <w:bottom w:val="single" w:sz="4" w:space="0" w:color="auto"/>
              <w:right w:val="nil"/>
            </w:tcBorders>
          </w:tcPr>
          <w:p w14:paraId="175B0A50" w14:textId="77777777" w:rsidR="005E3D87" w:rsidRDefault="005E3D87">
            <w:pPr>
              <w:pStyle w:val="Tabletext0"/>
              <w:rPr>
                <w:rFonts w:cs="Times New Roman"/>
                <w:b/>
                <w:bCs/>
              </w:rPr>
            </w:pPr>
          </w:p>
        </w:tc>
        <w:tc>
          <w:tcPr>
            <w:tcW w:w="699" w:type="pct"/>
            <w:tcBorders>
              <w:top w:val="single" w:sz="4" w:space="0" w:color="auto"/>
              <w:left w:val="nil"/>
              <w:bottom w:val="single" w:sz="4" w:space="0" w:color="auto"/>
              <w:right w:val="nil"/>
            </w:tcBorders>
          </w:tcPr>
          <w:p w14:paraId="1AA768F2" w14:textId="77777777" w:rsidR="005E3D87" w:rsidRDefault="005E3D87">
            <w:pPr>
              <w:pStyle w:val="Tabletext0"/>
              <w:rPr>
                <w:rFonts w:cs="Times New Roman"/>
                <w:b/>
                <w:bCs/>
              </w:rPr>
            </w:pPr>
          </w:p>
        </w:tc>
        <w:tc>
          <w:tcPr>
            <w:tcW w:w="536" w:type="pct"/>
            <w:tcBorders>
              <w:top w:val="single" w:sz="4" w:space="0" w:color="auto"/>
              <w:left w:val="nil"/>
              <w:bottom w:val="single" w:sz="4" w:space="0" w:color="auto"/>
              <w:right w:val="single" w:sz="4" w:space="0" w:color="auto"/>
            </w:tcBorders>
          </w:tcPr>
          <w:p w14:paraId="2371DA24" w14:textId="77777777" w:rsidR="005E3D87" w:rsidRDefault="005E3D87">
            <w:pPr>
              <w:pStyle w:val="Tabletext0"/>
              <w:rPr>
                <w:rFonts w:cs="Times New Roman"/>
                <w:b/>
                <w:bCs/>
              </w:rPr>
            </w:pPr>
          </w:p>
        </w:tc>
      </w:tr>
      <w:tr w:rsidR="005E3D87" w14:paraId="5160F824" w14:textId="77777777" w:rsidTr="005E3D87">
        <w:tc>
          <w:tcPr>
            <w:tcW w:w="1654" w:type="pct"/>
            <w:tcBorders>
              <w:top w:val="single" w:sz="4" w:space="0" w:color="auto"/>
              <w:left w:val="single" w:sz="4" w:space="0" w:color="auto"/>
              <w:bottom w:val="single" w:sz="4" w:space="0" w:color="auto"/>
              <w:right w:val="single" w:sz="4" w:space="0" w:color="auto"/>
            </w:tcBorders>
            <w:hideMark/>
          </w:tcPr>
          <w:p w14:paraId="2C3E515C" w14:textId="2ACBA77D" w:rsidR="005E3D87" w:rsidRDefault="005E3D87">
            <w:pPr>
              <w:pStyle w:val="Tabletext0"/>
              <w:rPr>
                <w:rFonts w:cs="Times New Roman"/>
              </w:rPr>
            </w:pPr>
            <w:r>
              <w:rPr>
                <w:rFonts w:cs="Times New Roman"/>
                <w:vertAlign w:val="superscript"/>
              </w:rPr>
              <w:t>177</w:t>
            </w:r>
            <w:r>
              <w:rPr>
                <w:rFonts w:cs="Times New Roman"/>
              </w:rPr>
              <w:t>Lu</w:t>
            </w:r>
            <w:r w:rsidR="00917994">
              <w:rPr>
                <w:rFonts w:cs="Times New Roman"/>
              </w:rPr>
              <w:t> </w:t>
            </w:r>
            <w:r>
              <w:rPr>
                <w:rFonts w:cs="Times New Roman"/>
              </w:rPr>
              <w:t>PSMA</w:t>
            </w:r>
            <w:r w:rsidR="00917994">
              <w:rPr>
                <w:rFonts w:cs="Times New Roman"/>
              </w:rPr>
              <w:t> </w:t>
            </w:r>
            <w:proofErr w:type="spellStart"/>
            <w:r w:rsidR="00917994">
              <w:rPr>
                <w:rFonts w:cs="Times New Roman"/>
              </w:rPr>
              <w:t>i&amp;t</w:t>
            </w:r>
            <w:proofErr w:type="spellEnd"/>
          </w:p>
        </w:tc>
        <w:tc>
          <w:tcPr>
            <w:tcW w:w="714" w:type="pct"/>
            <w:tcBorders>
              <w:top w:val="single" w:sz="4" w:space="0" w:color="auto"/>
              <w:left w:val="single" w:sz="4" w:space="0" w:color="auto"/>
              <w:bottom w:val="single" w:sz="4" w:space="0" w:color="auto"/>
              <w:right w:val="single" w:sz="4" w:space="0" w:color="auto"/>
            </w:tcBorders>
            <w:vAlign w:val="bottom"/>
            <w:hideMark/>
          </w:tcPr>
          <w:p w14:paraId="6DC3F0F0" w14:textId="77777777" w:rsidR="005E3D87" w:rsidRDefault="005E3D87">
            <w:pPr>
              <w:pStyle w:val="Tabletext0"/>
              <w:rPr>
                <w:rFonts w:cs="Times New Roman"/>
              </w:rPr>
            </w:pPr>
            <w:r>
              <w:rPr>
                <w:rFonts w:cs="Times New Roman"/>
              </w:rPr>
              <w:t>$69,003</w:t>
            </w:r>
          </w:p>
        </w:tc>
        <w:tc>
          <w:tcPr>
            <w:tcW w:w="742" w:type="pct"/>
            <w:tcBorders>
              <w:top w:val="single" w:sz="4" w:space="0" w:color="auto"/>
              <w:left w:val="single" w:sz="4" w:space="0" w:color="auto"/>
              <w:bottom w:val="single" w:sz="4" w:space="0" w:color="auto"/>
              <w:right w:val="single" w:sz="4" w:space="0" w:color="auto"/>
            </w:tcBorders>
            <w:vAlign w:val="bottom"/>
            <w:hideMark/>
          </w:tcPr>
          <w:p w14:paraId="10FF2213" w14:textId="77777777" w:rsidR="005E3D87" w:rsidRDefault="005E3D87">
            <w:pPr>
              <w:pStyle w:val="Tabletext0"/>
              <w:rPr>
                <w:rFonts w:cs="Times New Roman"/>
              </w:rPr>
            </w:pPr>
            <w:r>
              <w:rPr>
                <w:rFonts w:cs="Times New Roman"/>
              </w:rPr>
              <w:t>$25,690</w:t>
            </w:r>
          </w:p>
        </w:tc>
        <w:tc>
          <w:tcPr>
            <w:tcW w:w="654" w:type="pct"/>
            <w:tcBorders>
              <w:top w:val="single" w:sz="4" w:space="0" w:color="auto"/>
              <w:left w:val="single" w:sz="4" w:space="0" w:color="auto"/>
              <w:bottom w:val="single" w:sz="4" w:space="0" w:color="auto"/>
              <w:right w:val="single" w:sz="4" w:space="0" w:color="auto"/>
            </w:tcBorders>
            <w:vAlign w:val="bottom"/>
            <w:hideMark/>
          </w:tcPr>
          <w:p w14:paraId="26CAE22F" w14:textId="77777777" w:rsidR="005E3D87" w:rsidRDefault="005E3D87">
            <w:pPr>
              <w:pStyle w:val="Tabletext0"/>
              <w:rPr>
                <w:rFonts w:cs="Times New Roman"/>
              </w:rPr>
            </w:pPr>
            <w:r>
              <w:rPr>
                <w:rFonts w:cs="Times New Roman"/>
              </w:rPr>
              <w:t>1.646</w:t>
            </w:r>
          </w:p>
        </w:tc>
        <w:tc>
          <w:tcPr>
            <w:tcW w:w="699" w:type="pct"/>
            <w:tcBorders>
              <w:top w:val="single" w:sz="4" w:space="0" w:color="auto"/>
              <w:left w:val="single" w:sz="4" w:space="0" w:color="auto"/>
              <w:bottom w:val="single" w:sz="4" w:space="0" w:color="auto"/>
              <w:right w:val="single" w:sz="4" w:space="0" w:color="auto"/>
            </w:tcBorders>
            <w:vAlign w:val="bottom"/>
            <w:hideMark/>
          </w:tcPr>
          <w:p w14:paraId="5053F027" w14:textId="77777777" w:rsidR="005E3D87" w:rsidRDefault="005E3D87">
            <w:pPr>
              <w:pStyle w:val="Tabletext0"/>
              <w:rPr>
                <w:rFonts w:cs="Times New Roman"/>
              </w:rPr>
            </w:pPr>
            <w:r>
              <w:rPr>
                <w:rFonts w:cs="Times New Roman"/>
              </w:rPr>
              <w:t>0.402</w:t>
            </w:r>
          </w:p>
        </w:tc>
        <w:tc>
          <w:tcPr>
            <w:tcW w:w="536" w:type="pct"/>
            <w:tcBorders>
              <w:top w:val="single" w:sz="4" w:space="0" w:color="auto"/>
              <w:left w:val="single" w:sz="4" w:space="0" w:color="auto"/>
              <w:bottom w:val="single" w:sz="4" w:space="0" w:color="auto"/>
              <w:right w:val="single" w:sz="4" w:space="0" w:color="auto"/>
            </w:tcBorders>
            <w:vAlign w:val="bottom"/>
            <w:hideMark/>
          </w:tcPr>
          <w:p w14:paraId="3F30E228" w14:textId="77777777" w:rsidR="005E3D87" w:rsidRDefault="005E3D87">
            <w:pPr>
              <w:pStyle w:val="Tabletext0"/>
              <w:rPr>
                <w:rFonts w:cs="Times New Roman"/>
              </w:rPr>
            </w:pPr>
            <w:r>
              <w:rPr>
                <w:rFonts w:cs="Times New Roman"/>
              </w:rPr>
              <w:t>$63,969</w:t>
            </w:r>
          </w:p>
        </w:tc>
      </w:tr>
      <w:tr w:rsidR="005E3D87" w14:paraId="6BE94325" w14:textId="77777777" w:rsidTr="005E3D87">
        <w:tc>
          <w:tcPr>
            <w:tcW w:w="1654" w:type="pct"/>
            <w:tcBorders>
              <w:top w:val="single" w:sz="4" w:space="0" w:color="auto"/>
              <w:left w:val="single" w:sz="4" w:space="0" w:color="auto"/>
              <w:bottom w:val="single" w:sz="4" w:space="0" w:color="auto"/>
              <w:right w:val="single" w:sz="4" w:space="0" w:color="auto"/>
            </w:tcBorders>
            <w:hideMark/>
          </w:tcPr>
          <w:p w14:paraId="101C4E3B" w14:textId="77777777" w:rsidR="005E3D87" w:rsidRDefault="005E3D87">
            <w:pPr>
              <w:pStyle w:val="Tabletext0"/>
              <w:rPr>
                <w:rFonts w:cs="Times New Roman"/>
              </w:rPr>
            </w:pPr>
            <w:r>
              <w:rPr>
                <w:rFonts w:cs="Times New Roman"/>
              </w:rPr>
              <w:t>Cabazitaxel/BSc</w:t>
            </w:r>
          </w:p>
        </w:tc>
        <w:tc>
          <w:tcPr>
            <w:tcW w:w="714" w:type="pct"/>
            <w:tcBorders>
              <w:top w:val="single" w:sz="4" w:space="0" w:color="auto"/>
              <w:left w:val="single" w:sz="4" w:space="0" w:color="auto"/>
              <w:bottom w:val="single" w:sz="4" w:space="0" w:color="auto"/>
              <w:right w:val="single" w:sz="4" w:space="0" w:color="auto"/>
            </w:tcBorders>
            <w:vAlign w:val="bottom"/>
            <w:hideMark/>
          </w:tcPr>
          <w:p w14:paraId="28F1D60C" w14:textId="77777777" w:rsidR="005E3D87" w:rsidRDefault="005E3D87">
            <w:pPr>
              <w:pStyle w:val="Tabletext0"/>
              <w:rPr>
                <w:rFonts w:cs="Times New Roman"/>
              </w:rPr>
            </w:pPr>
            <w:r>
              <w:rPr>
                <w:rFonts w:cs="Times New Roman"/>
              </w:rPr>
              <w:t>$43,313</w:t>
            </w:r>
          </w:p>
        </w:tc>
        <w:tc>
          <w:tcPr>
            <w:tcW w:w="742" w:type="pct"/>
            <w:tcBorders>
              <w:top w:val="single" w:sz="4" w:space="0" w:color="auto"/>
              <w:left w:val="single" w:sz="4" w:space="0" w:color="auto"/>
              <w:bottom w:val="single" w:sz="4" w:space="0" w:color="auto"/>
              <w:right w:val="single" w:sz="4" w:space="0" w:color="auto"/>
            </w:tcBorders>
            <w:vAlign w:val="bottom"/>
          </w:tcPr>
          <w:p w14:paraId="60AD4F11" w14:textId="77777777" w:rsidR="005E3D87" w:rsidRDefault="005E3D87">
            <w:pPr>
              <w:pStyle w:val="Tabletext0"/>
              <w:rPr>
                <w:rFonts w:cs="Times New Roman"/>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73BF2EAB" w14:textId="77777777" w:rsidR="005E3D87" w:rsidRDefault="005E3D87">
            <w:pPr>
              <w:pStyle w:val="Tabletext0"/>
              <w:rPr>
                <w:rFonts w:cs="Times New Roman"/>
              </w:rPr>
            </w:pPr>
            <w:r>
              <w:rPr>
                <w:rFonts w:cs="Times New Roman"/>
              </w:rPr>
              <w:t>1.245</w:t>
            </w:r>
          </w:p>
        </w:tc>
        <w:tc>
          <w:tcPr>
            <w:tcW w:w="699" w:type="pct"/>
            <w:tcBorders>
              <w:top w:val="single" w:sz="4" w:space="0" w:color="auto"/>
              <w:left w:val="single" w:sz="4" w:space="0" w:color="auto"/>
              <w:bottom w:val="single" w:sz="4" w:space="0" w:color="auto"/>
              <w:right w:val="single" w:sz="4" w:space="0" w:color="auto"/>
            </w:tcBorders>
            <w:vAlign w:val="bottom"/>
          </w:tcPr>
          <w:p w14:paraId="086E3AC1" w14:textId="77777777" w:rsidR="005E3D87" w:rsidRDefault="005E3D87">
            <w:pPr>
              <w:pStyle w:val="Tabletext0"/>
              <w:rPr>
                <w:rFonts w:cs="Times New Roman"/>
              </w:rPr>
            </w:pPr>
          </w:p>
        </w:tc>
        <w:tc>
          <w:tcPr>
            <w:tcW w:w="536" w:type="pct"/>
            <w:tcBorders>
              <w:top w:val="single" w:sz="4" w:space="0" w:color="auto"/>
              <w:left w:val="single" w:sz="4" w:space="0" w:color="auto"/>
              <w:bottom w:val="single" w:sz="4" w:space="0" w:color="auto"/>
              <w:right w:val="single" w:sz="4" w:space="0" w:color="auto"/>
            </w:tcBorders>
            <w:vAlign w:val="bottom"/>
          </w:tcPr>
          <w:p w14:paraId="07D0AF7F" w14:textId="77777777" w:rsidR="005E3D87" w:rsidRDefault="005E3D87">
            <w:pPr>
              <w:pStyle w:val="Tabletext0"/>
              <w:rPr>
                <w:rFonts w:cs="Times New Roman"/>
              </w:rPr>
            </w:pPr>
          </w:p>
        </w:tc>
      </w:tr>
      <w:tr w:rsidR="005E3D87" w14:paraId="197ED454" w14:textId="77777777" w:rsidTr="005E3D87">
        <w:tc>
          <w:tcPr>
            <w:tcW w:w="1654" w:type="pct"/>
            <w:tcBorders>
              <w:top w:val="single" w:sz="4" w:space="0" w:color="auto"/>
              <w:left w:val="single" w:sz="4" w:space="0" w:color="auto"/>
              <w:bottom w:val="single" w:sz="4" w:space="0" w:color="auto"/>
              <w:right w:val="nil"/>
            </w:tcBorders>
            <w:hideMark/>
          </w:tcPr>
          <w:p w14:paraId="6EC1E27E" w14:textId="77777777" w:rsidR="005E3D87" w:rsidRDefault="005E3D87">
            <w:pPr>
              <w:pStyle w:val="Tabletext0"/>
              <w:rPr>
                <w:rFonts w:cs="Times New Roman"/>
                <w:b/>
                <w:bCs/>
              </w:rPr>
            </w:pPr>
            <w:r>
              <w:rPr>
                <w:rFonts w:cs="Times New Roman"/>
                <w:b/>
                <w:bCs/>
              </w:rPr>
              <w:t>Step 3 (cost per QALY – 7.5-year time horizon)</w:t>
            </w:r>
          </w:p>
        </w:tc>
        <w:tc>
          <w:tcPr>
            <w:tcW w:w="714" w:type="pct"/>
            <w:tcBorders>
              <w:top w:val="single" w:sz="4" w:space="0" w:color="auto"/>
              <w:left w:val="nil"/>
              <w:bottom w:val="single" w:sz="4" w:space="0" w:color="auto"/>
              <w:right w:val="nil"/>
            </w:tcBorders>
          </w:tcPr>
          <w:p w14:paraId="1F1AE5F3" w14:textId="77777777" w:rsidR="005E3D87" w:rsidRDefault="005E3D87">
            <w:pPr>
              <w:pStyle w:val="Tabletext0"/>
              <w:rPr>
                <w:rFonts w:cs="Times New Roman"/>
                <w:b/>
                <w:bCs/>
              </w:rPr>
            </w:pPr>
          </w:p>
        </w:tc>
        <w:tc>
          <w:tcPr>
            <w:tcW w:w="742" w:type="pct"/>
            <w:tcBorders>
              <w:top w:val="single" w:sz="4" w:space="0" w:color="auto"/>
              <w:left w:val="nil"/>
              <w:bottom w:val="single" w:sz="4" w:space="0" w:color="auto"/>
              <w:right w:val="nil"/>
            </w:tcBorders>
          </w:tcPr>
          <w:p w14:paraId="65F45D96" w14:textId="77777777" w:rsidR="005E3D87" w:rsidRDefault="005E3D87">
            <w:pPr>
              <w:pStyle w:val="Tabletext0"/>
              <w:rPr>
                <w:rFonts w:cs="Times New Roman"/>
                <w:b/>
                <w:bCs/>
              </w:rPr>
            </w:pPr>
          </w:p>
        </w:tc>
        <w:tc>
          <w:tcPr>
            <w:tcW w:w="654" w:type="pct"/>
            <w:tcBorders>
              <w:top w:val="single" w:sz="4" w:space="0" w:color="auto"/>
              <w:left w:val="nil"/>
              <w:bottom w:val="single" w:sz="4" w:space="0" w:color="auto"/>
              <w:right w:val="nil"/>
            </w:tcBorders>
          </w:tcPr>
          <w:p w14:paraId="6AB73A2D" w14:textId="77777777" w:rsidR="005E3D87" w:rsidRDefault="005E3D87">
            <w:pPr>
              <w:pStyle w:val="Tabletext0"/>
              <w:rPr>
                <w:rFonts w:cs="Times New Roman"/>
                <w:b/>
                <w:bCs/>
              </w:rPr>
            </w:pPr>
          </w:p>
        </w:tc>
        <w:tc>
          <w:tcPr>
            <w:tcW w:w="699" w:type="pct"/>
            <w:tcBorders>
              <w:top w:val="single" w:sz="4" w:space="0" w:color="auto"/>
              <w:left w:val="nil"/>
              <w:bottom w:val="single" w:sz="4" w:space="0" w:color="auto"/>
              <w:right w:val="nil"/>
            </w:tcBorders>
          </w:tcPr>
          <w:p w14:paraId="123FC5C3" w14:textId="77777777" w:rsidR="005E3D87" w:rsidRDefault="005E3D87">
            <w:pPr>
              <w:pStyle w:val="Tabletext0"/>
              <w:rPr>
                <w:rFonts w:cs="Times New Roman"/>
                <w:b/>
                <w:bCs/>
              </w:rPr>
            </w:pPr>
          </w:p>
        </w:tc>
        <w:tc>
          <w:tcPr>
            <w:tcW w:w="536" w:type="pct"/>
            <w:tcBorders>
              <w:top w:val="single" w:sz="4" w:space="0" w:color="auto"/>
              <w:left w:val="nil"/>
              <w:bottom w:val="single" w:sz="4" w:space="0" w:color="auto"/>
              <w:right w:val="single" w:sz="4" w:space="0" w:color="auto"/>
            </w:tcBorders>
          </w:tcPr>
          <w:p w14:paraId="33929585" w14:textId="77777777" w:rsidR="005E3D87" w:rsidRDefault="005E3D87">
            <w:pPr>
              <w:pStyle w:val="Tabletext0"/>
              <w:rPr>
                <w:rFonts w:cs="Times New Roman"/>
                <w:b/>
                <w:bCs/>
              </w:rPr>
            </w:pPr>
          </w:p>
        </w:tc>
      </w:tr>
      <w:tr w:rsidR="005E3D87" w14:paraId="028D46F6" w14:textId="77777777" w:rsidTr="005E3D87">
        <w:tc>
          <w:tcPr>
            <w:tcW w:w="1654" w:type="pct"/>
            <w:tcBorders>
              <w:top w:val="single" w:sz="4" w:space="0" w:color="auto"/>
              <w:left w:val="single" w:sz="4" w:space="0" w:color="auto"/>
              <w:bottom w:val="single" w:sz="4" w:space="0" w:color="auto"/>
              <w:right w:val="single" w:sz="4" w:space="0" w:color="auto"/>
            </w:tcBorders>
            <w:hideMark/>
          </w:tcPr>
          <w:p w14:paraId="31A45928" w14:textId="4ADE764B" w:rsidR="005E3D87" w:rsidRDefault="005E3D87">
            <w:pPr>
              <w:pStyle w:val="Tabletext0"/>
              <w:rPr>
                <w:rFonts w:cs="Times New Roman"/>
              </w:rPr>
            </w:pPr>
            <w:r>
              <w:rPr>
                <w:rFonts w:cs="Times New Roman"/>
                <w:vertAlign w:val="superscript"/>
              </w:rPr>
              <w:t>177</w:t>
            </w:r>
            <w:r>
              <w:rPr>
                <w:rFonts w:cs="Times New Roman"/>
              </w:rPr>
              <w:t>Lu</w:t>
            </w:r>
            <w:r w:rsidR="00917994">
              <w:rPr>
                <w:rFonts w:cs="Times New Roman"/>
              </w:rPr>
              <w:t> </w:t>
            </w:r>
            <w:r>
              <w:rPr>
                <w:rFonts w:cs="Times New Roman"/>
              </w:rPr>
              <w:t>PSMA</w:t>
            </w:r>
            <w:r w:rsidR="00917994">
              <w:rPr>
                <w:rFonts w:cs="Times New Roman"/>
              </w:rPr>
              <w:t> </w:t>
            </w:r>
            <w:proofErr w:type="spellStart"/>
            <w:r w:rsidR="00917994">
              <w:rPr>
                <w:rFonts w:cs="Times New Roman"/>
              </w:rPr>
              <w:t>i</w:t>
            </w:r>
            <w:r w:rsidR="00941825">
              <w:rPr>
                <w:rFonts w:cs="Times New Roman"/>
              </w:rPr>
              <w:t>&amp;t</w:t>
            </w:r>
            <w:proofErr w:type="spellEnd"/>
          </w:p>
        </w:tc>
        <w:tc>
          <w:tcPr>
            <w:tcW w:w="714" w:type="pct"/>
            <w:tcBorders>
              <w:top w:val="single" w:sz="4" w:space="0" w:color="auto"/>
              <w:left w:val="single" w:sz="4" w:space="0" w:color="auto"/>
              <w:bottom w:val="single" w:sz="4" w:space="0" w:color="auto"/>
              <w:right w:val="single" w:sz="4" w:space="0" w:color="auto"/>
            </w:tcBorders>
            <w:vAlign w:val="bottom"/>
            <w:hideMark/>
          </w:tcPr>
          <w:p w14:paraId="08FD27AE" w14:textId="77777777" w:rsidR="005E3D87" w:rsidRDefault="005E3D87">
            <w:pPr>
              <w:pStyle w:val="Tabletext0"/>
              <w:rPr>
                <w:rFonts w:cs="Times New Roman"/>
              </w:rPr>
            </w:pPr>
            <w:r>
              <w:rPr>
                <w:rFonts w:cs="Times New Roman"/>
              </w:rPr>
              <w:t>$69,003</w:t>
            </w:r>
          </w:p>
        </w:tc>
        <w:tc>
          <w:tcPr>
            <w:tcW w:w="742" w:type="pct"/>
            <w:tcBorders>
              <w:top w:val="single" w:sz="4" w:space="0" w:color="auto"/>
              <w:left w:val="single" w:sz="4" w:space="0" w:color="auto"/>
              <w:bottom w:val="single" w:sz="4" w:space="0" w:color="auto"/>
              <w:right w:val="single" w:sz="4" w:space="0" w:color="auto"/>
            </w:tcBorders>
            <w:vAlign w:val="bottom"/>
            <w:hideMark/>
          </w:tcPr>
          <w:p w14:paraId="72E7F102" w14:textId="77777777" w:rsidR="005E3D87" w:rsidRDefault="005E3D87">
            <w:pPr>
              <w:pStyle w:val="Tabletext0"/>
              <w:rPr>
                <w:rFonts w:cs="Times New Roman"/>
              </w:rPr>
            </w:pPr>
            <w:r>
              <w:rPr>
                <w:rFonts w:cs="Times New Roman"/>
              </w:rPr>
              <w:t>$25,690</w:t>
            </w:r>
          </w:p>
        </w:tc>
        <w:tc>
          <w:tcPr>
            <w:tcW w:w="654" w:type="pct"/>
            <w:tcBorders>
              <w:top w:val="single" w:sz="4" w:space="0" w:color="auto"/>
              <w:left w:val="single" w:sz="4" w:space="0" w:color="auto"/>
              <w:bottom w:val="single" w:sz="4" w:space="0" w:color="auto"/>
              <w:right w:val="single" w:sz="4" w:space="0" w:color="auto"/>
            </w:tcBorders>
            <w:vAlign w:val="bottom"/>
            <w:hideMark/>
          </w:tcPr>
          <w:p w14:paraId="4715DFC6" w14:textId="77777777" w:rsidR="005E3D87" w:rsidRDefault="005E3D87">
            <w:pPr>
              <w:pStyle w:val="Tabletext0"/>
              <w:rPr>
                <w:rFonts w:cs="Times New Roman"/>
              </w:rPr>
            </w:pPr>
            <w:r>
              <w:rPr>
                <w:rFonts w:cs="Times New Roman"/>
              </w:rPr>
              <w:t>1.096</w:t>
            </w:r>
          </w:p>
        </w:tc>
        <w:tc>
          <w:tcPr>
            <w:tcW w:w="699" w:type="pct"/>
            <w:tcBorders>
              <w:top w:val="single" w:sz="4" w:space="0" w:color="auto"/>
              <w:left w:val="single" w:sz="4" w:space="0" w:color="auto"/>
              <w:bottom w:val="single" w:sz="4" w:space="0" w:color="auto"/>
              <w:right w:val="single" w:sz="4" w:space="0" w:color="auto"/>
            </w:tcBorders>
            <w:vAlign w:val="bottom"/>
            <w:hideMark/>
          </w:tcPr>
          <w:p w14:paraId="2D36871F" w14:textId="77777777" w:rsidR="005E3D87" w:rsidRDefault="005E3D87">
            <w:pPr>
              <w:pStyle w:val="Tabletext0"/>
              <w:rPr>
                <w:rFonts w:cs="Times New Roman"/>
              </w:rPr>
            </w:pPr>
            <w:r>
              <w:rPr>
                <w:rFonts w:cs="Times New Roman"/>
              </w:rPr>
              <w:t>0.349</w:t>
            </w:r>
          </w:p>
        </w:tc>
        <w:tc>
          <w:tcPr>
            <w:tcW w:w="536" w:type="pct"/>
            <w:tcBorders>
              <w:top w:val="single" w:sz="4" w:space="0" w:color="auto"/>
              <w:left w:val="single" w:sz="4" w:space="0" w:color="auto"/>
              <w:bottom w:val="single" w:sz="4" w:space="0" w:color="auto"/>
              <w:right w:val="single" w:sz="4" w:space="0" w:color="auto"/>
            </w:tcBorders>
            <w:vAlign w:val="bottom"/>
            <w:hideMark/>
          </w:tcPr>
          <w:p w14:paraId="1FEA8216" w14:textId="77777777" w:rsidR="005E3D87" w:rsidRDefault="005E3D87">
            <w:pPr>
              <w:pStyle w:val="Tabletext0"/>
              <w:rPr>
                <w:rFonts w:cs="Times New Roman"/>
              </w:rPr>
            </w:pPr>
            <w:r>
              <w:rPr>
                <w:rFonts w:cs="Times New Roman"/>
              </w:rPr>
              <w:t>$73,622</w:t>
            </w:r>
          </w:p>
        </w:tc>
      </w:tr>
      <w:tr w:rsidR="005E3D87" w14:paraId="70857D2A" w14:textId="77777777" w:rsidTr="005E3D87">
        <w:tc>
          <w:tcPr>
            <w:tcW w:w="1654" w:type="pct"/>
            <w:tcBorders>
              <w:top w:val="single" w:sz="4" w:space="0" w:color="auto"/>
              <w:left w:val="single" w:sz="4" w:space="0" w:color="auto"/>
              <w:bottom w:val="single" w:sz="4" w:space="0" w:color="auto"/>
              <w:right w:val="single" w:sz="4" w:space="0" w:color="auto"/>
            </w:tcBorders>
            <w:hideMark/>
          </w:tcPr>
          <w:p w14:paraId="00E7EAFE" w14:textId="77777777" w:rsidR="005E3D87" w:rsidRDefault="005E3D87">
            <w:pPr>
              <w:pStyle w:val="Tabletext0"/>
              <w:rPr>
                <w:rFonts w:cs="Times New Roman"/>
              </w:rPr>
            </w:pPr>
            <w:r>
              <w:rPr>
                <w:rFonts w:cs="Times New Roman"/>
              </w:rPr>
              <w:t>Cabazitaxel/BSc</w:t>
            </w:r>
          </w:p>
        </w:tc>
        <w:tc>
          <w:tcPr>
            <w:tcW w:w="714" w:type="pct"/>
            <w:tcBorders>
              <w:top w:val="single" w:sz="4" w:space="0" w:color="auto"/>
              <w:left w:val="single" w:sz="4" w:space="0" w:color="auto"/>
              <w:bottom w:val="single" w:sz="4" w:space="0" w:color="auto"/>
              <w:right w:val="single" w:sz="4" w:space="0" w:color="auto"/>
            </w:tcBorders>
            <w:vAlign w:val="bottom"/>
            <w:hideMark/>
          </w:tcPr>
          <w:p w14:paraId="5C2EB86A" w14:textId="77777777" w:rsidR="005E3D87" w:rsidRDefault="005E3D87">
            <w:pPr>
              <w:pStyle w:val="Tabletext0"/>
              <w:rPr>
                <w:rFonts w:cs="Times New Roman"/>
              </w:rPr>
            </w:pPr>
            <w:r>
              <w:rPr>
                <w:rFonts w:cs="Times New Roman"/>
              </w:rPr>
              <w:t>$43,313</w:t>
            </w:r>
          </w:p>
        </w:tc>
        <w:tc>
          <w:tcPr>
            <w:tcW w:w="742" w:type="pct"/>
            <w:tcBorders>
              <w:top w:val="single" w:sz="4" w:space="0" w:color="auto"/>
              <w:left w:val="single" w:sz="4" w:space="0" w:color="auto"/>
              <w:bottom w:val="single" w:sz="4" w:space="0" w:color="auto"/>
              <w:right w:val="single" w:sz="4" w:space="0" w:color="auto"/>
            </w:tcBorders>
            <w:vAlign w:val="bottom"/>
          </w:tcPr>
          <w:p w14:paraId="07659671" w14:textId="77777777" w:rsidR="005E3D87" w:rsidRDefault="005E3D87">
            <w:pPr>
              <w:pStyle w:val="Tabletext0"/>
              <w:rPr>
                <w:rFonts w:cs="Times New Roman"/>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5F492EE9" w14:textId="77777777" w:rsidR="005E3D87" w:rsidRDefault="005E3D87">
            <w:pPr>
              <w:pStyle w:val="Tabletext0"/>
              <w:rPr>
                <w:rFonts w:cs="Times New Roman"/>
              </w:rPr>
            </w:pPr>
            <w:r>
              <w:rPr>
                <w:rFonts w:cs="Times New Roman"/>
              </w:rPr>
              <w:t>0.747</w:t>
            </w:r>
          </w:p>
        </w:tc>
        <w:tc>
          <w:tcPr>
            <w:tcW w:w="699" w:type="pct"/>
            <w:tcBorders>
              <w:top w:val="single" w:sz="4" w:space="0" w:color="auto"/>
              <w:left w:val="single" w:sz="4" w:space="0" w:color="auto"/>
              <w:bottom w:val="single" w:sz="4" w:space="0" w:color="auto"/>
              <w:right w:val="single" w:sz="4" w:space="0" w:color="auto"/>
            </w:tcBorders>
            <w:vAlign w:val="bottom"/>
          </w:tcPr>
          <w:p w14:paraId="159993E3" w14:textId="77777777" w:rsidR="005E3D87" w:rsidRDefault="005E3D87">
            <w:pPr>
              <w:pStyle w:val="Tabletext0"/>
              <w:rPr>
                <w:rFonts w:cs="Times New Roman"/>
              </w:rPr>
            </w:pPr>
          </w:p>
        </w:tc>
        <w:tc>
          <w:tcPr>
            <w:tcW w:w="536" w:type="pct"/>
            <w:tcBorders>
              <w:top w:val="single" w:sz="4" w:space="0" w:color="auto"/>
              <w:left w:val="single" w:sz="4" w:space="0" w:color="auto"/>
              <w:bottom w:val="single" w:sz="4" w:space="0" w:color="auto"/>
              <w:right w:val="single" w:sz="4" w:space="0" w:color="auto"/>
            </w:tcBorders>
            <w:vAlign w:val="bottom"/>
          </w:tcPr>
          <w:p w14:paraId="3FCB2CE1" w14:textId="77777777" w:rsidR="005E3D87" w:rsidRDefault="005E3D87">
            <w:pPr>
              <w:pStyle w:val="Tabletext0"/>
              <w:rPr>
                <w:rFonts w:cs="Times New Roman"/>
              </w:rPr>
            </w:pPr>
          </w:p>
        </w:tc>
      </w:tr>
    </w:tbl>
    <w:p w14:paraId="4C1FB4C2" w14:textId="0232F17C" w:rsidR="005E3D87" w:rsidRDefault="005E3D87" w:rsidP="005E3D87">
      <w:pPr>
        <w:pStyle w:val="TableFigureFooter"/>
        <w:spacing w:before="0" w:after="0"/>
        <w:rPr>
          <w:color w:val="258221"/>
        </w:rPr>
      </w:pPr>
      <w:r>
        <w:t>ICER = incremental cost-effectiveness ratio; QALY = quality-adjusted life year; B</w:t>
      </w:r>
      <w:r w:rsidR="00A12B37">
        <w:t>S</w:t>
      </w:r>
      <w:r>
        <w:t>C =best supportive care;</w:t>
      </w:r>
      <w:r>
        <w:rPr>
          <w:rFonts w:ascii="Times New Roman" w:hAnsi="Times New Roman" w:cs="Times New Roman"/>
          <w:szCs w:val="18"/>
          <w:vertAlign w:val="superscript"/>
        </w:rPr>
        <w:t xml:space="preserve"> </w:t>
      </w:r>
      <w:r>
        <w:rPr>
          <w:rFonts w:cs="Times New Roman"/>
          <w:szCs w:val="18"/>
          <w:vertAlign w:val="superscript"/>
        </w:rPr>
        <w:t>177</w:t>
      </w:r>
      <w:r>
        <w:rPr>
          <w:rFonts w:cs="Times New Roman"/>
          <w:szCs w:val="18"/>
        </w:rPr>
        <w:t xml:space="preserve">Lu, lutetium-177; LY, life-year; PSMA, prostate specific membrane </w:t>
      </w:r>
      <w:proofErr w:type="gramStart"/>
      <w:r>
        <w:rPr>
          <w:rFonts w:cs="Times New Roman"/>
          <w:szCs w:val="18"/>
        </w:rPr>
        <w:t>antigen;</w:t>
      </w:r>
      <w:proofErr w:type="gramEnd"/>
    </w:p>
    <w:p w14:paraId="77666418" w14:textId="222013F0" w:rsidR="005E3D87" w:rsidRDefault="001C636D" w:rsidP="005E3D87">
      <w:pPr>
        <w:pStyle w:val="Caption"/>
      </w:pPr>
      <w:bookmarkStart w:id="32" w:name="_Ref69726284"/>
      <w:bookmarkEnd w:id="31"/>
      <w:r>
        <w:t xml:space="preserve">Table </w:t>
      </w:r>
      <w:r w:rsidR="005C56E0">
        <w:fldChar w:fldCharType="begin"/>
      </w:r>
      <w:r w:rsidR="005C56E0">
        <w:instrText xml:space="preserve"> SEQ Table \* ARABIC </w:instrText>
      </w:r>
      <w:r w:rsidR="005C56E0">
        <w:fldChar w:fldCharType="separate"/>
      </w:r>
      <w:r w:rsidR="00C77D78">
        <w:rPr>
          <w:noProof/>
        </w:rPr>
        <w:t>7</w:t>
      </w:r>
      <w:r w:rsidR="005C56E0">
        <w:rPr>
          <w:noProof/>
        </w:rPr>
        <w:fldChar w:fldCharType="end"/>
      </w:r>
      <w:bookmarkEnd w:id="32"/>
      <w:r w:rsidR="005E3D87">
        <w:tab/>
        <w:t xml:space="preserve">Base-case incremental costs and effectiveness as presented in the </w:t>
      </w:r>
      <w:proofErr w:type="gramStart"/>
      <w:r w:rsidR="007F120D">
        <w:t>ADAR</w:t>
      </w:r>
      <w:proofErr w:type="gramEnd"/>
    </w:p>
    <w:tbl>
      <w:tblPr>
        <w:tblStyle w:val="TableGrid"/>
        <w:tblW w:w="5000" w:type="pct"/>
        <w:tblLook w:val="04A0" w:firstRow="1" w:lastRow="0" w:firstColumn="1" w:lastColumn="0" w:noHBand="0" w:noVBand="1"/>
      </w:tblPr>
      <w:tblGrid>
        <w:gridCol w:w="1548"/>
        <w:gridCol w:w="866"/>
        <w:gridCol w:w="1300"/>
        <w:gridCol w:w="1699"/>
        <w:gridCol w:w="2476"/>
        <w:gridCol w:w="1127"/>
      </w:tblGrid>
      <w:tr w:rsidR="005E3D87" w14:paraId="40DB0674" w14:textId="77777777" w:rsidTr="005E3D87">
        <w:tc>
          <w:tcPr>
            <w:tcW w:w="859" w:type="pct"/>
            <w:tcBorders>
              <w:top w:val="single" w:sz="4" w:space="0" w:color="auto"/>
              <w:left w:val="single" w:sz="4" w:space="0" w:color="auto"/>
              <w:bottom w:val="single" w:sz="4" w:space="0" w:color="auto"/>
              <w:right w:val="single" w:sz="4" w:space="0" w:color="auto"/>
            </w:tcBorders>
            <w:hideMark/>
          </w:tcPr>
          <w:p w14:paraId="2E1AE2F5" w14:textId="77777777" w:rsidR="005E3D87" w:rsidRDefault="005E3D87">
            <w:pPr>
              <w:pStyle w:val="Tabletext0"/>
              <w:rPr>
                <w:rFonts w:cs="Times New Roman"/>
                <w:b/>
                <w:bCs/>
              </w:rPr>
            </w:pPr>
            <w:r>
              <w:rPr>
                <w:rFonts w:cs="Times New Roman"/>
                <w:b/>
                <w:bCs/>
              </w:rPr>
              <w:t>Strategy</w:t>
            </w:r>
          </w:p>
        </w:tc>
        <w:tc>
          <w:tcPr>
            <w:tcW w:w="480" w:type="pct"/>
            <w:tcBorders>
              <w:top w:val="single" w:sz="4" w:space="0" w:color="auto"/>
              <w:left w:val="single" w:sz="4" w:space="0" w:color="auto"/>
              <w:bottom w:val="single" w:sz="4" w:space="0" w:color="auto"/>
              <w:right w:val="single" w:sz="4" w:space="0" w:color="auto"/>
            </w:tcBorders>
            <w:vAlign w:val="center"/>
            <w:hideMark/>
          </w:tcPr>
          <w:p w14:paraId="58819CC1" w14:textId="77777777" w:rsidR="005E3D87" w:rsidRDefault="005E3D87">
            <w:pPr>
              <w:pStyle w:val="Tabletext0"/>
              <w:jc w:val="center"/>
              <w:rPr>
                <w:rFonts w:cs="Times New Roman"/>
                <w:b/>
                <w:bCs/>
              </w:rPr>
            </w:pPr>
            <w:r>
              <w:rPr>
                <w:rFonts w:cs="Times New Roman"/>
                <w:b/>
                <w:bCs/>
              </w:rPr>
              <w:t>Cost</w:t>
            </w:r>
          </w:p>
        </w:tc>
        <w:tc>
          <w:tcPr>
            <w:tcW w:w="721" w:type="pct"/>
            <w:tcBorders>
              <w:top w:val="single" w:sz="4" w:space="0" w:color="auto"/>
              <w:left w:val="single" w:sz="4" w:space="0" w:color="auto"/>
              <w:bottom w:val="single" w:sz="4" w:space="0" w:color="auto"/>
              <w:right w:val="single" w:sz="4" w:space="0" w:color="auto"/>
            </w:tcBorders>
            <w:vAlign w:val="center"/>
            <w:hideMark/>
          </w:tcPr>
          <w:p w14:paraId="7F678A73" w14:textId="77777777" w:rsidR="005E3D87" w:rsidRDefault="005E3D87">
            <w:pPr>
              <w:pStyle w:val="Tabletext0"/>
              <w:jc w:val="center"/>
              <w:rPr>
                <w:rFonts w:cs="Times New Roman"/>
                <w:b/>
                <w:bCs/>
              </w:rPr>
            </w:pPr>
            <w:r>
              <w:rPr>
                <w:rFonts w:cs="Times New Roman"/>
                <w:b/>
                <w:bCs/>
              </w:rPr>
              <w:t>Incremental cost</w:t>
            </w:r>
          </w:p>
        </w:tc>
        <w:tc>
          <w:tcPr>
            <w:tcW w:w="942" w:type="pct"/>
            <w:tcBorders>
              <w:top w:val="single" w:sz="4" w:space="0" w:color="auto"/>
              <w:left w:val="single" w:sz="4" w:space="0" w:color="auto"/>
              <w:bottom w:val="single" w:sz="4" w:space="0" w:color="auto"/>
              <w:right w:val="single" w:sz="4" w:space="0" w:color="auto"/>
            </w:tcBorders>
            <w:vAlign w:val="center"/>
            <w:hideMark/>
          </w:tcPr>
          <w:p w14:paraId="42376506" w14:textId="77777777" w:rsidR="005E3D87" w:rsidRDefault="005E3D87">
            <w:pPr>
              <w:pStyle w:val="Tabletext0"/>
              <w:jc w:val="center"/>
              <w:rPr>
                <w:rFonts w:cs="Times New Roman"/>
                <w:b/>
                <w:bCs/>
              </w:rPr>
            </w:pPr>
            <w:r>
              <w:rPr>
                <w:rFonts w:cs="Times New Roman"/>
                <w:b/>
                <w:bCs/>
              </w:rPr>
              <w:t>Effectiveness (QALYs)</w:t>
            </w:r>
          </w:p>
        </w:tc>
        <w:tc>
          <w:tcPr>
            <w:tcW w:w="1373" w:type="pct"/>
            <w:tcBorders>
              <w:top w:val="single" w:sz="4" w:space="0" w:color="auto"/>
              <w:left w:val="single" w:sz="4" w:space="0" w:color="auto"/>
              <w:bottom w:val="single" w:sz="4" w:space="0" w:color="auto"/>
              <w:right w:val="single" w:sz="4" w:space="0" w:color="auto"/>
            </w:tcBorders>
            <w:vAlign w:val="center"/>
            <w:hideMark/>
          </w:tcPr>
          <w:p w14:paraId="622B6BC6" w14:textId="77777777" w:rsidR="005E3D87" w:rsidRDefault="005E3D87">
            <w:pPr>
              <w:pStyle w:val="Tabletext0"/>
              <w:jc w:val="center"/>
              <w:rPr>
                <w:rFonts w:cs="Times New Roman"/>
                <w:b/>
                <w:bCs/>
              </w:rPr>
            </w:pPr>
            <w:r>
              <w:rPr>
                <w:rFonts w:cs="Times New Roman"/>
                <w:b/>
                <w:bCs/>
              </w:rPr>
              <w:t>Incremental effectiveness (QALYs)</w:t>
            </w:r>
          </w:p>
        </w:tc>
        <w:tc>
          <w:tcPr>
            <w:tcW w:w="625" w:type="pct"/>
            <w:tcBorders>
              <w:top w:val="single" w:sz="4" w:space="0" w:color="auto"/>
              <w:left w:val="single" w:sz="4" w:space="0" w:color="auto"/>
              <w:bottom w:val="single" w:sz="4" w:space="0" w:color="auto"/>
              <w:right w:val="single" w:sz="4" w:space="0" w:color="auto"/>
            </w:tcBorders>
            <w:vAlign w:val="center"/>
            <w:hideMark/>
          </w:tcPr>
          <w:p w14:paraId="36D2678B" w14:textId="77777777" w:rsidR="005E3D87" w:rsidRDefault="005E3D87">
            <w:pPr>
              <w:pStyle w:val="Tabletext0"/>
              <w:jc w:val="center"/>
              <w:rPr>
                <w:rFonts w:cs="Times New Roman"/>
                <w:b/>
                <w:bCs/>
              </w:rPr>
            </w:pPr>
            <w:r>
              <w:rPr>
                <w:rFonts w:cs="Times New Roman"/>
                <w:b/>
                <w:bCs/>
              </w:rPr>
              <w:t>ICER ($/QALY)</w:t>
            </w:r>
          </w:p>
        </w:tc>
      </w:tr>
      <w:tr w:rsidR="005E3D87" w14:paraId="4492FCBB" w14:textId="77777777" w:rsidTr="005E3D87">
        <w:tc>
          <w:tcPr>
            <w:tcW w:w="859" w:type="pct"/>
            <w:tcBorders>
              <w:top w:val="single" w:sz="4" w:space="0" w:color="auto"/>
              <w:left w:val="single" w:sz="4" w:space="0" w:color="auto"/>
              <w:bottom w:val="single" w:sz="4" w:space="0" w:color="auto"/>
              <w:right w:val="single" w:sz="4" w:space="0" w:color="auto"/>
            </w:tcBorders>
            <w:hideMark/>
          </w:tcPr>
          <w:p w14:paraId="2D936A81" w14:textId="68E09EA8" w:rsidR="005E3D87" w:rsidRDefault="00941825">
            <w:pPr>
              <w:pStyle w:val="Tabletext0"/>
              <w:rPr>
                <w:rFonts w:cs="Times New Roman"/>
              </w:rPr>
            </w:pPr>
            <w:r>
              <w:rPr>
                <w:rFonts w:cs="Times New Roman"/>
                <w:vertAlign w:val="superscript"/>
              </w:rPr>
              <w:t>177</w:t>
            </w:r>
            <w:r>
              <w:rPr>
                <w:rFonts w:cs="Times New Roman"/>
              </w:rPr>
              <w:t>Lu PSMA </w:t>
            </w:r>
            <w:proofErr w:type="spellStart"/>
            <w:r>
              <w:rPr>
                <w:rFonts w:cs="Times New Roman"/>
              </w:rPr>
              <w:t>i&amp;t</w:t>
            </w:r>
            <w:proofErr w:type="spellEnd"/>
          </w:p>
        </w:tc>
        <w:tc>
          <w:tcPr>
            <w:tcW w:w="480" w:type="pct"/>
            <w:tcBorders>
              <w:top w:val="single" w:sz="4" w:space="0" w:color="auto"/>
              <w:left w:val="single" w:sz="4" w:space="0" w:color="auto"/>
              <w:bottom w:val="single" w:sz="4" w:space="0" w:color="auto"/>
              <w:right w:val="single" w:sz="4" w:space="0" w:color="auto"/>
            </w:tcBorders>
            <w:vAlign w:val="center"/>
            <w:hideMark/>
          </w:tcPr>
          <w:p w14:paraId="0B69B2F4" w14:textId="77777777" w:rsidR="005E3D87" w:rsidRDefault="005E3D87">
            <w:pPr>
              <w:pStyle w:val="Tabletext0"/>
              <w:jc w:val="center"/>
              <w:rPr>
                <w:rFonts w:cs="Times New Roman"/>
              </w:rPr>
            </w:pPr>
            <w:r>
              <w:rPr>
                <w:rFonts w:cs="Times New Roman"/>
              </w:rPr>
              <w:t>$69,003</w:t>
            </w:r>
          </w:p>
        </w:tc>
        <w:tc>
          <w:tcPr>
            <w:tcW w:w="721" w:type="pct"/>
            <w:tcBorders>
              <w:top w:val="single" w:sz="4" w:space="0" w:color="auto"/>
              <w:left w:val="single" w:sz="4" w:space="0" w:color="auto"/>
              <w:bottom w:val="nil"/>
              <w:right w:val="single" w:sz="4" w:space="0" w:color="auto"/>
            </w:tcBorders>
            <w:vAlign w:val="center"/>
            <w:hideMark/>
          </w:tcPr>
          <w:p w14:paraId="7102F72E" w14:textId="77777777" w:rsidR="005E3D87" w:rsidRDefault="005E3D87">
            <w:pPr>
              <w:pStyle w:val="Tabletext0"/>
              <w:jc w:val="center"/>
              <w:rPr>
                <w:rFonts w:cs="Times New Roman"/>
              </w:rPr>
            </w:pPr>
            <w:r>
              <w:rPr>
                <w:rFonts w:cs="Times New Roman"/>
              </w:rPr>
              <w:t>$25,690</w:t>
            </w:r>
          </w:p>
        </w:tc>
        <w:tc>
          <w:tcPr>
            <w:tcW w:w="942" w:type="pct"/>
            <w:tcBorders>
              <w:top w:val="single" w:sz="4" w:space="0" w:color="auto"/>
              <w:left w:val="single" w:sz="4" w:space="0" w:color="auto"/>
              <w:bottom w:val="single" w:sz="4" w:space="0" w:color="auto"/>
              <w:right w:val="single" w:sz="4" w:space="0" w:color="auto"/>
            </w:tcBorders>
            <w:vAlign w:val="center"/>
            <w:hideMark/>
          </w:tcPr>
          <w:p w14:paraId="19D196ED" w14:textId="77777777" w:rsidR="005E3D87" w:rsidRDefault="005E3D87">
            <w:pPr>
              <w:pStyle w:val="Tabletext0"/>
              <w:jc w:val="center"/>
              <w:rPr>
                <w:rFonts w:cs="Times New Roman"/>
              </w:rPr>
            </w:pPr>
            <w:r>
              <w:rPr>
                <w:rFonts w:cs="Times New Roman"/>
              </w:rPr>
              <w:t>1.096</w:t>
            </w:r>
          </w:p>
        </w:tc>
        <w:tc>
          <w:tcPr>
            <w:tcW w:w="1373" w:type="pct"/>
            <w:tcBorders>
              <w:top w:val="single" w:sz="4" w:space="0" w:color="auto"/>
              <w:left w:val="single" w:sz="4" w:space="0" w:color="auto"/>
              <w:bottom w:val="nil"/>
              <w:right w:val="single" w:sz="4" w:space="0" w:color="auto"/>
            </w:tcBorders>
            <w:vAlign w:val="center"/>
            <w:hideMark/>
          </w:tcPr>
          <w:p w14:paraId="1897B547" w14:textId="77777777" w:rsidR="005E3D87" w:rsidRDefault="005E3D87">
            <w:pPr>
              <w:pStyle w:val="Tabletext0"/>
              <w:jc w:val="center"/>
              <w:rPr>
                <w:rFonts w:cs="Times New Roman"/>
              </w:rPr>
            </w:pPr>
            <w:r>
              <w:rPr>
                <w:rFonts w:cs="Times New Roman"/>
              </w:rPr>
              <w:t>0.349</w:t>
            </w:r>
          </w:p>
        </w:tc>
        <w:tc>
          <w:tcPr>
            <w:tcW w:w="625" w:type="pct"/>
            <w:tcBorders>
              <w:top w:val="single" w:sz="4" w:space="0" w:color="auto"/>
              <w:left w:val="single" w:sz="4" w:space="0" w:color="auto"/>
              <w:bottom w:val="nil"/>
              <w:right w:val="single" w:sz="4" w:space="0" w:color="auto"/>
            </w:tcBorders>
            <w:vAlign w:val="center"/>
            <w:hideMark/>
          </w:tcPr>
          <w:p w14:paraId="0F121A98" w14:textId="77777777" w:rsidR="005E3D87" w:rsidRDefault="005E3D87">
            <w:pPr>
              <w:pStyle w:val="Tabletext0"/>
              <w:jc w:val="center"/>
              <w:rPr>
                <w:rFonts w:cs="Times New Roman"/>
              </w:rPr>
            </w:pPr>
            <w:r>
              <w:rPr>
                <w:rFonts w:cs="Times New Roman"/>
              </w:rPr>
              <w:t>$73,622</w:t>
            </w:r>
          </w:p>
        </w:tc>
      </w:tr>
      <w:tr w:rsidR="005E3D87" w14:paraId="6B23138D" w14:textId="77777777" w:rsidTr="005E3D87">
        <w:tc>
          <w:tcPr>
            <w:tcW w:w="859" w:type="pct"/>
            <w:tcBorders>
              <w:top w:val="single" w:sz="4" w:space="0" w:color="auto"/>
              <w:left w:val="single" w:sz="4" w:space="0" w:color="auto"/>
              <w:bottom w:val="single" w:sz="4" w:space="0" w:color="auto"/>
              <w:right w:val="single" w:sz="4" w:space="0" w:color="auto"/>
            </w:tcBorders>
            <w:hideMark/>
          </w:tcPr>
          <w:p w14:paraId="55F65EA9" w14:textId="77777777" w:rsidR="005E3D87" w:rsidRDefault="005E3D87">
            <w:pPr>
              <w:pStyle w:val="Tabletext0"/>
              <w:rPr>
                <w:rFonts w:cs="Times New Roman"/>
              </w:rPr>
            </w:pPr>
            <w:r>
              <w:rPr>
                <w:rFonts w:cs="Times New Roman"/>
              </w:rPr>
              <w:t>Cabazitaxel/BSc</w:t>
            </w:r>
          </w:p>
        </w:tc>
        <w:tc>
          <w:tcPr>
            <w:tcW w:w="480" w:type="pct"/>
            <w:tcBorders>
              <w:top w:val="single" w:sz="4" w:space="0" w:color="auto"/>
              <w:left w:val="single" w:sz="4" w:space="0" w:color="auto"/>
              <w:bottom w:val="single" w:sz="4" w:space="0" w:color="auto"/>
              <w:right w:val="single" w:sz="4" w:space="0" w:color="auto"/>
            </w:tcBorders>
            <w:vAlign w:val="center"/>
            <w:hideMark/>
          </w:tcPr>
          <w:p w14:paraId="679A533B" w14:textId="77777777" w:rsidR="005E3D87" w:rsidRDefault="005E3D87">
            <w:pPr>
              <w:pStyle w:val="Tabletext0"/>
              <w:jc w:val="center"/>
              <w:rPr>
                <w:rFonts w:cs="Times New Roman"/>
              </w:rPr>
            </w:pPr>
            <w:r>
              <w:rPr>
                <w:rFonts w:cs="Times New Roman"/>
              </w:rPr>
              <w:t>$43,313</w:t>
            </w:r>
          </w:p>
        </w:tc>
        <w:tc>
          <w:tcPr>
            <w:tcW w:w="721" w:type="pct"/>
            <w:tcBorders>
              <w:top w:val="nil"/>
              <w:left w:val="single" w:sz="4" w:space="0" w:color="auto"/>
              <w:bottom w:val="single" w:sz="4" w:space="0" w:color="auto"/>
              <w:right w:val="single" w:sz="4" w:space="0" w:color="auto"/>
            </w:tcBorders>
            <w:vAlign w:val="center"/>
          </w:tcPr>
          <w:p w14:paraId="2677F678" w14:textId="77777777" w:rsidR="005E3D87" w:rsidRDefault="005E3D87">
            <w:pPr>
              <w:pStyle w:val="Tabletext0"/>
              <w:jc w:val="center"/>
              <w:rPr>
                <w:rFonts w:cs="Times New Roman"/>
              </w:rPr>
            </w:pPr>
          </w:p>
        </w:tc>
        <w:tc>
          <w:tcPr>
            <w:tcW w:w="942" w:type="pct"/>
            <w:tcBorders>
              <w:top w:val="single" w:sz="4" w:space="0" w:color="auto"/>
              <w:left w:val="single" w:sz="4" w:space="0" w:color="auto"/>
              <w:bottom w:val="single" w:sz="4" w:space="0" w:color="auto"/>
              <w:right w:val="single" w:sz="4" w:space="0" w:color="auto"/>
            </w:tcBorders>
            <w:vAlign w:val="center"/>
            <w:hideMark/>
          </w:tcPr>
          <w:p w14:paraId="633732FB" w14:textId="77777777" w:rsidR="005E3D87" w:rsidRDefault="005E3D87">
            <w:pPr>
              <w:pStyle w:val="Tabletext0"/>
              <w:jc w:val="center"/>
              <w:rPr>
                <w:rFonts w:cs="Times New Roman"/>
              </w:rPr>
            </w:pPr>
            <w:r>
              <w:rPr>
                <w:rFonts w:cs="Times New Roman"/>
              </w:rPr>
              <w:t>0.747</w:t>
            </w:r>
          </w:p>
        </w:tc>
        <w:tc>
          <w:tcPr>
            <w:tcW w:w="1373" w:type="pct"/>
            <w:tcBorders>
              <w:top w:val="nil"/>
              <w:left w:val="single" w:sz="4" w:space="0" w:color="auto"/>
              <w:bottom w:val="single" w:sz="4" w:space="0" w:color="auto"/>
              <w:right w:val="single" w:sz="4" w:space="0" w:color="auto"/>
            </w:tcBorders>
            <w:vAlign w:val="center"/>
          </w:tcPr>
          <w:p w14:paraId="57ABBBC5" w14:textId="77777777" w:rsidR="005E3D87" w:rsidRDefault="005E3D87">
            <w:pPr>
              <w:pStyle w:val="Tabletext0"/>
              <w:jc w:val="center"/>
              <w:rPr>
                <w:rFonts w:cs="Times New Roman"/>
              </w:rPr>
            </w:pPr>
          </w:p>
        </w:tc>
        <w:tc>
          <w:tcPr>
            <w:tcW w:w="625" w:type="pct"/>
            <w:tcBorders>
              <w:top w:val="nil"/>
              <w:left w:val="single" w:sz="4" w:space="0" w:color="auto"/>
              <w:bottom w:val="single" w:sz="4" w:space="0" w:color="auto"/>
              <w:right w:val="single" w:sz="4" w:space="0" w:color="auto"/>
            </w:tcBorders>
            <w:vAlign w:val="center"/>
          </w:tcPr>
          <w:p w14:paraId="724F66AE" w14:textId="77777777" w:rsidR="005E3D87" w:rsidRDefault="005E3D87">
            <w:pPr>
              <w:pStyle w:val="Tabletext0"/>
              <w:jc w:val="center"/>
              <w:rPr>
                <w:rFonts w:cs="Times New Roman"/>
              </w:rPr>
            </w:pPr>
          </w:p>
        </w:tc>
      </w:tr>
    </w:tbl>
    <w:p w14:paraId="3BB1E941" w14:textId="77777777" w:rsidR="005E3D87" w:rsidRDefault="005E3D87" w:rsidP="005E3D87">
      <w:pPr>
        <w:pStyle w:val="TableFigureFooter"/>
        <w:spacing w:before="0" w:after="0"/>
      </w:pPr>
      <w:r>
        <w:t>ICER = incremental cost-effectiveness ratio; QALY = quality-adjusted life year</w:t>
      </w:r>
    </w:p>
    <w:p w14:paraId="059F03A5" w14:textId="79A49FF0" w:rsidR="00AE6700" w:rsidRPr="00CD5A4F" w:rsidRDefault="00AE6700" w:rsidP="00AE6700">
      <w:pPr>
        <w:pStyle w:val="Instructionaltext-afterfiguretable"/>
        <w:spacing w:before="240" w:after="120"/>
        <w:rPr>
          <w:color w:val="auto"/>
        </w:rPr>
      </w:pPr>
      <w:r w:rsidRPr="00CD5A4F">
        <w:rPr>
          <w:color w:val="auto"/>
        </w:rPr>
        <w:t xml:space="preserve">As reported above, </w:t>
      </w:r>
      <w:proofErr w:type="gramStart"/>
      <w:r w:rsidRPr="00CD5A4F">
        <w:rPr>
          <w:color w:val="auto"/>
        </w:rPr>
        <w:t>a number of</w:t>
      </w:r>
      <w:proofErr w:type="gramEnd"/>
      <w:r w:rsidRPr="00CD5A4F">
        <w:rPr>
          <w:color w:val="auto"/>
        </w:rPr>
        <w:t xml:space="preserve"> issues with the economic evaluation presented in the ADAR were identified. The following tables (</w:t>
      </w:r>
      <w:r w:rsidRPr="00CD5A4F">
        <w:rPr>
          <w:color w:val="auto"/>
        </w:rPr>
        <w:fldChar w:fldCharType="begin"/>
      </w:r>
      <w:r w:rsidRPr="00CD5A4F">
        <w:rPr>
          <w:color w:val="auto"/>
        </w:rPr>
        <w:instrText xml:space="preserve"> REF _Ref131633268 \h  \* MERGEFORMAT </w:instrText>
      </w:r>
      <w:r w:rsidRPr="00CD5A4F">
        <w:rPr>
          <w:color w:val="auto"/>
        </w:rPr>
      </w:r>
      <w:r w:rsidRPr="00CD5A4F">
        <w:rPr>
          <w:color w:val="auto"/>
        </w:rPr>
        <w:fldChar w:fldCharType="separate"/>
      </w:r>
      <w:r w:rsidR="00C77D78" w:rsidRPr="00A12B37">
        <w:rPr>
          <w:color w:val="auto"/>
        </w:rPr>
        <w:t xml:space="preserve">Table </w:t>
      </w:r>
      <w:r w:rsidR="00C77D78" w:rsidRPr="00A12B37">
        <w:rPr>
          <w:noProof/>
          <w:color w:val="auto"/>
        </w:rPr>
        <w:t>8</w:t>
      </w:r>
      <w:r w:rsidRPr="00CD5A4F">
        <w:rPr>
          <w:color w:val="auto"/>
        </w:rPr>
        <w:fldChar w:fldCharType="end"/>
      </w:r>
      <w:r w:rsidRPr="00CD5A4F">
        <w:rPr>
          <w:color w:val="auto"/>
        </w:rPr>
        <w:t xml:space="preserve"> and </w:t>
      </w:r>
      <w:r w:rsidRPr="00CD5A4F">
        <w:rPr>
          <w:color w:val="auto"/>
        </w:rPr>
        <w:fldChar w:fldCharType="begin"/>
      </w:r>
      <w:r w:rsidRPr="00CD5A4F">
        <w:rPr>
          <w:color w:val="auto"/>
        </w:rPr>
        <w:instrText xml:space="preserve"> REF _Ref131633275 \h  \* MERGEFORMAT </w:instrText>
      </w:r>
      <w:r w:rsidRPr="00CD5A4F">
        <w:rPr>
          <w:color w:val="auto"/>
        </w:rPr>
      </w:r>
      <w:r w:rsidRPr="00CD5A4F">
        <w:rPr>
          <w:color w:val="auto"/>
        </w:rPr>
        <w:fldChar w:fldCharType="separate"/>
      </w:r>
      <w:r w:rsidR="00C77D78" w:rsidRPr="00A12B37">
        <w:rPr>
          <w:color w:val="auto"/>
        </w:rPr>
        <w:t xml:space="preserve">Table </w:t>
      </w:r>
      <w:r w:rsidR="00C77D78" w:rsidRPr="00A12B37">
        <w:rPr>
          <w:noProof/>
          <w:color w:val="auto"/>
        </w:rPr>
        <w:t>9</w:t>
      </w:r>
      <w:r w:rsidRPr="00CD5A4F">
        <w:rPr>
          <w:color w:val="auto"/>
        </w:rPr>
        <w:fldChar w:fldCharType="end"/>
      </w:r>
      <w:r w:rsidRPr="00CD5A4F">
        <w:rPr>
          <w:color w:val="auto"/>
        </w:rPr>
        <w:t>) provide analyses testing alternative assumptions in the model:</w:t>
      </w:r>
    </w:p>
    <w:p w14:paraId="5CBF70CF" w14:textId="7766D4B3" w:rsidR="005E3D87" w:rsidRPr="00CD5A4F" w:rsidRDefault="005E3D87" w:rsidP="005E3D87">
      <w:pPr>
        <w:pStyle w:val="Instructionaltext-afterfiguretable"/>
        <w:spacing w:before="240" w:after="120"/>
        <w:rPr>
          <w:color w:val="auto"/>
        </w:rPr>
      </w:pPr>
      <w:r w:rsidRPr="00CD5A4F">
        <w:rPr>
          <w:color w:val="auto"/>
        </w:rPr>
        <w:t>1.</w:t>
      </w:r>
      <w:r w:rsidRPr="00CD5A4F">
        <w:rPr>
          <w:color w:val="auto"/>
        </w:rPr>
        <w:tab/>
        <w:t>Time horizon was set at 5 years, as suggested by MSAC (</w:t>
      </w:r>
      <w:r w:rsidR="00C77D78">
        <w:rPr>
          <w:color w:val="auto"/>
        </w:rPr>
        <w:t>MSAC 1686</w:t>
      </w:r>
      <w:r w:rsidRPr="00CD5A4F">
        <w:rPr>
          <w:color w:val="auto"/>
        </w:rPr>
        <w:t xml:space="preserve"> PSD, p.5).</w:t>
      </w:r>
    </w:p>
    <w:p w14:paraId="3757A345" w14:textId="0C338B12" w:rsidR="005E3D87" w:rsidRPr="00CD5A4F" w:rsidRDefault="005E3D87" w:rsidP="005E3D87">
      <w:pPr>
        <w:pStyle w:val="Instructionaltext-afterfiguretable"/>
        <w:spacing w:before="240" w:after="120"/>
        <w:rPr>
          <w:color w:val="auto"/>
        </w:rPr>
      </w:pPr>
      <w:r w:rsidRPr="00CD5A4F">
        <w:rPr>
          <w:color w:val="auto"/>
        </w:rPr>
        <w:t>2.</w:t>
      </w:r>
      <w:r w:rsidRPr="00CD5A4F">
        <w:rPr>
          <w:color w:val="auto"/>
        </w:rPr>
        <w:tab/>
        <w:t xml:space="preserve">Cost of </w:t>
      </w:r>
      <w:r w:rsidR="00845294">
        <w:rPr>
          <w:color w:val="auto"/>
          <w:vertAlign w:val="superscript"/>
        </w:rPr>
        <w:t>177</w:t>
      </w:r>
      <w:r w:rsidRPr="00CD5A4F">
        <w:rPr>
          <w:color w:val="auto"/>
        </w:rPr>
        <w:t>Lu</w:t>
      </w:r>
      <w:r w:rsidR="00941825">
        <w:rPr>
          <w:color w:val="auto"/>
        </w:rPr>
        <w:t> </w:t>
      </w:r>
      <w:r w:rsidRPr="00CD5A4F">
        <w:rPr>
          <w:color w:val="auto"/>
        </w:rPr>
        <w:t>PSMA</w:t>
      </w:r>
      <w:r w:rsidR="00941825">
        <w:rPr>
          <w:color w:val="auto"/>
        </w:rPr>
        <w:t> </w:t>
      </w:r>
      <w:proofErr w:type="spellStart"/>
      <w:r w:rsidR="00941825">
        <w:rPr>
          <w:color w:val="auto"/>
        </w:rPr>
        <w:t>i&amp;t</w:t>
      </w:r>
      <w:proofErr w:type="spellEnd"/>
      <w:r w:rsidRPr="00CD5A4F">
        <w:rPr>
          <w:color w:val="auto"/>
        </w:rPr>
        <w:t xml:space="preserve"> treatment was recalculated as explained above.</w:t>
      </w:r>
    </w:p>
    <w:p w14:paraId="381F6163" w14:textId="44E4F014" w:rsidR="005E3D87" w:rsidRPr="00CD5A4F" w:rsidRDefault="005E3D87" w:rsidP="00CD5A4F">
      <w:pPr>
        <w:pStyle w:val="Instructionaltext-afterfiguretable"/>
        <w:spacing w:before="240" w:after="120"/>
        <w:ind w:left="709" w:hanging="709"/>
        <w:rPr>
          <w:color w:val="auto"/>
        </w:rPr>
      </w:pPr>
      <w:r w:rsidRPr="00CD5A4F">
        <w:rPr>
          <w:color w:val="auto"/>
        </w:rPr>
        <w:lastRenderedPageBreak/>
        <w:t>3.</w:t>
      </w:r>
      <w:r w:rsidRPr="00CD5A4F">
        <w:rPr>
          <w:color w:val="auto"/>
        </w:rPr>
        <w:tab/>
        <w:t>Cost of pre-progression disease management was amended to include the costs of CT/bone scan administered every 12 weeks until radiological progression.</w:t>
      </w:r>
    </w:p>
    <w:p w14:paraId="26E7EC35" w14:textId="08EE24B7" w:rsidR="005E3D87" w:rsidRPr="00CD5A4F" w:rsidRDefault="005E3D87" w:rsidP="00CD5A4F">
      <w:pPr>
        <w:pStyle w:val="Instructionaltext-afterfiguretable"/>
        <w:spacing w:before="240" w:after="120"/>
        <w:ind w:left="709" w:hanging="709"/>
        <w:rPr>
          <w:color w:val="auto"/>
        </w:rPr>
      </w:pPr>
      <w:r w:rsidRPr="00CD5A4F">
        <w:rPr>
          <w:color w:val="auto"/>
        </w:rPr>
        <w:t xml:space="preserve">4. </w:t>
      </w:r>
      <w:r w:rsidRPr="00CD5A4F">
        <w:rPr>
          <w:color w:val="auto"/>
        </w:rPr>
        <w:tab/>
        <w:t>Assumptions about the treatment-specific utility values were reversed and the same utility value of 0.74 was used in the PFS health state in either</w:t>
      </w:r>
      <w:r w:rsidR="009C07CD">
        <w:rPr>
          <w:color w:val="auto"/>
        </w:rPr>
        <w:t xml:space="preserve"> patients treated with</w:t>
      </w:r>
      <w:r w:rsidRPr="00CD5A4F">
        <w:rPr>
          <w:color w:val="auto"/>
        </w:rPr>
        <w:t xml:space="preserve"> </w:t>
      </w:r>
      <w:r w:rsidR="00845294">
        <w:rPr>
          <w:color w:val="auto"/>
          <w:vertAlign w:val="superscript"/>
        </w:rPr>
        <w:t>177</w:t>
      </w:r>
      <w:r w:rsidRPr="00CD5A4F">
        <w:rPr>
          <w:color w:val="auto"/>
        </w:rPr>
        <w:t>Lu</w:t>
      </w:r>
      <w:r w:rsidR="00941825">
        <w:rPr>
          <w:color w:val="auto"/>
        </w:rPr>
        <w:t> </w:t>
      </w:r>
      <w:r w:rsidRPr="00CD5A4F">
        <w:rPr>
          <w:color w:val="auto"/>
        </w:rPr>
        <w:t>PSMA</w:t>
      </w:r>
      <w:r w:rsidR="00941825">
        <w:rPr>
          <w:color w:val="auto"/>
        </w:rPr>
        <w:t> </w:t>
      </w:r>
      <w:proofErr w:type="spellStart"/>
      <w:r w:rsidR="00941825">
        <w:rPr>
          <w:color w:val="auto"/>
        </w:rPr>
        <w:t>i&amp;t</w:t>
      </w:r>
      <w:proofErr w:type="spellEnd"/>
      <w:r w:rsidRPr="00CD5A4F">
        <w:rPr>
          <w:color w:val="auto"/>
        </w:rPr>
        <w:t xml:space="preserve"> or </w:t>
      </w:r>
      <w:r w:rsidR="00A55817">
        <w:rPr>
          <w:color w:val="auto"/>
        </w:rPr>
        <w:t>best supportive care</w:t>
      </w:r>
      <w:r w:rsidRPr="00CD5A4F">
        <w:rPr>
          <w:color w:val="auto"/>
        </w:rPr>
        <w:t xml:space="preserve">. </w:t>
      </w:r>
      <w:r w:rsidR="009C07CD">
        <w:rPr>
          <w:color w:val="auto"/>
        </w:rPr>
        <w:t>Patients treated with c</w:t>
      </w:r>
      <w:r w:rsidRPr="00CD5A4F">
        <w:rPr>
          <w:color w:val="auto"/>
        </w:rPr>
        <w:t xml:space="preserve">abazitaxel attracted </w:t>
      </w:r>
      <w:r w:rsidR="009C07CD">
        <w:rPr>
          <w:color w:val="auto"/>
        </w:rPr>
        <w:t>a</w:t>
      </w:r>
      <w:r w:rsidR="006843D6">
        <w:rPr>
          <w:color w:val="auto"/>
        </w:rPr>
        <w:t xml:space="preserve"> </w:t>
      </w:r>
      <w:r w:rsidRPr="00CD5A4F">
        <w:rPr>
          <w:color w:val="auto"/>
        </w:rPr>
        <w:t xml:space="preserve">disutility value of 0.04 that supposed to reflect excessive toxicity of the medication. Whether there is any double counting of </w:t>
      </w:r>
      <w:proofErr w:type="spellStart"/>
      <w:r w:rsidRPr="00CD5A4F">
        <w:rPr>
          <w:color w:val="auto"/>
        </w:rPr>
        <w:t>disutilities</w:t>
      </w:r>
      <w:proofErr w:type="spellEnd"/>
      <w:r w:rsidRPr="00CD5A4F">
        <w:rPr>
          <w:color w:val="auto"/>
        </w:rPr>
        <w:t xml:space="preserve"> of adverse events observed in cabazitaxel patients is uncertain.</w:t>
      </w:r>
    </w:p>
    <w:p w14:paraId="2A5D6D8B" w14:textId="0A375334" w:rsidR="005E3D87" w:rsidRPr="00CD5A4F" w:rsidRDefault="005E3D87" w:rsidP="005E3D87">
      <w:pPr>
        <w:pStyle w:val="Instructionaltext-afterfiguretable"/>
        <w:spacing w:before="240" w:after="120"/>
        <w:rPr>
          <w:color w:val="auto"/>
        </w:rPr>
      </w:pPr>
      <w:r w:rsidRPr="00CD5A4F">
        <w:rPr>
          <w:color w:val="auto"/>
        </w:rPr>
        <w:t>Presentation of the alternative results proceeds as following: at first, each of the four steps above was undertaken separately to produce an alternative ICER estimate (</w:t>
      </w:r>
      <w:r w:rsidR="00AE6700" w:rsidRPr="00CD5A4F">
        <w:rPr>
          <w:color w:val="auto"/>
        </w:rPr>
        <w:fldChar w:fldCharType="begin"/>
      </w:r>
      <w:r w:rsidR="00AE6700" w:rsidRPr="00CD5A4F">
        <w:rPr>
          <w:color w:val="auto"/>
        </w:rPr>
        <w:instrText xml:space="preserve"> REF _Ref131633268 \h </w:instrText>
      </w:r>
      <w:r w:rsidR="00363B44">
        <w:rPr>
          <w:color w:val="auto"/>
        </w:rPr>
        <w:instrText xml:space="preserve"> \* MERGEFORMAT </w:instrText>
      </w:r>
      <w:r w:rsidR="00AE6700" w:rsidRPr="00CD5A4F">
        <w:rPr>
          <w:color w:val="auto"/>
        </w:rPr>
      </w:r>
      <w:r w:rsidR="00AE6700" w:rsidRPr="00CD5A4F">
        <w:rPr>
          <w:color w:val="auto"/>
        </w:rPr>
        <w:fldChar w:fldCharType="separate"/>
      </w:r>
      <w:r w:rsidR="00C77D78" w:rsidRPr="00A12B37">
        <w:rPr>
          <w:color w:val="auto"/>
        </w:rPr>
        <w:t xml:space="preserve">Table </w:t>
      </w:r>
      <w:r w:rsidR="00C77D78" w:rsidRPr="00A12B37">
        <w:rPr>
          <w:noProof/>
          <w:color w:val="auto"/>
        </w:rPr>
        <w:t>8</w:t>
      </w:r>
      <w:r w:rsidR="00AE6700" w:rsidRPr="00CD5A4F">
        <w:rPr>
          <w:color w:val="auto"/>
        </w:rPr>
        <w:fldChar w:fldCharType="end"/>
      </w:r>
      <w:r w:rsidRPr="00CD5A4F">
        <w:rPr>
          <w:color w:val="auto"/>
        </w:rPr>
        <w:t>); secondly, the same steps were performed sequentially along with the cumulative impact on the ICER estimate (</w:t>
      </w:r>
      <w:r w:rsidR="00AE6700" w:rsidRPr="00CD5A4F">
        <w:rPr>
          <w:color w:val="auto"/>
        </w:rPr>
        <w:fldChar w:fldCharType="begin"/>
      </w:r>
      <w:r w:rsidR="00AE6700" w:rsidRPr="00CD5A4F">
        <w:rPr>
          <w:color w:val="auto"/>
        </w:rPr>
        <w:instrText xml:space="preserve"> REF _Ref131633275 \h </w:instrText>
      </w:r>
      <w:r w:rsidR="00363B44">
        <w:rPr>
          <w:color w:val="auto"/>
        </w:rPr>
        <w:instrText xml:space="preserve"> \* MERGEFORMAT </w:instrText>
      </w:r>
      <w:r w:rsidR="00AE6700" w:rsidRPr="00CD5A4F">
        <w:rPr>
          <w:color w:val="auto"/>
        </w:rPr>
      </w:r>
      <w:r w:rsidR="00AE6700" w:rsidRPr="00CD5A4F">
        <w:rPr>
          <w:color w:val="auto"/>
        </w:rPr>
        <w:fldChar w:fldCharType="separate"/>
      </w:r>
      <w:r w:rsidR="00C77D78" w:rsidRPr="00A12B37">
        <w:rPr>
          <w:color w:val="auto"/>
        </w:rPr>
        <w:t xml:space="preserve">Table </w:t>
      </w:r>
      <w:r w:rsidR="00C77D78" w:rsidRPr="00A12B37">
        <w:rPr>
          <w:noProof/>
          <w:color w:val="auto"/>
        </w:rPr>
        <w:t>9</w:t>
      </w:r>
      <w:r w:rsidR="00AE6700" w:rsidRPr="00CD5A4F">
        <w:rPr>
          <w:color w:val="auto"/>
        </w:rPr>
        <w:fldChar w:fldCharType="end"/>
      </w:r>
      <w:r w:rsidRPr="00CD5A4F">
        <w:rPr>
          <w:color w:val="auto"/>
        </w:rPr>
        <w:t>).</w:t>
      </w:r>
    </w:p>
    <w:p w14:paraId="5D40417D" w14:textId="4126035B" w:rsidR="005E3D87" w:rsidRPr="00AE6700" w:rsidRDefault="001C636D" w:rsidP="00040D0C">
      <w:pPr>
        <w:pStyle w:val="Caption"/>
        <w:keepNext w:val="0"/>
        <w:widowControl w:val="0"/>
      </w:pPr>
      <w:bookmarkStart w:id="33" w:name="_Ref131633268"/>
      <w:r w:rsidRPr="00AE6700">
        <w:t xml:space="preserve">Table </w:t>
      </w:r>
      <w:r w:rsidR="005C56E0">
        <w:fldChar w:fldCharType="begin"/>
      </w:r>
      <w:r w:rsidR="005C56E0">
        <w:instrText xml:space="preserve"> SEQ Table \* ARABIC </w:instrText>
      </w:r>
      <w:r w:rsidR="005C56E0">
        <w:fldChar w:fldCharType="separate"/>
      </w:r>
      <w:r w:rsidR="00C77D78">
        <w:rPr>
          <w:noProof/>
        </w:rPr>
        <w:t>8</w:t>
      </w:r>
      <w:r w:rsidR="005C56E0">
        <w:rPr>
          <w:noProof/>
        </w:rPr>
        <w:fldChar w:fldCharType="end"/>
      </w:r>
      <w:bookmarkEnd w:id="33"/>
      <w:r w:rsidR="005E3D87" w:rsidRPr="00AE6700">
        <w:tab/>
      </w:r>
      <w:r w:rsidR="00900BD9">
        <w:t xml:space="preserve">Commentary </w:t>
      </w:r>
      <w:r w:rsidR="00603748">
        <w:t>sensitivity analyses</w:t>
      </w:r>
      <w:r w:rsidR="00900BD9">
        <w:t xml:space="preserve"> </w:t>
      </w:r>
      <w:r w:rsidR="00900BD9" w:rsidRPr="00845294">
        <w:t>(</w:t>
      </w:r>
      <w:r w:rsidR="00AE6700" w:rsidRPr="00CD5A4F">
        <w:t>Alternative assumptions</w:t>
      </w:r>
      <w:r w:rsidR="004661C5" w:rsidRPr="00CD5A4F">
        <w:t>,</w:t>
      </w:r>
      <w:r w:rsidR="00AE6700" w:rsidRPr="00CD5A4F">
        <w:t xml:space="preserve"> tested separately</w:t>
      </w:r>
      <w:r w:rsidR="001743AE" w:rsidRPr="00CD5A4F">
        <w:t xml:space="preserve"> i</w:t>
      </w:r>
      <w:r w:rsidR="00CE0C03">
        <w:t>.</w:t>
      </w:r>
      <w:r w:rsidR="001743AE" w:rsidRPr="00CD5A4F">
        <w:t>e</w:t>
      </w:r>
      <w:r w:rsidR="00CE0C03">
        <w:t>.,</w:t>
      </w:r>
      <w:r w:rsidR="001743AE" w:rsidRPr="00CD5A4F">
        <w:t xml:space="preserve"> 1-way SA</w:t>
      </w:r>
      <w:r w:rsidR="005E3D87" w:rsidRPr="00845294">
        <w:t>)</w:t>
      </w:r>
      <w:r w:rsidR="005E3D87" w:rsidRPr="00AE6700">
        <w:t xml:space="preserve"> </w:t>
      </w:r>
    </w:p>
    <w:tbl>
      <w:tblPr>
        <w:tblStyle w:val="TableGrid"/>
        <w:tblW w:w="5000" w:type="pct"/>
        <w:tblLook w:val="04A0" w:firstRow="1" w:lastRow="0" w:firstColumn="1" w:lastColumn="0" w:noHBand="0" w:noVBand="1"/>
      </w:tblPr>
      <w:tblGrid>
        <w:gridCol w:w="1483"/>
        <w:gridCol w:w="1368"/>
        <w:gridCol w:w="809"/>
        <w:gridCol w:w="1142"/>
        <w:gridCol w:w="1274"/>
        <w:gridCol w:w="1256"/>
        <w:gridCol w:w="918"/>
        <w:gridCol w:w="766"/>
      </w:tblGrid>
      <w:tr w:rsidR="007B5E4B" w:rsidRPr="00AE6700" w14:paraId="1A402D48" w14:textId="6E2DAC8A" w:rsidTr="00040D0C">
        <w:tc>
          <w:tcPr>
            <w:tcW w:w="811" w:type="pct"/>
            <w:tcBorders>
              <w:top w:val="single" w:sz="12" w:space="0" w:color="auto"/>
              <w:left w:val="single" w:sz="4" w:space="0" w:color="auto"/>
              <w:bottom w:val="single" w:sz="12" w:space="0" w:color="auto"/>
              <w:right w:val="single" w:sz="4" w:space="0" w:color="auto"/>
            </w:tcBorders>
            <w:vAlign w:val="bottom"/>
            <w:hideMark/>
          </w:tcPr>
          <w:p w14:paraId="051D4A01" w14:textId="77777777" w:rsidR="007B5E4B" w:rsidRPr="00AE6700" w:rsidRDefault="007B5E4B" w:rsidP="00040D0C">
            <w:pPr>
              <w:pStyle w:val="Tabletext0"/>
              <w:widowControl w:val="0"/>
              <w:jc w:val="left"/>
              <w:rPr>
                <w:rFonts w:cs="Times New Roman"/>
                <w:b/>
                <w:bCs/>
              </w:rPr>
            </w:pPr>
            <w:r w:rsidRPr="00AE6700">
              <w:rPr>
                <w:rFonts w:cs="Times New Roman"/>
                <w:b/>
                <w:bCs/>
              </w:rPr>
              <w:t>Strategy</w:t>
            </w:r>
          </w:p>
        </w:tc>
        <w:tc>
          <w:tcPr>
            <w:tcW w:w="769" w:type="pct"/>
            <w:tcBorders>
              <w:top w:val="single" w:sz="12" w:space="0" w:color="auto"/>
              <w:left w:val="single" w:sz="4" w:space="0" w:color="auto"/>
              <w:bottom w:val="single" w:sz="12" w:space="0" w:color="auto"/>
              <w:right w:val="single" w:sz="4" w:space="0" w:color="auto"/>
            </w:tcBorders>
            <w:vAlign w:val="center"/>
            <w:hideMark/>
          </w:tcPr>
          <w:p w14:paraId="4FACC9ED" w14:textId="77777777" w:rsidR="007B5E4B" w:rsidRPr="00AE6700" w:rsidRDefault="007B5E4B" w:rsidP="00040D0C">
            <w:pPr>
              <w:pStyle w:val="Tabletext0"/>
              <w:widowControl w:val="0"/>
              <w:jc w:val="center"/>
              <w:rPr>
                <w:rFonts w:cs="Times New Roman"/>
                <w:b/>
                <w:bCs/>
              </w:rPr>
            </w:pPr>
            <w:r w:rsidRPr="00AE6700">
              <w:rPr>
                <w:rFonts w:cs="Times New Roman"/>
                <w:b/>
                <w:bCs/>
              </w:rPr>
              <w:t>Steps</w:t>
            </w:r>
          </w:p>
        </w:tc>
        <w:tc>
          <w:tcPr>
            <w:tcW w:w="449" w:type="pct"/>
            <w:tcBorders>
              <w:top w:val="single" w:sz="12" w:space="0" w:color="auto"/>
              <w:left w:val="single" w:sz="4" w:space="0" w:color="auto"/>
              <w:bottom w:val="single" w:sz="12" w:space="0" w:color="auto"/>
              <w:right w:val="single" w:sz="4" w:space="0" w:color="auto"/>
            </w:tcBorders>
            <w:vAlign w:val="center"/>
            <w:hideMark/>
          </w:tcPr>
          <w:p w14:paraId="32CB6077" w14:textId="77777777" w:rsidR="007B5E4B" w:rsidRPr="00AE6700" w:rsidRDefault="007B5E4B" w:rsidP="00040D0C">
            <w:pPr>
              <w:pStyle w:val="Tabletext0"/>
              <w:widowControl w:val="0"/>
              <w:jc w:val="center"/>
              <w:rPr>
                <w:rFonts w:cs="Times New Roman"/>
                <w:b/>
                <w:bCs/>
              </w:rPr>
            </w:pPr>
            <w:r w:rsidRPr="00AE6700">
              <w:rPr>
                <w:rFonts w:cs="Times New Roman"/>
                <w:b/>
                <w:bCs/>
              </w:rPr>
              <w:t>Cost</w:t>
            </w:r>
          </w:p>
        </w:tc>
        <w:tc>
          <w:tcPr>
            <w:tcW w:w="654" w:type="pct"/>
            <w:tcBorders>
              <w:top w:val="single" w:sz="12" w:space="0" w:color="auto"/>
              <w:left w:val="single" w:sz="4" w:space="0" w:color="auto"/>
              <w:bottom w:val="single" w:sz="12" w:space="0" w:color="auto"/>
              <w:right w:val="single" w:sz="4" w:space="0" w:color="auto"/>
            </w:tcBorders>
            <w:vAlign w:val="center"/>
            <w:hideMark/>
          </w:tcPr>
          <w:p w14:paraId="3F408721" w14:textId="77777777" w:rsidR="007B5E4B" w:rsidRPr="00AE6700" w:rsidRDefault="007B5E4B" w:rsidP="00040D0C">
            <w:pPr>
              <w:pStyle w:val="Tabletext0"/>
              <w:widowControl w:val="0"/>
              <w:jc w:val="center"/>
              <w:rPr>
                <w:rFonts w:cs="Times New Roman"/>
                <w:b/>
                <w:bCs/>
              </w:rPr>
            </w:pPr>
            <w:r w:rsidRPr="00AE6700">
              <w:rPr>
                <w:rFonts w:cs="Times New Roman"/>
                <w:b/>
                <w:bCs/>
              </w:rPr>
              <w:t>Incremental cost</w:t>
            </w:r>
          </w:p>
        </w:tc>
        <w:tc>
          <w:tcPr>
            <w:tcW w:w="688" w:type="pct"/>
            <w:tcBorders>
              <w:top w:val="single" w:sz="12" w:space="0" w:color="auto"/>
              <w:left w:val="single" w:sz="4" w:space="0" w:color="auto"/>
              <w:bottom w:val="single" w:sz="12" w:space="0" w:color="auto"/>
              <w:right w:val="single" w:sz="4" w:space="0" w:color="auto"/>
            </w:tcBorders>
            <w:vAlign w:val="center"/>
            <w:hideMark/>
          </w:tcPr>
          <w:p w14:paraId="298CC4EC" w14:textId="77777777" w:rsidR="007B5E4B" w:rsidRPr="00AE6700" w:rsidRDefault="007B5E4B" w:rsidP="00040D0C">
            <w:pPr>
              <w:pStyle w:val="Tabletext0"/>
              <w:widowControl w:val="0"/>
              <w:jc w:val="center"/>
              <w:rPr>
                <w:rFonts w:cs="Times New Roman"/>
                <w:b/>
                <w:bCs/>
              </w:rPr>
            </w:pPr>
            <w:r w:rsidRPr="00AE6700">
              <w:rPr>
                <w:rFonts w:cs="Times New Roman"/>
                <w:b/>
                <w:bCs/>
              </w:rPr>
              <w:t>Effectiveness (QALYs)</w:t>
            </w:r>
          </w:p>
        </w:tc>
        <w:tc>
          <w:tcPr>
            <w:tcW w:w="674" w:type="pct"/>
            <w:tcBorders>
              <w:top w:val="single" w:sz="12" w:space="0" w:color="auto"/>
              <w:left w:val="single" w:sz="4" w:space="0" w:color="auto"/>
              <w:bottom w:val="single" w:sz="12" w:space="0" w:color="auto"/>
              <w:right w:val="single" w:sz="4" w:space="0" w:color="auto"/>
            </w:tcBorders>
            <w:vAlign w:val="center"/>
            <w:hideMark/>
          </w:tcPr>
          <w:p w14:paraId="186B5399" w14:textId="77777777" w:rsidR="007B5E4B" w:rsidRPr="00AE6700" w:rsidRDefault="007B5E4B" w:rsidP="00040D0C">
            <w:pPr>
              <w:pStyle w:val="Tabletext0"/>
              <w:widowControl w:val="0"/>
              <w:jc w:val="center"/>
              <w:rPr>
                <w:rFonts w:cs="Times New Roman"/>
                <w:b/>
                <w:bCs/>
              </w:rPr>
            </w:pPr>
            <w:r w:rsidRPr="00AE6700">
              <w:rPr>
                <w:rFonts w:cs="Times New Roman"/>
                <w:b/>
                <w:bCs/>
              </w:rPr>
              <w:t>Incremental effectiveness (QALYs)</w:t>
            </w:r>
          </w:p>
        </w:tc>
        <w:tc>
          <w:tcPr>
            <w:tcW w:w="514" w:type="pct"/>
            <w:tcBorders>
              <w:top w:val="single" w:sz="12" w:space="0" w:color="auto"/>
              <w:left w:val="single" w:sz="4" w:space="0" w:color="auto"/>
              <w:bottom w:val="single" w:sz="12" w:space="0" w:color="auto"/>
              <w:right w:val="single" w:sz="4" w:space="0" w:color="auto"/>
            </w:tcBorders>
            <w:vAlign w:val="center"/>
            <w:hideMark/>
          </w:tcPr>
          <w:p w14:paraId="6872E175" w14:textId="77777777" w:rsidR="007B5E4B" w:rsidRPr="00AE6700" w:rsidRDefault="007B5E4B" w:rsidP="00040D0C">
            <w:pPr>
              <w:pStyle w:val="Tabletext0"/>
              <w:widowControl w:val="0"/>
              <w:jc w:val="center"/>
              <w:rPr>
                <w:rFonts w:cs="Times New Roman"/>
                <w:b/>
                <w:bCs/>
              </w:rPr>
            </w:pPr>
            <w:r w:rsidRPr="00AE6700">
              <w:rPr>
                <w:rFonts w:cs="Times New Roman"/>
                <w:b/>
                <w:bCs/>
              </w:rPr>
              <w:t>ICER ($/QALY)</w:t>
            </w:r>
          </w:p>
        </w:tc>
        <w:tc>
          <w:tcPr>
            <w:tcW w:w="441" w:type="pct"/>
            <w:tcBorders>
              <w:top w:val="single" w:sz="12" w:space="0" w:color="auto"/>
              <w:left w:val="single" w:sz="4" w:space="0" w:color="auto"/>
              <w:bottom w:val="single" w:sz="12" w:space="0" w:color="auto"/>
              <w:right w:val="single" w:sz="4" w:space="0" w:color="auto"/>
            </w:tcBorders>
            <w:vAlign w:val="center"/>
          </w:tcPr>
          <w:p w14:paraId="69411C8C" w14:textId="310DA585" w:rsidR="007B5E4B" w:rsidRPr="007B5E4B" w:rsidRDefault="007B5E4B" w:rsidP="00040D0C">
            <w:pPr>
              <w:pStyle w:val="Tabletext0"/>
              <w:widowControl w:val="0"/>
              <w:jc w:val="center"/>
              <w:rPr>
                <w:rFonts w:cs="Times New Roman"/>
                <w:b/>
                <w:bCs/>
              </w:rPr>
            </w:pPr>
            <w:r w:rsidRPr="00CD5A4F">
              <w:rPr>
                <w:b/>
                <w:bCs/>
              </w:rPr>
              <w:t>Impact (%)</w:t>
            </w:r>
          </w:p>
        </w:tc>
      </w:tr>
      <w:tr w:rsidR="007B5E4B" w:rsidRPr="00AE6700" w14:paraId="43DE29B4" w14:textId="01F10ECA" w:rsidTr="00040D0C">
        <w:trPr>
          <w:trHeight w:val="385"/>
        </w:trPr>
        <w:tc>
          <w:tcPr>
            <w:tcW w:w="811" w:type="pct"/>
            <w:tcBorders>
              <w:top w:val="single" w:sz="12" w:space="0" w:color="auto"/>
              <w:left w:val="single" w:sz="4" w:space="0" w:color="auto"/>
              <w:bottom w:val="single" w:sz="4" w:space="0" w:color="auto"/>
              <w:right w:val="single" w:sz="4" w:space="0" w:color="auto"/>
            </w:tcBorders>
            <w:hideMark/>
          </w:tcPr>
          <w:p w14:paraId="2B15EC96" w14:textId="33032532" w:rsidR="007B5E4B" w:rsidRPr="0050441A" w:rsidRDefault="007B5E4B" w:rsidP="00040D0C">
            <w:pPr>
              <w:pStyle w:val="Tabletext0"/>
              <w:widowControl w:val="0"/>
              <w:rPr>
                <w:rFonts w:cs="Times New Roman"/>
                <w:b/>
              </w:rPr>
            </w:pPr>
            <w:r w:rsidRPr="0050441A">
              <w:rPr>
                <w:rFonts w:cs="Times New Roman"/>
                <w:b/>
                <w:vertAlign w:val="superscript"/>
              </w:rPr>
              <w:t>177</w:t>
            </w:r>
            <w:r w:rsidRPr="0050441A">
              <w:rPr>
                <w:rFonts w:cs="Times New Roman"/>
                <w:b/>
              </w:rPr>
              <w:t>Lu</w:t>
            </w:r>
            <w:r w:rsidR="00941825">
              <w:rPr>
                <w:rFonts w:cs="Times New Roman"/>
                <w:b/>
              </w:rPr>
              <w:t> </w:t>
            </w:r>
            <w:r w:rsidRPr="0050441A">
              <w:rPr>
                <w:rFonts w:cs="Times New Roman"/>
                <w:b/>
              </w:rPr>
              <w:t>PSMA</w:t>
            </w:r>
            <w:r w:rsidR="00941825">
              <w:rPr>
                <w:rFonts w:cs="Times New Roman"/>
                <w:b/>
              </w:rPr>
              <w:t> </w:t>
            </w:r>
            <w:proofErr w:type="spellStart"/>
            <w:r w:rsidR="00941825">
              <w:rPr>
                <w:rFonts w:cs="Times New Roman"/>
                <w:b/>
              </w:rPr>
              <w:t>i&amp;t</w:t>
            </w:r>
            <w:proofErr w:type="spellEnd"/>
          </w:p>
        </w:tc>
        <w:tc>
          <w:tcPr>
            <w:tcW w:w="769" w:type="pct"/>
            <w:vMerge w:val="restart"/>
            <w:tcBorders>
              <w:top w:val="single" w:sz="12" w:space="0" w:color="auto"/>
              <w:left w:val="single" w:sz="4" w:space="0" w:color="auto"/>
              <w:bottom w:val="nil"/>
              <w:right w:val="single" w:sz="4" w:space="0" w:color="auto"/>
            </w:tcBorders>
            <w:hideMark/>
          </w:tcPr>
          <w:p w14:paraId="032210A3" w14:textId="1EBFB4EE" w:rsidR="007B5E4B" w:rsidRPr="0050441A" w:rsidRDefault="007B5E4B" w:rsidP="00040D0C">
            <w:pPr>
              <w:pStyle w:val="Tabletext0"/>
              <w:widowControl w:val="0"/>
              <w:jc w:val="center"/>
              <w:rPr>
                <w:rFonts w:cs="Times New Roman"/>
                <w:b/>
              </w:rPr>
            </w:pPr>
            <w:r w:rsidRPr="0050441A">
              <w:rPr>
                <w:rFonts w:cs="Times New Roman"/>
                <w:b/>
              </w:rPr>
              <w:t xml:space="preserve">Base-case in the ADAR </w:t>
            </w:r>
            <w:r w:rsidRPr="0050441A">
              <w:rPr>
                <w:rFonts w:cs="Times New Roman"/>
                <w:b/>
                <w:vertAlign w:val="superscript"/>
              </w:rPr>
              <w:t>#</w:t>
            </w:r>
          </w:p>
        </w:tc>
        <w:tc>
          <w:tcPr>
            <w:tcW w:w="449" w:type="pct"/>
            <w:tcBorders>
              <w:top w:val="single" w:sz="12" w:space="0" w:color="auto"/>
              <w:left w:val="single" w:sz="4" w:space="0" w:color="auto"/>
              <w:bottom w:val="single" w:sz="4" w:space="0" w:color="auto"/>
              <w:right w:val="single" w:sz="4" w:space="0" w:color="auto"/>
            </w:tcBorders>
            <w:vAlign w:val="center"/>
            <w:hideMark/>
          </w:tcPr>
          <w:p w14:paraId="4CE4DE08" w14:textId="77777777" w:rsidR="007B5E4B" w:rsidRPr="0050441A" w:rsidRDefault="007B5E4B" w:rsidP="00040D0C">
            <w:pPr>
              <w:pStyle w:val="Tabletext0"/>
              <w:widowControl w:val="0"/>
              <w:jc w:val="center"/>
              <w:rPr>
                <w:rFonts w:cs="Times New Roman"/>
                <w:b/>
              </w:rPr>
            </w:pPr>
            <w:r w:rsidRPr="0050441A">
              <w:rPr>
                <w:rFonts w:cs="Times New Roman"/>
                <w:b/>
              </w:rPr>
              <w:t>$69,003</w:t>
            </w:r>
          </w:p>
        </w:tc>
        <w:tc>
          <w:tcPr>
            <w:tcW w:w="654" w:type="pct"/>
            <w:vMerge w:val="restart"/>
            <w:tcBorders>
              <w:top w:val="single" w:sz="12" w:space="0" w:color="auto"/>
              <w:left w:val="single" w:sz="4" w:space="0" w:color="auto"/>
              <w:bottom w:val="nil"/>
              <w:right w:val="single" w:sz="4" w:space="0" w:color="auto"/>
            </w:tcBorders>
            <w:vAlign w:val="center"/>
            <w:hideMark/>
          </w:tcPr>
          <w:p w14:paraId="0326C82E" w14:textId="77777777" w:rsidR="007B5E4B" w:rsidRPr="0050441A" w:rsidRDefault="007B5E4B" w:rsidP="00040D0C">
            <w:pPr>
              <w:pStyle w:val="Tabletext0"/>
              <w:widowControl w:val="0"/>
              <w:jc w:val="center"/>
              <w:rPr>
                <w:rFonts w:cs="Times New Roman"/>
                <w:b/>
              </w:rPr>
            </w:pPr>
            <w:r w:rsidRPr="0050441A">
              <w:rPr>
                <w:rFonts w:cs="Times New Roman"/>
                <w:b/>
              </w:rPr>
              <w:t>$25,690</w:t>
            </w:r>
          </w:p>
        </w:tc>
        <w:tc>
          <w:tcPr>
            <w:tcW w:w="688" w:type="pct"/>
            <w:tcBorders>
              <w:top w:val="single" w:sz="12" w:space="0" w:color="auto"/>
              <w:left w:val="single" w:sz="4" w:space="0" w:color="auto"/>
              <w:bottom w:val="single" w:sz="4" w:space="0" w:color="auto"/>
              <w:right w:val="single" w:sz="4" w:space="0" w:color="auto"/>
            </w:tcBorders>
            <w:vAlign w:val="center"/>
            <w:hideMark/>
          </w:tcPr>
          <w:p w14:paraId="01DA4D14" w14:textId="77777777" w:rsidR="007B5E4B" w:rsidRPr="0050441A" w:rsidRDefault="007B5E4B" w:rsidP="00040D0C">
            <w:pPr>
              <w:pStyle w:val="Tabletext0"/>
              <w:widowControl w:val="0"/>
              <w:jc w:val="center"/>
              <w:rPr>
                <w:rFonts w:cs="Times New Roman"/>
                <w:b/>
              </w:rPr>
            </w:pPr>
            <w:r w:rsidRPr="0050441A">
              <w:rPr>
                <w:rFonts w:cs="Times New Roman"/>
                <w:b/>
              </w:rPr>
              <w:t>1.096</w:t>
            </w:r>
          </w:p>
        </w:tc>
        <w:tc>
          <w:tcPr>
            <w:tcW w:w="674" w:type="pct"/>
            <w:vMerge w:val="restart"/>
            <w:tcBorders>
              <w:top w:val="single" w:sz="12" w:space="0" w:color="auto"/>
              <w:left w:val="single" w:sz="4" w:space="0" w:color="auto"/>
              <w:bottom w:val="nil"/>
              <w:right w:val="single" w:sz="4" w:space="0" w:color="auto"/>
            </w:tcBorders>
            <w:vAlign w:val="center"/>
            <w:hideMark/>
          </w:tcPr>
          <w:p w14:paraId="2ECBACDE" w14:textId="77777777" w:rsidR="007B5E4B" w:rsidRPr="0050441A" w:rsidRDefault="007B5E4B" w:rsidP="00040D0C">
            <w:pPr>
              <w:pStyle w:val="Tabletext0"/>
              <w:widowControl w:val="0"/>
              <w:jc w:val="center"/>
              <w:rPr>
                <w:rFonts w:cs="Times New Roman"/>
                <w:b/>
              </w:rPr>
            </w:pPr>
            <w:r w:rsidRPr="0050441A">
              <w:rPr>
                <w:rFonts w:cs="Times New Roman"/>
                <w:b/>
              </w:rPr>
              <w:t>0.349</w:t>
            </w:r>
          </w:p>
        </w:tc>
        <w:tc>
          <w:tcPr>
            <w:tcW w:w="514" w:type="pct"/>
            <w:vMerge w:val="restart"/>
            <w:tcBorders>
              <w:top w:val="single" w:sz="12" w:space="0" w:color="auto"/>
              <w:left w:val="single" w:sz="4" w:space="0" w:color="auto"/>
              <w:bottom w:val="nil"/>
              <w:right w:val="single" w:sz="4" w:space="0" w:color="auto"/>
            </w:tcBorders>
            <w:vAlign w:val="center"/>
            <w:hideMark/>
          </w:tcPr>
          <w:p w14:paraId="56B39EC1" w14:textId="77777777" w:rsidR="007B5E4B" w:rsidRPr="0050441A" w:rsidRDefault="007B5E4B" w:rsidP="00040D0C">
            <w:pPr>
              <w:pStyle w:val="Tabletext0"/>
              <w:widowControl w:val="0"/>
              <w:jc w:val="center"/>
              <w:rPr>
                <w:rFonts w:cs="Times New Roman"/>
                <w:b/>
              </w:rPr>
            </w:pPr>
            <w:r w:rsidRPr="0050441A">
              <w:rPr>
                <w:rFonts w:cs="Times New Roman"/>
                <w:b/>
              </w:rPr>
              <w:t>$73,622</w:t>
            </w:r>
          </w:p>
        </w:tc>
        <w:tc>
          <w:tcPr>
            <w:tcW w:w="441" w:type="pct"/>
            <w:vMerge w:val="restart"/>
            <w:tcBorders>
              <w:top w:val="single" w:sz="12" w:space="0" w:color="auto"/>
              <w:left w:val="single" w:sz="4" w:space="0" w:color="auto"/>
              <w:right w:val="single" w:sz="4" w:space="0" w:color="auto"/>
            </w:tcBorders>
            <w:vAlign w:val="center"/>
          </w:tcPr>
          <w:p w14:paraId="17D10C64" w14:textId="0A3CF291" w:rsidR="007B5E4B" w:rsidRPr="00CD5A4F" w:rsidRDefault="007B5E4B" w:rsidP="00040D0C">
            <w:pPr>
              <w:pStyle w:val="Tabletext0"/>
              <w:widowControl w:val="0"/>
              <w:jc w:val="center"/>
              <w:rPr>
                <w:rFonts w:cs="Times New Roman"/>
                <w:b/>
                <w:i/>
                <w:iCs/>
              </w:rPr>
            </w:pPr>
            <w:r w:rsidRPr="00CD5A4F">
              <w:rPr>
                <w:i/>
                <w:iCs/>
              </w:rPr>
              <w:t>N/A</w:t>
            </w:r>
          </w:p>
        </w:tc>
      </w:tr>
      <w:tr w:rsidR="007B5E4B" w:rsidRPr="00AE6700" w14:paraId="3782C145" w14:textId="49D503DD" w:rsidTr="00040D0C">
        <w:trPr>
          <w:trHeight w:val="386"/>
        </w:trPr>
        <w:tc>
          <w:tcPr>
            <w:tcW w:w="811" w:type="pct"/>
            <w:tcBorders>
              <w:top w:val="single" w:sz="4" w:space="0" w:color="auto"/>
              <w:left w:val="single" w:sz="4" w:space="0" w:color="auto"/>
              <w:bottom w:val="nil"/>
              <w:right w:val="single" w:sz="4" w:space="0" w:color="auto"/>
            </w:tcBorders>
            <w:hideMark/>
          </w:tcPr>
          <w:p w14:paraId="3CF2C531" w14:textId="1AB6C928" w:rsidR="007B5E4B" w:rsidRPr="0050441A" w:rsidRDefault="007B5E4B" w:rsidP="00040D0C">
            <w:pPr>
              <w:pStyle w:val="Tabletext0"/>
              <w:widowControl w:val="0"/>
              <w:rPr>
                <w:rFonts w:cs="Times New Roman"/>
                <w:b/>
              </w:rPr>
            </w:pPr>
            <w:r w:rsidRPr="0050441A">
              <w:rPr>
                <w:rFonts w:cs="Times New Roman"/>
                <w:b/>
              </w:rPr>
              <w:t>Cabazitaxel/BS</w:t>
            </w:r>
            <w:r w:rsidR="006843D6">
              <w:rPr>
                <w:rFonts w:cs="Times New Roman"/>
                <w:b/>
              </w:rPr>
              <w:t>c</w:t>
            </w:r>
          </w:p>
        </w:tc>
        <w:tc>
          <w:tcPr>
            <w:tcW w:w="769" w:type="pct"/>
            <w:vMerge/>
            <w:tcBorders>
              <w:top w:val="single" w:sz="12" w:space="0" w:color="auto"/>
              <w:left w:val="single" w:sz="4" w:space="0" w:color="auto"/>
              <w:bottom w:val="nil"/>
              <w:right w:val="single" w:sz="4" w:space="0" w:color="auto"/>
            </w:tcBorders>
            <w:vAlign w:val="center"/>
            <w:hideMark/>
          </w:tcPr>
          <w:p w14:paraId="4883CABB" w14:textId="77777777" w:rsidR="007B5E4B" w:rsidRPr="0050441A" w:rsidRDefault="007B5E4B" w:rsidP="00040D0C">
            <w:pPr>
              <w:widowControl w:val="0"/>
              <w:spacing w:before="0"/>
              <w:rPr>
                <w:rFonts w:ascii="Arial Narrow" w:eastAsia="Times New Roman" w:hAnsi="Arial Narrow" w:cs="Times New Roman"/>
                <w:b/>
                <w:sz w:val="20"/>
                <w:szCs w:val="20"/>
                <w:lang w:eastAsia="en-AU"/>
              </w:rPr>
            </w:pPr>
          </w:p>
        </w:tc>
        <w:tc>
          <w:tcPr>
            <w:tcW w:w="449" w:type="pct"/>
            <w:tcBorders>
              <w:top w:val="single" w:sz="4" w:space="0" w:color="auto"/>
              <w:left w:val="single" w:sz="4" w:space="0" w:color="auto"/>
              <w:bottom w:val="nil"/>
              <w:right w:val="single" w:sz="4" w:space="0" w:color="auto"/>
            </w:tcBorders>
            <w:vAlign w:val="center"/>
            <w:hideMark/>
          </w:tcPr>
          <w:p w14:paraId="03055149" w14:textId="77777777" w:rsidR="007B5E4B" w:rsidRPr="0050441A" w:rsidRDefault="007B5E4B" w:rsidP="00040D0C">
            <w:pPr>
              <w:pStyle w:val="Tabletext0"/>
              <w:widowControl w:val="0"/>
              <w:jc w:val="center"/>
              <w:rPr>
                <w:rFonts w:cs="Times New Roman"/>
                <w:b/>
              </w:rPr>
            </w:pPr>
            <w:r w:rsidRPr="0050441A">
              <w:rPr>
                <w:rFonts w:cs="Times New Roman"/>
                <w:b/>
              </w:rPr>
              <w:t>$43,313</w:t>
            </w:r>
          </w:p>
        </w:tc>
        <w:tc>
          <w:tcPr>
            <w:tcW w:w="654" w:type="pct"/>
            <w:vMerge/>
            <w:tcBorders>
              <w:top w:val="single" w:sz="12" w:space="0" w:color="auto"/>
              <w:left w:val="single" w:sz="4" w:space="0" w:color="auto"/>
              <w:bottom w:val="nil"/>
              <w:right w:val="single" w:sz="4" w:space="0" w:color="auto"/>
            </w:tcBorders>
            <w:vAlign w:val="center"/>
            <w:hideMark/>
          </w:tcPr>
          <w:p w14:paraId="7E0C1FD4" w14:textId="77777777" w:rsidR="007B5E4B" w:rsidRPr="0050441A" w:rsidRDefault="007B5E4B" w:rsidP="00040D0C">
            <w:pPr>
              <w:widowControl w:val="0"/>
              <w:spacing w:before="0"/>
              <w:rPr>
                <w:rFonts w:ascii="Arial Narrow" w:eastAsia="Times New Roman" w:hAnsi="Arial Narrow" w:cs="Times New Roman"/>
                <w:b/>
                <w:sz w:val="20"/>
                <w:szCs w:val="20"/>
                <w:lang w:eastAsia="en-AU"/>
              </w:rPr>
            </w:pPr>
          </w:p>
        </w:tc>
        <w:tc>
          <w:tcPr>
            <w:tcW w:w="688" w:type="pct"/>
            <w:tcBorders>
              <w:top w:val="single" w:sz="4" w:space="0" w:color="auto"/>
              <w:left w:val="single" w:sz="4" w:space="0" w:color="auto"/>
              <w:bottom w:val="nil"/>
              <w:right w:val="single" w:sz="4" w:space="0" w:color="auto"/>
            </w:tcBorders>
            <w:vAlign w:val="center"/>
            <w:hideMark/>
          </w:tcPr>
          <w:p w14:paraId="322DFEB5" w14:textId="77777777" w:rsidR="007B5E4B" w:rsidRPr="0050441A" w:rsidRDefault="007B5E4B" w:rsidP="00040D0C">
            <w:pPr>
              <w:pStyle w:val="Tabletext0"/>
              <w:widowControl w:val="0"/>
              <w:jc w:val="center"/>
              <w:rPr>
                <w:rFonts w:cs="Times New Roman"/>
                <w:b/>
              </w:rPr>
            </w:pPr>
            <w:r w:rsidRPr="0050441A">
              <w:rPr>
                <w:rFonts w:cs="Times New Roman"/>
                <w:b/>
              </w:rPr>
              <w:t>0.747</w:t>
            </w:r>
          </w:p>
        </w:tc>
        <w:tc>
          <w:tcPr>
            <w:tcW w:w="674" w:type="pct"/>
            <w:vMerge/>
            <w:tcBorders>
              <w:top w:val="single" w:sz="12" w:space="0" w:color="auto"/>
              <w:left w:val="single" w:sz="4" w:space="0" w:color="auto"/>
              <w:bottom w:val="nil"/>
              <w:right w:val="single" w:sz="4" w:space="0" w:color="auto"/>
            </w:tcBorders>
            <w:vAlign w:val="center"/>
            <w:hideMark/>
          </w:tcPr>
          <w:p w14:paraId="29912585" w14:textId="77777777" w:rsidR="007B5E4B" w:rsidRPr="0050441A" w:rsidRDefault="007B5E4B" w:rsidP="00040D0C">
            <w:pPr>
              <w:widowControl w:val="0"/>
              <w:spacing w:before="0"/>
              <w:rPr>
                <w:rFonts w:ascii="Arial Narrow" w:eastAsia="Times New Roman" w:hAnsi="Arial Narrow" w:cs="Times New Roman"/>
                <w:b/>
                <w:sz w:val="20"/>
                <w:szCs w:val="20"/>
                <w:lang w:eastAsia="en-AU"/>
              </w:rPr>
            </w:pPr>
          </w:p>
        </w:tc>
        <w:tc>
          <w:tcPr>
            <w:tcW w:w="514" w:type="pct"/>
            <w:vMerge/>
            <w:tcBorders>
              <w:top w:val="single" w:sz="12" w:space="0" w:color="auto"/>
              <w:left w:val="single" w:sz="4" w:space="0" w:color="auto"/>
              <w:bottom w:val="nil"/>
              <w:right w:val="single" w:sz="4" w:space="0" w:color="auto"/>
            </w:tcBorders>
            <w:vAlign w:val="center"/>
            <w:hideMark/>
          </w:tcPr>
          <w:p w14:paraId="405928E5" w14:textId="77777777" w:rsidR="007B5E4B" w:rsidRPr="0050441A" w:rsidRDefault="007B5E4B" w:rsidP="00040D0C">
            <w:pPr>
              <w:widowControl w:val="0"/>
              <w:spacing w:before="0"/>
              <w:rPr>
                <w:rFonts w:ascii="Arial Narrow" w:eastAsia="Times New Roman" w:hAnsi="Arial Narrow" w:cs="Times New Roman"/>
                <w:b/>
                <w:sz w:val="20"/>
                <w:szCs w:val="20"/>
                <w:lang w:eastAsia="en-AU"/>
              </w:rPr>
            </w:pPr>
          </w:p>
        </w:tc>
        <w:tc>
          <w:tcPr>
            <w:tcW w:w="441" w:type="pct"/>
            <w:vMerge/>
            <w:tcBorders>
              <w:left w:val="single" w:sz="4" w:space="0" w:color="auto"/>
              <w:bottom w:val="nil"/>
              <w:right w:val="single" w:sz="4" w:space="0" w:color="auto"/>
            </w:tcBorders>
            <w:vAlign w:val="center"/>
          </w:tcPr>
          <w:p w14:paraId="0C021439" w14:textId="77777777" w:rsidR="007B5E4B" w:rsidRPr="00CD5A4F" w:rsidRDefault="007B5E4B" w:rsidP="00040D0C">
            <w:pPr>
              <w:widowControl w:val="0"/>
              <w:spacing w:before="0"/>
              <w:jc w:val="center"/>
              <w:rPr>
                <w:rFonts w:ascii="Arial Narrow" w:eastAsia="Times New Roman" w:hAnsi="Arial Narrow" w:cs="Times New Roman"/>
                <w:b/>
                <w:i/>
                <w:iCs/>
                <w:sz w:val="20"/>
                <w:szCs w:val="20"/>
                <w:lang w:eastAsia="en-AU"/>
              </w:rPr>
            </w:pPr>
          </w:p>
        </w:tc>
      </w:tr>
      <w:tr w:rsidR="007B5E4B" w:rsidRPr="00AE6700" w14:paraId="764858C7" w14:textId="46CE8781" w:rsidTr="00040D0C">
        <w:trPr>
          <w:trHeight w:val="386"/>
        </w:trPr>
        <w:tc>
          <w:tcPr>
            <w:tcW w:w="811" w:type="pct"/>
            <w:tcBorders>
              <w:top w:val="single" w:sz="12" w:space="0" w:color="auto"/>
              <w:left w:val="single" w:sz="4" w:space="0" w:color="auto"/>
              <w:bottom w:val="single" w:sz="4" w:space="0" w:color="auto"/>
              <w:right w:val="single" w:sz="4" w:space="0" w:color="auto"/>
            </w:tcBorders>
            <w:hideMark/>
          </w:tcPr>
          <w:p w14:paraId="2E3D3302" w14:textId="714FBCC6" w:rsidR="007B5E4B" w:rsidRPr="00EC0D2E" w:rsidRDefault="007B5E4B" w:rsidP="00040D0C">
            <w:pPr>
              <w:pStyle w:val="Tabletext0"/>
              <w:widowControl w:val="0"/>
              <w:rPr>
                <w:rFonts w:cs="Times New Roman"/>
                <w:i/>
                <w:iCs/>
              </w:rPr>
            </w:pPr>
            <w:r w:rsidRPr="00EC0D2E">
              <w:rPr>
                <w:rFonts w:cs="Times New Roman"/>
                <w:i/>
                <w:iCs/>
                <w:vertAlign w:val="superscript"/>
              </w:rPr>
              <w:t>177</w:t>
            </w:r>
            <w:r w:rsidRPr="00EC0D2E">
              <w:rPr>
                <w:rFonts w:cs="Times New Roman"/>
                <w:i/>
                <w:iCs/>
              </w:rPr>
              <w:t>Lu</w:t>
            </w:r>
            <w:r w:rsidR="00941825">
              <w:rPr>
                <w:rFonts w:cs="Times New Roman"/>
                <w:i/>
                <w:iCs/>
              </w:rPr>
              <w:t> </w:t>
            </w:r>
            <w:r w:rsidRPr="00EC0D2E">
              <w:rPr>
                <w:rFonts w:cs="Times New Roman"/>
                <w:i/>
                <w:iCs/>
              </w:rPr>
              <w:t>PSMA</w:t>
            </w:r>
            <w:r w:rsidR="00941825">
              <w:rPr>
                <w:rFonts w:cs="Times New Roman"/>
                <w:i/>
                <w:iCs/>
              </w:rPr>
              <w:t> </w:t>
            </w:r>
            <w:proofErr w:type="spellStart"/>
            <w:r w:rsidR="00941825">
              <w:rPr>
                <w:rFonts w:cs="Times New Roman"/>
                <w:i/>
                <w:iCs/>
              </w:rPr>
              <w:t>i&amp;t</w:t>
            </w:r>
            <w:proofErr w:type="spellEnd"/>
          </w:p>
        </w:tc>
        <w:tc>
          <w:tcPr>
            <w:tcW w:w="769" w:type="pct"/>
            <w:vMerge w:val="restart"/>
            <w:tcBorders>
              <w:top w:val="single" w:sz="12" w:space="0" w:color="auto"/>
              <w:left w:val="single" w:sz="4" w:space="0" w:color="auto"/>
              <w:bottom w:val="single" w:sz="12" w:space="0" w:color="auto"/>
              <w:right w:val="single" w:sz="4" w:space="0" w:color="auto"/>
            </w:tcBorders>
            <w:hideMark/>
          </w:tcPr>
          <w:p w14:paraId="7CDA9D61" w14:textId="77777777" w:rsidR="007B5E4B" w:rsidRPr="00EC0D2E" w:rsidRDefault="007B5E4B" w:rsidP="00040D0C">
            <w:pPr>
              <w:pStyle w:val="Tabletext0"/>
              <w:widowControl w:val="0"/>
              <w:jc w:val="center"/>
              <w:rPr>
                <w:rFonts w:cs="Times New Roman"/>
                <w:i/>
                <w:iCs/>
              </w:rPr>
            </w:pPr>
            <w:r w:rsidRPr="00EC0D2E">
              <w:rPr>
                <w:rFonts w:cs="Times New Roman"/>
                <w:i/>
                <w:iCs/>
              </w:rPr>
              <w:t>Time horizon 5 years</w:t>
            </w:r>
          </w:p>
        </w:tc>
        <w:tc>
          <w:tcPr>
            <w:tcW w:w="449" w:type="pct"/>
            <w:tcBorders>
              <w:top w:val="single" w:sz="12" w:space="0" w:color="auto"/>
              <w:left w:val="single" w:sz="4" w:space="0" w:color="auto"/>
              <w:bottom w:val="single" w:sz="4" w:space="0" w:color="auto"/>
              <w:right w:val="single" w:sz="4" w:space="0" w:color="auto"/>
            </w:tcBorders>
            <w:vAlign w:val="center"/>
            <w:hideMark/>
          </w:tcPr>
          <w:p w14:paraId="69D48148" w14:textId="77777777" w:rsidR="007B5E4B" w:rsidRPr="00EC0D2E" w:rsidRDefault="007B5E4B" w:rsidP="00040D0C">
            <w:pPr>
              <w:pStyle w:val="Tabletext0"/>
              <w:widowControl w:val="0"/>
              <w:jc w:val="center"/>
              <w:rPr>
                <w:rFonts w:cs="Times New Roman"/>
                <w:i/>
                <w:iCs/>
              </w:rPr>
            </w:pPr>
            <w:r w:rsidRPr="00EC0D2E">
              <w:rPr>
                <w:rFonts w:cs="Times New Roman"/>
                <w:i/>
                <w:iCs/>
              </w:rPr>
              <w:t>$67,939</w:t>
            </w:r>
          </w:p>
        </w:tc>
        <w:tc>
          <w:tcPr>
            <w:tcW w:w="654" w:type="pct"/>
            <w:vMerge w:val="restart"/>
            <w:tcBorders>
              <w:top w:val="single" w:sz="12" w:space="0" w:color="auto"/>
              <w:left w:val="single" w:sz="4" w:space="0" w:color="auto"/>
              <w:bottom w:val="single" w:sz="12" w:space="0" w:color="auto"/>
              <w:right w:val="single" w:sz="4" w:space="0" w:color="auto"/>
            </w:tcBorders>
            <w:vAlign w:val="center"/>
            <w:hideMark/>
          </w:tcPr>
          <w:p w14:paraId="1870887E" w14:textId="77777777" w:rsidR="007B5E4B" w:rsidRPr="00EC0D2E" w:rsidRDefault="007B5E4B" w:rsidP="00040D0C">
            <w:pPr>
              <w:pStyle w:val="Tabletext0"/>
              <w:widowControl w:val="0"/>
              <w:jc w:val="center"/>
              <w:rPr>
                <w:rFonts w:cs="Times New Roman"/>
                <w:i/>
                <w:iCs/>
              </w:rPr>
            </w:pPr>
            <w:r w:rsidRPr="00EC0D2E">
              <w:rPr>
                <w:rFonts w:cs="Times New Roman"/>
                <w:i/>
                <w:iCs/>
              </w:rPr>
              <w:t>$25,020</w:t>
            </w:r>
          </w:p>
        </w:tc>
        <w:tc>
          <w:tcPr>
            <w:tcW w:w="688" w:type="pct"/>
            <w:tcBorders>
              <w:top w:val="single" w:sz="12" w:space="0" w:color="auto"/>
              <w:left w:val="single" w:sz="4" w:space="0" w:color="auto"/>
              <w:bottom w:val="single" w:sz="4" w:space="0" w:color="auto"/>
              <w:right w:val="single" w:sz="4" w:space="0" w:color="auto"/>
            </w:tcBorders>
            <w:vAlign w:val="center"/>
            <w:hideMark/>
          </w:tcPr>
          <w:p w14:paraId="3030FB61" w14:textId="77777777" w:rsidR="007B5E4B" w:rsidRPr="00EC0D2E" w:rsidRDefault="007B5E4B" w:rsidP="00040D0C">
            <w:pPr>
              <w:pStyle w:val="Tabletext0"/>
              <w:widowControl w:val="0"/>
              <w:jc w:val="center"/>
              <w:rPr>
                <w:rFonts w:cs="Times New Roman"/>
                <w:i/>
                <w:iCs/>
              </w:rPr>
            </w:pPr>
            <w:r w:rsidRPr="00EC0D2E">
              <w:rPr>
                <w:rFonts w:cs="Times New Roman"/>
                <w:i/>
                <w:iCs/>
              </w:rPr>
              <w:t>1.050</w:t>
            </w:r>
          </w:p>
        </w:tc>
        <w:tc>
          <w:tcPr>
            <w:tcW w:w="674" w:type="pct"/>
            <w:vMerge w:val="restart"/>
            <w:tcBorders>
              <w:top w:val="single" w:sz="12" w:space="0" w:color="auto"/>
              <w:left w:val="single" w:sz="4" w:space="0" w:color="auto"/>
              <w:bottom w:val="single" w:sz="12" w:space="0" w:color="auto"/>
              <w:right w:val="single" w:sz="4" w:space="0" w:color="auto"/>
            </w:tcBorders>
            <w:vAlign w:val="center"/>
            <w:hideMark/>
          </w:tcPr>
          <w:p w14:paraId="62287527" w14:textId="77777777" w:rsidR="007B5E4B" w:rsidRPr="00EC0D2E" w:rsidRDefault="007B5E4B" w:rsidP="00040D0C">
            <w:pPr>
              <w:pStyle w:val="Tabletext0"/>
              <w:widowControl w:val="0"/>
              <w:jc w:val="center"/>
              <w:rPr>
                <w:rFonts w:cs="Times New Roman"/>
                <w:i/>
                <w:iCs/>
              </w:rPr>
            </w:pPr>
            <w:r w:rsidRPr="00EC0D2E">
              <w:rPr>
                <w:rFonts w:cs="Times New Roman"/>
                <w:i/>
                <w:iCs/>
              </w:rPr>
              <w:t>0.315</w:t>
            </w:r>
          </w:p>
        </w:tc>
        <w:tc>
          <w:tcPr>
            <w:tcW w:w="514" w:type="pct"/>
            <w:vMerge w:val="restart"/>
            <w:tcBorders>
              <w:top w:val="single" w:sz="12" w:space="0" w:color="auto"/>
              <w:left w:val="single" w:sz="4" w:space="0" w:color="auto"/>
              <w:bottom w:val="single" w:sz="12" w:space="0" w:color="auto"/>
              <w:right w:val="single" w:sz="4" w:space="0" w:color="auto"/>
            </w:tcBorders>
            <w:vAlign w:val="center"/>
            <w:hideMark/>
          </w:tcPr>
          <w:p w14:paraId="45234CDB" w14:textId="77777777" w:rsidR="007B5E4B" w:rsidRPr="00EC0D2E" w:rsidRDefault="007B5E4B" w:rsidP="00040D0C">
            <w:pPr>
              <w:pStyle w:val="Tabletext0"/>
              <w:widowControl w:val="0"/>
              <w:jc w:val="center"/>
              <w:rPr>
                <w:rFonts w:cs="Times New Roman"/>
                <w:i/>
                <w:iCs/>
              </w:rPr>
            </w:pPr>
            <w:r w:rsidRPr="00EC0D2E">
              <w:rPr>
                <w:rFonts w:cs="Times New Roman"/>
                <w:i/>
                <w:iCs/>
              </w:rPr>
              <w:t>$79,496</w:t>
            </w:r>
          </w:p>
        </w:tc>
        <w:tc>
          <w:tcPr>
            <w:tcW w:w="441" w:type="pct"/>
            <w:vMerge w:val="restart"/>
            <w:tcBorders>
              <w:top w:val="single" w:sz="12" w:space="0" w:color="auto"/>
              <w:left w:val="single" w:sz="4" w:space="0" w:color="auto"/>
              <w:right w:val="single" w:sz="4" w:space="0" w:color="auto"/>
            </w:tcBorders>
            <w:vAlign w:val="center"/>
          </w:tcPr>
          <w:p w14:paraId="7C312D90" w14:textId="50240D91" w:rsidR="007B5E4B" w:rsidRPr="007B5E4B" w:rsidRDefault="007B5E4B" w:rsidP="00040D0C">
            <w:pPr>
              <w:pStyle w:val="Tabletext0"/>
              <w:widowControl w:val="0"/>
              <w:jc w:val="center"/>
              <w:rPr>
                <w:rFonts w:cs="Times New Roman"/>
                <w:i/>
                <w:iCs/>
              </w:rPr>
            </w:pPr>
            <w:r w:rsidRPr="00CD5A4F">
              <w:rPr>
                <w:i/>
                <w:iCs/>
              </w:rPr>
              <w:t>+8.0</w:t>
            </w:r>
          </w:p>
        </w:tc>
      </w:tr>
      <w:tr w:rsidR="007B5E4B" w:rsidRPr="00AE6700" w14:paraId="048D940F" w14:textId="05ADD504" w:rsidTr="00040D0C">
        <w:trPr>
          <w:trHeight w:val="386"/>
        </w:trPr>
        <w:tc>
          <w:tcPr>
            <w:tcW w:w="811" w:type="pct"/>
            <w:tcBorders>
              <w:top w:val="single" w:sz="4" w:space="0" w:color="auto"/>
              <w:left w:val="single" w:sz="4" w:space="0" w:color="auto"/>
              <w:bottom w:val="single" w:sz="12" w:space="0" w:color="auto"/>
              <w:right w:val="single" w:sz="4" w:space="0" w:color="auto"/>
            </w:tcBorders>
            <w:hideMark/>
          </w:tcPr>
          <w:p w14:paraId="5082C7B9" w14:textId="1B09EF71" w:rsidR="007B5E4B" w:rsidRPr="00EC0D2E" w:rsidRDefault="007B5E4B" w:rsidP="00040D0C">
            <w:pPr>
              <w:pStyle w:val="Tabletext0"/>
              <w:widowControl w:val="0"/>
              <w:rPr>
                <w:rFonts w:cs="Times New Roman"/>
                <w:i/>
                <w:iCs/>
              </w:rPr>
            </w:pPr>
            <w:r w:rsidRPr="00EC0D2E">
              <w:rPr>
                <w:rFonts w:cs="Times New Roman"/>
                <w:i/>
                <w:iCs/>
              </w:rPr>
              <w:t>Cabazitaxel/BS</w:t>
            </w:r>
            <w:r w:rsidR="006843D6">
              <w:rPr>
                <w:rFonts w:cs="Times New Roman"/>
                <w:i/>
                <w:iCs/>
              </w:rPr>
              <w:t>c</w:t>
            </w:r>
          </w:p>
        </w:tc>
        <w:tc>
          <w:tcPr>
            <w:tcW w:w="769" w:type="pct"/>
            <w:vMerge/>
            <w:tcBorders>
              <w:top w:val="single" w:sz="12" w:space="0" w:color="auto"/>
              <w:left w:val="single" w:sz="4" w:space="0" w:color="auto"/>
              <w:bottom w:val="single" w:sz="12" w:space="0" w:color="auto"/>
              <w:right w:val="single" w:sz="4" w:space="0" w:color="auto"/>
            </w:tcBorders>
            <w:vAlign w:val="center"/>
            <w:hideMark/>
          </w:tcPr>
          <w:p w14:paraId="4434E0BE"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449" w:type="pct"/>
            <w:tcBorders>
              <w:top w:val="single" w:sz="4" w:space="0" w:color="auto"/>
              <w:left w:val="single" w:sz="4" w:space="0" w:color="auto"/>
              <w:bottom w:val="single" w:sz="12" w:space="0" w:color="auto"/>
              <w:right w:val="single" w:sz="4" w:space="0" w:color="auto"/>
            </w:tcBorders>
            <w:vAlign w:val="center"/>
            <w:hideMark/>
          </w:tcPr>
          <w:p w14:paraId="3B9EBF60" w14:textId="77777777" w:rsidR="007B5E4B" w:rsidRPr="00EC0D2E" w:rsidRDefault="007B5E4B" w:rsidP="00040D0C">
            <w:pPr>
              <w:pStyle w:val="Tabletext0"/>
              <w:widowControl w:val="0"/>
              <w:jc w:val="center"/>
              <w:rPr>
                <w:rFonts w:cs="Times New Roman"/>
                <w:i/>
                <w:iCs/>
              </w:rPr>
            </w:pPr>
            <w:r w:rsidRPr="00EC0D2E">
              <w:rPr>
                <w:rFonts w:cs="Times New Roman"/>
                <w:i/>
                <w:iCs/>
              </w:rPr>
              <w:t>$42,919</w:t>
            </w:r>
          </w:p>
        </w:tc>
        <w:tc>
          <w:tcPr>
            <w:tcW w:w="654" w:type="pct"/>
            <w:vMerge/>
            <w:tcBorders>
              <w:top w:val="single" w:sz="12" w:space="0" w:color="auto"/>
              <w:left w:val="single" w:sz="4" w:space="0" w:color="auto"/>
              <w:bottom w:val="single" w:sz="12" w:space="0" w:color="auto"/>
              <w:right w:val="single" w:sz="4" w:space="0" w:color="auto"/>
            </w:tcBorders>
            <w:vAlign w:val="center"/>
            <w:hideMark/>
          </w:tcPr>
          <w:p w14:paraId="5420A45C"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688" w:type="pct"/>
            <w:tcBorders>
              <w:top w:val="single" w:sz="4" w:space="0" w:color="auto"/>
              <w:left w:val="single" w:sz="4" w:space="0" w:color="auto"/>
              <w:bottom w:val="single" w:sz="12" w:space="0" w:color="auto"/>
              <w:right w:val="single" w:sz="4" w:space="0" w:color="auto"/>
            </w:tcBorders>
            <w:vAlign w:val="center"/>
            <w:hideMark/>
          </w:tcPr>
          <w:p w14:paraId="034E3923" w14:textId="77777777" w:rsidR="007B5E4B" w:rsidRPr="00EC0D2E" w:rsidRDefault="007B5E4B" w:rsidP="00040D0C">
            <w:pPr>
              <w:pStyle w:val="Tabletext0"/>
              <w:widowControl w:val="0"/>
              <w:jc w:val="center"/>
              <w:rPr>
                <w:rFonts w:cs="Times New Roman"/>
                <w:i/>
                <w:iCs/>
              </w:rPr>
            </w:pPr>
            <w:r w:rsidRPr="00EC0D2E">
              <w:rPr>
                <w:rFonts w:cs="Times New Roman"/>
                <w:i/>
                <w:iCs/>
              </w:rPr>
              <w:t>0.735</w:t>
            </w:r>
          </w:p>
        </w:tc>
        <w:tc>
          <w:tcPr>
            <w:tcW w:w="674" w:type="pct"/>
            <w:vMerge/>
            <w:tcBorders>
              <w:top w:val="single" w:sz="12" w:space="0" w:color="auto"/>
              <w:left w:val="single" w:sz="4" w:space="0" w:color="auto"/>
              <w:bottom w:val="single" w:sz="12" w:space="0" w:color="auto"/>
              <w:right w:val="single" w:sz="4" w:space="0" w:color="auto"/>
            </w:tcBorders>
            <w:vAlign w:val="center"/>
            <w:hideMark/>
          </w:tcPr>
          <w:p w14:paraId="6AF2B3C7"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514" w:type="pct"/>
            <w:vMerge/>
            <w:tcBorders>
              <w:top w:val="single" w:sz="12" w:space="0" w:color="auto"/>
              <w:left w:val="single" w:sz="4" w:space="0" w:color="auto"/>
              <w:bottom w:val="single" w:sz="12" w:space="0" w:color="auto"/>
              <w:right w:val="single" w:sz="4" w:space="0" w:color="auto"/>
            </w:tcBorders>
            <w:vAlign w:val="center"/>
            <w:hideMark/>
          </w:tcPr>
          <w:p w14:paraId="7BE7BEBF"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441" w:type="pct"/>
            <w:vMerge/>
            <w:tcBorders>
              <w:left w:val="single" w:sz="4" w:space="0" w:color="auto"/>
              <w:bottom w:val="single" w:sz="12" w:space="0" w:color="auto"/>
              <w:right w:val="single" w:sz="4" w:space="0" w:color="auto"/>
            </w:tcBorders>
            <w:vAlign w:val="center"/>
          </w:tcPr>
          <w:p w14:paraId="78D1BCE9" w14:textId="77777777" w:rsidR="007B5E4B" w:rsidRPr="007B5E4B" w:rsidRDefault="007B5E4B" w:rsidP="00040D0C">
            <w:pPr>
              <w:widowControl w:val="0"/>
              <w:spacing w:before="0"/>
              <w:jc w:val="center"/>
              <w:rPr>
                <w:rFonts w:ascii="Arial Narrow" w:eastAsia="Times New Roman" w:hAnsi="Arial Narrow" w:cs="Times New Roman"/>
                <w:i/>
                <w:iCs/>
                <w:sz w:val="20"/>
                <w:szCs w:val="20"/>
                <w:lang w:eastAsia="en-AU"/>
              </w:rPr>
            </w:pPr>
          </w:p>
        </w:tc>
      </w:tr>
      <w:tr w:rsidR="007B5E4B" w:rsidRPr="00AE6700" w14:paraId="1DC25A83" w14:textId="21493B45" w:rsidTr="00040D0C">
        <w:trPr>
          <w:trHeight w:val="386"/>
        </w:trPr>
        <w:tc>
          <w:tcPr>
            <w:tcW w:w="811" w:type="pct"/>
            <w:tcBorders>
              <w:top w:val="single" w:sz="12" w:space="0" w:color="auto"/>
              <w:left w:val="single" w:sz="4" w:space="0" w:color="auto"/>
              <w:bottom w:val="single" w:sz="4" w:space="0" w:color="auto"/>
              <w:right w:val="single" w:sz="4" w:space="0" w:color="auto"/>
            </w:tcBorders>
            <w:hideMark/>
          </w:tcPr>
          <w:p w14:paraId="4675C1DD" w14:textId="40525E20" w:rsidR="007B5E4B" w:rsidRPr="00EC0D2E" w:rsidRDefault="00941825" w:rsidP="00040D0C">
            <w:pPr>
              <w:pStyle w:val="Tabletext0"/>
              <w:widowControl w:val="0"/>
              <w:rPr>
                <w:rFonts w:cs="Times New Roman"/>
                <w:i/>
                <w:iCs/>
              </w:rPr>
            </w:pPr>
            <w:r w:rsidRPr="00EC0D2E">
              <w:rPr>
                <w:rFonts w:cs="Times New Roman"/>
                <w:i/>
                <w:iCs/>
                <w:vertAlign w:val="superscript"/>
              </w:rPr>
              <w:t>177</w:t>
            </w:r>
            <w:r w:rsidRPr="00EC0D2E">
              <w:rPr>
                <w:rFonts w:cs="Times New Roman"/>
                <w:i/>
                <w:iCs/>
              </w:rPr>
              <w:t>Lu</w:t>
            </w:r>
            <w:r>
              <w:rPr>
                <w:rFonts w:cs="Times New Roman"/>
                <w:i/>
                <w:iCs/>
              </w:rPr>
              <w:t> </w:t>
            </w:r>
            <w:r w:rsidRPr="00EC0D2E">
              <w:rPr>
                <w:rFonts w:cs="Times New Roman"/>
                <w:i/>
                <w:iCs/>
              </w:rPr>
              <w:t>PSMA</w:t>
            </w:r>
            <w:r>
              <w:rPr>
                <w:rFonts w:cs="Times New Roman"/>
                <w:i/>
                <w:iCs/>
              </w:rPr>
              <w:t> </w:t>
            </w:r>
            <w:proofErr w:type="spellStart"/>
            <w:r>
              <w:rPr>
                <w:rFonts w:cs="Times New Roman"/>
                <w:i/>
                <w:iCs/>
              </w:rPr>
              <w:t>i&amp;t</w:t>
            </w:r>
            <w:proofErr w:type="spellEnd"/>
          </w:p>
        </w:tc>
        <w:tc>
          <w:tcPr>
            <w:tcW w:w="769" w:type="pct"/>
            <w:vMerge w:val="restart"/>
            <w:tcBorders>
              <w:top w:val="single" w:sz="12" w:space="0" w:color="auto"/>
              <w:left w:val="single" w:sz="4" w:space="0" w:color="auto"/>
              <w:bottom w:val="single" w:sz="12" w:space="0" w:color="auto"/>
              <w:right w:val="single" w:sz="4" w:space="0" w:color="auto"/>
            </w:tcBorders>
            <w:hideMark/>
          </w:tcPr>
          <w:p w14:paraId="2E9B20E4" w14:textId="77777777" w:rsidR="007B5E4B" w:rsidRPr="00EC0D2E" w:rsidRDefault="007B5E4B" w:rsidP="00040D0C">
            <w:pPr>
              <w:pStyle w:val="Tabletext0"/>
              <w:widowControl w:val="0"/>
              <w:jc w:val="center"/>
              <w:rPr>
                <w:rFonts w:cs="Times New Roman"/>
                <w:i/>
                <w:iCs/>
              </w:rPr>
            </w:pPr>
            <w:proofErr w:type="spellStart"/>
            <w:r w:rsidRPr="00EC0D2E">
              <w:rPr>
                <w:rFonts w:cs="Times New Roman"/>
                <w:i/>
                <w:iCs/>
              </w:rPr>
              <w:t>ToT</w:t>
            </w:r>
            <w:proofErr w:type="spellEnd"/>
            <w:r w:rsidRPr="00EC0D2E">
              <w:rPr>
                <w:rFonts w:cs="Times New Roman"/>
                <w:i/>
                <w:iCs/>
              </w:rPr>
              <w:t xml:space="preserve"> reversed to survival data from VISION*</w:t>
            </w:r>
          </w:p>
        </w:tc>
        <w:tc>
          <w:tcPr>
            <w:tcW w:w="449" w:type="pct"/>
            <w:tcBorders>
              <w:top w:val="single" w:sz="12" w:space="0" w:color="auto"/>
              <w:left w:val="single" w:sz="4" w:space="0" w:color="auto"/>
              <w:bottom w:val="single" w:sz="4" w:space="0" w:color="auto"/>
              <w:right w:val="single" w:sz="4" w:space="0" w:color="auto"/>
            </w:tcBorders>
            <w:vAlign w:val="center"/>
            <w:hideMark/>
          </w:tcPr>
          <w:p w14:paraId="104989FF" w14:textId="77777777" w:rsidR="007B5E4B" w:rsidRPr="00EC0D2E" w:rsidRDefault="007B5E4B" w:rsidP="00040D0C">
            <w:pPr>
              <w:pStyle w:val="Tabletext0"/>
              <w:widowControl w:val="0"/>
              <w:jc w:val="center"/>
              <w:rPr>
                <w:rFonts w:cs="Times New Roman"/>
                <w:i/>
                <w:iCs/>
              </w:rPr>
            </w:pPr>
            <w:r w:rsidRPr="00EC0D2E">
              <w:rPr>
                <w:rFonts w:cs="Times New Roman"/>
                <w:i/>
                <w:iCs/>
              </w:rPr>
              <w:t>$76,440</w:t>
            </w:r>
          </w:p>
        </w:tc>
        <w:tc>
          <w:tcPr>
            <w:tcW w:w="654" w:type="pct"/>
            <w:vMerge w:val="restart"/>
            <w:tcBorders>
              <w:top w:val="single" w:sz="12" w:space="0" w:color="auto"/>
              <w:left w:val="single" w:sz="4" w:space="0" w:color="auto"/>
              <w:bottom w:val="single" w:sz="12" w:space="0" w:color="auto"/>
              <w:right w:val="single" w:sz="4" w:space="0" w:color="auto"/>
            </w:tcBorders>
            <w:vAlign w:val="center"/>
            <w:hideMark/>
          </w:tcPr>
          <w:p w14:paraId="703FB3D5" w14:textId="77777777" w:rsidR="007B5E4B" w:rsidRPr="00EC0D2E" w:rsidRDefault="007B5E4B" w:rsidP="00040D0C">
            <w:pPr>
              <w:pStyle w:val="Tabletext0"/>
              <w:widowControl w:val="0"/>
              <w:jc w:val="center"/>
              <w:rPr>
                <w:rFonts w:cs="Times New Roman"/>
                <w:i/>
                <w:iCs/>
              </w:rPr>
            </w:pPr>
            <w:r w:rsidRPr="00EC0D2E">
              <w:rPr>
                <w:rFonts w:cs="Times New Roman"/>
                <w:i/>
                <w:iCs/>
              </w:rPr>
              <w:t>$33,128</w:t>
            </w:r>
          </w:p>
        </w:tc>
        <w:tc>
          <w:tcPr>
            <w:tcW w:w="688" w:type="pct"/>
            <w:tcBorders>
              <w:top w:val="single" w:sz="12" w:space="0" w:color="auto"/>
              <w:left w:val="single" w:sz="4" w:space="0" w:color="auto"/>
              <w:bottom w:val="single" w:sz="4" w:space="0" w:color="auto"/>
              <w:right w:val="single" w:sz="4" w:space="0" w:color="auto"/>
            </w:tcBorders>
            <w:vAlign w:val="center"/>
            <w:hideMark/>
          </w:tcPr>
          <w:p w14:paraId="56E2D50F" w14:textId="77777777" w:rsidR="007B5E4B" w:rsidRPr="00EC0D2E" w:rsidRDefault="007B5E4B" w:rsidP="00040D0C">
            <w:pPr>
              <w:pStyle w:val="Tabletext0"/>
              <w:widowControl w:val="0"/>
              <w:jc w:val="center"/>
              <w:rPr>
                <w:rFonts w:cs="Times New Roman"/>
                <w:i/>
                <w:iCs/>
              </w:rPr>
            </w:pPr>
            <w:r w:rsidRPr="00EC0D2E">
              <w:rPr>
                <w:rFonts w:cs="Times New Roman"/>
                <w:i/>
                <w:iCs/>
              </w:rPr>
              <w:t>1.096</w:t>
            </w:r>
          </w:p>
        </w:tc>
        <w:tc>
          <w:tcPr>
            <w:tcW w:w="674" w:type="pct"/>
            <w:vMerge w:val="restart"/>
            <w:tcBorders>
              <w:top w:val="single" w:sz="12" w:space="0" w:color="auto"/>
              <w:left w:val="single" w:sz="4" w:space="0" w:color="auto"/>
              <w:bottom w:val="single" w:sz="12" w:space="0" w:color="auto"/>
              <w:right w:val="single" w:sz="4" w:space="0" w:color="auto"/>
            </w:tcBorders>
            <w:vAlign w:val="center"/>
            <w:hideMark/>
          </w:tcPr>
          <w:p w14:paraId="571482D4" w14:textId="77777777" w:rsidR="007B5E4B" w:rsidRPr="00EC0D2E" w:rsidRDefault="007B5E4B" w:rsidP="00040D0C">
            <w:pPr>
              <w:pStyle w:val="Tabletext0"/>
              <w:widowControl w:val="0"/>
              <w:jc w:val="center"/>
              <w:rPr>
                <w:rFonts w:cs="Times New Roman"/>
                <w:i/>
                <w:iCs/>
              </w:rPr>
            </w:pPr>
            <w:r w:rsidRPr="00EC0D2E">
              <w:rPr>
                <w:rFonts w:cs="Times New Roman"/>
                <w:i/>
                <w:iCs/>
              </w:rPr>
              <w:t>0.349</w:t>
            </w:r>
          </w:p>
        </w:tc>
        <w:tc>
          <w:tcPr>
            <w:tcW w:w="514" w:type="pct"/>
            <w:vMerge w:val="restart"/>
            <w:tcBorders>
              <w:top w:val="single" w:sz="12" w:space="0" w:color="auto"/>
              <w:left w:val="single" w:sz="4" w:space="0" w:color="auto"/>
              <w:bottom w:val="single" w:sz="12" w:space="0" w:color="auto"/>
              <w:right w:val="single" w:sz="4" w:space="0" w:color="auto"/>
            </w:tcBorders>
            <w:vAlign w:val="center"/>
            <w:hideMark/>
          </w:tcPr>
          <w:p w14:paraId="48EBEBD0" w14:textId="77777777" w:rsidR="007B5E4B" w:rsidRPr="00EC0D2E" w:rsidRDefault="007B5E4B" w:rsidP="00040D0C">
            <w:pPr>
              <w:pStyle w:val="Tabletext0"/>
              <w:widowControl w:val="0"/>
              <w:jc w:val="center"/>
              <w:rPr>
                <w:rFonts w:cs="Times New Roman"/>
                <w:i/>
                <w:iCs/>
              </w:rPr>
            </w:pPr>
            <w:r w:rsidRPr="00EC0D2E">
              <w:rPr>
                <w:rFonts w:cs="Times New Roman"/>
                <w:i/>
                <w:iCs/>
              </w:rPr>
              <w:t>$94,936</w:t>
            </w:r>
          </w:p>
        </w:tc>
        <w:tc>
          <w:tcPr>
            <w:tcW w:w="441" w:type="pct"/>
            <w:vMerge w:val="restart"/>
            <w:tcBorders>
              <w:top w:val="single" w:sz="12" w:space="0" w:color="auto"/>
              <w:left w:val="single" w:sz="4" w:space="0" w:color="auto"/>
              <w:right w:val="single" w:sz="4" w:space="0" w:color="auto"/>
            </w:tcBorders>
            <w:vAlign w:val="center"/>
          </w:tcPr>
          <w:p w14:paraId="11738D07" w14:textId="7166A8A3" w:rsidR="007B5E4B" w:rsidRPr="007B5E4B" w:rsidRDefault="007B5E4B" w:rsidP="00040D0C">
            <w:pPr>
              <w:pStyle w:val="Tabletext0"/>
              <w:widowControl w:val="0"/>
              <w:jc w:val="center"/>
              <w:rPr>
                <w:rFonts w:cs="Times New Roman"/>
                <w:i/>
                <w:iCs/>
              </w:rPr>
            </w:pPr>
            <w:r w:rsidRPr="00CD5A4F">
              <w:rPr>
                <w:i/>
                <w:iCs/>
              </w:rPr>
              <w:t>+29.0</w:t>
            </w:r>
          </w:p>
        </w:tc>
      </w:tr>
      <w:tr w:rsidR="007B5E4B" w:rsidRPr="00AE6700" w14:paraId="7AEB53E3" w14:textId="18F5F98C" w:rsidTr="00040D0C">
        <w:trPr>
          <w:trHeight w:val="385"/>
        </w:trPr>
        <w:tc>
          <w:tcPr>
            <w:tcW w:w="811" w:type="pct"/>
            <w:tcBorders>
              <w:top w:val="single" w:sz="4" w:space="0" w:color="auto"/>
              <w:left w:val="single" w:sz="4" w:space="0" w:color="auto"/>
              <w:bottom w:val="single" w:sz="12" w:space="0" w:color="auto"/>
              <w:right w:val="single" w:sz="4" w:space="0" w:color="auto"/>
            </w:tcBorders>
            <w:hideMark/>
          </w:tcPr>
          <w:p w14:paraId="44172629" w14:textId="32F1B6A3" w:rsidR="007B5E4B" w:rsidRPr="00EC0D2E" w:rsidRDefault="007B5E4B" w:rsidP="00040D0C">
            <w:pPr>
              <w:pStyle w:val="Tabletext0"/>
              <w:widowControl w:val="0"/>
              <w:rPr>
                <w:rFonts w:cs="Times New Roman"/>
                <w:i/>
                <w:iCs/>
              </w:rPr>
            </w:pPr>
            <w:r w:rsidRPr="00EC0D2E">
              <w:rPr>
                <w:rFonts w:cs="Times New Roman"/>
                <w:i/>
                <w:iCs/>
              </w:rPr>
              <w:t>Cabazitaxel/BS</w:t>
            </w:r>
            <w:r w:rsidR="006843D6">
              <w:rPr>
                <w:rFonts w:cs="Times New Roman"/>
                <w:i/>
                <w:iCs/>
              </w:rPr>
              <w:t>c</w:t>
            </w:r>
          </w:p>
        </w:tc>
        <w:tc>
          <w:tcPr>
            <w:tcW w:w="769" w:type="pct"/>
            <w:vMerge/>
            <w:tcBorders>
              <w:top w:val="single" w:sz="12" w:space="0" w:color="auto"/>
              <w:left w:val="single" w:sz="4" w:space="0" w:color="auto"/>
              <w:bottom w:val="single" w:sz="12" w:space="0" w:color="auto"/>
              <w:right w:val="single" w:sz="4" w:space="0" w:color="auto"/>
            </w:tcBorders>
            <w:vAlign w:val="center"/>
            <w:hideMark/>
          </w:tcPr>
          <w:p w14:paraId="471FD32D"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449" w:type="pct"/>
            <w:tcBorders>
              <w:top w:val="single" w:sz="4" w:space="0" w:color="auto"/>
              <w:left w:val="single" w:sz="4" w:space="0" w:color="auto"/>
              <w:bottom w:val="single" w:sz="12" w:space="0" w:color="auto"/>
              <w:right w:val="single" w:sz="4" w:space="0" w:color="auto"/>
            </w:tcBorders>
            <w:vAlign w:val="center"/>
            <w:hideMark/>
          </w:tcPr>
          <w:p w14:paraId="2AF54ED9" w14:textId="77777777" w:rsidR="007B5E4B" w:rsidRPr="00EC0D2E" w:rsidRDefault="007B5E4B" w:rsidP="00040D0C">
            <w:pPr>
              <w:pStyle w:val="Tabletext0"/>
              <w:widowControl w:val="0"/>
              <w:jc w:val="center"/>
              <w:rPr>
                <w:rFonts w:cs="Times New Roman"/>
                <w:i/>
                <w:iCs/>
              </w:rPr>
            </w:pPr>
            <w:r w:rsidRPr="00EC0D2E">
              <w:rPr>
                <w:rFonts w:cs="Times New Roman"/>
                <w:i/>
                <w:iCs/>
              </w:rPr>
              <w:t>$43,313</w:t>
            </w:r>
          </w:p>
        </w:tc>
        <w:tc>
          <w:tcPr>
            <w:tcW w:w="654" w:type="pct"/>
            <w:vMerge/>
            <w:tcBorders>
              <w:top w:val="single" w:sz="12" w:space="0" w:color="auto"/>
              <w:left w:val="single" w:sz="4" w:space="0" w:color="auto"/>
              <w:bottom w:val="single" w:sz="12" w:space="0" w:color="auto"/>
              <w:right w:val="single" w:sz="4" w:space="0" w:color="auto"/>
            </w:tcBorders>
            <w:vAlign w:val="center"/>
            <w:hideMark/>
          </w:tcPr>
          <w:p w14:paraId="1FDEAB15"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688" w:type="pct"/>
            <w:tcBorders>
              <w:top w:val="single" w:sz="4" w:space="0" w:color="auto"/>
              <w:left w:val="single" w:sz="4" w:space="0" w:color="auto"/>
              <w:bottom w:val="single" w:sz="12" w:space="0" w:color="auto"/>
              <w:right w:val="single" w:sz="4" w:space="0" w:color="auto"/>
            </w:tcBorders>
            <w:vAlign w:val="center"/>
            <w:hideMark/>
          </w:tcPr>
          <w:p w14:paraId="3C560CB6" w14:textId="77777777" w:rsidR="007B5E4B" w:rsidRPr="00EC0D2E" w:rsidRDefault="007B5E4B" w:rsidP="00040D0C">
            <w:pPr>
              <w:pStyle w:val="Tabletext0"/>
              <w:widowControl w:val="0"/>
              <w:jc w:val="center"/>
              <w:rPr>
                <w:rFonts w:cs="Times New Roman"/>
                <w:i/>
                <w:iCs/>
              </w:rPr>
            </w:pPr>
            <w:r w:rsidRPr="00EC0D2E">
              <w:rPr>
                <w:rFonts w:cs="Times New Roman"/>
                <w:i/>
                <w:iCs/>
              </w:rPr>
              <w:t>0.747</w:t>
            </w:r>
          </w:p>
        </w:tc>
        <w:tc>
          <w:tcPr>
            <w:tcW w:w="674" w:type="pct"/>
            <w:vMerge/>
            <w:tcBorders>
              <w:top w:val="single" w:sz="12" w:space="0" w:color="auto"/>
              <w:left w:val="single" w:sz="4" w:space="0" w:color="auto"/>
              <w:bottom w:val="single" w:sz="12" w:space="0" w:color="auto"/>
              <w:right w:val="single" w:sz="4" w:space="0" w:color="auto"/>
            </w:tcBorders>
            <w:vAlign w:val="center"/>
            <w:hideMark/>
          </w:tcPr>
          <w:p w14:paraId="4C3271EA"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514" w:type="pct"/>
            <w:vMerge/>
            <w:tcBorders>
              <w:top w:val="single" w:sz="12" w:space="0" w:color="auto"/>
              <w:left w:val="single" w:sz="4" w:space="0" w:color="auto"/>
              <w:bottom w:val="single" w:sz="12" w:space="0" w:color="auto"/>
              <w:right w:val="single" w:sz="4" w:space="0" w:color="auto"/>
            </w:tcBorders>
            <w:vAlign w:val="center"/>
            <w:hideMark/>
          </w:tcPr>
          <w:p w14:paraId="46490901"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441" w:type="pct"/>
            <w:vMerge/>
            <w:tcBorders>
              <w:left w:val="single" w:sz="4" w:space="0" w:color="auto"/>
              <w:bottom w:val="single" w:sz="12" w:space="0" w:color="auto"/>
              <w:right w:val="single" w:sz="4" w:space="0" w:color="auto"/>
            </w:tcBorders>
            <w:vAlign w:val="center"/>
          </w:tcPr>
          <w:p w14:paraId="2F732596" w14:textId="77777777" w:rsidR="007B5E4B" w:rsidRPr="007B5E4B" w:rsidRDefault="007B5E4B" w:rsidP="00040D0C">
            <w:pPr>
              <w:widowControl w:val="0"/>
              <w:spacing w:before="0"/>
              <w:jc w:val="center"/>
              <w:rPr>
                <w:rFonts w:ascii="Arial Narrow" w:eastAsia="Times New Roman" w:hAnsi="Arial Narrow" w:cs="Times New Roman"/>
                <w:i/>
                <w:iCs/>
                <w:sz w:val="20"/>
                <w:szCs w:val="20"/>
                <w:lang w:eastAsia="en-AU"/>
              </w:rPr>
            </w:pPr>
          </w:p>
        </w:tc>
      </w:tr>
      <w:tr w:rsidR="007B5E4B" w:rsidRPr="00AE6700" w14:paraId="36C29AD0" w14:textId="6F75A808" w:rsidTr="00040D0C">
        <w:trPr>
          <w:trHeight w:val="386"/>
        </w:trPr>
        <w:tc>
          <w:tcPr>
            <w:tcW w:w="811" w:type="pct"/>
            <w:tcBorders>
              <w:top w:val="single" w:sz="12" w:space="0" w:color="auto"/>
              <w:left w:val="single" w:sz="4" w:space="0" w:color="auto"/>
              <w:bottom w:val="single" w:sz="4" w:space="0" w:color="auto"/>
              <w:right w:val="single" w:sz="4" w:space="0" w:color="auto"/>
            </w:tcBorders>
            <w:hideMark/>
          </w:tcPr>
          <w:p w14:paraId="30FE1437" w14:textId="39362AB4" w:rsidR="007B5E4B" w:rsidRPr="00EC0D2E" w:rsidRDefault="00941825" w:rsidP="00040D0C">
            <w:pPr>
              <w:pStyle w:val="Tabletext0"/>
              <w:widowControl w:val="0"/>
              <w:rPr>
                <w:rFonts w:cs="Times New Roman"/>
                <w:i/>
                <w:iCs/>
              </w:rPr>
            </w:pPr>
            <w:r w:rsidRPr="00EC0D2E">
              <w:rPr>
                <w:rFonts w:cs="Times New Roman"/>
                <w:i/>
                <w:iCs/>
                <w:vertAlign w:val="superscript"/>
              </w:rPr>
              <w:t>177</w:t>
            </w:r>
            <w:r w:rsidRPr="00EC0D2E">
              <w:rPr>
                <w:rFonts w:cs="Times New Roman"/>
                <w:i/>
                <w:iCs/>
              </w:rPr>
              <w:t>Lu</w:t>
            </w:r>
            <w:r>
              <w:rPr>
                <w:rFonts w:cs="Times New Roman"/>
                <w:i/>
                <w:iCs/>
              </w:rPr>
              <w:t> </w:t>
            </w:r>
            <w:r w:rsidRPr="00EC0D2E">
              <w:rPr>
                <w:rFonts w:cs="Times New Roman"/>
                <w:i/>
                <w:iCs/>
              </w:rPr>
              <w:t>PSMA</w:t>
            </w:r>
            <w:r>
              <w:rPr>
                <w:rFonts w:cs="Times New Roman"/>
                <w:i/>
                <w:iCs/>
              </w:rPr>
              <w:t> </w:t>
            </w:r>
            <w:proofErr w:type="spellStart"/>
            <w:r>
              <w:rPr>
                <w:rFonts w:cs="Times New Roman"/>
                <w:i/>
                <w:iCs/>
              </w:rPr>
              <w:t>i&amp;t</w:t>
            </w:r>
            <w:proofErr w:type="spellEnd"/>
          </w:p>
        </w:tc>
        <w:tc>
          <w:tcPr>
            <w:tcW w:w="769" w:type="pct"/>
            <w:vMerge w:val="restart"/>
            <w:tcBorders>
              <w:top w:val="single" w:sz="12" w:space="0" w:color="auto"/>
              <w:left w:val="single" w:sz="4" w:space="0" w:color="auto"/>
              <w:bottom w:val="single" w:sz="12" w:space="0" w:color="auto"/>
              <w:right w:val="single" w:sz="4" w:space="0" w:color="auto"/>
            </w:tcBorders>
            <w:hideMark/>
          </w:tcPr>
          <w:p w14:paraId="1E5A596D" w14:textId="77777777" w:rsidR="007B5E4B" w:rsidRPr="00EC0D2E" w:rsidRDefault="007B5E4B" w:rsidP="00040D0C">
            <w:pPr>
              <w:pStyle w:val="Tabletext0"/>
              <w:widowControl w:val="0"/>
              <w:jc w:val="center"/>
              <w:rPr>
                <w:rFonts w:cs="Times New Roman"/>
                <w:i/>
                <w:iCs/>
              </w:rPr>
            </w:pPr>
            <w:r w:rsidRPr="00EC0D2E">
              <w:rPr>
                <w:rFonts w:cs="Times New Roman"/>
                <w:i/>
                <w:iCs/>
              </w:rPr>
              <w:t>Costs of CT/Bone scans added^</w:t>
            </w:r>
          </w:p>
        </w:tc>
        <w:tc>
          <w:tcPr>
            <w:tcW w:w="449" w:type="pct"/>
            <w:tcBorders>
              <w:top w:val="single" w:sz="12" w:space="0" w:color="auto"/>
              <w:left w:val="single" w:sz="4" w:space="0" w:color="auto"/>
              <w:bottom w:val="single" w:sz="4" w:space="0" w:color="auto"/>
              <w:right w:val="single" w:sz="4" w:space="0" w:color="auto"/>
            </w:tcBorders>
            <w:vAlign w:val="center"/>
            <w:hideMark/>
          </w:tcPr>
          <w:p w14:paraId="0B255D1A" w14:textId="77777777" w:rsidR="007B5E4B" w:rsidRPr="00EC0D2E" w:rsidRDefault="007B5E4B" w:rsidP="00040D0C">
            <w:pPr>
              <w:pStyle w:val="Tabletext0"/>
              <w:widowControl w:val="0"/>
              <w:jc w:val="center"/>
              <w:rPr>
                <w:rFonts w:cs="Times New Roman"/>
                <w:i/>
                <w:iCs/>
              </w:rPr>
            </w:pPr>
            <w:r w:rsidRPr="00EC0D2E">
              <w:rPr>
                <w:rFonts w:cs="Times New Roman"/>
                <w:i/>
                <w:iCs/>
              </w:rPr>
              <w:t>$70,307</w:t>
            </w:r>
          </w:p>
        </w:tc>
        <w:tc>
          <w:tcPr>
            <w:tcW w:w="654" w:type="pct"/>
            <w:vMerge w:val="restart"/>
            <w:tcBorders>
              <w:top w:val="single" w:sz="12" w:space="0" w:color="auto"/>
              <w:left w:val="single" w:sz="4" w:space="0" w:color="auto"/>
              <w:bottom w:val="single" w:sz="12" w:space="0" w:color="auto"/>
              <w:right w:val="single" w:sz="4" w:space="0" w:color="auto"/>
            </w:tcBorders>
            <w:vAlign w:val="center"/>
            <w:hideMark/>
          </w:tcPr>
          <w:p w14:paraId="33717242" w14:textId="77777777" w:rsidR="007B5E4B" w:rsidRPr="00EC0D2E" w:rsidRDefault="007B5E4B" w:rsidP="00040D0C">
            <w:pPr>
              <w:pStyle w:val="Tabletext0"/>
              <w:widowControl w:val="0"/>
              <w:jc w:val="center"/>
              <w:rPr>
                <w:rFonts w:cs="Times New Roman"/>
                <w:i/>
                <w:iCs/>
              </w:rPr>
            </w:pPr>
            <w:r w:rsidRPr="00EC0D2E">
              <w:rPr>
                <w:rFonts w:cs="Times New Roman"/>
                <w:i/>
                <w:iCs/>
              </w:rPr>
              <w:t>$26,994</w:t>
            </w:r>
          </w:p>
        </w:tc>
        <w:tc>
          <w:tcPr>
            <w:tcW w:w="688" w:type="pct"/>
            <w:tcBorders>
              <w:top w:val="single" w:sz="12" w:space="0" w:color="auto"/>
              <w:left w:val="single" w:sz="4" w:space="0" w:color="auto"/>
              <w:bottom w:val="single" w:sz="4" w:space="0" w:color="auto"/>
              <w:right w:val="single" w:sz="4" w:space="0" w:color="auto"/>
            </w:tcBorders>
            <w:vAlign w:val="center"/>
            <w:hideMark/>
          </w:tcPr>
          <w:p w14:paraId="22391037" w14:textId="77777777" w:rsidR="007B5E4B" w:rsidRPr="00EC0D2E" w:rsidRDefault="007B5E4B" w:rsidP="00040D0C">
            <w:pPr>
              <w:pStyle w:val="Tabletext0"/>
              <w:widowControl w:val="0"/>
              <w:jc w:val="center"/>
              <w:rPr>
                <w:rFonts w:cs="Times New Roman"/>
                <w:i/>
                <w:iCs/>
              </w:rPr>
            </w:pPr>
            <w:r w:rsidRPr="00EC0D2E">
              <w:rPr>
                <w:rFonts w:cs="Times New Roman"/>
                <w:i/>
                <w:iCs/>
              </w:rPr>
              <w:t>1.096</w:t>
            </w:r>
          </w:p>
        </w:tc>
        <w:tc>
          <w:tcPr>
            <w:tcW w:w="674" w:type="pct"/>
            <w:vMerge w:val="restart"/>
            <w:tcBorders>
              <w:top w:val="single" w:sz="12" w:space="0" w:color="auto"/>
              <w:left w:val="single" w:sz="4" w:space="0" w:color="auto"/>
              <w:bottom w:val="single" w:sz="12" w:space="0" w:color="auto"/>
              <w:right w:val="single" w:sz="4" w:space="0" w:color="auto"/>
            </w:tcBorders>
            <w:vAlign w:val="center"/>
            <w:hideMark/>
          </w:tcPr>
          <w:p w14:paraId="022FD757" w14:textId="77777777" w:rsidR="007B5E4B" w:rsidRPr="00EC0D2E" w:rsidRDefault="007B5E4B" w:rsidP="00040D0C">
            <w:pPr>
              <w:pStyle w:val="Tabletext0"/>
              <w:widowControl w:val="0"/>
              <w:jc w:val="center"/>
              <w:rPr>
                <w:rFonts w:cs="Times New Roman"/>
                <w:i/>
                <w:iCs/>
              </w:rPr>
            </w:pPr>
            <w:r w:rsidRPr="00EC0D2E">
              <w:rPr>
                <w:rFonts w:cs="Times New Roman"/>
                <w:i/>
                <w:iCs/>
              </w:rPr>
              <w:t>0.349</w:t>
            </w:r>
          </w:p>
        </w:tc>
        <w:tc>
          <w:tcPr>
            <w:tcW w:w="514" w:type="pct"/>
            <w:vMerge w:val="restart"/>
            <w:tcBorders>
              <w:top w:val="single" w:sz="12" w:space="0" w:color="auto"/>
              <w:left w:val="single" w:sz="4" w:space="0" w:color="auto"/>
              <w:bottom w:val="single" w:sz="12" w:space="0" w:color="auto"/>
              <w:right w:val="single" w:sz="4" w:space="0" w:color="auto"/>
            </w:tcBorders>
            <w:vAlign w:val="center"/>
            <w:hideMark/>
          </w:tcPr>
          <w:p w14:paraId="0064D16B" w14:textId="77777777" w:rsidR="007B5E4B" w:rsidRPr="00EC0D2E" w:rsidRDefault="007B5E4B" w:rsidP="00040D0C">
            <w:pPr>
              <w:pStyle w:val="Tabletext0"/>
              <w:widowControl w:val="0"/>
              <w:jc w:val="center"/>
              <w:rPr>
                <w:rFonts w:cs="Times New Roman"/>
                <w:i/>
                <w:iCs/>
              </w:rPr>
            </w:pPr>
            <w:r w:rsidRPr="00EC0D2E">
              <w:rPr>
                <w:rFonts w:cs="Times New Roman"/>
                <w:i/>
                <w:iCs/>
              </w:rPr>
              <w:t>$77,347</w:t>
            </w:r>
          </w:p>
        </w:tc>
        <w:tc>
          <w:tcPr>
            <w:tcW w:w="441" w:type="pct"/>
            <w:vMerge w:val="restart"/>
            <w:tcBorders>
              <w:top w:val="single" w:sz="12" w:space="0" w:color="auto"/>
              <w:left w:val="single" w:sz="4" w:space="0" w:color="auto"/>
              <w:right w:val="single" w:sz="4" w:space="0" w:color="auto"/>
            </w:tcBorders>
            <w:vAlign w:val="center"/>
          </w:tcPr>
          <w:p w14:paraId="0FBC321F" w14:textId="5B1DF361" w:rsidR="007B5E4B" w:rsidRPr="007B5E4B" w:rsidRDefault="007B5E4B" w:rsidP="00040D0C">
            <w:pPr>
              <w:pStyle w:val="Tabletext0"/>
              <w:widowControl w:val="0"/>
              <w:jc w:val="center"/>
              <w:rPr>
                <w:rFonts w:cs="Times New Roman"/>
                <w:i/>
                <w:iCs/>
              </w:rPr>
            </w:pPr>
            <w:r w:rsidRPr="00CD5A4F">
              <w:rPr>
                <w:i/>
                <w:iCs/>
              </w:rPr>
              <w:t>+5.0</w:t>
            </w:r>
          </w:p>
        </w:tc>
      </w:tr>
      <w:tr w:rsidR="007B5E4B" w:rsidRPr="00AE6700" w14:paraId="56E6B79D" w14:textId="41DB8270" w:rsidTr="00040D0C">
        <w:trPr>
          <w:trHeight w:val="386"/>
        </w:trPr>
        <w:tc>
          <w:tcPr>
            <w:tcW w:w="811" w:type="pct"/>
            <w:tcBorders>
              <w:top w:val="single" w:sz="4" w:space="0" w:color="auto"/>
              <w:left w:val="single" w:sz="4" w:space="0" w:color="auto"/>
              <w:bottom w:val="single" w:sz="12" w:space="0" w:color="auto"/>
              <w:right w:val="single" w:sz="4" w:space="0" w:color="auto"/>
            </w:tcBorders>
            <w:hideMark/>
          </w:tcPr>
          <w:p w14:paraId="62B9FD17" w14:textId="6E1114A1" w:rsidR="007B5E4B" w:rsidRPr="00EC0D2E" w:rsidRDefault="007B5E4B" w:rsidP="00040D0C">
            <w:pPr>
              <w:pStyle w:val="Tabletext0"/>
              <w:widowControl w:val="0"/>
              <w:rPr>
                <w:rFonts w:cs="Times New Roman"/>
                <w:i/>
                <w:iCs/>
              </w:rPr>
            </w:pPr>
            <w:r w:rsidRPr="00EC0D2E">
              <w:rPr>
                <w:rFonts w:cs="Times New Roman"/>
                <w:i/>
                <w:iCs/>
              </w:rPr>
              <w:t>Cabazitaxel/BS</w:t>
            </w:r>
            <w:r w:rsidR="006843D6">
              <w:rPr>
                <w:rFonts w:cs="Times New Roman"/>
                <w:i/>
                <w:iCs/>
              </w:rPr>
              <w:t>c</w:t>
            </w:r>
          </w:p>
        </w:tc>
        <w:tc>
          <w:tcPr>
            <w:tcW w:w="769" w:type="pct"/>
            <w:vMerge/>
            <w:tcBorders>
              <w:top w:val="single" w:sz="12" w:space="0" w:color="auto"/>
              <w:left w:val="single" w:sz="4" w:space="0" w:color="auto"/>
              <w:bottom w:val="single" w:sz="12" w:space="0" w:color="auto"/>
              <w:right w:val="single" w:sz="4" w:space="0" w:color="auto"/>
            </w:tcBorders>
            <w:vAlign w:val="center"/>
            <w:hideMark/>
          </w:tcPr>
          <w:p w14:paraId="142F3BA4"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449" w:type="pct"/>
            <w:tcBorders>
              <w:top w:val="single" w:sz="4" w:space="0" w:color="auto"/>
              <w:left w:val="single" w:sz="4" w:space="0" w:color="auto"/>
              <w:bottom w:val="single" w:sz="12" w:space="0" w:color="auto"/>
              <w:right w:val="single" w:sz="4" w:space="0" w:color="auto"/>
            </w:tcBorders>
            <w:vAlign w:val="center"/>
            <w:hideMark/>
          </w:tcPr>
          <w:p w14:paraId="730FC5B6" w14:textId="77777777" w:rsidR="007B5E4B" w:rsidRPr="00EC0D2E" w:rsidRDefault="007B5E4B" w:rsidP="00040D0C">
            <w:pPr>
              <w:pStyle w:val="Tabletext0"/>
              <w:widowControl w:val="0"/>
              <w:jc w:val="center"/>
              <w:rPr>
                <w:rFonts w:cs="Times New Roman"/>
                <w:i/>
                <w:iCs/>
              </w:rPr>
            </w:pPr>
            <w:r w:rsidRPr="00EC0D2E">
              <w:rPr>
                <w:rFonts w:cs="Times New Roman"/>
                <w:i/>
                <w:iCs/>
              </w:rPr>
              <w:t>$43,313</w:t>
            </w:r>
          </w:p>
        </w:tc>
        <w:tc>
          <w:tcPr>
            <w:tcW w:w="654" w:type="pct"/>
            <w:vMerge/>
            <w:tcBorders>
              <w:top w:val="single" w:sz="12" w:space="0" w:color="auto"/>
              <w:left w:val="single" w:sz="4" w:space="0" w:color="auto"/>
              <w:bottom w:val="single" w:sz="12" w:space="0" w:color="auto"/>
              <w:right w:val="single" w:sz="4" w:space="0" w:color="auto"/>
            </w:tcBorders>
            <w:vAlign w:val="center"/>
            <w:hideMark/>
          </w:tcPr>
          <w:p w14:paraId="3F20CDBB"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688" w:type="pct"/>
            <w:tcBorders>
              <w:top w:val="single" w:sz="4" w:space="0" w:color="auto"/>
              <w:left w:val="single" w:sz="4" w:space="0" w:color="auto"/>
              <w:bottom w:val="single" w:sz="12" w:space="0" w:color="auto"/>
              <w:right w:val="single" w:sz="4" w:space="0" w:color="auto"/>
            </w:tcBorders>
            <w:vAlign w:val="center"/>
            <w:hideMark/>
          </w:tcPr>
          <w:p w14:paraId="68814716" w14:textId="77777777" w:rsidR="007B5E4B" w:rsidRPr="00EC0D2E" w:rsidRDefault="007B5E4B" w:rsidP="00040D0C">
            <w:pPr>
              <w:pStyle w:val="Tabletext0"/>
              <w:widowControl w:val="0"/>
              <w:jc w:val="center"/>
              <w:rPr>
                <w:rFonts w:cs="Times New Roman"/>
                <w:i/>
                <w:iCs/>
              </w:rPr>
            </w:pPr>
            <w:r w:rsidRPr="00EC0D2E">
              <w:rPr>
                <w:rFonts w:cs="Times New Roman"/>
                <w:i/>
                <w:iCs/>
              </w:rPr>
              <w:t>0.747</w:t>
            </w:r>
          </w:p>
        </w:tc>
        <w:tc>
          <w:tcPr>
            <w:tcW w:w="674" w:type="pct"/>
            <w:vMerge/>
            <w:tcBorders>
              <w:top w:val="single" w:sz="12" w:space="0" w:color="auto"/>
              <w:left w:val="single" w:sz="4" w:space="0" w:color="auto"/>
              <w:bottom w:val="single" w:sz="12" w:space="0" w:color="auto"/>
              <w:right w:val="single" w:sz="4" w:space="0" w:color="auto"/>
            </w:tcBorders>
            <w:vAlign w:val="center"/>
            <w:hideMark/>
          </w:tcPr>
          <w:p w14:paraId="4291141F"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514" w:type="pct"/>
            <w:vMerge/>
            <w:tcBorders>
              <w:top w:val="single" w:sz="12" w:space="0" w:color="auto"/>
              <w:left w:val="single" w:sz="4" w:space="0" w:color="auto"/>
              <w:bottom w:val="single" w:sz="12" w:space="0" w:color="auto"/>
              <w:right w:val="single" w:sz="4" w:space="0" w:color="auto"/>
            </w:tcBorders>
            <w:vAlign w:val="center"/>
            <w:hideMark/>
          </w:tcPr>
          <w:p w14:paraId="52BDD023"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441" w:type="pct"/>
            <w:vMerge/>
            <w:tcBorders>
              <w:left w:val="single" w:sz="4" w:space="0" w:color="auto"/>
              <w:bottom w:val="single" w:sz="12" w:space="0" w:color="auto"/>
              <w:right w:val="single" w:sz="4" w:space="0" w:color="auto"/>
            </w:tcBorders>
            <w:vAlign w:val="center"/>
          </w:tcPr>
          <w:p w14:paraId="1D27DEDA" w14:textId="77777777" w:rsidR="007B5E4B" w:rsidRPr="007B5E4B" w:rsidRDefault="007B5E4B" w:rsidP="00040D0C">
            <w:pPr>
              <w:widowControl w:val="0"/>
              <w:spacing w:before="0"/>
              <w:jc w:val="center"/>
              <w:rPr>
                <w:rFonts w:ascii="Arial Narrow" w:eastAsia="Times New Roman" w:hAnsi="Arial Narrow" w:cs="Times New Roman"/>
                <w:i/>
                <w:iCs/>
                <w:sz w:val="20"/>
                <w:szCs w:val="20"/>
                <w:lang w:eastAsia="en-AU"/>
              </w:rPr>
            </w:pPr>
          </w:p>
        </w:tc>
      </w:tr>
      <w:tr w:rsidR="007B5E4B" w:rsidRPr="00AE6700" w14:paraId="3D9040C9" w14:textId="1D9D14B5" w:rsidTr="00040D0C">
        <w:trPr>
          <w:trHeight w:val="386"/>
        </w:trPr>
        <w:tc>
          <w:tcPr>
            <w:tcW w:w="811" w:type="pct"/>
            <w:tcBorders>
              <w:top w:val="single" w:sz="12" w:space="0" w:color="auto"/>
              <w:left w:val="single" w:sz="4" w:space="0" w:color="auto"/>
              <w:bottom w:val="single" w:sz="4" w:space="0" w:color="auto"/>
              <w:right w:val="single" w:sz="4" w:space="0" w:color="auto"/>
            </w:tcBorders>
            <w:hideMark/>
          </w:tcPr>
          <w:p w14:paraId="6C1EE743" w14:textId="69BC7838" w:rsidR="007B5E4B" w:rsidRPr="00EC0D2E" w:rsidRDefault="00941825" w:rsidP="00040D0C">
            <w:pPr>
              <w:pStyle w:val="Tabletext0"/>
              <w:widowControl w:val="0"/>
              <w:rPr>
                <w:rFonts w:cs="Times New Roman"/>
                <w:i/>
                <w:iCs/>
              </w:rPr>
            </w:pPr>
            <w:r w:rsidRPr="00EC0D2E">
              <w:rPr>
                <w:rFonts w:cs="Times New Roman"/>
                <w:i/>
                <w:iCs/>
                <w:vertAlign w:val="superscript"/>
              </w:rPr>
              <w:t>177</w:t>
            </w:r>
            <w:r w:rsidRPr="00EC0D2E">
              <w:rPr>
                <w:rFonts w:cs="Times New Roman"/>
                <w:i/>
                <w:iCs/>
              </w:rPr>
              <w:t>Lu</w:t>
            </w:r>
            <w:r>
              <w:rPr>
                <w:rFonts w:cs="Times New Roman"/>
                <w:i/>
                <w:iCs/>
              </w:rPr>
              <w:t> </w:t>
            </w:r>
            <w:r w:rsidRPr="00EC0D2E">
              <w:rPr>
                <w:rFonts w:cs="Times New Roman"/>
                <w:i/>
                <w:iCs/>
              </w:rPr>
              <w:t>PSMA</w:t>
            </w:r>
            <w:r>
              <w:rPr>
                <w:rFonts w:cs="Times New Roman"/>
                <w:i/>
                <w:iCs/>
              </w:rPr>
              <w:t> </w:t>
            </w:r>
            <w:proofErr w:type="spellStart"/>
            <w:r>
              <w:rPr>
                <w:rFonts w:cs="Times New Roman"/>
                <w:i/>
                <w:iCs/>
              </w:rPr>
              <w:t>i&amp;t</w:t>
            </w:r>
            <w:proofErr w:type="spellEnd"/>
          </w:p>
        </w:tc>
        <w:tc>
          <w:tcPr>
            <w:tcW w:w="769" w:type="pct"/>
            <w:vMerge w:val="restart"/>
            <w:tcBorders>
              <w:top w:val="single" w:sz="12" w:space="0" w:color="auto"/>
              <w:left w:val="single" w:sz="4" w:space="0" w:color="auto"/>
              <w:bottom w:val="single" w:sz="12" w:space="0" w:color="auto"/>
              <w:right w:val="single" w:sz="4" w:space="0" w:color="auto"/>
            </w:tcBorders>
            <w:hideMark/>
          </w:tcPr>
          <w:p w14:paraId="789ADE63" w14:textId="77777777" w:rsidR="007B5E4B" w:rsidRPr="00EC0D2E" w:rsidRDefault="007B5E4B" w:rsidP="00040D0C">
            <w:pPr>
              <w:pStyle w:val="Tabletext0"/>
              <w:widowControl w:val="0"/>
              <w:jc w:val="center"/>
              <w:rPr>
                <w:rFonts w:cs="Times New Roman"/>
                <w:i/>
                <w:iCs/>
              </w:rPr>
            </w:pPr>
            <w:r w:rsidRPr="00EC0D2E">
              <w:rPr>
                <w:rFonts w:cs="Times New Roman"/>
                <w:i/>
                <w:iCs/>
              </w:rPr>
              <w:t>Utility cabazitaxel=0.7</w:t>
            </w:r>
          </w:p>
          <w:p w14:paraId="68526F47" w14:textId="5C11B679" w:rsidR="007B5E4B" w:rsidRPr="00EC0D2E" w:rsidRDefault="007B5E4B" w:rsidP="00040D0C">
            <w:pPr>
              <w:pStyle w:val="Tabletext0"/>
              <w:widowControl w:val="0"/>
              <w:jc w:val="center"/>
              <w:rPr>
                <w:rFonts w:cs="Times New Roman"/>
                <w:i/>
                <w:iCs/>
              </w:rPr>
            </w:pPr>
            <w:r w:rsidRPr="00EC0D2E">
              <w:rPr>
                <w:rFonts w:cs="Times New Roman"/>
                <w:i/>
                <w:iCs/>
              </w:rPr>
              <w:t>BSC=0.74</w:t>
            </w:r>
          </w:p>
        </w:tc>
        <w:tc>
          <w:tcPr>
            <w:tcW w:w="449" w:type="pct"/>
            <w:tcBorders>
              <w:top w:val="single" w:sz="12" w:space="0" w:color="auto"/>
              <w:left w:val="single" w:sz="4" w:space="0" w:color="auto"/>
              <w:bottom w:val="single" w:sz="4" w:space="0" w:color="auto"/>
              <w:right w:val="single" w:sz="4" w:space="0" w:color="auto"/>
            </w:tcBorders>
            <w:vAlign w:val="center"/>
            <w:hideMark/>
          </w:tcPr>
          <w:p w14:paraId="3D83E59D" w14:textId="77777777" w:rsidR="007B5E4B" w:rsidRPr="00EC0D2E" w:rsidRDefault="007B5E4B" w:rsidP="00040D0C">
            <w:pPr>
              <w:pStyle w:val="Tabletext0"/>
              <w:widowControl w:val="0"/>
              <w:jc w:val="center"/>
              <w:rPr>
                <w:rFonts w:cs="Times New Roman"/>
                <w:i/>
                <w:iCs/>
              </w:rPr>
            </w:pPr>
            <w:r w:rsidRPr="00EC0D2E">
              <w:rPr>
                <w:rFonts w:cs="Times New Roman"/>
                <w:i/>
                <w:iCs/>
              </w:rPr>
              <w:t>$69,003</w:t>
            </w:r>
          </w:p>
        </w:tc>
        <w:tc>
          <w:tcPr>
            <w:tcW w:w="654" w:type="pct"/>
            <w:vMerge w:val="restart"/>
            <w:tcBorders>
              <w:top w:val="single" w:sz="12" w:space="0" w:color="auto"/>
              <w:left w:val="single" w:sz="4" w:space="0" w:color="auto"/>
              <w:bottom w:val="single" w:sz="12" w:space="0" w:color="auto"/>
              <w:right w:val="single" w:sz="4" w:space="0" w:color="auto"/>
            </w:tcBorders>
            <w:vAlign w:val="center"/>
            <w:hideMark/>
          </w:tcPr>
          <w:p w14:paraId="080C8451" w14:textId="77777777" w:rsidR="007B5E4B" w:rsidRPr="00EC0D2E" w:rsidRDefault="007B5E4B" w:rsidP="00040D0C">
            <w:pPr>
              <w:pStyle w:val="Tabletext0"/>
              <w:widowControl w:val="0"/>
              <w:jc w:val="center"/>
              <w:rPr>
                <w:rFonts w:cs="Times New Roman"/>
                <w:i/>
                <w:iCs/>
              </w:rPr>
            </w:pPr>
            <w:r w:rsidRPr="00EC0D2E">
              <w:rPr>
                <w:rFonts w:cs="Times New Roman"/>
                <w:i/>
                <w:iCs/>
              </w:rPr>
              <w:t>$25,690</w:t>
            </w:r>
          </w:p>
        </w:tc>
        <w:tc>
          <w:tcPr>
            <w:tcW w:w="688" w:type="pct"/>
            <w:tcBorders>
              <w:top w:val="single" w:sz="12" w:space="0" w:color="auto"/>
              <w:left w:val="single" w:sz="4" w:space="0" w:color="auto"/>
              <w:bottom w:val="single" w:sz="4" w:space="0" w:color="auto"/>
              <w:right w:val="single" w:sz="4" w:space="0" w:color="auto"/>
            </w:tcBorders>
            <w:vAlign w:val="center"/>
            <w:hideMark/>
          </w:tcPr>
          <w:p w14:paraId="633CC774" w14:textId="77777777" w:rsidR="007B5E4B" w:rsidRPr="00EC0D2E" w:rsidRDefault="007B5E4B" w:rsidP="00040D0C">
            <w:pPr>
              <w:pStyle w:val="Tabletext0"/>
              <w:widowControl w:val="0"/>
              <w:jc w:val="center"/>
              <w:rPr>
                <w:rFonts w:cs="Times New Roman"/>
                <w:i/>
                <w:iCs/>
              </w:rPr>
            </w:pPr>
            <w:r w:rsidRPr="00EC0D2E">
              <w:rPr>
                <w:rFonts w:cs="Times New Roman"/>
                <w:i/>
                <w:iCs/>
              </w:rPr>
              <w:t>1.101</w:t>
            </w:r>
          </w:p>
        </w:tc>
        <w:tc>
          <w:tcPr>
            <w:tcW w:w="674" w:type="pct"/>
            <w:vMerge w:val="restart"/>
            <w:tcBorders>
              <w:top w:val="single" w:sz="12" w:space="0" w:color="auto"/>
              <w:left w:val="single" w:sz="4" w:space="0" w:color="auto"/>
              <w:bottom w:val="single" w:sz="12" w:space="0" w:color="auto"/>
              <w:right w:val="single" w:sz="4" w:space="0" w:color="auto"/>
            </w:tcBorders>
            <w:vAlign w:val="center"/>
            <w:hideMark/>
          </w:tcPr>
          <w:p w14:paraId="2DBC978A" w14:textId="77777777" w:rsidR="007B5E4B" w:rsidRPr="00EC0D2E" w:rsidRDefault="007B5E4B" w:rsidP="00040D0C">
            <w:pPr>
              <w:pStyle w:val="Tabletext0"/>
              <w:widowControl w:val="0"/>
              <w:jc w:val="center"/>
              <w:rPr>
                <w:rFonts w:cs="Times New Roman"/>
                <w:i/>
                <w:iCs/>
              </w:rPr>
            </w:pPr>
            <w:r w:rsidRPr="00EC0D2E">
              <w:rPr>
                <w:rFonts w:cs="Times New Roman"/>
                <w:i/>
                <w:iCs/>
              </w:rPr>
              <w:t>0.301</w:t>
            </w:r>
          </w:p>
        </w:tc>
        <w:tc>
          <w:tcPr>
            <w:tcW w:w="514" w:type="pct"/>
            <w:vMerge w:val="restart"/>
            <w:tcBorders>
              <w:top w:val="single" w:sz="12" w:space="0" w:color="auto"/>
              <w:left w:val="single" w:sz="4" w:space="0" w:color="auto"/>
              <w:bottom w:val="single" w:sz="12" w:space="0" w:color="auto"/>
              <w:right w:val="single" w:sz="4" w:space="0" w:color="auto"/>
            </w:tcBorders>
            <w:vAlign w:val="center"/>
            <w:hideMark/>
          </w:tcPr>
          <w:p w14:paraId="370E6046" w14:textId="77777777" w:rsidR="007B5E4B" w:rsidRPr="00EC0D2E" w:rsidRDefault="007B5E4B" w:rsidP="00040D0C">
            <w:pPr>
              <w:pStyle w:val="Tabletext0"/>
              <w:widowControl w:val="0"/>
              <w:jc w:val="center"/>
              <w:rPr>
                <w:rFonts w:cs="Times New Roman"/>
                <w:i/>
                <w:iCs/>
              </w:rPr>
            </w:pPr>
            <w:r w:rsidRPr="00EC0D2E">
              <w:rPr>
                <w:rFonts w:cs="Times New Roman"/>
                <w:i/>
                <w:iCs/>
              </w:rPr>
              <w:t>$85,393</w:t>
            </w:r>
          </w:p>
        </w:tc>
        <w:tc>
          <w:tcPr>
            <w:tcW w:w="441" w:type="pct"/>
            <w:vMerge w:val="restart"/>
            <w:tcBorders>
              <w:top w:val="single" w:sz="12" w:space="0" w:color="auto"/>
              <w:left w:val="single" w:sz="4" w:space="0" w:color="auto"/>
              <w:right w:val="single" w:sz="4" w:space="0" w:color="auto"/>
            </w:tcBorders>
            <w:vAlign w:val="center"/>
          </w:tcPr>
          <w:p w14:paraId="2E30307B" w14:textId="73A11086" w:rsidR="007B5E4B" w:rsidRPr="007B5E4B" w:rsidRDefault="007B5E4B" w:rsidP="00040D0C">
            <w:pPr>
              <w:pStyle w:val="Tabletext0"/>
              <w:widowControl w:val="0"/>
              <w:jc w:val="center"/>
              <w:rPr>
                <w:rFonts w:cs="Times New Roman"/>
                <w:i/>
                <w:iCs/>
              </w:rPr>
            </w:pPr>
            <w:r w:rsidRPr="00CD5A4F">
              <w:rPr>
                <w:i/>
                <w:iCs/>
              </w:rPr>
              <w:t>+16.0</w:t>
            </w:r>
          </w:p>
        </w:tc>
      </w:tr>
      <w:tr w:rsidR="007B5E4B" w:rsidRPr="00AE6700" w14:paraId="03139684" w14:textId="09C0B887" w:rsidTr="00040D0C">
        <w:trPr>
          <w:trHeight w:val="386"/>
        </w:trPr>
        <w:tc>
          <w:tcPr>
            <w:tcW w:w="811" w:type="pct"/>
            <w:tcBorders>
              <w:top w:val="single" w:sz="4" w:space="0" w:color="auto"/>
              <w:left w:val="single" w:sz="4" w:space="0" w:color="auto"/>
              <w:bottom w:val="single" w:sz="12" w:space="0" w:color="auto"/>
              <w:right w:val="single" w:sz="4" w:space="0" w:color="auto"/>
            </w:tcBorders>
            <w:hideMark/>
          </w:tcPr>
          <w:p w14:paraId="62123350" w14:textId="7E5CFBDE" w:rsidR="007B5E4B" w:rsidRPr="00EC0D2E" w:rsidRDefault="007B5E4B" w:rsidP="00040D0C">
            <w:pPr>
              <w:pStyle w:val="Tabletext0"/>
              <w:widowControl w:val="0"/>
              <w:rPr>
                <w:rFonts w:cs="Times New Roman"/>
                <w:i/>
                <w:iCs/>
              </w:rPr>
            </w:pPr>
            <w:r w:rsidRPr="00EC0D2E">
              <w:rPr>
                <w:rFonts w:cs="Times New Roman"/>
                <w:i/>
                <w:iCs/>
              </w:rPr>
              <w:t>Cabazitaxel/BS</w:t>
            </w:r>
            <w:r w:rsidR="006843D6">
              <w:rPr>
                <w:rFonts w:cs="Times New Roman"/>
                <w:i/>
                <w:iCs/>
              </w:rPr>
              <w:t>c</w:t>
            </w:r>
          </w:p>
        </w:tc>
        <w:tc>
          <w:tcPr>
            <w:tcW w:w="769" w:type="pct"/>
            <w:vMerge/>
            <w:tcBorders>
              <w:top w:val="single" w:sz="12" w:space="0" w:color="auto"/>
              <w:left w:val="single" w:sz="4" w:space="0" w:color="auto"/>
              <w:bottom w:val="single" w:sz="12" w:space="0" w:color="auto"/>
              <w:right w:val="single" w:sz="4" w:space="0" w:color="auto"/>
            </w:tcBorders>
            <w:vAlign w:val="center"/>
            <w:hideMark/>
          </w:tcPr>
          <w:p w14:paraId="6F476B29" w14:textId="77777777" w:rsidR="007B5E4B" w:rsidRPr="00EC0D2E" w:rsidRDefault="007B5E4B" w:rsidP="00040D0C">
            <w:pPr>
              <w:widowControl w:val="0"/>
              <w:spacing w:before="0"/>
              <w:rPr>
                <w:rFonts w:ascii="Arial Narrow" w:eastAsia="Times New Roman" w:hAnsi="Arial Narrow" w:cs="Times New Roman"/>
                <w:i/>
                <w:iCs/>
                <w:sz w:val="20"/>
                <w:szCs w:val="20"/>
                <w:lang w:eastAsia="en-AU"/>
              </w:rPr>
            </w:pPr>
          </w:p>
        </w:tc>
        <w:tc>
          <w:tcPr>
            <w:tcW w:w="449" w:type="pct"/>
            <w:tcBorders>
              <w:top w:val="single" w:sz="4" w:space="0" w:color="auto"/>
              <w:left w:val="single" w:sz="4" w:space="0" w:color="auto"/>
              <w:bottom w:val="single" w:sz="12" w:space="0" w:color="auto"/>
              <w:right w:val="single" w:sz="4" w:space="0" w:color="auto"/>
            </w:tcBorders>
            <w:vAlign w:val="center"/>
            <w:hideMark/>
          </w:tcPr>
          <w:p w14:paraId="21E701B4" w14:textId="77777777" w:rsidR="007B5E4B" w:rsidRPr="00EC0D2E" w:rsidRDefault="007B5E4B" w:rsidP="00040D0C">
            <w:pPr>
              <w:pStyle w:val="Tabletext0"/>
              <w:widowControl w:val="0"/>
              <w:jc w:val="center"/>
              <w:rPr>
                <w:rFonts w:cs="Times New Roman"/>
                <w:i/>
                <w:iCs/>
              </w:rPr>
            </w:pPr>
            <w:r w:rsidRPr="00EC0D2E">
              <w:rPr>
                <w:rFonts w:cs="Times New Roman"/>
                <w:i/>
                <w:iCs/>
              </w:rPr>
              <w:t>$43,313</w:t>
            </w:r>
          </w:p>
        </w:tc>
        <w:tc>
          <w:tcPr>
            <w:tcW w:w="654" w:type="pct"/>
            <w:vMerge/>
            <w:tcBorders>
              <w:top w:val="single" w:sz="12" w:space="0" w:color="auto"/>
              <w:left w:val="single" w:sz="4" w:space="0" w:color="auto"/>
              <w:bottom w:val="single" w:sz="12" w:space="0" w:color="auto"/>
              <w:right w:val="single" w:sz="4" w:space="0" w:color="auto"/>
            </w:tcBorders>
            <w:vAlign w:val="center"/>
            <w:hideMark/>
          </w:tcPr>
          <w:p w14:paraId="363908F8" w14:textId="77777777" w:rsidR="007B5E4B" w:rsidRPr="00AE6700" w:rsidRDefault="007B5E4B" w:rsidP="00040D0C">
            <w:pPr>
              <w:widowControl w:val="0"/>
              <w:spacing w:before="0"/>
              <w:rPr>
                <w:rFonts w:ascii="Arial Narrow" w:eastAsia="Times New Roman" w:hAnsi="Arial Narrow" w:cs="Times New Roman"/>
                <w:sz w:val="20"/>
                <w:szCs w:val="20"/>
                <w:lang w:eastAsia="en-AU"/>
              </w:rPr>
            </w:pPr>
          </w:p>
        </w:tc>
        <w:tc>
          <w:tcPr>
            <w:tcW w:w="688" w:type="pct"/>
            <w:tcBorders>
              <w:top w:val="single" w:sz="4" w:space="0" w:color="auto"/>
              <w:left w:val="single" w:sz="4" w:space="0" w:color="auto"/>
              <w:bottom w:val="single" w:sz="12" w:space="0" w:color="auto"/>
              <w:right w:val="single" w:sz="4" w:space="0" w:color="auto"/>
            </w:tcBorders>
            <w:vAlign w:val="center"/>
            <w:hideMark/>
          </w:tcPr>
          <w:p w14:paraId="4519DCDF" w14:textId="77777777" w:rsidR="007B5E4B" w:rsidRPr="00AE6700" w:rsidRDefault="007B5E4B" w:rsidP="00040D0C">
            <w:pPr>
              <w:pStyle w:val="Tabletext0"/>
              <w:widowControl w:val="0"/>
              <w:jc w:val="center"/>
              <w:rPr>
                <w:rFonts w:cs="Times New Roman"/>
              </w:rPr>
            </w:pPr>
            <w:r w:rsidRPr="00AE6700">
              <w:rPr>
                <w:rFonts w:cs="Times New Roman"/>
              </w:rPr>
              <w:t>0.8</w:t>
            </w:r>
          </w:p>
        </w:tc>
        <w:tc>
          <w:tcPr>
            <w:tcW w:w="674" w:type="pct"/>
            <w:vMerge/>
            <w:tcBorders>
              <w:top w:val="single" w:sz="12" w:space="0" w:color="auto"/>
              <w:left w:val="single" w:sz="4" w:space="0" w:color="auto"/>
              <w:bottom w:val="single" w:sz="12" w:space="0" w:color="auto"/>
              <w:right w:val="single" w:sz="4" w:space="0" w:color="auto"/>
            </w:tcBorders>
            <w:vAlign w:val="center"/>
            <w:hideMark/>
          </w:tcPr>
          <w:p w14:paraId="0C3B3B7E" w14:textId="77777777" w:rsidR="007B5E4B" w:rsidRPr="00AE6700" w:rsidRDefault="007B5E4B" w:rsidP="00040D0C">
            <w:pPr>
              <w:widowControl w:val="0"/>
              <w:spacing w:before="0"/>
              <w:rPr>
                <w:rFonts w:ascii="Arial Narrow" w:eastAsia="Times New Roman" w:hAnsi="Arial Narrow" w:cs="Times New Roman"/>
                <w:sz w:val="20"/>
                <w:szCs w:val="20"/>
                <w:lang w:eastAsia="en-AU"/>
              </w:rPr>
            </w:pPr>
          </w:p>
        </w:tc>
        <w:tc>
          <w:tcPr>
            <w:tcW w:w="514" w:type="pct"/>
            <w:vMerge/>
            <w:tcBorders>
              <w:top w:val="single" w:sz="12" w:space="0" w:color="auto"/>
              <w:left w:val="single" w:sz="4" w:space="0" w:color="auto"/>
              <w:bottom w:val="single" w:sz="12" w:space="0" w:color="auto"/>
              <w:right w:val="single" w:sz="4" w:space="0" w:color="auto"/>
            </w:tcBorders>
            <w:vAlign w:val="center"/>
            <w:hideMark/>
          </w:tcPr>
          <w:p w14:paraId="57661A80" w14:textId="77777777" w:rsidR="007B5E4B" w:rsidRPr="00AE6700" w:rsidRDefault="007B5E4B" w:rsidP="00040D0C">
            <w:pPr>
              <w:widowControl w:val="0"/>
              <w:spacing w:before="0"/>
              <w:rPr>
                <w:rFonts w:ascii="Arial Narrow" w:eastAsia="Times New Roman" w:hAnsi="Arial Narrow" w:cs="Times New Roman"/>
                <w:sz w:val="20"/>
                <w:szCs w:val="20"/>
                <w:lang w:eastAsia="en-AU"/>
              </w:rPr>
            </w:pPr>
          </w:p>
        </w:tc>
        <w:tc>
          <w:tcPr>
            <w:tcW w:w="441" w:type="pct"/>
            <w:vMerge/>
            <w:tcBorders>
              <w:left w:val="single" w:sz="4" w:space="0" w:color="auto"/>
              <w:bottom w:val="single" w:sz="12" w:space="0" w:color="auto"/>
              <w:right w:val="single" w:sz="4" w:space="0" w:color="auto"/>
            </w:tcBorders>
          </w:tcPr>
          <w:p w14:paraId="4173BE5A" w14:textId="77777777" w:rsidR="007B5E4B" w:rsidRPr="00AE6700" w:rsidRDefault="007B5E4B" w:rsidP="00040D0C">
            <w:pPr>
              <w:widowControl w:val="0"/>
              <w:spacing w:before="0"/>
              <w:rPr>
                <w:rFonts w:ascii="Arial Narrow" w:eastAsia="Times New Roman" w:hAnsi="Arial Narrow" w:cs="Times New Roman"/>
                <w:sz w:val="20"/>
                <w:szCs w:val="20"/>
                <w:lang w:eastAsia="en-AU"/>
              </w:rPr>
            </w:pPr>
          </w:p>
        </w:tc>
      </w:tr>
    </w:tbl>
    <w:p w14:paraId="0D35A90A" w14:textId="358A1D91" w:rsidR="00AE6700" w:rsidRPr="00AE6700" w:rsidRDefault="00AE6700" w:rsidP="00040D0C">
      <w:pPr>
        <w:pStyle w:val="TableFigNotes18"/>
        <w:widowControl w:val="0"/>
        <w:tabs>
          <w:tab w:val="left" w:pos="284"/>
        </w:tabs>
        <w:spacing w:before="0" w:after="0" w:line="240" w:lineRule="auto"/>
        <w:ind w:left="284" w:hanging="284"/>
        <w:contextualSpacing w:val="0"/>
        <w:rPr>
          <w:rFonts w:ascii="Arial Narrow" w:hAnsi="Arial Narrow" w:cs="Times New Roman"/>
          <w:i/>
          <w:iCs/>
          <w:sz w:val="18"/>
          <w:szCs w:val="18"/>
        </w:rPr>
      </w:pPr>
      <w:r w:rsidRPr="00AE6700">
        <w:rPr>
          <w:rFonts w:ascii="Arial Narrow" w:hAnsi="Arial Narrow" w:cs="Times New Roman"/>
          <w:i/>
          <w:iCs/>
          <w:szCs w:val="18"/>
          <w:vertAlign w:val="superscript"/>
        </w:rPr>
        <w:t>#</w:t>
      </w:r>
      <w:r w:rsidRPr="00AE6700">
        <w:rPr>
          <w:rFonts w:ascii="Arial Narrow" w:hAnsi="Arial Narrow" w:cs="Times New Roman"/>
          <w:i/>
          <w:iCs/>
          <w:sz w:val="18"/>
          <w:szCs w:val="18"/>
        </w:rPr>
        <w:tab/>
        <w:t xml:space="preserve">Time horizon=7.5; treatment cost is based on the </w:t>
      </w:r>
      <w:proofErr w:type="spellStart"/>
      <w:r w:rsidRPr="00AE6700">
        <w:rPr>
          <w:rFonts w:ascii="Arial Narrow" w:hAnsi="Arial Narrow" w:cs="Times New Roman"/>
          <w:i/>
          <w:iCs/>
          <w:sz w:val="18"/>
          <w:szCs w:val="18"/>
        </w:rPr>
        <w:t>ToT</w:t>
      </w:r>
      <w:proofErr w:type="spellEnd"/>
      <w:r w:rsidRPr="00AE6700">
        <w:rPr>
          <w:rFonts w:ascii="Arial Narrow" w:hAnsi="Arial Narrow" w:cs="Times New Roman"/>
          <w:i/>
          <w:iCs/>
          <w:sz w:val="18"/>
          <w:szCs w:val="18"/>
        </w:rPr>
        <w:t xml:space="preserve">=PFS from the 3-year </w:t>
      </w:r>
      <w:proofErr w:type="spellStart"/>
      <w:r w:rsidRPr="00AE6700">
        <w:rPr>
          <w:rFonts w:ascii="Arial Narrow" w:hAnsi="Arial Narrow" w:cs="Times New Roman"/>
          <w:i/>
          <w:iCs/>
          <w:sz w:val="18"/>
          <w:szCs w:val="18"/>
        </w:rPr>
        <w:t>TheraP</w:t>
      </w:r>
      <w:proofErr w:type="spellEnd"/>
      <w:r w:rsidRPr="00AE6700">
        <w:rPr>
          <w:rFonts w:ascii="Arial Narrow" w:hAnsi="Arial Narrow" w:cs="Times New Roman"/>
          <w:i/>
          <w:iCs/>
          <w:sz w:val="18"/>
          <w:szCs w:val="18"/>
        </w:rPr>
        <w:t xml:space="preserve"> follow-up; CT/Bone scan cost=0; B</w:t>
      </w:r>
      <w:r w:rsidR="00EC0D2E">
        <w:rPr>
          <w:rFonts w:ascii="Arial Narrow" w:hAnsi="Arial Narrow" w:cs="Times New Roman"/>
          <w:i/>
          <w:iCs/>
          <w:sz w:val="18"/>
          <w:szCs w:val="18"/>
        </w:rPr>
        <w:t>S</w:t>
      </w:r>
      <w:r w:rsidRPr="00AE6700">
        <w:rPr>
          <w:rFonts w:ascii="Arial Narrow" w:hAnsi="Arial Narrow" w:cs="Times New Roman"/>
          <w:i/>
          <w:iCs/>
          <w:sz w:val="18"/>
          <w:szCs w:val="18"/>
        </w:rPr>
        <w:t>C utility value=0.59 in both PFS and PD health states.</w:t>
      </w:r>
    </w:p>
    <w:p w14:paraId="5EA29542" w14:textId="503779B2" w:rsidR="00AE6700" w:rsidRPr="00AE6700" w:rsidRDefault="00AE6700" w:rsidP="00040D0C">
      <w:pPr>
        <w:pStyle w:val="TableFigNotes18"/>
        <w:widowControl w:val="0"/>
        <w:tabs>
          <w:tab w:val="left" w:pos="284"/>
        </w:tabs>
        <w:spacing w:before="0" w:after="0" w:line="240" w:lineRule="auto"/>
        <w:ind w:left="284" w:hanging="284"/>
        <w:contextualSpacing w:val="0"/>
        <w:rPr>
          <w:rFonts w:ascii="Arial Narrow" w:hAnsi="Arial Narrow" w:cs="Times New Roman"/>
          <w:i/>
          <w:iCs/>
          <w:sz w:val="18"/>
          <w:szCs w:val="18"/>
        </w:rPr>
      </w:pPr>
      <w:r w:rsidRPr="00AE6700">
        <w:rPr>
          <w:rFonts w:ascii="Arial Narrow" w:hAnsi="Arial Narrow" w:cs="Times New Roman"/>
          <w:i/>
          <w:iCs/>
          <w:sz w:val="18"/>
          <w:szCs w:val="18"/>
        </w:rPr>
        <w:t>*</w:t>
      </w:r>
      <w:r w:rsidRPr="00AE6700">
        <w:rPr>
          <w:rFonts w:ascii="Arial Narrow" w:hAnsi="Arial Narrow" w:cs="Times New Roman"/>
          <w:i/>
          <w:iCs/>
          <w:sz w:val="18"/>
          <w:szCs w:val="18"/>
        </w:rPr>
        <w:tab/>
        <w:t>The unit cost of Lu</w:t>
      </w:r>
      <w:r w:rsidR="008706CD">
        <w:rPr>
          <w:rFonts w:ascii="Arial Narrow" w:hAnsi="Arial Narrow" w:cs="Times New Roman"/>
          <w:i/>
          <w:iCs/>
          <w:sz w:val="18"/>
          <w:szCs w:val="18"/>
        </w:rPr>
        <w:t> </w:t>
      </w:r>
      <w:r w:rsidRPr="00AE6700">
        <w:rPr>
          <w:rFonts w:ascii="Arial Narrow" w:hAnsi="Arial Narrow" w:cs="Times New Roman"/>
          <w:i/>
          <w:iCs/>
          <w:sz w:val="18"/>
          <w:szCs w:val="18"/>
        </w:rPr>
        <w:t>PSMA</w:t>
      </w:r>
      <w:r w:rsidR="008706CD">
        <w:rPr>
          <w:rFonts w:ascii="Arial Narrow" w:hAnsi="Arial Narrow" w:cs="Times New Roman"/>
          <w:i/>
          <w:iCs/>
          <w:sz w:val="18"/>
          <w:szCs w:val="18"/>
        </w:rPr>
        <w:t> </w:t>
      </w:r>
      <w:proofErr w:type="spellStart"/>
      <w:r w:rsidR="008706CD">
        <w:rPr>
          <w:rFonts w:ascii="Arial Narrow" w:hAnsi="Arial Narrow" w:cs="Times New Roman"/>
          <w:i/>
          <w:iCs/>
          <w:sz w:val="18"/>
          <w:szCs w:val="18"/>
        </w:rPr>
        <w:t>i</w:t>
      </w:r>
      <w:r w:rsidR="000650EC">
        <w:rPr>
          <w:rFonts w:ascii="Arial Narrow" w:hAnsi="Arial Narrow" w:cs="Times New Roman"/>
          <w:i/>
          <w:iCs/>
          <w:sz w:val="18"/>
          <w:szCs w:val="18"/>
        </w:rPr>
        <w:t>&amp;</w:t>
      </w:r>
      <w:r w:rsidR="008706CD">
        <w:rPr>
          <w:rFonts w:ascii="Arial Narrow" w:hAnsi="Arial Narrow" w:cs="Times New Roman"/>
          <w:i/>
          <w:iCs/>
          <w:sz w:val="18"/>
          <w:szCs w:val="18"/>
        </w:rPr>
        <w:t>t</w:t>
      </w:r>
      <w:proofErr w:type="spellEnd"/>
      <w:r w:rsidRPr="00AE6700">
        <w:rPr>
          <w:rFonts w:ascii="Arial Narrow" w:hAnsi="Arial Narrow" w:cs="Times New Roman"/>
          <w:i/>
          <w:iCs/>
          <w:sz w:val="18"/>
          <w:szCs w:val="18"/>
        </w:rPr>
        <w:t xml:space="preserve"> treatment is applied to a) all surviving patients for the first 12 weeks using OS survival data from VISION; b) all progression-free patients from week 13 to week 36 using PFS survival data from VISION. </w:t>
      </w:r>
    </w:p>
    <w:p w14:paraId="1E4500C3" w14:textId="77777777" w:rsidR="00AE6700" w:rsidRPr="00AE6700" w:rsidRDefault="00AE6700" w:rsidP="00040D0C">
      <w:pPr>
        <w:pStyle w:val="TableFigNotes18"/>
        <w:widowControl w:val="0"/>
        <w:tabs>
          <w:tab w:val="left" w:pos="284"/>
        </w:tabs>
        <w:spacing w:before="0" w:after="0" w:line="240" w:lineRule="auto"/>
        <w:ind w:left="284" w:hanging="284"/>
        <w:contextualSpacing w:val="0"/>
        <w:rPr>
          <w:rFonts w:ascii="Arial Narrow" w:hAnsi="Arial Narrow" w:cs="Times New Roman"/>
          <w:i/>
          <w:iCs/>
          <w:sz w:val="18"/>
          <w:szCs w:val="18"/>
        </w:rPr>
      </w:pPr>
      <w:r w:rsidRPr="00AE6700">
        <w:rPr>
          <w:rFonts w:ascii="Arial Narrow" w:hAnsi="Arial Narrow" w:cs="Times New Roman"/>
          <w:i/>
          <w:iCs/>
          <w:sz w:val="18"/>
          <w:szCs w:val="18"/>
        </w:rPr>
        <w:t>^</w:t>
      </w:r>
      <w:r w:rsidRPr="00AE6700">
        <w:rPr>
          <w:rFonts w:ascii="Arial Narrow" w:hAnsi="Arial Narrow" w:cs="Times New Roman"/>
          <w:i/>
          <w:iCs/>
          <w:sz w:val="18"/>
          <w:szCs w:val="18"/>
        </w:rPr>
        <w:tab/>
        <w:t>Assumed to be conducted every 12 weeks.</w:t>
      </w:r>
    </w:p>
    <w:p w14:paraId="583AEF03" w14:textId="77777777" w:rsidR="00AE6700" w:rsidRPr="00AE6700" w:rsidRDefault="00AE6700" w:rsidP="00040D0C">
      <w:pPr>
        <w:pStyle w:val="TableFigNotes18"/>
        <w:widowControl w:val="0"/>
        <w:spacing w:before="0" w:after="0" w:line="240" w:lineRule="auto"/>
        <w:contextualSpacing w:val="0"/>
        <w:rPr>
          <w:rFonts w:ascii="Arial Narrow" w:hAnsi="Arial Narrow" w:cs="Times New Roman"/>
          <w:i/>
          <w:iCs/>
          <w:sz w:val="18"/>
          <w:szCs w:val="18"/>
        </w:rPr>
      </w:pPr>
      <w:r w:rsidRPr="00AE6700">
        <w:rPr>
          <w:rFonts w:ascii="Arial Narrow" w:hAnsi="Arial Narrow" w:cs="Times New Roman"/>
          <w:i/>
          <w:iCs/>
          <w:sz w:val="18"/>
          <w:szCs w:val="18"/>
        </w:rPr>
        <w:t xml:space="preserve">Abbreviations: </w:t>
      </w:r>
      <w:proofErr w:type="spellStart"/>
      <w:r w:rsidRPr="00AE6700">
        <w:rPr>
          <w:rFonts w:ascii="Arial Narrow" w:hAnsi="Arial Narrow" w:cs="Times New Roman"/>
          <w:i/>
          <w:iCs/>
          <w:sz w:val="18"/>
          <w:szCs w:val="18"/>
        </w:rPr>
        <w:t>ToT</w:t>
      </w:r>
      <w:proofErr w:type="spellEnd"/>
      <w:r w:rsidRPr="00AE6700">
        <w:rPr>
          <w:rFonts w:ascii="Arial Narrow" w:hAnsi="Arial Narrow" w:cs="Times New Roman"/>
          <w:i/>
          <w:iCs/>
          <w:sz w:val="18"/>
          <w:szCs w:val="18"/>
        </w:rPr>
        <w:t xml:space="preserve">= time on treatment; BSC=best supportive care; ICER, incremental cost-effectiveness ratio; </w:t>
      </w:r>
      <w:r w:rsidRPr="00AE6700">
        <w:rPr>
          <w:rFonts w:ascii="Arial Narrow" w:hAnsi="Arial Narrow" w:cs="Times New Roman"/>
          <w:i/>
          <w:iCs/>
          <w:sz w:val="18"/>
          <w:szCs w:val="18"/>
          <w:vertAlign w:val="superscript"/>
        </w:rPr>
        <w:t>177</w:t>
      </w:r>
      <w:r w:rsidRPr="00AE6700">
        <w:rPr>
          <w:rFonts w:ascii="Arial Narrow" w:hAnsi="Arial Narrow" w:cs="Times New Roman"/>
          <w:i/>
          <w:iCs/>
          <w:sz w:val="18"/>
          <w:szCs w:val="18"/>
        </w:rPr>
        <w:t>Lu, lutetium-177; PSMA, prostate specific membrane antigen; QALY, quality-adjusted life year</w:t>
      </w:r>
    </w:p>
    <w:p w14:paraId="6A521311" w14:textId="559937FC" w:rsidR="005E3D87" w:rsidRPr="00845294" w:rsidRDefault="001C636D" w:rsidP="00AE6700">
      <w:pPr>
        <w:pStyle w:val="Caption"/>
      </w:pPr>
      <w:bookmarkStart w:id="34" w:name="_Ref131633275"/>
      <w:r w:rsidRPr="00AE6700">
        <w:lastRenderedPageBreak/>
        <w:t xml:space="preserve">Table </w:t>
      </w:r>
      <w:r w:rsidR="005C56E0">
        <w:fldChar w:fldCharType="begin"/>
      </w:r>
      <w:r w:rsidR="005C56E0">
        <w:instrText xml:space="preserve"> SEQ Table \* ARABIC </w:instrText>
      </w:r>
      <w:r w:rsidR="005C56E0">
        <w:fldChar w:fldCharType="separate"/>
      </w:r>
      <w:r w:rsidR="00C77D78">
        <w:rPr>
          <w:noProof/>
        </w:rPr>
        <w:t>9</w:t>
      </w:r>
      <w:r w:rsidR="005C56E0">
        <w:rPr>
          <w:noProof/>
        </w:rPr>
        <w:fldChar w:fldCharType="end"/>
      </w:r>
      <w:bookmarkEnd w:id="34"/>
      <w:r w:rsidR="005E3D87" w:rsidRPr="00AE6700">
        <w:tab/>
      </w:r>
      <w:r w:rsidR="00900BD9">
        <w:t xml:space="preserve">Commentary </w:t>
      </w:r>
      <w:r w:rsidR="00603748">
        <w:t>sensitivity analyses</w:t>
      </w:r>
      <w:r w:rsidR="00900BD9">
        <w:t xml:space="preserve"> (</w:t>
      </w:r>
      <w:r w:rsidR="00AE6700" w:rsidRPr="00CD5A4F">
        <w:t>Alternative assumptions</w:t>
      </w:r>
      <w:r w:rsidR="004661C5" w:rsidRPr="00CD5A4F">
        <w:t>,</w:t>
      </w:r>
      <w:r w:rsidR="00AE6700" w:rsidRPr="00CD5A4F">
        <w:t xml:space="preserve"> tested cumulatively</w:t>
      </w:r>
      <w:r w:rsidR="001743AE" w:rsidRPr="00CD5A4F">
        <w:t xml:space="preserve"> i.e</w:t>
      </w:r>
      <w:r w:rsidR="00CE0C03">
        <w:t>.,</w:t>
      </w:r>
      <w:r w:rsidR="001743AE" w:rsidRPr="00CD5A4F">
        <w:t xml:space="preserve"> </w:t>
      </w:r>
      <w:r w:rsidR="00734687">
        <w:t xml:space="preserve">1-waySA + </w:t>
      </w:r>
      <w:r w:rsidR="001743AE" w:rsidRPr="00CD5A4F">
        <w:t>multivariate SA</w:t>
      </w:r>
      <w:r w:rsidR="00900BD9" w:rsidRPr="00CD5A4F">
        <w:t>)</w:t>
      </w:r>
    </w:p>
    <w:tbl>
      <w:tblPr>
        <w:tblStyle w:val="TableGrid"/>
        <w:tblW w:w="5000" w:type="pct"/>
        <w:tblLook w:val="04A0" w:firstRow="1" w:lastRow="0" w:firstColumn="1" w:lastColumn="0" w:noHBand="0" w:noVBand="1"/>
      </w:tblPr>
      <w:tblGrid>
        <w:gridCol w:w="1483"/>
        <w:gridCol w:w="1361"/>
        <w:gridCol w:w="809"/>
        <w:gridCol w:w="1137"/>
        <w:gridCol w:w="1274"/>
        <w:gridCol w:w="1256"/>
        <w:gridCol w:w="951"/>
        <w:gridCol w:w="745"/>
      </w:tblGrid>
      <w:tr w:rsidR="005E3D87" w14:paraId="5943FCA1" w14:textId="77777777" w:rsidTr="00040D0C">
        <w:tc>
          <w:tcPr>
            <w:tcW w:w="806" w:type="pct"/>
            <w:tcBorders>
              <w:top w:val="single" w:sz="12" w:space="0" w:color="auto"/>
              <w:left w:val="single" w:sz="4" w:space="0" w:color="auto"/>
              <w:bottom w:val="single" w:sz="12" w:space="0" w:color="auto"/>
              <w:right w:val="single" w:sz="4" w:space="0" w:color="auto"/>
            </w:tcBorders>
            <w:vAlign w:val="bottom"/>
            <w:hideMark/>
          </w:tcPr>
          <w:p w14:paraId="69B250E9" w14:textId="77777777" w:rsidR="005E3D87" w:rsidRDefault="005E3D87" w:rsidP="00EC0D2E">
            <w:pPr>
              <w:pStyle w:val="Tabletext0"/>
              <w:keepNext/>
              <w:keepLines/>
              <w:jc w:val="left"/>
              <w:rPr>
                <w:rFonts w:cs="Times New Roman"/>
                <w:b/>
                <w:bCs/>
              </w:rPr>
            </w:pPr>
            <w:r>
              <w:rPr>
                <w:rFonts w:cs="Times New Roman"/>
                <w:b/>
                <w:bCs/>
              </w:rPr>
              <w:t>Strategy</w:t>
            </w:r>
          </w:p>
        </w:tc>
        <w:tc>
          <w:tcPr>
            <w:tcW w:w="763" w:type="pct"/>
            <w:tcBorders>
              <w:top w:val="single" w:sz="12" w:space="0" w:color="auto"/>
              <w:left w:val="single" w:sz="4" w:space="0" w:color="auto"/>
              <w:bottom w:val="single" w:sz="12" w:space="0" w:color="auto"/>
              <w:right w:val="single" w:sz="4" w:space="0" w:color="auto"/>
            </w:tcBorders>
            <w:vAlign w:val="center"/>
            <w:hideMark/>
          </w:tcPr>
          <w:p w14:paraId="78D6DD66" w14:textId="77777777" w:rsidR="005E3D87" w:rsidRDefault="005E3D87" w:rsidP="00EC0D2E">
            <w:pPr>
              <w:pStyle w:val="Tabletext0"/>
              <w:keepNext/>
              <w:keepLines/>
              <w:jc w:val="center"/>
              <w:rPr>
                <w:rFonts w:cs="Times New Roman"/>
                <w:b/>
                <w:bCs/>
              </w:rPr>
            </w:pPr>
            <w:r>
              <w:rPr>
                <w:rFonts w:cs="Times New Roman"/>
                <w:b/>
                <w:bCs/>
              </w:rPr>
              <w:t>Steps</w:t>
            </w:r>
          </w:p>
        </w:tc>
        <w:tc>
          <w:tcPr>
            <w:tcW w:w="447" w:type="pct"/>
            <w:tcBorders>
              <w:top w:val="single" w:sz="12" w:space="0" w:color="auto"/>
              <w:left w:val="single" w:sz="4" w:space="0" w:color="auto"/>
              <w:bottom w:val="single" w:sz="12" w:space="0" w:color="auto"/>
              <w:right w:val="single" w:sz="4" w:space="0" w:color="auto"/>
            </w:tcBorders>
            <w:vAlign w:val="center"/>
            <w:hideMark/>
          </w:tcPr>
          <w:p w14:paraId="65F87B54" w14:textId="77777777" w:rsidR="005E3D87" w:rsidRDefault="005E3D87" w:rsidP="00AE6700">
            <w:pPr>
              <w:pStyle w:val="Tabletext0"/>
              <w:keepNext/>
              <w:keepLines/>
              <w:jc w:val="center"/>
              <w:rPr>
                <w:rFonts w:cs="Times New Roman"/>
                <w:b/>
                <w:bCs/>
              </w:rPr>
            </w:pPr>
            <w:r>
              <w:rPr>
                <w:rFonts w:cs="Times New Roman"/>
                <w:b/>
                <w:bCs/>
              </w:rPr>
              <w:t>Cost</w:t>
            </w:r>
          </w:p>
        </w:tc>
        <w:tc>
          <w:tcPr>
            <w:tcW w:w="651" w:type="pct"/>
            <w:tcBorders>
              <w:top w:val="single" w:sz="12" w:space="0" w:color="auto"/>
              <w:left w:val="single" w:sz="4" w:space="0" w:color="auto"/>
              <w:bottom w:val="single" w:sz="12" w:space="0" w:color="auto"/>
              <w:right w:val="single" w:sz="4" w:space="0" w:color="auto"/>
            </w:tcBorders>
            <w:vAlign w:val="center"/>
            <w:hideMark/>
          </w:tcPr>
          <w:p w14:paraId="08A0274D" w14:textId="77777777" w:rsidR="005E3D87" w:rsidRDefault="005E3D87" w:rsidP="00AE6700">
            <w:pPr>
              <w:pStyle w:val="Tabletext0"/>
              <w:keepNext/>
              <w:keepLines/>
              <w:jc w:val="center"/>
              <w:rPr>
                <w:rFonts w:cs="Times New Roman"/>
                <w:b/>
                <w:bCs/>
              </w:rPr>
            </w:pPr>
            <w:r>
              <w:rPr>
                <w:rFonts w:cs="Times New Roman"/>
                <w:b/>
                <w:bCs/>
              </w:rPr>
              <w:t>Incremental cost</w:t>
            </w:r>
          </w:p>
        </w:tc>
        <w:tc>
          <w:tcPr>
            <w:tcW w:w="685" w:type="pct"/>
            <w:tcBorders>
              <w:top w:val="single" w:sz="12" w:space="0" w:color="auto"/>
              <w:left w:val="single" w:sz="4" w:space="0" w:color="auto"/>
              <w:bottom w:val="single" w:sz="12" w:space="0" w:color="auto"/>
              <w:right w:val="single" w:sz="4" w:space="0" w:color="auto"/>
            </w:tcBorders>
            <w:vAlign w:val="center"/>
            <w:hideMark/>
          </w:tcPr>
          <w:p w14:paraId="03106A07" w14:textId="77777777" w:rsidR="005E3D87" w:rsidRDefault="005E3D87" w:rsidP="00AE6700">
            <w:pPr>
              <w:pStyle w:val="Tabletext0"/>
              <w:keepNext/>
              <w:keepLines/>
              <w:jc w:val="center"/>
              <w:rPr>
                <w:rFonts w:cs="Times New Roman"/>
                <w:b/>
                <w:bCs/>
              </w:rPr>
            </w:pPr>
            <w:r>
              <w:rPr>
                <w:rFonts w:cs="Times New Roman"/>
                <w:b/>
                <w:bCs/>
              </w:rPr>
              <w:t>Effectiveness (QALYs)</w:t>
            </w:r>
          </w:p>
        </w:tc>
        <w:tc>
          <w:tcPr>
            <w:tcW w:w="662" w:type="pct"/>
            <w:tcBorders>
              <w:top w:val="single" w:sz="12" w:space="0" w:color="auto"/>
              <w:left w:val="single" w:sz="4" w:space="0" w:color="auto"/>
              <w:bottom w:val="single" w:sz="12" w:space="0" w:color="auto"/>
              <w:right w:val="single" w:sz="4" w:space="0" w:color="auto"/>
            </w:tcBorders>
            <w:vAlign w:val="center"/>
            <w:hideMark/>
          </w:tcPr>
          <w:p w14:paraId="27C032BC" w14:textId="77777777" w:rsidR="005E3D87" w:rsidRDefault="005E3D87" w:rsidP="00AE6700">
            <w:pPr>
              <w:pStyle w:val="Tabletext0"/>
              <w:keepNext/>
              <w:keepLines/>
              <w:jc w:val="center"/>
              <w:rPr>
                <w:rFonts w:cs="Times New Roman"/>
                <w:b/>
                <w:bCs/>
              </w:rPr>
            </w:pPr>
            <w:r>
              <w:rPr>
                <w:rFonts w:cs="Times New Roman"/>
                <w:b/>
                <w:bCs/>
              </w:rPr>
              <w:t>Incremental effectiveness (QALYs)</w:t>
            </w:r>
          </w:p>
        </w:tc>
        <w:tc>
          <w:tcPr>
            <w:tcW w:w="559" w:type="pct"/>
            <w:tcBorders>
              <w:top w:val="single" w:sz="12" w:space="0" w:color="auto"/>
              <w:left w:val="single" w:sz="4" w:space="0" w:color="auto"/>
              <w:bottom w:val="single" w:sz="12" w:space="0" w:color="auto"/>
              <w:right w:val="single" w:sz="4" w:space="0" w:color="auto"/>
            </w:tcBorders>
            <w:vAlign w:val="center"/>
            <w:hideMark/>
          </w:tcPr>
          <w:p w14:paraId="136725E0" w14:textId="77777777" w:rsidR="005E3D87" w:rsidRDefault="005E3D87" w:rsidP="00AE6700">
            <w:pPr>
              <w:pStyle w:val="Tabletext0"/>
              <w:keepNext/>
              <w:keepLines/>
              <w:jc w:val="center"/>
              <w:rPr>
                <w:rFonts w:cs="Times New Roman"/>
                <w:b/>
                <w:bCs/>
              </w:rPr>
            </w:pPr>
            <w:r>
              <w:rPr>
                <w:rFonts w:cs="Times New Roman"/>
                <w:b/>
                <w:bCs/>
              </w:rPr>
              <w:t>ICER ($/QALY)</w:t>
            </w:r>
          </w:p>
        </w:tc>
        <w:tc>
          <w:tcPr>
            <w:tcW w:w="427" w:type="pct"/>
            <w:tcBorders>
              <w:top w:val="single" w:sz="12" w:space="0" w:color="auto"/>
              <w:left w:val="single" w:sz="4" w:space="0" w:color="auto"/>
              <w:bottom w:val="single" w:sz="12" w:space="0" w:color="auto"/>
              <w:right w:val="single" w:sz="4" w:space="0" w:color="auto"/>
            </w:tcBorders>
            <w:hideMark/>
          </w:tcPr>
          <w:p w14:paraId="7724C91B" w14:textId="77777777" w:rsidR="005E3D87" w:rsidRDefault="005E3D87" w:rsidP="00AE6700">
            <w:pPr>
              <w:pStyle w:val="Tabletext0"/>
              <w:keepNext/>
              <w:jc w:val="center"/>
              <w:rPr>
                <w:rFonts w:cs="Times New Roman"/>
                <w:b/>
                <w:bCs/>
              </w:rPr>
            </w:pPr>
            <w:r>
              <w:rPr>
                <w:rFonts w:cs="Times New Roman"/>
                <w:b/>
                <w:bCs/>
              </w:rPr>
              <w:t>Impact (%)</w:t>
            </w:r>
          </w:p>
        </w:tc>
      </w:tr>
      <w:tr w:rsidR="00EC0D2E" w14:paraId="46A8632B" w14:textId="77777777" w:rsidTr="00040D0C">
        <w:trPr>
          <w:trHeight w:val="385"/>
        </w:trPr>
        <w:tc>
          <w:tcPr>
            <w:tcW w:w="806" w:type="pct"/>
            <w:tcBorders>
              <w:top w:val="single" w:sz="12" w:space="0" w:color="auto"/>
              <w:left w:val="single" w:sz="4" w:space="0" w:color="auto"/>
              <w:bottom w:val="single" w:sz="4" w:space="0" w:color="auto"/>
              <w:right w:val="single" w:sz="4" w:space="0" w:color="auto"/>
            </w:tcBorders>
            <w:hideMark/>
          </w:tcPr>
          <w:p w14:paraId="203F9504" w14:textId="7B4479DA" w:rsidR="00EC0D2E" w:rsidRPr="001743AE" w:rsidRDefault="00EC0D2E" w:rsidP="00EC0D2E">
            <w:pPr>
              <w:pStyle w:val="Tabletext0"/>
              <w:keepNext/>
              <w:keepLines/>
              <w:rPr>
                <w:rFonts w:cs="Times New Roman"/>
                <w:b/>
              </w:rPr>
            </w:pPr>
            <w:r w:rsidRPr="001743AE">
              <w:rPr>
                <w:rFonts w:cs="Times New Roman"/>
                <w:b/>
                <w:vertAlign w:val="superscript"/>
              </w:rPr>
              <w:t>177</w:t>
            </w:r>
            <w:r w:rsidRPr="001743AE">
              <w:rPr>
                <w:rFonts w:cs="Times New Roman"/>
                <w:b/>
              </w:rPr>
              <w:t>Lu</w:t>
            </w:r>
            <w:r w:rsidR="00941825">
              <w:rPr>
                <w:rFonts w:cs="Times New Roman"/>
                <w:b/>
              </w:rPr>
              <w:t> </w:t>
            </w:r>
            <w:r w:rsidRPr="001743AE">
              <w:rPr>
                <w:rFonts w:cs="Times New Roman"/>
                <w:b/>
              </w:rPr>
              <w:t>PSMA</w:t>
            </w:r>
            <w:r w:rsidR="00941825">
              <w:rPr>
                <w:rFonts w:cs="Times New Roman"/>
                <w:b/>
              </w:rPr>
              <w:t> </w:t>
            </w:r>
            <w:proofErr w:type="spellStart"/>
            <w:r w:rsidR="00941825">
              <w:rPr>
                <w:rFonts w:cs="Times New Roman"/>
                <w:b/>
              </w:rPr>
              <w:t>i&amp;t</w:t>
            </w:r>
            <w:proofErr w:type="spellEnd"/>
          </w:p>
        </w:tc>
        <w:tc>
          <w:tcPr>
            <w:tcW w:w="763" w:type="pct"/>
            <w:vMerge w:val="restart"/>
            <w:tcBorders>
              <w:top w:val="single" w:sz="12" w:space="0" w:color="auto"/>
              <w:left w:val="single" w:sz="4" w:space="0" w:color="auto"/>
              <w:bottom w:val="nil"/>
              <w:right w:val="single" w:sz="4" w:space="0" w:color="auto"/>
            </w:tcBorders>
            <w:hideMark/>
          </w:tcPr>
          <w:p w14:paraId="42447CD7" w14:textId="05120112" w:rsidR="00EC0D2E" w:rsidRPr="001743AE" w:rsidRDefault="00EC0D2E" w:rsidP="00EC0D2E">
            <w:pPr>
              <w:pStyle w:val="Tabletext0"/>
              <w:keepNext/>
              <w:keepLines/>
              <w:jc w:val="center"/>
              <w:rPr>
                <w:rFonts w:cs="Times New Roman"/>
                <w:b/>
              </w:rPr>
            </w:pPr>
            <w:r w:rsidRPr="001743AE">
              <w:rPr>
                <w:rFonts w:cs="Times New Roman"/>
                <w:b/>
              </w:rPr>
              <w:t>Base-case in the ADAR</w:t>
            </w:r>
            <w:r w:rsidRPr="001743AE">
              <w:rPr>
                <w:rFonts w:cs="Times New Roman"/>
                <w:b/>
                <w:vertAlign w:val="superscript"/>
              </w:rPr>
              <w:t>#</w:t>
            </w:r>
          </w:p>
        </w:tc>
        <w:tc>
          <w:tcPr>
            <w:tcW w:w="447" w:type="pct"/>
            <w:tcBorders>
              <w:top w:val="single" w:sz="12" w:space="0" w:color="auto"/>
              <w:left w:val="single" w:sz="4" w:space="0" w:color="auto"/>
              <w:bottom w:val="single" w:sz="4" w:space="0" w:color="auto"/>
              <w:right w:val="single" w:sz="4" w:space="0" w:color="auto"/>
            </w:tcBorders>
            <w:vAlign w:val="center"/>
            <w:hideMark/>
          </w:tcPr>
          <w:p w14:paraId="58761B65" w14:textId="77777777" w:rsidR="00EC0D2E" w:rsidRPr="001743AE" w:rsidRDefault="00EC0D2E" w:rsidP="00EC0D2E">
            <w:pPr>
              <w:pStyle w:val="Tabletext0"/>
              <w:keepNext/>
              <w:keepLines/>
              <w:jc w:val="center"/>
              <w:rPr>
                <w:rFonts w:cs="Times New Roman"/>
                <w:b/>
              </w:rPr>
            </w:pPr>
            <w:r w:rsidRPr="001743AE">
              <w:rPr>
                <w:rFonts w:cs="Times New Roman"/>
                <w:b/>
              </w:rPr>
              <w:t>$69,003</w:t>
            </w:r>
          </w:p>
        </w:tc>
        <w:tc>
          <w:tcPr>
            <w:tcW w:w="651" w:type="pct"/>
            <w:vMerge w:val="restart"/>
            <w:tcBorders>
              <w:top w:val="single" w:sz="12" w:space="0" w:color="auto"/>
              <w:left w:val="single" w:sz="4" w:space="0" w:color="auto"/>
              <w:bottom w:val="nil"/>
              <w:right w:val="single" w:sz="4" w:space="0" w:color="auto"/>
            </w:tcBorders>
            <w:vAlign w:val="center"/>
            <w:hideMark/>
          </w:tcPr>
          <w:p w14:paraId="4605E2FC" w14:textId="77777777" w:rsidR="00EC0D2E" w:rsidRPr="001743AE" w:rsidRDefault="00EC0D2E" w:rsidP="00EC0D2E">
            <w:pPr>
              <w:pStyle w:val="Tabletext0"/>
              <w:keepNext/>
              <w:keepLines/>
              <w:jc w:val="center"/>
              <w:rPr>
                <w:rFonts w:cs="Times New Roman"/>
                <w:b/>
              </w:rPr>
            </w:pPr>
            <w:r w:rsidRPr="001743AE">
              <w:rPr>
                <w:rFonts w:cs="Times New Roman"/>
                <w:b/>
              </w:rPr>
              <w:t>$25,690</w:t>
            </w:r>
          </w:p>
        </w:tc>
        <w:tc>
          <w:tcPr>
            <w:tcW w:w="685" w:type="pct"/>
            <w:tcBorders>
              <w:top w:val="single" w:sz="12" w:space="0" w:color="auto"/>
              <w:left w:val="single" w:sz="4" w:space="0" w:color="auto"/>
              <w:bottom w:val="single" w:sz="4" w:space="0" w:color="auto"/>
              <w:right w:val="single" w:sz="4" w:space="0" w:color="auto"/>
            </w:tcBorders>
            <w:vAlign w:val="center"/>
            <w:hideMark/>
          </w:tcPr>
          <w:p w14:paraId="6AE1A999" w14:textId="77777777" w:rsidR="00EC0D2E" w:rsidRPr="001743AE" w:rsidRDefault="00EC0D2E" w:rsidP="00EC0D2E">
            <w:pPr>
              <w:pStyle w:val="Tabletext0"/>
              <w:keepNext/>
              <w:keepLines/>
              <w:jc w:val="center"/>
              <w:rPr>
                <w:rFonts w:cs="Times New Roman"/>
                <w:b/>
              </w:rPr>
            </w:pPr>
            <w:r w:rsidRPr="001743AE">
              <w:rPr>
                <w:rFonts w:cs="Times New Roman"/>
                <w:b/>
              </w:rPr>
              <w:t>1.096</w:t>
            </w:r>
          </w:p>
        </w:tc>
        <w:tc>
          <w:tcPr>
            <w:tcW w:w="662" w:type="pct"/>
            <w:vMerge w:val="restart"/>
            <w:tcBorders>
              <w:top w:val="single" w:sz="12" w:space="0" w:color="auto"/>
              <w:left w:val="single" w:sz="4" w:space="0" w:color="auto"/>
              <w:bottom w:val="nil"/>
              <w:right w:val="single" w:sz="4" w:space="0" w:color="auto"/>
            </w:tcBorders>
            <w:vAlign w:val="center"/>
            <w:hideMark/>
          </w:tcPr>
          <w:p w14:paraId="6E343A6E" w14:textId="77777777" w:rsidR="00EC0D2E" w:rsidRPr="001743AE" w:rsidRDefault="00EC0D2E" w:rsidP="00EC0D2E">
            <w:pPr>
              <w:pStyle w:val="Tabletext0"/>
              <w:keepNext/>
              <w:keepLines/>
              <w:jc w:val="center"/>
              <w:rPr>
                <w:rFonts w:cs="Times New Roman"/>
                <w:b/>
              </w:rPr>
            </w:pPr>
            <w:r w:rsidRPr="001743AE">
              <w:rPr>
                <w:rFonts w:cs="Times New Roman"/>
                <w:b/>
              </w:rPr>
              <w:t>0.349</w:t>
            </w:r>
          </w:p>
        </w:tc>
        <w:tc>
          <w:tcPr>
            <w:tcW w:w="559" w:type="pct"/>
            <w:vMerge w:val="restart"/>
            <w:tcBorders>
              <w:top w:val="single" w:sz="12" w:space="0" w:color="auto"/>
              <w:left w:val="single" w:sz="4" w:space="0" w:color="auto"/>
              <w:bottom w:val="nil"/>
              <w:right w:val="single" w:sz="4" w:space="0" w:color="auto"/>
            </w:tcBorders>
            <w:vAlign w:val="center"/>
            <w:hideMark/>
          </w:tcPr>
          <w:p w14:paraId="64B284DF" w14:textId="77777777" w:rsidR="00EC0D2E" w:rsidRPr="001743AE" w:rsidRDefault="00EC0D2E" w:rsidP="00EC0D2E">
            <w:pPr>
              <w:pStyle w:val="Tabletext0"/>
              <w:keepNext/>
              <w:keepLines/>
              <w:jc w:val="center"/>
              <w:rPr>
                <w:rFonts w:cs="Times New Roman"/>
                <w:b/>
              </w:rPr>
            </w:pPr>
            <w:r w:rsidRPr="001743AE">
              <w:rPr>
                <w:rFonts w:cs="Times New Roman"/>
                <w:b/>
              </w:rPr>
              <w:t>$73,622</w:t>
            </w:r>
          </w:p>
        </w:tc>
        <w:tc>
          <w:tcPr>
            <w:tcW w:w="427" w:type="pct"/>
            <w:vMerge w:val="restart"/>
            <w:tcBorders>
              <w:top w:val="single" w:sz="12" w:space="0" w:color="auto"/>
              <w:left w:val="single" w:sz="4" w:space="0" w:color="auto"/>
              <w:bottom w:val="nil"/>
              <w:right w:val="single" w:sz="4" w:space="0" w:color="auto"/>
            </w:tcBorders>
            <w:vAlign w:val="center"/>
          </w:tcPr>
          <w:p w14:paraId="3238C348" w14:textId="77777777" w:rsidR="00EC0D2E" w:rsidRPr="001743AE" w:rsidRDefault="00EC0D2E" w:rsidP="007B5E4B">
            <w:pPr>
              <w:pStyle w:val="Tabletext0"/>
              <w:keepNext/>
              <w:jc w:val="center"/>
              <w:rPr>
                <w:rFonts w:cs="Times New Roman"/>
                <w:b/>
              </w:rPr>
            </w:pPr>
            <w:r w:rsidRPr="001743AE">
              <w:rPr>
                <w:rFonts w:cs="Times New Roman"/>
                <w:b/>
              </w:rPr>
              <w:t>N/A</w:t>
            </w:r>
          </w:p>
        </w:tc>
      </w:tr>
      <w:tr w:rsidR="00EC0D2E" w14:paraId="7AA9BBB5" w14:textId="77777777" w:rsidTr="00040D0C">
        <w:trPr>
          <w:trHeight w:val="386"/>
        </w:trPr>
        <w:tc>
          <w:tcPr>
            <w:tcW w:w="806" w:type="pct"/>
            <w:tcBorders>
              <w:top w:val="single" w:sz="4" w:space="0" w:color="auto"/>
              <w:left w:val="single" w:sz="4" w:space="0" w:color="auto"/>
              <w:bottom w:val="nil"/>
              <w:right w:val="single" w:sz="4" w:space="0" w:color="auto"/>
            </w:tcBorders>
            <w:hideMark/>
          </w:tcPr>
          <w:p w14:paraId="44F1436F" w14:textId="0D039862" w:rsidR="00EC0D2E" w:rsidRPr="001743AE" w:rsidRDefault="00EC0D2E" w:rsidP="00EC0D2E">
            <w:pPr>
              <w:pStyle w:val="Tabletext0"/>
              <w:keepNext/>
              <w:keepLines/>
              <w:rPr>
                <w:rFonts w:cs="Times New Roman"/>
                <w:b/>
              </w:rPr>
            </w:pPr>
            <w:r w:rsidRPr="001743AE">
              <w:rPr>
                <w:rFonts w:cs="Times New Roman"/>
                <w:b/>
              </w:rPr>
              <w:t>Cabazitaxel/BS</w:t>
            </w:r>
            <w:r w:rsidR="006843D6">
              <w:rPr>
                <w:rFonts w:cs="Times New Roman"/>
                <w:b/>
              </w:rPr>
              <w:t>c</w:t>
            </w:r>
          </w:p>
        </w:tc>
        <w:tc>
          <w:tcPr>
            <w:tcW w:w="763" w:type="pct"/>
            <w:vMerge/>
            <w:tcBorders>
              <w:top w:val="single" w:sz="12" w:space="0" w:color="auto"/>
              <w:left w:val="single" w:sz="4" w:space="0" w:color="auto"/>
              <w:bottom w:val="nil"/>
              <w:right w:val="single" w:sz="4" w:space="0" w:color="auto"/>
            </w:tcBorders>
            <w:vAlign w:val="center"/>
            <w:hideMark/>
          </w:tcPr>
          <w:p w14:paraId="76B4D8DB" w14:textId="77777777" w:rsidR="00EC0D2E" w:rsidRPr="001743AE" w:rsidRDefault="00EC0D2E" w:rsidP="00EC0D2E">
            <w:pPr>
              <w:keepNext/>
              <w:spacing w:before="0"/>
              <w:rPr>
                <w:rFonts w:ascii="Arial Narrow" w:eastAsia="Times New Roman" w:hAnsi="Arial Narrow" w:cs="Times New Roman"/>
                <w:b/>
                <w:sz w:val="20"/>
                <w:szCs w:val="20"/>
                <w:lang w:eastAsia="en-AU"/>
              </w:rPr>
            </w:pPr>
          </w:p>
        </w:tc>
        <w:tc>
          <w:tcPr>
            <w:tcW w:w="447" w:type="pct"/>
            <w:tcBorders>
              <w:top w:val="single" w:sz="4" w:space="0" w:color="auto"/>
              <w:left w:val="single" w:sz="4" w:space="0" w:color="auto"/>
              <w:bottom w:val="nil"/>
              <w:right w:val="single" w:sz="4" w:space="0" w:color="auto"/>
            </w:tcBorders>
            <w:vAlign w:val="center"/>
            <w:hideMark/>
          </w:tcPr>
          <w:p w14:paraId="12F03A1B" w14:textId="77777777" w:rsidR="00EC0D2E" w:rsidRPr="001743AE" w:rsidRDefault="00EC0D2E" w:rsidP="00EC0D2E">
            <w:pPr>
              <w:pStyle w:val="Tabletext0"/>
              <w:keepNext/>
              <w:keepLines/>
              <w:jc w:val="center"/>
              <w:rPr>
                <w:rFonts w:cs="Times New Roman"/>
                <w:b/>
              </w:rPr>
            </w:pPr>
            <w:r w:rsidRPr="001743AE">
              <w:rPr>
                <w:rFonts w:cs="Times New Roman"/>
                <w:b/>
              </w:rPr>
              <w:t>$43,313</w:t>
            </w:r>
          </w:p>
        </w:tc>
        <w:tc>
          <w:tcPr>
            <w:tcW w:w="651" w:type="pct"/>
            <w:vMerge/>
            <w:tcBorders>
              <w:top w:val="single" w:sz="12" w:space="0" w:color="auto"/>
              <w:left w:val="single" w:sz="4" w:space="0" w:color="auto"/>
              <w:bottom w:val="nil"/>
              <w:right w:val="single" w:sz="4" w:space="0" w:color="auto"/>
            </w:tcBorders>
            <w:vAlign w:val="center"/>
            <w:hideMark/>
          </w:tcPr>
          <w:p w14:paraId="24F1CAB1" w14:textId="77777777" w:rsidR="00EC0D2E" w:rsidRPr="001743AE" w:rsidRDefault="00EC0D2E" w:rsidP="00EC0D2E">
            <w:pPr>
              <w:keepNext/>
              <w:spacing w:before="0"/>
              <w:rPr>
                <w:rFonts w:ascii="Arial Narrow" w:eastAsia="Times New Roman" w:hAnsi="Arial Narrow" w:cs="Times New Roman"/>
                <w:b/>
                <w:sz w:val="20"/>
                <w:szCs w:val="20"/>
                <w:lang w:eastAsia="en-AU"/>
              </w:rPr>
            </w:pPr>
          </w:p>
        </w:tc>
        <w:tc>
          <w:tcPr>
            <w:tcW w:w="685" w:type="pct"/>
            <w:tcBorders>
              <w:top w:val="single" w:sz="4" w:space="0" w:color="auto"/>
              <w:left w:val="single" w:sz="4" w:space="0" w:color="auto"/>
              <w:bottom w:val="nil"/>
              <w:right w:val="single" w:sz="4" w:space="0" w:color="auto"/>
            </w:tcBorders>
            <w:vAlign w:val="center"/>
            <w:hideMark/>
          </w:tcPr>
          <w:p w14:paraId="6AF9BA92" w14:textId="77777777" w:rsidR="00EC0D2E" w:rsidRPr="001743AE" w:rsidRDefault="00EC0D2E" w:rsidP="00EC0D2E">
            <w:pPr>
              <w:pStyle w:val="Tabletext0"/>
              <w:keepNext/>
              <w:keepLines/>
              <w:jc w:val="center"/>
              <w:rPr>
                <w:rFonts w:cs="Times New Roman"/>
                <w:b/>
              </w:rPr>
            </w:pPr>
            <w:r w:rsidRPr="001743AE">
              <w:rPr>
                <w:rFonts w:cs="Times New Roman"/>
                <w:b/>
              </w:rPr>
              <w:t>0.747</w:t>
            </w:r>
          </w:p>
        </w:tc>
        <w:tc>
          <w:tcPr>
            <w:tcW w:w="662" w:type="pct"/>
            <w:vMerge/>
            <w:tcBorders>
              <w:top w:val="single" w:sz="12" w:space="0" w:color="auto"/>
              <w:left w:val="single" w:sz="4" w:space="0" w:color="auto"/>
              <w:bottom w:val="nil"/>
              <w:right w:val="single" w:sz="4" w:space="0" w:color="auto"/>
            </w:tcBorders>
            <w:vAlign w:val="center"/>
            <w:hideMark/>
          </w:tcPr>
          <w:p w14:paraId="09775DD1" w14:textId="77777777" w:rsidR="00EC0D2E" w:rsidRPr="001743AE" w:rsidRDefault="00EC0D2E" w:rsidP="00EC0D2E">
            <w:pPr>
              <w:keepNext/>
              <w:spacing w:before="0"/>
              <w:rPr>
                <w:rFonts w:ascii="Arial Narrow" w:eastAsia="Times New Roman" w:hAnsi="Arial Narrow" w:cs="Times New Roman"/>
                <w:b/>
                <w:sz w:val="20"/>
                <w:szCs w:val="20"/>
                <w:lang w:eastAsia="en-AU"/>
              </w:rPr>
            </w:pPr>
          </w:p>
        </w:tc>
        <w:tc>
          <w:tcPr>
            <w:tcW w:w="559" w:type="pct"/>
            <w:vMerge/>
            <w:tcBorders>
              <w:top w:val="single" w:sz="12" w:space="0" w:color="auto"/>
              <w:left w:val="single" w:sz="4" w:space="0" w:color="auto"/>
              <w:bottom w:val="nil"/>
              <w:right w:val="single" w:sz="4" w:space="0" w:color="auto"/>
            </w:tcBorders>
            <w:vAlign w:val="center"/>
            <w:hideMark/>
          </w:tcPr>
          <w:p w14:paraId="4356C842" w14:textId="77777777" w:rsidR="00EC0D2E" w:rsidRPr="001743AE" w:rsidRDefault="00EC0D2E" w:rsidP="00EC0D2E">
            <w:pPr>
              <w:keepNext/>
              <w:spacing w:before="0"/>
              <w:rPr>
                <w:rFonts w:ascii="Arial Narrow" w:eastAsia="Times New Roman" w:hAnsi="Arial Narrow" w:cs="Times New Roman"/>
                <w:b/>
                <w:sz w:val="20"/>
                <w:szCs w:val="20"/>
                <w:lang w:eastAsia="en-AU"/>
              </w:rPr>
            </w:pPr>
          </w:p>
        </w:tc>
        <w:tc>
          <w:tcPr>
            <w:tcW w:w="427" w:type="pct"/>
            <w:vMerge/>
            <w:tcBorders>
              <w:top w:val="single" w:sz="12" w:space="0" w:color="auto"/>
              <w:left w:val="single" w:sz="4" w:space="0" w:color="auto"/>
              <w:bottom w:val="nil"/>
              <w:right w:val="single" w:sz="4" w:space="0" w:color="auto"/>
            </w:tcBorders>
            <w:vAlign w:val="center"/>
            <w:hideMark/>
          </w:tcPr>
          <w:p w14:paraId="734D61B1" w14:textId="77777777" w:rsidR="00EC0D2E" w:rsidRPr="001743AE" w:rsidRDefault="00EC0D2E" w:rsidP="00CD5A4F">
            <w:pPr>
              <w:keepNext/>
              <w:spacing w:before="0"/>
              <w:jc w:val="center"/>
              <w:rPr>
                <w:rFonts w:ascii="Arial Narrow" w:eastAsia="Times New Roman" w:hAnsi="Arial Narrow" w:cs="Times New Roman"/>
                <w:b/>
                <w:sz w:val="20"/>
                <w:szCs w:val="20"/>
                <w:lang w:eastAsia="en-AU"/>
              </w:rPr>
            </w:pPr>
          </w:p>
        </w:tc>
      </w:tr>
      <w:tr w:rsidR="00EC0D2E" w14:paraId="6BCF5740" w14:textId="77777777" w:rsidTr="00040D0C">
        <w:trPr>
          <w:trHeight w:val="386"/>
        </w:trPr>
        <w:tc>
          <w:tcPr>
            <w:tcW w:w="806" w:type="pct"/>
            <w:tcBorders>
              <w:top w:val="single" w:sz="12" w:space="0" w:color="auto"/>
              <w:left w:val="single" w:sz="4" w:space="0" w:color="auto"/>
              <w:bottom w:val="single" w:sz="4" w:space="0" w:color="auto"/>
              <w:right w:val="single" w:sz="4" w:space="0" w:color="auto"/>
            </w:tcBorders>
            <w:hideMark/>
          </w:tcPr>
          <w:p w14:paraId="5C930B0F" w14:textId="5DF9A890" w:rsidR="00EC0D2E" w:rsidRDefault="00EC0D2E" w:rsidP="00EC0D2E">
            <w:pPr>
              <w:pStyle w:val="Tabletext0"/>
              <w:keepNext/>
              <w:keepLines/>
              <w:rPr>
                <w:rFonts w:cs="Times New Roman"/>
              </w:rPr>
            </w:pPr>
            <w:r w:rsidRPr="00EC0D2E">
              <w:rPr>
                <w:rFonts w:cs="Times New Roman"/>
                <w:i/>
                <w:iCs/>
                <w:vertAlign w:val="superscript"/>
              </w:rPr>
              <w:t>177</w:t>
            </w:r>
            <w:r w:rsidRPr="00EC0D2E">
              <w:rPr>
                <w:rFonts w:cs="Times New Roman"/>
                <w:i/>
                <w:iCs/>
              </w:rPr>
              <w:t>Lu</w:t>
            </w:r>
            <w:r w:rsidR="00941825">
              <w:rPr>
                <w:rFonts w:cs="Times New Roman"/>
                <w:i/>
                <w:iCs/>
              </w:rPr>
              <w:t> </w:t>
            </w:r>
            <w:r w:rsidRPr="00EC0D2E">
              <w:rPr>
                <w:rFonts w:cs="Times New Roman"/>
                <w:i/>
                <w:iCs/>
              </w:rPr>
              <w:t>PSMA</w:t>
            </w:r>
            <w:r w:rsidR="00941825">
              <w:rPr>
                <w:rFonts w:cs="Times New Roman"/>
                <w:i/>
                <w:iCs/>
              </w:rPr>
              <w:t> </w:t>
            </w:r>
            <w:proofErr w:type="spellStart"/>
            <w:r w:rsidR="00941825">
              <w:rPr>
                <w:rFonts w:cs="Times New Roman"/>
                <w:i/>
                <w:iCs/>
              </w:rPr>
              <w:t>i&amp;t</w:t>
            </w:r>
            <w:proofErr w:type="spellEnd"/>
          </w:p>
        </w:tc>
        <w:tc>
          <w:tcPr>
            <w:tcW w:w="763" w:type="pct"/>
            <w:vMerge w:val="restart"/>
            <w:tcBorders>
              <w:top w:val="single" w:sz="12" w:space="0" w:color="auto"/>
              <w:left w:val="single" w:sz="4" w:space="0" w:color="auto"/>
              <w:bottom w:val="single" w:sz="12" w:space="0" w:color="auto"/>
              <w:right w:val="single" w:sz="4" w:space="0" w:color="auto"/>
            </w:tcBorders>
            <w:hideMark/>
          </w:tcPr>
          <w:p w14:paraId="101C257B" w14:textId="77777777" w:rsidR="00EC0D2E" w:rsidRPr="00EC0D2E" w:rsidRDefault="00EC0D2E" w:rsidP="00EC0D2E">
            <w:pPr>
              <w:pStyle w:val="Tabletext0"/>
              <w:keepNext/>
              <w:keepLines/>
              <w:jc w:val="center"/>
              <w:rPr>
                <w:rFonts w:cs="Times New Roman"/>
                <w:i/>
                <w:iCs/>
              </w:rPr>
            </w:pPr>
            <w:r w:rsidRPr="00EC0D2E">
              <w:rPr>
                <w:rFonts w:cs="Times New Roman"/>
                <w:i/>
                <w:iCs/>
              </w:rPr>
              <w:t>Time horizon 5 years</w:t>
            </w:r>
          </w:p>
        </w:tc>
        <w:tc>
          <w:tcPr>
            <w:tcW w:w="447" w:type="pct"/>
            <w:tcBorders>
              <w:top w:val="single" w:sz="12" w:space="0" w:color="auto"/>
              <w:left w:val="single" w:sz="4" w:space="0" w:color="auto"/>
              <w:bottom w:val="single" w:sz="4" w:space="0" w:color="auto"/>
              <w:right w:val="single" w:sz="4" w:space="0" w:color="auto"/>
            </w:tcBorders>
            <w:vAlign w:val="center"/>
            <w:hideMark/>
          </w:tcPr>
          <w:p w14:paraId="22D689CC" w14:textId="77777777" w:rsidR="00EC0D2E" w:rsidRPr="00EC0D2E" w:rsidRDefault="00EC0D2E" w:rsidP="00EC0D2E">
            <w:pPr>
              <w:pStyle w:val="Tabletext0"/>
              <w:keepNext/>
              <w:keepLines/>
              <w:jc w:val="center"/>
              <w:rPr>
                <w:rFonts w:cs="Times New Roman"/>
                <w:i/>
                <w:iCs/>
              </w:rPr>
            </w:pPr>
            <w:r w:rsidRPr="00EC0D2E">
              <w:rPr>
                <w:rFonts w:cs="Times New Roman"/>
                <w:i/>
                <w:iCs/>
              </w:rPr>
              <w:t>$67,939</w:t>
            </w:r>
          </w:p>
        </w:tc>
        <w:tc>
          <w:tcPr>
            <w:tcW w:w="651" w:type="pct"/>
            <w:vMerge w:val="restart"/>
            <w:tcBorders>
              <w:top w:val="single" w:sz="12" w:space="0" w:color="auto"/>
              <w:left w:val="single" w:sz="4" w:space="0" w:color="auto"/>
              <w:bottom w:val="single" w:sz="12" w:space="0" w:color="auto"/>
              <w:right w:val="single" w:sz="4" w:space="0" w:color="auto"/>
            </w:tcBorders>
            <w:vAlign w:val="center"/>
            <w:hideMark/>
          </w:tcPr>
          <w:p w14:paraId="1B710DBC" w14:textId="77777777" w:rsidR="00EC0D2E" w:rsidRPr="00EC0D2E" w:rsidRDefault="00EC0D2E" w:rsidP="00EC0D2E">
            <w:pPr>
              <w:pStyle w:val="Tabletext0"/>
              <w:keepNext/>
              <w:keepLines/>
              <w:jc w:val="center"/>
              <w:rPr>
                <w:rFonts w:cs="Times New Roman"/>
                <w:i/>
                <w:iCs/>
              </w:rPr>
            </w:pPr>
            <w:r w:rsidRPr="00EC0D2E">
              <w:rPr>
                <w:rFonts w:cs="Times New Roman"/>
                <w:i/>
                <w:iCs/>
              </w:rPr>
              <w:t>$25,020</w:t>
            </w:r>
          </w:p>
        </w:tc>
        <w:tc>
          <w:tcPr>
            <w:tcW w:w="685" w:type="pct"/>
            <w:tcBorders>
              <w:top w:val="single" w:sz="12" w:space="0" w:color="auto"/>
              <w:left w:val="single" w:sz="4" w:space="0" w:color="auto"/>
              <w:bottom w:val="single" w:sz="4" w:space="0" w:color="auto"/>
              <w:right w:val="single" w:sz="4" w:space="0" w:color="auto"/>
            </w:tcBorders>
            <w:vAlign w:val="center"/>
            <w:hideMark/>
          </w:tcPr>
          <w:p w14:paraId="5B28A8BB" w14:textId="77777777" w:rsidR="00EC0D2E" w:rsidRPr="00EC0D2E" w:rsidRDefault="00EC0D2E" w:rsidP="00EC0D2E">
            <w:pPr>
              <w:pStyle w:val="Tabletext0"/>
              <w:keepNext/>
              <w:keepLines/>
              <w:jc w:val="center"/>
              <w:rPr>
                <w:rFonts w:cs="Times New Roman"/>
                <w:i/>
                <w:iCs/>
              </w:rPr>
            </w:pPr>
            <w:r w:rsidRPr="00EC0D2E">
              <w:rPr>
                <w:rFonts w:cs="Times New Roman"/>
                <w:i/>
                <w:iCs/>
              </w:rPr>
              <w:t>1.050</w:t>
            </w:r>
          </w:p>
        </w:tc>
        <w:tc>
          <w:tcPr>
            <w:tcW w:w="662" w:type="pct"/>
            <w:vMerge w:val="restart"/>
            <w:tcBorders>
              <w:top w:val="single" w:sz="12" w:space="0" w:color="auto"/>
              <w:left w:val="single" w:sz="4" w:space="0" w:color="auto"/>
              <w:bottom w:val="single" w:sz="12" w:space="0" w:color="auto"/>
              <w:right w:val="single" w:sz="4" w:space="0" w:color="auto"/>
            </w:tcBorders>
            <w:vAlign w:val="center"/>
            <w:hideMark/>
          </w:tcPr>
          <w:p w14:paraId="41DDFA0E" w14:textId="77777777" w:rsidR="00EC0D2E" w:rsidRPr="00EC0D2E" w:rsidRDefault="00EC0D2E" w:rsidP="00EC0D2E">
            <w:pPr>
              <w:pStyle w:val="Tabletext0"/>
              <w:keepNext/>
              <w:keepLines/>
              <w:jc w:val="center"/>
              <w:rPr>
                <w:rFonts w:cs="Times New Roman"/>
                <w:i/>
                <w:iCs/>
              </w:rPr>
            </w:pPr>
            <w:r w:rsidRPr="00EC0D2E">
              <w:rPr>
                <w:rFonts w:cs="Times New Roman"/>
                <w:i/>
                <w:iCs/>
              </w:rPr>
              <w:t>0.315</w:t>
            </w:r>
          </w:p>
        </w:tc>
        <w:tc>
          <w:tcPr>
            <w:tcW w:w="559" w:type="pct"/>
            <w:vMerge w:val="restart"/>
            <w:tcBorders>
              <w:top w:val="single" w:sz="12" w:space="0" w:color="auto"/>
              <w:left w:val="single" w:sz="4" w:space="0" w:color="auto"/>
              <w:bottom w:val="single" w:sz="12" w:space="0" w:color="auto"/>
              <w:right w:val="single" w:sz="4" w:space="0" w:color="auto"/>
            </w:tcBorders>
            <w:vAlign w:val="center"/>
            <w:hideMark/>
          </w:tcPr>
          <w:p w14:paraId="7BCEC90B" w14:textId="77777777" w:rsidR="00EC0D2E" w:rsidRPr="00EC0D2E" w:rsidRDefault="00EC0D2E" w:rsidP="00EC0D2E">
            <w:pPr>
              <w:pStyle w:val="Tabletext0"/>
              <w:keepNext/>
              <w:keepLines/>
              <w:jc w:val="center"/>
              <w:rPr>
                <w:rFonts w:cs="Times New Roman"/>
                <w:i/>
                <w:iCs/>
              </w:rPr>
            </w:pPr>
            <w:r w:rsidRPr="00EC0D2E">
              <w:rPr>
                <w:rFonts w:cs="Times New Roman"/>
                <w:i/>
                <w:iCs/>
              </w:rPr>
              <w:t>$79,496</w:t>
            </w:r>
          </w:p>
        </w:tc>
        <w:tc>
          <w:tcPr>
            <w:tcW w:w="427" w:type="pct"/>
            <w:vMerge w:val="restart"/>
            <w:tcBorders>
              <w:top w:val="single" w:sz="12" w:space="0" w:color="auto"/>
              <w:left w:val="single" w:sz="4" w:space="0" w:color="auto"/>
              <w:bottom w:val="single" w:sz="12" w:space="0" w:color="auto"/>
              <w:right w:val="single" w:sz="4" w:space="0" w:color="auto"/>
            </w:tcBorders>
            <w:vAlign w:val="center"/>
          </w:tcPr>
          <w:p w14:paraId="7183E404" w14:textId="77777777" w:rsidR="00EC0D2E" w:rsidRPr="00EC0D2E" w:rsidRDefault="00EC0D2E" w:rsidP="007B5E4B">
            <w:pPr>
              <w:pStyle w:val="Tabletext0"/>
              <w:keepNext/>
              <w:jc w:val="center"/>
              <w:rPr>
                <w:rFonts w:cs="Times New Roman"/>
                <w:i/>
                <w:iCs/>
              </w:rPr>
            </w:pPr>
            <w:r w:rsidRPr="00EC0D2E">
              <w:rPr>
                <w:rFonts w:cs="Times New Roman"/>
                <w:i/>
                <w:iCs/>
              </w:rPr>
              <w:t>+8.0</w:t>
            </w:r>
          </w:p>
        </w:tc>
      </w:tr>
      <w:tr w:rsidR="00EC0D2E" w14:paraId="731B2E03" w14:textId="77777777" w:rsidTr="00040D0C">
        <w:trPr>
          <w:trHeight w:val="386"/>
        </w:trPr>
        <w:tc>
          <w:tcPr>
            <w:tcW w:w="806" w:type="pct"/>
            <w:tcBorders>
              <w:top w:val="single" w:sz="4" w:space="0" w:color="auto"/>
              <w:left w:val="single" w:sz="4" w:space="0" w:color="auto"/>
              <w:bottom w:val="single" w:sz="12" w:space="0" w:color="auto"/>
              <w:right w:val="single" w:sz="4" w:space="0" w:color="auto"/>
            </w:tcBorders>
          </w:tcPr>
          <w:p w14:paraId="6BC1008B" w14:textId="4DC488A9" w:rsidR="00EC0D2E" w:rsidRDefault="00EC0D2E" w:rsidP="00EC0D2E">
            <w:pPr>
              <w:pStyle w:val="Tabletext0"/>
              <w:keepNext/>
              <w:keepLines/>
              <w:rPr>
                <w:rFonts w:cs="Times New Roman"/>
              </w:rPr>
            </w:pPr>
            <w:r w:rsidRPr="00EC0D2E">
              <w:rPr>
                <w:rFonts w:cs="Times New Roman"/>
                <w:i/>
                <w:iCs/>
              </w:rPr>
              <w:t>Cabazitaxel/BS</w:t>
            </w:r>
            <w:r w:rsidR="006843D6">
              <w:rPr>
                <w:rFonts w:cs="Times New Roman"/>
                <w:i/>
                <w:iCs/>
              </w:rPr>
              <w:t>c</w:t>
            </w:r>
          </w:p>
        </w:tc>
        <w:tc>
          <w:tcPr>
            <w:tcW w:w="763" w:type="pct"/>
            <w:vMerge/>
            <w:tcBorders>
              <w:top w:val="single" w:sz="12" w:space="0" w:color="auto"/>
              <w:left w:val="single" w:sz="4" w:space="0" w:color="auto"/>
              <w:bottom w:val="single" w:sz="12" w:space="0" w:color="auto"/>
              <w:right w:val="single" w:sz="4" w:space="0" w:color="auto"/>
            </w:tcBorders>
            <w:vAlign w:val="center"/>
            <w:hideMark/>
          </w:tcPr>
          <w:p w14:paraId="663ED31F"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447" w:type="pct"/>
            <w:tcBorders>
              <w:top w:val="single" w:sz="4" w:space="0" w:color="auto"/>
              <w:left w:val="single" w:sz="4" w:space="0" w:color="auto"/>
              <w:bottom w:val="single" w:sz="12" w:space="0" w:color="auto"/>
              <w:right w:val="single" w:sz="4" w:space="0" w:color="auto"/>
            </w:tcBorders>
            <w:vAlign w:val="center"/>
            <w:hideMark/>
          </w:tcPr>
          <w:p w14:paraId="13364B91" w14:textId="77777777" w:rsidR="00EC0D2E" w:rsidRPr="00EC0D2E" w:rsidRDefault="00EC0D2E" w:rsidP="00EC0D2E">
            <w:pPr>
              <w:pStyle w:val="Tabletext0"/>
              <w:keepNext/>
              <w:keepLines/>
              <w:jc w:val="center"/>
              <w:rPr>
                <w:rFonts w:cs="Times New Roman"/>
                <w:i/>
                <w:iCs/>
              </w:rPr>
            </w:pPr>
            <w:r w:rsidRPr="00EC0D2E">
              <w:rPr>
                <w:rFonts w:cs="Times New Roman"/>
                <w:i/>
                <w:iCs/>
              </w:rPr>
              <w:t>$42,919</w:t>
            </w:r>
          </w:p>
        </w:tc>
        <w:tc>
          <w:tcPr>
            <w:tcW w:w="651" w:type="pct"/>
            <w:vMerge/>
            <w:tcBorders>
              <w:top w:val="single" w:sz="12" w:space="0" w:color="auto"/>
              <w:left w:val="single" w:sz="4" w:space="0" w:color="auto"/>
              <w:bottom w:val="single" w:sz="12" w:space="0" w:color="auto"/>
              <w:right w:val="single" w:sz="4" w:space="0" w:color="auto"/>
            </w:tcBorders>
            <w:vAlign w:val="center"/>
            <w:hideMark/>
          </w:tcPr>
          <w:p w14:paraId="24FDC475"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685" w:type="pct"/>
            <w:tcBorders>
              <w:top w:val="single" w:sz="4" w:space="0" w:color="auto"/>
              <w:left w:val="single" w:sz="4" w:space="0" w:color="auto"/>
              <w:bottom w:val="single" w:sz="12" w:space="0" w:color="auto"/>
              <w:right w:val="single" w:sz="4" w:space="0" w:color="auto"/>
            </w:tcBorders>
            <w:vAlign w:val="center"/>
            <w:hideMark/>
          </w:tcPr>
          <w:p w14:paraId="36667A9F" w14:textId="77777777" w:rsidR="00EC0D2E" w:rsidRPr="00EC0D2E" w:rsidRDefault="00EC0D2E" w:rsidP="00EC0D2E">
            <w:pPr>
              <w:pStyle w:val="Tabletext0"/>
              <w:keepNext/>
              <w:keepLines/>
              <w:jc w:val="center"/>
              <w:rPr>
                <w:rFonts w:cs="Times New Roman"/>
                <w:i/>
                <w:iCs/>
              </w:rPr>
            </w:pPr>
            <w:r w:rsidRPr="00EC0D2E">
              <w:rPr>
                <w:rFonts w:cs="Times New Roman"/>
                <w:i/>
                <w:iCs/>
              </w:rPr>
              <w:t>0.735</w:t>
            </w:r>
          </w:p>
        </w:tc>
        <w:tc>
          <w:tcPr>
            <w:tcW w:w="662" w:type="pct"/>
            <w:vMerge/>
            <w:tcBorders>
              <w:top w:val="single" w:sz="12" w:space="0" w:color="auto"/>
              <w:left w:val="single" w:sz="4" w:space="0" w:color="auto"/>
              <w:bottom w:val="single" w:sz="12" w:space="0" w:color="auto"/>
              <w:right w:val="single" w:sz="4" w:space="0" w:color="auto"/>
            </w:tcBorders>
            <w:vAlign w:val="center"/>
            <w:hideMark/>
          </w:tcPr>
          <w:p w14:paraId="147AEF7F"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559" w:type="pct"/>
            <w:vMerge/>
            <w:tcBorders>
              <w:top w:val="single" w:sz="12" w:space="0" w:color="auto"/>
              <w:left w:val="single" w:sz="4" w:space="0" w:color="auto"/>
              <w:bottom w:val="single" w:sz="12" w:space="0" w:color="auto"/>
              <w:right w:val="single" w:sz="4" w:space="0" w:color="auto"/>
            </w:tcBorders>
            <w:vAlign w:val="center"/>
            <w:hideMark/>
          </w:tcPr>
          <w:p w14:paraId="4B42846C"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427" w:type="pct"/>
            <w:vMerge/>
            <w:tcBorders>
              <w:top w:val="single" w:sz="12" w:space="0" w:color="auto"/>
              <w:left w:val="single" w:sz="4" w:space="0" w:color="auto"/>
              <w:bottom w:val="single" w:sz="12" w:space="0" w:color="auto"/>
              <w:right w:val="single" w:sz="4" w:space="0" w:color="auto"/>
            </w:tcBorders>
            <w:vAlign w:val="center"/>
            <w:hideMark/>
          </w:tcPr>
          <w:p w14:paraId="51DF004B" w14:textId="77777777" w:rsidR="00EC0D2E" w:rsidRPr="00EC0D2E" w:rsidRDefault="00EC0D2E" w:rsidP="00CD5A4F">
            <w:pPr>
              <w:keepNext/>
              <w:spacing w:before="0"/>
              <w:jc w:val="center"/>
              <w:rPr>
                <w:rFonts w:ascii="Arial Narrow" w:eastAsia="Times New Roman" w:hAnsi="Arial Narrow" w:cs="Times New Roman"/>
                <w:i/>
                <w:iCs/>
                <w:sz w:val="20"/>
                <w:szCs w:val="20"/>
                <w:lang w:eastAsia="en-AU"/>
              </w:rPr>
            </w:pPr>
          </w:p>
        </w:tc>
      </w:tr>
      <w:tr w:rsidR="00EC0D2E" w14:paraId="5F2F7567" w14:textId="77777777" w:rsidTr="00040D0C">
        <w:trPr>
          <w:trHeight w:val="386"/>
        </w:trPr>
        <w:tc>
          <w:tcPr>
            <w:tcW w:w="806" w:type="pct"/>
            <w:tcBorders>
              <w:top w:val="single" w:sz="12" w:space="0" w:color="auto"/>
              <w:left w:val="single" w:sz="4" w:space="0" w:color="auto"/>
              <w:bottom w:val="single" w:sz="4" w:space="0" w:color="auto"/>
              <w:right w:val="single" w:sz="4" w:space="0" w:color="auto"/>
            </w:tcBorders>
            <w:hideMark/>
          </w:tcPr>
          <w:p w14:paraId="74C11116" w14:textId="07BB87E6" w:rsidR="00EC0D2E" w:rsidRDefault="00EC0D2E" w:rsidP="00EC0D2E">
            <w:pPr>
              <w:pStyle w:val="Tabletext0"/>
              <w:keepNext/>
              <w:keepLines/>
              <w:rPr>
                <w:rFonts w:cs="Times New Roman"/>
              </w:rPr>
            </w:pPr>
            <w:r w:rsidRPr="00EC0D2E">
              <w:rPr>
                <w:rFonts w:cs="Times New Roman"/>
                <w:i/>
                <w:iCs/>
                <w:vertAlign w:val="superscript"/>
              </w:rPr>
              <w:t>177</w:t>
            </w:r>
            <w:r w:rsidRPr="00EC0D2E">
              <w:rPr>
                <w:rFonts w:cs="Times New Roman"/>
                <w:i/>
                <w:iCs/>
              </w:rPr>
              <w:t>Lu</w:t>
            </w:r>
            <w:r w:rsidR="00941825">
              <w:rPr>
                <w:rFonts w:cs="Times New Roman"/>
                <w:i/>
                <w:iCs/>
              </w:rPr>
              <w:t> </w:t>
            </w:r>
            <w:r w:rsidRPr="00EC0D2E">
              <w:rPr>
                <w:rFonts w:cs="Times New Roman"/>
                <w:i/>
                <w:iCs/>
              </w:rPr>
              <w:t>PSMA</w:t>
            </w:r>
            <w:r w:rsidR="00941825">
              <w:rPr>
                <w:rFonts w:cs="Times New Roman"/>
                <w:i/>
                <w:iCs/>
              </w:rPr>
              <w:t> </w:t>
            </w:r>
            <w:proofErr w:type="spellStart"/>
            <w:r w:rsidR="00941825">
              <w:rPr>
                <w:rFonts w:cs="Times New Roman"/>
                <w:i/>
                <w:iCs/>
              </w:rPr>
              <w:t>i&amp;t</w:t>
            </w:r>
            <w:proofErr w:type="spellEnd"/>
          </w:p>
        </w:tc>
        <w:tc>
          <w:tcPr>
            <w:tcW w:w="763" w:type="pct"/>
            <w:vMerge w:val="restart"/>
            <w:tcBorders>
              <w:top w:val="single" w:sz="12" w:space="0" w:color="auto"/>
              <w:left w:val="single" w:sz="4" w:space="0" w:color="auto"/>
              <w:bottom w:val="single" w:sz="12" w:space="0" w:color="auto"/>
              <w:right w:val="single" w:sz="4" w:space="0" w:color="auto"/>
            </w:tcBorders>
            <w:hideMark/>
          </w:tcPr>
          <w:p w14:paraId="2DB97DB1" w14:textId="77777777" w:rsidR="00EC0D2E" w:rsidRPr="00EC0D2E" w:rsidRDefault="00EC0D2E" w:rsidP="00EC0D2E">
            <w:pPr>
              <w:pStyle w:val="Tabletext0"/>
              <w:keepNext/>
              <w:keepLines/>
              <w:jc w:val="center"/>
              <w:rPr>
                <w:rFonts w:cs="Times New Roman"/>
                <w:i/>
                <w:iCs/>
              </w:rPr>
            </w:pPr>
            <w:proofErr w:type="spellStart"/>
            <w:r w:rsidRPr="00EC0D2E">
              <w:rPr>
                <w:rFonts w:cs="Times New Roman"/>
                <w:i/>
                <w:iCs/>
              </w:rPr>
              <w:t>ToT</w:t>
            </w:r>
            <w:proofErr w:type="spellEnd"/>
            <w:r w:rsidRPr="00EC0D2E">
              <w:rPr>
                <w:rFonts w:cs="Times New Roman"/>
                <w:i/>
                <w:iCs/>
              </w:rPr>
              <w:t xml:space="preserve"> reversed to survival data from VISION*</w:t>
            </w:r>
          </w:p>
        </w:tc>
        <w:tc>
          <w:tcPr>
            <w:tcW w:w="447" w:type="pct"/>
            <w:tcBorders>
              <w:top w:val="single" w:sz="12" w:space="0" w:color="auto"/>
              <w:left w:val="single" w:sz="4" w:space="0" w:color="auto"/>
              <w:bottom w:val="single" w:sz="4" w:space="0" w:color="auto"/>
              <w:right w:val="single" w:sz="4" w:space="0" w:color="auto"/>
            </w:tcBorders>
            <w:vAlign w:val="center"/>
            <w:hideMark/>
          </w:tcPr>
          <w:p w14:paraId="4017BD27" w14:textId="77777777" w:rsidR="00EC0D2E" w:rsidRPr="00EC0D2E" w:rsidRDefault="00EC0D2E" w:rsidP="00EC0D2E">
            <w:pPr>
              <w:pStyle w:val="Tabletext0"/>
              <w:keepNext/>
              <w:keepLines/>
              <w:jc w:val="center"/>
              <w:rPr>
                <w:rFonts w:cs="Times New Roman"/>
                <w:i/>
                <w:iCs/>
              </w:rPr>
            </w:pPr>
            <w:r w:rsidRPr="00EC0D2E">
              <w:rPr>
                <w:rFonts w:cs="Times New Roman"/>
                <w:i/>
                <w:iCs/>
              </w:rPr>
              <w:t>$75,376</w:t>
            </w:r>
          </w:p>
        </w:tc>
        <w:tc>
          <w:tcPr>
            <w:tcW w:w="651" w:type="pct"/>
            <w:vMerge w:val="restart"/>
            <w:tcBorders>
              <w:top w:val="single" w:sz="12" w:space="0" w:color="auto"/>
              <w:left w:val="single" w:sz="4" w:space="0" w:color="auto"/>
              <w:bottom w:val="single" w:sz="12" w:space="0" w:color="auto"/>
              <w:right w:val="single" w:sz="4" w:space="0" w:color="auto"/>
            </w:tcBorders>
            <w:vAlign w:val="center"/>
            <w:hideMark/>
          </w:tcPr>
          <w:p w14:paraId="69C05071" w14:textId="77777777" w:rsidR="00EC0D2E" w:rsidRPr="00EC0D2E" w:rsidRDefault="00EC0D2E" w:rsidP="00EC0D2E">
            <w:pPr>
              <w:pStyle w:val="Tabletext0"/>
              <w:keepNext/>
              <w:keepLines/>
              <w:jc w:val="center"/>
              <w:rPr>
                <w:rFonts w:cs="Times New Roman"/>
                <w:i/>
                <w:iCs/>
              </w:rPr>
            </w:pPr>
            <w:r w:rsidRPr="00EC0D2E">
              <w:rPr>
                <w:rFonts w:cs="Times New Roman"/>
                <w:i/>
                <w:iCs/>
              </w:rPr>
              <w:t>$32,457</w:t>
            </w:r>
          </w:p>
        </w:tc>
        <w:tc>
          <w:tcPr>
            <w:tcW w:w="685" w:type="pct"/>
            <w:tcBorders>
              <w:top w:val="single" w:sz="12" w:space="0" w:color="auto"/>
              <w:left w:val="single" w:sz="4" w:space="0" w:color="auto"/>
              <w:bottom w:val="single" w:sz="4" w:space="0" w:color="auto"/>
              <w:right w:val="single" w:sz="4" w:space="0" w:color="auto"/>
            </w:tcBorders>
            <w:vAlign w:val="center"/>
            <w:hideMark/>
          </w:tcPr>
          <w:p w14:paraId="11DADFA3" w14:textId="77777777" w:rsidR="00EC0D2E" w:rsidRPr="00EC0D2E" w:rsidRDefault="00EC0D2E" w:rsidP="00EC0D2E">
            <w:pPr>
              <w:pStyle w:val="Tabletext0"/>
              <w:keepNext/>
              <w:keepLines/>
              <w:jc w:val="center"/>
              <w:rPr>
                <w:rFonts w:cs="Times New Roman"/>
                <w:i/>
                <w:iCs/>
              </w:rPr>
            </w:pPr>
            <w:r w:rsidRPr="00EC0D2E">
              <w:rPr>
                <w:rFonts w:cs="Times New Roman"/>
                <w:i/>
                <w:iCs/>
              </w:rPr>
              <w:t>1.050</w:t>
            </w:r>
          </w:p>
        </w:tc>
        <w:tc>
          <w:tcPr>
            <w:tcW w:w="662" w:type="pct"/>
            <w:vMerge w:val="restart"/>
            <w:tcBorders>
              <w:top w:val="single" w:sz="12" w:space="0" w:color="auto"/>
              <w:left w:val="single" w:sz="4" w:space="0" w:color="auto"/>
              <w:bottom w:val="single" w:sz="12" w:space="0" w:color="auto"/>
              <w:right w:val="single" w:sz="4" w:space="0" w:color="auto"/>
            </w:tcBorders>
            <w:vAlign w:val="center"/>
            <w:hideMark/>
          </w:tcPr>
          <w:p w14:paraId="14C228DD" w14:textId="77777777" w:rsidR="00EC0D2E" w:rsidRPr="00EC0D2E" w:rsidRDefault="00EC0D2E" w:rsidP="00EC0D2E">
            <w:pPr>
              <w:pStyle w:val="Tabletext0"/>
              <w:keepNext/>
              <w:keepLines/>
              <w:jc w:val="center"/>
              <w:rPr>
                <w:rFonts w:cs="Times New Roman"/>
                <w:i/>
                <w:iCs/>
              </w:rPr>
            </w:pPr>
            <w:r w:rsidRPr="00EC0D2E">
              <w:rPr>
                <w:rFonts w:cs="Times New Roman"/>
                <w:i/>
                <w:iCs/>
              </w:rPr>
              <w:t>0.315</w:t>
            </w:r>
          </w:p>
        </w:tc>
        <w:tc>
          <w:tcPr>
            <w:tcW w:w="559" w:type="pct"/>
            <w:vMerge w:val="restart"/>
            <w:tcBorders>
              <w:top w:val="single" w:sz="12" w:space="0" w:color="auto"/>
              <w:left w:val="single" w:sz="4" w:space="0" w:color="auto"/>
              <w:bottom w:val="single" w:sz="12" w:space="0" w:color="auto"/>
              <w:right w:val="single" w:sz="4" w:space="0" w:color="auto"/>
            </w:tcBorders>
            <w:vAlign w:val="center"/>
            <w:hideMark/>
          </w:tcPr>
          <w:p w14:paraId="77A6660C" w14:textId="77777777" w:rsidR="00EC0D2E" w:rsidRPr="00EC0D2E" w:rsidRDefault="00EC0D2E" w:rsidP="00EC0D2E">
            <w:pPr>
              <w:pStyle w:val="Tabletext0"/>
              <w:keepNext/>
              <w:keepLines/>
              <w:jc w:val="center"/>
              <w:rPr>
                <w:rFonts w:cs="Times New Roman"/>
                <w:i/>
                <w:iCs/>
              </w:rPr>
            </w:pPr>
            <w:r w:rsidRPr="00EC0D2E">
              <w:rPr>
                <w:rFonts w:cs="Times New Roman"/>
                <w:i/>
                <w:iCs/>
              </w:rPr>
              <w:t>$103,127</w:t>
            </w:r>
          </w:p>
        </w:tc>
        <w:tc>
          <w:tcPr>
            <w:tcW w:w="427" w:type="pct"/>
            <w:vMerge w:val="restart"/>
            <w:tcBorders>
              <w:top w:val="single" w:sz="12" w:space="0" w:color="auto"/>
              <w:left w:val="single" w:sz="4" w:space="0" w:color="auto"/>
              <w:bottom w:val="single" w:sz="12" w:space="0" w:color="auto"/>
              <w:right w:val="single" w:sz="4" w:space="0" w:color="auto"/>
            </w:tcBorders>
            <w:vAlign w:val="center"/>
          </w:tcPr>
          <w:p w14:paraId="044ED434" w14:textId="77777777" w:rsidR="00EC0D2E" w:rsidRPr="00EC0D2E" w:rsidRDefault="00EC0D2E" w:rsidP="007B5E4B">
            <w:pPr>
              <w:pStyle w:val="Tabletext0"/>
              <w:keepNext/>
              <w:jc w:val="center"/>
              <w:rPr>
                <w:rFonts w:cs="Times New Roman"/>
                <w:i/>
                <w:iCs/>
              </w:rPr>
            </w:pPr>
            <w:r w:rsidRPr="00EC0D2E">
              <w:rPr>
                <w:rFonts w:cs="Times New Roman"/>
                <w:i/>
                <w:iCs/>
              </w:rPr>
              <w:t>+40.1</w:t>
            </w:r>
          </w:p>
        </w:tc>
      </w:tr>
      <w:tr w:rsidR="00EC0D2E" w14:paraId="5A8820D9" w14:textId="77777777" w:rsidTr="00040D0C">
        <w:trPr>
          <w:trHeight w:val="385"/>
        </w:trPr>
        <w:tc>
          <w:tcPr>
            <w:tcW w:w="806" w:type="pct"/>
            <w:tcBorders>
              <w:top w:val="single" w:sz="4" w:space="0" w:color="auto"/>
              <w:left w:val="single" w:sz="4" w:space="0" w:color="auto"/>
              <w:bottom w:val="single" w:sz="12" w:space="0" w:color="auto"/>
              <w:right w:val="single" w:sz="4" w:space="0" w:color="auto"/>
            </w:tcBorders>
            <w:hideMark/>
          </w:tcPr>
          <w:p w14:paraId="3AB7D832" w14:textId="4059477D" w:rsidR="00EC0D2E" w:rsidRDefault="00EC0D2E" w:rsidP="00EC0D2E">
            <w:pPr>
              <w:pStyle w:val="Tabletext0"/>
              <w:keepNext/>
              <w:keepLines/>
              <w:rPr>
                <w:rFonts w:cs="Times New Roman"/>
              </w:rPr>
            </w:pPr>
            <w:r w:rsidRPr="00EC0D2E">
              <w:rPr>
                <w:rFonts w:cs="Times New Roman"/>
                <w:i/>
                <w:iCs/>
              </w:rPr>
              <w:t>Cabazitaxel/BS</w:t>
            </w:r>
            <w:r w:rsidR="006843D6">
              <w:rPr>
                <w:rFonts w:cs="Times New Roman"/>
                <w:i/>
                <w:iCs/>
              </w:rPr>
              <w:t>c</w:t>
            </w:r>
          </w:p>
        </w:tc>
        <w:tc>
          <w:tcPr>
            <w:tcW w:w="763" w:type="pct"/>
            <w:vMerge/>
            <w:tcBorders>
              <w:top w:val="single" w:sz="12" w:space="0" w:color="auto"/>
              <w:left w:val="single" w:sz="4" w:space="0" w:color="auto"/>
              <w:bottom w:val="single" w:sz="12" w:space="0" w:color="auto"/>
              <w:right w:val="single" w:sz="4" w:space="0" w:color="auto"/>
            </w:tcBorders>
            <w:vAlign w:val="center"/>
            <w:hideMark/>
          </w:tcPr>
          <w:p w14:paraId="39EDBF98"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447" w:type="pct"/>
            <w:tcBorders>
              <w:top w:val="single" w:sz="4" w:space="0" w:color="auto"/>
              <w:left w:val="single" w:sz="4" w:space="0" w:color="auto"/>
              <w:bottom w:val="single" w:sz="12" w:space="0" w:color="auto"/>
              <w:right w:val="single" w:sz="4" w:space="0" w:color="auto"/>
            </w:tcBorders>
            <w:vAlign w:val="center"/>
            <w:hideMark/>
          </w:tcPr>
          <w:p w14:paraId="70DC045B" w14:textId="77777777" w:rsidR="00EC0D2E" w:rsidRPr="00EC0D2E" w:rsidRDefault="00EC0D2E" w:rsidP="00EC0D2E">
            <w:pPr>
              <w:pStyle w:val="Tabletext0"/>
              <w:keepNext/>
              <w:keepLines/>
              <w:jc w:val="center"/>
              <w:rPr>
                <w:rFonts w:cs="Times New Roman"/>
                <w:i/>
                <w:iCs/>
              </w:rPr>
            </w:pPr>
            <w:r w:rsidRPr="00EC0D2E">
              <w:rPr>
                <w:rFonts w:cs="Times New Roman"/>
                <w:i/>
                <w:iCs/>
              </w:rPr>
              <w:t>$42,919</w:t>
            </w:r>
          </w:p>
        </w:tc>
        <w:tc>
          <w:tcPr>
            <w:tcW w:w="651" w:type="pct"/>
            <w:vMerge/>
            <w:tcBorders>
              <w:top w:val="single" w:sz="12" w:space="0" w:color="auto"/>
              <w:left w:val="single" w:sz="4" w:space="0" w:color="auto"/>
              <w:bottom w:val="single" w:sz="12" w:space="0" w:color="auto"/>
              <w:right w:val="single" w:sz="4" w:space="0" w:color="auto"/>
            </w:tcBorders>
            <w:vAlign w:val="center"/>
            <w:hideMark/>
          </w:tcPr>
          <w:p w14:paraId="43A0049B"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685" w:type="pct"/>
            <w:tcBorders>
              <w:top w:val="single" w:sz="4" w:space="0" w:color="auto"/>
              <w:left w:val="single" w:sz="4" w:space="0" w:color="auto"/>
              <w:bottom w:val="single" w:sz="12" w:space="0" w:color="auto"/>
              <w:right w:val="single" w:sz="4" w:space="0" w:color="auto"/>
            </w:tcBorders>
            <w:vAlign w:val="center"/>
            <w:hideMark/>
          </w:tcPr>
          <w:p w14:paraId="6CDD775C" w14:textId="77777777" w:rsidR="00EC0D2E" w:rsidRPr="00EC0D2E" w:rsidRDefault="00EC0D2E" w:rsidP="00EC0D2E">
            <w:pPr>
              <w:pStyle w:val="Tabletext0"/>
              <w:keepNext/>
              <w:keepLines/>
              <w:jc w:val="center"/>
              <w:rPr>
                <w:rFonts w:cs="Times New Roman"/>
                <w:i/>
                <w:iCs/>
              </w:rPr>
            </w:pPr>
            <w:r w:rsidRPr="00EC0D2E">
              <w:rPr>
                <w:rFonts w:cs="Times New Roman"/>
                <w:i/>
                <w:iCs/>
              </w:rPr>
              <w:t>0.735</w:t>
            </w:r>
          </w:p>
        </w:tc>
        <w:tc>
          <w:tcPr>
            <w:tcW w:w="662" w:type="pct"/>
            <w:vMerge/>
            <w:tcBorders>
              <w:top w:val="single" w:sz="12" w:space="0" w:color="auto"/>
              <w:left w:val="single" w:sz="4" w:space="0" w:color="auto"/>
              <w:bottom w:val="single" w:sz="12" w:space="0" w:color="auto"/>
              <w:right w:val="single" w:sz="4" w:space="0" w:color="auto"/>
            </w:tcBorders>
            <w:vAlign w:val="center"/>
            <w:hideMark/>
          </w:tcPr>
          <w:p w14:paraId="07390873"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559" w:type="pct"/>
            <w:vMerge/>
            <w:tcBorders>
              <w:top w:val="single" w:sz="12" w:space="0" w:color="auto"/>
              <w:left w:val="single" w:sz="4" w:space="0" w:color="auto"/>
              <w:bottom w:val="single" w:sz="12" w:space="0" w:color="auto"/>
              <w:right w:val="single" w:sz="4" w:space="0" w:color="auto"/>
            </w:tcBorders>
            <w:vAlign w:val="center"/>
            <w:hideMark/>
          </w:tcPr>
          <w:p w14:paraId="3205D95A"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427" w:type="pct"/>
            <w:vMerge/>
            <w:tcBorders>
              <w:top w:val="single" w:sz="12" w:space="0" w:color="auto"/>
              <w:left w:val="single" w:sz="4" w:space="0" w:color="auto"/>
              <w:bottom w:val="single" w:sz="12" w:space="0" w:color="auto"/>
              <w:right w:val="single" w:sz="4" w:space="0" w:color="auto"/>
            </w:tcBorders>
            <w:vAlign w:val="center"/>
            <w:hideMark/>
          </w:tcPr>
          <w:p w14:paraId="257026AA" w14:textId="77777777" w:rsidR="00EC0D2E" w:rsidRPr="00EC0D2E" w:rsidRDefault="00EC0D2E" w:rsidP="00CD5A4F">
            <w:pPr>
              <w:keepNext/>
              <w:spacing w:before="0"/>
              <w:jc w:val="center"/>
              <w:rPr>
                <w:rFonts w:ascii="Arial Narrow" w:eastAsia="Times New Roman" w:hAnsi="Arial Narrow" w:cs="Times New Roman"/>
                <w:i/>
                <w:iCs/>
                <w:sz w:val="20"/>
                <w:szCs w:val="20"/>
                <w:lang w:eastAsia="en-AU"/>
              </w:rPr>
            </w:pPr>
          </w:p>
        </w:tc>
      </w:tr>
      <w:tr w:rsidR="00EC0D2E" w14:paraId="1F6C51C9" w14:textId="77777777" w:rsidTr="00040D0C">
        <w:trPr>
          <w:trHeight w:val="386"/>
        </w:trPr>
        <w:tc>
          <w:tcPr>
            <w:tcW w:w="806" w:type="pct"/>
            <w:tcBorders>
              <w:top w:val="single" w:sz="12" w:space="0" w:color="auto"/>
              <w:left w:val="single" w:sz="4" w:space="0" w:color="auto"/>
              <w:bottom w:val="single" w:sz="4" w:space="0" w:color="auto"/>
              <w:right w:val="single" w:sz="4" w:space="0" w:color="auto"/>
            </w:tcBorders>
            <w:hideMark/>
          </w:tcPr>
          <w:p w14:paraId="3360FD8C" w14:textId="3C186472" w:rsidR="00EC0D2E" w:rsidRDefault="00EC0D2E" w:rsidP="00EC0D2E">
            <w:pPr>
              <w:pStyle w:val="Tabletext0"/>
              <w:keepNext/>
              <w:keepLines/>
              <w:rPr>
                <w:rFonts w:cs="Times New Roman"/>
              </w:rPr>
            </w:pPr>
            <w:r w:rsidRPr="00EC0D2E">
              <w:rPr>
                <w:rFonts w:cs="Times New Roman"/>
                <w:i/>
                <w:iCs/>
                <w:vertAlign w:val="superscript"/>
              </w:rPr>
              <w:t>177</w:t>
            </w:r>
            <w:r w:rsidRPr="00EC0D2E">
              <w:rPr>
                <w:rFonts w:cs="Times New Roman"/>
                <w:i/>
                <w:iCs/>
              </w:rPr>
              <w:t>Lu</w:t>
            </w:r>
            <w:r w:rsidR="00941825">
              <w:rPr>
                <w:rFonts w:cs="Times New Roman"/>
                <w:i/>
                <w:iCs/>
              </w:rPr>
              <w:t> </w:t>
            </w:r>
            <w:r w:rsidRPr="00EC0D2E">
              <w:rPr>
                <w:rFonts w:cs="Times New Roman"/>
                <w:i/>
                <w:iCs/>
              </w:rPr>
              <w:t>PSMA</w:t>
            </w:r>
            <w:r w:rsidR="00941825">
              <w:rPr>
                <w:rFonts w:cs="Times New Roman"/>
                <w:i/>
                <w:iCs/>
              </w:rPr>
              <w:t> </w:t>
            </w:r>
            <w:proofErr w:type="spellStart"/>
            <w:r w:rsidR="00941825">
              <w:rPr>
                <w:rFonts w:cs="Times New Roman"/>
                <w:i/>
                <w:iCs/>
              </w:rPr>
              <w:t>i&amp;t</w:t>
            </w:r>
            <w:proofErr w:type="spellEnd"/>
          </w:p>
        </w:tc>
        <w:tc>
          <w:tcPr>
            <w:tcW w:w="763" w:type="pct"/>
            <w:vMerge w:val="restart"/>
            <w:tcBorders>
              <w:top w:val="single" w:sz="12" w:space="0" w:color="auto"/>
              <w:left w:val="single" w:sz="4" w:space="0" w:color="auto"/>
              <w:bottom w:val="single" w:sz="12" w:space="0" w:color="auto"/>
              <w:right w:val="single" w:sz="4" w:space="0" w:color="auto"/>
            </w:tcBorders>
            <w:hideMark/>
          </w:tcPr>
          <w:p w14:paraId="2AEBC019" w14:textId="77777777" w:rsidR="00EC0D2E" w:rsidRPr="00EC0D2E" w:rsidRDefault="00EC0D2E" w:rsidP="00EC0D2E">
            <w:pPr>
              <w:pStyle w:val="Tabletext0"/>
              <w:keepNext/>
              <w:keepLines/>
              <w:jc w:val="center"/>
              <w:rPr>
                <w:rFonts w:cs="Times New Roman"/>
                <w:i/>
                <w:iCs/>
              </w:rPr>
            </w:pPr>
            <w:r w:rsidRPr="00EC0D2E">
              <w:rPr>
                <w:rFonts w:cs="Times New Roman"/>
                <w:i/>
                <w:iCs/>
              </w:rPr>
              <w:t>Costs of CT/Bone scans added^</w:t>
            </w:r>
          </w:p>
        </w:tc>
        <w:tc>
          <w:tcPr>
            <w:tcW w:w="447" w:type="pct"/>
            <w:tcBorders>
              <w:top w:val="single" w:sz="12" w:space="0" w:color="auto"/>
              <w:left w:val="single" w:sz="4" w:space="0" w:color="auto"/>
              <w:bottom w:val="single" w:sz="4" w:space="0" w:color="auto"/>
              <w:right w:val="single" w:sz="4" w:space="0" w:color="auto"/>
            </w:tcBorders>
            <w:vAlign w:val="center"/>
            <w:hideMark/>
          </w:tcPr>
          <w:p w14:paraId="31354990" w14:textId="77777777" w:rsidR="00EC0D2E" w:rsidRPr="00EC0D2E" w:rsidRDefault="00EC0D2E" w:rsidP="00EC0D2E">
            <w:pPr>
              <w:pStyle w:val="Tabletext0"/>
              <w:keepNext/>
              <w:keepLines/>
              <w:jc w:val="center"/>
              <w:rPr>
                <w:rFonts w:cs="Times New Roman"/>
                <w:i/>
                <w:iCs/>
              </w:rPr>
            </w:pPr>
            <w:r w:rsidRPr="00EC0D2E">
              <w:rPr>
                <w:rFonts w:cs="Times New Roman"/>
                <w:i/>
                <w:iCs/>
              </w:rPr>
              <w:t>$76,680</w:t>
            </w:r>
          </w:p>
        </w:tc>
        <w:tc>
          <w:tcPr>
            <w:tcW w:w="651" w:type="pct"/>
            <w:vMerge w:val="restart"/>
            <w:tcBorders>
              <w:top w:val="single" w:sz="12" w:space="0" w:color="auto"/>
              <w:left w:val="single" w:sz="4" w:space="0" w:color="auto"/>
              <w:bottom w:val="single" w:sz="12" w:space="0" w:color="auto"/>
              <w:right w:val="single" w:sz="4" w:space="0" w:color="auto"/>
            </w:tcBorders>
            <w:vAlign w:val="center"/>
            <w:hideMark/>
          </w:tcPr>
          <w:p w14:paraId="6453E1EB" w14:textId="77777777" w:rsidR="00EC0D2E" w:rsidRPr="00EC0D2E" w:rsidRDefault="00EC0D2E" w:rsidP="00EC0D2E">
            <w:pPr>
              <w:pStyle w:val="Tabletext0"/>
              <w:keepNext/>
              <w:keepLines/>
              <w:jc w:val="center"/>
              <w:rPr>
                <w:rFonts w:cs="Times New Roman"/>
                <w:i/>
                <w:iCs/>
              </w:rPr>
            </w:pPr>
            <w:r w:rsidRPr="00EC0D2E">
              <w:rPr>
                <w:rFonts w:cs="Times New Roman"/>
                <w:i/>
                <w:iCs/>
              </w:rPr>
              <w:t>$33,761</w:t>
            </w:r>
          </w:p>
        </w:tc>
        <w:tc>
          <w:tcPr>
            <w:tcW w:w="685" w:type="pct"/>
            <w:tcBorders>
              <w:top w:val="single" w:sz="12" w:space="0" w:color="auto"/>
              <w:left w:val="single" w:sz="4" w:space="0" w:color="auto"/>
              <w:bottom w:val="single" w:sz="4" w:space="0" w:color="auto"/>
              <w:right w:val="single" w:sz="4" w:space="0" w:color="auto"/>
            </w:tcBorders>
            <w:vAlign w:val="center"/>
            <w:hideMark/>
          </w:tcPr>
          <w:p w14:paraId="010ECE97" w14:textId="77777777" w:rsidR="00EC0D2E" w:rsidRPr="00EC0D2E" w:rsidRDefault="00EC0D2E" w:rsidP="00EC0D2E">
            <w:pPr>
              <w:pStyle w:val="Tabletext0"/>
              <w:keepNext/>
              <w:keepLines/>
              <w:jc w:val="center"/>
              <w:rPr>
                <w:rFonts w:cs="Times New Roman"/>
                <w:i/>
                <w:iCs/>
              </w:rPr>
            </w:pPr>
            <w:r w:rsidRPr="00EC0D2E">
              <w:rPr>
                <w:rFonts w:cs="Times New Roman"/>
                <w:i/>
                <w:iCs/>
              </w:rPr>
              <w:t>1.050</w:t>
            </w:r>
          </w:p>
        </w:tc>
        <w:tc>
          <w:tcPr>
            <w:tcW w:w="662" w:type="pct"/>
            <w:vMerge w:val="restart"/>
            <w:tcBorders>
              <w:top w:val="single" w:sz="12" w:space="0" w:color="auto"/>
              <w:left w:val="single" w:sz="4" w:space="0" w:color="auto"/>
              <w:bottom w:val="single" w:sz="12" w:space="0" w:color="auto"/>
              <w:right w:val="single" w:sz="4" w:space="0" w:color="auto"/>
            </w:tcBorders>
            <w:vAlign w:val="center"/>
            <w:hideMark/>
          </w:tcPr>
          <w:p w14:paraId="30181EA5" w14:textId="77777777" w:rsidR="00EC0D2E" w:rsidRPr="00EC0D2E" w:rsidRDefault="00EC0D2E" w:rsidP="00EC0D2E">
            <w:pPr>
              <w:pStyle w:val="Tabletext0"/>
              <w:keepNext/>
              <w:keepLines/>
              <w:jc w:val="center"/>
              <w:rPr>
                <w:rFonts w:cs="Times New Roman"/>
                <w:i/>
                <w:iCs/>
              </w:rPr>
            </w:pPr>
            <w:r w:rsidRPr="00EC0D2E">
              <w:rPr>
                <w:rFonts w:cs="Times New Roman"/>
                <w:i/>
                <w:iCs/>
              </w:rPr>
              <w:t>0.315</w:t>
            </w:r>
          </w:p>
        </w:tc>
        <w:tc>
          <w:tcPr>
            <w:tcW w:w="559" w:type="pct"/>
            <w:vMerge w:val="restart"/>
            <w:tcBorders>
              <w:top w:val="single" w:sz="12" w:space="0" w:color="auto"/>
              <w:left w:val="single" w:sz="4" w:space="0" w:color="auto"/>
              <w:bottom w:val="single" w:sz="12" w:space="0" w:color="auto"/>
              <w:right w:val="single" w:sz="4" w:space="0" w:color="auto"/>
            </w:tcBorders>
            <w:vAlign w:val="center"/>
            <w:hideMark/>
          </w:tcPr>
          <w:p w14:paraId="285C64BB" w14:textId="77777777" w:rsidR="00EC0D2E" w:rsidRPr="00EC0D2E" w:rsidRDefault="00EC0D2E" w:rsidP="00EC0D2E">
            <w:pPr>
              <w:pStyle w:val="Tabletext0"/>
              <w:keepNext/>
              <w:keepLines/>
              <w:jc w:val="center"/>
              <w:rPr>
                <w:rFonts w:cs="Times New Roman"/>
                <w:i/>
                <w:iCs/>
              </w:rPr>
            </w:pPr>
            <w:r w:rsidRPr="00EC0D2E">
              <w:rPr>
                <w:rFonts w:cs="Times New Roman"/>
                <w:i/>
                <w:iCs/>
              </w:rPr>
              <w:t>$107,271</w:t>
            </w:r>
          </w:p>
        </w:tc>
        <w:tc>
          <w:tcPr>
            <w:tcW w:w="427" w:type="pct"/>
            <w:vMerge w:val="restart"/>
            <w:tcBorders>
              <w:top w:val="single" w:sz="12" w:space="0" w:color="auto"/>
              <w:left w:val="single" w:sz="4" w:space="0" w:color="auto"/>
              <w:bottom w:val="single" w:sz="12" w:space="0" w:color="auto"/>
              <w:right w:val="single" w:sz="4" w:space="0" w:color="auto"/>
            </w:tcBorders>
            <w:vAlign w:val="center"/>
          </w:tcPr>
          <w:p w14:paraId="06FFD3C8" w14:textId="77777777" w:rsidR="00EC0D2E" w:rsidRPr="00EC0D2E" w:rsidRDefault="00EC0D2E" w:rsidP="007B5E4B">
            <w:pPr>
              <w:pStyle w:val="Tabletext0"/>
              <w:keepNext/>
              <w:jc w:val="center"/>
              <w:rPr>
                <w:rFonts w:cs="Times New Roman"/>
                <w:i/>
                <w:iCs/>
              </w:rPr>
            </w:pPr>
            <w:r w:rsidRPr="00EC0D2E">
              <w:rPr>
                <w:rFonts w:cs="Times New Roman"/>
                <w:i/>
                <w:iCs/>
              </w:rPr>
              <w:t>+45.7</w:t>
            </w:r>
          </w:p>
        </w:tc>
      </w:tr>
      <w:tr w:rsidR="00EC0D2E" w14:paraId="56819317" w14:textId="77777777" w:rsidTr="00040D0C">
        <w:trPr>
          <w:trHeight w:val="386"/>
        </w:trPr>
        <w:tc>
          <w:tcPr>
            <w:tcW w:w="806" w:type="pct"/>
            <w:tcBorders>
              <w:top w:val="single" w:sz="4" w:space="0" w:color="auto"/>
              <w:left w:val="single" w:sz="4" w:space="0" w:color="auto"/>
              <w:bottom w:val="single" w:sz="12" w:space="0" w:color="auto"/>
              <w:right w:val="single" w:sz="4" w:space="0" w:color="auto"/>
            </w:tcBorders>
            <w:hideMark/>
          </w:tcPr>
          <w:p w14:paraId="198A535B" w14:textId="0ED241AF" w:rsidR="00EC0D2E" w:rsidRDefault="00EC0D2E" w:rsidP="00EC0D2E">
            <w:pPr>
              <w:pStyle w:val="Tabletext0"/>
              <w:keepNext/>
              <w:keepLines/>
              <w:rPr>
                <w:rFonts w:cs="Times New Roman"/>
              </w:rPr>
            </w:pPr>
            <w:r w:rsidRPr="00EC0D2E">
              <w:rPr>
                <w:rFonts w:cs="Times New Roman"/>
                <w:i/>
                <w:iCs/>
              </w:rPr>
              <w:t>Cabazitaxel/BS</w:t>
            </w:r>
            <w:r w:rsidR="006843D6">
              <w:rPr>
                <w:rFonts w:cs="Times New Roman"/>
                <w:i/>
                <w:iCs/>
              </w:rPr>
              <w:t>c</w:t>
            </w:r>
          </w:p>
        </w:tc>
        <w:tc>
          <w:tcPr>
            <w:tcW w:w="763" w:type="pct"/>
            <w:vMerge/>
            <w:tcBorders>
              <w:top w:val="single" w:sz="12" w:space="0" w:color="auto"/>
              <w:left w:val="single" w:sz="4" w:space="0" w:color="auto"/>
              <w:bottom w:val="single" w:sz="12" w:space="0" w:color="auto"/>
              <w:right w:val="single" w:sz="4" w:space="0" w:color="auto"/>
            </w:tcBorders>
            <w:vAlign w:val="center"/>
            <w:hideMark/>
          </w:tcPr>
          <w:p w14:paraId="6AAC7A89"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447" w:type="pct"/>
            <w:tcBorders>
              <w:top w:val="single" w:sz="4" w:space="0" w:color="auto"/>
              <w:left w:val="single" w:sz="4" w:space="0" w:color="auto"/>
              <w:bottom w:val="single" w:sz="12" w:space="0" w:color="auto"/>
              <w:right w:val="single" w:sz="4" w:space="0" w:color="auto"/>
            </w:tcBorders>
            <w:vAlign w:val="center"/>
            <w:hideMark/>
          </w:tcPr>
          <w:p w14:paraId="75E5C79D" w14:textId="77777777" w:rsidR="00EC0D2E" w:rsidRPr="00EC0D2E" w:rsidRDefault="00EC0D2E" w:rsidP="00EC0D2E">
            <w:pPr>
              <w:pStyle w:val="Tabletext0"/>
              <w:keepNext/>
              <w:keepLines/>
              <w:jc w:val="center"/>
              <w:rPr>
                <w:rFonts w:cs="Times New Roman"/>
                <w:i/>
                <w:iCs/>
              </w:rPr>
            </w:pPr>
            <w:r w:rsidRPr="00EC0D2E">
              <w:rPr>
                <w:rFonts w:cs="Times New Roman"/>
                <w:i/>
                <w:iCs/>
              </w:rPr>
              <w:t>$42,919</w:t>
            </w:r>
          </w:p>
        </w:tc>
        <w:tc>
          <w:tcPr>
            <w:tcW w:w="651" w:type="pct"/>
            <w:vMerge/>
            <w:tcBorders>
              <w:top w:val="single" w:sz="12" w:space="0" w:color="auto"/>
              <w:left w:val="single" w:sz="4" w:space="0" w:color="auto"/>
              <w:bottom w:val="single" w:sz="12" w:space="0" w:color="auto"/>
              <w:right w:val="single" w:sz="4" w:space="0" w:color="auto"/>
            </w:tcBorders>
            <w:vAlign w:val="center"/>
            <w:hideMark/>
          </w:tcPr>
          <w:p w14:paraId="0B27B6D1"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685" w:type="pct"/>
            <w:tcBorders>
              <w:top w:val="single" w:sz="4" w:space="0" w:color="auto"/>
              <w:left w:val="single" w:sz="4" w:space="0" w:color="auto"/>
              <w:bottom w:val="single" w:sz="12" w:space="0" w:color="auto"/>
              <w:right w:val="single" w:sz="4" w:space="0" w:color="auto"/>
            </w:tcBorders>
            <w:vAlign w:val="center"/>
            <w:hideMark/>
          </w:tcPr>
          <w:p w14:paraId="0D9D2F3E" w14:textId="77777777" w:rsidR="00EC0D2E" w:rsidRPr="00EC0D2E" w:rsidRDefault="00EC0D2E" w:rsidP="00EC0D2E">
            <w:pPr>
              <w:pStyle w:val="Tabletext0"/>
              <w:keepNext/>
              <w:keepLines/>
              <w:jc w:val="center"/>
              <w:rPr>
                <w:rFonts w:cs="Times New Roman"/>
                <w:i/>
                <w:iCs/>
              </w:rPr>
            </w:pPr>
            <w:r w:rsidRPr="00EC0D2E">
              <w:rPr>
                <w:rFonts w:cs="Times New Roman"/>
                <w:i/>
                <w:iCs/>
              </w:rPr>
              <w:t>0.735</w:t>
            </w:r>
          </w:p>
        </w:tc>
        <w:tc>
          <w:tcPr>
            <w:tcW w:w="662" w:type="pct"/>
            <w:vMerge/>
            <w:tcBorders>
              <w:top w:val="single" w:sz="12" w:space="0" w:color="auto"/>
              <w:left w:val="single" w:sz="4" w:space="0" w:color="auto"/>
              <w:bottom w:val="single" w:sz="12" w:space="0" w:color="auto"/>
              <w:right w:val="single" w:sz="4" w:space="0" w:color="auto"/>
            </w:tcBorders>
            <w:vAlign w:val="center"/>
            <w:hideMark/>
          </w:tcPr>
          <w:p w14:paraId="622A23A8"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559" w:type="pct"/>
            <w:vMerge/>
            <w:tcBorders>
              <w:top w:val="single" w:sz="12" w:space="0" w:color="auto"/>
              <w:left w:val="single" w:sz="4" w:space="0" w:color="auto"/>
              <w:bottom w:val="single" w:sz="12" w:space="0" w:color="auto"/>
              <w:right w:val="single" w:sz="4" w:space="0" w:color="auto"/>
            </w:tcBorders>
            <w:vAlign w:val="center"/>
            <w:hideMark/>
          </w:tcPr>
          <w:p w14:paraId="05A6BE79" w14:textId="77777777" w:rsidR="00EC0D2E" w:rsidRPr="00EC0D2E" w:rsidRDefault="00EC0D2E" w:rsidP="00EC0D2E">
            <w:pPr>
              <w:keepNext/>
              <w:spacing w:before="0"/>
              <w:rPr>
                <w:rFonts w:ascii="Arial Narrow" w:eastAsia="Times New Roman" w:hAnsi="Arial Narrow" w:cs="Times New Roman"/>
                <w:i/>
                <w:iCs/>
                <w:sz w:val="20"/>
                <w:szCs w:val="20"/>
                <w:lang w:eastAsia="en-AU"/>
              </w:rPr>
            </w:pPr>
          </w:p>
        </w:tc>
        <w:tc>
          <w:tcPr>
            <w:tcW w:w="427" w:type="pct"/>
            <w:vMerge/>
            <w:tcBorders>
              <w:top w:val="single" w:sz="12" w:space="0" w:color="auto"/>
              <w:left w:val="single" w:sz="4" w:space="0" w:color="auto"/>
              <w:bottom w:val="single" w:sz="12" w:space="0" w:color="auto"/>
              <w:right w:val="single" w:sz="4" w:space="0" w:color="auto"/>
            </w:tcBorders>
            <w:vAlign w:val="center"/>
            <w:hideMark/>
          </w:tcPr>
          <w:p w14:paraId="68E5E4A6" w14:textId="77777777" w:rsidR="00EC0D2E" w:rsidRPr="00EC0D2E" w:rsidRDefault="00EC0D2E" w:rsidP="00CD5A4F">
            <w:pPr>
              <w:keepNext/>
              <w:spacing w:before="0"/>
              <w:jc w:val="center"/>
              <w:rPr>
                <w:rFonts w:ascii="Arial Narrow" w:eastAsia="Times New Roman" w:hAnsi="Arial Narrow" w:cs="Times New Roman"/>
                <w:i/>
                <w:iCs/>
                <w:sz w:val="20"/>
                <w:szCs w:val="20"/>
                <w:lang w:eastAsia="en-AU"/>
              </w:rPr>
            </w:pPr>
          </w:p>
        </w:tc>
      </w:tr>
      <w:tr w:rsidR="00EC0D2E" w14:paraId="08195500" w14:textId="77777777" w:rsidTr="00040D0C">
        <w:trPr>
          <w:trHeight w:val="386"/>
        </w:trPr>
        <w:tc>
          <w:tcPr>
            <w:tcW w:w="806" w:type="pct"/>
            <w:tcBorders>
              <w:top w:val="single" w:sz="12" w:space="0" w:color="auto"/>
              <w:left w:val="single" w:sz="4" w:space="0" w:color="auto"/>
              <w:bottom w:val="single" w:sz="4" w:space="0" w:color="auto"/>
              <w:right w:val="single" w:sz="4" w:space="0" w:color="auto"/>
            </w:tcBorders>
            <w:hideMark/>
          </w:tcPr>
          <w:p w14:paraId="43F4AA94" w14:textId="1B4AA835" w:rsidR="00EC0D2E" w:rsidRPr="00EC0D2E" w:rsidRDefault="0005550A" w:rsidP="00EC0D2E">
            <w:pPr>
              <w:pStyle w:val="Tabletext0"/>
              <w:keepNext/>
              <w:keepLines/>
              <w:rPr>
                <w:rFonts w:cs="Times New Roman"/>
                <w:i/>
                <w:iCs/>
              </w:rPr>
            </w:pPr>
            <w:r w:rsidRPr="00EC0D2E">
              <w:rPr>
                <w:rFonts w:cs="Times New Roman"/>
                <w:i/>
                <w:iCs/>
                <w:vertAlign w:val="superscript"/>
              </w:rPr>
              <w:t>177</w:t>
            </w:r>
            <w:r w:rsidRPr="00EC0D2E">
              <w:rPr>
                <w:rFonts w:cs="Times New Roman"/>
                <w:i/>
                <w:iCs/>
              </w:rPr>
              <w:t>Lu</w:t>
            </w:r>
            <w:r>
              <w:rPr>
                <w:rFonts w:cs="Times New Roman"/>
                <w:i/>
                <w:iCs/>
              </w:rPr>
              <w:t> </w:t>
            </w:r>
            <w:r w:rsidRPr="00EC0D2E">
              <w:rPr>
                <w:rFonts w:cs="Times New Roman"/>
                <w:i/>
                <w:iCs/>
              </w:rPr>
              <w:t>PSMA</w:t>
            </w:r>
            <w:r>
              <w:rPr>
                <w:rFonts w:cs="Times New Roman"/>
                <w:i/>
                <w:iCs/>
              </w:rPr>
              <w:t> </w:t>
            </w:r>
            <w:proofErr w:type="spellStart"/>
            <w:r>
              <w:rPr>
                <w:rFonts w:cs="Times New Roman"/>
                <w:i/>
                <w:iCs/>
              </w:rPr>
              <w:t>i&amp;t</w:t>
            </w:r>
            <w:proofErr w:type="spellEnd"/>
          </w:p>
        </w:tc>
        <w:tc>
          <w:tcPr>
            <w:tcW w:w="763" w:type="pct"/>
            <w:vMerge w:val="restart"/>
            <w:tcBorders>
              <w:top w:val="single" w:sz="12" w:space="0" w:color="auto"/>
              <w:left w:val="single" w:sz="4" w:space="0" w:color="auto"/>
              <w:bottom w:val="single" w:sz="12" w:space="0" w:color="auto"/>
              <w:right w:val="single" w:sz="4" w:space="0" w:color="auto"/>
            </w:tcBorders>
            <w:hideMark/>
          </w:tcPr>
          <w:p w14:paraId="1C40C5B6" w14:textId="77777777" w:rsidR="00EC0D2E" w:rsidRPr="00EC0D2E" w:rsidRDefault="00EC0D2E" w:rsidP="00EC0D2E">
            <w:pPr>
              <w:pStyle w:val="Tabletext0"/>
              <w:keepNext/>
              <w:keepLines/>
              <w:jc w:val="center"/>
              <w:rPr>
                <w:rFonts w:cs="Times New Roman"/>
                <w:i/>
                <w:iCs/>
              </w:rPr>
            </w:pPr>
            <w:r w:rsidRPr="00EC0D2E">
              <w:rPr>
                <w:rFonts w:cs="Times New Roman"/>
                <w:i/>
                <w:iCs/>
              </w:rPr>
              <w:t>Utility cabazitaxel=0.7</w:t>
            </w:r>
          </w:p>
          <w:p w14:paraId="7BED97B4" w14:textId="25A4DB92" w:rsidR="00EC0D2E" w:rsidRPr="00EC0D2E" w:rsidRDefault="00EC0D2E" w:rsidP="00EC0D2E">
            <w:pPr>
              <w:pStyle w:val="Tabletext0"/>
              <w:keepNext/>
              <w:keepLines/>
              <w:jc w:val="center"/>
              <w:rPr>
                <w:rFonts w:cs="Times New Roman"/>
                <w:i/>
                <w:iCs/>
              </w:rPr>
            </w:pPr>
            <w:r w:rsidRPr="00EC0D2E">
              <w:rPr>
                <w:rFonts w:cs="Times New Roman"/>
                <w:i/>
                <w:iCs/>
              </w:rPr>
              <w:t>B</w:t>
            </w:r>
            <w:r>
              <w:rPr>
                <w:rFonts w:cs="Times New Roman"/>
                <w:i/>
                <w:iCs/>
              </w:rPr>
              <w:t>S</w:t>
            </w:r>
            <w:r w:rsidRPr="00EC0D2E">
              <w:rPr>
                <w:rFonts w:cs="Times New Roman"/>
                <w:i/>
                <w:iCs/>
              </w:rPr>
              <w:t>C=0.74</w:t>
            </w:r>
          </w:p>
        </w:tc>
        <w:tc>
          <w:tcPr>
            <w:tcW w:w="447" w:type="pct"/>
            <w:tcBorders>
              <w:top w:val="single" w:sz="12" w:space="0" w:color="auto"/>
              <w:left w:val="single" w:sz="4" w:space="0" w:color="auto"/>
              <w:bottom w:val="single" w:sz="4" w:space="0" w:color="auto"/>
              <w:right w:val="single" w:sz="4" w:space="0" w:color="auto"/>
            </w:tcBorders>
            <w:vAlign w:val="center"/>
            <w:hideMark/>
          </w:tcPr>
          <w:p w14:paraId="64E1C442" w14:textId="77777777" w:rsidR="00EC0D2E" w:rsidRPr="00EC0D2E" w:rsidRDefault="00EC0D2E" w:rsidP="00EC0D2E">
            <w:pPr>
              <w:pStyle w:val="Tabletext0"/>
              <w:keepNext/>
              <w:keepLines/>
              <w:jc w:val="center"/>
              <w:rPr>
                <w:rFonts w:cs="Times New Roman"/>
                <w:i/>
                <w:iCs/>
              </w:rPr>
            </w:pPr>
            <w:r w:rsidRPr="00EC0D2E">
              <w:rPr>
                <w:rFonts w:cs="Times New Roman"/>
                <w:i/>
                <w:iCs/>
              </w:rPr>
              <w:t>$76,680</w:t>
            </w:r>
          </w:p>
        </w:tc>
        <w:tc>
          <w:tcPr>
            <w:tcW w:w="651" w:type="pct"/>
            <w:vMerge w:val="restart"/>
            <w:tcBorders>
              <w:top w:val="single" w:sz="12" w:space="0" w:color="auto"/>
              <w:left w:val="single" w:sz="4" w:space="0" w:color="auto"/>
              <w:bottom w:val="single" w:sz="12" w:space="0" w:color="auto"/>
              <w:right w:val="single" w:sz="4" w:space="0" w:color="auto"/>
            </w:tcBorders>
            <w:vAlign w:val="center"/>
            <w:hideMark/>
          </w:tcPr>
          <w:p w14:paraId="4432F929" w14:textId="77777777" w:rsidR="00EC0D2E" w:rsidRPr="00EC0D2E" w:rsidRDefault="00EC0D2E" w:rsidP="00EC0D2E">
            <w:pPr>
              <w:pStyle w:val="Tabletext0"/>
              <w:keepNext/>
              <w:keepLines/>
              <w:jc w:val="center"/>
              <w:rPr>
                <w:rFonts w:cs="Times New Roman"/>
                <w:i/>
                <w:iCs/>
              </w:rPr>
            </w:pPr>
            <w:r w:rsidRPr="00EC0D2E">
              <w:rPr>
                <w:rFonts w:cs="Times New Roman"/>
                <w:i/>
                <w:iCs/>
              </w:rPr>
              <w:t>$33,761</w:t>
            </w:r>
          </w:p>
        </w:tc>
        <w:tc>
          <w:tcPr>
            <w:tcW w:w="685" w:type="pct"/>
            <w:tcBorders>
              <w:top w:val="single" w:sz="12" w:space="0" w:color="auto"/>
              <w:left w:val="single" w:sz="4" w:space="0" w:color="auto"/>
              <w:bottom w:val="single" w:sz="4" w:space="0" w:color="auto"/>
              <w:right w:val="single" w:sz="4" w:space="0" w:color="auto"/>
            </w:tcBorders>
            <w:vAlign w:val="center"/>
            <w:hideMark/>
          </w:tcPr>
          <w:p w14:paraId="728D63EC" w14:textId="77777777" w:rsidR="00EC0D2E" w:rsidRPr="00EC0D2E" w:rsidRDefault="00EC0D2E" w:rsidP="00EC0D2E">
            <w:pPr>
              <w:pStyle w:val="Tabletext0"/>
              <w:keepNext/>
              <w:keepLines/>
              <w:jc w:val="center"/>
              <w:rPr>
                <w:rFonts w:cs="Times New Roman"/>
                <w:i/>
                <w:iCs/>
              </w:rPr>
            </w:pPr>
            <w:r w:rsidRPr="00EC0D2E">
              <w:rPr>
                <w:rFonts w:cs="Times New Roman"/>
                <w:i/>
                <w:iCs/>
              </w:rPr>
              <w:t>1.055</w:t>
            </w:r>
          </w:p>
        </w:tc>
        <w:tc>
          <w:tcPr>
            <w:tcW w:w="662" w:type="pct"/>
            <w:vMerge w:val="restart"/>
            <w:tcBorders>
              <w:top w:val="single" w:sz="12" w:space="0" w:color="auto"/>
              <w:left w:val="single" w:sz="4" w:space="0" w:color="auto"/>
              <w:bottom w:val="single" w:sz="12" w:space="0" w:color="auto"/>
              <w:right w:val="single" w:sz="4" w:space="0" w:color="auto"/>
            </w:tcBorders>
            <w:vAlign w:val="center"/>
            <w:hideMark/>
          </w:tcPr>
          <w:p w14:paraId="353F4042" w14:textId="77777777" w:rsidR="00EC0D2E" w:rsidRPr="00EC0D2E" w:rsidRDefault="00EC0D2E" w:rsidP="00EC0D2E">
            <w:pPr>
              <w:pStyle w:val="Tabletext0"/>
              <w:keepNext/>
              <w:keepLines/>
              <w:jc w:val="center"/>
              <w:rPr>
                <w:rFonts w:cs="Times New Roman"/>
                <w:i/>
                <w:iCs/>
              </w:rPr>
            </w:pPr>
            <w:r w:rsidRPr="00EC0D2E">
              <w:rPr>
                <w:rFonts w:cs="Times New Roman"/>
                <w:i/>
                <w:iCs/>
              </w:rPr>
              <w:t>0.267</w:t>
            </w:r>
          </w:p>
        </w:tc>
        <w:tc>
          <w:tcPr>
            <w:tcW w:w="559" w:type="pct"/>
            <w:vMerge w:val="restart"/>
            <w:tcBorders>
              <w:top w:val="single" w:sz="12" w:space="0" w:color="auto"/>
              <w:left w:val="single" w:sz="4" w:space="0" w:color="auto"/>
              <w:bottom w:val="single" w:sz="12" w:space="0" w:color="auto"/>
              <w:right w:val="single" w:sz="4" w:space="0" w:color="auto"/>
            </w:tcBorders>
            <w:vAlign w:val="center"/>
            <w:hideMark/>
          </w:tcPr>
          <w:p w14:paraId="5690F0A1" w14:textId="77777777" w:rsidR="00EC0D2E" w:rsidRPr="00EC0D2E" w:rsidRDefault="00EC0D2E" w:rsidP="00EC0D2E">
            <w:pPr>
              <w:pStyle w:val="Tabletext0"/>
              <w:keepNext/>
              <w:keepLines/>
              <w:jc w:val="center"/>
              <w:rPr>
                <w:rFonts w:cs="Times New Roman"/>
                <w:i/>
                <w:iCs/>
              </w:rPr>
            </w:pPr>
            <w:r w:rsidRPr="00EC0D2E">
              <w:rPr>
                <w:rFonts w:cs="Times New Roman"/>
                <w:i/>
                <w:iCs/>
              </w:rPr>
              <w:t>$126,623</w:t>
            </w:r>
          </w:p>
        </w:tc>
        <w:tc>
          <w:tcPr>
            <w:tcW w:w="427" w:type="pct"/>
            <w:vMerge w:val="restart"/>
            <w:tcBorders>
              <w:top w:val="single" w:sz="12" w:space="0" w:color="auto"/>
              <w:left w:val="single" w:sz="4" w:space="0" w:color="auto"/>
              <w:bottom w:val="single" w:sz="12" w:space="0" w:color="auto"/>
              <w:right w:val="single" w:sz="4" w:space="0" w:color="auto"/>
            </w:tcBorders>
            <w:vAlign w:val="center"/>
          </w:tcPr>
          <w:p w14:paraId="7C955636" w14:textId="77777777" w:rsidR="00EC0D2E" w:rsidRPr="00EC0D2E" w:rsidRDefault="00EC0D2E" w:rsidP="007B5E4B">
            <w:pPr>
              <w:pStyle w:val="Tabletext0"/>
              <w:keepNext/>
              <w:jc w:val="center"/>
              <w:rPr>
                <w:rFonts w:cs="Times New Roman"/>
                <w:i/>
                <w:iCs/>
              </w:rPr>
            </w:pPr>
            <w:r w:rsidRPr="00EC0D2E">
              <w:rPr>
                <w:rFonts w:cs="Times New Roman"/>
                <w:i/>
                <w:iCs/>
              </w:rPr>
              <w:t>+72.0</w:t>
            </w:r>
          </w:p>
        </w:tc>
      </w:tr>
      <w:tr w:rsidR="00EC0D2E" w14:paraId="7944EB7B" w14:textId="77777777" w:rsidTr="00040D0C">
        <w:trPr>
          <w:trHeight w:val="386"/>
        </w:trPr>
        <w:tc>
          <w:tcPr>
            <w:tcW w:w="806" w:type="pct"/>
            <w:tcBorders>
              <w:top w:val="single" w:sz="4" w:space="0" w:color="auto"/>
              <w:left w:val="single" w:sz="4" w:space="0" w:color="auto"/>
              <w:bottom w:val="single" w:sz="12" w:space="0" w:color="auto"/>
              <w:right w:val="single" w:sz="4" w:space="0" w:color="auto"/>
            </w:tcBorders>
            <w:hideMark/>
          </w:tcPr>
          <w:p w14:paraId="4EDE8C62" w14:textId="1A23BF9D" w:rsidR="00EC0D2E" w:rsidRPr="00EC0D2E" w:rsidRDefault="00EC0D2E" w:rsidP="00EC0D2E">
            <w:pPr>
              <w:pStyle w:val="Tabletext0"/>
              <w:keepNext/>
              <w:keepLines/>
              <w:rPr>
                <w:rFonts w:cs="Times New Roman"/>
                <w:i/>
                <w:iCs/>
              </w:rPr>
            </w:pPr>
            <w:r w:rsidRPr="00EC0D2E">
              <w:rPr>
                <w:rFonts w:cs="Times New Roman"/>
                <w:i/>
                <w:iCs/>
              </w:rPr>
              <w:t>Cabazitaxel/BS</w:t>
            </w:r>
            <w:r w:rsidR="006843D6">
              <w:rPr>
                <w:rFonts w:cs="Times New Roman"/>
                <w:i/>
                <w:iCs/>
              </w:rPr>
              <w:t>c</w:t>
            </w:r>
          </w:p>
        </w:tc>
        <w:tc>
          <w:tcPr>
            <w:tcW w:w="763" w:type="pct"/>
            <w:vMerge/>
            <w:tcBorders>
              <w:top w:val="single" w:sz="12" w:space="0" w:color="auto"/>
              <w:left w:val="single" w:sz="4" w:space="0" w:color="auto"/>
              <w:bottom w:val="single" w:sz="12" w:space="0" w:color="auto"/>
              <w:right w:val="single" w:sz="4" w:space="0" w:color="auto"/>
            </w:tcBorders>
            <w:vAlign w:val="center"/>
            <w:hideMark/>
          </w:tcPr>
          <w:p w14:paraId="4ABC6BF6" w14:textId="77777777" w:rsidR="00EC0D2E" w:rsidRDefault="00EC0D2E" w:rsidP="00EC0D2E">
            <w:pPr>
              <w:keepNext/>
              <w:spacing w:before="0"/>
              <w:rPr>
                <w:rFonts w:ascii="Arial Narrow" w:eastAsia="Times New Roman" w:hAnsi="Arial Narrow" w:cs="Times New Roman"/>
                <w:sz w:val="20"/>
                <w:szCs w:val="20"/>
                <w:lang w:eastAsia="en-AU"/>
              </w:rPr>
            </w:pPr>
          </w:p>
        </w:tc>
        <w:tc>
          <w:tcPr>
            <w:tcW w:w="447" w:type="pct"/>
            <w:tcBorders>
              <w:top w:val="single" w:sz="4" w:space="0" w:color="auto"/>
              <w:left w:val="single" w:sz="4" w:space="0" w:color="auto"/>
              <w:bottom w:val="single" w:sz="12" w:space="0" w:color="auto"/>
              <w:right w:val="single" w:sz="4" w:space="0" w:color="auto"/>
            </w:tcBorders>
            <w:vAlign w:val="center"/>
            <w:hideMark/>
          </w:tcPr>
          <w:p w14:paraId="39868679" w14:textId="77777777" w:rsidR="00EC0D2E" w:rsidRDefault="00EC0D2E" w:rsidP="00EC0D2E">
            <w:pPr>
              <w:pStyle w:val="Tabletext0"/>
              <w:keepNext/>
              <w:keepLines/>
              <w:jc w:val="center"/>
              <w:rPr>
                <w:rFonts w:cs="Times New Roman"/>
              </w:rPr>
            </w:pPr>
            <w:r>
              <w:rPr>
                <w:rFonts w:cs="Times New Roman"/>
              </w:rPr>
              <w:t>$43,313</w:t>
            </w:r>
          </w:p>
        </w:tc>
        <w:tc>
          <w:tcPr>
            <w:tcW w:w="651" w:type="pct"/>
            <w:vMerge/>
            <w:tcBorders>
              <w:top w:val="single" w:sz="12" w:space="0" w:color="auto"/>
              <w:left w:val="single" w:sz="4" w:space="0" w:color="auto"/>
              <w:bottom w:val="single" w:sz="12" w:space="0" w:color="auto"/>
              <w:right w:val="single" w:sz="4" w:space="0" w:color="auto"/>
            </w:tcBorders>
            <w:vAlign w:val="center"/>
            <w:hideMark/>
          </w:tcPr>
          <w:p w14:paraId="78E19C15" w14:textId="77777777" w:rsidR="00EC0D2E" w:rsidRDefault="00EC0D2E" w:rsidP="00EC0D2E">
            <w:pPr>
              <w:keepNext/>
              <w:spacing w:before="0"/>
              <w:rPr>
                <w:rFonts w:ascii="Arial Narrow" w:eastAsia="Times New Roman" w:hAnsi="Arial Narrow" w:cs="Times New Roman"/>
                <w:sz w:val="20"/>
                <w:szCs w:val="20"/>
                <w:lang w:eastAsia="en-AU"/>
              </w:rPr>
            </w:pPr>
          </w:p>
        </w:tc>
        <w:tc>
          <w:tcPr>
            <w:tcW w:w="685" w:type="pct"/>
            <w:tcBorders>
              <w:top w:val="single" w:sz="4" w:space="0" w:color="auto"/>
              <w:left w:val="single" w:sz="4" w:space="0" w:color="auto"/>
              <w:bottom w:val="single" w:sz="12" w:space="0" w:color="auto"/>
              <w:right w:val="single" w:sz="4" w:space="0" w:color="auto"/>
            </w:tcBorders>
            <w:vAlign w:val="center"/>
            <w:hideMark/>
          </w:tcPr>
          <w:p w14:paraId="022DC074" w14:textId="77777777" w:rsidR="00EC0D2E" w:rsidRDefault="00EC0D2E" w:rsidP="00EC0D2E">
            <w:pPr>
              <w:pStyle w:val="Tabletext0"/>
              <w:keepNext/>
              <w:keepLines/>
              <w:jc w:val="center"/>
              <w:rPr>
                <w:rFonts w:cs="Times New Roman"/>
              </w:rPr>
            </w:pPr>
            <w:r>
              <w:rPr>
                <w:rFonts w:cs="Times New Roman"/>
              </w:rPr>
              <w:t>0.788</w:t>
            </w:r>
          </w:p>
        </w:tc>
        <w:tc>
          <w:tcPr>
            <w:tcW w:w="662" w:type="pct"/>
            <w:vMerge/>
            <w:tcBorders>
              <w:top w:val="single" w:sz="12" w:space="0" w:color="auto"/>
              <w:left w:val="single" w:sz="4" w:space="0" w:color="auto"/>
              <w:bottom w:val="single" w:sz="12" w:space="0" w:color="auto"/>
              <w:right w:val="single" w:sz="4" w:space="0" w:color="auto"/>
            </w:tcBorders>
            <w:vAlign w:val="center"/>
            <w:hideMark/>
          </w:tcPr>
          <w:p w14:paraId="303CC821" w14:textId="77777777" w:rsidR="00EC0D2E" w:rsidRDefault="00EC0D2E" w:rsidP="00EC0D2E">
            <w:pPr>
              <w:keepNext/>
              <w:spacing w:before="0"/>
              <w:rPr>
                <w:rFonts w:ascii="Arial Narrow" w:eastAsia="Times New Roman" w:hAnsi="Arial Narrow" w:cs="Times New Roman"/>
                <w:sz w:val="20"/>
                <w:szCs w:val="20"/>
                <w:lang w:eastAsia="en-AU"/>
              </w:rPr>
            </w:pPr>
          </w:p>
        </w:tc>
        <w:tc>
          <w:tcPr>
            <w:tcW w:w="559" w:type="pct"/>
            <w:vMerge/>
            <w:tcBorders>
              <w:top w:val="single" w:sz="12" w:space="0" w:color="auto"/>
              <w:left w:val="single" w:sz="4" w:space="0" w:color="auto"/>
              <w:bottom w:val="single" w:sz="12" w:space="0" w:color="auto"/>
              <w:right w:val="single" w:sz="4" w:space="0" w:color="auto"/>
            </w:tcBorders>
            <w:vAlign w:val="center"/>
            <w:hideMark/>
          </w:tcPr>
          <w:p w14:paraId="26D6775A" w14:textId="77777777" w:rsidR="00EC0D2E" w:rsidRDefault="00EC0D2E" w:rsidP="00EC0D2E">
            <w:pPr>
              <w:keepNext/>
              <w:spacing w:before="0"/>
              <w:rPr>
                <w:rFonts w:ascii="Arial Narrow" w:eastAsia="Times New Roman" w:hAnsi="Arial Narrow" w:cs="Times New Roman"/>
                <w:sz w:val="20"/>
                <w:szCs w:val="20"/>
                <w:lang w:eastAsia="en-AU"/>
              </w:rPr>
            </w:pPr>
          </w:p>
        </w:tc>
        <w:tc>
          <w:tcPr>
            <w:tcW w:w="427" w:type="pct"/>
            <w:vMerge/>
            <w:tcBorders>
              <w:top w:val="single" w:sz="12" w:space="0" w:color="auto"/>
              <w:left w:val="single" w:sz="4" w:space="0" w:color="auto"/>
              <w:bottom w:val="single" w:sz="12" w:space="0" w:color="auto"/>
              <w:right w:val="single" w:sz="4" w:space="0" w:color="auto"/>
            </w:tcBorders>
            <w:vAlign w:val="center"/>
            <w:hideMark/>
          </w:tcPr>
          <w:p w14:paraId="0CAD8E9E" w14:textId="77777777" w:rsidR="00EC0D2E" w:rsidRDefault="00EC0D2E" w:rsidP="00EC0D2E">
            <w:pPr>
              <w:keepNext/>
              <w:spacing w:before="0"/>
              <w:rPr>
                <w:rFonts w:ascii="Arial Narrow" w:eastAsia="Times New Roman" w:hAnsi="Arial Narrow" w:cs="Times New Roman"/>
                <w:sz w:val="20"/>
                <w:szCs w:val="20"/>
                <w:lang w:eastAsia="en-AU"/>
              </w:rPr>
            </w:pPr>
          </w:p>
        </w:tc>
      </w:tr>
    </w:tbl>
    <w:p w14:paraId="06E2BE9A" w14:textId="18D7369A" w:rsidR="00AE6700" w:rsidRPr="00AE6700" w:rsidRDefault="00AE6700" w:rsidP="00AE6700">
      <w:pPr>
        <w:pStyle w:val="TableFigNotes18"/>
        <w:keepNext/>
        <w:keepLines/>
        <w:tabs>
          <w:tab w:val="left" w:pos="284"/>
        </w:tabs>
        <w:spacing w:before="0" w:after="0" w:line="240" w:lineRule="auto"/>
        <w:ind w:left="284" w:hanging="284"/>
        <w:contextualSpacing w:val="0"/>
        <w:rPr>
          <w:rFonts w:ascii="Arial Narrow" w:hAnsi="Arial Narrow" w:cs="Times New Roman"/>
          <w:i/>
          <w:iCs/>
          <w:sz w:val="18"/>
          <w:szCs w:val="18"/>
        </w:rPr>
      </w:pPr>
      <w:r w:rsidRPr="00AE6700">
        <w:rPr>
          <w:rFonts w:ascii="Arial Narrow" w:hAnsi="Arial Narrow" w:cs="Times New Roman"/>
          <w:i/>
          <w:iCs/>
          <w:sz w:val="18"/>
          <w:szCs w:val="18"/>
        </w:rPr>
        <w:t>#</w:t>
      </w:r>
      <w:r w:rsidRPr="00AE6700">
        <w:rPr>
          <w:rFonts w:ascii="Arial Narrow" w:hAnsi="Arial Narrow" w:cs="Times New Roman"/>
          <w:i/>
          <w:iCs/>
          <w:sz w:val="18"/>
          <w:szCs w:val="18"/>
        </w:rPr>
        <w:tab/>
        <w:t xml:space="preserve">Time horizon=7.5; treatment cost is based on the </w:t>
      </w:r>
      <w:proofErr w:type="spellStart"/>
      <w:r w:rsidRPr="00AE6700">
        <w:rPr>
          <w:rFonts w:ascii="Arial Narrow" w:hAnsi="Arial Narrow" w:cs="Times New Roman"/>
          <w:i/>
          <w:iCs/>
          <w:sz w:val="18"/>
          <w:szCs w:val="18"/>
        </w:rPr>
        <w:t>ToT</w:t>
      </w:r>
      <w:proofErr w:type="spellEnd"/>
      <w:r w:rsidRPr="00AE6700">
        <w:rPr>
          <w:rFonts w:ascii="Arial Narrow" w:hAnsi="Arial Narrow" w:cs="Times New Roman"/>
          <w:i/>
          <w:iCs/>
          <w:sz w:val="18"/>
          <w:szCs w:val="18"/>
        </w:rPr>
        <w:t xml:space="preserve">=PFS from the 3-year </w:t>
      </w:r>
      <w:proofErr w:type="spellStart"/>
      <w:r w:rsidRPr="00AE6700">
        <w:rPr>
          <w:rFonts w:ascii="Arial Narrow" w:hAnsi="Arial Narrow" w:cs="Times New Roman"/>
          <w:i/>
          <w:iCs/>
          <w:sz w:val="18"/>
          <w:szCs w:val="18"/>
        </w:rPr>
        <w:t>TheraP</w:t>
      </w:r>
      <w:proofErr w:type="spellEnd"/>
      <w:r w:rsidRPr="00AE6700">
        <w:rPr>
          <w:rFonts w:ascii="Arial Narrow" w:hAnsi="Arial Narrow" w:cs="Times New Roman"/>
          <w:i/>
          <w:iCs/>
          <w:sz w:val="18"/>
          <w:szCs w:val="18"/>
        </w:rPr>
        <w:t xml:space="preserve"> follow-up; CT/Bone scan cost=0; B</w:t>
      </w:r>
      <w:r w:rsidR="00EC0D2E">
        <w:rPr>
          <w:rFonts w:ascii="Arial Narrow" w:hAnsi="Arial Narrow" w:cs="Times New Roman"/>
          <w:i/>
          <w:iCs/>
          <w:sz w:val="18"/>
          <w:szCs w:val="18"/>
        </w:rPr>
        <w:t>S</w:t>
      </w:r>
      <w:r w:rsidRPr="00AE6700">
        <w:rPr>
          <w:rFonts w:ascii="Arial Narrow" w:hAnsi="Arial Narrow" w:cs="Times New Roman"/>
          <w:i/>
          <w:iCs/>
          <w:sz w:val="18"/>
          <w:szCs w:val="18"/>
        </w:rPr>
        <w:t>C utility value=0.59 in both PFS and PD health states.</w:t>
      </w:r>
    </w:p>
    <w:p w14:paraId="43B6CB2C" w14:textId="687AB303" w:rsidR="00AE6700" w:rsidRPr="00AE6700" w:rsidRDefault="00AE6700" w:rsidP="00AE6700">
      <w:pPr>
        <w:pStyle w:val="TableFigNotes18"/>
        <w:keepNext/>
        <w:keepLines/>
        <w:tabs>
          <w:tab w:val="left" w:pos="284"/>
        </w:tabs>
        <w:spacing w:before="0" w:after="0" w:line="240" w:lineRule="auto"/>
        <w:ind w:left="284" w:hanging="284"/>
        <w:contextualSpacing w:val="0"/>
        <w:rPr>
          <w:rFonts w:ascii="Arial Narrow" w:hAnsi="Arial Narrow" w:cs="Times New Roman"/>
          <w:i/>
          <w:iCs/>
          <w:sz w:val="18"/>
          <w:szCs w:val="18"/>
        </w:rPr>
      </w:pPr>
      <w:r w:rsidRPr="00AE6700">
        <w:rPr>
          <w:rFonts w:ascii="Arial Narrow" w:hAnsi="Arial Narrow" w:cs="Times New Roman"/>
          <w:i/>
          <w:iCs/>
          <w:sz w:val="18"/>
          <w:szCs w:val="18"/>
        </w:rPr>
        <w:t>*</w:t>
      </w:r>
      <w:r w:rsidRPr="00AE6700">
        <w:rPr>
          <w:rFonts w:ascii="Arial Narrow" w:hAnsi="Arial Narrow" w:cs="Times New Roman"/>
          <w:i/>
          <w:iCs/>
          <w:sz w:val="18"/>
          <w:szCs w:val="18"/>
        </w:rPr>
        <w:tab/>
        <w:t xml:space="preserve">The unit cost of </w:t>
      </w:r>
      <w:r w:rsidR="00D90DA7">
        <w:rPr>
          <w:rFonts w:ascii="Arial Narrow" w:hAnsi="Arial Narrow" w:cs="Times New Roman"/>
          <w:i/>
          <w:iCs/>
          <w:sz w:val="18"/>
          <w:szCs w:val="18"/>
          <w:vertAlign w:val="superscript"/>
        </w:rPr>
        <w:t>177</w:t>
      </w:r>
      <w:r w:rsidRPr="00AE6700">
        <w:rPr>
          <w:rFonts w:ascii="Arial Narrow" w:hAnsi="Arial Narrow" w:cs="Times New Roman"/>
          <w:i/>
          <w:iCs/>
          <w:sz w:val="18"/>
          <w:szCs w:val="18"/>
        </w:rPr>
        <w:t>Lu</w:t>
      </w:r>
      <w:r w:rsidR="00D91CA2">
        <w:rPr>
          <w:rFonts w:ascii="Arial Narrow" w:hAnsi="Arial Narrow" w:cs="Times New Roman"/>
          <w:i/>
          <w:iCs/>
          <w:sz w:val="18"/>
          <w:szCs w:val="18"/>
        </w:rPr>
        <w:t> </w:t>
      </w:r>
      <w:r w:rsidRPr="00AE6700">
        <w:rPr>
          <w:rFonts w:ascii="Arial Narrow" w:hAnsi="Arial Narrow" w:cs="Times New Roman"/>
          <w:i/>
          <w:iCs/>
          <w:sz w:val="18"/>
          <w:szCs w:val="18"/>
        </w:rPr>
        <w:t>PSMA</w:t>
      </w:r>
      <w:r w:rsidR="008706CD">
        <w:rPr>
          <w:rFonts w:ascii="Arial Narrow" w:hAnsi="Arial Narrow" w:cs="Times New Roman"/>
          <w:i/>
          <w:iCs/>
          <w:sz w:val="18"/>
          <w:szCs w:val="18"/>
        </w:rPr>
        <w:t> </w:t>
      </w:r>
      <w:proofErr w:type="spellStart"/>
      <w:r w:rsidR="008706CD">
        <w:rPr>
          <w:rFonts w:ascii="Arial Narrow" w:hAnsi="Arial Narrow" w:cs="Times New Roman"/>
          <w:i/>
          <w:iCs/>
          <w:sz w:val="18"/>
          <w:szCs w:val="18"/>
        </w:rPr>
        <w:t>i</w:t>
      </w:r>
      <w:r w:rsidR="00C465AD">
        <w:rPr>
          <w:rFonts w:ascii="Arial Narrow" w:hAnsi="Arial Narrow" w:cs="Times New Roman"/>
          <w:i/>
          <w:iCs/>
          <w:sz w:val="18"/>
          <w:szCs w:val="18"/>
        </w:rPr>
        <w:t>&amp;t</w:t>
      </w:r>
      <w:proofErr w:type="spellEnd"/>
      <w:r w:rsidRPr="00AE6700">
        <w:rPr>
          <w:rFonts w:ascii="Arial Narrow" w:hAnsi="Arial Narrow" w:cs="Times New Roman"/>
          <w:i/>
          <w:iCs/>
          <w:sz w:val="18"/>
          <w:szCs w:val="18"/>
        </w:rPr>
        <w:t xml:space="preserve"> treatment is applied to a) all surviving patients for the first 12 weeks using OS survival data from VISION; b) all progression-free patients from week 13 to week 36 using PFS survival data from VISION. </w:t>
      </w:r>
    </w:p>
    <w:p w14:paraId="569D3DC9" w14:textId="77777777" w:rsidR="00AE6700" w:rsidRPr="00AE6700" w:rsidRDefault="00AE6700" w:rsidP="00AE6700">
      <w:pPr>
        <w:pStyle w:val="TableFigNotes18"/>
        <w:keepNext/>
        <w:keepLines/>
        <w:tabs>
          <w:tab w:val="left" w:pos="284"/>
        </w:tabs>
        <w:spacing w:before="0" w:after="0" w:line="240" w:lineRule="auto"/>
        <w:ind w:left="284" w:hanging="284"/>
        <w:contextualSpacing w:val="0"/>
        <w:rPr>
          <w:rFonts w:ascii="Arial Narrow" w:hAnsi="Arial Narrow" w:cs="Times New Roman"/>
          <w:i/>
          <w:iCs/>
          <w:sz w:val="18"/>
          <w:szCs w:val="18"/>
        </w:rPr>
      </w:pPr>
      <w:r w:rsidRPr="00AE6700">
        <w:rPr>
          <w:rFonts w:ascii="Arial Narrow" w:hAnsi="Arial Narrow" w:cs="Times New Roman"/>
          <w:i/>
          <w:iCs/>
          <w:sz w:val="18"/>
          <w:szCs w:val="18"/>
        </w:rPr>
        <w:t>^</w:t>
      </w:r>
      <w:r w:rsidRPr="00AE6700">
        <w:rPr>
          <w:rFonts w:ascii="Arial Narrow" w:hAnsi="Arial Narrow" w:cs="Times New Roman"/>
          <w:i/>
          <w:iCs/>
          <w:sz w:val="18"/>
          <w:szCs w:val="18"/>
        </w:rPr>
        <w:tab/>
        <w:t>Assumed to be conducted every 12 weeks.</w:t>
      </w:r>
    </w:p>
    <w:p w14:paraId="695829F3" w14:textId="755B07F2" w:rsidR="00AE6700" w:rsidRPr="00AE6700" w:rsidRDefault="00AE6700" w:rsidP="00AE6700">
      <w:pPr>
        <w:pStyle w:val="TableFigNotes18"/>
        <w:keepNext/>
        <w:keepLines/>
        <w:spacing w:before="0" w:after="0" w:line="240" w:lineRule="auto"/>
        <w:contextualSpacing w:val="0"/>
        <w:rPr>
          <w:rFonts w:ascii="Arial Narrow" w:hAnsi="Arial Narrow" w:cs="Times New Roman"/>
          <w:i/>
          <w:iCs/>
          <w:sz w:val="18"/>
          <w:szCs w:val="18"/>
        </w:rPr>
      </w:pPr>
      <w:r w:rsidRPr="00AE6700">
        <w:rPr>
          <w:rFonts w:ascii="Arial Narrow" w:hAnsi="Arial Narrow" w:cs="Times New Roman"/>
          <w:i/>
          <w:iCs/>
          <w:sz w:val="18"/>
          <w:szCs w:val="18"/>
        </w:rPr>
        <w:t xml:space="preserve">Abbreviations: </w:t>
      </w:r>
      <w:proofErr w:type="spellStart"/>
      <w:r w:rsidRPr="00AE6700">
        <w:rPr>
          <w:rFonts w:ascii="Arial Narrow" w:hAnsi="Arial Narrow" w:cs="Times New Roman"/>
          <w:i/>
          <w:iCs/>
          <w:sz w:val="18"/>
          <w:szCs w:val="18"/>
        </w:rPr>
        <w:t>ToT</w:t>
      </w:r>
      <w:proofErr w:type="spellEnd"/>
      <w:r w:rsidRPr="00AE6700">
        <w:rPr>
          <w:rFonts w:ascii="Arial Narrow" w:hAnsi="Arial Narrow" w:cs="Times New Roman"/>
          <w:i/>
          <w:iCs/>
          <w:sz w:val="18"/>
          <w:szCs w:val="18"/>
        </w:rPr>
        <w:t>= time on treatment; B</w:t>
      </w:r>
      <w:r w:rsidR="00EC0D2E">
        <w:rPr>
          <w:rFonts w:ascii="Arial Narrow" w:hAnsi="Arial Narrow" w:cs="Times New Roman"/>
          <w:i/>
          <w:iCs/>
          <w:sz w:val="18"/>
          <w:szCs w:val="18"/>
        </w:rPr>
        <w:t>S</w:t>
      </w:r>
      <w:r w:rsidRPr="00AE6700">
        <w:rPr>
          <w:rFonts w:ascii="Arial Narrow" w:hAnsi="Arial Narrow" w:cs="Times New Roman"/>
          <w:i/>
          <w:iCs/>
          <w:sz w:val="18"/>
          <w:szCs w:val="18"/>
        </w:rPr>
        <w:t xml:space="preserve">C=best supportive care; ICER, incremental cost-effectiveness ratio; </w:t>
      </w:r>
      <w:r w:rsidRPr="00AE6700">
        <w:rPr>
          <w:rFonts w:ascii="Arial Narrow" w:hAnsi="Arial Narrow" w:cs="Times New Roman"/>
          <w:i/>
          <w:iCs/>
          <w:sz w:val="18"/>
          <w:szCs w:val="18"/>
          <w:vertAlign w:val="superscript"/>
        </w:rPr>
        <w:t>177</w:t>
      </w:r>
      <w:r w:rsidRPr="00AE6700">
        <w:rPr>
          <w:rFonts w:ascii="Arial Narrow" w:hAnsi="Arial Narrow" w:cs="Times New Roman"/>
          <w:i/>
          <w:iCs/>
          <w:sz w:val="18"/>
          <w:szCs w:val="18"/>
        </w:rPr>
        <w:t>Lu, lutetium-177; PSMA, prostate specific membrane antigen; QALY, quality-adjusted life year</w:t>
      </w:r>
    </w:p>
    <w:p w14:paraId="7DA1E901" w14:textId="3D0005A2" w:rsidR="005E3D87" w:rsidRPr="00A12B37" w:rsidRDefault="005E3D87" w:rsidP="00C7462B">
      <w:pPr>
        <w:spacing w:before="240"/>
      </w:pPr>
      <w:r w:rsidRPr="00A12B37">
        <w:t xml:space="preserve">MSAC noted that there were three key drivers in the </w:t>
      </w:r>
      <w:r w:rsidR="00C77D78">
        <w:t>previous ADAR</w:t>
      </w:r>
      <w:r w:rsidRPr="00A12B37">
        <w:t xml:space="preserve"> economic model. The first was assumed effectiveness in terms of OS of cabazitaxel. The </w:t>
      </w:r>
      <w:r w:rsidR="007F120D" w:rsidRPr="00A12B37">
        <w:t xml:space="preserve">current ADAR </w:t>
      </w:r>
      <w:r w:rsidRPr="00A12B37">
        <w:t xml:space="preserve">used a more conservative OS HR=1 for cabazitaxel from the latest </w:t>
      </w:r>
      <w:proofErr w:type="spellStart"/>
      <w:r w:rsidRPr="00A12B37">
        <w:t>TheraP</w:t>
      </w:r>
      <w:proofErr w:type="spellEnd"/>
      <w:r w:rsidRPr="00A12B37">
        <w:t xml:space="preserve"> data thus reducing </w:t>
      </w:r>
      <w:r w:rsidR="00845294" w:rsidRPr="00A12B37">
        <w:t xml:space="preserve">this </w:t>
      </w:r>
      <w:r w:rsidRPr="00A12B37">
        <w:t>uncertainty. The second key driver was extrapolation, where the treatment effect continued beyond 20.9 months in the trial period for up to 10 years [reduced to 7.5 years]. The third key driver was the time horizon, which was 10 years in the base case, and became 7.5 years and no longer a driver of the model (using the cut-off criteria of 15%).</w:t>
      </w:r>
    </w:p>
    <w:p w14:paraId="4774BB62" w14:textId="1911A65A" w:rsidR="005E3D87" w:rsidRDefault="00947DF8" w:rsidP="005E3D87">
      <w:r>
        <w:t>T</w:t>
      </w:r>
      <w:r w:rsidR="005E3D87" w:rsidRPr="00CD5A4F">
        <w:t xml:space="preserve">he ICER was most sensitive to the changes in approach to costing of </w:t>
      </w:r>
      <w:r w:rsidR="00845294">
        <w:rPr>
          <w:vertAlign w:val="superscript"/>
        </w:rPr>
        <w:t>177</w:t>
      </w:r>
      <w:r w:rsidR="005E3D87" w:rsidRPr="00CD5A4F">
        <w:t>Lu</w:t>
      </w:r>
      <w:r w:rsidR="00860C73">
        <w:t> </w:t>
      </w:r>
      <w:r w:rsidR="005E3D87" w:rsidRPr="00CD5A4F">
        <w:t>PSMA</w:t>
      </w:r>
      <w:r w:rsidR="00860C73">
        <w:t> </w:t>
      </w:r>
      <w:proofErr w:type="spellStart"/>
      <w:r w:rsidR="00860C73">
        <w:t>i&amp;t</w:t>
      </w:r>
      <w:proofErr w:type="spellEnd"/>
      <w:r w:rsidR="005E3D87" w:rsidRPr="00CD5A4F">
        <w:t xml:space="preserve"> treatment (see above), followed by utilities. Both key drivers favour </w:t>
      </w:r>
      <w:r w:rsidR="00845294">
        <w:rPr>
          <w:vertAlign w:val="superscript"/>
        </w:rPr>
        <w:t>177</w:t>
      </w:r>
      <w:r w:rsidR="005E3D87" w:rsidRPr="00CD5A4F">
        <w:t>Lu</w:t>
      </w:r>
      <w:r w:rsidR="00860C73">
        <w:t> </w:t>
      </w:r>
      <w:r w:rsidR="005E3D87" w:rsidRPr="00CD5A4F">
        <w:t>PSMA</w:t>
      </w:r>
      <w:r w:rsidR="00860C73">
        <w:t> </w:t>
      </w:r>
      <w:proofErr w:type="spellStart"/>
      <w:r w:rsidR="00860C73">
        <w:t>i&amp;t</w:t>
      </w:r>
      <w:proofErr w:type="spellEnd"/>
      <w:r w:rsidR="005E3D87" w:rsidRPr="00CD5A4F">
        <w:t>.</w:t>
      </w:r>
    </w:p>
    <w:p w14:paraId="22FFC38C" w14:textId="0DC7111E" w:rsidR="001A78EC" w:rsidRDefault="001A78EC" w:rsidP="005E3D87">
      <w:r>
        <w:t xml:space="preserve">The pre-MSAC response </w:t>
      </w:r>
      <w:r w:rsidR="00F54580">
        <w:t xml:space="preserve">presented additional one-way sensitivity and scenario analyses to address the </w:t>
      </w:r>
      <w:r w:rsidR="00645221" w:rsidRPr="009B7D4C">
        <w:t>ESC’s concerns for using PFS from VISION</w:t>
      </w:r>
      <w:r w:rsidR="00860C73">
        <w:t xml:space="preserve"> (</w:t>
      </w:r>
      <w:r w:rsidR="003F5689">
        <w:rPr>
          <w:vertAlign w:val="superscript"/>
        </w:rPr>
        <w:t>177</w:t>
      </w:r>
      <w:r w:rsidR="00860C73">
        <w:t>Lu PSMA</w:t>
      </w:r>
      <w:r w:rsidR="003F5689">
        <w:t>-617)</w:t>
      </w:r>
      <w:r w:rsidR="00645221" w:rsidRPr="009B7D4C">
        <w:t xml:space="preserve"> to model PFS outcomes in the CEA but PFS from </w:t>
      </w:r>
      <w:proofErr w:type="spellStart"/>
      <w:r w:rsidR="00645221" w:rsidRPr="009B7D4C">
        <w:t>TheraP</w:t>
      </w:r>
      <w:proofErr w:type="spellEnd"/>
      <w:r w:rsidR="003F5689">
        <w:t xml:space="preserve"> (</w:t>
      </w:r>
      <w:r w:rsidR="003F5689">
        <w:rPr>
          <w:vertAlign w:val="superscript"/>
        </w:rPr>
        <w:t>177</w:t>
      </w:r>
      <w:r w:rsidR="003F5689">
        <w:t>Lu PSMA-617)</w:t>
      </w:r>
      <w:r w:rsidR="00645221" w:rsidRPr="009B7D4C">
        <w:t xml:space="preserve"> to model time on </w:t>
      </w:r>
      <w:r w:rsidR="00645221" w:rsidRPr="00A8574A">
        <w:rPr>
          <w:vertAlign w:val="superscript"/>
        </w:rPr>
        <w:t>177</w:t>
      </w:r>
      <w:r w:rsidR="00645221" w:rsidRPr="009B7D4C">
        <w:t>Lu</w:t>
      </w:r>
      <w:r w:rsidR="003F5689">
        <w:t> </w:t>
      </w:r>
      <w:r w:rsidR="00645221" w:rsidRPr="009B7D4C">
        <w:t>PSMA</w:t>
      </w:r>
      <w:r w:rsidR="003F5689">
        <w:t> </w:t>
      </w:r>
      <w:proofErr w:type="spellStart"/>
      <w:r w:rsidR="003F5689">
        <w:t>i&amp;t</w:t>
      </w:r>
      <w:proofErr w:type="spellEnd"/>
      <w:r w:rsidR="00645221" w:rsidRPr="009B7D4C">
        <w:t xml:space="preserve"> treatment</w:t>
      </w:r>
      <w:r w:rsidR="003F5689">
        <w:t xml:space="preserve"> in the </w:t>
      </w:r>
      <w:r w:rsidR="00DA5634">
        <w:t>economic model</w:t>
      </w:r>
      <w:r w:rsidR="00645221">
        <w:t xml:space="preserve"> (Table 10).</w:t>
      </w:r>
    </w:p>
    <w:p w14:paraId="0D6E002B" w14:textId="3C5E0A16" w:rsidR="00645221" w:rsidRDefault="00645221" w:rsidP="00645221">
      <w:pPr>
        <w:pStyle w:val="Caption"/>
      </w:pPr>
      <w:r>
        <w:lastRenderedPageBreak/>
        <w:t>Table 10</w:t>
      </w:r>
      <w:r>
        <w:tab/>
        <w:t xml:space="preserve">One-way sensitivity analyses </w:t>
      </w:r>
    </w:p>
    <w:tbl>
      <w:tblPr>
        <w:tblStyle w:val="TableGrid"/>
        <w:tblW w:w="5000" w:type="pct"/>
        <w:tblLook w:val="04A0" w:firstRow="1" w:lastRow="0" w:firstColumn="1" w:lastColumn="0" w:noHBand="0" w:noVBand="1"/>
      </w:tblPr>
      <w:tblGrid>
        <w:gridCol w:w="3570"/>
        <w:gridCol w:w="1258"/>
        <w:gridCol w:w="1347"/>
        <w:gridCol w:w="1251"/>
        <w:gridCol w:w="1590"/>
      </w:tblGrid>
      <w:tr w:rsidR="00BA65D3" w14:paraId="66C25408" w14:textId="77777777" w:rsidTr="00A8574A">
        <w:tc>
          <w:tcPr>
            <w:tcW w:w="1979" w:type="pct"/>
          </w:tcPr>
          <w:p w14:paraId="5009338F" w14:textId="77777777" w:rsidR="00645221" w:rsidRPr="00AB49AA" w:rsidRDefault="00645221" w:rsidP="00A8574A">
            <w:pPr>
              <w:pStyle w:val="Tabletext8pt"/>
              <w:rPr>
                <w:rFonts w:ascii="Arial Narrow" w:hAnsi="Arial Narrow"/>
                <w:b/>
                <w:bCs/>
                <w:sz w:val="20"/>
                <w:szCs w:val="20"/>
              </w:rPr>
            </w:pPr>
            <w:r w:rsidRPr="00AB49AA">
              <w:rPr>
                <w:rFonts w:ascii="Arial Narrow" w:hAnsi="Arial Narrow"/>
                <w:b/>
                <w:bCs/>
                <w:sz w:val="20"/>
                <w:szCs w:val="20"/>
              </w:rPr>
              <w:t>Scenario</w:t>
            </w:r>
          </w:p>
        </w:tc>
        <w:tc>
          <w:tcPr>
            <w:tcW w:w="697" w:type="pct"/>
          </w:tcPr>
          <w:p w14:paraId="0C0BC8CC" w14:textId="77777777" w:rsidR="00645221" w:rsidRPr="00AB49AA" w:rsidRDefault="00645221" w:rsidP="00A8574A">
            <w:pPr>
              <w:pStyle w:val="Tabletext8pt"/>
              <w:jc w:val="center"/>
              <w:rPr>
                <w:rFonts w:ascii="Arial Narrow" w:hAnsi="Arial Narrow"/>
                <w:b/>
                <w:bCs/>
                <w:sz w:val="20"/>
                <w:szCs w:val="20"/>
              </w:rPr>
            </w:pPr>
            <w:r w:rsidRPr="00AB49AA">
              <w:rPr>
                <w:rFonts w:ascii="Arial Narrow" w:hAnsi="Arial Narrow"/>
                <w:b/>
                <w:bCs/>
                <w:sz w:val="20"/>
                <w:szCs w:val="20"/>
              </w:rPr>
              <w:t>Incremental cost</w:t>
            </w:r>
          </w:p>
        </w:tc>
        <w:tc>
          <w:tcPr>
            <w:tcW w:w="747" w:type="pct"/>
          </w:tcPr>
          <w:p w14:paraId="3B22F767" w14:textId="77777777" w:rsidR="00645221" w:rsidRPr="00AB49AA" w:rsidRDefault="00645221" w:rsidP="00A8574A">
            <w:pPr>
              <w:pStyle w:val="Tabletext8pt"/>
              <w:jc w:val="center"/>
              <w:rPr>
                <w:rFonts w:ascii="Arial Narrow" w:hAnsi="Arial Narrow"/>
                <w:b/>
                <w:bCs/>
                <w:sz w:val="20"/>
                <w:szCs w:val="20"/>
              </w:rPr>
            </w:pPr>
            <w:r w:rsidRPr="00AB49AA">
              <w:rPr>
                <w:rFonts w:ascii="Arial Narrow" w:hAnsi="Arial Narrow"/>
                <w:b/>
                <w:bCs/>
                <w:sz w:val="20"/>
                <w:szCs w:val="20"/>
              </w:rPr>
              <w:t>Incremental QALYs</w:t>
            </w:r>
          </w:p>
        </w:tc>
        <w:tc>
          <w:tcPr>
            <w:tcW w:w="694" w:type="pct"/>
          </w:tcPr>
          <w:p w14:paraId="4779F439" w14:textId="77777777" w:rsidR="00645221" w:rsidRPr="00AB49AA" w:rsidRDefault="00645221" w:rsidP="00A8574A">
            <w:pPr>
              <w:pStyle w:val="Tabletext8pt"/>
              <w:jc w:val="center"/>
              <w:rPr>
                <w:rFonts w:ascii="Arial Narrow" w:hAnsi="Arial Narrow"/>
                <w:b/>
                <w:bCs/>
                <w:sz w:val="20"/>
                <w:szCs w:val="20"/>
              </w:rPr>
            </w:pPr>
            <w:r w:rsidRPr="00AB49AA">
              <w:rPr>
                <w:rFonts w:ascii="Arial Narrow" w:hAnsi="Arial Narrow"/>
                <w:b/>
                <w:bCs/>
                <w:sz w:val="20"/>
                <w:szCs w:val="20"/>
              </w:rPr>
              <w:t>ICER (cost per QALY)</w:t>
            </w:r>
          </w:p>
        </w:tc>
        <w:tc>
          <w:tcPr>
            <w:tcW w:w="882" w:type="pct"/>
          </w:tcPr>
          <w:p w14:paraId="2C9B0553" w14:textId="77777777" w:rsidR="00645221" w:rsidRPr="00AB49AA" w:rsidRDefault="00645221" w:rsidP="00A8574A">
            <w:pPr>
              <w:pStyle w:val="Tabletext8pt"/>
              <w:jc w:val="center"/>
              <w:rPr>
                <w:rFonts w:ascii="Arial Narrow" w:hAnsi="Arial Narrow"/>
                <w:b/>
                <w:bCs/>
                <w:sz w:val="20"/>
                <w:szCs w:val="20"/>
              </w:rPr>
            </w:pPr>
            <w:r w:rsidRPr="00AB49AA">
              <w:rPr>
                <w:rFonts w:ascii="Arial Narrow" w:hAnsi="Arial Narrow"/>
                <w:b/>
                <w:bCs/>
                <w:sz w:val="20"/>
                <w:szCs w:val="20"/>
              </w:rPr>
              <w:t>Relative impact to base-case</w:t>
            </w:r>
          </w:p>
        </w:tc>
      </w:tr>
      <w:tr w:rsidR="00BA65D3" w14:paraId="6CBDE837" w14:textId="77777777" w:rsidTr="00A8574A">
        <w:tc>
          <w:tcPr>
            <w:tcW w:w="1979" w:type="pct"/>
          </w:tcPr>
          <w:p w14:paraId="677DD57F" w14:textId="77777777" w:rsidR="00645221" w:rsidRPr="00AB49AA" w:rsidRDefault="00645221" w:rsidP="00A8574A">
            <w:pPr>
              <w:pStyle w:val="Tabletext8pt"/>
              <w:rPr>
                <w:rFonts w:ascii="Arial Narrow" w:hAnsi="Arial Narrow"/>
                <w:sz w:val="20"/>
                <w:szCs w:val="20"/>
              </w:rPr>
            </w:pPr>
            <w:r w:rsidRPr="00AB49AA">
              <w:rPr>
                <w:rFonts w:ascii="Arial Narrow" w:hAnsi="Arial Narrow"/>
                <w:sz w:val="20"/>
                <w:szCs w:val="20"/>
              </w:rPr>
              <w:t>Base-case</w:t>
            </w:r>
          </w:p>
        </w:tc>
        <w:tc>
          <w:tcPr>
            <w:tcW w:w="697" w:type="pct"/>
            <w:vAlign w:val="center"/>
          </w:tcPr>
          <w:p w14:paraId="61744D9D"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$25,690</w:t>
            </w:r>
          </w:p>
        </w:tc>
        <w:tc>
          <w:tcPr>
            <w:tcW w:w="747" w:type="pct"/>
            <w:vAlign w:val="center"/>
          </w:tcPr>
          <w:p w14:paraId="45D27021"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0.349</w:t>
            </w:r>
          </w:p>
        </w:tc>
        <w:tc>
          <w:tcPr>
            <w:tcW w:w="694" w:type="pct"/>
            <w:vAlign w:val="center"/>
          </w:tcPr>
          <w:p w14:paraId="352471A3"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$73,622</w:t>
            </w:r>
          </w:p>
        </w:tc>
        <w:tc>
          <w:tcPr>
            <w:tcW w:w="882" w:type="pct"/>
            <w:vAlign w:val="center"/>
          </w:tcPr>
          <w:p w14:paraId="52285746"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N/a</w:t>
            </w:r>
          </w:p>
        </w:tc>
      </w:tr>
      <w:tr w:rsidR="00BA65D3" w14:paraId="50F4E25C" w14:textId="77777777" w:rsidTr="00A8574A">
        <w:tc>
          <w:tcPr>
            <w:tcW w:w="1979" w:type="pct"/>
          </w:tcPr>
          <w:p w14:paraId="1FD2AB2B" w14:textId="77777777" w:rsidR="00645221" w:rsidRPr="00AB49AA" w:rsidRDefault="00645221" w:rsidP="00A8574A">
            <w:pPr>
              <w:pStyle w:val="Tabletext8pt"/>
              <w:rPr>
                <w:rFonts w:ascii="Arial Narrow" w:hAnsi="Arial Narrow"/>
                <w:sz w:val="20"/>
                <w:szCs w:val="20"/>
              </w:rPr>
            </w:pPr>
            <w:r w:rsidRPr="00AB49AA">
              <w:rPr>
                <w:rFonts w:ascii="Arial Narrow" w:hAnsi="Arial Narrow"/>
                <w:sz w:val="20"/>
                <w:szCs w:val="20"/>
              </w:rPr>
              <w:t>Utility cabazitaxel = 0.7 and BSc = 0.74 for PFS health state</w:t>
            </w:r>
          </w:p>
        </w:tc>
        <w:tc>
          <w:tcPr>
            <w:tcW w:w="697" w:type="pct"/>
            <w:vAlign w:val="center"/>
          </w:tcPr>
          <w:p w14:paraId="6FFD4897"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$25,690</w:t>
            </w:r>
          </w:p>
        </w:tc>
        <w:tc>
          <w:tcPr>
            <w:tcW w:w="747" w:type="pct"/>
            <w:vAlign w:val="center"/>
          </w:tcPr>
          <w:p w14:paraId="62D6BCFE"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0.301</w:t>
            </w:r>
          </w:p>
        </w:tc>
        <w:tc>
          <w:tcPr>
            <w:tcW w:w="694" w:type="pct"/>
            <w:vAlign w:val="center"/>
          </w:tcPr>
          <w:p w14:paraId="631D4B17"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$85,393</w:t>
            </w:r>
          </w:p>
        </w:tc>
        <w:tc>
          <w:tcPr>
            <w:tcW w:w="882" w:type="pct"/>
            <w:vAlign w:val="center"/>
          </w:tcPr>
          <w:p w14:paraId="75D6A3FE"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+16.0%</w:t>
            </w:r>
          </w:p>
        </w:tc>
      </w:tr>
      <w:tr w:rsidR="00BA65D3" w14:paraId="12DC681D" w14:textId="77777777" w:rsidTr="00A8574A">
        <w:tc>
          <w:tcPr>
            <w:tcW w:w="1979" w:type="pct"/>
          </w:tcPr>
          <w:p w14:paraId="2964AB05" w14:textId="77777777" w:rsidR="00645221" w:rsidRPr="00AB49AA" w:rsidRDefault="00645221" w:rsidP="00A8574A">
            <w:pPr>
              <w:pStyle w:val="Tabletext8pt"/>
              <w:rPr>
                <w:rFonts w:ascii="Arial Narrow" w:hAnsi="Arial Narrow"/>
                <w:sz w:val="20"/>
                <w:szCs w:val="20"/>
              </w:rPr>
            </w:pPr>
            <w:r w:rsidRPr="00AB49AA">
              <w:rPr>
                <w:rFonts w:ascii="Arial Narrow" w:hAnsi="Arial Narrow"/>
                <w:sz w:val="20"/>
                <w:szCs w:val="20"/>
              </w:rPr>
              <w:t>Utility cabazitaxel = 0.7 and BSc = 0.7 for PFS health state</w:t>
            </w:r>
          </w:p>
        </w:tc>
        <w:tc>
          <w:tcPr>
            <w:tcW w:w="697" w:type="pct"/>
            <w:vAlign w:val="center"/>
          </w:tcPr>
          <w:p w14:paraId="16019691"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$25,690</w:t>
            </w:r>
          </w:p>
        </w:tc>
        <w:tc>
          <w:tcPr>
            <w:tcW w:w="747" w:type="pct"/>
            <w:vAlign w:val="center"/>
          </w:tcPr>
          <w:p w14:paraId="55F9F18C"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0.314</w:t>
            </w:r>
          </w:p>
        </w:tc>
        <w:tc>
          <w:tcPr>
            <w:tcW w:w="694" w:type="pct"/>
            <w:vAlign w:val="center"/>
          </w:tcPr>
          <w:p w14:paraId="70B45C87"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$81,901</w:t>
            </w:r>
          </w:p>
        </w:tc>
        <w:tc>
          <w:tcPr>
            <w:tcW w:w="882" w:type="pct"/>
            <w:vAlign w:val="center"/>
          </w:tcPr>
          <w:p w14:paraId="524E8A9F"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+11.2%</w:t>
            </w:r>
          </w:p>
        </w:tc>
      </w:tr>
      <w:tr w:rsidR="00BA65D3" w14:paraId="07FC09C5" w14:textId="77777777" w:rsidTr="00A8574A">
        <w:tc>
          <w:tcPr>
            <w:tcW w:w="1979" w:type="pct"/>
          </w:tcPr>
          <w:p w14:paraId="7D013DF9" w14:textId="68EFFCF8" w:rsidR="00645221" w:rsidRPr="00AB49AA" w:rsidRDefault="00645221" w:rsidP="00A8574A">
            <w:pPr>
              <w:pStyle w:val="Tabletext8pt"/>
              <w:rPr>
                <w:rFonts w:ascii="Arial Narrow" w:hAnsi="Arial Narrow"/>
                <w:sz w:val="20"/>
                <w:szCs w:val="20"/>
              </w:rPr>
            </w:pPr>
            <w:r w:rsidRPr="00AB49AA">
              <w:rPr>
                <w:rFonts w:ascii="Arial Narrow" w:hAnsi="Arial Narrow"/>
                <w:sz w:val="20"/>
                <w:szCs w:val="20"/>
              </w:rPr>
              <w:t xml:space="preserve">Utility </w:t>
            </w:r>
            <w:r w:rsidRPr="00AB49AA">
              <w:rPr>
                <w:rFonts w:ascii="Arial Narrow" w:hAnsi="Arial Narrow"/>
                <w:sz w:val="20"/>
                <w:szCs w:val="20"/>
                <w:vertAlign w:val="superscript"/>
              </w:rPr>
              <w:t>177</w:t>
            </w:r>
            <w:r w:rsidRPr="00AB49AA">
              <w:rPr>
                <w:rFonts w:ascii="Arial Narrow" w:hAnsi="Arial Narrow"/>
                <w:sz w:val="20"/>
                <w:szCs w:val="20"/>
              </w:rPr>
              <w:t>Lu</w:t>
            </w:r>
            <w:r w:rsidR="00DA5634">
              <w:rPr>
                <w:rFonts w:ascii="Arial Narrow" w:hAnsi="Arial Narrow"/>
                <w:sz w:val="20"/>
                <w:szCs w:val="20"/>
              </w:rPr>
              <w:t> </w:t>
            </w:r>
            <w:r w:rsidRPr="00AB49AA">
              <w:rPr>
                <w:rFonts w:ascii="Arial Narrow" w:hAnsi="Arial Narrow"/>
                <w:sz w:val="20"/>
                <w:szCs w:val="20"/>
              </w:rPr>
              <w:t>PSMA</w:t>
            </w:r>
            <w:r w:rsidR="00DA5634">
              <w:rPr>
                <w:rFonts w:ascii="Arial Narrow" w:hAnsi="Arial Narrow"/>
                <w:sz w:val="20"/>
                <w:szCs w:val="20"/>
              </w:rPr>
              <w:t> </w:t>
            </w:r>
            <w:proofErr w:type="spellStart"/>
            <w:r w:rsidR="00DA5634">
              <w:rPr>
                <w:rFonts w:ascii="Arial Narrow" w:hAnsi="Arial Narrow"/>
                <w:sz w:val="20"/>
                <w:szCs w:val="20"/>
              </w:rPr>
              <w:t>i&amp;t</w:t>
            </w:r>
            <w:proofErr w:type="spellEnd"/>
            <w:r w:rsidRPr="00AB49AA">
              <w:rPr>
                <w:rFonts w:ascii="Arial Narrow" w:hAnsi="Arial Narrow"/>
                <w:sz w:val="20"/>
                <w:szCs w:val="20"/>
              </w:rPr>
              <w:t xml:space="preserve"> = 0.7 and BSc = 0.59 for PFS health states</w:t>
            </w:r>
          </w:p>
        </w:tc>
        <w:tc>
          <w:tcPr>
            <w:tcW w:w="697" w:type="pct"/>
            <w:vAlign w:val="center"/>
          </w:tcPr>
          <w:p w14:paraId="33B37444"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$25,690</w:t>
            </w:r>
          </w:p>
        </w:tc>
        <w:tc>
          <w:tcPr>
            <w:tcW w:w="747" w:type="pct"/>
            <w:vAlign w:val="center"/>
          </w:tcPr>
          <w:p w14:paraId="06802375"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0.316</w:t>
            </w:r>
          </w:p>
        </w:tc>
        <w:tc>
          <w:tcPr>
            <w:tcW w:w="694" w:type="pct"/>
            <w:vAlign w:val="center"/>
          </w:tcPr>
          <w:p w14:paraId="7CDCEF4E"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$81,391</w:t>
            </w:r>
          </w:p>
        </w:tc>
        <w:tc>
          <w:tcPr>
            <w:tcW w:w="882" w:type="pct"/>
            <w:vAlign w:val="center"/>
          </w:tcPr>
          <w:p w14:paraId="42D57F31" w14:textId="77777777" w:rsidR="00645221" w:rsidRPr="00AB49AA" w:rsidRDefault="00645221" w:rsidP="00A8574A">
            <w:pPr>
              <w:pStyle w:val="Tabletext8pt"/>
              <w:jc w:val="center"/>
              <w:rPr>
                <w:rFonts w:ascii="Arial Narrow" w:hAnsi="Arial Narrow"/>
                <w:sz w:val="20"/>
                <w:szCs w:val="20"/>
              </w:rPr>
            </w:pPr>
            <w:r w:rsidRPr="00AB49AA">
              <w:rPr>
                <w:rFonts w:ascii="Arial Narrow" w:hAnsi="Arial Narrow"/>
                <w:sz w:val="20"/>
                <w:szCs w:val="20"/>
              </w:rPr>
              <w:t>+10.6%</w:t>
            </w:r>
          </w:p>
        </w:tc>
      </w:tr>
    </w:tbl>
    <w:p w14:paraId="25F3E588" w14:textId="28F1C795" w:rsidR="00645221" w:rsidRPr="00CD5A4F" w:rsidRDefault="00645221" w:rsidP="00AB49AA">
      <w:pPr>
        <w:pStyle w:val="Tablenotes"/>
      </w:pPr>
      <w:r w:rsidRPr="00645221">
        <w:t>Abbreviations: BSc, best supportive care; ICER, incremental cost-effectiveness ratio; PD, progressive disease; PFS, progression-free survival; QALY, quality adjusted life year</w:t>
      </w:r>
    </w:p>
    <w:p w14:paraId="25AE2BAC" w14:textId="2079FE3F" w:rsidR="00772829" w:rsidRDefault="00C36633" w:rsidP="00C7462B">
      <w:pPr>
        <w:pStyle w:val="ESHeading1"/>
        <w:numPr>
          <w:ilvl w:val="0"/>
          <w:numId w:val="0"/>
        </w:numPr>
        <w:spacing w:before="360"/>
        <w:ind w:hanging="74"/>
      </w:pPr>
      <w:bookmarkStart w:id="35" w:name="_Toc69491426"/>
      <w:r>
        <w:t>1</w:t>
      </w:r>
      <w:r w:rsidR="00C7462B">
        <w:t>4</w:t>
      </w:r>
      <w:r>
        <w:t>.</w:t>
      </w:r>
      <w:r>
        <w:tab/>
      </w:r>
      <w:r w:rsidR="00772829" w:rsidRPr="00CE28E3">
        <w:t>Financial/budgetary impacts</w:t>
      </w:r>
      <w:bookmarkEnd w:id="35"/>
    </w:p>
    <w:p w14:paraId="70AA8972" w14:textId="28220AAB" w:rsidR="005E3D87" w:rsidRPr="009A3DC6" w:rsidRDefault="005E3D87" w:rsidP="00B458C6">
      <w:pPr>
        <w:rPr>
          <w:u w:val="single"/>
        </w:rPr>
      </w:pPr>
      <w:r>
        <w:t xml:space="preserve">The use of health technology in practice presented in the ADAR is based on some changes to the </w:t>
      </w:r>
      <w:r w:rsidR="00AE6700">
        <w:t>previous ADAR</w:t>
      </w:r>
      <w:r>
        <w:t xml:space="preserve"> and not a new presentation of the financial impacts. </w:t>
      </w:r>
      <w:r w:rsidR="00B458C6">
        <w:t>The specified changes are listed below.</w:t>
      </w:r>
    </w:p>
    <w:p w14:paraId="5967C4A9" w14:textId="602E0629" w:rsidR="005E3D87" w:rsidRDefault="005E3D87" w:rsidP="005E3D87">
      <w:r w:rsidRPr="004D7132">
        <w:t xml:space="preserve">The financial implications to the MBS and PBS/RPBS resulting from the proposed listing of PSMA PET/CT and </w:t>
      </w:r>
      <w:r w:rsidRPr="00CD5A4F">
        <w:rPr>
          <w:vertAlign w:val="superscript"/>
        </w:rPr>
        <w:t>177</w:t>
      </w:r>
      <w:r w:rsidRPr="004D7132">
        <w:t>LuPSMA</w:t>
      </w:r>
      <w:r w:rsidR="00CC7446">
        <w:t> </w:t>
      </w:r>
      <w:proofErr w:type="spellStart"/>
      <w:r w:rsidR="00CC7446">
        <w:t>i&amp;t</w:t>
      </w:r>
      <w:proofErr w:type="spellEnd"/>
      <w:r w:rsidRPr="004D7132">
        <w:t xml:space="preserve"> presented in </w:t>
      </w:r>
      <w:r w:rsidR="000820F7">
        <w:t>MSAC</w:t>
      </w:r>
      <w:r w:rsidRPr="004D7132">
        <w:t xml:space="preserve"> 1686</w:t>
      </w:r>
      <w:r>
        <w:t>.1</w:t>
      </w:r>
      <w:r w:rsidRPr="004D7132">
        <w:t xml:space="preserve"> are summarised in </w:t>
      </w:r>
      <w:r w:rsidR="00645221">
        <w:t>Table 11</w:t>
      </w:r>
      <w:r>
        <w:t>.</w:t>
      </w:r>
    </w:p>
    <w:p w14:paraId="7CF0771C" w14:textId="77777777" w:rsidR="005E3D87" w:rsidRDefault="005E3D87" w:rsidP="005E3D87">
      <w:r>
        <w:t xml:space="preserve">The estimates are derived using the following assumptions: </w:t>
      </w:r>
    </w:p>
    <w:p w14:paraId="301666B5" w14:textId="362BD8A2" w:rsidR="005E3D87" w:rsidRDefault="005E3D87" w:rsidP="00C7462B">
      <w:pPr>
        <w:pStyle w:val="ListParagraph"/>
        <w:numPr>
          <w:ilvl w:val="0"/>
          <w:numId w:val="18"/>
        </w:numPr>
        <w:ind w:left="284" w:hanging="284"/>
      </w:pPr>
      <w:r>
        <w:t xml:space="preserve">the estimated population has been updated to commence in </w:t>
      </w:r>
      <w:proofErr w:type="gramStart"/>
      <w:r>
        <w:t>2023</w:t>
      </w:r>
      <w:r w:rsidR="00B458C6">
        <w:t>;</w:t>
      </w:r>
      <w:proofErr w:type="gramEnd"/>
    </w:p>
    <w:p w14:paraId="666EF934" w14:textId="3E729064" w:rsidR="005E3D87" w:rsidRDefault="005E3D87" w:rsidP="00C7462B">
      <w:pPr>
        <w:pStyle w:val="ListParagraph"/>
        <w:numPr>
          <w:ilvl w:val="0"/>
          <w:numId w:val="18"/>
        </w:numPr>
        <w:ind w:left="284" w:hanging="284"/>
      </w:pPr>
      <w:r>
        <w:t xml:space="preserve">the proportion of patients otherwise treated with cabazitaxel has been changed to 25% from 75% in the </w:t>
      </w:r>
      <w:r w:rsidR="00B458C6">
        <w:t xml:space="preserve">previous </w:t>
      </w:r>
      <w:proofErr w:type="gramStart"/>
      <w:r>
        <w:t>ADAR</w:t>
      </w:r>
      <w:r w:rsidR="00B458C6">
        <w:t>;</w:t>
      </w:r>
      <w:proofErr w:type="gramEnd"/>
    </w:p>
    <w:p w14:paraId="4A5B3CB9" w14:textId="60AF4263" w:rsidR="005E3D87" w:rsidRDefault="00B458C6" w:rsidP="00C7462B">
      <w:pPr>
        <w:pStyle w:val="ListParagraph"/>
        <w:numPr>
          <w:ilvl w:val="0"/>
          <w:numId w:val="18"/>
        </w:numPr>
        <w:ind w:left="284" w:hanging="284"/>
      </w:pPr>
      <w:r>
        <w:t>a</w:t>
      </w:r>
      <w:r w:rsidR="005E3D87">
        <w:t xml:space="preserve">verage number of </w:t>
      </w:r>
      <w:r>
        <w:rPr>
          <w:vertAlign w:val="superscript"/>
        </w:rPr>
        <w:t>177</w:t>
      </w:r>
      <w:r w:rsidR="005E3D87">
        <w:t>Lu</w:t>
      </w:r>
      <w:r w:rsidR="00CC7446">
        <w:t> </w:t>
      </w:r>
      <w:r w:rsidR="005E3D87">
        <w:t>PSMA</w:t>
      </w:r>
      <w:r w:rsidR="00CC7446">
        <w:t> </w:t>
      </w:r>
      <w:proofErr w:type="spellStart"/>
      <w:r w:rsidR="00CC7446">
        <w:t>i&amp;t</w:t>
      </w:r>
      <w:proofErr w:type="spellEnd"/>
      <w:r w:rsidR="005E3D87">
        <w:t xml:space="preserve"> cycles has been reduced to 3.63 cycles compared to 4.7 in the </w:t>
      </w:r>
      <w:r>
        <w:t xml:space="preserve">previous </w:t>
      </w:r>
      <w:r w:rsidR="005E3D87">
        <w:t>ADAR</w:t>
      </w:r>
      <w:r>
        <w:t>; and</w:t>
      </w:r>
    </w:p>
    <w:p w14:paraId="3323A5D2" w14:textId="38E12685" w:rsidR="007E7BA8" w:rsidRPr="007E7BA8" w:rsidRDefault="00B458C6" w:rsidP="007E7BA8">
      <w:pPr>
        <w:pStyle w:val="ListParagraph"/>
        <w:numPr>
          <w:ilvl w:val="0"/>
          <w:numId w:val="18"/>
        </w:numPr>
        <w:ind w:left="284" w:hanging="284"/>
      </w:pPr>
      <w:r>
        <w:t>t</w:t>
      </w:r>
      <w:r w:rsidR="005E3D87">
        <w:t>he cost of cabazitaxel and its administration have been updated to reflect the current January 2023 costs.</w:t>
      </w:r>
      <w:bookmarkStart w:id="36" w:name="_Ref126057420"/>
      <w:r w:rsidR="007E7BA8">
        <w:br w:type="page"/>
      </w:r>
    </w:p>
    <w:p w14:paraId="736622F1" w14:textId="61E5420C" w:rsidR="005E3D87" w:rsidRPr="00F465E6" w:rsidRDefault="005E3D87" w:rsidP="005E3D87">
      <w:pPr>
        <w:pStyle w:val="Caption"/>
      </w:pPr>
      <w:r w:rsidRPr="00F465E6">
        <w:lastRenderedPageBreak/>
        <w:t xml:space="preserve">Table </w:t>
      </w:r>
      <w:bookmarkEnd w:id="36"/>
      <w:r w:rsidR="00645221">
        <w:t>11</w:t>
      </w:r>
      <w:r w:rsidRPr="00F465E6">
        <w:tab/>
        <w:t>Net cost to the MBS and R/PBS</w:t>
      </w:r>
    </w:p>
    <w:tbl>
      <w:tblPr>
        <w:tblStyle w:val="TableGrid1"/>
        <w:tblW w:w="5000" w:type="pct"/>
        <w:tblLayout w:type="fixed"/>
        <w:tblLook w:val="04A0" w:firstRow="1" w:lastRow="0" w:firstColumn="1" w:lastColumn="0" w:noHBand="0" w:noVBand="1"/>
        <w:tblCaption w:val="Summary of financial impact"/>
        <w:tblDescription w:val="This table outlines the financial impact on the MBS for the first 5 years of listing EndoPredict. The table includes the estimated eligible population based off AIHW data, uptake rate, number of MBS services, estimated pricing tier and total costs to MBS and patient contributions."/>
      </w:tblPr>
      <w:tblGrid>
        <w:gridCol w:w="3148"/>
        <w:gridCol w:w="1174"/>
        <w:gridCol w:w="1174"/>
        <w:gridCol w:w="1174"/>
        <w:gridCol w:w="1174"/>
        <w:gridCol w:w="1172"/>
      </w:tblGrid>
      <w:tr w:rsidR="005E3D87" w:rsidRPr="008C4113" w14:paraId="0F9BBA78" w14:textId="77777777" w:rsidTr="00A12B37">
        <w:trPr>
          <w:cnfStyle w:val="100000000000" w:firstRow="1" w:lastRow="0" w:firstColumn="0" w:lastColumn="0" w:oddVBand="0" w:evenVBand="0" w:oddHBand="0" w:evenHBand="0" w:firstRowFirstColumn="0" w:firstRowLastColumn="0" w:lastRowFirstColumn="0" w:lastRowLastColumn="0"/>
          <w:trHeight w:val="290"/>
          <w:tblHeader/>
        </w:trPr>
        <w:tc>
          <w:tcPr>
            <w:tcW w:w="1746" w:type="pct"/>
            <w:noWrap/>
            <w:hideMark/>
          </w:tcPr>
          <w:p w14:paraId="30576EC3" w14:textId="77777777" w:rsidR="005E3D87" w:rsidRPr="008C4113" w:rsidRDefault="005E3D87" w:rsidP="00ED1AE4">
            <w:pPr>
              <w:pStyle w:val="Tabletext0"/>
              <w:rPr>
                <w:b/>
                <w:bCs/>
                <w:lang w:eastAsia="en-US"/>
              </w:rPr>
            </w:pPr>
            <w:r w:rsidRPr="008C4113">
              <w:rPr>
                <w:b/>
                <w:bCs/>
                <w:lang w:eastAsia="en-US"/>
              </w:rPr>
              <w:t>Year</w:t>
            </w:r>
          </w:p>
        </w:tc>
        <w:tc>
          <w:tcPr>
            <w:tcW w:w="651" w:type="pct"/>
            <w:noWrap/>
            <w:vAlign w:val="center"/>
            <w:hideMark/>
          </w:tcPr>
          <w:p w14:paraId="25410862" w14:textId="77777777" w:rsidR="005E3D87" w:rsidRPr="008C4113" w:rsidRDefault="005E3D87" w:rsidP="00ED1AE4">
            <w:pPr>
              <w:pStyle w:val="Tabletext0"/>
              <w:jc w:val="center"/>
              <w:rPr>
                <w:b/>
                <w:bCs/>
                <w:lang w:eastAsia="en-US"/>
              </w:rPr>
            </w:pPr>
            <w:r w:rsidRPr="008C4113">
              <w:rPr>
                <w:b/>
                <w:bCs/>
                <w:lang w:eastAsia="en-US"/>
              </w:rPr>
              <w:t>2023</w:t>
            </w:r>
          </w:p>
        </w:tc>
        <w:tc>
          <w:tcPr>
            <w:tcW w:w="651" w:type="pct"/>
            <w:noWrap/>
            <w:vAlign w:val="center"/>
            <w:hideMark/>
          </w:tcPr>
          <w:p w14:paraId="4AEB4D66" w14:textId="77777777" w:rsidR="005E3D87" w:rsidRPr="008C4113" w:rsidRDefault="005E3D87" w:rsidP="00ED1AE4">
            <w:pPr>
              <w:pStyle w:val="Tabletext0"/>
              <w:jc w:val="center"/>
              <w:rPr>
                <w:b/>
                <w:bCs/>
                <w:lang w:eastAsia="en-US"/>
              </w:rPr>
            </w:pPr>
            <w:r w:rsidRPr="008C4113">
              <w:rPr>
                <w:b/>
                <w:bCs/>
                <w:lang w:eastAsia="en-US"/>
              </w:rPr>
              <w:t>2024</w:t>
            </w:r>
          </w:p>
        </w:tc>
        <w:tc>
          <w:tcPr>
            <w:tcW w:w="651" w:type="pct"/>
            <w:noWrap/>
            <w:vAlign w:val="center"/>
            <w:hideMark/>
          </w:tcPr>
          <w:p w14:paraId="40052BEE" w14:textId="77777777" w:rsidR="005E3D87" w:rsidRPr="008C4113" w:rsidRDefault="005E3D87" w:rsidP="00ED1AE4">
            <w:pPr>
              <w:pStyle w:val="Tabletext0"/>
              <w:jc w:val="center"/>
              <w:rPr>
                <w:b/>
                <w:bCs/>
                <w:lang w:eastAsia="en-US"/>
              </w:rPr>
            </w:pPr>
            <w:r w:rsidRPr="008C4113">
              <w:rPr>
                <w:b/>
                <w:bCs/>
                <w:lang w:eastAsia="en-US"/>
              </w:rPr>
              <w:t>2025</w:t>
            </w:r>
          </w:p>
        </w:tc>
        <w:tc>
          <w:tcPr>
            <w:tcW w:w="651" w:type="pct"/>
            <w:noWrap/>
            <w:vAlign w:val="center"/>
            <w:hideMark/>
          </w:tcPr>
          <w:p w14:paraId="21731631" w14:textId="77777777" w:rsidR="005E3D87" w:rsidRPr="008C4113" w:rsidRDefault="005E3D87" w:rsidP="00ED1AE4">
            <w:pPr>
              <w:pStyle w:val="Tabletext0"/>
              <w:jc w:val="center"/>
              <w:rPr>
                <w:b/>
                <w:bCs/>
                <w:lang w:eastAsia="en-US"/>
              </w:rPr>
            </w:pPr>
            <w:r w:rsidRPr="008C4113">
              <w:rPr>
                <w:b/>
                <w:bCs/>
                <w:lang w:eastAsia="en-US"/>
              </w:rPr>
              <w:t>2026</w:t>
            </w:r>
          </w:p>
        </w:tc>
        <w:tc>
          <w:tcPr>
            <w:tcW w:w="650" w:type="pct"/>
            <w:noWrap/>
            <w:vAlign w:val="center"/>
            <w:hideMark/>
          </w:tcPr>
          <w:p w14:paraId="57270947" w14:textId="77777777" w:rsidR="005E3D87" w:rsidRPr="008C4113" w:rsidRDefault="005E3D87" w:rsidP="00ED1AE4">
            <w:pPr>
              <w:pStyle w:val="Tabletext0"/>
              <w:jc w:val="center"/>
              <w:rPr>
                <w:b/>
                <w:bCs/>
                <w:lang w:eastAsia="en-US"/>
              </w:rPr>
            </w:pPr>
            <w:r w:rsidRPr="008C4113">
              <w:rPr>
                <w:b/>
                <w:bCs/>
                <w:lang w:eastAsia="en-US"/>
              </w:rPr>
              <w:t>2027</w:t>
            </w:r>
          </w:p>
        </w:tc>
      </w:tr>
      <w:tr w:rsidR="005E3D87" w:rsidRPr="008C4113" w14:paraId="2CD1E867" w14:textId="77777777" w:rsidTr="00ED1AE4">
        <w:trPr>
          <w:trHeight w:val="290"/>
        </w:trPr>
        <w:tc>
          <w:tcPr>
            <w:tcW w:w="1746" w:type="pct"/>
            <w:noWrap/>
            <w:hideMark/>
          </w:tcPr>
          <w:p w14:paraId="644D409E" w14:textId="77777777" w:rsidR="005E3D87" w:rsidRPr="008C4113" w:rsidRDefault="005E3D87" w:rsidP="00ED1AE4">
            <w:pPr>
              <w:pStyle w:val="Tabletext0"/>
              <w:rPr>
                <w:lang w:eastAsia="en-US"/>
              </w:rPr>
            </w:pPr>
            <w:r w:rsidRPr="008C4113">
              <w:rPr>
                <w:lang w:eastAsia="en-US"/>
              </w:rPr>
              <w:t>Eligible Population</w:t>
            </w:r>
          </w:p>
        </w:tc>
        <w:tc>
          <w:tcPr>
            <w:tcW w:w="651" w:type="pct"/>
            <w:noWrap/>
            <w:vAlign w:val="center"/>
          </w:tcPr>
          <w:p w14:paraId="02B4E1FE" w14:textId="77777777" w:rsidR="005E3D87" w:rsidRPr="008C4113" w:rsidRDefault="005E3D87" w:rsidP="00ED1AE4">
            <w:pPr>
              <w:pStyle w:val="Tabletext0"/>
              <w:jc w:val="center"/>
            </w:pPr>
            <w:r w:rsidRPr="008C4113">
              <w:t>3,043</w:t>
            </w:r>
          </w:p>
        </w:tc>
        <w:tc>
          <w:tcPr>
            <w:tcW w:w="651" w:type="pct"/>
            <w:noWrap/>
            <w:vAlign w:val="center"/>
          </w:tcPr>
          <w:p w14:paraId="704E72A9" w14:textId="77777777" w:rsidR="005E3D87" w:rsidRPr="008C4113" w:rsidRDefault="005E3D87" w:rsidP="00ED1AE4">
            <w:pPr>
              <w:pStyle w:val="Tabletext0"/>
              <w:jc w:val="center"/>
            </w:pPr>
            <w:r w:rsidRPr="008C4113">
              <w:t>3,083</w:t>
            </w:r>
          </w:p>
        </w:tc>
        <w:tc>
          <w:tcPr>
            <w:tcW w:w="651" w:type="pct"/>
            <w:noWrap/>
            <w:vAlign w:val="center"/>
          </w:tcPr>
          <w:p w14:paraId="0C91AFBE" w14:textId="77777777" w:rsidR="005E3D87" w:rsidRPr="008C4113" w:rsidRDefault="005E3D87" w:rsidP="00ED1AE4">
            <w:pPr>
              <w:pStyle w:val="Tabletext0"/>
              <w:jc w:val="center"/>
            </w:pPr>
            <w:r w:rsidRPr="008C4113">
              <w:t>3,124</w:t>
            </w:r>
          </w:p>
        </w:tc>
        <w:tc>
          <w:tcPr>
            <w:tcW w:w="651" w:type="pct"/>
            <w:noWrap/>
            <w:vAlign w:val="center"/>
          </w:tcPr>
          <w:p w14:paraId="4C0FB742" w14:textId="77777777" w:rsidR="005E3D87" w:rsidRPr="008C4113" w:rsidRDefault="005E3D87" w:rsidP="00ED1AE4">
            <w:pPr>
              <w:pStyle w:val="Tabletext0"/>
              <w:jc w:val="center"/>
            </w:pPr>
            <w:r w:rsidRPr="008C4113">
              <w:t>3,165</w:t>
            </w:r>
          </w:p>
        </w:tc>
        <w:tc>
          <w:tcPr>
            <w:tcW w:w="650" w:type="pct"/>
            <w:noWrap/>
            <w:vAlign w:val="center"/>
          </w:tcPr>
          <w:p w14:paraId="11F63167" w14:textId="77777777" w:rsidR="005E3D87" w:rsidRPr="008C4113" w:rsidRDefault="005E3D87" w:rsidP="00ED1AE4">
            <w:pPr>
              <w:pStyle w:val="Tabletext0"/>
              <w:jc w:val="center"/>
            </w:pPr>
            <w:r w:rsidRPr="008C4113">
              <w:t>3,206</w:t>
            </w:r>
          </w:p>
        </w:tc>
      </w:tr>
      <w:tr w:rsidR="005E3D87" w:rsidRPr="008C4113" w14:paraId="1D96B9B3" w14:textId="77777777" w:rsidTr="00ED1AE4">
        <w:trPr>
          <w:trHeight w:val="290"/>
        </w:trPr>
        <w:tc>
          <w:tcPr>
            <w:tcW w:w="1746" w:type="pct"/>
            <w:noWrap/>
            <w:hideMark/>
          </w:tcPr>
          <w:p w14:paraId="0BCD82CD" w14:textId="77777777" w:rsidR="005E3D87" w:rsidRPr="008C4113" w:rsidRDefault="005E3D87" w:rsidP="00ED1AE4">
            <w:pPr>
              <w:pStyle w:val="Tabletext0"/>
              <w:rPr>
                <w:lang w:eastAsia="en-US"/>
              </w:rPr>
            </w:pPr>
            <w:r w:rsidRPr="008C4113">
              <w:rPr>
                <w:lang w:eastAsia="en-US"/>
              </w:rPr>
              <w:t>Uptake rate</w:t>
            </w:r>
          </w:p>
        </w:tc>
        <w:tc>
          <w:tcPr>
            <w:tcW w:w="651" w:type="pct"/>
            <w:noWrap/>
            <w:vAlign w:val="center"/>
          </w:tcPr>
          <w:p w14:paraId="661F9B9B" w14:textId="77777777" w:rsidR="005E3D87" w:rsidRPr="008C4113" w:rsidRDefault="005E3D87" w:rsidP="00ED1AE4">
            <w:pPr>
              <w:pStyle w:val="Tabletext0"/>
              <w:jc w:val="center"/>
            </w:pPr>
            <w:r w:rsidRPr="008C4113">
              <w:t>11.5%</w:t>
            </w:r>
          </w:p>
        </w:tc>
        <w:tc>
          <w:tcPr>
            <w:tcW w:w="651" w:type="pct"/>
            <w:noWrap/>
            <w:vAlign w:val="center"/>
          </w:tcPr>
          <w:p w14:paraId="65A17ECB" w14:textId="77777777" w:rsidR="005E3D87" w:rsidRPr="008C4113" w:rsidRDefault="005E3D87" w:rsidP="00ED1AE4">
            <w:pPr>
              <w:pStyle w:val="Tabletext0"/>
              <w:jc w:val="center"/>
            </w:pPr>
            <w:r w:rsidRPr="008C4113">
              <w:t>12.8%</w:t>
            </w:r>
          </w:p>
        </w:tc>
        <w:tc>
          <w:tcPr>
            <w:tcW w:w="651" w:type="pct"/>
            <w:noWrap/>
            <w:vAlign w:val="center"/>
          </w:tcPr>
          <w:p w14:paraId="7F8A2AC0" w14:textId="77777777" w:rsidR="005E3D87" w:rsidRPr="008C4113" w:rsidRDefault="005E3D87" w:rsidP="00ED1AE4">
            <w:pPr>
              <w:pStyle w:val="Tabletext0"/>
              <w:jc w:val="center"/>
            </w:pPr>
            <w:r w:rsidRPr="008C4113">
              <w:t>14.3%</w:t>
            </w:r>
          </w:p>
        </w:tc>
        <w:tc>
          <w:tcPr>
            <w:tcW w:w="651" w:type="pct"/>
            <w:noWrap/>
            <w:vAlign w:val="center"/>
          </w:tcPr>
          <w:p w14:paraId="7297155D" w14:textId="77777777" w:rsidR="005E3D87" w:rsidRPr="008C4113" w:rsidRDefault="005E3D87" w:rsidP="00ED1AE4">
            <w:pPr>
              <w:pStyle w:val="Tabletext0"/>
              <w:jc w:val="center"/>
            </w:pPr>
            <w:r w:rsidRPr="008C4113">
              <w:t>15.9%</w:t>
            </w:r>
          </w:p>
        </w:tc>
        <w:tc>
          <w:tcPr>
            <w:tcW w:w="650" w:type="pct"/>
            <w:noWrap/>
            <w:vAlign w:val="center"/>
          </w:tcPr>
          <w:p w14:paraId="291B7651" w14:textId="77777777" w:rsidR="005E3D87" w:rsidRPr="008C4113" w:rsidRDefault="005E3D87" w:rsidP="00ED1AE4">
            <w:pPr>
              <w:pStyle w:val="Tabletext0"/>
              <w:jc w:val="center"/>
            </w:pPr>
            <w:r w:rsidRPr="008C4113">
              <w:t>17.8%</w:t>
            </w:r>
          </w:p>
        </w:tc>
      </w:tr>
      <w:tr w:rsidR="005E3D87" w:rsidRPr="008C4113" w14:paraId="7F8B886E" w14:textId="77777777" w:rsidTr="00ED1AE4">
        <w:trPr>
          <w:trHeight w:val="290"/>
        </w:trPr>
        <w:tc>
          <w:tcPr>
            <w:tcW w:w="1746" w:type="pct"/>
            <w:noWrap/>
            <w:hideMark/>
          </w:tcPr>
          <w:p w14:paraId="3A5ECB50" w14:textId="77777777" w:rsidR="005E3D87" w:rsidRPr="008C4113" w:rsidRDefault="005E3D87" w:rsidP="00ED1AE4">
            <w:pPr>
              <w:pStyle w:val="Tabletext0"/>
              <w:rPr>
                <w:lang w:eastAsia="en-US"/>
              </w:rPr>
            </w:pPr>
            <w:r w:rsidRPr="008C4113">
              <w:rPr>
                <w:lang w:eastAsia="en-US"/>
              </w:rPr>
              <w:t>Number of MBS Services (PSMA PET)</w:t>
            </w:r>
          </w:p>
        </w:tc>
        <w:tc>
          <w:tcPr>
            <w:tcW w:w="651" w:type="pct"/>
            <w:noWrap/>
            <w:vAlign w:val="center"/>
          </w:tcPr>
          <w:p w14:paraId="61AA9A3F" w14:textId="77777777" w:rsidR="005E3D87" w:rsidRPr="008C4113" w:rsidRDefault="005E3D87" w:rsidP="00ED1AE4">
            <w:pPr>
              <w:pStyle w:val="Tabletext0"/>
              <w:jc w:val="center"/>
            </w:pPr>
            <w:r w:rsidRPr="008C4113">
              <w:t>350</w:t>
            </w:r>
          </w:p>
        </w:tc>
        <w:tc>
          <w:tcPr>
            <w:tcW w:w="651" w:type="pct"/>
            <w:noWrap/>
            <w:vAlign w:val="center"/>
          </w:tcPr>
          <w:p w14:paraId="68EC4916" w14:textId="77777777" w:rsidR="005E3D87" w:rsidRPr="008C4113" w:rsidRDefault="005E3D87" w:rsidP="00ED1AE4">
            <w:pPr>
              <w:pStyle w:val="Tabletext0"/>
              <w:jc w:val="center"/>
            </w:pPr>
            <w:r w:rsidRPr="008C4113">
              <w:t>395</w:t>
            </w:r>
          </w:p>
        </w:tc>
        <w:tc>
          <w:tcPr>
            <w:tcW w:w="651" w:type="pct"/>
            <w:noWrap/>
            <w:vAlign w:val="center"/>
          </w:tcPr>
          <w:p w14:paraId="4BBCC7E7" w14:textId="77777777" w:rsidR="005E3D87" w:rsidRPr="008C4113" w:rsidRDefault="005E3D87" w:rsidP="00ED1AE4">
            <w:pPr>
              <w:pStyle w:val="Tabletext0"/>
              <w:jc w:val="center"/>
            </w:pPr>
            <w:r w:rsidRPr="008C4113">
              <w:t>447</w:t>
            </w:r>
          </w:p>
        </w:tc>
        <w:tc>
          <w:tcPr>
            <w:tcW w:w="651" w:type="pct"/>
            <w:noWrap/>
            <w:vAlign w:val="center"/>
          </w:tcPr>
          <w:p w14:paraId="244DCCE0" w14:textId="77777777" w:rsidR="005E3D87" w:rsidRPr="008C4113" w:rsidRDefault="005E3D87" w:rsidP="00ED1AE4">
            <w:pPr>
              <w:pStyle w:val="Tabletext0"/>
              <w:jc w:val="center"/>
            </w:pPr>
            <w:r w:rsidRPr="008C4113">
              <w:t>504</w:t>
            </w:r>
          </w:p>
        </w:tc>
        <w:tc>
          <w:tcPr>
            <w:tcW w:w="650" w:type="pct"/>
            <w:noWrap/>
            <w:vAlign w:val="center"/>
          </w:tcPr>
          <w:p w14:paraId="57B96CB0" w14:textId="77777777" w:rsidR="005E3D87" w:rsidRPr="008C4113" w:rsidRDefault="005E3D87" w:rsidP="00ED1AE4">
            <w:pPr>
              <w:pStyle w:val="Tabletext0"/>
              <w:jc w:val="center"/>
            </w:pPr>
            <w:r w:rsidRPr="008C4113">
              <w:t>570</w:t>
            </w:r>
          </w:p>
        </w:tc>
      </w:tr>
      <w:tr w:rsidR="005E3D87" w:rsidRPr="008C4113" w14:paraId="6D776BE5" w14:textId="77777777" w:rsidTr="00ED1AE4">
        <w:trPr>
          <w:trHeight w:val="290"/>
        </w:trPr>
        <w:tc>
          <w:tcPr>
            <w:tcW w:w="1746" w:type="pct"/>
            <w:noWrap/>
          </w:tcPr>
          <w:p w14:paraId="26FDE4C4" w14:textId="77777777" w:rsidR="005E3D87" w:rsidRPr="008C4113" w:rsidRDefault="005E3D87" w:rsidP="00ED1AE4">
            <w:pPr>
              <w:pStyle w:val="Tabletext0"/>
              <w:rPr>
                <w:lang w:eastAsia="en-US"/>
              </w:rPr>
            </w:pPr>
            <w:r w:rsidRPr="008C4113">
              <w:rPr>
                <w:lang w:eastAsia="en-US"/>
              </w:rPr>
              <w:t>MBS costs (PSMA PET)</w:t>
            </w:r>
          </w:p>
        </w:tc>
        <w:tc>
          <w:tcPr>
            <w:tcW w:w="651" w:type="pct"/>
            <w:noWrap/>
            <w:vAlign w:val="center"/>
          </w:tcPr>
          <w:p w14:paraId="753DEFF8" w14:textId="77777777" w:rsidR="005E3D87" w:rsidRPr="008C4113" w:rsidRDefault="005E3D87" w:rsidP="00ED1AE4">
            <w:pPr>
              <w:pStyle w:val="Tabletext0"/>
              <w:jc w:val="center"/>
              <w:rPr>
                <w:lang w:eastAsia="en-US"/>
              </w:rPr>
            </w:pPr>
            <w:r w:rsidRPr="008C4113">
              <w:t>$416,484</w:t>
            </w:r>
          </w:p>
        </w:tc>
        <w:tc>
          <w:tcPr>
            <w:tcW w:w="651" w:type="pct"/>
            <w:noWrap/>
            <w:vAlign w:val="center"/>
          </w:tcPr>
          <w:p w14:paraId="642BE2D8" w14:textId="77777777" w:rsidR="005E3D87" w:rsidRPr="008C4113" w:rsidRDefault="005E3D87" w:rsidP="00ED1AE4">
            <w:pPr>
              <w:pStyle w:val="Tabletext0"/>
              <w:jc w:val="center"/>
              <w:rPr>
                <w:lang w:eastAsia="en-US"/>
              </w:rPr>
            </w:pPr>
            <w:r w:rsidRPr="008C4113">
              <w:t>$470,470</w:t>
            </w:r>
          </w:p>
        </w:tc>
        <w:tc>
          <w:tcPr>
            <w:tcW w:w="651" w:type="pct"/>
            <w:noWrap/>
            <w:vAlign w:val="center"/>
          </w:tcPr>
          <w:p w14:paraId="02AA6C16" w14:textId="77777777" w:rsidR="005E3D87" w:rsidRPr="008C4113" w:rsidRDefault="005E3D87" w:rsidP="00ED1AE4">
            <w:pPr>
              <w:pStyle w:val="Tabletext0"/>
              <w:jc w:val="center"/>
              <w:rPr>
                <w:lang w:eastAsia="en-US"/>
              </w:rPr>
            </w:pPr>
            <w:r w:rsidRPr="008C4113">
              <w:t>$531,454</w:t>
            </w:r>
          </w:p>
        </w:tc>
        <w:tc>
          <w:tcPr>
            <w:tcW w:w="651" w:type="pct"/>
            <w:noWrap/>
            <w:vAlign w:val="center"/>
          </w:tcPr>
          <w:p w14:paraId="5F0145E2" w14:textId="77777777" w:rsidR="005E3D87" w:rsidRPr="008C4113" w:rsidRDefault="005E3D87" w:rsidP="00ED1AE4">
            <w:pPr>
              <w:pStyle w:val="Tabletext0"/>
              <w:jc w:val="center"/>
              <w:rPr>
                <w:lang w:eastAsia="en-US"/>
              </w:rPr>
            </w:pPr>
            <w:r w:rsidRPr="008C4113">
              <w:t>$600,343</w:t>
            </w:r>
          </w:p>
        </w:tc>
        <w:tc>
          <w:tcPr>
            <w:tcW w:w="650" w:type="pct"/>
            <w:noWrap/>
            <w:vAlign w:val="center"/>
          </w:tcPr>
          <w:p w14:paraId="4EE2CA4B" w14:textId="77777777" w:rsidR="005E3D87" w:rsidRPr="008C4113" w:rsidRDefault="005E3D87" w:rsidP="00ED1AE4">
            <w:pPr>
              <w:pStyle w:val="Tabletext0"/>
              <w:jc w:val="center"/>
              <w:rPr>
                <w:lang w:eastAsia="en-US"/>
              </w:rPr>
            </w:pPr>
            <w:r w:rsidRPr="008C4113">
              <w:t>$678,161</w:t>
            </w:r>
          </w:p>
        </w:tc>
      </w:tr>
      <w:tr w:rsidR="005E3D87" w:rsidRPr="008C4113" w14:paraId="40B929F7" w14:textId="77777777" w:rsidTr="00ED1AE4">
        <w:trPr>
          <w:trHeight w:val="290"/>
        </w:trPr>
        <w:tc>
          <w:tcPr>
            <w:tcW w:w="1746" w:type="pct"/>
            <w:noWrap/>
          </w:tcPr>
          <w:p w14:paraId="1973296E" w14:textId="47DBE38C" w:rsidR="005E3D87" w:rsidRPr="008C4113" w:rsidRDefault="005E3D87" w:rsidP="00ED1AE4">
            <w:pPr>
              <w:pStyle w:val="Tabletext0"/>
              <w:rPr>
                <w:lang w:eastAsia="en-US"/>
              </w:rPr>
            </w:pPr>
            <w:r w:rsidRPr="008C4113">
              <w:rPr>
                <w:lang w:eastAsia="en-US"/>
              </w:rPr>
              <w:t>Number of patients treated with Lu</w:t>
            </w:r>
            <w:r w:rsidR="00CC7446">
              <w:rPr>
                <w:lang w:eastAsia="en-US"/>
              </w:rPr>
              <w:t> </w:t>
            </w:r>
            <w:r w:rsidRPr="008C4113">
              <w:rPr>
                <w:lang w:eastAsia="en-US"/>
              </w:rPr>
              <w:t>PSMA</w:t>
            </w:r>
            <w:r w:rsidR="00CC7446">
              <w:rPr>
                <w:lang w:eastAsia="en-US"/>
              </w:rPr>
              <w:t> </w:t>
            </w:r>
            <w:proofErr w:type="spellStart"/>
            <w:r w:rsidR="00CC7446">
              <w:rPr>
                <w:lang w:eastAsia="en-US"/>
              </w:rPr>
              <w:t>i&amp;t</w:t>
            </w:r>
            <w:proofErr w:type="spellEnd"/>
          </w:p>
        </w:tc>
        <w:tc>
          <w:tcPr>
            <w:tcW w:w="651" w:type="pct"/>
            <w:noWrap/>
            <w:vAlign w:val="center"/>
          </w:tcPr>
          <w:p w14:paraId="7209108A" w14:textId="77777777" w:rsidR="005E3D87" w:rsidRPr="008C4113" w:rsidRDefault="005E3D87" w:rsidP="00ED1AE4">
            <w:pPr>
              <w:pStyle w:val="Tabletext0"/>
              <w:jc w:val="center"/>
            </w:pPr>
            <w:r w:rsidRPr="008C4113">
              <w:t>315</w:t>
            </w:r>
          </w:p>
        </w:tc>
        <w:tc>
          <w:tcPr>
            <w:tcW w:w="651" w:type="pct"/>
            <w:noWrap/>
            <w:vAlign w:val="center"/>
          </w:tcPr>
          <w:p w14:paraId="60CC6515" w14:textId="77777777" w:rsidR="005E3D87" w:rsidRPr="008C4113" w:rsidRDefault="005E3D87" w:rsidP="00ED1AE4">
            <w:pPr>
              <w:pStyle w:val="Tabletext0"/>
              <w:jc w:val="center"/>
            </w:pPr>
            <w:r w:rsidRPr="008C4113">
              <w:t>356</w:t>
            </w:r>
          </w:p>
        </w:tc>
        <w:tc>
          <w:tcPr>
            <w:tcW w:w="651" w:type="pct"/>
            <w:noWrap/>
            <w:vAlign w:val="center"/>
          </w:tcPr>
          <w:p w14:paraId="1C4EC6A6" w14:textId="77777777" w:rsidR="005E3D87" w:rsidRPr="008C4113" w:rsidRDefault="005E3D87" w:rsidP="00ED1AE4">
            <w:pPr>
              <w:pStyle w:val="Tabletext0"/>
              <w:jc w:val="center"/>
            </w:pPr>
            <w:r w:rsidRPr="008C4113">
              <w:t>402</w:t>
            </w:r>
          </w:p>
        </w:tc>
        <w:tc>
          <w:tcPr>
            <w:tcW w:w="651" w:type="pct"/>
            <w:noWrap/>
            <w:vAlign w:val="center"/>
          </w:tcPr>
          <w:p w14:paraId="152796FD" w14:textId="77777777" w:rsidR="005E3D87" w:rsidRPr="008C4113" w:rsidRDefault="005E3D87" w:rsidP="00ED1AE4">
            <w:pPr>
              <w:pStyle w:val="Tabletext0"/>
              <w:jc w:val="center"/>
            </w:pPr>
            <w:r w:rsidRPr="008C4113">
              <w:t>454</w:t>
            </w:r>
          </w:p>
        </w:tc>
        <w:tc>
          <w:tcPr>
            <w:tcW w:w="650" w:type="pct"/>
            <w:noWrap/>
            <w:vAlign w:val="center"/>
          </w:tcPr>
          <w:p w14:paraId="2AD822BB" w14:textId="77777777" w:rsidR="005E3D87" w:rsidRPr="008C4113" w:rsidRDefault="005E3D87" w:rsidP="00ED1AE4">
            <w:pPr>
              <w:pStyle w:val="Tabletext0"/>
              <w:jc w:val="center"/>
            </w:pPr>
            <w:r w:rsidRPr="008C4113">
              <w:t>513</w:t>
            </w:r>
          </w:p>
        </w:tc>
      </w:tr>
      <w:tr w:rsidR="005E3D87" w:rsidRPr="008C4113" w14:paraId="7E9D37F7" w14:textId="77777777" w:rsidTr="00ED1AE4">
        <w:trPr>
          <w:trHeight w:val="290"/>
        </w:trPr>
        <w:tc>
          <w:tcPr>
            <w:tcW w:w="1746" w:type="pct"/>
            <w:noWrap/>
          </w:tcPr>
          <w:p w14:paraId="1A8BADE4" w14:textId="59B55284" w:rsidR="005E3D87" w:rsidRPr="008C4113" w:rsidRDefault="005E3D87" w:rsidP="00ED1AE4">
            <w:pPr>
              <w:pStyle w:val="Tabletext0"/>
              <w:rPr>
                <w:lang w:eastAsia="en-US"/>
              </w:rPr>
            </w:pPr>
            <w:r w:rsidRPr="008C4113">
              <w:rPr>
                <w:lang w:eastAsia="en-US"/>
              </w:rPr>
              <w:t>MBS costs (Lu</w:t>
            </w:r>
            <w:r w:rsidR="00CC7446">
              <w:rPr>
                <w:lang w:eastAsia="en-US"/>
              </w:rPr>
              <w:t> </w:t>
            </w:r>
            <w:r w:rsidRPr="008C4113">
              <w:rPr>
                <w:lang w:eastAsia="en-US"/>
              </w:rPr>
              <w:t>PSMA</w:t>
            </w:r>
            <w:r w:rsidR="00CC7446">
              <w:rPr>
                <w:lang w:eastAsia="en-US"/>
              </w:rPr>
              <w:t> </w:t>
            </w:r>
            <w:proofErr w:type="spellStart"/>
            <w:r w:rsidR="00CC7446">
              <w:rPr>
                <w:lang w:eastAsia="en-US"/>
              </w:rPr>
              <w:t>i&amp;t</w:t>
            </w:r>
            <w:proofErr w:type="spellEnd"/>
            <w:r w:rsidRPr="008C4113">
              <w:rPr>
                <w:lang w:eastAsia="en-US"/>
              </w:rPr>
              <w:t>)</w:t>
            </w:r>
          </w:p>
        </w:tc>
        <w:tc>
          <w:tcPr>
            <w:tcW w:w="651" w:type="pct"/>
            <w:noWrap/>
          </w:tcPr>
          <w:p w14:paraId="7B9AD067" w14:textId="77777777" w:rsidR="005E3D87" w:rsidRPr="008C4113" w:rsidRDefault="005E3D87" w:rsidP="00ED1AE4">
            <w:pPr>
              <w:pStyle w:val="Tabletext0"/>
              <w:jc w:val="center"/>
            </w:pPr>
            <w:r w:rsidRPr="008C4113">
              <w:t>$7,777,745</w:t>
            </w:r>
          </w:p>
        </w:tc>
        <w:tc>
          <w:tcPr>
            <w:tcW w:w="651" w:type="pct"/>
            <w:noWrap/>
          </w:tcPr>
          <w:p w14:paraId="7D39F1AE" w14:textId="77777777" w:rsidR="005E3D87" w:rsidRPr="008C4113" w:rsidRDefault="005E3D87" w:rsidP="00ED1AE4">
            <w:pPr>
              <w:pStyle w:val="Tabletext0"/>
              <w:jc w:val="center"/>
            </w:pPr>
            <w:r w:rsidRPr="008C4113">
              <w:t>$8,785,924</w:t>
            </w:r>
          </w:p>
        </w:tc>
        <w:tc>
          <w:tcPr>
            <w:tcW w:w="651" w:type="pct"/>
            <w:noWrap/>
          </w:tcPr>
          <w:p w14:paraId="32F9A090" w14:textId="77777777" w:rsidR="005E3D87" w:rsidRPr="008C4113" w:rsidRDefault="005E3D87" w:rsidP="00ED1AE4">
            <w:pPr>
              <w:pStyle w:val="Tabletext0"/>
              <w:jc w:val="center"/>
            </w:pPr>
            <w:r w:rsidRPr="008C4113">
              <w:t>$9,924,787</w:t>
            </w:r>
          </w:p>
        </w:tc>
        <w:tc>
          <w:tcPr>
            <w:tcW w:w="651" w:type="pct"/>
            <w:noWrap/>
          </w:tcPr>
          <w:p w14:paraId="2D9193FF" w14:textId="77777777" w:rsidR="005E3D87" w:rsidRPr="008C4113" w:rsidRDefault="005E3D87" w:rsidP="00ED1AE4">
            <w:pPr>
              <w:pStyle w:val="Tabletext0"/>
              <w:jc w:val="center"/>
            </w:pPr>
            <w:r w:rsidRPr="008C4113">
              <w:t>$11,211,274</w:t>
            </w:r>
          </w:p>
        </w:tc>
        <w:tc>
          <w:tcPr>
            <w:tcW w:w="650" w:type="pct"/>
            <w:noWrap/>
          </w:tcPr>
          <w:p w14:paraId="44E775C1" w14:textId="77777777" w:rsidR="005E3D87" w:rsidRPr="008C4113" w:rsidRDefault="005E3D87" w:rsidP="00ED1AE4">
            <w:pPr>
              <w:pStyle w:val="Tabletext0"/>
              <w:jc w:val="center"/>
            </w:pPr>
            <w:r w:rsidRPr="008C4113">
              <w:t>$12,664,520</w:t>
            </w:r>
          </w:p>
        </w:tc>
      </w:tr>
      <w:tr w:rsidR="005E3D87" w:rsidRPr="008C4113" w14:paraId="46EA8FFC" w14:textId="77777777" w:rsidTr="00ED1AE4">
        <w:trPr>
          <w:trHeight w:val="290"/>
        </w:trPr>
        <w:tc>
          <w:tcPr>
            <w:tcW w:w="1746" w:type="pct"/>
            <w:noWrap/>
          </w:tcPr>
          <w:p w14:paraId="7078EA2D" w14:textId="1C2B77EF" w:rsidR="005E3D87" w:rsidRPr="008C4113" w:rsidRDefault="005E3D87" w:rsidP="00ED1AE4">
            <w:pPr>
              <w:pStyle w:val="Tabletext0"/>
            </w:pPr>
            <w:r w:rsidRPr="008C4113">
              <w:t>Total cost of PSMA PET and Lu</w:t>
            </w:r>
            <w:r w:rsidR="00CC7446">
              <w:t> </w:t>
            </w:r>
            <w:r w:rsidRPr="008C4113">
              <w:t>PSMA</w:t>
            </w:r>
            <w:r w:rsidR="00CC7446">
              <w:t> </w:t>
            </w:r>
            <w:proofErr w:type="spellStart"/>
            <w:r w:rsidR="00CC7446">
              <w:t>i&amp;t</w:t>
            </w:r>
            <w:proofErr w:type="spellEnd"/>
          </w:p>
        </w:tc>
        <w:tc>
          <w:tcPr>
            <w:tcW w:w="651" w:type="pct"/>
            <w:noWrap/>
          </w:tcPr>
          <w:p w14:paraId="69BCAC78" w14:textId="77777777" w:rsidR="005E3D87" w:rsidRPr="008C4113" w:rsidRDefault="005E3D87" w:rsidP="00ED1AE4">
            <w:pPr>
              <w:pStyle w:val="Tabletext0"/>
              <w:jc w:val="center"/>
            </w:pPr>
            <w:r w:rsidRPr="008C4113">
              <w:t>$8,194,228</w:t>
            </w:r>
          </w:p>
        </w:tc>
        <w:tc>
          <w:tcPr>
            <w:tcW w:w="651" w:type="pct"/>
            <w:noWrap/>
          </w:tcPr>
          <w:p w14:paraId="063155A2" w14:textId="77777777" w:rsidR="005E3D87" w:rsidRPr="008C4113" w:rsidRDefault="005E3D87" w:rsidP="00ED1AE4">
            <w:pPr>
              <w:pStyle w:val="Tabletext0"/>
              <w:jc w:val="center"/>
            </w:pPr>
            <w:r w:rsidRPr="008C4113">
              <w:t>$9,256,394</w:t>
            </w:r>
          </w:p>
        </w:tc>
        <w:tc>
          <w:tcPr>
            <w:tcW w:w="651" w:type="pct"/>
            <w:noWrap/>
          </w:tcPr>
          <w:p w14:paraId="2DAED9C1" w14:textId="77777777" w:rsidR="005E3D87" w:rsidRPr="008C4113" w:rsidRDefault="005E3D87" w:rsidP="00ED1AE4">
            <w:pPr>
              <w:pStyle w:val="Tabletext0"/>
              <w:jc w:val="center"/>
            </w:pPr>
            <w:r w:rsidRPr="008C4113">
              <w:t>$10,456,241</w:t>
            </w:r>
          </w:p>
        </w:tc>
        <w:tc>
          <w:tcPr>
            <w:tcW w:w="651" w:type="pct"/>
            <w:noWrap/>
          </w:tcPr>
          <w:p w14:paraId="27E499E8" w14:textId="77777777" w:rsidR="005E3D87" w:rsidRPr="008C4113" w:rsidRDefault="005E3D87" w:rsidP="00ED1AE4">
            <w:pPr>
              <w:pStyle w:val="Tabletext0"/>
              <w:jc w:val="center"/>
            </w:pPr>
            <w:r w:rsidRPr="008C4113">
              <w:t>$11,811,617</w:t>
            </w:r>
          </w:p>
        </w:tc>
        <w:tc>
          <w:tcPr>
            <w:tcW w:w="650" w:type="pct"/>
            <w:noWrap/>
          </w:tcPr>
          <w:p w14:paraId="07F11620" w14:textId="77777777" w:rsidR="005E3D87" w:rsidRPr="008C4113" w:rsidRDefault="005E3D87" w:rsidP="00ED1AE4">
            <w:pPr>
              <w:pStyle w:val="Tabletext0"/>
              <w:jc w:val="center"/>
            </w:pPr>
            <w:r w:rsidRPr="008C4113">
              <w:t>$13,342,681</w:t>
            </w:r>
          </w:p>
        </w:tc>
      </w:tr>
      <w:tr w:rsidR="005E3D87" w:rsidRPr="008C4113" w14:paraId="080334BD" w14:textId="77777777" w:rsidTr="00ED1AE4">
        <w:trPr>
          <w:trHeight w:val="290"/>
        </w:trPr>
        <w:tc>
          <w:tcPr>
            <w:tcW w:w="5000" w:type="pct"/>
            <w:gridSpan w:val="6"/>
            <w:noWrap/>
            <w:vAlign w:val="center"/>
          </w:tcPr>
          <w:p w14:paraId="2FA27F87" w14:textId="77777777" w:rsidR="005E3D87" w:rsidRPr="008C4113" w:rsidRDefault="005E3D87" w:rsidP="00ED1AE4">
            <w:pPr>
              <w:pStyle w:val="Tabletext0"/>
            </w:pPr>
            <w:r w:rsidRPr="008C4113">
              <w:rPr>
                <w:b/>
                <w:bCs/>
              </w:rPr>
              <w:t>Savings to the MBS and PBS/RPBS from avoided cabazitaxel treatment</w:t>
            </w:r>
          </w:p>
        </w:tc>
      </w:tr>
      <w:tr w:rsidR="005E3D87" w:rsidRPr="008C4113" w14:paraId="5983D96A" w14:textId="77777777" w:rsidTr="00ED1AE4">
        <w:trPr>
          <w:trHeight w:val="290"/>
        </w:trPr>
        <w:tc>
          <w:tcPr>
            <w:tcW w:w="1746" w:type="pct"/>
            <w:noWrap/>
          </w:tcPr>
          <w:p w14:paraId="7E0AF034" w14:textId="77777777" w:rsidR="005E3D87" w:rsidRPr="008C4113" w:rsidRDefault="005E3D87" w:rsidP="00ED1AE4">
            <w:pPr>
              <w:pStyle w:val="Tabletext0"/>
            </w:pPr>
            <w:r w:rsidRPr="008C4113">
              <w:t xml:space="preserve">Cabazitaxel administration cost to MBS </w:t>
            </w:r>
          </w:p>
        </w:tc>
        <w:tc>
          <w:tcPr>
            <w:tcW w:w="651" w:type="pct"/>
            <w:noWrap/>
            <w:vAlign w:val="center"/>
          </w:tcPr>
          <w:p w14:paraId="04ADE7EA" w14:textId="77777777" w:rsidR="005E3D87" w:rsidRPr="008C4113" w:rsidRDefault="005E3D87" w:rsidP="00ED1AE4">
            <w:pPr>
              <w:pStyle w:val="Tabletext0"/>
              <w:jc w:val="center"/>
            </w:pPr>
            <w:r w:rsidRPr="008C4113">
              <w:t>$56,125</w:t>
            </w:r>
          </w:p>
        </w:tc>
        <w:tc>
          <w:tcPr>
            <w:tcW w:w="651" w:type="pct"/>
            <w:noWrap/>
            <w:vAlign w:val="center"/>
          </w:tcPr>
          <w:p w14:paraId="1EA6BA93" w14:textId="77777777" w:rsidR="005E3D87" w:rsidRPr="008C4113" w:rsidRDefault="005E3D87" w:rsidP="00ED1AE4">
            <w:pPr>
              <w:pStyle w:val="Tabletext0"/>
              <w:jc w:val="center"/>
            </w:pPr>
            <w:r w:rsidRPr="008C4113">
              <w:t>$63,401</w:t>
            </w:r>
          </w:p>
        </w:tc>
        <w:tc>
          <w:tcPr>
            <w:tcW w:w="651" w:type="pct"/>
            <w:noWrap/>
            <w:vAlign w:val="center"/>
          </w:tcPr>
          <w:p w14:paraId="7D506693" w14:textId="77777777" w:rsidR="005E3D87" w:rsidRPr="008C4113" w:rsidRDefault="005E3D87" w:rsidP="00ED1AE4">
            <w:pPr>
              <w:pStyle w:val="Tabletext0"/>
              <w:jc w:val="center"/>
            </w:pPr>
            <w:r w:rsidRPr="008C4113">
              <w:t>$71,619</w:t>
            </w:r>
          </w:p>
        </w:tc>
        <w:tc>
          <w:tcPr>
            <w:tcW w:w="651" w:type="pct"/>
            <w:noWrap/>
            <w:vAlign w:val="center"/>
          </w:tcPr>
          <w:p w14:paraId="107C190E" w14:textId="77777777" w:rsidR="005E3D87" w:rsidRPr="008C4113" w:rsidRDefault="005E3D87" w:rsidP="00ED1AE4">
            <w:pPr>
              <w:pStyle w:val="Tabletext0"/>
              <w:jc w:val="center"/>
            </w:pPr>
            <w:r w:rsidRPr="008C4113">
              <w:t>$80,902</w:t>
            </w:r>
          </w:p>
        </w:tc>
        <w:tc>
          <w:tcPr>
            <w:tcW w:w="650" w:type="pct"/>
            <w:noWrap/>
            <w:vAlign w:val="center"/>
          </w:tcPr>
          <w:p w14:paraId="03D9E71C" w14:textId="77777777" w:rsidR="005E3D87" w:rsidRPr="008C4113" w:rsidRDefault="005E3D87" w:rsidP="00ED1AE4">
            <w:pPr>
              <w:pStyle w:val="Tabletext0"/>
              <w:jc w:val="center"/>
            </w:pPr>
            <w:r w:rsidRPr="008C4113">
              <w:t>$91,389</w:t>
            </w:r>
          </w:p>
        </w:tc>
      </w:tr>
      <w:tr w:rsidR="005E3D87" w:rsidRPr="008C4113" w14:paraId="164D8D07" w14:textId="77777777" w:rsidTr="00ED1AE4">
        <w:trPr>
          <w:trHeight w:val="290"/>
        </w:trPr>
        <w:tc>
          <w:tcPr>
            <w:tcW w:w="1746" w:type="pct"/>
            <w:noWrap/>
          </w:tcPr>
          <w:p w14:paraId="323892D9" w14:textId="77777777" w:rsidR="005E3D87" w:rsidRPr="008C4113" w:rsidRDefault="005E3D87" w:rsidP="00ED1AE4">
            <w:pPr>
              <w:pStyle w:val="Tabletext0"/>
            </w:pPr>
            <w:r w:rsidRPr="008C4113">
              <w:t>Cabazitaxel cost to PBS/RPBS</w:t>
            </w:r>
          </w:p>
        </w:tc>
        <w:tc>
          <w:tcPr>
            <w:tcW w:w="651" w:type="pct"/>
            <w:noWrap/>
          </w:tcPr>
          <w:p w14:paraId="3F66526B" w14:textId="77777777" w:rsidR="005E3D87" w:rsidRPr="008C4113" w:rsidRDefault="005E3D87" w:rsidP="00ED1AE4">
            <w:pPr>
              <w:pStyle w:val="Tabletext0"/>
              <w:jc w:val="center"/>
            </w:pPr>
            <w:r w:rsidRPr="008C4113">
              <w:t>$256,478</w:t>
            </w:r>
          </w:p>
        </w:tc>
        <w:tc>
          <w:tcPr>
            <w:tcW w:w="651" w:type="pct"/>
            <w:noWrap/>
          </w:tcPr>
          <w:p w14:paraId="5374A691" w14:textId="77777777" w:rsidR="005E3D87" w:rsidRPr="008C4113" w:rsidRDefault="005E3D87" w:rsidP="00ED1AE4">
            <w:pPr>
              <w:pStyle w:val="Tabletext0"/>
              <w:jc w:val="center"/>
            </w:pPr>
            <w:r w:rsidRPr="008C4113">
              <w:t>$289,724</w:t>
            </w:r>
          </w:p>
        </w:tc>
        <w:tc>
          <w:tcPr>
            <w:tcW w:w="651" w:type="pct"/>
            <w:noWrap/>
          </w:tcPr>
          <w:p w14:paraId="3D26DE65" w14:textId="77777777" w:rsidR="005E3D87" w:rsidRPr="008C4113" w:rsidRDefault="005E3D87" w:rsidP="00ED1AE4">
            <w:pPr>
              <w:pStyle w:val="Tabletext0"/>
              <w:jc w:val="center"/>
            </w:pPr>
            <w:r w:rsidRPr="008C4113">
              <w:t>$327,279</w:t>
            </w:r>
          </w:p>
        </w:tc>
        <w:tc>
          <w:tcPr>
            <w:tcW w:w="651" w:type="pct"/>
            <w:noWrap/>
          </w:tcPr>
          <w:p w14:paraId="172E9ABE" w14:textId="77777777" w:rsidR="005E3D87" w:rsidRPr="008C4113" w:rsidRDefault="005E3D87" w:rsidP="00ED1AE4">
            <w:pPr>
              <w:pStyle w:val="Tabletext0"/>
              <w:jc w:val="center"/>
            </w:pPr>
            <w:r w:rsidRPr="008C4113">
              <w:t>$369,702</w:t>
            </w:r>
          </w:p>
        </w:tc>
        <w:tc>
          <w:tcPr>
            <w:tcW w:w="650" w:type="pct"/>
            <w:noWrap/>
          </w:tcPr>
          <w:p w14:paraId="71F31A86" w14:textId="77777777" w:rsidR="005E3D87" w:rsidRPr="008C4113" w:rsidRDefault="005E3D87" w:rsidP="00ED1AE4">
            <w:pPr>
              <w:pStyle w:val="Tabletext0"/>
              <w:jc w:val="center"/>
            </w:pPr>
            <w:r w:rsidRPr="008C4113">
              <w:t>$417,624</w:t>
            </w:r>
          </w:p>
        </w:tc>
      </w:tr>
      <w:tr w:rsidR="005E3D87" w:rsidRPr="008C4113" w14:paraId="74771939" w14:textId="77777777" w:rsidTr="00ED1AE4">
        <w:trPr>
          <w:trHeight w:val="290"/>
        </w:trPr>
        <w:tc>
          <w:tcPr>
            <w:tcW w:w="5000" w:type="pct"/>
            <w:gridSpan w:val="6"/>
            <w:noWrap/>
            <w:vAlign w:val="center"/>
          </w:tcPr>
          <w:p w14:paraId="3828133F" w14:textId="77777777" w:rsidR="005E3D87" w:rsidRPr="008C4113" w:rsidRDefault="005E3D87" w:rsidP="00ED1AE4">
            <w:pPr>
              <w:pStyle w:val="Tabletext0"/>
            </w:pPr>
            <w:r w:rsidRPr="008C4113">
              <w:rPr>
                <w:b/>
                <w:bCs/>
              </w:rPr>
              <w:t>Net cost to the MBS and RPBS (cost of proposed listing minus savings from cabazitaxel services avoided)</w:t>
            </w:r>
          </w:p>
        </w:tc>
      </w:tr>
      <w:tr w:rsidR="005E3D87" w:rsidRPr="008C4113" w14:paraId="3E7008B7" w14:textId="77777777" w:rsidTr="00ED1AE4">
        <w:trPr>
          <w:trHeight w:val="290"/>
        </w:trPr>
        <w:tc>
          <w:tcPr>
            <w:tcW w:w="1746" w:type="pct"/>
            <w:noWrap/>
          </w:tcPr>
          <w:p w14:paraId="180F8889" w14:textId="77777777" w:rsidR="005E3D87" w:rsidRPr="008C4113" w:rsidRDefault="005E3D87" w:rsidP="00ED1AE4">
            <w:pPr>
              <w:pStyle w:val="Tabletext0"/>
            </w:pPr>
            <w:r w:rsidRPr="008C4113">
              <w:t>MBS</w:t>
            </w:r>
          </w:p>
        </w:tc>
        <w:tc>
          <w:tcPr>
            <w:tcW w:w="651" w:type="pct"/>
            <w:noWrap/>
          </w:tcPr>
          <w:p w14:paraId="26F5A7BE" w14:textId="77777777" w:rsidR="005E3D87" w:rsidRPr="008C4113" w:rsidRDefault="005E3D87" w:rsidP="00ED1AE4">
            <w:pPr>
              <w:pStyle w:val="Tabletext0"/>
              <w:jc w:val="center"/>
            </w:pPr>
            <w:r w:rsidRPr="008C4113">
              <w:t>$8,138,103</w:t>
            </w:r>
          </w:p>
        </w:tc>
        <w:tc>
          <w:tcPr>
            <w:tcW w:w="651" w:type="pct"/>
            <w:noWrap/>
          </w:tcPr>
          <w:p w14:paraId="3930F1CD" w14:textId="77777777" w:rsidR="005E3D87" w:rsidRPr="008C4113" w:rsidRDefault="005E3D87" w:rsidP="00ED1AE4">
            <w:pPr>
              <w:pStyle w:val="Tabletext0"/>
              <w:jc w:val="center"/>
            </w:pPr>
            <w:r w:rsidRPr="008C4113">
              <w:t>$9,192,993</w:t>
            </w:r>
          </w:p>
        </w:tc>
        <w:tc>
          <w:tcPr>
            <w:tcW w:w="651" w:type="pct"/>
            <w:noWrap/>
          </w:tcPr>
          <w:p w14:paraId="25B90DC8" w14:textId="77777777" w:rsidR="005E3D87" w:rsidRPr="008C4113" w:rsidRDefault="005E3D87" w:rsidP="00ED1AE4">
            <w:pPr>
              <w:pStyle w:val="Tabletext0"/>
              <w:jc w:val="center"/>
            </w:pPr>
            <w:r w:rsidRPr="008C4113">
              <w:t>$10,384,622</w:t>
            </w:r>
          </w:p>
        </w:tc>
        <w:tc>
          <w:tcPr>
            <w:tcW w:w="651" w:type="pct"/>
            <w:noWrap/>
          </w:tcPr>
          <w:p w14:paraId="47526FFF" w14:textId="77777777" w:rsidR="005E3D87" w:rsidRPr="008C4113" w:rsidRDefault="005E3D87" w:rsidP="00ED1AE4">
            <w:pPr>
              <w:pStyle w:val="Tabletext0"/>
              <w:jc w:val="center"/>
            </w:pPr>
            <w:r w:rsidRPr="008C4113">
              <w:t>$11,730,714</w:t>
            </w:r>
          </w:p>
        </w:tc>
        <w:tc>
          <w:tcPr>
            <w:tcW w:w="650" w:type="pct"/>
            <w:noWrap/>
          </w:tcPr>
          <w:p w14:paraId="409F6845" w14:textId="77777777" w:rsidR="005E3D87" w:rsidRPr="008C4113" w:rsidRDefault="005E3D87" w:rsidP="00ED1AE4">
            <w:pPr>
              <w:pStyle w:val="Tabletext0"/>
              <w:jc w:val="center"/>
            </w:pPr>
            <w:r w:rsidRPr="008C4113">
              <w:t>$13,251,292</w:t>
            </w:r>
          </w:p>
        </w:tc>
      </w:tr>
      <w:tr w:rsidR="005E3D87" w:rsidRPr="008C4113" w14:paraId="00DD9716" w14:textId="77777777" w:rsidTr="00ED1AE4">
        <w:trPr>
          <w:trHeight w:val="290"/>
        </w:trPr>
        <w:tc>
          <w:tcPr>
            <w:tcW w:w="1746" w:type="pct"/>
            <w:noWrap/>
          </w:tcPr>
          <w:p w14:paraId="6B0B32AA" w14:textId="77777777" w:rsidR="005E3D87" w:rsidRPr="008C4113" w:rsidRDefault="005E3D87" w:rsidP="00ED1AE4">
            <w:pPr>
              <w:pStyle w:val="Tabletext0"/>
            </w:pPr>
            <w:r w:rsidRPr="008C4113">
              <w:t>PBS/RPBS</w:t>
            </w:r>
          </w:p>
        </w:tc>
        <w:tc>
          <w:tcPr>
            <w:tcW w:w="651" w:type="pct"/>
            <w:noWrap/>
          </w:tcPr>
          <w:p w14:paraId="27A389F6" w14:textId="77777777" w:rsidR="005E3D87" w:rsidRPr="008C4113" w:rsidRDefault="005E3D87" w:rsidP="00ED1AE4">
            <w:pPr>
              <w:pStyle w:val="Tabletext0"/>
              <w:jc w:val="center"/>
            </w:pPr>
            <w:r w:rsidRPr="008C4113">
              <w:t>-$256,478</w:t>
            </w:r>
          </w:p>
        </w:tc>
        <w:tc>
          <w:tcPr>
            <w:tcW w:w="651" w:type="pct"/>
            <w:noWrap/>
          </w:tcPr>
          <w:p w14:paraId="47F072EA" w14:textId="77777777" w:rsidR="005E3D87" w:rsidRPr="008C4113" w:rsidRDefault="005E3D87" w:rsidP="00ED1AE4">
            <w:pPr>
              <w:pStyle w:val="Tabletext0"/>
              <w:jc w:val="center"/>
            </w:pPr>
            <w:r w:rsidRPr="008C4113">
              <w:t>-$289,724</w:t>
            </w:r>
          </w:p>
        </w:tc>
        <w:tc>
          <w:tcPr>
            <w:tcW w:w="651" w:type="pct"/>
            <w:noWrap/>
          </w:tcPr>
          <w:p w14:paraId="6E755EF6" w14:textId="77777777" w:rsidR="005E3D87" w:rsidRPr="008C4113" w:rsidRDefault="005E3D87" w:rsidP="00ED1AE4">
            <w:pPr>
              <w:pStyle w:val="Tabletext0"/>
              <w:jc w:val="center"/>
            </w:pPr>
            <w:r w:rsidRPr="008C4113">
              <w:t>-$327,279</w:t>
            </w:r>
          </w:p>
        </w:tc>
        <w:tc>
          <w:tcPr>
            <w:tcW w:w="651" w:type="pct"/>
            <w:noWrap/>
          </w:tcPr>
          <w:p w14:paraId="27C8E90C" w14:textId="77777777" w:rsidR="005E3D87" w:rsidRPr="008C4113" w:rsidRDefault="005E3D87" w:rsidP="00ED1AE4">
            <w:pPr>
              <w:pStyle w:val="Tabletext0"/>
              <w:jc w:val="center"/>
            </w:pPr>
            <w:r w:rsidRPr="008C4113">
              <w:t>-$369,702</w:t>
            </w:r>
          </w:p>
        </w:tc>
        <w:tc>
          <w:tcPr>
            <w:tcW w:w="650" w:type="pct"/>
            <w:noWrap/>
          </w:tcPr>
          <w:p w14:paraId="61A13791" w14:textId="77777777" w:rsidR="005E3D87" w:rsidRPr="008C4113" w:rsidRDefault="005E3D87" w:rsidP="00ED1AE4">
            <w:pPr>
              <w:pStyle w:val="Tabletext0"/>
              <w:jc w:val="center"/>
            </w:pPr>
            <w:r w:rsidRPr="008C4113">
              <w:t>-$417,624</w:t>
            </w:r>
          </w:p>
        </w:tc>
      </w:tr>
      <w:tr w:rsidR="005E3D87" w:rsidRPr="008C4113" w14:paraId="44B69FEC" w14:textId="77777777" w:rsidTr="00ED1AE4">
        <w:trPr>
          <w:trHeight w:val="290"/>
        </w:trPr>
        <w:tc>
          <w:tcPr>
            <w:tcW w:w="1746" w:type="pct"/>
            <w:noWrap/>
          </w:tcPr>
          <w:p w14:paraId="4FF9DF90" w14:textId="77777777" w:rsidR="005E3D87" w:rsidRPr="008C4113" w:rsidRDefault="005E3D87" w:rsidP="00ED1AE4">
            <w:pPr>
              <w:pStyle w:val="Tabletext0"/>
            </w:pPr>
            <w:r w:rsidRPr="008C4113">
              <w:t>Government (MBS + PBS/RPBS)</w:t>
            </w:r>
          </w:p>
        </w:tc>
        <w:tc>
          <w:tcPr>
            <w:tcW w:w="651" w:type="pct"/>
            <w:noWrap/>
          </w:tcPr>
          <w:p w14:paraId="40027679" w14:textId="77777777" w:rsidR="005E3D87" w:rsidRPr="008C4113" w:rsidRDefault="005E3D87" w:rsidP="00ED1AE4">
            <w:pPr>
              <w:pStyle w:val="Tabletext0"/>
              <w:jc w:val="center"/>
            </w:pPr>
            <w:r w:rsidRPr="008C4113">
              <w:t>$7,881,625</w:t>
            </w:r>
          </w:p>
        </w:tc>
        <w:tc>
          <w:tcPr>
            <w:tcW w:w="651" w:type="pct"/>
            <w:noWrap/>
          </w:tcPr>
          <w:p w14:paraId="3987D91F" w14:textId="77777777" w:rsidR="005E3D87" w:rsidRPr="008C4113" w:rsidRDefault="005E3D87" w:rsidP="00ED1AE4">
            <w:pPr>
              <w:pStyle w:val="Tabletext0"/>
              <w:jc w:val="center"/>
            </w:pPr>
            <w:r w:rsidRPr="008C4113">
              <w:t>$8,903,269</w:t>
            </w:r>
          </w:p>
        </w:tc>
        <w:tc>
          <w:tcPr>
            <w:tcW w:w="651" w:type="pct"/>
            <w:noWrap/>
          </w:tcPr>
          <w:p w14:paraId="2BA159F2" w14:textId="77777777" w:rsidR="005E3D87" w:rsidRPr="008C4113" w:rsidRDefault="005E3D87" w:rsidP="00ED1AE4">
            <w:pPr>
              <w:pStyle w:val="Tabletext0"/>
              <w:jc w:val="center"/>
            </w:pPr>
            <w:r w:rsidRPr="008C4113">
              <w:t>$10,057,343</w:t>
            </w:r>
          </w:p>
        </w:tc>
        <w:tc>
          <w:tcPr>
            <w:tcW w:w="651" w:type="pct"/>
            <w:noWrap/>
          </w:tcPr>
          <w:p w14:paraId="68047107" w14:textId="77777777" w:rsidR="005E3D87" w:rsidRPr="008C4113" w:rsidRDefault="005E3D87" w:rsidP="00ED1AE4">
            <w:pPr>
              <w:pStyle w:val="Tabletext0"/>
              <w:jc w:val="center"/>
            </w:pPr>
            <w:r w:rsidRPr="008C4113">
              <w:t>$11,361,013</w:t>
            </w:r>
          </w:p>
        </w:tc>
        <w:tc>
          <w:tcPr>
            <w:tcW w:w="650" w:type="pct"/>
            <w:noWrap/>
          </w:tcPr>
          <w:p w14:paraId="0D710AC3" w14:textId="77777777" w:rsidR="005E3D87" w:rsidRPr="008C4113" w:rsidRDefault="005E3D87" w:rsidP="00ED1AE4">
            <w:pPr>
              <w:pStyle w:val="Tabletext0"/>
              <w:jc w:val="center"/>
            </w:pPr>
            <w:r w:rsidRPr="008C4113">
              <w:t>$12,833,668</w:t>
            </w:r>
          </w:p>
        </w:tc>
      </w:tr>
      <w:tr w:rsidR="005E3D87" w:rsidRPr="00105022" w14:paraId="384569C3" w14:textId="77777777" w:rsidTr="00ED1AE4">
        <w:trPr>
          <w:trHeight w:val="290"/>
        </w:trPr>
        <w:tc>
          <w:tcPr>
            <w:tcW w:w="1746" w:type="pct"/>
            <w:noWrap/>
          </w:tcPr>
          <w:p w14:paraId="2D220CB5" w14:textId="77777777" w:rsidR="005E3D87" w:rsidRPr="00105022" w:rsidRDefault="005E3D87" w:rsidP="00ED1AE4">
            <w:pPr>
              <w:pStyle w:val="Tabletext0"/>
              <w:rPr>
                <w:i/>
                <w:iCs/>
              </w:rPr>
            </w:pPr>
            <w:r w:rsidRPr="00105022">
              <w:rPr>
                <w:i/>
                <w:iCs/>
              </w:rPr>
              <w:t>Reduction in PBS co-pay included*</w:t>
            </w:r>
          </w:p>
        </w:tc>
        <w:tc>
          <w:tcPr>
            <w:tcW w:w="651" w:type="pct"/>
            <w:noWrap/>
          </w:tcPr>
          <w:p w14:paraId="0E4E4BC8" w14:textId="77777777" w:rsidR="005E3D87" w:rsidRPr="00105022" w:rsidRDefault="005E3D87" w:rsidP="00ED1AE4">
            <w:pPr>
              <w:pStyle w:val="Tabletext0"/>
              <w:jc w:val="center"/>
              <w:rPr>
                <w:i/>
                <w:iCs/>
              </w:rPr>
            </w:pPr>
            <w:r w:rsidRPr="00105022">
              <w:rPr>
                <w:i/>
                <w:iCs/>
              </w:rPr>
              <w:t>$7,879,436</w:t>
            </w:r>
          </w:p>
        </w:tc>
        <w:tc>
          <w:tcPr>
            <w:tcW w:w="651" w:type="pct"/>
            <w:noWrap/>
          </w:tcPr>
          <w:p w14:paraId="6CBDEAD4" w14:textId="77777777" w:rsidR="005E3D87" w:rsidRPr="00105022" w:rsidRDefault="005E3D87" w:rsidP="00ED1AE4">
            <w:pPr>
              <w:pStyle w:val="Tabletext0"/>
              <w:jc w:val="center"/>
              <w:rPr>
                <w:i/>
                <w:iCs/>
              </w:rPr>
            </w:pPr>
            <w:r w:rsidRPr="00105022">
              <w:rPr>
                <w:i/>
                <w:iCs/>
              </w:rPr>
              <w:t>$8,900,797</w:t>
            </w:r>
          </w:p>
        </w:tc>
        <w:tc>
          <w:tcPr>
            <w:tcW w:w="651" w:type="pct"/>
            <w:noWrap/>
          </w:tcPr>
          <w:p w14:paraId="4CE6C98A" w14:textId="77777777" w:rsidR="005E3D87" w:rsidRPr="00105022" w:rsidRDefault="005E3D87" w:rsidP="00ED1AE4">
            <w:pPr>
              <w:pStyle w:val="Tabletext0"/>
              <w:jc w:val="center"/>
              <w:rPr>
                <w:i/>
                <w:iCs/>
              </w:rPr>
            </w:pPr>
            <w:r w:rsidRPr="00105022">
              <w:rPr>
                <w:i/>
                <w:iCs/>
              </w:rPr>
              <w:t>$10,054,550</w:t>
            </w:r>
          </w:p>
        </w:tc>
        <w:tc>
          <w:tcPr>
            <w:tcW w:w="651" w:type="pct"/>
            <w:noWrap/>
          </w:tcPr>
          <w:p w14:paraId="4CCE9D28" w14:textId="77777777" w:rsidR="005E3D87" w:rsidRPr="00105022" w:rsidRDefault="005E3D87" w:rsidP="00ED1AE4">
            <w:pPr>
              <w:pStyle w:val="Tabletext0"/>
              <w:jc w:val="center"/>
              <w:rPr>
                <w:i/>
                <w:iCs/>
              </w:rPr>
            </w:pPr>
            <w:r w:rsidRPr="00105022">
              <w:rPr>
                <w:i/>
                <w:iCs/>
              </w:rPr>
              <w:t>$11,357,857</w:t>
            </w:r>
          </w:p>
        </w:tc>
        <w:tc>
          <w:tcPr>
            <w:tcW w:w="650" w:type="pct"/>
            <w:noWrap/>
          </w:tcPr>
          <w:p w14:paraId="2D6FE232" w14:textId="77777777" w:rsidR="005E3D87" w:rsidRPr="00105022" w:rsidRDefault="005E3D87" w:rsidP="00ED1AE4">
            <w:pPr>
              <w:pStyle w:val="Tabletext0"/>
              <w:jc w:val="center"/>
              <w:rPr>
                <w:i/>
                <w:iCs/>
              </w:rPr>
            </w:pPr>
            <w:r w:rsidRPr="00105022">
              <w:rPr>
                <w:i/>
                <w:iCs/>
              </w:rPr>
              <w:t>$12,830,104</w:t>
            </w:r>
          </w:p>
        </w:tc>
      </w:tr>
      <w:tr w:rsidR="005E3D87" w:rsidRPr="00105022" w14:paraId="552D34DA" w14:textId="77777777" w:rsidTr="00ED1AE4">
        <w:trPr>
          <w:trHeight w:val="290"/>
        </w:trPr>
        <w:tc>
          <w:tcPr>
            <w:tcW w:w="1746" w:type="pct"/>
            <w:noWrap/>
          </w:tcPr>
          <w:p w14:paraId="59F73042" w14:textId="4AA4C778" w:rsidR="005E3D87" w:rsidRPr="00105022" w:rsidRDefault="005E3D87" w:rsidP="00ED1AE4">
            <w:pPr>
              <w:pStyle w:val="Tabletext0"/>
              <w:rPr>
                <w:i/>
                <w:iCs/>
              </w:rPr>
            </w:pPr>
            <w:r w:rsidRPr="00105022">
              <w:rPr>
                <w:i/>
                <w:iCs/>
              </w:rPr>
              <w:t>Assume post Lu</w:t>
            </w:r>
            <w:r w:rsidR="00CC7446">
              <w:rPr>
                <w:i/>
                <w:iCs/>
              </w:rPr>
              <w:t> </w:t>
            </w:r>
            <w:r w:rsidRPr="00105022">
              <w:rPr>
                <w:i/>
                <w:iCs/>
              </w:rPr>
              <w:t>PSMA</w:t>
            </w:r>
            <w:r w:rsidR="00CC7446">
              <w:rPr>
                <w:i/>
                <w:iCs/>
              </w:rPr>
              <w:t> </w:t>
            </w:r>
            <w:proofErr w:type="spellStart"/>
            <w:r w:rsidR="00CC7446">
              <w:rPr>
                <w:i/>
                <w:iCs/>
              </w:rPr>
              <w:t>i&amp;t</w:t>
            </w:r>
            <w:proofErr w:type="spellEnd"/>
            <w:r w:rsidRPr="00105022">
              <w:rPr>
                <w:i/>
                <w:iCs/>
              </w:rPr>
              <w:t xml:space="preserve"> </w:t>
            </w:r>
            <w:r w:rsidR="004462A5">
              <w:rPr>
                <w:i/>
                <w:iCs/>
              </w:rPr>
              <w:t xml:space="preserve">use </w:t>
            </w:r>
            <w:r w:rsidRPr="00105022">
              <w:rPr>
                <w:i/>
                <w:iCs/>
              </w:rPr>
              <w:t xml:space="preserve">of </w:t>
            </w:r>
            <w:proofErr w:type="spellStart"/>
            <w:r w:rsidRPr="00105022">
              <w:rPr>
                <w:i/>
                <w:iCs/>
              </w:rPr>
              <w:t>cabazitaxel</w:t>
            </w:r>
            <w:proofErr w:type="spellEnd"/>
            <w:r w:rsidRPr="00105022">
              <w:rPr>
                <w:i/>
                <w:iCs/>
              </w:rPr>
              <w:t xml:space="preserve"> 18% + </w:t>
            </w:r>
            <w:r w:rsidR="00B458C6">
              <w:rPr>
                <w:i/>
                <w:iCs/>
              </w:rPr>
              <w:t xml:space="preserve">PBS </w:t>
            </w:r>
            <w:r w:rsidRPr="00105022">
              <w:rPr>
                <w:i/>
                <w:iCs/>
              </w:rPr>
              <w:t>co-pay reduction</w:t>
            </w:r>
          </w:p>
        </w:tc>
        <w:tc>
          <w:tcPr>
            <w:tcW w:w="651" w:type="pct"/>
            <w:noWrap/>
          </w:tcPr>
          <w:p w14:paraId="7B034CAF" w14:textId="77777777" w:rsidR="005E3D87" w:rsidRPr="00105022" w:rsidRDefault="005E3D87" w:rsidP="00ED1AE4">
            <w:pPr>
              <w:pStyle w:val="Tabletext0"/>
              <w:rPr>
                <w:i/>
                <w:iCs/>
              </w:rPr>
            </w:pPr>
            <w:r w:rsidRPr="00105022">
              <w:rPr>
                <w:i/>
                <w:iCs/>
              </w:rPr>
              <w:t>$8,106,086</w:t>
            </w:r>
          </w:p>
        </w:tc>
        <w:tc>
          <w:tcPr>
            <w:tcW w:w="651" w:type="pct"/>
            <w:noWrap/>
          </w:tcPr>
          <w:p w14:paraId="48A1C751" w14:textId="77777777" w:rsidR="005E3D87" w:rsidRPr="00105022" w:rsidRDefault="005E3D87" w:rsidP="00ED1AE4">
            <w:pPr>
              <w:pStyle w:val="Tabletext0"/>
              <w:rPr>
                <w:i/>
                <w:iCs/>
              </w:rPr>
            </w:pPr>
            <w:r w:rsidRPr="00105022">
              <w:rPr>
                <w:i/>
                <w:iCs/>
              </w:rPr>
              <w:t>$9,156,827</w:t>
            </w:r>
          </w:p>
        </w:tc>
        <w:tc>
          <w:tcPr>
            <w:tcW w:w="651" w:type="pct"/>
            <w:noWrap/>
          </w:tcPr>
          <w:p w14:paraId="01683E14" w14:textId="77777777" w:rsidR="005E3D87" w:rsidRPr="00105022" w:rsidRDefault="005E3D87" w:rsidP="00ED1AE4">
            <w:pPr>
              <w:pStyle w:val="Tabletext0"/>
              <w:rPr>
                <w:i/>
                <w:iCs/>
              </w:rPr>
            </w:pPr>
            <w:r w:rsidRPr="00105022">
              <w:rPr>
                <w:i/>
                <w:iCs/>
              </w:rPr>
              <w:t>$10,343,767</w:t>
            </w:r>
          </w:p>
        </w:tc>
        <w:tc>
          <w:tcPr>
            <w:tcW w:w="651" w:type="pct"/>
            <w:noWrap/>
          </w:tcPr>
          <w:p w14:paraId="17223BF7" w14:textId="77777777" w:rsidR="005E3D87" w:rsidRPr="00105022" w:rsidRDefault="005E3D87" w:rsidP="00ED1AE4">
            <w:pPr>
              <w:pStyle w:val="Tabletext0"/>
              <w:rPr>
                <w:i/>
                <w:iCs/>
              </w:rPr>
            </w:pPr>
            <w:r w:rsidRPr="00105022">
              <w:rPr>
                <w:i/>
                <w:iCs/>
              </w:rPr>
              <w:t>$11,684,564</w:t>
            </w:r>
          </w:p>
        </w:tc>
        <w:tc>
          <w:tcPr>
            <w:tcW w:w="650" w:type="pct"/>
            <w:noWrap/>
          </w:tcPr>
          <w:p w14:paraId="17633D23" w14:textId="77777777" w:rsidR="005E3D87" w:rsidRPr="00105022" w:rsidRDefault="005E3D87" w:rsidP="00ED1AE4">
            <w:pPr>
              <w:pStyle w:val="Tabletext0"/>
              <w:rPr>
                <w:i/>
                <w:iCs/>
              </w:rPr>
            </w:pPr>
            <w:r w:rsidRPr="00105022">
              <w:rPr>
                <w:i/>
                <w:iCs/>
              </w:rPr>
              <w:t>$13,199,159</w:t>
            </w:r>
          </w:p>
        </w:tc>
      </w:tr>
      <w:tr w:rsidR="005E3D87" w:rsidRPr="00105022" w14:paraId="043662EB" w14:textId="77777777" w:rsidTr="00ED1AE4">
        <w:trPr>
          <w:trHeight w:val="290"/>
        </w:trPr>
        <w:tc>
          <w:tcPr>
            <w:tcW w:w="1746" w:type="pct"/>
            <w:noWrap/>
          </w:tcPr>
          <w:p w14:paraId="42517C2E" w14:textId="77777777" w:rsidR="005E3D87" w:rsidRPr="00105022" w:rsidRDefault="005E3D87" w:rsidP="00ED1AE4">
            <w:pPr>
              <w:pStyle w:val="Tabletext0"/>
              <w:rPr>
                <w:i/>
                <w:iCs/>
              </w:rPr>
            </w:pPr>
            <w:r w:rsidRPr="00105022">
              <w:rPr>
                <w:i/>
                <w:iCs/>
              </w:rPr>
              <w:t>Net Cost to the MBS + (PBS/RPBS) GPG + PBS co-pay $30</w:t>
            </w:r>
          </w:p>
        </w:tc>
        <w:tc>
          <w:tcPr>
            <w:tcW w:w="651" w:type="pct"/>
            <w:noWrap/>
          </w:tcPr>
          <w:p w14:paraId="4B15BEF0" w14:textId="77777777" w:rsidR="005E3D87" w:rsidRPr="00105022" w:rsidRDefault="005E3D87" w:rsidP="00ED1AE4">
            <w:pPr>
              <w:pStyle w:val="Tabletext0"/>
              <w:rPr>
                <w:i/>
                <w:iCs/>
              </w:rPr>
            </w:pPr>
            <w:r w:rsidRPr="00105022">
              <w:rPr>
                <w:i/>
                <w:iCs/>
              </w:rPr>
              <w:t>$9,186,257</w:t>
            </w:r>
          </w:p>
        </w:tc>
        <w:tc>
          <w:tcPr>
            <w:tcW w:w="651" w:type="pct"/>
            <w:noWrap/>
          </w:tcPr>
          <w:p w14:paraId="1C4AC8F1" w14:textId="77777777" w:rsidR="005E3D87" w:rsidRPr="00105022" w:rsidRDefault="005E3D87" w:rsidP="00ED1AE4">
            <w:pPr>
              <w:pStyle w:val="Tabletext0"/>
              <w:rPr>
                <w:i/>
                <w:iCs/>
              </w:rPr>
            </w:pPr>
            <w:r w:rsidRPr="00105022">
              <w:rPr>
                <w:i/>
                <w:iCs/>
              </w:rPr>
              <w:t>$10,377,012</w:t>
            </w:r>
          </w:p>
        </w:tc>
        <w:tc>
          <w:tcPr>
            <w:tcW w:w="651" w:type="pct"/>
            <w:noWrap/>
          </w:tcPr>
          <w:p w14:paraId="7C0B9186" w14:textId="77777777" w:rsidR="005E3D87" w:rsidRPr="00105022" w:rsidRDefault="005E3D87" w:rsidP="00ED1AE4">
            <w:pPr>
              <w:pStyle w:val="Tabletext0"/>
              <w:rPr>
                <w:i/>
                <w:iCs/>
              </w:rPr>
            </w:pPr>
            <w:r w:rsidRPr="00105022">
              <w:rPr>
                <w:i/>
                <w:iCs/>
              </w:rPr>
              <w:t>$11,722,118</w:t>
            </w:r>
          </w:p>
        </w:tc>
        <w:tc>
          <w:tcPr>
            <w:tcW w:w="651" w:type="pct"/>
            <w:noWrap/>
          </w:tcPr>
          <w:p w14:paraId="62DAC8EC" w14:textId="77777777" w:rsidR="005E3D87" w:rsidRPr="00105022" w:rsidRDefault="005E3D87" w:rsidP="00ED1AE4">
            <w:pPr>
              <w:pStyle w:val="Tabletext0"/>
              <w:rPr>
                <w:i/>
                <w:iCs/>
              </w:rPr>
            </w:pPr>
            <w:r w:rsidRPr="00105022">
              <w:rPr>
                <w:i/>
                <w:iCs/>
              </w:rPr>
              <w:t>$13,241,581</w:t>
            </w:r>
          </w:p>
        </w:tc>
        <w:tc>
          <w:tcPr>
            <w:tcW w:w="650" w:type="pct"/>
            <w:noWrap/>
          </w:tcPr>
          <w:p w14:paraId="7E5B00B0" w14:textId="77777777" w:rsidR="005E3D87" w:rsidRPr="00105022" w:rsidRDefault="005E3D87" w:rsidP="00ED1AE4">
            <w:pPr>
              <w:pStyle w:val="Tabletext0"/>
              <w:rPr>
                <w:i/>
                <w:iCs/>
              </w:rPr>
            </w:pPr>
            <w:r w:rsidRPr="00105022">
              <w:rPr>
                <w:i/>
                <w:iCs/>
              </w:rPr>
              <w:t>$14,958,003</w:t>
            </w:r>
          </w:p>
        </w:tc>
      </w:tr>
      <w:tr w:rsidR="005E3D87" w:rsidRPr="00105022" w14:paraId="29552A84" w14:textId="77777777" w:rsidTr="00ED1AE4">
        <w:trPr>
          <w:trHeight w:val="290"/>
        </w:trPr>
        <w:tc>
          <w:tcPr>
            <w:tcW w:w="1746" w:type="pct"/>
            <w:noWrap/>
          </w:tcPr>
          <w:p w14:paraId="357D71F7" w14:textId="22311D52" w:rsidR="005E3D87" w:rsidRPr="00105022" w:rsidRDefault="005E3D87" w:rsidP="00ED1AE4">
            <w:pPr>
              <w:pStyle w:val="Tabletext0"/>
              <w:rPr>
                <w:i/>
                <w:iCs/>
              </w:rPr>
            </w:pPr>
            <w:r w:rsidRPr="00105022">
              <w:rPr>
                <w:i/>
                <w:iCs/>
              </w:rPr>
              <w:t>Net Cost to the MBS + (PBS/RPBS) GPG +cab</w:t>
            </w:r>
            <w:r w:rsidR="00B458C6">
              <w:rPr>
                <w:i/>
                <w:iCs/>
              </w:rPr>
              <w:t>a</w:t>
            </w:r>
            <w:r w:rsidRPr="00105022">
              <w:rPr>
                <w:i/>
                <w:iCs/>
              </w:rPr>
              <w:t>zitaxel 18% use post Lu PSMA</w:t>
            </w:r>
          </w:p>
        </w:tc>
        <w:tc>
          <w:tcPr>
            <w:tcW w:w="651" w:type="pct"/>
            <w:noWrap/>
          </w:tcPr>
          <w:p w14:paraId="2889EB19" w14:textId="77777777" w:rsidR="005E3D87" w:rsidRPr="00105022" w:rsidRDefault="005E3D87" w:rsidP="00ED1AE4">
            <w:pPr>
              <w:pStyle w:val="Tabletext0"/>
              <w:rPr>
                <w:i/>
                <w:iCs/>
              </w:rPr>
            </w:pPr>
            <w:r w:rsidRPr="00105022">
              <w:rPr>
                <w:i/>
                <w:iCs/>
              </w:rPr>
              <w:t>$9,412,907</w:t>
            </w:r>
          </w:p>
        </w:tc>
        <w:tc>
          <w:tcPr>
            <w:tcW w:w="651" w:type="pct"/>
            <w:noWrap/>
          </w:tcPr>
          <w:p w14:paraId="4E0CD3CE" w14:textId="77777777" w:rsidR="005E3D87" w:rsidRPr="00105022" w:rsidRDefault="005E3D87" w:rsidP="00ED1AE4">
            <w:pPr>
              <w:pStyle w:val="Tabletext0"/>
              <w:rPr>
                <w:i/>
                <w:iCs/>
              </w:rPr>
            </w:pPr>
            <w:r w:rsidRPr="00105022">
              <w:rPr>
                <w:i/>
                <w:iCs/>
              </w:rPr>
              <w:t>$10,633,042</w:t>
            </w:r>
          </w:p>
        </w:tc>
        <w:tc>
          <w:tcPr>
            <w:tcW w:w="651" w:type="pct"/>
            <w:noWrap/>
          </w:tcPr>
          <w:p w14:paraId="5D2668BD" w14:textId="77777777" w:rsidR="005E3D87" w:rsidRPr="00105022" w:rsidRDefault="005E3D87" w:rsidP="00ED1AE4">
            <w:pPr>
              <w:pStyle w:val="Tabletext0"/>
              <w:rPr>
                <w:i/>
                <w:iCs/>
              </w:rPr>
            </w:pPr>
            <w:r w:rsidRPr="00105022">
              <w:rPr>
                <w:i/>
                <w:iCs/>
              </w:rPr>
              <w:t>$12,011,335</w:t>
            </w:r>
          </w:p>
        </w:tc>
        <w:tc>
          <w:tcPr>
            <w:tcW w:w="651" w:type="pct"/>
            <w:noWrap/>
          </w:tcPr>
          <w:p w14:paraId="258D11DF" w14:textId="77777777" w:rsidR="005E3D87" w:rsidRPr="00105022" w:rsidRDefault="005E3D87" w:rsidP="00ED1AE4">
            <w:pPr>
              <w:pStyle w:val="Tabletext0"/>
              <w:rPr>
                <w:i/>
                <w:iCs/>
              </w:rPr>
            </w:pPr>
            <w:r w:rsidRPr="00105022">
              <w:rPr>
                <w:i/>
                <w:iCs/>
              </w:rPr>
              <w:t>$13,568,288</w:t>
            </w:r>
          </w:p>
        </w:tc>
        <w:tc>
          <w:tcPr>
            <w:tcW w:w="650" w:type="pct"/>
            <w:noWrap/>
          </w:tcPr>
          <w:p w14:paraId="2FF3717A" w14:textId="77777777" w:rsidR="005E3D87" w:rsidRPr="00105022" w:rsidRDefault="005E3D87" w:rsidP="00ED1AE4">
            <w:pPr>
              <w:pStyle w:val="Tabletext0"/>
              <w:rPr>
                <w:i/>
                <w:iCs/>
              </w:rPr>
            </w:pPr>
            <w:r w:rsidRPr="00105022">
              <w:rPr>
                <w:i/>
                <w:iCs/>
              </w:rPr>
              <w:t>$15,327,059</w:t>
            </w:r>
          </w:p>
        </w:tc>
      </w:tr>
    </w:tbl>
    <w:p w14:paraId="434CD196" w14:textId="77777777" w:rsidR="005E3D87" w:rsidRPr="008C4113" w:rsidRDefault="005E3D87" w:rsidP="005E3D87">
      <w:pPr>
        <w:pStyle w:val="TableFigNotes18"/>
        <w:rPr>
          <w:rFonts w:ascii="Arial Narrow" w:hAnsi="Arial Narrow"/>
          <w:sz w:val="18"/>
          <w:szCs w:val="18"/>
        </w:rPr>
      </w:pPr>
      <w:r w:rsidRPr="008C4113">
        <w:rPr>
          <w:rFonts w:ascii="Arial Narrow" w:hAnsi="Arial Narrow"/>
          <w:sz w:val="18"/>
          <w:szCs w:val="18"/>
        </w:rPr>
        <w:t>Source: Attachment 2 ‘Mortality method’ sheet</w:t>
      </w:r>
    </w:p>
    <w:p w14:paraId="751133D7" w14:textId="77777777" w:rsidR="005E3D87" w:rsidRDefault="005E3D87" w:rsidP="005E3D87">
      <w:pPr>
        <w:pStyle w:val="TableFigNotes18"/>
        <w:rPr>
          <w:rFonts w:ascii="Arial Narrow" w:hAnsi="Arial Narrow"/>
          <w:sz w:val="18"/>
          <w:szCs w:val="22"/>
        </w:rPr>
      </w:pPr>
      <w:r w:rsidRPr="008C4113">
        <w:rPr>
          <w:rFonts w:ascii="Arial Narrow" w:hAnsi="Arial Narrow"/>
          <w:sz w:val="18"/>
          <w:szCs w:val="22"/>
        </w:rPr>
        <w:t>Abbreviations: Lu, Lutetium; MBS, Medicare Benefits Scheme; PSMA, prostate specific membrane antigen; PBS, Pharmaceutical Benefits Scheme; RPBS, Repatriation Pharmaceutical Benefits Scheme</w:t>
      </w:r>
    </w:p>
    <w:p w14:paraId="2FFEC2D5" w14:textId="77777777" w:rsidR="005E3D87" w:rsidRPr="00105022" w:rsidRDefault="005E3D87" w:rsidP="005E3D87">
      <w:pPr>
        <w:pStyle w:val="TableFigNotes18"/>
        <w:rPr>
          <w:rFonts w:ascii="Arial Narrow" w:hAnsi="Arial Narrow"/>
          <w:sz w:val="18"/>
          <w:szCs w:val="22"/>
        </w:rPr>
      </w:pPr>
      <w:r w:rsidRPr="00105022">
        <w:rPr>
          <w:rFonts w:ascii="Arial Narrow" w:hAnsi="Arial Narrow"/>
          <w:sz w:val="18"/>
          <w:szCs w:val="22"/>
        </w:rPr>
        <w:t>*From 1 January 2023, the PBS co-payment for non-concession card holders (general patients) was reduced from $42.50 to $30.00.</w:t>
      </w:r>
    </w:p>
    <w:p w14:paraId="1DFA4582" w14:textId="513EA522" w:rsidR="005E3D87" w:rsidRDefault="005E3D87" w:rsidP="005E3D87">
      <w:r>
        <w:t xml:space="preserve">Although the </w:t>
      </w:r>
      <w:r w:rsidR="007F120D">
        <w:t xml:space="preserve">current ADAR </w:t>
      </w:r>
      <w:r>
        <w:t xml:space="preserve">now commences in 2023 and not 2022 the assumed uptake remains at 11.5% for the </w:t>
      </w:r>
      <w:r w:rsidR="000820F7">
        <w:t xml:space="preserve">first </w:t>
      </w:r>
      <w:r>
        <w:t>year</w:t>
      </w:r>
      <w:r w:rsidR="000820F7">
        <w:t xml:space="preserve">, </w:t>
      </w:r>
      <w:r>
        <w:t xml:space="preserve">the same as the </w:t>
      </w:r>
      <w:r w:rsidR="000820F7">
        <w:t>previous ADAR</w:t>
      </w:r>
      <w:r>
        <w:t xml:space="preserve">. As noted at the time, this assumes a very low uptake among this particularly vulnerable group. The ADAR does not elaborate on the reason for the assumed low uptake, apart from expert opinion, with the uptake remaining under 20% of the eligible patients even after five years. </w:t>
      </w:r>
    </w:p>
    <w:p w14:paraId="25493D75" w14:textId="41D8AF6A" w:rsidR="005E3D87" w:rsidRDefault="005E3D87" w:rsidP="005E3D87">
      <w:r>
        <w:t xml:space="preserve">The average net cost per patient is $25,007 for each of the five years presented. This compares to $28,627 for </w:t>
      </w:r>
      <w:r w:rsidR="00B574DE">
        <w:t xml:space="preserve">the </w:t>
      </w:r>
      <w:r w:rsidR="000820F7">
        <w:t>previous ADAR</w:t>
      </w:r>
      <w:r>
        <w:t xml:space="preserve"> (adjusting for the lower price of cabazitaxel) and reflects the reduced number of cycles of </w:t>
      </w:r>
      <w:r w:rsidR="00B574DE">
        <w:rPr>
          <w:vertAlign w:val="superscript"/>
        </w:rPr>
        <w:t>177</w:t>
      </w:r>
      <w:r>
        <w:t>Lu</w:t>
      </w:r>
      <w:r w:rsidR="00CC7446">
        <w:t> </w:t>
      </w:r>
      <w:r>
        <w:t>PSMA</w:t>
      </w:r>
      <w:r w:rsidR="00CC7446">
        <w:t> </w:t>
      </w:r>
      <w:proofErr w:type="spellStart"/>
      <w:r w:rsidR="00CC7446">
        <w:t>i&amp;t</w:t>
      </w:r>
      <w:proofErr w:type="spellEnd"/>
      <w:r>
        <w:t xml:space="preserve"> from 4.71 to 3.63 but offsetting this reduced cost per patient of </w:t>
      </w:r>
      <w:r w:rsidR="00B574DE">
        <w:rPr>
          <w:vertAlign w:val="superscript"/>
        </w:rPr>
        <w:t>177</w:t>
      </w:r>
      <w:r>
        <w:t>Lu</w:t>
      </w:r>
      <w:r w:rsidR="00CC7446">
        <w:t> </w:t>
      </w:r>
      <w:r>
        <w:t>PSMA</w:t>
      </w:r>
      <w:r w:rsidR="00CC7446">
        <w:t> </w:t>
      </w:r>
      <w:proofErr w:type="spellStart"/>
      <w:r w:rsidR="00CC7446">
        <w:t>i&amp;t</w:t>
      </w:r>
      <w:proofErr w:type="spellEnd"/>
      <w:r>
        <w:t xml:space="preserve"> is the reduced savings to the PBS/RPBS from the assumption that only 25% of the comparator arm received cabazitaxel</w:t>
      </w:r>
      <w:r w:rsidR="000820F7">
        <w:t xml:space="preserve">, </w:t>
      </w:r>
      <w:r>
        <w:t xml:space="preserve">compared to 75% in the </w:t>
      </w:r>
      <w:r w:rsidR="000820F7">
        <w:t>previous ADAR</w:t>
      </w:r>
      <w:r>
        <w:t xml:space="preserve"> and the reduced PBS patient co-pay.</w:t>
      </w:r>
    </w:p>
    <w:p w14:paraId="05C771F2" w14:textId="30CE4635" w:rsidR="005E3D87" w:rsidRDefault="000820F7" w:rsidP="005E3D87">
      <w:r w:rsidRPr="00CD5A4F">
        <w:t xml:space="preserve">The current ADAR </w:t>
      </w:r>
      <w:r w:rsidR="005E3D87" w:rsidRPr="00CD5A4F">
        <w:t xml:space="preserve">did not include in its calculation of the financial implications the post </w:t>
      </w:r>
      <w:r w:rsidR="00B574DE">
        <w:rPr>
          <w:vertAlign w:val="superscript"/>
        </w:rPr>
        <w:t>177</w:t>
      </w:r>
      <w:r w:rsidR="005E3D87" w:rsidRPr="00CD5A4F">
        <w:t>Lu</w:t>
      </w:r>
      <w:r w:rsidR="00CC7446">
        <w:t> </w:t>
      </w:r>
      <w:r w:rsidR="005E3D87" w:rsidRPr="00CD5A4F">
        <w:t>PSMA</w:t>
      </w:r>
      <w:r w:rsidR="00CC7446">
        <w:t> </w:t>
      </w:r>
      <w:proofErr w:type="spellStart"/>
      <w:r w:rsidR="008706CD">
        <w:t>i&amp;t</w:t>
      </w:r>
      <w:proofErr w:type="spellEnd"/>
      <w:r w:rsidR="005E3D87" w:rsidRPr="00CD5A4F">
        <w:t xml:space="preserve"> use of </w:t>
      </w:r>
      <w:proofErr w:type="spellStart"/>
      <w:r w:rsidR="005E3D87" w:rsidRPr="00CD5A4F">
        <w:t>cabazitaxel</w:t>
      </w:r>
      <w:proofErr w:type="spellEnd"/>
      <w:r w:rsidR="005E3D87" w:rsidRPr="00CD5A4F">
        <w:t>, this has been included above</w:t>
      </w:r>
      <w:r w:rsidR="005E3D87" w:rsidRPr="000820F7">
        <w:rPr>
          <w:i/>
          <w:iCs/>
        </w:rPr>
        <w:t>.</w:t>
      </w:r>
      <w:r w:rsidR="005E3D87">
        <w:t xml:space="preserve"> The </w:t>
      </w:r>
      <w:r>
        <w:t>ADAR</w:t>
      </w:r>
      <w:r w:rsidR="005E3D87">
        <w:t xml:space="preserve"> assumes that patient co-payment is 15% however given that this intervention is given in </w:t>
      </w:r>
      <w:r w:rsidR="008E2C2A">
        <w:t xml:space="preserve">an </w:t>
      </w:r>
      <w:r w:rsidR="005E3D87">
        <w:t>outpatient</w:t>
      </w:r>
      <w:r w:rsidR="008E2C2A">
        <w:t xml:space="preserve"> setting</w:t>
      </w:r>
      <w:r w:rsidR="005E3D87">
        <w:t xml:space="preserve"> it is likely that the maximum permissible gap applies. As of 1 November 2022, the maximum patient gap between the MBS fee and the benefits payable for out-of-hospital services increased to $93.20. </w:t>
      </w:r>
      <w:r w:rsidR="005E3D87">
        <w:lastRenderedPageBreak/>
        <w:t xml:space="preserve">The 85% benefit level will apply for all fees up to $621.50 after which benefits are calculated at the Schedule fee less $93.20. These changes have been included in the table above. </w:t>
      </w:r>
    </w:p>
    <w:p w14:paraId="4F6B0C7B" w14:textId="0C5B3EF3" w:rsidR="005E3D87" w:rsidRPr="00CD5A4F" w:rsidRDefault="005E3D87" w:rsidP="005E3D87">
      <w:r w:rsidRPr="00CD5A4F">
        <w:t>It remains that the financial implications may be underestimated if the uptake rate is higher than assumed by the</w:t>
      </w:r>
      <w:r w:rsidR="00C77D78">
        <w:t xml:space="preserve"> current</w:t>
      </w:r>
      <w:r w:rsidRPr="00CD5A4F">
        <w:t xml:space="preserve"> ADAR. Reasons for why the uptake rate would remain under 20% for the eligible population, after five years, for which this is a last resort therapy, were not provided.</w:t>
      </w:r>
    </w:p>
    <w:p w14:paraId="7838A9FF" w14:textId="496593F2" w:rsidR="00772829" w:rsidRPr="00CE28E3" w:rsidRDefault="00C36633" w:rsidP="00C7462B">
      <w:pPr>
        <w:pStyle w:val="ESHeading1"/>
        <w:numPr>
          <w:ilvl w:val="0"/>
          <w:numId w:val="0"/>
        </w:numPr>
        <w:spacing w:before="360"/>
        <w:ind w:hanging="74"/>
      </w:pPr>
      <w:bookmarkStart w:id="37" w:name="_Toc69491427"/>
      <w:r>
        <w:t>1</w:t>
      </w:r>
      <w:r w:rsidR="00C7462B">
        <w:t>5</w:t>
      </w:r>
      <w:r>
        <w:t>.</w:t>
      </w:r>
      <w:r>
        <w:tab/>
      </w:r>
      <w:r w:rsidR="00772829" w:rsidRPr="00CE28E3">
        <w:t xml:space="preserve">Other relevant </w:t>
      </w:r>
      <w:bookmarkEnd w:id="37"/>
      <w:r w:rsidR="00FA5766">
        <w:t>information</w:t>
      </w:r>
    </w:p>
    <w:p w14:paraId="13C23D11" w14:textId="2AACA2F4" w:rsidR="00D9463D" w:rsidRDefault="00A023A6">
      <w:r>
        <w:t>Nil.</w:t>
      </w:r>
    </w:p>
    <w:p w14:paraId="3BF43293" w14:textId="3EA2F1E8" w:rsidR="00C7462B" w:rsidRDefault="00C7462B" w:rsidP="00C7462B">
      <w:pPr>
        <w:pStyle w:val="ESHeading1"/>
        <w:numPr>
          <w:ilvl w:val="0"/>
          <w:numId w:val="0"/>
        </w:numPr>
        <w:spacing w:before="360"/>
        <w:ind w:hanging="74"/>
      </w:pPr>
      <w:r>
        <w:t>16.</w:t>
      </w:r>
      <w:r>
        <w:tab/>
        <w:t>Key issues from ESC to MSAC</w:t>
      </w:r>
    </w:p>
    <w:p w14:paraId="6FEB383C" w14:textId="77777777" w:rsidR="00C7462B" w:rsidRDefault="00C7462B" w:rsidP="00C7462B">
      <w:pPr>
        <w:pStyle w:val="BoxName0"/>
      </w:pPr>
      <w:r w:rsidRPr="00C749CB">
        <w:t>Main issues for MSAC consideration</w:t>
      </w:r>
    </w:p>
    <w:p w14:paraId="2DD9436B" w14:textId="77777777" w:rsidR="00C7462B" w:rsidRDefault="00C7462B" w:rsidP="002E7CDD">
      <w:pPr>
        <w:pStyle w:val="BoxName0"/>
        <w:spacing w:after="120"/>
      </w:pPr>
      <w:r>
        <w:t>Clinical issues: MBS items for therapy</w:t>
      </w:r>
    </w:p>
    <w:p w14:paraId="02FC2FD3" w14:textId="77777777" w:rsidR="00C7462B" w:rsidRDefault="00C7462B" w:rsidP="00C7462B">
      <w:pPr>
        <w:pStyle w:val="BoxBullet"/>
      </w:pPr>
      <w:r>
        <w:t xml:space="preserve">The ADAR resubmission introduces a new two-step approach to treatment whereby </w:t>
      </w:r>
      <w:r w:rsidRPr="0034514E">
        <w:t xml:space="preserve">treatment </w:t>
      </w:r>
      <w:r>
        <w:t xml:space="preserve">is split </w:t>
      </w:r>
      <w:r w:rsidRPr="0034514E">
        <w:t>into initial (2 cycles) and continuing treatment (4 cycles).</w:t>
      </w:r>
      <w:r>
        <w:t xml:space="preserve"> The item descriptor has been split into initial and continuing treatment to reflect these changes. MSAC may wish to consider whether this split is appropriate and limiting initial treatment to 2 cycles is justified.</w:t>
      </w:r>
      <w:r w:rsidRPr="0034514E">
        <w:t xml:space="preserve"> </w:t>
      </w:r>
    </w:p>
    <w:p w14:paraId="1FC35DDD" w14:textId="77777777" w:rsidR="00C7462B" w:rsidRPr="0034514E" w:rsidRDefault="00C7462B" w:rsidP="00C7462B">
      <w:pPr>
        <w:pStyle w:val="BoxBullet"/>
      </w:pPr>
      <w:r>
        <w:t xml:space="preserve">Only patients who have not demonstrated “disease progression” will be eligible for continuing treatment. In the proposed item descriptor “disease progression” is defined as patients who demonstrate a rise in PSA above a certain threshold and/or show evidence of new soft tissue metastatic disease on diagnostic CT as per RECIST criteria. </w:t>
      </w:r>
      <w:r w:rsidRPr="00A147DA">
        <w:t>MSAC</w:t>
      </w:r>
      <w:r>
        <w:t xml:space="preserve"> may want to </w:t>
      </w:r>
      <w:r w:rsidRPr="00A147DA">
        <w:t xml:space="preserve">consider whether </w:t>
      </w:r>
      <w:r w:rsidRPr="00A147DA" w:rsidDel="00EA76D5">
        <w:t>the definition of disease progression in the proposed item descriptor is</w:t>
      </w:r>
      <w:r w:rsidRPr="00A147DA">
        <w:t xml:space="preserve"> adequate</w:t>
      </w:r>
      <w:r w:rsidRPr="00A147DA" w:rsidDel="00024195">
        <w:t>.</w:t>
      </w:r>
      <w:r>
        <w:t xml:space="preserve"> </w:t>
      </w:r>
      <w:proofErr w:type="gramStart"/>
      <w:r>
        <w:t>In particular, whether</w:t>
      </w:r>
      <w:proofErr w:type="gramEnd"/>
      <w:r>
        <w:t>: the item descriptor should be expanded to include further evaluation of disease progression such as assessment of existing soft tissue lesions and bone lesion progression, whether additional investigations are required for assessment and to determine which tool is the most appropriate for defining disease progression (RECIST criteria is claimed to not be used in clinical practice).</w:t>
      </w:r>
    </w:p>
    <w:p w14:paraId="24F4A136" w14:textId="77777777" w:rsidR="00C7462B" w:rsidRDefault="00C7462B" w:rsidP="00C7462B">
      <w:pPr>
        <w:pStyle w:val="BoxBullet"/>
      </w:pPr>
      <w:r>
        <w:t>There is lack of clarity in the item descriptor regarding when patients should be assessed for response or disease progression. It is unclear if the assessment of response, or progression would occur after each treatment dose or only after the second dose. MSAC is asked to consider the appropriate intervals for the timing and frequency of tests to assess whether “disease progression” or treatment response has occurred.</w:t>
      </w:r>
    </w:p>
    <w:p w14:paraId="57D94864" w14:textId="77777777" w:rsidR="00C7462B" w:rsidRPr="0034514E" w:rsidRDefault="00C7462B" w:rsidP="00C7462B">
      <w:pPr>
        <w:pStyle w:val="BoxBullet"/>
      </w:pPr>
      <w:r>
        <w:t>The evidence to support effectiveness and improved quality of life of a “treatment holiday” in patients that show early and favourable response to treatment is limited (Re-SPECT study). MSAC is asked to consider whether the proposed items should allow breaks in treatment (</w:t>
      </w:r>
      <w:proofErr w:type="gramStart"/>
      <w:r>
        <w:t>i.e.</w:t>
      </w:r>
      <w:proofErr w:type="gramEnd"/>
      <w:r>
        <w:t xml:space="preserve"> “treatment holidays”).</w:t>
      </w:r>
    </w:p>
    <w:p w14:paraId="45BB11E0" w14:textId="77777777" w:rsidR="00C7462B" w:rsidRDefault="00C7462B" w:rsidP="00C7462B">
      <w:pPr>
        <w:pStyle w:val="BoxHeading"/>
      </w:pPr>
      <w:r>
        <w:t>Economic issues:</w:t>
      </w:r>
    </w:p>
    <w:p w14:paraId="34A98748" w14:textId="77777777" w:rsidR="00C7462B" w:rsidRDefault="00C7462B" w:rsidP="00C7462B">
      <w:pPr>
        <w:pStyle w:val="BoxBullet"/>
      </w:pPr>
      <w:r>
        <w:t xml:space="preserve">Although some of the previous sources of uncertainty have been addressed, new sources of uncertainty have been introduced. Overall, the ICER remains uncertain and is likely to be higher than the base-case estimate, with the most material issues relating to </w:t>
      </w:r>
      <w:r w:rsidRPr="008A5510">
        <w:t>the use of different trial data</w:t>
      </w:r>
      <w:r>
        <w:t xml:space="preserve"> sources</w:t>
      </w:r>
      <w:r w:rsidRPr="008A5510">
        <w:t xml:space="preserve"> for </w:t>
      </w:r>
      <w:r>
        <w:t xml:space="preserve">the </w:t>
      </w:r>
      <w:r w:rsidRPr="008A5510">
        <w:t>determination of the PFS benefits and</w:t>
      </w:r>
      <w:r>
        <w:t xml:space="preserve"> treatment</w:t>
      </w:r>
      <w:r w:rsidRPr="008A5510">
        <w:t xml:space="preserve"> costs of </w:t>
      </w:r>
      <w:r w:rsidRPr="00897841">
        <w:rPr>
          <w:vertAlign w:val="superscript"/>
        </w:rPr>
        <w:t>177</w:t>
      </w:r>
      <w:r w:rsidRPr="00897841">
        <w:t>Lu PSMA</w:t>
      </w:r>
      <w:r>
        <w:t>, and the use of treatment-specific</w:t>
      </w:r>
      <w:r w:rsidRPr="008A5510">
        <w:t xml:space="preserve"> utility weights</w:t>
      </w:r>
      <w:r>
        <w:t>,</w:t>
      </w:r>
      <w:r w:rsidRPr="008A5510">
        <w:t xml:space="preserve"> </w:t>
      </w:r>
      <w:r>
        <w:t>both of which favour the intervention. MSAC is asked to consider if the uncertainty has been reduced sufficiently to enable</w:t>
      </w:r>
      <w:r w:rsidRPr="001F1713">
        <w:t xml:space="preserve"> reconsideration of </w:t>
      </w:r>
      <w:r>
        <w:t>its</w:t>
      </w:r>
      <w:r w:rsidRPr="001F1713">
        <w:t xml:space="preserve"> previous </w:t>
      </w:r>
      <w:r>
        <w:t>advice.</w:t>
      </w:r>
    </w:p>
    <w:p w14:paraId="66B7A4E1" w14:textId="77777777" w:rsidR="00C7462B" w:rsidRDefault="00C7462B" w:rsidP="00C7462B">
      <w:pPr>
        <w:pStyle w:val="BoxHeading"/>
      </w:pPr>
      <w:r>
        <w:lastRenderedPageBreak/>
        <w:t>Financial issues:</w:t>
      </w:r>
    </w:p>
    <w:p w14:paraId="2E3D2FC5" w14:textId="77777777" w:rsidR="00C7462B" w:rsidRDefault="00C7462B" w:rsidP="00C7462B">
      <w:pPr>
        <w:pStyle w:val="BoxBullet"/>
      </w:pPr>
      <w:r>
        <w:t>T</w:t>
      </w:r>
      <w:r w:rsidRPr="00E50853">
        <w:t xml:space="preserve">he financial impacts presented in </w:t>
      </w:r>
      <w:r>
        <w:t xml:space="preserve">the </w:t>
      </w:r>
      <w:r w:rsidRPr="00E50853">
        <w:t>ADAR are likely to be underestimated</w:t>
      </w:r>
      <w:r>
        <w:t xml:space="preserve"> </w:t>
      </w:r>
      <w:r>
        <w:rPr>
          <w:rStyle w:val="Strong"/>
          <w:b w:val="0"/>
          <w:bCs w:val="0"/>
        </w:rPr>
        <w:t xml:space="preserve">primarily due to a likely higher uptake rate than assumed for an efficacious therapy that will be used </w:t>
      </w:r>
      <w:proofErr w:type="gramStart"/>
      <w:r>
        <w:rPr>
          <w:rStyle w:val="Strong"/>
          <w:b w:val="0"/>
          <w:bCs w:val="0"/>
        </w:rPr>
        <w:t>last-line</w:t>
      </w:r>
      <w:proofErr w:type="gramEnd"/>
      <w:r w:rsidRPr="00E50853">
        <w:t>.</w:t>
      </w:r>
    </w:p>
    <w:p w14:paraId="7C5E5ED9" w14:textId="77777777" w:rsidR="00C7462B" w:rsidRDefault="00C7462B" w:rsidP="00C7462B">
      <w:pPr>
        <w:keepNext/>
        <w:spacing w:before="240"/>
        <w:rPr>
          <w:rStyle w:val="Strong"/>
        </w:rPr>
      </w:pPr>
      <w:r w:rsidRPr="00194327">
        <w:rPr>
          <w:rStyle w:val="Strong"/>
        </w:rPr>
        <w:t>ESC discussion</w:t>
      </w:r>
    </w:p>
    <w:p w14:paraId="4B699335" w14:textId="77777777" w:rsidR="00C7462B" w:rsidRPr="00F560AE" w:rsidRDefault="00C7462B" w:rsidP="00C7462B">
      <w:pPr>
        <w:pStyle w:val="NormalBeforeBullet0"/>
      </w:pPr>
      <w:r>
        <w:t xml:space="preserve">ESC noted that this </w:t>
      </w:r>
      <w:r w:rsidRPr="00F560AE">
        <w:t xml:space="preserve">resubmission requests Medicare Benefits Schedule (MBS) funding for </w:t>
      </w:r>
      <w:r>
        <w:t xml:space="preserve">a </w:t>
      </w:r>
      <w:r w:rsidRPr="002541C7">
        <w:t>prostate-specific membrane antigen</w:t>
      </w:r>
      <w:r>
        <w:t xml:space="preserve">– (PMSA-) based treatment and diagnostic </w:t>
      </w:r>
      <w:r w:rsidRPr="00F560AE">
        <w:t>technologies</w:t>
      </w:r>
      <w:r>
        <w:t>. The treatment component consists of</w:t>
      </w:r>
    </w:p>
    <w:p w14:paraId="2C413325" w14:textId="77777777" w:rsidR="00C7462B" w:rsidRPr="00381B34" w:rsidRDefault="00C7462B" w:rsidP="00C7462B">
      <w:pPr>
        <w:pStyle w:val="Bullet"/>
        <w:numPr>
          <w:ilvl w:val="0"/>
          <w:numId w:val="19"/>
        </w:numPr>
        <w:spacing w:before="0"/>
        <w:rPr>
          <w:rFonts w:ascii="Franklin Gothic Book" w:hAnsi="Franklin Gothic Book"/>
        </w:rPr>
      </w:pPr>
      <w:r w:rsidRPr="00381B34">
        <w:rPr>
          <w:rFonts w:ascii="Franklin Gothic Book" w:hAnsi="Franklin Gothic Book"/>
        </w:rPr>
        <w:t xml:space="preserve">   1) </w:t>
      </w:r>
      <w:r w:rsidRPr="00381B34">
        <w:rPr>
          <w:rFonts w:ascii="Franklin Gothic Book" w:hAnsi="Franklin Gothic Book"/>
          <w:vertAlign w:val="superscript"/>
        </w:rPr>
        <w:t>177</w:t>
      </w:r>
      <w:r w:rsidRPr="00381B34">
        <w:rPr>
          <w:rFonts w:ascii="Franklin Gothic Book" w:hAnsi="Franklin Gothic Book"/>
        </w:rPr>
        <w:t>Lutetium (</w:t>
      </w:r>
      <w:r w:rsidRPr="00381B34">
        <w:rPr>
          <w:rFonts w:ascii="Franklin Gothic Book" w:hAnsi="Franklin Gothic Book"/>
          <w:vertAlign w:val="superscript"/>
        </w:rPr>
        <w:t>177</w:t>
      </w:r>
      <w:r w:rsidRPr="00381B34">
        <w:rPr>
          <w:rFonts w:ascii="Franklin Gothic Book" w:hAnsi="Franklin Gothic Book"/>
        </w:rPr>
        <w:t>Lu) PSMA therapy for treatment of progressive metastatic castrate resistant prostate cancer (</w:t>
      </w:r>
      <w:proofErr w:type="spellStart"/>
      <w:r w:rsidRPr="00381B34">
        <w:rPr>
          <w:rFonts w:ascii="Franklin Gothic Book" w:hAnsi="Franklin Gothic Book"/>
        </w:rPr>
        <w:t>mCRPC</w:t>
      </w:r>
      <w:proofErr w:type="spellEnd"/>
      <w:r w:rsidRPr="00381B34">
        <w:rPr>
          <w:rFonts w:ascii="Franklin Gothic Book" w:hAnsi="Franklin Gothic Book"/>
        </w:rPr>
        <w:t>).</w:t>
      </w:r>
    </w:p>
    <w:p w14:paraId="5C53D294" w14:textId="77777777" w:rsidR="00C7462B" w:rsidRPr="00381B34" w:rsidRDefault="00C7462B" w:rsidP="00C7462B">
      <w:pPr>
        <w:pStyle w:val="Bullet"/>
        <w:numPr>
          <w:ilvl w:val="0"/>
          <w:numId w:val="0"/>
        </w:numPr>
        <w:rPr>
          <w:rFonts w:ascii="Franklin Gothic Book" w:hAnsi="Franklin Gothic Book"/>
        </w:rPr>
      </w:pPr>
      <w:r w:rsidRPr="00381B34">
        <w:rPr>
          <w:rFonts w:ascii="Franklin Gothic Book" w:hAnsi="Franklin Gothic Book"/>
        </w:rPr>
        <w:t>Eligibility for this treatment is determined by the following diagnostic test:</w:t>
      </w:r>
    </w:p>
    <w:p w14:paraId="16C26431" w14:textId="77777777" w:rsidR="00C7462B" w:rsidRPr="00F560AE" w:rsidRDefault="00C7462B" w:rsidP="00C7462B">
      <w:pPr>
        <w:pStyle w:val="BulletLast"/>
        <w:numPr>
          <w:ilvl w:val="0"/>
          <w:numId w:val="19"/>
        </w:numPr>
      </w:pPr>
      <w:r w:rsidRPr="00F560AE">
        <w:t xml:space="preserve">   2) </w:t>
      </w:r>
      <w:r>
        <w:t>W</w:t>
      </w:r>
      <w:r w:rsidRPr="00F560AE">
        <w:t>hole</w:t>
      </w:r>
      <w:r>
        <w:t>-</w:t>
      </w:r>
      <w:r w:rsidRPr="00F560AE">
        <w:t>body PSMA</w:t>
      </w:r>
      <w:r>
        <w:t xml:space="preserve"> </w:t>
      </w:r>
      <w:r w:rsidRPr="00F560AE">
        <w:t>positron emission tomography [PET]/computerised tomography [CT]</w:t>
      </w:r>
      <w:r>
        <w:t>.</w:t>
      </w:r>
    </w:p>
    <w:p w14:paraId="3A8A58E9" w14:textId="77777777" w:rsidR="00C7462B" w:rsidRDefault="00C7462B" w:rsidP="00C7462B">
      <w:r>
        <w:t xml:space="preserve">ESC noted that </w:t>
      </w:r>
      <w:r w:rsidRPr="00EC2008">
        <w:rPr>
          <w:vertAlign w:val="superscript"/>
        </w:rPr>
        <w:t>177</w:t>
      </w:r>
      <w:r w:rsidRPr="002541C7">
        <w:t xml:space="preserve">Lu PSMA </w:t>
      </w:r>
      <w:proofErr w:type="spellStart"/>
      <w:r w:rsidRPr="002541C7">
        <w:t>i&amp;t</w:t>
      </w:r>
      <w:proofErr w:type="spellEnd"/>
      <w:r w:rsidRPr="002541C7">
        <w:t xml:space="preserve"> is a targeted radionuclide radiotherapy that enters the cancer cell via the PSMA receptor, which is overexpressed in prostate cancer, with expression increasing in metastatic and castrate resistant disease. Therapy is intended for patients with progressive </w:t>
      </w:r>
      <w:proofErr w:type="spellStart"/>
      <w:r w:rsidRPr="00F560AE">
        <w:t>mCRPC</w:t>
      </w:r>
      <w:proofErr w:type="spellEnd"/>
      <w:r w:rsidRPr="002541C7">
        <w:t xml:space="preserve"> after the disease has progressed despite chemotherapy. </w:t>
      </w:r>
      <w:r>
        <w:t>Testing</w:t>
      </w:r>
      <w:r w:rsidRPr="002541C7">
        <w:t xml:space="preserve"> with PSMA PET</w:t>
      </w:r>
      <w:r>
        <w:t xml:space="preserve"> </w:t>
      </w:r>
      <w:r w:rsidRPr="002541C7">
        <w:t xml:space="preserve">and </w:t>
      </w:r>
      <w:r w:rsidRPr="00BE5A78">
        <w:t xml:space="preserve">fluorodeoxyglucose </w:t>
      </w:r>
      <w:r w:rsidRPr="002541C7">
        <w:t xml:space="preserve">PET determines if the patient has an adequate level of </w:t>
      </w:r>
      <w:r>
        <w:t xml:space="preserve">the </w:t>
      </w:r>
      <w:r w:rsidRPr="002541C7">
        <w:t xml:space="preserve">PSMA </w:t>
      </w:r>
      <w:r>
        <w:t>“</w:t>
      </w:r>
      <w:r w:rsidRPr="002541C7">
        <w:t>target</w:t>
      </w:r>
      <w:r>
        <w:t>”</w:t>
      </w:r>
      <w:r w:rsidRPr="002541C7">
        <w:t xml:space="preserve"> at all sites of measurable disease such that they will be expected to derive significant benefit from the treatment.</w:t>
      </w:r>
    </w:p>
    <w:p w14:paraId="6881A375" w14:textId="6D6B01D7" w:rsidR="00C7462B" w:rsidRDefault="00C7462B" w:rsidP="00C7462B">
      <w:r w:rsidRPr="00897841">
        <w:t>Th</w:t>
      </w:r>
      <w:r>
        <w:t xml:space="preserve">e previous </w:t>
      </w:r>
      <w:r w:rsidRPr="00897841">
        <w:t>application</w:t>
      </w:r>
      <w:r>
        <w:t xml:space="preserve"> (1686)</w:t>
      </w:r>
      <w:r w:rsidRPr="00897841">
        <w:t xml:space="preserve"> was </w:t>
      </w:r>
      <w:r>
        <w:t>considered</w:t>
      </w:r>
      <w:r w:rsidRPr="00897841">
        <w:t xml:space="preserve"> by MSAC at its July 2022 meeting</w:t>
      </w:r>
      <w:r>
        <w:t xml:space="preserve">. At that time, </w:t>
      </w:r>
      <w:r w:rsidRPr="00897841">
        <w:t>MSAC acknowledge</w:t>
      </w:r>
      <w:r>
        <w:t>d</w:t>
      </w:r>
      <w:r w:rsidRPr="00897841">
        <w:t xml:space="preserve"> the high clinical need for this population with advanced disease, and the consumer preference for </w:t>
      </w:r>
      <w:r w:rsidRPr="00897841">
        <w:rPr>
          <w:vertAlign w:val="superscript"/>
        </w:rPr>
        <w:t>177</w:t>
      </w:r>
      <w:r w:rsidRPr="00897841">
        <w:t xml:space="preserve">Lu PSMA therapy over its comparators </w:t>
      </w:r>
      <w:r>
        <w:t xml:space="preserve">of </w:t>
      </w:r>
      <w:r w:rsidRPr="00897841">
        <w:t xml:space="preserve">best supportive care and cabazitaxel. </w:t>
      </w:r>
      <w:r>
        <w:rPr>
          <w:szCs w:val="24"/>
        </w:rPr>
        <w:t xml:space="preserve">MSAC noted the limitations in the evidence comparing </w:t>
      </w:r>
      <w:r>
        <w:rPr>
          <w:szCs w:val="24"/>
          <w:vertAlign w:val="superscript"/>
        </w:rPr>
        <w:t>177</w:t>
      </w:r>
      <w:r>
        <w:rPr>
          <w:szCs w:val="24"/>
        </w:rPr>
        <w:t>Lu PSMA </w:t>
      </w:r>
      <w:proofErr w:type="spellStart"/>
      <w:r>
        <w:rPr>
          <w:szCs w:val="24"/>
        </w:rPr>
        <w:t>i&amp;t</w:t>
      </w:r>
      <w:proofErr w:type="spellEnd"/>
      <w:r>
        <w:rPr>
          <w:szCs w:val="24"/>
        </w:rPr>
        <w:t xml:space="preserve"> and </w:t>
      </w:r>
      <w:r>
        <w:rPr>
          <w:szCs w:val="24"/>
          <w:vertAlign w:val="superscript"/>
        </w:rPr>
        <w:t>177</w:t>
      </w:r>
      <w:r>
        <w:rPr>
          <w:szCs w:val="24"/>
        </w:rPr>
        <w:t xml:space="preserve">Lu PSMA-617 products but concluded from the evidence available that these two products are mutually noninferior and thus considered the evidence for </w:t>
      </w:r>
      <w:r>
        <w:rPr>
          <w:szCs w:val="24"/>
          <w:vertAlign w:val="superscript"/>
        </w:rPr>
        <w:t>177</w:t>
      </w:r>
      <w:r>
        <w:rPr>
          <w:szCs w:val="24"/>
        </w:rPr>
        <w:t xml:space="preserve">Lu PSMA-617 to be relevant for </w:t>
      </w:r>
      <w:r>
        <w:rPr>
          <w:szCs w:val="24"/>
          <w:vertAlign w:val="superscript"/>
        </w:rPr>
        <w:t>177</w:t>
      </w:r>
      <w:r>
        <w:rPr>
          <w:szCs w:val="24"/>
        </w:rPr>
        <w:t>Lu PSMA </w:t>
      </w:r>
      <w:proofErr w:type="spellStart"/>
      <w:r>
        <w:rPr>
          <w:szCs w:val="24"/>
        </w:rPr>
        <w:t>i&amp;t</w:t>
      </w:r>
      <w:proofErr w:type="spellEnd"/>
      <w:r>
        <w:rPr>
          <w:szCs w:val="24"/>
        </w:rPr>
        <w:t xml:space="preserve">. </w:t>
      </w:r>
      <w:r w:rsidRPr="00897841">
        <w:t xml:space="preserve">MSAC accepted the high certainty from the evidence that </w:t>
      </w:r>
      <w:r w:rsidRPr="00897841">
        <w:rPr>
          <w:vertAlign w:val="superscript"/>
        </w:rPr>
        <w:t>177</w:t>
      </w:r>
      <w:r w:rsidRPr="00897841">
        <w:t xml:space="preserve">Lu PSMA </w:t>
      </w:r>
      <w:proofErr w:type="spellStart"/>
      <w:r w:rsidRPr="00897841">
        <w:t>i&amp;t</w:t>
      </w:r>
      <w:proofErr w:type="spellEnd"/>
      <w:r>
        <w:t xml:space="preserve"> </w:t>
      </w:r>
      <w:r w:rsidRPr="00897841">
        <w:t>therapy is safe and effective but did not recommend listing as the incremental cost-effectiveness ratio (ICER) was too high and uncertain.</w:t>
      </w:r>
    </w:p>
    <w:p w14:paraId="50689DEA" w14:textId="77777777" w:rsidR="00C7462B" w:rsidRDefault="00C7462B" w:rsidP="00C7462B">
      <w:r w:rsidRPr="00323F3B">
        <w:t>ESC noted that the comparative safety and effectiveness were not reconsidered in this ADAR resubmission, rather the resubmission seeks to address the previous MSAC concerns related to the economic evaluation.</w:t>
      </w:r>
    </w:p>
    <w:p w14:paraId="587EEEC0" w14:textId="3D328520" w:rsidR="00C7462B" w:rsidRDefault="00C7462B" w:rsidP="00C7462B">
      <w:r>
        <w:t>ESC noted that t</w:t>
      </w:r>
      <w:r w:rsidRPr="00E50853">
        <w:t>he current ADAR differ</w:t>
      </w:r>
      <w:r>
        <w:t>ed</w:t>
      </w:r>
      <w:r w:rsidRPr="00E50853">
        <w:t xml:space="preserve"> from the previous ADAR in that it now proposes a two-step approach to treatment. Patients deemed eligible for </w:t>
      </w:r>
      <w:r w:rsidRPr="00AE6FDD">
        <w:rPr>
          <w:vertAlign w:val="superscript"/>
        </w:rPr>
        <w:t>177</w:t>
      </w:r>
      <w:r w:rsidRPr="00E50853">
        <w:t xml:space="preserve">Lu PSMA will receive an initial two cycles and will only continue treatment (up to four treatment cycles) if there is evidence by the second cycle that the treatment is effective for that patient. </w:t>
      </w:r>
      <w:r w:rsidRPr="002B0548">
        <w:t xml:space="preserve">The ADAR </w:t>
      </w:r>
      <w:r>
        <w:t>has proposed</w:t>
      </w:r>
      <w:r w:rsidRPr="002B0548">
        <w:t xml:space="preserve"> separate item descriptors for initial and continuing phases of treatment to ensure appropriate use of </w:t>
      </w:r>
      <w:r w:rsidRPr="00AE6FDD">
        <w:rPr>
          <w:vertAlign w:val="superscript"/>
        </w:rPr>
        <w:t>177</w:t>
      </w:r>
      <w:r w:rsidRPr="002B0548">
        <w:t>Lu</w:t>
      </w:r>
      <w:r w:rsidR="00C465AD">
        <w:t> </w:t>
      </w:r>
      <w:r w:rsidRPr="002B0548">
        <w:t>PSMA</w:t>
      </w:r>
      <w:r w:rsidR="00C465AD">
        <w:t> </w:t>
      </w:r>
      <w:proofErr w:type="spellStart"/>
      <w:r w:rsidR="00C465AD">
        <w:t>i&amp;t</w:t>
      </w:r>
      <w:proofErr w:type="spellEnd"/>
      <w:r w:rsidRPr="002B0548">
        <w:t xml:space="preserve"> in patients who continue to derive benefit from treatment.</w:t>
      </w:r>
      <w:r>
        <w:t xml:space="preserve"> ESC noted that the rationale for this approach is based on the results from the Re-SPECT study</w:t>
      </w:r>
      <w:r>
        <w:rPr>
          <w:rStyle w:val="FootnoteReference"/>
        </w:rPr>
        <w:footnoteReference w:id="4"/>
      </w:r>
      <w:r>
        <w:t xml:space="preserve">, which demonstrated that patients that had disease progression based on PSA rise or RECIST criteria after 2 doses of </w:t>
      </w:r>
      <w:r w:rsidRPr="00AE6FDD">
        <w:rPr>
          <w:vertAlign w:val="superscript"/>
        </w:rPr>
        <w:t>177</w:t>
      </w:r>
      <w:r w:rsidRPr="00E50853">
        <w:t>Lu PSMA</w:t>
      </w:r>
      <w:r>
        <w:t xml:space="preserve"> failed to derive a subsequent treatment response to additional </w:t>
      </w:r>
      <w:r w:rsidRPr="00AE6FDD">
        <w:rPr>
          <w:vertAlign w:val="superscript"/>
        </w:rPr>
        <w:t>177</w:t>
      </w:r>
      <w:r w:rsidRPr="00E50853">
        <w:t>Lu PSMA</w:t>
      </w:r>
      <w:r>
        <w:t xml:space="preserve"> treatment.  ESC considered it</w:t>
      </w:r>
      <w:r w:rsidRPr="00E627CC">
        <w:t xml:space="preserve"> reasonable </w:t>
      </w:r>
      <w:r>
        <w:t>that</w:t>
      </w:r>
      <w:r w:rsidRPr="00E627CC">
        <w:t xml:space="preserve"> a minimum of </w:t>
      </w:r>
      <w:r>
        <w:t>two</w:t>
      </w:r>
      <w:r w:rsidRPr="00E627CC">
        <w:t xml:space="preserve"> treatments would be required to determine if there was a therapeutic benefit.</w:t>
      </w:r>
      <w:r>
        <w:t xml:space="preserve"> However, ESC considered that the change of the intervention to a two-step approach to treatment based on the Re-SPECT study presumed comparative safety and effectiveness to that previously demonstrated based on the </w:t>
      </w:r>
      <w:r>
        <w:lastRenderedPageBreak/>
        <w:t xml:space="preserve">VISION and </w:t>
      </w:r>
      <w:proofErr w:type="spellStart"/>
      <w:r>
        <w:t>TheraP</w:t>
      </w:r>
      <w:proofErr w:type="spellEnd"/>
      <w:r>
        <w:t xml:space="preserve"> trials. MSAC may wish to consider whether this split is appropriate and limiting initial treatment to 2 cycles only is justified.</w:t>
      </w:r>
    </w:p>
    <w:p w14:paraId="189A264D" w14:textId="77777777" w:rsidR="00C7462B" w:rsidRDefault="00C7462B" w:rsidP="00C7462B">
      <w:r>
        <w:t>ESC noted that in the pre-ESC response the applicant proposed</w:t>
      </w:r>
      <w:r w:rsidRPr="00A147DA">
        <w:t xml:space="preserve"> the definition of disease progression in the item descriptor for continuing treatment should</w:t>
      </w:r>
      <w:r>
        <w:t xml:space="preserve"> </w:t>
      </w:r>
      <w:r w:rsidRPr="00A147DA">
        <w:t>be amended to “increase of serum PSA of at least 25% and at least 2 ng/mL after 12 weeks</w:t>
      </w:r>
      <w:r>
        <w:t>” and remove “and/or evidence of new soft tissue metastases on diagnostic CT as per RECIST criteria”</w:t>
      </w:r>
      <w:r w:rsidRPr="00A147DA" w:rsidDel="003439BC">
        <w:t xml:space="preserve">. </w:t>
      </w:r>
      <w:r>
        <w:t xml:space="preserve">ESC noted that the proposed item descriptor only refers to progression in terms of new lesions, without </w:t>
      </w:r>
      <w:proofErr w:type="gramStart"/>
      <w:r>
        <w:t>making reference</w:t>
      </w:r>
      <w:proofErr w:type="gramEnd"/>
      <w:r>
        <w:t xml:space="preserve"> to existing lesions or including the assessment of existing soft tissue lesions (in addition to new soft tissue metastases), histology or bone lesion progression. ESC noted that collectively, although the clinical guidelines recommend </w:t>
      </w:r>
      <w:r w:rsidRPr="005C7DCD">
        <w:t>a variety of investigative tools (CT, bone scans, ultrasound, etc) to assess progression</w:t>
      </w:r>
      <w:r>
        <w:t>,</w:t>
      </w:r>
      <w:r w:rsidRPr="005C7DCD">
        <w:t xml:space="preserve"> all include reference to existing lesions to determine whether they are growing significantly</w:t>
      </w:r>
      <w:r>
        <w:t>. The p</w:t>
      </w:r>
      <w:r w:rsidRPr="001F1713">
        <w:t xml:space="preserve">re-ESC </w:t>
      </w:r>
      <w:r>
        <w:t>r</w:t>
      </w:r>
      <w:r w:rsidRPr="001F1713">
        <w:t>esponse</w:t>
      </w:r>
      <w:r>
        <w:t xml:space="preserve"> agreed that the </w:t>
      </w:r>
      <w:r w:rsidRPr="001F1713">
        <w:t xml:space="preserve">RECIST criteria is widely adopted in clinical trials </w:t>
      </w:r>
      <w:r>
        <w:t>but</w:t>
      </w:r>
      <w:r w:rsidRPr="001F1713">
        <w:t xml:space="preserve"> its use for determining soft tissue metastases is less common in clinical practice</w:t>
      </w:r>
      <w:r>
        <w:t>, and thus considered it clinically appropriate to omit the reference to RECIST criteria if deemed appropriate by MSAC</w:t>
      </w:r>
      <w:r w:rsidRPr="001F1713">
        <w:t>.</w:t>
      </w:r>
      <w:r>
        <w:t xml:space="preserve"> ESC queried whether the RECIP 1.0 might be the more appropriate criteria to define disease progression,</w:t>
      </w:r>
      <w:r w:rsidDel="00790AD9">
        <w:t xml:space="preserve"> </w:t>
      </w:r>
      <w:r>
        <w:t xml:space="preserve">and whether additional investigations may be required to assess disease progression, for example to assess existing soft tissue lesions and bone lesion progression. The applicant’s pre-ESC response considered including additional criteria to the item descriptor for continuing treatment would be too prescriptive and restrictive and requiring additional tests would significantly increase the cost of </w:t>
      </w:r>
      <w:r w:rsidRPr="00AE6FDD">
        <w:rPr>
          <w:vertAlign w:val="superscript"/>
        </w:rPr>
        <w:t>177</w:t>
      </w:r>
      <w:r w:rsidRPr="00E50853">
        <w:t>Lu PSMA</w:t>
      </w:r>
      <w:r>
        <w:t xml:space="preserve"> treatment. ESC requested MSAC consider whether the item descriptor should be expanded to include further assessment of disease progression, for example through assessment of existing soft tissue lesions and bone lesion progression. MSAC may also wish to consider whether additional investigations,</w:t>
      </w:r>
      <w:r w:rsidRPr="002004C9">
        <w:t xml:space="preserve"> </w:t>
      </w:r>
      <w:r>
        <w:t>apart from PSA and CT as suggested by the applicant,</w:t>
      </w:r>
      <w:r w:rsidRPr="001F1713">
        <w:t xml:space="preserve"> are </w:t>
      </w:r>
      <w:r>
        <w:t>required</w:t>
      </w:r>
      <w:r w:rsidRPr="001F1713">
        <w:t xml:space="preserve"> to determine continuation of treatment</w:t>
      </w:r>
      <w:r>
        <w:t>.</w:t>
      </w:r>
    </w:p>
    <w:p w14:paraId="6CBC16AF" w14:textId="3EEF68FC" w:rsidR="00C7462B" w:rsidRDefault="00C7462B" w:rsidP="00C7462B">
      <w:r>
        <w:t xml:space="preserve">ESC noted that there is lack of clarity in the item descriptor regarding when patients should be assessed for response or disease progression. Although the item descriptor for initial treatment includes </w:t>
      </w:r>
      <w:r w:rsidRPr="00FD06D9">
        <w:rPr>
          <w:rFonts w:eastAsia="Calibri" w:cs="Calibri"/>
          <w:vertAlign w:val="superscript"/>
        </w:rPr>
        <w:t>177</w:t>
      </w:r>
      <w:r w:rsidRPr="00FD06D9">
        <w:rPr>
          <w:rFonts w:eastAsia="Calibri" w:cs="Calibri"/>
        </w:rPr>
        <w:t>Lu</w:t>
      </w:r>
      <w:r w:rsidR="003F7E27">
        <w:rPr>
          <w:rFonts w:eastAsia="Calibri" w:cs="Calibri"/>
        </w:rPr>
        <w:t> </w:t>
      </w:r>
      <w:r w:rsidRPr="00FD06D9">
        <w:rPr>
          <w:rFonts w:eastAsia="Calibri" w:cs="Calibri"/>
        </w:rPr>
        <w:t>PSMA SPECT/CT</w:t>
      </w:r>
      <w:r>
        <w:rPr>
          <w:rFonts w:eastAsia="Calibri" w:cs="Calibri"/>
        </w:rPr>
        <w:t xml:space="preserve"> after each treatment dose,</w:t>
      </w:r>
      <w:r w:rsidRPr="00FD06D9">
        <w:rPr>
          <w:rFonts w:eastAsia="Calibri" w:cs="Calibri"/>
        </w:rPr>
        <w:t xml:space="preserve"> </w:t>
      </w:r>
      <w:r>
        <w:t>the frequency and timing of other tests to assess disease progression (</w:t>
      </w:r>
      <w:proofErr w:type="spellStart"/>
      <w:r>
        <w:t>eg.</w:t>
      </w:r>
      <w:proofErr w:type="spellEnd"/>
      <w:r>
        <w:t xml:space="preserve"> PSA) are not detailed. It is unclear if the assessment of response would occur after each treatment dose or only after the second dose, when decisions regarding continuing treatment are made. ESC noted it was unclear if patients would be assessed immediately after the first (</w:t>
      </w:r>
      <w:proofErr w:type="gramStart"/>
      <w:r>
        <w:t>i.e.</w:t>
      </w:r>
      <w:proofErr w:type="gramEnd"/>
      <w:r>
        <w:t xml:space="preserve"> week 0) or second dose (i.e. at 6 weeks after the first dose) or just prior to the subsequent dose (i.e. for doses 2 and/or 3 at 6 and/or 12 weeks after the first dose) to determine response. MSAC may wish to consider the most appropriate intervals for the timing and frequency of assessment tests.</w:t>
      </w:r>
    </w:p>
    <w:p w14:paraId="06BF390E" w14:textId="77777777" w:rsidR="00C7462B" w:rsidRDefault="00C7462B" w:rsidP="00C7462B">
      <w:r>
        <w:t xml:space="preserve">ESC noted that the Re-SPECT study included a cohort of men (35% of the total study population) who demonstrated an early and marked improvement following treatment, based on their </w:t>
      </w:r>
      <w:proofErr w:type="gramStart"/>
      <w:r>
        <w:t>6 week</w:t>
      </w:r>
      <w:proofErr w:type="gramEnd"/>
      <w:r>
        <w:t xml:space="preserve"> SPECT/CT and PSA response. They were able to have a break in treatment (a “treatment holiday”), of median 6.1 months (interquartile range [</w:t>
      </w:r>
      <w:r w:rsidRPr="00BD65DF">
        <w:t>IQR</w:t>
      </w:r>
      <w:r>
        <w:t>]</w:t>
      </w:r>
      <w:r w:rsidRPr="00BD65DF">
        <w:t xml:space="preserve"> 3.4</w:t>
      </w:r>
      <w:r>
        <w:t xml:space="preserve">, </w:t>
      </w:r>
      <w:r w:rsidRPr="00BD65DF">
        <w:t>8.7)</w:t>
      </w:r>
      <w:r>
        <w:t>, and continued to demonstrate a longer time to disease progression and overall survival. Re-treatment occurred at first subsequent rise in PSA. ESC noted these patients may benefit from improved quality of life due to reduced exposure to the adverse effects of treatment and this approach may lead to lower costs associated with reduced utilisation of the intervention and thus possibly improved cost-effectiveness. However, ESC considered it unclear if there was enough evidence to support “treatment holidays”. ESC considered it unclear if the proposed items should allow for “treatment holidays” for patients who demonstrate an early and favourable response to treatment.</w:t>
      </w:r>
    </w:p>
    <w:p w14:paraId="70FC7CC3" w14:textId="433C853D" w:rsidR="00C7462B" w:rsidRDefault="00C7462B" w:rsidP="00C7462B">
      <w:r>
        <w:t xml:space="preserve">ESC noted that the proposed fee for </w:t>
      </w:r>
      <w:r w:rsidRPr="00AE6FDD">
        <w:rPr>
          <w:vertAlign w:val="superscript"/>
        </w:rPr>
        <w:t>177</w:t>
      </w:r>
      <w:r>
        <w:t>Lu</w:t>
      </w:r>
      <w:r w:rsidR="003F7E27">
        <w:t> </w:t>
      </w:r>
      <w:r>
        <w:t>PSMA</w:t>
      </w:r>
      <w:r w:rsidR="003F7E27">
        <w:t> </w:t>
      </w:r>
      <w:proofErr w:type="spellStart"/>
      <w:r w:rsidR="003F7E27">
        <w:t>i</w:t>
      </w:r>
      <w:r w:rsidR="000650EC">
        <w:t>&amp;</w:t>
      </w:r>
      <w:r w:rsidR="003F7E27">
        <w:t>t</w:t>
      </w:r>
      <w:proofErr w:type="spellEnd"/>
      <w:r>
        <w:t xml:space="preserve"> remains unchanged from the previous ADAR at $8,000 per dose, which includes a whole-body Lu</w:t>
      </w:r>
      <w:r w:rsidR="003F7E27">
        <w:t> </w:t>
      </w:r>
      <w:r>
        <w:t>PSMA single-photon emission computed tomography (SPECT) 24 hours following each treatment.</w:t>
      </w:r>
    </w:p>
    <w:p w14:paraId="214B4B43" w14:textId="77777777" w:rsidR="00C7462B" w:rsidRDefault="00C7462B" w:rsidP="00C7462B">
      <w:r>
        <w:lastRenderedPageBreak/>
        <w:t xml:space="preserve">ESC noted that consultation feedback was received from a single consumer group, who were supportive of the application. They stated that the benefits of the proposed treatment would be to provide accessible and affordable options for patients with few or no other treatments available, and to allow people with </w:t>
      </w:r>
      <w:proofErr w:type="spellStart"/>
      <w:r>
        <w:t>mCRPC</w:t>
      </w:r>
      <w:proofErr w:type="spellEnd"/>
      <w:r>
        <w:t xml:space="preserve"> to live longer at home </w:t>
      </w:r>
      <w:proofErr w:type="gramStart"/>
      <w:r>
        <w:t>and also</w:t>
      </w:r>
      <w:proofErr w:type="gramEnd"/>
      <w:r>
        <w:t xml:space="preserve"> buy them more time until another treatment may become available in the future.</w:t>
      </w:r>
    </w:p>
    <w:p w14:paraId="60931E15" w14:textId="7FD2E715" w:rsidR="00C7462B" w:rsidRDefault="00C7462B" w:rsidP="00C7462B">
      <w:pPr>
        <w:pStyle w:val="BulletLast"/>
        <w:ind w:left="0" w:firstLine="0"/>
      </w:pPr>
      <w:r>
        <w:t xml:space="preserve">ESC noted the economic model used the same partitioned survival model and a proportional hazards approach as in the previous ADAR. The cost-effectiveness analysis was updated </w:t>
      </w:r>
      <w:proofErr w:type="gramStart"/>
      <w:r>
        <w:t>taking into account</w:t>
      </w:r>
      <w:proofErr w:type="gramEnd"/>
      <w:r>
        <w:t xml:space="preserve"> some of the previous feedback from MSAC, the updated MBS items for therapy, further information on time to treatment (</w:t>
      </w:r>
      <w:proofErr w:type="spellStart"/>
      <w:r>
        <w:t>ToT</w:t>
      </w:r>
      <w:proofErr w:type="spellEnd"/>
      <w:r>
        <w:t xml:space="preserve">) and response to therapy, time horizon and comparator weighting. </w:t>
      </w:r>
      <w:r w:rsidRPr="00634278">
        <w:t xml:space="preserve">The base-case analysis in the current ADAR derived an ICER for </w:t>
      </w:r>
      <w:r w:rsidRPr="00B42633">
        <w:rPr>
          <w:vertAlign w:val="superscript"/>
        </w:rPr>
        <w:t>177</w:t>
      </w:r>
      <w:r w:rsidRPr="00634278">
        <w:t>Lu</w:t>
      </w:r>
      <w:r w:rsidR="003F7E27">
        <w:t> </w:t>
      </w:r>
      <w:r w:rsidRPr="00634278">
        <w:t>PSMA</w:t>
      </w:r>
      <w:r w:rsidR="003F7E27">
        <w:t> </w:t>
      </w:r>
      <w:proofErr w:type="spellStart"/>
      <w:r w:rsidR="003F7E27">
        <w:t>i&amp;t</w:t>
      </w:r>
      <w:proofErr w:type="spellEnd"/>
      <w:r w:rsidRPr="00634278">
        <w:t xml:space="preserve"> vs </w:t>
      </w:r>
      <w:proofErr w:type="spellStart"/>
      <w:r w:rsidRPr="00634278">
        <w:t>cabazitaxel</w:t>
      </w:r>
      <w:proofErr w:type="spellEnd"/>
      <w:r w:rsidRPr="00634278">
        <w:t>/</w:t>
      </w:r>
      <w:r w:rsidR="00D57305">
        <w:t>best supportive care</w:t>
      </w:r>
      <w:r w:rsidRPr="00634278">
        <w:t xml:space="preserve"> at $73,622</w:t>
      </w:r>
      <w:r>
        <w:t xml:space="preserve"> per quality-adjusted life-year (</w:t>
      </w:r>
      <w:r w:rsidRPr="00634278">
        <w:t>QALY</w:t>
      </w:r>
      <w:r>
        <w:t>)</w:t>
      </w:r>
      <w:r w:rsidRPr="00634278">
        <w:t>.</w:t>
      </w:r>
      <w:r>
        <w:t xml:space="preserve"> ESC noted t</w:t>
      </w:r>
      <w:r w:rsidRPr="00634278">
        <w:t xml:space="preserve">he </w:t>
      </w:r>
      <w:r>
        <w:t>progression-free survival (</w:t>
      </w:r>
      <w:r w:rsidRPr="00634278">
        <w:t>PFS</w:t>
      </w:r>
      <w:r>
        <w:t>)</w:t>
      </w:r>
      <w:r w:rsidRPr="00634278">
        <w:t xml:space="preserve"> data (referred to as </w:t>
      </w:r>
      <w:proofErr w:type="spellStart"/>
      <w:r>
        <w:t>ToT</w:t>
      </w:r>
      <w:proofErr w:type="spellEnd"/>
      <w:r>
        <w:t>)</w:t>
      </w:r>
      <w:r w:rsidRPr="00634278">
        <w:t xml:space="preserve"> from the </w:t>
      </w:r>
      <w:proofErr w:type="spellStart"/>
      <w:r w:rsidRPr="00634278">
        <w:t>TheraP</w:t>
      </w:r>
      <w:proofErr w:type="spellEnd"/>
      <w:r w:rsidRPr="00634278">
        <w:t xml:space="preserve"> trial used exclusively for </w:t>
      </w:r>
      <w:r w:rsidRPr="00B42633">
        <w:rPr>
          <w:vertAlign w:val="superscript"/>
        </w:rPr>
        <w:t>177</w:t>
      </w:r>
      <w:r w:rsidRPr="00634278">
        <w:t>Lu</w:t>
      </w:r>
      <w:r w:rsidR="001B52E5">
        <w:t> </w:t>
      </w:r>
      <w:r w:rsidRPr="00634278">
        <w:t>PSMA</w:t>
      </w:r>
      <w:r w:rsidR="001B52E5">
        <w:t> </w:t>
      </w:r>
      <w:proofErr w:type="spellStart"/>
      <w:r w:rsidR="001B52E5">
        <w:t>i&amp;t</w:t>
      </w:r>
      <w:proofErr w:type="spellEnd"/>
      <w:r w:rsidRPr="00634278">
        <w:t xml:space="preserve"> treatment costing proved to be a major driver for the lower ICER estimate in the ADAR</w:t>
      </w:r>
      <w:r>
        <w:t xml:space="preserve"> compared to the previous ICER of $81,653/QALY.</w:t>
      </w:r>
      <w:r w:rsidRPr="00634278">
        <w:t xml:space="preserve"> The second largest contributor was the new treatment-specific utility values.</w:t>
      </w:r>
    </w:p>
    <w:p w14:paraId="06F5F62E" w14:textId="77777777" w:rsidR="00C7462B" w:rsidRDefault="00C7462B" w:rsidP="00C7462B">
      <w:pPr>
        <w:pStyle w:val="NormalBeforeBullet0"/>
      </w:pPr>
      <w:r>
        <w:t>ESC noted the additional one-way sensitivity analyses presented in the commentary:</w:t>
      </w:r>
    </w:p>
    <w:p w14:paraId="24F2016E" w14:textId="77777777" w:rsidR="00C7462B" w:rsidRPr="00381B34" w:rsidRDefault="00C7462B" w:rsidP="00C7462B">
      <w:pPr>
        <w:pStyle w:val="Bullet"/>
        <w:numPr>
          <w:ilvl w:val="0"/>
          <w:numId w:val="19"/>
        </w:numPr>
        <w:spacing w:before="0"/>
        <w:rPr>
          <w:rFonts w:ascii="Franklin Gothic Book" w:hAnsi="Franklin Gothic Book"/>
        </w:rPr>
      </w:pPr>
      <w:r w:rsidRPr="00381B34">
        <w:rPr>
          <w:rFonts w:ascii="Franklin Gothic Book" w:hAnsi="Franklin Gothic Book"/>
        </w:rPr>
        <w:t>The time horizon was set at 5 years, as suggested by MSAC</w:t>
      </w:r>
      <w:r>
        <w:rPr>
          <w:rFonts w:ascii="Franklin Gothic Book" w:hAnsi="Franklin Gothic Book"/>
        </w:rPr>
        <w:t xml:space="preserve"> previously</w:t>
      </w:r>
      <w:r w:rsidRPr="00381B34">
        <w:rPr>
          <w:rFonts w:ascii="Franklin Gothic Book" w:hAnsi="Franklin Gothic Book"/>
        </w:rPr>
        <w:t>.</w:t>
      </w:r>
    </w:p>
    <w:p w14:paraId="732D8DB5" w14:textId="58F802E5" w:rsidR="00C7462B" w:rsidRPr="00381B34" w:rsidRDefault="00C7462B" w:rsidP="00C7462B">
      <w:pPr>
        <w:pStyle w:val="Bullet"/>
        <w:numPr>
          <w:ilvl w:val="0"/>
          <w:numId w:val="19"/>
        </w:numPr>
        <w:spacing w:before="0"/>
        <w:rPr>
          <w:rFonts w:ascii="Franklin Gothic Book" w:hAnsi="Franklin Gothic Book"/>
        </w:rPr>
      </w:pPr>
      <w:r w:rsidRPr="00381B34">
        <w:rPr>
          <w:rFonts w:ascii="Franklin Gothic Book" w:hAnsi="Franklin Gothic Book"/>
        </w:rPr>
        <w:t xml:space="preserve">The cost of </w:t>
      </w:r>
      <w:r w:rsidRPr="00381B34">
        <w:rPr>
          <w:rFonts w:ascii="Franklin Gothic Book" w:hAnsi="Franklin Gothic Book"/>
          <w:vertAlign w:val="superscript"/>
        </w:rPr>
        <w:t>177</w:t>
      </w:r>
      <w:r w:rsidRPr="00381B34">
        <w:rPr>
          <w:rFonts w:ascii="Franklin Gothic Book" w:hAnsi="Franklin Gothic Book"/>
        </w:rPr>
        <w:t>Lu</w:t>
      </w:r>
      <w:r w:rsidR="001B52E5">
        <w:rPr>
          <w:rFonts w:ascii="Franklin Gothic Book" w:hAnsi="Franklin Gothic Book"/>
        </w:rPr>
        <w:t> </w:t>
      </w:r>
      <w:r w:rsidRPr="00381B34">
        <w:rPr>
          <w:rFonts w:ascii="Franklin Gothic Book" w:hAnsi="Franklin Gothic Book"/>
        </w:rPr>
        <w:t>PSMA</w:t>
      </w:r>
      <w:r w:rsidR="001B52E5">
        <w:rPr>
          <w:rFonts w:ascii="Franklin Gothic Book" w:hAnsi="Franklin Gothic Book"/>
        </w:rPr>
        <w:t> </w:t>
      </w:r>
      <w:proofErr w:type="spellStart"/>
      <w:r w:rsidR="001B52E5">
        <w:rPr>
          <w:rFonts w:ascii="Franklin Gothic Book" w:hAnsi="Franklin Gothic Book"/>
        </w:rPr>
        <w:t>i&amp;t</w:t>
      </w:r>
      <w:proofErr w:type="spellEnd"/>
      <w:r w:rsidRPr="00381B34">
        <w:rPr>
          <w:rFonts w:ascii="Franklin Gothic Book" w:hAnsi="Franklin Gothic Book"/>
        </w:rPr>
        <w:t xml:space="preserve"> treatment was recalculated</w:t>
      </w:r>
      <w:r>
        <w:rPr>
          <w:rFonts w:ascii="Franklin Gothic Book" w:hAnsi="Franklin Gothic Book"/>
        </w:rPr>
        <w:t xml:space="preserve"> using the </w:t>
      </w:r>
      <w:proofErr w:type="spellStart"/>
      <w:r>
        <w:rPr>
          <w:rFonts w:ascii="Franklin Gothic Book" w:hAnsi="Franklin Gothic Book"/>
        </w:rPr>
        <w:t>ToT</w:t>
      </w:r>
      <w:proofErr w:type="spellEnd"/>
      <w:r>
        <w:rPr>
          <w:rFonts w:ascii="Franklin Gothic Book" w:hAnsi="Franklin Gothic Book"/>
        </w:rPr>
        <w:t xml:space="preserve"> from the VISION trial data.</w:t>
      </w:r>
    </w:p>
    <w:p w14:paraId="35A25429" w14:textId="77777777" w:rsidR="00C7462B" w:rsidRDefault="00C7462B" w:rsidP="00C7462B">
      <w:pPr>
        <w:pStyle w:val="Bullet"/>
        <w:numPr>
          <w:ilvl w:val="0"/>
          <w:numId w:val="19"/>
        </w:numPr>
        <w:spacing w:before="0"/>
        <w:rPr>
          <w:rFonts w:ascii="Franklin Gothic Book" w:hAnsi="Franklin Gothic Book"/>
        </w:rPr>
      </w:pPr>
      <w:r w:rsidRPr="00381B34">
        <w:rPr>
          <w:rFonts w:ascii="Franklin Gothic Book" w:hAnsi="Franklin Gothic Book"/>
        </w:rPr>
        <w:t>The cost of pre-progression disease management was amended to include the costs of CT/bone scan administered every 12 weeks until radiological progression.</w:t>
      </w:r>
      <w:r>
        <w:rPr>
          <w:rFonts w:ascii="Franklin Gothic Book" w:hAnsi="Franklin Gothic Book"/>
        </w:rPr>
        <w:t xml:space="preserve"> ESC queried whether these are incremental costs associated with the intervention or already part of standard clinical practice. </w:t>
      </w:r>
      <w:r w:rsidRPr="00381B34">
        <w:rPr>
          <w:rFonts w:ascii="Franklin Gothic Book" w:hAnsi="Franklin Gothic Book"/>
        </w:rPr>
        <w:t xml:space="preserve">ESC </w:t>
      </w:r>
      <w:r>
        <w:rPr>
          <w:rFonts w:ascii="Franklin Gothic Book" w:hAnsi="Franklin Gothic Book"/>
        </w:rPr>
        <w:t>noted</w:t>
      </w:r>
      <w:r w:rsidRPr="00381B34">
        <w:rPr>
          <w:rFonts w:ascii="Franklin Gothic Book" w:hAnsi="Franklin Gothic Book"/>
        </w:rPr>
        <w:t xml:space="preserve"> the impact of including these costs on the ICER to be moderate.</w:t>
      </w:r>
    </w:p>
    <w:p w14:paraId="2F838907" w14:textId="48B11BD5" w:rsidR="00C7462B" w:rsidRDefault="00C7462B" w:rsidP="00C7462B">
      <w:pPr>
        <w:pStyle w:val="Bullet"/>
        <w:numPr>
          <w:ilvl w:val="0"/>
          <w:numId w:val="19"/>
        </w:numPr>
        <w:spacing w:before="0"/>
      </w:pPr>
      <w:r w:rsidRPr="00381B34">
        <w:rPr>
          <w:rFonts w:ascii="Franklin Gothic Book" w:hAnsi="Franklin Gothic Book"/>
        </w:rPr>
        <w:t xml:space="preserve">Assumptions about the treatment-specific utility values were reversed and the same utility value of 0.74 was used in the PFS health state in either </w:t>
      </w:r>
      <w:r w:rsidRPr="00381B34">
        <w:rPr>
          <w:rFonts w:ascii="Franklin Gothic Book" w:hAnsi="Franklin Gothic Book"/>
          <w:vertAlign w:val="superscript"/>
        </w:rPr>
        <w:t>177</w:t>
      </w:r>
      <w:r w:rsidRPr="00381B34">
        <w:rPr>
          <w:rFonts w:ascii="Franklin Gothic Book" w:hAnsi="Franklin Gothic Book"/>
        </w:rPr>
        <w:t>Lu</w:t>
      </w:r>
      <w:r w:rsidR="001B52E5">
        <w:rPr>
          <w:rFonts w:ascii="Franklin Gothic Book" w:hAnsi="Franklin Gothic Book"/>
        </w:rPr>
        <w:t> </w:t>
      </w:r>
      <w:r w:rsidRPr="00381B34">
        <w:rPr>
          <w:rFonts w:ascii="Franklin Gothic Book" w:hAnsi="Franklin Gothic Book"/>
        </w:rPr>
        <w:t>PSMA</w:t>
      </w:r>
      <w:r w:rsidR="001B52E5">
        <w:rPr>
          <w:rFonts w:ascii="Franklin Gothic Book" w:hAnsi="Franklin Gothic Book"/>
        </w:rPr>
        <w:t> </w:t>
      </w:r>
      <w:proofErr w:type="spellStart"/>
      <w:r w:rsidR="001B52E5">
        <w:rPr>
          <w:rFonts w:ascii="Franklin Gothic Book" w:hAnsi="Franklin Gothic Book"/>
        </w:rPr>
        <w:t>i</w:t>
      </w:r>
      <w:r w:rsidR="006058F4">
        <w:rPr>
          <w:rFonts w:ascii="Franklin Gothic Book" w:hAnsi="Franklin Gothic Book"/>
        </w:rPr>
        <w:t>&amp;t</w:t>
      </w:r>
      <w:proofErr w:type="spellEnd"/>
      <w:r w:rsidRPr="00381B34">
        <w:rPr>
          <w:rFonts w:ascii="Franklin Gothic Book" w:hAnsi="Franklin Gothic Book"/>
        </w:rPr>
        <w:t xml:space="preserve"> or </w:t>
      </w:r>
      <w:r w:rsidR="00103649">
        <w:rPr>
          <w:rFonts w:ascii="Franklin Gothic Book" w:hAnsi="Franklin Gothic Book"/>
        </w:rPr>
        <w:t xml:space="preserve">best supportive </w:t>
      </w:r>
      <w:proofErr w:type="spellStart"/>
      <w:r w:rsidR="00103649">
        <w:rPr>
          <w:rFonts w:ascii="Franklin Gothic Book" w:hAnsi="Franklin Gothic Book"/>
        </w:rPr>
        <w:t>care</w:t>
      </w:r>
      <w:r w:rsidRPr="00381B34">
        <w:rPr>
          <w:rFonts w:ascii="Franklin Gothic Book" w:hAnsi="Franklin Gothic Book"/>
        </w:rPr>
        <w:t>patients</w:t>
      </w:r>
      <w:proofErr w:type="spellEnd"/>
      <w:r w:rsidRPr="00381B34">
        <w:rPr>
          <w:rFonts w:ascii="Franklin Gothic Book" w:hAnsi="Franklin Gothic Book"/>
        </w:rPr>
        <w:t>. Cabazitaxel patients</w:t>
      </w:r>
      <w:r w:rsidR="00A63EA6">
        <w:rPr>
          <w:rFonts w:ascii="Franklin Gothic Book" w:hAnsi="Franklin Gothic Book"/>
        </w:rPr>
        <w:t xml:space="preserve"> </w:t>
      </w:r>
      <w:r w:rsidRPr="00381B34">
        <w:rPr>
          <w:rFonts w:ascii="Franklin Gothic Book" w:hAnsi="Franklin Gothic Book"/>
        </w:rPr>
        <w:t>attracted</w:t>
      </w:r>
      <w:r w:rsidR="00A63EA6">
        <w:rPr>
          <w:rFonts w:ascii="Franklin Gothic Book" w:hAnsi="Franklin Gothic Book"/>
        </w:rPr>
        <w:t xml:space="preserve"> a</w:t>
      </w:r>
      <w:r w:rsidRPr="00381B34">
        <w:rPr>
          <w:rFonts w:ascii="Franklin Gothic Book" w:hAnsi="Franklin Gothic Book"/>
        </w:rPr>
        <w:t xml:space="preserve"> disutility value of 0.04 that was supposed to reflect </w:t>
      </w:r>
      <w:r>
        <w:rPr>
          <w:rFonts w:ascii="Franklin Gothic Book" w:hAnsi="Franklin Gothic Book"/>
        </w:rPr>
        <w:t>higher</w:t>
      </w:r>
      <w:r w:rsidRPr="00381B34">
        <w:rPr>
          <w:rFonts w:ascii="Franklin Gothic Book" w:hAnsi="Franklin Gothic Book"/>
        </w:rPr>
        <w:t xml:space="preserve"> toxicity of the medication. Whether there is any double counting of </w:t>
      </w:r>
      <w:proofErr w:type="spellStart"/>
      <w:r w:rsidRPr="00381B34">
        <w:rPr>
          <w:rFonts w:ascii="Franklin Gothic Book" w:hAnsi="Franklin Gothic Book"/>
        </w:rPr>
        <w:t>disutilities</w:t>
      </w:r>
      <w:proofErr w:type="spellEnd"/>
      <w:r w:rsidRPr="00381B34">
        <w:rPr>
          <w:rFonts w:ascii="Franklin Gothic Book" w:hAnsi="Franklin Gothic Book"/>
        </w:rPr>
        <w:t xml:space="preserve"> of adverse events observed in cabazitaxel patients is uncertain. ESC considered that while a disutility for cabazitaxel was acceptable, </w:t>
      </w:r>
      <w:r>
        <w:rPr>
          <w:rFonts w:ascii="Franklin Gothic Book" w:hAnsi="Franklin Gothic Book"/>
        </w:rPr>
        <w:t>the assumed approach of applying</w:t>
      </w:r>
      <w:r w:rsidRPr="00381B34">
        <w:rPr>
          <w:rFonts w:ascii="Franklin Gothic Book" w:hAnsi="Franklin Gothic Book"/>
        </w:rPr>
        <w:t xml:space="preserve"> treatment</w:t>
      </w:r>
      <w:r>
        <w:rPr>
          <w:rFonts w:ascii="Franklin Gothic Book" w:hAnsi="Franklin Gothic Book"/>
        </w:rPr>
        <w:t>-</w:t>
      </w:r>
      <w:r w:rsidRPr="00381B34">
        <w:rPr>
          <w:rFonts w:ascii="Franklin Gothic Book" w:hAnsi="Franklin Gothic Book"/>
        </w:rPr>
        <w:t>specific utility values favoured the intervention</w:t>
      </w:r>
      <w:r>
        <w:rPr>
          <w:rFonts w:ascii="Franklin Gothic Book" w:hAnsi="Franklin Gothic Book"/>
        </w:rPr>
        <w:t xml:space="preserve">. </w:t>
      </w:r>
      <w:proofErr w:type="gramStart"/>
      <w:r>
        <w:rPr>
          <w:rFonts w:ascii="Franklin Gothic Book" w:hAnsi="Franklin Gothic Book"/>
        </w:rPr>
        <w:t>In particular, ESC</w:t>
      </w:r>
      <w:proofErr w:type="gramEnd"/>
      <w:r>
        <w:rPr>
          <w:rFonts w:ascii="Franklin Gothic Book" w:hAnsi="Franklin Gothic Book"/>
        </w:rPr>
        <w:t xml:space="preserve"> noted that applying the same utility values for </w:t>
      </w:r>
      <w:r w:rsidR="00D57305">
        <w:rPr>
          <w:rFonts w:ascii="Franklin Gothic Book" w:hAnsi="Franklin Gothic Book"/>
        </w:rPr>
        <w:t>best supportive care</w:t>
      </w:r>
      <w:r>
        <w:rPr>
          <w:rFonts w:ascii="Franklin Gothic Book" w:hAnsi="Franklin Gothic Book"/>
        </w:rPr>
        <w:t xml:space="preserve"> in the PFS and PD health states may not have been reasonable</w:t>
      </w:r>
      <w:r w:rsidRPr="00381B34">
        <w:rPr>
          <w:rFonts w:ascii="Franklin Gothic Book" w:hAnsi="Franklin Gothic Book"/>
        </w:rPr>
        <w:t>.</w:t>
      </w:r>
    </w:p>
    <w:p w14:paraId="642CAD1A" w14:textId="2DFBCD1E" w:rsidR="00C7462B" w:rsidRDefault="00C7462B" w:rsidP="00C7462B">
      <w:pPr>
        <w:pStyle w:val="BulletLast"/>
        <w:ind w:left="0" w:firstLine="0"/>
      </w:pPr>
      <w:r>
        <w:t xml:space="preserve">ESC noted the pre-ESC response acknowledged that modelling </w:t>
      </w:r>
      <w:r w:rsidRPr="00F971F6">
        <w:rPr>
          <w:vertAlign w:val="superscript"/>
        </w:rPr>
        <w:t>177</w:t>
      </w:r>
      <w:r w:rsidRPr="00F971F6">
        <w:t>Lu</w:t>
      </w:r>
      <w:r w:rsidR="006058F4">
        <w:t> </w:t>
      </w:r>
      <w:r w:rsidRPr="00F971F6">
        <w:t>PSMA</w:t>
      </w:r>
      <w:r w:rsidR="006058F4">
        <w:t> </w:t>
      </w:r>
      <w:proofErr w:type="spellStart"/>
      <w:r w:rsidR="006058F4">
        <w:t>i&amp;t</w:t>
      </w:r>
      <w:proofErr w:type="spellEnd"/>
      <w:r w:rsidRPr="00F971F6">
        <w:t xml:space="preserve"> treatment</w:t>
      </w:r>
      <w:r>
        <w:t xml:space="preserve"> costs using </w:t>
      </w:r>
      <w:proofErr w:type="spellStart"/>
      <w:r>
        <w:t>ToT</w:t>
      </w:r>
      <w:proofErr w:type="spellEnd"/>
      <w:r>
        <w:t xml:space="preserve"> based on </w:t>
      </w:r>
      <w:proofErr w:type="spellStart"/>
      <w:r>
        <w:t>TheraP</w:t>
      </w:r>
      <w:proofErr w:type="spellEnd"/>
      <w:r>
        <w:t xml:space="preserve"> data was inconsistent with the modelling of PFS and OS outcomes based on data from VISION.</w:t>
      </w:r>
      <w:r w:rsidRPr="00026225">
        <w:t xml:space="preserve"> </w:t>
      </w:r>
      <w:r>
        <w:t xml:space="preserve">The applicant claimed </w:t>
      </w:r>
      <w:r w:rsidRPr="00026225">
        <w:t xml:space="preserve">this approach </w:t>
      </w:r>
      <w:r>
        <w:t>to be</w:t>
      </w:r>
      <w:r w:rsidRPr="00026225">
        <w:t xml:space="preserve"> more reflective of the proposed use and expected </w:t>
      </w:r>
      <w:proofErr w:type="spellStart"/>
      <w:r w:rsidRPr="00026225">
        <w:t>ToT</w:t>
      </w:r>
      <w:proofErr w:type="spellEnd"/>
      <w:r w:rsidRPr="00026225">
        <w:t xml:space="preserve"> of </w:t>
      </w:r>
      <w:r w:rsidRPr="00A63EA6">
        <w:rPr>
          <w:vertAlign w:val="superscript"/>
        </w:rPr>
        <w:t>177</w:t>
      </w:r>
      <w:r w:rsidRPr="00026225">
        <w:t>Lu</w:t>
      </w:r>
      <w:r w:rsidR="006058F4">
        <w:t> </w:t>
      </w:r>
      <w:r w:rsidRPr="00026225">
        <w:t>PSMA</w:t>
      </w:r>
      <w:r w:rsidR="006058F4">
        <w:t> </w:t>
      </w:r>
      <w:proofErr w:type="spellStart"/>
      <w:r w:rsidR="006058F4">
        <w:t>i&amp;t</w:t>
      </w:r>
      <w:proofErr w:type="spellEnd"/>
      <w:r w:rsidRPr="00026225">
        <w:t xml:space="preserve"> in Australian clinical practice (given the alignment with the proposed continuation criteria </w:t>
      </w:r>
      <w:r>
        <w:t xml:space="preserve">in the </w:t>
      </w:r>
      <w:r w:rsidRPr="00026225">
        <w:t>item descriptor).</w:t>
      </w:r>
      <w:r>
        <w:t xml:space="preserve"> ESC considered that the use of different trial data for determination of PFS benefits and costs favoured the intervention and was a key source of uncertainty.</w:t>
      </w:r>
    </w:p>
    <w:p w14:paraId="20F9BD4D" w14:textId="2FF8B68A" w:rsidR="00C7462B" w:rsidRDefault="00C7462B" w:rsidP="00C7462B">
      <w:pPr>
        <w:pStyle w:val="BulletLast"/>
        <w:ind w:left="0" w:firstLine="0"/>
      </w:pPr>
      <w:r>
        <w:t xml:space="preserve">ESC noted that pre-ESC response justified the </w:t>
      </w:r>
      <w:proofErr w:type="gramStart"/>
      <w:r>
        <w:t>7.5 year</w:t>
      </w:r>
      <w:proofErr w:type="gramEnd"/>
      <w:r>
        <w:t xml:space="preserve"> time horizon based on </w:t>
      </w:r>
      <w:r w:rsidRPr="002725F8">
        <w:t>the</w:t>
      </w:r>
      <w:r>
        <w:t xml:space="preserve"> interpretation that a</w:t>
      </w:r>
      <w:r w:rsidRPr="002725F8">
        <w:t xml:space="preserve"> plateau</w:t>
      </w:r>
      <w:r>
        <w:t xml:space="preserve"> was reached</w:t>
      </w:r>
      <w:r w:rsidRPr="002725F8">
        <w:t xml:space="preserve"> (for </w:t>
      </w:r>
      <w:r w:rsidRPr="00B42633">
        <w:rPr>
          <w:vertAlign w:val="superscript"/>
        </w:rPr>
        <w:t>177</w:t>
      </w:r>
      <w:r>
        <w:t>Lu</w:t>
      </w:r>
      <w:r w:rsidR="003B6F1C">
        <w:t> </w:t>
      </w:r>
      <w:r>
        <w:t>PSMA</w:t>
      </w:r>
      <w:r w:rsidR="00241230">
        <w:t>-617</w:t>
      </w:r>
      <w:r w:rsidRPr="002725F8">
        <w:t xml:space="preserve">) in OS reported in </w:t>
      </w:r>
      <w:proofErr w:type="spellStart"/>
      <w:r w:rsidRPr="002725F8">
        <w:t>LuPIN</w:t>
      </w:r>
      <w:proofErr w:type="spellEnd"/>
      <w:r w:rsidRPr="002725F8">
        <w:t xml:space="preserve">, </w:t>
      </w:r>
      <w:proofErr w:type="spellStart"/>
      <w:r w:rsidRPr="002725F8">
        <w:t>TheraP</w:t>
      </w:r>
      <w:proofErr w:type="spellEnd"/>
      <w:r w:rsidRPr="002725F8">
        <w:t xml:space="preserve"> and VISION as well as the comparatively more mature data for </w:t>
      </w:r>
      <w:proofErr w:type="spellStart"/>
      <w:r w:rsidRPr="002725F8">
        <w:t>TheraP</w:t>
      </w:r>
      <w:proofErr w:type="spellEnd"/>
      <w:r w:rsidRPr="002725F8">
        <w:t xml:space="preserve"> compared to </w:t>
      </w:r>
      <w:proofErr w:type="spellStart"/>
      <w:r w:rsidRPr="002725F8">
        <w:t>PROfound</w:t>
      </w:r>
      <w:proofErr w:type="spellEnd"/>
      <w:r w:rsidRPr="002725F8">
        <w:t xml:space="preserve"> (</w:t>
      </w:r>
      <w:proofErr w:type="spellStart"/>
      <w:r w:rsidRPr="002725F8">
        <w:t>olaparib</w:t>
      </w:r>
      <w:proofErr w:type="spellEnd"/>
      <w:r w:rsidRPr="002725F8">
        <w:t xml:space="preserve">) where a 7.5-year time horizon was </w:t>
      </w:r>
      <w:r>
        <w:t>considered</w:t>
      </w:r>
      <w:r w:rsidRPr="002725F8">
        <w:t xml:space="preserve"> by PBAC</w:t>
      </w:r>
      <w:r>
        <w:t xml:space="preserve"> (Olaparib PSD, November 2021)</w:t>
      </w:r>
      <w:r>
        <w:rPr>
          <w:rStyle w:val="FootnoteReference"/>
        </w:rPr>
        <w:footnoteReference w:id="5"/>
      </w:r>
      <w:r>
        <w:t xml:space="preserve">. ESC considered that the interpretation of reaching the plateau may not have been justified given that low remaining numbers at risk were a source of substantial uncertainty. ESC considered the change in time horizon was more material in the current submission than in the case of Olaparib, </w:t>
      </w:r>
      <w:r>
        <w:lastRenderedPageBreak/>
        <w:t>noting that reducing the horizon to 5 years has a moderate impact on the base-case ICER. While agreeing with the MSAC’s preference for a 5-year horizon, ESC noted that in practice both horizons could be taken into consideration.</w:t>
      </w:r>
    </w:p>
    <w:p w14:paraId="27DFFA4E" w14:textId="77777777" w:rsidR="00C7462B" w:rsidRDefault="00C7462B" w:rsidP="00C7462B">
      <w:pPr>
        <w:pStyle w:val="BulletBeforeDash"/>
        <w:numPr>
          <w:ilvl w:val="0"/>
          <w:numId w:val="0"/>
        </w:numPr>
      </w:pPr>
      <w:r>
        <w:t>ESC noted that the m</w:t>
      </w:r>
      <w:r w:rsidRPr="00634278">
        <w:t>ultivariate sensitivity analys</w:t>
      </w:r>
      <w:r>
        <w:t>is conducted by the commentary</w:t>
      </w:r>
      <w:r w:rsidRPr="00634278">
        <w:t xml:space="preserve"> resulted in an ICER of $126,623/QALY</w:t>
      </w:r>
      <w:r>
        <w:t xml:space="preserve"> and considered that this may represent a conservative case. ESC noted </w:t>
      </w:r>
      <w:r w:rsidRPr="00D938BB">
        <w:t xml:space="preserve">the </w:t>
      </w:r>
      <w:r>
        <w:t>a</w:t>
      </w:r>
      <w:r w:rsidRPr="00D938BB">
        <w:t>pplicant</w:t>
      </w:r>
      <w:r>
        <w:t xml:space="preserve">’s view expressed in the pre-ESC response that </w:t>
      </w:r>
      <w:r w:rsidRPr="00D938BB">
        <w:t xml:space="preserve">the combined multivariate </w:t>
      </w:r>
      <w:r>
        <w:t>sensitivity analysis presented by the commentary</w:t>
      </w:r>
      <w:r w:rsidRPr="00D938BB">
        <w:t xml:space="preserve"> represent</w:t>
      </w:r>
      <w:r>
        <w:t>ed</w:t>
      </w:r>
      <w:r w:rsidRPr="00D938BB">
        <w:t xml:space="preserve"> a highly implausible scenario</w:t>
      </w:r>
      <w:r>
        <w:t xml:space="preserve"> that was not reflective of the proposed listing in Australian clinical practice.</w:t>
      </w:r>
    </w:p>
    <w:p w14:paraId="5692592D" w14:textId="77777777" w:rsidR="00C7462B" w:rsidRDefault="00C7462B" w:rsidP="00C7462B">
      <w:r>
        <w:t>ESC noted that although some of the previous sources of uncertainty had been addressed, new sources of uncertainty have been introduced. Overall, ESC considered the ICER remained uncertain and was likely to be higher than the base-case estimate.</w:t>
      </w:r>
    </w:p>
    <w:p w14:paraId="47740131" w14:textId="77777777" w:rsidR="00C7462B" w:rsidRDefault="00C7462B" w:rsidP="00C7462B">
      <w:pPr>
        <w:pStyle w:val="NormalBeforeBullet0"/>
      </w:pPr>
      <w:r>
        <w:t>ESC noted that the financial implications in the current ADAR use the same approach as that used in the previous ADAR, with some changes:</w:t>
      </w:r>
    </w:p>
    <w:p w14:paraId="485E9994" w14:textId="77777777" w:rsidR="00C7462B" w:rsidRPr="00381B34" w:rsidRDefault="00C7462B" w:rsidP="00C7462B">
      <w:pPr>
        <w:pStyle w:val="Bullet"/>
        <w:numPr>
          <w:ilvl w:val="0"/>
          <w:numId w:val="19"/>
        </w:numPr>
        <w:spacing w:before="0"/>
        <w:rPr>
          <w:rFonts w:ascii="Franklin Gothic Book" w:hAnsi="Franklin Gothic Book"/>
        </w:rPr>
      </w:pPr>
      <w:r w:rsidRPr="00381B34">
        <w:rPr>
          <w:rFonts w:ascii="Franklin Gothic Book" w:hAnsi="Franklin Gothic Book"/>
        </w:rPr>
        <w:t xml:space="preserve">the estimated population has been updated to commence in </w:t>
      </w:r>
      <w:proofErr w:type="gramStart"/>
      <w:r w:rsidRPr="00381B34">
        <w:rPr>
          <w:rFonts w:ascii="Franklin Gothic Book" w:hAnsi="Franklin Gothic Book"/>
        </w:rPr>
        <w:t>2023</w:t>
      </w:r>
      <w:proofErr w:type="gramEnd"/>
    </w:p>
    <w:p w14:paraId="7036A85E" w14:textId="77777777" w:rsidR="00C7462B" w:rsidRPr="00381B34" w:rsidRDefault="00C7462B" w:rsidP="00C7462B">
      <w:pPr>
        <w:pStyle w:val="Bullet"/>
        <w:numPr>
          <w:ilvl w:val="0"/>
          <w:numId w:val="19"/>
        </w:numPr>
        <w:spacing w:before="0"/>
        <w:rPr>
          <w:rFonts w:ascii="Franklin Gothic Book" w:hAnsi="Franklin Gothic Book"/>
        </w:rPr>
      </w:pPr>
      <w:r w:rsidRPr="00381B34">
        <w:rPr>
          <w:rFonts w:ascii="Franklin Gothic Book" w:hAnsi="Franklin Gothic Book"/>
        </w:rPr>
        <w:t xml:space="preserve">the proportion of patients otherwise treated with cabazitaxel has been changed to 25% from 75% in the previous </w:t>
      </w:r>
      <w:proofErr w:type="gramStart"/>
      <w:r w:rsidRPr="00381B34">
        <w:rPr>
          <w:rFonts w:ascii="Franklin Gothic Book" w:hAnsi="Franklin Gothic Book"/>
        </w:rPr>
        <w:t>ADAR</w:t>
      </w:r>
      <w:proofErr w:type="gramEnd"/>
    </w:p>
    <w:p w14:paraId="7BE603AC" w14:textId="737FA046" w:rsidR="00C7462B" w:rsidRPr="00381B34" w:rsidRDefault="00C7462B" w:rsidP="00C7462B">
      <w:pPr>
        <w:pStyle w:val="Bullet"/>
        <w:numPr>
          <w:ilvl w:val="0"/>
          <w:numId w:val="19"/>
        </w:numPr>
        <w:spacing w:before="0"/>
        <w:rPr>
          <w:rFonts w:ascii="Franklin Gothic Book" w:hAnsi="Franklin Gothic Book"/>
        </w:rPr>
      </w:pPr>
      <w:r w:rsidRPr="00381B34">
        <w:rPr>
          <w:rFonts w:ascii="Franklin Gothic Book" w:hAnsi="Franklin Gothic Book"/>
        </w:rPr>
        <w:t xml:space="preserve">average number of </w:t>
      </w:r>
      <w:r w:rsidRPr="00381B34">
        <w:rPr>
          <w:rFonts w:ascii="Franklin Gothic Book" w:hAnsi="Franklin Gothic Book"/>
          <w:vertAlign w:val="superscript"/>
        </w:rPr>
        <w:t>177</w:t>
      </w:r>
      <w:r w:rsidRPr="00381B34">
        <w:rPr>
          <w:rFonts w:ascii="Franklin Gothic Book" w:hAnsi="Franklin Gothic Book"/>
        </w:rPr>
        <w:t>Lu</w:t>
      </w:r>
      <w:r w:rsidR="00EC3611">
        <w:rPr>
          <w:rFonts w:ascii="Franklin Gothic Book" w:hAnsi="Franklin Gothic Book"/>
        </w:rPr>
        <w:t> </w:t>
      </w:r>
      <w:r w:rsidRPr="00381B34">
        <w:rPr>
          <w:rFonts w:ascii="Franklin Gothic Book" w:hAnsi="Franklin Gothic Book"/>
        </w:rPr>
        <w:t>PSMA</w:t>
      </w:r>
      <w:r w:rsidR="00EC3611">
        <w:rPr>
          <w:rFonts w:ascii="Franklin Gothic Book" w:hAnsi="Franklin Gothic Book"/>
        </w:rPr>
        <w:t> </w:t>
      </w:r>
      <w:proofErr w:type="spellStart"/>
      <w:r w:rsidR="00EC3611">
        <w:rPr>
          <w:rFonts w:ascii="Franklin Gothic Book" w:hAnsi="Franklin Gothic Book"/>
        </w:rPr>
        <w:t>i&amp;t</w:t>
      </w:r>
      <w:proofErr w:type="spellEnd"/>
      <w:r w:rsidRPr="00381B34">
        <w:rPr>
          <w:rFonts w:ascii="Franklin Gothic Book" w:hAnsi="Franklin Gothic Book"/>
        </w:rPr>
        <w:t xml:space="preserve"> cycles has been reduced to 3.63 cycles</w:t>
      </w:r>
      <w:r>
        <w:rPr>
          <w:rFonts w:ascii="Franklin Gothic Book" w:hAnsi="Franklin Gothic Book"/>
        </w:rPr>
        <w:t xml:space="preserve"> per patient </w:t>
      </w:r>
      <w:r w:rsidRPr="009334D3">
        <w:rPr>
          <w:rFonts w:ascii="Franklin Gothic Book" w:hAnsi="Franklin Gothic Book"/>
        </w:rPr>
        <w:t xml:space="preserve">based on the 3-year PFS data from the Australian </w:t>
      </w:r>
      <w:proofErr w:type="spellStart"/>
      <w:r w:rsidRPr="009334D3">
        <w:rPr>
          <w:rFonts w:ascii="Franklin Gothic Book" w:hAnsi="Franklin Gothic Book"/>
        </w:rPr>
        <w:t>TheraP</w:t>
      </w:r>
      <w:proofErr w:type="spellEnd"/>
      <w:r w:rsidRPr="009334D3">
        <w:rPr>
          <w:rFonts w:ascii="Franklin Gothic Book" w:hAnsi="Franklin Gothic Book"/>
        </w:rPr>
        <w:t xml:space="preserve"> trial,</w:t>
      </w:r>
      <w:r>
        <w:rPr>
          <w:rFonts w:ascii="Franklin Gothic Book" w:hAnsi="Franklin Gothic Book"/>
        </w:rPr>
        <w:t xml:space="preserve"> </w:t>
      </w:r>
      <w:r w:rsidRPr="009334D3">
        <w:rPr>
          <w:rFonts w:ascii="Franklin Gothic Book" w:hAnsi="Franklin Gothic Book"/>
        </w:rPr>
        <w:t>compared with 4.71 cycles based on VISION PFS in the previous ADAR</w:t>
      </w:r>
      <w:r>
        <w:rPr>
          <w:rFonts w:ascii="Franklin Gothic Book" w:hAnsi="Franklin Gothic Book"/>
        </w:rPr>
        <w:t>.</w:t>
      </w:r>
    </w:p>
    <w:p w14:paraId="4227E27B" w14:textId="77777777" w:rsidR="00C7462B" w:rsidRDefault="00C7462B" w:rsidP="00C7462B">
      <w:pPr>
        <w:pStyle w:val="BulletLast"/>
        <w:numPr>
          <w:ilvl w:val="0"/>
          <w:numId w:val="19"/>
        </w:numPr>
      </w:pPr>
      <w:r w:rsidRPr="00391BEA">
        <w:t>the cost of cabazitaxel and its administration have been updated to reflect the current January 2023 costs.</w:t>
      </w:r>
    </w:p>
    <w:p w14:paraId="0F287269" w14:textId="77777777" w:rsidR="00C7462B" w:rsidRDefault="00C7462B" w:rsidP="00C7462B">
      <w:r>
        <w:t>The financial impact to the MBS was estimated in the ADAR at $8,138,103 in 2023, increasing to $13,251,292 in 2027.</w:t>
      </w:r>
    </w:p>
    <w:p w14:paraId="1DB9E4F0" w14:textId="77777777" w:rsidR="00C7462B" w:rsidRPr="001A37CC" w:rsidRDefault="00C7462B" w:rsidP="00C7462B">
      <w:pPr>
        <w:pStyle w:val="NormalBeforeBullet0"/>
        <w:rPr>
          <w:rStyle w:val="Strong"/>
          <w:b w:val="0"/>
          <w:bCs w:val="0"/>
        </w:rPr>
      </w:pPr>
      <w:r w:rsidRPr="00381B34">
        <w:rPr>
          <w:rStyle w:val="Strong"/>
          <w:b w:val="0"/>
          <w:bCs w:val="0"/>
        </w:rPr>
        <w:t>However, ESC noted that some changes requested by MSAC for the previous ADAR have not been included:</w:t>
      </w:r>
    </w:p>
    <w:p w14:paraId="7F9086E7" w14:textId="02349CF6" w:rsidR="00C7462B" w:rsidRPr="00381B34" w:rsidDel="007022BB" w:rsidRDefault="00C7462B" w:rsidP="00C7462B">
      <w:pPr>
        <w:pStyle w:val="Bullet"/>
        <w:numPr>
          <w:ilvl w:val="0"/>
          <w:numId w:val="19"/>
        </w:numPr>
        <w:spacing w:before="0"/>
        <w:rPr>
          <w:rStyle w:val="Strong"/>
          <w:rFonts w:ascii="Franklin Gothic Book" w:hAnsi="Franklin Gothic Book"/>
          <w:b w:val="0"/>
          <w:bCs w:val="0"/>
        </w:rPr>
      </w:pPr>
      <w:r w:rsidRPr="00381B34" w:rsidDel="007022BB">
        <w:rPr>
          <w:rStyle w:val="Strong"/>
          <w:rFonts w:ascii="Franklin Gothic Book" w:hAnsi="Franklin Gothic Book"/>
          <w:b w:val="0"/>
          <w:bCs w:val="0"/>
        </w:rPr>
        <w:t>changing the uptake rate from 11.5% to 15%</w:t>
      </w:r>
      <w:r w:rsidDel="007022BB">
        <w:rPr>
          <w:rStyle w:val="Strong"/>
          <w:rFonts w:ascii="Franklin Gothic Book" w:hAnsi="Franklin Gothic Book"/>
          <w:b w:val="0"/>
          <w:bCs w:val="0"/>
        </w:rPr>
        <w:t xml:space="preserve"> (the applicant considered this scenario as the maximum uptake rate for Lu</w:t>
      </w:r>
      <w:r w:rsidR="00EC3611">
        <w:rPr>
          <w:rStyle w:val="Strong"/>
          <w:rFonts w:ascii="Franklin Gothic Book" w:hAnsi="Franklin Gothic Book"/>
          <w:b w:val="0"/>
          <w:bCs w:val="0"/>
        </w:rPr>
        <w:t> </w:t>
      </w:r>
      <w:r w:rsidDel="007022BB">
        <w:rPr>
          <w:rStyle w:val="Strong"/>
          <w:rFonts w:ascii="Franklin Gothic Book" w:hAnsi="Franklin Gothic Book"/>
          <w:b w:val="0"/>
          <w:bCs w:val="0"/>
        </w:rPr>
        <w:t>PSMA</w:t>
      </w:r>
      <w:r w:rsidR="00EC3611">
        <w:rPr>
          <w:rStyle w:val="Strong"/>
          <w:rFonts w:ascii="Franklin Gothic Book" w:hAnsi="Franklin Gothic Book"/>
          <w:b w:val="0"/>
          <w:bCs w:val="0"/>
        </w:rPr>
        <w:t> </w:t>
      </w:r>
      <w:proofErr w:type="spellStart"/>
      <w:r w:rsidR="00EC3611">
        <w:rPr>
          <w:rStyle w:val="Strong"/>
          <w:rFonts w:ascii="Franklin Gothic Book" w:hAnsi="Franklin Gothic Book"/>
          <w:b w:val="0"/>
          <w:bCs w:val="0"/>
        </w:rPr>
        <w:t>i&amp;t</w:t>
      </w:r>
      <w:proofErr w:type="spellEnd"/>
      <w:r w:rsidDel="007022BB">
        <w:rPr>
          <w:rStyle w:val="Strong"/>
          <w:rFonts w:ascii="Franklin Gothic Book" w:hAnsi="Franklin Gothic Book"/>
          <w:b w:val="0"/>
          <w:bCs w:val="0"/>
        </w:rPr>
        <w:t xml:space="preserve"> in the previous ADAR)</w:t>
      </w:r>
    </w:p>
    <w:p w14:paraId="66944334" w14:textId="377642D7" w:rsidR="00C7462B" w:rsidRPr="00381B34" w:rsidRDefault="00C7462B" w:rsidP="00C7462B">
      <w:pPr>
        <w:pStyle w:val="Bullet"/>
        <w:numPr>
          <w:ilvl w:val="0"/>
          <w:numId w:val="19"/>
        </w:numPr>
        <w:spacing w:before="0"/>
        <w:rPr>
          <w:rStyle w:val="Strong"/>
          <w:rFonts w:ascii="Franklin Gothic Book" w:hAnsi="Franklin Gothic Book"/>
          <w:b w:val="0"/>
          <w:bCs w:val="0"/>
        </w:rPr>
      </w:pPr>
      <w:r w:rsidRPr="00381B34">
        <w:rPr>
          <w:rStyle w:val="Strong"/>
          <w:rFonts w:ascii="Franklin Gothic Book" w:hAnsi="Franklin Gothic Book"/>
          <w:b w:val="0"/>
          <w:bCs w:val="0"/>
        </w:rPr>
        <w:t>the post-</w:t>
      </w:r>
      <w:r w:rsidRPr="00381B34">
        <w:rPr>
          <w:rStyle w:val="Strong"/>
          <w:rFonts w:ascii="Franklin Gothic Book" w:hAnsi="Franklin Gothic Book"/>
          <w:b w:val="0"/>
          <w:bCs w:val="0"/>
          <w:vertAlign w:val="superscript"/>
        </w:rPr>
        <w:t>177</w:t>
      </w:r>
      <w:r w:rsidRPr="00381B34">
        <w:rPr>
          <w:rStyle w:val="Strong"/>
          <w:rFonts w:ascii="Franklin Gothic Book" w:hAnsi="Franklin Gothic Book"/>
          <w:b w:val="0"/>
          <w:bCs w:val="0"/>
        </w:rPr>
        <w:t>Lu</w:t>
      </w:r>
      <w:r w:rsidR="00EC3611">
        <w:rPr>
          <w:rStyle w:val="Strong"/>
          <w:rFonts w:ascii="Franklin Gothic Book" w:hAnsi="Franklin Gothic Book"/>
          <w:b w:val="0"/>
          <w:bCs w:val="0"/>
        </w:rPr>
        <w:t> </w:t>
      </w:r>
      <w:r w:rsidRPr="00381B34">
        <w:rPr>
          <w:rStyle w:val="Strong"/>
          <w:rFonts w:ascii="Franklin Gothic Book" w:hAnsi="Franklin Gothic Book"/>
          <w:b w:val="0"/>
          <w:bCs w:val="0"/>
        </w:rPr>
        <w:t>PSMA</w:t>
      </w:r>
      <w:r w:rsidR="00D91CA2">
        <w:rPr>
          <w:rStyle w:val="Strong"/>
          <w:rFonts w:ascii="Franklin Gothic Book" w:hAnsi="Franklin Gothic Book"/>
          <w:b w:val="0"/>
          <w:bCs w:val="0"/>
        </w:rPr>
        <w:t> </w:t>
      </w:r>
      <w:proofErr w:type="spellStart"/>
      <w:r w:rsidR="00D91CA2">
        <w:rPr>
          <w:rStyle w:val="Strong"/>
          <w:rFonts w:ascii="Franklin Gothic Book" w:hAnsi="Franklin Gothic Book"/>
          <w:b w:val="0"/>
          <w:bCs w:val="0"/>
        </w:rPr>
        <w:t>i&amp;t</w:t>
      </w:r>
      <w:proofErr w:type="spellEnd"/>
      <w:r w:rsidRPr="00381B34">
        <w:rPr>
          <w:rStyle w:val="Strong"/>
          <w:rFonts w:ascii="Franklin Gothic Book" w:hAnsi="Franklin Gothic Book"/>
          <w:b w:val="0"/>
          <w:bCs w:val="0"/>
        </w:rPr>
        <w:t xml:space="preserve"> </w:t>
      </w:r>
      <w:proofErr w:type="spellStart"/>
      <w:r w:rsidRPr="00381B34">
        <w:rPr>
          <w:rStyle w:val="Strong"/>
          <w:rFonts w:ascii="Franklin Gothic Book" w:hAnsi="Franklin Gothic Book"/>
          <w:b w:val="0"/>
          <w:bCs w:val="0"/>
        </w:rPr>
        <w:t>cabazitaxel</w:t>
      </w:r>
      <w:proofErr w:type="spellEnd"/>
      <w:r w:rsidRPr="00381B34">
        <w:rPr>
          <w:rStyle w:val="Strong"/>
          <w:rFonts w:ascii="Franklin Gothic Book" w:hAnsi="Franklin Gothic Book"/>
          <w:b w:val="0"/>
          <w:bCs w:val="0"/>
        </w:rPr>
        <w:t xml:space="preserve"> use of 18% </w:t>
      </w:r>
    </w:p>
    <w:p w14:paraId="60E30252" w14:textId="77777777" w:rsidR="00C7462B" w:rsidRPr="001A37CC" w:rsidRDefault="00C7462B" w:rsidP="00C7462B">
      <w:pPr>
        <w:pStyle w:val="BulletLast"/>
        <w:numPr>
          <w:ilvl w:val="0"/>
          <w:numId w:val="19"/>
        </w:numPr>
        <w:rPr>
          <w:rStyle w:val="Strong"/>
          <w:b w:val="0"/>
          <w:bCs w:val="0"/>
        </w:rPr>
      </w:pPr>
      <w:r w:rsidRPr="00381B34">
        <w:rPr>
          <w:rStyle w:val="Strong"/>
          <w:b w:val="0"/>
          <w:bCs w:val="0"/>
        </w:rPr>
        <w:t xml:space="preserve">financial implications due to changes to the </w:t>
      </w:r>
      <w:r>
        <w:rPr>
          <w:rStyle w:val="Strong"/>
          <w:b w:val="0"/>
          <w:bCs w:val="0"/>
        </w:rPr>
        <w:t>MBS Greatest Permissible Gap (</w:t>
      </w:r>
      <w:r w:rsidRPr="00381B34">
        <w:rPr>
          <w:rStyle w:val="Strong"/>
          <w:b w:val="0"/>
          <w:bCs w:val="0"/>
        </w:rPr>
        <w:t>GPG</w:t>
      </w:r>
      <w:r>
        <w:rPr>
          <w:rStyle w:val="Strong"/>
          <w:b w:val="0"/>
          <w:bCs w:val="0"/>
        </w:rPr>
        <w:t>) and PBS co-pay reduction</w:t>
      </w:r>
      <w:r w:rsidRPr="00381B34">
        <w:rPr>
          <w:rStyle w:val="Strong"/>
          <w:b w:val="0"/>
          <w:bCs w:val="0"/>
        </w:rPr>
        <w:t>.</w:t>
      </w:r>
    </w:p>
    <w:p w14:paraId="7FDCFB39" w14:textId="77777777" w:rsidR="00C7462B" w:rsidRPr="001A37CC" w:rsidRDefault="00C7462B" w:rsidP="00C7462B">
      <w:pPr>
        <w:rPr>
          <w:rStyle w:val="Strong"/>
          <w:b w:val="0"/>
          <w:bCs w:val="0"/>
        </w:rPr>
      </w:pPr>
      <w:r w:rsidRPr="00381B34">
        <w:rPr>
          <w:rStyle w:val="Strong"/>
          <w:b w:val="0"/>
          <w:bCs w:val="0"/>
        </w:rPr>
        <w:t>Based on these changes, additional analyses presented in the commentary estimated t</w:t>
      </w:r>
      <w:r w:rsidRPr="006C4F77">
        <w:rPr>
          <w:bCs/>
        </w:rPr>
        <w:t xml:space="preserve">he </w:t>
      </w:r>
      <w:r w:rsidRPr="001A37CC">
        <w:rPr>
          <w:bCs/>
        </w:rPr>
        <w:t xml:space="preserve">financial impact to the </w:t>
      </w:r>
      <w:r>
        <w:rPr>
          <w:bCs/>
        </w:rPr>
        <w:t>government (MBS + PBS/RPBS)</w:t>
      </w:r>
      <w:r w:rsidRPr="001A37CC">
        <w:rPr>
          <w:bCs/>
        </w:rPr>
        <w:t xml:space="preserve"> to be $</w:t>
      </w:r>
      <w:r w:rsidRPr="00381B34">
        <w:rPr>
          <w:rStyle w:val="Strong"/>
          <w:b w:val="0"/>
          <w:bCs w:val="0"/>
        </w:rPr>
        <w:t>9,412,907 in 2023 to $15,327,059 in 2027.</w:t>
      </w:r>
      <w:r>
        <w:rPr>
          <w:rStyle w:val="Strong"/>
          <w:b w:val="0"/>
          <w:bCs w:val="0"/>
        </w:rPr>
        <w:t xml:space="preserve"> ESC considered that the budget impact updated in the commentary was still likely to be underestimated primarily due to the uptake rate likely being higher than the </w:t>
      </w:r>
      <w:r w:rsidRPr="00211168">
        <w:rPr>
          <w:rStyle w:val="Strong"/>
          <w:b w:val="0"/>
          <w:bCs w:val="0"/>
        </w:rPr>
        <w:t>11.5%</w:t>
      </w:r>
      <w:r>
        <w:rPr>
          <w:rStyle w:val="Strong"/>
          <w:b w:val="0"/>
          <w:bCs w:val="0"/>
        </w:rPr>
        <w:t xml:space="preserve"> which these results represented</w:t>
      </w:r>
      <w:r w:rsidRPr="00211168">
        <w:rPr>
          <w:rStyle w:val="Strong"/>
          <w:b w:val="0"/>
          <w:bCs w:val="0"/>
        </w:rPr>
        <w:t xml:space="preserve">. The additional impact of assuming a 15% uptake rate was </w:t>
      </w:r>
      <w:r>
        <w:rPr>
          <w:rStyle w:val="Strong"/>
          <w:b w:val="0"/>
          <w:bCs w:val="0"/>
        </w:rPr>
        <w:t xml:space="preserve">previously </w:t>
      </w:r>
      <w:r w:rsidRPr="00211168">
        <w:rPr>
          <w:rStyle w:val="Strong"/>
          <w:b w:val="0"/>
          <w:bCs w:val="0"/>
        </w:rPr>
        <w:t>presented in the PSD for 1686.</w:t>
      </w:r>
    </w:p>
    <w:p w14:paraId="5378C830" w14:textId="77777777" w:rsidR="00C7462B" w:rsidRDefault="00C7462B" w:rsidP="00C7462B">
      <w:pPr>
        <w:pStyle w:val="Heading2"/>
        <w:numPr>
          <w:ilvl w:val="0"/>
          <w:numId w:val="0"/>
        </w:numPr>
      </w:pPr>
      <w:r>
        <w:t>17.</w:t>
      </w:r>
      <w:r>
        <w:tab/>
        <w:t>Applicant comments on MSAC’s Public Summary Document</w:t>
      </w:r>
    </w:p>
    <w:p w14:paraId="5BA4C4CF" w14:textId="5C2A377E" w:rsidR="00C7462B" w:rsidRPr="00854113" w:rsidRDefault="00854113" w:rsidP="00C7462B">
      <w:pPr>
        <w:spacing w:after="240"/>
        <w:rPr>
          <w:szCs w:val="24"/>
        </w:rPr>
      </w:pPr>
      <w:r w:rsidRPr="00854113">
        <w:rPr>
          <w:szCs w:val="24"/>
        </w:rPr>
        <w:t>The applicant had no comment.</w:t>
      </w:r>
    </w:p>
    <w:p w14:paraId="5B1F1E34" w14:textId="77777777" w:rsidR="00C7462B" w:rsidRDefault="00C7462B" w:rsidP="00C7462B">
      <w:pPr>
        <w:pStyle w:val="Heading2"/>
        <w:numPr>
          <w:ilvl w:val="0"/>
          <w:numId w:val="0"/>
        </w:numPr>
      </w:pPr>
      <w:r>
        <w:t>18.</w:t>
      </w:r>
      <w:r>
        <w:tab/>
        <w:t>Further information on MSAC</w:t>
      </w:r>
    </w:p>
    <w:p w14:paraId="7F04A2EC" w14:textId="5EEB1BB4" w:rsidR="00C7462B" w:rsidRPr="00C7462B" w:rsidRDefault="00C7462B" w:rsidP="00C7462B">
      <w:pPr>
        <w:pStyle w:val="BodyText"/>
        <w:rPr>
          <w:rFonts w:ascii="Franklin Gothic Book" w:hAnsi="Franklin Gothic Book"/>
          <w:b/>
          <w:bCs/>
          <w:i/>
          <w:iCs/>
        </w:rPr>
      </w:pPr>
      <w:r w:rsidRPr="00F309FA">
        <w:rPr>
          <w:rFonts w:ascii="Franklin Gothic Book" w:hAnsi="Franklin Gothic Book"/>
          <w:bCs/>
          <w:iCs/>
        </w:rPr>
        <w:t xml:space="preserve">MSAC Terms of Reference and other information are available on the MSAC Website: </w:t>
      </w:r>
      <w:hyperlink r:id="rId11" w:tooltip="Link to the MSAC website" w:history="1">
        <w:r w:rsidRPr="00F309FA">
          <w:rPr>
            <w:rStyle w:val="Hyperlink"/>
            <w:rFonts w:ascii="Franklin Gothic Book" w:hAnsi="Franklin Gothic Book"/>
            <w:bCs/>
            <w:iCs/>
          </w:rPr>
          <w:t>visit the MSAC website</w:t>
        </w:r>
      </w:hyperlink>
    </w:p>
    <w:sectPr w:rsidR="00C7462B" w:rsidRPr="00C7462B" w:rsidSect="00784341">
      <w:headerReference w:type="even" r:id="rId12"/>
      <w:headerReference w:type="default" r:id="rId13"/>
      <w:footerReference w:type="even" r:id="rId14"/>
      <w:footerReference w:type="default" r:id="rId15"/>
      <w:headerReference w:type="first" r:id="rId16"/>
      <w:footerReference w:type="first" r:id="rId17"/>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5D9C" w14:textId="77777777" w:rsidR="00B67F4E" w:rsidRDefault="00B67F4E" w:rsidP="00B62DF2">
      <w:pPr>
        <w:spacing w:after="0" w:line="240" w:lineRule="auto"/>
      </w:pPr>
      <w:r>
        <w:separator/>
      </w:r>
    </w:p>
  </w:endnote>
  <w:endnote w:type="continuationSeparator" w:id="0">
    <w:p w14:paraId="0539144D" w14:textId="77777777" w:rsidR="00B67F4E" w:rsidRDefault="00B67F4E" w:rsidP="00B62DF2">
      <w:pPr>
        <w:spacing w:after="0" w:line="240" w:lineRule="auto"/>
      </w:pPr>
      <w:r>
        <w:continuationSeparator/>
      </w:r>
    </w:p>
  </w:endnote>
  <w:endnote w:type="continuationNotice" w:id="1">
    <w:p w14:paraId="35750B9D" w14:textId="77777777" w:rsidR="00B67F4E" w:rsidRDefault="00B67F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66A0CE6B" w:rsidR="003C6A7D" w:rsidRDefault="003C6A7D" w:rsidP="00343A56">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1AD5769C" w:rsidR="003C6A7D" w:rsidRDefault="003C6A7D" w:rsidP="00052DD3">
        <w:pPr>
          <w:pStyle w:val="Footer"/>
          <w:jc w:val="right"/>
        </w:pPr>
        <w:r>
          <w:fldChar w:fldCharType="begin"/>
        </w:r>
        <w:r>
          <w:instrText xml:space="preserve"> PAGE   \* MERGEFORMAT </w:instrText>
        </w:r>
        <w:r>
          <w:fldChar w:fldCharType="separate"/>
        </w:r>
        <w:r>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FA6E" w14:textId="77777777" w:rsidR="003C6A7D" w:rsidRDefault="003C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3E46" w14:textId="77777777" w:rsidR="00B67F4E" w:rsidRDefault="00B67F4E" w:rsidP="00B62DF2">
      <w:pPr>
        <w:spacing w:after="0" w:line="240" w:lineRule="auto"/>
      </w:pPr>
      <w:r>
        <w:separator/>
      </w:r>
    </w:p>
  </w:footnote>
  <w:footnote w:type="continuationSeparator" w:id="0">
    <w:p w14:paraId="42D86748" w14:textId="77777777" w:rsidR="00B67F4E" w:rsidRDefault="00B67F4E" w:rsidP="00B62DF2">
      <w:pPr>
        <w:spacing w:after="0" w:line="240" w:lineRule="auto"/>
      </w:pPr>
      <w:r>
        <w:continuationSeparator/>
      </w:r>
    </w:p>
  </w:footnote>
  <w:footnote w:type="continuationNotice" w:id="1">
    <w:p w14:paraId="0AD5C202" w14:textId="77777777" w:rsidR="00B67F4E" w:rsidRDefault="00B67F4E">
      <w:pPr>
        <w:spacing w:before="0" w:after="0" w:line="240" w:lineRule="auto"/>
      </w:pPr>
    </w:p>
  </w:footnote>
  <w:footnote w:id="2">
    <w:p w14:paraId="6C98A450" w14:textId="56143869" w:rsidR="003C6A7D" w:rsidRDefault="003C6A7D">
      <w:pPr>
        <w:pStyle w:val="FootnoteText"/>
      </w:pPr>
      <w:r>
        <w:rPr>
          <w:rStyle w:val="FootnoteReference"/>
        </w:rPr>
        <w:footnoteRef/>
      </w:r>
      <w:r>
        <w:t xml:space="preserve"> </w:t>
      </w:r>
      <w:r w:rsidRPr="00BC1D17">
        <w:t>Kratochwil et al 2023</w:t>
      </w:r>
      <w:r>
        <w:t xml:space="preserve"> </w:t>
      </w:r>
      <w:hyperlink r:id="rId1" w:history="1">
        <w:r w:rsidRPr="001B7290">
          <w:rPr>
            <w:rStyle w:val="Hyperlink"/>
            <w:color w:val="000000" w:themeColor="text1"/>
          </w:rPr>
          <w:t xml:space="preserve">Joint EANM/SNMMI procedure guideline for the use of </w:t>
        </w:r>
        <w:r w:rsidRPr="001B7290">
          <w:rPr>
            <w:rStyle w:val="Hyperlink"/>
            <w:color w:val="000000" w:themeColor="text1"/>
            <w:vertAlign w:val="superscript"/>
          </w:rPr>
          <w:t>177</w:t>
        </w:r>
        <w:r w:rsidRPr="001B7290">
          <w:rPr>
            <w:rStyle w:val="Hyperlink"/>
            <w:color w:val="000000" w:themeColor="text1"/>
          </w:rPr>
          <w:t>Lu-labeled PSMA-targeted radioligand-therapy (</w:t>
        </w:r>
        <w:r w:rsidRPr="001B7290">
          <w:rPr>
            <w:rStyle w:val="Hyperlink"/>
            <w:color w:val="000000" w:themeColor="text1"/>
            <w:vertAlign w:val="superscript"/>
          </w:rPr>
          <w:t>177</w:t>
        </w:r>
        <w:r w:rsidRPr="001B7290">
          <w:rPr>
            <w:rStyle w:val="Hyperlink"/>
            <w:color w:val="000000" w:themeColor="text1"/>
          </w:rPr>
          <w:t xml:space="preserve">Lu-PSMA-RLT). </w:t>
        </w:r>
      </w:hyperlink>
      <w:r>
        <w:rPr>
          <w:rStyle w:val="docsum-journal-citation"/>
        </w:rPr>
        <w:t>Eur J Nucl Med Mol Imaging. 2023 Jul;50(9):2830-2845.</w:t>
      </w:r>
    </w:p>
  </w:footnote>
  <w:footnote w:id="3">
    <w:p w14:paraId="4A820554" w14:textId="77777777" w:rsidR="003C6A7D" w:rsidRPr="00081267" w:rsidRDefault="003C6A7D" w:rsidP="00A52DD2">
      <w:pPr>
        <w:pStyle w:val="FootnoteText"/>
      </w:pPr>
      <w:r>
        <w:rPr>
          <w:rStyle w:val="FootnoteReference"/>
        </w:rPr>
        <w:footnoteRef/>
      </w:r>
      <w:r>
        <w:t xml:space="preserve"> Emmett L, John N, Pathmanandavel S, Counter W, Ayers M, Sharma S et al. (2023). </w:t>
      </w:r>
      <w:hyperlink r:id="rId2" w:history="1">
        <w:r w:rsidRPr="000124FE">
          <w:rPr>
            <w:rStyle w:val="Hyperlink"/>
          </w:rPr>
          <w:t>Patient outcomes following a response biomarker-guided approach to treatment using 177Lu-PSMA-I&amp;T in men with metastatic castrate-resistant prostate cancer (Re-SPECT)</w:t>
        </w:r>
      </w:hyperlink>
      <w:r>
        <w:t xml:space="preserve">. </w:t>
      </w:r>
      <w:r>
        <w:rPr>
          <w:i/>
          <w:iCs/>
        </w:rPr>
        <w:t xml:space="preserve">Ther Adv Med Oncol </w:t>
      </w:r>
      <w:r>
        <w:t>15:1–11.</w:t>
      </w:r>
    </w:p>
  </w:footnote>
  <w:footnote w:id="4">
    <w:p w14:paraId="5B9EA813" w14:textId="77777777" w:rsidR="003C6A7D" w:rsidRDefault="003C6A7D" w:rsidP="00C7462B">
      <w:pPr>
        <w:pStyle w:val="FootnoteText"/>
      </w:pPr>
      <w:r>
        <w:rPr>
          <w:rStyle w:val="FootnoteReference"/>
        </w:rPr>
        <w:footnoteRef/>
      </w:r>
      <w:r>
        <w:t xml:space="preserve"> Emmett L et al. (2023). “Patient outcomes following a response biomarker guided approach to treatment using 177Lu-PSMA-I&amp;T in men with metastatic castrate resistant prostate cancer (Re-SPECT).” Ther Adv Med Oncol 15: 1-11.</w:t>
      </w:r>
    </w:p>
  </w:footnote>
  <w:footnote w:id="5">
    <w:p w14:paraId="70A2D02B" w14:textId="77777777" w:rsidR="003C6A7D" w:rsidRDefault="003C6A7D" w:rsidP="00C7462B">
      <w:pPr>
        <w:pStyle w:val="FootnoteText"/>
      </w:pPr>
      <w:r>
        <w:rPr>
          <w:rStyle w:val="FootnoteReference"/>
        </w:rPr>
        <w:footnoteRef/>
      </w:r>
      <w:r>
        <w:t xml:space="preserve"> Olaparib </w:t>
      </w:r>
      <w:r w:rsidRPr="00243B0A">
        <w:t xml:space="preserve">PSD November 2021 PBAC Meeting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59FB" w14:textId="77777777" w:rsidR="003C6A7D" w:rsidRDefault="003C6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9F22" w14:textId="77777777" w:rsidR="003C6A7D" w:rsidRDefault="003C6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894E" w14:textId="77777777" w:rsidR="003C6A7D" w:rsidRDefault="003C6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AAE"/>
    <w:multiLevelType w:val="hybridMultilevel"/>
    <w:tmpl w:val="D9AE6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451E9"/>
    <w:multiLevelType w:val="hybridMultilevel"/>
    <w:tmpl w:val="5EE4D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62B99"/>
    <w:multiLevelType w:val="hybridMultilevel"/>
    <w:tmpl w:val="747A0E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8FD1403"/>
    <w:multiLevelType w:val="hybridMultilevel"/>
    <w:tmpl w:val="CABE5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842A2"/>
    <w:multiLevelType w:val="hybridMultilevel"/>
    <w:tmpl w:val="71902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F935A7"/>
    <w:multiLevelType w:val="hybridMultilevel"/>
    <w:tmpl w:val="96560A6E"/>
    <w:lvl w:ilvl="0" w:tplc="5F9EC3C6">
      <w:start w:val="1"/>
      <w:numFmt w:val="bullet"/>
      <w:pStyle w:val="Bullet1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D0E80"/>
    <w:multiLevelType w:val="hybridMultilevel"/>
    <w:tmpl w:val="0A4EB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8B771E"/>
    <w:multiLevelType w:val="hybridMultilevel"/>
    <w:tmpl w:val="6B82FB44"/>
    <w:lvl w:ilvl="0" w:tplc="BAD2B2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53E70C9"/>
    <w:multiLevelType w:val="hybridMultilevel"/>
    <w:tmpl w:val="54F49A42"/>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5E246B"/>
    <w:multiLevelType w:val="hybridMultilevel"/>
    <w:tmpl w:val="C4F2253C"/>
    <w:lvl w:ilvl="0" w:tplc="B0E28340">
      <w:start w:val="1"/>
      <w:numFmt w:val="decimal"/>
      <w:pStyle w:val="ESHeading1"/>
      <w:lvlText w:val="%1."/>
      <w:lvlJc w:val="left"/>
      <w:pPr>
        <w:ind w:left="1803" w:hanging="360"/>
      </w:pPr>
    </w:lvl>
    <w:lvl w:ilvl="1" w:tplc="0C090019">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14" w15:restartNumberingAfterBreak="0">
    <w:nsid w:val="2D0A1276"/>
    <w:multiLevelType w:val="hybridMultilevel"/>
    <w:tmpl w:val="CFE07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267ED9"/>
    <w:multiLevelType w:val="hybridMultilevel"/>
    <w:tmpl w:val="1F7669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371DC"/>
    <w:multiLevelType w:val="multilevel"/>
    <w:tmpl w:val="18BEA8F4"/>
    <w:lvl w:ilvl="0">
      <w:start w:val="1"/>
      <w:numFmt w:val="decimal"/>
      <w:pStyle w:val="Heading1"/>
      <w:lvlText w:val="Section %1"/>
      <w:lvlJc w:val="left"/>
      <w:pPr>
        <w:ind w:left="786" w:hanging="360"/>
      </w:pPr>
      <w:rPr>
        <w:rFonts w:hint="default"/>
      </w:rPr>
    </w:lvl>
    <w:lvl w:ilvl="1">
      <w:start w:val="2"/>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431158"/>
    <w:multiLevelType w:val="hybridMultilevel"/>
    <w:tmpl w:val="F0EC0DF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281077C"/>
    <w:multiLevelType w:val="hybridMultilevel"/>
    <w:tmpl w:val="AB686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943329D"/>
    <w:multiLevelType w:val="hybridMultilevel"/>
    <w:tmpl w:val="F6CA5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B231BE"/>
    <w:multiLevelType w:val="hybridMultilevel"/>
    <w:tmpl w:val="E6109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DA6B48"/>
    <w:multiLevelType w:val="hybridMultilevel"/>
    <w:tmpl w:val="F532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A6385F"/>
    <w:multiLevelType w:val="hybridMultilevel"/>
    <w:tmpl w:val="8506AB1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760E367A"/>
    <w:multiLevelType w:val="hybridMultilevel"/>
    <w:tmpl w:val="476C7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1D1A44"/>
    <w:multiLevelType w:val="multilevel"/>
    <w:tmpl w:val="C2861F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F096398"/>
    <w:multiLevelType w:val="hybridMultilevel"/>
    <w:tmpl w:val="06FA223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2037929227">
    <w:abstractNumId w:val="17"/>
  </w:num>
  <w:num w:numId="2" w16cid:durableId="1086148178">
    <w:abstractNumId w:val="31"/>
  </w:num>
  <w:num w:numId="3" w16cid:durableId="493033332">
    <w:abstractNumId w:val="5"/>
  </w:num>
  <w:num w:numId="4" w16cid:durableId="1239830382">
    <w:abstractNumId w:val="10"/>
  </w:num>
  <w:num w:numId="5" w16cid:durableId="852719903">
    <w:abstractNumId w:val="27"/>
  </w:num>
  <w:num w:numId="6" w16cid:durableId="2126195578">
    <w:abstractNumId w:val="12"/>
  </w:num>
  <w:num w:numId="7" w16cid:durableId="2026710244">
    <w:abstractNumId w:val="13"/>
  </w:num>
  <w:num w:numId="8" w16cid:durableId="1171681745">
    <w:abstractNumId w:val="16"/>
  </w:num>
  <w:num w:numId="9" w16cid:durableId="1405451885">
    <w:abstractNumId w:val="21"/>
  </w:num>
  <w:num w:numId="10" w16cid:durableId="1950309400">
    <w:abstractNumId w:val="8"/>
  </w:num>
  <w:num w:numId="11" w16cid:durableId="1739864592">
    <w:abstractNumId w:val="22"/>
  </w:num>
  <w:num w:numId="12" w16cid:durableId="2082479009">
    <w:abstractNumId w:val="29"/>
  </w:num>
  <w:num w:numId="13" w16cid:durableId="585963835">
    <w:abstractNumId w:val="14"/>
  </w:num>
  <w:num w:numId="14" w16cid:durableId="1305426761">
    <w:abstractNumId w:val="4"/>
  </w:num>
  <w:num w:numId="15" w16cid:durableId="135221606">
    <w:abstractNumId w:val="26"/>
  </w:num>
  <w:num w:numId="16" w16cid:durableId="449976047">
    <w:abstractNumId w:val="6"/>
  </w:num>
  <w:num w:numId="17" w16cid:durableId="2091728291">
    <w:abstractNumId w:val="18"/>
    <w:lvlOverride w:ilvl="0">
      <w:startOverride w:val="1"/>
    </w:lvlOverride>
    <w:lvlOverride w:ilvl="1"/>
    <w:lvlOverride w:ilvl="2"/>
    <w:lvlOverride w:ilvl="3"/>
    <w:lvlOverride w:ilvl="4"/>
    <w:lvlOverride w:ilvl="5"/>
    <w:lvlOverride w:ilvl="6"/>
    <w:lvlOverride w:ilvl="7"/>
    <w:lvlOverride w:ilvl="8"/>
  </w:num>
  <w:num w:numId="18" w16cid:durableId="1266694786">
    <w:abstractNumId w:val="23"/>
  </w:num>
  <w:num w:numId="19" w16cid:durableId="910693515">
    <w:abstractNumId w:val="28"/>
  </w:num>
  <w:num w:numId="20" w16cid:durableId="627200940">
    <w:abstractNumId w:val="7"/>
  </w:num>
  <w:num w:numId="21" w16cid:durableId="1222790883">
    <w:abstractNumId w:val="19"/>
  </w:num>
  <w:num w:numId="22" w16cid:durableId="1526014383">
    <w:abstractNumId w:val="11"/>
  </w:num>
  <w:num w:numId="23" w16cid:durableId="683673161">
    <w:abstractNumId w:val="9"/>
  </w:num>
  <w:num w:numId="24" w16cid:durableId="1298486818">
    <w:abstractNumId w:val="2"/>
  </w:num>
  <w:num w:numId="25" w16cid:durableId="2031301000">
    <w:abstractNumId w:val="15"/>
  </w:num>
  <w:num w:numId="26" w16cid:durableId="896746022">
    <w:abstractNumId w:val="30"/>
  </w:num>
  <w:num w:numId="27" w16cid:durableId="896745783">
    <w:abstractNumId w:val="3"/>
  </w:num>
  <w:num w:numId="28" w16cid:durableId="1806041511">
    <w:abstractNumId w:val="0"/>
  </w:num>
  <w:num w:numId="29" w16cid:durableId="641272306">
    <w:abstractNumId w:val="24"/>
  </w:num>
  <w:num w:numId="30" w16cid:durableId="612443814">
    <w:abstractNumId w:val="1"/>
  </w:num>
  <w:num w:numId="31" w16cid:durableId="829102619">
    <w:abstractNumId w:val="20"/>
  </w:num>
  <w:num w:numId="32" w16cid:durableId="131290433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KXE\KXE\90941255\1"/>
  </w:docVars>
  <w:rsids>
    <w:rsidRoot w:val="008157F1"/>
    <w:rsid w:val="000008EE"/>
    <w:rsid w:val="00000C1F"/>
    <w:rsid w:val="0000109A"/>
    <w:rsid w:val="00001236"/>
    <w:rsid w:val="0000130C"/>
    <w:rsid w:val="00001902"/>
    <w:rsid w:val="00001AE6"/>
    <w:rsid w:val="00001D55"/>
    <w:rsid w:val="00002344"/>
    <w:rsid w:val="00002472"/>
    <w:rsid w:val="00003805"/>
    <w:rsid w:val="00003A1E"/>
    <w:rsid w:val="00003AE8"/>
    <w:rsid w:val="00004031"/>
    <w:rsid w:val="0000410B"/>
    <w:rsid w:val="0000466D"/>
    <w:rsid w:val="00004D69"/>
    <w:rsid w:val="00004F7F"/>
    <w:rsid w:val="000050C9"/>
    <w:rsid w:val="000054C9"/>
    <w:rsid w:val="00005778"/>
    <w:rsid w:val="0000578C"/>
    <w:rsid w:val="00005A2F"/>
    <w:rsid w:val="00005CD8"/>
    <w:rsid w:val="00005ECC"/>
    <w:rsid w:val="00006571"/>
    <w:rsid w:val="00007226"/>
    <w:rsid w:val="00007AC7"/>
    <w:rsid w:val="00007D5D"/>
    <w:rsid w:val="00007EB1"/>
    <w:rsid w:val="00010017"/>
    <w:rsid w:val="00010645"/>
    <w:rsid w:val="0001066E"/>
    <w:rsid w:val="00010740"/>
    <w:rsid w:val="00010C18"/>
    <w:rsid w:val="00010ECA"/>
    <w:rsid w:val="00011568"/>
    <w:rsid w:val="0001190D"/>
    <w:rsid w:val="00011957"/>
    <w:rsid w:val="00011B90"/>
    <w:rsid w:val="00011EF8"/>
    <w:rsid w:val="00011FF7"/>
    <w:rsid w:val="0001203E"/>
    <w:rsid w:val="0001249D"/>
    <w:rsid w:val="00012537"/>
    <w:rsid w:val="000128AE"/>
    <w:rsid w:val="000129DC"/>
    <w:rsid w:val="00012B92"/>
    <w:rsid w:val="00012BB7"/>
    <w:rsid w:val="00012F8D"/>
    <w:rsid w:val="0001342B"/>
    <w:rsid w:val="000135AF"/>
    <w:rsid w:val="000139A7"/>
    <w:rsid w:val="00013D0F"/>
    <w:rsid w:val="00013DF0"/>
    <w:rsid w:val="00014190"/>
    <w:rsid w:val="000146EF"/>
    <w:rsid w:val="00014974"/>
    <w:rsid w:val="00014A98"/>
    <w:rsid w:val="00014E79"/>
    <w:rsid w:val="00015169"/>
    <w:rsid w:val="0001519C"/>
    <w:rsid w:val="000156E1"/>
    <w:rsid w:val="0001597A"/>
    <w:rsid w:val="00015CA2"/>
    <w:rsid w:val="00016303"/>
    <w:rsid w:val="0001637D"/>
    <w:rsid w:val="000171C2"/>
    <w:rsid w:val="00017784"/>
    <w:rsid w:val="000178D6"/>
    <w:rsid w:val="00020392"/>
    <w:rsid w:val="00020991"/>
    <w:rsid w:val="00020EB8"/>
    <w:rsid w:val="0002110F"/>
    <w:rsid w:val="000216A2"/>
    <w:rsid w:val="0002178E"/>
    <w:rsid w:val="0002212A"/>
    <w:rsid w:val="0002271C"/>
    <w:rsid w:val="000228A4"/>
    <w:rsid w:val="000228B8"/>
    <w:rsid w:val="00022BF6"/>
    <w:rsid w:val="000233B3"/>
    <w:rsid w:val="00023527"/>
    <w:rsid w:val="0002381B"/>
    <w:rsid w:val="00023AF1"/>
    <w:rsid w:val="00023D16"/>
    <w:rsid w:val="00023E6E"/>
    <w:rsid w:val="00023F3A"/>
    <w:rsid w:val="000240AB"/>
    <w:rsid w:val="00024195"/>
    <w:rsid w:val="00024EA5"/>
    <w:rsid w:val="0002583E"/>
    <w:rsid w:val="00025DD4"/>
    <w:rsid w:val="00025E78"/>
    <w:rsid w:val="00025F8B"/>
    <w:rsid w:val="00026225"/>
    <w:rsid w:val="00026445"/>
    <w:rsid w:val="0002659B"/>
    <w:rsid w:val="000265B5"/>
    <w:rsid w:val="00026976"/>
    <w:rsid w:val="00026BDF"/>
    <w:rsid w:val="00026C4C"/>
    <w:rsid w:val="0002731A"/>
    <w:rsid w:val="0002744A"/>
    <w:rsid w:val="00027484"/>
    <w:rsid w:val="000274A3"/>
    <w:rsid w:val="000274DD"/>
    <w:rsid w:val="0002755F"/>
    <w:rsid w:val="00027C11"/>
    <w:rsid w:val="00027CD8"/>
    <w:rsid w:val="00027F07"/>
    <w:rsid w:val="000307D3"/>
    <w:rsid w:val="000309A1"/>
    <w:rsid w:val="000309DD"/>
    <w:rsid w:val="00030D24"/>
    <w:rsid w:val="00030F8F"/>
    <w:rsid w:val="00030FC0"/>
    <w:rsid w:val="000327B8"/>
    <w:rsid w:val="00032A9D"/>
    <w:rsid w:val="00032EE7"/>
    <w:rsid w:val="00032FC1"/>
    <w:rsid w:val="000330D3"/>
    <w:rsid w:val="000334E6"/>
    <w:rsid w:val="000335A3"/>
    <w:rsid w:val="00033B70"/>
    <w:rsid w:val="0003423A"/>
    <w:rsid w:val="0003477F"/>
    <w:rsid w:val="00035D18"/>
    <w:rsid w:val="00035F89"/>
    <w:rsid w:val="0003650B"/>
    <w:rsid w:val="00036999"/>
    <w:rsid w:val="00036A66"/>
    <w:rsid w:val="00036AD8"/>
    <w:rsid w:val="00036B12"/>
    <w:rsid w:val="00037037"/>
    <w:rsid w:val="00037302"/>
    <w:rsid w:val="00037672"/>
    <w:rsid w:val="0003769D"/>
    <w:rsid w:val="00037A2A"/>
    <w:rsid w:val="00037F86"/>
    <w:rsid w:val="0004005D"/>
    <w:rsid w:val="000402E1"/>
    <w:rsid w:val="00040ADF"/>
    <w:rsid w:val="00040CAD"/>
    <w:rsid w:val="00040D0C"/>
    <w:rsid w:val="00040FB4"/>
    <w:rsid w:val="00040FE6"/>
    <w:rsid w:val="00041213"/>
    <w:rsid w:val="00041627"/>
    <w:rsid w:val="000416D3"/>
    <w:rsid w:val="00041769"/>
    <w:rsid w:val="0004178C"/>
    <w:rsid w:val="00041C48"/>
    <w:rsid w:val="00041C65"/>
    <w:rsid w:val="00041D84"/>
    <w:rsid w:val="00041F5D"/>
    <w:rsid w:val="00042213"/>
    <w:rsid w:val="00042EEC"/>
    <w:rsid w:val="00043480"/>
    <w:rsid w:val="0004361E"/>
    <w:rsid w:val="000439C5"/>
    <w:rsid w:val="00043FE2"/>
    <w:rsid w:val="000443A6"/>
    <w:rsid w:val="000444F3"/>
    <w:rsid w:val="000447C3"/>
    <w:rsid w:val="000449D1"/>
    <w:rsid w:val="00044BB6"/>
    <w:rsid w:val="00044C19"/>
    <w:rsid w:val="0004539A"/>
    <w:rsid w:val="00045B8D"/>
    <w:rsid w:val="00045CB7"/>
    <w:rsid w:val="00045CC5"/>
    <w:rsid w:val="00045D1A"/>
    <w:rsid w:val="00045ECB"/>
    <w:rsid w:val="00045F6E"/>
    <w:rsid w:val="00046726"/>
    <w:rsid w:val="00046865"/>
    <w:rsid w:val="00046B6A"/>
    <w:rsid w:val="000472D4"/>
    <w:rsid w:val="00047317"/>
    <w:rsid w:val="000473D4"/>
    <w:rsid w:val="00047413"/>
    <w:rsid w:val="00047D1B"/>
    <w:rsid w:val="00047D94"/>
    <w:rsid w:val="00050331"/>
    <w:rsid w:val="00050B07"/>
    <w:rsid w:val="00050F3E"/>
    <w:rsid w:val="0005132B"/>
    <w:rsid w:val="0005241A"/>
    <w:rsid w:val="0005277E"/>
    <w:rsid w:val="000527FA"/>
    <w:rsid w:val="000528B3"/>
    <w:rsid w:val="00052C67"/>
    <w:rsid w:val="00052DD3"/>
    <w:rsid w:val="00052FE6"/>
    <w:rsid w:val="0005326D"/>
    <w:rsid w:val="00053356"/>
    <w:rsid w:val="00053875"/>
    <w:rsid w:val="00053F6C"/>
    <w:rsid w:val="00054128"/>
    <w:rsid w:val="000542B2"/>
    <w:rsid w:val="00054468"/>
    <w:rsid w:val="000544C2"/>
    <w:rsid w:val="00054957"/>
    <w:rsid w:val="0005550A"/>
    <w:rsid w:val="00055E55"/>
    <w:rsid w:val="00055FE3"/>
    <w:rsid w:val="00056381"/>
    <w:rsid w:val="00056808"/>
    <w:rsid w:val="000569E1"/>
    <w:rsid w:val="00056EFF"/>
    <w:rsid w:val="000576DD"/>
    <w:rsid w:val="000600FB"/>
    <w:rsid w:val="00060E34"/>
    <w:rsid w:val="00060EF9"/>
    <w:rsid w:val="00062834"/>
    <w:rsid w:val="00063380"/>
    <w:rsid w:val="0006339C"/>
    <w:rsid w:val="0006374D"/>
    <w:rsid w:val="00063760"/>
    <w:rsid w:val="00063C7F"/>
    <w:rsid w:val="00063F2E"/>
    <w:rsid w:val="0006421C"/>
    <w:rsid w:val="00064783"/>
    <w:rsid w:val="000647C2"/>
    <w:rsid w:val="000650EC"/>
    <w:rsid w:val="00065679"/>
    <w:rsid w:val="00065B17"/>
    <w:rsid w:val="00066747"/>
    <w:rsid w:val="00066B0C"/>
    <w:rsid w:val="00067103"/>
    <w:rsid w:val="00067170"/>
    <w:rsid w:val="00067225"/>
    <w:rsid w:val="000675F9"/>
    <w:rsid w:val="0007021F"/>
    <w:rsid w:val="000709A0"/>
    <w:rsid w:val="00070ABF"/>
    <w:rsid w:val="00070C33"/>
    <w:rsid w:val="00070C7C"/>
    <w:rsid w:val="00071727"/>
    <w:rsid w:val="0007184B"/>
    <w:rsid w:val="00072144"/>
    <w:rsid w:val="00072719"/>
    <w:rsid w:val="0007274E"/>
    <w:rsid w:val="00073025"/>
    <w:rsid w:val="00073316"/>
    <w:rsid w:val="0007335E"/>
    <w:rsid w:val="00073E2F"/>
    <w:rsid w:val="00074199"/>
    <w:rsid w:val="00074550"/>
    <w:rsid w:val="000748B5"/>
    <w:rsid w:val="00074AC2"/>
    <w:rsid w:val="000750B7"/>
    <w:rsid w:val="0007510D"/>
    <w:rsid w:val="00075418"/>
    <w:rsid w:val="0007544B"/>
    <w:rsid w:val="00075475"/>
    <w:rsid w:val="00075783"/>
    <w:rsid w:val="00075AD9"/>
    <w:rsid w:val="00075C9E"/>
    <w:rsid w:val="0007614D"/>
    <w:rsid w:val="00076233"/>
    <w:rsid w:val="000768DA"/>
    <w:rsid w:val="00077A25"/>
    <w:rsid w:val="00077B7F"/>
    <w:rsid w:val="00080241"/>
    <w:rsid w:val="000808DF"/>
    <w:rsid w:val="00080E1C"/>
    <w:rsid w:val="00080FF7"/>
    <w:rsid w:val="000811B9"/>
    <w:rsid w:val="00081319"/>
    <w:rsid w:val="00081778"/>
    <w:rsid w:val="00081E2E"/>
    <w:rsid w:val="00081E72"/>
    <w:rsid w:val="000820F7"/>
    <w:rsid w:val="000821F8"/>
    <w:rsid w:val="00082947"/>
    <w:rsid w:val="00082FC4"/>
    <w:rsid w:val="0008325F"/>
    <w:rsid w:val="00083372"/>
    <w:rsid w:val="000833AE"/>
    <w:rsid w:val="00083694"/>
    <w:rsid w:val="00083F0E"/>
    <w:rsid w:val="00084303"/>
    <w:rsid w:val="00084482"/>
    <w:rsid w:val="00084C62"/>
    <w:rsid w:val="00085133"/>
    <w:rsid w:val="000853A6"/>
    <w:rsid w:val="0008580B"/>
    <w:rsid w:val="00086210"/>
    <w:rsid w:val="0008631F"/>
    <w:rsid w:val="000864B9"/>
    <w:rsid w:val="00086AE0"/>
    <w:rsid w:val="000870B6"/>
    <w:rsid w:val="00087997"/>
    <w:rsid w:val="00087FDB"/>
    <w:rsid w:val="000901D3"/>
    <w:rsid w:val="000905C6"/>
    <w:rsid w:val="00090613"/>
    <w:rsid w:val="00090616"/>
    <w:rsid w:val="0009076E"/>
    <w:rsid w:val="000908E4"/>
    <w:rsid w:val="00090B48"/>
    <w:rsid w:val="00090BD1"/>
    <w:rsid w:val="00090DB8"/>
    <w:rsid w:val="00091857"/>
    <w:rsid w:val="00091C59"/>
    <w:rsid w:val="000921A8"/>
    <w:rsid w:val="00092229"/>
    <w:rsid w:val="00092234"/>
    <w:rsid w:val="0009229A"/>
    <w:rsid w:val="0009262E"/>
    <w:rsid w:val="000926A6"/>
    <w:rsid w:val="00092A21"/>
    <w:rsid w:val="00092D72"/>
    <w:rsid w:val="00093A9D"/>
    <w:rsid w:val="00093D9A"/>
    <w:rsid w:val="00093F26"/>
    <w:rsid w:val="00094176"/>
    <w:rsid w:val="000944D0"/>
    <w:rsid w:val="00094656"/>
    <w:rsid w:val="00094C97"/>
    <w:rsid w:val="00094F41"/>
    <w:rsid w:val="00095119"/>
    <w:rsid w:val="000956F7"/>
    <w:rsid w:val="0009580E"/>
    <w:rsid w:val="000959A4"/>
    <w:rsid w:val="00095A01"/>
    <w:rsid w:val="00096045"/>
    <w:rsid w:val="000960F6"/>
    <w:rsid w:val="00096469"/>
    <w:rsid w:val="00096638"/>
    <w:rsid w:val="00096B52"/>
    <w:rsid w:val="00096E56"/>
    <w:rsid w:val="000971DF"/>
    <w:rsid w:val="0009729A"/>
    <w:rsid w:val="0009791A"/>
    <w:rsid w:val="00097EFB"/>
    <w:rsid w:val="000A0218"/>
    <w:rsid w:val="000A07F5"/>
    <w:rsid w:val="000A0D0B"/>
    <w:rsid w:val="000A10BF"/>
    <w:rsid w:val="000A147C"/>
    <w:rsid w:val="000A14FE"/>
    <w:rsid w:val="000A293D"/>
    <w:rsid w:val="000A2ACD"/>
    <w:rsid w:val="000A2B65"/>
    <w:rsid w:val="000A2CA4"/>
    <w:rsid w:val="000A2DA8"/>
    <w:rsid w:val="000A45C7"/>
    <w:rsid w:val="000A559D"/>
    <w:rsid w:val="000A597F"/>
    <w:rsid w:val="000A5C47"/>
    <w:rsid w:val="000A629E"/>
    <w:rsid w:val="000A66C6"/>
    <w:rsid w:val="000A6A0C"/>
    <w:rsid w:val="000A6A4A"/>
    <w:rsid w:val="000A6B30"/>
    <w:rsid w:val="000A6EEE"/>
    <w:rsid w:val="000A71D4"/>
    <w:rsid w:val="000A72A6"/>
    <w:rsid w:val="000B0680"/>
    <w:rsid w:val="000B0AED"/>
    <w:rsid w:val="000B0C3A"/>
    <w:rsid w:val="000B2053"/>
    <w:rsid w:val="000B2536"/>
    <w:rsid w:val="000B2840"/>
    <w:rsid w:val="000B2B0A"/>
    <w:rsid w:val="000B3330"/>
    <w:rsid w:val="000B3492"/>
    <w:rsid w:val="000B3BB9"/>
    <w:rsid w:val="000B5019"/>
    <w:rsid w:val="000B547B"/>
    <w:rsid w:val="000B5496"/>
    <w:rsid w:val="000B5FB4"/>
    <w:rsid w:val="000B6670"/>
    <w:rsid w:val="000B6A2C"/>
    <w:rsid w:val="000B6CF0"/>
    <w:rsid w:val="000B6D86"/>
    <w:rsid w:val="000B6EB9"/>
    <w:rsid w:val="000B720C"/>
    <w:rsid w:val="000B7665"/>
    <w:rsid w:val="000C00A4"/>
    <w:rsid w:val="000C16FF"/>
    <w:rsid w:val="000C19AE"/>
    <w:rsid w:val="000C1E84"/>
    <w:rsid w:val="000C246A"/>
    <w:rsid w:val="000C2C6A"/>
    <w:rsid w:val="000C2EC0"/>
    <w:rsid w:val="000C38D1"/>
    <w:rsid w:val="000C42C8"/>
    <w:rsid w:val="000C43E5"/>
    <w:rsid w:val="000C4472"/>
    <w:rsid w:val="000C4922"/>
    <w:rsid w:val="000C4D1F"/>
    <w:rsid w:val="000C4D73"/>
    <w:rsid w:val="000C5ADC"/>
    <w:rsid w:val="000C6933"/>
    <w:rsid w:val="000C746A"/>
    <w:rsid w:val="000C7C46"/>
    <w:rsid w:val="000C7F07"/>
    <w:rsid w:val="000D0A29"/>
    <w:rsid w:val="000D0E2F"/>
    <w:rsid w:val="000D1B52"/>
    <w:rsid w:val="000D1CE0"/>
    <w:rsid w:val="000D1F89"/>
    <w:rsid w:val="000D2182"/>
    <w:rsid w:val="000D250C"/>
    <w:rsid w:val="000D2CF7"/>
    <w:rsid w:val="000D2F5F"/>
    <w:rsid w:val="000D372A"/>
    <w:rsid w:val="000D4568"/>
    <w:rsid w:val="000D4C1B"/>
    <w:rsid w:val="000D53A9"/>
    <w:rsid w:val="000D5491"/>
    <w:rsid w:val="000D5523"/>
    <w:rsid w:val="000D562B"/>
    <w:rsid w:val="000D6008"/>
    <w:rsid w:val="000D7744"/>
    <w:rsid w:val="000D7A47"/>
    <w:rsid w:val="000D7AA0"/>
    <w:rsid w:val="000D7CD2"/>
    <w:rsid w:val="000E03DC"/>
    <w:rsid w:val="000E08B4"/>
    <w:rsid w:val="000E1124"/>
    <w:rsid w:val="000E116E"/>
    <w:rsid w:val="000E1701"/>
    <w:rsid w:val="000E1833"/>
    <w:rsid w:val="000E21FB"/>
    <w:rsid w:val="000E2AFD"/>
    <w:rsid w:val="000E2EF2"/>
    <w:rsid w:val="000E2EF5"/>
    <w:rsid w:val="000E3528"/>
    <w:rsid w:val="000E3854"/>
    <w:rsid w:val="000E3F43"/>
    <w:rsid w:val="000E48DB"/>
    <w:rsid w:val="000E5531"/>
    <w:rsid w:val="000E6052"/>
    <w:rsid w:val="000E6062"/>
    <w:rsid w:val="000E62C2"/>
    <w:rsid w:val="000E6410"/>
    <w:rsid w:val="000E65DE"/>
    <w:rsid w:val="000E678B"/>
    <w:rsid w:val="000E6E17"/>
    <w:rsid w:val="000E6E66"/>
    <w:rsid w:val="000E6FAD"/>
    <w:rsid w:val="000E761D"/>
    <w:rsid w:val="000E77B2"/>
    <w:rsid w:val="000E7C06"/>
    <w:rsid w:val="000F0910"/>
    <w:rsid w:val="000F104A"/>
    <w:rsid w:val="000F125F"/>
    <w:rsid w:val="000F1777"/>
    <w:rsid w:val="000F2C2F"/>
    <w:rsid w:val="000F2E01"/>
    <w:rsid w:val="000F329A"/>
    <w:rsid w:val="000F3502"/>
    <w:rsid w:val="000F35DD"/>
    <w:rsid w:val="000F4A5B"/>
    <w:rsid w:val="000F4DB5"/>
    <w:rsid w:val="000F4E64"/>
    <w:rsid w:val="000F4EA6"/>
    <w:rsid w:val="000F4F6D"/>
    <w:rsid w:val="000F5065"/>
    <w:rsid w:val="000F5109"/>
    <w:rsid w:val="000F54AC"/>
    <w:rsid w:val="000F5A54"/>
    <w:rsid w:val="000F60B3"/>
    <w:rsid w:val="000F642F"/>
    <w:rsid w:val="000F6524"/>
    <w:rsid w:val="000F6C9E"/>
    <w:rsid w:val="000F6CAB"/>
    <w:rsid w:val="000F72B0"/>
    <w:rsid w:val="000F78E6"/>
    <w:rsid w:val="000F7987"/>
    <w:rsid w:val="000F7DF3"/>
    <w:rsid w:val="001003A7"/>
    <w:rsid w:val="0010051C"/>
    <w:rsid w:val="00100528"/>
    <w:rsid w:val="00100847"/>
    <w:rsid w:val="001008E9"/>
    <w:rsid w:val="00100928"/>
    <w:rsid w:val="00100BC6"/>
    <w:rsid w:val="00100EEB"/>
    <w:rsid w:val="001018B7"/>
    <w:rsid w:val="001022E1"/>
    <w:rsid w:val="001029CD"/>
    <w:rsid w:val="001029CE"/>
    <w:rsid w:val="00102B8E"/>
    <w:rsid w:val="00102C06"/>
    <w:rsid w:val="00102F92"/>
    <w:rsid w:val="001033E5"/>
    <w:rsid w:val="00103649"/>
    <w:rsid w:val="0010378B"/>
    <w:rsid w:val="0010448B"/>
    <w:rsid w:val="001044FA"/>
    <w:rsid w:val="00104591"/>
    <w:rsid w:val="0010521F"/>
    <w:rsid w:val="00105276"/>
    <w:rsid w:val="001055B8"/>
    <w:rsid w:val="00105658"/>
    <w:rsid w:val="00105B22"/>
    <w:rsid w:val="00105E8E"/>
    <w:rsid w:val="0010625A"/>
    <w:rsid w:val="001064EB"/>
    <w:rsid w:val="00106DF0"/>
    <w:rsid w:val="00106DFA"/>
    <w:rsid w:val="00106E0B"/>
    <w:rsid w:val="0010703C"/>
    <w:rsid w:val="0010703E"/>
    <w:rsid w:val="0010751A"/>
    <w:rsid w:val="00107524"/>
    <w:rsid w:val="0010783C"/>
    <w:rsid w:val="00107B07"/>
    <w:rsid w:val="00107D9F"/>
    <w:rsid w:val="00107DCA"/>
    <w:rsid w:val="00107DCD"/>
    <w:rsid w:val="00107EF0"/>
    <w:rsid w:val="00110161"/>
    <w:rsid w:val="001102A1"/>
    <w:rsid w:val="001106A2"/>
    <w:rsid w:val="001106E8"/>
    <w:rsid w:val="00111417"/>
    <w:rsid w:val="00111515"/>
    <w:rsid w:val="00111892"/>
    <w:rsid w:val="00111925"/>
    <w:rsid w:val="00111C76"/>
    <w:rsid w:val="00111D97"/>
    <w:rsid w:val="00112667"/>
    <w:rsid w:val="00112879"/>
    <w:rsid w:val="00112A6D"/>
    <w:rsid w:val="00113782"/>
    <w:rsid w:val="00113A25"/>
    <w:rsid w:val="00113ACF"/>
    <w:rsid w:val="00113C60"/>
    <w:rsid w:val="00113F64"/>
    <w:rsid w:val="001141BB"/>
    <w:rsid w:val="00114230"/>
    <w:rsid w:val="00114763"/>
    <w:rsid w:val="00114B73"/>
    <w:rsid w:val="00114C3B"/>
    <w:rsid w:val="00114C98"/>
    <w:rsid w:val="0011550F"/>
    <w:rsid w:val="00115691"/>
    <w:rsid w:val="001157BA"/>
    <w:rsid w:val="0011689F"/>
    <w:rsid w:val="00117039"/>
    <w:rsid w:val="001171B5"/>
    <w:rsid w:val="00117E9D"/>
    <w:rsid w:val="00117F04"/>
    <w:rsid w:val="0012002A"/>
    <w:rsid w:val="00120BD3"/>
    <w:rsid w:val="00120FBD"/>
    <w:rsid w:val="00121B28"/>
    <w:rsid w:val="00121DEF"/>
    <w:rsid w:val="00121FA8"/>
    <w:rsid w:val="00121FD8"/>
    <w:rsid w:val="00122130"/>
    <w:rsid w:val="00122402"/>
    <w:rsid w:val="0012258C"/>
    <w:rsid w:val="00122916"/>
    <w:rsid w:val="00122988"/>
    <w:rsid w:val="00122AE3"/>
    <w:rsid w:val="00122C37"/>
    <w:rsid w:val="00122C62"/>
    <w:rsid w:val="00122EE1"/>
    <w:rsid w:val="00123151"/>
    <w:rsid w:val="00123658"/>
    <w:rsid w:val="001237AF"/>
    <w:rsid w:val="00123C58"/>
    <w:rsid w:val="00123D9A"/>
    <w:rsid w:val="00124254"/>
    <w:rsid w:val="00124400"/>
    <w:rsid w:val="0012441D"/>
    <w:rsid w:val="001247EB"/>
    <w:rsid w:val="001248C6"/>
    <w:rsid w:val="00124F3C"/>
    <w:rsid w:val="0012554F"/>
    <w:rsid w:val="00125937"/>
    <w:rsid w:val="00125B2D"/>
    <w:rsid w:val="00125B61"/>
    <w:rsid w:val="00126122"/>
    <w:rsid w:val="00126495"/>
    <w:rsid w:val="0012671C"/>
    <w:rsid w:val="00127124"/>
    <w:rsid w:val="00127BE9"/>
    <w:rsid w:val="00127DDB"/>
    <w:rsid w:val="001302F2"/>
    <w:rsid w:val="00130914"/>
    <w:rsid w:val="00130A6A"/>
    <w:rsid w:val="00130AC2"/>
    <w:rsid w:val="00130C1C"/>
    <w:rsid w:val="0013123F"/>
    <w:rsid w:val="00131D45"/>
    <w:rsid w:val="001320F0"/>
    <w:rsid w:val="00132800"/>
    <w:rsid w:val="001329E7"/>
    <w:rsid w:val="00132C14"/>
    <w:rsid w:val="001336E0"/>
    <w:rsid w:val="00133709"/>
    <w:rsid w:val="0013387A"/>
    <w:rsid w:val="00133F34"/>
    <w:rsid w:val="001349ED"/>
    <w:rsid w:val="00134BEE"/>
    <w:rsid w:val="00134CED"/>
    <w:rsid w:val="00135273"/>
    <w:rsid w:val="001354C6"/>
    <w:rsid w:val="001357B2"/>
    <w:rsid w:val="001357B6"/>
    <w:rsid w:val="00135F99"/>
    <w:rsid w:val="00135FC9"/>
    <w:rsid w:val="00136577"/>
    <w:rsid w:val="00136A7D"/>
    <w:rsid w:val="0013703F"/>
    <w:rsid w:val="0013714D"/>
    <w:rsid w:val="00137285"/>
    <w:rsid w:val="001372A2"/>
    <w:rsid w:val="001372AD"/>
    <w:rsid w:val="0013753B"/>
    <w:rsid w:val="00137597"/>
    <w:rsid w:val="00137BD8"/>
    <w:rsid w:val="001400E5"/>
    <w:rsid w:val="00140B71"/>
    <w:rsid w:val="00140E96"/>
    <w:rsid w:val="0014184E"/>
    <w:rsid w:val="00141AB4"/>
    <w:rsid w:val="00142055"/>
    <w:rsid w:val="001420C7"/>
    <w:rsid w:val="001427B6"/>
    <w:rsid w:val="0014299C"/>
    <w:rsid w:val="00143072"/>
    <w:rsid w:val="00143478"/>
    <w:rsid w:val="00143F2F"/>
    <w:rsid w:val="00144156"/>
    <w:rsid w:val="0014487F"/>
    <w:rsid w:val="001456FC"/>
    <w:rsid w:val="00145B8A"/>
    <w:rsid w:val="00145E36"/>
    <w:rsid w:val="0014648F"/>
    <w:rsid w:val="00146624"/>
    <w:rsid w:val="00147080"/>
    <w:rsid w:val="001470E3"/>
    <w:rsid w:val="0014731A"/>
    <w:rsid w:val="0014753A"/>
    <w:rsid w:val="0014761C"/>
    <w:rsid w:val="0014793D"/>
    <w:rsid w:val="00147A43"/>
    <w:rsid w:val="00147FD7"/>
    <w:rsid w:val="00150376"/>
    <w:rsid w:val="001505B7"/>
    <w:rsid w:val="00150FB1"/>
    <w:rsid w:val="0015178B"/>
    <w:rsid w:val="00151BFE"/>
    <w:rsid w:val="00151DBD"/>
    <w:rsid w:val="00151E97"/>
    <w:rsid w:val="001524FF"/>
    <w:rsid w:val="001527D6"/>
    <w:rsid w:val="001531D6"/>
    <w:rsid w:val="001531E1"/>
    <w:rsid w:val="00153725"/>
    <w:rsid w:val="00153896"/>
    <w:rsid w:val="00153AAA"/>
    <w:rsid w:val="0015406D"/>
    <w:rsid w:val="0015421E"/>
    <w:rsid w:val="0015511D"/>
    <w:rsid w:val="001553F0"/>
    <w:rsid w:val="00155434"/>
    <w:rsid w:val="0015556F"/>
    <w:rsid w:val="001556FF"/>
    <w:rsid w:val="00155753"/>
    <w:rsid w:val="001557F2"/>
    <w:rsid w:val="00155BDA"/>
    <w:rsid w:val="00156069"/>
    <w:rsid w:val="00156266"/>
    <w:rsid w:val="00156379"/>
    <w:rsid w:val="001564F7"/>
    <w:rsid w:val="00156FA7"/>
    <w:rsid w:val="00157121"/>
    <w:rsid w:val="00157159"/>
    <w:rsid w:val="00157567"/>
    <w:rsid w:val="00157EB8"/>
    <w:rsid w:val="00157F0B"/>
    <w:rsid w:val="0016023A"/>
    <w:rsid w:val="001608B3"/>
    <w:rsid w:val="00160B21"/>
    <w:rsid w:val="001614AD"/>
    <w:rsid w:val="001617D7"/>
    <w:rsid w:val="0016284A"/>
    <w:rsid w:val="0016289B"/>
    <w:rsid w:val="00162974"/>
    <w:rsid w:val="00162AA8"/>
    <w:rsid w:val="00162DBF"/>
    <w:rsid w:val="00162ED2"/>
    <w:rsid w:val="00163A0B"/>
    <w:rsid w:val="00163BC4"/>
    <w:rsid w:val="00163CFC"/>
    <w:rsid w:val="001641AB"/>
    <w:rsid w:val="0016436C"/>
    <w:rsid w:val="00164CF8"/>
    <w:rsid w:val="00164DBF"/>
    <w:rsid w:val="001652F2"/>
    <w:rsid w:val="001653AE"/>
    <w:rsid w:val="0016547A"/>
    <w:rsid w:val="001655C5"/>
    <w:rsid w:val="00165800"/>
    <w:rsid w:val="00165A5F"/>
    <w:rsid w:val="00165E50"/>
    <w:rsid w:val="00166011"/>
    <w:rsid w:val="0016607C"/>
    <w:rsid w:val="001660B1"/>
    <w:rsid w:val="001666AD"/>
    <w:rsid w:val="001666CE"/>
    <w:rsid w:val="00166E53"/>
    <w:rsid w:val="001671DE"/>
    <w:rsid w:val="001676D2"/>
    <w:rsid w:val="001677EA"/>
    <w:rsid w:val="00167894"/>
    <w:rsid w:val="00167C2C"/>
    <w:rsid w:val="00167CA7"/>
    <w:rsid w:val="00167DB2"/>
    <w:rsid w:val="0017093A"/>
    <w:rsid w:val="00170C44"/>
    <w:rsid w:val="00170D5B"/>
    <w:rsid w:val="001712F6"/>
    <w:rsid w:val="0017142C"/>
    <w:rsid w:val="0017231A"/>
    <w:rsid w:val="0017261D"/>
    <w:rsid w:val="001729FF"/>
    <w:rsid w:val="00172AC8"/>
    <w:rsid w:val="00172AD5"/>
    <w:rsid w:val="00172B8F"/>
    <w:rsid w:val="001733B7"/>
    <w:rsid w:val="001733F7"/>
    <w:rsid w:val="001735D2"/>
    <w:rsid w:val="001736F8"/>
    <w:rsid w:val="00173D85"/>
    <w:rsid w:val="001743AE"/>
    <w:rsid w:val="00174BB3"/>
    <w:rsid w:val="00174BD0"/>
    <w:rsid w:val="00174C0E"/>
    <w:rsid w:val="00174CFE"/>
    <w:rsid w:val="00174E7A"/>
    <w:rsid w:val="00174FD4"/>
    <w:rsid w:val="001751D3"/>
    <w:rsid w:val="00176472"/>
    <w:rsid w:val="001764AB"/>
    <w:rsid w:val="00176537"/>
    <w:rsid w:val="00176DC6"/>
    <w:rsid w:val="00177758"/>
    <w:rsid w:val="00177A26"/>
    <w:rsid w:val="00180E28"/>
    <w:rsid w:val="00181593"/>
    <w:rsid w:val="001816D0"/>
    <w:rsid w:val="00181B66"/>
    <w:rsid w:val="00181E2F"/>
    <w:rsid w:val="001831DE"/>
    <w:rsid w:val="00183383"/>
    <w:rsid w:val="001834CE"/>
    <w:rsid w:val="00183625"/>
    <w:rsid w:val="0018392C"/>
    <w:rsid w:val="00183A8F"/>
    <w:rsid w:val="001841E7"/>
    <w:rsid w:val="001844DF"/>
    <w:rsid w:val="001849FB"/>
    <w:rsid w:val="00184A1D"/>
    <w:rsid w:val="00184BAE"/>
    <w:rsid w:val="00184CA6"/>
    <w:rsid w:val="00184E66"/>
    <w:rsid w:val="00184E67"/>
    <w:rsid w:val="0018506F"/>
    <w:rsid w:val="00185521"/>
    <w:rsid w:val="00185779"/>
    <w:rsid w:val="00185E63"/>
    <w:rsid w:val="001869D1"/>
    <w:rsid w:val="00186DF1"/>
    <w:rsid w:val="001878E8"/>
    <w:rsid w:val="00187912"/>
    <w:rsid w:val="00190004"/>
    <w:rsid w:val="0019047D"/>
    <w:rsid w:val="001907BD"/>
    <w:rsid w:val="0019081B"/>
    <w:rsid w:val="0019082A"/>
    <w:rsid w:val="0019094D"/>
    <w:rsid w:val="001912F5"/>
    <w:rsid w:val="00191545"/>
    <w:rsid w:val="00191602"/>
    <w:rsid w:val="00191AF3"/>
    <w:rsid w:val="001920E9"/>
    <w:rsid w:val="00192705"/>
    <w:rsid w:val="00192DDD"/>
    <w:rsid w:val="0019335D"/>
    <w:rsid w:val="0019362A"/>
    <w:rsid w:val="00193713"/>
    <w:rsid w:val="00194036"/>
    <w:rsid w:val="00194376"/>
    <w:rsid w:val="00194733"/>
    <w:rsid w:val="0019474E"/>
    <w:rsid w:val="00194B98"/>
    <w:rsid w:val="00195421"/>
    <w:rsid w:val="00195728"/>
    <w:rsid w:val="00195997"/>
    <w:rsid w:val="0019626E"/>
    <w:rsid w:val="001967F3"/>
    <w:rsid w:val="001970C0"/>
    <w:rsid w:val="001A06FE"/>
    <w:rsid w:val="001A0959"/>
    <w:rsid w:val="001A0A88"/>
    <w:rsid w:val="001A1378"/>
    <w:rsid w:val="001A1A3C"/>
    <w:rsid w:val="001A1CB7"/>
    <w:rsid w:val="001A1E57"/>
    <w:rsid w:val="001A2178"/>
    <w:rsid w:val="001A2224"/>
    <w:rsid w:val="001A2275"/>
    <w:rsid w:val="001A28E1"/>
    <w:rsid w:val="001A2A1E"/>
    <w:rsid w:val="001A2B1E"/>
    <w:rsid w:val="001A2F1A"/>
    <w:rsid w:val="001A2F30"/>
    <w:rsid w:val="001A37CC"/>
    <w:rsid w:val="001A3890"/>
    <w:rsid w:val="001A3A9A"/>
    <w:rsid w:val="001A40CB"/>
    <w:rsid w:val="001A420B"/>
    <w:rsid w:val="001A443C"/>
    <w:rsid w:val="001A4B97"/>
    <w:rsid w:val="001A4EBC"/>
    <w:rsid w:val="001A4ED1"/>
    <w:rsid w:val="001A4EDA"/>
    <w:rsid w:val="001A4F7D"/>
    <w:rsid w:val="001A5140"/>
    <w:rsid w:val="001A526C"/>
    <w:rsid w:val="001A57A2"/>
    <w:rsid w:val="001A5A3A"/>
    <w:rsid w:val="001A5BC6"/>
    <w:rsid w:val="001A5C50"/>
    <w:rsid w:val="001A6241"/>
    <w:rsid w:val="001A6514"/>
    <w:rsid w:val="001A6BDC"/>
    <w:rsid w:val="001A6C6E"/>
    <w:rsid w:val="001A6F24"/>
    <w:rsid w:val="001A78EC"/>
    <w:rsid w:val="001A7B42"/>
    <w:rsid w:val="001A7D20"/>
    <w:rsid w:val="001A7D8F"/>
    <w:rsid w:val="001B09EA"/>
    <w:rsid w:val="001B0B59"/>
    <w:rsid w:val="001B0C59"/>
    <w:rsid w:val="001B1ABB"/>
    <w:rsid w:val="001B25DA"/>
    <w:rsid w:val="001B26CA"/>
    <w:rsid w:val="001B2971"/>
    <w:rsid w:val="001B2A97"/>
    <w:rsid w:val="001B2CD4"/>
    <w:rsid w:val="001B2E56"/>
    <w:rsid w:val="001B2F0E"/>
    <w:rsid w:val="001B2F9B"/>
    <w:rsid w:val="001B326F"/>
    <w:rsid w:val="001B33F1"/>
    <w:rsid w:val="001B3600"/>
    <w:rsid w:val="001B3861"/>
    <w:rsid w:val="001B40BD"/>
    <w:rsid w:val="001B4978"/>
    <w:rsid w:val="001B4E9A"/>
    <w:rsid w:val="001B52E5"/>
    <w:rsid w:val="001B546D"/>
    <w:rsid w:val="001B5C76"/>
    <w:rsid w:val="001B6D69"/>
    <w:rsid w:val="001B6EE4"/>
    <w:rsid w:val="001B7329"/>
    <w:rsid w:val="001C0110"/>
    <w:rsid w:val="001C04FD"/>
    <w:rsid w:val="001C09FC"/>
    <w:rsid w:val="001C0D84"/>
    <w:rsid w:val="001C11DF"/>
    <w:rsid w:val="001C174A"/>
    <w:rsid w:val="001C176C"/>
    <w:rsid w:val="001C1ACE"/>
    <w:rsid w:val="001C1D05"/>
    <w:rsid w:val="001C200B"/>
    <w:rsid w:val="001C204C"/>
    <w:rsid w:val="001C2618"/>
    <w:rsid w:val="001C26DF"/>
    <w:rsid w:val="001C2A48"/>
    <w:rsid w:val="001C2AF9"/>
    <w:rsid w:val="001C2DC2"/>
    <w:rsid w:val="001C36D0"/>
    <w:rsid w:val="001C3BB0"/>
    <w:rsid w:val="001C3EBC"/>
    <w:rsid w:val="001C4080"/>
    <w:rsid w:val="001C552C"/>
    <w:rsid w:val="001C5601"/>
    <w:rsid w:val="001C569F"/>
    <w:rsid w:val="001C5852"/>
    <w:rsid w:val="001C624C"/>
    <w:rsid w:val="001C62E6"/>
    <w:rsid w:val="001C636D"/>
    <w:rsid w:val="001C65B2"/>
    <w:rsid w:val="001C69E3"/>
    <w:rsid w:val="001C6DFD"/>
    <w:rsid w:val="001C6E3F"/>
    <w:rsid w:val="001C70C6"/>
    <w:rsid w:val="001C7560"/>
    <w:rsid w:val="001C75B3"/>
    <w:rsid w:val="001C779A"/>
    <w:rsid w:val="001C7FEA"/>
    <w:rsid w:val="001D034F"/>
    <w:rsid w:val="001D0531"/>
    <w:rsid w:val="001D05D8"/>
    <w:rsid w:val="001D096A"/>
    <w:rsid w:val="001D0EDC"/>
    <w:rsid w:val="001D11A9"/>
    <w:rsid w:val="001D145B"/>
    <w:rsid w:val="001D152E"/>
    <w:rsid w:val="001D1B93"/>
    <w:rsid w:val="001D314C"/>
    <w:rsid w:val="001D32C0"/>
    <w:rsid w:val="001D3A64"/>
    <w:rsid w:val="001D49F7"/>
    <w:rsid w:val="001D4E87"/>
    <w:rsid w:val="001D510F"/>
    <w:rsid w:val="001D5793"/>
    <w:rsid w:val="001D57EF"/>
    <w:rsid w:val="001D5F24"/>
    <w:rsid w:val="001D6328"/>
    <w:rsid w:val="001D6423"/>
    <w:rsid w:val="001D6D94"/>
    <w:rsid w:val="001D74A7"/>
    <w:rsid w:val="001D776B"/>
    <w:rsid w:val="001D796C"/>
    <w:rsid w:val="001D7BA6"/>
    <w:rsid w:val="001D7E04"/>
    <w:rsid w:val="001E0C58"/>
    <w:rsid w:val="001E15F2"/>
    <w:rsid w:val="001E191F"/>
    <w:rsid w:val="001E1B16"/>
    <w:rsid w:val="001E22F7"/>
    <w:rsid w:val="001E2750"/>
    <w:rsid w:val="001E36E4"/>
    <w:rsid w:val="001E4213"/>
    <w:rsid w:val="001E4652"/>
    <w:rsid w:val="001E465F"/>
    <w:rsid w:val="001E4894"/>
    <w:rsid w:val="001E5A88"/>
    <w:rsid w:val="001E5A9C"/>
    <w:rsid w:val="001E5B3B"/>
    <w:rsid w:val="001E62EE"/>
    <w:rsid w:val="001E6390"/>
    <w:rsid w:val="001E6C5D"/>
    <w:rsid w:val="001E6F2F"/>
    <w:rsid w:val="001E7C8E"/>
    <w:rsid w:val="001E7D1A"/>
    <w:rsid w:val="001E7D54"/>
    <w:rsid w:val="001E7DB2"/>
    <w:rsid w:val="001F0894"/>
    <w:rsid w:val="001F097D"/>
    <w:rsid w:val="001F1202"/>
    <w:rsid w:val="001F157C"/>
    <w:rsid w:val="001F1F3B"/>
    <w:rsid w:val="001F20AE"/>
    <w:rsid w:val="001F22F5"/>
    <w:rsid w:val="001F2902"/>
    <w:rsid w:val="001F2EB4"/>
    <w:rsid w:val="001F2F0A"/>
    <w:rsid w:val="001F32FE"/>
    <w:rsid w:val="001F377C"/>
    <w:rsid w:val="001F398C"/>
    <w:rsid w:val="001F3A47"/>
    <w:rsid w:val="001F3D74"/>
    <w:rsid w:val="001F3F36"/>
    <w:rsid w:val="001F4317"/>
    <w:rsid w:val="001F5312"/>
    <w:rsid w:val="001F5977"/>
    <w:rsid w:val="001F5B42"/>
    <w:rsid w:val="001F5FEA"/>
    <w:rsid w:val="001F603E"/>
    <w:rsid w:val="001F652A"/>
    <w:rsid w:val="001F658C"/>
    <w:rsid w:val="001F675C"/>
    <w:rsid w:val="001F6F44"/>
    <w:rsid w:val="001F73BE"/>
    <w:rsid w:val="001F7563"/>
    <w:rsid w:val="001F758A"/>
    <w:rsid w:val="001F7AE1"/>
    <w:rsid w:val="002004C9"/>
    <w:rsid w:val="002004CD"/>
    <w:rsid w:val="00200FB7"/>
    <w:rsid w:val="002016A1"/>
    <w:rsid w:val="002019CE"/>
    <w:rsid w:val="002028A6"/>
    <w:rsid w:val="00202D85"/>
    <w:rsid w:val="00202FE7"/>
    <w:rsid w:val="002036D5"/>
    <w:rsid w:val="00203CB2"/>
    <w:rsid w:val="00203ECB"/>
    <w:rsid w:val="002041A5"/>
    <w:rsid w:val="00204B7B"/>
    <w:rsid w:val="00204E74"/>
    <w:rsid w:val="00205255"/>
    <w:rsid w:val="0020545E"/>
    <w:rsid w:val="00205A7E"/>
    <w:rsid w:val="002062F3"/>
    <w:rsid w:val="00206479"/>
    <w:rsid w:val="002067D5"/>
    <w:rsid w:val="0020682A"/>
    <w:rsid w:val="00206A4E"/>
    <w:rsid w:val="00206A77"/>
    <w:rsid w:val="00207101"/>
    <w:rsid w:val="002071AD"/>
    <w:rsid w:val="002077FD"/>
    <w:rsid w:val="002079DB"/>
    <w:rsid w:val="00207B13"/>
    <w:rsid w:val="00207C67"/>
    <w:rsid w:val="00207DDB"/>
    <w:rsid w:val="00207F59"/>
    <w:rsid w:val="00207FC7"/>
    <w:rsid w:val="0021014B"/>
    <w:rsid w:val="00210263"/>
    <w:rsid w:val="002102F3"/>
    <w:rsid w:val="00210D9D"/>
    <w:rsid w:val="00211168"/>
    <w:rsid w:val="00211771"/>
    <w:rsid w:val="00211DC3"/>
    <w:rsid w:val="0021284C"/>
    <w:rsid w:val="002128B6"/>
    <w:rsid w:val="00212D6E"/>
    <w:rsid w:val="00212E06"/>
    <w:rsid w:val="00213373"/>
    <w:rsid w:val="002136FC"/>
    <w:rsid w:val="002141C4"/>
    <w:rsid w:val="0021445B"/>
    <w:rsid w:val="002146A0"/>
    <w:rsid w:val="00214BC1"/>
    <w:rsid w:val="00215127"/>
    <w:rsid w:val="002155B6"/>
    <w:rsid w:val="002157E4"/>
    <w:rsid w:val="00215AFB"/>
    <w:rsid w:val="00215DEA"/>
    <w:rsid w:val="00215E55"/>
    <w:rsid w:val="00216395"/>
    <w:rsid w:val="00217233"/>
    <w:rsid w:val="0021730D"/>
    <w:rsid w:val="00217ABA"/>
    <w:rsid w:val="00217FC1"/>
    <w:rsid w:val="002200D8"/>
    <w:rsid w:val="00220C35"/>
    <w:rsid w:val="002210AC"/>
    <w:rsid w:val="00221C75"/>
    <w:rsid w:val="00222873"/>
    <w:rsid w:val="0022306A"/>
    <w:rsid w:val="00223224"/>
    <w:rsid w:val="0022331C"/>
    <w:rsid w:val="002233AB"/>
    <w:rsid w:val="00223664"/>
    <w:rsid w:val="002238E5"/>
    <w:rsid w:val="00223A56"/>
    <w:rsid w:val="00224283"/>
    <w:rsid w:val="002249D8"/>
    <w:rsid w:val="00225440"/>
    <w:rsid w:val="00225833"/>
    <w:rsid w:val="002259F4"/>
    <w:rsid w:val="00225D8E"/>
    <w:rsid w:val="00226095"/>
    <w:rsid w:val="0022613C"/>
    <w:rsid w:val="00226CF4"/>
    <w:rsid w:val="00226FB6"/>
    <w:rsid w:val="002270AF"/>
    <w:rsid w:val="002270EA"/>
    <w:rsid w:val="00227244"/>
    <w:rsid w:val="00227B89"/>
    <w:rsid w:val="00227DF6"/>
    <w:rsid w:val="00227F43"/>
    <w:rsid w:val="00227FEE"/>
    <w:rsid w:val="0023017E"/>
    <w:rsid w:val="00230780"/>
    <w:rsid w:val="002315F7"/>
    <w:rsid w:val="00231723"/>
    <w:rsid w:val="00231776"/>
    <w:rsid w:val="002323F2"/>
    <w:rsid w:val="002324A1"/>
    <w:rsid w:val="00232FB7"/>
    <w:rsid w:val="00233507"/>
    <w:rsid w:val="00233699"/>
    <w:rsid w:val="002338AB"/>
    <w:rsid w:val="00233AB7"/>
    <w:rsid w:val="00233EA2"/>
    <w:rsid w:val="00233F12"/>
    <w:rsid w:val="00234368"/>
    <w:rsid w:val="00234377"/>
    <w:rsid w:val="002345AB"/>
    <w:rsid w:val="00234640"/>
    <w:rsid w:val="00234A24"/>
    <w:rsid w:val="00234CAB"/>
    <w:rsid w:val="00234CF7"/>
    <w:rsid w:val="00234D51"/>
    <w:rsid w:val="002353D8"/>
    <w:rsid w:val="00235B59"/>
    <w:rsid w:val="00235EA3"/>
    <w:rsid w:val="00235EF0"/>
    <w:rsid w:val="002362E8"/>
    <w:rsid w:val="0023698A"/>
    <w:rsid w:val="0023698E"/>
    <w:rsid w:val="00236BA6"/>
    <w:rsid w:val="0023732E"/>
    <w:rsid w:val="002378F3"/>
    <w:rsid w:val="0023797E"/>
    <w:rsid w:val="0024002F"/>
    <w:rsid w:val="00240106"/>
    <w:rsid w:val="0024032C"/>
    <w:rsid w:val="00240593"/>
    <w:rsid w:val="00240AB2"/>
    <w:rsid w:val="002411C7"/>
    <w:rsid w:val="00241230"/>
    <w:rsid w:val="0024128F"/>
    <w:rsid w:val="002416F0"/>
    <w:rsid w:val="0024173A"/>
    <w:rsid w:val="0024195E"/>
    <w:rsid w:val="00241ACB"/>
    <w:rsid w:val="0024222E"/>
    <w:rsid w:val="00242D1F"/>
    <w:rsid w:val="00242F4E"/>
    <w:rsid w:val="0024345F"/>
    <w:rsid w:val="00243978"/>
    <w:rsid w:val="00243B0A"/>
    <w:rsid w:val="00243D48"/>
    <w:rsid w:val="00244104"/>
    <w:rsid w:val="00244378"/>
    <w:rsid w:val="002445A0"/>
    <w:rsid w:val="00244BA5"/>
    <w:rsid w:val="00244D1D"/>
    <w:rsid w:val="00244F9B"/>
    <w:rsid w:val="002452A0"/>
    <w:rsid w:val="002453EC"/>
    <w:rsid w:val="00245777"/>
    <w:rsid w:val="002463A6"/>
    <w:rsid w:val="00246726"/>
    <w:rsid w:val="00246ADB"/>
    <w:rsid w:val="00246BF3"/>
    <w:rsid w:val="00246C4B"/>
    <w:rsid w:val="00247532"/>
    <w:rsid w:val="002500D7"/>
    <w:rsid w:val="00250230"/>
    <w:rsid w:val="00250722"/>
    <w:rsid w:val="00251019"/>
    <w:rsid w:val="002517A5"/>
    <w:rsid w:val="002519BF"/>
    <w:rsid w:val="00251BD7"/>
    <w:rsid w:val="00251F6C"/>
    <w:rsid w:val="0025223B"/>
    <w:rsid w:val="0025249C"/>
    <w:rsid w:val="00252F36"/>
    <w:rsid w:val="002531E3"/>
    <w:rsid w:val="00253622"/>
    <w:rsid w:val="00253885"/>
    <w:rsid w:val="002539ED"/>
    <w:rsid w:val="00253B2B"/>
    <w:rsid w:val="00253C9D"/>
    <w:rsid w:val="00254363"/>
    <w:rsid w:val="0025440D"/>
    <w:rsid w:val="0025450E"/>
    <w:rsid w:val="002547D8"/>
    <w:rsid w:val="00255128"/>
    <w:rsid w:val="00255152"/>
    <w:rsid w:val="002553B4"/>
    <w:rsid w:val="0025554E"/>
    <w:rsid w:val="0025559A"/>
    <w:rsid w:val="00255709"/>
    <w:rsid w:val="002562FB"/>
    <w:rsid w:val="00256B90"/>
    <w:rsid w:val="00256E0E"/>
    <w:rsid w:val="00256F23"/>
    <w:rsid w:val="00256F69"/>
    <w:rsid w:val="00257306"/>
    <w:rsid w:val="00257700"/>
    <w:rsid w:val="002577BC"/>
    <w:rsid w:val="00257D37"/>
    <w:rsid w:val="00257E1A"/>
    <w:rsid w:val="00257E7D"/>
    <w:rsid w:val="00260D94"/>
    <w:rsid w:val="00261345"/>
    <w:rsid w:val="00261391"/>
    <w:rsid w:val="00261A42"/>
    <w:rsid w:val="0026224C"/>
    <w:rsid w:val="002632E3"/>
    <w:rsid w:val="002635BB"/>
    <w:rsid w:val="002638F4"/>
    <w:rsid w:val="00263982"/>
    <w:rsid w:val="00263C6F"/>
    <w:rsid w:val="00263D05"/>
    <w:rsid w:val="00264B11"/>
    <w:rsid w:val="0026503D"/>
    <w:rsid w:val="0026512B"/>
    <w:rsid w:val="00265610"/>
    <w:rsid w:val="00265F71"/>
    <w:rsid w:val="0026613E"/>
    <w:rsid w:val="00266191"/>
    <w:rsid w:val="00266563"/>
    <w:rsid w:val="002665B4"/>
    <w:rsid w:val="00266818"/>
    <w:rsid w:val="00267102"/>
    <w:rsid w:val="00270068"/>
    <w:rsid w:val="00270405"/>
    <w:rsid w:val="00271056"/>
    <w:rsid w:val="0027160C"/>
    <w:rsid w:val="00271ABD"/>
    <w:rsid w:val="00271E1C"/>
    <w:rsid w:val="00271EE8"/>
    <w:rsid w:val="00272051"/>
    <w:rsid w:val="0027252D"/>
    <w:rsid w:val="002725F8"/>
    <w:rsid w:val="00272DAD"/>
    <w:rsid w:val="00273C96"/>
    <w:rsid w:val="00274031"/>
    <w:rsid w:val="0027477B"/>
    <w:rsid w:val="002749E2"/>
    <w:rsid w:val="00274D31"/>
    <w:rsid w:val="00274DCE"/>
    <w:rsid w:val="00274FF4"/>
    <w:rsid w:val="0027517E"/>
    <w:rsid w:val="002751D1"/>
    <w:rsid w:val="00275209"/>
    <w:rsid w:val="00275497"/>
    <w:rsid w:val="0027551D"/>
    <w:rsid w:val="00275809"/>
    <w:rsid w:val="00276150"/>
    <w:rsid w:val="002761A3"/>
    <w:rsid w:val="002767AA"/>
    <w:rsid w:val="002770B1"/>
    <w:rsid w:val="00277582"/>
    <w:rsid w:val="00277746"/>
    <w:rsid w:val="00277747"/>
    <w:rsid w:val="002802EC"/>
    <w:rsid w:val="002804A4"/>
    <w:rsid w:val="00280AAA"/>
    <w:rsid w:val="002825B1"/>
    <w:rsid w:val="002826CB"/>
    <w:rsid w:val="002829FE"/>
    <w:rsid w:val="00282A82"/>
    <w:rsid w:val="002831C5"/>
    <w:rsid w:val="0028324D"/>
    <w:rsid w:val="00283BBA"/>
    <w:rsid w:val="00283DA9"/>
    <w:rsid w:val="00283F78"/>
    <w:rsid w:val="00284186"/>
    <w:rsid w:val="00284340"/>
    <w:rsid w:val="002847A2"/>
    <w:rsid w:val="00284E34"/>
    <w:rsid w:val="002859F9"/>
    <w:rsid w:val="00285F5C"/>
    <w:rsid w:val="00286142"/>
    <w:rsid w:val="00286846"/>
    <w:rsid w:val="002869C0"/>
    <w:rsid w:val="00286A6E"/>
    <w:rsid w:val="00287024"/>
    <w:rsid w:val="0028704F"/>
    <w:rsid w:val="00287E46"/>
    <w:rsid w:val="00287E78"/>
    <w:rsid w:val="00290676"/>
    <w:rsid w:val="002907E8"/>
    <w:rsid w:val="00290E45"/>
    <w:rsid w:val="00291462"/>
    <w:rsid w:val="00291572"/>
    <w:rsid w:val="00291EC0"/>
    <w:rsid w:val="00291FD7"/>
    <w:rsid w:val="00292505"/>
    <w:rsid w:val="00292A02"/>
    <w:rsid w:val="00292B02"/>
    <w:rsid w:val="00292F5A"/>
    <w:rsid w:val="0029322D"/>
    <w:rsid w:val="002936E3"/>
    <w:rsid w:val="002937B8"/>
    <w:rsid w:val="00293E2B"/>
    <w:rsid w:val="0029412D"/>
    <w:rsid w:val="00294677"/>
    <w:rsid w:val="00294706"/>
    <w:rsid w:val="00294D68"/>
    <w:rsid w:val="0029520D"/>
    <w:rsid w:val="002959F8"/>
    <w:rsid w:val="00295DA0"/>
    <w:rsid w:val="0029621B"/>
    <w:rsid w:val="00296535"/>
    <w:rsid w:val="002972EE"/>
    <w:rsid w:val="00297BA3"/>
    <w:rsid w:val="00297F84"/>
    <w:rsid w:val="002A04B2"/>
    <w:rsid w:val="002A04B4"/>
    <w:rsid w:val="002A0AEB"/>
    <w:rsid w:val="002A0E5F"/>
    <w:rsid w:val="002A0E6F"/>
    <w:rsid w:val="002A10BE"/>
    <w:rsid w:val="002A11AA"/>
    <w:rsid w:val="002A11D3"/>
    <w:rsid w:val="002A145B"/>
    <w:rsid w:val="002A146B"/>
    <w:rsid w:val="002A18BE"/>
    <w:rsid w:val="002A2100"/>
    <w:rsid w:val="002A2206"/>
    <w:rsid w:val="002A222E"/>
    <w:rsid w:val="002A2762"/>
    <w:rsid w:val="002A29B3"/>
    <w:rsid w:val="002A3564"/>
    <w:rsid w:val="002A36F6"/>
    <w:rsid w:val="002A3E4F"/>
    <w:rsid w:val="002A4084"/>
    <w:rsid w:val="002A40AA"/>
    <w:rsid w:val="002A49C6"/>
    <w:rsid w:val="002A4AD6"/>
    <w:rsid w:val="002A4BFA"/>
    <w:rsid w:val="002A4DED"/>
    <w:rsid w:val="002A4E57"/>
    <w:rsid w:val="002A4F75"/>
    <w:rsid w:val="002A4FDD"/>
    <w:rsid w:val="002A5158"/>
    <w:rsid w:val="002A5714"/>
    <w:rsid w:val="002A5B5E"/>
    <w:rsid w:val="002A5C05"/>
    <w:rsid w:val="002A6E7A"/>
    <w:rsid w:val="002A6F82"/>
    <w:rsid w:val="002A7196"/>
    <w:rsid w:val="002A726B"/>
    <w:rsid w:val="002A72AA"/>
    <w:rsid w:val="002A76AE"/>
    <w:rsid w:val="002A7858"/>
    <w:rsid w:val="002A7CB3"/>
    <w:rsid w:val="002A7D39"/>
    <w:rsid w:val="002B01BA"/>
    <w:rsid w:val="002B0909"/>
    <w:rsid w:val="002B0EEE"/>
    <w:rsid w:val="002B0FC9"/>
    <w:rsid w:val="002B1384"/>
    <w:rsid w:val="002B1AE3"/>
    <w:rsid w:val="002B1D99"/>
    <w:rsid w:val="002B273C"/>
    <w:rsid w:val="002B28F8"/>
    <w:rsid w:val="002B2AEE"/>
    <w:rsid w:val="002B316F"/>
    <w:rsid w:val="002B350E"/>
    <w:rsid w:val="002B3681"/>
    <w:rsid w:val="002B3F18"/>
    <w:rsid w:val="002B4CD2"/>
    <w:rsid w:val="002B5115"/>
    <w:rsid w:val="002B5264"/>
    <w:rsid w:val="002B54D0"/>
    <w:rsid w:val="002B56FE"/>
    <w:rsid w:val="002B586A"/>
    <w:rsid w:val="002B5ADD"/>
    <w:rsid w:val="002B5B11"/>
    <w:rsid w:val="002B5CF7"/>
    <w:rsid w:val="002B667C"/>
    <w:rsid w:val="002B6FFD"/>
    <w:rsid w:val="002B710F"/>
    <w:rsid w:val="002B7743"/>
    <w:rsid w:val="002B77FC"/>
    <w:rsid w:val="002C05C7"/>
    <w:rsid w:val="002C06B2"/>
    <w:rsid w:val="002C095C"/>
    <w:rsid w:val="002C11CA"/>
    <w:rsid w:val="002C1CE5"/>
    <w:rsid w:val="002C1D81"/>
    <w:rsid w:val="002C221B"/>
    <w:rsid w:val="002C254A"/>
    <w:rsid w:val="002C255B"/>
    <w:rsid w:val="002C2D3D"/>
    <w:rsid w:val="002C3723"/>
    <w:rsid w:val="002C3F54"/>
    <w:rsid w:val="002C45E8"/>
    <w:rsid w:val="002C4B6E"/>
    <w:rsid w:val="002C4CE6"/>
    <w:rsid w:val="002C55CB"/>
    <w:rsid w:val="002C55FD"/>
    <w:rsid w:val="002C5A9A"/>
    <w:rsid w:val="002C5EB9"/>
    <w:rsid w:val="002C5F22"/>
    <w:rsid w:val="002C6734"/>
    <w:rsid w:val="002C70CE"/>
    <w:rsid w:val="002C725D"/>
    <w:rsid w:val="002C73CB"/>
    <w:rsid w:val="002C783F"/>
    <w:rsid w:val="002D080E"/>
    <w:rsid w:val="002D0CA1"/>
    <w:rsid w:val="002D18C8"/>
    <w:rsid w:val="002D18FA"/>
    <w:rsid w:val="002D1C31"/>
    <w:rsid w:val="002D1D1C"/>
    <w:rsid w:val="002D24D5"/>
    <w:rsid w:val="002D2AE2"/>
    <w:rsid w:val="002D366D"/>
    <w:rsid w:val="002D3727"/>
    <w:rsid w:val="002D4584"/>
    <w:rsid w:val="002D49E2"/>
    <w:rsid w:val="002D49EC"/>
    <w:rsid w:val="002D4AA0"/>
    <w:rsid w:val="002D5097"/>
    <w:rsid w:val="002D55E4"/>
    <w:rsid w:val="002D589B"/>
    <w:rsid w:val="002D5ADE"/>
    <w:rsid w:val="002D624A"/>
    <w:rsid w:val="002D6352"/>
    <w:rsid w:val="002D6524"/>
    <w:rsid w:val="002D6663"/>
    <w:rsid w:val="002D690D"/>
    <w:rsid w:val="002D6B36"/>
    <w:rsid w:val="002D6FB5"/>
    <w:rsid w:val="002D70A1"/>
    <w:rsid w:val="002D70AD"/>
    <w:rsid w:val="002D711C"/>
    <w:rsid w:val="002D7382"/>
    <w:rsid w:val="002D73A7"/>
    <w:rsid w:val="002D7560"/>
    <w:rsid w:val="002D7588"/>
    <w:rsid w:val="002E0107"/>
    <w:rsid w:val="002E04D8"/>
    <w:rsid w:val="002E054F"/>
    <w:rsid w:val="002E1444"/>
    <w:rsid w:val="002E16EB"/>
    <w:rsid w:val="002E17C1"/>
    <w:rsid w:val="002E1C11"/>
    <w:rsid w:val="002E1C86"/>
    <w:rsid w:val="002E28F3"/>
    <w:rsid w:val="002E36E0"/>
    <w:rsid w:val="002E3AC6"/>
    <w:rsid w:val="002E3E8E"/>
    <w:rsid w:val="002E4382"/>
    <w:rsid w:val="002E4CD9"/>
    <w:rsid w:val="002E4E24"/>
    <w:rsid w:val="002E5745"/>
    <w:rsid w:val="002E5AFD"/>
    <w:rsid w:val="002E5C1F"/>
    <w:rsid w:val="002E5EDA"/>
    <w:rsid w:val="002E6316"/>
    <w:rsid w:val="002E63BE"/>
    <w:rsid w:val="002E6F12"/>
    <w:rsid w:val="002E70F6"/>
    <w:rsid w:val="002E747C"/>
    <w:rsid w:val="002E7775"/>
    <w:rsid w:val="002E7A35"/>
    <w:rsid w:val="002E7A8A"/>
    <w:rsid w:val="002E7AD2"/>
    <w:rsid w:val="002E7CDD"/>
    <w:rsid w:val="002E7D53"/>
    <w:rsid w:val="002F0BDC"/>
    <w:rsid w:val="002F10DA"/>
    <w:rsid w:val="002F124D"/>
    <w:rsid w:val="002F1399"/>
    <w:rsid w:val="002F162C"/>
    <w:rsid w:val="002F1D03"/>
    <w:rsid w:val="002F1DA4"/>
    <w:rsid w:val="002F23A7"/>
    <w:rsid w:val="002F2549"/>
    <w:rsid w:val="002F278E"/>
    <w:rsid w:val="002F27B0"/>
    <w:rsid w:val="002F2B2C"/>
    <w:rsid w:val="002F318E"/>
    <w:rsid w:val="002F32FB"/>
    <w:rsid w:val="002F3971"/>
    <w:rsid w:val="002F3C09"/>
    <w:rsid w:val="002F44AC"/>
    <w:rsid w:val="002F4A8A"/>
    <w:rsid w:val="002F4E1C"/>
    <w:rsid w:val="002F4FA0"/>
    <w:rsid w:val="002F5068"/>
    <w:rsid w:val="002F540F"/>
    <w:rsid w:val="002F5488"/>
    <w:rsid w:val="002F54CE"/>
    <w:rsid w:val="002F5611"/>
    <w:rsid w:val="002F5797"/>
    <w:rsid w:val="002F5987"/>
    <w:rsid w:val="002F5F5E"/>
    <w:rsid w:val="002F5F85"/>
    <w:rsid w:val="002F6413"/>
    <w:rsid w:val="002F693F"/>
    <w:rsid w:val="002F7A80"/>
    <w:rsid w:val="0030019B"/>
    <w:rsid w:val="00300484"/>
    <w:rsid w:val="003008CC"/>
    <w:rsid w:val="00300CB0"/>
    <w:rsid w:val="00300D3F"/>
    <w:rsid w:val="00300EDA"/>
    <w:rsid w:val="00300FC0"/>
    <w:rsid w:val="00301763"/>
    <w:rsid w:val="00301B4C"/>
    <w:rsid w:val="00302252"/>
    <w:rsid w:val="003026EF"/>
    <w:rsid w:val="0030343F"/>
    <w:rsid w:val="00303605"/>
    <w:rsid w:val="003037ED"/>
    <w:rsid w:val="0030386A"/>
    <w:rsid w:val="00303C60"/>
    <w:rsid w:val="00303C97"/>
    <w:rsid w:val="003042D7"/>
    <w:rsid w:val="003043B5"/>
    <w:rsid w:val="003047F6"/>
    <w:rsid w:val="0030481D"/>
    <w:rsid w:val="003048A3"/>
    <w:rsid w:val="00304C4E"/>
    <w:rsid w:val="00304FB8"/>
    <w:rsid w:val="00305143"/>
    <w:rsid w:val="00305263"/>
    <w:rsid w:val="003056DE"/>
    <w:rsid w:val="00306651"/>
    <w:rsid w:val="003066D3"/>
    <w:rsid w:val="0030672D"/>
    <w:rsid w:val="00306825"/>
    <w:rsid w:val="00306CE5"/>
    <w:rsid w:val="00307299"/>
    <w:rsid w:val="003076EF"/>
    <w:rsid w:val="003079C9"/>
    <w:rsid w:val="00307BC9"/>
    <w:rsid w:val="0031002A"/>
    <w:rsid w:val="00310393"/>
    <w:rsid w:val="0031055E"/>
    <w:rsid w:val="00310613"/>
    <w:rsid w:val="00310B32"/>
    <w:rsid w:val="00310B9B"/>
    <w:rsid w:val="00310C3F"/>
    <w:rsid w:val="00310C67"/>
    <w:rsid w:val="003119F9"/>
    <w:rsid w:val="00311E66"/>
    <w:rsid w:val="00312538"/>
    <w:rsid w:val="003129F5"/>
    <w:rsid w:val="00312A2A"/>
    <w:rsid w:val="00312E25"/>
    <w:rsid w:val="003136F9"/>
    <w:rsid w:val="00313B88"/>
    <w:rsid w:val="00313D4B"/>
    <w:rsid w:val="00313D76"/>
    <w:rsid w:val="003140D2"/>
    <w:rsid w:val="00314561"/>
    <w:rsid w:val="00314A23"/>
    <w:rsid w:val="00314A95"/>
    <w:rsid w:val="00314B9A"/>
    <w:rsid w:val="00315779"/>
    <w:rsid w:val="0031587E"/>
    <w:rsid w:val="00316AB8"/>
    <w:rsid w:val="00316D77"/>
    <w:rsid w:val="0031755D"/>
    <w:rsid w:val="00317701"/>
    <w:rsid w:val="00317714"/>
    <w:rsid w:val="00317D3C"/>
    <w:rsid w:val="00320247"/>
    <w:rsid w:val="003202E1"/>
    <w:rsid w:val="0032067C"/>
    <w:rsid w:val="00320A17"/>
    <w:rsid w:val="00320B34"/>
    <w:rsid w:val="00321BA1"/>
    <w:rsid w:val="00321DB2"/>
    <w:rsid w:val="00322A6C"/>
    <w:rsid w:val="00322DA9"/>
    <w:rsid w:val="00322FF2"/>
    <w:rsid w:val="00323428"/>
    <w:rsid w:val="003236E6"/>
    <w:rsid w:val="00323890"/>
    <w:rsid w:val="00323AF6"/>
    <w:rsid w:val="00323DEE"/>
    <w:rsid w:val="00323E52"/>
    <w:rsid w:val="00323F3B"/>
    <w:rsid w:val="00324367"/>
    <w:rsid w:val="00324BC2"/>
    <w:rsid w:val="003251C2"/>
    <w:rsid w:val="003259AC"/>
    <w:rsid w:val="00325F1D"/>
    <w:rsid w:val="00325FA0"/>
    <w:rsid w:val="00326581"/>
    <w:rsid w:val="003267F0"/>
    <w:rsid w:val="00326ECC"/>
    <w:rsid w:val="00326F1C"/>
    <w:rsid w:val="00327162"/>
    <w:rsid w:val="003271DB"/>
    <w:rsid w:val="00327D01"/>
    <w:rsid w:val="0033002E"/>
    <w:rsid w:val="00330265"/>
    <w:rsid w:val="003307E5"/>
    <w:rsid w:val="00330A0A"/>
    <w:rsid w:val="00330EAA"/>
    <w:rsid w:val="003312D9"/>
    <w:rsid w:val="0033135D"/>
    <w:rsid w:val="003315F9"/>
    <w:rsid w:val="00331700"/>
    <w:rsid w:val="00332121"/>
    <w:rsid w:val="00332639"/>
    <w:rsid w:val="0033264A"/>
    <w:rsid w:val="00332877"/>
    <w:rsid w:val="003328A9"/>
    <w:rsid w:val="00333DC4"/>
    <w:rsid w:val="00333F7C"/>
    <w:rsid w:val="00333FBF"/>
    <w:rsid w:val="0033477B"/>
    <w:rsid w:val="00334805"/>
    <w:rsid w:val="003350AD"/>
    <w:rsid w:val="00335E3E"/>
    <w:rsid w:val="00335EBB"/>
    <w:rsid w:val="0033621F"/>
    <w:rsid w:val="003365D1"/>
    <w:rsid w:val="00336716"/>
    <w:rsid w:val="003367B8"/>
    <w:rsid w:val="00336FC3"/>
    <w:rsid w:val="003371B5"/>
    <w:rsid w:val="00337416"/>
    <w:rsid w:val="003374E3"/>
    <w:rsid w:val="0033784C"/>
    <w:rsid w:val="00337BAF"/>
    <w:rsid w:val="00337C65"/>
    <w:rsid w:val="00337DF3"/>
    <w:rsid w:val="0034009B"/>
    <w:rsid w:val="0034014D"/>
    <w:rsid w:val="003401A4"/>
    <w:rsid w:val="00340341"/>
    <w:rsid w:val="00340E9F"/>
    <w:rsid w:val="003417CB"/>
    <w:rsid w:val="00341ED8"/>
    <w:rsid w:val="0034228C"/>
    <w:rsid w:val="00342969"/>
    <w:rsid w:val="003430AA"/>
    <w:rsid w:val="003435A9"/>
    <w:rsid w:val="003439AB"/>
    <w:rsid w:val="003439BC"/>
    <w:rsid w:val="00343A56"/>
    <w:rsid w:val="00343F81"/>
    <w:rsid w:val="0034423C"/>
    <w:rsid w:val="0034431B"/>
    <w:rsid w:val="00344649"/>
    <w:rsid w:val="0034493E"/>
    <w:rsid w:val="00344E1F"/>
    <w:rsid w:val="00345496"/>
    <w:rsid w:val="003459CA"/>
    <w:rsid w:val="00345BCF"/>
    <w:rsid w:val="00345C47"/>
    <w:rsid w:val="003466F9"/>
    <w:rsid w:val="00350092"/>
    <w:rsid w:val="003501D0"/>
    <w:rsid w:val="00350720"/>
    <w:rsid w:val="00350DFA"/>
    <w:rsid w:val="0035104A"/>
    <w:rsid w:val="00351642"/>
    <w:rsid w:val="003517A7"/>
    <w:rsid w:val="003519AD"/>
    <w:rsid w:val="00351D67"/>
    <w:rsid w:val="00351E0E"/>
    <w:rsid w:val="00352076"/>
    <w:rsid w:val="00352301"/>
    <w:rsid w:val="0035245C"/>
    <w:rsid w:val="00352700"/>
    <w:rsid w:val="0035295D"/>
    <w:rsid w:val="00352D57"/>
    <w:rsid w:val="00353F44"/>
    <w:rsid w:val="003543D0"/>
    <w:rsid w:val="00354EB4"/>
    <w:rsid w:val="003555A6"/>
    <w:rsid w:val="00355967"/>
    <w:rsid w:val="00355A61"/>
    <w:rsid w:val="00355AD7"/>
    <w:rsid w:val="00355C27"/>
    <w:rsid w:val="0035651E"/>
    <w:rsid w:val="003565B3"/>
    <w:rsid w:val="00356D29"/>
    <w:rsid w:val="003571C2"/>
    <w:rsid w:val="00357702"/>
    <w:rsid w:val="0036013D"/>
    <w:rsid w:val="00360528"/>
    <w:rsid w:val="0036096E"/>
    <w:rsid w:val="00360B77"/>
    <w:rsid w:val="00361624"/>
    <w:rsid w:val="00361D77"/>
    <w:rsid w:val="00361F4F"/>
    <w:rsid w:val="00361FB1"/>
    <w:rsid w:val="003626FC"/>
    <w:rsid w:val="00362C93"/>
    <w:rsid w:val="003632B7"/>
    <w:rsid w:val="00363ACE"/>
    <w:rsid w:val="00363B44"/>
    <w:rsid w:val="00363CF6"/>
    <w:rsid w:val="003640A7"/>
    <w:rsid w:val="003643DF"/>
    <w:rsid w:val="003648AB"/>
    <w:rsid w:val="00364E19"/>
    <w:rsid w:val="00365447"/>
    <w:rsid w:val="0036598D"/>
    <w:rsid w:val="00365AED"/>
    <w:rsid w:val="003664BA"/>
    <w:rsid w:val="00366D01"/>
    <w:rsid w:val="00366DC0"/>
    <w:rsid w:val="00366FEA"/>
    <w:rsid w:val="0036746F"/>
    <w:rsid w:val="003677F9"/>
    <w:rsid w:val="0036794E"/>
    <w:rsid w:val="00367CDE"/>
    <w:rsid w:val="00370489"/>
    <w:rsid w:val="003704CC"/>
    <w:rsid w:val="003710F2"/>
    <w:rsid w:val="00371120"/>
    <w:rsid w:val="0037115B"/>
    <w:rsid w:val="0037160F"/>
    <w:rsid w:val="0037308D"/>
    <w:rsid w:val="00373187"/>
    <w:rsid w:val="003731F1"/>
    <w:rsid w:val="0037320C"/>
    <w:rsid w:val="003733EB"/>
    <w:rsid w:val="0037375A"/>
    <w:rsid w:val="00373936"/>
    <w:rsid w:val="0037394E"/>
    <w:rsid w:val="00373AF8"/>
    <w:rsid w:val="00373C1C"/>
    <w:rsid w:val="00374477"/>
    <w:rsid w:val="0037475B"/>
    <w:rsid w:val="0037492F"/>
    <w:rsid w:val="00374D65"/>
    <w:rsid w:val="00375D46"/>
    <w:rsid w:val="00376022"/>
    <w:rsid w:val="0037620C"/>
    <w:rsid w:val="00376421"/>
    <w:rsid w:val="0037675D"/>
    <w:rsid w:val="0037754C"/>
    <w:rsid w:val="003777A6"/>
    <w:rsid w:val="00377B34"/>
    <w:rsid w:val="00377F04"/>
    <w:rsid w:val="00380354"/>
    <w:rsid w:val="0038039B"/>
    <w:rsid w:val="00380E1C"/>
    <w:rsid w:val="00381171"/>
    <w:rsid w:val="00381290"/>
    <w:rsid w:val="0038131B"/>
    <w:rsid w:val="0038146C"/>
    <w:rsid w:val="00381B2A"/>
    <w:rsid w:val="00381B34"/>
    <w:rsid w:val="00382367"/>
    <w:rsid w:val="00382609"/>
    <w:rsid w:val="003827A5"/>
    <w:rsid w:val="00383098"/>
    <w:rsid w:val="0038362D"/>
    <w:rsid w:val="003840E1"/>
    <w:rsid w:val="00385E7A"/>
    <w:rsid w:val="00386124"/>
    <w:rsid w:val="003864D5"/>
    <w:rsid w:val="0038697C"/>
    <w:rsid w:val="00386A82"/>
    <w:rsid w:val="00387062"/>
    <w:rsid w:val="0038745A"/>
    <w:rsid w:val="00390567"/>
    <w:rsid w:val="00391449"/>
    <w:rsid w:val="003915D4"/>
    <w:rsid w:val="003915D6"/>
    <w:rsid w:val="00391ACB"/>
    <w:rsid w:val="00391C28"/>
    <w:rsid w:val="00392290"/>
    <w:rsid w:val="003925E3"/>
    <w:rsid w:val="00394C2B"/>
    <w:rsid w:val="0039510D"/>
    <w:rsid w:val="0039558F"/>
    <w:rsid w:val="003958C8"/>
    <w:rsid w:val="00396129"/>
    <w:rsid w:val="003962E1"/>
    <w:rsid w:val="003963CC"/>
    <w:rsid w:val="003966F6"/>
    <w:rsid w:val="0039677D"/>
    <w:rsid w:val="00396C2C"/>
    <w:rsid w:val="00397138"/>
    <w:rsid w:val="00397373"/>
    <w:rsid w:val="00397548"/>
    <w:rsid w:val="00397698"/>
    <w:rsid w:val="00397BE0"/>
    <w:rsid w:val="003A05C3"/>
    <w:rsid w:val="003A0660"/>
    <w:rsid w:val="003A0720"/>
    <w:rsid w:val="003A0A1B"/>
    <w:rsid w:val="003A0D52"/>
    <w:rsid w:val="003A1815"/>
    <w:rsid w:val="003A1DEF"/>
    <w:rsid w:val="003A2570"/>
    <w:rsid w:val="003A2970"/>
    <w:rsid w:val="003A2BBD"/>
    <w:rsid w:val="003A2C0B"/>
    <w:rsid w:val="003A2ED1"/>
    <w:rsid w:val="003A3BD6"/>
    <w:rsid w:val="003A3CB8"/>
    <w:rsid w:val="003A3DDF"/>
    <w:rsid w:val="003A46FB"/>
    <w:rsid w:val="003A4C47"/>
    <w:rsid w:val="003A4D8B"/>
    <w:rsid w:val="003A4DF5"/>
    <w:rsid w:val="003A4E51"/>
    <w:rsid w:val="003A505A"/>
    <w:rsid w:val="003A5232"/>
    <w:rsid w:val="003A5D8C"/>
    <w:rsid w:val="003A5FA5"/>
    <w:rsid w:val="003A657F"/>
    <w:rsid w:val="003A6724"/>
    <w:rsid w:val="003A6E1A"/>
    <w:rsid w:val="003A7B3F"/>
    <w:rsid w:val="003B0145"/>
    <w:rsid w:val="003B039B"/>
    <w:rsid w:val="003B0885"/>
    <w:rsid w:val="003B09CF"/>
    <w:rsid w:val="003B0BA1"/>
    <w:rsid w:val="003B0BA8"/>
    <w:rsid w:val="003B0D31"/>
    <w:rsid w:val="003B0EEB"/>
    <w:rsid w:val="003B1B04"/>
    <w:rsid w:val="003B1FFB"/>
    <w:rsid w:val="003B2260"/>
    <w:rsid w:val="003B25A3"/>
    <w:rsid w:val="003B27A5"/>
    <w:rsid w:val="003B2800"/>
    <w:rsid w:val="003B2E4E"/>
    <w:rsid w:val="003B2E93"/>
    <w:rsid w:val="003B2F11"/>
    <w:rsid w:val="003B4599"/>
    <w:rsid w:val="003B47F2"/>
    <w:rsid w:val="003B486F"/>
    <w:rsid w:val="003B587E"/>
    <w:rsid w:val="003B5ECB"/>
    <w:rsid w:val="003B61B7"/>
    <w:rsid w:val="003B6582"/>
    <w:rsid w:val="003B6893"/>
    <w:rsid w:val="003B6F1C"/>
    <w:rsid w:val="003B7E69"/>
    <w:rsid w:val="003B7E6C"/>
    <w:rsid w:val="003C001F"/>
    <w:rsid w:val="003C0407"/>
    <w:rsid w:val="003C04C7"/>
    <w:rsid w:val="003C0549"/>
    <w:rsid w:val="003C0612"/>
    <w:rsid w:val="003C0A59"/>
    <w:rsid w:val="003C0C9D"/>
    <w:rsid w:val="003C0E40"/>
    <w:rsid w:val="003C0E62"/>
    <w:rsid w:val="003C1357"/>
    <w:rsid w:val="003C182D"/>
    <w:rsid w:val="003C1A18"/>
    <w:rsid w:val="003C1AE2"/>
    <w:rsid w:val="003C2173"/>
    <w:rsid w:val="003C3251"/>
    <w:rsid w:val="003C3C96"/>
    <w:rsid w:val="003C4098"/>
    <w:rsid w:val="003C4297"/>
    <w:rsid w:val="003C45DB"/>
    <w:rsid w:val="003C4610"/>
    <w:rsid w:val="003C4D6B"/>
    <w:rsid w:val="003C4F8F"/>
    <w:rsid w:val="003C5AAC"/>
    <w:rsid w:val="003C5AE5"/>
    <w:rsid w:val="003C5E69"/>
    <w:rsid w:val="003C6438"/>
    <w:rsid w:val="003C6A7D"/>
    <w:rsid w:val="003C6B59"/>
    <w:rsid w:val="003C7363"/>
    <w:rsid w:val="003C7980"/>
    <w:rsid w:val="003D110C"/>
    <w:rsid w:val="003D1BF9"/>
    <w:rsid w:val="003D1C73"/>
    <w:rsid w:val="003D236B"/>
    <w:rsid w:val="003D299E"/>
    <w:rsid w:val="003D3182"/>
    <w:rsid w:val="003D3778"/>
    <w:rsid w:val="003D3975"/>
    <w:rsid w:val="003D4741"/>
    <w:rsid w:val="003D48FB"/>
    <w:rsid w:val="003D4919"/>
    <w:rsid w:val="003D4E06"/>
    <w:rsid w:val="003D55B6"/>
    <w:rsid w:val="003D55E1"/>
    <w:rsid w:val="003D59DB"/>
    <w:rsid w:val="003D5A9E"/>
    <w:rsid w:val="003D641A"/>
    <w:rsid w:val="003D6729"/>
    <w:rsid w:val="003D6B0D"/>
    <w:rsid w:val="003D6EFD"/>
    <w:rsid w:val="003D70E8"/>
    <w:rsid w:val="003D70FB"/>
    <w:rsid w:val="003D71EB"/>
    <w:rsid w:val="003D7469"/>
    <w:rsid w:val="003D7547"/>
    <w:rsid w:val="003D7D9D"/>
    <w:rsid w:val="003E002E"/>
    <w:rsid w:val="003E018D"/>
    <w:rsid w:val="003E06FD"/>
    <w:rsid w:val="003E0825"/>
    <w:rsid w:val="003E0869"/>
    <w:rsid w:val="003E0BE7"/>
    <w:rsid w:val="003E1613"/>
    <w:rsid w:val="003E22CB"/>
    <w:rsid w:val="003E2343"/>
    <w:rsid w:val="003E24D7"/>
    <w:rsid w:val="003E2C49"/>
    <w:rsid w:val="003E2C93"/>
    <w:rsid w:val="003E3015"/>
    <w:rsid w:val="003E3354"/>
    <w:rsid w:val="003E33BD"/>
    <w:rsid w:val="003E406B"/>
    <w:rsid w:val="003E4F96"/>
    <w:rsid w:val="003E5CCA"/>
    <w:rsid w:val="003E68DC"/>
    <w:rsid w:val="003E6A2E"/>
    <w:rsid w:val="003E7773"/>
    <w:rsid w:val="003E7B2D"/>
    <w:rsid w:val="003F05E0"/>
    <w:rsid w:val="003F115E"/>
    <w:rsid w:val="003F1335"/>
    <w:rsid w:val="003F14C2"/>
    <w:rsid w:val="003F1F52"/>
    <w:rsid w:val="003F2210"/>
    <w:rsid w:val="003F23B5"/>
    <w:rsid w:val="003F2B29"/>
    <w:rsid w:val="003F426B"/>
    <w:rsid w:val="003F4BFF"/>
    <w:rsid w:val="003F535C"/>
    <w:rsid w:val="003F5411"/>
    <w:rsid w:val="003F5689"/>
    <w:rsid w:val="003F5807"/>
    <w:rsid w:val="003F5FDA"/>
    <w:rsid w:val="003F60C9"/>
    <w:rsid w:val="003F60E3"/>
    <w:rsid w:val="003F67DB"/>
    <w:rsid w:val="003F68A8"/>
    <w:rsid w:val="003F68C1"/>
    <w:rsid w:val="003F6CA6"/>
    <w:rsid w:val="003F7196"/>
    <w:rsid w:val="003F7490"/>
    <w:rsid w:val="003F7E27"/>
    <w:rsid w:val="004008AF"/>
    <w:rsid w:val="00400B5F"/>
    <w:rsid w:val="00401698"/>
    <w:rsid w:val="00401C19"/>
    <w:rsid w:val="00401DBF"/>
    <w:rsid w:val="00402028"/>
    <w:rsid w:val="004029B5"/>
    <w:rsid w:val="00402A6F"/>
    <w:rsid w:val="004033D9"/>
    <w:rsid w:val="004033DA"/>
    <w:rsid w:val="004036F4"/>
    <w:rsid w:val="00403A8A"/>
    <w:rsid w:val="00403AC5"/>
    <w:rsid w:val="00403EF9"/>
    <w:rsid w:val="00404243"/>
    <w:rsid w:val="00404A94"/>
    <w:rsid w:val="004054BC"/>
    <w:rsid w:val="0040551F"/>
    <w:rsid w:val="00405FC7"/>
    <w:rsid w:val="004065EF"/>
    <w:rsid w:val="00406842"/>
    <w:rsid w:val="00406970"/>
    <w:rsid w:val="00406FFE"/>
    <w:rsid w:val="004070C4"/>
    <w:rsid w:val="00407534"/>
    <w:rsid w:val="0040771F"/>
    <w:rsid w:val="00407DE2"/>
    <w:rsid w:val="00410143"/>
    <w:rsid w:val="004108F2"/>
    <w:rsid w:val="004111F7"/>
    <w:rsid w:val="004112FE"/>
    <w:rsid w:val="00411CEA"/>
    <w:rsid w:val="00411E8F"/>
    <w:rsid w:val="0041217D"/>
    <w:rsid w:val="004125C6"/>
    <w:rsid w:val="0041275F"/>
    <w:rsid w:val="004127CA"/>
    <w:rsid w:val="00412B02"/>
    <w:rsid w:val="00413E84"/>
    <w:rsid w:val="00414172"/>
    <w:rsid w:val="004147F5"/>
    <w:rsid w:val="00414A77"/>
    <w:rsid w:val="0041501A"/>
    <w:rsid w:val="00415A4D"/>
    <w:rsid w:val="00416178"/>
    <w:rsid w:val="00416652"/>
    <w:rsid w:val="00416772"/>
    <w:rsid w:val="00416B41"/>
    <w:rsid w:val="00416B58"/>
    <w:rsid w:val="0041718A"/>
    <w:rsid w:val="004175CC"/>
    <w:rsid w:val="00417773"/>
    <w:rsid w:val="004178E9"/>
    <w:rsid w:val="00417B3F"/>
    <w:rsid w:val="00417B45"/>
    <w:rsid w:val="00417B48"/>
    <w:rsid w:val="00417BCB"/>
    <w:rsid w:val="00420BCB"/>
    <w:rsid w:val="00420E99"/>
    <w:rsid w:val="00421345"/>
    <w:rsid w:val="004216BD"/>
    <w:rsid w:val="00421A89"/>
    <w:rsid w:val="00421EBC"/>
    <w:rsid w:val="00421F68"/>
    <w:rsid w:val="004225A8"/>
    <w:rsid w:val="004228CC"/>
    <w:rsid w:val="0042304B"/>
    <w:rsid w:val="00423D18"/>
    <w:rsid w:val="00423FE7"/>
    <w:rsid w:val="00424084"/>
    <w:rsid w:val="00424AA8"/>
    <w:rsid w:val="00425126"/>
    <w:rsid w:val="00425E9D"/>
    <w:rsid w:val="00426436"/>
    <w:rsid w:val="00426506"/>
    <w:rsid w:val="00426796"/>
    <w:rsid w:val="00426AFB"/>
    <w:rsid w:val="004273AD"/>
    <w:rsid w:val="0042756A"/>
    <w:rsid w:val="00427A75"/>
    <w:rsid w:val="00430273"/>
    <w:rsid w:val="0043057C"/>
    <w:rsid w:val="004305AE"/>
    <w:rsid w:val="00430853"/>
    <w:rsid w:val="004313D3"/>
    <w:rsid w:val="004316F5"/>
    <w:rsid w:val="00431800"/>
    <w:rsid w:val="00431AEA"/>
    <w:rsid w:val="00431C20"/>
    <w:rsid w:val="00431CAC"/>
    <w:rsid w:val="00431F60"/>
    <w:rsid w:val="0043280A"/>
    <w:rsid w:val="00432934"/>
    <w:rsid w:val="00432C64"/>
    <w:rsid w:val="00432D79"/>
    <w:rsid w:val="00432E08"/>
    <w:rsid w:val="00433232"/>
    <w:rsid w:val="00433362"/>
    <w:rsid w:val="00433541"/>
    <w:rsid w:val="0043393B"/>
    <w:rsid w:val="004342A7"/>
    <w:rsid w:val="00434556"/>
    <w:rsid w:val="00434718"/>
    <w:rsid w:val="004354D1"/>
    <w:rsid w:val="00435626"/>
    <w:rsid w:val="004356EE"/>
    <w:rsid w:val="00435B88"/>
    <w:rsid w:val="00436365"/>
    <w:rsid w:val="00436514"/>
    <w:rsid w:val="0043651D"/>
    <w:rsid w:val="00436651"/>
    <w:rsid w:val="004370FB"/>
    <w:rsid w:val="0043747A"/>
    <w:rsid w:val="0043784E"/>
    <w:rsid w:val="00440033"/>
    <w:rsid w:val="004404E8"/>
    <w:rsid w:val="004407E6"/>
    <w:rsid w:val="00440908"/>
    <w:rsid w:val="004411E7"/>
    <w:rsid w:val="0044141A"/>
    <w:rsid w:val="00442368"/>
    <w:rsid w:val="004423CC"/>
    <w:rsid w:val="004423F7"/>
    <w:rsid w:val="00442A49"/>
    <w:rsid w:val="00442A4F"/>
    <w:rsid w:val="00442A79"/>
    <w:rsid w:val="00442EB5"/>
    <w:rsid w:val="00442FEE"/>
    <w:rsid w:val="00443409"/>
    <w:rsid w:val="00443626"/>
    <w:rsid w:val="00443E31"/>
    <w:rsid w:val="00443F81"/>
    <w:rsid w:val="00443FFD"/>
    <w:rsid w:val="00444771"/>
    <w:rsid w:val="004449F0"/>
    <w:rsid w:val="00444D0E"/>
    <w:rsid w:val="00444E6B"/>
    <w:rsid w:val="00445134"/>
    <w:rsid w:val="004453BA"/>
    <w:rsid w:val="0044593F"/>
    <w:rsid w:val="00445A82"/>
    <w:rsid w:val="004462A5"/>
    <w:rsid w:val="0044690B"/>
    <w:rsid w:val="0044692C"/>
    <w:rsid w:val="00446BBE"/>
    <w:rsid w:val="00447049"/>
    <w:rsid w:val="0044710E"/>
    <w:rsid w:val="004477D2"/>
    <w:rsid w:val="0044782C"/>
    <w:rsid w:val="00450224"/>
    <w:rsid w:val="00450307"/>
    <w:rsid w:val="004503E3"/>
    <w:rsid w:val="004507B1"/>
    <w:rsid w:val="0045093D"/>
    <w:rsid w:val="00450E08"/>
    <w:rsid w:val="00451645"/>
    <w:rsid w:val="0045166D"/>
    <w:rsid w:val="004517E1"/>
    <w:rsid w:val="0045199E"/>
    <w:rsid w:val="00451C4B"/>
    <w:rsid w:val="00451CE7"/>
    <w:rsid w:val="004523B1"/>
    <w:rsid w:val="00452853"/>
    <w:rsid w:val="004528EB"/>
    <w:rsid w:val="004530DE"/>
    <w:rsid w:val="00453572"/>
    <w:rsid w:val="00453E69"/>
    <w:rsid w:val="00453E8A"/>
    <w:rsid w:val="00454F8E"/>
    <w:rsid w:val="0045541B"/>
    <w:rsid w:val="0045562B"/>
    <w:rsid w:val="00456A78"/>
    <w:rsid w:val="00456D13"/>
    <w:rsid w:val="00457910"/>
    <w:rsid w:val="00457B71"/>
    <w:rsid w:val="00457CCA"/>
    <w:rsid w:val="00457E5A"/>
    <w:rsid w:val="00460841"/>
    <w:rsid w:val="004614C2"/>
    <w:rsid w:val="00461726"/>
    <w:rsid w:val="00461AE8"/>
    <w:rsid w:val="004625BD"/>
    <w:rsid w:val="0046269F"/>
    <w:rsid w:val="00462778"/>
    <w:rsid w:val="00462A74"/>
    <w:rsid w:val="00462D63"/>
    <w:rsid w:val="00463237"/>
    <w:rsid w:val="00463846"/>
    <w:rsid w:val="00464A17"/>
    <w:rsid w:val="00464F6C"/>
    <w:rsid w:val="004654FA"/>
    <w:rsid w:val="0046559F"/>
    <w:rsid w:val="004659D4"/>
    <w:rsid w:val="00465BC7"/>
    <w:rsid w:val="00465C8D"/>
    <w:rsid w:val="00465EDE"/>
    <w:rsid w:val="00466084"/>
    <w:rsid w:val="004661C5"/>
    <w:rsid w:val="004663BE"/>
    <w:rsid w:val="00466763"/>
    <w:rsid w:val="004668FA"/>
    <w:rsid w:val="00466A1E"/>
    <w:rsid w:val="00466EDE"/>
    <w:rsid w:val="0046713E"/>
    <w:rsid w:val="0046741C"/>
    <w:rsid w:val="004704F3"/>
    <w:rsid w:val="0047083D"/>
    <w:rsid w:val="0047088F"/>
    <w:rsid w:val="00470B70"/>
    <w:rsid w:val="00470E4E"/>
    <w:rsid w:val="00471B32"/>
    <w:rsid w:val="00471D0D"/>
    <w:rsid w:val="00471DE7"/>
    <w:rsid w:val="00472420"/>
    <w:rsid w:val="00472B76"/>
    <w:rsid w:val="00473420"/>
    <w:rsid w:val="00473440"/>
    <w:rsid w:val="00473BB4"/>
    <w:rsid w:val="00473CB1"/>
    <w:rsid w:val="00473E23"/>
    <w:rsid w:val="00474B27"/>
    <w:rsid w:val="00474E01"/>
    <w:rsid w:val="00475AA8"/>
    <w:rsid w:val="00475BFA"/>
    <w:rsid w:val="004766BA"/>
    <w:rsid w:val="00476AF2"/>
    <w:rsid w:val="00476CB5"/>
    <w:rsid w:val="00476DD3"/>
    <w:rsid w:val="00476DF0"/>
    <w:rsid w:val="004771A9"/>
    <w:rsid w:val="00477AD4"/>
    <w:rsid w:val="00477DAA"/>
    <w:rsid w:val="00477F26"/>
    <w:rsid w:val="00480D70"/>
    <w:rsid w:val="004810BA"/>
    <w:rsid w:val="00481525"/>
    <w:rsid w:val="00481903"/>
    <w:rsid w:val="00481AB3"/>
    <w:rsid w:val="00481F0A"/>
    <w:rsid w:val="0048233F"/>
    <w:rsid w:val="004825F3"/>
    <w:rsid w:val="00482804"/>
    <w:rsid w:val="00482B47"/>
    <w:rsid w:val="00482D86"/>
    <w:rsid w:val="00483177"/>
    <w:rsid w:val="0048323E"/>
    <w:rsid w:val="00483EC2"/>
    <w:rsid w:val="004846FE"/>
    <w:rsid w:val="00484C0A"/>
    <w:rsid w:val="00484DC5"/>
    <w:rsid w:val="00484EC4"/>
    <w:rsid w:val="00485137"/>
    <w:rsid w:val="0048516B"/>
    <w:rsid w:val="0048521F"/>
    <w:rsid w:val="004854C3"/>
    <w:rsid w:val="00485675"/>
    <w:rsid w:val="004856F9"/>
    <w:rsid w:val="004856FF"/>
    <w:rsid w:val="00485EC5"/>
    <w:rsid w:val="00485FC5"/>
    <w:rsid w:val="00486527"/>
    <w:rsid w:val="0048679A"/>
    <w:rsid w:val="004868E3"/>
    <w:rsid w:val="00486A28"/>
    <w:rsid w:val="00487212"/>
    <w:rsid w:val="00487353"/>
    <w:rsid w:val="0048761F"/>
    <w:rsid w:val="004877BA"/>
    <w:rsid w:val="00487C85"/>
    <w:rsid w:val="004908DB"/>
    <w:rsid w:val="00490A64"/>
    <w:rsid w:val="00490DC4"/>
    <w:rsid w:val="00490F51"/>
    <w:rsid w:val="00491528"/>
    <w:rsid w:val="00491D19"/>
    <w:rsid w:val="00492AA3"/>
    <w:rsid w:val="00493089"/>
    <w:rsid w:val="004936C4"/>
    <w:rsid w:val="0049430B"/>
    <w:rsid w:val="004947DD"/>
    <w:rsid w:val="00494F64"/>
    <w:rsid w:val="00496488"/>
    <w:rsid w:val="00496FB1"/>
    <w:rsid w:val="00497B9F"/>
    <w:rsid w:val="00497C13"/>
    <w:rsid w:val="00497C9F"/>
    <w:rsid w:val="00497EF1"/>
    <w:rsid w:val="004A0928"/>
    <w:rsid w:val="004A0E3B"/>
    <w:rsid w:val="004A13AB"/>
    <w:rsid w:val="004A1F71"/>
    <w:rsid w:val="004A2084"/>
    <w:rsid w:val="004A2147"/>
    <w:rsid w:val="004A2268"/>
    <w:rsid w:val="004A2775"/>
    <w:rsid w:val="004A2B52"/>
    <w:rsid w:val="004A2D12"/>
    <w:rsid w:val="004A2E10"/>
    <w:rsid w:val="004A333B"/>
    <w:rsid w:val="004A4091"/>
    <w:rsid w:val="004A4118"/>
    <w:rsid w:val="004A4430"/>
    <w:rsid w:val="004A44D1"/>
    <w:rsid w:val="004A4D8D"/>
    <w:rsid w:val="004A4FDF"/>
    <w:rsid w:val="004A5489"/>
    <w:rsid w:val="004A58ED"/>
    <w:rsid w:val="004A5E40"/>
    <w:rsid w:val="004A5E73"/>
    <w:rsid w:val="004A605B"/>
    <w:rsid w:val="004A6092"/>
    <w:rsid w:val="004A6199"/>
    <w:rsid w:val="004A63D4"/>
    <w:rsid w:val="004A6C8F"/>
    <w:rsid w:val="004A6E12"/>
    <w:rsid w:val="004A78B2"/>
    <w:rsid w:val="004A7A52"/>
    <w:rsid w:val="004B0D85"/>
    <w:rsid w:val="004B1456"/>
    <w:rsid w:val="004B1751"/>
    <w:rsid w:val="004B19FE"/>
    <w:rsid w:val="004B1B0D"/>
    <w:rsid w:val="004B1CE2"/>
    <w:rsid w:val="004B22A5"/>
    <w:rsid w:val="004B2772"/>
    <w:rsid w:val="004B288D"/>
    <w:rsid w:val="004B2A4D"/>
    <w:rsid w:val="004B2F45"/>
    <w:rsid w:val="004B30D1"/>
    <w:rsid w:val="004B32B7"/>
    <w:rsid w:val="004B334E"/>
    <w:rsid w:val="004B33C2"/>
    <w:rsid w:val="004B38D7"/>
    <w:rsid w:val="004B3B04"/>
    <w:rsid w:val="004B3BD5"/>
    <w:rsid w:val="004B3E52"/>
    <w:rsid w:val="004B4214"/>
    <w:rsid w:val="004B4609"/>
    <w:rsid w:val="004B4D78"/>
    <w:rsid w:val="004B4E45"/>
    <w:rsid w:val="004B50DB"/>
    <w:rsid w:val="004B5D43"/>
    <w:rsid w:val="004B62B1"/>
    <w:rsid w:val="004B62F6"/>
    <w:rsid w:val="004B6644"/>
    <w:rsid w:val="004B689D"/>
    <w:rsid w:val="004B6E6F"/>
    <w:rsid w:val="004B7588"/>
    <w:rsid w:val="004B7592"/>
    <w:rsid w:val="004B781B"/>
    <w:rsid w:val="004C005C"/>
    <w:rsid w:val="004C02FA"/>
    <w:rsid w:val="004C0AE6"/>
    <w:rsid w:val="004C0B96"/>
    <w:rsid w:val="004C0E97"/>
    <w:rsid w:val="004C1A78"/>
    <w:rsid w:val="004C1F82"/>
    <w:rsid w:val="004C21EF"/>
    <w:rsid w:val="004C2B4F"/>
    <w:rsid w:val="004C3117"/>
    <w:rsid w:val="004C469B"/>
    <w:rsid w:val="004C48C8"/>
    <w:rsid w:val="004C4E0D"/>
    <w:rsid w:val="004C51DE"/>
    <w:rsid w:val="004C546A"/>
    <w:rsid w:val="004C56CA"/>
    <w:rsid w:val="004C598D"/>
    <w:rsid w:val="004C65DA"/>
    <w:rsid w:val="004C698F"/>
    <w:rsid w:val="004C6B58"/>
    <w:rsid w:val="004C73B4"/>
    <w:rsid w:val="004C7A4E"/>
    <w:rsid w:val="004D009E"/>
    <w:rsid w:val="004D04A2"/>
    <w:rsid w:val="004D0592"/>
    <w:rsid w:val="004D0595"/>
    <w:rsid w:val="004D095F"/>
    <w:rsid w:val="004D0A84"/>
    <w:rsid w:val="004D103B"/>
    <w:rsid w:val="004D121E"/>
    <w:rsid w:val="004D13A2"/>
    <w:rsid w:val="004D19BD"/>
    <w:rsid w:val="004D1C17"/>
    <w:rsid w:val="004D2545"/>
    <w:rsid w:val="004D2C47"/>
    <w:rsid w:val="004D2D26"/>
    <w:rsid w:val="004D2E5A"/>
    <w:rsid w:val="004D31D5"/>
    <w:rsid w:val="004D3507"/>
    <w:rsid w:val="004D3897"/>
    <w:rsid w:val="004D41B1"/>
    <w:rsid w:val="004D4425"/>
    <w:rsid w:val="004D4A2A"/>
    <w:rsid w:val="004D4C55"/>
    <w:rsid w:val="004D4E03"/>
    <w:rsid w:val="004D4E63"/>
    <w:rsid w:val="004D5329"/>
    <w:rsid w:val="004D5543"/>
    <w:rsid w:val="004D5780"/>
    <w:rsid w:val="004D6390"/>
    <w:rsid w:val="004D65FC"/>
    <w:rsid w:val="004D695D"/>
    <w:rsid w:val="004D6C03"/>
    <w:rsid w:val="004D6D62"/>
    <w:rsid w:val="004D73ED"/>
    <w:rsid w:val="004D7D2D"/>
    <w:rsid w:val="004D7F99"/>
    <w:rsid w:val="004E01B9"/>
    <w:rsid w:val="004E0750"/>
    <w:rsid w:val="004E134E"/>
    <w:rsid w:val="004E1497"/>
    <w:rsid w:val="004E169A"/>
    <w:rsid w:val="004E227E"/>
    <w:rsid w:val="004E29DA"/>
    <w:rsid w:val="004E2BD6"/>
    <w:rsid w:val="004E34E1"/>
    <w:rsid w:val="004E3980"/>
    <w:rsid w:val="004E3A73"/>
    <w:rsid w:val="004E46E3"/>
    <w:rsid w:val="004E489A"/>
    <w:rsid w:val="004E4FA0"/>
    <w:rsid w:val="004E5754"/>
    <w:rsid w:val="004E5C84"/>
    <w:rsid w:val="004E5E12"/>
    <w:rsid w:val="004E5E2F"/>
    <w:rsid w:val="004E612B"/>
    <w:rsid w:val="004E6314"/>
    <w:rsid w:val="004E66DF"/>
    <w:rsid w:val="004E7011"/>
    <w:rsid w:val="004E709A"/>
    <w:rsid w:val="004E7AC7"/>
    <w:rsid w:val="004E7BA1"/>
    <w:rsid w:val="004F073F"/>
    <w:rsid w:val="004F0B14"/>
    <w:rsid w:val="004F125C"/>
    <w:rsid w:val="004F1BF2"/>
    <w:rsid w:val="004F1DCD"/>
    <w:rsid w:val="004F1DDE"/>
    <w:rsid w:val="004F1EA4"/>
    <w:rsid w:val="004F2168"/>
    <w:rsid w:val="004F21F4"/>
    <w:rsid w:val="004F23C4"/>
    <w:rsid w:val="004F3A9B"/>
    <w:rsid w:val="004F3B60"/>
    <w:rsid w:val="004F4159"/>
    <w:rsid w:val="004F467E"/>
    <w:rsid w:val="004F47D7"/>
    <w:rsid w:val="004F4A07"/>
    <w:rsid w:val="004F513A"/>
    <w:rsid w:val="004F54EC"/>
    <w:rsid w:val="004F61E8"/>
    <w:rsid w:val="004F69F5"/>
    <w:rsid w:val="004F6AD3"/>
    <w:rsid w:val="004F75F2"/>
    <w:rsid w:val="00500604"/>
    <w:rsid w:val="00500648"/>
    <w:rsid w:val="00500715"/>
    <w:rsid w:val="005007E8"/>
    <w:rsid w:val="00500962"/>
    <w:rsid w:val="005011CB"/>
    <w:rsid w:val="00501386"/>
    <w:rsid w:val="0050146C"/>
    <w:rsid w:val="00501813"/>
    <w:rsid w:val="00501BD9"/>
    <w:rsid w:val="00501C25"/>
    <w:rsid w:val="0050247B"/>
    <w:rsid w:val="005027A6"/>
    <w:rsid w:val="0050293D"/>
    <w:rsid w:val="00502BE3"/>
    <w:rsid w:val="00502DAE"/>
    <w:rsid w:val="00502DBE"/>
    <w:rsid w:val="00502FFB"/>
    <w:rsid w:val="005030D3"/>
    <w:rsid w:val="0050382F"/>
    <w:rsid w:val="0050385C"/>
    <w:rsid w:val="005038A0"/>
    <w:rsid w:val="00504321"/>
    <w:rsid w:val="005043E3"/>
    <w:rsid w:val="0050441A"/>
    <w:rsid w:val="00504A82"/>
    <w:rsid w:val="00504BD3"/>
    <w:rsid w:val="00504E76"/>
    <w:rsid w:val="005055D4"/>
    <w:rsid w:val="00505858"/>
    <w:rsid w:val="00505E19"/>
    <w:rsid w:val="005068D5"/>
    <w:rsid w:val="00506F1E"/>
    <w:rsid w:val="0050709C"/>
    <w:rsid w:val="00507307"/>
    <w:rsid w:val="005073EE"/>
    <w:rsid w:val="00507652"/>
    <w:rsid w:val="00507CA9"/>
    <w:rsid w:val="00507F14"/>
    <w:rsid w:val="005101AB"/>
    <w:rsid w:val="00510328"/>
    <w:rsid w:val="005103C5"/>
    <w:rsid w:val="00510500"/>
    <w:rsid w:val="00510989"/>
    <w:rsid w:val="00510AFA"/>
    <w:rsid w:val="00510CEC"/>
    <w:rsid w:val="00511C82"/>
    <w:rsid w:val="00511FD1"/>
    <w:rsid w:val="005120EA"/>
    <w:rsid w:val="00512E3A"/>
    <w:rsid w:val="00512EF6"/>
    <w:rsid w:val="0051302E"/>
    <w:rsid w:val="005130F2"/>
    <w:rsid w:val="005131D3"/>
    <w:rsid w:val="0051352C"/>
    <w:rsid w:val="00513BFC"/>
    <w:rsid w:val="00514513"/>
    <w:rsid w:val="005146FD"/>
    <w:rsid w:val="00514FC2"/>
    <w:rsid w:val="005152BE"/>
    <w:rsid w:val="0051598E"/>
    <w:rsid w:val="00515BFA"/>
    <w:rsid w:val="00516509"/>
    <w:rsid w:val="0051662C"/>
    <w:rsid w:val="0051673D"/>
    <w:rsid w:val="005173C3"/>
    <w:rsid w:val="0051766E"/>
    <w:rsid w:val="00517A86"/>
    <w:rsid w:val="00520867"/>
    <w:rsid w:val="005209A8"/>
    <w:rsid w:val="00520B4F"/>
    <w:rsid w:val="00520D6E"/>
    <w:rsid w:val="00520D9D"/>
    <w:rsid w:val="00520F0C"/>
    <w:rsid w:val="005210CB"/>
    <w:rsid w:val="00521141"/>
    <w:rsid w:val="00521646"/>
    <w:rsid w:val="00521779"/>
    <w:rsid w:val="00521E30"/>
    <w:rsid w:val="005222FD"/>
    <w:rsid w:val="00522982"/>
    <w:rsid w:val="0052349D"/>
    <w:rsid w:val="005241DF"/>
    <w:rsid w:val="005249CB"/>
    <w:rsid w:val="00524AE6"/>
    <w:rsid w:val="00524BE8"/>
    <w:rsid w:val="00525155"/>
    <w:rsid w:val="005254F1"/>
    <w:rsid w:val="0052575D"/>
    <w:rsid w:val="00525917"/>
    <w:rsid w:val="00525C80"/>
    <w:rsid w:val="005268F2"/>
    <w:rsid w:val="00526BD3"/>
    <w:rsid w:val="00526C92"/>
    <w:rsid w:val="005271A6"/>
    <w:rsid w:val="005273DC"/>
    <w:rsid w:val="0052756D"/>
    <w:rsid w:val="005275FC"/>
    <w:rsid w:val="0052768C"/>
    <w:rsid w:val="00527E09"/>
    <w:rsid w:val="00527EDD"/>
    <w:rsid w:val="0053026D"/>
    <w:rsid w:val="005304E6"/>
    <w:rsid w:val="00530896"/>
    <w:rsid w:val="00530A32"/>
    <w:rsid w:val="005310AF"/>
    <w:rsid w:val="00531108"/>
    <w:rsid w:val="0053117F"/>
    <w:rsid w:val="0053142B"/>
    <w:rsid w:val="005325CD"/>
    <w:rsid w:val="005328FD"/>
    <w:rsid w:val="005335E4"/>
    <w:rsid w:val="005342C3"/>
    <w:rsid w:val="005346E7"/>
    <w:rsid w:val="00534817"/>
    <w:rsid w:val="00534A8D"/>
    <w:rsid w:val="005350DF"/>
    <w:rsid w:val="00535743"/>
    <w:rsid w:val="00535BF5"/>
    <w:rsid w:val="005362F5"/>
    <w:rsid w:val="0053672B"/>
    <w:rsid w:val="005369FD"/>
    <w:rsid w:val="00536A7F"/>
    <w:rsid w:val="00536C99"/>
    <w:rsid w:val="0053725B"/>
    <w:rsid w:val="005375D0"/>
    <w:rsid w:val="0053775D"/>
    <w:rsid w:val="00537E86"/>
    <w:rsid w:val="00540C57"/>
    <w:rsid w:val="00540EE0"/>
    <w:rsid w:val="005427B7"/>
    <w:rsid w:val="00542FA8"/>
    <w:rsid w:val="005432A4"/>
    <w:rsid w:val="005433F6"/>
    <w:rsid w:val="0054364B"/>
    <w:rsid w:val="00543687"/>
    <w:rsid w:val="005437A8"/>
    <w:rsid w:val="00543BC8"/>
    <w:rsid w:val="005443E0"/>
    <w:rsid w:val="005449D7"/>
    <w:rsid w:val="00544ADB"/>
    <w:rsid w:val="00544BF0"/>
    <w:rsid w:val="00545014"/>
    <w:rsid w:val="00545098"/>
    <w:rsid w:val="005452FE"/>
    <w:rsid w:val="00546506"/>
    <w:rsid w:val="0054652A"/>
    <w:rsid w:val="00546D12"/>
    <w:rsid w:val="005473B8"/>
    <w:rsid w:val="005475B2"/>
    <w:rsid w:val="005475BF"/>
    <w:rsid w:val="005477FA"/>
    <w:rsid w:val="00547935"/>
    <w:rsid w:val="005479E7"/>
    <w:rsid w:val="00550B53"/>
    <w:rsid w:val="005510DB"/>
    <w:rsid w:val="00551974"/>
    <w:rsid w:val="005524A5"/>
    <w:rsid w:val="00552C6B"/>
    <w:rsid w:val="005531BD"/>
    <w:rsid w:val="0055323B"/>
    <w:rsid w:val="00553624"/>
    <w:rsid w:val="005538D2"/>
    <w:rsid w:val="00553BB8"/>
    <w:rsid w:val="005544F1"/>
    <w:rsid w:val="00554BDB"/>
    <w:rsid w:val="005555FD"/>
    <w:rsid w:val="0055567C"/>
    <w:rsid w:val="005557E2"/>
    <w:rsid w:val="00555F8E"/>
    <w:rsid w:val="005567B2"/>
    <w:rsid w:val="00556BBE"/>
    <w:rsid w:val="00556D5F"/>
    <w:rsid w:val="005570E4"/>
    <w:rsid w:val="00557870"/>
    <w:rsid w:val="00557E9D"/>
    <w:rsid w:val="00557FCB"/>
    <w:rsid w:val="00557FD9"/>
    <w:rsid w:val="0056007C"/>
    <w:rsid w:val="005600E0"/>
    <w:rsid w:val="00560277"/>
    <w:rsid w:val="005607DE"/>
    <w:rsid w:val="00560938"/>
    <w:rsid w:val="00560AF1"/>
    <w:rsid w:val="00560F1A"/>
    <w:rsid w:val="00561113"/>
    <w:rsid w:val="0056146B"/>
    <w:rsid w:val="00561562"/>
    <w:rsid w:val="00561CAE"/>
    <w:rsid w:val="00562526"/>
    <w:rsid w:val="005627DE"/>
    <w:rsid w:val="00562CE9"/>
    <w:rsid w:val="00563D68"/>
    <w:rsid w:val="00563DE6"/>
    <w:rsid w:val="0056528D"/>
    <w:rsid w:val="00565773"/>
    <w:rsid w:val="00565A7E"/>
    <w:rsid w:val="00565AD1"/>
    <w:rsid w:val="00565F66"/>
    <w:rsid w:val="0056628B"/>
    <w:rsid w:val="00566298"/>
    <w:rsid w:val="00566618"/>
    <w:rsid w:val="00566720"/>
    <w:rsid w:val="00566DDE"/>
    <w:rsid w:val="00566F4F"/>
    <w:rsid w:val="00567011"/>
    <w:rsid w:val="00567367"/>
    <w:rsid w:val="00567D88"/>
    <w:rsid w:val="00567E5C"/>
    <w:rsid w:val="005702F2"/>
    <w:rsid w:val="005703E2"/>
    <w:rsid w:val="00570843"/>
    <w:rsid w:val="00570875"/>
    <w:rsid w:val="0057091E"/>
    <w:rsid w:val="00571CA4"/>
    <w:rsid w:val="00571CEE"/>
    <w:rsid w:val="00571DEE"/>
    <w:rsid w:val="005721F4"/>
    <w:rsid w:val="005723D6"/>
    <w:rsid w:val="00573097"/>
    <w:rsid w:val="0057362F"/>
    <w:rsid w:val="00573858"/>
    <w:rsid w:val="00573895"/>
    <w:rsid w:val="00573A54"/>
    <w:rsid w:val="00573BA8"/>
    <w:rsid w:val="00574055"/>
    <w:rsid w:val="00574A6E"/>
    <w:rsid w:val="00574CE9"/>
    <w:rsid w:val="005752BD"/>
    <w:rsid w:val="00575C87"/>
    <w:rsid w:val="00575D9E"/>
    <w:rsid w:val="005760F9"/>
    <w:rsid w:val="005762E5"/>
    <w:rsid w:val="005763DB"/>
    <w:rsid w:val="0057684B"/>
    <w:rsid w:val="00577145"/>
    <w:rsid w:val="005772BF"/>
    <w:rsid w:val="005773BE"/>
    <w:rsid w:val="005774C9"/>
    <w:rsid w:val="00577545"/>
    <w:rsid w:val="00580646"/>
    <w:rsid w:val="00580A2A"/>
    <w:rsid w:val="0058136D"/>
    <w:rsid w:val="00581D43"/>
    <w:rsid w:val="0058226A"/>
    <w:rsid w:val="00582365"/>
    <w:rsid w:val="005823B2"/>
    <w:rsid w:val="00582D09"/>
    <w:rsid w:val="00582E3D"/>
    <w:rsid w:val="00582F74"/>
    <w:rsid w:val="00583322"/>
    <w:rsid w:val="00583C04"/>
    <w:rsid w:val="00583FF6"/>
    <w:rsid w:val="00584708"/>
    <w:rsid w:val="00585741"/>
    <w:rsid w:val="00585A74"/>
    <w:rsid w:val="00585C1B"/>
    <w:rsid w:val="00585D06"/>
    <w:rsid w:val="00585E6E"/>
    <w:rsid w:val="00587639"/>
    <w:rsid w:val="00587F47"/>
    <w:rsid w:val="00590B02"/>
    <w:rsid w:val="00591752"/>
    <w:rsid w:val="00591871"/>
    <w:rsid w:val="005919E2"/>
    <w:rsid w:val="00591B29"/>
    <w:rsid w:val="00592387"/>
    <w:rsid w:val="00592638"/>
    <w:rsid w:val="00592C4C"/>
    <w:rsid w:val="00592CC7"/>
    <w:rsid w:val="00592D8A"/>
    <w:rsid w:val="00592F23"/>
    <w:rsid w:val="00593138"/>
    <w:rsid w:val="005935C5"/>
    <w:rsid w:val="00593A33"/>
    <w:rsid w:val="00593E13"/>
    <w:rsid w:val="00593FC7"/>
    <w:rsid w:val="00594011"/>
    <w:rsid w:val="005947B5"/>
    <w:rsid w:val="00594849"/>
    <w:rsid w:val="00594CFA"/>
    <w:rsid w:val="00594E5C"/>
    <w:rsid w:val="00595E1D"/>
    <w:rsid w:val="00596081"/>
    <w:rsid w:val="005960BB"/>
    <w:rsid w:val="00596292"/>
    <w:rsid w:val="00596A70"/>
    <w:rsid w:val="00596FA0"/>
    <w:rsid w:val="00597407"/>
    <w:rsid w:val="00597434"/>
    <w:rsid w:val="00597F43"/>
    <w:rsid w:val="005A034D"/>
    <w:rsid w:val="005A0496"/>
    <w:rsid w:val="005A0853"/>
    <w:rsid w:val="005A09BC"/>
    <w:rsid w:val="005A0CAC"/>
    <w:rsid w:val="005A1A42"/>
    <w:rsid w:val="005A1AA4"/>
    <w:rsid w:val="005A1EF4"/>
    <w:rsid w:val="005A227B"/>
    <w:rsid w:val="005A23E5"/>
    <w:rsid w:val="005A2ABC"/>
    <w:rsid w:val="005A2BE8"/>
    <w:rsid w:val="005A2E0E"/>
    <w:rsid w:val="005A3A5C"/>
    <w:rsid w:val="005A4047"/>
    <w:rsid w:val="005A407A"/>
    <w:rsid w:val="005A4384"/>
    <w:rsid w:val="005A453A"/>
    <w:rsid w:val="005A4F12"/>
    <w:rsid w:val="005A53FA"/>
    <w:rsid w:val="005A5EF8"/>
    <w:rsid w:val="005A6436"/>
    <w:rsid w:val="005A7012"/>
    <w:rsid w:val="005A718E"/>
    <w:rsid w:val="005A76DC"/>
    <w:rsid w:val="005A7A5E"/>
    <w:rsid w:val="005A7A92"/>
    <w:rsid w:val="005A7CA8"/>
    <w:rsid w:val="005A7E32"/>
    <w:rsid w:val="005A7E9E"/>
    <w:rsid w:val="005B0C25"/>
    <w:rsid w:val="005B0D41"/>
    <w:rsid w:val="005B1C07"/>
    <w:rsid w:val="005B1C7E"/>
    <w:rsid w:val="005B1D85"/>
    <w:rsid w:val="005B1FBC"/>
    <w:rsid w:val="005B2B4F"/>
    <w:rsid w:val="005B2D18"/>
    <w:rsid w:val="005B338F"/>
    <w:rsid w:val="005B3432"/>
    <w:rsid w:val="005B3936"/>
    <w:rsid w:val="005B3A33"/>
    <w:rsid w:val="005B3BD6"/>
    <w:rsid w:val="005B43A6"/>
    <w:rsid w:val="005B4CF9"/>
    <w:rsid w:val="005B4D3B"/>
    <w:rsid w:val="005B4E55"/>
    <w:rsid w:val="005B6189"/>
    <w:rsid w:val="005B745B"/>
    <w:rsid w:val="005B7B2D"/>
    <w:rsid w:val="005B7D6C"/>
    <w:rsid w:val="005C0089"/>
    <w:rsid w:val="005C0447"/>
    <w:rsid w:val="005C0891"/>
    <w:rsid w:val="005C0BFF"/>
    <w:rsid w:val="005C0CE7"/>
    <w:rsid w:val="005C0E9A"/>
    <w:rsid w:val="005C1351"/>
    <w:rsid w:val="005C274B"/>
    <w:rsid w:val="005C303A"/>
    <w:rsid w:val="005C30EE"/>
    <w:rsid w:val="005C3208"/>
    <w:rsid w:val="005C3239"/>
    <w:rsid w:val="005C36E5"/>
    <w:rsid w:val="005C397C"/>
    <w:rsid w:val="005C3C16"/>
    <w:rsid w:val="005C3F36"/>
    <w:rsid w:val="005C4C31"/>
    <w:rsid w:val="005C5271"/>
    <w:rsid w:val="005C54A2"/>
    <w:rsid w:val="005C56E0"/>
    <w:rsid w:val="005C6025"/>
    <w:rsid w:val="005C6332"/>
    <w:rsid w:val="005C6437"/>
    <w:rsid w:val="005C6517"/>
    <w:rsid w:val="005C673B"/>
    <w:rsid w:val="005C7215"/>
    <w:rsid w:val="005C732A"/>
    <w:rsid w:val="005C73C4"/>
    <w:rsid w:val="005C73D8"/>
    <w:rsid w:val="005C73F8"/>
    <w:rsid w:val="005C7711"/>
    <w:rsid w:val="005C7B91"/>
    <w:rsid w:val="005C7DCD"/>
    <w:rsid w:val="005C7E22"/>
    <w:rsid w:val="005D00EA"/>
    <w:rsid w:val="005D023B"/>
    <w:rsid w:val="005D02C4"/>
    <w:rsid w:val="005D07D9"/>
    <w:rsid w:val="005D09E5"/>
    <w:rsid w:val="005D0B84"/>
    <w:rsid w:val="005D0BF1"/>
    <w:rsid w:val="005D1676"/>
    <w:rsid w:val="005D1712"/>
    <w:rsid w:val="005D1AA3"/>
    <w:rsid w:val="005D1C24"/>
    <w:rsid w:val="005D1F79"/>
    <w:rsid w:val="005D22BE"/>
    <w:rsid w:val="005D2304"/>
    <w:rsid w:val="005D2A0F"/>
    <w:rsid w:val="005D2AE8"/>
    <w:rsid w:val="005D2B9F"/>
    <w:rsid w:val="005D32AA"/>
    <w:rsid w:val="005D395D"/>
    <w:rsid w:val="005D3A04"/>
    <w:rsid w:val="005D3B39"/>
    <w:rsid w:val="005D3F20"/>
    <w:rsid w:val="005D4086"/>
    <w:rsid w:val="005D48FE"/>
    <w:rsid w:val="005D4D42"/>
    <w:rsid w:val="005D5093"/>
    <w:rsid w:val="005D5547"/>
    <w:rsid w:val="005D575D"/>
    <w:rsid w:val="005D6BDC"/>
    <w:rsid w:val="005D6E11"/>
    <w:rsid w:val="005D6F09"/>
    <w:rsid w:val="005D7304"/>
    <w:rsid w:val="005D7471"/>
    <w:rsid w:val="005D749D"/>
    <w:rsid w:val="005D760D"/>
    <w:rsid w:val="005D7919"/>
    <w:rsid w:val="005E02DB"/>
    <w:rsid w:val="005E0392"/>
    <w:rsid w:val="005E07AA"/>
    <w:rsid w:val="005E0D35"/>
    <w:rsid w:val="005E14F2"/>
    <w:rsid w:val="005E1782"/>
    <w:rsid w:val="005E2216"/>
    <w:rsid w:val="005E2429"/>
    <w:rsid w:val="005E2587"/>
    <w:rsid w:val="005E2702"/>
    <w:rsid w:val="005E2923"/>
    <w:rsid w:val="005E2BC4"/>
    <w:rsid w:val="005E3055"/>
    <w:rsid w:val="005E35B8"/>
    <w:rsid w:val="005E3612"/>
    <w:rsid w:val="005E39F1"/>
    <w:rsid w:val="005E3D87"/>
    <w:rsid w:val="005E3F88"/>
    <w:rsid w:val="005E4341"/>
    <w:rsid w:val="005E51DD"/>
    <w:rsid w:val="005E572C"/>
    <w:rsid w:val="005E5874"/>
    <w:rsid w:val="005E5D79"/>
    <w:rsid w:val="005E6A8F"/>
    <w:rsid w:val="005E6C00"/>
    <w:rsid w:val="005E6DB0"/>
    <w:rsid w:val="005E7162"/>
    <w:rsid w:val="005E75D5"/>
    <w:rsid w:val="005E764E"/>
    <w:rsid w:val="005F0389"/>
    <w:rsid w:val="005F0EA7"/>
    <w:rsid w:val="005F1555"/>
    <w:rsid w:val="005F1D07"/>
    <w:rsid w:val="005F2978"/>
    <w:rsid w:val="005F2A23"/>
    <w:rsid w:val="005F2DCC"/>
    <w:rsid w:val="005F32C2"/>
    <w:rsid w:val="005F37CB"/>
    <w:rsid w:val="005F41C0"/>
    <w:rsid w:val="005F4721"/>
    <w:rsid w:val="005F4FD9"/>
    <w:rsid w:val="005F56A9"/>
    <w:rsid w:val="005F56DF"/>
    <w:rsid w:val="005F60E7"/>
    <w:rsid w:val="005F6710"/>
    <w:rsid w:val="005F6A83"/>
    <w:rsid w:val="005F709F"/>
    <w:rsid w:val="005F720A"/>
    <w:rsid w:val="005F7D06"/>
    <w:rsid w:val="0060027A"/>
    <w:rsid w:val="006005DE"/>
    <w:rsid w:val="00601039"/>
    <w:rsid w:val="00601BCD"/>
    <w:rsid w:val="00601FCA"/>
    <w:rsid w:val="00602AD7"/>
    <w:rsid w:val="00602C08"/>
    <w:rsid w:val="00602F43"/>
    <w:rsid w:val="00603498"/>
    <w:rsid w:val="00603748"/>
    <w:rsid w:val="00603B08"/>
    <w:rsid w:val="00603F78"/>
    <w:rsid w:val="00604651"/>
    <w:rsid w:val="006053FB"/>
    <w:rsid w:val="00605776"/>
    <w:rsid w:val="006058F4"/>
    <w:rsid w:val="00605FAE"/>
    <w:rsid w:val="0060664C"/>
    <w:rsid w:val="00606A75"/>
    <w:rsid w:val="00606B17"/>
    <w:rsid w:val="00606CE3"/>
    <w:rsid w:val="0060768F"/>
    <w:rsid w:val="006100B5"/>
    <w:rsid w:val="00610162"/>
    <w:rsid w:val="006105E5"/>
    <w:rsid w:val="006105EC"/>
    <w:rsid w:val="00610ABA"/>
    <w:rsid w:val="00610EBD"/>
    <w:rsid w:val="0061114C"/>
    <w:rsid w:val="00611CB4"/>
    <w:rsid w:val="00611F44"/>
    <w:rsid w:val="0061203A"/>
    <w:rsid w:val="006122E1"/>
    <w:rsid w:val="006122E2"/>
    <w:rsid w:val="006124AB"/>
    <w:rsid w:val="00612687"/>
    <w:rsid w:val="0061283D"/>
    <w:rsid w:val="00612BDE"/>
    <w:rsid w:val="0061302D"/>
    <w:rsid w:val="00613037"/>
    <w:rsid w:val="00613593"/>
    <w:rsid w:val="006135AB"/>
    <w:rsid w:val="0061361D"/>
    <w:rsid w:val="0061388B"/>
    <w:rsid w:val="006138E4"/>
    <w:rsid w:val="00613D74"/>
    <w:rsid w:val="00613DA9"/>
    <w:rsid w:val="00613F1E"/>
    <w:rsid w:val="00614039"/>
    <w:rsid w:val="006144F6"/>
    <w:rsid w:val="00614562"/>
    <w:rsid w:val="006149DB"/>
    <w:rsid w:val="00615439"/>
    <w:rsid w:val="00616407"/>
    <w:rsid w:val="0061697F"/>
    <w:rsid w:val="006174F6"/>
    <w:rsid w:val="00617E78"/>
    <w:rsid w:val="00617F74"/>
    <w:rsid w:val="00620232"/>
    <w:rsid w:val="0062052C"/>
    <w:rsid w:val="00620573"/>
    <w:rsid w:val="00620E5A"/>
    <w:rsid w:val="00620F63"/>
    <w:rsid w:val="00621259"/>
    <w:rsid w:val="0062127B"/>
    <w:rsid w:val="006214E6"/>
    <w:rsid w:val="006216C8"/>
    <w:rsid w:val="0062196D"/>
    <w:rsid w:val="006219AD"/>
    <w:rsid w:val="00621B10"/>
    <w:rsid w:val="00621D72"/>
    <w:rsid w:val="00621FF9"/>
    <w:rsid w:val="00622E1F"/>
    <w:rsid w:val="00622E5F"/>
    <w:rsid w:val="00622EDE"/>
    <w:rsid w:val="0062347B"/>
    <w:rsid w:val="006236CE"/>
    <w:rsid w:val="00623857"/>
    <w:rsid w:val="00623873"/>
    <w:rsid w:val="006238DE"/>
    <w:rsid w:val="006240D5"/>
    <w:rsid w:val="0062426A"/>
    <w:rsid w:val="006245F0"/>
    <w:rsid w:val="006249C2"/>
    <w:rsid w:val="00624A87"/>
    <w:rsid w:val="00624AE0"/>
    <w:rsid w:val="006250E9"/>
    <w:rsid w:val="006253E0"/>
    <w:rsid w:val="00625F46"/>
    <w:rsid w:val="0062616B"/>
    <w:rsid w:val="0062621F"/>
    <w:rsid w:val="00626660"/>
    <w:rsid w:val="0062684F"/>
    <w:rsid w:val="0062695F"/>
    <w:rsid w:val="00626A57"/>
    <w:rsid w:val="00626D1A"/>
    <w:rsid w:val="00627379"/>
    <w:rsid w:val="00630B15"/>
    <w:rsid w:val="006310CF"/>
    <w:rsid w:val="0063125F"/>
    <w:rsid w:val="00631591"/>
    <w:rsid w:val="00631A18"/>
    <w:rsid w:val="00631B39"/>
    <w:rsid w:val="00631F42"/>
    <w:rsid w:val="00632984"/>
    <w:rsid w:val="00632C0E"/>
    <w:rsid w:val="006330A8"/>
    <w:rsid w:val="0063355D"/>
    <w:rsid w:val="00633887"/>
    <w:rsid w:val="00633B2F"/>
    <w:rsid w:val="00635EB8"/>
    <w:rsid w:val="00636361"/>
    <w:rsid w:val="00636472"/>
    <w:rsid w:val="00636ADA"/>
    <w:rsid w:val="0063733C"/>
    <w:rsid w:val="00637407"/>
    <w:rsid w:val="0063753D"/>
    <w:rsid w:val="00637808"/>
    <w:rsid w:val="0063793F"/>
    <w:rsid w:val="006379C4"/>
    <w:rsid w:val="00637D44"/>
    <w:rsid w:val="00640322"/>
    <w:rsid w:val="00640B4C"/>
    <w:rsid w:val="00640B62"/>
    <w:rsid w:val="00640C31"/>
    <w:rsid w:val="00640E8D"/>
    <w:rsid w:val="00640EE9"/>
    <w:rsid w:val="00641330"/>
    <w:rsid w:val="006413D2"/>
    <w:rsid w:val="006415E6"/>
    <w:rsid w:val="006422C2"/>
    <w:rsid w:val="00642E4A"/>
    <w:rsid w:val="00642EF3"/>
    <w:rsid w:val="00643226"/>
    <w:rsid w:val="006437C9"/>
    <w:rsid w:val="00643941"/>
    <w:rsid w:val="0064399C"/>
    <w:rsid w:val="00643B7D"/>
    <w:rsid w:val="00643C18"/>
    <w:rsid w:val="00643DE2"/>
    <w:rsid w:val="006441D7"/>
    <w:rsid w:val="0064483C"/>
    <w:rsid w:val="00644A66"/>
    <w:rsid w:val="00645221"/>
    <w:rsid w:val="00645426"/>
    <w:rsid w:val="00645434"/>
    <w:rsid w:val="006456ED"/>
    <w:rsid w:val="006459EF"/>
    <w:rsid w:val="00646063"/>
    <w:rsid w:val="00646338"/>
    <w:rsid w:val="006465F3"/>
    <w:rsid w:val="00646C9F"/>
    <w:rsid w:val="00646EB9"/>
    <w:rsid w:val="006470B3"/>
    <w:rsid w:val="006477F2"/>
    <w:rsid w:val="006500A5"/>
    <w:rsid w:val="006504A4"/>
    <w:rsid w:val="006509D1"/>
    <w:rsid w:val="00651646"/>
    <w:rsid w:val="006518F8"/>
    <w:rsid w:val="00652F8E"/>
    <w:rsid w:val="006534BF"/>
    <w:rsid w:val="006534EC"/>
    <w:rsid w:val="006537D7"/>
    <w:rsid w:val="00653EC4"/>
    <w:rsid w:val="0065444A"/>
    <w:rsid w:val="00654F68"/>
    <w:rsid w:val="00654FED"/>
    <w:rsid w:val="00655675"/>
    <w:rsid w:val="0065572E"/>
    <w:rsid w:val="006558A0"/>
    <w:rsid w:val="00655CF9"/>
    <w:rsid w:val="00655D45"/>
    <w:rsid w:val="00656098"/>
    <w:rsid w:val="00656333"/>
    <w:rsid w:val="0065651A"/>
    <w:rsid w:val="00656745"/>
    <w:rsid w:val="00656CC5"/>
    <w:rsid w:val="00656DC1"/>
    <w:rsid w:val="00656F30"/>
    <w:rsid w:val="00657119"/>
    <w:rsid w:val="0065714C"/>
    <w:rsid w:val="00657620"/>
    <w:rsid w:val="006576AA"/>
    <w:rsid w:val="006579BD"/>
    <w:rsid w:val="00660063"/>
    <w:rsid w:val="0066016C"/>
    <w:rsid w:val="00660A74"/>
    <w:rsid w:val="0066116F"/>
    <w:rsid w:val="00662195"/>
    <w:rsid w:val="00662E5F"/>
    <w:rsid w:val="006630A2"/>
    <w:rsid w:val="0066344E"/>
    <w:rsid w:val="006634F6"/>
    <w:rsid w:val="00663881"/>
    <w:rsid w:val="00664434"/>
    <w:rsid w:val="006647A9"/>
    <w:rsid w:val="00664D2E"/>
    <w:rsid w:val="006654DC"/>
    <w:rsid w:val="0066561F"/>
    <w:rsid w:val="00665903"/>
    <w:rsid w:val="00665A5F"/>
    <w:rsid w:val="0066609B"/>
    <w:rsid w:val="00666197"/>
    <w:rsid w:val="00666395"/>
    <w:rsid w:val="006663E2"/>
    <w:rsid w:val="00666429"/>
    <w:rsid w:val="00666885"/>
    <w:rsid w:val="00666A58"/>
    <w:rsid w:val="00666DBA"/>
    <w:rsid w:val="0067064F"/>
    <w:rsid w:val="00670650"/>
    <w:rsid w:val="006706E9"/>
    <w:rsid w:val="00670B0E"/>
    <w:rsid w:val="006712C0"/>
    <w:rsid w:val="00671386"/>
    <w:rsid w:val="00671728"/>
    <w:rsid w:val="00671D2E"/>
    <w:rsid w:val="00671D44"/>
    <w:rsid w:val="00671E47"/>
    <w:rsid w:val="00671EF0"/>
    <w:rsid w:val="00672076"/>
    <w:rsid w:val="006728C4"/>
    <w:rsid w:val="00673DBB"/>
    <w:rsid w:val="006744AC"/>
    <w:rsid w:val="00674BE6"/>
    <w:rsid w:val="00674C7D"/>
    <w:rsid w:val="0067575A"/>
    <w:rsid w:val="006759CF"/>
    <w:rsid w:val="00676B51"/>
    <w:rsid w:val="00677C6A"/>
    <w:rsid w:val="00677F39"/>
    <w:rsid w:val="00680A8C"/>
    <w:rsid w:val="00680B40"/>
    <w:rsid w:val="0068160C"/>
    <w:rsid w:val="00681992"/>
    <w:rsid w:val="00681A07"/>
    <w:rsid w:val="00681EC9"/>
    <w:rsid w:val="006822FA"/>
    <w:rsid w:val="006824C1"/>
    <w:rsid w:val="0068288C"/>
    <w:rsid w:val="00682A99"/>
    <w:rsid w:val="00682C6F"/>
    <w:rsid w:val="00682FB4"/>
    <w:rsid w:val="00683CD2"/>
    <w:rsid w:val="00683ED2"/>
    <w:rsid w:val="00683F36"/>
    <w:rsid w:val="006841CF"/>
    <w:rsid w:val="006843D6"/>
    <w:rsid w:val="00684576"/>
    <w:rsid w:val="00684653"/>
    <w:rsid w:val="006848A2"/>
    <w:rsid w:val="0068503A"/>
    <w:rsid w:val="00685589"/>
    <w:rsid w:val="006856CD"/>
    <w:rsid w:val="006857A1"/>
    <w:rsid w:val="00685D16"/>
    <w:rsid w:val="0068682C"/>
    <w:rsid w:val="006869F8"/>
    <w:rsid w:val="00687011"/>
    <w:rsid w:val="00687180"/>
    <w:rsid w:val="0068721C"/>
    <w:rsid w:val="0068739A"/>
    <w:rsid w:val="0068794B"/>
    <w:rsid w:val="00687F59"/>
    <w:rsid w:val="006903AF"/>
    <w:rsid w:val="006905FB"/>
    <w:rsid w:val="0069139F"/>
    <w:rsid w:val="00691765"/>
    <w:rsid w:val="00691DC9"/>
    <w:rsid w:val="0069259B"/>
    <w:rsid w:val="006926E5"/>
    <w:rsid w:val="006929FD"/>
    <w:rsid w:val="0069339D"/>
    <w:rsid w:val="006938AA"/>
    <w:rsid w:val="0069392B"/>
    <w:rsid w:val="006941AE"/>
    <w:rsid w:val="0069421E"/>
    <w:rsid w:val="00694363"/>
    <w:rsid w:val="006943DF"/>
    <w:rsid w:val="006946B8"/>
    <w:rsid w:val="0069474B"/>
    <w:rsid w:val="0069475D"/>
    <w:rsid w:val="0069497A"/>
    <w:rsid w:val="00694E26"/>
    <w:rsid w:val="006954C6"/>
    <w:rsid w:val="006957A8"/>
    <w:rsid w:val="00695D50"/>
    <w:rsid w:val="0069631B"/>
    <w:rsid w:val="00696B88"/>
    <w:rsid w:val="00696EB3"/>
    <w:rsid w:val="006976CB"/>
    <w:rsid w:val="006977E4"/>
    <w:rsid w:val="0069788A"/>
    <w:rsid w:val="00697966"/>
    <w:rsid w:val="006A010C"/>
    <w:rsid w:val="006A02C0"/>
    <w:rsid w:val="006A02CF"/>
    <w:rsid w:val="006A064B"/>
    <w:rsid w:val="006A0B25"/>
    <w:rsid w:val="006A129A"/>
    <w:rsid w:val="006A195B"/>
    <w:rsid w:val="006A24E1"/>
    <w:rsid w:val="006A2BD8"/>
    <w:rsid w:val="006A2CD8"/>
    <w:rsid w:val="006A2ECA"/>
    <w:rsid w:val="006A30ED"/>
    <w:rsid w:val="006A3A2B"/>
    <w:rsid w:val="006A4011"/>
    <w:rsid w:val="006A44F5"/>
    <w:rsid w:val="006A5246"/>
    <w:rsid w:val="006A52D0"/>
    <w:rsid w:val="006A5356"/>
    <w:rsid w:val="006A54B4"/>
    <w:rsid w:val="006A554D"/>
    <w:rsid w:val="006A5BA6"/>
    <w:rsid w:val="006A606A"/>
    <w:rsid w:val="006A685B"/>
    <w:rsid w:val="006A6A34"/>
    <w:rsid w:val="006A6BF1"/>
    <w:rsid w:val="006A7142"/>
    <w:rsid w:val="006A7446"/>
    <w:rsid w:val="006A75EE"/>
    <w:rsid w:val="006A786C"/>
    <w:rsid w:val="006A78A5"/>
    <w:rsid w:val="006A7B21"/>
    <w:rsid w:val="006A7F95"/>
    <w:rsid w:val="006B019C"/>
    <w:rsid w:val="006B0818"/>
    <w:rsid w:val="006B0F0F"/>
    <w:rsid w:val="006B1C1B"/>
    <w:rsid w:val="006B290D"/>
    <w:rsid w:val="006B29AB"/>
    <w:rsid w:val="006B2B84"/>
    <w:rsid w:val="006B3032"/>
    <w:rsid w:val="006B3063"/>
    <w:rsid w:val="006B3252"/>
    <w:rsid w:val="006B3496"/>
    <w:rsid w:val="006B36C0"/>
    <w:rsid w:val="006B394A"/>
    <w:rsid w:val="006B3C38"/>
    <w:rsid w:val="006B3E23"/>
    <w:rsid w:val="006B4B4A"/>
    <w:rsid w:val="006B4BFE"/>
    <w:rsid w:val="006B4EAE"/>
    <w:rsid w:val="006B50F4"/>
    <w:rsid w:val="006B5491"/>
    <w:rsid w:val="006B56A1"/>
    <w:rsid w:val="006B5DAD"/>
    <w:rsid w:val="006B661E"/>
    <w:rsid w:val="006B6B20"/>
    <w:rsid w:val="006B6CD6"/>
    <w:rsid w:val="006B6E70"/>
    <w:rsid w:val="006B6F34"/>
    <w:rsid w:val="006B75C6"/>
    <w:rsid w:val="006C04E5"/>
    <w:rsid w:val="006C0A72"/>
    <w:rsid w:val="006C0AC9"/>
    <w:rsid w:val="006C1377"/>
    <w:rsid w:val="006C1C88"/>
    <w:rsid w:val="006C2C25"/>
    <w:rsid w:val="006C2DB3"/>
    <w:rsid w:val="006C2E6A"/>
    <w:rsid w:val="006C321B"/>
    <w:rsid w:val="006C3407"/>
    <w:rsid w:val="006C354C"/>
    <w:rsid w:val="006C36C6"/>
    <w:rsid w:val="006C376C"/>
    <w:rsid w:val="006C3B76"/>
    <w:rsid w:val="006C4091"/>
    <w:rsid w:val="006C41C8"/>
    <w:rsid w:val="006C4208"/>
    <w:rsid w:val="006C42EC"/>
    <w:rsid w:val="006C4437"/>
    <w:rsid w:val="006C4572"/>
    <w:rsid w:val="006C4656"/>
    <w:rsid w:val="006C494E"/>
    <w:rsid w:val="006C4A4C"/>
    <w:rsid w:val="006C4C3F"/>
    <w:rsid w:val="006C4F77"/>
    <w:rsid w:val="006C5067"/>
    <w:rsid w:val="006C589F"/>
    <w:rsid w:val="006C59C4"/>
    <w:rsid w:val="006C664B"/>
    <w:rsid w:val="006C68D6"/>
    <w:rsid w:val="006C6C29"/>
    <w:rsid w:val="006C7984"/>
    <w:rsid w:val="006C79FE"/>
    <w:rsid w:val="006C7B03"/>
    <w:rsid w:val="006C7E24"/>
    <w:rsid w:val="006D0069"/>
    <w:rsid w:val="006D05FE"/>
    <w:rsid w:val="006D0816"/>
    <w:rsid w:val="006D0A3F"/>
    <w:rsid w:val="006D0A61"/>
    <w:rsid w:val="006D0D09"/>
    <w:rsid w:val="006D0EC2"/>
    <w:rsid w:val="006D12D5"/>
    <w:rsid w:val="006D187B"/>
    <w:rsid w:val="006D2108"/>
    <w:rsid w:val="006D21F0"/>
    <w:rsid w:val="006D270B"/>
    <w:rsid w:val="006D3875"/>
    <w:rsid w:val="006D3FB2"/>
    <w:rsid w:val="006D44F8"/>
    <w:rsid w:val="006D4C72"/>
    <w:rsid w:val="006D4E4C"/>
    <w:rsid w:val="006D5585"/>
    <w:rsid w:val="006D5760"/>
    <w:rsid w:val="006D5CDE"/>
    <w:rsid w:val="006D5F76"/>
    <w:rsid w:val="006D62A4"/>
    <w:rsid w:val="006D6626"/>
    <w:rsid w:val="006D67C5"/>
    <w:rsid w:val="006D6944"/>
    <w:rsid w:val="006D6AE5"/>
    <w:rsid w:val="006D6D96"/>
    <w:rsid w:val="006D70B5"/>
    <w:rsid w:val="006D7211"/>
    <w:rsid w:val="006D7384"/>
    <w:rsid w:val="006D75C8"/>
    <w:rsid w:val="006D767D"/>
    <w:rsid w:val="006E0A28"/>
    <w:rsid w:val="006E1133"/>
    <w:rsid w:val="006E1242"/>
    <w:rsid w:val="006E13FE"/>
    <w:rsid w:val="006E15C9"/>
    <w:rsid w:val="006E2020"/>
    <w:rsid w:val="006E226D"/>
    <w:rsid w:val="006E2A13"/>
    <w:rsid w:val="006E2EAF"/>
    <w:rsid w:val="006E4156"/>
    <w:rsid w:val="006E45A9"/>
    <w:rsid w:val="006E4A40"/>
    <w:rsid w:val="006E60BD"/>
    <w:rsid w:val="006E61D2"/>
    <w:rsid w:val="006E6631"/>
    <w:rsid w:val="006E6BA0"/>
    <w:rsid w:val="006E7FDA"/>
    <w:rsid w:val="006F069D"/>
    <w:rsid w:val="006F0783"/>
    <w:rsid w:val="006F08CF"/>
    <w:rsid w:val="006F0D46"/>
    <w:rsid w:val="006F1028"/>
    <w:rsid w:val="006F1E45"/>
    <w:rsid w:val="006F23DD"/>
    <w:rsid w:val="006F3092"/>
    <w:rsid w:val="006F3C63"/>
    <w:rsid w:val="006F3E8E"/>
    <w:rsid w:val="006F438A"/>
    <w:rsid w:val="006F45EC"/>
    <w:rsid w:val="006F4662"/>
    <w:rsid w:val="006F4F77"/>
    <w:rsid w:val="006F5158"/>
    <w:rsid w:val="006F566D"/>
    <w:rsid w:val="006F5AE2"/>
    <w:rsid w:val="006F5F65"/>
    <w:rsid w:val="006F5FE5"/>
    <w:rsid w:val="006F64E8"/>
    <w:rsid w:val="006F74DF"/>
    <w:rsid w:val="006F757A"/>
    <w:rsid w:val="006F777E"/>
    <w:rsid w:val="006F7BF9"/>
    <w:rsid w:val="006F7FD0"/>
    <w:rsid w:val="0070048B"/>
    <w:rsid w:val="00700950"/>
    <w:rsid w:val="00701136"/>
    <w:rsid w:val="007016B6"/>
    <w:rsid w:val="00701928"/>
    <w:rsid w:val="007022BB"/>
    <w:rsid w:val="00702512"/>
    <w:rsid w:val="00702712"/>
    <w:rsid w:val="0070319A"/>
    <w:rsid w:val="00703442"/>
    <w:rsid w:val="00703615"/>
    <w:rsid w:val="00703CB4"/>
    <w:rsid w:val="00703D11"/>
    <w:rsid w:val="007046E0"/>
    <w:rsid w:val="00704B5C"/>
    <w:rsid w:val="00704C36"/>
    <w:rsid w:val="007053D4"/>
    <w:rsid w:val="00705895"/>
    <w:rsid w:val="00705B94"/>
    <w:rsid w:val="00706093"/>
    <w:rsid w:val="007064B8"/>
    <w:rsid w:val="00706748"/>
    <w:rsid w:val="00706AFD"/>
    <w:rsid w:val="00706B45"/>
    <w:rsid w:val="007072AC"/>
    <w:rsid w:val="0070765C"/>
    <w:rsid w:val="00707AE8"/>
    <w:rsid w:val="00707BBD"/>
    <w:rsid w:val="00707C18"/>
    <w:rsid w:val="007101E8"/>
    <w:rsid w:val="007103A9"/>
    <w:rsid w:val="0071042E"/>
    <w:rsid w:val="00711328"/>
    <w:rsid w:val="00711C49"/>
    <w:rsid w:val="00711FE6"/>
    <w:rsid w:val="007120AE"/>
    <w:rsid w:val="007127CC"/>
    <w:rsid w:val="007129E4"/>
    <w:rsid w:val="00713FDD"/>
    <w:rsid w:val="007146B0"/>
    <w:rsid w:val="00714F00"/>
    <w:rsid w:val="007160BD"/>
    <w:rsid w:val="00716136"/>
    <w:rsid w:val="0071613C"/>
    <w:rsid w:val="00716498"/>
    <w:rsid w:val="00716662"/>
    <w:rsid w:val="00716917"/>
    <w:rsid w:val="00716A5F"/>
    <w:rsid w:val="00716AD2"/>
    <w:rsid w:val="00716DB7"/>
    <w:rsid w:val="00717288"/>
    <w:rsid w:val="00717562"/>
    <w:rsid w:val="00717669"/>
    <w:rsid w:val="007203CA"/>
    <w:rsid w:val="00721019"/>
    <w:rsid w:val="0072120E"/>
    <w:rsid w:val="00721A15"/>
    <w:rsid w:val="00721B4A"/>
    <w:rsid w:val="00721C2C"/>
    <w:rsid w:val="00721EEC"/>
    <w:rsid w:val="007226F5"/>
    <w:rsid w:val="007226FE"/>
    <w:rsid w:val="00722B88"/>
    <w:rsid w:val="007230C3"/>
    <w:rsid w:val="00723943"/>
    <w:rsid w:val="00723A01"/>
    <w:rsid w:val="00723B2C"/>
    <w:rsid w:val="00724DEC"/>
    <w:rsid w:val="00724EBE"/>
    <w:rsid w:val="00724ED0"/>
    <w:rsid w:val="00724F92"/>
    <w:rsid w:val="00725041"/>
    <w:rsid w:val="007253D6"/>
    <w:rsid w:val="0072578A"/>
    <w:rsid w:val="0072597A"/>
    <w:rsid w:val="00725A59"/>
    <w:rsid w:val="00726104"/>
    <w:rsid w:val="00726238"/>
    <w:rsid w:val="00726339"/>
    <w:rsid w:val="00726AC4"/>
    <w:rsid w:val="007274B2"/>
    <w:rsid w:val="00727EC5"/>
    <w:rsid w:val="007302FA"/>
    <w:rsid w:val="007303CD"/>
    <w:rsid w:val="00730578"/>
    <w:rsid w:val="007305CD"/>
    <w:rsid w:val="00730A02"/>
    <w:rsid w:val="00730C6E"/>
    <w:rsid w:val="00730E3B"/>
    <w:rsid w:val="00731107"/>
    <w:rsid w:val="00731382"/>
    <w:rsid w:val="00731E70"/>
    <w:rsid w:val="00732873"/>
    <w:rsid w:val="00733157"/>
    <w:rsid w:val="0073315C"/>
    <w:rsid w:val="00733444"/>
    <w:rsid w:val="00733A89"/>
    <w:rsid w:val="00733B18"/>
    <w:rsid w:val="00733E08"/>
    <w:rsid w:val="0073413E"/>
    <w:rsid w:val="00734227"/>
    <w:rsid w:val="007344F7"/>
    <w:rsid w:val="00734687"/>
    <w:rsid w:val="00734F86"/>
    <w:rsid w:val="0073512D"/>
    <w:rsid w:val="00735259"/>
    <w:rsid w:val="00735814"/>
    <w:rsid w:val="00735996"/>
    <w:rsid w:val="00735FC0"/>
    <w:rsid w:val="00735FF3"/>
    <w:rsid w:val="00736020"/>
    <w:rsid w:val="00736F3E"/>
    <w:rsid w:val="007371FE"/>
    <w:rsid w:val="0073792C"/>
    <w:rsid w:val="00737993"/>
    <w:rsid w:val="00737F22"/>
    <w:rsid w:val="007401E3"/>
    <w:rsid w:val="00740424"/>
    <w:rsid w:val="0074052A"/>
    <w:rsid w:val="00741059"/>
    <w:rsid w:val="007410FD"/>
    <w:rsid w:val="00741284"/>
    <w:rsid w:val="00741CB2"/>
    <w:rsid w:val="00741F8A"/>
    <w:rsid w:val="007423E5"/>
    <w:rsid w:val="0074257A"/>
    <w:rsid w:val="007428E0"/>
    <w:rsid w:val="0074332C"/>
    <w:rsid w:val="00743D00"/>
    <w:rsid w:val="007446EC"/>
    <w:rsid w:val="0074499B"/>
    <w:rsid w:val="00745872"/>
    <w:rsid w:val="007459CE"/>
    <w:rsid w:val="00745CE5"/>
    <w:rsid w:val="00746C39"/>
    <w:rsid w:val="00747189"/>
    <w:rsid w:val="007471ED"/>
    <w:rsid w:val="0074723C"/>
    <w:rsid w:val="00747434"/>
    <w:rsid w:val="00747435"/>
    <w:rsid w:val="0074788B"/>
    <w:rsid w:val="00750B2C"/>
    <w:rsid w:val="00750BFD"/>
    <w:rsid w:val="00750C67"/>
    <w:rsid w:val="00750E0F"/>
    <w:rsid w:val="00750FCB"/>
    <w:rsid w:val="00751097"/>
    <w:rsid w:val="0075137C"/>
    <w:rsid w:val="007514A9"/>
    <w:rsid w:val="0075181C"/>
    <w:rsid w:val="00751EAC"/>
    <w:rsid w:val="00751EB9"/>
    <w:rsid w:val="0075299F"/>
    <w:rsid w:val="00752D6D"/>
    <w:rsid w:val="00753030"/>
    <w:rsid w:val="00753892"/>
    <w:rsid w:val="00753BD0"/>
    <w:rsid w:val="0075418A"/>
    <w:rsid w:val="0075419B"/>
    <w:rsid w:val="00754694"/>
    <w:rsid w:val="00754A0E"/>
    <w:rsid w:val="007562B2"/>
    <w:rsid w:val="00756487"/>
    <w:rsid w:val="007567E7"/>
    <w:rsid w:val="00756CF5"/>
    <w:rsid w:val="00756F94"/>
    <w:rsid w:val="00757BA2"/>
    <w:rsid w:val="00757C1E"/>
    <w:rsid w:val="00757F40"/>
    <w:rsid w:val="00760055"/>
    <w:rsid w:val="007605B4"/>
    <w:rsid w:val="007605D6"/>
    <w:rsid w:val="007607E4"/>
    <w:rsid w:val="00760F17"/>
    <w:rsid w:val="00761085"/>
    <w:rsid w:val="00761373"/>
    <w:rsid w:val="00761E17"/>
    <w:rsid w:val="00761F4E"/>
    <w:rsid w:val="0076219F"/>
    <w:rsid w:val="00762323"/>
    <w:rsid w:val="00762544"/>
    <w:rsid w:val="007625A2"/>
    <w:rsid w:val="0076260D"/>
    <w:rsid w:val="0076294B"/>
    <w:rsid w:val="00762A4E"/>
    <w:rsid w:val="00763188"/>
    <w:rsid w:val="007632AE"/>
    <w:rsid w:val="00763949"/>
    <w:rsid w:val="00763B77"/>
    <w:rsid w:val="007642C6"/>
    <w:rsid w:val="00765238"/>
    <w:rsid w:val="00765797"/>
    <w:rsid w:val="00765A6B"/>
    <w:rsid w:val="00765E4D"/>
    <w:rsid w:val="00766195"/>
    <w:rsid w:val="0076669C"/>
    <w:rsid w:val="007666DA"/>
    <w:rsid w:val="00766D57"/>
    <w:rsid w:val="00766D5A"/>
    <w:rsid w:val="0076702C"/>
    <w:rsid w:val="007670A1"/>
    <w:rsid w:val="00767C16"/>
    <w:rsid w:val="00767D9A"/>
    <w:rsid w:val="00767EBF"/>
    <w:rsid w:val="00767F6C"/>
    <w:rsid w:val="007700BE"/>
    <w:rsid w:val="00770341"/>
    <w:rsid w:val="007703F7"/>
    <w:rsid w:val="007705F8"/>
    <w:rsid w:val="00770699"/>
    <w:rsid w:val="0077191A"/>
    <w:rsid w:val="00771ABC"/>
    <w:rsid w:val="00771B5B"/>
    <w:rsid w:val="00771D6B"/>
    <w:rsid w:val="007720FE"/>
    <w:rsid w:val="00772133"/>
    <w:rsid w:val="00772490"/>
    <w:rsid w:val="007726A9"/>
    <w:rsid w:val="00772829"/>
    <w:rsid w:val="00773665"/>
    <w:rsid w:val="00773F4C"/>
    <w:rsid w:val="0077529F"/>
    <w:rsid w:val="007753D1"/>
    <w:rsid w:val="007753DB"/>
    <w:rsid w:val="00775403"/>
    <w:rsid w:val="007756AB"/>
    <w:rsid w:val="00775E74"/>
    <w:rsid w:val="00775FCE"/>
    <w:rsid w:val="00776086"/>
    <w:rsid w:val="0077668B"/>
    <w:rsid w:val="007771F6"/>
    <w:rsid w:val="00777699"/>
    <w:rsid w:val="007777F3"/>
    <w:rsid w:val="00777848"/>
    <w:rsid w:val="00777893"/>
    <w:rsid w:val="00777D1F"/>
    <w:rsid w:val="00777D20"/>
    <w:rsid w:val="007800AB"/>
    <w:rsid w:val="00780C5F"/>
    <w:rsid w:val="0078106A"/>
    <w:rsid w:val="00781AA4"/>
    <w:rsid w:val="007839EA"/>
    <w:rsid w:val="00784341"/>
    <w:rsid w:val="00784A96"/>
    <w:rsid w:val="0078517F"/>
    <w:rsid w:val="007852E9"/>
    <w:rsid w:val="00785782"/>
    <w:rsid w:val="0078608F"/>
    <w:rsid w:val="007868A3"/>
    <w:rsid w:val="007868B0"/>
    <w:rsid w:val="00787604"/>
    <w:rsid w:val="00790AD9"/>
    <w:rsid w:val="00790B15"/>
    <w:rsid w:val="00790F49"/>
    <w:rsid w:val="0079103C"/>
    <w:rsid w:val="0079115F"/>
    <w:rsid w:val="007911D3"/>
    <w:rsid w:val="00791CEB"/>
    <w:rsid w:val="007924A0"/>
    <w:rsid w:val="00792998"/>
    <w:rsid w:val="00792C54"/>
    <w:rsid w:val="00793084"/>
    <w:rsid w:val="0079315A"/>
    <w:rsid w:val="007931CB"/>
    <w:rsid w:val="007932EA"/>
    <w:rsid w:val="0079334D"/>
    <w:rsid w:val="007935C6"/>
    <w:rsid w:val="00793CE9"/>
    <w:rsid w:val="0079401D"/>
    <w:rsid w:val="007944BF"/>
    <w:rsid w:val="00794B20"/>
    <w:rsid w:val="00794B68"/>
    <w:rsid w:val="007950B8"/>
    <w:rsid w:val="007951D4"/>
    <w:rsid w:val="00795598"/>
    <w:rsid w:val="007965B9"/>
    <w:rsid w:val="00796ADA"/>
    <w:rsid w:val="00796FC2"/>
    <w:rsid w:val="00797C46"/>
    <w:rsid w:val="007A03EC"/>
    <w:rsid w:val="007A046C"/>
    <w:rsid w:val="007A08C2"/>
    <w:rsid w:val="007A0913"/>
    <w:rsid w:val="007A0DDB"/>
    <w:rsid w:val="007A106A"/>
    <w:rsid w:val="007A135D"/>
    <w:rsid w:val="007A19F6"/>
    <w:rsid w:val="007A2395"/>
    <w:rsid w:val="007A23E2"/>
    <w:rsid w:val="007A2B65"/>
    <w:rsid w:val="007A2C2D"/>
    <w:rsid w:val="007A2CF2"/>
    <w:rsid w:val="007A2ED3"/>
    <w:rsid w:val="007A32FD"/>
    <w:rsid w:val="007A33BB"/>
    <w:rsid w:val="007A3495"/>
    <w:rsid w:val="007A3B64"/>
    <w:rsid w:val="007A44DB"/>
    <w:rsid w:val="007A4616"/>
    <w:rsid w:val="007A4C7E"/>
    <w:rsid w:val="007A5226"/>
    <w:rsid w:val="007A5617"/>
    <w:rsid w:val="007A5A35"/>
    <w:rsid w:val="007A6A5D"/>
    <w:rsid w:val="007A72BC"/>
    <w:rsid w:val="007A7437"/>
    <w:rsid w:val="007A75AD"/>
    <w:rsid w:val="007A77BE"/>
    <w:rsid w:val="007A7AB1"/>
    <w:rsid w:val="007A7D8D"/>
    <w:rsid w:val="007B0245"/>
    <w:rsid w:val="007B0484"/>
    <w:rsid w:val="007B05C4"/>
    <w:rsid w:val="007B0823"/>
    <w:rsid w:val="007B083F"/>
    <w:rsid w:val="007B0880"/>
    <w:rsid w:val="007B0B34"/>
    <w:rsid w:val="007B0D01"/>
    <w:rsid w:val="007B0F44"/>
    <w:rsid w:val="007B115E"/>
    <w:rsid w:val="007B16D2"/>
    <w:rsid w:val="007B17F8"/>
    <w:rsid w:val="007B1D4E"/>
    <w:rsid w:val="007B2085"/>
    <w:rsid w:val="007B20C0"/>
    <w:rsid w:val="007B20C3"/>
    <w:rsid w:val="007B2265"/>
    <w:rsid w:val="007B262F"/>
    <w:rsid w:val="007B26B1"/>
    <w:rsid w:val="007B2928"/>
    <w:rsid w:val="007B2CB8"/>
    <w:rsid w:val="007B2FB4"/>
    <w:rsid w:val="007B2FDC"/>
    <w:rsid w:val="007B311A"/>
    <w:rsid w:val="007B38A0"/>
    <w:rsid w:val="007B38B7"/>
    <w:rsid w:val="007B3FEA"/>
    <w:rsid w:val="007B4832"/>
    <w:rsid w:val="007B4C0F"/>
    <w:rsid w:val="007B4E0F"/>
    <w:rsid w:val="007B4F7B"/>
    <w:rsid w:val="007B525D"/>
    <w:rsid w:val="007B5435"/>
    <w:rsid w:val="007B583D"/>
    <w:rsid w:val="007B58B8"/>
    <w:rsid w:val="007B5E4B"/>
    <w:rsid w:val="007B6684"/>
    <w:rsid w:val="007B684C"/>
    <w:rsid w:val="007B6B21"/>
    <w:rsid w:val="007B6B88"/>
    <w:rsid w:val="007B6CDE"/>
    <w:rsid w:val="007B6D33"/>
    <w:rsid w:val="007B7024"/>
    <w:rsid w:val="007B74E6"/>
    <w:rsid w:val="007B76A6"/>
    <w:rsid w:val="007B7745"/>
    <w:rsid w:val="007C0390"/>
    <w:rsid w:val="007C0DB2"/>
    <w:rsid w:val="007C0E4E"/>
    <w:rsid w:val="007C14A2"/>
    <w:rsid w:val="007C296C"/>
    <w:rsid w:val="007C2C7C"/>
    <w:rsid w:val="007C2E19"/>
    <w:rsid w:val="007C2E4D"/>
    <w:rsid w:val="007C2E70"/>
    <w:rsid w:val="007C300E"/>
    <w:rsid w:val="007C328D"/>
    <w:rsid w:val="007C336F"/>
    <w:rsid w:val="007C41B1"/>
    <w:rsid w:val="007C4B6D"/>
    <w:rsid w:val="007C4D83"/>
    <w:rsid w:val="007C576B"/>
    <w:rsid w:val="007C5794"/>
    <w:rsid w:val="007C5991"/>
    <w:rsid w:val="007C5D1C"/>
    <w:rsid w:val="007C5FC7"/>
    <w:rsid w:val="007C5FDA"/>
    <w:rsid w:val="007C698F"/>
    <w:rsid w:val="007C6B5D"/>
    <w:rsid w:val="007C6D0B"/>
    <w:rsid w:val="007C6D72"/>
    <w:rsid w:val="007C73CD"/>
    <w:rsid w:val="007C7C4D"/>
    <w:rsid w:val="007D0171"/>
    <w:rsid w:val="007D0B1D"/>
    <w:rsid w:val="007D0E17"/>
    <w:rsid w:val="007D0E20"/>
    <w:rsid w:val="007D107B"/>
    <w:rsid w:val="007D13EB"/>
    <w:rsid w:val="007D1BC3"/>
    <w:rsid w:val="007D2DC1"/>
    <w:rsid w:val="007D2EBB"/>
    <w:rsid w:val="007D30B7"/>
    <w:rsid w:val="007D31A5"/>
    <w:rsid w:val="007D32C0"/>
    <w:rsid w:val="007D3844"/>
    <w:rsid w:val="007D3A08"/>
    <w:rsid w:val="007D3A7E"/>
    <w:rsid w:val="007D3C94"/>
    <w:rsid w:val="007D448D"/>
    <w:rsid w:val="007D47EA"/>
    <w:rsid w:val="007D4822"/>
    <w:rsid w:val="007D484E"/>
    <w:rsid w:val="007D49CB"/>
    <w:rsid w:val="007D5311"/>
    <w:rsid w:val="007D58E2"/>
    <w:rsid w:val="007D6248"/>
    <w:rsid w:val="007D6511"/>
    <w:rsid w:val="007D6BA8"/>
    <w:rsid w:val="007D6E3E"/>
    <w:rsid w:val="007D7955"/>
    <w:rsid w:val="007D7B57"/>
    <w:rsid w:val="007E041D"/>
    <w:rsid w:val="007E08CB"/>
    <w:rsid w:val="007E1092"/>
    <w:rsid w:val="007E121D"/>
    <w:rsid w:val="007E151C"/>
    <w:rsid w:val="007E15AD"/>
    <w:rsid w:val="007E1612"/>
    <w:rsid w:val="007E1A8D"/>
    <w:rsid w:val="007E25ED"/>
    <w:rsid w:val="007E2BC0"/>
    <w:rsid w:val="007E2FD8"/>
    <w:rsid w:val="007E3119"/>
    <w:rsid w:val="007E3978"/>
    <w:rsid w:val="007E4252"/>
    <w:rsid w:val="007E4339"/>
    <w:rsid w:val="007E57DB"/>
    <w:rsid w:val="007E5A3C"/>
    <w:rsid w:val="007E6259"/>
    <w:rsid w:val="007E6871"/>
    <w:rsid w:val="007E6991"/>
    <w:rsid w:val="007E6B89"/>
    <w:rsid w:val="007E6C93"/>
    <w:rsid w:val="007E73CB"/>
    <w:rsid w:val="007E7667"/>
    <w:rsid w:val="007E766E"/>
    <w:rsid w:val="007E774C"/>
    <w:rsid w:val="007E7BA8"/>
    <w:rsid w:val="007E7E55"/>
    <w:rsid w:val="007F0137"/>
    <w:rsid w:val="007F018B"/>
    <w:rsid w:val="007F03FF"/>
    <w:rsid w:val="007F0553"/>
    <w:rsid w:val="007F061E"/>
    <w:rsid w:val="007F0A1F"/>
    <w:rsid w:val="007F1081"/>
    <w:rsid w:val="007F120D"/>
    <w:rsid w:val="007F15CD"/>
    <w:rsid w:val="007F15FD"/>
    <w:rsid w:val="007F1E5C"/>
    <w:rsid w:val="007F1F53"/>
    <w:rsid w:val="007F2407"/>
    <w:rsid w:val="007F266F"/>
    <w:rsid w:val="007F2A68"/>
    <w:rsid w:val="007F2C54"/>
    <w:rsid w:val="007F3D70"/>
    <w:rsid w:val="007F3F0E"/>
    <w:rsid w:val="007F4075"/>
    <w:rsid w:val="007F41C2"/>
    <w:rsid w:val="007F42D1"/>
    <w:rsid w:val="007F4A36"/>
    <w:rsid w:val="007F4E52"/>
    <w:rsid w:val="007F54E0"/>
    <w:rsid w:val="007F5563"/>
    <w:rsid w:val="007F58C3"/>
    <w:rsid w:val="007F5C12"/>
    <w:rsid w:val="007F5E7E"/>
    <w:rsid w:val="007F5F72"/>
    <w:rsid w:val="007F5F84"/>
    <w:rsid w:val="007F648F"/>
    <w:rsid w:val="007F67E9"/>
    <w:rsid w:val="007F6FCF"/>
    <w:rsid w:val="007F73F6"/>
    <w:rsid w:val="007F7C7B"/>
    <w:rsid w:val="008002A2"/>
    <w:rsid w:val="00800577"/>
    <w:rsid w:val="0080136D"/>
    <w:rsid w:val="0080142A"/>
    <w:rsid w:val="00802BAF"/>
    <w:rsid w:val="00803569"/>
    <w:rsid w:val="00803599"/>
    <w:rsid w:val="00803B08"/>
    <w:rsid w:val="008040A2"/>
    <w:rsid w:val="008044C8"/>
    <w:rsid w:val="008045AE"/>
    <w:rsid w:val="00804632"/>
    <w:rsid w:val="00804D17"/>
    <w:rsid w:val="008050E9"/>
    <w:rsid w:val="0080518F"/>
    <w:rsid w:val="008054D9"/>
    <w:rsid w:val="0080591A"/>
    <w:rsid w:val="00805C7D"/>
    <w:rsid w:val="00806688"/>
    <w:rsid w:val="00806A43"/>
    <w:rsid w:val="008075F7"/>
    <w:rsid w:val="008077AC"/>
    <w:rsid w:val="00807A3E"/>
    <w:rsid w:val="008101F5"/>
    <w:rsid w:val="00810338"/>
    <w:rsid w:val="00810630"/>
    <w:rsid w:val="00810CB5"/>
    <w:rsid w:val="00811591"/>
    <w:rsid w:val="00811870"/>
    <w:rsid w:val="008118F6"/>
    <w:rsid w:val="00812282"/>
    <w:rsid w:val="008129EB"/>
    <w:rsid w:val="00812BD7"/>
    <w:rsid w:val="00813462"/>
    <w:rsid w:val="008139B6"/>
    <w:rsid w:val="00813D6C"/>
    <w:rsid w:val="00813F46"/>
    <w:rsid w:val="0081411D"/>
    <w:rsid w:val="008148E4"/>
    <w:rsid w:val="00814AE5"/>
    <w:rsid w:val="00814D00"/>
    <w:rsid w:val="00815699"/>
    <w:rsid w:val="008157F1"/>
    <w:rsid w:val="00815DE7"/>
    <w:rsid w:val="00816814"/>
    <w:rsid w:val="00816973"/>
    <w:rsid w:val="00816A2A"/>
    <w:rsid w:val="00816EC2"/>
    <w:rsid w:val="0081716D"/>
    <w:rsid w:val="0081736C"/>
    <w:rsid w:val="008173E1"/>
    <w:rsid w:val="008174B1"/>
    <w:rsid w:val="008178A5"/>
    <w:rsid w:val="008202CF"/>
    <w:rsid w:val="008217B4"/>
    <w:rsid w:val="00821FC5"/>
    <w:rsid w:val="0082264F"/>
    <w:rsid w:val="0082277C"/>
    <w:rsid w:val="00822A2E"/>
    <w:rsid w:val="00822D27"/>
    <w:rsid w:val="00823426"/>
    <w:rsid w:val="008236E1"/>
    <w:rsid w:val="00823771"/>
    <w:rsid w:val="008238F3"/>
    <w:rsid w:val="008240D5"/>
    <w:rsid w:val="00824458"/>
    <w:rsid w:val="008249F7"/>
    <w:rsid w:val="00824B74"/>
    <w:rsid w:val="00824C33"/>
    <w:rsid w:val="00824CD6"/>
    <w:rsid w:val="00824E14"/>
    <w:rsid w:val="00824E7D"/>
    <w:rsid w:val="00825534"/>
    <w:rsid w:val="00825958"/>
    <w:rsid w:val="0082624B"/>
    <w:rsid w:val="00826263"/>
    <w:rsid w:val="00826291"/>
    <w:rsid w:val="00827027"/>
    <w:rsid w:val="00827397"/>
    <w:rsid w:val="00827522"/>
    <w:rsid w:val="00827B49"/>
    <w:rsid w:val="0083014F"/>
    <w:rsid w:val="008302A2"/>
    <w:rsid w:val="00831865"/>
    <w:rsid w:val="00832087"/>
    <w:rsid w:val="00832319"/>
    <w:rsid w:val="00832E53"/>
    <w:rsid w:val="008339D3"/>
    <w:rsid w:val="0083413B"/>
    <w:rsid w:val="0083437E"/>
    <w:rsid w:val="008344E7"/>
    <w:rsid w:val="00834736"/>
    <w:rsid w:val="00834AC4"/>
    <w:rsid w:val="00834C50"/>
    <w:rsid w:val="00834ECD"/>
    <w:rsid w:val="00835062"/>
    <w:rsid w:val="00835422"/>
    <w:rsid w:val="00835497"/>
    <w:rsid w:val="008354AF"/>
    <w:rsid w:val="008354EE"/>
    <w:rsid w:val="00835949"/>
    <w:rsid w:val="00835EC9"/>
    <w:rsid w:val="008366D4"/>
    <w:rsid w:val="0083681B"/>
    <w:rsid w:val="0083694E"/>
    <w:rsid w:val="00836D29"/>
    <w:rsid w:val="00836E6C"/>
    <w:rsid w:val="00836ED8"/>
    <w:rsid w:val="0083786A"/>
    <w:rsid w:val="00840767"/>
    <w:rsid w:val="008407AE"/>
    <w:rsid w:val="00840DC8"/>
    <w:rsid w:val="00840E53"/>
    <w:rsid w:val="00840EE6"/>
    <w:rsid w:val="00841388"/>
    <w:rsid w:val="008416EC"/>
    <w:rsid w:val="008416F1"/>
    <w:rsid w:val="00841884"/>
    <w:rsid w:val="00841A24"/>
    <w:rsid w:val="00841B5F"/>
    <w:rsid w:val="00841B60"/>
    <w:rsid w:val="00841C2C"/>
    <w:rsid w:val="00841DDF"/>
    <w:rsid w:val="00841EFB"/>
    <w:rsid w:val="00841F44"/>
    <w:rsid w:val="008427E5"/>
    <w:rsid w:val="008429EA"/>
    <w:rsid w:val="00842A4C"/>
    <w:rsid w:val="00842C82"/>
    <w:rsid w:val="008436D7"/>
    <w:rsid w:val="0084392B"/>
    <w:rsid w:val="008440FE"/>
    <w:rsid w:val="00845294"/>
    <w:rsid w:val="008453A3"/>
    <w:rsid w:val="008455EC"/>
    <w:rsid w:val="00845AAC"/>
    <w:rsid w:val="00845CCB"/>
    <w:rsid w:val="00846119"/>
    <w:rsid w:val="0084723F"/>
    <w:rsid w:val="00847310"/>
    <w:rsid w:val="008474E3"/>
    <w:rsid w:val="008474EA"/>
    <w:rsid w:val="008506C2"/>
    <w:rsid w:val="00850775"/>
    <w:rsid w:val="008507D5"/>
    <w:rsid w:val="0085093A"/>
    <w:rsid w:val="00850AEE"/>
    <w:rsid w:val="00851161"/>
    <w:rsid w:val="0085156C"/>
    <w:rsid w:val="00851C35"/>
    <w:rsid w:val="00851C6D"/>
    <w:rsid w:val="00851D2A"/>
    <w:rsid w:val="0085276A"/>
    <w:rsid w:val="008527ED"/>
    <w:rsid w:val="00852AA2"/>
    <w:rsid w:val="008537F7"/>
    <w:rsid w:val="00854063"/>
    <w:rsid w:val="00854113"/>
    <w:rsid w:val="0085413C"/>
    <w:rsid w:val="008546BE"/>
    <w:rsid w:val="00854ABC"/>
    <w:rsid w:val="008555DC"/>
    <w:rsid w:val="0085581F"/>
    <w:rsid w:val="00855901"/>
    <w:rsid w:val="00855C3F"/>
    <w:rsid w:val="00856074"/>
    <w:rsid w:val="00856264"/>
    <w:rsid w:val="0085631B"/>
    <w:rsid w:val="008566B2"/>
    <w:rsid w:val="00856AAD"/>
    <w:rsid w:val="00856F52"/>
    <w:rsid w:val="0085719C"/>
    <w:rsid w:val="00857363"/>
    <w:rsid w:val="0085737A"/>
    <w:rsid w:val="008575CF"/>
    <w:rsid w:val="00857787"/>
    <w:rsid w:val="008577B4"/>
    <w:rsid w:val="008578A9"/>
    <w:rsid w:val="00857949"/>
    <w:rsid w:val="00857DBA"/>
    <w:rsid w:val="00860047"/>
    <w:rsid w:val="0086029E"/>
    <w:rsid w:val="008606B9"/>
    <w:rsid w:val="00860842"/>
    <w:rsid w:val="00860C73"/>
    <w:rsid w:val="00861134"/>
    <w:rsid w:val="008615FA"/>
    <w:rsid w:val="00861B0D"/>
    <w:rsid w:val="00861E38"/>
    <w:rsid w:val="00861EBB"/>
    <w:rsid w:val="00861F5E"/>
    <w:rsid w:val="00862131"/>
    <w:rsid w:val="008621C2"/>
    <w:rsid w:val="00862841"/>
    <w:rsid w:val="00862FD3"/>
    <w:rsid w:val="00863C44"/>
    <w:rsid w:val="00864779"/>
    <w:rsid w:val="00864856"/>
    <w:rsid w:val="0086526D"/>
    <w:rsid w:val="00865810"/>
    <w:rsid w:val="008659F7"/>
    <w:rsid w:val="00866279"/>
    <w:rsid w:val="008669C8"/>
    <w:rsid w:val="00866C49"/>
    <w:rsid w:val="0086723F"/>
    <w:rsid w:val="008674A5"/>
    <w:rsid w:val="008678D0"/>
    <w:rsid w:val="00867B5B"/>
    <w:rsid w:val="00870152"/>
    <w:rsid w:val="008706CD"/>
    <w:rsid w:val="00870DFD"/>
    <w:rsid w:val="0087134E"/>
    <w:rsid w:val="008713AD"/>
    <w:rsid w:val="00871534"/>
    <w:rsid w:val="008719C2"/>
    <w:rsid w:val="00872403"/>
    <w:rsid w:val="0087277A"/>
    <w:rsid w:val="00872A47"/>
    <w:rsid w:val="00872BAB"/>
    <w:rsid w:val="00872CB1"/>
    <w:rsid w:val="0087314E"/>
    <w:rsid w:val="008731DE"/>
    <w:rsid w:val="00873415"/>
    <w:rsid w:val="008736E2"/>
    <w:rsid w:val="00873C74"/>
    <w:rsid w:val="00873F77"/>
    <w:rsid w:val="00874187"/>
    <w:rsid w:val="00874565"/>
    <w:rsid w:val="00874764"/>
    <w:rsid w:val="008749C0"/>
    <w:rsid w:val="00874C11"/>
    <w:rsid w:val="008751FC"/>
    <w:rsid w:val="00875516"/>
    <w:rsid w:val="0087591C"/>
    <w:rsid w:val="008759FF"/>
    <w:rsid w:val="008760A6"/>
    <w:rsid w:val="008768F8"/>
    <w:rsid w:val="00876978"/>
    <w:rsid w:val="00876BD8"/>
    <w:rsid w:val="0087702F"/>
    <w:rsid w:val="008771B4"/>
    <w:rsid w:val="00877247"/>
    <w:rsid w:val="00877679"/>
    <w:rsid w:val="00877A06"/>
    <w:rsid w:val="00877C70"/>
    <w:rsid w:val="00877E3A"/>
    <w:rsid w:val="00877E65"/>
    <w:rsid w:val="008801AE"/>
    <w:rsid w:val="0088040A"/>
    <w:rsid w:val="00880A7E"/>
    <w:rsid w:val="00880AA3"/>
    <w:rsid w:val="00881097"/>
    <w:rsid w:val="00881807"/>
    <w:rsid w:val="0088231C"/>
    <w:rsid w:val="008823A8"/>
    <w:rsid w:val="008828AA"/>
    <w:rsid w:val="00882B0D"/>
    <w:rsid w:val="00882D3A"/>
    <w:rsid w:val="00882DB5"/>
    <w:rsid w:val="00882E5F"/>
    <w:rsid w:val="0088359E"/>
    <w:rsid w:val="00883BD1"/>
    <w:rsid w:val="0088421C"/>
    <w:rsid w:val="0088445B"/>
    <w:rsid w:val="008847B1"/>
    <w:rsid w:val="00884A98"/>
    <w:rsid w:val="00884B89"/>
    <w:rsid w:val="00884C09"/>
    <w:rsid w:val="00885697"/>
    <w:rsid w:val="00885B0B"/>
    <w:rsid w:val="00886887"/>
    <w:rsid w:val="008869A6"/>
    <w:rsid w:val="00886A1B"/>
    <w:rsid w:val="00886A39"/>
    <w:rsid w:val="00886B20"/>
    <w:rsid w:val="00886C2A"/>
    <w:rsid w:val="00886D19"/>
    <w:rsid w:val="00886E65"/>
    <w:rsid w:val="00886F4E"/>
    <w:rsid w:val="0088792E"/>
    <w:rsid w:val="0089033D"/>
    <w:rsid w:val="008903D5"/>
    <w:rsid w:val="008913EA"/>
    <w:rsid w:val="00891AF6"/>
    <w:rsid w:val="00891BC3"/>
    <w:rsid w:val="008924A5"/>
    <w:rsid w:val="008929F2"/>
    <w:rsid w:val="00892BF0"/>
    <w:rsid w:val="00892CCD"/>
    <w:rsid w:val="008932F8"/>
    <w:rsid w:val="0089333D"/>
    <w:rsid w:val="00893557"/>
    <w:rsid w:val="0089378A"/>
    <w:rsid w:val="008937C8"/>
    <w:rsid w:val="0089388C"/>
    <w:rsid w:val="00893FF5"/>
    <w:rsid w:val="00894088"/>
    <w:rsid w:val="00894DF1"/>
    <w:rsid w:val="00894E5B"/>
    <w:rsid w:val="00895175"/>
    <w:rsid w:val="0089538D"/>
    <w:rsid w:val="00896318"/>
    <w:rsid w:val="0089656D"/>
    <w:rsid w:val="008967C4"/>
    <w:rsid w:val="00896FE8"/>
    <w:rsid w:val="008974EC"/>
    <w:rsid w:val="00897B5F"/>
    <w:rsid w:val="008A0137"/>
    <w:rsid w:val="008A0453"/>
    <w:rsid w:val="008A05C0"/>
    <w:rsid w:val="008A08A6"/>
    <w:rsid w:val="008A0AC5"/>
    <w:rsid w:val="008A0D11"/>
    <w:rsid w:val="008A0D2A"/>
    <w:rsid w:val="008A12E1"/>
    <w:rsid w:val="008A15DD"/>
    <w:rsid w:val="008A1610"/>
    <w:rsid w:val="008A1693"/>
    <w:rsid w:val="008A18B7"/>
    <w:rsid w:val="008A1A90"/>
    <w:rsid w:val="008A1D1E"/>
    <w:rsid w:val="008A254F"/>
    <w:rsid w:val="008A2630"/>
    <w:rsid w:val="008A2D00"/>
    <w:rsid w:val="008A30A6"/>
    <w:rsid w:val="008A3794"/>
    <w:rsid w:val="008A395E"/>
    <w:rsid w:val="008A4147"/>
    <w:rsid w:val="008A4289"/>
    <w:rsid w:val="008A4BB0"/>
    <w:rsid w:val="008A4C3C"/>
    <w:rsid w:val="008A541F"/>
    <w:rsid w:val="008A5510"/>
    <w:rsid w:val="008A5713"/>
    <w:rsid w:val="008A5833"/>
    <w:rsid w:val="008A5CDB"/>
    <w:rsid w:val="008A6953"/>
    <w:rsid w:val="008A726C"/>
    <w:rsid w:val="008A7285"/>
    <w:rsid w:val="008A76E7"/>
    <w:rsid w:val="008A76FE"/>
    <w:rsid w:val="008A7777"/>
    <w:rsid w:val="008B016C"/>
    <w:rsid w:val="008B0666"/>
    <w:rsid w:val="008B070A"/>
    <w:rsid w:val="008B08A6"/>
    <w:rsid w:val="008B122D"/>
    <w:rsid w:val="008B1577"/>
    <w:rsid w:val="008B194A"/>
    <w:rsid w:val="008B2EBA"/>
    <w:rsid w:val="008B358C"/>
    <w:rsid w:val="008B3A88"/>
    <w:rsid w:val="008B449C"/>
    <w:rsid w:val="008B4BFC"/>
    <w:rsid w:val="008B51B4"/>
    <w:rsid w:val="008B591E"/>
    <w:rsid w:val="008B593D"/>
    <w:rsid w:val="008B5A29"/>
    <w:rsid w:val="008B5B67"/>
    <w:rsid w:val="008B5C32"/>
    <w:rsid w:val="008B5C99"/>
    <w:rsid w:val="008B5D7A"/>
    <w:rsid w:val="008B5F46"/>
    <w:rsid w:val="008B6207"/>
    <w:rsid w:val="008B646A"/>
    <w:rsid w:val="008B64EE"/>
    <w:rsid w:val="008B66E3"/>
    <w:rsid w:val="008B67AA"/>
    <w:rsid w:val="008B7848"/>
    <w:rsid w:val="008B7DA0"/>
    <w:rsid w:val="008B7EC1"/>
    <w:rsid w:val="008C02DE"/>
    <w:rsid w:val="008C0498"/>
    <w:rsid w:val="008C04AF"/>
    <w:rsid w:val="008C0B23"/>
    <w:rsid w:val="008C1680"/>
    <w:rsid w:val="008C1B3A"/>
    <w:rsid w:val="008C1E05"/>
    <w:rsid w:val="008C20A3"/>
    <w:rsid w:val="008C252A"/>
    <w:rsid w:val="008C2A95"/>
    <w:rsid w:val="008C34BB"/>
    <w:rsid w:val="008C3590"/>
    <w:rsid w:val="008C3F6E"/>
    <w:rsid w:val="008C420C"/>
    <w:rsid w:val="008C45E2"/>
    <w:rsid w:val="008C4849"/>
    <w:rsid w:val="008C4A2E"/>
    <w:rsid w:val="008C4D7E"/>
    <w:rsid w:val="008C5187"/>
    <w:rsid w:val="008C5A06"/>
    <w:rsid w:val="008C5AE1"/>
    <w:rsid w:val="008C5E51"/>
    <w:rsid w:val="008C6262"/>
    <w:rsid w:val="008C64A8"/>
    <w:rsid w:val="008C6912"/>
    <w:rsid w:val="008C7365"/>
    <w:rsid w:val="008C75E9"/>
    <w:rsid w:val="008C77BC"/>
    <w:rsid w:val="008C7E33"/>
    <w:rsid w:val="008D059A"/>
    <w:rsid w:val="008D07A6"/>
    <w:rsid w:val="008D0A59"/>
    <w:rsid w:val="008D1188"/>
    <w:rsid w:val="008D13EF"/>
    <w:rsid w:val="008D1785"/>
    <w:rsid w:val="008D1B1B"/>
    <w:rsid w:val="008D1F5A"/>
    <w:rsid w:val="008D1FBA"/>
    <w:rsid w:val="008D26B7"/>
    <w:rsid w:val="008D2CA1"/>
    <w:rsid w:val="008D340C"/>
    <w:rsid w:val="008D363E"/>
    <w:rsid w:val="008D3726"/>
    <w:rsid w:val="008D45CF"/>
    <w:rsid w:val="008D4CB0"/>
    <w:rsid w:val="008D4FEA"/>
    <w:rsid w:val="008D55FE"/>
    <w:rsid w:val="008D5F27"/>
    <w:rsid w:val="008D60F3"/>
    <w:rsid w:val="008D6397"/>
    <w:rsid w:val="008D63C6"/>
    <w:rsid w:val="008D644E"/>
    <w:rsid w:val="008D6834"/>
    <w:rsid w:val="008D6986"/>
    <w:rsid w:val="008D6F92"/>
    <w:rsid w:val="008D71D9"/>
    <w:rsid w:val="008D73C9"/>
    <w:rsid w:val="008D7C2F"/>
    <w:rsid w:val="008E021D"/>
    <w:rsid w:val="008E0564"/>
    <w:rsid w:val="008E0D39"/>
    <w:rsid w:val="008E1141"/>
    <w:rsid w:val="008E11F7"/>
    <w:rsid w:val="008E1281"/>
    <w:rsid w:val="008E15FB"/>
    <w:rsid w:val="008E16BF"/>
    <w:rsid w:val="008E179C"/>
    <w:rsid w:val="008E1E2E"/>
    <w:rsid w:val="008E2124"/>
    <w:rsid w:val="008E21C4"/>
    <w:rsid w:val="008E2538"/>
    <w:rsid w:val="008E2C2A"/>
    <w:rsid w:val="008E3049"/>
    <w:rsid w:val="008E328B"/>
    <w:rsid w:val="008E34DE"/>
    <w:rsid w:val="008E35A3"/>
    <w:rsid w:val="008E3607"/>
    <w:rsid w:val="008E3767"/>
    <w:rsid w:val="008E3CD4"/>
    <w:rsid w:val="008E3E63"/>
    <w:rsid w:val="008E4003"/>
    <w:rsid w:val="008E469D"/>
    <w:rsid w:val="008E47EC"/>
    <w:rsid w:val="008E505F"/>
    <w:rsid w:val="008E50BF"/>
    <w:rsid w:val="008E5322"/>
    <w:rsid w:val="008E5656"/>
    <w:rsid w:val="008E61B1"/>
    <w:rsid w:val="008E679E"/>
    <w:rsid w:val="008E69C4"/>
    <w:rsid w:val="008E7274"/>
    <w:rsid w:val="008E7281"/>
    <w:rsid w:val="008E74BB"/>
    <w:rsid w:val="008E7608"/>
    <w:rsid w:val="008E7951"/>
    <w:rsid w:val="008E7D1D"/>
    <w:rsid w:val="008F0562"/>
    <w:rsid w:val="008F06AF"/>
    <w:rsid w:val="008F0B95"/>
    <w:rsid w:val="008F126F"/>
    <w:rsid w:val="008F1AC8"/>
    <w:rsid w:val="008F1D95"/>
    <w:rsid w:val="008F1F9A"/>
    <w:rsid w:val="008F2495"/>
    <w:rsid w:val="008F260B"/>
    <w:rsid w:val="008F28DF"/>
    <w:rsid w:val="008F388B"/>
    <w:rsid w:val="008F4909"/>
    <w:rsid w:val="008F49C2"/>
    <w:rsid w:val="008F5905"/>
    <w:rsid w:val="008F5AAE"/>
    <w:rsid w:val="008F5F37"/>
    <w:rsid w:val="008F6139"/>
    <w:rsid w:val="008F6702"/>
    <w:rsid w:val="008F6AC4"/>
    <w:rsid w:val="008F7434"/>
    <w:rsid w:val="008F7976"/>
    <w:rsid w:val="0090020C"/>
    <w:rsid w:val="009002B1"/>
    <w:rsid w:val="00900466"/>
    <w:rsid w:val="00900BD9"/>
    <w:rsid w:val="0090160D"/>
    <w:rsid w:val="00901ACC"/>
    <w:rsid w:val="00901B30"/>
    <w:rsid w:val="00902724"/>
    <w:rsid w:val="009028AB"/>
    <w:rsid w:val="00903252"/>
    <w:rsid w:val="009032DE"/>
    <w:rsid w:val="0090398F"/>
    <w:rsid w:val="00903AB4"/>
    <w:rsid w:val="00903B69"/>
    <w:rsid w:val="00904795"/>
    <w:rsid w:val="00904FD7"/>
    <w:rsid w:val="00905418"/>
    <w:rsid w:val="00905640"/>
    <w:rsid w:val="0090573B"/>
    <w:rsid w:val="00905E5F"/>
    <w:rsid w:val="00906821"/>
    <w:rsid w:val="00906A66"/>
    <w:rsid w:val="00906B60"/>
    <w:rsid w:val="00906E65"/>
    <w:rsid w:val="009071FD"/>
    <w:rsid w:val="009075D5"/>
    <w:rsid w:val="009101B7"/>
    <w:rsid w:val="00910526"/>
    <w:rsid w:val="00910EB5"/>
    <w:rsid w:val="00911031"/>
    <w:rsid w:val="009119F7"/>
    <w:rsid w:val="00911E97"/>
    <w:rsid w:val="009122EA"/>
    <w:rsid w:val="009125A4"/>
    <w:rsid w:val="0091274A"/>
    <w:rsid w:val="00912AB1"/>
    <w:rsid w:val="00912AC2"/>
    <w:rsid w:val="009130B1"/>
    <w:rsid w:val="009133AB"/>
    <w:rsid w:val="009134CB"/>
    <w:rsid w:val="00913D21"/>
    <w:rsid w:val="00913D2C"/>
    <w:rsid w:val="00913FE8"/>
    <w:rsid w:val="009144D5"/>
    <w:rsid w:val="00914836"/>
    <w:rsid w:val="00914A98"/>
    <w:rsid w:val="00914F9D"/>
    <w:rsid w:val="009155D1"/>
    <w:rsid w:val="00915F98"/>
    <w:rsid w:val="00915FA3"/>
    <w:rsid w:val="009160C2"/>
    <w:rsid w:val="00916648"/>
    <w:rsid w:val="00916B73"/>
    <w:rsid w:val="00916B84"/>
    <w:rsid w:val="00917994"/>
    <w:rsid w:val="0092073C"/>
    <w:rsid w:val="009207CC"/>
    <w:rsid w:val="00920873"/>
    <w:rsid w:val="00920A32"/>
    <w:rsid w:val="00921129"/>
    <w:rsid w:val="0092148D"/>
    <w:rsid w:val="009217F8"/>
    <w:rsid w:val="00921802"/>
    <w:rsid w:val="00921F8A"/>
    <w:rsid w:val="009221F6"/>
    <w:rsid w:val="009223F5"/>
    <w:rsid w:val="009226BA"/>
    <w:rsid w:val="00922B03"/>
    <w:rsid w:val="00923A5D"/>
    <w:rsid w:val="00923B82"/>
    <w:rsid w:val="00923C7B"/>
    <w:rsid w:val="00923CC2"/>
    <w:rsid w:val="00924187"/>
    <w:rsid w:val="0092470E"/>
    <w:rsid w:val="0092490C"/>
    <w:rsid w:val="00924E2C"/>
    <w:rsid w:val="00925106"/>
    <w:rsid w:val="00925187"/>
    <w:rsid w:val="00925A09"/>
    <w:rsid w:val="00925BCD"/>
    <w:rsid w:val="00925CDD"/>
    <w:rsid w:val="009267CD"/>
    <w:rsid w:val="00926C91"/>
    <w:rsid w:val="0092709C"/>
    <w:rsid w:val="009270AE"/>
    <w:rsid w:val="0092717F"/>
    <w:rsid w:val="009272B6"/>
    <w:rsid w:val="00927744"/>
    <w:rsid w:val="00927B05"/>
    <w:rsid w:val="00927CEE"/>
    <w:rsid w:val="00927F99"/>
    <w:rsid w:val="0093023A"/>
    <w:rsid w:val="00930334"/>
    <w:rsid w:val="0093036D"/>
    <w:rsid w:val="00930CD8"/>
    <w:rsid w:val="00930F4E"/>
    <w:rsid w:val="0093158B"/>
    <w:rsid w:val="009315B5"/>
    <w:rsid w:val="00931733"/>
    <w:rsid w:val="00931735"/>
    <w:rsid w:val="009321F5"/>
    <w:rsid w:val="00932431"/>
    <w:rsid w:val="00932612"/>
    <w:rsid w:val="0093273A"/>
    <w:rsid w:val="009329A8"/>
    <w:rsid w:val="00933394"/>
    <w:rsid w:val="0093347C"/>
    <w:rsid w:val="009334D3"/>
    <w:rsid w:val="00933ECD"/>
    <w:rsid w:val="00934946"/>
    <w:rsid w:val="0093539E"/>
    <w:rsid w:val="009354D6"/>
    <w:rsid w:val="009356D8"/>
    <w:rsid w:val="0093597E"/>
    <w:rsid w:val="00935C13"/>
    <w:rsid w:val="00935CB8"/>
    <w:rsid w:val="00935CE5"/>
    <w:rsid w:val="00935E26"/>
    <w:rsid w:val="00936062"/>
    <w:rsid w:val="0093607E"/>
    <w:rsid w:val="009360BA"/>
    <w:rsid w:val="00936A7E"/>
    <w:rsid w:val="00936B11"/>
    <w:rsid w:val="00937725"/>
    <w:rsid w:val="00937BF8"/>
    <w:rsid w:val="00937CBE"/>
    <w:rsid w:val="00937D61"/>
    <w:rsid w:val="0094005F"/>
    <w:rsid w:val="0094063A"/>
    <w:rsid w:val="00940E52"/>
    <w:rsid w:val="009413D2"/>
    <w:rsid w:val="00941825"/>
    <w:rsid w:val="0094182C"/>
    <w:rsid w:val="009420F2"/>
    <w:rsid w:val="009427F1"/>
    <w:rsid w:val="00943891"/>
    <w:rsid w:val="00943A8A"/>
    <w:rsid w:val="00943BEF"/>
    <w:rsid w:val="00944087"/>
    <w:rsid w:val="009442E6"/>
    <w:rsid w:val="0094481C"/>
    <w:rsid w:val="0094482F"/>
    <w:rsid w:val="00944E74"/>
    <w:rsid w:val="00944FE2"/>
    <w:rsid w:val="00945A0A"/>
    <w:rsid w:val="00946143"/>
    <w:rsid w:val="0094618E"/>
    <w:rsid w:val="00947333"/>
    <w:rsid w:val="00947403"/>
    <w:rsid w:val="00947C4A"/>
    <w:rsid w:val="00947DF8"/>
    <w:rsid w:val="0095012E"/>
    <w:rsid w:val="009502A2"/>
    <w:rsid w:val="0095057B"/>
    <w:rsid w:val="00950F73"/>
    <w:rsid w:val="009510AB"/>
    <w:rsid w:val="009514D3"/>
    <w:rsid w:val="009514E3"/>
    <w:rsid w:val="00951934"/>
    <w:rsid w:val="0095207B"/>
    <w:rsid w:val="009523FA"/>
    <w:rsid w:val="009525A3"/>
    <w:rsid w:val="0095279C"/>
    <w:rsid w:val="00952E0E"/>
    <w:rsid w:val="009530D8"/>
    <w:rsid w:val="00953601"/>
    <w:rsid w:val="0095374E"/>
    <w:rsid w:val="009538AA"/>
    <w:rsid w:val="00953D93"/>
    <w:rsid w:val="00953F0F"/>
    <w:rsid w:val="00954C26"/>
    <w:rsid w:val="00954C5F"/>
    <w:rsid w:val="00954C8C"/>
    <w:rsid w:val="00955178"/>
    <w:rsid w:val="009551CB"/>
    <w:rsid w:val="00955AFD"/>
    <w:rsid w:val="0095616C"/>
    <w:rsid w:val="00956615"/>
    <w:rsid w:val="00956ACE"/>
    <w:rsid w:val="00956B83"/>
    <w:rsid w:val="00956D54"/>
    <w:rsid w:val="009572A0"/>
    <w:rsid w:val="00957D24"/>
    <w:rsid w:val="00957F7E"/>
    <w:rsid w:val="00960246"/>
    <w:rsid w:val="00960743"/>
    <w:rsid w:val="00960850"/>
    <w:rsid w:val="00960857"/>
    <w:rsid w:val="00960D1B"/>
    <w:rsid w:val="00960DCF"/>
    <w:rsid w:val="00961131"/>
    <w:rsid w:val="009611EE"/>
    <w:rsid w:val="00961666"/>
    <w:rsid w:val="0096187F"/>
    <w:rsid w:val="0096197E"/>
    <w:rsid w:val="00961B53"/>
    <w:rsid w:val="00961FA7"/>
    <w:rsid w:val="0096223C"/>
    <w:rsid w:val="00962336"/>
    <w:rsid w:val="009626C3"/>
    <w:rsid w:val="00963264"/>
    <w:rsid w:val="009636A3"/>
    <w:rsid w:val="0096389D"/>
    <w:rsid w:val="00963AC8"/>
    <w:rsid w:val="00963D69"/>
    <w:rsid w:val="009644CD"/>
    <w:rsid w:val="009648AA"/>
    <w:rsid w:val="009648D7"/>
    <w:rsid w:val="0096496B"/>
    <w:rsid w:val="00964F3F"/>
    <w:rsid w:val="00965389"/>
    <w:rsid w:val="0096602D"/>
    <w:rsid w:val="00966724"/>
    <w:rsid w:val="00966A93"/>
    <w:rsid w:val="009671D6"/>
    <w:rsid w:val="009675AB"/>
    <w:rsid w:val="0096765E"/>
    <w:rsid w:val="009676C0"/>
    <w:rsid w:val="0096777D"/>
    <w:rsid w:val="00967B63"/>
    <w:rsid w:val="00967C41"/>
    <w:rsid w:val="00970033"/>
    <w:rsid w:val="009701AB"/>
    <w:rsid w:val="00970B5D"/>
    <w:rsid w:val="00970E7F"/>
    <w:rsid w:val="00970EA4"/>
    <w:rsid w:val="00970F07"/>
    <w:rsid w:val="00970FB9"/>
    <w:rsid w:val="009710D6"/>
    <w:rsid w:val="0097148F"/>
    <w:rsid w:val="00971A02"/>
    <w:rsid w:val="00971C31"/>
    <w:rsid w:val="009721E6"/>
    <w:rsid w:val="00972416"/>
    <w:rsid w:val="0097244E"/>
    <w:rsid w:val="00972514"/>
    <w:rsid w:val="00972BF5"/>
    <w:rsid w:val="0097314B"/>
    <w:rsid w:val="009742A5"/>
    <w:rsid w:val="00974E6E"/>
    <w:rsid w:val="0097523E"/>
    <w:rsid w:val="009752FF"/>
    <w:rsid w:val="009754AD"/>
    <w:rsid w:val="00975643"/>
    <w:rsid w:val="0097579F"/>
    <w:rsid w:val="00975BB7"/>
    <w:rsid w:val="00976489"/>
    <w:rsid w:val="00976F7E"/>
    <w:rsid w:val="0097700C"/>
    <w:rsid w:val="00977752"/>
    <w:rsid w:val="00977828"/>
    <w:rsid w:val="00977858"/>
    <w:rsid w:val="00980003"/>
    <w:rsid w:val="009801E7"/>
    <w:rsid w:val="009803A9"/>
    <w:rsid w:val="009803CB"/>
    <w:rsid w:val="009803D4"/>
    <w:rsid w:val="009807A2"/>
    <w:rsid w:val="00981002"/>
    <w:rsid w:val="0098109C"/>
    <w:rsid w:val="00981113"/>
    <w:rsid w:val="00981157"/>
    <w:rsid w:val="0098120F"/>
    <w:rsid w:val="0098199C"/>
    <w:rsid w:val="00981BAF"/>
    <w:rsid w:val="009829F7"/>
    <w:rsid w:val="00983446"/>
    <w:rsid w:val="00983825"/>
    <w:rsid w:val="00983B15"/>
    <w:rsid w:val="00984159"/>
    <w:rsid w:val="009845B7"/>
    <w:rsid w:val="009847AE"/>
    <w:rsid w:val="00984D05"/>
    <w:rsid w:val="009858A6"/>
    <w:rsid w:val="00985A2D"/>
    <w:rsid w:val="00985E64"/>
    <w:rsid w:val="0098676B"/>
    <w:rsid w:val="00986E2A"/>
    <w:rsid w:val="00987065"/>
    <w:rsid w:val="009871E1"/>
    <w:rsid w:val="009873F3"/>
    <w:rsid w:val="00987476"/>
    <w:rsid w:val="009874B8"/>
    <w:rsid w:val="009876B9"/>
    <w:rsid w:val="0099001D"/>
    <w:rsid w:val="0099164C"/>
    <w:rsid w:val="009918F7"/>
    <w:rsid w:val="00991D6D"/>
    <w:rsid w:val="00991FFC"/>
    <w:rsid w:val="009920DD"/>
    <w:rsid w:val="00992548"/>
    <w:rsid w:val="00992EB1"/>
    <w:rsid w:val="00992FC1"/>
    <w:rsid w:val="00992FCF"/>
    <w:rsid w:val="00994668"/>
    <w:rsid w:val="00994823"/>
    <w:rsid w:val="00994B18"/>
    <w:rsid w:val="00994B9E"/>
    <w:rsid w:val="00994BB8"/>
    <w:rsid w:val="0099581A"/>
    <w:rsid w:val="0099582B"/>
    <w:rsid w:val="009959B1"/>
    <w:rsid w:val="00995D5E"/>
    <w:rsid w:val="00995E59"/>
    <w:rsid w:val="00995E98"/>
    <w:rsid w:val="00995F14"/>
    <w:rsid w:val="009964BE"/>
    <w:rsid w:val="00996A6F"/>
    <w:rsid w:val="00996AFC"/>
    <w:rsid w:val="00996F15"/>
    <w:rsid w:val="0099719F"/>
    <w:rsid w:val="00997BA8"/>
    <w:rsid w:val="009A0138"/>
    <w:rsid w:val="009A019C"/>
    <w:rsid w:val="009A02C6"/>
    <w:rsid w:val="009A03A2"/>
    <w:rsid w:val="009A03A6"/>
    <w:rsid w:val="009A03F7"/>
    <w:rsid w:val="009A0482"/>
    <w:rsid w:val="009A06F4"/>
    <w:rsid w:val="009A0774"/>
    <w:rsid w:val="009A07C7"/>
    <w:rsid w:val="009A1156"/>
    <w:rsid w:val="009A1C67"/>
    <w:rsid w:val="009A1E9B"/>
    <w:rsid w:val="009A28CC"/>
    <w:rsid w:val="009A2EA1"/>
    <w:rsid w:val="009A2F2E"/>
    <w:rsid w:val="009A30C2"/>
    <w:rsid w:val="009A3462"/>
    <w:rsid w:val="009A3748"/>
    <w:rsid w:val="009A3778"/>
    <w:rsid w:val="009A3CB8"/>
    <w:rsid w:val="009A3E2E"/>
    <w:rsid w:val="009A41F7"/>
    <w:rsid w:val="009A4665"/>
    <w:rsid w:val="009A5D58"/>
    <w:rsid w:val="009A5DB1"/>
    <w:rsid w:val="009A69F4"/>
    <w:rsid w:val="009A6D5D"/>
    <w:rsid w:val="009A75B3"/>
    <w:rsid w:val="009A7875"/>
    <w:rsid w:val="009A787E"/>
    <w:rsid w:val="009A7CB3"/>
    <w:rsid w:val="009A7F34"/>
    <w:rsid w:val="009B067A"/>
    <w:rsid w:val="009B0CB4"/>
    <w:rsid w:val="009B17DB"/>
    <w:rsid w:val="009B2245"/>
    <w:rsid w:val="009B258E"/>
    <w:rsid w:val="009B287F"/>
    <w:rsid w:val="009B2B35"/>
    <w:rsid w:val="009B2BE7"/>
    <w:rsid w:val="009B39EA"/>
    <w:rsid w:val="009B3ADB"/>
    <w:rsid w:val="009B3C60"/>
    <w:rsid w:val="009B3C86"/>
    <w:rsid w:val="009B3CE8"/>
    <w:rsid w:val="009B437B"/>
    <w:rsid w:val="009B4ECE"/>
    <w:rsid w:val="009B5997"/>
    <w:rsid w:val="009B5A89"/>
    <w:rsid w:val="009B6698"/>
    <w:rsid w:val="009B6B23"/>
    <w:rsid w:val="009B6D0F"/>
    <w:rsid w:val="009B7076"/>
    <w:rsid w:val="009B71A4"/>
    <w:rsid w:val="009B7ABD"/>
    <w:rsid w:val="009B7D4C"/>
    <w:rsid w:val="009B7D54"/>
    <w:rsid w:val="009C07CD"/>
    <w:rsid w:val="009C08CD"/>
    <w:rsid w:val="009C0F8D"/>
    <w:rsid w:val="009C1121"/>
    <w:rsid w:val="009C16DF"/>
    <w:rsid w:val="009C1D27"/>
    <w:rsid w:val="009C257B"/>
    <w:rsid w:val="009C25B9"/>
    <w:rsid w:val="009C2D01"/>
    <w:rsid w:val="009C2E36"/>
    <w:rsid w:val="009C316A"/>
    <w:rsid w:val="009C31F2"/>
    <w:rsid w:val="009C34E7"/>
    <w:rsid w:val="009C3A47"/>
    <w:rsid w:val="009C3BD9"/>
    <w:rsid w:val="009C46BD"/>
    <w:rsid w:val="009C475E"/>
    <w:rsid w:val="009C4D8D"/>
    <w:rsid w:val="009C5231"/>
    <w:rsid w:val="009C54A9"/>
    <w:rsid w:val="009C58B4"/>
    <w:rsid w:val="009C5B82"/>
    <w:rsid w:val="009C5F19"/>
    <w:rsid w:val="009C651A"/>
    <w:rsid w:val="009C672B"/>
    <w:rsid w:val="009C6B77"/>
    <w:rsid w:val="009C6CE2"/>
    <w:rsid w:val="009C707F"/>
    <w:rsid w:val="009C726A"/>
    <w:rsid w:val="009C756E"/>
    <w:rsid w:val="009C7674"/>
    <w:rsid w:val="009C796C"/>
    <w:rsid w:val="009C7976"/>
    <w:rsid w:val="009C7E6F"/>
    <w:rsid w:val="009D04B8"/>
    <w:rsid w:val="009D0A45"/>
    <w:rsid w:val="009D0B94"/>
    <w:rsid w:val="009D0C10"/>
    <w:rsid w:val="009D0C7F"/>
    <w:rsid w:val="009D0EDF"/>
    <w:rsid w:val="009D0F98"/>
    <w:rsid w:val="009D17F8"/>
    <w:rsid w:val="009D1959"/>
    <w:rsid w:val="009D21BE"/>
    <w:rsid w:val="009D227C"/>
    <w:rsid w:val="009D2563"/>
    <w:rsid w:val="009D28A5"/>
    <w:rsid w:val="009D34DE"/>
    <w:rsid w:val="009D353C"/>
    <w:rsid w:val="009D3ACF"/>
    <w:rsid w:val="009D3C3D"/>
    <w:rsid w:val="009D3EB1"/>
    <w:rsid w:val="009D43AE"/>
    <w:rsid w:val="009D4D5F"/>
    <w:rsid w:val="009D5012"/>
    <w:rsid w:val="009D502A"/>
    <w:rsid w:val="009D5288"/>
    <w:rsid w:val="009D56BE"/>
    <w:rsid w:val="009D597D"/>
    <w:rsid w:val="009D65EA"/>
    <w:rsid w:val="009D6939"/>
    <w:rsid w:val="009D74BE"/>
    <w:rsid w:val="009D760C"/>
    <w:rsid w:val="009E0B10"/>
    <w:rsid w:val="009E1170"/>
    <w:rsid w:val="009E1562"/>
    <w:rsid w:val="009E1A97"/>
    <w:rsid w:val="009E1CF3"/>
    <w:rsid w:val="009E1D11"/>
    <w:rsid w:val="009E257C"/>
    <w:rsid w:val="009E29BC"/>
    <w:rsid w:val="009E2AB9"/>
    <w:rsid w:val="009E2AD3"/>
    <w:rsid w:val="009E2DBD"/>
    <w:rsid w:val="009E3354"/>
    <w:rsid w:val="009E4721"/>
    <w:rsid w:val="009E478D"/>
    <w:rsid w:val="009E47E5"/>
    <w:rsid w:val="009E4EC0"/>
    <w:rsid w:val="009E51B3"/>
    <w:rsid w:val="009E5924"/>
    <w:rsid w:val="009E6264"/>
    <w:rsid w:val="009E67F3"/>
    <w:rsid w:val="009E7524"/>
    <w:rsid w:val="009E75FB"/>
    <w:rsid w:val="009E79F5"/>
    <w:rsid w:val="009F0AEC"/>
    <w:rsid w:val="009F109F"/>
    <w:rsid w:val="009F10E0"/>
    <w:rsid w:val="009F1116"/>
    <w:rsid w:val="009F1200"/>
    <w:rsid w:val="009F146F"/>
    <w:rsid w:val="009F147C"/>
    <w:rsid w:val="009F19D2"/>
    <w:rsid w:val="009F1A05"/>
    <w:rsid w:val="009F1B6A"/>
    <w:rsid w:val="009F1E44"/>
    <w:rsid w:val="009F22E1"/>
    <w:rsid w:val="009F2342"/>
    <w:rsid w:val="009F2A38"/>
    <w:rsid w:val="009F37E8"/>
    <w:rsid w:val="009F3C75"/>
    <w:rsid w:val="009F4121"/>
    <w:rsid w:val="009F4577"/>
    <w:rsid w:val="009F496F"/>
    <w:rsid w:val="009F4B65"/>
    <w:rsid w:val="009F4BCA"/>
    <w:rsid w:val="009F4E74"/>
    <w:rsid w:val="009F4F9A"/>
    <w:rsid w:val="009F539A"/>
    <w:rsid w:val="009F53DC"/>
    <w:rsid w:val="009F5653"/>
    <w:rsid w:val="009F583A"/>
    <w:rsid w:val="009F5953"/>
    <w:rsid w:val="009F59FB"/>
    <w:rsid w:val="009F5D70"/>
    <w:rsid w:val="009F5EA7"/>
    <w:rsid w:val="009F6245"/>
    <w:rsid w:val="009F6258"/>
    <w:rsid w:val="009F69D9"/>
    <w:rsid w:val="009F6C32"/>
    <w:rsid w:val="009F6F0D"/>
    <w:rsid w:val="009F72F6"/>
    <w:rsid w:val="009F7440"/>
    <w:rsid w:val="009F77AC"/>
    <w:rsid w:val="009F7AAA"/>
    <w:rsid w:val="009F7FC3"/>
    <w:rsid w:val="00A0037E"/>
    <w:rsid w:val="00A00BB8"/>
    <w:rsid w:val="00A010EA"/>
    <w:rsid w:val="00A01303"/>
    <w:rsid w:val="00A0139F"/>
    <w:rsid w:val="00A01539"/>
    <w:rsid w:val="00A01879"/>
    <w:rsid w:val="00A01963"/>
    <w:rsid w:val="00A01EAB"/>
    <w:rsid w:val="00A01EE7"/>
    <w:rsid w:val="00A02284"/>
    <w:rsid w:val="00A0232C"/>
    <w:rsid w:val="00A023A6"/>
    <w:rsid w:val="00A025B0"/>
    <w:rsid w:val="00A02C4F"/>
    <w:rsid w:val="00A02E90"/>
    <w:rsid w:val="00A03681"/>
    <w:rsid w:val="00A03808"/>
    <w:rsid w:val="00A04454"/>
    <w:rsid w:val="00A046B4"/>
    <w:rsid w:val="00A048AA"/>
    <w:rsid w:val="00A04A09"/>
    <w:rsid w:val="00A0515B"/>
    <w:rsid w:val="00A053EF"/>
    <w:rsid w:val="00A05624"/>
    <w:rsid w:val="00A05821"/>
    <w:rsid w:val="00A05D1D"/>
    <w:rsid w:val="00A05EA2"/>
    <w:rsid w:val="00A0622C"/>
    <w:rsid w:val="00A063C4"/>
    <w:rsid w:val="00A076CC"/>
    <w:rsid w:val="00A07A1D"/>
    <w:rsid w:val="00A07BA2"/>
    <w:rsid w:val="00A105F1"/>
    <w:rsid w:val="00A106CF"/>
    <w:rsid w:val="00A10708"/>
    <w:rsid w:val="00A10D14"/>
    <w:rsid w:val="00A1120B"/>
    <w:rsid w:val="00A1142E"/>
    <w:rsid w:val="00A1161C"/>
    <w:rsid w:val="00A1165C"/>
    <w:rsid w:val="00A119F0"/>
    <w:rsid w:val="00A11C47"/>
    <w:rsid w:val="00A11F9E"/>
    <w:rsid w:val="00A12281"/>
    <w:rsid w:val="00A1240E"/>
    <w:rsid w:val="00A125D6"/>
    <w:rsid w:val="00A12B37"/>
    <w:rsid w:val="00A12EFB"/>
    <w:rsid w:val="00A133C0"/>
    <w:rsid w:val="00A13F19"/>
    <w:rsid w:val="00A14089"/>
    <w:rsid w:val="00A141D6"/>
    <w:rsid w:val="00A14E53"/>
    <w:rsid w:val="00A14FB2"/>
    <w:rsid w:val="00A15580"/>
    <w:rsid w:val="00A15644"/>
    <w:rsid w:val="00A15829"/>
    <w:rsid w:val="00A15E19"/>
    <w:rsid w:val="00A162F8"/>
    <w:rsid w:val="00A16449"/>
    <w:rsid w:val="00A16902"/>
    <w:rsid w:val="00A16F05"/>
    <w:rsid w:val="00A174AE"/>
    <w:rsid w:val="00A176A6"/>
    <w:rsid w:val="00A178E9"/>
    <w:rsid w:val="00A17B91"/>
    <w:rsid w:val="00A17D02"/>
    <w:rsid w:val="00A17EAB"/>
    <w:rsid w:val="00A201A2"/>
    <w:rsid w:val="00A208D6"/>
    <w:rsid w:val="00A20A9D"/>
    <w:rsid w:val="00A20E75"/>
    <w:rsid w:val="00A20FE3"/>
    <w:rsid w:val="00A21675"/>
    <w:rsid w:val="00A21DDB"/>
    <w:rsid w:val="00A21E11"/>
    <w:rsid w:val="00A2299B"/>
    <w:rsid w:val="00A22EFC"/>
    <w:rsid w:val="00A23791"/>
    <w:rsid w:val="00A2381C"/>
    <w:rsid w:val="00A239A8"/>
    <w:rsid w:val="00A23C73"/>
    <w:rsid w:val="00A24DA4"/>
    <w:rsid w:val="00A250E0"/>
    <w:rsid w:val="00A2513B"/>
    <w:rsid w:val="00A2575D"/>
    <w:rsid w:val="00A25B5F"/>
    <w:rsid w:val="00A260DB"/>
    <w:rsid w:val="00A262AC"/>
    <w:rsid w:val="00A26389"/>
    <w:rsid w:val="00A26A9D"/>
    <w:rsid w:val="00A26C70"/>
    <w:rsid w:val="00A26E71"/>
    <w:rsid w:val="00A26E94"/>
    <w:rsid w:val="00A26F05"/>
    <w:rsid w:val="00A27461"/>
    <w:rsid w:val="00A27857"/>
    <w:rsid w:val="00A27D8F"/>
    <w:rsid w:val="00A30334"/>
    <w:rsid w:val="00A303B8"/>
    <w:rsid w:val="00A30473"/>
    <w:rsid w:val="00A30661"/>
    <w:rsid w:val="00A30D49"/>
    <w:rsid w:val="00A31092"/>
    <w:rsid w:val="00A3126F"/>
    <w:rsid w:val="00A3162A"/>
    <w:rsid w:val="00A316C8"/>
    <w:rsid w:val="00A3192C"/>
    <w:rsid w:val="00A321CF"/>
    <w:rsid w:val="00A32236"/>
    <w:rsid w:val="00A323E1"/>
    <w:rsid w:val="00A32562"/>
    <w:rsid w:val="00A32CF0"/>
    <w:rsid w:val="00A3342D"/>
    <w:rsid w:val="00A3347D"/>
    <w:rsid w:val="00A34191"/>
    <w:rsid w:val="00A346F7"/>
    <w:rsid w:val="00A34735"/>
    <w:rsid w:val="00A347BD"/>
    <w:rsid w:val="00A34CAE"/>
    <w:rsid w:val="00A34D1B"/>
    <w:rsid w:val="00A35FF9"/>
    <w:rsid w:val="00A36176"/>
    <w:rsid w:val="00A361C3"/>
    <w:rsid w:val="00A365A8"/>
    <w:rsid w:val="00A36A1D"/>
    <w:rsid w:val="00A36B20"/>
    <w:rsid w:val="00A36EE7"/>
    <w:rsid w:val="00A37325"/>
    <w:rsid w:val="00A373D6"/>
    <w:rsid w:val="00A37469"/>
    <w:rsid w:val="00A379A8"/>
    <w:rsid w:val="00A37E1D"/>
    <w:rsid w:val="00A40327"/>
    <w:rsid w:val="00A411FA"/>
    <w:rsid w:val="00A41550"/>
    <w:rsid w:val="00A41998"/>
    <w:rsid w:val="00A41B0B"/>
    <w:rsid w:val="00A41D0B"/>
    <w:rsid w:val="00A41FA9"/>
    <w:rsid w:val="00A422F6"/>
    <w:rsid w:val="00A42ABB"/>
    <w:rsid w:val="00A4390E"/>
    <w:rsid w:val="00A44636"/>
    <w:rsid w:val="00A4474D"/>
    <w:rsid w:val="00A44A44"/>
    <w:rsid w:val="00A44DD8"/>
    <w:rsid w:val="00A44EC1"/>
    <w:rsid w:val="00A454B3"/>
    <w:rsid w:val="00A45867"/>
    <w:rsid w:val="00A45A2B"/>
    <w:rsid w:val="00A45AC9"/>
    <w:rsid w:val="00A45BCF"/>
    <w:rsid w:val="00A45BEC"/>
    <w:rsid w:val="00A45E52"/>
    <w:rsid w:val="00A46464"/>
    <w:rsid w:val="00A464E0"/>
    <w:rsid w:val="00A46652"/>
    <w:rsid w:val="00A46D15"/>
    <w:rsid w:val="00A46D52"/>
    <w:rsid w:val="00A46F72"/>
    <w:rsid w:val="00A4713D"/>
    <w:rsid w:val="00A4749F"/>
    <w:rsid w:val="00A475DC"/>
    <w:rsid w:val="00A47706"/>
    <w:rsid w:val="00A47757"/>
    <w:rsid w:val="00A47F73"/>
    <w:rsid w:val="00A50980"/>
    <w:rsid w:val="00A50A1F"/>
    <w:rsid w:val="00A50EB6"/>
    <w:rsid w:val="00A50F56"/>
    <w:rsid w:val="00A515E7"/>
    <w:rsid w:val="00A51BBC"/>
    <w:rsid w:val="00A524BE"/>
    <w:rsid w:val="00A5272B"/>
    <w:rsid w:val="00A52792"/>
    <w:rsid w:val="00A5280F"/>
    <w:rsid w:val="00A528E5"/>
    <w:rsid w:val="00A52AAC"/>
    <w:rsid w:val="00A52BB2"/>
    <w:rsid w:val="00A52C63"/>
    <w:rsid w:val="00A52DD2"/>
    <w:rsid w:val="00A5302D"/>
    <w:rsid w:val="00A5323B"/>
    <w:rsid w:val="00A533BC"/>
    <w:rsid w:val="00A53E96"/>
    <w:rsid w:val="00A54285"/>
    <w:rsid w:val="00A549DB"/>
    <w:rsid w:val="00A54DC0"/>
    <w:rsid w:val="00A54E9E"/>
    <w:rsid w:val="00A54FB4"/>
    <w:rsid w:val="00A55817"/>
    <w:rsid w:val="00A55E30"/>
    <w:rsid w:val="00A562EC"/>
    <w:rsid w:val="00A563E2"/>
    <w:rsid w:val="00A565FF"/>
    <w:rsid w:val="00A56DE0"/>
    <w:rsid w:val="00A56E7C"/>
    <w:rsid w:val="00A5778A"/>
    <w:rsid w:val="00A579AE"/>
    <w:rsid w:val="00A57AD0"/>
    <w:rsid w:val="00A57CD8"/>
    <w:rsid w:val="00A57F45"/>
    <w:rsid w:val="00A601CC"/>
    <w:rsid w:val="00A60290"/>
    <w:rsid w:val="00A6046C"/>
    <w:rsid w:val="00A60701"/>
    <w:rsid w:val="00A6091D"/>
    <w:rsid w:val="00A609D0"/>
    <w:rsid w:val="00A610DE"/>
    <w:rsid w:val="00A6110B"/>
    <w:rsid w:val="00A6154A"/>
    <w:rsid w:val="00A616D1"/>
    <w:rsid w:val="00A6178F"/>
    <w:rsid w:val="00A61E8D"/>
    <w:rsid w:val="00A62184"/>
    <w:rsid w:val="00A6276C"/>
    <w:rsid w:val="00A62FDE"/>
    <w:rsid w:val="00A62FE9"/>
    <w:rsid w:val="00A63244"/>
    <w:rsid w:val="00A63347"/>
    <w:rsid w:val="00A63794"/>
    <w:rsid w:val="00A63997"/>
    <w:rsid w:val="00A63C18"/>
    <w:rsid w:val="00A63EA6"/>
    <w:rsid w:val="00A642E7"/>
    <w:rsid w:val="00A6494A"/>
    <w:rsid w:val="00A64D2B"/>
    <w:rsid w:val="00A64FCB"/>
    <w:rsid w:val="00A66263"/>
    <w:rsid w:val="00A662DC"/>
    <w:rsid w:val="00A66AEC"/>
    <w:rsid w:val="00A6741B"/>
    <w:rsid w:val="00A679E4"/>
    <w:rsid w:val="00A701FC"/>
    <w:rsid w:val="00A70392"/>
    <w:rsid w:val="00A70A8D"/>
    <w:rsid w:val="00A70EA6"/>
    <w:rsid w:val="00A7140E"/>
    <w:rsid w:val="00A71F0A"/>
    <w:rsid w:val="00A7239E"/>
    <w:rsid w:val="00A7243C"/>
    <w:rsid w:val="00A7248D"/>
    <w:rsid w:val="00A726EB"/>
    <w:rsid w:val="00A730E5"/>
    <w:rsid w:val="00A73137"/>
    <w:rsid w:val="00A73143"/>
    <w:rsid w:val="00A74226"/>
    <w:rsid w:val="00A7425E"/>
    <w:rsid w:val="00A742AF"/>
    <w:rsid w:val="00A747A8"/>
    <w:rsid w:val="00A749B7"/>
    <w:rsid w:val="00A74D10"/>
    <w:rsid w:val="00A757B0"/>
    <w:rsid w:val="00A75C3E"/>
    <w:rsid w:val="00A75D43"/>
    <w:rsid w:val="00A76426"/>
    <w:rsid w:val="00A765F9"/>
    <w:rsid w:val="00A76745"/>
    <w:rsid w:val="00A76C98"/>
    <w:rsid w:val="00A76FE5"/>
    <w:rsid w:val="00A770A6"/>
    <w:rsid w:val="00A776A4"/>
    <w:rsid w:val="00A800FA"/>
    <w:rsid w:val="00A8049D"/>
    <w:rsid w:val="00A80795"/>
    <w:rsid w:val="00A80900"/>
    <w:rsid w:val="00A812AA"/>
    <w:rsid w:val="00A81306"/>
    <w:rsid w:val="00A8131B"/>
    <w:rsid w:val="00A8145F"/>
    <w:rsid w:val="00A8185D"/>
    <w:rsid w:val="00A81CA8"/>
    <w:rsid w:val="00A822C2"/>
    <w:rsid w:val="00A8289B"/>
    <w:rsid w:val="00A82990"/>
    <w:rsid w:val="00A82C08"/>
    <w:rsid w:val="00A83363"/>
    <w:rsid w:val="00A842BE"/>
    <w:rsid w:val="00A845EA"/>
    <w:rsid w:val="00A846C9"/>
    <w:rsid w:val="00A84CD3"/>
    <w:rsid w:val="00A84CDA"/>
    <w:rsid w:val="00A84DE6"/>
    <w:rsid w:val="00A84E8A"/>
    <w:rsid w:val="00A84F64"/>
    <w:rsid w:val="00A84F7C"/>
    <w:rsid w:val="00A8503D"/>
    <w:rsid w:val="00A852AF"/>
    <w:rsid w:val="00A8535D"/>
    <w:rsid w:val="00A8574A"/>
    <w:rsid w:val="00A85C9D"/>
    <w:rsid w:val="00A85EF0"/>
    <w:rsid w:val="00A86569"/>
    <w:rsid w:val="00A866BC"/>
    <w:rsid w:val="00A86B04"/>
    <w:rsid w:val="00A86D57"/>
    <w:rsid w:val="00A87D35"/>
    <w:rsid w:val="00A900F7"/>
    <w:rsid w:val="00A901F9"/>
    <w:rsid w:val="00A90401"/>
    <w:rsid w:val="00A9064D"/>
    <w:rsid w:val="00A90944"/>
    <w:rsid w:val="00A90FF6"/>
    <w:rsid w:val="00A91337"/>
    <w:rsid w:val="00A9155D"/>
    <w:rsid w:val="00A915AF"/>
    <w:rsid w:val="00A91AA3"/>
    <w:rsid w:val="00A920C2"/>
    <w:rsid w:val="00A921E3"/>
    <w:rsid w:val="00A9225E"/>
    <w:rsid w:val="00A92373"/>
    <w:rsid w:val="00A92F24"/>
    <w:rsid w:val="00A9326E"/>
    <w:rsid w:val="00A93289"/>
    <w:rsid w:val="00A93FAC"/>
    <w:rsid w:val="00A947D1"/>
    <w:rsid w:val="00A94857"/>
    <w:rsid w:val="00A948B0"/>
    <w:rsid w:val="00A949C0"/>
    <w:rsid w:val="00A94A89"/>
    <w:rsid w:val="00A94D20"/>
    <w:rsid w:val="00A94E53"/>
    <w:rsid w:val="00A95064"/>
    <w:rsid w:val="00A95B03"/>
    <w:rsid w:val="00A96940"/>
    <w:rsid w:val="00A96BB3"/>
    <w:rsid w:val="00A974FB"/>
    <w:rsid w:val="00A9752B"/>
    <w:rsid w:val="00A97F31"/>
    <w:rsid w:val="00AA0219"/>
    <w:rsid w:val="00AA0C58"/>
    <w:rsid w:val="00AA12A3"/>
    <w:rsid w:val="00AA14E9"/>
    <w:rsid w:val="00AA1B2A"/>
    <w:rsid w:val="00AA2280"/>
    <w:rsid w:val="00AA23D0"/>
    <w:rsid w:val="00AA2461"/>
    <w:rsid w:val="00AA25EC"/>
    <w:rsid w:val="00AA2865"/>
    <w:rsid w:val="00AA2EFB"/>
    <w:rsid w:val="00AA31C4"/>
    <w:rsid w:val="00AA3842"/>
    <w:rsid w:val="00AA3A9B"/>
    <w:rsid w:val="00AA3B78"/>
    <w:rsid w:val="00AA3BF1"/>
    <w:rsid w:val="00AA3D72"/>
    <w:rsid w:val="00AA430B"/>
    <w:rsid w:val="00AA4360"/>
    <w:rsid w:val="00AA49E0"/>
    <w:rsid w:val="00AA4EF3"/>
    <w:rsid w:val="00AA5048"/>
    <w:rsid w:val="00AA5241"/>
    <w:rsid w:val="00AA53AB"/>
    <w:rsid w:val="00AA5410"/>
    <w:rsid w:val="00AA55A6"/>
    <w:rsid w:val="00AA5721"/>
    <w:rsid w:val="00AA62C2"/>
    <w:rsid w:val="00AA6442"/>
    <w:rsid w:val="00AA6BA0"/>
    <w:rsid w:val="00AA76AC"/>
    <w:rsid w:val="00AA7822"/>
    <w:rsid w:val="00AA7B48"/>
    <w:rsid w:val="00AA7D46"/>
    <w:rsid w:val="00AB117C"/>
    <w:rsid w:val="00AB14EF"/>
    <w:rsid w:val="00AB1727"/>
    <w:rsid w:val="00AB1E49"/>
    <w:rsid w:val="00AB200D"/>
    <w:rsid w:val="00AB21C6"/>
    <w:rsid w:val="00AB2841"/>
    <w:rsid w:val="00AB2A02"/>
    <w:rsid w:val="00AB2BC3"/>
    <w:rsid w:val="00AB2F4A"/>
    <w:rsid w:val="00AB3860"/>
    <w:rsid w:val="00AB3DBD"/>
    <w:rsid w:val="00AB3ED6"/>
    <w:rsid w:val="00AB4126"/>
    <w:rsid w:val="00AB4196"/>
    <w:rsid w:val="00AB4520"/>
    <w:rsid w:val="00AB49AA"/>
    <w:rsid w:val="00AB4B91"/>
    <w:rsid w:val="00AB4F55"/>
    <w:rsid w:val="00AB69C0"/>
    <w:rsid w:val="00AB6A95"/>
    <w:rsid w:val="00AB6B7D"/>
    <w:rsid w:val="00AB704D"/>
    <w:rsid w:val="00AB74DC"/>
    <w:rsid w:val="00AB76C5"/>
    <w:rsid w:val="00AB7C40"/>
    <w:rsid w:val="00AC053D"/>
    <w:rsid w:val="00AC05CB"/>
    <w:rsid w:val="00AC2568"/>
    <w:rsid w:val="00AC28D3"/>
    <w:rsid w:val="00AC2F21"/>
    <w:rsid w:val="00AC3183"/>
    <w:rsid w:val="00AC3A52"/>
    <w:rsid w:val="00AC4133"/>
    <w:rsid w:val="00AC472C"/>
    <w:rsid w:val="00AC4F60"/>
    <w:rsid w:val="00AC4FC9"/>
    <w:rsid w:val="00AC5950"/>
    <w:rsid w:val="00AC5E1E"/>
    <w:rsid w:val="00AC5E22"/>
    <w:rsid w:val="00AC670D"/>
    <w:rsid w:val="00AC6B6D"/>
    <w:rsid w:val="00AC6F7D"/>
    <w:rsid w:val="00AC7060"/>
    <w:rsid w:val="00AC720A"/>
    <w:rsid w:val="00AC767F"/>
    <w:rsid w:val="00AC79D1"/>
    <w:rsid w:val="00AC7C6E"/>
    <w:rsid w:val="00AD0881"/>
    <w:rsid w:val="00AD0A52"/>
    <w:rsid w:val="00AD0E4E"/>
    <w:rsid w:val="00AD1612"/>
    <w:rsid w:val="00AD172E"/>
    <w:rsid w:val="00AD1BD3"/>
    <w:rsid w:val="00AD1CDC"/>
    <w:rsid w:val="00AD2051"/>
    <w:rsid w:val="00AD2C6F"/>
    <w:rsid w:val="00AD2E11"/>
    <w:rsid w:val="00AD315F"/>
    <w:rsid w:val="00AD322D"/>
    <w:rsid w:val="00AD3AEE"/>
    <w:rsid w:val="00AD3D63"/>
    <w:rsid w:val="00AD3E31"/>
    <w:rsid w:val="00AD3FBC"/>
    <w:rsid w:val="00AD4B5C"/>
    <w:rsid w:val="00AD4F49"/>
    <w:rsid w:val="00AD4F84"/>
    <w:rsid w:val="00AD533D"/>
    <w:rsid w:val="00AD60EA"/>
    <w:rsid w:val="00AD67D4"/>
    <w:rsid w:val="00AD6B8C"/>
    <w:rsid w:val="00AD701D"/>
    <w:rsid w:val="00AD726D"/>
    <w:rsid w:val="00AD751E"/>
    <w:rsid w:val="00AE00EA"/>
    <w:rsid w:val="00AE0200"/>
    <w:rsid w:val="00AE0976"/>
    <w:rsid w:val="00AE0978"/>
    <w:rsid w:val="00AE0D4F"/>
    <w:rsid w:val="00AE0EF0"/>
    <w:rsid w:val="00AE1232"/>
    <w:rsid w:val="00AE2BDC"/>
    <w:rsid w:val="00AE2D65"/>
    <w:rsid w:val="00AE3191"/>
    <w:rsid w:val="00AE360D"/>
    <w:rsid w:val="00AE37C3"/>
    <w:rsid w:val="00AE38E5"/>
    <w:rsid w:val="00AE39A1"/>
    <w:rsid w:val="00AE3D79"/>
    <w:rsid w:val="00AE4023"/>
    <w:rsid w:val="00AE4331"/>
    <w:rsid w:val="00AE4760"/>
    <w:rsid w:val="00AE49BB"/>
    <w:rsid w:val="00AE556C"/>
    <w:rsid w:val="00AE55DE"/>
    <w:rsid w:val="00AE614D"/>
    <w:rsid w:val="00AE61C9"/>
    <w:rsid w:val="00AE63A8"/>
    <w:rsid w:val="00AE6700"/>
    <w:rsid w:val="00AE68E6"/>
    <w:rsid w:val="00AE6F1C"/>
    <w:rsid w:val="00AE722A"/>
    <w:rsid w:val="00AE749A"/>
    <w:rsid w:val="00AE76E0"/>
    <w:rsid w:val="00AE7849"/>
    <w:rsid w:val="00AE7977"/>
    <w:rsid w:val="00AE7FBB"/>
    <w:rsid w:val="00AF02BA"/>
    <w:rsid w:val="00AF0642"/>
    <w:rsid w:val="00AF0835"/>
    <w:rsid w:val="00AF0DF4"/>
    <w:rsid w:val="00AF0E19"/>
    <w:rsid w:val="00AF1774"/>
    <w:rsid w:val="00AF1AD8"/>
    <w:rsid w:val="00AF1F10"/>
    <w:rsid w:val="00AF2179"/>
    <w:rsid w:val="00AF2B55"/>
    <w:rsid w:val="00AF2F4E"/>
    <w:rsid w:val="00AF3500"/>
    <w:rsid w:val="00AF3D39"/>
    <w:rsid w:val="00AF42B6"/>
    <w:rsid w:val="00AF433A"/>
    <w:rsid w:val="00AF487D"/>
    <w:rsid w:val="00AF497B"/>
    <w:rsid w:val="00AF4BC1"/>
    <w:rsid w:val="00AF5481"/>
    <w:rsid w:val="00AF5931"/>
    <w:rsid w:val="00AF604D"/>
    <w:rsid w:val="00AF69EA"/>
    <w:rsid w:val="00AF6A4C"/>
    <w:rsid w:val="00AF6D2E"/>
    <w:rsid w:val="00AF6FAA"/>
    <w:rsid w:val="00AF71EB"/>
    <w:rsid w:val="00AF7248"/>
    <w:rsid w:val="00AF72D8"/>
    <w:rsid w:val="00AF74A4"/>
    <w:rsid w:val="00AF78DC"/>
    <w:rsid w:val="00AF7940"/>
    <w:rsid w:val="00B004D9"/>
    <w:rsid w:val="00B00671"/>
    <w:rsid w:val="00B00E7A"/>
    <w:rsid w:val="00B00FA5"/>
    <w:rsid w:val="00B01834"/>
    <w:rsid w:val="00B01977"/>
    <w:rsid w:val="00B02183"/>
    <w:rsid w:val="00B02BD9"/>
    <w:rsid w:val="00B038B1"/>
    <w:rsid w:val="00B039AD"/>
    <w:rsid w:val="00B03D91"/>
    <w:rsid w:val="00B043CC"/>
    <w:rsid w:val="00B04486"/>
    <w:rsid w:val="00B047C2"/>
    <w:rsid w:val="00B04CB1"/>
    <w:rsid w:val="00B050C9"/>
    <w:rsid w:val="00B05635"/>
    <w:rsid w:val="00B05AD9"/>
    <w:rsid w:val="00B05AEF"/>
    <w:rsid w:val="00B05D8D"/>
    <w:rsid w:val="00B06101"/>
    <w:rsid w:val="00B0624F"/>
    <w:rsid w:val="00B062C0"/>
    <w:rsid w:val="00B064AA"/>
    <w:rsid w:val="00B0693D"/>
    <w:rsid w:val="00B06A26"/>
    <w:rsid w:val="00B06BB7"/>
    <w:rsid w:val="00B07364"/>
    <w:rsid w:val="00B07620"/>
    <w:rsid w:val="00B10091"/>
    <w:rsid w:val="00B100B1"/>
    <w:rsid w:val="00B1072A"/>
    <w:rsid w:val="00B10F84"/>
    <w:rsid w:val="00B119F7"/>
    <w:rsid w:val="00B11FDD"/>
    <w:rsid w:val="00B121F7"/>
    <w:rsid w:val="00B12775"/>
    <w:rsid w:val="00B1314F"/>
    <w:rsid w:val="00B13351"/>
    <w:rsid w:val="00B13A82"/>
    <w:rsid w:val="00B13E1D"/>
    <w:rsid w:val="00B13E74"/>
    <w:rsid w:val="00B141EA"/>
    <w:rsid w:val="00B14BD2"/>
    <w:rsid w:val="00B14E1E"/>
    <w:rsid w:val="00B14FA9"/>
    <w:rsid w:val="00B151CF"/>
    <w:rsid w:val="00B168A0"/>
    <w:rsid w:val="00B16F55"/>
    <w:rsid w:val="00B1706D"/>
    <w:rsid w:val="00B171E9"/>
    <w:rsid w:val="00B17596"/>
    <w:rsid w:val="00B201C3"/>
    <w:rsid w:val="00B20445"/>
    <w:rsid w:val="00B205AA"/>
    <w:rsid w:val="00B20B34"/>
    <w:rsid w:val="00B20B41"/>
    <w:rsid w:val="00B20EC1"/>
    <w:rsid w:val="00B20EFB"/>
    <w:rsid w:val="00B22143"/>
    <w:rsid w:val="00B2225A"/>
    <w:rsid w:val="00B2256F"/>
    <w:rsid w:val="00B23758"/>
    <w:rsid w:val="00B23829"/>
    <w:rsid w:val="00B23B70"/>
    <w:rsid w:val="00B23BB7"/>
    <w:rsid w:val="00B2433D"/>
    <w:rsid w:val="00B243BC"/>
    <w:rsid w:val="00B247AD"/>
    <w:rsid w:val="00B2518E"/>
    <w:rsid w:val="00B2527A"/>
    <w:rsid w:val="00B25D05"/>
    <w:rsid w:val="00B25DE7"/>
    <w:rsid w:val="00B25F07"/>
    <w:rsid w:val="00B263A0"/>
    <w:rsid w:val="00B26622"/>
    <w:rsid w:val="00B26669"/>
    <w:rsid w:val="00B26958"/>
    <w:rsid w:val="00B26992"/>
    <w:rsid w:val="00B26F5B"/>
    <w:rsid w:val="00B27061"/>
    <w:rsid w:val="00B2725C"/>
    <w:rsid w:val="00B276B4"/>
    <w:rsid w:val="00B27B7F"/>
    <w:rsid w:val="00B27BA9"/>
    <w:rsid w:val="00B3002F"/>
    <w:rsid w:val="00B303F6"/>
    <w:rsid w:val="00B30671"/>
    <w:rsid w:val="00B30785"/>
    <w:rsid w:val="00B307B7"/>
    <w:rsid w:val="00B30817"/>
    <w:rsid w:val="00B30B53"/>
    <w:rsid w:val="00B30C2C"/>
    <w:rsid w:val="00B30E00"/>
    <w:rsid w:val="00B316F1"/>
    <w:rsid w:val="00B31FC0"/>
    <w:rsid w:val="00B335E7"/>
    <w:rsid w:val="00B33888"/>
    <w:rsid w:val="00B339B8"/>
    <w:rsid w:val="00B34486"/>
    <w:rsid w:val="00B3487F"/>
    <w:rsid w:val="00B34A43"/>
    <w:rsid w:val="00B34A89"/>
    <w:rsid w:val="00B34BDF"/>
    <w:rsid w:val="00B34D5E"/>
    <w:rsid w:val="00B35F18"/>
    <w:rsid w:val="00B36028"/>
    <w:rsid w:val="00B3670C"/>
    <w:rsid w:val="00B36817"/>
    <w:rsid w:val="00B3686F"/>
    <w:rsid w:val="00B369B4"/>
    <w:rsid w:val="00B36B82"/>
    <w:rsid w:val="00B37844"/>
    <w:rsid w:val="00B37AAE"/>
    <w:rsid w:val="00B37B1E"/>
    <w:rsid w:val="00B37C58"/>
    <w:rsid w:val="00B40064"/>
    <w:rsid w:val="00B4071B"/>
    <w:rsid w:val="00B407D9"/>
    <w:rsid w:val="00B40D28"/>
    <w:rsid w:val="00B40DDC"/>
    <w:rsid w:val="00B41111"/>
    <w:rsid w:val="00B416F6"/>
    <w:rsid w:val="00B4171A"/>
    <w:rsid w:val="00B41784"/>
    <w:rsid w:val="00B42014"/>
    <w:rsid w:val="00B420B3"/>
    <w:rsid w:val="00B42837"/>
    <w:rsid w:val="00B42839"/>
    <w:rsid w:val="00B42B3B"/>
    <w:rsid w:val="00B42DC2"/>
    <w:rsid w:val="00B42E6A"/>
    <w:rsid w:val="00B4342D"/>
    <w:rsid w:val="00B44183"/>
    <w:rsid w:val="00B44542"/>
    <w:rsid w:val="00B44731"/>
    <w:rsid w:val="00B450BF"/>
    <w:rsid w:val="00B458C6"/>
    <w:rsid w:val="00B46B95"/>
    <w:rsid w:val="00B46C50"/>
    <w:rsid w:val="00B46CFF"/>
    <w:rsid w:val="00B46F19"/>
    <w:rsid w:val="00B47070"/>
    <w:rsid w:val="00B474BB"/>
    <w:rsid w:val="00B474D7"/>
    <w:rsid w:val="00B4774E"/>
    <w:rsid w:val="00B47E5F"/>
    <w:rsid w:val="00B505FE"/>
    <w:rsid w:val="00B50A44"/>
    <w:rsid w:val="00B52392"/>
    <w:rsid w:val="00B52835"/>
    <w:rsid w:val="00B52B3B"/>
    <w:rsid w:val="00B53208"/>
    <w:rsid w:val="00B53424"/>
    <w:rsid w:val="00B53660"/>
    <w:rsid w:val="00B53A0C"/>
    <w:rsid w:val="00B543F7"/>
    <w:rsid w:val="00B544F6"/>
    <w:rsid w:val="00B549C9"/>
    <w:rsid w:val="00B55524"/>
    <w:rsid w:val="00B556C6"/>
    <w:rsid w:val="00B55902"/>
    <w:rsid w:val="00B55BDA"/>
    <w:rsid w:val="00B55F7A"/>
    <w:rsid w:val="00B56336"/>
    <w:rsid w:val="00B56438"/>
    <w:rsid w:val="00B56CEE"/>
    <w:rsid w:val="00B56E57"/>
    <w:rsid w:val="00B57079"/>
    <w:rsid w:val="00B574DE"/>
    <w:rsid w:val="00B575BF"/>
    <w:rsid w:val="00B577D0"/>
    <w:rsid w:val="00B57DED"/>
    <w:rsid w:val="00B60325"/>
    <w:rsid w:val="00B611EE"/>
    <w:rsid w:val="00B612EA"/>
    <w:rsid w:val="00B616C5"/>
    <w:rsid w:val="00B61C66"/>
    <w:rsid w:val="00B61E37"/>
    <w:rsid w:val="00B61F89"/>
    <w:rsid w:val="00B6225C"/>
    <w:rsid w:val="00B62604"/>
    <w:rsid w:val="00B62DF2"/>
    <w:rsid w:val="00B630E5"/>
    <w:rsid w:val="00B639B4"/>
    <w:rsid w:val="00B6414E"/>
    <w:rsid w:val="00B64265"/>
    <w:rsid w:val="00B64C37"/>
    <w:rsid w:val="00B6502A"/>
    <w:rsid w:val="00B6573E"/>
    <w:rsid w:val="00B66194"/>
    <w:rsid w:val="00B66A87"/>
    <w:rsid w:val="00B66BDB"/>
    <w:rsid w:val="00B67134"/>
    <w:rsid w:val="00B6722A"/>
    <w:rsid w:val="00B67287"/>
    <w:rsid w:val="00B67318"/>
    <w:rsid w:val="00B67721"/>
    <w:rsid w:val="00B679F7"/>
    <w:rsid w:val="00B67F4E"/>
    <w:rsid w:val="00B701D9"/>
    <w:rsid w:val="00B709B0"/>
    <w:rsid w:val="00B70AFB"/>
    <w:rsid w:val="00B70D0B"/>
    <w:rsid w:val="00B712D0"/>
    <w:rsid w:val="00B72929"/>
    <w:rsid w:val="00B730FF"/>
    <w:rsid w:val="00B7380F"/>
    <w:rsid w:val="00B7387F"/>
    <w:rsid w:val="00B738D3"/>
    <w:rsid w:val="00B73B2F"/>
    <w:rsid w:val="00B73BDD"/>
    <w:rsid w:val="00B73E40"/>
    <w:rsid w:val="00B74062"/>
    <w:rsid w:val="00B74D3C"/>
    <w:rsid w:val="00B757E5"/>
    <w:rsid w:val="00B75F04"/>
    <w:rsid w:val="00B762A3"/>
    <w:rsid w:val="00B763DA"/>
    <w:rsid w:val="00B77175"/>
    <w:rsid w:val="00B77AEB"/>
    <w:rsid w:val="00B77F4D"/>
    <w:rsid w:val="00B80679"/>
    <w:rsid w:val="00B807BA"/>
    <w:rsid w:val="00B80F6C"/>
    <w:rsid w:val="00B80FD8"/>
    <w:rsid w:val="00B81177"/>
    <w:rsid w:val="00B819DE"/>
    <w:rsid w:val="00B81F38"/>
    <w:rsid w:val="00B82159"/>
    <w:rsid w:val="00B8224D"/>
    <w:rsid w:val="00B825AC"/>
    <w:rsid w:val="00B82E25"/>
    <w:rsid w:val="00B82EAD"/>
    <w:rsid w:val="00B83017"/>
    <w:rsid w:val="00B832A4"/>
    <w:rsid w:val="00B83B62"/>
    <w:rsid w:val="00B83EE1"/>
    <w:rsid w:val="00B846B3"/>
    <w:rsid w:val="00B84A2E"/>
    <w:rsid w:val="00B84A30"/>
    <w:rsid w:val="00B8504F"/>
    <w:rsid w:val="00B850BA"/>
    <w:rsid w:val="00B851C8"/>
    <w:rsid w:val="00B8535F"/>
    <w:rsid w:val="00B857F3"/>
    <w:rsid w:val="00B85A83"/>
    <w:rsid w:val="00B85F9E"/>
    <w:rsid w:val="00B861E7"/>
    <w:rsid w:val="00B86D25"/>
    <w:rsid w:val="00B86F64"/>
    <w:rsid w:val="00B87697"/>
    <w:rsid w:val="00B878CD"/>
    <w:rsid w:val="00B9028A"/>
    <w:rsid w:val="00B9042F"/>
    <w:rsid w:val="00B9047B"/>
    <w:rsid w:val="00B9076F"/>
    <w:rsid w:val="00B913FA"/>
    <w:rsid w:val="00B91CB1"/>
    <w:rsid w:val="00B9249B"/>
    <w:rsid w:val="00B926E5"/>
    <w:rsid w:val="00B92A69"/>
    <w:rsid w:val="00B934CE"/>
    <w:rsid w:val="00B936CD"/>
    <w:rsid w:val="00B93D2C"/>
    <w:rsid w:val="00B93F78"/>
    <w:rsid w:val="00B941FB"/>
    <w:rsid w:val="00B945AF"/>
    <w:rsid w:val="00B9536C"/>
    <w:rsid w:val="00B95DFD"/>
    <w:rsid w:val="00B9622A"/>
    <w:rsid w:val="00B96468"/>
    <w:rsid w:val="00B97B5F"/>
    <w:rsid w:val="00B97D59"/>
    <w:rsid w:val="00BA1DE3"/>
    <w:rsid w:val="00BA1FFB"/>
    <w:rsid w:val="00BA23E7"/>
    <w:rsid w:val="00BA2982"/>
    <w:rsid w:val="00BA2B3F"/>
    <w:rsid w:val="00BA2B46"/>
    <w:rsid w:val="00BA2BEB"/>
    <w:rsid w:val="00BA2F4E"/>
    <w:rsid w:val="00BA4199"/>
    <w:rsid w:val="00BA42D4"/>
    <w:rsid w:val="00BA4939"/>
    <w:rsid w:val="00BA4B82"/>
    <w:rsid w:val="00BA4E45"/>
    <w:rsid w:val="00BA51D0"/>
    <w:rsid w:val="00BA59FB"/>
    <w:rsid w:val="00BA5F1D"/>
    <w:rsid w:val="00BA65D3"/>
    <w:rsid w:val="00BA661B"/>
    <w:rsid w:val="00BA7206"/>
    <w:rsid w:val="00BA7F5F"/>
    <w:rsid w:val="00BB031A"/>
    <w:rsid w:val="00BB03D8"/>
    <w:rsid w:val="00BB0A68"/>
    <w:rsid w:val="00BB10DF"/>
    <w:rsid w:val="00BB14A3"/>
    <w:rsid w:val="00BB1698"/>
    <w:rsid w:val="00BB17D0"/>
    <w:rsid w:val="00BB297F"/>
    <w:rsid w:val="00BB29EB"/>
    <w:rsid w:val="00BB2B6B"/>
    <w:rsid w:val="00BB308F"/>
    <w:rsid w:val="00BB4883"/>
    <w:rsid w:val="00BB494A"/>
    <w:rsid w:val="00BB67E4"/>
    <w:rsid w:val="00BB7583"/>
    <w:rsid w:val="00BB7F61"/>
    <w:rsid w:val="00BC05A7"/>
    <w:rsid w:val="00BC05E7"/>
    <w:rsid w:val="00BC1159"/>
    <w:rsid w:val="00BC11BF"/>
    <w:rsid w:val="00BC12CF"/>
    <w:rsid w:val="00BC15DE"/>
    <w:rsid w:val="00BC15E5"/>
    <w:rsid w:val="00BC17C8"/>
    <w:rsid w:val="00BC1838"/>
    <w:rsid w:val="00BC1897"/>
    <w:rsid w:val="00BC1CDE"/>
    <w:rsid w:val="00BC1D17"/>
    <w:rsid w:val="00BC2364"/>
    <w:rsid w:val="00BC25B0"/>
    <w:rsid w:val="00BC2BCD"/>
    <w:rsid w:val="00BC2D55"/>
    <w:rsid w:val="00BC30B7"/>
    <w:rsid w:val="00BC34A5"/>
    <w:rsid w:val="00BC369C"/>
    <w:rsid w:val="00BC3BF9"/>
    <w:rsid w:val="00BC4841"/>
    <w:rsid w:val="00BC4972"/>
    <w:rsid w:val="00BC4997"/>
    <w:rsid w:val="00BC4AD9"/>
    <w:rsid w:val="00BC4B21"/>
    <w:rsid w:val="00BC4E66"/>
    <w:rsid w:val="00BC4F4F"/>
    <w:rsid w:val="00BC5A99"/>
    <w:rsid w:val="00BC5C79"/>
    <w:rsid w:val="00BC6897"/>
    <w:rsid w:val="00BC7075"/>
    <w:rsid w:val="00BC7E48"/>
    <w:rsid w:val="00BD00A8"/>
    <w:rsid w:val="00BD0F85"/>
    <w:rsid w:val="00BD149D"/>
    <w:rsid w:val="00BD15E8"/>
    <w:rsid w:val="00BD172B"/>
    <w:rsid w:val="00BD1A06"/>
    <w:rsid w:val="00BD1B8D"/>
    <w:rsid w:val="00BD2271"/>
    <w:rsid w:val="00BD2446"/>
    <w:rsid w:val="00BD2B53"/>
    <w:rsid w:val="00BD3107"/>
    <w:rsid w:val="00BD3209"/>
    <w:rsid w:val="00BD33D4"/>
    <w:rsid w:val="00BD3580"/>
    <w:rsid w:val="00BD3906"/>
    <w:rsid w:val="00BD40B1"/>
    <w:rsid w:val="00BD427F"/>
    <w:rsid w:val="00BD45EA"/>
    <w:rsid w:val="00BD4703"/>
    <w:rsid w:val="00BD476F"/>
    <w:rsid w:val="00BD60CF"/>
    <w:rsid w:val="00BD65DF"/>
    <w:rsid w:val="00BD65FC"/>
    <w:rsid w:val="00BD698B"/>
    <w:rsid w:val="00BD6A55"/>
    <w:rsid w:val="00BD6C13"/>
    <w:rsid w:val="00BD6E78"/>
    <w:rsid w:val="00BD6F4C"/>
    <w:rsid w:val="00BD7BB2"/>
    <w:rsid w:val="00BE065A"/>
    <w:rsid w:val="00BE0690"/>
    <w:rsid w:val="00BE0748"/>
    <w:rsid w:val="00BE0AD7"/>
    <w:rsid w:val="00BE13D7"/>
    <w:rsid w:val="00BE16F8"/>
    <w:rsid w:val="00BE1B4D"/>
    <w:rsid w:val="00BE1C39"/>
    <w:rsid w:val="00BE1EF8"/>
    <w:rsid w:val="00BE217A"/>
    <w:rsid w:val="00BE219C"/>
    <w:rsid w:val="00BE2212"/>
    <w:rsid w:val="00BE2FC8"/>
    <w:rsid w:val="00BE3432"/>
    <w:rsid w:val="00BE3507"/>
    <w:rsid w:val="00BE381E"/>
    <w:rsid w:val="00BE3A17"/>
    <w:rsid w:val="00BE3AE4"/>
    <w:rsid w:val="00BE425D"/>
    <w:rsid w:val="00BE47A1"/>
    <w:rsid w:val="00BE47A8"/>
    <w:rsid w:val="00BE47BF"/>
    <w:rsid w:val="00BE51C1"/>
    <w:rsid w:val="00BE5374"/>
    <w:rsid w:val="00BE5E3D"/>
    <w:rsid w:val="00BE5F63"/>
    <w:rsid w:val="00BE627A"/>
    <w:rsid w:val="00BE6631"/>
    <w:rsid w:val="00BE69F6"/>
    <w:rsid w:val="00BE6CE8"/>
    <w:rsid w:val="00BE6E05"/>
    <w:rsid w:val="00BE6EA9"/>
    <w:rsid w:val="00BE70B0"/>
    <w:rsid w:val="00BE7189"/>
    <w:rsid w:val="00BE7633"/>
    <w:rsid w:val="00BE7656"/>
    <w:rsid w:val="00BE7CDB"/>
    <w:rsid w:val="00BF0528"/>
    <w:rsid w:val="00BF06C8"/>
    <w:rsid w:val="00BF1DAB"/>
    <w:rsid w:val="00BF254A"/>
    <w:rsid w:val="00BF316E"/>
    <w:rsid w:val="00BF336A"/>
    <w:rsid w:val="00BF3B01"/>
    <w:rsid w:val="00BF3DB1"/>
    <w:rsid w:val="00BF3E5B"/>
    <w:rsid w:val="00BF4437"/>
    <w:rsid w:val="00BF47A9"/>
    <w:rsid w:val="00BF48EF"/>
    <w:rsid w:val="00BF4F7A"/>
    <w:rsid w:val="00BF51BA"/>
    <w:rsid w:val="00BF520C"/>
    <w:rsid w:val="00BF5AC9"/>
    <w:rsid w:val="00BF5B3C"/>
    <w:rsid w:val="00BF5D98"/>
    <w:rsid w:val="00BF5EC7"/>
    <w:rsid w:val="00BF659C"/>
    <w:rsid w:val="00BF6E5D"/>
    <w:rsid w:val="00BF7017"/>
    <w:rsid w:val="00BF7093"/>
    <w:rsid w:val="00BF7C54"/>
    <w:rsid w:val="00C014CA"/>
    <w:rsid w:val="00C01A2C"/>
    <w:rsid w:val="00C01D5F"/>
    <w:rsid w:val="00C01ECE"/>
    <w:rsid w:val="00C0203D"/>
    <w:rsid w:val="00C021C6"/>
    <w:rsid w:val="00C02368"/>
    <w:rsid w:val="00C02B6F"/>
    <w:rsid w:val="00C02E8E"/>
    <w:rsid w:val="00C03120"/>
    <w:rsid w:val="00C0345A"/>
    <w:rsid w:val="00C03511"/>
    <w:rsid w:val="00C03833"/>
    <w:rsid w:val="00C03EC8"/>
    <w:rsid w:val="00C04285"/>
    <w:rsid w:val="00C04827"/>
    <w:rsid w:val="00C04C3A"/>
    <w:rsid w:val="00C050DA"/>
    <w:rsid w:val="00C05700"/>
    <w:rsid w:val="00C0623B"/>
    <w:rsid w:val="00C074CD"/>
    <w:rsid w:val="00C07764"/>
    <w:rsid w:val="00C07963"/>
    <w:rsid w:val="00C07B37"/>
    <w:rsid w:val="00C07E0F"/>
    <w:rsid w:val="00C10217"/>
    <w:rsid w:val="00C107C3"/>
    <w:rsid w:val="00C1100C"/>
    <w:rsid w:val="00C11412"/>
    <w:rsid w:val="00C1144A"/>
    <w:rsid w:val="00C12451"/>
    <w:rsid w:val="00C12FD5"/>
    <w:rsid w:val="00C13138"/>
    <w:rsid w:val="00C13520"/>
    <w:rsid w:val="00C1402A"/>
    <w:rsid w:val="00C141E8"/>
    <w:rsid w:val="00C14285"/>
    <w:rsid w:val="00C14672"/>
    <w:rsid w:val="00C14F9B"/>
    <w:rsid w:val="00C14FAB"/>
    <w:rsid w:val="00C15E64"/>
    <w:rsid w:val="00C15E66"/>
    <w:rsid w:val="00C15F42"/>
    <w:rsid w:val="00C1610B"/>
    <w:rsid w:val="00C1611D"/>
    <w:rsid w:val="00C16701"/>
    <w:rsid w:val="00C16C9A"/>
    <w:rsid w:val="00C16D45"/>
    <w:rsid w:val="00C16EE4"/>
    <w:rsid w:val="00C1727B"/>
    <w:rsid w:val="00C1732F"/>
    <w:rsid w:val="00C175E4"/>
    <w:rsid w:val="00C17705"/>
    <w:rsid w:val="00C17C7B"/>
    <w:rsid w:val="00C17FB4"/>
    <w:rsid w:val="00C20714"/>
    <w:rsid w:val="00C20CC9"/>
    <w:rsid w:val="00C20D4A"/>
    <w:rsid w:val="00C20EDD"/>
    <w:rsid w:val="00C21A84"/>
    <w:rsid w:val="00C21BAE"/>
    <w:rsid w:val="00C21F60"/>
    <w:rsid w:val="00C2228B"/>
    <w:rsid w:val="00C22A5D"/>
    <w:rsid w:val="00C22BBA"/>
    <w:rsid w:val="00C2320F"/>
    <w:rsid w:val="00C232E0"/>
    <w:rsid w:val="00C2332F"/>
    <w:rsid w:val="00C23512"/>
    <w:rsid w:val="00C23DC5"/>
    <w:rsid w:val="00C24B5E"/>
    <w:rsid w:val="00C24E24"/>
    <w:rsid w:val="00C2534F"/>
    <w:rsid w:val="00C258A2"/>
    <w:rsid w:val="00C25A6C"/>
    <w:rsid w:val="00C25B43"/>
    <w:rsid w:val="00C25C7A"/>
    <w:rsid w:val="00C25D31"/>
    <w:rsid w:val="00C260B2"/>
    <w:rsid w:val="00C2612C"/>
    <w:rsid w:val="00C262A9"/>
    <w:rsid w:val="00C26C88"/>
    <w:rsid w:val="00C27E97"/>
    <w:rsid w:val="00C30058"/>
    <w:rsid w:val="00C308DA"/>
    <w:rsid w:val="00C30943"/>
    <w:rsid w:val="00C317A2"/>
    <w:rsid w:val="00C31829"/>
    <w:rsid w:val="00C31F7F"/>
    <w:rsid w:val="00C32459"/>
    <w:rsid w:val="00C32840"/>
    <w:rsid w:val="00C328FC"/>
    <w:rsid w:val="00C335C8"/>
    <w:rsid w:val="00C34244"/>
    <w:rsid w:val="00C34260"/>
    <w:rsid w:val="00C343FC"/>
    <w:rsid w:val="00C3523A"/>
    <w:rsid w:val="00C35A13"/>
    <w:rsid w:val="00C35D55"/>
    <w:rsid w:val="00C35F29"/>
    <w:rsid w:val="00C36166"/>
    <w:rsid w:val="00C3651F"/>
    <w:rsid w:val="00C36600"/>
    <w:rsid w:val="00C36633"/>
    <w:rsid w:val="00C36E9D"/>
    <w:rsid w:val="00C374A5"/>
    <w:rsid w:val="00C37713"/>
    <w:rsid w:val="00C37740"/>
    <w:rsid w:val="00C379B1"/>
    <w:rsid w:val="00C37C86"/>
    <w:rsid w:val="00C40771"/>
    <w:rsid w:val="00C40A31"/>
    <w:rsid w:val="00C412B1"/>
    <w:rsid w:val="00C41A86"/>
    <w:rsid w:val="00C424F3"/>
    <w:rsid w:val="00C428CE"/>
    <w:rsid w:val="00C42903"/>
    <w:rsid w:val="00C42E8A"/>
    <w:rsid w:val="00C43082"/>
    <w:rsid w:val="00C435D5"/>
    <w:rsid w:val="00C43770"/>
    <w:rsid w:val="00C437E4"/>
    <w:rsid w:val="00C43A03"/>
    <w:rsid w:val="00C43BA7"/>
    <w:rsid w:val="00C43EB7"/>
    <w:rsid w:val="00C4436C"/>
    <w:rsid w:val="00C4448E"/>
    <w:rsid w:val="00C44725"/>
    <w:rsid w:val="00C44BEB"/>
    <w:rsid w:val="00C45C9F"/>
    <w:rsid w:val="00C45E22"/>
    <w:rsid w:val="00C45F98"/>
    <w:rsid w:val="00C46033"/>
    <w:rsid w:val="00C461B2"/>
    <w:rsid w:val="00C461CA"/>
    <w:rsid w:val="00C465AD"/>
    <w:rsid w:val="00C46675"/>
    <w:rsid w:val="00C46F1E"/>
    <w:rsid w:val="00C47C6F"/>
    <w:rsid w:val="00C47C8E"/>
    <w:rsid w:val="00C47C9E"/>
    <w:rsid w:val="00C47E09"/>
    <w:rsid w:val="00C50229"/>
    <w:rsid w:val="00C50455"/>
    <w:rsid w:val="00C50C95"/>
    <w:rsid w:val="00C50E39"/>
    <w:rsid w:val="00C512A4"/>
    <w:rsid w:val="00C5154C"/>
    <w:rsid w:val="00C517D6"/>
    <w:rsid w:val="00C5201C"/>
    <w:rsid w:val="00C52614"/>
    <w:rsid w:val="00C52FD1"/>
    <w:rsid w:val="00C53157"/>
    <w:rsid w:val="00C531F2"/>
    <w:rsid w:val="00C532A8"/>
    <w:rsid w:val="00C5359B"/>
    <w:rsid w:val="00C53662"/>
    <w:rsid w:val="00C5399A"/>
    <w:rsid w:val="00C53AF7"/>
    <w:rsid w:val="00C53B6C"/>
    <w:rsid w:val="00C53D1C"/>
    <w:rsid w:val="00C53DEB"/>
    <w:rsid w:val="00C53EE0"/>
    <w:rsid w:val="00C5403E"/>
    <w:rsid w:val="00C54137"/>
    <w:rsid w:val="00C541D6"/>
    <w:rsid w:val="00C554B5"/>
    <w:rsid w:val="00C55624"/>
    <w:rsid w:val="00C55EB5"/>
    <w:rsid w:val="00C55FE7"/>
    <w:rsid w:val="00C56EF2"/>
    <w:rsid w:val="00C56F01"/>
    <w:rsid w:val="00C570A6"/>
    <w:rsid w:val="00C5767C"/>
    <w:rsid w:val="00C579F3"/>
    <w:rsid w:val="00C6000A"/>
    <w:rsid w:val="00C600B3"/>
    <w:rsid w:val="00C60623"/>
    <w:rsid w:val="00C60950"/>
    <w:rsid w:val="00C60A0F"/>
    <w:rsid w:val="00C60B04"/>
    <w:rsid w:val="00C60DE1"/>
    <w:rsid w:val="00C60F1C"/>
    <w:rsid w:val="00C61464"/>
    <w:rsid w:val="00C61B27"/>
    <w:rsid w:val="00C62657"/>
    <w:rsid w:val="00C6265D"/>
    <w:rsid w:val="00C628F4"/>
    <w:rsid w:val="00C638DA"/>
    <w:rsid w:val="00C63B68"/>
    <w:rsid w:val="00C63FD0"/>
    <w:rsid w:val="00C64AF4"/>
    <w:rsid w:val="00C6530F"/>
    <w:rsid w:val="00C6556D"/>
    <w:rsid w:val="00C65F9B"/>
    <w:rsid w:val="00C6639F"/>
    <w:rsid w:val="00C6648A"/>
    <w:rsid w:val="00C6695B"/>
    <w:rsid w:val="00C6765E"/>
    <w:rsid w:val="00C67765"/>
    <w:rsid w:val="00C67E8E"/>
    <w:rsid w:val="00C70342"/>
    <w:rsid w:val="00C70943"/>
    <w:rsid w:val="00C70ADF"/>
    <w:rsid w:val="00C70F7A"/>
    <w:rsid w:val="00C71044"/>
    <w:rsid w:val="00C7193F"/>
    <w:rsid w:val="00C71BAE"/>
    <w:rsid w:val="00C72177"/>
    <w:rsid w:val="00C7221C"/>
    <w:rsid w:val="00C722C2"/>
    <w:rsid w:val="00C73FEE"/>
    <w:rsid w:val="00C74543"/>
    <w:rsid w:val="00C7462B"/>
    <w:rsid w:val="00C74B8C"/>
    <w:rsid w:val="00C74E5E"/>
    <w:rsid w:val="00C750AB"/>
    <w:rsid w:val="00C76239"/>
    <w:rsid w:val="00C769A5"/>
    <w:rsid w:val="00C76AB2"/>
    <w:rsid w:val="00C76ACB"/>
    <w:rsid w:val="00C76B37"/>
    <w:rsid w:val="00C77D78"/>
    <w:rsid w:val="00C800DB"/>
    <w:rsid w:val="00C80516"/>
    <w:rsid w:val="00C80B68"/>
    <w:rsid w:val="00C81087"/>
    <w:rsid w:val="00C817C6"/>
    <w:rsid w:val="00C817DB"/>
    <w:rsid w:val="00C81D00"/>
    <w:rsid w:val="00C82061"/>
    <w:rsid w:val="00C8268F"/>
    <w:rsid w:val="00C82782"/>
    <w:rsid w:val="00C8280B"/>
    <w:rsid w:val="00C829D7"/>
    <w:rsid w:val="00C83535"/>
    <w:rsid w:val="00C83777"/>
    <w:rsid w:val="00C837BE"/>
    <w:rsid w:val="00C83AF2"/>
    <w:rsid w:val="00C83D84"/>
    <w:rsid w:val="00C84B98"/>
    <w:rsid w:val="00C84E28"/>
    <w:rsid w:val="00C84EBC"/>
    <w:rsid w:val="00C85246"/>
    <w:rsid w:val="00C85834"/>
    <w:rsid w:val="00C85CA8"/>
    <w:rsid w:val="00C85E32"/>
    <w:rsid w:val="00C85F40"/>
    <w:rsid w:val="00C864A9"/>
    <w:rsid w:val="00C868E6"/>
    <w:rsid w:val="00C87436"/>
    <w:rsid w:val="00C87500"/>
    <w:rsid w:val="00C875DB"/>
    <w:rsid w:val="00C87627"/>
    <w:rsid w:val="00C900CF"/>
    <w:rsid w:val="00C900D3"/>
    <w:rsid w:val="00C909DB"/>
    <w:rsid w:val="00C913D3"/>
    <w:rsid w:val="00C91651"/>
    <w:rsid w:val="00C917A4"/>
    <w:rsid w:val="00C91C78"/>
    <w:rsid w:val="00C91C9C"/>
    <w:rsid w:val="00C922A2"/>
    <w:rsid w:val="00C927B2"/>
    <w:rsid w:val="00C92FE2"/>
    <w:rsid w:val="00C939E3"/>
    <w:rsid w:val="00C93F36"/>
    <w:rsid w:val="00C944D8"/>
    <w:rsid w:val="00C946D8"/>
    <w:rsid w:val="00C94EE0"/>
    <w:rsid w:val="00C95583"/>
    <w:rsid w:val="00C96826"/>
    <w:rsid w:val="00C96DE4"/>
    <w:rsid w:val="00C97101"/>
    <w:rsid w:val="00C97456"/>
    <w:rsid w:val="00C97661"/>
    <w:rsid w:val="00C97741"/>
    <w:rsid w:val="00C97B93"/>
    <w:rsid w:val="00C97CEE"/>
    <w:rsid w:val="00CA01C6"/>
    <w:rsid w:val="00CA02DA"/>
    <w:rsid w:val="00CA067E"/>
    <w:rsid w:val="00CA0845"/>
    <w:rsid w:val="00CA0A8B"/>
    <w:rsid w:val="00CA0B1D"/>
    <w:rsid w:val="00CA0B32"/>
    <w:rsid w:val="00CA0CAC"/>
    <w:rsid w:val="00CA13F2"/>
    <w:rsid w:val="00CA142F"/>
    <w:rsid w:val="00CA1C0C"/>
    <w:rsid w:val="00CA26EA"/>
    <w:rsid w:val="00CA2FB2"/>
    <w:rsid w:val="00CA32D6"/>
    <w:rsid w:val="00CA33A5"/>
    <w:rsid w:val="00CA3C61"/>
    <w:rsid w:val="00CA3D3A"/>
    <w:rsid w:val="00CA415C"/>
    <w:rsid w:val="00CA42D6"/>
    <w:rsid w:val="00CA528A"/>
    <w:rsid w:val="00CA5A6E"/>
    <w:rsid w:val="00CA6256"/>
    <w:rsid w:val="00CA640B"/>
    <w:rsid w:val="00CA6807"/>
    <w:rsid w:val="00CA689E"/>
    <w:rsid w:val="00CA6F61"/>
    <w:rsid w:val="00CA7432"/>
    <w:rsid w:val="00CA763F"/>
    <w:rsid w:val="00CA77FE"/>
    <w:rsid w:val="00CB0324"/>
    <w:rsid w:val="00CB04B5"/>
    <w:rsid w:val="00CB0557"/>
    <w:rsid w:val="00CB0A31"/>
    <w:rsid w:val="00CB0DFA"/>
    <w:rsid w:val="00CB154A"/>
    <w:rsid w:val="00CB15E9"/>
    <w:rsid w:val="00CB1CF5"/>
    <w:rsid w:val="00CB1FE7"/>
    <w:rsid w:val="00CB2650"/>
    <w:rsid w:val="00CB27A6"/>
    <w:rsid w:val="00CB2A81"/>
    <w:rsid w:val="00CB2BD5"/>
    <w:rsid w:val="00CB31D3"/>
    <w:rsid w:val="00CB362D"/>
    <w:rsid w:val="00CB3791"/>
    <w:rsid w:val="00CB3CD5"/>
    <w:rsid w:val="00CB3F8C"/>
    <w:rsid w:val="00CB41C4"/>
    <w:rsid w:val="00CB5760"/>
    <w:rsid w:val="00CB5C55"/>
    <w:rsid w:val="00CB5E71"/>
    <w:rsid w:val="00CB5EC9"/>
    <w:rsid w:val="00CB6118"/>
    <w:rsid w:val="00CB687B"/>
    <w:rsid w:val="00CB6DC4"/>
    <w:rsid w:val="00CB6EC7"/>
    <w:rsid w:val="00CB6EEC"/>
    <w:rsid w:val="00CB7525"/>
    <w:rsid w:val="00CB7EFB"/>
    <w:rsid w:val="00CC00A4"/>
    <w:rsid w:val="00CC0146"/>
    <w:rsid w:val="00CC0327"/>
    <w:rsid w:val="00CC041E"/>
    <w:rsid w:val="00CC092D"/>
    <w:rsid w:val="00CC1082"/>
    <w:rsid w:val="00CC13AC"/>
    <w:rsid w:val="00CC1B6C"/>
    <w:rsid w:val="00CC1D1A"/>
    <w:rsid w:val="00CC1EA0"/>
    <w:rsid w:val="00CC2D60"/>
    <w:rsid w:val="00CC32FD"/>
    <w:rsid w:val="00CC3E60"/>
    <w:rsid w:val="00CC4800"/>
    <w:rsid w:val="00CC4CA4"/>
    <w:rsid w:val="00CC4DEA"/>
    <w:rsid w:val="00CC50E1"/>
    <w:rsid w:val="00CC5956"/>
    <w:rsid w:val="00CC5AAC"/>
    <w:rsid w:val="00CC603F"/>
    <w:rsid w:val="00CC60C9"/>
    <w:rsid w:val="00CC6260"/>
    <w:rsid w:val="00CC6678"/>
    <w:rsid w:val="00CC6793"/>
    <w:rsid w:val="00CC67E0"/>
    <w:rsid w:val="00CC7446"/>
    <w:rsid w:val="00CD0275"/>
    <w:rsid w:val="00CD02A0"/>
    <w:rsid w:val="00CD06DD"/>
    <w:rsid w:val="00CD0B1D"/>
    <w:rsid w:val="00CD0F5B"/>
    <w:rsid w:val="00CD131C"/>
    <w:rsid w:val="00CD1404"/>
    <w:rsid w:val="00CD1541"/>
    <w:rsid w:val="00CD1C47"/>
    <w:rsid w:val="00CD2154"/>
    <w:rsid w:val="00CD2844"/>
    <w:rsid w:val="00CD2A27"/>
    <w:rsid w:val="00CD2A88"/>
    <w:rsid w:val="00CD3002"/>
    <w:rsid w:val="00CD3224"/>
    <w:rsid w:val="00CD323C"/>
    <w:rsid w:val="00CD325F"/>
    <w:rsid w:val="00CD3452"/>
    <w:rsid w:val="00CD365A"/>
    <w:rsid w:val="00CD38D7"/>
    <w:rsid w:val="00CD3BD1"/>
    <w:rsid w:val="00CD3D64"/>
    <w:rsid w:val="00CD4E9C"/>
    <w:rsid w:val="00CD51FD"/>
    <w:rsid w:val="00CD51FF"/>
    <w:rsid w:val="00CD5454"/>
    <w:rsid w:val="00CD5A4F"/>
    <w:rsid w:val="00CD5D29"/>
    <w:rsid w:val="00CD5D7D"/>
    <w:rsid w:val="00CD5E3C"/>
    <w:rsid w:val="00CD5F02"/>
    <w:rsid w:val="00CD65F6"/>
    <w:rsid w:val="00CD66E8"/>
    <w:rsid w:val="00CD6967"/>
    <w:rsid w:val="00CD6E17"/>
    <w:rsid w:val="00CD7139"/>
    <w:rsid w:val="00CD7775"/>
    <w:rsid w:val="00CD7DEB"/>
    <w:rsid w:val="00CE0807"/>
    <w:rsid w:val="00CE0BCA"/>
    <w:rsid w:val="00CE0C03"/>
    <w:rsid w:val="00CE149D"/>
    <w:rsid w:val="00CE22C8"/>
    <w:rsid w:val="00CE2665"/>
    <w:rsid w:val="00CE283A"/>
    <w:rsid w:val="00CE28E3"/>
    <w:rsid w:val="00CE2A8E"/>
    <w:rsid w:val="00CE2B66"/>
    <w:rsid w:val="00CE3D37"/>
    <w:rsid w:val="00CE3F43"/>
    <w:rsid w:val="00CE42CB"/>
    <w:rsid w:val="00CE453D"/>
    <w:rsid w:val="00CE48F5"/>
    <w:rsid w:val="00CE4BF0"/>
    <w:rsid w:val="00CE4E31"/>
    <w:rsid w:val="00CE4E5E"/>
    <w:rsid w:val="00CE5DF1"/>
    <w:rsid w:val="00CE5F24"/>
    <w:rsid w:val="00CE5FEC"/>
    <w:rsid w:val="00CE602E"/>
    <w:rsid w:val="00CE606D"/>
    <w:rsid w:val="00CE62C1"/>
    <w:rsid w:val="00CE685D"/>
    <w:rsid w:val="00CE6B5F"/>
    <w:rsid w:val="00CE6C43"/>
    <w:rsid w:val="00CE6CD4"/>
    <w:rsid w:val="00CE6E93"/>
    <w:rsid w:val="00CE6F8D"/>
    <w:rsid w:val="00CE7739"/>
    <w:rsid w:val="00CE7A71"/>
    <w:rsid w:val="00CE7E19"/>
    <w:rsid w:val="00CE7F3B"/>
    <w:rsid w:val="00CF0352"/>
    <w:rsid w:val="00CF0A51"/>
    <w:rsid w:val="00CF0A7E"/>
    <w:rsid w:val="00CF0C37"/>
    <w:rsid w:val="00CF0FD6"/>
    <w:rsid w:val="00CF146B"/>
    <w:rsid w:val="00CF1506"/>
    <w:rsid w:val="00CF1A2D"/>
    <w:rsid w:val="00CF1B34"/>
    <w:rsid w:val="00CF2008"/>
    <w:rsid w:val="00CF2913"/>
    <w:rsid w:val="00CF38A3"/>
    <w:rsid w:val="00CF3D8D"/>
    <w:rsid w:val="00CF439F"/>
    <w:rsid w:val="00CF5543"/>
    <w:rsid w:val="00CF5B2F"/>
    <w:rsid w:val="00CF5D80"/>
    <w:rsid w:val="00CF62E0"/>
    <w:rsid w:val="00CF6374"/>
    <w:rsid w:val="00CF6745"/>
    <w:rsid w:val="00CF6B4F"/>
    <w:rsid w:val="00CF6DCA"/>
    <w:rsid w:val="00CF7120"/>
    <w:rsid w:val="00CF7216"/>
    <w:rsid w:val="00CF724C"/>
    <w:rsid w:val="00CF7779"/>
    <w:rsid w:val="00CF7851"/>
    <w:rsid w:val="00CF78AA"/>
    <w:rsid w:val="00CF78BD"/>
    <w:rsid w:val="00CF7C34"/>
    <w:rsid w:val="00CF7D5C"/>
    <w:rsid w:val="00CF7F9D"/>
    <w:rsid w:val="00D0010B"/>
    <w:rsid w:val="00D001B4"/>
    <w:rsid w:val="00D003B7"/>
    <w:rsid w:val="00D004F2"/>
    <w:rsid w:val="00D00737"/>
    <w:rsid w:val="00D00E36"/>
    <w:rsid w:val="00D00E89"/>
    <w:rsid w:val="00D01046"/>
    <w:rsid w:val="00D01313"/>
    <w:rsid w:val="00D01437"/>
    <w:rsid w:val="00D0156D"/>
    <w:rsid w:val="00D0184F"/>
    <w:rsid w:val="00D02136"/>
    <w:rsid w:val="00D028E0"/>
    <w:rsid w:val="00D02A24"/>
    <w:rsid w:val="00D02F4F"/>
    <w:rsid w:val="00D03214"/>
    <w:rsid w:val="00D03B77"/>
    <w:rsid w:val="00D03CBB"/>
    <w:rsid w:val="00D03D53"/>
    <w:rsid w:val="00D0419C"/>
    <w:rsid w:val="00D04849"/>
    <w:rsid w:val="00D049AB"/>
    <w:rsid w:val="00D049E6"/>
    <w:rsid w:val="00D04CB3"/>
    <w:rsid w:val="00D04F96"/>
    <w:rsid w:val="00D05081"/>
    <w:rsid w:val="00D05178"/>
    <w:rsid w:val="00D05330"/>
    <w:rsid w:val="00D053A5"/>
    <w:rsid w:val="00D05A94"/>
    <w:rsid w:val="00D05BA5"/>
    <w:rsid w:val="00D05BDF"/>
    <w:rsid w:val="00D06186"/>
    <w:rsid w:val="00D064F6"/>
    <w:rsid w:val="00D065D9"/>
    <w:rsid w:val="00D065F2"/>
    <w:rsid w:val="00D06B48"/>
    <w:rsid w:val="00D06E13"/>
    <w:rsid w:val="00D06F1F"/>
    <w:rsid w:val="00D07591"/>
    <w:rsid w:val="00D0765D"/>
    <w:rsid w:val="00D077A6"/>
    <w:rsid w:val="00D07989"/>
    <w:rsid w:val="00D10070"/>
    <w:rsid w:val="00D101F4"/>
    <w:rsid w:val="00D104DE"/>
    <w:rsid w:val="00D11505"/>
    <w:rsid w:val="00D11BAC"/>
    <w:rsid w:val="00D125D7"/>
    <w:rsid w:val="00D12DB5"/>
    <w:rsid w:val="00D13AA1"/>
    <w:rsid w:val="00D13C7D"/>
    <w:rsid w:val="00D140BC"/>
    <w:rsid w:val="00D1472B"/>
    <w:rsid w:val="00D147B7"/>
    <w:rsid w:val="00D148E6"/>
    <w:rsid w:val="00D14E59"/>
    <w:rsid w:val="00D1502A"/>
    <w:rsid w:val="00D1503E"/>
    <w:rsid w:val="00D152DC"/>
    <w:rsid w:val="00D15D27"/>
    <w:rsid w:val="00D168DE"/>
    <w:rsid w:val="00D16BD6"/>
    <w:rsid w:val="00D16D33"/>
    <w:rsid w:val="00D17BFF"/>
    <w:rsid w:val="00D20031"/>
    <w:rsid w:val="00D20071"/>
    <w:rsid w:val="00D2017E"/>
    <w:rsid w:val="00D21330"/>
    <w:rsid w:val="00D2148A"/>
    <w:rsid w:val="00D219E4"/>
    <w:rsid w:val="00D22566"/>
    <w:rsid w:val="00D227B0"/>
    <w:rsid w:val="00D22A35"/>
    <w:rsid w:val="00D22FCC"/>
    <w:rsid w:val="00D233F9"/>
    <w:rsid w:val="00D234DD"/>
    <w:rsid w:val="00D244BE"/>
    <w:rsid w:val="00D24CC3"/>
    <w:rsid w:val="00D25500"/>
    <w:rsid w:val="00D26692"/>
    <w:rsid w:val="00D266C1"/>
    <w:rsid w:val="00D266F4"/>
    <w:rsid w:val="00D27DC3"/>
    <w:rsid w:val="00D27E7B"/>
    <w:rsid w:val="00D303EE"/>
    <w:rsid w:val="00D30A59"/>
    <w:rsid w:val="00D313B3"/>
    <w:rsid w:val="00D3183A"/>
    <w:rsid w:val="00D31943"/>
    <w:rsid w:val="00D31C39"/>
    <w:rsid w:val="00D31F52"/>
    <w:rsid w:val="00D32130"/>
    <w:rsid w:val="00D3256E"/>
    <w:rsid w:val="00D3292B"/>
    <w:rsid w:val="00D32B91"/>
    <w:rsid w:val="00D32CA2"/>
    <w:rsid w:val="00D33024"/>
    <w:rsid w:val="00D33F02"/>
    <w:rsid w:val="00D3459F"/>
    <w:rsid w:val="00D345BB"/>
    <w:rsid w:val="00D34709"/>
    <w:rsid w:val="00D34D7D"/>
    <w:rsid w:val="00D3585B"/>
    <w:rsid w:val="00D358F7"/>
    <w:rsid w:val="00D35DF3"/>
    <w:rsid w:val="00D35E82"/>
    <w:rsid w:val="00D361C1"/>
    <w:rsid w:val="00D362B8"/>
    <w:rsid w:val="00D36376"/>
    <w:rsid w:val="00D36A0D"/>
    <w:rsid w:val="00D36E67"/>
    <w:rsid w:val="00D3736A"/>
    <w:rsid w:val="00D37460"/>
    <w:rsid w:val="00D379A9"/>
    <w:rsid w:val="00D37AAE"/>
    <w:rsid w:val="00D37EF5"/>
    <w:rsid w:val="00D406D0"/>
    <w:rsid w:val="00D40D5A"/>
    <w:rsid w:val="00D4136D"/>
    <w:rsid w:val="00D4152C"/>
    <w:rsid w:val="00D4155F"/>
    <w:rsid w:val="00D41609"/>
    <w:rsid w:val="00D41840"/>
    <w:rsid w:val="00D419C9"/>
    <w:rsid w:val="00D41F6B"/>
    <w:rsid w:val="00D42002"/>
    <w:rsid w:val="00D422B4"/>
    <w:rsid w:val="00D42411"/>
    <w:rsid w:val="00D424C8"/>
    <w:rsid w:val="00D428B9"/>
    <w:rsid w:val="00D42B5E"/>
    <w:rsid w:val="00D42BBD"/>
    <w:rsid w:val="00D43246"/>
    <w:rsid w:val="00D434CC"/>
    <w:rsid w:val="00D4351B"/>
    <w:rsid w:val="00D437D6"/>
    <w:rsid w:val="00D44EDB"/>
    <w:rsid w:val="00D44EFA"/>
    <w:rsid w:val="00D45131"/>
    <w:rsid w:val="00D45750"/>
    <w:rsid w:val="00D457EA"/>
    <w:rsid w:val="00D4587F"/>
    <w:rsid w:val="00D45C42"/>
    <w:rsid w:val="00D46563"/>
    <w:rsid w:val="00D4696A"/>
    <w:rsid w:val="00D46DFA"/>
    <w:rsid w:val="00D4707D"/>
    <w:rsid w:val="00D472DA"/>
    <w:rsid w:val="00D476DB"/>
    <w:rsid w:val="00D478C1"/>
    <w:rsid w:val="00D501A5"/>
    <w:rsid w:val="00D501D0"/>
    <w:rsid w:val="00D5076D"/>
    <w:rsid w:val="00D5105A"/>
    <w:rsid w:val="00D51EDB"/>
    <w:rsid w:val="00D5221B"/>
    <w:rsid w:val="00D524F1"/>
    <w:rsid w:val="00D52797"/>
    <w:rsid w:val="00D528A2"/>
    <w:rsid w:val="00D52B77"/>
    <w:rsid w:val="00D52E54"/>
    <w:rsid w:val="00D52FD3"/>
    <w:rsid w:val="00D52FF5"/>
    <w:rsid w:val="00D53290"/>
    <w:rsid w:val="00D53E25"/>
    <w:rsid w:val="00D540DF"/>
    <w:rsid w:val="00D54486"/>
    <w:rsid w:val="00D55AC3"/>
    <w:rsid w:val="00D560E7"/>
    <w:rsid w:val="00D569AF"/>
    <w:rsid w:val="00D56DFA"/>
    <w:rsid w:val="00D57305"/>
    <w:rsid w:val="00D57998"/>
    <w:rsid w:val="00D60024"/>
    <w:rsid w:val="00D609E5"/>
    <w:rsid w:val="00D60C92"/>
    <w:rsid w:val="00D60E22"/>
    <w:rsid w:val="00D6105B"/>
    <w:rsid w:val="00D61302"/>
    <w:rsid w:val="00D61A69"/>
    <w:rsid w:val="00D62096"/>
    <w:rsid w:val="00D628EF"/>
    <w:rsid w:val="00D62F4D"/>
    <w:rsid w:val="00D634DB"/>
    <w:rsid w:val="00D63B46"/>
    <w:rsid w:val="00D63F77"/>
    <w:rsid w:val="00D6447A"/>
    <w:rsid w:val="00D64906"/>
    <w:rsid w:val="00D651B8"/>
    <w:rsid w:val="00D652D9"/>
    <w:rsid w:val="00D6541A"/>
    <w:rsid w:val="00D6552E"/>
    <w:rsid w:val="00D65603"/>
    <w:rsid w:val="00D658DA"/>
    <w:rsid w:val="00D65D9C"/>
    <w:rsid w:val="00D67116"/>
    <w:rsid w:val="00D671F4"/>
    <w:rsid w:val="00D6779C"/>
    <w:rsid w:val="00D67A95"/>
    <w:rsid w:val="00D70DDA"/>
    <w:rsid w:val="00D71379"/>
    <w:rsid w:val="00D720AC"/>
    <w:rsid w:val="00D72174"/>
    <w:rsid w:val="00D7298D"/>
    <w:rsid w:val="00D72C86"/>
    <w:rsid w:val="00D72D59"/>
    <w:rsid w:val="00D72DC7"/>
    <w:rsid w:val="00D7397B"/>
    <w:rsid w:val="00D73AD9"/>
    <w:rsid w:val="00D73F11"/>
    <w:rsid w:val="00D74531"/>
    <w:rsid w:val="00D746B7"/>
    <w:rsid w:val="00D74AB2"/>
    <w:rsid w:val="00D755BA"/>
    <w:rsid w:val="00D76A53"/>
    <w:rsid w:val="00D76CF3"/>
    <w:rsid w:val="00D7707B"/>
    <w:rsid w:val="00D77081"/>
    <w:rsid w:val="00D77416"/>
    <w:rsid w:val="00D77547"/>
    <w:rsid w:val="00D777FD"/>
    <w:rsid w:val="00D80416"/>
    <w:rsid w:val="00D806CE"/>
    <w:rsid w:val="00D80877"/>
    <w:rsid w:val="00D809B3"/>
    <w:rsid w:val="00D80A60"/>
    <w:rsid w:val="00D80C25"/>
    <w:rsid w:val="00D80C29"/>
    <w:rsid w:val="00D80DF5"/>
    <w:rsid w:val="00D81446"/>
    <w:rsid w:val="00D81DDB"/>
    <w:rsid w:val="00D824CB"/>
    <w:rsid w:val="00D827A3"/>
    <w:rsid w:val="00D8297D"/>
    <w:rsid w:val="00D82D04"/>
    <w:rsid w:val="00D82D4E"/>
    <w:rsid w:val="00D8316D"/>
    <w:rsid w:val="00D83ADB"/>
    <w:rsid w:val="00D83B51"/>
    <w:rsid w:val="00D83C02"/>
    <w:rsid w:val="00D83C7F"/>
    <w:rsid w:val="00D843C9"/>
    <w:rsid w:val="00D84753"/>
    <w:rsid w:val="00D84C15"/>
    <w:rsid w:val="00D84ECA"/>
    <w:rsid w:val="00D8525E"/>
    <w:rsid w:val="00D85261"/>
    <w:rsid w:val="00D85306"/>
    <w:rsid w:val="00D8570F"/>
    <w:rsid w:val="00D85E18"/>
    <w:rsid w:val="00D86372"/>
    <w:rsid w:val="00D86515"/>
    <w:rsid w:val="00D86953"/>
    <w:rsid w:val="00D86A35"/>
    <w:rsid w:val="00D87332"/>
    <w:rsid w:val="00D87484"/>
    <w:rsid w:val="00D87A7C"/>
    <w:rsid w:val="00D87B7C"/>
    <w:rsid w:val="00D87DB8"/>
    <w:rsid w:val="00D87F87"/>
    <w:rsid w:val="00D9023A"/>
    <w:rsid w:val="00D9041B"/>
    <w:rsid w:val="00D9052D"/>
    <w:rsid w:val="00D90DA7"/>
    <w:rsid w:val="00D90DBB"/>
    <w:rsid w:val="00D90DC4"/>
    <w:rsid w:val="00D90EB4"/>
    <w:rsid w:val="00D9125D"/>
    <w:rsid w:val="00D9141D"/>
    <w:rsid w:val="00D91466"/>
    <w:rsid w:val="00D91CA2"/>
    <w:rsid w:val="00D91F5B"/>
    <w:rsid w:val="00D932B9"/>
    <w:rsid w:val="00D9340C"/>
    <w:rsid w:val="00D93F51"/>
    <w:rsid w:val="00D9463D"/>
    <w:rsid w:val="00D9463F"/>
    <w:rsid w:val="00D946C9"/>
    <w:rsid w:val="00D94CF3"/>
    <w:rsid w:val="00D95433"/>
    <w:rsid w:val="00D95850"/>
    <w:rsid w:val="00D95B24"/>
    <w:rsid w:val="00D95D70"/>
    <w:rsid w:val="00D96104"/>
    <w:rsid w:val="00D9667D"/>
    <w:rsid w:val="00D967A8"/>
    <w:rsid w:val="00D96A66"/>
    <w:rsid w:val="00D96AF7"/>
    <w:rsid w:val="00D96B74"/>
    <w:rsid w:val="00D97179"/>
    <w:rsid w:val="00D9765B"/>
    <w:rsid w:val="00D97D09"/>
    <w:rsid w:val="00DA01FD"/>
    <w:rsid w:val="00DA0259"/>
    <w:rsid w:val="00DA045C"/>
    <w:rsid w:val="00DA058E"/>
    <w:rsid w:val="00DA06D9"/>
    <w:rsid w:val="00DA07F0"/>
    <w:rsid w:val="00DA088B"/>
    <w:rsid w:val="00DA0E65"/>
    <w:rsid w:val="00DA103F"/>
    <w:rsid w:val="00DA10C2"/>
    <w:rsid w:val="00DA1254"/>
    <w:rsid w:val="00DA1605"/>
    <w:rsid w:val="00DA1FEA"/>
    <w:rsid w:val="00DA2320"/>
    <w:rsid w:val="00DA2327"/>
    <w:rsid w:val="00DA23F7"/>
    <w:rsid w:val="00DA23FA"/>
    <w:rsid w:val="00DA2431"/>
    <w:rsid w:val="00DA2AD7"/>
    <w:rsid w:val="00DA2C5D"/>
    <w:rsid w:val="00DA2EDC"/>
    <w:rsid w:val="00DA2FEA"/>
    <w:rsid w:val="00DA3415"/>
    <w:rsid w:val="00DA3548"/>
    <w:rsid w:val="00DA375D"/>
    <w:rsid w:val="00DA399D"/>
    <w:rsid w:val="00DA3E3A"/>
    <w:rsid w:val="00DA4214"/>
    <w:rsid w:val="00DA46BD"/>
    <w:rsid w:val="00DA4B22"/>
    <w:rsid w:val="00DA4C90"/>
    <w:rsid w:val="00DA4FCB"/>
    <w:rsid w:val="00DA512C"/>
    <w:rsid w:val="00DA538F"/>
    <w:rsid w:val="00DA5634"/>
    <w:rsid w:val="00DA5810"/>
    <w:rsid w:val="00DA5987"/>
    <w:rsid w:val="00DA5CAC"/>
    <w:rsid w:val="00DA5D6F"/>
    <w:rsid w:val="00DA605D"/>
    <w:rsid w:val="00DA6444"/>
    <w:rsid w:val="00DA6765"/>
    <w:rsid w:val="00DA6B98"/>
    <w:rsid w:val="00DA6D8C"/>
    <w:rsid w:val="00DA6E7B"/>
    <w:rsid w:val="00DA6EDF"/>
    <w:rsid w:val="00DA7254"/>
    <w:rsid w:val="00DA7321"/>
    <w:rsid w:val="00DA76C0"/>
    <w:rsid w:val="00DA76C7"/>
    <w:rsid w:val="00DA76D8"/>
    <w:rsid w:val="00DA7A12"/>
    <w:rsid w:val="00DB003C"/>
    <w:rsid w:val="00DB0BCF"/>
    <w:rsid w:val="00DB0D13"/>
    <w:rsid w:val="00DB0F54"/>
    <w:rsid w:val="00DB1D86"/>
    <w:rsid w:val="00DB1E91"/>
    <w:rsid w:val="00DB1F39"/>
    <w:rsid w:val="00DB22A3"/>
    <w:rsid w:val="00DB255F"/>
    <w:rsid w:val="00DB25C6"/>
    <w:rsid w:val="00DB2643"/>
    <w:rsid w:val="00DB3BC6"/>
    <w:rsid w:val="00DB3E51"/>
    <w:rsid w:val="00DB4310"/>
    <w:rsid w:val="00DB4374"/>
    <w:rsid w:val="00DB4410"/>
    <w:rsid w:val="00DB4525"/>
    <w:rsid w:val="00DB4982"/>
    <w:rsid w:val="00DB4A66"/>
    <w:rsid w:val="00DB4B91"/>
    <w:rsid w:val="00DB5117"/>
    <w:rsid w:val="00DB51C2"/>
    <w:rsid w:val="00DB525C"/>
    <w:rsid w:val="00DB5E79"/>
    <w:rsid w:val="00DB6031"/>
    <w:rsid w:val="00DB608D"/>
    <w:rsid w:val="00DB64FB"/>
    <w:rsid w:val="00DB6505"/>
    <w:rsid w:val="00DB65F8"/>
    <w:rsid w:val="00DB664A"/>
    <w:rsid w:val="00DB6674"/>
    <w:rsid w:val="00DB6766"/>
    <w:rsid w:val="00DB6B95"/>
    <w:rsid w:val="00DB6E8E"/>
    <w:rsid w:val="00DB6F23"/>
    <w:rsid w:val="00DB719F"/>
    <w:rsid w:val="00DB7463"/>
    <w:rsid w:val="00DB7551"/>
    <w:rsid w:val="00DB7608"/>
    <w:rsid w:val="00DC0874"/>
    <w:rsid w:val="00DC097F"/>
    <w:rsid w:val="00DC1172"/>
    <w:rsid w:val="00DC14AF"/>
    <w:rsid w:val="00DC153B"/>
    <w:rsid w:val="00DC154E"/>
    <w:rsid w:val="00DC1720"/>
    <w:rsid w:val="00DC1AEA"/>
    <w:rsid w:val="00DC3058"/>
    <w:rsid w:val="00DC3633"/>
    <w:rsid w:val="00DC364B"/>
    <w:rsid w:val="00DC3752"/>
    <w:rsid w:val="00DC39F7"/>
    <w:rsid w:val="00DC3CA5"/>
    <w:rsid w:val="00DC4108"/>
    <w:rsid w:val="00DC445B"/>
    <w:rsid w:val="00DC475F"/>
    <w:rsid w:val="00DC4EC7"/>
    <w:rsid w:val="00DC4F64"/>
    <w:rsid w:val="00DC50C5"/>
    <w:rsid w:val="00DC5752"/>
    <w:rsid w:val="00DC64A7"/>
    <w:rsid w:val="00DC66BE"/>
    <w:rsid w:val="00DC6A47"/>
    <w:rsid w:val="00DC6D20"/>
    <w:rsid w:val="00DC6D9F"/>
    <w:rsid w:val="00DC79CF"/>
    <w:rsid w:val="00DD0646"/>
    <w:rsid w:val="00DD0953"/>
    <w:rsid w:val="00DD0A5C"/>
    <w:rsid w:val="00DD118D"/>
    <w:rsid w:val="00DD12B6"/>
    <w:rsid w:val="00DD13EE"/>
    <w:rsid w:val="00DD1A95"/>
    <w:rsid w:val="00DD2708"/>
    <w:rsid w:val="00DD2719"/>
    <w:rsid w:val="00DD2838"/>
    <w:rsid w:val="00DD2A5D"/>
    <w:rsid w:val="00DD2C81"/>
    <w:rsid w:val="00DD2EB9"/>
    <w:rsid w:val="00DD30F9"/>
    <w:rsid w:val="00DD32B5"/>
    <w:rsid w:val="00DD39E0"/>
    <w:rsid w:val="00DD45DB"/>
    <w:rsid w:val="00DD4C17"/>
    <w:rsid w:val="00DD50EB"/>
    <w:rsid w:val="00DD5AB7"/>
    <w:rsid w:val="00DD6015"/>
    <w:rsid w:val="00DD6229"/>
    <w:rsid w:val="00DD6776"/>
    <w:rsid w:val="00DD6FAF"/>
    <w:rsid w:val="00DD7A4F"/>
    <w:rsid w:val="00DD7F3D"/>
    <w:rsid w:val="00DE074D"/>
    <w:rsid w:val="00DE0E97"/>
    <w:rsid w:val="00DE150E"/>
    <w:rsid w:val="00DE1DB4"/>
    <w:rsid w:val="00DE1EAC"/>
    <w:rsid w:val="00DE2157"/>
    <w:rsid w:val="00DE225E"/>
    <w:rsid w:val="00DE2346"/>
    <w:rsid w:val="00DE2496"/>
    <w:rsid w:val="00DE2827"/>
    <w:rsid w:val="00DE2D47"/>
    <w:rsid w:val="00DE2EB7"/>
    <w:rsid w:val="00DE3098"/>
    <w:rsid w:val="00DE342F"/>
    <w:rsid w:val="00DE3594"/>
    <w:rsid w:val="00DE3603"/>
    <w:rsid w:val="00DE3E35"/>
    <w:rsid w:val="00DE43FE"/>
    <w:rsid w:val="00DE4430"/>
    <w:rsid w:val="00DE4B58"/>
    <w:rsid w:val="00DE4C5A"/>
    <w:rsid w:val="00DE5148"/>
    <w:rsid w:val="00DE635D"/>
    <w:rsid w:val="00DE655D"/>
    <w:rsid w:val="00DE6921"/>
    <w:rsid w:val="00DE694E"/>
    <w:rsid w:val="00DE6AA3"/>
    <w:rsid w:val="00DE7083"/>
    <w:rsid w:val="00DE7099"/>
    <w:rsid w:val="00DE74C9"/>
    <w:rsid w:val="00DE7774"/>
    <w:rsid w:val="00DE7BC7"/>
    <w:rsid w:val="00DE7F83"/>
    <w:rsid w:val="00DF0435"/>
    <w:rsid w:val="00DF0564"/>
    <w:rsid w:val="00DF079D"/>
    <w:rsid w:val="00DF0F40"/>
    <w:rsid w:val="00DF0FAA"/>
    <w:rsid w:val="00DF133D"/>
    <w:rsid w:val="00DF16CA"/>
    <w:rsid w:val="00DF1734"/>
    <w:rsid w:val="00DF1AFF"/>
    <w:rsid w:val="00DF2685"/>
    <w:rsid w:val="00DF27AE"/>
    <w:rsid w:val="00DF303E"/>
    <w:rsid w:val="00DF341B"/>
    <w:rsid w:val="00DF3944"/>
    <w:rsid w:val="00DF39E9"/>
    <w:rsid w:val="00DF425B"/>
    <w:rsid w:val="00DF431B"/>
    <w:rsid w:val="00DF44AE"/>
    <w:rsid w:val="00DF4F9C"/>
    <w:rsid w:val="00DF52E7"/>
    <w:rsid w:val="00DF5994"/>
    <w:rsid w:val="00DF5F60"/>
    <w:rsid w:val="00DF6646"/>
    <w:rsid w:val="00DF6757"/>
    <w:rsid w:val="00DF6BB0"/>
    <w:rsid w:val="00DF6BFC"/>
    <w:rsid w:val="00DF74D9"/>
    <w:rsid w:val="00DF7692"/>
    <w:rsid w:val="00DF77AC"/>
    <w:rsid w:val="00E0010F"/>
    <w:rsid w:val="00E002FA"/>
    <w:rsid w:val="00E00B4E"/>
    <w:rsid w:val="00E00C27"/>
    <w:rsid w:val="00E0185E"/>
    <w:rsid w:val="00E01B52"/>
    <w:rsid w:val="00E01D4A"/>
    <w:rsid w:val="00E02466"/>
    <w:rsid w:val="00E02792"/>
    <w:rsid w:val="00E02C60"/>
    <w:rsid w:val="00E034E8"/>
    <w:rsid w:val="00E0360B"/>
    <w:rsid w:val="00E03A96"/>
    <w:rsid w:val="00E03CBE"/>
    <w:rsid w:val="00E04315"/>
    <w:rsid w:val="00E0530A"/>
    <w:rsid w:val="00E05D56"/>
    <w:rsid w:val="00E06100"/>
    <w:rsid w:val="00E066D9"/>
    <w:rsid w:val="00E0670F"/>
    <w:rsid w:val="00E079B8"/>
    <w:rsid w:val="00E07F94"/>
    <w:rsid w:val="00E10273"/>
    <w:rsid w:val="00E105A9"/>
    <w:rsid w:val="00E10686"/>
    <w:rsid w:val="00E117BE"/>
    <w:rsid w:val="00E1187D"/>
    <w:rsid w:val="00E11FB3"/>
    <w:rsid w:val="00E12087"/>
    <w:rsid w:val="00E123D7"/>
    <w:rsid w:val="00E124DC"/>
    <w:rsid w:val="00E1264D"/>
    <w:rsid w:val="00E12656"/>
    <w:rsid w:val="00E1286C"/>
    <w:rsid w:val="00E12C84"/>
    <w:rsid w:val="00E13911"/>
    <w:rsid w:val="00E13AD2"/>
    <w:rsid w:val="00E13C05"/>
    <w:rsid w:val="00E14152"/>
    <w:rsid w:val="00E146D7"/>
    <w:rsid w:val="00E1497E"/>
    <w:rsid w:val="00E15056"/>
    <w:rsid w:val="00E15102"/>
    <w:rsid w:val="00E15617"/>
    <w:rsid w:val="00E15DB1"/>
    <w:rsid w:val="00E1638C"/>
    <w:rsid w:val="00E1656C"/>
    <w:rsid w:val="00E173C5"/>
    <w:rsid w:val="00E17552"/>
    <w:rsid w:val="00E178C6"/>
    <w:rsid w:val="00E2049E"/>
    <w:rsid w:val="00E20B96"/>
    <w:rsid w:val="00E20ED2"/>
    <w:rsid w:val="00E210BB"/>
    <w:rsid w:val="00E21B03"/>
    <w:rsid w:val="00E221AF"/>
    <w:rsid w:val="00E22272"/>
    <w:rsid w:val="00E223DB"/>
    <w:rsid w:val="00E22445"/>
    <w:rsid w:val="00E22448"/>
    <w:rsid w:val="00E22587"/>
    <w:rsid w:val="00E22608"/>
    <w:rsid w:val="00E22CB8"/>
    <w:rsid w:val="00E22D8D"/>
    <w:rsid w:val="00E235B6"/>
    <w:rsid w:val="00E235D1"/>
    <w:rsid w:val="00E23746"/>
    <w:rsid w:val="00E2384C"/>
    <w:rsid w:val="00E23AA1"/>
    <w:rsid w:val="00E2476C"/>
    <w:rsid w:val="00E24CD6"/>
    <w:rsid w:val="00E25723"/>
    <w:rsid w:val="00E258B3"/>
    <w:rsid w:val="00E25B80"/>
    <w:rsid w:val="00E26047"/>
    <w:rsid w:val="00E260A3"/>
    <w:rsid w:val="00E26A3C"/>
    <w:rsid w:val="00E26D15"/>
    <w:rsid w:val="00E26EF8"/>
    <w:rsid w:val="00E276BE"/>
    <w:rsid w:val="00E27A78"/>
    <w:rsid w:val="00E27DDB"/>
    <w:rsid w:val="00E30C27"/>
    <w:rsid w:val="00E312D1"/>
    <w:rsid w:val="00E312DF"/>
    <w:rsid w:val="00E31602"/>
    <w:rsid w:val="00E31702"/>
    <w:rsid w:val="00E31B75"/>
    <w:rsid w:val="00E3242E"/>
    <w:rsid w:val="00E32B3E"/>
    <w:rsid w:val="00E32E6E"/>
    <w:rsid w:val="00E330C9"/>
    <w:rsid w:val="00E3330E"/>
    <w:rsid w:val="00E333CC"/>
    <w:rsid w:val="00E3351F"/>
    <w:rsid w:val="00E33992"/>
    <w:rsid w:val="00E33AA7"/>
    <w:rsid w:val="00E34313"/>
    <w:rsid w:val="00E3440F"/>
    <w:rsid w:val="00E344B7"/>
    <w:rsid w:val="00E351E1"/>
    <w:rsid w:val="00E35B0C"/>
    <w:rsid w:val="00E35C6E"/>
    <w:rsid w:val="00E35E74"/>
    <w:rsid w:val="00E361FF"/>
    <w:rsid w:val="00E369A6"/>
    <w:rsid w:val="00E36B63"/>
    <w:rsid w:val="00E36CD9"/>
    <w:rsid w:val="00E36CDB"/>
    <w:rsid w:val="00E36DA1"/>
    <w:rsid w:val="00E376E8"/>
    <w:rsid w:val="00E406F8"/>
    <w:rsid w:val="00E40914"/>
    <w:rsid w:val="00E40DAE"/>
    <w:rsid w:val="00E40F62"/>
    <w:rsid w:val="00E40F7C"/>
    <w:rsid w:val="00E41231"/>
    <w:rsid w:val="00E41D11"/>
    <w:rsid w:val="00E427D7"/>
    <w:rsid w:val="00E430C8"/>
    <w:rsid w:val="00E43249"/>
    <w:rsid w:val="00E43312"/>
    <w:rsid w:val="00E436A2"/>
    <w:rsid w:val="00E437AD"/>
    <w:rsid w:val="00E4391D"/>
    <w:rsid w:val="00E43CF7"/>
    <w:rsid w:val="00E444A0"/>
    <w:rsid w:val="00E44A41"/>
    <w:rsid w:val="00E452A9"/>
    <w:rsid w:val="00E4544D"/>
    <w:rsid w:val="00E455CF"/>
    <w:rsid w:val="00E458D8"/>
    <w:rsid w:val="00E45E40"/>
    <w:rsid w:val="00E4612A"/>
    <w:rsid w:val="00E4679D"/>
    <w:rsid w:val="00E47252"/>
    <w:rsid w:val="00E4755B"/>
    <w:rsid w:val="00E47FA0"/>
    <w:rsid w:val="00E50309"/>
    <w:rsid w:val="00E5031C"/>
    <w:rsid w:val="00E50364"/>
    <w:rsid w:val="00E509E2"/>
    <w:rsid w:val="00E518A7"/>
    <w:rsid w:val="00E51AA2"/>
    <w:rsid w:val="00E51BC0"/>
    <w:rsid w:val="00E52274"/>
    <w:rsid w:val="00E52379"/>
    <w:rsid w:val="00E523F4"/>
    <w:rsid w:val="00E52551"/>
    <w:rsid w:val="00E52764"/>
    <w:rsid w:val="00E529F5"/>
    <w:rsid w:val="00E5305A"/>
    <w:rsid w:val="00E531FE"/>
    <w:rsid w:val="00E5330A"/>
    <w:rsid w:val="00E5356B"/>
    <w:rsid w:val="00E53B06"/>
    <w:rsid w:val="00E53BF8"/>
    <w:rsid w:val="00E53E00"/>
    <w:rsid w:val="00E54221"/>
    <w:rsid w:val="00E54679"/>
    <w:rsid w:val="00E54C0F"/>
    <w:rsid w:val="00E550F4"/>
    <w:rsid w:val="00E55198"/>
    <w:rsid w:val="00E55450"/>
    <w:rsid w:val="00E55675"/>
    <w:rsid w:val="00E5650A"/>
    <w:rsid w:val="00E566DC"/>
    <w:rsid w:val="00E56BAB"/>
    <w:rsid w:val="00E56C71"/>
    <w:rsid w:val="00E56F0A"/>
    <w:rsid w:val="00E574EC"/>
    <w:rsid w:val="00E57612"/>
    <w:rsid w:val="00E57645"/>
    <w:rsid w:val="00E57857"/>
    <w:rsid w:val="00E57B82"/>
    <w:rsid w:val="00E57C45"/>
    <w:rsid w:val="00E57F9C"/>
    <w:rsid w:val="00E60B91"/>
    <w:rsid w:val="00E61183"/>
    <w:rsid w:val="00E612D8"/>
    <w:rsid w:val="00E615F9"/>
    <w:rsid w:val="00E617E3"/>
    <w:rsid w:val="00E61828"/>
    <w:rsid w:val="00E6193C"/>
    <w:rsid w:val="00E62052"/>
    <w:rsid w:val="00E6228C"/>
    <w:rsid w:val="00E62670"/>
    <w:rsid w:val="00E628B1"/>
    <w:rsid w:val="00E629FE"/>
    <w:rsid w:val="00E62BC2"/>
    <w:rsid w:val="00E63356"/>
    <w:rsid w:val="00E6392D"/>
    <w:rsid w:val="00E63DAA"/>
    <w:rsid w:val="00E641CE"/>
    <w:rsid w:val="00E644FD"/>
    <w:rsid w:val="00E64C20"/>
    <w:rsid w:val="00E650EB"/>
    <w:rsid w:val="00E65A2C"/>
    <w:rsid w:val="00E65A36"/>
    <w:rsid w:val="00E65B44"/>
    <w:rsid w:val="00E662BD"/>
    <w:rsid w:val="00E669F9"/>
    <w:rsid w:val="00E66B18"/>
    <w:rsid w:val="00E679DB"/>
    <w:rsid w:val="00E679FC"/>
    <w:rsid w:val="00E67AA9"/>
    <w:rsid w:val="00E67B87"/>
    <w:rsid w:val="00E70C81"/>
    <w:rsid w:val="00E7109A"/>
    <w:rsid w:val="00E71699"/>
    <w:rsid w:val="00E7195D"/>
    <w:rsid w:val="00E71ED1"/>
    <w:rsid w:val="00E721E0"/>
    <w:rsid w:val="00E7221D"/>
    <w:rsid w:val="00E729E7"/>
    <w:rsid w:val="00E72F1B"/>
    <w:rsid w:val="00E73029"/>
    <w:rsid w:val="00E73115"/>
    <w:rsid w:val="00E734DA"/>
    <w:rsid w:val="00E73E66"/>
    <w:rsid w:val="00E743D9"/>
    <w:rsid w:val="00E74480"/>
    <w:rsid w:val="00E74A51"/>
    <w:rsid w:val="00E74FCC"/>
    <w:rsid w:val="00E75001"/>
    <w:rsid w:val="00E7540C"/>
    <w:rsid w:val="00E75768"/>
    <w:rsid w:val="00E75770"/>
    <w:rsid w:val="00E7615F"/>
    <w:rsid w:val="00E7698C"/>
    <w:rsid w:val="00E76AE0"/>
    <w:rsid w:val="00E76D56"/>
    <w:rsid w:val="00E76E0B"/>
    <w:rsid w:val="00E7744D"/>
    <w:rsid w:val="00E77457"/>
    <w:rsid w:val="00E774F3"/>
    <w:rsid w:val="00E805E2"/>
    <w:rsid w:val="00E80C69"/>
    <w:rsid w:val="00E80F10"/>
    <w:rsid w:val="00E810EE"/>
    <w:rsid w:val="00E81181"/>
    <w:rsid w:val="00E813A2"/>
    <w:rsid w:val="00E81499"/>
    <w:rsid w:val="00E8192B"/>
    <w:rsid w:val="00E81A87"/>
    <w:rsid w:val="00E82312"/>
    <w:rsid w:val="00E8249E"/>
    <w:rsid w:val="00E824EB"/>
    <w:rsid w:val="00E829DC"/>
    <w:rsid w:val="00E83746"/>
    <w:rsid w:val="00E83948"/>
    <w:rsid w:val="00E83C3D"/>
    <w:rsid w:val="00E83CF9"/>
    <w:rsid w:val="00E8465B"/>
    <w:rsid w:val="00E84947"/>
    <w:rsid w:val="00E84A95"/>
    <w:rsid w:val="00E84CD7"/>
    <w:rsid w:val="00E85211"/>
    <w:rsid w:val="00E85748"/>
    <w:rsid w:val="00E86646"/>
    <w:rsid w:val="00E900C4"/>
    <w:rsid w:val="00E9015F"/>
    <w:rsid w:val="00E91355"/>
    <w:rsid w:val="00E91BCD"/>
    <w:rsid w:val="00E920F5"/>
    <w:rsid w:val="00E92494"/>
    <w:rsid w:val="00E927FE"/>
    <w:rsid w:val="00E92922"/>
    <w:rsid w:val="00E92974"/>
    <w:rsid w:val="00E92F98"/>
    <w:rsid w:val="00E92FA2"/>
    <w:rsid w:val="00E932CF"/>
    <w:rsid w:val="00E9331D"/>
    <w:rsid w:val="00E936F6"/>
    <w:rsid w:val="00E93846"/>
    <w:rsid w:val="00E93A34"/>
    <w:rsid w:val="00E9459F"/>
    <w:rsid w:val="00E95322"/>
    <w:rsid w:val="00E95490"/>
    <w:rsid w:val="00E957F6"/>
    <w:rsid w:val="00E95BC9"/>
    <w:rsid w:val="00E95E47"/>
    <w:rsid w:val="00E95ED0"/>
    <w:rsid w:val="00E95ED8"/>
    <w:rsid w:val="00E96531"/>
    <w:rsid w:val="00E968C1"/>
    <w:rsid w:val="00E971F6"/>
    <w:rsid w:val="00E978BF"/>
    <w:rsid w:val="00E97E86"/>
    <w:rsid w:val="00E97F05"/>
    <w:rsid w:val="00EA0424"/>
    <w:rsid w:val="00EA077F"/>
    <w:rsid w:val="00EA0CAF"/>
    <w:rsid w:val="00EA0E54"/>
    <w:rsid w:val="00EA0EEB"/>
    <w:rsid w:val="00EA1050"/>
    <w:rsid w:val="00EA120D"/>
    <w:rsid w:val="00EA133D"/>
    <w:rsid w:val="00EA1769"/>
    <w:rsid w:val="00EA18E9"/>
    <w:rsid w:val="00EA1B3D"/>
    <w:rsid w:val="00EA1FE3"/>
    <w:rsid w:val="00EA2A25"/>
    <w:rsid w:val="00EA2E78"/>
    <w:rsid w:val="00EA3671"/>
    <w:rsid w:val="00EA37F0"/>
    <w:rsid w:val="00EA3912"/>
    <w:rsid w:val="00EA39E6"/>
    <w:rsid w:val="00EA4341"/>
    <w:rsid w:val="00EA4673"/>
    <w:rsid w:val="00EA4936"/>
    <w:rsid w:val="00EA5A6D"/>
    <w:rsid w:val="00EA5E42"/>
    <w:rsid w:val="00EA5F63"/>
    <w:rsid w:val="00EA68C7"/>
    <w:rsid w:val="00EA6915"/>
    <w:rsid w:val="00EA725C"/>
    <w:rsid w:val="00EA743A"/>
    <w:rsid w:val="00EA750D"/>
    <w:rsid w:val="00EA757B"/>
    <w:rsid w:val="00EA76D5"/>
    <w:rsid w:val="00EA788C"/>
    <w:rsid w:val="00EA79BB"/>
    <w:rsid w:val="00EA7EAF"/>
    <w:rsid w:val="00EB00AD"/>
    <w:rsid w:val="00EB0D98"/>
    <w:rsid w:val="00EB0DEA"/>
    <w:rsid w:val="00EB112F"/>
    <w:rsid w:val="00EB13DF"/>
    <w:rsid w:val="00EB1787"/>
    <w:rsid w:val="00EB1F63"/>
    <w:rsid w:val="00EB1FBF"/>
    <w:rsid w:val="00EB2093"/>
    <w:rsid w:val="00EB2600"/>
    <w:rsid w:val="00EB27BC"/>
    <w:rsid w:val="00EB2F7E"/>
    <w:rsid w:val="00EB2FA5"/>
    <w:rsid w:val="00EB43F0"/>
    <w:rsid w:val="00EB4400"/>
    <w:rsid w:val="00EB48C0"/>
    <w:rsid w:val="00EB48CA"/>
    <w:rsid w:val="00EB4C71"/>
    <w:rsid w:val="00EB5684"/>
    <w:rsid w:val="00EB57D4"/>
    <w:rsid w:val="00EB5AF0"/>
    <w:rsid w:val="00EB5AF5"/>
    <w:rsid w:val="00EB637A"/>
    <w:rsid w:val="00EB6A32"/>
    <w:rsid w:val="00EB6A74"/>
    <w:rsid w:val="00EB6E80"/>
    <w:rsid w:val="00EB7332"/>
    <w:rsid w:val="00EB7343"/>
    <w:rsid w:val="00EB794A"/>
    <w:rsid w:val="00EB7A53"/>
    <w:rsid w:val="00EB7B60"/>
    <w:rsid w:val="00EC0AA4"/>
    <w:rsid w:val="00EC0CE9"/>
    <w:rsid w:val="00EC0D2E"/>
    <w:rsid w:val="00EC0E26"/>
    <w:rsid w:val="00EC10DF"/>
    <w:rsid w:val="00EC1E16"/>
    <w:rsid w:val="00EC202A"/>
    <w:rsid w:val="00EC21DA"/>
    <w:rsid w:val="00EC23D5"/>
    <w:rsid w:val="00EC2975"/>
    <w:rsid w:val="00EC2A94"/>
    <w:rsid w:val="00EC2C66"/>
    <w:rsid w:val="00EC3067"/>
    <w:rsid w:val="00EC32D9"/>
    <w:rsid w:val="00EC33A0"/>
    <w:rsid w:val="00EC3611"/>
    <w:rsid w:val="00EC376A"/>
    <w:rsid w:val="00EC378C"/>
    <w:rsid w:val="00EC3ACB"/>
    <w:rsid w:val="00EC3AE4"/>
    <w:rsid w:val="00EC3B02"/>
    <w:rsid w:val="00EC44B2"/>
    <w:rsid w:val="00EC4836"/>
    <w:rsid w:val="00EC49A3"/>
    <w:rsid w:val="00EC4D21"/>
    <w:rsid w:val="00EC4F2F"/>
    <w:rsid w:val="00EC5088"/>
    <w:rsid w:val="00EC6E1F"/>
    <w:rsid w:val="00EC7499"/>
    <w:rsid w:val="00EC790C"/>
    <w:rsid w:val="00EC7EBE"/>
    <w:rsid w:val="00ED0600"/>
    <w:rsid w:val="00ED0D3B"/>
    <w:rsid w:val="00ED0DC2"/>
    <w:rsid w:val="00ED12D2"/>
    <w:rsid w:val="00ED1AE4"/>
    <w:rsid w:val="00ED1B7C"/>
    <w:rsid w:val="00ED207A"/>
    <w:rsid w:val="00ED2918"/>
    <w:rsid w:val="00ED2938"/>
    <w:rsid w:val="00ED2FB2"/>
    <w:rsid w:val="00ED361F"/>
    <w:rsid w:val="00ED37AE"/>
    <w:rsid w:val="00ED423C"/>
    <w:rsid w:val="00ED4532"/>
    <w:rsid w:val="00ED45E0"/>
    <w:rsid w:val="00ED4719"/>
    <w:rsid w:val="00ED4744"/>
    <w:rsid w:val="00ED4F5F"/>
    <w:rsid w:val="00ED51BA"/>
    <w:rsid w:val="00ED5788"/>
    <w:rsid w:val="00ED5E38"/>
    <w:rsid w:val="00ED62F9"/>
    <w:rsid w:val="00ED6573"/>
    <w:rsid w:val="00ED6AD6"/>
    <w:rsid w:val="00ED6BA1"/>
    <w:rsid w:val="00ED73E3"/>
    <w:rsid w:val="00ED7504"/>
    <w:rsid w:val="00ED7C9C"/>
    <w:rsid w:val="00EE06FE"/>
    <w:rsid w:val="00EE0FD3"/>
    <w:rsid w:val="00EE0FE2"/>
    <w:rsid w:val="00EE15A9"/>
    <w:rsid w:val="00EE19EC"/>
    <w:rsid w:val="00EE2195"/>
    <w:rsid w:val="00EE2349"/>
    <w:rsid w:val="00EE2CF5"/>
    <w:rsid w:val="00EE2CF9"/>
    <w:rsid w:val="00EE2F4C"/>
    <w:rsid w:val="00EE3042"/>
    <w:rsid w:val="00EE3267"/>
    <w:rsid w:val="00EE3291"/>
    <w:rsid w:val="00EE36FF"/>
    <w:rsid w:val="00EE38C9"/>
    <w:rsid w:val="00EE3F37"/>
    <w:rsid w:val="00EE4490"/>
    <w:rsid w:val="00EE4540"/>
    <w:rsid w:val="00EE4744"/>
    <w:rsid w:val="00EE4B7D"/>
    <w:rsid w:val="00EE4C90"/>
    <w:rsid w:val="00EE4EEF"/>
    <w:rsid w:val="00EE5619"/>
    <w:rsid w:val="00EE5A3B"/>
    <w:rsid w:val="00EE5B00"/>
    <w:rsid w:val="00EE6141"/>
    <w:rsid w:val="00EE661E"/>
    <w:rsid w:val="00EE66FD"/>
    <w:rsid w:val="00EE6832"/>
    <w:rsid w:val="00EE6D8A"/>
    <w:rsid w:val="00EE6EC7"/>
    <w:rsid w:val="00EE72BB"/>
    <w:rsid w:val="00EE75B6"/>
    <w:rsid w:val="00EE7A28"/>
    <w:rsid w:val="00EF026D"/>
    <w:rsid w:val="00EF0604"/>
    <w:rsid w:val="00EF0732"/>
    <w:rsid w:val="00EF08D1"/>
    <w:rsid w:val="00EF0A1E"/>
    <w:rsid w:val="00EF0AB1"/>
    <w:rsid w:val="00EF0ADA"/>
    <w:rsid w:val="00EF0B3D"/>
    <w:rsid w:val="00EF0CC9"/>
    <w:rsid w:val="00EF1755"/>
    <w:rsid w:val="00EF186F"/>
    <w:rsid w:val="00EF18A8"/>
    <w:rsid w:val="00EF1977"/>
    <w:rsid w:val="00EF1E66"/>
    <w:rsid w:val="00EF2216"/>
    <w:rsid w:val="00EF292F"/>
    <w:rsid w:val="00EF295D"/>
    <w:rsid w:val="00EF29CC"/>
    <w:rsid w:val="00EF3D58"/>
    <w:rsid w:val="00EF4802"/>
    <w:rsid w:val="00EF4C7E"/>
    <w:rsid w:val="00EF5F7F"/>
    <w:rsid w:val="00EF6150"/>
    <w:rsid w:val="00EF67D1"/>
    <w:rsid w:val="00EF6D08"/>
    <w:rsid w:val="00EF7063"/>
    <w:rsid w:val="00EF7084"/>
    <w:rsid w:val="00EF7CCC"/>
    <w:rsid w:val="00EF7DF6"/>
    <w:rsid w:val="00F007ED"/>
    <w:rsid w:val="00F0082C"/>
    <w:rsid w:val="00F008CF"/>
    <w:rsid w:val="00F00C3F"/>
    <w:rsid w:val="00F014AC"/>
    <w:rsid w:val="00F017B9"/>
    <w:rsid w:val="00F025B5"/>
    <w:rsid w:val="00F02B74"/>
    <w:rsid w:val="00F02E47"/>
    <w:rsid w:val="00F03426"/>
    <w:rsid w:val="00F03794"/>
    <w:rsid w:val="00F03B39"/>
    <w:rsid w:val="00F03DB6"/>
    <w:rsid w:val="00F03EE4"/>
    <w:rsid w:val="00F03F4F"/>
    <w:rsid w:val="00F04052"/>
    <w:rsid w:val="00F04808"/>
    <w:rsid w:val="00F04FED"/>
    <w:rsid w:val="00F05C0D"/>
    <w:rsid w:val="00F06510"/>
    <w:rsid w:val="00F06673"/>
    <w:rsid w:val="00F06961"/>
    <w:rsid w:val="00F07060"/>
    <w:rsid w:val="00F07338"/>
    <w:rsid w:val="00F07682"/>
    <w:rsid w:val="00F0792A"/>
    <w:rsid w:val="00F07B83"/>
    <w:rsid w:val="00F1066F"/>
    <w:rsid w:val="00F10CC4"/>
    <w:rsid w:val="00F10E8B"/>
    <w:rsid w:val="00F120FD"/>
    <w:rsid w:val="00F1231A"/>
    <w:rsid w:val="00F124E3"/>
    <w:rsid w:val="00F134EF"/>
    <w:rsid w:val="00F1373F"/>
    <w:rsid w:val="00F140A9"/>
    <w:rsid w:val="00F1415F"/>
    <w:rsid w:val="00F14201"/>
    <w:rsid w:val="00F143DC"/>
    <w:rsid w:val="00F144E2"/>
    <w:rsid w:val="00F14A4F"/>
    <w:rsid w:val="00F14B20"/>
    <w:rsid w:val="00F1502D"/>
    <w:rsid w:val="00F1508C"/>
    <w:rsid w:val="00F15417"/>
    <w:rsid w:val="00F155F6"/>
    <w:rsid w:val="00F1578E"/>
    <w:rsid w:val="00F159C1"/>
    <w:rsid w:val="00F15DA9"/>
    <w:rsid w:val="00F160EB"/>
    <w:rsid w:val="00F16123"/>
    <w:rsid w:val="00F16A7E"/>
    <w:rsid w:val="00F16C5F"/>
    <w:rsid w:val="00F1712B"/>
    <w:rsid w:val="00F17494"/>
    <w:rsid w:val="00F1749F"/>
    <w:rsid w:val="00F175DF"/>
    <w:rsid w:val="00F1780D"/>
    <w:rsid w:val="00F17AAD"/>
    <w:rsid w:val="00F20104"/>
    <w:rsid w:val="00F20763"/>
    <w:rsid w:val="00F208C7"/>
    <w:rsid w:val="00F21D44"/>
    <w:rsid w:val="00F21F94"/>
    <w:rsid w:val="00F22513"/>
    <w:rsid w:val="00F227AE"/>
    <w:rsid w:val="00F227C8"/>
    <w:rsid w:val="00F23033"/>
    <w:rsid w:val="00F2321A"/>
    <w:rsid w:val="00F23672"/>
    <w:rsid w:val="00F23CB7"/>
    <w:rsid w:val="00F240D8"/>
    <w:rsid w:val="00F24CF1"/>
    <w:rsid w:val="00F255FE"/>
    <w:rsid w:val="00F257B5"/>
    <w:rsid w:val="00F25948"/>
    <w:rsid w:val="00F25BA4"/>
    <w:rsid w:val="00F25DBE"/>
    <w:rsid w:val="00F265DC"/>
    <w:rsid w:val="00F26604"/>
    <w:rsid w:val="00F266FD"/>
    <w:rsid w:val="00F26DEE"/>
    <w:rsid w:val="00F2720E"/>
    <w:rsid w:val="00F27609"/>
    <w:rsid w:val="00F27642"/>
    <w:rsid w:val="00F2776D"/>
    <w:rsid w:val="00F302DF"/>
    <w:rsid w:val="00F30593"/>
    <w:rsid w:val="00F309C7"/>
    <w:rsid w:val="00F30B6D"/>
    <w:rsid w:val="00F30CBE"/>
    <w:rsid w:val="00F30F8A"/>
    <w:rsid w:val="00F31827"/>
    <w:rsid w:val="00F33428"/>
    <w:rsid w:val="00F3387F"/>
    <w:rsid w:val="00F33F28"/>
    <w:rsid w:val="00F346E6"/>
    <w:rsid w:val="00F348D2"/>
    <w:rsid w:val="00F34F53"/>
    <w:rsid w:val="00F355A5"/>
    <w:rsid w:val="00F3584B"/>
    <w:rsid w:val="00F35F53"/>
    <w:rsid w:val="00F36126"/>
    <w:rsid w:val="00F36637"/>
    <w:rsid w:val="00F36774"/>
    <w:rsid w:val="00F36B20"/>
    <w:rsid w:val="00F36F42"/>
    <w:rsid w:val="00F3738D"/>
    <w:rsid w:val="00F3744C"/>
    <w:rsid w:val="00F376F8"/>
    <w:rsid w:val="00F40114"/>
    <w:rsid w:val="00F40731"/>
    <w:rsid w:val="00F40864"/>
    <w:rsid w:val="00F40A8B"/>
    <w:rsid w:val="00F41013"/>
    <w:rsid w:val="00F4169A"/>
    <w:rsid w:val="00F42546"/>
    <w:rsid w:val="00F42622"/>
    <w:rsid w:val="00F42682"/>
    <w:rsid w:val="00F426BE"/>
    <w:rsid w:val="00F42C9E"/>
    <w:rsid w:val="00F44345"/>
    <w:rsid w:val="00F44895"/>
    <w:rsid w:val="00F44A97"/>
    <w:rsid w:val="00F44C16"/>
    <w:rsid w:val="00F458C4"/>
    <w:rsid w:val="00F46A43"/>
    <w:rsid w:val="00F47536"/>
    <w:rsid w:val="00F478CC"/>
    <w:rsid w:val="00F47D09"/>
    <w:rsid w:val="00F502F5"/>
    <w:rsid w:val="00F503E5"/>
    <w:rsid w:val="00F5051F"/>
    <w:rsid w:val="00F50585"/>
    <w:rsid w:val="00F506DF"/>
    <w:rsid w:val="00F50791"/>
    <w:rsid w:val="00F509A6"/>
    <w:rsid w:val="00F50D1E"/>
    <w:rsid w:val="00F50F1E"/>
    <w:rsid w:val="00F51257"/>
    <w:rsid w:val="00F516E3"/>
    <w:rsid w:val="00F534CD"/>
    <w:rsid w:val="00F53F18"/>
    <w:rsid w:val="00F53FF0"/>
    <w:rsid w:val="00F541C9"/>
    <w:rsid w:val="00F54580"/>
    <w:rsid w:val="00F547C1"/>
    <w:rsid w:val="00F54832"/>
    <w:rsid w:val="00F5491F"/>
    <w:rsid w:val="00F54B93"/>
    <w:rsid w:val="00F54F72"/>
    <w:rsid w:val="00F54FB0"/>
    <w:rsid w:val="00F554C9"/>
    <w:rsid w:val="00F55866"/>
    <w:rsid w:val="00F55B7B"/>
    <w:rsid w:val="00F5612B"/>
    <w:rsid w:val="00F5623B"/>
    <w:rsid w:val="00F56CF5"/>
    <w:rsid w:val="00F56D15"/>
    <w:rsid w:val="00F57132"/>
    <w:rsid w:val="00F57885"/>
    <w:rsid w:val="00F57B92"/>
    <w:rsid w:val="00F57BDE"/>
    <w:rsid w:val="00F57CAE"/>
    <w:rsid w:val="00F57F44"/>
    <w:rsid w:val="00F600F4"/>
    <w:rsid w:val="00F6032F"/>
    <w:rsid w:val="00F603A3"/>
    <w:rsid w:val="00F6128E"/>
    <w:rsid w:val="00F61CB9"/>
    <w:rsid w:val="00F62017"/>
    <w:rsid w:val="00F62368"/>
    <w:rsid w:val="00F62950"/>
    <w:rsid w:val="00F62FF9"/>
    <w:rsid w:val="00F6383B"/>
    <w:rsid w:val="00F64189"/>
    <w:rsid w:val="00F64D48"/>
    <w:rsid w:val="00F65C19"/>
    <w:rsid w:val="00F66130"/>
    <w:rsid w:val="00F66144"/>
    <w:rsid w:val="00F66233"/>
    <w:rsid w:val="00F665E0"/>
    <w:rsid w:val="00F6661A"/>
    <w:rsid w:val="00F6713F"/>
    <w:rsid w:val="00F6760B"/>
    <w:rsid w:val="00F677A1"/>
    <w:rsid w:val="00F70A8E"/>
    <w:rsid w:val="00F70ABE"/>
    <w:rsid w:val="00F70B96"/>
    <w:rsid w:val="00F716A6"/>
    <w:rsid w:val="00F71942"/>
    <w:rsid w:val="00F71B91"/>
    <w:rsid w:val="00F71D07"/>
    <w:rsid w:val="00F72079"/>
    <w:rsid w:val="00F7222C"/>
    <w:rsid w:val="00F723DD"/>
    <w:rsid w:val="00F72886"/>
    <w:rsid w:val="00F72EA0"/>
    <w:rsid w:val="00F72EF1"/>
    <w:rsid w:val="00F73076"/>
    <w:rsid w:val="00F731C2"/>
    <w:rsid w:val="00F73275"/>
    <w:rsid w:val="00F7348D"/>
    <w:rsid w:val="00F734A9"/>
    <w:rsid w:val="00F73637"/>
    <w:rsid w:val="00F73A0E"/>
    <w:rsid w:val="00F740DD"/>
    <w:rsid w:val="00F7416E"/>
    <w:rsid w:val="00F74B51"/>
    <w:rsid w:val="00F74FF9"/>
    <w:rsid w:val="00F74FFC"/>
    <w:rsid w:val="00F75352"/>
    <w:rsid w:val="00F75A94"/>
    <w:rsid w:val="00F76480"/>
    <w:rsid w:val="00F77522"/>
    <w:rsid w:val="00F7795B"/>
    <w:rsid w:val="00F77B97"/>
    <w:rsid w:val="00F8087C"/>
    <w:rsid w:val="00F81362"/>
    <w:rsid w:val="00F81F82"/>
    <w:rsid w:val="00F82199"/>
    <w:rsid w:val="00F832DC"/>
    <w:rsid w:val="00F83364"/>
    <w:rsid w:val="00F83846"/>
    <w:rsid w:val="00F839A8"/>
    <w:rsid w:val="00F83D74"/>
    <w:rsid w:val="00F84275"/>
    <w:rsid w:val="00F8444F"/>
    <w:rsid w:val="00F84D2E"/>
    <w:rsid w:val="00F853BB"/>
    <w:rsid w:val="00F854EE"/>
    <w:rsid w:val="00F856EC"/>
    <w:rsid w:val="00F858D2"/>
    <w:rsid w:val="00F859B9"/>
    <w:rsid w:val="00F859CB"/>
    <w:rsid w:val="00F85A5D"/>
    <w:rsid w:val="00F85F04"/>
    <w:rsid w:val="00F860D2"/>
    <w:rsid w:val="00F861AF"/>
    <w:rsid w:val="00F86A68"/>
    <w:rsid w:val="00F86D44"/>
    <w:rsid w:val="00F870D7"/>
    <w:rsid w:val="00F87316"/>
    <w:rsid w:val="00F874B9"/>
    <w:rsid w:val="00F8762F"/>
    <w:rsid w:val="00F9070C"/>
    <w:rsid w:val="00F9083B"/>
    <w:rsid w:val="00F910BF"/>
    <w:rsid w:val="00F91353"/>
    <w:rsid w:val="00F91532"/>
    <w:rsid w:val="00F91A02"/>
    <w:rsid w:val="00F91E68"/>
    <w:rsid w:val="00F91FF8"/>
    <w:rsid w:val="00F9244A"/>
    <w:rsid w:val="00F92BCA"/>
    <w:rsid w:val="00F9327F"/>
    <w:rsid w:val="00F93412"/>
    <w:rsid w:val="00F93B1F"/>
    <w:rsid w:val="00F944F5"/>
    <w:rsid w:val="00F947F2"/>
    <w:rsid w:val="00F9490B"/>
    <w:rsid w:val="00F949BA"/>
    <w:rsid w:val="00F94D3A"/>
    <w:rsid w:val="00F94FAF"/>
    <w:rsid w:val="00F96007"/>
    <w:rsid w:val="00F963D2"/>
    <w:rsid w:val="00F965B9"/>
    <w:rsid w:val="00F9672A"/>
    <w:rsid w:val="00F9684A"/>
    <w:rsid w:val="00F97028"/>
    <w:rsid w:val="00F970C5"/>
    <w:rsid w:val="00F97A69"/>
    <w:rsid w:val="00FA05B4"/>
    <w:rsid w:val="00FA07AE"/>
    <w:rsid w:val="00FA0825"/>
    <w:rsid w:val="00FA08AD"/>
    <w:rsid w:val="00FA09B9"/>
    <w:rsid w:val="00FA09FD"/>
    <w:rsid w:val="00FA0D42"/>
    <w:rsid w:val="00FA16AA"/>
    <w:rsid w:val="00FA1900"/>
    <w:rsid w:val="00FA19C8"/>
    <w:rsid w:val="00FA1C25"/>
    <w:rsid w:val="00FA1CB8"/>
    <w:rsid w:val="00FA2097"/>
    <w:rsid w:val="00FA21CB"/>
    <w:rsid w:val="00FA2840"/>
    <w:rsid w:val="00FA2F27"/>
    <w:rsid w:val="00FA2F70"/>
    <w:rsid w:val="00FA30D8"/>
    <w:rsid w:val="00FA3173"/>
    <w:rsid w:val="00FA3277"/>
    <w:rsid w:val="00FA33E7"/>
    <w:rsid w:val="00FA3FCC"/>
    <w:rsid w:val="00FA4150"/>
    <w:rsid w:val="00FA4250"/>
    <w:rsid w:val="00FA4308"/>
    <w:rsid w:val="00FA4359"/>
    <w:rsid w:val="00FA5372"/>
    <w:rsid w:val="00FA5766"/>
    <w:rsid w:val="00FA59A5"/>
    <w:rsid w:val="00FA5BA4"/>
    <w:rsid w:val="00FA5D1D"/>
    <w:rsid w:val="00FA6103"/>
    <w:rsid w:val="00FA69D2"/>
    <w:rsid w:val="00FA7D7D"/>
    <w:rsid w:val="00FB01C2"/>
    <w:rsid w:val="00FB03E7"/>
    <w:rsid w:val="00FB0609"/>
    <w:rsid w:val="00FB0A7C"/>
    <w:rsid w:val="00FB0BA9"/>
    <w:rsid w:val="00FB3103"/>
    <w:rsid w:val="00FB34A7"/>
    <w:rsid w:val="00FB359A"/>
    <w:rsid w:val="00FB3737"/>
    <w:rsid w:val="00FB3ABF"/>
    <w:rsid w:val="00FB3E46"/>
    <w:rsid w:val="00FB4CCE"/>
    <w:rsid w:val="00FB4D15"/>
    <w:rsid w:val="00FB4E35"/>
    <w:rsid w:val="00FB515F"/>
    <w:rsid w:val="00FB5277"/>
    <w:rsid w:val="00FB54D4"/>
    <w:rsid w:val="00FB5EAE"/>
    <w:rsid w:val="00FB620D"/>
    <w:rsid w:val="00FB6606"/>
    <w:rsid w:val="00FB6A07"/>
    <w:rsid w:val="00FB6C8C"/>
    <w:rsid w:val="00FB6F67"/>
    <w:rsid w:val="00FB6F94"/>
    <w:rsid w:val="00FB71C9"/>
    <w:rsid w:val="00FB762E"/>
    <w:rsid w:val="00FB7AE0"/>
    <w:rsid w:val="00FC0AD7"/>
    <w:rsid w:val="00FC0F99"/>
    <w:rsid w:val="00FC10DE"/>
    <w:rsid w:val="00FC1373"/>
    <w:rsid w:val="00FC1B53"/>
    <w:rsid w:val="00FC1EFE"/>
    <w:rsid w:val="00FC1F71"/>
    <w:rsid w:val="00FC25C1"/>
    <w:rsid w:val="00FC27DB"/>
    <w:rsid w:val="00FC2B74"/>
    <w:rsid w:val="00FC2D5F"/>
    <w:rsid w:val="00FC3847"/>
    <w:rsid w:val="00FC3EC4"/>
    <w:rsid w:val="00FC459D"/>
    <w:rsid w:val="00FC47F3"/>
    <w:rsid w:val="00FC4F23"/>
    <w:rsid w:val="00FC5603"/>
    <w:rsid w:val="00FC589C"/>
    <w:rsid w:val="00FC5A52"/>
    <w:rsid w:val="00FC5BB3"/>
    <w:rsid w:val="00FC63F6"/>
    <w:rsid w:val="00FC7164"/>
    <w:rsid w:val="00FC7171"/>
    <w:rsid w:val="00FC7210"/>
    <w:rsid w:val="00FC72F7"/>
    <w:rsid w:val="00FD02F6"/>
    <w:rsid w:val="00FD04CB"/>
    <w:rsid w:val="00FD06D9"/>
    <w:rsid w:val="00FD0B28"/>
    <w:rsid w:val="00FD17BA"/>
    <w:rsid w:val="00FD1C6F"/>
    <w:rsid w:val="00FD2066"/>
    <w:rsid w:val="00FD2076"/>
    <w:rsid w:val="00FD22FC"/>
    <w:rsid w:val="00FD26F9"/>
    <w:rsid w:val="00FD2A62"/>
    <w:rsid w:val="00FD2C9D"/>
    <w:rsid w:val="00FD2E54"/>
    <w:rsid w:val="00FD2F74"/>
    <w:rsid w:val="00FD393A"/>
    <w:rsid w:val="00FD3B94"/>
    <w:rsid w:val="00FD3B96"/>
    <w:rsid w:val="00FD40DD"/>
    <w:rsid w:val="00FD436C"/>
    <w:rsid w:val="00FD43B3"/>
    <w:rsid w:val="00FD49F3"/>
    <w:rsid w:val="00FD4CB4"/>
    <w:rsid w:val="00FD4DC6"/>
    <w:rsid w:val="00FD518C"/>
    <w:rsid w:val="00FD5A15"/>
    <w:rsid w:val="00FD5ACC"/>
    <w:rsid w:val="00FD5E7E"/>
    <w:rsid w:val="00FD604D"/>
    <w:rsid w:val="00FD606E"/>
    <w:rsid w:val="00FD6295"/>
    <w:rsid w:val="00FD6A94"/>
    <w:rsid w:val="00FD6B73"/>
    <w:rsid w:val="00FD70B7"/>
    <w:rsid w:val="00FD7152"/>
    <w:rsid w:val="00FD77FE"/>
    <w:rsid w:val="00FD7D57"/>
    <w:rsid w:val="00FD7E6B"/>
    <w:rsid w:val="00FD7F6F"/>
    <w:rsid w:val="00FE0293"/>
    <w:rsid w:val="00FE02E5"/>
    <w:rsid w:val="00FE0D78"/>
    <w:rsid w:val="00FE105B"/>
    <w:rsid w:val="00FE10D1"/>
    <w:rsid w:val="00FE1118"/>
    <w:rsid w:val="00FE153D"/>
    <w:rsid w:val="00FE198C"/>
    <w:rsid w:val="00FE1B7E"/>
    <w:rsid w:val="00FE2034"/>
    <w:rsid w:val="00FE2075"/>
    <w:rsid w:val="00FE2882"/>
    <w:rsid w:val="00FE2E2F"/>
    <w:rsid w:val="00FE379C"/>
    <w:rsid w:val="00FE40E5"/>
    <w:rsid w:val="00FE4739"/>
    <w:rsid w:val="00FE47C0"/>
    <w:rsid w:val="00FE4AA5"/>
    <w:rsid w:val="00FE4D62"/>
    <w:rsid w:val="00FE4DB2"/>
    <w:rsid w:val="00FE5449"/>
    <w:rsid w:val="00FE681D"/>
    <w:rsid w:val="00FE6A74"/>
    <w:rsid w:val="00FE6A90"/>
    <w:rsid w:val="00FE6DC2"/>
    <w:rsid w:val="00FE70C6"/>
    <w:rsid w:val="00FE74DF"/>
    <w:rsid w:val="00FE7D10"/>
    <w:rsid w:val="00FE7E83"/>
    <w:rsid w:val="00FF0084"/>
    <w:rsid w:val="00FF0164"/>
    <w:rsid w:val="00FF0214"/>
    <w:rsid w:val="00FF036D"/>
    <w:rsid w:val="00FF0DBD"/>
    <w:rsid w:val="00FF13EE"/>
    <w:rsid w:val="00FF14F2"/>
    <w:rsid w:val="00FF15E0"/>
    <w:rsid w:val="00FF20AD"/>
    <w:rsid w:val="00FF2100"/>
    <w:rsid w:val="00FF25C6"/>
    <w:rsid w:val="00FF2B36"/>
    <w:rsid w:val="00FF2D2D"/>
    <w:rsid w:val="00FF30B3"/>
    <w:rsid w:val="00FF3600"/>
    <w:rsid w:val="00FF369C"/>
    <w:rsid w:val="00FF3A07"/>
    <w:rsid w:val="00FF3A9C"/>
    <w:rsid w:val="00FF3DED"/>
    <w:rsid w:val="00FF3E0A"/>
    <w:rsid w:val="00FF3FEA"/>
    <w:rsid w:val="00FF4C68"/>
    <w:rsid w:val="00FF4CED"/>
    <w:rsid w:val="00FF5170"/>
    <w:rsid w:val="00FF554B"/>
    <w:rsid w:val="00FF599B"/>
    <w:rsid w:val="00FF654B"/>
    <w:rsid w:val="00FF6A6D"/>
    <w:rsid w:val="00FF74F3"/>
    <w:rsid w:val="00FF79D0"/>
    <w:rsid w:val="00FF7B33"/>
    <w:rsid w:val="00FF7D0A"/>
    <w:rsid w:val="00FF7F97"/>
    <w:rsid w:val="0D64EBD5"/>
    <w:rsid w:val="0FA0F241"/>
    <w:rsid w:val="1011F035"/>
    <w:rsid w:val="124C4A85"/>
    <w:rsid w:val="1B90FD9D"/>
    <w:rsid w:val="1C880F1B"/>
    <w:rsid w:val="1E09F87B"/>
    <w:rsid w:val="1F0E6A70"/>
    <w:rsid w:val="1FE074B4"/>
    <w:rsid w:val="21223A91"/>
    <w:rsid w:val="2219D2BE"/>
    <w:rsid w:val="22552169"/>
    <w:rsid w:val="254310BD"/>
    <w:rsid w:val="275FDFBE"/>
    <w:rsid w:val="2AE17CBA"/>
    <w:rsid w:val="33A647B8"/>
    <w:rsid w:val="3558D225"/>
    <w:rsid w:val="35CB73DF"/>
    <w:rsid w:val="37A33197"/>
    <w:rsid w:val="3A7E267A"/>
    <w:rsid w:val="3B7D1371"/>
    <w:rsid w:val="3E8ADB3D"/>
    <w:rsid w:val="4588BBB6"/>
    <w:rsid w:val="4669B593"/>
    <w:rsid w:val="49B524FA"/>
    <w:rsid w:val="4ABA9C0D"/>
    <w:rsid w:val="4B87F9C1"/>
    <w:rsid w:val="5004DB7F"/>
    <w:rsid w:val="515ED31A"/>
    <w:rsid w:val="54B87279"/>
    <w:rsid w:val="5589D5EF"/>
    <w:rsid w:val="562D182F"/>
    <w:rsid w:val="598A3B42"/>
    <w:rsid w:val="59FED469"/>
    <w:rsid w:val="5D01B262"/>
    <w:rsid w:val="6135F82D"/>
    <w:rsid w:val="66FF5A0C"/>
    <w:rsid w:val="67371EDB"/>
    <w:rsid w:val="676E9A0C"/>
    <w:rsid w:val="6FAF8906"/>
    <w:rsid w:val="6FF513CA"/>
    <w:rsid w:val="7421AF7E"/>
    <w:rsid w:val="74D9D7F1"/>
    <w:rsid w:val="789A390B"/>
    <w:rsid w:val="7996246D"/>
    <w:rsid w:val="79C8EA99"/>
    <w:rsid w:val="7A77BE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1"/>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1"/>
    <w:unhideWhenUsed/>
    <w:qFormat/>
    <w:rsid w:val="00A776A4"/>
    <w:pPr>
      <w:outlineLvl w:val="3"/>
    </w:pPr>
    <w:rPr>
      <w:i/>
    </w:rPr>
  </w:style>
  <w:style w:type="paragraph" w:styleId="Heading5">
    <w:name w:val="heading 5"/>
    <w:basedOn w:val="Normal"/>
    <w:next w:val="Normal"/>
    <w:link w:val="Heading5Char"/>
    <w:uiPriority w:val="9"/>
    <w:semiHidden/>
    <w:unhideWhenUsed/>
    <w:qFormat/>
    <w:rsid w:val="00D806C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99"/>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Dossier table,Section 3- footnotes,CMA Table Template,MSD Table Grid"/>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Figure_name"/>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link w:val="TableHeadingChar0"/>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Montserrat" w:hAnsi="Montserrat"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Montserrat" w:hAnsi="Montserrat"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Montserrat" w:hAnsi="Montserrat"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uiPriority w:val="9"/>
    <w:qFormat/>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Heading5Char">
    <w:name w:val="Heading 5 Char"/>
    <w:basedOn w:val="DefaultParagraphFont"/>
    <w:link w:val="Heading5"/>
    <w:uiPriority w:val="9"/>
    <w:rsid w:val="00D806CE"/>
    <w:rPr>
      <w:rFonts w:asciiTheme="majorHAnsi" w:eastAsiaTheme="majorEastAsia" w:hAnsiTheme="majorHAnsi" w:cstheme="majorBidi"/>
      <w:color w:val="2E74B5" w:themeColor="accent1" w:themeShade="BF"/>
    </w:rPr>
  </w:style>
  <w:style w:type="table" w:customStyle="1" w:styleId="HealthConsult1">
    <w:name w:val="HealthConsult1"/>
    <w:basedOn w:val="TableNormal"/>
    <w:next w:val="TableGrid"/>
    <w:uiPriority w:val="39"/>
    <w:rsid w:val="00D806CE"/>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0">
    <w:name w:val="Table Heading Char"/>
    <w:basedOn w:val="DefaultParagraphFont"/>
    <w:link w:val="TableHeading0"/>
    <w:locked/>
    <w:rsid w:val="00D806CE"/>
    <w:rPr>
      <w:rFonts w:ascii="Arial Narrow" w:hAnsi="Arial Narrow"/>
      <w:b/>
      <w:sz w:val="20"/>
    </w:rPr>
  </w:style>
  <w:style w:type="paragraph" w:styleId="BodyText">
    <w:name w:val="Body Text"/>
    <w:basedOn w:val="Normal"/>
    <w:link w:val="BodyTextChar"/>
    <w:uiPriority w:val="99"/>
    <w:unhideWhenUsed/>
    <w:qFormat/>
    <w:rsid w:val="001F758A"/>
    <w:pPr>
      <w:jc w:val="both"/>
    </w:pPr>
    <w:rPr>
      <w:rFonts w:asciiTheme="minorHAnsi" w:hAnsiTheme="minorHAnsi"/>
    </w:rPr>
  </w:style>
  <w:style w:type="character" w:customStyle="1" w:styleId="BodyTextChar">
    <w:name w:val="Body Text Char"/>
    <w:basedOn w:val="DefaultParagraphFont"/>
    <w:link w:val="BodyText"/>
    <w:uiPriority w:val="99"/>
    <w:rsid w:val="001F758A"/>
  </w:style>
  <w:style w:type="table" w:customStyle="1" w:styleId="AZTable11">
    <w:name w:val="AZ Table11"/>
    <w:basedOn w:val="TableNormal"/>
    <w:uiPriority w:val="99"/>
    <w:rsid w:val="0029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TableH29pt">
    <w:name w:val="Table H2 9pt"/>
    <w:basedOn w:val="BodyText"/>
    <w:next w:val="Tabletext0"/>
    <w:uiPriority w:val="4"/>
    <w:qFormat/>
    <w:rsid w:val="00813D6C"/>
    <w:pPr>
      <w:keepNext/>
      <w:keepLines/>
      <w:spacing w:before="20" w:after="20" w:line="240" w:lineRule="auto"/>
      <w:contextualSpacing/>
      <w:jc w:val="left"/>
    </w:pPr>
    <w:rPr>
      <w:rFonts w:ascii="Montserrat" w:eastAsia="Calibri" w:hAnsi="Montserrat" w:cs="Calibri"/>
      <w:b/>
      <w:sz w:val="18"/>
      <w:szCs w:val="20"/>
    </w:rPr>
  </w:style>
  <w:style w:type="paragraph" w:customStyle="1" w:styleId="TableFigNotes18">
    <w:name w:val="TableFigNotes+18"/>
    <w:basedOn w:val="Normal"/>
    <w:next w:val="BodyText"/>
    <w:link w:val="TableFigNotes18Char"/>
    <w:uiPriority w:val="4"/>
    <w:qFormat/>
    <w:rsid w:val="00813D6C"/>
    <w:pPr>
      <w:spacing w:before="60" w:after="360" w:line="276" w:lineRule="auto"/>
      <w:contextualSpacing/>
    </w:pPr>
    <w:rPr>
      <w:rFonts w:ascii="Montserrat" w:eastAsia="Calibri" w:hAnsi="Montserrat" w:cs="Calibri"/>
      <w:sz w:val="14"/>
      <w:szCs w:val="20"/>
    </w:rPr>
  </w:style>
  <w:style w:type="paragraph" w:customStyle="1" w:styleId="Tabletext9pt">
    <w:name w:val="Table text 9pt"/>
    <w:basedOn w:val="Tabletext0"/>
    <w:qFormat/>
    <w:rsid w:val="00813D6C"/>
    <w:pPr>
      <w:keepNext/>
      <w:keepLines/>
      <w:spacing w:before="20" w:after="20"/>
      <w:jc w:val="left"/>
    </w:pPr>
    <w:rPr>
      <w:rFonts w:ascii="Montserrat" w:eastAsia="Calibri" w:hAnsi="Montserrat" w:cs="Calibri"/>
      <w:sz w:val="18"/>
      <w:szCs w:val="16"/>
      <w:lang w:eastAsia="en-US"/>
    </w:rPr>
  </w:style>
  <w:style w:type="character" w:customStyle="1" w:styleId="TableFigNotes18Char">
    <w:name w:val="TableFigNotes+18 Char"/>
    <w:basedOn w:val="DefaultParagraphFont"/>
    <w:link w:val="TableFigNotes18"/>
    <w:uiPriority w:val="4"/>
    <w:locked/>
    <w:rsid w:val="00813D6C"/>
    <w:rPr>
      <w:rFonts w:ascii="Montserrat" w:eastAsia="Calibri" w:hAnsi="Montserrat" w:cs="Calibri"/>
      <w:sz w:val="14"/>
      <w:szCs w:val="20"/>
    </w:rPr>
  </w:style>
  <w:style w:type="table" w:customStyle="1" w:styleId="LashStyleTable1">
    <w:name w:val="Lash Style Table1"/>
    <w:basedOn w:val="TableNormal"/>
    <w:next w:val="TableGrid"/>
    <w:uiPriority w:val="59"/>
    <w:rsid w:val="00CE453D"/>
    <w:pPr>
      <w:spacing w:after="0" w:line="240" w:lineRule="auto"/>
    </w:pPr>
    <w:rPr>
      <w:rFonts w:eastAsia="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
    <w:name w:val="Lash Style Table2"/>
    <w:basedOn w:val="TableNormal"/>
    <w:next w:val="TableGrid"/>
    <w:uiPriority w:val="59"/>
    <w:rsid w:val="00CE453D"/>
    <w:pPr>
      <w:spacing w:after="0" w:line="240" w:lineRule="auto"/>
    </w:pPr>
    <w:rPr>
      <w:rFonts w:eastAsia="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2">
    <w:name w:val="Bullet+12"/>
    <w:basedOn w:val="Normal"/>
    <w:next w:val="BodyText"/>
    <w:uiPriority w:val="2"/>
    <w:qFormat/>
    <w:rsid w:val="003C4D6B"/>
    <w:pPr>
      <w:keepLines/>
      <w:numPr>
        <w:numId w:val="16"/>
      </w:numPr>
      <w:tabs>
        <w:tab w:val="left" w:pos="765"/>
      </w:tabs>
      <w:spacing w:before="0" w:after="240" w:line="288" w:lineRule="auto"/>
      <w:ind w:left="714" w:hanging="357"/>
    </w:pPr>
    <w:rPr>
      <w:rFonts w:ascii="Montserrat" w:eastAsia="Calibri" w:hAnsi="Montserrat" w:cs="Calibri"/>
      <w:sz w:val="18"/>
      <w:szCs w:val="20"/>
    </w:rPr>
  </w:style>
  <w:style w:type="table" w:customStyle="1" w:styleId="LashStyleTable3">
    <w:name w:val="Lash Style Table3"/>
    <w:basedOn w:val="TableNormal"/>
    <w:next w:val="TableGrid"/>
    <w:uiPriority w:val="59"/>
    <w:rsid w:val="003C4D6B"/>
    <w:pPr>
      <w:spacing w:after="0" w:line="240" w:lineRule="auto"/>
    </w:pPr>
    <w:rPr>
      <w:rFonts w:eastAsia="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rsid w:val="00153896"/>
    <w:rPr>
      <w:color w:val="605E5C"/>
      <w:shd w:val="clear" w:color="auto" w:fill="E1DFDD"/>
    </w:rPr>
  </w:style>
  <w:style w:type="character" w:customStyle="1" w:styleId="Mention1">
    <w:name w:val="Mention1"/>
    <w:basedOn w:val="DefaultParagraphFont"/>
    <w:uiPriority w:val="99"/>
    <w:unhideWhenUsed/>
    <w:rsid w:val="00153896"/>
    <w:rPr>
      <w:color w:val="2B579A"/>
      <w:shd w:val="clear" w:color="auto" w:fill="E1DFDD"/>
    </w:rPr>
  </w:style>
  <w:style w:type="paragraph" w:customStyle="1" w:styleId="BulletBeforeDash">
    <w:name w:val="BulletBeforeDash"/>
    <w:basedOn w:val="Normal"/>
    <w:rsid w:val="00CD0F5B"/>
    <w:pPr>
      <w:numPr>
        <w:numId w:val="19"/>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CD0F5B"/>
    <w:pPr>
      <w:numPr>
        <w:numId w:val="0"/>
      </w:numPr>
      <w:spacing w:before="0" w:after="240"/>
      <w:ind w:left="786"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CD0F5B"/>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CD0F5B"/>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CD0F5B"/>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CD0F5B"/>
    <w:pPr>
      <w:numPr>
        <w:numId w:val="20"/>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character" w:styleId="UnresolvedMention">
    <w:name w:val="Unresolved Mention"/>
    <w:basedOn w:val="DefaultParagraphFont"/>
    <w:uiPriority w:val="99"/>
    <w:unhideWhenUsed/>
    <w:rsid w:val="006E4156"/>
    <w:rPr>
      <w:color w:val="605E5C"/>
      <w:shd w:val="clear" w:color="auto" w:fill="E1DFDD"/>
    </w:rPr>
  </w:style>
  <w:style w:type="character" w:styleId="Mention">
    <w:name w:val="Mention"/>
    <w:basedOn w:val="DefaultParagraphFont"/>
    <w:uiPriority w:val="99"/>
    <w:unhideWhenUsed/>
    <w:rsid w:val="006E4156"/>
    <w:rPr>
      <w:color w:val="2B579A"/>
      <w:shd w:val="clear" w:color="auto" w:fill="E1DFDD"/>
    </w:rPr>
  </w:style>
  <w:style w:type="character" w:customStyle="1" w:styleId="null1">
    <w:name w:val="null1"/>
    <w:basedOn w:val="DefaultParagraphFont"/>
    <w:rsid w:val="00556D5F"/>
  </w:style>
  <w:style w:type="paragraph" w:styleId="NormalWeb">
    <w:name w:val="Normal (Web)"/>
    <w:basedOn w:val="Normal"/>
    <w:uiPriority w:val="99"/>
    <w:rsid w:val="00F723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ocsum-journal-citation">
    <w:name w:val="docsum-journal-citation"/>
    <w:basedOn w:val="DefaultParagraphFont"/>
    <w:rsid w:val="00485EC5"/>
  </w:style>
  <w:style w:type="paragraph" w:customStyle="1" w:styleId="Tabletext8pt">
    <w:name w:val="Table text 8pt"/>
    <w:basedOn w:val="Tabletext0"/>
    <w:qFormat/>
    <w:rsid w:val="00645221"/>
    <w:pPr>
      <w:keepNext/>
      <w:keepLines/>
      <w:spacing w:before="20" w:after="20"/>
      <w:jc w:val="left"/>
    </w:pPr>
    <w:rPr>
      <w:rFonts w:ascii="Montserrat" w:eastAsia="Calibri" w:hAnsi="Montserrat" w:cs="Calibri"/>
      <w:sz w:val="16"/>
      <w:szCs w:val="16"/>
      <w:lang w:eastAsia="en-US"/>
    </w:rPr>
  </w:style>
  <w:style w:type="character" w:customStyle="1" w:styleId="contentpasted0">
    <w:name w:val="contentpasted0"/>
    <w:basedOn w:val="DefaultParagraphFont"/>
    <w:rsid w:val="003F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3619127">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79075440">
      <w:bodyDiv w:val="1"/>
      <w:marLeft w:val="0"/>
      <w:marRight w:val="0"/>
      <w:marTop w:val="0"/>
      <w:marBottom w:val="0"/>
      <w:divBdr>
        <w:top w:val="none" w:sz="0" w:space="0" w:color="auto"/>
        <w:left w:val="none" w:sz="0" w:space="0" w:color="auto"/>
        <w:bottom w:val="none" w:sz="0" w:space="0" w:color="auto"/>
        <w:right w:val="none" w:sz="0" w:space="0" w:color="auto"/>
      </w:divBdr>
    </w:div>
    <w:div w:id="322200135">
      <w:bodyDiv w:val="1"/>
      <w:marLeft w:val="0"/>
      <w:marRight w:val="0"/>
      <w:marTop w:val="0"/>
      <w:marBottom w:val="0"/>
      <w:divBdr>
        <w:top w:val="none" w:sz="0" w:space="0" w:color="auto"/>
        <w:left w:val="none" w:sz="0" w:space="0" w:color="auto"/>
        <w:bottom w:val="none" w:sz="0" w:space="0" w:color="auto"/>
        <w:right w:val="none" w:sz="0" w:space="0" w:color="auto"/>
      </w:divBdr>
    </w:div>
    <w:div w:id="334916863">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46194059">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0166036">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1375830">
      <w:bodyDiv w:val="1"/>
      <w:marLeft w:val="0"/>
      <w:marRight w:val="0"/>
      <w:marTop w:val="0"/>
      <w:marBottom w:val="0"/>
      <w:divBdr>
        <w:top w:val="none" w:sz="0" w:space="0" w:color="auto"/>
        <w:left w:val="none" w:sz="0" w:space="0" w:color="auto"/>
        <w:bottom w:val="none" w:sz="0" w:space="0" w:color="auto"/>
        <w:right w:val="none" w:sz="0" w:space="0" w:color="auto"/>
      </w:divBdr>
    </w:div>
    <w:div w:id="666589302">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89085109">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55410110">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57819991">
      <w:bodyDiv w:val="1"/>
      <w:marLeft w:val="0"/>
      <w:marRight w:val="0"/>
      <w:marTop w:val="0"/>
      <w:marBottom w:val="0"/>
      <w:divBdr>
        <w:top w:val="none" w:sz="0" w:space="0" w:color="auto"/>
        <w:left w:val="none" w:sz="0" w:space="0" w:color="auto"/>
        <w:bottom w:val="none" w:sz="0" w:space="0" w:color="auto"/>
        <w:right w:val="none" w:sz="0" w:space="0" w:color="auto"/>
      </w:divBdr>
    </w:div>
    <w:div w:id="1065032178">
      <w:bodyDiv w:val="1"/>
      <w:marLeft w:val="0"/>
      <w:marRight w:val="0"/>
      <w:marTop w:val="0"/>
      <w:marBottom w:val="0"/>
      <w:divBdr>
        <w:top w:val="none" w:sz="0" w:space="0" w:color="auto"/>
        <w:left w:val="none" w:sz="0" w:space="0" w:color="auto"/>
        <w:bottom w:val="none" w:sz="0" w:space="0" w:color="auto"/>
        <w:right w:val="none" w:sz="0" w:space="0" w:color="auto"/>
      </w:divBdr>
      <w:divsChild>
        <w:div w:id="734086704">
          <w:marLeft w:val="288"/>
          <w:marRight w:val="0"/>
          <w:marTop w:val="86"/>
          <w:marBottom w:val="0"/>
          <w:divBdr>
            <w:top w:val="none" w:sz="0" w:space="0" w:color="auto"/>
            <w:left w:val="none" w:sz="0" w:space="0" w:color="auto"/>
            <w:bottom w:val="none" w:sz="0" w:space="0" w:color="auto"/>
            <w:right w:val="none" w:sz="0" w:space="0" w:color="auto"/>
          </w:divBdr>
        </w:div>
      </w:divsChild>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163397033">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93229355">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30382707">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69984696">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36846361">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69677596">
      <w:bodyDiv w:val="1"/>
      <w:marLeft w:val="0"/>
      <w:marRight w:val="0"/>
      <w:marTop w:val="0"/>
      <w:marBottom w:val="0"/>
      <w:divBdr>
        <w:top w:val="none" w:sz="0" w:space="0" w:color="auto"/>
        <w:left w:val="none" w:sz="0" w:space="0" w:color="auto"/>
        <w:bottom w:val="none" w:sz="0" w:space="0" w:color="auto"/>
        <w:right w:val="none" w:sz="0" w:space="0" w:color="auto"/>
      </w:divBdr>
    </w:div>
    <w:div w:id="1679889389">
      <w:bodyDiv w:val="1"/>
      <w:marLeft w:val="0"/>
      <w:marRight w:val="0"/>
      <w:marTop w:val="0"/>
      <w:marBottom w:val="0"/>
      <w:divBdr>
        <w:top w:val="none" w:sz="0" w:space="0" w:color="auto"/>
        <w:left w:val="none" w:sz="0" w:space="0" w:color="auto"/>
        <w:bottom w:val="none" w:sz="0" w:space="0" w:color="auto"/>
        <w:right w:val="none" w:sz="0" w:space="0" w:color="auto"/>
      </w:divBdr>
    </w:div>
    <w:div w:id="1685134346">
      <w:bodyDiv w:val="1"/>
      <w:marLeft w:val="0"/>
      <w:marRight w:val="0"/>
      <w:marTop w:val="0"/>
      <w:marBottom w:val="0"/>
      <w:divBdr>
        <w:top w:val="none" w:sz="0" w:space="0" w:color="auto"/>
        <w:left w:val="none" w:sz="0" w:space="0" w:color="auto"/>
        <w:bottom w:val="none" w:sz="0" w:space="0" w:color="auto"/>
        <w:right w:val="none" w:sz="0" w:space="0" w:color="auto"/>
      </w:divBdr>
    </w:div>
    <w:div w:id="1736733785">
      <w:bodyDiv w:val="1"/>
      <w:marLeft w:val="0"/>
      <w:marRight w:val="0"/>
      <w:marTop w:val="0"/>
      <w:marBottom w:val="0"/>
      <w:divBdr>
        <w:top w:val="none" w:sz="0" w:space="0" w:color="auto"/>
        <w:left w:val="none" w:sz="0" w:space="0" w:color="auto"/>
        <w:bottom w:val="none" w:sz="0" w:space="0" w:color="auto"/>
        <w:right w:val="none" w:sz="0" w:space="0" w:color="auto"/>
      </w:divBdr>
    </w:div>
    <w:div w:id="1743529548">
      <w:bodyDiv w:val="1"/>
      <w:marLeft w:val="0"/>
      <w:marRight w:val="0"/>
      <w:marTop w:val="0"/>
      <w:marBottom w:val="0"/>
      <w:divBdr>
        <w:top w:val="none" w:sz="0" w:space="0" w:color="auto"/>
        <w:left w:val="none" w:sz="0" w:space="0" w:color="auto"/>
        <w:bottom w:val="none" w:sz="0" w:space="0" w:color="auto"/>
        <w:right w:val="none" w:sz="0" w:space="0" w:color="auto"/>
      </w:divBdr>
    </w:div>
    <w:div w:id="1772360292">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59296056">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90594195">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75197718">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05179619">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ac.gov.au/internet/msac/publishing.nsf/Content/Home-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sac.gov.au/internet/msac/publishing.nsf/Content/46EBF5FE4400662ECA25876100090CF4/$File/1686%20Final%20PSD_Jul2022.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msac.gov.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pubmed.ncbi.nlm.nih.gov/36872949/" TargetMode="External"/><Relationship Id="rId1" Type="http://schemas.openxmlformats.org/officeDocument/2006/relationships/hyperlink" Target="https://pubmed.ncbi.nlm.nih.gov/37246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 M A T T ! 9 0 9 4 1 2 5 5 . 1 < / d o c u m e n t i d >  
     < s e n d e r i d > K X E < / s e n d e r i d >  
     < s e n d e r e m a i l > K A R W A N . E S K E R I E @ S P A R K E . C O M . A U < / s e n d e r e m a i l >  
     < l a s t m o d i f i e d > 2 0 2 3 - 0 9 - 0 1 T 1 5 : 5 3 : 0 0 . 0 0 0 0 0 0 0 + 1 0 : 0 0 < / l a s t m o d i f i e d >  
     < d a t a b a s e > M A T T < / d a t a b a s e >  
 < / p r o p e r t i e s > 
</file>

<file path=customXml/itemProps1.xml><?xml version="1.0" encoding="utf-8"?>
<ds:datastoreItem xmlns:ds="http://schemas.openxmlformats.org/officeDocument/2006/customXml" ds:itemID="{E1B6D51C-753D-4278-8AE5-5F54E1DF37A0}">
  <ds:schemaRefs>
    <ds:schemaRef ds:uri="http://schemas.openxmlformats.org/officeDocument/2006/bibliography"/>
  </ds:schemaRefs>
</ds:datastoreItem>
</file>

<file path=customXml/itemProps2.xml><?xml version="1.0" encoding="utf-8"?>
<ds:datastoreItem xmlns:ds="http://schemas.openxmlformats.org/officeDocument/2006/customXml" ds:itemID="{BA7A4F03-560B-4798-BF37-BF545E7E1CC9}">
  <ds:schemaRefs>
    <ds:schemaRef ds:uri="http://www.imanage.com/work/xmlschema"/>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13713</Words>
  <Characters>78167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2023-10-17T05:11:00Z</dcterms:created>
  <dcterms:modified xsi:type="dcterms:W3CDTF">2023-10-17T05:36:00Z</dcterms:modified>
  <cp:category/>
</cp:coreProperties>
</file>