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13271" w14:textId="6BE30CDD"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5E308C96" wp14:editId="078E45E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408D12B"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114D60B3" w14:textId="77777777" w:rsidR="00BC1364" w:rsidRPr="00F715D1" w:rsidRDefault="00BC1364" w:rsidP="00AF5829">
      <w:pPr>
        <w:pStyle w:val="Subtitle"/>
      </w:pPr>
      <w:r w:rsidRPr="00F715D1">
        <w:t xml:space="preserve">Application No. </w:t>
      </w:r>
      <w:r w:rsidR="00712B1D">
        <w:t>1</w:t>
      </w:r>
      <w:r w:rsidR="00D064A8">
        <w:t>6</w:t>
      </w:r>
      <w:r w:rsidR="00DD032E">
        <w:t>38</w:t>
      </w:r>
      <w:r w:rsidR="00424791">
        <w:t xml:space="preserve"> –</w:t>
      </w:r>
      <w:r w:rsidR="00AF5829">
        <w:t xml:space="preserve"> </w:t>
      </w:r>
      <w:r w:rsidR="00DD032E">
        <w:t xml:space="preserve">Proton beam therapy for paediatric </w:t>
      </w:r>
      <w:r w:rsidR="0011179C">
        <w:br/>
      </w:r>
      <w:r w:rsidR="00DD032E">
        <w:t>and rare cancers</w:t>
      </w:r>
    </w:p>
    <w:p w14:paraId="60837317" w14:textId="77777777" w:rsidR="00BC1364" w:rsidRPr="00F715D1" w:rsidRDefault="00B35595" w:rsidP="00194A71">
      <w:pPr>
        <w:tabs>
          <w:tab w:val="left" w:pos="3686"/>
        </w:tabs>
        <w:spacing w:after="240"/>
        <w:ind w:left="1440" w:hanging="14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DD032E">
        <w:rPr>
          <w:rFonts w:ascii="Arial" w:hAnsi="Arial" w:cs="Arial"/>
          <w:b/>
          <w:szCs w:val="24"/>
        </w:rPr>
        <w:t>South Australian Health and Medical Research Institute</w:t>
      </w:r>
    </w:p>
    <w:p w14:paraId="2DE31ECF"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94A71">
        <w:rPr>
          <w:rFonts w:ascii="Arial" w:hAnsi="Arial" w:cs="Arial"/>
          <w:b/>
          <w:szCs w:val="24"/>
        </w:rPr>
        <w:t>80</w:t>
      </w:r>
      <w:r w:rsidR="00194A71" w:rsidRPr="00194A71">
        <w:rPr>
          <w:rFonts w:ascii="Arial" w:hAnsi="Arial" w:cs="Arial"/>
          <w:b/>
          <w:szCs w:val="24"/>
          <w:vertAlign w:val="superscript"/>
        </w:rPr>
        <w:t>th</w:t>
      </w:r>
      <w:r w:rsidR="00194A71">
        <w:rPr>
          <w:rFonts w:ascii="Arial" w:hAnsi="Arial" w:cs="Arial"/>
          <w:b/>
          <w:szCs w:val="24"/>
        </w:rPr>
        <w:t xml:space="preserve"> </w:t>
      </w:r>
      <w:r w:rsidRPr="00F715D1">
        <w:rPr>
          <w:rFonts w:ascii="Arial" w:hAnsi="Arial" w:cs="Arial"/>
          <w:b/>
          <w:szCs w:val="24"/>
        </w:rPr>
        <w:t xml:space="preserve">Meeting, </w:t>
      </w:r>
      <w:r w:rsidR="00194A71">
        <w:rPr>
          <w:rFonts w:ascii="Arial" w:hAnsi="Arial" w:cs="Arial"/>
          <w:b/>
          <w:szCs w:val="24"/>
        </w:rPr>
        <w:t>26-27 November 2020</w:t>
      </w:r>
    </w:p>
    <w:p w14:paraId="7D21C2C9"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133AA630" w14:textId="7C3A74DC" w:rsidR="003D7F29" w:rsidRPr="00F715D1" w:rsidRDefault="003D7F29" w:rsidP="00F715D1">
      <w:pPr>
        <w:pStyle w:val="Heading1"/>
      </w:pPr>
      <w:r w:rsidRPr="00F715D1">
        <w:t>Purpose of application</w:t>
      </w:r>
    </w:p>
    <w:p w14:paraId="4C063B01" w14:textId="174C121C" w:rsidR="009821F7" w:rsidRDefault="009821F7" w:rsidP="009821F7">
      <w:r>
        <w:t xml:space="preserve">An application </w:t>
      </w:r>
      <w:r w:rsidRPr="00322D95">
        <w:t>requesting Medicare Benefit</w:t>
      </w:r>
      <w:r w:rsidR="00A61A57">
        <w:t>s</w:t>
      </w:r>
      <w:r w:rsidRPr="00322D95">
        <w:t xml:space="preserve"> Schedule (MBS) listing of proton beam therapy (PBT) </w:t>
      </w:r>
      <w:r>
        <w:t xml:space="preserve">for adult patients with </w:t>
      </w:r>
      <w:r w:rsidR="008609EF">
        <w:t xml:space="preserve">a </w:t>
      </w:r>
      <w:r>
        <w:t xml:space="preserve">rare cancer of the head or spine or paediatric and adolescent/young adult (AYA) patients with </w:t>
      </w:r>
      <w:r w:rsidR="008609EF">
        <w:t xml:space="preserve">a </w:t>
      </w:r>
      <w:r>
        <w:t xml:space="preserve">solid tumour located in the head, neck or trunk of the body was received from the South Australian Health and Medical Research Institute (SAHMRI) </w:t>
      </w:r>
      <w:r w:rsidRPr="00322D95">
        <w:t>by the Department of Health.</w:t>
      </w:r>
    </w:p>
    <w:p w14:paraId="26127EB7" w14:textId="77777777" w:rsidR="00E977EE" w:rsidRPr="00F715D1" w:rsidRDefault="00E977EE" w:rsidP="00F715D1">
      <w:pPr>
        <w:pStyle w:val="Heading1"/>
      </w:pPr>
      <w:r w:rsidRPr="00F715D1">
        <w:t>MSAC’s advice to the Minister</w:t>
      </w:r>
    </w:p>
    <w:p w14:paraId="0070BAFE" w14:textId="6CF5A357" w:rsidR="007E47BB" w:rsidRPr="009E1BED" w:rsidRDefault="007E47BB" w:rsidP="007E47BB">
      <w:pPr>
        <w:spacing w:after="240"/>
        <w:rPr>
          <w:szCs w:val="24"/>
        </w:rPr>
      </w:pPr>
      <w:r w:rsidRPr="001342D1">
        <w:t xml:space="preserve">After considering the strength of the available evidence in relation to comparative safety, </w:t>
      </w:r>
      <w:r>
        <w:t>clinical effectiveness and cost-</w:t>
      </w:r>
      <w:r w:rsidRPr="001342D1">
        <w:t xml:space="preserve">effectiveness, </w:t>
      </w:r>
      <w:r>
        <w:rPr>
          <w:szCs w:val="24"/>
        </w:rPr>
        <w:t xml:space="preserve">MSAC supported the creation of new Medicare Benefits Schedule (MBS) items for proton beam therapy (PBT) for specified rare cancers in paediatric, adolescent and young adult (AYA), and adult populations. MSAC acknowledged the limitations in the strength of the evidence available, but accepted that PBT had superior safety and non-inferior effectiveness compared to photon radiation therapy (PRT) in the </w:t>
      </w:r>
      <w:r>
        <w:t>specified</w:t>
      </w:r>
      <w:r>
        <w:rPr>
          <w:szCs w:val="24"/>
        </w:rPr>
        <w:t xml:space="preserve"> rare cancers and populations. MSAC considered that the estimates of cost-effectiveness were uncertain due to limitations in the evidence, but accepted that by sufficiently decreasing the rates of toxicity events across these patient</w:t>
      </w:r>
      <w:r w:rsidR="008212CA">
        <w:rPr>
          <w:szCs w:val="24"/>
        </w:rPr>
        <w:t xml:space="preserve"> group</w:t>
      </w:r>
      <w:r>
        <w:rPr>
          <w:szCs w:val="24"/>
        </w:rPr>
        <w:t>s, PBT would result in sufficient net improvements in quality of life and cost offsets from reduced provision of health care resources.</w:t>
      </w:r>
    </w:p>
    <w:p w14:paraId="7A2211A5" w14:textId="1AA8D80E" w:rsidR="00CF7307" w:rsidRDefault="007E47BB" w:rsidP="007E47BB">
      <w:pPr>
        <w:pStyle w:val="Default"/>
        <w:spacing w:after="240"/>
      </w:pPr>
      <w:r>
        <w:t>MSAC recommended that the rare cancers be specified in the item descriptors for PBT, that a comparison of PBT</w:t>
      </w:r>
      <w:r w:rsidR="008609EF">
        <w:t xml:space="preserve"> and </w:t>
      </w:r>
      <w:r>
        <w:t>PRT plans be required to confirm a patient’s eligibility for PBT, and that data be collected prospectively for patients treated with PRT (</w:t>
      </w:r>
      <w:r w:rsidR="00F14704">
        <w:t xml:space="preserve">starting as soon as possible and enrolling patients </w:t>
      </w:r>
      <w:r w:rsidR="00BA4EB6">
        <w:t>until the Australian Bragg Centre becomes operational</w:t>
      </w:r>
      <w:r>
        <w:t xml:space="preserve">) and for patients treated with PBT once the Bragg Centre starts treating patients. In addition, MSAC advised on a number of outstanding implementation issues and therefore requested MSAC be </w:t>
      </w:r>
      <w:r w:rsidR="008212CA">
        <w:t xml:space="preserve">informed </w:t>
      </w:r>
      <w:r>
        <w:t xml:space="preserve">of the Department’s progress in resolving these issues </w:t>
      </w:r>
      <w:r w:rsidR="008212CA">
        <w:t xml:space="preserve">prior to </w:t>
      </w:r>
      <w:r w:rsidR="008609EF">
        <w:t>the</w:t>
      </w:r>
      <w:r>
        <w:t xml:space="preserve"> MBS listing of PBT to ensure the service is implemented nationally in an equitable way to the eligible population.</w:t>
      </w:r>
    </w:p>
    <w:tbl>
      <w:tblPr>
        <w:tblStyle w:val="TableGrid"/>
        <w:tblW w:w="0" w:type="auto"/>
        <w:tblLook w:val="04A0" w:firstRow="1" w:lastRow="0" w:firstColumn="1" w:lastColumn="0" w:noHBand="0" w:noVBand="1"/>
        <w:tblDescription w:val="Consumer summary of MSAC consideration"/>
      </w:tblPr>
      <w:tblGrid>
        <w:gridCol w:w="9016"/>
      </w:tblGrid>
      <w:tr w:rsidR="00DD6551" w14:paraId="385D1397" w14:textId="77777777" w:rsidTr="00DD6551">
        <w:trPr>
          <w:tblHeader/>
        </w:trPr>
        <w:tc>
          <w:tcPr>
            <w:tcW w:w="9016" w:type="dxa"/>
          </w:tcPr>
          <w:p w14:paraId="709251E8" w14:textId="723A6E59" w:rsidR="00DD6551" w:rsidRPr="00DD6551" w:rsidRDefault="00DD6551" w:rsidP="00DD6551">
            <w:pPr>
              <w:pStyle w:val="Default"/>
              <w:spacing w:before="120" w:after="120"/>
              <w:rPr>
                <w:b/>
                <w:color w:val="auto"/>
              </w:rPr>
            </w:pPr>
            <w:r w:rsidRPr="00C06B0B">
              <w:rPr>
                <w:b/>
                <w:color w:val="auto"/>
              </w:rPr>
              <w:lastRenderedPageBreak/>
              <w:t>Consumer summary</w:t>
            </w:r>
          </w:p>
        </w:tc>
      </w:tr>
      <w:tr w:rsidR="00DD6551" w14:paraId="5C4DE8DB" w14:textId="77777777" w:rsidTr="00DD6551">
        <w:trPr>
          <w:trHeight w:val="6559"/>
        </w:trPr>
        <w:tc>
          <w:tcPr>
            <w:tcW w:w="9016" w:type="dxa"/>
          </w:tcPr>
          <w:p w14:paraId="64969227" w14:textId="77777777" w:rsidR="00DD6551" w:rsidRPr="007E47BB" w:rsidRDefault="00DD6551" w:rsidP="00DD6551">
            <w:pPr>
              <w:pStyle w:val="Default"/>
              <w:spacing w:before="120" w:after="240"/>
              <w:rPr>
                <w:color w:val="auto"/>
              </w:rPr>
            </w:pPr>
            <w:r>
              <w:rPr>
                <w:color w:val="auto"/>
              </w:rPr>
              <w:t>T</w:t>
            </w:r>
            <w:r w:rsidRPr="007E47BB">
              <w:rPr>
                <w:color w:val="auto"/>
              </w:rPr>
              <w:t xml:space="preserve">he South Australian Health and Medical Research Institute </w:t>
            </w:r>
            <w:r>
              <w:rPr>
                <w:color w:val="auto"/>
              </w:rPr>
              <w:t xml:space="preserve">applied </w:t>
            </w:r>
            <w:r w:rsidRPr="007E47BB">
              <w:rPr>
                <w:color w:val="auto"/>
              </w:rPr>
              <w:t xml:space="preserve">for proton beam therapy (PBT) to be listed on the Medicare Benefits Schedule (MBS) for </w:t>
            </w:r>
            <w:r>
              <w:rPr>
                <w:color w:val="auto"/>
              </w:rPr>
              <w:t xml:space="preserve">the treatment of </w:t>
            </w:r>
            <w:r w:rsidRPr="00F4274B">
              <w:rPr>
                <w:color w:val="auto"/>
              </w:rPr>
              <w:t xml:space="preserve">specific </w:t>
            </w:r>
            <w:r w:rsidRPr="00E94768">
              <w:rPr>
                <w:color w:val="auto"/>
              </w:rPr>
              <w:t>rare cancers</w:t>
            </w:r>
            <w:r>
              <w:rPr>
                <w:color w:val="auto"/>
              </w:rPr>
              <w:t xml:space="preserve"> in paediatric (children), adolescent, young adult, and adult patients.</w:t>
            </w:r>
          </w:p>
          <w:p w14:paraId="7F71C299" w14:textId="77777777" w:rsidR="00DD6551" w:rsidRPr="007E47BB" w:rsidRDefault="00DD6551" w:rsidP="00DD6551">
            <w:pPr>
              <w:pStyle w:val="Default"/>
              <w:spacing w:after="240"/>
              <w:rPr>
                <w:color w:val="auto"/>
              </w:rPr>
            </w:pPr>
            <w:r w:rsidRPr="007E47BB">
              <w:rPr>
                <w:color w:val="auto"/>
              </w:rPr>
              <w:t>Photon radiation therapy (PRT) using X-rays has long been used to treat cancer</w:t>
            </w:r>
            <w:r>
              <w:rPr>
                <w:color w:val="auto"/>
              </w:rPr>
              <w:t>ou</w:t>
            </w:r>
            <w:r w:rsidRPr="007E47BB">
              <w:rPr>
                <w:color w:val="auto"/>
              </w:rPr>
              <w:t>s and noncancerous (benign) tumours. PBT is a newer type of radiation therapy that uses energy from positively charged particles called protons.</w:t>
            </w:r>
          </w:p>
          <w:p w14:paraId="4A435F04" w14:textId="77777777" w:rsidR="00DD6551" w:rsidRPr="007E47BB" w:rsidRDefault="00DD6551" w:rsidP="00DD6551">
            <w:pPr>
              <w:pStyle w:val="Default"/>
              <w:spacing w:after="240"/>
              <w:rPr>
                <w:color w:val="auto"/>
              </w:rPr>
            </w:pPr>
            <w:r w:rsidRPr="007E47BB">
              <w:rPr>
                <w:color w:val="auto"/>
              </w:rPr>
              <w:t xml:space="preserve">Studies have suggested that PBT may cause fewer side effects than traditional </w:t>
            </w:r>
            <w:r>
              <w:rPr>
                <w:color w:val="auto"/>
              </w:rPr>
              <w:t>PRT</w:t>
            </w:r>
            <w:r w:rsidRPr="007E47BB">
              <w:rPr>
                <w:color w:val="auto"/>
              </w:rPr>
              <w:t xml:space="preserve">, </w:t>
            </w:r>
            <w:r>
              <w:rPr>
                <w:color w:val="auto"/>
              </w:rPr>
              <w:t>because</w:t>
            </w:r>
            <w:r w:rsidRPr="007E47BB">
              <w:rPr>
                <w:color w:val="auto"/>
              </w:rPr>
              <w:t xml:space="preserve"> doctors can better </w:t>
            </w:r>
            <w:r>
              <w:rPr>
                <w:color w:val="auto"/>
              </w:rPr>
              <w:t xml:space="preserve">focus </w:t>
            </w:r>
            <w:r w:rsidRPr="007E47BB">
              <w:rPr>
                <w:color w:val="auto"/>
              </w:rPr>
              <w:t>where the proton beams deposit their energy</w:t>
            </w:r>
            <w:r>
              <w:rPr>
                <w:color w:val="auto"/>
              </w:rPr>
              <w:t xml:space="preserve"> into the tumour tissue and so cause less damage to the nearby healthy </w:t>
            </w:r>
            <w:r w:rsidRPr="007E47BB">
              <w:rPr>
                <w:color w:val="auto"/>
              </w:rPr>
              <w:t>tissue</w:t>
            </w:r>
            <w:r>
              <w:rPr>
                <w:color w:val="auto"/>
              </w:rPr>
              <w:t>.</w:t>
            </w:r>
          </w:p>
          <w:p w14:paraId="15A10AFA" w14:textId="77777777" w:rsidR="00DD6551" w:rsidRPr="007E47BB" w:rsidRDefault="00DD6551" w:rsidP="00DD6551">
            <w:pPr>
              <w:pStyle w:val="Default"/>
              <w:spacing w:after="240"/>
              <w:rPr>
                <w:color w:val="auto"/>
              </w:rPr>
            </w:pPr>
            <w:r>
              <w:rPr>
                <w:color w:val="auto"/>
              </w:rPr>
              <w:t>PBT is not currently available is Australia, however t</w:t>
            </w:r>
            <w:r w:rsidRPr="007E47BB">
              <w:rPr>
                <w:color w:val="auto"/>
              </w:rPr>
              <w:t xml:space="preserve">he first Australian PBT centre </w:t>
            </w:r>
            <w:r>
              <w:rPr>
                <w:color w:val="auto"/>
              </w:rPr>
              <w:t xml:space="preserve">currently </w:t>
            </w:r>
            <w:r w:rsidRPr="007E47BB">
              <w:rPr>
                <w:color w:val="auto"/>
              </w:rPr>
              <w:t>being built in South Australia</w:t>
            </w:r>
            <w:r>
              <w:rPr>
                <w:color w:val="auto"/>
              </w:rPr>
              <w:t xml:space="preserve"> is expected to commence operation in 2024</w:t>
            </w:r>
            <w:r w:rsidRPr="007E47BB">
              <w:rPr>
                <w:color w:val="auto"/>
              </w:rPr>
              <w:t xml:space="preserve">. </w:t>
            </w:r>
          </w:p>
          <w:p w14:paraId="5E2EC939" w14:textId="77777777" w:rsidR="00DD6551" w:rsidRPr="007E47BB" w:rsidRDefault="00DD6551" w:rsidP="00DD6551">
            <w:pPr>
              <w:pStyle w:val="Default"/>
              <w:spacing w:after="120"/>
              <w:rPr>
                <w:b/>
                <w:color w:val="auto"/>
              </w:rPr>
            </w:pPr>
            <w:r w:rsidRPr="007E47BB">
              <w:rPr>
                <w:b/>
                <w:color w:val="auto"/>
              </w:rPr>
              <w:t>MSAC’s advice to the Commonwealth Minister for Health</w:t>
            </w:r>
          </w:p>
          <w:p w14:paraId="65C54751" w14:textId="43EA7695" w:rsidR="00DD6551" w:rsidRDefault="00DD6551" w:rsidP="00DD6551">
            <w:pPr>
              <w:pStyle w:val="Default"/>
              <w:spacing w:after="120"/>
              <w:rPr>
                <w:i/>
                <w:color w:val="auto"/>
              </w:rPr>
            </w:pPr>
            <w:r w:rsidRPr="007E47BB">
              <w:rPr>
                <w:color w:val="auto"/>
              </w:rPr>
              <w:t>MSAC supported the creation of new MBS items for PBT for specifi</w:t>
            </w:r>
            <w:r>
              <w:rPr>
                <w:color w:val="auto"/>
              </w:rPr>
              <w:t>c</w:t>
            </w:r>
            <w:r w:rsidRPr="007E47BB">
              <w:rPr>
                <w:color w:val="auto"/>
              </w:rPr>
              <w:t xml:space="preserve"> rare cancers in paediatric, adolescent</w:t>
            </w:r>
            <w:r>
              <w:rPr>
                <w:color w:val="auto"/>
              </w:rPr>
              <w:t>,</w:t>
            </w:r>
            <w:r w:rsidRPr="007E47BB">
              <w:rPr>
                <w:color w:val="auto"/>
              </w:rPr>
              <w:t xml:space="preserve"> young adult, and adult populations. However, there are several </w:t>
            </w:r>
            <w:r>
              <w:rPr>
                <w:color w:val="auto"/>
              </w:rPr>
              <w:t xml:space="preserve">arrangements </w:t>
            </w:r>
            <w:r w:rsidRPr="007E47BB">
              <w:rPr>
                <w:color w:val="auto"/>
              </w:rPr>
              <w:t xml:space="preserve">that </w:t>
            </w:r>
            <w:r>
              <w:rPr>
                <w:color w:val="auto"/>
              </w:rPr>
              <w:t>need</w:t>
            </w:r>
            <w:r w:rsidRPr="007E47BB">
              <w:rPr>
                <w:color w:val="auto"/>
              </w:rPr>
              <w:t xml:space="preserve"> be put in place before the </w:t>
            </w:r>
            <w:r>
              <w:rPr>
                <w:color w:val="auto"/>
              </w:rPr>
              <w:t xml:space="preserve">supported </w:t>
            </w:r>
            <w:r w:rsidRPr="007E47BB">
              <w:rPr>
                <w:color w:val="auto"/>
              </w:rPr>
              <w:t xml:space="preserve">MBS listing, to ensure that </w:t>
            </w:r>
            <w:r>
              <w:rPr>
                <w:color w:val="auto"/>
              </w:rPr>
              <w:t>eligible</w:t>
            </w:r>
            <w:r w:rsidRPr="007E47BB">
              <w:rPr>
                <w:color w:val="auto"/>
              </w:rPr>
              <w:t xml:space="preserve"> Australian </w:t>
            </w:r>
            <w:r>
              <w:rPr>
                <w:color w:val="auto"/>
              </w:rPr>
              <w:t>patients will have equal</w:t>
            </w:r>
            <w:r w:rsidRPr="007E47BB">
              <w:rPr>
                <w:color w:val="auto"/>
              </w:rPr>
              <w:t xml:space="preserve"> access to this new technology. This includes setting up a way to collect </w:t>
            </w:r>
            <w:r>
              <w:rPr>
                <w:color w:val="auto"/>
              </w:rPr>
              <w:t xml:space="preserve">relevant treatment and outcomes </w:t>
            </w:r>
            <w:r w:rsidRPr="007E47BB">
              <w:rPr>
                <w:color w:val="auto"/>
              </w:rPr>
              <w:t>data</w:t>
            </w:r>
            <w:r>
              <w:rPr>
                <w:color w:val="auto"/>
              </w:rPr>
              <w:t xml:space="preserve"> on</w:t>
            </w:r>
            <w:r w:rsidRPr="007E47BB">
              <w:rPr>
                <w:color w:val="auto"/>
              </w:rPr>
              <w:t xml:space="preserve"> Australian patients</w:t>
            </w:r>
            <w:r>
              <w:rPr>
                <w:color w:val="auto"/>
              </w:rPr>
              <w:t xml:space="preserve"> treated with PRT (before PBT becomes available in Australia) and with PBT (after PBT becomes available in Australia)</w:t>
            </w:r>
            <w:r w:rsidRPr="007E47BB">
              <w:rPr>
                <w:color w:val="auto"/>
              </w:rPr>
              <w:t>.</w:t>
            </w:r>
          </w:p>
        </w:tc>
      </w:tr>
    </w:tbl>
    <w:p w14:paraId="2EC88446" w14:textId="73BB21BA" w:rsidR="00550354" w:rsidRPr="00F715D1" w:rsidRDefault="00550354" w:rsidP="00F715D1">
      <w:pPr>
        <w:pStyle w:val="Heading1"/>
      </w:pPr>
      <w:r w:rsidRPr="00F715D1">
        <w:t xml:space="preserve">Summary of consideration </w:t>
      </w:r>
      <w:r w:rsidR="00D045FD">
        <w:t>and rationale for MSAC’s advice</w:t>
      </w:r>
    </w:p>
    <w:p w14:paraId="027AE65B" w14:textId="14BFA1F5" w:rsidR="007E47BB" w:rsidRDefault="007E47BB" w:rsidP="007E47BB">
      <w:pPr>
        <w:spacing w:after="240"/>
        <w:rPr>
          <w:szCs w:val="24"/>
        </w:rPr>
      </w:pPr>
      <w:r w:rsidRPr="007E47BB">
        <w:rPr>
          <w:szCs w:val="24"/>
        </w:rPr>
        <w:t>MSAC</w:t>
      </w:r>
      <w:r w:rsidR="00FD66A1">
        <w:rPr>
          <w:szCs w:val="24"/>
        </w:rPr>
        <w:t xml:space="preserve"> recall</w:t>
      </w:r>
      <w:r w:rsidR="00213CC6">
        <w:rPr>
          <w:szCs w:val="24"/>
        </w:rPr>
        <w:t>ed</w:t>
      </w:r>
      <w:r w:rsidR="00FD66A1">
        <w:rPr>
          <w:szCs w:val="24"/>
        </w:rPr>
        <w:t xml:space="preserve"> that</w:t>
      </w:r>
      <w:r w:rsidR="00914292">
        <w:rPr>
          <w:szCs w:val="24"/>
        </w:rPr>
        <w:t>,</w:t>
      </w:r>
      <w:r w:rsidR="00FD66A1">
        <w:rPr>
          <w:szCs w:val="24"/>
        </w:rPr>
        <w:t xml:space="preserve"> </w:t>
      </w:r>
      <w:r w:rsidR="00213CC6">
        <w:rPr>
          <w:szCs w:val="24"/>
        </w:rPr>
        <w:t>at its 74</w:t>
      </w:r>
      <w:r w:rsidR="00213CC6" w:rsidRPr="003C1ACA">
        <w:rPr>
          <w:szCs w:val="24"/>
          <w:vertAlign w:val="superscript"/>
        </w:rPr>
        <w:t>th</w:t>
      </w:r>
      <w:r w:rsidR="00213CC6">
        <w:rPr>
          <w:szCs w:val="24"/>
        </w:rPr>
        <w:t xml:space="preserve"> meeting (22-23 November 2018), </w:t>
      </w:r>
      <w:r w:rsidR="00914292">
        <w:rPr>
          <w:szCs w:val="24"/>
        </w:rPr>
        <w:t>it</w:t>
      </w:r>
      <w:r w:rsidR="00FD66A1">
        <w:rPr>
          <w:szCs w:val="24"/>
        </w:rPr>
        <w:t xml:space="preserve"> had considered a previous application</w:t>
      </w:r>
      <w:r w:rsidR="00213CC6">
        <w:rPr>
          <w:szCs w:val="24"/>
        </w:rPr>
        <w:t xml:space="preserve"> </w:t>
      </w:r>
      <w:r w:rsidR="00FD66A1">
        <w:rPr>
          <w:szCs w:val="24"/>
        </w:rPr>
        <w:t>for</w:t>
      </w:r>
      <w:r w:rsidR="00972517">
        <w:rPr>
          <w:szCs w:val="24"/>
        </w:rPr>
        <w:t xml:space="preserve"> </w:t>
      </w:r>
      <w:r w:rsidR="00FD66A1">
        <w:rPr>
          <w:szCs w:val="24"/>
        </w:rPr>
        <w:t>PBT</w:t>
      </w:r>
      <w:r w:rsidR="00213CC6">
        <w:rPr>
          <w:szCs w:val="24"/>
        </w:rPr>
        <w:t xml:space="preserve"> for </w:t>
      </w:r>
      <w:r w:rsidR="00914292">
        <w:rPr>
          <w:szCs w:val="24"/>
        </w:rPr>
        <w:t xml:space="preserve">the types of </w:t>
      </w:r>
      <w:r w:rsidR="00213CC6">
        <w:rPr>
          <w:szCs w:val="24"/>
        </w:rPr>
        <w:t>patient</w:t>
      </w:r>
      <w:r w:rsidR="00756DC6">
        <w:rPr>
          <w:szCs w:val="24"/>
        </w:rPr>
        <w:t>s</w:t>
      </w:r>
      <w:r w:rsidR="00213CC6">
        <w:rPr>
          <w:szCs w:val="24"/>
        </w:rPr>
        <w:t xml:space="preserve"> </w:t>
      </w:r>
      <w:r w:rsidR="00914292">
        <w:rPr>
          <w:szCs w:val="24"/>
        </w:rPr>
        <w:t xml:space="preserve">currently </w:t>
      </w:r>
      <w:r w:rsidR="00213CC6">
        <w:rPr>
          <w:szCs w:val="24"/>
        </w:rPr>
        <w:t xml:space="preserve">supported under the Medical Treatment Overseas Program </w:t>
      </w:r>
      <w:r w:rsidR="008212CA">
        <w:rPr>
          <w:szCs w:val="24"/>
        </w:rPr>
        <w:t>(</w:t>
      </w:r>
      <w:r w:rsidR="009F1D84">
        <w:rPr>
          <w:szCs w:val="24"/>
        </w:rPr>
        <w:t>MTOP</w:t>
      </w:r>
      <w:r w:rsidR="008212CA">
        <w:rPr>
          <w:szCs w:val="24"/>
        </w:rPr>
        <w:t>)</w:t>
      </w:r>
      <w:r w:rsidR="009F1D84">
        <w:rPr>
          <w:szCs w:val="24"/>
        </w:rPr>
        <w:t xml:space="preserve"> </w:t>
      </w:r>
      <w:r w:rsidR="00213CC6">
        <w:rPr>
          <w:szCs w:val="24"/>
        </w:rPr>
        <w:t>(</w:t>
      </w:r>
      <w:hyperlink r:id="rId10" w:history="1">
        <w:r w:rsidR="00213CC6">
          <w:rPr>
            <w:rStyle w:val="Hyperlink"/>
            <w:szCs w:val="24"/>
          </w:rPr>
          <w:t>M</w:t>
        </w:r>
        <w:r w:rsidR="00FD66A1">
          <w:rPr>
            <w:rStyle w:val="Hyperlink"/>
            <w:szCs w:val="24"/>
          </w:rPr>
          <w:t>SAC A</w:t>
        </w:r>
        <w:r w:rsidR="00FD66A1" w:rsidRPr="00FD66A1">
          <w:rPr>
            <w:rStyle w:val="Hyperlink"/>
            <w:szCs w:val="24"/>
          </w:rPr>
          <w:t>pplication 145</w:t>
        </w:r>
        <w:r w:rsidR="00213CC6">
          <w:rPr>
            <w:rStyle w:val="Hyperlink"/>
            <w:szCs w:val="24"/>
          </w:rPr>
          <w:t>5 -</w:t>
        </w:r>
        <w:r w:rsidR="00213CC6" w:rsidRPr="00213CC6">
          <w:t xml:space="preserve"> </w:t>
        </w:r>
        <w:r w:rsidR="00213CC6" w:rsidRPr="00213CC6">
          <w:rPr>
            <w:rStyle w:val="Hyperlink"/>
            <w:szCs w:val="24"/>
          </w:rPr>
          <w:t>Public Summary Document [PSD]</w:t>
        </w:r>
      </w:hyperlink>
      <w:r w:rsidR="00FD66A1">
        <w:rPr>
          <w:szCs w:val="24"/>
        </w:rPr>
        <w:t>).</w:t>
      </w:r>
      <w:r w:rsidR="00FD66A1" w:rsidRPr="007E47BB">
        <w:rPr>
          <w:szCs w:val="24"/>
        </w:rPr>
        <w:t xml:space="preserve"> </w:t>
      </w:r>
      <w:r w:rsidR="00FD66A1">
        <w:rPr>
          <w:szCs w:val="24"/>
        </w:rPr>
        <w:t>MSAC</w:t>
      </w:r>
      <w:r w:rsidRPr="007E47BB">
        <w:rPr>
          <w:szCs w:val="24"/>
        </w:rPr>
        <w:t xml:space="preserve"> noted that </w:t>
      </w:r>
      <w:r w:rsidR="00FD66A1">
        <w:rPr>
          <w:szCs w:val="24"/>
        </w:rPr>
        <w:t>the current a</w:t>
      </w:r>
      <w:r w:rsidRPr="007E47BB">
        <w:rPr>
          <w:szCs w:val="24"/>
        </w:rPr>
        <w:t xml:space="preserve">pplication </w:t>
      </w:r>
      <w:r w:rsidR="001973DD">
        <w:rPr>
          <w:szCs w:val="24"/>
        </w:rPr>
        <w:t xml:space="preserve">for PBT </w:t>
      </w:r>
      <w:r w:rsidR="00FD66A1">
        <w:rPr>
          <w:szCs w:val="24"/>
        </w:rPr>
        <w:t xml:space="preserve">(MSAC </w:t>
      </w:r>
      <w:r w:rsidRPr="007E47BB">
        <w:rPr>
          <w:szCs w:val="24"/>
        </w:rPr>
        <w:t>1638</w:t>
      </w:r>
      <w:r w:rsidR="00FD66A1">
        <w:rPr>
          <w:szCs w:val="24"/>
        </w:rPr>
        <w:t>)</w:t>
      </w:r>
      <w:r w:rsidRPr="007E47BB">
        <w:rPr>
          <w:szCs w:val="24"/>
        </w:rPr>
        <w:t xml:space="preserve"> intended to address </w:t>
      </w:r>
      <w:r w:rsidR="00FD66A1">
        <w:rPr>
          <w:szCs w:val="24"/>
        </w:rPr>
        <w:t xml:space="preserve">the </w:t>
      </w:r>
      <w:r w:rsidRPr="007E47BB">
        <w:rPr>
          <w:szCs w:val="24"/>
        </w:rPr>
        <w:t xml:space="preserve">issues MSAC </w:t>
      </w:r>
      <w:r w:rsidR="00213CC6">
        <w:rPr>
          <w:szCs w:val="24"/>
        </w:rPr>
        <w:t xml:space="preserve">had previously raised </w:t>
      </w:r>
      <w:r w:rsidR="00914292">
        <w:rPr>
          <w:szCs w:val="24"/>
        </w:rPr>
        <w:t xml:space="preserve">regarding </w:t>
      </w:r>
      <w:r w:rsidRPr="007E47BB">
        <w:rPr>
          <w:szCs w:val="24"/>
        </w:rPr>
        <w:t>PBT</w:t>
      </w:r>
      <w:r w:rsidR="00213CC6">
        <w:rPr>
          <w:szCs w:val="24"/>
        </w:rPr>
        <w:t xml:space="preserve"> by providing updated</w:t>
      </w:r>
      <w:r w:rsidR="00914292">
        <w:rPr>
          <w:szCs w:val="24"/>
        </w:rPr>
        <w:t xml:space="preserve"> evidence</w:t>
      </w:r>
      <w:r w:rsidRPr="007E47BB">
        <w:rPr>
          <w:szCs w:val="24"/>
        </w:rPr>
        <w:t xml:space="preserve"> of </w:t>
      </w:r>
      <w:r w:rsidR="00914292">
        <w:rPr>
          <w:szCs w:val="24"/>
        </w:rPr>
        <w:t xml:space="preserve">comparative </w:t>
      </w:r>
      <w:r w:rsidRPr="007E47BB">
        <w:rPr>
          <w:szCs w:val="24"/>
        </w:rPr>
        <w:t>efficacy</w:t>
      </w:r>
      <w:r w:rsidR="00914292">
        <w:rPr>
          <w:szCs w:val="24"/>
        </w:rPr>
        <w:t xml:space="preserve"> and </w:t>
      </w:r>
      <w:r w:rsidRPr="007E47BB">
        <w:rPr>
          <w:szCs w:val="24"/>
        </w:rPr>
        <w:t xml:space="preserve">safety, a cost-utility </w:t>
      </w:r>
      <w:r w:rsidR="006047FD">
        <w:rPr>
          <w:szCs w:val="24"/>
        </w:rPr>
        <w:t>analysis,</w:t>
      </w:r>
      <w:r w:rsidRPr="007E47BB">
        <w:rPr>
          <w:szCs w:val="24"/>
        </w:rPr>
        <w:t xml:space="preserve"> and </w:t>
      </w:r>
      <w:r w:rsidR="00914292">
        <w:rPr>
          <w:szCs w:val="24"/>
        </w:rPr>
        <w:t xml:space="preserve">proposals </w:t>
      </w:r>
      <w:r w:rsidR="00213CC6">
        <w:rPr>
          <w:szCs w:val="24"/>
        </w:rPr>
        <w:t xml:space="preserve">to </w:t>
      </w:r>
      <w:r w:rsidR="00756DC6">
        <w:rPr>
          <w:szCs w:val="24"/>
        </w:rPr>
        <w:t>address</w:t>
      </w:r>
      <w:r w:rsidRPr="007E47BB">
        <w:rPr>
          <w:szCs w:val="24"/>
        </w:rPr>
        <w:t xml:space="preserve"> concerns regarding </w:t>
      </w:r>
      <w:r w:rsidR="006047FD">
        <w:rPr>
          <w:szCs w:val="24"/>
        </w:rPr>
        <w:t xml:space="preserve">the </w:t>
      </w:r>
      <w:r w:rsidRPr="007E47BB">
        <w:rPr>
          <w:szCs w:val="24"/>
        </w:rPr>
        <w:t>implementation</w:t>
      </w:r>
      <w:r w:rsidR="00914292">
        <w:rPr>
          <w:szCs w:val="24"/>
        </w:rPr>
        <w:t xml:space="preserve"> of </w:t>
      </w:r>
      <w:r w:rsidR="006047FD">
        <w:rPr>
          <w:szCs w:val="24"/>
        </w:rPr>
        <w:t xml:space="preserve">an </w:t>
      </w:r>
      <w:r w:rsidR="00914292">
        <w:rPr>
          <w:szCs w:val="24"/>
        </w:rPr>
        <w:t>MBS listing</w:t>
      </w:r>
      <w:r w:rsidRPr="007E47BB">
        <w:rPr>
          <w:szCs w:val="24"/>
        </w:rPr>
        <w:t>.</w:t>
      </w:r>
    </w:p>
    <w:p w14:paraId="56491EC2" w14:textId="2BCF50DE" w:rsidR="00846DFF" w:rsidRDefault="00846DFF" w:rsidP="00846DFF">
      <w:pPr>
        <w:spacing w:after="240"/>
        <w:rPr>
          <w:szCs w:val="24"/>
        </w:rPr>
      </w:pPr>
      <w:r>
        <w:rPr>
          <w:szCs w:val="24"/>
        </w:rPr>
        <w:t>MSAC noted that the populations proposed in MSAC Application 1638 differed from MSAC Application 1455 and were anatomical-</w:t>
      </w:r>
      <w:r w:rsidRPr="00CC71F0">
        <w:rPr>
          <w:szCs w:val="24"/>
        </w:rPr>
        <w:t>based</w:t>
      </w:r>
      <w:r>
        <w:rPr>
          <w:szCs w:val="24"/>
        </w:rPr>
        <w:t xml:space="preserve"> instead of being tumour-</w:t>
      </w:r>
      <w:r w:rsidRPr="00CC71F0">
        <w:rPr>
          <w:szCs w:val="24"/>
        </w:rPr>
        <w:t xml:space="preserve">based </w:t>
      </w:r>
      <w:r>
        <w:rPr>
          <w:szCs w:val="24"/>
        </w:rPr>
        <w:t>as recommended by MSAC previously (</w:t>
      </w:r>
      <w:hyperlink r:id="rId11" w:history="1">
        <w:r w:rsidRPr="008212CA">
          <w:rPr>
            <w:rStyle w:val="Hyperlink"/>
            <w:szCs w:val="24"/>
          </w:rPr>
          <w:t>MSAC 1455 PSD</w:t>
        </w:r>
      </w:hyperlink>
      <w:r>
        <w:rPr>
          <w:szCs w:val="24"/>
        </w:rPr>
        <w:t>). MSAC acknowledged there is a clinical need for PBT in patients with ra</w:t>
      </w:r>
      <w:r w:rsidRPr="00CC71F0">
        <w:rPr>
          <w:szCs w:val="24"/>
        </w:rPr>
        <w:t xml:space="preserve">re malignancies in which radiation therapy </w:t>
      </w:r>
      <w:r>
        <w:rPr>
          <w:szCs w:val="24"/>
        </w:rPr>
        <w:t xml:space="preserve">is the </w:t>
      </w:r>
      <w:r w:rsidRPr="00CC71F0">
        <w:rPr>
          <w:szCs w:val="24"/>
        </w:rPr>
        <w:t>only option</w:t>
      </w:r>
      <w:r>
        <w:rPr>
          <w:szCs w:val="24"/>
        </w:rPr>
        <w:t xml:space="preserve">, as PBT may reduce the radiation risk </w:t>
      </w:r>
      <w:r w:rsidRPr="00CC71F0">
        <w:rPr>
          <w:szCs w:val="24"/>
        </w:rPr>
        <w:t>to surrounding structures (</w:t>
      </w:r>
      <w:proofErr w:type="spellStart"/>
      <w:r w:rsidRPr="00CC71F0">
        <w:rPr>
          <w:szCs w:val="24"/>
        </w:rPr>
        <w:t>eg</w:t>
      </w:r>
      <w:proofErr w:type="spellEnd"/>
      <w:r w:rsidRPr="00CC71F0">
        <w:rPr>
          <w:szCs w:val="24"/>
        </w:rPr>
        <w:t xml:space="preserve"> spinal cord) </w:t>
      </w:r>
      <w:r>
        <w:rPr>
          <w:szCs w:val="24"/>
        </w:rPr>
        <w:t xml:space="preserve">or may reduce the risk of late sequelae in children. </w:t>
      </w:r>
      <w:r w:rsidR="004C7C55">
        <w:rPr>
          <w:szCs w:val="24"/>
        </w:rPr>
        <w:t>Given this</w:t>
      </w:r>
      <w:r w:rsidR="00515404">
        <w:rPr>
          <w:szCs w:val="24"/>
        </w:rPr>
        <w:t>, and consistent with its previous advice which reflected the types of patients currently supported under the MTOP,</w:t>
      </w:r>
      <w:r w:rsidR="004C7C55">
        <w:rPr>
          <w:szCs w:val="24"/>
        </w:rPr>
        <w:t xml:space="preserve"> </w:t>
      </w:r>
      <w:r>
        <w:rPr>
          <w:szCs w:val="24"/>
        </w:rPr>
        <w:t>MSAC recommend</w:t>
      </w:r>
      <w:r w:rsidR="00F91797">
        <w:rPr>
          <w:szCs w:val="24"/>
        </w:rPr>
        <w:t>ed</w:t>
      </w:r>
      <w:r>
        <w:rPr>
          <w:szCs w:val="24"/>
        </w:rPr>
        <w:t xml:space="preserve"> that PBT be restricted </w:t>
      </w:r>
      <w:r w:rsidRPr="00CC71F0">
        <w:rPr>
          <w:szCs w:val="24"/>
        </w:rPr>
        <w:t>to patients with specific malignancies</w:t>
      </w:r>
      <w:r>
        <w:rPr>
          <w:szCs w:val="24"/>
        </w:rPr>
        <w:t xml:space="preserve"> as follows:</w:t>
      </w:r>
    </w:p>
    <w:p w14:paraId="4E2DDD08" w14:textId="10AADE84" w:rsidR="00846DFF" w:rsidRPr="00CC71F0" w:rsidRDefault="00846DFF" w:rsidP="00846DFF">
      <w:pPr>
        <w:pStyle w:val="ListParagraph"/>
        <w:numPr>
          <w:ilvl w:val="0"/>
          <w:numId w:val="32"/>
        </w:numPr>
        <w:spacing w:after="240"/>
        <w:rPr>
          <w:szCs w:val="24"/>
        </w:rPr>
      </w:pPr>
      <w:r>
        <w:rPr>
          <w:szCs w:val="24"/>
        </w:rPr>
        <w:t>F</w:t>
      </w:r>
      <w:r w:rsidRPr="00CC71F0">
        <w:rPr>
          <w:szCs w:val="24"/>
        </w:rPr>
        <w:t>or an adult patient with:</w:t>
      </w:r>
    </w:p>
    <w:p w14:paraId="50854C9A" w14:textId="6DA13AEA" w:rsidR="00846DFF" w:rsidRPr="00CC71F0" w:rsidRDefault="00062741" w:rsidP="00846DFF">
      <w:pPr>
        <w:pStyle w:val="ListParagraph"/>
        <w:numPr>
          <w:ilvl w:val="1"/>
          <w:numId w:val="32"/>
        </w:numPr>
        <w:spacing w:after="240"/>
        <w:rPr>
          <w:szCs w:val="24"/>
        </w:rPr>
      </w:pPr>
      <w:r>
        <w:rPr>
          <w:szCs w:val="24"/>
        </w:rPr>
        <w:t>a</w:t>
      </w:r>
      <w:r w:rsidR="00846DFF" w:rsidRPr="00CC71F0">
        <w:rPr>
          <w:szCs w:val="24"/>
        </w:rPr>
        <w:t xml:space="preserve"> tumour of the base of the skull, including meningioma, </w:t>
      </w:r>
      <w:proofErr w:type="spellStart"/>
      <w:r w:rsidR="00846DFF" w:rsidRPr="00CC71F0">
        <w:rPr>
          <w:szCs w:val="24"/>
        </w:rPr>
        <w:t>chordoma</w:t>
      </w:r>
      <w:proofErr w:type="spellEnd"/>
      <w:r w:rsidR="00846DFF" w:rsidRPr="00CC71F0">
        <w:rPr>
          <w:szCs w:val="24"/>
        </w:rPr>
        <w:t xml:space="preserve"> or chondrosarcoma; or</w:t>
      </w:r>
    </w:p>
    <w:p w14:paraId="24D8A1D7" w14:textId="6FDF1750" w:rsidR="00846DFF" w:rsidRPr="00CC71F0" w:rsidRDefault="00062741" w:rsidP="00846DFF">
      <w:pPr>
        <w:pStyle w:val="ListParagraph"/>
        <w:numPr>
          <w:ilvl w:val="1"/>
          <w:numId w:val="32"/>
        </w:numPr>
        <w:spacing w:after="240"/>
        <w:rPr>
          <w:szCs w:val="24"/>
        </w:rPr>
      </w:pPr>
      <w:r>
        <w:rPr>
          <w:szCs w:val="24"/>
        </w:rPr>
        <w:t>a</w:t>
      </w:r>
      <w:r w:rsidR="00846DFF" w:rsidRPr="00CC71F0">
        <w:rPr>
          <w:szCs w:val="24"/>
        </w:rPr>
        <w:t xml:space="preserve"> tumour of the vertebral column or bony pelvis; or</w:t>
      </w:r>
    </w:p>
    <w:p w14:paraId="25C56C2E" w14:textId="5BE63712" w:rsidR="00846DFF" w:rsidRDefault="00062741" w:rsidP="00846DFF">
      <w:pPr>
        <w:pStyle w:val="ListParagraph"/>
        <w:numPr>
          <w:ilvl w:val="1"/>
          <w:numId w:val="32"/>
        </w:numPr>
        <w:spacing w:after="240"/>
        <w:rPr>
          <w:szCs w:val="24"/>
        </w:rPr>
      </w:pPr>
      <w:proofErr w:type="gramStart"/>
      <w:r>
        <w:rPr>
          <w:szCs w:val="24"/>
        </w:rPr>
        <w:t>a</w:t>
      </w:r>
      <w:r w:rsidR="00846DFF" w:rsidRPr="00CC71F0">
        <w:rPr>
          <w:szCs w:val="24"/>
        </w:rPr>
        <w:t>n</w:t>
      </w:r>
      <w:proofErr w:type="gramEnd"/>
      <w:r w:rsidR="00846DFF" w:rsidRPr="00CC71F0">
        <w:rPr>
          <w:szCs w:val="24"/>
        </w:rPr>
        <w:t xml:space="preserve"> adenoid cystic carcinoma of the salivary or lacrimal gland.</w:t>
      </w:r>
    </w:p>
    <w:p w14:paraId="432D51BA" w14:textId="7F02054E" w:rsidR="00062741" w:rsidRDefault="00846DFF" w:rsidP="00846DFF">
      <w:pPr>
        <w:pStyle w:val="ListParagraph"/>
        <w:numPr>
          <w:ilvl w:val="0"/>
          <w:numId w:val="32"/>
        </w:numPr>
        <w:spacing w:after="240"/>
        <w:rPr>
          <w:szCs w:val="24"/>
        </w:rPr>
      </w:pPr>
      <w:r>
        <w:rPr>
          <w:szCs w:val="24"/>
        </w:rPr>
        <w:t>F</w:t>
      </w:r>
      <w:r w:rsidRPr="00CC71F0">
        <w:rPr>
          <w:szCs w:val="24"/>
        </w:rPr>
        <w:t>or a patient under the age of 25 years</w:t>
      </w:r>
      <w:r w:rsidR="00062741">
        <w:rPr>
          <w:szCs w:val="24"/>
        </w:rPr>
        <w:t>:</w:t>
      </w:r>
    </w:p>
    <w:p w14:paraId="21D3E798" w14:textId="0ABCEAFC" w:rsidR="00846DFF" w:rsidRPr="00CC71F0" w:rsidRDefault="00846DFF" w:rsidP="004C7C55">
      <w:pPr>
        <w:pStyle w:val="ListParagraph"/>
        <w:numPr>
          <w:ilvl w:val="1"/>
          <w:numId w:val="32"/>
        </w:numPr>
        <w:spacing w:after="240"/>
        <w:rPr>
          <w:szCs w:val="24"/>
        </w:rPr>
      </w:pPr>
      <w:r w:rsidRPr="00CC71F0">
        <w:rPr>
          <w:szCs w:val="24"/>
        </w:rPr>
        <w:t xml:space="preserve"> </w:t>
      </w:r>
      <w:r w:rsidR="00062741">
        <w:rPr>
          <w:szCs w:val="24"/>
        </w:rPr>
        <w:t xml:space="preserve">with </w:t>
      </w:r>
      <w:r w:rsidRPr="00CC71F0">
        <w:rPr>
          <w:szCs w:val="24"/>
        </w:rPr>
        <w:t>a solid tumour located in:</w:t>
      </w:r>
    </w:p>
    <w:p w14:paraId="5968859D" w14:textId="1EB689E2" w:rsidR="00846DFF" w:rsidRPr="00CC71F0" w:rsidRDefault="00062741" w:rsidP="004C7C55">
      <w:pPr>
        <w:pStyle w:val="ListParagraph"/>
        <w:numPr>
          <w:ilvl w:val="2"/>
          <w:numId w:val="32"/>
        </w:numPr>
        <w:spacing w:after="240"/>
        <w:rPr>
          <w:szCs w:val="24"/>
        </w:rPr>
      </w:pPr>
      <w:r>
        <w:rPr>
          <w:szCs w:val="24"/>
        </w:rPr>
        <w:lastRenderedPageBreak/>
        <w:t>t</w:t>
      </w:r>
      <w:r w:rsidR="00846DFF" w:rsidRPr="00CC71F0">
        <w:rPr>
          <w:szCs w:val="24"/>
        </w:rPr>
        <w:t>he central nervous system; or</w:t>
      </w:r>
    </w:p>
    <w:p w14:paraId="19DAB83F" w14:textId="136F3C99" w:rsidR="00846DFF" w:rsidRPr="00CC71F0" w:rsidRDefault="00062741" w:rsidP="004C7C55">
      <w:pPr>
        <w:pStyle w:val="ListParagraph"/>
        <w:numPr>
          <w:ilvl w:val="2"/>
          <w:numId w:val="32"/>
        </w:numPr>
        <w:spacing w:after="240"/>
        <w:rPr>
          <w:szCs w:val="24"/>
        </w:rPr>
      </w:pPr>
      <w:r>
        <w:rPr>
          <w:szCs w:val="24"/>
        </w:rPr>
        <w:t>t</w:t>
      </w:r>
      <w:r w:rsidR="00846DFF" w:rsidRPr="00CC71F0">
        <w:rPr>
          <w:szCs w:val="24"/>
        </w:rPr>
        <w:t>he orbit, including retinoblastoma; or</w:t>
      </w:r>
    </w:p>
    <w:p w14:paraId="76DB050D" w14:textId="1BE867E0" w:rsidR="00846DFF" w:rsidRPr="00CC71F0" w:rsidRDefault="00062741" w:rsidP="004C7C55">
      <w:pPr>
        <w:pStyle w:val="ListParagraph"/>
        <w:numPr>
          <w:ilvl w:val="2"/>
          <w:numId w:val="32"/>
        </w:numPr>
        <w:spacing w:after="240"/>
        <w:rPr>
          <w:szCs w:val="24"/>
        </w:rPr>
      </w:pPr>
      <w:r>
        <w:rPr>
          <w:szCs w:val="24"/>
        </w:rPr>
        <w:t>t</w:t>
      </w:r>
      <w:r w:rsidR="00846DFF" w:rsidRPr="00CC71F0">
        <w:rPr>
          <w:szCs w:val="24"/>
        </w:rPr>
        <w:t>he axial skeleton or in close proximity to the axial skeleton, including bone or soft tissue sarcoma;</w:t>
      </w:r>
      <w:r>
        <w:rPr>
          <w:szCs w:val="24"/>
        </w:rPr>
        <w:t xml:space="preserve"> or</w:t>
      </w:r>
    </w:p>
    <w:p w14:paraId="4B5DBE74" w14:textId="158A6129" w:rsidR="00846DFF" w:rsidRPr="00CC71F0" w:rsidRDefault="00846DFF" w:rsidP="00846DFF">
      <w:pPr>
        <w:pStyle w:val="ListParagraph"/>
        <w:numPr>
          <w:ilvl w:val="1"/>
          <w:numId w:val="32"/>
        </w:numPr>
        <w:spacing w:after="240"/>
        <w:rPr>
          <w:szCs w:val="24"/>
        </w:rPr>
      </w:pPr>
      <w:r w:rsidRPr="00CC71F0">
        <w:rPr>
          <w:szCs w:val="24"/>
        </w:rPr>
        <w:t>with one of the following tumour types:</w:t>
      </w:r>
    </w:p>
    <w:p w14:paraId="6660565C" w14:textId="79F6D03A" w:rsidR="00846DFF" w:rsidRPr="00CC71F0" w:rsidRDefault="00062741" w:rsidP="00846DFF">
      <w:pPr>
        <w:pStyle w:val="ListParagraph"/>
        <w:numPr>
          <w:ilvl w:val="2"/>
          <w:numId w:val="32"/>
        </w:numPr>
        <w:spacing w:after="240"/>
        <w:rPr>
          <w:szCs w:val="24"/>
        </w:rPr>
      </w:pPr>
      <w:proofErr w:type="spellStart"/>
      <w:r>
        <w:rPr>
          <w:szCs w:val="24"/>
        </w:rPr>
        <w:t>c</w:t>
      </w:r>
      <w:r w:rsidR="00846DFF" w:rsidRPr="00CC71F0">
        <w:rPr>
          <w:szCs w:val="24"/>
        </w:rPr>
        <w:t>raniopharyngioma</w:t>
      </w:r>
      <w:proofErr w:type="spellEnd"/>
    </w:p>
    <w:p w14:paraId="18DDE8AE" w14:textId="63FA76ED" w:rsidR="00846DFF" w:rsidRPr="00CC71F0" w:rsidRDefault="00062741" w:rsidP="00846DFF">
      <w:pPr>
        <w:pStyle w:val="ListParagraph"/>
        <w:numPr>
          <w:ilvl w:val="2"/>
          <w:numId w:val="32"/>
        </w:numPr>
        <w:spacing w:after="240"/>
        <w:rPr>
          <w:szCs w:val="24"/>
        </w:rPr>
      </w:pPr>
      <w:r>
        <w:rPr>
          <w:szCs w:val="24"/>
        </w:rPr>
        <w:t>i</w:t>
      </w:r>
      <w:r w:rsidR="00846DFF" w:rsidRPr="00CC71F0">
        <w:rPr>
          <w:szCs w:val="24"/>
        </w:rPr>
        <w:t>ntracranial germ cell tumour</w:t>
      </w:r>
    </w:p>
    <w:p w14:paraId="14342C36" w14:textId="2DE437E6" w:rsidR="00846DFF" w:rsidRPr="00CC71F0" w:rsidRDefault="00062741" w:rsidP="00846DFF">
      <w:pPr>
        <w:pStyle w:val="ListParagraph"/>
        <w:numPr>
          <w:ilvl w:val="2"/>
          <w:numId w:val="32"/>
        </w:numPr>
        <w:spacing w:after="240"/>
        <w:rPr>
          <w:szCs w:val="24"/>
        </w:rPr>
      </w:pPr>
      <w:proofErr w:type="spellStart"/>
      <w:r>
        <w:rPr>
          <w:szCs w:val="24"/>
        </w:rPr>
        <w:t>n</w:t>
      </w:r>
      <w:r w:rsidR="00846DFF" w:rsidRPr="00CC71F0">
        <w:rPr>
          <w:szCs w:val="24"/>
        </w:rPr>
        <w:t>euroblastoma</w:t>
      </w:r>
      <w:proofErr w:type="spellEnd"/>
    </w:p>
    <w:p w14:paraId="3090D4A8" w14:textId="327DF67C" w:rsidR="00846DFF" w:rsidRPr="00CC71F0" w:rsidRDefault="00062741" w:rsidP="00846DFF">
      <w:pPr>
        <w:pStyle w:val="ListParagraph"/>
        <w:numPr>
          <w:ilvl w:val="2"/>
          <w:numId w:val="32"/>
        </w:numPr>
        <w:spacing w:after="240"/>
        <w:rPr>
          <w:szCs w:val="24"/>
        </w:rPr>
      </w:pPr>
      <w:proofErr w:type="spellStart"/>
      <w:proofErr w:type="gramStart"/>
      <w:r>
        <w:rPr>
          <w:szCs w:val="24"/>
        </w:rPr>
        <w:t>n</w:t>
      </w:r>
      <w:r w:rsidR="00846DFF" w:rsidRPr="00CC71F0">
        <w:rPr>
          <w:szCs w:val="24"/>
        </w:rPr>
        <w:t>ephroblastoma</w:t>
      </w:r>
      <w:proofErr w:type="spellEnd"/>
      <w:proofErr w:type="gramEnd"/>
      <w:r w:rsidR="00846DFF">
        <w:rPr>
          <w:szCs w:val="24"/>
        </w:rPr>
        <w:t>.</w:t>
      </w:r>
    </w:p>
    <w:p w14:paraId="6D036E7D" w14:textId="63605B89" w:rsidR="0080248E" w:rsidRPr="0080248E" w:rsidRDefault="0080248E" w:rsidP="0080248E">
      <w:pPr>
        <w:spacing w:after="240"/>
        <w:rPr>
          <w:szCs w:val="24"/>
        </w:rPr>
      </w:pPr>
      <w:r w:rsidRPr="0080248E">
        <w:rPr>
          <w:szCs w:val="24"/>
        </w:rPr>
        <w:t>MSAC noted the pre-MSAC response expressed the applicant’s willingness to work with the Department to amend the item descriptor to specify cancer types</w:t>
      </w:r>
      <w:r w:rsidR="00515404">
        <w:rPr>
          <w:szCs w:val="24"/>
        </w:rPr>
        <w:t xml:space="preserve"> and made no change to the expected size of the eligible population</w:t>
      </w:r>
      <w:r w:rsidRPr="0080248E">
        <w:rPr>
          <w:szCs w:val="24"/>
        </w:rPr>
        <w:t xml:space="preserve">. </w:t>
      </w:r>
      <w:r w:rsidR="00515404">
        <w:rPr>
          <w:szCs w:val="24"/>
        </w:rPr>
        <w:t xml:space="preserve">Accordingly, </w:t>
      </w:r>
      <w:r w:rsidRPr="0080248E">
        <w:rPr>
          <w:szCs w:val="24"/>
        </w:rPr>
        <w:t>MSAC advised that the proposed item descriptors should be amended to specify the MSAC</w:t>
      </w:r>
      <w:r>
        <w:rPr>
          <w:szCs w:val="24"/>
        </w:rPr>
        <w:t>-</w:t>
      </w:r>
      <w:r w:rsidRPr="0080248E">
        <w:rPr>
          <w:szCs w:val="24"/>
        </w:rPr>
        <w:t>recommended patient populations. MSAC also considered the definition for AYA and recommended that the cut-off should be 25 years of age, to be consistent with the definition of AYA in clinical practice and organisations such as Cancer Institute NSW</w:t>
      </w:r>
      <w:r w:rsidR="00E37538">
        <w:rPr>
          <w:szCs w:val="24"/>
        </w:rPr>
        <w:t>, Cancer Australia</w:t>
      </w:r>
      <w:r w:rsidRPr="0080248E">
        <w:rPr>
          <w:szCs w:val="24"/>
        </w:rPr>
        <w:t>.</w:t>
      </w:r>
      <w:r w:rsidR="00136CD6">
        <w:rPr>
          <w:szCs w:val="24"/>
        </w:rPr>
        <w:t xml:space="preserve"> MSAC also supported the Department’s proposal that PBT would be delivered mostly as a Type C procedure.</w:t>
      </w:r>
    </w:p>
    <w:p w14:paraId="3EA3A0D4" w14:textId="7DA1BE82" w:rsidR="007A3690" w:rsidRDefault="00A32AE1" w:rsidP="007A3690">
      <w:pPr>
        <w:spacing w:after="240"/>
        <w:rPr>
          <w:szCs w:val="24"/>
        </w:rPr>
      </w:pPr>
      <w:r>
        <w:rPr>
          <w:szCs w:val="24"/>
        </w:rPr>
        <w:t>MSAC recalled that i</w:t>
      </w:r>
      <w:r w:rsidR="00911E1C">
        <w:rPr>
          <w:szCs w:val="24"/>
        </w:rPr>
        <w:t>t</w:t>
      </w:r>
      <w:r>
        <w:rPr>
          <w:szCs w:val="24"/>
        </w:rPr>
        <w:t xml:space="preserve"> had previously accepted that PBT </w:t>
      </w:r>
      <w:r w:rsidR="00911E1C">
        <w:rPr>
          <w:szCs w:val="24"/>
        </w:rPr>
        <w:t xml:space="preserve">“has </w:t>
      </w:r>
      <w:r w:rsidR="00911E1C" w:rsidRPr="00911E1C">
        <w:rPr>
          <w:szCs w:val="24"/>
        </w:rPr>
        <w:t>likely similar effectiveness to PRT overall, but evidence of superior safety over PRT exists only in paediatric tumours, with the most persuasive case being for paediatric brain or spinal tumours, and possibly a subset of adult brain or spinal tumours”</w:t>
      </w:r>
      <w:r>
        <w:rPr>
          <w:szCs w:val="24"/>
        </w:rPr>
        <w:t xml:space="preserve">. </w:t>
      </w:r>
      <w:r w:rsidR="007E47BB" w:rsidRPr="007E47BB">
        <w:rPr>
          <w:szCs w:val="24"/>
        </w:rPr>
        <w:t xml:space="preserve">MSAC </w:t>
      </w:r>
      <w:r>
        <w:rPr>
          <w:szCs w:val="24"/>
        </w:rPr>
        <w:t>noted the updated clinical evidence base and acknowledged the</w:t>
      </w:r>
      <w:r w:rsidR="007E47BB" w:rsidRPr="007E47BB">
        <w:rPr>
          <w:szCs w:val="24"/>
        </w:rPr>
        <w:t xml:space="preserve"> limitations in the evidence</w:t>
      </w:r>
      <w:r w:rsidR="00911E1C">
        <w:rPr>
          <w:szCs w:val="24"/>
        </w:rPr>
        <w:t xml:space="preserve"> as highlighted by </w:t>
      </w:r>
      <w:r w:rsidR="007A3690">
        <w:rPr>
          <w:szCs w:val="24"/>
        </w:rPr>
        <w:t xml:space="preserve">the Evaluation Sub-Committee </w:t>
      </w:r>
      <w:r w:rsidR="008212CA">
        <w:rPr>
          <w:szCs w:val="24"/>
        </w:rPr>
        <w:t>(</w:t>
      </w:r>
      <w:r w:rsidR="00911E1C">
        <w:rPr>
          <w:szCs w:val="24"/>
        </w:rPr>
        <w:t>ESC</w:t>
      </w:r>
      <w:r w:rsidR="008212CA">
        <w:rPr>
          <w:szCs w:val="24"/>
        </w:rPr>
        <w:t>)</w:t>
      </w:r>
      <w:r w:rsidR="00911E1C">
        <w:rPr>
          <w:szCs w:val="24"/>
        </w:rPr>
        <w:t xml:space="preserve"> (e.g. </w:t>
      </w:r>
      <w:r w:rsidR="007E47BB" w:rsidRPr="007E47BB">
        <w:rPr>
          <w:szCs w:val="24"/>
        </w:rPr>
        <w:t xml:space="preserve">retrospective studies </w:t>
      </w:r>
      <w:r w:rsidR="00911E1C">
        <w:rPr>
          <w:szCs w:val="24"/>
        </w:rPr>
        <w:t xml:space="preserve">with </w:t>
      </w:r>
      <w:r w:rsidR="007E47BB" w:rsidRPr="007E47BB">
        <w:rPr>
          <w:szCs w:val="24"/>
        </w:rPr>
        <w:t>a high to very high risk of bias</w:t>
      </w:r>
      <w:r w:rsidR="007A3690">
        <w:rPr>
          <w:szCs w:val="24"/>
        </w:rPr>
        <w:t xml:space="preserve"> in</w:t>
      </w:r>
      <w:r w:rsidR="00911E1C">
        <w:rPr>
          <w:szCs w:val="24"/>
        </w:rPr>
        <w:t xml:space="preserve"> small </w:t>
      </w:r>
      <w:r w:rsidR="007A3690">
        <w:rPr>
          <w:szCs w:val="24"/>
        </w:rPr>
        <w:t>heterogeneous</w:t>
      </w:r>
      <w:r w:rsidR="00911E1C">
        <w:rPr>
          <w:szCs w:val="24"/>
        </w:rPr>
        <w:t xml:space="preserve"> populations)</w:t>
      </w:r>
      <w:r w:rsidR="007E47BB" w:rsidRPr="007E47BB">
        <w:rPr>
          <w:szCs w:val="24"/>
        </w:rPr>
        <w:t xml:space="preserve">. </w:t>
      </w:r>
      <w:r w:rsidR="00911E1C">
        <w:rPr>
          <w:szCs w:val="24"/>
        </w:rPr>
        <w:t>However, MSAC noted that there was no new evidence to justify chan</w:t>
      </w:r>
      <w:r w:rsidR="004F28D5">
        <w:rPr>
          <w:szCs w:val="24"/>
        </w:rPr>
        <w:t>ging the</w:t>
      </w:r>
      <w:r w:rsidR="00911E1C">
        <w:rPr>
          <w:szCs w:val="24"/>
        </w:rPr>
        <w:t xml:space="preserve"> previous conclusions on </w:t>
      </w:r>
      <w:r w:rsidR="004C7C55">
        <w:rPr>
          <w:szCs w:val="24"/>
        </w:rPr>
        <w:t xml:space="preserve">the comparative </w:t>
      </w:r>
      <w:r w:rsidR="00911E1C">
        <w:rPr>
          <w:szCs w:val="24"/>
        </w:rPr>
        <w:t>safety and efficacy</w:t>
      </w:r>
      <w:r w:rsidR="007A3690">
        <w:rPr>
          <w:szCs w:val="24"/>
        </w:rPr>
        <w:t xml:space="preserve"> of PBT</w:t>
      </w:r>
      <w:r w:rsidR="00911E1C">
        <w:rPr>
          <w:szCs w:val="24"/>
        </w:rPr>
        <w:t>. Therefore,</w:t>
      </w:r>
      <w:r w:rsidR="007E47BB" w:rsidRPr="007E47BB">
        <w:rPr>
          <w:szCs w:val="24"/>
        </w:rPr>
        <w:t xml:space="preserve"> MSAC accepted that PBT has superior safety and non-inferior effectiveness compared with PRT</w:t>
      </w:r>
      <w:r w:rsidR="00911E1C">
        <w:rPr>
          <w:szCs w:val="24"/>
        </w:rPr>
        <w:t xml:space="preserve"> in </w:t>
      </w:r>
      <w:r w:rsidR="00E65E42">
        <w:rPr>
          <w:szCs w:val="24"/>
        </w:rPr>
        <w:t>specified rare cancers in paediatric, AYA, and adult populations</w:t>
      </w:r>
      <w:r w:rsidR="002610B1">
        <w:rPr>
          <w:szCs w:val="24"/>
        </w:rPr>
        <w:t xml:space="preserve"> who have </w:t>
      </w:r>
      <w:r w:rsidR="002610B1" w:rsidRPr="007A3690">
        <w:rPr>
          <w:szCs w:val="24"/>
        </w:rPr>
        <w:t xml:space="preserve">a </w:t>
      </w:r>
      <w:r w:rsidR="002610B1">
        <w:rPr>
          <w:szCs w:val="24"/>
        </w:rPr>
        <w:t xml:space="preserve">demonstrated </w:t>
      </w:r>
      <w:r w:rsidR="002610B1" w:rsidRPr="007A3690">
        <w:rPr>
          <w:szCs w:val="24"/>
        </w:rPr>
        <w:t>high clinical need</w:t>
      </w:r>
      <w:r w:rsidR="007E47BB" w:rsidRPr="007E47BB">
        <w:rPr>
          <w:szCs w:val="24"/>
        </w:rPr>
        <w:t xml:space="preserve">. </w:t>
      </w:r>
      <w:r w:rsidR="00880082">
        <w:rPr>
          <w:szCs w:val="24"/>
        </w:rPr>
        <w:t xml:space="preserve">MSAC </w:t>
      </w:r>
      <w:r w:rsidR="002610B1">
        <w:rPr>
          <w:szCs w:val="24"/>
        </w:rPr>
        <w:t xml:space="preserve">advised </w:t>
      </w:r>
      <w:r w:rsidR="00880082">
        <w:rPr>
          <w:szCs w:val="24"/>
        </w:rPr>
        <w:t>that</w:t>
      </w:r>
      <w:r w:rsidR="00133A21">
        <w:rPr>
          <w:szCs w:val="24"/>
        </w:rPr>
        <w:t>,</w:t>
      </w:r>
      <w:r w:rsidR="00880082">
        <w:rPr>
          <w:szCs w:val="24"/>
        </w:rPr>
        <w:t xml:space="preserve"> for PBT to be considered for </w:t>
      </w:r>
      <w:r w:rsidR="00133A21">
        <w:rPr>
          <w:szCs w:val="24"/>
        </w:rPr>
        <w:t xml:space="preserve">MBS listing </w:t>
      </w:r>
      <w:r w:rsidR="00880082">
        <w:rPr>
          <w:szCs w:val="24"/>
        </w:rPr>
        <w:t xml:space="preserve">in other </w:t>
      </w:r>
      <w:r w:rsidR="002610B1">
        <w:rPr>
          <w:szCs w:val="24"/>
        </w:rPr>
        <w:t xml:space="preserve">rare </w:t>
      </w:r>
      <w:r w:rsidR="00880082">
        <w:rPr>
          <w:szCs w:val="24"/>
        </w:rPr>
        <w:t xml:space="preserve">tumour types </w:t>
      </w:r>
      <w:r w:rsidR="002610B1">
        <w:rPr>
          <w:szCs w:val="24"/>
        </w:rPr>
        <w:t xml:space="preserve">meeting the </w:t>
      </w:r>
      <w:r w:rsidR="00133A21">
        <w:rPr>
          <w:szCs w:val="24"/>
        </w:rPr>
        <w:t xml:space="preserve">biologically plausible </w:t>
      </w:r>
      <w:r w:rsidR="002610B1">
        <w:rPr>
          <w:szCs w:val="24"/>
        </w:rPr>
        <w:t xml:space="preserve">intent of the applicant’s anatomical-based item descriptors </w:t>
      </w:r>
      <w:r w:rsidR="00880082">
        <w:rPr>
          <w:szCs w:val="24"/>
        </w:rPr>
        <w:t>(beyond those specified by MSAC above)</w:t>
      </w:r>
      <w:r w:rsidR="00133A21">
        <w:rPr>
          <w:szCs w:val="24"/>
        </w:rPr>
        <w:t>,</w:t>
      </w:r>
      <w:r w:rsidR="00880082">
        <w:rPr>
          <w:szCs w:val="24"/>
        </w:rPr>
        <w:t xml:space="preserve"> a </w:t>
      </w:r>
      <w:r w:rsidR="00515404">
        <w:rPr>
          <w:szCs w:val="24"/>
        </w:rPr>
        <w:t xml:space="preserve">clear </w:t>
      </w:r>
      <w:r w:rsidR="00880082">
        <w:rPr>
          <w:szCs w:val="24"/>
        </w:rPr>
        <w:t>clinical evidence base</w:t>
      </w:r>
      <w:r w:rsidR="00515404">
        <w:rPr>
          <w:szCs w:val="24"/>
        </w:rPr>
        <w:t>, with associated economic analysis,</w:t>
      </w:r>
      <w:r w:rsidR="00880082">
        <w:rPr>
          <w:szCs w:val="24"/>
        </w:rPr>
        <w:t xml:space="preserve"> would be required</w:t>
      </w:r>
      <w:r w:rsidR="004C7C55">
        <w:rPr>
          <w:szCs w:val="24"/>
        </w:rPr>
        <w:t xml:space="preserve"> for these </w:t>
      </w:r>
      <w:r w:rsidR="00515404">
        <w:rPr>
          <w:szCs w:val="24"/>
        </w:rPr>
        <w:t>additional</w:t>
      </w:r>
      <w:r w:rsidR="004C7C55">
        <w:rPr>
          <w:szCs w:val="24"/>
        </w:rPr>
        <w:t xml:space="preserve"> tumour types</w:t>
      </w:r>
      <w:r w:rsidR="00880082">
        <w:rPr>
          <w:szCs w:val="24"/>
        </w:rPr>
        <w:t>.</w:t>
      </w:r>
      <w:r w:rsidR="002610B1">
        <w:rPr>
          <w:szCs w:val="24"/>
        </w:rPr>
        <w:t xml:space="preserve"> </w:t>
      </w:r>
      <w:r w:rsidR="007E47BB" w:rsidRPr="007A3690">
        <w:rPr>
          <w:szCs w:val="24"/>
        </w:rPr>
        <w:t xml:space="preserve">MSAC </w:t>
      </w:r>
      <w:r w:rsidR="002610B1">
        <w:rPr>
          <w:szCs w:val="24"/>
        </w:rPr>
        <w:t>further advised that a stronger clinical evidence base and economic analysis would be required for more common cancer types, noting that current randomised trials which have been conducted in some of these common cancer types (such as non-small cell lung cancer</w:t>
      </w:r>
      <w:r w:rsidR="00133A21">
        <w:rPr>
          <w:szCs w:val="24"/>
        </w:rPr>
        <w:t xml:space="preserve"> and cancer of the oesophagus</w:t>
      </w:r>
      <w:r w:rsidR="002610B1">
        <w:rPr>
          <w:szCs w:val="24"/>
        </w:rPr>
        <w:t xml:space="preserve">) have </w:t>
      </w:r>
      <w:r w:rsidR="00133A21">
        <w:rPr>
          <w:szCs w:val="24"/>
        </w:rPr>
        <w:t xml:space="preserve">not convincingly </w:t>
      </w:r>
      <w:r w:rsidR="002610B1">
        <w:rPr>
          <w:szCs w:val="24"/>
        </w:rPr>
        <w:t xml:space="preserve">demonstrated </w:t>
      </w:r>
      <w:r w:rsidR="00133A21">
        <w:rPr>
          <w:szCs w:val="24"/>
        </w:rPr>
        <w:t>any</w:t>
      </w:r>
      <w:r w:rsidR="002610B1">
        <w:rPr>
          <w:szCs w:val="24"/>
        </w:rPr>
        <w:t xml:space="preserve"> clinical superiority for PBT over PRT.</w:t>
      </w:r>
    </w:p>
    <w:p w14:paraId="2E925915" w14:textId="227F46B5" w:rsidR="00816221" w:rsidRPr="007E47BB" w:rsidRDefault="007A3690" w:rsidP="00816221">
      <w:pPr>
        <w:spacing w:after="240"/>
        <w:rPr>
          <w:szCs w:val="24"/>
        </w:rPr>
      </w:pPr>
      <w:r w:rsidRPr="007E47BB">
        <w:rPr>
          <w:szCs w:val="24"/>
        </w:rPr>
        <w:t xml:space="preserve">MSAC noted </w:t>
      </w:r>
      <w:r w:rsidR="007C4805">
        <w:rPr>
          <w:szCs w:val="24"/>
        </w:rPr>
        <w:t>the economic evaluation was a cost-utility analysis c</w:t>
      </w:r>
      <w:r w:rsidR="007C4805" w:rsidRPr="007C4805">
        <w:rPr>
          <w:szCs w:val="24"/>
        </w:rPr>
        <w:t xml:space="preserve">omparing PBT and PRT </w:t>
      </w:r>
      <w:r w:rsidR="007C4805">
        <w:rPr>
          <w:szCs w:val="24"/>
        </w:rPr>
        <w:t xml:space="preserve">based upon </w:t>
      </w:r>
      <w:r w:rsidRPr="007E47BB">
        <w:rPr>
          <w:szCs w:val="24"/>
        </w:rPr>
        <w:t>the prop</w:t>
      </w:r>
      <w:r w:rsidR="009F1D84">
        <w:rPr>
          <w:szCs w:val="24"/>
        </w:rPr>
        <w:t xml:space="preserve">osed cost of PBT (excluding </w:t>
      </w:r>
      <w:r w:rsidRPr="007E47BB">
        <w:rPr>
          <w:szCs w:val="24"/>
        </w:rPr>
        <w:t xml:space="preserve">capital costs) </w:t>
      </w:r>
      <w:r w:rsidR="003E3E3C">
        <w:rPr>
          <w:szCs w:val="24"/>
        </w:rPr>
        <w:t>of</w:t>
      </w:r>
      <w:r w:rsidRPr="007E47BB">
        <w:rPr>
          <w:szCs w:val="24"/>
        </w:rPr>
        <w:t xml:space="preserve"> </w:t>
      </w:r>
      <w:r w:rsidR="00E205E3">
        <w:rPr>
          <w:szCs w:val="24"/>
        </w:rPr>
        <w:t xml:space="preserve">around </w:t>
      </w:r>
      <w:r w:rsidRPr="007E47BB">
        <w:rPr>
          <w:szCs w:val="24"/>
        </w:rPr>
        <w:t xml:space="preserve">$43,000 per course versus </w:t>
      </w:r>
      <w:r w:rsidR="00E205E3">
        <w:rPr>
          <w:szCs w:val="24"/>
        </w:rPr>
        <w:t xml:space="preserve">around </w:t>
      </w:r>
      <w:r w:rsidRPr="007E47BB">
        <w:rPr>
          <w:szCs w:val="24"/>
        </w:rPr>
        <w:t xml:space="preserve">$14,000 for PRT. </w:t>
      </w:r>
      <w:r w:rsidR="003E3E3C">
        <w:rPr>
          <w:szCs w:val="24"/>
        </w:rPr>
        <w:t>MSAC noted that in comparison, the</w:t>
      </w:r>
      <w:r w:rsidRPr="007E47BB">
        <w:rPr>
          <w:szCs w:val="24"/>
        </w:rPr>
        <w:t xml:space="preserve"> Australian Government cost </w:t>
      </w:r>
      <w:r w:rsidR="00AC15D1">
        <w:rPr>
          <w:szCs w:val="24"/>
        </w:rPr>
        <w:t xml:space="preserve">is </w:t>
      </w:r>
      <w:r w:rsidRPr="007E47BB">
        <w:rPr>
          <w:szCs w:val="24"/>
        </w:rPr>
        <w:t xml:space="preserve">around $284,000 per patient for </w:t>
      </w:r>
      <w:r w:rsidR="009F1D84">
        <w:rPr>
          <w:szCs w:val="24"/>
        </w:rPr>
        <w:t xml:space="preserve">treatment with PBT overseas </w:t>
      </w:r>
      <w:r w:rsidRPr="007E47BB">
        <w:rPr>
          <w:szCs w:val="24"/>
        </w:rPr>
        <w:t>under MTOP. From 2015–16 to 2019–20, MTOP has funded approximately seven applicants per year, at a cost of around $2 million per year.</w:t>
      </w:r>
      <w:r w:rsidR="00816221" w:rsidRPr="00816221">
        <w:rPr>
          <w:szCs w:val="24"/>
        </w:rPr>
        <w:t xml:space="preserve"> </w:t>
      </w:r>
      <w:r w:rsidR="00816221" w:rsidRPr="007E47BB">
        <w:rPr>
          <w:szCs w:val="24"/>
        </w:rPr>
        <w:t>MSAC considered that the estimates of cost-effectiveness were uncertain due to limitations in the evidence</w:t>
      </w:r>
      <w:r w:rsidR="00816221">
        <w:rPr>
          <w:szCs w:val="24"/>
        </w:rPr>
        <w:t xml:space="preserve"> as highlighted by ESC</w:t>
      </w:r>
      <w:r w:rsidR="00816221" w:rsidRPr="007E47BB">
        <w:rPr>
          <w:szCs w:val="24"/>
        </w:rPr>
        <w:t>. However, MSAC accepted that, by sufficiently decreasing the rates of toxicity events across these patients, PBT would result in sufficient net improvements in quality of life and cost offsets from reduced provision of healthcare resources</w:t>
      </w:r>
      <w:r w:rsidR="006047FD">
        <w:rPr>
          <w:szCs w:val="24"/>
        </w:rPr>
        <w:t xml:space="preserve"> to be acceptably cost-effective overall in the MSAC-supported rare cancer types</w:t>
      </w:r>
      <w:r w:rsidR="00816221" w:rsidRPr="007E47BB">
        <w:rPr>
          <w:szCs w:val="24"/>
        </w:rPr>
        <w:t>.</w:t>
      </w:r>
    </w:p>
    <w:p w14:paraId="6F0EA6B3" w14:textId="0494B69A" w:rsidR="007A3690" w:rsidRDefault="00AC15D1" w:rsidP="007A3690">
      <w:pPr>
        <w:spacing w:after="240"/>
        <w:rPr>
          <w:szCs w:val="24"/>
        </w:rPr>
      </w:pPr>
      <w:r>
        <w:rPr>
          <w:szCs w:val="24"/>
        </w:rPr>
        <w:lastRenderedPageBreak/>
        <w:t xml:space="preserve">MSAC </w:t>
      </w:r>
      <w:r w:rsidR="00607C26">
        <w:rPr>
          <w:szCs w:val="24"/>
        </w:rPr>
        <w:t>noted the applicant and relevant specialist organisations supported the proposal to prospectively collect</w:t>
      </w:r>
      <w:r>
        <w:rPr>
          <w:szCs w:val="24"/>
        </w:rPr>
        <w:t xml:space="preserve"> Australian PRT and PBT patient data</w:t>
      </w:r>
      <w:r w:rsidR="00233131">
        <w:rPr>
          <w:szCs w:val="24"/>
        </w:rPr>
        <w:t xml:space="preserve"> by extending the type of data collected and collating this at the national level by overlapping within existing arrangements</w:t>
      </w:r>
      <w:r w:rsidR="00133A21">
        <w:rPr>
          <w:szCs w:val="24"/>
        </w:rPr>
        <w:t xml:space="preserve"> and thus creating the potential to link with similar arrangements established in other countries</w:t>
      </w:r>
      <w:r w:rsidR="00607C26">
        <w:rPr>
          <w:szCs w:val="24"/>
        </w:rPr>
        <w:t xml:space="preserve">. MSAC noted the advantage of prospectively collecting Australian data on the </w:t>
      </w:r>
      <w:r w:rsidR="00FE2937">
        <w:rPr>
          <w:szCs w:val="24"/>
        </w:rPr>
        <w:t xml:space="preserve">differential rates of </w:t>
      </w:r>
      <w:r w:rsidR="00034F5D">
        <w:rPr>
          <w:szCs w:val="24"/>
        </w:rPr>
        <w:t>the applicant-</w:t>
      </w:r>
      <w:r w:rsidR="00FE2937">
        <w:rPr>
          <w:szCs w:val="24"/>
        </w:rPr>
        <w:t xml:space="preserve">specified </w:t>
      </w:r>
      <w:r w:rsidR="00607C26">
        <w:rPr>
          <w:szCs w:val="24"/>
        </w:rPr>
        <w:t>toxicity event types that drive the claimed clinical safety advantages and economic cost offsets of PBT against PRT</w:t>
      </w:r>
      <w:r w:rsidR="004C7C55">
        <w:rPr>
          <w:szCs w:val="24"/>
        </w:rPr>
        <w:t xml:space="preserve"> and thus help to verify </w:t>
      </w:r>
      <w:r w:rsidR="00034F5D">
        <w:rPr>
          <w:szCs w:val="24"/>
        </w:rPr>
        <w:t xml:space="preserve">the rates of </w:t>
      </w:r>
      <w:r w:rsidR="004C7C55">
        <w:rPr>
          <w:szCs w:val="24"/>
        </w:rPr>
        <w:t>the</w:t>
      </w:r>
      <w:r w:rsidR="00FE2937">
        <w:rPr>
          <w:szCs w:val="24"/>
        </w:rPr>
        <w:t xml:space="preserve">se </w:t>
      </w:r>
      <w:r w:rsidR="00034F5D">
        <w:rPr>
          <w:szCs w:val="24"/>
        </w:rPr>
        <w:t xml:space="preserve">events as </w:t>
      </w:r>
      <w:r w:rsidR="00FE2937">
        <w:rPr>
          <w:szCs w:val="24"/>
        </w:rPr>
        <w:t>inputs into the modelled economic evaluation</w:t>
      </w:r>
      <w:r w:rsidR="00607C26">
        <w:rPr>
          <w:szCs w:val="24"/>
        </w:rPr>
        <w:t>. MSAC supported data collection</w:t>
      </w:r>
      <w:r w:rsidR="007E47BB" w:rsidRPr="007E47BB">
        <w:rPr>
          <w:szCs w:val="24"/>
        </w:rPr>
        <w:t xml:space="preserve"> on patients treated with PRT (</w:t>
      </w:r>
      <w:r w:rsidR="00F14704">
        <w:rPr>
          <w:szCs w:val="24"/>
        </w:rPr>
        <w:t xml:space="preserve">starting as soon as possible and enrolling patients until PBT becomes available </w:t>
      </w:r>
      <w:r w:rsidR="00B54432">
        <w:rPr>
          <w:szCs w:val="24"/>
        </w:rPr>
        <w:t>through</w:t>
      </w:r>
      <w:r w:rsidR="00F14704">
        <w:rPr>
          <w:szCs w:val="24"/>
        </w:rPr>
        <w:t xml:space="preserve"> the Australian Bragg centre</w:t>
      </w:r>
      <w:r w:rsidR="000F4FC7">
        <w:rPr>
          <w:szCs w:val="24"/>
        </w:rPr>
        <w:t>, this period expected to be</w:t>
      </w:r>
      <w:r w:rsidR="00F14704">
        <w:rPr>
          <w:szCs w:val="24"/>
        </w:rPr>
        <w:t xml:space="preserve"> </w:t>
      </w:r>
      <w:r w:rsidR="007E47BB" w:rsidRPr="007E47BB">
        <w:rPr>
          <w:szCs w:val="24"/>
        </w:rPr>
        <w:t>from 2021 to 2024) and then collect</w:t>
      </w:r>
      <w:r w:rsidR="00607C26">
        <w:rPr>
          <w:szCs w:val="24"/>
        </w:rPr>
        <w:t>ion of</w:t>
      </w:r>
      <w:r w:rsidR="007E47BB" w:rsidRPr="007E47BB">
        <w:rPr>
          <w:szCs w:val="24"/>
        </w:rPr>
        <w:t xml:space="preserve"> the same </w:t>
      </w:r>
      <w:r w:rsidR="00FE2937">
        <w:rPr>
          <w:szCs w:val="24"/>
        </w:rPr>
        <w:t xml:space="preserve">types of </w:t>
      </w:r>
      <w:r w:rsidR="007E47BB" w:rsidRPr="007E47BB">
        <w:rPr>
          <w:szCs w:val="24"/>
        </w:rPr>
        <w:t xml:space="preserve">data from patients treated with PBT once the Bragg Centre starts treating patients </w:t>
      </w:r>
      <w:r w:rsidR="000F4FC7">
        <w:rPr>
          <w:szCs w:val="24"/>
        </w:rPr>
        <w:t xml:space="preserve">(expected to be </w:t>
      </w:r>
      <w:r w:rsidR="007E47BB" w:rsidRPr="007E47BB">
        <w:rPr>
          <w:szCs w:val="24"/>
        </w:rPr>
        <w:t>in 2024</w:t>
      </w:r>
      <w:r w:rsidR="000F4FC7">
        <w:rPr>
          <w:szCs w:val="24"/>
        </w:rPr>
        <w:t>)</w:t>
      </w:r>
      <w:r w:rsidR="007E47BB" w:rsidRPr="007E47BB">
        <w:rPr>
          <w:szCs w:val="24"/>
        </w:rPr>
        <w:t>.</w:t>
      </w:r>
      <w:r w:rsidR="007A3690">
        <w:rPr>
          <w:szCs w:val="24"/>
        </w:rPr>
        <w:t xml:space="preserve"> However, </w:t>
      </w:r>
      <w:r w:rsidR="007A3690" w:rsidRPr="007E47BB">
        <w:rPr>
          <w:szCs w:val="24"/>
        </w:rPr>
        <w:t xml:space="preserve">MSAC noted that more clarity is needed regarding </w:t>
      </w:r>
      <w:r w:rsidR="008B2678">
        <w:rPr>
          <w:szCs w:val="24"/>
        </w:rPr>
        <w:t xml:space="preserve">how the Department and relevant stakeholders will establish national data collection on </w:t>
      </w:r>
      <w:r w:rsidR="00FE2937">
        <w:rPr>
          <w:szCs w:val="24"/>
        </w:rPr>
        <w:t xml:space="preserve">a cohort of </w:t>
      </w:r>
      <w:r w:rsidR="008B2678">
        <w:rPr>
          <w:szCs w:val="24"/>
        </w:rPr>
        <w:t xml:space="preserve">patients treated with </w:t>
      </w:r>
      <w:r w:rsidR="00FE2937">
        <w:rPr>
          <w:szCs w:val="24"/>
        </w:rPr>
        <w:t xml:space="preserve">PRT and a subsequent cohort of patients treated with </w:t>
      </w:r>
      <w:r w:rsidR="008B2678">
        <w:rPr>
          <w:szCs w:val="24"/>
        </w:rPr>
        <w:t xml:space="preserve">PBT </w:t>
      </w:r>
      <w:r w:rsidR="00607C26">
        <w:rPr>
          <w:szCs w:val="24"/>
        </w:rPr>
        <w:t xml:space="preserve">and that this </w:t>
      </w:r>
      <w:r w:rsidR="007A3690" w:rsidRPr="007E47BB">
        <w:rPr>
          <w:szCs w:val="24"/>
        </w:rPr>
        <w:t xml:space="preserve">will </w:t>
      </w:r>
      <w:r w:rsidR="00607C26">
        <w:rPr>
          <w:szCs w:val="24"/>
        </w:rPr>
        <w:t>require</w:t>
      </w:r>
      <w:r w:rsidR="007A3690" w:rsidRPr="007E47BB">
        <w:rPr>
          <w:szCs w:val="24"/>
        </w:rPr>
        <w:t xml:space="preserve"> consult</w:t>
      </w:r>
      <w:r w:rsidR="00607C26">
        <w:rPr>
          <w:szCs w:val="24"/>
        </w:rPr>
        <w:t>ation</w:t>
      </w:r>
      <w:r w:rsidR="007A3690" w:rsidRPr="007E47BB">
        <w:rPr>
          <w:szCs w:val="24"/>
        </w:rPr>
        <w:t xml:space="preserve"> with the applicant and registry owners to establish </w:t>
      </w:r>
      <w:r w:rsidR="00FE2937">
        <w:rPr>
          <w:szCs w:val="24"/>
        </w:rPr>
        <w:t>appropriate data collection and analysis</w:t>
      </w:r>
      <w:r w:rsidR="007A3690" w:rsidRPr="007E47BB">
        <w:rPr>
          <w:szCs w:val="24"/>
        </w:rPr>
        <w:t>.</w:t>
      </w:r>
      <w:r w:rsidR="00034F5D">
        <w:rPr>
          <w:szCs w:val="24"/>
        </w:rPr>
        <w:t xml:space="preserve"> </w:t>
      </w:r>
      <w:r w:rsidR="009118F8">
        <w:rPr>
          <w:szCs w:val="24"/>
        </w:rPr>
        <w:t xml:space="preserve">After considering the Department’s </w:t>
      </w:r>
      <w:r w:rsidR="002F5D50">
        <w:rPr>
          <w:szCs w:val="24"/>
        </w:rPr>
        <w:t xml:space="preserve">paper on </w:t>
      </w:r>
      <w:r w:rsidR="009118F8">
        <w:rPr>
          <w:szCs w:val="24"/>
        </w:rPr>
        <w:t>options for data collection</w:t>
      </w:r>
      <w:r w:rsidR="00034F5D">
        <w:rPr>
          <w:szCs w:val="24"/>
        </w:rPr>
        <w:t xml:space="preserve">, MSAC advised that these </w:t>
      </w:r>
      <w:r w:rsidR="009118F8">
        <w:rPr>
          <w:szCs w:val="24"/>
        </w:rPr>
        <w:t xml:space="preserve">detailed proposals </w:t>
      </w:r>
      <w:r w:rsidR="00034F5D">
        <w:rPr>
          <w:szCs w:val="24"/>
        </w:rPr>
        <w:t>should be used as a basis for defining the data to be collected through th</w:t>
      </w:r>
      <w:r w:rsidR="00E36293">
        <w:rPr>
          <w:szCs w:val="24"/>
        </w:rPr>
        <w:t>is</w:t>
      </w:r>
      <w:r w:rsidR="00034F5D">
        <w:rPr>
          <w:szCs w:val="24"/>
        </w:rPr>
        <w:t xml:space="preserve"> MSAC-supported proposal.</w:t>
      </w:r>
    </w:p>
    <w:p w14:paraId="31E3980F" w14:textId="0F02518C" w:rsidR="007E47BB" w:rsidRPr="007E47BB" w:rsidRDefault="00C16AAB" w:rsidP="007E47BB">
      <w:pPr>
        <w:spacing w:after="240"/>
        <w:rPr>
          <w:szCs w:val="24"/>
        </w:rPr>
      </w:pPr>
      <w:r>
        <w:rPr>
          <w:szCs w:val="24"/>
        </w:rPr>
        <w:t xml:space="preserve">MSAC </w:t>
      </w:r>
      <w:r w:rsidR="00FE2937">
        <w:rPr>
          <w:szCs w:val="24"/>
        </w:rPr>
        <w:t xml:space="preserve">also </w:t>
      </w:r>
      <w:r w:rsidR="00034F5D">
        <w:rPr>
          <w:szCs w:val="24"/>
        </w:rPr>
        <w:t xml:space="preserve">supported the Department’s proposal </w:t>
      </w:r>
      <w:r w:rsidR="009118F8">
        <w:rPr>
          <w:szCs w:val="24"/>
        </w:rPr>
        <w:t>that</w:t>
      </w:r>
      <w:r w:rsidR="00034F5D">
        <w:rPr>
          <w:szCs w:val="24"/>
        </w:rPr>
        <w:t xml:space="preserve"> </w:t>
      </w:r>
      <w:r>
        <w:rPr>
          <w:szCs w:val="24"/>
        </w:rPr>
        <w:t xml:space="preserve">a </w:t>
      </w:r>
      <w:r w:rsidR="002558EA">
        <w:rPr>
          <w:szCs w:val="24"/>
        </w:rPr>
        <w:t xml:space="preserve">mandatory </w:t>
      </w:r>
      <w:r w:rsidR="00FE2937">
        <w:rPr>
          <w:szCs w:val="24"/>
        </w:rPr>
        <w:t xml:space="preserve">comparison of </w:t>
      </w:r>
      <w:r w:rsidR="00540F02">
        <w:rPr>
          <w:szCs w:val="24"/>
        </w:rPr>
        <w:t xml:space="preserve">a </w:t>
      </w:r>
      <w:r>
        <w:rPr>
          <w:szCs w:val="24"/>
        </w:rPr>
        <w:t>PRT</w:t>
      </w:r>
      <w:r w:rsidR="00FD0A9A">
        <w:rPr>
          <w:szCs w:val="24"/>
        </w:rPr>
        <w:t xml:space="preserve"> </w:t>
      </w:r>
      <w:r w:rsidR="00FD0A9A" w:rsidRPr="00F90DBE">
        <w:rPr>
          <w:szCs w:val="24"/>
        </w:rPr>
        <w:t>plan</w:t>
      </w:r>
      <w:r w:rsidR="00FE2937" w:rsidRPr="00F90DBE">
        <w:rPr>
          <w:szCs w:val="24"/>
        </w:rPr>
        <w:t xml:space="preserve"> </w:t>
      </w:r>
      <w:r w:rsidR="00540F02">
        <w:rPr>
          <w:szCs w:val="24"/>
        </w:rPr>
        <w:t xml:space="preserve">(by the referring centre) </w:t>
      </w:r>
      <w:r w:rsidR="00FE2937">
        <w:rPr>
          <w:szCs w:val="24"/>
        </w:rPr>
        <w:t xml:space="preserve">and </w:t>
      </w:r>
      <w:r w:rsidR="00540F02">
        <w:rPr>
          <w:szCs w:val="24"/>
        </w:rPr>
        <w:t xml:space="preserve">a </w:t>
      </w:r>
      <w:r>
        <w:rPr>
          <w:szCs w:val="24"/>
        </w:rPr>
        <w:t>PBT plan</w:t>
      </w:r>
      <w:r w:rsidR="00540F02">
        <w:rPr>
          <w:szCs w:val="24"/>
        </w:rPr>
        <w:t xml:space="preserve"> (by the PBT centre)</w:t>
      </w:r>
      <w:r w:rsidR="002558EA">
        <w:rPr>
          <w:szCs w:val="24"/>
        </w:rPr>
        <w:t xml:space="preserve"> be required</w:t>
      </w:r>
      <w:r>
        <w:rPr>
          <w:szCs w:val="24"/>
        </w:rPr>
        <w:t xml:space="preserve"> </w:t>
      </w:r>
      <w:r w:rsidR="00FE2937">
        <w:rPr>
          <w:szCs w:val="24"/>
        </w:rPr>
        <w:t xml:space="preserve">for each patient referred for PBT </w:t>
      </w:r>
      <w:r>
        <w:rPr>
          <w:szCs w:val="24"/>
        </w:rPr>
        <w:t xml:space="preserve">to confirm </w:t>
      </w:r>
      <w:r w:rsidR="00FE2937">
        <w:rPr>
          <w:szCs w:val="24"/>
        </w:rPr>
        <w:t>that</w:t>
      </w:r>
      <w:r>
        <w:rPr>
          <w:szCs w:val="24"/>
        </w:rPr>
        <w:t xml:space="preserve"> PRT </w:t>
      </w:r>
      <w:r w:rsidR="00FE2937">
        <w:rPr>
          <w:szCs w:val="24"/>
        </w:rPr>
        <w:t>would be</w:t>
      </w:r>
      <w:r>
        <w:rPr>
          <w:szCs w:val="24"/>
        </w:rPr>
        <w:t xml:space="preserve"> suboptimal/not appropriate</w:t>
      </w:r>
      <w:r w:rsidR="00AE1581">
        <w:rPr>
          <w:szCs w:val="24"/>
        </w:rPr>
        <w:t>,</w:t>
      </w:r>
      <w:r>
        <w:rPr>
          <w:szCs w:val="24"/>
        </w:rPr>
        <w:t xml:space="preserve"> and thereby confirm the patient’s eligibility for MBS</w:t>
      </w:r>
      <w:r w:rsidR="00FE2937">
        <w:rPr>
          <w:szCs w:val="24"/>
        </w:rPr>
        <w:t>-</w:t>
      </w:r>
      <w:r>
        <w:rPr>
          <w:szCs w:val="24"/>
        </w:rPr>
        <w:t>funded PBT treatment.</w:t>
      </w:r>
      <w:r w:rsidR="00AE1581">
        <w:rPr>
          <w:szCs w:val="24"/>
        </w:rPr>
        <w:t xml:space="preserve"> MSAC </w:t>
      </w:r>
      <w:r>
        <w:rPr>
          <w:szCs w:val="24"/>
        </w:rPr>
        <w:t>noted that</w:t>
      </w:r>
      <w:r w:rsidR="007E47BB" w:rsidRPr="007E47BB">
        <w:rPr>
          <w:szCs w:val="24"/>
        </w:rPr>
        <w:t xml:space="preserve"> infrastructure </w:t>
      </w:r>
      <w:r w:rsidR="00FE2937">
        <w:rPr>
          <w:szCs w:val="24"/>
        </w:rPr>
        <w:t xml:space="preserve">to compare these plans </w:t>
      </w:r>
      <w:r w:rsidR="007E47BB" w:rsidRPr="007E47BB">
        <w:rPr>
          <w:szCs w:val="24"/>
        </w:rPr>
        <w:t xml:space="preserve">is already available at the Royal Adelaide Hospital </w:t>
      </w:r>
      <w:r>
        <w:rPr>
          <w:szCs w:val="24"/>
        </w:rPr>
        <w:t xml:space="preserve">and that the comparison </w:t>
      </w:r>
      <w:r w:rsidR="0080248E">
        <w:rPr>
          <w:szCs w:val="24"/>
        </w:rPr>
        <w:t xml:space="preserve">of </w:t>
      </w:r>
      <w:r>
        <w:rPr>
          <w:szCs w:val="24"/>
        </w:rPr>
        <w:t>plan</w:t>
      </w:r>
      <w:r w:rsidR="0080248E">
        <w:rPr>
          <w:szCs w:val="24"/>
        </w:rPr>
        <w:t>s</w:t>
      </w:r>
      <w:r>
        <w:rPr>
          <w:szCs w:val="24"/>
        </w:rPr>
        <w:t xml:space="preserve"> would result in an a</w:t>
      </w:r>
      <w:r w:rsidRPr="00C16AAB">
        <w:rPr>
          <w:szCs w:val="24"/>
        </w:rPr>
        <w:t>dditional cost to the MBS</w:t>
      </w:r>
      <w:r>
        <w:rPr>
          <w:szCs w:val="24"/>
        </w:rPr>
        <w:t xml:space="preserve"> of </w:t>
      </w:r>
      <w:r w:rsidRPr="00C16AAB">
        <w:rPr>
          <w:szCs w:val="24"/>
        </w:rPr>
        <w:t>$3,417.35 per patient</w:t>
      </w:r>
      <w:r>
        <w:rPr>
          <w:szCs w:val="24"/>
        </w:rPr>
        <w:t xml:space="preserve"> (if confirmed eligible for PBT) or </w:t>
      </w:r>
      <w:r w:rsidRPr="00C16AAB">
        <w:rPr>
          <w:szCs w:val="24"/>
        </w:rPr>
        <w:t>$7,630.58 per patient</w:t>
      </w:r>
      <w:r>
        <w:rPr>
          <w:szCs w:val="24"/>
        </w:rPr>
        <w:t xml:space="preserve"> (if </w:t>
      </w:r>
      <w:r w:rsidRPr="00C16AAB">
        <w:rPr>
          <w:szCs w:val="24"/>
        </w:rPr>
        <w:t xml:space="preserve">the comparison </w:t>
      </w:r>
      <w:r w:rsidR="0080248E">
        <w:rPr>
          <w:szCs w:val="24"/>
        </w:rPr>
        <w:t xml:space="preserve">of </w:t>
      </w:r>
      <w:r w:rsidRPr="00C16AAB">
        <w:rPr>
          <w:szCs w:val="24"/>
        </w:rPr>
        <w:t xml:space="preserve">plans demonstrate </w:t>
      </w:r>
      <w:r w:rsidR="0080248E">
        <w:rPr>
          <w:szCs w:val="24"/>
        </w:rPr>
        <w:t>P</w:t>
      </w:r>
      <w:r w:rsidRPr="00C16AAB">
        <w:rPr>
          <w:szCs w:val="24"/>
        </w:rPr>
        <w:t>RT is the preferred therapy</w:t>
      </w:r>
      <w:r>
        <w:rPr>
          <w:szCs w:val="24"/>
        </w:rPr>
        <w:t>).</w:t>
      </w:r>
      <w:r w:rsidR="00796E59">
        <w:rPr>
          <w:szCs w:val="24"/>
        </w:rPr>
        <w:t xml:space="preserve"> MSAC also acknowledged that its support for this proposal would increase costs in both the </w:t>
      </w:r>
      <w:r w:rsidR="00B97183">
        <w:rPr>
          <w:szCs w:val="24"/>
        </w:rPr>
        <w:t>cost-utility analysis</w:t>
      </w:r>
      <w:r w:rsidR="00796E59">
        <w:rPr>
          <w:szCs w:val="24"/>
        </w:rPr>
        <w:t xml:space="preserve"> and the budget analysis, but advised that these consequences were acceptable in the context of its overall support for MBS-funded PBT.</w:t>
      </w:r>
      <w:r w:rsidR="00980B4E">
        <w:rPr>
          <w:szCs w:val="24"/>
        </w:rPr>
        <w:t xml:space="preserve"> MSAC also advised that further efficiencies of about 50% could be gained for this comparison if the same four-dimensional CT is used to develop both the PRT and the PBT plans.</w:t>
      </w:r>
    </w:p>
    <w:p w14:paraId="47EF58A9" w14:textId="7349C351" w:rsidR="007E47BB" w:rsidRPr="007E47BB" w:rsidRDefault="007E47BB" w:rsidP="00875479">
      <w:pPr>
        <w:spacing w:after="240"/>
        <w:rPr>
          <w:szCs w:val="24"/>
        </w:rPr>
      </w:pPr>
      <w:r w:rsidRPr="007E47BB">
        <w:rPr>
          <w:szCs w:val="24"/>
        </w:rPr>
        <w:t xml:space="preserve">MSAC noted a number of issues regarding implementation </w:t>
      </w:r>
      <w:r w:rsidR="002F27C9">
        <w:rPr>
          <w:szCs w:val="24"/>
        </w:rPr>
        <w:t xml:space="preserve">that the Department would need to resolve to ensure </w:t>
      </w:r>
      <w:r w:rsidR="002F27C9" w:rsidRPr="007E47BB">
        <w:rPr>
          <w:szCs w:val="24"/>
        </w:rPr>
        <w:t xml:space="preserve">that the service is implemented nationally in an equitable way to the eligible population. </w:t>
      </w:r>
      <w:r w:rsidR="00875479" w:rsidRPr="007E47BB">
        <w:rPr>
          <w:szCs w:val="24"/>
        </w:rPr>
        <w:t xml:space="preserve">MSAC </w:t>
      </w:r>
      <w:r w:rsidR="00875479">
        <w:rPr>
          <w:szCs w:val="24"/>
        </w:rPr>
        <w:t>raised concern</w:t>
      </w:r>
      <w:r w:rsidR="0080248E">
        <w:rPr>
          <w:szCs w:val="24"/>
        </w:rPr>
        <w:t>s</w:t>
      </w:r>
      <w:r w:rsidR="00875479">
        <w:rPr>
          <w:szCs w:val="24"/>
        </w:rPr>
        <w:t xml:space="preserve"> regarding the </w:t>
      </w:r>
      <w:r w:rsidR="00875479" w:rsidRPr="007E47BB">
        <w:rPr>
          <w:szCs w:val="24"/>
        </w:rPr>
        <w:t>impa</w:t>
      </w:r>
      <w:r w:rsidR="00875479">
        <w:rPr>
          <w:szCs w:val="24"/>
        </w:rPr>
        <w:t xml:space="preserve">ct </w:t>
      </w:r>
      <w:r w:rsidR="0080248E">
        <w:rPr>
          <w:szCs w:val="24"/>
        </w:rPr>
        <w:t xml:space="preserve">that </w:t>
      </w:r>
      <w:r w:rsidR="00875479">
        <w:rPr>
          <w:szCs w:val="24"/>
        </w:rPr>
        <w:t>out-of-pocket costs for</w:t>
      </w:r>
      <w:r w:rsidR="00875479" w:rsidRPr="007E47BB">
        <w:rPr>
          <w:szCs w:val="24"/>
        </w:rPr>
        <w:t xml:space="preserve"> travel and accommodation</w:t>
      </w:r>
      <w:r w:rsidR="00875479">
        <w:rPr>
          <w:szCs w:val="24"/>
        </w:rPr>
        <w:t xml:space="preserve"> may have on equitable access for patients across Australia</w:t>
      </w:r>
      <w:r w:rsidR="002558EA">
        <w:rPr>
          <w:szCs w:val="24"/>
        </w:rPr>
        <w:t xml:space="preserve">. </w:t>
      </w:r>
      <w:r w:rsidR="00540F02">
        <w:rPr>
          <w:szCs w:val="24"/>
        </w:rPr>
        <w:t xml:space="preserve">In this regard, MSAC suggested that relevant annual incidence data across each state and territory from the </w:t>
      </w:r>
      <w:r w:rsidR="009D3726" w:rsidRPr="009D3726">
        <w:rPr>
          <w:szCs w:val="24"/>
        </w:rPr>
        <w:t xml:space="preserve">Australian Institute of Health and Welfare </w:t>
      </w:r>
      <w:r w:rsidR="009D3726">
        <w:rPr>
          <w:szCs w:val="24"/>
        </w:rPr>
        <w:t>(</w:t>
      </w:r>
      <w:r w:rsidR="00540F02">
        <w:rPr>
          <w:szCs w:val="24"/>
        </w:rPr>
        <w:t>AIHW</w:t>
      </w:r>
      <w:r w:rsidR="009D3726">
        <w:rPr>
          <w:szCs w:val="24"/>
        </w:rPr>
        <w:t>)</w:t>
      </w:r>
      <w:r w:rsidR="00540F02">
        <w:rPr>
          <w:szCs w:val="24"/>
        </w:rPr>
        <w:t xml:space="preserve"> or other authoritative data source be collated. MSAC also suggested that the proposed data collection before 2024 </w:t>
      </w:r>
      <w:r w:rsidR="002610B1">
        <w:rPr>
          <w:szCs w:val="24"/>
        </w:rPr>
        <w:t>could complement this by including</w:t>
      </w:r>
      <w:r w:rsidR="00540F02">
        <w:rPr>
          <w:szCs w:val="24"/>
        </w:rPr>
        <w:t xml:space="preserve"> the potential number</w:t>
      </w:r>
      <w:r w:rsidR="002610B1">
        <w:rPr>
          <w:szCs w:val="24"/>
        </w:rPr>
        <w:t>s</w:t>
      </w:r>
      <w:r w:rsidR="00540F02">
        <w:rPr>
          <w:szCs w:val="24"/>
        </w:rPr>
        <w:t xml:space="preserve"> of patients </w:t>
      </w:r>
      <w:r w:rsidR="002610B1">
        <w:rPr>
          <w:szCs w:val="24"/>
        </w:rPr>
        <w:t xml:space="preserve">who might be </w:t>
      </w:r>
      <w:r w:rsidR="00540F02">
        <w:rPr>
          <w:szCs w:val="24"/>
        </w:rPr>
        <w:t xml:space="preserve">referred </w:t>
      </w:r>
      <w:r w:rsidR="002610B1">
        <w:rPr>
          <w:szCs w:val="24"/>
        </w:rPr>
        <w:t xml:space="preserve">each year </w:t>
      </w:r>
      <w:r w:rsidR="00540F02">
        <w:rPr>
          <w:szCs w:val="24"/>
        </w:rPr>
        <w:t xml:space="preserve">from each centre outside South Australia, and the likely willingness of </w:t>
      </w:r>
      <w:r w:rsidR="002610B1">
        <w:rPr>
          <w:szCs w:val="24"/>
        </w:rPr>
        <w:t xml:space="preserve">such referred </w:t>
      </w:r>
      <w:r w:rsidR="00540F02">
        <w:rPr>
          <w:szCs w:val="24"/>
        </w:rPr>
        <w:t xml:space="preserve">patients outside Adelaide </w:t>
      </w:r>
      <w:r w:rsidR="002610B1">
        <w:rPr>
          <w:szCs w:val="24"/>
        </w:rPr>
        <w:t xml:space="preserve">(and their families as appropriate) </w:t>
      </w:r>
      <w:r w:rsidR="00540F02">
        <w:rPr>
          <w:szCs w:val="24"/>
        </w:rPr>
        <w:t xml:space="preserve">to travel to and stay in Adelaide to receive PBT. </w:t>
      </w:r>
      <w:r w:rsidR="002558EA">
        <w:rPr>
          <w:szCs w:val="24"/>
        </w:rPr>
        <w:t xml:space="preserve">MSAC </w:t>
      </w:r>
      <w:r w:rsidR="00CD651E">
        <w:rPr>
          <w:szCs w:val="24"/>
        </w:rPr>
        <w:t>supported the Department’s expectation that patients should</w:t>
      </w:r>
      <w:r w:rsidR="006A6812">
        <w:rPr>
          <w:szCs w:val="24"/>
        </w:rPr>
        <w:t xml:space="preserve"> </w:t>
      </w:r>
      <w:r w:rsidR="00CD651E">
        <w:rPr>
          <w:szCs w:val="24"/>
        </w:rPr>
        <w:t xml:space="preserve">be </w:t>
      </w:r>
      <w:r w:rsidR="002F15A3">
        <w:rPr>
          <w:szCs w:val="24"/>
        </w:rPr>
        <w:t xml:space="preserve">bulk-billed </w:t>
      </w:r>
      <w:r w:rsidR="006A6812">
        <w:rPr>
          <w:szCs w:val="24"/>
        </w:rPr>
        <w:t xml:space="preserve">for the delivery of </w:t>
      </w:r>
      <w:r w:rsidR="002F15A3">
        <w:rPr>
          <w:szCs w:val="24"/>
        </w:rPr>
        <w:t xml:space="preserve">its </w:t>
      </w:r>
      <w:r w:rsidR="006A6812">
        <w:rPr>
          <w:szCs w:val="24"/>
        </w:rPr>
        <w:t>PBT services</w:t>
      </w:r>
      <w:r w:rsidR="00CD651E">
        <w:rPr>
          <w:szCs w:val="24"/>
        </w:rPr>
        <w:t xml:space="preserve"> to ensure equitable access and patient affordability</w:t>
      </w:r>
      <w:r w:rsidR="002558EA">
        <w:rPr>
          <w:szCs w:val="24"/>
        </w:rPr>
        <w:t xml:space="preserve">. However, MSAC noted that </w:t>
      </w:r>
      <w:r w:rsidR="009F1D84">
        <w:rPr>
          <w:szCs w:val="24"/>
        </w:rPr>
        <w:t xml:space="preserve">the eligible patient population </w:t>
      </w:r>
      <w:r w:rsidR="0080248E">
        <w:rPr>
          <w:szCs w:val="24"/>
        </w:rPr>
        <w:t>c</w:t>
      </w:r>
      <w:r w:rsidR="009F1D84">
        <w:rPr>
          <w:szCs w:val="24"/>
        </w:rPr>
        <w:t>ould be higher than the Bragg Centre’s operational capacity</w:t>
      </w:r>
      <w:r w:rsidR="00233131">
        <w:rPr>
          <w:szCs w:val="24"/>
        </w:rPr>
        <w:t>,</w:t>
      </w:r>
      <w:r w:rsidR="009F1D84">
        <w:rPr>
          <w:szCs w:val="24"/>
        </w:rPr>
        <w:t xml:space="preserve"> and </w:t>
      </w:r>
      <w:r w:rsidR="002558EA">
        <w:rPr>
          <w:szCs w:val="24"/>
        </w:rPr>
        <w:t xml:space="preserve">it was unclear how </w:t>
      </w:r>
      <w:r w:rsidR="006A6812">
        <w:rPr>
          <w:szCs w:val="24"/>
        </w:rPr>
        <w:t xml:space="preserve">the other associated costs of </w:t>
      </w:r>
      <w:r w:rsidR="002558EA">
        <w:rPr>
          <w:szCs w:val="24"/>
        </w:rPr>
        <w:t xml:space="preserve">patient </w:t>
      </w:r>
      <w:r w:rsidR="00875479">
        <w:rPr>
          <w:szCs w:val="24"/>
        </w:rPr>
        <w:t xml:space="preserve">access would be managed </w:t>
      </w:r>
      <w:r w:rsidR="002558EA">
        <w:rPr>
          <w:szCs w:val="24"/>
        </w:rPr>
        <w:t>or how this would be adapted</w:t>
      </w:r>
      <w:r w:rsidR="00875479">
        <w:rPr>
          <w:szCs w:val="24"/>
        </w:rPr>
        <w:t xml:space="preserve"> if additional PBT facilities are established </w:t>
      </w:r>
      <w:r w:rsidR="006A6812">
        <w:rPr>
          <w:szCs w:val="24"/>
        </w:rPr>
        <w:t xml:space="preserve">elsewhere in Australia </w:t>
      </w:r>
      <w:r w:rsidR="00875479">
        <w:rPr>
          <w:szCs w:val="24"/>
        </w:rPr>
        <w:t>in the future.</w:t>
      </w:r>
      <w:r w:rsidR="009F1D84">
        <w:rPr>
          <w:szCs w:val="24"/>
        </w:rPr>
        <w:t xml:space="preserve"> </w:t>
      </w:r>
      <w:r w:rsidR="00875479">
        <w:rPr>
          <w:szCs w:val="24"/>
        </w:rPr>
        <w:t xml:space="preserve">Therefore, </w:t>
      </w:r>
      <w:r w:rsidRPr="007E47BB">
        <w:rPr>
          <w:szCs w:val="24"/>
        </w:rPr>
        <w:t xml:space="preserve">MSAC </w:t>
      </w:r>
      <w:r w:rsidR="00875479">
        <w:rPr>
          <w:szCs w:val="24"/>
        </w:rPr>
        <w:t xml:space="preserve">requested the committee be appraised of the </w:t>
      </w:r>
      <w:r w:rsidRPr="007E47BB">
        <w:rPr>
          <w:szCs w:val="24"/>
        </w:rPr>
        <w:t xml:space="preserve">Department’s progress </w:t>
      </w:r>
      <w:r w:rsidR="002558EA">
        <w:rPr>
          <w:szCs w:val="24"/>
        </w:rPr>
        <w:t>on establishing national data collection</w:t>
      </w:r>
      <w:r w:rsidR="00AE263D">
        <w:rPr>
          <w:szCs w:val="24"/>
        </w:rPr>
        <w:t xml:space="preserve"> for cohorts of patients receiving PRT or PBT</w:t>
      </w:r>
      <w:r w:rsidR="002558EA">
        <w:rPr>
          <w:szCs w:val="24"/>
        </w:rPr>
        <w:t xml:space="preserve">, comparison </w:t>
      </w:r>
      <w:r w:rsidR="00AE263D">
        <w:rPr>
          <w:szCs w:val="24"/>
        </w:rPr>
        <w:t xml:space="preserve">of PRT and PBT </w:t>
      </w:r>
      <w:r w:rsidR="002558EA">
        <w:rPr>
          <w:szCs w:val="24"/>
        </w:rPr>
        <w:t>plan</w:t>
      </w:r>
      <w:r w:rsidR="00AE263D">
        <w:rPr>
          <w:szCs w:val="24"/>
        </w:rPr>
        <w:t>s</w:t>
      </w:r>
      <w:r w:rsidR="002558EA">
        <w:rPr>
          <w:szCs w:val="24"/>
        </w:rPr>
        <w:t xml:space="preserve"> and resolving </w:t>
      </w:r>
      <w:r w:rsidR="002558EA">
        <w:rPr>
          <w:szCs w:val="24"/>
        </w:rPr>
        <w:lastRenderedPageBreak/>
        <w:t>implementation issues to ensure equitable access</w:t>
      </w:r>
      <w:r w:rsidR="00AE263D">
        <w:rPr>
          <w:szCs w:val="24"/>
        </w:rPr>
        <w:t xml:space="preserve"> to PBT</w:t>
      </w:r>
      <w:r w:rsidRPr="007E47BB">
        <w:rPr>
          <w:szCs w:val="24"/>
        </w:rPr>
        <w:t xml:space="preserve"> </w:t>
      </w:r>
      <w:r w:rsidR="00875479">
        <w:rPr>
          <w:szCs w:val="24"/>
        </w:rPr>
        <w:t>at MSAC’s 81</w:t>
      </w:r>
      <w:r w:rsidR="00875479" w:rsidRPr="00034F5D">
        <w:rPr>
          <w:szCs w:val="24"/>
          <w:vertAlign w:val="superscript"/>
        </w:rPr>
        <w:t>st</w:t>
      </w:r>
      <w:r w:rsidR="00875479">
        <w:rPr>
          <w:szCs w:val="24"/>
        </w:rPr>
        <w:t xml:space="preserve"> meeting (31 March/1 April 202</w:t>
      </w:r>
      <w:r w:rsidR="00AE263D">
        <w:rPr>
          <w:szCs w:val="24"/>
        </w:rPr>
        <w:t>1</w:t>
      </w:r>
      <w:r w:rsidR="00875479">
        <w:rPr>
          <w:szCs w:val="24"/>
        </w:rPr>
        <w:t xml:space="preserve">) </w:t>
      </w:r>
      <w:r w:rsidRPr="007E47BB">
        <w:rPr>
          <w:szCs w:val="24"/>
        </w:rPr>
        <w:t>before PBT is listed on the MBS</w:t>
      </w:r>
      <w:r w:rsidR="00875479">
        <w:rPr>
          <w:szCs w:val="24"/>
        </w:rPr>
        <w:t>.</w:t>
      </w:r>
      <w:r w:rsidRPr="007E47BB">
        <w:rPr>
          <w:szCs w:val="24"/>
        </w:rPr>
        <w:t xml:space="preserve"> </w:t>
      </w:r>
    </w:p>
    <w:p w14:paraId="4E99F68A" w14:textId="1F118D87" w:rsidR="00915F34" w:rsidRPr="00D41C91" w:rsidRDefault="00880082" w:rsidP="00C421EA">
      <w:pPr>
        <w:spacing w:after="240"/>
      </w:pPr>
      <w:r>
        <w:rPr>
          <w:szCs w:val="24"/>
        </w:rPr>
        <w:t xml:space="preserve">The </w:t>
      </w:r>
      <w:r w:rsidR="00915F34">
        <w:t>MSAC-supported MBS items were as follows</w:t>
      </w:r>
      <w:r w:rsidR="00034F5D">
        <w:t xml:space="preserve">, noting that further amendments would be needed to </w:t>
      </w:r>
      <w:r w:rsidR="000C6E88">
        <w:t xml:space="preserve">the </w:t>
      </w:r>
      <w:r w:rsidR="00034F5D">
        <w:t xml:space="preserve">proposed items and </w:t>
      </w:r>
      <w:r w:rsidR="006A6812">
        <w:t>to MBS item 15565 (the existing planning item</w:t>
      </w:r>
      <w:r w:rsidR="00034F5D">
        <w:t xml:space="preserve"> for PRT) to implement the MSAC-supported proposal from the Department to also require a comparison of PRT and PBT plans for each patient referred for PBT to confirm their eligibility.</w:t>
      </w:r>
    </w:p>
    <w:tbl>
      <w:tblPr>
        <w:tblStyle w:val="TableGrid"/>
        <w:tblW w:w="5399" w:type="pct"/>
        <w:tblLook w:val="04A0" w:firstRow="1" w:lastRow="0" w:firstColumn="1" w:lastColumn="0" w:noHBand="0" w:noVBand="1"/>
        <w:tblCaption w:val="Proposed MBS item descriptor for simulation and planning"/>
      </w:tblPr>
      <w:tblGrid>
        <w:gridCol w:w="9735"/>
      </w:tblGrid>
      <w:tr w:rsidR="00915F34" w:rsidRPr="00D41C91" w14:paraId="5C8E2BC2" w14:textId="77777777" w:rsidTr="009E589D">
        <w:trPr>
          <w:tblHeader/>
        </w:trPr>
        <w:tc>
          <w:tcPr>
            <w:tcW w:w="5000" w:type="pct"/>
            <w:hideMark/>
          </w:tcPr>
          <w:p w14:paraId="0393EA3F" w14:textId="4D252B42" w:rsidR="00915F34" w:rsidRPr="00D41C91" w:rsidRDefault="00915F34" w:rsidP="00915F34">
            <w:pPr>
              <w:pStyle w:val="TableText0"/>
              <w:rPr>
                <w:lang w:eastAsia="en-AU"/>
              </w:rPr>
            </w:pPr>
            <w:r w:rsidRPr="00D41C91">
              <w:t>Category 3 – Group T2 – Radiation Oncology</w:t>
            </w:r>
          </w:p>
        </w:tc>
      </w:tr>
      <w:tr w:rsidR="00915F34" w:rsidRPr="00D41C91" w14:paraId="159A83CB" w14:textId="77777777" w:rsidTr="009E589D">
        <w:tc>
          <w:tcPr>
            <w:tcW w:w="5000" w:type="pct"/>
            <w:hideMark/>
          </w:tcPr>
          <w:p w14:paraId="69D6A48C" w14:textId="49E8376A" w:rsidR="00915F34" w:rsidRDefault="00915F34" w:rsidP="00915F34">
            <w:pPr>
              <w:pStyle w:val="TableText0"/>
            </w:pPr>
            <w:r w:rsidRPr="00D41C91">
              <w:t>Item 15XXX</w:t>
            </w:r>
          </w:p>
          <w:p w14:paraId="55318625" w14:textId="1F3B3BE9" w:rsidR="00915F34" w:rsidRPr="00915F34" w:rsidRDefault="00915F34" w:rsidP="00915F34">
            <w:pPr>
              <w:pStyle w:val="TableText0"/>
            </w:pPr>
            <w:r w:rsidRPr="00D41C91">
              <w:t xml:space="preserve">Megavoltage Level 6 - Proton Beam Therapy Simulation &amp; </w:t>
            </w:r>
            <w:r w:rsidRPr="00915F34">
              <w:t>Planning for an adult patient with:</w:t>
            </w:r>
          </w:p>
          <w:p w14:paraId="67F41D05" w14:textId="7B33BB52" w:rsidR="00915F34" w:rsidRPr="00915F34" w:rsidRDefault="00915F34" w:rsidP="00B30E92">
            <w:pPr>
              <w:pStyle w:val="TableText0"/>
              <w:numPr>
                <w:ilvl w:val="0"/>
                <w:numId w:val="22"/>
              </w:numPr>
            </w:pPr>
            <w:r w:rsidRPr="00915F34">
              <w:t xml:space="preserve">A tumour of the base of the skull, including meningioma, </w:t>
            </w:r>
            <w:proofErr w:type="spellStart"/>
            <w:r w:rsidRPr="00915F34">
              <w:t>chordoma</w:t>
            </w:r>
            <w:proofErr w:type="spellEnd"/>
            <w:r w:rsidRPr="00915F34">
              <w:t xml:space="preserve"> or chondrosarcoma; or</w:t>
            </w:r>
          </w:p>
          <w:p w14:paraId="1B0A3205" w14:textId="71182E74" w:rsidR="00915F34" w:rsidRPr="00915F34" w:rsidRDefault="00915F34" w:rsidP="00B30E92">
            <w:pPr>
              <w:pStyle w:val="TableText0"/>
              <w:numPr>
                <w:ilvl w:val="0"/>
                <w:numId w:val="22"/>
              </w:numPr>
            </w:pPr>
            <w:r w:rsidRPr="00915F34">
              <w:t>A tumour of the vertebral column or bony pelvis; or</w:t>
            </w:r>
          </w:p>
          <w:p w14:paraId="712D9E30" w14:textId="4C5E5A71" w:rsidR="00915F34" w:rsidRPr="00915F34" w:rsidRDefault="00915F34" w:rsidP="00B30E92">
            <w:pPr>
              <w:pStyle w:val="TableText0"/>
              <w:numPr>
                <w:ilvl w:val="0"/>
                <w:numId w:val="22"/>
              </w:numPr>
            </w:pPr>
            <w:r w:rsidRPr="00915F34">
              <w:t>An adenoid cystic carcinoma of the salivary or lacrimal gland.</w:t>
            </w:r>
          </w:p>
          <w:p w14:paraId="7E1A965D" w14:textId="630F07F4" w:rsidR="00915F34" w:rsidRPr="00D41C91" w:rsidRDefault="00915F34" w:rsidP="00B30E92">
            <w:pPr>
              <w:pStyle w:val="TableText0"/>
              <w:numPr>
                <w:ilvl w:val="0"/>
                <w:numId w:val="29"/>
              </w:numPr>
            </w:pPr>
            <w:r w:rsidRPr="00D41C91">
              <w:t>Simulation for PROTON BEAM THERAPY (PBT), if:</w:t>
            </w:r>
          </w:p>
          <w:p w14:paraId="5D076299" w14:textId="5DB5F312" w:rsidR="00915F34" w:rsidRPr="00D41C91" w:rsidRDefault="00915F34" w:rsidP="00B30E92">
            <w:pPr>
              <w:pStyle w:val="TableText0"/>
              <w:numPr>
                <w:ilvl w:val="0"/>
                <w:numId w:val="17"/>
              </w:numPr>
            </w:pPr>
            <w:r w:rsidRPr="00D41C91">
              <w:t>Patient set-up and immobilisation techniques are suitable for reliable image volume data acquisition and reproducible PBT treatment; and</w:t>
            </w:r>
          </w:p>
          <w:p w14:paraId="7F5E6850" w14:textId="0BAEEC53" w:rsidR="00915F34" w:rsidRPr="00D41C91" w:rsidRDefault="00915F34" w:rsidP="00B30E92">
            <w:pPr>
              <w:pStyle w:val="TableText0"/>
              <w:numPr>
                <w:ilvl w:val="0"/>
                <w:numId w:val="17"/>
              </w:numPr>
            </w:pPr>
            <w:r w:rsidRPr="00D41C91">
              <w:t>A high-quality three dimensional or four-dimensional image volume dataset is acquired in treatment position for the relevant region of interest to be planned, treated and verified (through daily planar or volumetric image guidance strategies); and</w:t>
            </w:r>
          </w:p>
          <w:p w14:paraId="63D4B202" w14:textId="02AF0703" w:rsidR="00915F34" w:rsidRPr="00D41C91" w:rsidRDefault="00915F34" w:rsidP="00B30E92">
            <w:pPr>
              <w:pStyle w:val="TableText0"/>
              <w:numPr>
                <w:ilvl w:val="0"/>
                <w:numId w:val="17"/>
              </w:numPr>
            </w:pPr>
            <w:r w:rsidRPr="00D41C91">
              <w:t>The image set must be suitable for fusion or co-registration with diagnostic quality datasets and generation of quality digitally reconstructed radiographic images to PBT treatment strategies, and</w:t>
            </w:r>
          </w:p>
          <w:p w14:paraId="71BDD4C2" w14:textId="6267810B" w:rsidR="00915F34" w:rsidRPr="00D41C91" w:rsidRDefault="00915F34" w:rsidP="00B30E92">
            <w:pPr>
              <w:pStyle w:val="TableText0"/>
              <w:numPr>
                <w:ilvl w:val="0"/>
                <w:numId w:val="29"/>
              </w:numPr>
            </w:pPr>
            <w:r w:rsidRPr="00D41C91">
              <w:t>Dosimetry for proton beam therapy</w:t>
            </w:r>
            <w:r w:rsidRPr="00D41C91">
              <w:rPr>
                <w:color w:val="FF0000"/>
              </w:rPr>
              <w:t xml:space="preserve"> </w:t>
            </w:r>
            <w:r w:rsidRPr="00D41C91">
              <w:t>if:</w:t>
            </w:r>
          </w:p>
          <w:p w14:paraId="1A98151C" w14:textId="3AB6D3E0" w:rsidR="00915F34" w:rsidRPr="00D41C91" w:rsidRDefault="00915F34" w:rsidP="00B30E92">
            <w:pPr>
              <w:pStyle w:val="TableText0"/>
              <w:numPr>
                <w:ilvl w:val="0"/>
                <w:numId w:val="18"/>
              </w:numPr>
            </w:pPr>
            <w:r w:rsidRPr="00D41C91">
              <w:t>The PBT delivery planning process is required to calculate dose to single or multiple target structures and requires a dose-volume histogram to complete the planning process; and</w:t>
            </w:r>
          </w:p>
          <w:p w14:paraId="576E85BF" w14:textId="10C8876D" w:rsidR="00915F34" w:rsidRPr="00D41C91" w:rsidRDefault="00915F34" w:rsidP="00B30E92">
            <w:pPr>
              <w:pStyle w:val="TableText0"/>
              <w:numPr>
                <w:ilvl w:val="0"/>
                <w:numId w:val="18"/>
              </w:numPr>
            </w:pPr>
            <w:r w:rsidRPr="00D41C91">
              <w:t>The PBT delivery planning process maximises the differential between target dose, organs at risk and normal tissue dose, based on review and assessment by a radiation oncologist; and</w:t>
            </w:r>
          </w:p>
          <w:p w14:paraId="460DE187" w14:textId="118D0BFA" w:rsidR="00915F34" w:rsidRPr="00D41C91" w:rsidRDefault="00915F34" w:rsidP="00B30E92">
            <w:pPr>
              <w:pStyle w:val="TableText0"/>
              <w:numPr>
                <w:ilvl w:val="0"/>
                <w:numId w:val="18"/>
              </w:numPr>
            </w:pPr>
            <w:r w:rsidRPr="00D41C91">
              <w:t>All gross tumour volume, clinical target volumes, and organs at risk must be rendered; and</w:t>
            </w:r>
          </w:p>
          <w:p w14:paraId="1D91DC86" w14:textId="6EBD321A" w:rsidR="00915F34" w:rsidRPr="00D41C91" w:rsidRDefault="00915F34" w:rsidP="00B30E92">
            <w:pPr>
              <w:pStyle w:val="TableText0"/>
              <w:numPr>
                <w:ilvl w:val="0"/>
                <w:numId w:val="18"/>
              </w:numPr>
            </w:pPr>
            <w:r w:rsidRPr="00D41C91">
              <w:t>Organs at risk must be nominated as planning dose goals or constraints; and</w:t>
            </w:r>
          </w:p>
          <w:p w14:paraId="7FC5CA68" w14:textId="25DD1650" w:rsidR="00915F34" w:rsidRPr="00D41C91" w:rsidRDefault="00915F34" w:rsidP="00B30E92">
            <w:pPr>
              <w:pStyle w:val="TableText0"/>
              <w:numPr>
                <w:ilvl w:val="0"/>
                <w:numId w:val="18"/>
              </w:numPr>
            </w:pPr>
            <w:r w:rsidRPr="00D41C91">
              <w:t>Dose calculations and dose-volume histograms must be generated in an inverse planned process, using a specialised calculation algorithm, with prescription and plan details approved and recorded with the plan; and</w:t>
            </w:r>
          </w:p>
          <w:p w14:paraId="61F2EDCB" w14:textId="36D56146" w:rsidR="00915F34" w:rsidRPr="00D41C91" w:rsidRDefault="00915F34" w:rsidP="00B30E92">
            <w:pPr>
              <w:pStyle w:val="TableText0"/>
              <w:numPr>
                <w:ilvl w:val="0"/>
                <w:numId w:val="18"/>
              </w:numPr>
            </w:pPr>
            <w:r w:rsidRPr="00D41C91">
              <w:t>Three dimensional image volume dataset must be used for the relevant region to be planned, treated and verified; and</w:t>
            </w:r>
          </w:p>
          <w:p w14:paraId="3F9961E2" w14:textId="5FAF64B2" w:rsidR="00915F34" w:rsidRPr="00D41C91" w:rsidRDefault="00915F34" w:rsidP="00B30E92">
            <w:pPr>
              <w:pStyle w:val="TableText0"/>
              <w:numPr>
                <w:ilvl w:val="0"/>
                <w:numId w:val="18"/>
              </w:numPr>
            </w:pPr>
            <w:r w:rsidRPr="00D41C91">
              <w:t>Relevant multimodality diagnostic imaging (including four-dimensional CT, contrast-enhanced CT, magnetic resonance imaging or positron emission tomography), where available, is used to delineate all relevant targets and organs at risk; and</w:t>
            </w:r>
          </w:p>
          <w:p w14:paraId="7A4CEC78" w14:textId="4B7DB591" w:rsidR="00915F34" w:rsidRPr="00D41C91" w:rsidRDefault="00915F34" w:rsidP="00B30E92">
            <w:pPr>
              <w:pStyle w:val="TableText0"/>
              <w:numPr>
                <w:ilvl w:val="0"/>
                <w:numId w:val="18"/>
              </w:numPr>
            </w:pPr>
            <w:r w:rsidRPr="00D41C91">
              <w:t>Images are suitable for generation of quality digitally reconstructed radiographic images; and</w:t>
            </w:r>
          </w:p>
          <w:p w14:paraId="7418C1D5" w14:textId="71F905D7" w:rsidR="00915F34" w:rsidRPr="00D41C91" w:rsidRDefault="00915F34" w:rsidP="00B30E92">
            <w:pPr>
              <w:pStyle w:val="TableText0"/>
              <w:numPr>
                <w:ilvl w:val="0"/>
                <w:numId w:val="18"/>
              </w:numPr>
            </w:pPr>
            <w:r w:rsidRPr="00D41C91">
              <w:t>The final dosimetry plan is validated by both the appropriately qualified radiation therapist and/or medical physicist, using robust quality assurance processes, with the plan approved by the radiation oncologist prior to delivery, which must include:</w:t>
            </w:r>
          </w:p>
          <w:p w14:paraId="74D10D86" w14:textId="245905B1" w:rsidR="00915F34" w:rsidRPr="00D41C91" w:rsidRDefault="00915F34" w:rsidP="00B30E92">
            <w:pPr>
              <w:pStyle w:val="TableText0"/>
              <w:numPr>
                <w:ilvl w:val="0"/>
                <w:numId w:val="19"/>
              </w:numPr>
            </w:pPr>
            <w:r w:rsidRPr="00D41C91">
              <w:t xml:space="preserve">Determination of accuracy of dose </w:t>
            </w:r>
            <w:proofErr w:type="spellStart"/>
            <w:r w:rsidRPr="00D41C91">
              <w:t>fluence</w:t>
            </w:r>
            <w:proofErr w:type="spellEnd"/>
            <w:r w:rsidRPr="00D41C91">
              <w:t xml:space="preserve"> delivered by the pencil beam scanning system and gantry position (static or dynamic); or</w:t>
            </w:r>
          </w:p>
          <w:p w14:paraId="1300C558" w14:textId="466CF6DA" w:rsidR="00915F34" w:rsidRPr="00D41C91" w:rsidRDefault="00915F34" w:rsidP="00B30E92">
            <w:pPr>
              <w:pStyle w:val="TableText0"/>
              <w:numPr>
                <w:ilvl w:val="0"/>
                <w:numId w:val="19"/>
              </w:numPr>
            </w:pPr>
            <w:r w:rsidRPr="00D41C91">
              <w:t>Ensuring the plan is deliverable, data transfer is acceptable and validation checks are completed on a proton therapy system; or</w:t>
            </w:r>
          </w:p>
          <w:p w14:paraId="1F9F7798" w14:textId="151A26DB" w:rsidR="00915F34" w:rsidRPr="00D41C91" w:rsidRDefault="00915F34" w:rsidP="00B30E92">
            <w:pPr>
              <w:pStyle w:val="TableText0"/>
              <w:numPr>
                <w:ilvl w:val="0"/>
                <w:numId w:val="19"/>
              </w:numPr>
            </w:pPr>
            <w:r w:rsidRPr="00D41C91">
              <w:t>Validation of accuracy of the derived PBT treatment plan; and</w:t>
            </w:r>
          </w:p>
          <w:p w14:paraId="4EDB487C" w14:textId="51A374E7" w:rsidR="00975036" w:rsidRDefault="00975036" w:rsidP="00B30E92">
            <w:pPr>
              <w:pStyle w:val="TableText0"/>
              <w:numPr>
                <w:ilvl w:val="0"/>
                <w:numId w:val="18"/>
              </w:numPr>
            </w:pPr>
            <w:r>
              <w:t>Comparative proton and photon treatment plans have demonstrated that the patient is a</w:t>
            </w:r>
            <w:r w:rsidR="00CD651E">
              <w:t>t</w:t>
            </w:r>
            <w:r>
              <w:t xml:space="preserve"> risk of clinically significant side effects if photon radiation therapy were used instead of PBT; and</w:t>
            </w:r>
          </w:p>
          <w:p w14:paraId="43BBC5A8" w14:textId="25628028" w:rsidR="00915F34" w:rsidRPr="00D41C91" w:rsidRDefault="00915F34" w:rsidP="00B30E92">
            <w:pPr>
              <w:pStyle w:val="TableText0"/>
              <w:numPr>
                <w:ilvl w:val="0"/>
                <w:numId w:val="18"/>
              </w:numPr>
            </w:pPr>
            <w:r w:rsidRPr="00D41C91">
              <w:t>Only three ADDITIONAL dosimetry plans (for re-planning/adaptive strategy) are payable through the MBS during the treatment course (at 50% of the fee for this item), when treatment adjustments are inadequate to satisfy treatment protocol requirements.</w:t>
            </w:r>
          </w:p>
        </w:tc>
      </w:tr>
      <w:tr w:rsidR="00915F34" w:rsidRPr="00D41C91" w14:paraId="26FF9345" w14:textId="77777777" w:rsidTr="009E589D">
        <w:tc>
          <w:tcPr>
            <w:tcW w:w="5000" w:type="pct"/>
            <w:hideMark/>
          </w:tcPr>
          <w:p w14:paraId="63BEBA57" w14:textId="77777777" w:rsidR="00915F34" w:rsidRPr="00D41C91" w:rsidRDefault="00915F34" w:rsidP="00915F34">
            <w:pPr>
              <w:pStyle w:val="TableText0"/>
            </w:pPr>
            <w:r w:rsidRPr="00D41C91">
              <w:t>Fee: $7,630.</w:t>
            </w:r>
            <w:r>
              <w:t>50</w:t>
            </w:r>
            <w:r w:rsidRPr="00D41C91">
              <w:t xml:space="preserve"> 85% Benefit: $</w:t>
            </w:r>
            <w:r>
              <w:t>7,545.90</w:t>
            </w:r>
          </w:p>
        </w:tc>
      </w:tr>
    </w:tbl>
    <w:p w14:paraId="40B1BDB9" w14:textId="460295CC" w:rsidR="00915F34" w:rsidRPr="00D41C91" w:rsidRDefault="00915F34" w:rsidP="00B30E92"/>
    <w:tbl>
      <w:tblPr>
        <w:tblStyle w:val="TableGrid"/>
        <w:tblW w:w="5399" w:type="pct"/>
        <w:tblLook w:val="04A0" w:firstRow="1" w:lastRow="0" w:firstColumn="1" w:lastColumn="0" w:noHBand="0" w:noVBand="1"/>
        <w:tblDescription w:val="MSAC-supported MBS item"/>
      </w:tblPr>
      <w:tblGrid>
        <w:gridCol w:w="9735"/>
      </w:tblGrid>
      <w:tr w:rsidR="00915F34" w:rsidRPr="00D41C91" w14:paraId="062764DD" w14:textId="77777777" w:rsidTr="009E589D">
        <w:trPr>
          <w:tblHeader/>
        </w:trPr>
        <w:tc>
          <w:tcPr>
            <w:tcW w:w="5000" w:type="pct"/>
          </w:tcPr>
          <w:p w14:paraId="7DC83F0A" w14:textId="2C35DEEC" w:rsidR="00915F34" w:rsidRPr="00D41C91" w:rsidRDefault="00915F34" w:rsidP="00772003">
            <w:pPr>
              <w:pStyle w:val="TableText0"/>
            </w:pPr>
            <w:r w:rsidRPr="00D41C91">
              <w:t>Category 3 – Group T2 – Radiation Oncology</w:t>
            </w:r>
          </w:p>
        </w:tc>
      </w:tr>
      <w:tr w:rsidR="00915F34" w:rsidRPr="00D41C91" w14:paraId="74115240" w14:textId="77777777" w:rsidTr="009E589D">
        <w:tc>
          <w:tcPr>
            <w:tcW w:w="5000" w:type="pct"/>
          </w:tcPr>
          <w:p w14:paraId="17E15C27" w14:textId="75F13D80" w:rsidR="00772003" w:rsidRDefault="00772003" w:rsidP="00915F34">
            <w:pPr>
              <w:pStyle w:val="TableText0"/>
            </w:pPr>
            <w:r w:rsidRPr="00D41C91">
              <w:t>Item 15YYY</w:t>
            </w:r>
          </w:p>
          <w:p w14:paraId="30551A13" w14:textId="0D0BC716" w:rsidR="00915F34" w:rsidRPr="00772003" w:rsidRDefault="00915F34" w:rsidP="00915F34">
            <w:pPr>
              <w:pStyle w:val="TableText0"/>
            </w:pPr>
            <w:r w:rsidRPr="00772003">
              <w:t xml:space="preserve">Megavoltage Level 6 - Proton Beam Therapy Simulation &amp; Planning for a patient under the age of </w:t>
            </w:r>
            <w:r w:rsidR="00772003" w:rsidRPr="00772003">
              <w:t>25</w:t>
            </w:r>
            <w:r w:rsidRPr="00772003">
              <w:t xml:space="preserve"> years with a solid tumour located in:</w:t>
            </w:r>
          </w:p>
          <w:p w14:paraId="4BD60FB0" w14:textId="210FD8E7" w:rsidR="00915F34" w:rsidRPr="00772003" w:rsidRDefault="00915F34" w:rsidP="00B30E92">
            <w:pPr>
              <w:pStyle w:val="TableText0"/>
              <w:numPr>
                <w:ilvl w:val="0"/>
                <w:numId w:val="21"/>
              </w:numPr>
            </w:pPr>
            <w:r w:rsidRPr="00772003">
              <w:t>The central nervous system; or</w:t>
            </w:r>
          </w:p>
          <w:p w14:paraId="6E24A309" w14:textId="7800DC0C" w:rsidR="00915F34" w:rsidRPr="00772003" w:rsidRDefault="00915F34" w:rsidP="00B30E92">
            <w:pPr>
              <w:pStyle w:val="TableText0"/>
              <w:numPr>
                <w:ilvl w:val="0"/>
                <w:numId w:val="21"/>
              </w:numPr>
            </w:pPr>
            <w:r w:rsidRPr="00772003">
              <w:t>The orbit, including retinoblastoma; or</w:t>
            </w:r>
          </w:p>
          <w:p w14:paraId="0E8F70C8" w14:textId="5406B929" w:rsidR="00915F34" w:rsidRPr="00772003" w:rsidRDefault="00915F34" w:rsidP="00B30E92">
            <w:pPr>
              <w:pStyle w:val="TableText0"/>
              <w:numPr>
                <w:ilvl w:val="0"/>
                <w:numId w:val="21"/>
              </w:numPr>
            </w:pPr>
            <w:r w:rsidRPr="00772003">
              <w:t>The axial skeleton or in close proximity to the axial skeleton, including bone or soft tissue sarcoma;</w:t>
            </w:r>
          </w:p>
          <w:p w14:paraId="2FE65A56" w14:textId="22F01D35" w:rsidR="00915F34" w:rsidRPr="00772003" w:rsidRDefault="00915F34" w:rsidP="00915F34">
            <w:pPr>
              <w:pStyle w:val="TableText0"/>
            </w:pPr>
            <w:r w:rsidRPr="00772003">
              <w:t>Or with one of the following tumour types:</w:t>
            </w:r>
          </w:p>
          <w:p w14:paraId="33245921" w14:textId="203FD90C" w:rsidR="00915F34" w:rsidRPr="00772003" w:rsidRDefault="00915F34" w:rsidP="00B30E92">
            <w:pPr>
              <w:pStyle w:val="TableText0"/>
              <w:numPr>
                <w:ilvl w:val="0"/>
                <w:numId w:val="20"/>
              </w:numPr>
            </w:pPr>
            <w:proofErr w:type="spellStart"/>
            <w:r w:rsidRPr="00772003">
              <w:t>Craniopharyngioma</w:t>
            </w:r>
            <w:proofErr w:type="spellEnd"/>
          </w:p>
          <w:p w14:paraId="147C1032" w14:textId="4C767594" w:rsidR="00915F34" w:rsidRPr="00772003" w:rsidRDefault="00915F34" w:rsidP="00B30E92">
            <w:pPr>
              <w:pStyle w:val="TableText0"/>
              <w:numPr>
                <w:ilvl w:val="0"/>
                <w:numId w:val="20"/>
              </w:numPr>
            </w:pPr>
            <w:r w:rsidRPr="00772003">
              <w:t>Intracranial germ cell tumour</w:t>
            </w:r>
          </w:p>
          <w:p w14:paraId="76861365" w14:textId="77898EE5" w:rsidR="00915F34" w:rsidRPr="00772003" w:rsidRDefault="00915F34" w:rsidP="00B30E92">
            <w:pPr>
              <w:pStyle w:val="TableText0"/>
              <w:numPr>
                <w:ilvl w:val="0"/>
                <w:numId w:val="20"/>
              </w:numPr>
            </w:pPr>
            <w:proofErr w:type="spellStart"/>
            <w:r w:rsidRPr="00772003">
              <w:t>Neuroblastoma</w:t>
            </w:r>
            <w:proofErr w:type="spellEnd"/>
          </w:p>
          <w:p w14:paraId="10A3039A" w14:textId="733BE91D" w:rsidR="00915F34" w:rsidRPr="00772003" w:rsidRDefault="00915F34" w:rsidP="00B30E92">
            <w:pPr>
              <w:pStyle w:val="TableText0"/>
              <w:numPr>
                <w:ilvl w:val="0"/>
                <w:numId w:val="20"/>
              </w:numPr>
            </w:pPr>
            <w:proofErr w:type="spellStart"/>
            <w:r w:rsidRPr="00772003">
              <w:t>Nephroblastoma</w:t>
            </w:r>
            <w:proofErr w:type="spellEnd"/>
          </w:p>
          <w:p w14:paraId="58CDF2CD" w14:textId="15E3251F" w:rsidR="00915F34" w:rsidRPr="00D41C91" w:rsidRDefault="00915F34" w:rsidP="00B30E92">
            <w:pPr>
              <w:pStyle w:val="TableText0"/>
              <w:numPr>
                <w:ilvl w:val="0"/>
                <w:numId w:val="28"/>
              </w:numPr>
            </w:pPr>
            <w:r w:rsidRPr="00D41C91">
              <w:t>Simulation for PROTON BEAM THERAPY (PBT), if:</w:t>
            </w:r>
          </w:p>
          <w:p w14:paraId="6FE883BA" w14:textId="6A0B339F" w:rsidR="00915F34" w:rsidRPr="00D41C91" w:rsidRDefault="00915F34" w:rsidP="00B30E92">
            <w:pPr>
              <w:pStyle w:val="TableText0"/>
              <w:numPr>
                <w:ilvl w:val="0"/>
                <w:numId w:val="23"/>
              </w:numPr>
            </w:pPr>
            <w:r w:rsidRPr="00D41C91">
              <w:t>Patient set-up and immobilisation techniques are suitable for reliable image volume data acquisition and reproducible PBT treatment; and</w:t>
            </w:r>
          </w:p>
          <w:p w14:paraId="46126DEE" w14:textId="59D4F847" w:rsidR="00915F34" w:rsidRPr="00D41C91" w:rsidRDefault="00915F34" w:rsidP="00B30E92">
            <w:pPr>
              <w:pStyle w:val="TableText0"/>
              <w:numPr>
                <w:ilvl w:val="0"/>
                <w:numId w:val="23"/>
              </w:numPr>
            </w:pPr>
            <w:r w:rsidRPr="00D41C91">
              <w:t>A high-quality three dimensional or four-dimensional image volume dataset is acquired in treatment position for the relevant region of interest to be planned, treated and verified (through daily planar or volumetric image guidance strategies); and</w:t>
            </w:r>
          </w:p>
          <w:p w14:paraId="4C102AF0" w14:textId="31D8AD34" w:rsidR="00915F34" w:rsidRPr="00D41C91" w:rsidRDefault="00915F34" w:rsidP="00B30E92">
            <w:pPr>
              <w:pStyle w:val="TableText0"/>
              <w:numPr>
                <w:ilvl w:val="0"/>
                <w:numId w:val="23"/>
              </w:numPr>
            </w:pPr>
            <w:r w:rsidRPr="00D41C91">
              <w:t>The image set must be suitable for fusion or co-registration with diagnostic quality datasets and generation of quality digitally reconstructed radiographic images to PBT treatment strategies, and</w:t>
            </w:r>
          </w:p>
          <w:p w14:paraId="234C0D1C" w14:textId="2ABD140B" w:rsidR="00915F34" w:rsidRPr="00D41C91" w:rsidRDefault="00915F34" w:rsidP="00B30E92">
            <w:pPr>
              <w:pStyle w:val="TableText0"/>
              <w:numPr>
                <w:ilvl w:val="0"/>
                <w:numId w:val="28"/>
              </w:numPr>
            </w:pPr>
            <w:r w:rsidRPr="00D41C91">
              <w:t>Dosimetry for proton beam therapy</w:t>
            </w:r>
            <w:r w:rsidRPr="00D41C91">
              <w:rPr>
                <w:color w:val="FF0000"/>
              </w:rPr>
              <w:t xml:space="preserve"> </w:t>
            </w:r>
            <w:r w:rsidRPr="00D41C91">
              <w:t>if:</w:t>
            </w:r>
          </w:p>
          <w:p w14:paraId="379FAF6F" w14:textId="7DEF6A44" w:rsidR="00915F34" w:rsidRPr="00D41C91" w:rsidRDefault="00915F34" w:rsidP="00B30E92">
            <w:pPr>
              <w:pStyle w:val="TableText0"/>
              <w:numPr>
                <w:ilvl w:val="0"/>
                <w:numId w:val="24"/>
              </w:numPr>
            </w:pPr>
            <w:r w:rsidRPr="00D41C91">
              <w:t>The PBT delivery planning process is required to calculate dose to single or multiple target structures and requires a dose-volume histogram to complete the planning process; and</w:t>
            </w:r>
          </w:p>
          <w:p w14:paraId="0419FB03" w14:textId="71F6C767" w:rsidR="00915F34" w:rsidRPr="00D41C91" w:rsidRDefault="00915F34" w:rsidP="00B30E92">
            <w:pPr>
              <w:pStyle w:val="TableText0"/>
              <w:numPr>
                <w:ilvl w:val="0"/>
                <w:numId w:val="24"/>
              </w:numPr>
            </w:pPr>
            <w:r w:rsidRPr="00D41C91">
              <w:t>The PBT delivery planning process maximises the differential between target dose, organs at risk and normal tissue dose, based on review and assessment by a radiation oncologist; and</w:t>
            </w:r>
          </w:p>
          <w:p w14:paraId="73BF52B7" w14:textId="50977B17" w:rsidR="00915F34" w:rsidRPr="00D41C91" w:rsidRDefault="00915F34" w:rsidP="00B30E92">
            <w:pPr>
              <w:pStyle w:val="TableText0"/>
              <w:numPr>
                <w:ilvl w:val="0"/>
                <w:numId w:val="24"/>
              </w:numPr>
            </w:pPr>
            <w:r w:rsidRPr="00D41C91">
              <w:t>All gross tumour volume, clinical target volumes, and organs at risk must be rendered; and</w:t>
            </w:r>
          </w:p>
          <w:p w14:paraId="0DD53244" w14:textId="7DC26CCB" w:rsidR="00915F34" w:rsidRPr="00D41C91" w:rsidRDefault="00915F34" w:rsidP="00B30E92">
            <w:pPr>
              <w:pStyle w:val="TableText0"/>
              <w:numPr>
                <w:ilvl w:val="0"/>
                <w:numId w:val="24"/>
              </w:numPr>
            </w:pPr>
            <w:r w:rsidRPr="00D41C91">
              <w:t>Organs at risk must be nominated as planning dose goals or constraints; and</w:t>
            </w:r>
          </w:p>
          <w:p w14:paraId="46F610E0" w14:textId="2C89C158" w:rsidR="00915F34" w:rsidRPr="00D41C91" w:rsidRDefault="00915F34" w:rsidP="00B30E92">
            <w:pPr>
              <w:pStyle w:val="TableText0"/>
              <w:numPr>
                <w:ilvl w:val="0"/>
                <w:numId w:val="24"/>
              </w:numPr>
            </w:pPr>
            <w:r w:rsidRPr="00D41C91">
              <w:t>Dose calculations and dose-volume histograms must be generated in an inverse planned process, using a specialised calculation algorithm, with prescription and plan details approved and recorded with the plan; and</w:t>
            </w:r>
          </w:p>
          <w:p w14:paraId="68F247BA" w14:textId="1B64D768" w:rsidR="00915F34" w:rsidRPr="00D41C91" w:rsidRDefault="00915F34" w:rsidP="00B30E92">
            <w:pPr>
              <w:pStyle w:val="TableText0"/>
              <w:numPr>
                <w:ilvl w:val="0"/>
                <w:numId w:val="24"/>
              </w:numPr>
            </w:pPr>
            <w:r w:rsidRPr="00D41C91">
              <w:t>Three dimensional image volume dataset must be used for the relevant region to be planned, treated and verified; and</w:t>
            </w:r>
          </w:p>
          <w:p w14:paraId="31B6890E" w14:textId="31F92030" w:rsidR="00915F34" w:rsidRPr="00D41C91" w:rsidRDefault="00915F34" w:rsidP="00B30E92">
            <w:pPr>
              <w:pStyle w:val="TableText0"/>
              <w:numPr>
                <w:ilvl w:val="0"/>
                <w:numId w:val="24"/>
              </w:numPr>
            </w:pPr>
            <w:r w:rsidRPr="00D41C91">
              <w:t>Relevant multimodality diagnostic imaging (including four-dimensional CT, contrast-enhanced CT, magnetic resonance imaging or positron emission tomography), where available, is used to delineate all relevant targets and organs at risk; and</w:t>
            </w:r>
          </w:p>
          <w:p w14:paraId="42B4B9CC" w14:textId="0E8D1A99" w:rsidR="00915F34" w:rsidRPr="00D41C91" w:rsidRDefault="00915F34" w:rsidP="00B30E92">
            <w:pPr>
              <w:pStyle w:val="TableText0"/>
              <w:numPr>
                <w:ilvl w:val="0"/>
                <w:numId w:val="24"/>
              </w:numPr>
            </w:pPr>
            <w:r w:rsidRPr="00D41C91">
              <w:t>Images are suitable for generation of quality digitally reconstructed radiographic images; and</w:t>
            </w:r>
          </w:p>
          <w:p w14:paraId="2A48AD8A" w14:textId="287D76C3" w:rsidR="00915F34" w:rsidRPr="00D41C91" w:rsidRDefault="00915F34" w:rsidP="00B30E92">
            <w:pPr>
              <w:pStyle w:val="TableText0"/>
              <w:numPr>
                <w:ilvl w:val="0"/>
                <w:numId w:val="24"/>
              </w:numPr>
            </w:pPr>
            <w:r w:rsidRPr="00D41C91">
              <w:t>The final dosimetry plan is validated by both the appropriately qualified radiation therapist and/or medical physicist, using robust quality assurance processes, with the plan approved by the radiation oncologist prior to delivery, which must include:</w:t>
            </w:r>
          </w:p>
          <w:p w14:paraId="41364639" w14:textId="36913274" w:rsidR="00915F34" w:rsidRPr="00D41C91" w:rsidRDefault="00915F34" w:rsidP="00B30E92">
            <w:pPr>
              <w:pStyle w:val="TableText0"/>
              <w:numPr>
                <w:ilvl w:val="0"/>
                <w:numId w:val="25"/>
              </w:numPr>
            </w:pPr>
            <w:r w:rsidRPr="00D41C91">
              <w:t xml:space="preserve">Determination of accuracy of dose </w:t>
            </w:r>
            <w:proofErr w:type="spellStart"/>
            <w:r w:rsidRPr="00D41C91">
              <w:t>fluence</w:t>
            </w:r>
            <w:proofErr w:type="spellEnd"/>
            <w:r w:rsidRPr="00D41C91">
              <w:t xml:space="preserve"> delivered by the pencil beam scanning system and gantry position (static or dynamic); or</w:t>
            </w:r>
          </w:p>
          <w:p w14:paraId="5A30D04C" w14:textId="4EAE3A81" w:rsidR="00915F34" w:rsidRPr="00D41C91" w:rsidRDefault="00915F34" w:rsidP="00B30E92">
            <w:pPr>
              <w:pStyle w:val="TableText0"/>
              <w:numPr>
                <w:ilvl w:val="0"/>
                <w:numId w:val="25"/>
              </w:numPr>
            </w:pPr>
            <w:r w:rsidRPr="00D41C91">
              <w:t>Ensuring the plan is deliverable, data transfer is acceptable and validation checks are completed on a proton therapy system; or</w:t>
            </w:r>
          </w:p>
          <w:p w14:paraId="1DB3DA6A" w14:textId="272ACA66" w:rsidR="00915F34" w:rsidRPr="00D41C91" w:rsidRDefault="00915F34" w:rsidP="00B30E92">
            <w:pPr>
              <w:pStyle w:val="TableText0"/>
              <w:numPr>
                <w:ilvl w:val="0"/>
                <w:numId w:val="25"/>
              </w:numPr>
            </w:pPr>
            <w:r w:rsidRPr="00D41C91">
              <w:t>Validation of accuracy of the derived PBT treatment plan; and</w:t>
            </w:r>
          </w:p>
          <w:p w14:paraId="2610FFEB" w14:textId="1F3A7D0E" w:rsidR="00D3256E" w:rsidRDefault="00D3256E" w:rsidP="00B30E92">
            <w:pPr>
              <w:pStyle w:val="TableText0"/>
              <w:numPr>
                <w:ilvl w:val="0"/>
                <w:numId w:val="24"/>
              </w:numPr>
            </w:pPr>
            <w:r>
              <w:t>Comparative proton and photon treatment plans have demonstrated that the patient is as risk of clinically significant side effects if photon radiation therapy were used instead of PBT; and</w:t>
            </w:r>
          </w:p>
          <w:p w14:paraId="17CED014" w14:textId="691D59F5" w:rsidR="00915F34" w:rsidRPr="00D41C91" w:rsidRDefault="00915F34" w:rsidP="00B30E92">
            <w:pPr>
              <w:pStyle w:val="TableText0"/>
              <w:numPr>
                <w:ilvl w:val="0"/>
                <w:numId w:val="24"/>
              </w:numPr>
            </w:pPr>
            <w:r w:rsidRPr="00D41C91">
              <w:t>Only three ADDITIONAL dosimetry plans (for re-planning/adaptive strategy) are payable through the MBS during the treatment course (at 50% of the fee for this item), when treatment adjustments are inadequate to satisfy treatment protocol requirements.</w:t>
            </w:r>
          </w:p>
        </w:tc>
      </w:tr>
      <w:tr w:rsidR="00915F34" w:rsidRPr="00D41C91" w14:paraId="6259D97E" w14:textId="77777777" w:rsidTr="009E589D">
        <w:tc>
          <w:tcPr>
            <w:tcW w:w="5000" w:type="pct"/>
            <w:hideMark/>
          </w:tcPr>
          <w:p w14:paraId="578D49EC" w14:textId="77777777" w:rsidR="00915F34" w:rsidRPr="00D41C91" w:rsidRDefault="00915F34" w:rsidP="00915F34">
            <w:pPr>
              <w:pStyle w:val="TableText0"/>
            </w:pPr>
            <w:r w:rsidRPr="00D41C91">
              <w:t>Fee: $7,630.</w:t>
            </w:r>
            <w:r>
              <w:t>50</w:t>
            </w:r>
            <w:r w:rsidRPr="00D41C91">
              <w:t xml:space="preserve"> 85% Benefit: $</w:t>
            </w:r>
            <w:r>
              <w:t>7,545.90</w:t>
            </w:r>
          </w:p>
        </w:tc>
      </w:tr>
    </w:tbl>
    <w:p w14:paraId="2BF9B328" w14:textId="51379353" w:rsidR="00915F34" w:rsidRPr="00D41C91" w:rsidRDefault="00915F34" w:rsidP="00772003"/>
    <w:tbl>
      <w:tblPr>
        <w:tblStyle w:val="TableGrid"/>
        <w:tblW w:w="5314" w:type="pct"/>
        <w:tblLook w:val="04A0" w:firstRow="1" w:lastRow="0" w:firstColumn="1" w:lastColumn="0" w:noHBand="0" w:noVBand="1"/>
        <w:tblCaption w:val="Proposed MBS item descriptor for treatment and verification"/>
      </w:tblPr>
      <w:tblGrid>
        <w:gridCol w:w="9582"/>
      </w:tblGrid>
      <w:tr w:rsidR="00915F34" w:rsidRPr="00D41C91" w14:paraId="277AB0BE" w14:textId="77777777" w:rsidTr="009E589D">
        <w:trPr>
          <w:tblHeader/>
        </w:trPr>
        <w:tc>
          <w:tcPr>
            <w:tcW w:w="5000" w:type="pct"/>
            <w:hideMark/>
          </w:tcPr>
          <w:p w14:paraId="255ACD17" w14:textId="77777777" w:rsidR="00915F34" w:rsidRPr="00D41C91" w:rsidRDefault="00915F34" w:rsidP="00915F34">
            <w:pPr>
              <w:pStyle w:val="TableText0"/>
            </w:pPr>
            <w:r w:rsidRPr="00D41C91">
              <w:lastRenderedPageBreak/>
              <w:t>Category 3 – Group T2 – Radiation Oncology</w:t>
            </w:r>
          </w:p>
        </w:tc>
      </w:tr>
      <w:tr w:rsidR="00915F34" w:rsidRPr="00D41C91" w14:paraId="182F77D3" w14:textId="77777777" w:rsidTr="009E589D">
        <w:tc>
          <w:tcPr>
            <w:tcW w:w="5000" w:type="pct"/>
            <w:hideMark/>
          </w:tcPr>
          <w:p w14:paraId="05160B32" w14:textId="054FBEA1" w:rsidR="00AE263D" w:rsidRDefault="00AE263D" w:rsidP="00AE263D">
            <w:pPr>
              <w:pStyle w:val="TableText0"/>
            </w:pPr>
            <w:r w:rsidRPr="00D41C91">
              <w:t>Item 15</w:t>
            </w:r>
            <w:r>
              <w:t>ZZZ</w:t>
            </w:r>
          </w:p>
          <w:p w14:paraId="28DB2425" w14:textId="0ED43356" w:rsidR="00915F34" w:rsidRPr="00772003" w:rsidRDefault="00915F34" w:rsidP="00915F34">
            <w:pPr>
              <w:pStyle w:val="TableText0"/>
            </w:pPr>
            <w:r w:rsidRPr="00772003">
              <w:t>Megavoltage Level 6 – Proton Beam Therapy Treatment &amp; Verification, for an adult patient with:</w:t>
            </w:r>
          </w:p>
          <w:p w14:paraId="7A065EFA" w14:textId="4A7AB731" w:rsidR="00915F34" w:rsidRPr="00772003" w:rsidRDefault="00915F34" w:rsidP="00B30E92">
            <w:pPr>
              <w:pStyle w:val="TableText0"/>
              <w:numPr>
                <w:ilvl w:val="0"/>
                <w:numId w:val="26"/>
              </w:numPr>
            </w:pPr>
            <w:r w:rsidRPr="00772003">
              <w:t xml:space="preserve">A tumour of the base of the skull, including meningioma, </w:t>
            </w:r>
            <w:proofErr w:type="spellStart"/>
            <w:r w:rsidRPr="00772003">
              <w:t>chordoma</w:t>
            </w:r>
            <w:proofErr w:type="spellEnd"/>
            <w:r w:rsidRPr="00772003">
              <w:t xml:space="preserve"> or chondrosarcoma; or</w:t>
            </w:r>
          </w:p>
          <w:p w14:paraId="61769E38" w14:textId="60D2B315" w:rsidR="00915F34" w:rsidRPr="00772003" w:rsidRDefault="00915F34" w:rsidP="00B30E92">
            <w:pPr>
              <w:pStyle w:val="TableText0"/>
              <w:numPr>
                <w:ilvl w:val="0"/>
                <w:numId w:val="26"/>
              </w:numPr>
            </w:pPr>
            <w:r w:rsidRPr="00772003">
              <w:t xml:space="preserve">A tumour of the vertebral column or bony pelvis; or </w:t>
            </w:r>
          </w:p>
          <w:p w14:paraId="1EA0BEDC" w14:textId="0E2D1622" w:rsidR="00915F34" w:rsidRPr="00772003" w:rsidRDefault="00915F34" w:rsidP="00B30E92">
            <w:pPr>
              <w:pStyle w:val="TableText0"/>
              <w:numPr>
                <w:ilvl w:val="0"/>
                <w:numId w:val="26"/>
              </w:numPr>
            </w:pPr>
            <w:r w:rsidRPr="00772003">
              <w:t>An adenoid cystic carcinoma of the salivary or lacrimal gland.</w:t>
            </w:r>
          </w:p>
          <w:p w14:paraId="17C6C2B5" w14:textId="77777777" w:rsidR="00915F34" w:rsidRPr="00D41C91" w:rsidRDefault="00915F34" w:rsidP="00915F34">
            <w:pPr>
              <w:pStyle w:val="TableText0"/>
            </w:pPr>
            <w:r w:rsidRPr="00D41C91">
              <w:t>Proton beam therapy and verification</w:t>
            </w:r>
            <w:r w:rsidRPr="00D41C91">
              <w:rPr>
                <w:color w:val="FF0000"/>
              </w:rPr>
              <w:t xml:space="preserve"> </w:t>
            </w:r>
            <w:r w:rsidRPr="00D41C91">
              <w:t xml:space="preserve">using a device approved by the Therapeutic Goods Administration if: </w:t>
            </w:r>
          </w:p>
          <w:p w14:paraId="3F2869DA" w14:textId="1DAC69CD" w:rsidR="00915F34" w:rsidRPr="00D41C91" w:rsidRDefault="00915F34" w:rsidP="00B30E92">
            <w:pPr>
              <w:pStyle w:val="TableText0"/>
              <w:numPr>
                <w:ilvl w:val="0"/>
                <w:numId w:val="27"/>
              </w:numPr>
            </w:pPr>
            <w:r w:rsidRPr="00D41C91">
              <w:t xml:space="preserve">Image-guided proton therapy imaging is used (with motion management functionality if required) to implement a PBT treatment, prepared in accordance with item 15XXX; and </w:t>
            </w:r>
          </w:p>
          <w:p w14:paraId="0C71B0B5" w14:textId="7F5B0216" w:rsidR="00915F34" w:rsidRPr="00D41C91" w:rsidRDefault="00915F34" w:rsidP="00B30E92">
            <w:pPr>
              <w:pStyle w:val="TableText0"/>
              <w:numPr>
                <w:ilvl w:val="0"/>
                <w:numId w:val="27"/>
              </w:numPr>
            </w:pPr>
            <w:r w:rsidRPr="00D41C91">
              <w:t xml:space="preserve">PBT delivery mode is utilised (delivered by a fixed or dynamic gantry proton therapy delivery system); and image decisions and actions are documented in the patient’s record; and </w:t>
            </w:r>
          </w:p>
          <w:p w14:paraId="0094C170" w14:textId="616C0A50" w:rsidR="00915F34" w:rsidRPr="00D41C91" w:rsidRDefault="00915F34" w:rsidP="00B30E92">
            <w:pPr>
              <w:pStyle w:val="TableText0"/>
              <w:numPr>
                <w:ilvl w:val="0"/>
                <w:numId w:val="27"/>
              </w:numPr>
            </w:pPr>
            <w:r w:rsidRPr="00D41C91">
              <w:t xml:space="preserve">Payable once only for each attendance at which treatment is given (with two attendances only paid if another site is located in a different organ/part of the body and requires treatment on the same day), and </w:t>
            </w:r>
          </w:p>
          <w:p w14:paraId="65CD8335" w14:textId="16F73D64" w:rsidR="00915F34" w:rsidRPr="00D41C91" w:rsidRDefault="00915F34" w:rsidP="00B30E92">
            <w:pPr>
              <w:pStyle w:val="TableText0"/>
              <w:numPr>
                <w:ilvl w:val="0"/>
                <w:numId w:val="27"/>
              </w:numPr>
            </w:pPr>
            <w:r w:rsidRPr="00D41C91">
              <w:t>Daily treatment verification is included in the MBS fee, and patient specific PBT quality assurance applied to all cases, with three ADDITIONAL PBT plan/adaptive strategies payable (at 50% of the fee for item 15XXX) when treatment adjustments are inadequate to satisfy treatment protocol requirements.</w:t>
            </w:r>
          </w:p>
        </w:tc>
      </w:tr>
      <w:tr w:rsidR="00915F34" w:rsidRPr="00D41C91" w14:paraId="63D80A39" w14:textId="77777777" w:rsidTr="009E589D">
        <w:tc>
          <w:tcPr>
            <w:tcW w:w="5000" w:type="pct"/>
            <w:hideMark/>
          </w:tcPr>
          <w:p w14:paraId="7014AA59" w14:textId="73440FFB" w:rsidR="00915F34" w:rsidRPr="00D41C91" w:rsidRDefault="00915F34" w:rsidP="00796E59">
            <w:pPr>
              <w:pStyle w:val="TableText0"/>
            </w:pPr>
            <w:r>
              <w:t xml:space="preserve">Fee: $800.40 </w:t>
            </w:r>
            <w:r w:rsidRPr="00D41C91">
              <w:t>85% Benefit: $</w:t>
            </w:r>
            <w:r>
              <w:t>715.70</w:t>
            </w:r>
          </w:p>
        </w:tc>
      </w:tr>
    </w:tbl>
    <w:p w14:paraId="720D0A24" w14:textId="77777777" w:rsidR="00915F34" w:rsidRPr="00AE263D" w:rsidRDefault="00915F34" w:rsidP="00915F34"/>
    <w:tbl>
      <w:tblPr>
        <w:tblStyle w:val="TableGrid"/>
        <w:tblW w:w="5411" w:type="pct"/>
        <w:tblLook w:val="04A0" w:firstRow="1" w:lastRow="0" w:firstColumn="1" w:lastColumn="0" w:noHBand="0" w:noVBand="1"/>
        <w:tblCaption w:val="Proposed MBS item descriptor for treatment and verification"/>
      </w:tblPr>
      <w:tblGrid>
        <w:gridCol w:w="9757"/>
      </w:tblGrid>
      <w:tr w:rsidR="00915F34" w:rsidRPr="00915F34" w14:paraId="514485E2" w14:textId="77777777" w:rsidTr="009E589D">
        <w:trPr>
          <w:trHeight w:val="454"/>
          <w:tblHeader/>
        </w:trPr>
        <w:tc>
          <w:tcPr>
            <w:tcW w:w="5000" w:type="pct"/>
            <w:hideMark/>
          </w:tcPr>
          <w:p w14:paraId="4B8BE7B2" w14:textId="5FF5A956" w:rsidR="00915F34" w:rsidRPr="00915F34" w:rsidRDefault="00915F34" w:rsidP="00915F34">
            <w:pPr>
              <w:pStyle w:val="TableText0"/>
            </w:pPr>
            <w:r w:rsidRPr="00915F34">
              <w:t xml:space="preserve"> Category 3 – Group T2 – Radiation Oncology</w:t>
            </w:r>
          </w:p>
        </w:tc>
      </w:tr>
      <w:tr w:rsidR="00915F34" w:rsidRPr="00915F34" w14:paraId="0CA127A2" w14:textId="77777777" w:rsidTr="009E589D">
        <w:tc>
          <w:tcPr>
            <w:tcW w:w="5000" w:type="pct"/>
            <w:hideMark/>
          </w:tcPr>
          <w:p w14:paraId="08455D0B" w14:textId="001A10CF" w:rsidR="00AE263D" w:rsidRDefault="00AE263D" w:rsidP="00AE263D">
            <w:pPr>
              <w:pStyle w:val="TableText0"/>
            </w:pPr>
            <w:r w:rsidRPr="00D41C91">
              <w:t>Item 15</w:t>
            </w:r>
            <w:r>
              <w:t>AAA</w:t>
            </w:r>
          </w:p>
          <w:p w14:paraId="4CD1105C" w14:textId="774369F0" w:rsidR="00915F34" w:rsidRPr="00915F34" w:rsidRDefault="00915F34" w:rsidP="00915F34">
            <w:pPr>
              <w:pStyle w:val="TableText0"/>
            </w:pPr>
            <w:r w:rsidRPr="00915F34">
              <w:t xml:space="preserve">Megavoltage Level 6 – Proton Beam Therapy Treatment &amp; Verification, Treatment Strategies for a patient under the age of </w:t>
            </w:r>
            <w:r w:rsidR="00772003">
              <w:t>25</w:t>
            </w:r>
            <w:r w:rsidRPr="00915F34">
              <w:t xml:space="preserve"> years with a solid tumour located in:</w:t>
            </w:r>
          </w:p>
          <w:p w14:paraId="0B6D6A6C" w14:textId="080CEFDE" w:rsidR="00915F34" w:rsidRPr="00915F34" w:rsidRDefault="00915F34" w:rsidP="00B30E92">
            <w:pPr>
              <w:pStyle w:val="TableText0"/>
              <w:numPr>
                <w:ilvl w:val="0"/>
                <w:numId w:val="30"/>
              </w:numPr>
            </w:pPr>
            <w:r w:rsidRPr="00915F34">
              <w:t>The central nervous system; or</w:t>
            </w:r>
          </w:p>
          <w:p w14:paraId="7F987245" w14:textId="735AD8D5" w:rsidR="00915F34" w:rsidRPr="00915F34" w:rsidRDefault="00915F34" w:rsidP="00B30E92">
            <w:pPr>
              <w:pStyle w:val="TableText0"/>
              <w:numPr>
                <w:ilvl w:val="0"/>
                <w:numId w:val="30"/>
              </w:numPr>
            </w:pPr>
            <w:r w:rsidRPr="00915F34">
              <w:t>The orbit, including retinoblastoma; or</w:t>
            </w:r>
          </w:p>
          <w:p w14:paraId="1664B462" w14:textId="7F3D64A0" w:rsidR="00915F34" w:rsidRPr="00915F34" w:rsidRDefault="00915F34" w:rsidP="00B30E92">
            <w:pPr>
              <w:pStyle w:val="TableText0"/>
              <w:numPr>
                <w:ilvl w:val="0"/>
                <w:numId w:val="30"/>
              </w:numPr>
            </w:pPr>
            <w:r w:rsidRPr="00915F34">
              <w:t>The axial skeleton or in close proximity to the axial skeleton, including bone or soft tissue sarcoma;</w:t>
            </w:r>
          </w:p>
          <w:p w14:paraId="3068DC0F" w14:textId="2C76D9FB" w:rsidR="00915F34" w:rsidRPr="00915F34" w:rsidRDefault="00915F34" w:rsidP="00915F34">
            <w:pPr>
              <w:pStyle w:val="TableText0"/>
            </w:pPr>
            <w:r w:rsidRPr="00915F34">
              <w:t>Or with one of the following tumour types:</w:t>
            </w:r>
          </w:p>
          <w:p w14:paraId="41CEF7BA" w14:textId="66F3253D" w:rsidR="00915F34" w:rsidRPr="00915F34" w:rsidRDefault="00915F34" w:rsidP="00B30E92">
            <w:pPr>
              <w:pStyle w:val="TableText0"/>
              <w:numPr>
                <w:ilvl w:val="0"/>
                <w:numId w:val="30"/>
              </w:numPr>
            </w:pPr>
            <w:proofErr w:type="spellStart"/>
            <w:r w:rsidRPr="00915F34">
              <w:t>Craniopharyngioma</w:t>
            </w:r>
            <w:proofErr w:type="spellEnd"/>
          </w:p>
          <w:p w14:paraId="3C0270F7" w14:textId="18E89105" w:rsidR="00915F34" w:rsidRPr="00915F34" w:rsidRDefault="00915F34" w:rsidP="00B30E92">
            <w:pPr>
              <w:pStyle w:val="TableText0"/>
              <w:numPr>
                <w:ilvl w:val="0"/>
                <w:numId w:val="30"/>
              </w:numPr>
            </w:pPr>
            <w:r w:rsidRPr="00915F34">
              <w:t>Intracranial germ cell tumour</w:t>
            </w:r>
          </w:p>
          <w:p w14:paraId="44B477C4" w14:textId="2D1029F6" w:rsidR="00915F34" w:rsidRPr="00915F34" w:rsidRDefault="00915F34" w:rsidP="00B30E92">
            <w:pPr>
              <w:pStyle w:val="TableText0"/>
              <w:numPr>
                <w:ilvl w:val="0"/>
                <w:numId w:val="30"/>
              </w:numPr>
            </w:pPr>
            <w:proofErr w:type="spellStart"/>
            <w:r w:rsidRPr="00915F34">
              <w:t>Neuroblastoma</w:t>
            </w:r>
            <w:proofErr w:type="spellEnd"/>
          </w:p>
          <w:p w14:paraId="5A637158" w14:textId="60267E3C" w:rsidR="00915F34" w:rsidRPr="00915F34" w:rsidRDefault="00915F34" w:rsidP="00B30E92">
            <w:pPr>
              <w:pStyle w:val="TableText0"/>
              <w:numPr>
                <w:ilvl w:val="0"/>
                <w:numId w:val="30"/>
              </w:numPr>
            </w:pPr>
            <w:proofErr w:type="spellStart"/>
            <w:r w:rsidRPr="00915F34">
              <w:t>Nephroblastoma</w:t>
            </w:r>
            <w:proofErr w:type="spellEnd"/>
          </w:p>
          <w:p w14:paraId="34002053" w14:textId="5F7C646A" w:rsidR="00915F34" w:rsidRPr="00915F34" w:rsidRDefault="00915F34" w:rsidP="00915F34">
            <w:pPr>
              <w:pStyle w:val="TableText0"/>
            </w:pPr>
            <w:r w:rsidRPr="00915F34">
              <w:t>Proton beam therapy and verification using a device approved by the Therapeutic Goods Administration if:</w:t>
            </w:r>
          </w:p>
          <w:p w14:paraId="03E4E473" w14:textId="08B4D14F" w:rsidR="00915F34" w:rsidRPr="00915F34" w:rsidRDefault="00915F34" w:rsidP="00B30E92">
            <w:pPr>
              <w:pStyle w:val="TableText0"/>
              <w:numPr>
                <w:ilvl w:val="0"/>
                <w:numId w:val="31"/>
              </w:numPr>
            </w:pPr>
            <w:r w:rsidRPr="00915F34">
              <w:t>Image-guided proton therapy imaging is used (with motion management functionality if required) to implement a PBT treatment, prepared in accordance with item 15YYY; and</w:t>
            </w:r>
          </w:p>
          <w:p w14:paraId="7F1CD083" w14:textId="6FF21AE1" w:rsidR="00915F34" w:rsidRPr="00915F34" w:rsidRDefault="00915F34" w:rsidP="00B30E92">
            <w:pPr>
              <w:pStyle w:val="TableText0"/>
              <w:numPr>
                <w:ilvl w:val="0"/>
                <w:numId w:val="31"/>
              </w:numPr>
            </w:pPr>
            <w:r w:rsidRPr="00915F34">
              <w:t>PBT delivery mode is utilised (delivered by a fixed or dynamic gantry proton therapy delivery system); and image decisions and actions are documented in the patient’s record; and</w:t>
            </w:r>
          </w:p>
          <w:p w14:paraId="0F782F66" w14:textId="0455065C" w:rsidR="00915F34" w:rsidRPr="00915F34" w:rsidRDefault="00915F34" w:rsidP="00B30E92">
            <w:pPr>
              <w:pStyle w:val="TableText0"/>
              <w:numPr>
                <w:ilvl w:val="0"/>
                <w:numId w:val="31"/>
              </w:numPr>
            </w:pPr>
            <w:r w:rsidRPr="00915F34">
              <w:t>Payable once only for each attendance at which treatment is given (with two attendances only paid if another site is located in a different organ/part of the body and requires treatment on the same day), and</w:t>
            </w:r>
          </w:p>
          <w:p w14:paraId="10BF0EA2" w14:textId="3E68A011" w:rsidR="00915F34" w:rsidRPr="00915F34" w:rsidRDefault="00915F34" w:rsidP="00B30E92">
            <w:pPr>
              <w:pStyle w:val="TableText0"/>
              <w:numPr>
                <w:ilvl w:val="0"/>
                <w:numId w:val="31"/>
              </w:numPr>
            </w:pPr>
            <w:r w:rsidRPr="00915F34">
              <w:t>Daily treatment verification is included in the MBS fee, and patient specific PBT quality assurance applied to all cases, with three ADDITIONAL PBT plan/adaptive strategies payable (at 50% of the fee for item 15YYY) when treatment adjustments are inadequate to satisfy treatment protocol requirements.</w:t>
            </w:r>
          </w:p>
        </w:tc>
      </w:tr>
      <w:tr w:rsidR="00915F34" w:rsidRPr="00915F34" w14:paraId="738F06D2" w14:textId="77777777" w:rsidTr="009E589D">
        <w:tc>
          <w:tcPr>
            <w:tcW w:w="5000" w:type="pct"/>
            <w:hideMark/>
          </w:tcPr>
          <w:p w14:paraId="1D7A2FF8" w14:textId="4E370B08" w:rsidR="00915F34" w:rsidRPr="00915F34" w:rsidRDefault="00915F34" w:rsidP="00796E59">
            <w:pPr>
              <w:pStyle w:val="TableText0"/>
            </w:pPr>
            <w:r w:rsidRPr="00915F34">
              <w:t>Fee: $800.40 85% Benefit: $715.70</w:t>
            </w:r>
          </w:p>
        </w:tc>
      </w:tr>
    </w:tbl>
    <w:p w14:paraId="51059C4D" w14:textId="7825DAB0" w:rsidR="00915F34" w:rsidRPr="00AE263D" w:rsidRDefault="00915F34" w:rsidP="00915F34"/>
    <w:tbl>
      <w:tblPr>
        <w:tblStyle w:val="TableGrid"/>
        <w:tblW w:w="5392" w:type="pct"/>
        <w:tblLook w:val="04A0" w:firstRow="1" w:lastRow="0" w:firstColumn="1" w:lastColumn="0" w:noHBand="0" w:noVBand="1"/>
        <w:tblCaption w:val="Table containing explanatory notes for the proposed MBS items"/>
      </w:tblPr>
      <w:tblGrid>
        <w:gridCol w:w="9723"/>
      </w:tblGrid>
      <w:tr w:rsidR="00915F34" w:rsidRPr="00D41C91" w14:paraId="24966229" w14:textId="77777777" w:rsidTr="009E589D">
        <w:trPr>
          <w:tblHeader/>
        </w:trPr>
        <w:tc>
          <w:tcPr>
            <w:tcW w:w="5000" w:type="pct"/>
            <w:hideMark/>
          </w:tcPr>
          <w:p w14:paraId="5F4A131B" w14:textId="77777777" w:rsidR="00915F34" w:rsidRPr="00D41C91" w:rsidRDefault="00915F34" w:rsidP="00915F34">
            <w:pPr>
              <w:pStyle w:val="TableText0"/>
            </w:pPr>
            <w:r w:rsidRPr="00D41C91">
              <w:lastRenderedPageBreak/>
              <w:t>In items 15XXX and 15YYY: Proton Beam Therapy is localised through 3D or 4D volumetric imaging to identify Clinical Targets, Organs at Risk and Normal Tissue (and tumour/OAR excursion in the case of 4D applications). Planning includes optimisation of the dose based on assessment of OAR doses. This technique involves very sharp dose gradients adjacent to both targets and organs at risk increasing the consequences of any geometric uncertainty, making daily treatment verification (IGRT) an essential component of quality PBT. In the case of 4D applications, treatment delivery utilises some form of motion management (gating, deep inspiration breath hold, rescanning etc.) and further complicates the planning, delivery and quality assurance processes. It is the tumour location, size, adjacent organs and dosimetry that define the appropriate role for PBT, and support an approach where the clinical circumstances rather than specific diagnoses are the most important determinants for using PBT. Patient specific pre-treatment Quality Assurance will be required and consideration for re-planning/adaption is included.</w:t>
            </w:r>
          </w:p>
          <w:p w14:paraId="37CBEA8B" w14:textId="77777777" w:rsidR="00915F34" w:rsidRPr="00D41C91" w:rsidRDefault="00915F34" w:rsidP="00915F34">
            <w:pPr>
              <w:pStyle w:val="TableText0"/>
            </w:pPr>
            <w:r w:rsidRPr="00D41C91">
              <w:t>Delivery Technologies: Proton accelerator based fixed beam PBT, Proton accelerator based PBT with a gantry.</w:t>
            </w:r>
          </w:p>
          <w:p w14:paraId="797CD873" w14:textId="43453342" w:rsidR="00915F34" w:rsidRPr="00D41C91" w:rsidRDefault="00915F34" w:rsidP="00915F34">
            <w:pPr>
              <w:pStyle w:val="TableText0"/>
            </w:pPr>
            <w:r w:rsidRPr="00D41C91">
              <w:t>Eligible patients are at risk of clinically significant side effects using other forms of radiation therapy</w:t>
            </w:r>
            <w:r w:rsidR="000179EC">
              <w:t xml:space="preserve"> as demonstrated by comparative proton and photon treatment plans.</w:t>
            </w:r>
          </w:p>
          <w:p w14:paraId="45889A5B" w14:textId="77777777" w:rsidR="00915F34" w:rsidRPr="00D41C91" w:rsidRDefault="00915F34" w:rsidP="00915F34">
            <w:pPr>
              <w:pStyle w:val="TableText0"/>
            </w:pPr>
            <w:r w:rsidRPr="00D41C91">
              <w:t>Grouped Elements: 3D or 4D Simulation/PBT Planning. Daily Verification, Pre-Treatment QA and 3 x Re-planning/Adaption events.</w:t>
            </w:r>
          </w:p>
        </w:tc>
      </w:tr>
    </w:tbl>
    <w:p w14:paraId="1C97689E" w14:textId="77777777" w:rsidR="00BC1364" w:rsidRPr="00F715D1" w:rsidRDefault="00BC1364" w:rsidP="00F715D1">
      <w:pPr>
        <w:pStyle w:val="Heading1"/>
      </w:pPr>
      <w:r w:rsidRPr="00F715D1">
        <w:t>Background</w:t>
      </w:r>
    </w:p>
    <w:p w14:paraId="7795243A" w14:textId="0D0A5C77" w:rsidR="009821F7" w:rsidRDefault="009821F7" w:rsidP="009821F7">
      <w:pPr>
        <w:spacing w:after="240"/>
      </w:pPr>
      <w:r>
        <w:t xml:space="preserve">This is the first submission (Applicant Developed Assessment Report [ADAR]) for MSAC Application 1638 - </w:t>
      </w:r>
      <w:r w:rsidR="008212CA">
        <w:t>PBT</w:t>
      </w:r>
      <w:r w:rsidRPr="00500AA7">
        <w:t xml:space="preserve"> for paediatric and rare cancers</w:t>
      </w:r>
      <w:r>
        <w:t>.</w:t>
      </w:r>
    </w:p>
    <w:p w14:paraId="2F9BB311" w14:textId="77777777" w:rsidR="009821F7" w:rsidRDefault="009821F7" w:rsidP="009821F7">
      <w:pPr>
        <w:spacing w:after="240"/>
      </w:pPr>
      <w:r w:rsidRPr="00E94AF5">
        <w:t xml:space="preserve">PBT is currently not available as a treatment modality in Australia, however </w:t>
      </w:r>
      <w:r>
        <w:t>PBT treatments at overseas facilities have been accessed by Australian patients with certain cancer types by applying for funding through the MTOP.</w:t>
      </w:r>
    </w:p>
    <w:p w14:paraId="03315F88" w14:textId="0A1F10D0" w:rsidR="009821F7" w:rsidRDefault="009821F7" w:rsidP="009821F7">
      <w:pPr>
        <w:spacing w:after="240"/>
      </w:pPr>
      <w:r>
        <w:t xml:space="preserve">MSAC has previously considered an application for PBT, MSAC Application 1455 for </w:t>
      </w:r>
      <w:r w:rsidR="008212CA">
        <w:t>PBT</w:t>
      </w:r>
      <w:r w:rsidRPr="00500AA7">
        <w:t xml:space="preserve"> for patients supported under the </w:t>
      </w:r>
      <w:r w:rsidR="00FD27DA">
        <w:t>MTOP</w:t>
      </w:r>
      <w:r>
        <w:t xml:space="preserve">. At its November 2019 meeting, </w:t>
      </w:r>
      <w:r w:rsidRPr="00EE7A15">
        <w:t>after considering the strength of available evidence in relation to comparative safety, clinical effectiveness and cost-effectiveness in comparison with existing radiation treatments or other options, MSAC did not support fund</w:t>
      </w:r>
      <w:r>
        <w:t>ing of PBT for all indications (</w:t>
      </w:r>
      <w:hyperlink r:id="rId12" w:history="1">
        <w:r w:rsidRPr="00EE7A15">
          <w:rPr>
            <w:rStyle w:val="Hyperlink"/>
          </w:rPr>
          <w:t>MSAC Application 1455 Public Summary Document</w:t>
        </w:r>
      </w:hyperlink>
      <w:r>
        <w:t xml:space="preserve"> [PSD</w:t>
      </w:r>
      <w:r w:rsidRPr="00EE7A15">
        <w:t>]</w:t>
      </w:r>
      <w:r>
        <w:t>)</w:t>
      </w:r>
      <w:r w:rsidRPr="00EE7A15">
        <w:t>.</w:t>
      </w:r>
    </w:p>
    <w:p w14:paraId="182A9B68" w14:textId="09290502" w:rsidR="009821F7" w:rsidRDefault="009821F7" w:rsidP="009821F7">
      <w:pPr>
        <w:spacing w:after="240"/>
      </w:pPr>
      <w:r>
        <w:t>The ADAR asserted that MSAC Application 1638 was built on MSAC Application 1455, in that it used a ‘modified version’ of the ratified PICO</w:t>
      </w:r>
      <w:r w:rsidR="008212CA">
        <w:rPr>
          <w:rStyle w:val="FootnoteReference"/>
        </w:rPr>
        <w:footnoteReference w:id="1"/>
      </w:r>
      <w:r>
        <w:t xml:space="preserve"> </w:t>
      </w:r>
      <w:r w:rsidR="008212CA">
        <w:t>C</w:t>
      </w:r>
      <w:r>
        <w:t>onfirmation for MSAC application 1455 and attempted to address MSAC’s concerns for MSAC Application 1455 by:</w:t>
      </w:r>
    </w:p>
    <w:p w14:paraId="3598A4B3" w14:textId="77777777" w:rsidR="009821F7" w:rsidRPr="000472EA" w:rsidRDefault="009821F7" w:rsidP="00FD27DA">
      <w:pPr>
        <w:pStyle w:val="ListParagraph"/>
        <w:numPr>
          <w:ilvl w:val="0"/>
          <w:numId w:val="34"/>
        </w:numPr>
        <w:contextualSpacing w:val="0"/>
        <w:rPr>
          <w:rFonts w:eastAsia="Calibri" w:cs="Calibri"/>
        </w:rPr>
      </w:pPr>
      <w:r>
        <w:t>p</w:t>
      </w:r>
      <w:r w:rsidRPr="5495A977">
        <w:t xml:space="preserve">resenting a proposal for </w:t>
      </w:r>
      <w:r w:rsidRPr="000472EA">
        <w:t>new MBS item numbers aligned with the Oncology Clinical Committee Me</w:t>
      </w:r>
      <w:r>
        <w:t>dicare Benefits Schedule Review</w:t>
      </w:r>
    </w:p>
    <w:p w14:paraId="3BF32F2F" w14:textId="77777777" w:rsidR="009821F7" w:rsidRPr="000472EA" w:rsidRDefault="009821F7" w:rsidP="00FD27DA">
      <w:pPr>
        <w:pStyle w:val="ListParagraph"/>
        <w:numPr>
          <w:ilvl w:val="0"/>
          <w:numId w:val="34"/>
        </w:numPr>
        <w:contextualSpacing w:val="0"/>
        <w:rPr>
          <w:rFonts w:eastAsia="Calibri" w:cs="Calibri"/>
        </w:rPr>
      </w:pPr>
      <w:r>
        <w:t>p</w:t>
      </w:r>
      <w:r w:rsidRPr="000472EA">
        <w:t>resenting an updated assessment of the clinical evidence based on clinical claims of non-inferiority in terms of efficacy, and</w:t>
      </w:r>
      <w:r>
        <w:t xml:space="preserve"> superiority in terms of safety</w:t>
      </w:r>
    </w:p>
    <w:p w14:paraId="7B65F4D6" w14:textId="77777777" w:rsidR="009821F7" w:rsidRPr="000472EA" w:rsidRDefault="009821F7" w:rsidP="00FD27DA">
      <w:pPr>
        <w:pStyle w:val="ListParagraph"/>
        <w:numPr>
          <w:ilvl w:val="0"/>
          <w:numId w:val="34"/>
        </w:numPr>
        <w:contextualSpacing w:val="0"/>
        <w:rPr>
          <w:rFonts w:eastAsia="Calibri" w:cs="Calibri"/>
        </w:rPr>
      </w:pPr>
      <w:r>
        <w:t>p</w:t>
      </w:r>
      <w:r w:rsidRPr="000472EA">
        <w:t>resenting cost-utility m</w:t>
      </w:r>
      <w:r w:rsidRPr="008846F0">
        <w:t>odels for PBT based on a “</w:t>
      </w:r>
      <w:r w:rsidRPr="008846F0">
        <w:rPr>
          <w:iCs/>
        </w:rPr>
        <w:t>more completely informed economic evaluation”</w:t>
      </w:r>
    </w:p>
    <w:p w14:paraId="116EC2FC" w14:textId="77777777" w:rsidR="009821F7" w:rsidRPr="009821F7" w:rsidRDefault="009821F7" w:rsidP="00FD27DA">
      <w:pPr>
        <w:pStyle w:val="ListParagraph"/>
        <w:numPr>
          <w:ilvl w:val="0"/>
          <w:numId w:val="34"/>
        </w:numPr>
        <w:contextualSpacing w:val="0"/>
        <w:rPr>
          <w:rFonts w:eastAsia="Calibri" w:cs="Calibri"/>
        </w:rPr>
      </w:pPr>
      <w:proofErr w:type="gramStart"/>
      <w:r>
        <w:t>a</w:t>
      </w:r>
      <w:r w:rsidRPr="000472EA">
        <w:t>ddressing</w:t>
      </w:r>
      <w:proofErr w:type="gramEnd"/>
      <w:r w:rsidRPr="000472EA">
        <w:t xml:space="preserve"> the concerns raised in the MSAC 1455 DCA with regards to imp</w:t>
      </w:r>
      <w:r>
        <w:t>lementation of PBT in Australia.</w:t>
      </w:r>
    </w:p>
    <w:p w14:paraId="48CC42A5" w14:textId="4B2BFEBD" w:rsidR="00EB218F" w:rsidRPr="008212CA" w:rsidRDefault="009821F7" w:rsidP="008212CA">
      <w:pPr>
        <w:spacing w:before="240" w:after="240"/>
        <w:rPr>
          <w:rFonts w:eastAsia="Calibri" w:cs="Calibri"/>
        </w:rPr>
      </w:pPr>
      <w:r>
        <w:rPr>
          <w:rFonts w:eastAsia="Calibri" w:cs="Calibri"/>
        </w:rPr>
        <w:t>The key modifications to the PICO are summarised in</w:t>
      </w:r>
      <w:r w:rsidR="008212CA">
        <w:rPr>
          <w:rFonts w:eastAsia="Calibri" w:cs="Calibri"/>
        </w:rPr>
        <w:t xml:space="preserve"> </w:t>
      </w:r>
      <w:r w:rsidR="008212CA">
        <w:rPr>
          <w:rFonts w:eastAsia="Calibri" w:cs="Calibri"/>
        </w:rPr>
        <w:fldChar w:fldCharType="begin"/>
      </w:r>
      <w:r w:rsidR="008212CA">
        <w:rPr>
          <w:rFonts w:eastAsia="Calibri" w:cs="Calibri"/>
        </w:rPr>
        <w:instrText xml:space="preserve"> REF _Ref61531552 \h </w:instrText>
      </w:r>
      <w:r w:rsidR="008212CA">
        <w:rPr>
          <w:rFonts w:eastAsia="Calibri" w:cs="Calibri"/>
        </w:rPr>
      </w:r>
      <w:r w:rsidR="008212CA">
        <w:rPr>
          <w:rFonts w:eastAsia="Calibri" w:cs="Calibri"/>
        </w:rPr>
        <w:fldChar w:fldCharType="separate"/>
      </w:r>
      <w:r w:rsidR="00810FF0">
        <w:t xml:space="preserve">Table </w:t>
      </w:r>
      <w:r w:rsidR="00810FF0">
        <w:rPr>
          <w:noProof/>
        </w:rPr>
        <w:t>1</w:t>
      </w:r>
      <w:r w:rsidR="008212CA">
        <w:rPr>
          <w:rFonts w:eastAsia="Calibri" w:cs="Calibri"/>
        </w:rPr>
        <w:fldChar w:fldCharType="end"/>
      </w:r>
      <w:r>
        <w:rPr>
          <w:rFonts w:eastAsia="Calibri" w:cs="Calibri"/>
        </w:rPr>
        <w:t>.</w:t>
      </w:r>
      <w:bookmarkStart w:id="0" w:name="_Ref40263098"/>
      <w:bookmarkStart w:id="1" w:name="_Toc42606508"/>
      <w:r w:rsidR="00EB218F">
        <w:br w:type="page"/>
      </w:r>
    </w:p>
    <w:p w14:paraId="2F81EABB" w14:textId="2D5F9F00" w:rsidR="009821F7" w:rsidRPr="00DD6551" w:rsidRDefault="009821F7" w:rsidP="00DD6551">
      <w:pPr>
        <w:rPr>
          <w:rFonts w:ascii="Arial Narrow" w:hAnsi="Arial Narrow"/>
          <w:b/>
          <w:sz w:val="20"/>
        </w:rPr>
      </w:pPr>
      <w:bookmarkStart w:id="2" w:name="_Ref61531552"/>
      <w:r w:rsidRPr="00DD6551">
        <w:rPr>
          <w:rFonts w:ascii="Arial Narrow" w:hAnsi="Arial Narrow"/>
          <w:b/>
          <w:sz w:val="20"/>
        </w:rPr>
        <w:lastRenderedPageBreak/>
        <w:t xml:space="preserve">Table </w:t>
      </w:r>
      <w:r w:rsidR="00FD0A9A" w:rsidRPr="00DD6551">
        <w:rPr>
          <w:rFonts w:ascii="Arial Narrow" w:hAnsi="Arial Narrow"/>
          <w:b/>
          <w:sz w:val="20"/>
        </w:rPr>
        <w:fldChar w:fldCharType="begin"/>
      </w:r>
      <w:r w:rsidR="00FD0A9A" w:rsidRPr="00DD6551">
        <w:rPr>
          <w:rFonts w:ascii="Arial Narrow" w:hAnsi="Arial Narrow"/>
          <w:b/>
          <w:sz w:val="20"/>
        </w:rPr>
        <w:instrText xml:space="preserve"> SEQ Table \* ARABIC </w:instrText>
      </w:r>
      <w:r w:rsidR="00FD0A9A" w:rsidRPr="00DD6551">
        <w:rPr>
          <w:rFonts w:ascii="Arial Narrow" w:hAnsi="Arial Narrow"/>
          <w:b/>
          <w:sz w:val="20"/>
        </w:rPr>
        <w:fldChar w:fldCharType="separate"/>
      </w:r>
      <w:r w:rsidR="00810FF0" w:rsidRPr="00DD6551">
        <w:rPr>
          <w:rFonts w:ascii="Arial Narrow" w:hAnsi="Arial Narrow"/>
          <w:b/>
          <w:sz w:val="20"/>
        </w:rPr>
        <w:t>1</w:t>
      </w:r>
      <w:r w:rsidR="00FD0A9A" w:rsidRPr="00DD6551">
        <w:rPr>
          <w:rFonts w:ascii="Arial Narrow" w:hAnsi="Arial Narrow"/>
          <w:b/>
          <w:sz w:val="20"/>
        </w:rPr>
        <w:fldChar w:fldCharType="end"/>
      </w:r>
      <w:bookmarkEnd w:id="0"/>
      <w:bookmarkEnd w:id="2"/>
      <w:r w:rsidRPr="00DD6551">
        <w:rPr>
          <w:rFonts w:ascii="Arial Narrow" w:hAnsi="Arial Narrow"/>
          <w:b/>
          <w:sz w:val="20"/>
        </w:rPr>
        <w:tab/>
        <w:t>Summary of key modifications to the ratified PICO from MSAC Application 1455 used in MSAC Application 1638</w:t>
      </w:r>
      <w:bookmarkEnd w:id="1"/>
    </w:p>
    <w:tbl>
      <w:tblPr>
        <w:tblStyle w:val="TableGrid1"/>
        <w:tblW w:w="5107" w:type="pct"/>
        <w:tblLook w:val="00A0" w:firstRow="1" w:lastRow="0" w:firstColumn="1" w:lastColumn="0" w:noHBand="0" w:noVBand="0"/>
        <w:tblDescription w:val="Summary of key modifications to the ratified PICO from MSAC Application 1455 used in MSAC Application 1638"/>
      </w:tblPr>
      <w:tblGrid>
        <w:gridCol w:w="1164"/>
        <w:gridCol w:w="3083"/>
        <w:gridCol w:w="2411"/>
        <w:gridCol w:w="2551"/>
      </w:tblGrid>
      <w:tr w:rsidR="009821F7" w:rsidRPr="00084393" w14:paraId="2CE71109" w14:textId="77777777" w:rsidTr="009E589D">
        <w:trPr>
          <w:cnfStyle w:val="100000000000" w:firstRow="1" w:lastRow="0" w:firstColumn="0" w:lastColumn="0" w:oddVBand="0" w:evenVBand="0" w:oddHBand="0" w:evenHBand="0" w:firstRowFirstColumn="0" w:firstRowLastColumn="0" w:lastRowFirstColumn="0" w:lastRowLastColumn="0"/>
          <w:tblHeader/>
        </w:trPr>
        <w:tc>
          <w:tcPr>
            <w:tcW w:w="632" w:type="pct"/>
          </w:tcPr>
          <w:p w14:paraId="2616C680" w14:textId="77777777" w:rsidR="009821F7" w:rsidRPr="00C03D58" w:rsidRDefault="009821F7" w:rsidP="009821F7">
            <w:pPr>
              <w:pStyle w:val="Tabletext"/>
              <w:rPr>
                <w:b/>
                <w:bCs/>
              </w:rPr>
            </w:pPr>
            <w:r>
              <w:rPr>
                <w:b/>
                <w:bCs/>
              </w:rPr>
              <w:t>PICO item</w:t>
            </w:r>
          </w:p>
        </w:tc>
        <w:tc>
          <w:tcPr>
            <w:tcW w:w="1674" w:type="pct"/>
          </w:tcPr>
          <w:p w14:paraId="52C9E9AD" w14:textId="77777777" w:rsidR="009821F7" w:rsidRPr="00C03D58" w:rsidRDefault="009821F7" w:rsidP="009821F7">
            <w:pPr>
              <w:pStyle w:val="Tabletext"/>
              <w:jc w:val="center"/>
              <w:rPr>
                <w:b/>
                <w:bCs/>
              </w:rPr>
            </w:pPr>
            <w:r>
              <w:rPr>
                <w:b/>
                <w:bCs/>
              </w:rPr>
              <w:t>MSAC 1455</w:t>
            </w:r>
          </w:p>
        </w:tc>
        <w:tc>
          <w:tcPr>
            <w:tcW w:w="1309" w:type="pct"/>
          </w:tcPr>
          <w:p w14:paraId="27166F23" w14:textId="77777777" w:rsidR="009821F7" w:rsidRPr="00C03D58" w:rsidRDefault="009821F7" w:rsidP="009821F7">
            <w:pPr>
              <w:pStyle w:val="Tabletext"/>
              <w:jc w:val="center"/>
              <w:rPr>
                <w:b/>
                <w:bCs/>
              </w:rPr>
            </w:pPr>
            <w:r>
              <w:rPr>
                <w:b/>
                <w:bCs/>
              </w:rPr>
              <w:t>MSAC 1638</w:t>
            </w:r>
          </w:p>
        </w:tc>
        <w:tc>
          <w:tcPr>
            <w:tcW w:w="1385" w:type="pct"/>
          </w:tcPr>
          <w:p w14:paraId="22B24AAA" w14:textId="77777777" w:rsidR="009821F7" w:rsidRDefault="009821F7" w:rsidP="009821F7">
            <w:pPr>
              <w:pStyle w:val="Tabletext"/>
              <w:jc w:val="center"/>
              <w:rPr>
                <w:b/>
                <w:bCs/>
              </w:rPr>
            </w:pPr>
            <w:r>
              <w:rPr>
                <w:b/>
                <w:bCs/>
              </w:rPr>
              <w:t>Commentary’s evaluation of the change</w:t>
            </w:r>
          </w:p>
        </w:tc>
      </w:tr>
      <w:tr w:rsidR="009821F7" w:rsidRPr="002D3C3B" w14:paraId="732C622C" w14:textId="77777777" w:rsidTr="009E589D">
        <w:tc>
          <w:tcPr>
            <w:tcW w:w="632" w:type="pct"/>
          </w:tcPr>
          <w:p w14:paraId="37853F5E" w14:textId="77777777" w:rsidR="009821F7" w:rsidRPr="00084393" w:rsidRDefault="009821F7" w:rsidP="009821F7">
            <w:pPr>
              <w:pStyle w:val="Tabletext"/>
            </w:pPr>
            <w:r>
              <w:t>Population</w:t>
            </w:r>
          </w:p>
        </w:tc>
        <w:tc>
          <w:tcPr>
            <w:tcW w:w="1674" w:type="pct"/>
          </w:tcPr>
          <w:p w14:paraId="0DDCBC5D" w14:textId="77777777" w:rsidR="009821F7" w:rsidRDefault="009821F7" w:rsidP="009821F7">
            <w:pPr>
              <w:pStyle w:val="Tabletext"/>
              <w:rPr>
                <w:rFonts w:cs="Calibri"/>
              </w:rPr>
            </w:pPr>
            <w:r w:rsidRPr="000F6555">
              <w:rPr>
                <w:rFonts w:cs="Calibri"/>
              </w:rPr>
              <w:t xml:space="preserve">PICO 1: </w:t>
            </w:r>
            <w:r>
              <w:rPr>
                <w:rFonts w:cs="Calibri"/>
              </w:rPr>
              <w:t>h</w:t>
            </w:r>
            <w:r w:rsidRPr="000F6555">
              <w:rPr>
                <w:rFonts w:cs="Calibri"/>
              </w:rPr>
              <w:t>ead and skeleton</w:t>
            </w:r>
            <w:r>
              <w:rPr>
                <w:rFonts w:cs="Calibri"/>
              </w:rPr>
              <w:t>:</w:t>
            </w:r>
          </w:p>
          <w:p w14:paraId="6832ECA3" w14:textId="77777777" w:rsidR="009821F7" w:rsidRDefault="009821F7" w:rsidP="00FD27DA">
            <w:pPr>
              <w:pStyle w:val="Tabletext"/>
              <w:numPr>
                <w:ilvl w:val="0"/>
                <w:numId w:val="5"/>
              </w:numPr>
              <w:ind w:left="144" w:hanging="142"/>
              <w:rPr>
                <w:rFonts w:cs="Calibri"/>
              </w:rPr>
            </w:pPr>
            <w:proofErr w:type="spellStart"/>
            <w:r>
              <w:rPr>
                <w:rFonts w:cs="Calibri"/>
              </w:rPr>
              <w:t>c</w:t>
            </w:r>
            <w:r w:rsidRPr="00DB1F47">
              <w:rPr>
                <w:rFonts w:cs="Calibri"/>
              </w:rPr>
              <w:t>hordoma</w:t>
            </w:r>
            <w:proofErr w:type="spellEnd"/>
            <w:r w:rsidRPr="00DB1F47">
              <w:rPr>
                <w:rFonts w:cs="Calibri"/>
              </w:rPr>
              <w:t xml:space="preserve"> of the axial skeleton (defined as the skull, vertebral column and bony pelvis)</w:t>
            </w:r>
            <w:r>
              <w:rPr>
                <w:rFonts w:cs="Calibri"/>
              </w:rPr>
              <w:t xml:space="preserve"> </w:t>
            </w:r>
          </w:p>
          <w:p w14:paraId="04AD138B" w14:textId="77777777" w:rsidR="009821F7" w:rsidRPr="00DB1F47" w:rsidRDefault="009821F7" w:rsidP="00FD27DA">
            <w:pPr>
              <w:pStyle w:val="Tabletext"/>
              <w:numPr>
                <w:ilvl w:val="0"/>
                <w:numId w:val="5"/>
              </w:numPr>
              <w:ind w:left="144" w:hanging="142"/>
              <w:rPr>
                <w:rFonts w:cs="Calibri"/>
              </w:rPr>
            </w:pPr>
            <w:r>
              <w:rPr>
                <w:rFonts w:cs="Calibri"/>
              </w:rPr>
              <w:t>s</w:t>
            </w:r>
            <w:r w:rsidRPr="00DB1F47">
              <w:rPr>
                <w:rFonts w:cs="Calibri"/>
              </w:rPr>
              <w:t>arcoma of the axial skeleton (including chondrosarcoma)</w:t>
            </w:r>
            <w:r>
              <w:rPr>
                <w:rFonts w:cs="Calibri"/>
              </w:rPr>
              <w:t xml:space="preserve"> </w:t>
            </w:r>
          </w:p>
          <w:p w14:paraId="7ED3654D" w14:textId="77777777" w:rsidR="009821F7" w:rsidRPr="00DB1F47" w:rsidRDefault="009821F7" w:rsidP="00FD27DA">
            <w:pPr>
              <w:pStyle w:val="Tabletext"/>
              <w:numPr>
                <w:ilvl w:val="0"/>
                <w:numId w:val="5"/>
              </w:numPr>
              <w:ind w:left="144" w:hanging="142"/>
              <w:rPr>
                <w:rFonts w:cs="Calibri"/>
              </w:rPr>
            </w:pPr>
            <w:r>
              <w:rPr>
                <w:rFonts w:cs="Calibri"/>
              </w:rPr>
              <w:t>i</w:t>
            </w:r>
            <w:r w:rsidRPr="00DB1F47">
              <w:rPr>
                <w:rFonts w:cs="Calibri"/>
              </w:rPr>
              <w:t>ntracranial germ cell tumour</w:t>
            </w:r>
            <w:r>
              <w:rPr>
                <w:rFonts w:cs="Calibri"/>
              </w:rPr>
              <w:t xml:space="preserve"> </w:t>
            </w:r>
          </w:p>
          <w:p w14:paraId="0EE248D1" w14:textId="77777777" w:rsidR="009821F7" w:rsidRDefault="009821F7" w:rsidP="00FD27DA">
            <w:pPr>
              <w:pStyle w:val="Tabletext"/>
              <w:numPr>
                <w:ilvl w:val="0"/>
                <w:numId w:val="5"/>
              </w:numPr>
              <w:ind w:left="144" w:hanging="142"/>
              <w:rPr>
                <w:rFonts w:cs="Calibri"/>
              </w:rPr>
            </w:pPr>
            <w:r>
              <w:rPr>
                <w:rFonts w:cs="Calibri"/>
              </w:rPr>
              <w:t>s</w:t>
            </w:r>
            <w:r w:rsidRPr="00DB1F47">
              <w:rPr>
                <w:rFonts w:cs="Calibri"/>
              </w:rPr>
              <w:t>oft tissue sarcoma in close proximity to the axial skeleton (to include rhabdomyosarcoma)</w:t>
            </w:r>
          </w:p>
          <w:p w14:paraId="1A10278F" w14:textId="77777777" w:rsidR="009821F7" w:rsidRPr="00954420" w:rsidRDefault="009821F7" w:rsidP="00FD27DA">
            <w:pPr>
              <w:pStyle w:val="Tabletext"/>
              <w:numPr>
                <w:ilvl w:val="0"/>
                <w:numId w:val="5"/>
              </w:numPr>
              <w:ind w:left="144" w:hanging="142"/>
              <w:rPr>
                <w:rFonts w:cs="Calibri"/>
              </w:rPr>
            </w:pPr>
            <w:proofErr w:type="spellStart"/>
            <w:r>
              <w:rPr>
                <w:rFonts w:cs="Calibri"/>
              </w:rPr>
              <w:t>craniopharyngioma</w:t>
            </w:r>
            <w:proofErr w:type="spellEnd"/>
          </w:p>
          <w:p w14:paraId="78CA642D" w14:textId="77777777" w:rsidR="009821F7" w:rsidRDefault="009821F7" w:rsidP="009821F7">
            <w:pPr>
              <w:pStyle w:val="Tabletext"/>
            </w:pPr>
            <w:r>
              <w:t>PICO 2: ocular melanoma</w:t>
            </w:r>
          </w:p>
          <w:p w14:paraId="0771FA47" w14:textId="77777777" w:rsidR="009821F7" w:rsidRDefault="009821F7" w:rsidP="009821F7">
            <w:pPr>
              <w:pStyle w:val="Tabletext"/>
            </w:pPr>
            <w:r>
              <w:t>PICO 3:paediatrics and adolescents:</w:t>
            </w:r>
          </w:p>
          <w:p w14:paraId="3A9B26DF" w14:textId="77777777" w:rsidR="009821F7" w:rsidRPr="00DB1F47" w:rsidRDefault="009821F7" w:rsidP="00FD27DA">
            <w:pPr>
              <w:pStyle w:val="Tabletext"/>
              <w:numPr>
                <w:ilvl w:val="0"/>
                <w:numId w:val="5"/>
              </w:numPr>
              <w:ind w:left="144" w:hanging="144"/>
              <w:rPr>
                <w:rFonts w:cs="Calibri"/>
              </w:rPr>
            </w:pPr>
            <w:r w:rsidRPr="00DB1F47">
              <w:rPr>
                <w:rFonts w:cs="Calibri"/>
              </w:rPr>
              <w:t xml:space="preserve">CNS tumours (including </w:t>
            </w:r>
            <w:proofErr w:type="spellStart"/>
            <w:r>
              <w:t>craniopharyngioma</w:t>
            </w:r>
            <w:proofErr w:type="spellEnd"/>
            <w:r>
              <w:t xml:space="preserve">, intracranial germ cell tumour, meningioma, gliomas, </w:t>
            </w:r>
            <w:proofErr w:type="spellStart"/>
            <w:r>
              <w:t>ependymoma</w:t>
            </w:r>
            <w:proofErr w:type="spellEnd"/>
            <w:r>
              <w:t xml:space="preserve">, </w:t>
            </w:r>
            <w:proofErr w:type="spellStart"/>
            <w:r>
              <w:t>medulloblastoma</w:t>
            </w:r>
            <w:proofErr w:type="spellEnd"/>
            <w:r>
              <w:t>)</w:t>
            </w:r>
          </w:p>
          <w:p w14:paraId="6D2F11E0" w14:textId="77777777" w:rsidR="009821F7" w:rsidRPr="00DB1F47" w:rsidRDefault="009821F7" w:rsidP="00FD27DA">
            <w:pPr>
              <w:pStyle w:val="Tabletext"/>
              <w:numPr>
                <w:ilvl w:val="0"/>
                <w:numId w:val="5"/>
              </w:numPr>
              <w:ind w:left="144" w:hanging="144"/>
              <w:rPr>
                <w:rFonts w:cs="Calibri"/>
              </w:rPr>
            </w:pPr>
            <w:r>
              <w:rPr>
                <w:rFonts w:cs="Calibri"/>
              </w:rPr>
              <w:t>r</w:t>
            </w:r>
            <w:r w:rsidRPr="00DB1F47">
              <w:rPr>
                <w:rFonts w:cs="Calibri"/>
              </w:rPr>
              <w:t>etinoblastoma</w:t>
            </w:r>
          </w:p>
          <w:p w14:paraId="41CDA88C" w14:textId="77777777" w:rsidR="009821F7" w:rsidRPr="005E21A4" w:rsidRDefault="009821F7" w:rsidP="00FD27DA">
            <w:pPr>
              <w:pStyle w:val="Tabletext"/>
              <w:numPr>
                <w:ilvl w:val="0"/>
                <w:numId w:val="5"/>
              </w:numPr>
              <w:ind w:left="144" w:hanging="144"/>
              <w:rPr>
                <w:rFonts w:cs="Calibri"/>
              </w:rPr>
            </w:pPr>
            <w:proofErr w:type="spellStart"/>
            <w:r>
              <w:rPr>
                <w:rFonts w:cs="Calibri"/>
              </w:rPr>
              <w:t>neuroblastoma</w:t>
            </w:r>
            <w:proofErr w:type="spellEnd"/>
          </w:p>
          <w:p w14:paraId="09C7EB8A" w14:textId="77777777" w:rsidR="009821F7" w:rsidRPr="005E21A4" w:rsidRDefault="009821F7" w:rsidP="00FD27DA">
            <w:pPr>
              <w:pStyle w:val="Tabletext"/>
              <w:numPr>
                <w:ilvl w:val="0"/>
                <w:numId w:val="5"/>
              </w:numPr>
              <w:ind w:left="144" w:hanging="144"/>
              <w:rPr>
                <w:rFonts w:cs="Calibri"/>
              </w:rPr>
            </w:pPr>
            <w:r>
              <w:rPr>
                <w:rFonts w:cs="Calibri"/>
              </w:rPr>
              <w:t>b</w:t>
            </w:r>
            <w:r w:rsidRPr="005E21A4">
              <w:rPr>
                <w:rFonts w:cs="Calibri"/>
              </w:rPr>
              <w:t>one and soft tissue tumours in children (including osteosarcoma, Ewing sarcoma, rhabdomyosarcoma)</w:t>
            </w:r>
          </w:p>
          <w:p w14:paraId="55A3B717" w14:textId="77777777" w:rsidR="009821F7" w:rsidRDefault="009821F7" w:rsidP="009821F7">
            <w:pPr>
              <w:pStyle w:val="Tabletext"/>
            </w:pPr>
            <w:r w:rsidRPr="005E21A4">
              <w:t xml:space="preserve">PICO 4: </w:t>
            </w:r>
            <w:r>
              <w:t>o</w:t>
            </w:r>
            <w:r w:rsidRPr="005E21A4">
              <w:t>ther tumours</w:t>
            </w:r>
            <w:r>
              <w:t>:</w:t>
            </w:r>
          </w:p>
          <w:p w14:paraId="04B3E2C6" w14:textId="77777777" w:rsidR="009821F7" w:rsidRDefault="009821F7" w:rsidP="00FD27DA">
            <w:pPr>
              <w:pStyle w:val="Tabletext"/>
              <w:numPr>
                <w:ilvl w:val="0"/>
                <w:numId w:val="5"/>
              </w:numPr>
              <w:ind w:left="144" w:hanging="142"/>
              <w:rPr>
                <w:rFonts w:cs="Calibri"/>
              </w:rPr>
            </w:pPr>
            <w:proofErr w:type="spellStart"/>
            <w:r>
              <w:rPr>
                <w:rFonts w:cs="Calibri"/>
              </w:rPr>
              <w:t>nephroblastoma</w:t>
            </w:r>
            <w:proofErr w:type="spellEnd"/>
          </w:p>
          <w:p w14:paraId="040F6B3F" w14:textId="77777777" w:rsidR="009821F7" w:rsidRPr="005E21A4" w:rsidRDefault="009821F7" w:rsidP="00FD27DA">
            <w:pPr>
              <w:pStyle w:val="Tabletext"/>
              <w:numPr>
                <w:ilvl w:val="0"/>
                <w:numId w:val="5"/>
              </w:numPr>
              <w:ind w:left="144" w:hanging="142"/>
              <w:rPr>
                <w:rFonts w:cs="Calibri"/>
              </w:rPr>
            </w:pPr>
            <w:r>
              <w:rPr>
                <w:rFonts w:cs="Calibri"/>
              </w:rPr>
              <w:t>a</w:t>
            </w:r>
            <w:r w:rsidRPr="005E21A4">
              <w:rPr>
                <w:rFonts w:cs="Calibri"/>
              </w:rPr>
              <w:t xml:space="preserve">denoid cystic carcinoma of </w:t>
            </w:r>
            <w:r>
              <w:rPr>
                <w:rFonts w:cs="Calibri"/>
              </w:rPr>
              <w:t>the lacrimal or salivary glands</w:t>
            </w:r>
          </w:p>
        </w:tc>
        <w:tc>
          <w:tcPr>
            <w:tcW w:w="1309" w:type="pct"/>
          </w:tcPr>
          <w:p w14:paraId="5E9214E5" w14:textId="77777777" w:rsidR="009821F7" w:rsidRPr="00453B62" w:rsidRDefault="009821F7" w:rsidP="009821F7">
            <w:pPr>
              <w:pStyle w:val="Tabletext"/>
              <w:rPr>
                <w:rFonts w:cs="Calibri"/>
              </w:rPr>
            </w:pPr>
            <w:r>
              <w:rPr>
                <w:rFonts w:cs="Calibri"/>
              </w:rPr>
              <w:t>PICO 1: a</w:t>
            </w:r>
            <w:r w:rsidRPr="00453B62">
              <w:t>dult patients with rare cancer</w:t>
            </w:r>
            <w:r>
              <w:t>s</w:t>
            </w:r>
            <w:r w:rsidRPr="00453B62">
              <w:t xml:space="preserve"> of the head or spine</w:t>
            </w:r>
            <w:r>
              <w:t>:</w:t>
            </w:r>
          </w:p>
          <w:p w14:paraId="25387A32" w14:textId="77777777" w:rsidR="009821F7" w:rsidRPr="009865C7" w:rsidRDefault="009821F7" w:rsidP="00FD27DA">
            <w:pPr>
              <w:pStyle w:val="Tabletext"/>
              <w:numPr>
                <w:ilvl w:val="0"/>
                <w:numId w:val="5"/>
              </w:numPr>
              <w:ind w:left="212" w:hanging="212"/>
              <w:rPr>
                <w:rFonts w:cs="Calibri"/>
              </w:rPr>
            </w:pPr>
            <w:r>
              <w:rPr>
                <w:rFonts w:cs="Calibri"/>
              </w:rPr>
              <w:t>b</w:t>
            </w:r>
            <w:r w:rsidRPr="009865C7">
              <w:rPr>
                <w:rFonts w:cs="Calibri"/>
              </w:rPr>
              <w:t>rain tumours</w:t>
            </w:r>
          </w:p>
          <w:p w14:paraId="02B4A450" w14:textId="77777777" w:rsidR="009821F7" w:rsidRPr="009865C7" w:rsidRDefault="009821F7" w:rsidP="00FD27DA">
            <w:pPr>
              <w:pStyle w:val="Tabletext"/>
              <w:numPr>
                <w:ilvl w:val="0"/>
                <w:numId w:val="5"/>
              </w:numPr>
              <w:ind w:left="212" w:hanging="212"/>
              <w:rPr>
                <w:rFonts w:cs="Calibri"/>
              </w:rPr>
            </w:pPr>
            <w:r>
              <w:rPr>
                <w:rFonts w:cs="Calibri"/>
              </w:rPr>
              <w:t>b</w:t>
            </w:r>
            <w:r w:rsidRPr="009865C7">
              <w:rPr>
                <w:rFonts w:cs="Calibri"/>
              </w:rPr>
              <w:t>ase of skull tumours</w:t>
            </w:r>
          </w:p>
          <w:p w14:paraId="671043DD" w14:textId="77777777" w:rsidR="009821F7" w:rsidRPr="009865C7" w:rsidRDefault="009821F7" w:rsidP="00FD27DA">
            <w:pPr>
              <w:pStyle w:val="Tabletext"/>
              <w:numPr>
                <w:ilvl w:val="0"/>
                <w:numId w:val="5"/>
              </w:numPr>
              <w:ind w:left="212" w:hanging="212"/>
              <w:rPr>
                <w:rFonts w:cs="Calibri"/>
              </w:rPr>
            </w:pPr>
            <w:proofErr w:type="spellStart"/>
            <w:r>
              <w:rPr>
                <w:rFonts w:cs="Calibri"/>
              </w:rPr>
              <w:t>c</w:t>
            </w:r>
            <w:r w:rsidRPr="009865C7">
              <w:rPr>
                <w:rFonts w:cs="Calibri"/>
              </w:rPr>
              <w:t>hordoma</w:t>
            </w:r>
            <w:proofErr w:type="spellEnd"/>
          </w:p>
          <w:p w14:paraId="760854F8" w14:textId="77777777" w:rsidR="009821F7" w:rsidRPr="009865C7" w:rsidRDefault="009821F7" w:rsidP="00FD27DA">
            <w:pPr>
              <w:pStyle w:val="Tabletext"/>
              <w:numPr>
                <w:ilvl w:val="0"/>
                <w:numId w:val="5"/>
              </w:numPr>
              <w:ind w:left="212" w:hanging="212"/>
              <w:rPr>
                <w:rFonts w:cs="Calibri"/>
              </w:rPr>
            </w:pPr>
            <w:r>
              <w:rPr>
                <w:rFonts w:cs="Calibri"/>
              </w:rPr>
              <w:t>c</w:t>
            </w:r>
            <w:r w:rsidRPr="009865C7">
              <w:rPr>
                <w:rFonts w:cs="Calibri"/>
              </w:rPr>
              <w:t>hondrosarcoma</w:t>
            </w:r>
          </w:p>
          <w:p w14:paraId="38B09D37" w14:textId="77777777" w:rsidR="009821F7" w:rsidRPr="00C465D0" w:rsidRDefault="009821F7" w:rsidP="00FD27DA">
            <w:pPr>
              <w:pStyle w:val="Tabletext"/>
              <w:numPr>
                <w:ilvl w:val="0"/>
                <w:numId w:val="5"/>
              </w:numPr>
              <w:ind w:left="212" w:hanging="212"/>
              <w:rPr>
                <w:rFonts w:cs="Calibri"/>
              </w:rPr>
            </w:pPr>
            <w:r>
              <w:rPr>
                <w:rFonts w:cs="Calibri"/>
              </w:rPr>
              <w:t>a</w:t>
            </w:r>
            <w:r w:rsidRPr="009865C7">
              <w:rPr>
                <w:rFonts w:cs="Calibri"/>
              </w:rPr>
              <w:t>denoid cystic carcinoma of the salivary or lacrimal gland</w:t>
            </w:r>
          </w:p>
          <w:p w14:paraId="6A8C08D7" w14:textId="77777777" w:rsidR="009821F7" w:rsidRDefault="009821F7" w:rsidP="009821F7">
            <w:pPr>
              <w:pStyle w:val="Tabletext"/>
            </w:pPr>
            <w:r>
              <w:t>PICO 2: p</w:t>
            </w:r>
            <w:r w:rsidRPr="00453B62">
              <w:t xml:space="preserve">aediatric and AYA patients with a solid tumour located in the </w:t>
            </w:r>
            <w:r>
              <w:t>head, neck or trunk of the body:</w:t>
            </w:r>
          </w:p>
          <w:p w14:paraId="193C1359" w14:textId="77777777" w:rsidR="009821F7" w:rsidRPr="00A41944" w:rsidRDefault="009821F7" w:rsidP="00FD27DA">
            <w:pPr>
              <w:pStyle w:val="Tabletext"/>
              <w:numPr>
                <w:ilvl w:val="0"/>
                <w:numId w:val="5"/>
              </w:numPr>
              <w:ind w:left="212" w:hanging="212"/>
              <w:rPr>
                <w:rFonts w:cs="Calibri"/>
              </w:rPr>
            </w:pPr>
            <w:r w:rsidRPr="00A41944">
              <w:rPr>
                <w:rFonts w:cs="Calibri"/>
              </w:rPr>
              <w:t>CNS tumours</w:t>
            </w:r>
          </w:p>
          <w:p w14:paraId="30BEFEBF" w14:textId="77777777" w:rsidR="009821F7" w:rsidRPr="00A41944" w:rsidRDefault="009821F7" w:rsidP="00FD27DA">
            <w:pPr>
              <w:pStyle w:val="Tabletext"/>
              <w:numPr>
                <w:ilvl w:val="0"/>
                <w:numId w:val="5"/>
              </w:numPr>
              <w:ind w:left="212" w:hanging="212"/>
              <w:rPr>
                <w:rFonts w:cs="Calibri"/>
              </w:rPr>
            </w:pPr>
            <w:r>
              <w:rPr>
                <w:rFonts w:cs="Calibri"/>
              </w:rPr>
              <w:t>r</w:t>
            </w:r>
            <w:r w:rsidRPr="00A41944">
              <w:rPr>
                <w:rFonts w:cs="Calibri"/>
              </w:rPr>
              <w:t>etinoblastoma</w:t>
            </w:r>
          </w:p>
          <w:p w14:paraId="2A3FAED1" w14:textId="77777777" w:rsidR="009821F7" w:rsidRPr="00A41944" w:rsidRDefault="009821F7" w:rsidP="00FD27DA">
            <w:pPr>
              <w:pStyle w:val="Tabletext"/>
              <w:numPr>
                <w:ilvl w:val="0"/>
                <w:numId w:val="5"/>
              </w:numPr>
              <w:ind w:left="212" w:hanging="212"/>
              <w:rPr>
                <w:rFonts w:cs="Calibri"/>
              </w:rPr>
            </w:pPr>
            <w:r>
              <w:rPr>
                <w:rFonts w:cs="Calibri"/>
              </w:rPr>
              <w:t>s</w:t>
            </w:r>
            <w:r w:rsidRPr="00A41944">
              <w:rPr>
                <w:rFonts w:cs="Calibri"/>
              </w:rPr>
              <w:t>oft tissue sarcomas in close proximity to the axial skeleton (including rhabdomyosarcomas)</w:t>
            </w:r>
          </w:p>
          <w:p w14:paraId="68226210" w14:textId="77777777" w:rsidR="009821F7" w:rsidRPr="00A41944" w:rsidRDefault="009821F7" w:rsidP="00FD27DA">
            <w:pPr>
              <w:pStyle w:val="Tabletext"/>
              <w:numPr>
                <w:ilvl w:val="0"/>
                <w:numId w:val="5"/>
              </w:numPr>
              <w:ind w:left="212" w:hanging="212"/>
              <w:rPr>
                <w:rFonts w:cs="Calibri"/>
              </w:rPr>
            </w:pPr>
            <w:proofErr w:type="spellStart"/>
            <w:r>
              <w:rPr>
                <w:rFonts w:cs="Calibri"/>
              </w:rPr>
              <w:t>c</w:t>
            </w:r>
            <w:r w:rsidRPr="00A41944">
              <w:rPr>
                <w:rFonts w:cs="Calibri"/>
              </w:rPr>
              <w:t>raniopharyngioma</w:t>
            </w:r>
            <w:proofErr w:type="spellEnd"/>
          </w:p>
          <w:p w14:paraId="0A18ED5C" w14:textId="77777777" w:rsidR="009821F7" w:rsidRPr="00A41944" w:rsidRDefault="009821F7" w:rsidP="00FD27DA">
            <w:pPr>
              <w:pStyle w:val="Tabletext"/>
              <w:numPr>
                <w:ilvl w:val="0"/>
                <w:numId w:val="5"/>
              </w:numPr>
              <w:ind w:left="212" w:hanging="212"/>
              <w:rPr>
                <w:rFonts w:cs="Calibri"/>
              </w:rPr>
            </w:pPr>
            <w:r>
              <w:rPr>
                <w:rFonts w:cs="Calibri"/>
              </w:rPr>
              <w:t>i</w:t>
            </w:r>
            <w:r w:rsidRPr="00A41944">
              <w:rPr>
                <w:rFonts w:cs="Calibri"/>
              </w:rPr>
              <w:t>ntracranial germ cell tumours</w:t>
            </w:r>
          </w:p>
          <w:p w14:paraId="7956AB53" w14:textId="77777777" w:rsidR="009821F7" w:rsidRPr="00A41944" w:rsidRDefault="009821F7" w:rsidP="00FD27DA">
            <w:pPr>
              <w:pStyle w:val="Tabletext"/>
              <w:numPr>
                <w:ilvl w:val="0"/>
                <w:numId w:val="5"/>
              </w:numPr>
              <w:ind w:left="212" w:hanging="212"/>
              <w:rPr>
                <w:rFonts w:cs="Calibri"/>
              </w:rPr>
            </w:pPr>
            <w:proofErr w:type="spellStart"/>
            <w:r>
              <w:rPr>
                <w:rFonts w:cs="Calibri"/>
              </w:rPr>
              <w:t>n</w:t>
            </w:r>
            <w:r w:rsidRPr="00A41944">
              <w:rPr>
                <w:rFonts w:cs="Calibri"/>
              </w:rPr>
              <w:t>euroblastoma</w:t>
            </w:r>
            <w:proofErr w:type="spellEnd"/>
          </w:p>
          <w:p w14:paraId="0CF7853E" w14:textId="77777777" w:rsidR="009821F7" w:rsidRPr="000F6555" w:rsidRDefault="009821F7" w:rsidP="00FD27DA">
            <w:pPr>
              <w:pStyle w:val="Tabletext"/>
              <w:numPr>
                <w:ilvl w:val="0"/>
                <w:numId w:val="5"/>
              </w:numPr>
              <w:ind w:left="212" w:hanging="212"/>
              <w:rPr>
                <w:rFonts w:cs="Calibri"/>
              </w:rPr>
            </w:pPr>
            <w:proofErr w:type="spellStart"/>
            <w:r>
              <w:rPr>
                <w:rFonts w:cs="Calibri"/>
              </w:rPr>
              <w:t>n</w:t>
            </w:r>
            <w:r w:rsidRPr="00A41944">
              <w:rPr>
                <w:rFonts w:cs="Calibri"/>
              </w:rPr>
              <w:t>ephroblastoma</w:t>
            </w:r>
            <w:proofErr w:type="spellEnd"/>
          </w:p>
        </w:tc>
        <w:tc>
          <w:tcPr>
            <w:tcW w:w="1385" w:type="pct"/>
          </w:tcPr>
          <w:p w14:paraId="0EBF5931" w14:textId="77777777" w:rsidR="009821F7" w:rsidRPr="00801269" w:rsidRDefault="009821F7" w:rsidP="009821F7">
            <w:pPr>
              <w:pStyle w:val="Tabletext"/>
              <w:rPr>
                <w:rFonts w:cs="Calibri"/>
              </w:rPr>
            </w:pPr>
            <w:r w:rsidRPr="00801269">
              <w:rPr>
                <w:rFonts w:cs="Calibri"/>
              </w:rPr>
              <w:t>The original four populations were revised into two populations: adult patients with rare cancers of the head and spine, and paediatric and AYA patients with a solid tumour located in the head, neck or trunk of the body.</w:t>
            </w:r>
          </w:p>
          <w:p w14:paraId="5DCD7315" w14:textId="77777777" w:rsidR="009821F7" w:rsidRPr="00801269" w:rsidRDefault="009821F7" w:rsidP="009821F7">
            <w:pPr>
              <w:pStyle w:val="Tabletext"/>
              <w:rPr>
                <w:rFonts w:cs="Calibri"/>
              </w:rPr>
            </w:pPr>
          </w:p>
          <w:p w14:paraId="2DC4D501" w14:textId="77777777" w:rsidR="009821F7" w:rsidRPr="00C65D07" w:rsidRDefault="009821F7" w:rsidP="009821F7">
            <w:pPr>
              <w:pStyle w:val="Tabletext"/>
              <w:rPr>
                <w:rFonts w:cs="Calibri"/>
                <w:i/>
              </w:rPr>
            </w:pPr>
            <w:r w:rsidRPr="00C65D07">
              <w:rPr>
                <w:rFonts w:cs="Calibri"/>
                <w:i/>
              </w:rPr>
              <w:t>The reclassification of clinical indications is reasonable; no additional indications were added. Ocular melanoma was excluded from Application 1638.</w:t>
            </w:r>
          </w:p>
        </w:tc>
      </w:tr>
      <w:tr w:rsidR="009821F7" w:rsidRPr="0019494F" w14:paraId="109691B1" w14:textId="77777777" w:rsidTr="009E589D">
        <w:tc>
          <w:tcPr>
            <w:tcW w:w="632" w:type="pct"/>
          </w:tcPr>
          <w:p w14:paraId="08BF37E3" w14:textId="77777777" w:rsidR="009821F7" w:rsidRPr="00084393" w:rsidRDefault="009821F7" w:rsidP="009821F7">
            <w:pPr>
              <w:pStyle w:val="Tabletext"/>
            </w:pPr>
            <w:r w:rsidRPr="00084393">
              <w:t>Comparator</w:t>
            </w:r>
            <w:r>
              <w:t>s</w:t>
            </w:r>
          </w:p>
        </w:tc>
        <w:tc>
          <w:tcPr>
            <w:tcW w:w="1674" w:type="pct"/>
          </w:tcPr>
          <w:p w14:paraId="2ACFA35B" w14:textId="77777777" w:rsidR="009821F7" w:rsidRDefault="009821F7" w:rsidP="009821F7">
            <w:pPr>
              <w:pStyle w:val="Tabletext"/>
            </w:pPr>
            <w:r>
              <w:t>Usual standard of care, which may include:</w:t>
            </w:r>
          </w:p>
          <w:p w14:paraId="7ABAB41F" w14:textId="77777777" w:rsidR="009821F7" w:rsidRDefault="009821F7" w:rsidP="00FD27DA">
            <w:pPr>
              <w:pStyle w:val="Tabletext"/>
              <w:numPr>
                <w:ilvl w:val="0"/>
                <w:numId w:val="6"/>
              </w:numPr>
              <w:ind w:left="286" w:hanging="221"/>
            </w:pPr>
            <w:r>
              <w:t>radiation therapy alternatives, such as IMRT, stereotactic radiation techniques or other external beam therapies, and also brachytherapy,</w:t>
            </w:r>
          </w:p>
          <w:p w14:paraId="679CEFD6" w14:textId="77777777" w:rsidR="009821F7" w:rsidRDefault="009821F7" w:rsidP="00FD27DA">
            <w:pPr>
              <w:pStyle w:val="Tabletext"/>
              <w:numPr>
                <w:ilvl w:val="0"/>
                <w:numId w:val="6"/>
              </w:numPr>
              <w:ind w:left="286" w:hanging="221"/>
            </w:pPr>
            <w:r>
              <w:t>other treatment options specific to the clinical condition (e.g. surgery, chemotherapy, other devices such as laser therapy for ocular tumours), or</w:t>
            </w:r>
          </w:p>
          <w:p w14:paraId="0AA9D836" w14:textId="77777777" w:rsidR="009821F7" w:rsidRPr="0019494F" w:rsidRDefault="009821F7" w:rsidP="00FD27DA">
            <w:pPr>
              <w:pStyle w:val="Tabletext"/>
              <w:numPr>
                <w:ilvl w:val="0"/>
                <w:numId w:val="6"/>
              </w:numPr>
              <w:ind w:left="286" w:hanging="221"/>
            </w:pPr>
            <w:proofErr w:type="gramStart"/>
            <w:r>
              <w:t>no</w:t>
            </w:r>
            <w:proofErr w:type="gramEnd"/>
            <w:r>
              <w:t xml:space="preserve"> treatment alternatives.</w:t>
            </w:r>
          </w:p>
        </w:tc>
        <w:tc>
          <w:tcPr>
            <w:tcW w:w="1309" w:type="pct"/>
          </w:tcPr>
          <w:p w14:paraId="30D83F93" w14:textId="77777777" w:rsidR="009821F7" w:rsidRDefault="009821F7" w:rsidP="009821F7">
            <w:pPr>
              <w:pStyle w:val="Tabletext"/>
            </w:pPr>
            <w:r>
              <w:t>Usual standard of care, which consists primarily of radiation therapy alternatives, such as IMRT and SRT or other external beam therapies.</w:t>
            </w:r>
          </w:p>
        </w:tc>
        <w:tc>
          <w:tcPr>
            <w:tcW w:w="1385" w:type="pct"/>
          </w:tcPr>
          <w:p w14:paraId="730BA777" w14:textId="77777777" w:rsidR="009821F7" w:rsidRDefault="009821F7" w:rsidP="009821F7">
            <w:pPr>
              <w:pStyle w:val="CommentTabletext"/>
              <w:ind w:left="0"/>
              <w:jc w:val="left"/>
            </w:pPr>
            <w:r>
              <w:t>“Other treatment options specific to the clinical condition” and “no treatment alternatives” were left out in Application 1638. The applicant argued that, after revising the relevant populations, radiation therapy will almost always form a component of the treatment course, whether used as monotherapy or applied in conjunction with other options (surgery, chemotherapy). The applicant argued that other treatment options (surgery, chemotherapy, brachytherapy) are therefore not relevant comparators anymore, and neither is best supportive (i.e. palliative) care.</w:t>
            </w:r>
          </w:p>
          <w:p w14:paraId="212481DC" w14:textId="77777777" w:rsidR="009821F7" w:rsidRPr="00E955D1" w:rsidRDefault="009821F7" w:rsidP="009821F7">
            <w:pPr>
              <w:pStyle w:val="Tabletext"/>
              <w:rPr>
                <w:i/>
              </w:rPr>
            </w:pPr>
            <w:r w:rsidRPr="00E955D1">
              <w:rPr>
                <w:i/>
              </w:rPr>
              <w:t>This is appropriate.</w:t>
            </w:r>
          </w:p>
        </w:tc>
      </w:tr>
    </w:tbl>
    <w:p w14:paraId="7B5FF2B0" w14:textId="77777777" w:rsidR="009821F7" w:rsidRPr="00E74B93" w:rsidRDefault="009821F7" w:rsidP="00654AB1">
      <w:pPr>
        <w:pStyle w:val="Tablenotes"/>
        <w:rPr>
          <w:rFonts w:eastAsia="Calibri"/>
          <w:i/>
        </w:rPr>
      </w:pPr>
      <w:r>
        <w:rPr>
          <w:rFonts w:eastAsia="Calibri"/>
        </w:rPr>
        <w:t xml:space="preserve">Source: Adapted from Table 1, p31 of the ADAR and Table 14, 2 of the commentary. </w:t>
      </w:r>
      <w:r>
        <w:rPr>
          <w:rFonts w:eastAsia="Calibri"/>
          <w:i/>
        </w:rPr>
        <w:t>Commentary assessment in italics.</w:t>
      </w:r>
    </w:p>
    <w:p w14:paraId="41C5E599" w14:textId="73140B66" w:rsidR="009821F7" w:rsidRDefault="00810FF0" w:rsidP="00415A23">
      <w:pPr>
        <w:spacing w:before="240" w:after="240"/>
      </w:pPr>
      <w:r>
        <w:rPr>
          <w:rFonts w:eastAsia="Calibri" w:cs="Calibri"/>
        </w:rPr>
        <w:fldChar w:fldCharType="begin"/>
      </w:r>
      <w:r>
        <w:rPr>
          <w:rFonts w:eastAsia="Calibri" w:cs="Calibri"/>
        </w:rPr>
        <w:instrText xml:space="preserve"> REF _Ref50112754 \h </w:instrText>
      </w:r>
      <w:r>
        <w:rPr>
          <w:rFonts w:eastAsia="Calibri" w:cs="Calibri"/>
        </w:rPr>
      </w:r>
      <w:r>
        <w:rPr>
          <w:rFonts w:eastAsia="Calibri" w:cs="Calibri"/>
        </w:rPr>
        <w:fldChar w:fldCharType="separate"/>
      </w:r>
      <w:r w:rsidRPr="00EE7A15">
        <w:t>Table</w:t>
      </w:r>
      <w:r>
        <w:t xml:space="preserve"> </w:t>
      </w:r>
      <w:r>
        <w:rPr>
          <w:noProof/>
        </w:rPr>
        <w:t>2</w:t>
      </w:r>
      <w:r>
        <w:rPr>
          <w:rFonts w:eastAsia="Calibri" w:cs="Calibri"/>
        </w:rPr>
        <w:fldChar w:fldCharType="end"/>
      </w:r>
      <w:r>
        <w:rPr>
          <w:rFonts w:eastAsia="Calibri" w:cs="Calibri"/>
        </w:rPr>
        <w:t xml:space="preserve"> </w:t>
      </w:r>
      <w:r w:rsidR="009821F7">
        <w:rPr>
          <w:rFonts w:eastAsia="Calibri" w:cs="Calibri"/>
        </w:rPr>
        <w:t xml:space="preserve">presents a summary of the key issues raised by MSAC for MSAC Application 1455, </w:t>
      </w:r>
      <w:r w:rsidR="00CD2790">
        <w:rPr>
          <w:rFonts w:eastAsia="Calibri" w:cs="Calibri"/>
        </w:rPr>
        <w:t xml:space="preserve">and how the applicant claimed </w:t>
      </w:r>
      <w:r w:rsidR="009821F7">
        <w:rPr>
          <w:rFonts w:eastAsia="Calibri" w:cs="Calibri"/>
        </w:rPr>
        <w:t>these</w:t>
      </w:r>
      <w:r w:rsidR="00CD2790">
        <w:rPr>
          <w:rFonts w:eastAsia="Calibri" w:cs="Calibri"/>
        </w:rPr>
        <w:t xml:space="preserve"> were addressed</w:t>
      </w:r>
      <w:r w:rsidR="009821F7">
        <w:rPr>
          <w:rFonts w:eastAsia="Calibri" w:cs="Calibri"/>
        </w:rPr>
        <w:t xml:space="preserve"> in the ADAR for MSAC Application 1638.</w:t>
      </w:r>
    </w:p>
    <w:p w14:paraId="6005F5B9" w14:textId="1410E33F" w:rsidR="009821F7" w:rsidRPr="00DD6551" w:rsidRDefault="009821F7" w:rsidP="00DD6551">
      <w:pPr>
        <w:rPr>
          <w:rFonts w:ascii="Arial Narrow" w:hAnsi="Arial Narrow"/>
          <w:b/>
          <w:sz w:val="20"/>
        </w:rPr>
      </w:pPr>
      <w:bookmarkStart w:id="3" w:name="_Ref50112754"/>
      <w:bookmarkStart w:id="4" w:name="_Toc50391265"/>
      <w:r w:rsidRPr="00DD6551">
        <w:rPr>
          <w:rFonts w:ascii="Arial Narrow" w:hAnsi="Arial Narrow"/>
          <w:b/>
          <w:sz w:val="20"/>
        </w:rPr>
        <w:lastRenderedPageBreak/>
        <w:t xml:space="preserve">Table </w:t>
      </w:r>
      <w:r w:rsidR="00FD0A9A" w:rsidRPr="00DD6551">
        <w:rPr>
          <w:rFonts w:ascii="Arial Narrow" w:hAnsi="Arial Narrow"/>
          <w:b/>
          <w:sz w:val="20"/>
        </w:rPr>
        <w:fldChar w:fldCharType="begin"/>
      </w:r>
      <w:r w:rsidR="00FD0A9A" w:rsidRPr="00DD6551">
        <w:rPr>
          <w:rFonts w:ascii="Arial Narrow" w:hAnsi="Arial Narrow"/>
          <w:b/>
          <w:sz w:val="20"/>
        </w:rPr>
        <w:instrText xml:space="preserve"> SEQ Table \* ARABIC </w:instrText>
      </w:r>
      <w:r w:rsidR="00FD0A9A" w:rsidRPr="00DD6551">
        <w:rPr>
          <w:rFonts w:ascii="Arial Narrow" w:hAnsi="Arial Narrow"/>
          <w:b/>
          <w:sz w:val="20"/>
        </w:rPr>
        <w:fldChar w:fldCharType="separate"/>
      </w:r>
      <w:r w:rsidR="00810FF0" w:rsidRPr="00DD6551">
        <w:rPr>
          <w:rFonts w:ascii="Arial Narrow" w:hAnsi="Arial Narrow"/>
          <w:b/>
          <w:sz w:val="20"/>
        </w:rPr>
        <w:t>2</w:t>
      </w:r>
      <w:r w:rsidR="00FD0A9A" w:rsidRPr="00DD6551">
        <w:rPr>
          <w:rFonts w:ascii="Arial Narrow" w:hAnsi="Arial Narrow"/>
          <w:b/>
          <w:sz w:val="20"/>
        </w:rPr>
        <w:fldChar w:fldCharType="end"/>
      </w:r>
      <w:bookmarkEnd w:id="3"/>
      <w:r w:rsidRPr="00DD6551">
        <w:rPr>
          <w:rFonts w:ascii="Arial Narrow" w:hAnsi="Arial Narrow"/>
          <w:b/>
          <w:sz w:val="20"/>
        </w:rPr>
        <w:tab/>
        <w:t>Summary of issues raised for MSAC Application 1455 with an assessment of whether and how these were addressed in the ADAR</w:t>
      </w:r>
      <w:bookmarkEnd w:id="4"/>
    </w:p>
    <w:tbl>
      <w:tblPr>
        <w:tblStyle w:val="TableGrid1"/>
        <w:tblW w:w="5000" w:type="pct"/>
        <w:tblLook w:val="01E0" w:firstRow="1" w:lastRow="1" w:firstColumn="1" w:lastColumn="1" w:noHBand="0" w:noVBand="0"/>
        <w:tblCaption w:val="Summary of issues raised by MSAC for previous application 1455"/>
        <w:tblDescription w:val="This table lists all issues raised by MSAC in the public summary document of application 1455. Applicant comments and the AG comments are added."/>
      </w:tblPr>
      <w:tblGrid>
        <w:gridCol w:w="2385"/>
        <w:gridCol w:w="4403"/>
        <w:gridCol w:w="2228"/>
      </w:tblGrid>
      <w:tr w:rsidR="009821F7" w14:paraId="61094996" w14:textId="77777777" w:rsidTr="009E589D">
        <w:trPr>
          <w:cnfStyle w:val="100000000000" w:firstRow="1" w:lastRow="0" w:firstColumn="0" w:lastColumn="0" w:oddVBand="0" w:evenVBand="0" w:oddHBand="0" w:evenHBand="0" w:firstRowFirstColumn="0" w:firstRowLastColumn="0" w:lastRowFirstColumn="0" w:lastRowLastColumn="0"/>
          <w:trHeight w:val="537"/>
          <w:tblHeader/>
        </w:trPr>
        <w:tc>
          <w:tcPr>
            <w:tcW w:w="1177" w:type="pct"/>
          </w:tcPr>
          <w:p w14:paraId="5FB09D8F" w14:textId="77777777" w:rsidR="009821F7" w:rsidRDefault="009821F7" w:rsidP="009821F7">
            <w:pPr>
              <w:pStyle w:val="TableParagraph"/>
              <w:keepNext/>
              <w:spacing w:before="38"/>
              <w:ind w:right="367"/>
              <w:rPr>
                <w:b/>
                <w:sz w:val="20"/>
              </w:rPr>
            </w:pPr>
            <w:r>
              <w:rPr>
                <w:b/>
                <w:sz w:val="20"/>
              </w:rPr>
              <w:t>Key issues raised in PSD for MSAC Application 1455</w:t>
            </w:r>
          </w:p>
        </w:tc>
        <w:tc>
          <w:tcPr>
            <w:tcW w:w="2515" w:type="pct"/>
          </w:tcPr>
          <w:p w14:paraId="1599719C" w14:textId="77777777" w:rsidR="009821F7" w:rsidRDefault="009821F7" w:rsidP="009821F7">
            <w:pPr>
              <w:pStyle w:val="TableParagraph"/>
              <w:keepNext/>
              <w:ind w:left="108"/>
              <w:jc w:val="center"/>
              <w:rPr>
                <w:b/>
                <w:sz w:val="20"/>
              </w:rPr>
            </w:pPr>
            <w:r>
              <w:rPr>
                <w:b/>
                <w:sz w:val="20"/>
              </w:rPr>
              <w:t>Applicant’s response</w:t>
            </w:r>
          </w:p>
        </w:tc>
        <w:tc>
          <w:tcPr>
            <w:tcW w:w="1308" w:type="pct"/>
          </w:tcPr>
          <w:p w14:paraId="3AA82E69" w14:textId="77777777" w:rsidR="009821F7" w:rsidRDefault="009821F7" w:rsidP="009821F7">
            <w:pPr>
              <w:pStyle w:val="TableParagraph"/>
              <w:keepNext/>
              <w:ind w:left="108"/>
              <w:jc w:val="center"/>
              <w:rPr>
                <w:b/>
                <w:sz w:val="20"/>
              </w:rPr>
            </w:pPr>
            <w:r>
              <w:rPr>
                <w:b/>
                <w:sz w:val="20"/>
              </w:rPr>
              <w:t>Commentary’s evaluation of the response</w:t>
            </w:r>
          </w:p>
        </w:tc>
      </w:tr>
      <w:tr w:rsidR="009821F7" w14:paraId="5FE2CF9F" w14:textId="77777777" w:rsidTr="009E589D">
        <w:trPr>
          <w:trHeight w:val="1228"/>
        </w:trPr>
        <w:tc>
          <w:tcPr>
            <w:tcW w:w="1177" w:type="pct"/>
          </w:tcPr>
          <w:p w14:paraId="3C58D85C" w14:textId="77777777" w:rsidR="009821F7" w:rsidRDefault="009821F7" w:rsidP="009821F7">
            <w:pPr>
              <w:pStyle w:val="TableParagraph"/>
              <w:keepNext/>
              <w:spacing w:before="38"/>
              <w:ind w:right="312"/>
              <w:rPr>
                <w:sz w:val="20"/>
              </w:rPr>
            </w:pPr>
            <w:r>
              <w:rPr>
                <w:sz w:val="20"/>
              </w:rPr>
              <w:t xml:space="preserve">There is no high-level evidence for clinical benefit despite likely </w:t>
            </w:r>
            <w:proofErr w:type="spellStart"/>
            <w:r>
              <w:rPr>
                <w:sz w:val="20"/>
              </w:rPr>
              <w:t>dosimetric</w:t>
            </w:r>
            <w:proofErr w:type="spellEnd"/>
            <w:r>
              <w:rPr>
                <w:sz w:val="20"/>
              </w:rPr>
              <w:t xml:space="preserve"> benefits.</w:t>
            </w:r>
          </w:p>
        </w:tc>
        <w:tc>
          <w:tcPr>
            <w:tcW w:w="2515" w:type="pct"/>
          </w:tcPr>
          <w:p w14:paraId="3771053C" w14:textId="77777777" w:rsidR="009821F7" w:rsidRDefault="009821F7" w:rsidP="009821F7">
            <w:pPr>
              <w:pStyle w:val="TableParagraph"/>
              <w:keepNext/>
              <w:spacing w:before="38"/>
              <w:ind w:left="108" w:right="106"/>
              <w:rPr>
                <w:sz w:val="20"/>
              </w:rPr>
            </w:pPr>
            <w:r>
              <w:rPr>
                <w:sz w:val="20"/>
              </w:rPr>
              <w:t>The difficulties associated with generating high-level evidence in paediatric and rare cancer populations has been widely discussed. In the absence of this data, applying the radiation protection principle of As Low As Reasonably Achievable, particularly for the paediatric population is an important consideration for PBT.</w:t>
            </w:r>
          </w:p>
        </w:tc>
        <w:tc>
          <w:tcPr>
            <w:tcW w:w="1308" w:type="pct"/>
          </w:tcPr>
          <w:p w14:paraId="05E2910A" w14:textId="77777777" w:rsidR="009821F7" w:rsidRPr="00063832" w:rsidRDefault="009821F7" w:rsidP="009821F7">
            <w:pPr>
              <w:pStyle w:val="TableParagraph"/>
              <w:keepNext/>
              <w:spacing w:before="38"/>
              <w:ind w:left="108" w:right="106"/>
              <w:rPr>
                <w:i/>
                <w:iCs/>
                <w:sz w:val="20"/>
              </w:rPr>
            </w:pPr>
            <w:r w:rsidRPr="00063832">
              <w:rPr>
                <w:i/>
                <w:iCs/>
                <w:sz w:val="20"/>
              </w:rPr>
              <w:t>The issue of the lack of high-quality clinical evidence remains in the current assessment</w:t>
            </w:r>
            <w:r>
              <w:rPr>
                <w:i/>
                <w:iCs/>
                <w:sz w:val="20"/>
              </w:rPr>
              <w:t xml:space="preserve"> as all included studies used retrospective designs and were associated with high risk of bias.</w:t>
            </w:r>
          </w:p>
        </w:tc>
      </w:tr>
      <w:tr w:rsidR="009821F7" w14:paraId="2FFF7461" w14:textId="77777777" w:rsidTr="009E589D">
        <w:trPr>
          <w:trHeight w:val="1226"/>
        </w:trPr>
        <w:tc>
          <w:tcPr>
            <w:tcW w:w="1177" w:type="pct"/>
          </w:tcPr>
          <w:p w14:paraId="1B44004C" w14:textId="77777777" w:rsidR="009821F7" w:rsidRDefault="009821F7" w:rsidP="009821F7">
            <w:pPr>
              <w:pStyle w:val="TableParagraph"/>
              <w:spacing w:before="38"/>
              <w:ind w:right="113"/>
              <w:rPr>
                <w:sz w:val="20"/>
              </w:rPr>
            </w:pPr>
            <w:r>
              <w:rPr>
                <w:sz w:val="20"/>
              </w:rPr>
              <w:t>Accept that high-level evidence is</w:t>
            </w:r>
            <w:r>
              <w:rPr>
                <w:spacing w:val="-30"/>
                <w:sz w:val="20"/>
              </w:rPr>
              <w:t xml:space="preserve"> </w:t>
            </w:r>
            <w:r>
              <w:rPr>
                <w:sz w:val="20"/>
              </w:rPr>
              <w:t>unlikely in paediatric cases, but request data from prospective registries (lag time ~10 years) and more data from</w:t>
            </w:r>
            <w:r>
              <w:rPr>
                <w:spacing w:val="-5"/>
                <w:sz w:val="20"/>
              </w:rPr>
              <w:t xml:space="preserve"> </w:t>
            </w:r>
            <w:r>
              <w:rPr>
                <w:sz w:val="20"/>
              </w:rPr>
              <w:t>RCTs.</w:t>
            </w:r>
          </w:p>
        </w:tc>
        <w:tc>
          <w:tcPr>
            <w:tcW w:w="2515" w:type="pct"/>
          </w:tcPr>
          <w:p w14:paraId="1ACC2EEA" w14:textId="77777777" w:rsidR="009821F7" w:rsidRDefault="009821F7" w:rsidP="009821F7">
            <w:pPr>
              <w:pStyle w:val="TableParagraph"/>
              <w:spacing w:before="38"/>
              <w:ind w:left="108" w:right="308"/>
              <w:rPr>
                <w:sz w:val="20"/>
              </w:rPr>
            </w:pPr>
            <w:r>
              <w:rPr>
                <w:sz w:val="20"/>
              </w:rPr>
              <w:t>The Royal Adelaide Hospital, a key clinical collaborator in the Australian Bragg Centre project, has joined the Massachusetts General Hospital administered paediatric Proton/Photon Consortium Registry network. The Australian Bragg Centre understands the importance of registry data and are pursuing international clinical collaborations for this purpose.</w:t>
            </w:r>
          </w:p>
        </w:tc>
        <w:tc>
          <w:tcPr>
            <w:tcW w:w="1308" w:type="pct"/>
          </w:tcPr>
          <w:p w14:paraId="26308F8A" w14:textId="77777777" w:rsidR="009821F7" w:rsidRPr="00063832" w:rsidRDefault="009821F7" w:rsidP="009821F7">
            <w:pPr>
              <w:pStyle w:val="TableParagraph"/>
              <w:spacing w:before="38"/>
              <w:ind w:left="108" w:right="308"/>
              <w:rPr>
                <w:i/>
                <w:iCs/>
                <w:sz w:val="20"/>
              </w:rPr>
            </w:pPr>
            <w:r w:rsidRPr="00063832">
              <w:rPr>
                <w:i/>
                <w:iCs/>
                <w:sz w:val="20"/>
              </w:rPr>
              <w:t>No additional comments</w:t>
            </w:r>
            <w:r>
              <w:rPr>
                <w:i/>
                <w:iCs/>
                <w:sz w:val="20"/>
              </w:rPr>
              <w:t>.</w:t>
            </w:r>
          </w:p>
        </w:tc>
      </w:tr>
      <w:tr w:rsidR="009821F7" w14:paraId="7D8177CA" w14:textId="77777777" w:rsidTr="009E589D">
        <w:trPr>
          <w:trHeight w:val="5476"/>
        </w:trPr>
        <w:tc>
          <w:tcPr>
            <w:tcW w:w="1177" w:type="pct"/>
          </w:tcPr>
          <w:p w14:paraId="76207F82" w14:textId="77777777" w:rsidR="009821F7" w:rsidRDefault="009821F7" w:rsidP="009821F7">
            <w:pPr>
              <w:pStyle w:val="TableParagraph"/>
              <w:ind w:right="131"/>
              <w:rPr>
                <w:sz w:val="20"/>
              </w:rPr>
            </w:pPr>
            <w:r>
              <w:rPr>
                <w:sz w:val="20"/>
              </w:rPr>
              <w:t>An item descriptor has not been specified. Item descriptors will need to be very population specific, and apply only to protons (</w:t>
            </w:r>
            <w:proofErr w:type="spellStart"/>
            <w:r>
              <w:rPr>
                <w:sz w:val="20"/>
              </w:rPr>
              <w:t>not</w:t>
            </w:r>
            <w:proofErr w:type="spellEnd"/>
            <w:r>
              <w:rPr>
                <w:sz w:val="20"/>
              </w:rPr>
              <w:t xml:space="preserve"> other heavy particles).</w:t>
            </w:r>
          </w:p>
        </w:tc>
        <w:tc>
          <w:tcPr>
            <w:tcW w:w="2515" w:type="pct"/>
          </w:tcPr>
          <w:p w14:paraId="57C88900" w14:textId="77777777" w:rsidR="009821F7" w:rsidRDefault="009821F7" w:rsidP="009821F7">
            <w:pPr>
              <w:pStyle w:val="TableParagraph"/>
              <w:ind w:left="108" w:right="106"/>
              <w:rPr>
                <w:sz w:val="20"/>
              </w:rPr>
            </w:pPr>
            <w:r>
              <w:rPr>
                <w:sz w:val="20"/>
              </w:rPr>
              <w:t>The Australian Bragg Centre will work with MSAC to define a suitable level of population specificity. It should be noted however, that in many cases the benefits of PBT are more dependent on the anatomical location of the tumour than specific tumour type. On this basis, the item descriptor for PBT in the current application proposes that the treatment should be available to two patient groups:</w:t>
            </w:r>
          </w:p>
          <w:p w14:paraId="433C98B2" w14:textId="77777777" w:rsidR="009821F7" w:rsidRDefault="009821F7" w:rsidP="00FD27DA">
            <w:pPr>
              <w:pStyle w:val="TableParagraph"/>
              <w:numPr>
                <w:ilvl w:val="0"/>
                <w:numId w:val="4"/>
              </w:numPr>
              <w:tabs>
                <w:tab w:val="left" w:pos="559"/>
              </w:tabs>
              <w:spacing w:before="42"/>
              <w:ind w:left="559" w:hanging="361"/>
              <w:rPr>
                <w:sz w:val="20"/>
              </w:rPr>
            </w:pPr>
            <w:r>
              <w:rPr>
                <w:sz w:val="20"/>
              </w:rPr>
              <w:t>adult patients with rare cancer of the head or</w:t>
            </w:r>
            <w:r>
              <w:rPr>
                <w:spacing w:val="-9"/>
                <w:sz w:val="20"/>
              </w:rPr>
              <w:t xml:space="preserve"> </w:t>
            </w:r>
            <w:r>
              <w:rPr>
                <w:sz w:val="20"/>
              </w:rPr>
              <w:t>spine</w:t>
            </w:r>
          </w:p>
          <w:p w14:paraId="06BABA63" w14:textId="77777777" w:rsidR="009821F7" w:rsidRDefault="009821F7" w:rsidP="00FD27DA">
            <w:pPr>
              <w:pStyle w:val="TableParagraph"/>
              <w:numPr>
                <w:ilvl w:val="0"/>
                <w:numId w:val="4"/>
              </w:numPr>
              <w:tabs>
                <w:tab w:val="left" w:pos="559"/>
              </w:tabs>
              <w:spacing w:before="42"/>
              <w:ind w:left="559" w:hanging="361"/>
              <w:rPr>
                <w:sz w:val="20"/>
              </w:rPr>
            </w:pPr>
            <w:proofErr w:type="gramStart"/>
            <w:r>
              <w:rPr>
                <w:sz w:val="20"/>
              </w:rPr>
              <w:t>paediatric</w:t>
            </w:r>
            <w:proofErr w:type="gramEnd"/>
            <w:r>
              <w:rPr>
                <w:spacing w:val="-5"/>
                <w:sz w:val="20"/>
              </w:rPr>
              <w:t xml:space="preserve"> </w:t>
            </w:r>
            <w:r>
              <w:rPr>
                <w:sz w:val="20"/>
              </w:rPr>
              <w:t>and</w:t>
            </w:r>
            <w:r>
              <w:rPr>
                <w:spacing w:val="-1"/>
                <w:sz w:val="20"/>
              </w:rPr>
              <w:t xml:space="preserve"> </w:t>
            </w:r>
            <w:r>
              <w:rPr>
                <w:sz w:val="20"/>
              </w:rPr>
              <w:t>AYA</w:t>
            </w:r>
            <w:r>
              <w:rPr>
                <w:spacing w:val="-5"/>
                <w:sz w:val="20"/>
              </w:rPr>
              <w:t xml:space="preserve"> </w:t>
            </w:r>
            <w:r>
              <w:rPr>
                <w:sz w:val="20"/>
              </w:rPr>
              <w:t>patients</w:t>
            </w:r>
            <w:r>
              <w:rPr>
                <w:spacing w:val="-4"/>
                <w:sz w:val="20"/>
              </w:rPr>
              <w:t xml:space="preserve"> </w:t>
            </w:r>
            <w:r>
              <w:rPr>
                <w:sz w:val="20"/>
              </w:rPr>
              <w:t>with</w:t>
            </w:r>
            <w:r>
              <w:rPr>
                <w:spacing w:val="-2"/>
                <w:sz w:val="20"/>
              </w:rPr>
              <w:t xml:space="preserve"> </w:t>
            </w:r>
            <w:r>
              <w:rPr>
                <w:sz w:val="20"/>
              </w:rPr>
              <w:t>a</w:t>
            </w:r>
            <w:r>
              <w:rPr>
                <w:spacing w:val="-4"/>
                <w:sz w:val="20"/>
              </w:rPr>
              <w:t xml:space="preserve"> </w:t>
            </w:r>
            <w:r>
              <w:rPr>
                <w:sz w:val="20"/>
              </w:rPr>
              <w:t>solid</w:t>
            </w:r>
            <w:r>
              <w:rPr>
                <w:spacing w:val="-4"/>
                <w:sz w:val="20"/>
              </w:rPr>
              <w:t xml:space="preserve"> </w:t>
            </w:r>
            <w:r>
              <w:rPr>
                <w:sz w:val="20"/>
              </w:rPr>
              <w:t>tumour</w:t>
            </w:r>
            <w:r>
              <w:rPr>
                <w:spacing w:val="-3"/>
                <w:sz w:val="20"/>
              </w:rPr>
              <w:t xml:space="preserve"> </w:t>
            </w:r>
            <w:r>
              <w:rPr>
                <w:sz w:val="20"/>
              </w:rPr>
              <w:t>located</w:t>
            </w:r>
            <w:r>
              <w:rPr>
                <w:spacing w:val="-4"/>
                <w:sz w:val="20"/>
              </w:rPr>
              <w:t xml:space="preserve"> </w:t>
            </w:r>
            <w:r>
              <w:rPr>
                <w:sz w:val="20"/>
              </w:rPr>
              <w:t>in</w:t>
            </w:r>
            <w:r>
              <w:rPr>
                <w:spacing w:val="-4"/>
                <w:sz w:val="20"/>
              </w:rPr>
              <w:t xml:space="preserve"> </w:t>
            </w:r>
            <w:r>
              <w:rPr>
                <w:sz w:val="20"/>
              </w:rPr>
              <w:t>the head, neck or trunk of the</w:t>
            </w:r>
            <w:r>
              <w:rPr>
                <w:spacing w:val="-3"/>
                <w:sz w:val="20"/>
              </w:rPr>
              <w:t xml:space="preserve"> </w:t>
            </w:r>
            <w:r>
              <w:rPr>
                <w:sz w:val="20"/>
              </w:rPr>
              <w:t>body.</w:t>
            </w:r>
          </w:p>
          <w:p w14:paraId="448D13A6" w14:textId="77777777" w:rsidR="009821F7" w:rsidRDefault="009821F7" w:rsidP="009821F7">
            <w:pPr>
              <w:pStyle w:val="TableParagraph"/>
              <w:spacing w:before="120"/>
              <w:ind w:left="108" w:right="114"/>
              <w:rPr>
                <w:sz w:val="20"/>
              </w:rPr>
            </w:pPr>
            <w:r>
              <w:rPr>
                <w:sz w:val="20"/>
              </w:rPr>
              <w:t>The ratified PICO populations further present a list of individual cancers which</w:t>
            </w:r>
            <w:r>
              <w:rPr>
                <w:spacing w:val="-5"/>
                <w:sz w:val="20"/>
              </w:rPr>
              <w:t xml:space="preserve"> </w:t>
            </w:r>
            <w:r>
              <w:rPr>
                <w:sz w:val="20"/>
              </w:rPr>
              <w:t>account</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z w:val="20"/>
              </w:rPr>
              <w:t>vast</w:t>
            </w:r>
            <w:r>
              <w:rPr>
                <w:spacing w:val="-5"/>
                <w:sz w:val="20"/>
              </w:rPr>
              <w:t xml:space="preserve"> </w:t>
            </w:r>
            <w:r>
              <w:rPr>
                <w:sz w:val="20"/>
              </w:rPr>
              <w:t>majority</w:t>
            </w:r>
            <w:r>
              <w:rPr>
                <w:spacing w:val="-5"/>
                <w:sz w:val="20"/>
              </w:rPr>
              <w:t xml:space="preserve"> </w:t>
            </w:r>
            <w:r>
              <w:rPr>
                <w:sz w:val="20"/>
              </w:rPr>
              <w:t>of</w:t>
            </w:r>
            <w:r>
              <w:rPr>
                <w:spacing w:val="-4"/>
                <w:sz w:val="20"/>
              </w:rPr>
              <w:t xml:space="preserve"> </w:t>
            </w:r>
            <w:r>
              <w:rPr>
                <w:sz w:val="20"/>
              </w:rPr>
              <w:t>eligible</w:t>
            </w:r>
            <w:r>
              <w:rPr>
                <w:spacing w:val="-3"/>
                <w:sz w:val="20"/>
              </w:rPr>
              <w:t xml:space="preserve"> </w:t>
            </w:r>
            <w:r>
              <w:rPr>
                <w:sz w:val="20"/>
              </w:rPr>
              <w:t>tumours;</w:t>
            </w:r>
            <w:r>
              <w:rPr>
                <w:spacing w:val="-5"/>
                <w:sz w:val="20"/>
              </w:rPr>
              <w:t xml:space="preserve"> </w:t>
            </w:r>
            <w:r>
              <w:rPr>
                <w:sz w:val="20"/>
              </w:rPr>
              <w:t>however,</w:t>
            </w:r>
            <w:r>
              <w:rPr>
                <w:spacing w:val="-5"/>
                <w:sz w:val="20"/>
              </w:rPr>
              <w:t xml:space="preserve"> </w:t>
            </w:r>
            <w:r>
              <w:rPr>
                <w:sz w:val="20"/>
              </w:rPr>
              <w:t>it</w:t>
            </w:r>
            <w:r>
              <w:rPr>
                <w:spacing w:val="-2"/>
                <w:sz w:val="20"/>
              </w:rPr>
              <w:t xml:space="preserve"> </w:t>
            </w:r>
            <w:r>
              <w:rPr>
                <w:sz w:val="20"/>
              </w:rPr>
              <w:t>should</w:t>
            </w:r>
            <w:r>
              <w:rPr>
                <w:spacing w:val="-3"/>
                <w:sz w:val="20"/>
              </w:rPr>
              <w:t xml:space="preserve"> </w:t>
            </w:r>
            <w:r>
              <w:rPr>
                <w:sz w:val="20"/>
              </w:rPr>
              <w:t xml:space="preserve">be noted that this list is not exhaustive. There are many extremely rare cancer subtypes and </w:t>
            </w:r>
            <w:proofErr w:type="spellStart"/>
            <w:r>
              <w:rPr>
                <w:sz w:val="20"/>
              </w:rPr>
              <w:t>histologies</w:t>
            </w:r>
            <w:proofErr w:type="spellEnd"/>
            <w:r>
              <w:rPr>
                <w:sz w:val="20"/>
              </w:rPr>
              <w:t xml:space="preserve"> which would benefit from PBT, but account for a small fraction of expected use. To ensure these patients have access to treatment with PBT, the proposed item descriptor does not specify which individual cancers are eligible but does require patients to be “at risk of clinically significant side effects using other forms of radiation therapy”. As such, the proposed item descriptor aims to strike a balance between ensuring flexibility and room for clinical discretion, whilst ensuring that PBT is not used in patients who are unlikely to benefit substantially from treatment.</w:t>
            </w:r>
          </w:p>
          <w:p w14:paraId="73379D2B" w14:textId="77777777" w:rsidR="009821F7" w:rsidRDefault="009821F7" w:rsidP="009821F7">
            <w:pPr>
              <w:pStyle w:val="TableParagraph"/>
              <w:ind w:left="108"/>
              <w:rPr>
                <w:sz w:val="20"/>
              </w:rPr>
            </w:pPr>
            <w:r>
              <w:rPr>
                <w:sz w:val="20"/>
              </w:rPr>
              <w:t>The proposed item descriptors are specific to PBT.</w:t>
            </w:r>
          </w:p>
        </w:tc>
        <w:tc>
          <w:tcPr>
            <w:tcW w:w="1308" w:type="pct"/>
          </w:tcPr>
          <w:p w14:paraId="379580F8" w14:textId="77777777" w:rsidR="009821F7" w:rsidRPr="00063832" w:rsidRDefault="009821F7" w:rsidP="009821F7">
            <w:pPr>
              <w:pStyle w:val="TableParagraph"/>
              <w:ind w:left="108" w:right="106"/>
              <w:rPr>
                <w:i/>
                <w:iCs/>
                <w:sz w:val="20"/>
              </w:rPr>
            </w:pPr>
            <w:r w:rsidRPr="00063832">
              <w:rPr>
                <w:i/>
                <w:iCs/>
                <w:sz w:val="20"/>
              </w:rPr>
              <w:t xml:space="preserve">The proposed item descriptor is specific to </w:t>
            </w:r>
            <w:r>
              <w:rPr>
                <w:i/>
                <w:iCs/>
                <w:sz w:val="20"/>
              </w:rPr>
              <w:t>PBT,</w:t>
            </w:r>
            <w:r w:rsidRPr="00063832">
              <w:rPr>
                <w:i/>
                <w:iCs/>
                <w:sz w:val="20"/>
              </w:rPr>
              <w:t xml:space="preserve"> but remains non-specific for the cancer types that would be eligible</w:t>
            </w:r>
            <w:r>
              <w:rPr>
                <w:i/>
                <w:iCs/>
                <w:sz w:val="20"/>
              </w:rPr>
              <w:t xml:space="preserve"> for treatment</w:t>
            </w:r>
            <w:r w:rsidRPr="00063832">
              <w:rPr>
                <w:i/>
                <w:iCs/>
                <w:sz w:val="20"/>
              </w:rPr>
              <w:t>.</w:t>
            </w:r>
            <w:r>
              <w:rPr>
                <w:i/>
                <w:iCs/>
                <w:sz w:val="20"/>
              </w:rPr>
              <w:t xml:space="preserve"> The applicant argues this is based on very rare cancer subtypes and </w:t>
            </w:r>
            <w:proofErr w:type="spellStart"/>
            <w:r>
              <w:rPr>
                <w:i/>
                <w:iCs/>
                <w:sz w:val="20"/>
              </w:rPr>
              <w:t>histologies</w:t>
            </w:r>
            <w:proofErr w:type="spellEnd"/>
            <w:r>
              <w:rPr>
                <w:i/>
                <w:iCs/>
                <w:sz w:val="20"/>
              </w:rPr>
              <w:t xml:space="preserve"> which may benefit from PBT, although it was not specified in the item descriptors how the eligibility of these patients would be determined.</w:t>
            </w:r>
          </w:p>
        </w:tc>
      </w:tr>
      <w:tr w:rsidR="009821F7" w14:paraId="5EC0C3E9" w14:textId="77777777" w:rsidTr="009E589D">
        <w:trPr>
          <w:trHeight w:val="770"/>
        </w:trPr>
        <w:tc>
          <w:tcPr>
            <w:tcW w:w="1177" w:type="pct"/>
          </w:tcPr>
          <w:p w14:paraId="6ADD8E72" w14:textId="77777777" w:rsidR="009821F7" w:rsidRDefault="009821F7" w:rsidP="009821F7">
            <w:pPr>
              <w:pStyle w:val="TableParagraph"/>
              <w:ind w:right="247"/>
              <w:rPr>
                <w:sz w:val="20"/>
              </w:rPr>
            </w:pPr>
            <w:r>
              <w:rPr>
                <w:sz w:val="20"/>
              </w:rPr>
              <w:t>Note that an application for a re-irradiation population is likely to happen in future.</w:t>
            </w:r>
          </w:p>
        </w:tc>
        <w:tc>
          <w:tcPr>
            <w:tcW w:w="2515" w:type="pct"/>
          </w:tcPr>
          <w:p w14:paraId="50AE943D" w14:textId="77777777" w:rsidR="009821F7" w:rsidRDefault="009821F7" w:rsidP="009821F7">
            <w:pPr>
              <w:pStyle w:val="TableParagraph"/>
              <w:ind w:left="108"/>
              <w:rPr>
                <w:sz w:val="20"/>
              </w:rPr>
            </w:pPr>
            <w:r>
              <w:rPr>
                <w:sz w:val="20"/>
              </w:rPr>
              <w:t>Dependent on the outcome of this MSAC submission, patient demand modelling, clinical service planning by the operator and further clinical trial results, a subsequent submission may be considered.</w:t>
            </w:r>
          </w:p>
        </w:tc>
        <w:tc>
          <w:tcPr>
            <w:tcW w:w="1308" w:type="pct"/>
          </w:tcPr>
          <w:p w14:paraId="5479C67E" w14:textId="77777777" w:rsidR="009821F7" w:rsidRPr="00063832" w:rsidRDefault="009821F7" w:rsidP="009821F7">
            <w:pPr>
              <w:pStyle w:val="TableParagraph"/>
              <w:ind w:left="108"/>
              <w:rPr>
                <w:i/>
                <w:iCs/>
                <w:sz w:val="20"/>
              </w:rPr>
            </w:pPr>
            <w:r>
              <w:rPr>
                <w:i/>
                <w:iCs/>
                <w:sz w:val="20"/>
              </w:rPr>
              <w:t>A separate population for re-treatment/re-irradiation was not considered in the ADAR.</w:t>
            </w:r>
          </w:p>
        </w:tc>
      </w:tr>
      <w:tr w:rsidR="009821F7" w14:paraId="50843D64" w14:textId="77777777" w:rsidTr="009E589D">
        <w:trPr>
          <w:trHeight w:val="998"/>
        </w:trPr>
        <w:tc>
          <w:tcPr>
            <w:tcW w:w="1177" w:type="pct"/>
          </w:tcPr>
          <w:p w14:paraId="2428B051" w14:textId="77777777" w:rsidR="009821F7" w:rsidRDefault="009821F7" w:rsidP="009821F7">
            <w:pPr>
              <w:pStyle w:val="TableParagraph"/>
              <w:spacing w:before="38"/>
              <w:ind w:right="302"/>
              <w:rPr>
                <w:sz w:val="20"/>
              </w:rPr>
            </w:pPr>
            <w:r>
              <w:rPr>
                <w:sz w:val="20"/>
              </w:rPr>
              <w:t>Item descriptor categories could match photon treatment.</w:t>
            </w:r>
          </w:p>
        </w:tc>
        <w:tc>
          <w:tcPr>
            <w:tcW w:w="2515" w:type="pct"/>
          </w:tcPr>
          <w:p w14:paraId="4800D1C4" w14:textId="77777777" w:rsidR="009821F7" w:rsidRDefault="009821F7" w:rsidP="009821F7">
            <w:pPr>
              <w:pStyle w:val="TableParagraph"/>
              <w:spacing w:before="38"/>
              <w:ind w:left="108" w:right="138"/>
              <w:rPr>
                <w:sz w:val="20"/>
              </w:rPr>
            </w:pPr>
            <w:r>
              <w:rPr>
                <w:sz w:val="20"/>
              </w:rPr>
              <w:t>This was adopted in the current application, which proposed PBT as a Level 6 complexity external beam treatment modality with many parts of the wording derived from intensity modulated radiotherapy item descriptors.</w:t>
            </w:r>
          </w:p>
        </w:tc>
        <w:tc>
          <w:tcPr>
            <w:tcW w:w="1308" w:type="pct"/>
          </w:tcPr>
          <w:p w14:paraId="627C2AD6" w14:textId="77777777" w:rsidR="009821F7" w:rsidRPr="00063832" w:rsidRDefault="009821F7" w:rsidP="009821F7">
            <w:pPr>
              <w:pStyle w:val="TableParagraph"/>
              <w:spacing w:before="38"/>
              <w:ind w:left="108" w:right="138"/>
              <w:rPr>
                <w:i/>
                <w:iCs/>
                <w:sz w:val="20"/>
              </w:rPr>
            </w:pPr>
            <w:r>
              <w:rPr>
                <w:i/>
                <w:iCs/>
                <w:sz w:val="20"/>
              </w:rPr>
              <w:t>No additional comments.</w:t>
            </w:r>
          </w:p>
        </w:tc>
      </w:tr>
      <w:tr w:rsidR="009821F7" w:rsidRPr="00C669D0" w14:paraId="7645FB46" w14:textId="77777777" w:rsidTr="009E589D">
        <w:trPr>
          <w:trHeight w:val="767"/>
        </w:trPr>
        <w:tc>
          <w:tcPr>
            <w:tcW w:w="1177" w:type="pct"/>
          </w:tcPr>
          <w:p w14:paraId="7C340382" w14:textId="77777777" w:rsidR="009821F7" w:rsidRPr="009C2571" w:rsidRDefault="009821F7" w:rsidP="009821F7">
            <w:pPr>
              <w:pStyle w:val="TableParagraph"/>
              <w:spacing w:before="38"/>
              <w:ind w:right="302"/>
              <w:rPr>
                <w:sz w:val="20"/>
                <w:szCs w:val="20"/>
              </w:rPr>
            </w:pPr>
            <w:r w:rsidRPr="009C2571">
              <w:rPr>
                <w:sz w:val="20"/>
                <w:szCs w:val="20"/>
              </w:rPr>
              <w:lastRenderedPageBreak/>
              <w:t>Explore cost implications for state/territory health budgets (travel/accommodation).</w:t>
            </w:r>
          </w:p>
        </w:tc>
        <w:tc>
          <w:tcPr>
            <w:tcW w:w="2515" w:type="pct"/>
          </w:tcPr>
          <w:p w14:paraId="72779ECA" w14:textId="77777777" w:rsidR="009821F7" w:rsidRPr="009C2571" w:rsidRDefault="009821F7" w:rsidP="009821F7">
            <w:pPr>
              <w:pStyle w:val="TableParagraph"/>
              <w:spacing w:before="38"/>
              <w:ind w:left="108" w:right="138"/>
              <w:rPr>
                <w:sz w:val="20"/>
                <w:szCs w:val="20"/>
              </w:rPr>
            </w:pPr>
            <w:r w:rsidRPr="009C2571">
              <w:rPr>
                <w:sz w:val="20"/>
                <w:szCs w:val="20"/>
              </w:rPr>
              <w:t>Practical and financial learnings regarding patient and family movement across states were obtained from countries with a similar centralized PBT model to Australia such as Sweden, Denmark and the UK.</w:t>
            </w:r>
          </w:p>
        </w:tc>
        <w:tc>
          <w:tcPr>
            <w:tcW w:w="1308" w:type="pct"/>
          </w:tcPr>
          <w:p w14:paraId="7213A24B" w14:textId="77777777" w:rsidR="009821F7" w:rsidRPr="001057DD" w:rsidRDefault="009821F7" w:rsidP="009821F7">
            <w:pPr>
              <w:pStyle w:val="TableParagraph"/>
              <w:rPr>
                <w:i/>
                <w:iCs/>
                <w:sz w:val="20"/>
              </w:rPr>
            </w:pPr>
            <w:r>
              <w:rPr>
                <w:i/>
                <w:iCs/>
                <w:sz w:val="20"/>
              </w:rPr>
              <w:t>The ADAR</w:t>
            </w:r>
            <w:r w:rsidRPr="001057DD">
              <w:rPr>
                <w:i/>
                <w:iCs/>
                <w:sz w:val="20"/>
              </w:rPr>
              <w:t xml:space="preserve"> attempt</w:t>
            </w:r>
            <w:r>
              <w:rPr>
                <w:i/>
                <w:iCs/>
                <w:sz w:val="20"/>
              </w:rPr>
              <w:t>ed to</w:t>
            </w:r>
            <w:r w:rsidRPr="001057DD">
              <w:rPr>
                <w:i/>
                <w:iCs/>
                <w:sz w:val="20"/>
              </w:rPr>
              <w:t xml:space="preserve"> quantify</w:t>
            </w:r>
            <w:r>
              <w:rPr>
                <w:i/>
                <w:iCs/>
                <w:sz w:val="20"/>
              </w:rPr>
              <w:t xml:space="preserve"> the</w:t>
            </w:r>
            <w:r w:rsidRPr="001057DD">
              <w:rPr>
                <w:i/>
                <w:iCs/>
                <w:sz w:val="20"/>
              </w:rPr>
              <w:t xml:space="preserve"> cost implications for state/territory health budgets</w:t>
            </w:r>
            <w:r>
              <w:rPr>
                <w:i/>
                <w:iCs/>
                <w:sz w:val="20"/>
              </w:rPr>
              <w:t>, in regards to travel and accommodation, however the costing may be underestimated due to the number of people required to travel (paediatric patients will need to travel with families).</w:t>
            </w:r>
          </w:p>
        </w:tc>
      </w:tr>
    </w:tbl>
    <w:p w14:paraId="75C59926" w14:textId="77777777" w:rsidR="009821F7" w:rsidRPr="005356A5" w:rsidRDefault="009821F7" w:rsidP="00654AB1">
      <w:pPr>
        <w:pStyle w:val="Tablenotes"/>
        <w:rPr>
          <w:i/>
        </w:rPr>
      </w:pPr>
      <w:r>
        <w:t xml:space="preserve">Source: Table 1, </w:t>
      </w:r>
      <w:proofErr w:type="spellStart"/>
      <w:r>
        <w:t>pxi</w:t>
      </w:r>
      <w:proofErr w:type="spellEnd"/>
      <w:r>
        <w:t xml:space="preserve"> of the commentary. </w:t>
      </w:r>
      <w:r>
        <w:rPr>
          <w:i/>
        </w:rPr>
        <w:t>Commentary in italics.</w:t>
      </w:r>
    </w:p>
    <w:p w14:paraId="38913639" w14:textId="77777777" w:rsidR="00BC1364" w:rsidRPr="00F715D1" w:rsidRDefault="00BC1364" w:rsidP="00F715D1">
      <w:pPr>
        <w:pStyle w:val="Heading1"/>
      </w:pPr>
      <w:r w:rsidRPr="00F715D1">
        <w:t>Prerequisites to implementation of any funding advice</w:t>
      </w:r>
    </w:p>
    <w:p w14:paraId="35DA0671" w14:textId="763D359B" w:rsidR="009821F7" w:rsidRDefault="009821F7" w:rsidP="009821F7">
      <w:pPr>
        <w:spacing w:after="240"/>
        <w:jc w:val="both"/>
        <w:rPr>
          <w:rFonts w:eastAsia="Calibri" w:cs="Calibri"/>
        </w:rPr>
      </w:pPr>
      <w:r w:rsidRPr="5495A977">
        <w:rPr>
          <w:rFonts w:eastAsia="Calibri" w:cs="Calibri"/>
        </w:rPr>
        <w:t xml:space="preserve">The items on the </w:t>
      </w:r>
      <w:r>
        <w:rPr>
          <w:rFonts w:eastAsia="Calibri" w:cs="Calibri"/>
        </w:rPr>
        <w:t>Australian Register of Therapeutic Goods (</w:t>
      </w:r>
      <w:r w:rsidRPr="5495A977">
        <w:rPr>
          <w:rFonts w:eastAsia="Calibri" w:cs="Calibri"/>
        </w:rPr>
        <w:t>ARTG</w:t>
      </w:r>
      <w:r>
        <w:rPr>
          <w:rFonts w:eastAsia="Calibri" w:cs="Calibri"/>
        </w:rPr>
        <w:t>)</w:t>
      </w:r>
      <w:r w:rsidRPr="5495A977">
        <w:rPr>
          <w:rFonts w:eastAsia="Calibri" w:cs="Calibri"/>
        </w:rPr>
        <w:t xml:space="preserve"> that are relevant to this </w:t>
      </w:r>
      <w:r>
        <w:rPr>
          <w:rFonts w:eastAsia="Calibri" w:cs="Calibri"/>
        </w:rPr>
        <w:t>application</w:t>
      </w:r>
      <w:r w:rsidRPr="5495A977">
        <w:rPr>
          <w:rFonts w:eastAsia="Calibri" w:cs="Calibri"/>
        </w:rPr>
        <w:t xml:space="preserve"> are shown in</w:t>
      </w:r>
      <w:r>
        <w:rPr>
          <w:rFonts w:eastAsia="Calibri" w:cs="Calibri"/>
        </w:rPr>
        <w:t xml:space="preserve"> </w:t>
      </w:r>
      <w:r>
        <w:rPr>
          <w:rFonts w:eastAsia="Calibri" w:cs="Calibri"/>
        </w:rPr>
        <w:fldChar w:fldCharType="begin"/>
      </w:r>
      <w:r>
        <w:rPr>
          <w:rFonts w:eastAsia="Calibri" w:cs="Calibri"/>
        </w:rPr>
        <w:instrText xml:space="preserve"> REF _Ref51154468 \h </w:instrText>
      </w:r>
      <w:r>
        <w:rPr>
          <w:rFonts w:eastAsia="Calibri" w:cs="Calibri"/>
        </w:rPr>
      </w:r>
      <w:r>
        <w:rPr>
          <w:rFonts w:eastAsia="Calibri" w:cs="Calibri"/>
        </w:rPr>
        <w:fldChar w:fldCharType="separate"/>
      </w:r>
      <w:r w:rsidR="00810FF0">
        <w:t xml:space="preserve">Table </w:t>
      </w:r>
      <w:r w:rsidR="00810FF0">
        <w:rPr>
          <w:noProof/>
        </w:rPr>
        <w:t>3</w:t>
      </w:r>
      <w:r>
        <w:rPr>
          <w:rFonts w:eastAsia="Calibri" w:cs="Calibri"/>
        </w:rPr>
        <w:fldChar w:fldCharType="end"/>
      </w:r>
      <w:r w:rsidRPr="5495A977">
        <w:rPr>
          <w:rFonts w:eastAsia="Calibri" w:cs="Calibri"/>
        </w:rPr>
        <w:t>.</w:t>
      </w:r>
    </w:p>
    <w:p w14:paraId="0835FFCF" w14:textId="77777777" w:rsidR="009821F7" w:rsidRDefault="009821F7" w:rsidP="009821F7">
      <w:pPr>
        <w:spacing w:after="240"/>
        <w:jc w:val="both"/>
        <w:rPr>
          <w:rFonts w:eastAsia="Calibri" w:cs="Calibri"/>
        </w:rPr>
      </w:pPr>
      <w:r>
        <w:rPr>
          <w:rFonts w:eastAsia="Calibri" w:cs="Calibri"/>
        </w:rPr>
        <w:t>The ADAR stated that a</w:t>
      </w:r>
      <w:r w:rsidRPr="5495A977">
        <w:rPr>
          <w:rFonts w:eastAsia="Calibri" w:cs="Calibri"/>
        </w:rPr>
        <w:t>n application process has been initiated to apply for the proton therapy system (</w:t>
      </w:r>
      <w:proofErr w:type="spellStart"/>
      <w:r w:rsidRPr="5495A977">
        <w:rPr>
          <w:rFonts w:eastAsia="Calibri" w:cs="Calibri"/>
        </w:rPr>
        <w:t>ProTom</w:t>
      </w:r>
      <w:proofErr w:type="spellEnd"/>
      <w:r w:rsidRPr="5495A977">
        <w:rPr>
          <w:rFonts w:eastAsia="Calibri" w:cs="Calibri"/>
        </w:rPr>
        <w:t xml:space="preserve"> Radiance 330) to be used at the Australian Bragg Centre for Proton Therapy and Research to be listed on the ARTG. The Radiance 330 has received </w:t>
      </w:r>
      <w:r>
        <w:rPr>
          <w:rFonts w:eastAsia="Calibri" w:cs="Calibri"/>
        </w:rPr>
        <w:t>510(k) market approval</w:t>
      </w:r>
      <w:r w:rsidRPr="5495A977">
        <w:rPr>
          <w:rFonts w:eastAsia="Calibri" w:cs="Calibri"/>
        </w:rPr>
        <w:t xml:space="preserve"> from the US Food and Drug Administration</w:t>
      </w:r>
      <w:r>
        <w:rPr>
          <w:rFonts w:eastAsia="Calibri" w:cs="Calibri"/>
        </w:rPr>
        <w:t xml:space="preserve"> (</w:t>
      </w:r>
      <w:hyperlink r:id="rId13" w:history="1">
        <w:r w:rsidRPr="00917988">
          <w:rPr>
            <w:rStyle w:val="Hyperlink"/>
            <w:rFonts w:eastAsia="Calibri" w:cs="Calibri"/>
          </w:rPr>
          <w:t>K134052</w:t>
        </w:r>
      </w:hyperlink>
      <w:r>
        <w:rPr>
          <w:rFonts w:eastAsia="Calibri" w:cs="Calibri"/>
        </w:rPr>
        <w:t>)</w:t>
      </w:r>
      <w:r w:rsidRPr="5495A977">
        <w:rPr>
          <w:rFonts w:eastAsia="Calibri" w:cs="Calibri"/>
        </w:rPr>
        <w:t>.</w:t>
      </w:r>
    </w:p>
    <w:p w14:paraId="1AA36B1D" w14:textId="32F469D3" w:rsidR="009821F7" w:rsidRPr="009E589D" w:rsidRDefault="009821F7" w:rsidP="009E589D">
      <w:pPr>
        <w:rPr>
          <w:rFonts w:ascii="Arial Narrow" w:eastAsia="Arial Narrow" w:hAnsi="Arial Narrow"/>
          <w:b/>
          <w:sz w:val="20"/>
        </w:rPr>
      </w:pPr>
      <w:bookmarkStart w:id="5" w:name="_Ref51154468"/>
      <w:bookmarkStart w:id="6" w:name="_Toc50391279"/>
      <w:bookmarkStart w:id="7" w:name="_Toc48916445"/>
      <w:r w:rsidRPr="009E589D">
        <w:rPr>
          <w:rFonts w:ascii="Arial Narrow" w:hAnsi="Arial Narrow"/>
          <w:b/>
          <w:sz w:val="20"/>
        </w:rPr>
        <w:t xml:space="preserve">Table </w:t>
      </w:r>
      <w:r w:rsidR="00FD0A9A" w:rsidRPr="009E589D">
        <w:rPr>
          <w:rFonts w:ascii="Arial Narrow" w:hAnsi="Arial Narrow"/>
          <w:b/>
          <w:sz w:val="20"/>
        </w:rPr>
        <w:fldChar w:fldCharType="begin"/>
      </w:r>
      <w:r w:rsidR="00FD0A9A" w:rsidRPr="009E589D">
        <w:rPr>
          <w:rFonts w:ascii="Arial Narrow" w:hAnsi="Arial Narrow"/>
          <w:b/>
          <w:sz w:val="20"/>
        </w:rPr>
        <w:instrText xml:space="preserve"> SEQ Table \* ARABIC </w:instrText>
      </w:r>
      <w:r w:rsidR="00FD0A9A" w:rsidRPr="009E589D">
        <w:rPr>
          <w:rFonts w:ascii="Arial Narrow" w:hAnsi="Arial Narrow"/>
          <w:b/>
          <w:sz w:val="20"/>
        </w:rPr>
        <w:fldChar w:fldCharType="separate"/>
      </w:r>
      <w:r w:rsidR="00810FF0" w:rsidRPr="009E589D">
        <w:rPr>
          <w:rFonts w:ascii="Arial Narrow" w:hAnsi="Arial Narrow"/>
          <w:b/>
          <w:sz w:val="20"/>
        </w:rPr>
        <w:t>3</w:t>
      </w:r>
      <w:r w:rsidR="00FD0A9A" w:rsidRPr="009E589D">
        <w:rPr>
          <w:rFonts w:ascii="Arial Narrow" w:hAnsi="Arial Narrow"/>
          <w:b/>
          <w:sz w:val="20"/>
        </w:rPr>
        <w:fldChar w:fldCharType="end"/>
      </w:r>
      <w:bookmarkEnd w:id="5"/>
      <w:r w:rsidRPr="009E589D">
        <w:rPr>
          <w:rFonts w:ascii="Arial Narrow" w:hAnsi="Arial Narrow"/>
          <w:b/>
          <w:sz w:val="20"/>
        </w:rPr>
        <w:tab/>
      </w:r>
      <w:r w:rsidRPr="009E589D">
        <w:rPr>
          <w:rFonts w:ascii="Arial Narrow" w:eastAsia="Arial Narrow" w:hAnsi="Arial Narrow"/>
          <w:b/>
          <w:sz w:val="20"/>
        </w:rPr>
        <w:t>PBT devices included on the ARTG</w:t>
      </w:r>
      <w:bookmarkEnd w:id="6"/>
      <w:bookmarkEnd w:id="7"/>
    </w:p>
    <w:tbl>
      <w:tblPr>
        <w:tblStyle w:val="TableGrid1"/>
        <w:tblW w:w="5000" w:type="pct"/>
        <w:tblLook w:val="01E0" w:firstRow="1" w:lastRow="1" w:firstColumn="1" w:lastColumn="1" w:noHBand="0" w:noVBand="0"/>
        <w:tblCaption w:val="Proton beam therapy devices included on the ARTG"/>
      </w:tblPr>
      <w:tblGrid>
        <w:gridCol w:w="1535"/>
        <w:gridCol w:w="1307"/>
        <w:gridCol w:w="3080"/>
        <w:gridCol w:w="1210"/>
        <w:gridCol w:w="1884"/>
      </w:tblGrid>
      <w:tr w:rsidR="009821F7" w14:paraId="07D72BF6" w14:textId="77777777" w:rsidTr="009E589D">
        <w:trPr>
          <w:cnfStyle w:val="100000000000" w:firstRow="1" w:lastRow="0" w:firstColumn="0" w:lastColumn="0" w:oddVBand="0" w:evenVBand="0" w:oddHBand="0" w:evenHBand="0" w:firstRowFirstColumn="0" w:firstRowLastColumn="0" w:lastRowFirstColumn="0" w:lastRowLastColumn="0"/>
          <w:trHeight w:val="540"/>
          <w:tblHeader/>
        </w:trPr>
        <w:tc>
          <w:tcPr>
            <w:tcW w:w="851" w:type="pct"/>
          </w:tcPr>
          <w:p w14:paraId="0A50F2E2" w14:textId="77777777" w:rsidR="009821F7" w:rsidRDefault="009821F7" w:rsidP="009821F7">
            <w:r w:rsidRPr="5495A977">
              <w:rPr>
                <w:rFonts w:ascii="Arial Narrow" w:eastAsia="Arial Narrow" w:hAnsi="Arial Narrow" w:cs="Arial Narrow"/>
                <w:b/>
                <w:bCs/>
                <w:sz w:val="20"/>
              </w:rPr>
              <w:t>ARTG no.</w:t>
            </w:r>
          </w:p>
        </w:tc>
        <w:tc>
          <w:tcPr>
            <w:tcW w:w="725" w:type="pct"/>
          </w:tcPr>
          <w:p w14:paraId="5E82762E" w14:textId="77777777" w:rsidR="009821F7" w:rsidRDefault="009821F7" w:rsidP="009821F7">
            <w:r>
              <w:rPr>
                <w:rFonts w:ascii="Arial Narrow" w:eastAsia="Arial Narrow" w:hAnsi="Arial Narrow" w:cs="Arial Narrow"/>
                <w:b/>
                <w:bCs/>
                <w:sz w:val="20"/>
              </w:rPr>
              <w:t>GMDN</w:t>
            </w:r>
          </w:p>
        </w:tc>
        <w:tc>
          <w:tcPr>
            <w:tcW w:w="1708" w:type="pct"/>
          </w:tcPr>
          <w:p w14:paraId="4DFCB7C0" w14:textId="77777777" w:rsidR="009821F7" w:rsidRDefault="009821F7" w:rsidP="009821F7">
            <w:r w:rsidRPr="5495A977">
              <w:rPr>
                <w:rFonts w:ascii="Arial Narrow" w:eastAsia="Arial Narrow" w:hAnsi="Arial Narrow" w:cs="Arial Narrow"/>
                <w:b/>
                <w:bCs/>
                <w:sz w:val="20"/>
              </w:rPr>
              <w:t>Product description</w:t>
            </w:r>
          </w:p>
        </w:tc>
        <w:tc>
          <w:tcPr>
            <w:tcW w:w="671" w:type="pct"/>
          </w:tcPr>
          <w:p w14:paraId="73220FF2" w14:textId="77777777" w:rsidR="009821F7" w:rsidRDefault="009821F7" w:rsidP="009821F7">
            <w:r w:rsidRPr="5495A977">
              <w:rPr>
                <w:rFonts w:ascii="Arial Narrow" w:eastAsia="Arial Narrow" w:hAnsi="Arial Narrow" w:cs="Arial Narrow"/>
                <w:b/>
                <w:bCs/>
                <w:sz w:val="20"/>
              </w:rPr>
              <w:t>Product category</w:t>
            </w:r>
          </w:p>
        </w:tc>
        <w:tc>
          <w:tcPr>
            <w:tcW w:w="1045" w:type="pct"/>
          </w:tcPr>
          <w:p w14:paraId="7CCAB6E3" w14:textId="77777777" w:rsidR="009821F7" w:rsidRDefault="009821F7" w:rsidP="009821F7">
            <w:r w:rsidRPr="5495A977">
              <w:rPr>
                <w:rFonts w:ascii="Arial Narrow" w:eastAsia="Arial Narrow" w:hAnsi="Arial Narrow" w:cs="Arial Narrow"/>
                <w:b/>
                <w:bCs/>
                <w:sz w:val="20"/>
              </w:rPr>
              <w:t>Sponsor</w:t>
            </w:r>
          </w:p>
        </w:tc>
      </w:tr>
      <w:tr w:rsidR="009821F7" w14:paraId="74C1B441" w14:textId="77777777" w:rsidTr="009E589D">
        <w:trPr>
          <w:trHeight w:val="1500"/>
        </w:trPr>
        <w:tc>
          <w:tcPr>
            <w:tcW w:w="851" w:type="pct"/>
          </w:tcPr>
          <w:p w14:paraId="64BE3BD4" w14:textId="77777777" w:rsidR="009821F7" w:rsidRDefault="009821F7" w:rsidP="009821F7">
            <w:pPr>
              <w:pStyle w:val="Tabletext"/>
            </w:pPr>
            <w:r w:rsidRPr="5495A977">
              <w:rPr>
                <w:rFonts w:eastAsia="Arial Narrow"/>
              </w:rPr>
              <w:t>147516</w:t>
            </w:r>
          </w:p>
          <w:p w14:paraId="710A2E72" w14:textId="77777777" w:rsidR="009821F7" w:rsidRDefault="009821F7" w:rsidP="009821F7">
            <w:pPr>
              <w:pStyle w:val="Tabletext"/>
              <w:rPr>
                <w:rFonts w:eastAsia="Arial Narrow"/>
              </w:rPr>
            </w:pPr>
            <w:r w:rsidRPr="331F1DB8">
              <w:rPr>
                <w:rFonts w:eastAsia="Arial Narrow"/>
              </w:rPr>
              <w:t>(ARTG start date 21/1/2007)</w:t>
            </w:r>
          </w:p>
        </w:tc>
        <w:tc>
          <w:tcPr>
            <w:tcW w:w="725" w:type="pct"/>
          </w:tcPr>
          <w:p w14:paraId="2EA4C3FA" w14:textId="77777777" w:rsidR="009821F7" w:rsidRDefault="009821F7" w:rsidP="009821F7">
            <w:pPr>
              <w:pStyle w:val="Tabletext"/>
            </w:pPr>
            <w:r w:rsidRPr="5495A977">
              <w:rPr>
                <w:rFonts w:eastAsia="Arial Narrow"/>
              </w:rPr>
              <w:t>47069 Proton therapy system</w:t>
            </w:r>
          </w:p>
        </w:tc>
        <w:tc>
          <w:tcPr>
            <w:tcW w:w="1708" w:type="pct"/>
          </w:tcPr>
          <w:p w14:paraId="01FF0B57" w14:textId="77777777" w:rsidR="009821F7" w:rsidRDefault="009821F7" w:rsidP="009821F7">
            <w:pPr>
              <w:pStyle w:val="Tabletext"/>
            </w:pPr>
            <w:r w:rsidRPr="5495A977">
              <w:rPr>
                <w:rFonts w:eastAsia="Arial Narrow"/>
              </w:rPr>
              <w:t>Proton therapy system. An assembly of devices used to produce and deliver a transverse and longitudinal dose proton beam to treat localised tumours and other conditions susceptible to treatment by radiation.</w:t>
            </w:r>
          </w:p>
        </w:tc>
        <w:tc>
          <w:tcPr>
            <w:tcW w:w="671" w:type="pct"/>
          </w:tcPr>
          <w:p w14:paraId="3062C0F4" w14:textId="77777777" w:rsidR="009821F7" w:rsidRDefault="009821F7" w:rsidP="009821F7">
            <w:pPr>
              <w:pStyle w:val="Tabletext"/>
            </w:pPr>
            <w:r w:rsidRPr="5495A977">
              <w:rPr>
                <w:rFonts w:eastAsia="Arial Narrow"/>
              </w:rPr>
              <w:t xml:space="preserve">Medical Device Class </w:t>
            </w:r>
            <w:proofErr w:type="spellStart"/>
            <w:r w:rsidRPr="5495A977">
              <w:rPr>
                <w:rFonts w:eastAsia="Arial Narrow"/>
              </w:rPr>
              <w:t>IIb</w:t>
            </w:r>
            <w:proofErr w:type="spellEnd"/>
          </w:p>
        </w:tc>
        <w:tc>
          <w:tcPr>
            <w:tcW w:w="1045" w:type="pct"/>
          </w:tcPr>
          <w:p w14:paraId="57911AE5" w14:textId="77777777" w:rsidR="009821F7" w:rsidRDefault="009821F7" w:rsidP="009821F7">
            <w:pPr>
              <w:pStyle w:val="Tabletext"/>
            </w:pPr>
            <w:r w:rsidRPr="00AF1D9D">
              <w:rPr>
                <w:rFonts w:eastAsia="Arial Narrow"/>
              </w:rPr>
              <w:t>Proton Therapy Australia</w:t>
            </w:r>
            <w:r w:rsidRPr="5495A977">
              <w:rPr>
                <w:rFonts w:eastAsia="Arial Narrow"/>
              </w:rPr>
              <w:t xml:space="preserve"> </w:t>
            </w:r>
            <w:r w:rsidRPr="00AF1D9D">
              <w:rPr>
                <w:rFonts w:eastAsia="Arial Narrow"/>
              </w:rPr>
              <w:t>Pty Ltd</w:t>
            </w:r>
          </w:p>
        </w:tc>
      </w:tr>
      <w:tr w:rsidR="009821F7" w14:paraId="5E42ED39" w14:textId="77777777" w:rsidTr="009E589D">
        <w:trPr>
          <w:trHeight w:val="1230"/>
        </w:trPr>
        <w:tc>
          <w:tcPr>
            <w:tcW w:w="851" w:type="pct"/>
          </w:tcPr>
          <w:p w14:paraId="462D257D" w14:textId="77777777" w:rsidR="009821F7" w:rsidRDefault="009821F7" w:rsidP="009821F7">
            <w:pPr>
              <w:pStyle w:val="Tabletext"/>
            </w:pPr>
            <w:r w:rsidRPr="5495A977">
              <w:rPr>
                <w:rFonts w:eastAsia="Arial Narrow"/>
              </w:rPr>
              <w:t>211837</w:t>
            </w:r>
          </w:p>
          <w:p w14:paraId="4D03FA43" w14:textId="77777777" w:rsidR="009821F7" w:rsidRDefault="009821F7" w:rsidP="009821F7">
            <w:pPr>
              <w:pStyle w:val="Tabletext"/>
            </w:pPr>
            <w:r w:rsidRPr="5495A977">
              <w:rPr>
                <w:rFonts w:eastAsia="Arial Narrow"/>
              </w:rPr>
              <w:t>(ARTG start date 5/7/2013)</w:t>
            </w:r>
          </w:p>
        </w:tc>
        <w:tc>
          <w:tcPr>
            <w:tcW w:w="725" w:type="pct"/>
          </w:tcPr>
          <w:p w14:paraId="2CA4AB9E" w14:textId="77777777" w:rsidR="009821F7" w:rsidRDefault="009821F7" w:rsidP="009821F7">
            <w:pPr>
              <w:pStyle w:val="Tabletext"/>
            </w:pPr>
            <w:r w:rsidRPr="5495A977">
              <w:rPr>
                <w:rFonts w:eastAsia="Arial Narrow"/>
              </w:rPr>
              <w:t>47069 Proton therapy system</w:t>
            </w:r>
          </w:p>
        </w:tc>
        <w:tc>
          <w:tcPr>
            <w:tcW w:w="1708" w:type="pct"/>
          </w:tcPr>
          <w:p w14:paraId="4458869E" w14:textId="77777777" w:rsidR="009821F7" w:rsidRDefault="009821F7" w:rsidP="009821F7">
            <w:pPr>
              <w:pStyle w:val="Tabletext"/>
            </w:pPr>
            <w:r w:rsidRPr="5495A977">
              <w:rPr>
                <w:rFonts w:eastAsia="Arial Narrow"/>
              </w:rPr>
              <w:t>Proton therapy system. Production and delivery of a transverse and longitudinal dose proton beam to treat localised tumours and other conditions susceptible to treatment by radiation.</w:t>
            </w:r>
          </w:p>
        </w:tc>
        <w:tc>
          <w:tcPr>
            <w:tcW w:w="671" w:type="pct"/>
          </w:tcPr>
          <w:p w14:paraId="13313A69" w14:textId="77777777" w:rsidR="009821F7" w:rsidRDefault="009821F7" w:rsidP="009821F7">
            <w:pPr>
              <w:pStyle w:val="Tabletext"/>
            </w:pPr>
            <w:r w:rsidRPr="5495A977">
              <w:rPr>
                <w:rFonts w:eastAsia="Arial Narrow"/>
              </w:rPr>
              <w:t xml:space="preserve">Medical Device Class </w:t>
            </w:r>
            <w:proofErr w:type="spellStart"/>
            <w:r w:rsidRPr="5495A977">
              <w:rPr>
                <w:rFonts w:eastAsia="Arial Narrow"/>
              </w:rPr>
              <w:t>IIb</w:t>
            </w:r>
            <w:proofErr w:type="spellEnd"/>
          </w:p>
        </w:tc>
        <w:tc>
          <w:tcPr>
            <w:tcW w:w="1045" w:type="pct"/>
          </w:tcPr>
          <w:p w14:paraId="629A8DE8" w14:textId="77777777" w:rsidR="009821F7" w:rsidRDefault="009821F7" w:rsidP="009821F7">
            <w:pPr>
              <w:pStyle w:val="Tabletext"/>
            </w:pPr>
            <w:r w:rsidRPr="00AF1D9D">
              <w:rPr>
                <w:rFonts w:eastAsia="Arial Narrow"/>
              </w:rPr>
              <w:t>Varian Medical Systems</w:t>
            </w:r>
            <w:r w:rsidRPr="5495A977">
              <w:rPr>
                <w:rFonts w:eastAsia="Arial Narrow"/>
              </w:rPr>
              <w:t xml:space="preserve"> </w:t>
            </w:r>
            <w:r>
              <w:rPr>
                <w:rFonts w:eastAsia="Arial Narrow"/>
              </w:rPr>
              <w:t>Australasia Pty Ltd</w:t>
            </w:r>
          </w:p>
        </w:tc>
      </w:tr>
    </w:tbl>
    <w:p w14:paraId="48938BC8" w14:textId="77777777" w:rsidR="009821F7" w:rsidRDefault="009821F7" w:rsidP="00654AB1">
      <w:pPr>
        <w:pStyle w:val="Tablenotes"/>
        <w:rPr>
          <w:rFonts w:eastAsia="Arial Narrow"/>
        </w:rPr>
      </w:pPr>
      <w:r w:rsidRPr="00745471">
        <w:rPr>
          <w:rFonts w:eastAsia="Arial Narrow"/>
        </w:rPr>
        <w:t xml:space="preserve">Source: </w:t>
      </w:r>
      <w:r>
        <w:rPr>
          <w:rFonts w:eastAsia="Arial Narrow"/>
        </w:rPr>
        <w:t>Table 15, p4 of the commentary.</w:t>
      </w:r>
    </w:p>
    <w:p w14:paraId="5F665CF5" w14:textId="77777777" w:rsidR="009821F7" w:rsidRDefault="009821F7" w:rsidP="00654AB1">
      <w:pPr>
        <w:pStyle w:val="Tablenotes"/>
        <w:rPr>
          <w:rFonts w:eastAsia="Arial Narrow"/>
        </w:rPr>
      </w:pPr>
      <w:r>
        <w:rPr>
          <w:rFonts w:eastAsia="Arial Narrow"/>
        </w:rPr>
        <w:t>Abbreviations: ARTG no=</w:t>
      </w:r>
      <w:r w:rsidRPr="00745471">
        <w:rPr>
          <w:rFonts w:eastAsia="Arial Narrow"/>
        </w:rPr>
        <w:t>Australian Register of Therapeutic Goods Number</w:t>
      </w:r>
      <w:r>
        <w:rPr>
          <w:rFonts w:eastAsia="Arial Narrow"/>
        </w:rPr>
        <w:t>; GMDN=global medical device n</w:t>
      </w:r>
      <w:r w:rsidRPr="00AF1D9D">
        <w:rPr>
          <w:rFonts w:eastAsia="Arial Narrow"/>
        </w:rPr>
        <w:t>omenclature</w:t>
      </w:r>
    </w:p>
    <w:p w14:paraId="75091305" w14:textId="77777777" w:rsidR="009821F7" w:rsidRDefault="009821F7" w:rsidP="009821F7">
      <w:pPr>
        <w:spacing w:before="240"/>
      </w:pPr>
      <w:r w:rsidRPr="5495A977">
        <w:rPr>
          <w:rFonts w:eastAsia="Calibri" w:cs="Calibri"/>
        </w:rPr>
        <w:t xml:space="preserve">PBT is </w:t>
      </w:r>
      <w:r>
        <w:rPr>
          <w:rFonts w:eastAsia="Calibri" w:cs="Calibri"/>
        </w:rPr>
        <w:t xml:space="preserve">a </w:t>
      </w:r>
      <w:r w:rsidRPr="5495A977">
        <w:rPr>
          <w:rFonts w:eastAsia="Calibri" w:cs="Calibri"/>
        </w:rPr>
        <w:t xml:space="preserve">complex invasive technology with long-term safety implications classified as medium to high risk by the Therapeutic Goods Administration (TGA) (Class IIB). </w:t>
      </w:r>
      <w:proofErr w:type="spellStart"/>
      <w:r w:rsidRPr="5495A977">
        <w:rPr>
          <w:rFonts w:eastAsia="Calibri" w:cs="Calibri"/>
        </w:rPr>
        <w:t>HealthPACT</w:t>
      </w:r>
      <w:proofErr w:type="spellEnd"/>
      <w:r w:rsidRPr="5495A977">
        <w:rPr>
          <w:rFonts w:eastAsia="Calibri" w:cs="Calibri"/>
        </w:rPr>
        <w:t xml:space="preserve"> recommend</w:t>
      </w:r>
      <w:r>
        <w:rPr>
          <w:rFonts w:eastAsia="Calibri" w:cs="Calibri"/>
        </w:rPr>
        <w:t>ed</w:t>
      </w:r>
      <w:r w:rsidRPr="5495A977">
        <w:rPr>
          <w:rFonts w:eastAsia="Calibri" w:cs="Calibri"/>
        </w:rPr>
        <w:t xml:space="preserve"> that management of PBT facilities will also require accreditat</w:t>
      </w:r>
      <w:r>
        <w:rPr>
          <w:rFonts w:eastAsia="Calibri" w:cs="Calibri"/>
        </w:rPr>
        <w:t>ion and credentialing of staff.</w:t>
      </w:r>
    </w:p>
    <w:p w14:paraId="782B95DB" w14:textId="77777777" w:rsidR="00BC1364" w:rsidRPr="00F715D1" w:rsidRDefault="00BC1364" w:rsidP="00F715D1">
      <w:pPr>
        <w:pStyle w:val="Heading1"/>
      </w:pPr>
      <w:r w:rsidRPr="00F715D1">
        <w:t>Proposal for public funding</w:t>
      </w:r>
    </w:p>
    <w:p w14:paraId="437C1207" w14:textId="79DE301D" w:rsidR="00EB218F" w:rsidRPr="008212CA" w:rsidRDefault="009821F7" w:rsidP="008212CA">
      <w:pPr>
        <w:spacing w:after="240"/>
      </w:pPr>
      <w:r>
        <w:t xml:space="preserve">The applicant-proposed </w:t>
      </w:r>
      <w:r w:rsidRPr="006B6F55">
        <w:t xml:space="preserve">MBS item </w:t>
      </w:r>
      <w:r w:rsidR="00810FF0">
        <w:t xml:space="preserve">descriptors are shown in </w:t>
      </w:r>
      <w:r w:rsidR="00810FF0">
        <w:fldChar w:fldCharType="begin"/>
      </w:r>
      <w:r w:rsidR="00810FF0">
        <w:instrText xml:space="preserve"> REF _Ref61532033 \h </w:instrText>
      </w:r>
      <w:r w:rsidR="00810FF0">
        <w:fldChar w:fldCharType="separate"/>
      </w:r>
      <w:r w:rsidR="00810FF0">
        <w:t xml:space="preserve">Table </w:t>
      </w:r>
      <w:r w:rsidR="00810FF0">
        <w:rPr>
          <w:noProof/>
        </w:rPr>
        <w:t>4</w:t>
      </w:r>
      <w:r w:rsidR="00810FF0">
        <w:fldChar w:fldCharType="end"/>
      </w:r>
      <w:r w:rsidR="00810FF0">
        <w:t xml:space="preserve">, </w:t>
      </w:r>
      <w:r w:rsidR="00810FF0">
        <w:fldChar w:fldCharType="begin"/>
      </w:r>
      <w:r w:rsidR="00810FF0">
        <w:instrText xml:space="preserve"> REF _Ref61532047 \h </w:instrText>
      </w:r>
      <w:r w:rsidR="00810FF0">
        <w:fldChar w:fldCharType="separate"/>
      </w:r>
      <w:r w:rsidR="00810FF0">
        <w:t xml:space="preserve">Table </w:t>
      </w:r>
      <w:r w:rsidR="00810FF0">
        <w:rPr>
          <w:noProof/>
        </w:rPr>
        <w:t>5</w:t>
      </w:r>
      <w:r w:rsidR="00810FF0">
        <w:fldChar w:fldCharType="end"/>
      </w:r>
      <w:r w:rsidR="00810FF0">
        <w:t xml:space="preserve"> and </w:t>
      </w:r>
      <w:r w:rsidR="00810FF0">
        <w:fldChar w:fldCharType="begin"/>
      </w:r>
      <w:r w:rsidR="00810FF0">
        <w:instrText xml:space="preserve"> REF _Ref48839087 \h </w:instrText>
      </w:r>
      <w:r w:rsidR="00810FF0">
        <w:fldChar w:fldCharType="separate"/>
      </w:r>
      <w:r w:rsidR="00810FF0">
        <w:t xml:space="preserve">Table </w:t>
      </w:r>
      <w:r w:rsidR="00810FF0">
        <w:rPr>
          <w:noProof/>
        </w:rPr>
        <w:t>6</w:t>
      </w:r>
      <w:r w:rsidR="00810FF0">
        <w:fldChar w:fldCharType="end"/>
      </w:r>
      <w:r w:rsidR="00810FF0">
        <w:t>.</w:t>
      </w:r>
      <w:bookmarkStart w:id="8" w:name="_Ref315801840"/>
      <w:bookmarkStart w:id="9" w:name="_Ref308709232"/>
      <w:bookmarkStart w:id="10" w:name="_Toc50391280"/>
      <w:bookmarkStart w:id="11" w:name="_Toc48916446"/>
      <w:r w:rsidR="00EB218F">
        <w:br w:type="page"/>
      </w:r>
    </w:p>
    <w:p w14:paraId="7B2D67A7" w14:textId="3FAC1D1C" w:rsidR="009821F7" w:rsidRPr="009E589D" w:rsidRDefault="009821F7" w:rsidP="009E589D">
      <w:pPr>
        <w:rPr>
          <w:rFonts w:ascii="Arial Narrow" w:hAnsi="Arial Narrow"/>
          <w:b/>
          <w:sz w:val="20"/>
        </w:rPr>
      </w:pPr>
      <w:bookmarkStart w:id="12" w:name="_Ref61532033"/>
      <w:r w:rsidRPr="009E589D">
        <w:rPr>
          <w:rFonts w:ascii="Arial Narrow" w:hAnsi="Arial Narrow"/>
          <w:b/>
          <w:sz w:val="20"/>
        </w:rPr>
        <w:lastRenderedPageBreak/>
        <w:t xml:space="preserve">Table </w:t>
      </w:r>
      <w:r w:rsidRPr="009E589D">
        <w:rPr>
          <w:rFonts w:ascii="Arial Narrow" w:hAnsi="Arial Narrow"/>
          <w:b/>
          <w:sz w:val="20"/>
        </w:rPr>
        <w:fldChar w:fldCharType="begin"/>
      </w:r>
      <w:r w:rsidRPr="009E589D">
        <w:rPr>
          <w:rFonts w:ascii="Arial Narrow" w:hAnsi="Arial Narrow"/>
          <w:b/>
          <w:sz w:val="20"/>
        </w:rPr>
        <w:instrText>SEQ Table \* ARABIC</w:instrText>
      </w:r>
      <w:r w:rsidRPr="009E589D">
        <w:rPr>
          <w:rFonts w:ascii="Arial Narrow" w:hAnsi="Arial Narrow"/>
          <w:b/>
          <w:sz w:val="20"/>
        </w:rPr>
        <w:fldChar w:fldCharType="separate"/>
      </w:r>
      <w:r w:rsidR="00810FF0" w:rsidRPr="009E589D">
        <w:rPr>
          <w:rFonts w:ascii="Arial Narrow" w:hAnsi="Arial Narrow"/>
          <w:b/>
          <w:sz w:val="20"/>
        </w:rPr>
        <w:t>4</w:t>
      </w:r>
      <w:r w:rsidRPr="009E589D">
        <w:rPr>
          <w:rFonts w:ascii="Arial Narrow" w:hAnsi="Arial Narrow"/>
          <w:b/>
          <w:sz w:val="20"/>
        </w:rPr>
        <w:fldChar w:fldCharType="end"/>
      </w:r>
      <w:bookmarkEnd w:id="8"/>
      <w:bookmarkEnd w:id="12"/>
      <w:r w:rsidRPr="009E589D">
        <w:rPr>
          <w:rFonts w:ascii="Arial Narrow" w:hAnsi="Arial Narrow"/>
          <w:b/>
          <w:sz w:val="20"/>
        </w:rPr>
        <w:tab/>
      </w:r>
      <w:bookmarkEnd w:id="9"/>
      <w:r w:rsidRPr="009E589D">
        <w:rPr>
          <w:rFonts w:ascii="Arial Narrow" w:hAnsi="Arial Narrow"/>
          <w:b/>
          <w:sz w:val="20"/>
        </w:rPr>
        <w:t>Proposed MBS item descriptor for simulation and planning</w:t>
      </w:r>
      <w:bookmarkEnd w:id="10"/>
      <w:bookmarkEnd w:id="11"/>
    </w:p>
    <w:tbl>
      <w:tblPr>
        <w:tblStyle w:val="TableGrid1"/>
        <w:tblW w:w="5000" w:type="pct"/>
        <w:tblLook w:val="04A0" w:firstRow="1" w:lastRow="0" w:firstColumn="1" w:lastColumn="0" w:noHBand="0" w:noVBand="1"/>
        <w:tblCaption w:val="Proposed MBS item descriptor for simulation and planning"/>
      </w:tblPr>
      <w:tblGrid>
        <w:gridCol w:w="9016"/>
      </w:tblGrid>
      <w:tr w:rsidR="009821F7" w:rsidRPr="00D33FC3" w14:paraId="2E490FBA" w14:textId="77777777" w:rsidTr="009E589D">
        <w:trPr>
          <w:cnfStyle w:val="100000000000" w:firstRow="1" w:lastRow="0" w:firstColumn="0" w:lastColumn="0" w:oddVBand="0" w:evenVBand="0" w:oddHBand="0" w:evenHBand="0" w:firstRowFirstColumn="0" w:firstRowLastColumn="0" w:lastRowFirstColumn="0" w:lastRowLastColumn="0"/>
          <w:tblHeader/>
        </w:trPr>
        <w:tc>
          <w:tcPr>
            <w:tcW w:w="5000" w:type="pct"/>
          </w:tcPr>
          <w:p w14:paraId="17EE5BEB" w14:textId="77777777" w:rsidR="009821F7" w:rsidRPr="00D33FC3" w:rsidRDefault="009821F7" w:rsidP="009821F7">
            <w:pPr>
              <w:pStyle w:val="Tabletextright"/>
              <w:rPr>
                <w:sz w:val="24"/>
                <w:szCs w:val="24"/>
              </w:rPr>
            </w:pPr>
            <w:r>
              <w:t>Category 3 – Group T2 – Radiation Oncology</w:t>
            </w:r>
          </w:p>
        </w:tc>
      </w:tr>
      <w:tr w:rsidR="009821F7" w:rsidRPr="00C03585" w14:paraId="0CC7570B" w14:textId="77777777" w:rsidTr="009E589D">
        <w:tc>
          <w:tcPr>
            <w:tcW w:w="5000" w:type="pct"/>
          </w:tcPr>
          <w:p w14:paraId="43ED25BE" w14:textId="77777777" w:rsidR="009821F7" w:rsidRPr="008E3558" w:rsidRDefault="009821F7" w:rsidP="009821F7">
            <w:pPr>
              <w:rPr>
                <w:rFonts w:eastAsia="Arial Narrow" w:cs="Arial Narrow"/>
                <w:b/>
                <w:sz w:val="20"/>
              </w:rPr>
            </w:pPr>
            <w:r w:rsidRPr="008E3558">
              <w:rPr>
                <w:rFonts w:eastAsia="Arial Narrow" w:cs="Arial Narrow"/>
                <w:b/>
                <w:sz w:val="20"/>
              </w:rPr>
              <w:t>Item 15XXX</w:t>
            </w:r>
          </w:p>
          <w:p w14:paraId="7BCDB553" w14:textId="77777777" w:rsidR="009821F7" w:rsidRDefault="009821F7" w:rsidP="009821F7">
            <w:pPr>
              <w:rPr>
                <w:rFonts w:eastAsia="Arial Narrow" w:cs="Arial Narrow"/>
                <w:sz w:val="20"/>
              </w:rPr>
            </w:pPr>
            <w:r w:rsidRPr="5495A977">
              <w:rPr>
                <w:rFonts w:eastAsia="Arial Narrow" w:cs="Arial Narrow"/>
                <w:sz w:val="20"/>
              </w:rPr>
              <w:t>Megavoltage Level 6 - Proton Bea</w:t>
            </w:r>
            <w:r>
              <w:rPr>
                <w:rFonts w:eastAsia="Arial Narrow" w:cs="Arial Narrow"/>
                <w:sz w:val="20"/>
              </w:rPr>
              <w:t>m Therapy Simulation &amp; Planning</w:t>
            </w:r>
          </w:p>
          <w:p w14:paraId="1DB2200C" w14:textId="77777777" w:rsidR="009821F7" w:rsidRDefault="009821F7" w:rsidP="009821F7">
            <w:pPr>
              <w:rPr>
                <w:rFonts w:eastAsia="Arial Narrow" w:cs="Arial Narrow"/>
                <w:sz w:val="20"/>
              </w:rPr>
            </w:pPr>
            <w:r w:rsidRPr="5495A977">
              <w:rPr>
                <w:rFonts w:eastAsia="Arial Narrow" w:cs="Arial Narrow"/>
                <w:sz w:val="20"/>
              </w:rPr>
              <w:t>(a) Simulation for PROT</w:t>
            </w:r>
            <w:r>
              <w:rPr>
                <w:rFonts w:eastAsia="Arial Narrow" w:cs="Arial Narrow"/>
                <w:sz w:val="20"/>
              </w:rPr>
              <w:t>ON BEAM RADIOTHERAPY (PBT), if:</w:t>
            </w:r>
          </w:p>
          <w:p w14:paraId="55843F9B" w14:textId="77777777" w:rsidR="009821F7" w:rsidRPr="005B76F9" w:rsidRDefault="009821F7" w:rsidP="00FD27DA">
            <w:pPr>
              <w:pStyle w:val="ListParagraph"/>
              <w:numPr>
                <w:ilvl w:val="0"/>
                <w:numId w:val="7"/>
              </w:numPr>
              <w:ind w:left="447" w:hanging="218"/>
              <w:rPr>
                <w:rFonts w:eastAsia="Arial Narrow" w:cs="Arial Narrow"/>
                <w:sz w:val="20"/>
              </w:rPr>
            </w:pPr>
            <w:r>
              <w:rPr>
                <w:rFonts w:eastAsia="Arial Narrow" w:cs="Arial Narrow"/>
                <w:sz w:val="20"/>
              </w:rPr>
              <w:t>p</w:t>
            </w:r>
            <w:r w:rsidRPr="005B76F9">
              <w:rPr>
                <w:rFonts w:eastAsia="Arial Narrow" w:cs="Arial Narrow"/>
                <w:sz w:val="20"/>
              </w:rPr>
              <w:t xml:space="preserve">atient set-up and immobilisation techniques are suitable for reliable image volume data acquisition and </w:t>
            </w:r>
            <w:r>
              <w:rPr>
                <w:rFonts w:eastAsia="Arial Narrow" w:cs="Arial Narrow"/>
                <w:sz w:val="20"/>
              </w:rPr>
              <w:t>reproducible PBT treatment; and</w:t>
            </w:r>
          </w:p>
          <w:p w14:paraId="4D88EF94" w14:textId="77777777" w:rsidR="009821F7" w:rsidRPr="005B76F9" w:rsidRDefault="009821F7" w:rsidP="00FD27DA">
            <w:pPr>
              <w:pStyle w:val="ListParagraph"/>
              <w:numPr>
                <w:ilvl w:val="0"/>
                <w:numId w:val="7"/>
              </w:numPr>
              <w:ind w:left="447" w:hanging="218"/>
              <w:rPr>
                <w:rFonts w:eastAsia="Arial Narrow" w:cs="Arial Narrow"/>
                <w:sz w:val="20"/>
              </w:rPr>
            </w:pPr>
            <w:r>
              <w:rPr>
                <w:rFonts w:eastAsia="Arial Narrow" w:cs="Arial Narrow"/>
                <w:sz w:val="20"/>
              </w:rPr>
              <w:t>a</w:t>
            </w:r>
            <w:r w:rsidRPr="005B76F9">
              <w:rPr>
                <w:rFonts w:eastAsia="Arial Narrow" w:cs="Arial Narrow"/>
                <w:sz w:val="20"/>
              </w:rPr>
              <w:t xml:space="preserve"> high-quality three dimensional or four-dimensional image volume dataset is acquired in treatment position for the relevant region of interest to be planned, treated and verified (through daily planar or volumetric </w:t>
            </w:r>
            <w:r>
              <w:rPr>
                <w:rFonts w:eastAsia="Arial Narrow" w:cs="Arial Narrow"/>
                <w:sz w:val="20"/>
              </w:rPr>
              <w:t>image guidance strategies); and</w:t>
            </w:r>
          </w:p>
          <w:p w14:paraId="195BEB8B" w14:textId="77777777" w:rsidR="009821F7" w:rsidRPr="005B76F9" w:rsidRDefault="009821F7" w:rsidP="00FD27DA">
            <w:pPr>
              <w:pStyle w:val="ListParagraph"/>
              <w:numPr>
                <w:ilvl w:val="0"/>
                <w:numId w:val="7"/>
              </w:numPr>
              <w:ind w:left="447" w:hanging="218"/>
              <w:rPr>
                <w:rFonts w:eastAsia="Arial Narrow" w:cs="Arial Narrow"/>
                <w:sz w:val="20"/>
              </w:rPr>
            </w:pPr>
            <w:r>
              <w:rPr>
                <w:rFonts w:eastAsia="Arial Narrow" w:cs="Arial Narrow"/>
                <w:sz w:val="20"/>
              </w:rPr>
              <w:t>t</w:t>
            </w:r>
            <w:r w:rsidRPr="005B76F9">
              <w:rPr>
                <w:rFonts w:eastAsia="Arial Narrow" w:cs="Arial Narrow"/>
                <w:sz w:val="20"/>
              </w:rPr>
              <w:t>he image set must be suitable for fusion or co-registration with diagnostic quality datasets and generation of quality digitally reconstructed radiographic images t</w:t>
            </w:r>
            <w:r>
              <w:rPr>
                <w:rFonts w:eastAsia="Arial Narrow" w:cs="Arial Narrow"/>
                <w:sz w:val="20"/>
              </w:rPr>
              <w:t>o PBT treatment strategies, and</w:t>
            </w:r>
          </w:p>
          <w:p w14:paraId="7667E0C0" w14:textId="77777777" w:rsidR="009821F7" w:rsidRDefault="009821F7" w:rsidP="009821F7">
            <w:pPr>
              <w:rPr>
                <w:rFonts w:eastAsia="Arial Narrow" w:cs="Arial Narrow"/>
                <w:sz w:val="20"/>
              </w:rPr>
            </w:pPr>
            <w:r w:rsidRPr="5495A977">
              <w:rPr>
                <w:rFonts w:eastAsia="Arial Narrow" w:cs="Arial Narrow"/>
                <w:sz w:val="20"/>
              </w:rPr>
              <w:t>(b) Dosimetr</w:t>
            </w:r>
            <w:r>
              <w:rPr>
                <w:rFonts w:eastAsia="Arial Narrow" w:cs="Arial Narrow"/>
                <w:sz w:val="20"/>
              </w:rPr>
              <w:t>y for proton beam therapy if:</w:t>
            </w:r>
          </w:p>
          <w:p w14:paraId="0A261ADE" w14:textId="77777777" w:rsidR="009821F7" w:rsidRPr="005B76F9" w:rsidRDefault="009821F7" w:rsidP="00CD2790">
            <w:pPr>
              <w:pStyle w:val="ListParagraph"/>
              <w:numPr>
                <w:ilvl w:val="0"/>
                <w:numId w:val="8"/>
              </w:numPr>
              <w:ind w:left="447" w:hanging="218"/>
              <w:rPr>
                <w:rFonts w:eastAsia="Arial Narrow" w:cs="Arial Narrow"/>
                <w:sz w:val="20"/>
              </w:rPr>
            </w:pPr>
            <w:r>
              <w:rPr>
                <w:rFonts w:eastAsia="Arial Narrow" w:cs="Arial Narrow"/>
                <w:sz w:val="20"/>
              </w:rPr>
              <w:t>t</w:t>
            </w:r>
            <w:r w:rsidRPr="005B76F9">
              <w:rPr>
                <w:rFonts w:eastAsia="Arial Narrow" w:cs="Arial Narrow"/>
                <w:sz w:val="20"/>
              </w:rPr>
              <w:t>he PBT delivery planning process is required to calculate dose to single or multiple target structures and requires a dose-volume histogram to com</w:t>
            </w:r>
            <w:r>
              <w:rPr>
                <w:rFonts w:eastAsia="Arial Narrow" w:cs="Arial Narrow"/>
                <w:sz w:val="20"/>
              </w:rPr>
              <w:t>plete the planning process; and</w:t>
            </w:r>
          </w:p>
          <w:p w14:paraId="72E16686" w14:textId="77777777" w:rsidR="009821F7" w:rsidRPr="005B76F9" w:rsidRDefault="009821F7" w:rsidP="00CD2790">
            <w:pPr>
              <w:pStyle w:val="ListParagraph"/>
              <w:numPr>
                <w:ilvl w:val="0"/>
                <w:numId w:val="8"/>
              </w:numPr>
              <w:ind w:left="447" w:hanging="218"/>
              <w:rPr>
                <w:rFonts w:eastAsia="Arial Narrow" w:cs="Arial Narrow"/>
                <w:sz w:val="20"/>
              </w:rPr>
            </w:pPr>
            <w:r>
              <w:rPr>
                <w:rFonts w:eastAsia="Arial Narrow" w:cs="Arial Narrow"/>
                <w:sz w:val="20"/>
              </w:rPr>
              <w:t>t</w:t>
            </w:r>
            <w:r w:rsidRPr="005B76F9">
              <w:rPr>
                <w:rFonts w:eastAsia="Arial Narrow" w:cs="Arial Narrow"/>
                <w:sz w:val="20"/>
              </w:rPr>
              <w:t>he PBT delivery planning process maximises the differential between target dose, organs at risk and normal tissue dose, based on review and assessment</w:t>
            </w:r>
            <w:r>
              <w:rPr>
                <w:rFonts w:eastAsia="Arial Narrow" w:cs="Arial Narrow"/>
                <w:sz w:val="20"/>
              </w:rPr>
              <w:t xml:space="preserve"> by a radiation oncologist; and</w:t>
            </w:r>
          </w:p>
          <w:p w14:paraId="4C272581" w14:textId="77777777" w:rsidR="009821F7" w:rsidRPr="005B76F9" w:rsidRDefault="009821F7" w:rsidP="00CD2790">
            <w:pPr>
              <w:pStyle w:val="ListParagraph"/>
              <w:numPr>
                <w:ilvl w:val="0"/>
                <w:numId w:val="8"/>
              </w:numPr>
              <w:ind w:left="447" w:hanging="218"/>
              <w:rPr>
                <w:rFonts w:eastAsia="Arial Narrow" w:cs="Arial Narrow"/>
                <w:sz w:val="20"/>
              </w:rPr>
            </w:pPr>
            <w:r>
              <w:rPr>
                <w:rFonts w:eastAsia="Arial Narrow" w:cs="Arial Narrow"/>
                <w:sz w:val="20"/>
              </w:rPr>
              <w:t>a</w:t>
            </w:r>
            <w:r w:rsidRPr="005B76F9">
              <w:rPr>
                <w:rFonts w:eastAsia="Arial Narrow" w:cs="Arial Narrow"/>
                <w:sz w:val="20"/>
              </w:rPr>
              <w:t>ll gross tumour volume, clinical target volumes, and organs at risk must be rendered; and</w:t>
            </w:r>
          </w:p>
          <w:p w14:paraId="14D6A566" w14:textId="77777777" w:rsidR="009821F7" w:rsidRPr="005B76F9" w:rsidRDefault="009821F7" w:rsidP="00CD2790">
            <w:pPr>
              <w:pStyle w:val="ListParagraph"/>
              <w:numPr>
                <w:ilvl w:val="0"/>
                <w:numId w:val="8"/>
              </w:numPr>
              <w:ind w:left="447" w:hanging="218"/>
              <w:rPr>
                <w:rFonts w:eastAsia="Arial Narrow" w:cs="Arial Narrow"/>
                <w:sz w:val="20"/>
              </w:rPr>
            </w:pPr>
            <w:r>
              <w:rPr>
                <w:rFonts w:eastAsia="Arial Narrow" w:cs="Arial Narrow"/>
                <w:sz w:val="20"/>
              </w:rPr>
              <w:t>o</w:t>
            </w:r>
            <w:r w:rsidRPr="005B76F9">
              <w:rPr>
                <w:rFonts w:eastAsia="Arial Narrow" w:cs="Arial Narrow"/>
                <w:sz w:val="20"/>
              </w:rPr>
              <w:t>rgans at risk must be nominated as planning</w:t>
            </w:r>
            <w:r>
              <w:rPr>
                <w:rFonts w:eastAsia="Arial Narrow" w:cs="Arial Narrow"/>
                <w:sz w:val="20"/>
              </w:rPr>
              <w:t xml:space="preserve"> dose goals or constraints; and</w:t>
            </w:r>
          </w:p>
          <w:p w14:paraId="0994043D" w14:textId="77777777" w:rsidR="009821F7" w:rsidRPr="005B76F9" w:rsidRDefault="009821F7" w:rsidP="00CD2790">
            <w:pPr>
              <w:pStyle w:val="ListParagraph"/>
              <w:numPr>
                <w:ilvl w:val="0"/>
                <w:numId w:val="8"/>
              </w:numPr>
              <w:ind w:left="447" w:hanging="218"/>
              <w:rPr>
                <w:rFonts w:eastAsia="Arial Narrow" w:cs="Arial Narrow"/>
                <w:sz w:val="20"/>
              </w:rPr>
            </w:pPr>
            <w:r>
              <w:rPr>
                <w:rFonts w:eastAsia="Arial Narrow" w:cs="Arial Narrow"/>
                <w:sz w:val="20"/>
              </w:rPr>
              <w:t>d</w:t>
            </w:r>
            <w:r w:rsidRPr="005B76F9">
              <w:rPr>
                <w:rFonts w:eastAsia="Arial Narrow" w:cs="Arial Narrow"/>
                <w:sz w:val="20"/>
              </w:rPr>
              <w:t>ose calculations and dose-volume histograms must be generated in an inverse planned process, using a specialised calculation algorithm, with prescription and plan details approved and recorded with the pl</w:t>
            </w:r>
            <w:r>
              <w:rPr>
                <w:rFonts w:eastAsia="Arial Narrow" w:cs="Arial Narrow"/>
                <w:sz w:val="20"/>
              </w:rPr>
              <w:t>an; and</w:t>
            </w:r>
          </w:p>
          <w:p w14:paraId="0E7344E5" w14:textId="77777777" w:rsidR="009821F7" w:rsidRPr="005B76F9" w:rsidRDefault="009821F7" w:rsidP="00CD2790">
            <w:pPr>
              <w:pStyle w:val="ListParagraph"/>
              <w:numPr>
                <w:ilvl w:val="0"/>
                <w:numId w:val="8"/>
              </w:numPr>
              <w:ind w:left="447" w:hanging="218"/>
              <w:rPr>
                <w:rFonts w:eastAsia="Arial Narrow" w:cs="Arial Narrow"/>
                <w:sz w:val="20"/>
              </w:rPr>
            </w:pPr>
            <w:r>
              <w:rPr>
                <w:rFonts w:eastAsia="Arial Narrow" w:cs="Arial Narrow"/>
                <w:sz w:val="20"/>
              </w:rPr>
              <w:t>t</w:t>
            </w:r>
            <w:r w:rsidRPr="005B76F9">
              <w:rPr>
                <w:rFonts w:eastAsia="Arial Narrow" w:cs="Arial Narrow"/>
                <w:sz w:val="20"/>
              </w:rPr>
              <w:t>hree dimensional image volume dataset must be used for the relevant region to be pla</w:t>
            </w:r>
            <w:r>
              <w:rPr>
                <w:rFonts w:eastAsia="Arial Narrow" w:cs="Arial Narrow"/>
                <w:sz w:val="20"/>
              </w:rPr>
              <w:t>nned, treated and verified; and</w:t>
            </w:r>
          </w:p>
          <w:p w14:paraId="7726C986" w14:textId="77777777" w:rsidR="009821F7" w:rsidRPr="005B76F9" w:rsidRDefault="009821F7" w:rsidP="00CD2790">
            <w:pPr>
              <w:pStyle w:val="ListParagraph"/>
              <w:numPr>
                <w:ilvl w:val="0"/>
                <w:numId w:val="8"/>
              </w:numPr>
              <w:ind w:left="447" w:hanging="218"/>
              <w:rPr>
                <w:rFonts w:eastAsia="Arial Narrow" w:cs="Arial Narrow"/>
                <w:sz w:val="20"/>
              </w:rPr>
            </w:pPr>
            <w:r>
              <w:rPr>
                <w:rFonts w:eastAsia="Arial Narrow" w:cs="Arial Narrow"/>
                <w:sz w:val="20"/>
              </w:rPr>
              <w:t>r</w:t>
            </w:r>
            <w:r w:rsidRPr="005B76F9">
              <w:rPr>
                <w:rFonts w:eastAsia="Arial Narrow" w:cs="Arial Narrow"/>
                <w:sz w:val="20"/>
              </w:rPr>
              <w:t>elevant multimodality diagnostic imaging (including four-dimensional CT, contrast-enhanced CT, magnetic resonance imaging or positron emission tomography), where available, is used to delineate all relevant targets and organs at risk; and</w:t>
            </w:r>
          </w:p>
          <w:p w14:paraId="260E0CB2" w14:textId="77777777" w:rsidR="009821F7" w:rsidRPr="005B76F9" w:rsidRDefault="009821F7" w:rsidP="00CD2790">
            <w:pPr>
              <w:pStyle w:val="ListParagraph"/>
              <w:numPr>
                <w:ilvl w:val="0"/>
                <w:numId w:val="8"/>
              </w:numPr>
              <w:ind w:left="447" w:hanging="218"/>
              <w:rPr>
                <w:rFonts w:eastAsia="Arial Narrow" w:cs="Arial Narrow"/>
                <w:sz w:val="20"/>
              </w:rPr>
            </w:pPr>
            <w:r>
              <w:rPr>
                <w:rFonts w:eastAsia="Arial Narrow" w:cs="Arial Narrow"/>
                <w:sz w:val="20"/>
              </w:rPr>
              <w:t>i</w:t>
            </w:r>
            <w:r w:rsidRPr="005B76F9">
              <w:rPr>
                <w:rFonts w:eastAsia="Arial Narrow" w:cs="Arial Narrow"/>
                <w:sz w:val="20"/>
              </w:rPr>
              <w:t>mages are suitable for generation of quality digitally reconst</w:t>
            </w:r>
            <w:r>
              <w:rPr>
                <w:rFonts w:eastAsia="Arial Narrow" w:cs="Arial Narrow"/>
                <w:sz w:val="20"/>
              </w:rPr>
              <w:t>ructed radiographic images; and</w:t>
            </w:r>
          </w:p>
          <w:p w14:paraId="0409DB9D" w14:textId="77777777" w:rsidR="009821F7" w:rsidRPr="005B76F9" w:rsidRDefault="009821F7" w:rsidP="00CD2790">
            <w:pPr>
              <w:pStyle w:val="ListParagraph"/>
              <w:numPr>
                <w:ilvl w:val="0"/>
                <w:numId w:val="8"/>
              </w:numPr>
              <w:ind w:left="447" w:hanging="218"/>
              <w:rPr>
                <w:rFonts w:eastAsia="Arial Narrow" w:cs="Arial Narrow"/>
                <w:sz w:val="20"/>
              </w:rPr>
            </w:pPr>
            <w:r>
              <w:rPr>
                <w:rFonts w:eastAsia="Arial Narrow" w:cs="Arial Narrow"/>
                <w:sz w:val="20"/>
              </w:rPr>
              <w:t>t</w:t>
            </w:r>
            <w:r w:rsidRPr="005B76F9">
              <w:rPr>
                <w:rFonts w:eastAsia="Arial Narrow" w:cs="Arial Narrow"/>
                <w:sz w:val="20"/>
              </w:rPr>
              <w:t>he final dosimetry plan is validated by both the appropriately qualified radiation therapist and/or medical physicist, using robust quality assurance processes, with the plan approved by the radiation oncologist prior t</w:t>
            </w:r>
            <w:r>
              <w:rPr>
                <w:rFonts w:eastAsia="Arial Narrow" w:cs="Arial Narrow"/>
                <w:sz w:val="20"/>
              </w:rPr>
              <w:t>o delivery, which must include:</w:t>
            </w:r>
          </w:p>
          <w:p w14:paraId="093ACC70" w14:textId="77777777" w:rsidR="009821F7" w:rsidRPr="005B76F9" w:rsidRDefault="009821F7" w:rsidP="00CD2790">
            <w:pPr>
              <w:pStyle w:val="ListParagraph"/>
              <w:numPr>
                <w:ilvl w:val="0"/>
                <w:numId w:val="9"/>
              </w:numPr>
              <w:ind w:left="731" w:hanging="218"/>
              <w:rPr>
                <w:rFonts w:eastAsia="Arial Narrow" w:cs="Arial Narrow"/>
                <w:sz w:val="20"/>
              </w:rPr>
            </w:pPr>
            <w:r>
              <w:rPr>
                <w:rFonts w:eastAsia="Arial Narrow" w:cs="Arial Narrow"/>
                <w:sz w:val="20"/>
              </w:rPr>
              <w:t>d</w:t>
            </w:r>
            <w:r w:rsidRPr="005B76F9">
              <w:rPr>
                <w:rFonts w:eastAsia="Arial Narrow" w:cs="Arial Narrow"/>
                <w:sz w:val="20"/>
              </w:rPr>
              <w:t xml:space="preserve">etermination of accuracy of dose </w:t>
            </w:r>
            <w:proofErr w:type="spellStart"/>
            <w:r w:rsidRPr="005B76F9">
              <w:rPr>
                <w:rFonts w:eastAsia="Arial Narrow" w:cs="Arial Narrow"/>
                <w:sz w:val="20"/>
              </w:rPr>
              <w:t>fluence</w:t>
            </w:r>
            <w:proofErr w:type="spellEnd"/>
            <w:r w:rsidRPr="005B76F9">
              <w:rPr>
                <w:rFonts w:eastAsia="Arial Narrow" w:cs="Arial Narrow"/>
                <w:sz w:val="20"/>
              </w:rPr>
              <w:t xml:space="preserve"> delivered by the pencil beam scanning system and gantry p</w:t>
            </w:r>
            <w:r>
              <w:rPr>
                <w:rFonts w:eastAsia="Arial Narrow" w:cs="Arial Narrow"/>
                <w:sz w:val="20"/>
              </w:rPr>
              <w:t>osition (static or dynamic); or</w:t>
            </w:r>
          </w:p>
          <w:p w14:paraId="2FC19338" w14:textId="77777777" w:rsidR="009821F7" w:rsidRPr="005B76F9" w:rsidRDefault="009821F7" w:rsidP="00CD2790">
            <w:pPr>
              <w:pStyle w:val="ListParagraph"/>
              <w:numPr>
                <w:ilvl w:val="0"/>
                <w:numId w:val="9"/>
              </w:numPr>
              <w:ind w:left="731" w:hanging="218"/>
              <w:rPr>
                <w:rFonts w:eastAsia="Arial Narrow" w:cs="Arial Narrow"/>
                <w:sz w:val="20"/>
              </w:rPr>
            </w:pPr>
            <w:r>
              <w:rPr>
                <w:rFonts w:eastAsia="Arial Narrow" w:cs="Arial Narrow"/>
                <w:sz w:val="20"/>
              </w:rPr>
              <w:t>e</w:t>
            </w:r>
            <w:r w:rsidRPr="005B76F9">
              <w:rPr>
                <w:rFonts w:eastAsia="Arial Narrow" w:cs="Arial Narrow"/>
                <w:sz w:val="20"/>
              </w:rPr>
              <w:t>nsuring the plan is deliverable, data transfer is acceptable and validation checks are completed</w:t>
            </w:r>
            <w:r>
              <w:rPr>
                <w:rFonts w:eastAsia="Arial Narrow" w:cs="Arial Narrow"/>
                <w:sz w:val="20"/>
              </w:rPr>
              <w:t xml:space="preserve"> on a proton therapy system; or</w:t>
            </w:r>
          </w:p>
          <w:p w14:paraId="30399D77" w14:textId="77777777" w:rsidR="009821F7" w:rsidRPr="005B76F9" w:rsidRDefault="009821F7" w:rsidP="00CD2790">
            <w:pPr>
              <w:pStyle w:val="ListParagraph"/>
              <w:numPr>
                <w:ilvl w:val="0"/>
                <w:numId w:val="9"/>
              </w:numPr>
              <w:ind w:left="731" w:hanging="218"/>
              <w:rPr>
                <w:rFonts w:eastAsia="Arial Narrow" w:cs="Arial Narrow"/>
                <w:sz w:val="20"/>
              </w:rPr>
            </w:pPr>
            <w:r>
              <w:rPr>
                <w:rFonts w:eastAsia="Arial Narrow" w:cs="Arial Narrow"/>
                <w:sz w:val="20"/>
              </w:rPr>
              <w:t>v</w:t>
            </w:r>
            <w:r w:rsidRPr="005B76F9">
              <w:rPr>
                <w:rFonts w:eastAsia="Arial Narrow" w:cs="Arial Narrow"/>
                <w:sz w:val="20"/>
              </w:rPr>
              <w:t>alidation of accuracy of the derived PBT trea</w:t>
            </w:r>
            <w:r>
              <w:rPr>
                <w:rFonts w:eastAsia="Arial Narrow" w:cs="Arial Narrow"/>
                <w:sz w:val="20"/>
              </w:rPr>
              <w:t>tment plan; and</w:t>
            </w:r>
          </w:p>
          <w:p w14:paraId="2D5ABB11" w14:textId="77777777" w:rsidR="009821F7" w:rsidRDefault="009821F7" w:rsidP="00CD2790">
            <w:pPr>
              <w:pStyle w:val="Tabletext"/>
              <w:numPr>
                <w:ilvl w:val="0"/>
                <w:numId w:val="8"/>
              </w:numPr>
              <w:ind w:left="447" w:hanging="218"/>
            </w:pPr>
            <w:proofErr w:type="gramStart"/>
            <w:r>
              <w:rPr>
                <w:rFonts w:eastAsia="Arial Narrow"/>
              </w:rPr>
              <w:t>o</w:t>
            </w:r>
            <w:r w:rsidRPr="005B76F9">
              <w:rPr>
                <w:rFonts w:eastAsia="Arial Narrow"/>
              </w:rPr>
              <w:t>nly</w:t>
            </w:r>
            <w:proofErr w:type="gramEnd"/>
            <w:r w:rsidRPr="005B76F9">
              <w:rPr>
                <w:rFonts w:eastAsia="Arial Narrow"/>
              </w:rPr>
              <w:t xml:space="preserve"> three ADDITIONAL dosimetry plans (for re-planning/adaptive strategy) are payable through the MBS during the treatment course (at 50% of the fee for this item), when treatment adjustments are inadequate to satisfy treatment protocol requirements.</w:t>
            </w:r>
          </w:p>
        </w:tc>
      </w:tr>
      <w:tr w:rsidR="009821F7" w:rsidRPr="00C03585" w14:paraId="2B836C10" w14:textId="77777777" w:rsidTr="009E589D">
        <w:tc>
          <w:tcPr>
            <w:tcW w:w="5000" w:type="pct"/>
          </w:tcPr>
          <w:p w14:paraId="5662E8A2" w14:textId="77777777" w:rsidR="009821F7" w:rsidRDefault="009821F7" w:rsidP="009821F7">
            <w:pPr>
              <w:pStyle w:val="Tabletext"/>
              <w:rPr>
                <w:rFonts w:ascii="Calibri" w:eastAsia="Calibri" w:hAnsi="Calibri" w:cs="Calibri"/>
                <w:sz w:val="22"/>
                <w:szCs w:val="22"/>
              </w:rPr>
            </w:pPr>
            <w:r w:rsidRPr="00C03585">
              <w:t xml:space="preserve">Fee: </w:t>
            </w:r>
            <w:r>
              <w:t>$7,630.58</w:t>
            </w:r>
          </w:p>
        </w:tc>
      </w:tr>
    </w:tbl>
    <w:p w14:paraId="6BD57A27" w14:textId="77777777" w:rsidR="009821F7" w:rsidRPr="00745471" w:rsidRDefault="009821F7" w:rsidP="00654AB1">
      <w:pPr>
        <w:pStyle w:val="Tablenotes"/>
      </w:pPr>
      <w:r w:rsidRPr="00745471">
        <w:t>Source: Table 4, p 38 of the ADAR</w:t>
      </w:r>
    </w:p>
    <w:p w14:paraId="77BC09EC" w14:textId="38C92E9B" w:rsidR="009821F7" w:rsidRPr="009E589D" w:rsidRDefault="009821F7" w:rsidP="009E589D">
      <w:pPr>
        <w:spacing w:before="240"/>
        <w:rPr>
          <w:rFonts w:ascii="Arial Narrow" w:hAnsi="Arial Narrow"/>
          <w:b/>
          <w:sz w:val="20"/>
        </w:rPr>
      </w:pPr>
      <w:bookmarkStart w:id="13" w:name="_Ref61532047"/>
      <w:bookmarkStart w:id="14" w:name="_Toc50391281"/>
      <w:bookmarkStart w:id="15" w:name="_Toc48916447"/>
      <w:r w:rsidRPr="009E589D">
        <w:rPr>
          <w:rFonts w:ascii="Arial Narrow" w:hAnsi="Arial Narrow"/>
          <w:b/>
          <w:sz w:val="20"/>
        </w:rPr>
        <w:t xml:space="preserve">Table </w:t>
      </w:r>
      <w:bookmarkStart w:id="16" w:name="_Ref48311770"/>
      <w:r w:rsidRPr="009E589D">
        <w:rPr>
          <w:rFonts w:ascii="Arial Narrow" w:hAnsi="Arial Narrow"/>
          <w:b/>
          <w:sz w:val="20"/>
        </w:rPr>
        <w:fldChar w:fldCharType="begin"/>
      </w:r>
      <w:r w:rsidRPr="009E589D">
        <w:rPr>
          <w:rFonts w:ascii="Arial Narrow" w:hAnsi="Arial Narrow"/>
          <w:b/>
          <w:sz w:val="20"/>
        </w:rPr>
        <w:instrText xml:space="preserve"> SEQ Table \* ARABIC </w:instrText>
      </w:r>
      <w:r w:rsidRPr="009E589D">
        <w:rPr>
          <w:rFonts w:ascii="Arial Narrow" w:hAnsi="Arial Narrow"/>
          <w:b/>
          <w:sz w:val="20"/>
        </w:rPr>
        <w:fldChar w:fldCharType="separate"/>
      </w:r>
      <w:r w:rsidR="00810FF0" w:rsidRPr="009E589D">
        <w:rPr>
          <w:rFonts w:ascii="Arial Narrow" w:hAnsi="Arial Narrow"/>
          <w:b/>
          <w:sz w:val="20"/>
        </w:rPr>
        <w:t>5</w:t>
      </w:r>
      <w:r w:rsidRPr="009E589D">
        <w:rPr>
          <w:rFonts w:ascii="Arial Narrow" w:hAnsi="Arial Narrow"/>
          <w:b/>
          <w:sz w:val="20"/>
        </w:rPr>
        <w:fldChar w:fldCharType="end"/>
      </w:r>
      <w:bookmarkEnd w:id="16"/>
      <w:bookmarkEnd w:id="13"/>
      <w:r w:rsidRPr="009E589D">
        <w:rPr>
          <w:rFonts w:ascii="Arial Narrow" w:hAnsi="Arial Narrow"/>
          <w:b/>
          <w:sz w:val="20"/>
        </w:rPr>
        <w:tab/>
        <w:t>Proposed MBS item descriptor for treatment and verification</w:t>
      </w:r>
      <w:bookmarkEnd w:id="14"/>
      <w:bookmarkEnd w:id="15"/>
    </w:p>
    <w:tbl>
      <w:tblPr>
        <w:tblStyle w:val="TableGrid1"/>
        <w:tblW w:w="5000" w:type="pct"/>
        <w:tblLook w:val="04A0" w:firstRow="1" w:lastRow="0" w:firstColumn="1" w:lastColumn="0" w:noHBand="0" w:noVBand="1"/>
        <w:tblCaption w:val="Proposed MBS item descriptor for treatment and verification"/>
      </w:tblPr>
      <w:tblGrid>
        <w:gridCol w:w="9016"/>
      </w:tblGrid>
      <w:tr w:rsidR="009821F7" w14:paraId="36A799A0" w14:textId="77777777" w:rsidTr="009E589D">
        <w:trPr>
          <w:cnfStyle w:val="100000000000" w:firstRow="1" w:lastRow="0" w:firstColumn="0" w:lastColumn="0" w:oddVBand="0" w:evenVBand="0" w:oddHBand="0" w:evenHBand="0" w:firstRowFirstColumn="0" w:firstRowLastColumn="0" w:lastRowFirstColumn="0" w:lastRowLastColumn="0"/>
          <w:tblHeader/>
        </w:trPr>
        <w:tc>
          <w:tcPr>
            <w:tcW w:w="5000" w:type="pct"/>
          </w:tcPr>
          <w:p w14:paraId="03D5A856" w14:textId="77777777" w:rsidR="009821F7" w:rsidRDefault="009821F7" w:rsidP="009821F7">
            <w:pPr>
              <w:pStyle w:val="Tabletextright"/>
              <w:rPr>
                <w:sz w:val="24"/>
                <w:szCs w:val="24"/>
              </w:rPr>
            </w:pPr>
            <w:r>
              <w:t>Category 3 – Group T2 – Radiation Oncology</w:t>
            </w:r>
          </w:p>
        </w:tc>
      </w:tr>
      <w:tr w:rsidR="009821F7" w14:paraId="3BFDDBD6" w14:textId="77777777" w:rsidTr="009E589D">
        <w:tc>
          <w:tcPr>
            <w:tcW w:w="5000" w:type="pct"/>
          </w:tcPr>
          <w:p w14:paraId="56BD534F" w14:textId="77777777" w:rsidR="009821F7" w:rsidRPr="008E3558" w:rsidRDefault="009821F7" w:rsidP="009821F7">
            <w:pPr>
              <w:rPr>
                <w:rFonts w:eastAsia="Arial Narrow" w:cs="Arial Narrow"/>
                <w:b/>
                <w:sz w:val="20"/>
              </w:rPr>
            </w:pPr>
            <w:r w:rsidRPr="008E3558">
              <w:rPr>
                <w:rFonts w:eastAsia="Arial Narrow" w:cs="Arial Narrow"/>
                <w:b/>
                <w:sz w:val="20"/>
              </w:rPr>
              <w:t>Item 15</w:t>
            </w:r>
            <w:r>
              <w:rPr>
                <w:rFonts w:eastAsia="Arial Narrow" w:cs="Arial Narrow"/>
                <w:b/>
                <w:sz w:val="20"/>
              </w:rPr>
              <w:t>YYY</w:t>
            </w:r>
          </w:p>
          <w:p w14:paraId="3831E2C7" w14:textId="77777777" w:rsidR="009821F7" w:rsidRDefault="009821F7" w:rsidP="009821F7">
            <w:pPr>
              <w:rPr>
                <w:rFonts w:eastAsia="Arial Narrow" w:cs="Arial Narrow"/>
                <w:sz w:val="20"/>
              </w:rPr>
            </w:pPr>
            <w:r w:rsidRPr="5495A977">
              <w:rPr>
                <w:rFonts w:eastAsia="Arial Narrow" w:cs="Arial Narrow"/>
                <w:sz w:val="20"/>
              </w:rPr>
              <w:t>Megavoltage Level 6 – Proton Beam Therapy Treatment &amp; Verification, Treatment Strategies</w:t>
            </w:r>
          </w:p>
          <w:p w14:paraId="6CD5C767" w14:textId="77777777" w:rsidR="009821F7" w:rsidRDefault="009821F7" w:rsidP="009821F7">
            <w:pPr>
              <w:rPr>
                <w:rFonts w:eastAsia="Arial Narrow" w:cs="Arial Narrow"/>
                <w:sz w:val="20"/>
              </w:rPr>
            </w:pPr>
            <w:r w:rsidRPr="5495A977">
              <w:rPr>
                <w:rFonts w:eastAsia="Arial Narrow" w:cs="Arial Narrow"/>
                <w:sz w:val="20"/>
              </w:rPr>
              <w:t>Proton beam therapy and verification, using a device approved by the Thera</w:t>
            </w:r>
            <w:r>
              <w:rPr>
                <w:rFonts w:eastAsia="Arial Narrow" w:cs="Arial Narrow"/>
                <w:sz w:val="20"/>
              </w:rPr>
              <w:t>peutic Goods Administration if:</w:t>
            </w:r>
          </w:p>
          <w:p w14:paraId="604FB5D3" w14:textId="77777777" w:rsidR="009821F7" w:rsidRPr="002943B8" w:rsidRDefault="009821F7" w:rsidP="00CD2790">
            <w:pPr>
              <w:pStyle w:val="ListParagraph"/>
              <w:numPr>
                <w:ilvl w:val="0"/>
                <w:numId w:val="10"/>
              </w:numPr>
              <w:rPr>
                <w:rFonts w:eastAsia="Arial Narrow" w:cs="Arial Narrow"/>
                <w:sz w:val="20"/>
              </w:rPr>
            </w:pPr>
            <w:r>
              <w:rPr>
                <w:rFonts w:eastAsia="Arial Narrow" w:cs="Arial Narrow"/>
                <w:sz w:val="20"/>
              </w:rPr>
              <w:t>i</w:t>
            </w:r>
            <w:r w:rsidRPr="002943B8">
              <w:rPr>
                <w:rFonts w:eastAsia="Arial Narrow" w:cs="Arial Narrow"/>
                <w:sz w:val="20"/>
              </w:rPr>
              <w:t xml:space="preserve">mage-guided proton therapy imaging is used (with motion management functionality if required) to implement a PBT treatment, prepared in </w:t>
            </w:r>
            <w:r>
              <w:rPr>
                <w:rFonts w:eastAsia="Arial Narrow" w:cs="Arial Narrow"/>
                <w:sz w:val="20"/>
              </w:rPr>
              <w:t>accordance with item 15XXX; and</w:t>
            </w:r>
          </w:p>
          <w:p w14:paraId="6CFF3FC8" w14:textId="77777777" w:rsidR="009821F7" w:rsidRPr="002943B8" w:rsidRDefault="009821F7" w:rsidP="00CD2790">
            <w:pPr>
              <w:pStyle w:val="ListParagraph"/>
              <w:numPr>
                <w:ilvl w:val="0"/>
                <w:numId w:val="10"/>
              </w:numPr>
              <w:rPr>
                <w:rFonts w:eastAsia="Arial Narrow" w:cs="Arial Narrow"/>
                <w:sz w:val="20"/>
              </w:rPr>
            </w:pPr>
            <w:r w:rsidRPr="002943B8">
              <w:rPr>
                <w:rFonts w:eastAsia="Arial Narrow" w:cs="Arial Narrow"/>
                <w:sz w:val="20"/>
              </w:rPr>
              <w:t>PBT delivery mode is utilised (delivered by a fixed or dynamic gantry proton therapy delivery system); and image decisions and actions are document</w:t>
            </w:r>
            <w:r>
              <w:rPr>
                <w:rFonts w:eastAsia="Arial Narrow" w:cs="Arial Narrow"/>
                <w:sz w:val="20"/>
              </w:rPr>
              <w:t>ed in the patient’s record; and</w:t>
            </w:r>
          </w:p>
          <w:p w14:paraId="173EDD96" w14:textId="77777777" w:rsidR="009821F7" w:rsidRPr="002943B8" w:rsidRDefault="009821F7" w:rsidP="00CD2790">
            <w:pPr>
              <w:pStyle w:val="ListParagraph"/>
              <w:numPr>
                <w:ilvl w:val="0"/>
                <w:numId w:val="10"/>
              </w:numPr>
              <w:rPr>
                <w:rFonts w:eastAsia="Arial Narrow" w:cs="Arial Narrow"/>
                <w:sz w:val="20"/>
              </w:rPr>
            </w:pPr>
            <w:r>
              <w:rPr>
                <w:rFonts w:eastAsia="Arial Narrow" w:cs="Arial Narrow"/>
                <w:sz w:val="20"/>
              </w:rPr>
              <w:t>p</w:t>
            </w:r>
            <w:r w:rsidRPr="002943B8">
              <w:rPr>
                <w:rFonts w:eastAsia="Arial Narrow" w:cs="Arial Narrow"/>
                <w:sz w:val="20"/>
              </w:rPr>
              <w:t xml:space="preserve">ayable once only for each attendance at which treatment is given (with two attendances only paid if another site is located in a different organ/part of the body and requires </w:t>
            </w:r>
            <w:r>
              <w:rPr>
                <w:rFonts w:eastAsia="Arial Narrow" w:cs="Arial Narrow"/>
                <w:sz w:val="20"/>
              </w:rPr>
              <w:t>treatment on the same day), and</w:t>
            </w:r>
          </w:p>
          <w:p w14:paraId="61C775C4" w14:textId="77777777" w:rsidR="009821F7" w:rsidRPr="002943B8" w:rsidRDefault="009821F7" w:rsidP="00CD2790">
            <w:pPr>
              <w:pStyle w:val="ListParagraph"/>
              <w:numPr>
                <w:ilvl w:val="0"/>
                <w:numId w:val="10"/>
              </w:numPr>
              <w:rPr>
                <w:rFonts w:eastAsia="Arial Narrow" w:cs="Arial Narrow"/>
                <w:sz w:val="20"/>
              </w:rPr>
            </w:pPr>
            <w:proofErr w:type="gramStart"/>
            <w:r>
              <w:rPr>
                <w:rFonts w:eastAsia="Arial Narrow" w:cs="Arial Narrow"/>
                <w:sz w:val="20"/>
              </w:rPr>
              <w:t>d</w:t>
            </w:r>
            <w:r w:rsidRPr="002943B8">
              <w:rPr>
                <w:rFonts w:eastAsia="Arial Narrow" w:cs="Arial Narrow"/>
                <w:sz w:val="20"/>
              </w:rPr>
              <w:t>aily</w:t>
            </w:r>
            <w:proofErr w:type="gramEnd"/>
            <w:r w:rsidRPr="002943B8">
              <w:rPr>
                <w:rFonts w:eastAsia="Arial Narrow" w:cs="Arial Narrow"/>
                <w:sz w:val="20"/>
              </w:rPr>
              <w:t xml:space="preserve"> treatment verification is included in the MBS fee, and patient specific PBT quality assurance applied to all cases, with three ADDITIONAL PBT plan/adaptive strategies payable (at 50% of the fee for item 15XXX) when treatment adjustments are inadequate to satisfy treatment protocol requirements.</w:t>
            </w:r>
          </w:p>
        </w:tc>
      </w:tr>
      <w:tr w:rsidR="009821F7" w14:paraId="0DA74B34" w14:textId="77777777" w:rsidTr="009E589D">
        <w:tc>
          <w:tcPr>
            <w:tcW w:w="5000" w:type="pct"/>
          </w:tcPr>
          <w:p w14:paraId="14E76F58" w14:textId="77777777" w:rsidR="009821F7" w:rsidRDefault="009821F7" w:rsidP="009821F7">
            <w:pPr>
              <w:pStyle w:val="Tabletext"/>
            </w:pPr>
            <w:r>
              <w:t>Fee: $800.41</w:t>
            </w:r>
          </w:p>
        </w:tc>
      </w:tr>
    </w:tbl>
    <w:p w14:paraId="65FCC143" w14:textId="77777777" w:rsidR="009821F7" w:rsidRPr="00745471" w:rsidRDefault="009821F7" w:rsidP="00654AB1">
      <w:pPr>
        <w:pStyle w:val="Tablenotes"/>
      </w:pPr>
      <w:r w:rsidRPr="00745471">
        <w:t>Source: Table 5, p 39 of the ADAR</w:t>
      </w:r>
    </w:p>
    <w:p w14:paraId="2C8F0A19" w14:textId="766A1122" w:rsidR="009821F7" w:rsidRPr="009E589D" w:rsidRDefault="009821F7" w:rsidP="009E589D">
      <w:pPr>
        <w:keepNext/>
        <w:keepLines/>
        <w:rPr>
          <w:rFonts w:ascii="Arial Narrow" w:hAnsi="Arial Narrow"/>
          <w:b/>
          <w:sz w:val="20"/>
        </w:rPr>
      </w:pPr>
      <w:bookmarkStart w:id="17" w:name="_Ref48839087"/>
      <w:bookmarkStart w:id="18" w:name="_Ref48311926"/>
      <w:bookmarkStart w:id="19" w:name="_Toc50391282"/>
      <w:bookmarkStart w:id="20" w:name="_Toc48916448"/>
      <w:r w:rsidRPr="009E589D">
        <w:rPr>
          <w:rFonts w:ascii="Arial Narrow" w:hAnsi="Arial Narrow"/>
          <w:b/>
          <w:sz w:val="20"/>
        </w:rPr>
        <w:lastRenderedPageBreak/>
        <w:t xml:space="preserve">Table </w:t>
      </w:r>
      <w:r w:rsidR="00FD0A9A" w:rsidRPr="009E589D">
        <w:rPr>
          <w:rFonts w:ascii="Arial Narrow" w:hAnsi="Arial Narrow"/>
          <w:b/>
          <w:sz w:val="20"/>
        </w:rPr>
        <w:fldChar w:fldCharType="begin"/>
      </w:r>
      <w:r w:rsidR="00FD0A9A" w:rsidRPr="009E589D">
        <w:rPr>
          <w:rFonts w:ascii="Arial Narrow" w:hAnsi="Arial Narrow"/>
          <w:b/>
          <w:sz w:val="20"/>
        </w:rPr>
        <w:instrText xml:space="preserve"> SEQ Table \* ARABIC </w:instrText>
      </w:r>
      <w:r w:rsidR="00FD0A9A" w:rsidRPr="009E589D">
        <w:rPr>
          <w:rFonts w:ascii="Arial Narrow" w:hAnsi="Arial Narrow"/>
          <w:b/>
          <w:sz w:val="20"/>
        </w:rPr>
        <w:fldChar w:fldCharType="separate"/>
      </w:r>
      <w:r w:rsidR="00810FF0" w:rsidRPr="009E589D">
        <w:rPr>
          <w:rFonts w:ascii="Arial Narrow" w:hAnsi="Arial Narrow"/>
          <w:b/>
          <w:sz w:val="20"/>
        </w:rPr>
        <w:t>6</w:t>
      </w:r>
      <w:r w:rsidR="00FD0A9A" w:rsidRPr="009E589D">
        <w:rPr>
          <w:rFonts w:ascii="Arial Narrow" w:hAnsi="Arial Narrow"/>
          <w:b/>
          <w:sz w:val="20"/>
        </w:rPr>
        <w:fldChar w:fldCharType="end"/>
      </w:r>
      <w:bookmarkEnd w:id="17"/>
      <w:r w:rsidRPr="009E589D">
        <w:rPr>
          <w:rFonts w:ascii="Arial Narrow" w:hAnsi="Arial Narrow"/>
          <w:b/>
          <w:sz w:val="20"/>
        </w:rPr>
        <w:tab/>
        <w:t>Explanatory notes</w:t>
      </w:r>
      <w:bookmarkEnd w:id="18"/>
      <w:bookmarkEnd w:id="19"/>
      <w:bookmarkEnd w:id="20"/>
    </w:p>
    <w:tbl>
      <w:tblPr>
        <w:tblStyle w:val="TableGrid1"/>
        <w:tblW w:w="5000" w:type="pct"/>
        <w:tblLook w:val="04A0" w:firstRow="1" w:lastRow="0" w:firstColumn="1" w:lastColumn="0" w:noHBand="0" w:noVBand="1"/>
        <w:tblCaption w:val="Table containing explanatory notes for the proposed MBS items"/>
      </w:tblPr>
      <w:tblGrid>
        <w:gridCol w:w="9016"/>
      </w:tblGrid>
      <w:tr w:rsidR="009821F7" w14:paraId="71C6FBA9" w14:textId="77777777" w:rsidTr="009E589D">
        <w:trPr>
          <w:cnfStyle w:val="100000000000" w:firstRow="1" w:lastRow="0" w:firstColumn="0" w:lastColumn="0" w:oddVBand="0" w:evenVBand="0" w:oddHBand="0" w:evenHBand="0" w:firstRowFirstColumn="0" w:firstRowLastColumn="0" w:lastRowFirstColumn="0" w:lastRowLastColumn="0"/>
          <w:tblHeader/>
        </w:trPr>
        <w:tc>
          <w:tcPr>
            <w:tcW w:w="5000" w:type="pct"/>
          </w:tcPr>
          <w:p w14:paraId="068323FF" w14:textId="77777777" w:rsidR="009821F7" w:rsidRDefault="009821F7" w:rsidP="009E589D">
            <w:pPr>
              <w:keepNext/>
              <w:keepLines/>
            </w:pPr>
            <w:r w:rsidRPr="5495A977">
              <w:rPr>
                <w:rFonts w:ascii="Arial Narrow" w:eastAsia="Arial Narrow" w:hAnsi="Arial Narrow" w:cs="Arial Narrow"/>
                <w:sz w:val="20"/>
              </w:rPr>
              <w:t>In items 15XXX and 15YYY: Proton Beam Therapy is localised through 3D or 4D volumetric imaging to identify Clinical Targets, Organs at Risk and Normal Tissue (and tumour/OAR excursion in the case of 4D applications). Planning includes optimisation of the dose based on assessment of OAR doses. This technique involves very sharp dose gradients adjacent to both targets and organs at risk increasing the consequences of any geometric uncertainty, making daily treatment verification (IGRT) an essential component of quality PBT. In the case of 4D applications, treatment delivery utilises some form of motion management (gating, deep inspiration breath hold, rescanning etc.) and further complicates the planning, delivery and quality assurance processes. It is the tumour location, size, adjacent organs and dosimetry that define the appropriate role for PBT, and support an approach where the clinical circumstances rather than specific diagnoses are the most important determinants for using PBT. Patient specific pre-treatment Quality Assurance will be required and consideration for re-planning/adaption is included.</w:t>
            </w:r>
          </w:p>
          <w:p w14:paraId="7008A8FA" w14:textId="77777777" w:rsidR="009821F7" w:rsidRDefault="009821F7" w:rsidP="009E589D">
            <w:pPr>
              <w:keepNext/>
              <w:keepLines/>
            </w:pPr>
            <w:r w:rsidRPr="5495A977">
              <w:rPr>
                <w:rFonts w:ascii="Arial Narrow" w:eastAsia="Arial Narrow" w:hAnsi="Arial Narrow" w:cs="Arial Narrow"/>
                <w:sz w:val="20"/>
              </w:rPr>
              <w:t xml:space="preserve">Delivery </w:t>
            </w:r>
            <w:r>
              <w:rPr>
                <w:rFonts w:ascii="Arial Narrow" w:eastAsia="Arial Narrow" w:hAnsi="Arial Narrow" w:cs="Arial Narrow"/>
                <w:sz w:val="20"/>
              </w:rPr>
              <w:t>t</w:t>
            </w:r>
            <w:r w:rsidRPr="5495A977">
              <w:rPr>
                <w:rFonts w:ascii="Arial Narrow" w:eastAsia="Arial Narrow" w:hAnsi="Arial Narrow" w:cs="Arial Narrow"/>
                <w:sz w:val="20"/>
              </w:rPr>
              <w:t>echnologies: Proton accelerator based fixed beam PBT, Proton accelerator based PBT with a gantry</w:t>
            </w:r>
          </w:p>
          <w:p w14:paraId="174779A1" w14:textId="77777777" w:rsidR="009821F7" w:rsidRDefault="009821F7" w:rsidP="009E589D">
            <w:pPr>
              <w:keepNext/>
              <w:keepLines/>
            </w:pPr>
            <w:r w:rsidRPr="5495A977">
              <w:rPr>
                <w:rFonts w:ascii="Arial Narrow" w:eastAsia="Arial Narrow" w:hAnsi="Arial Narrow" w:cs="Arial Narrow"/>
                <w:sz w:val="20"/>
              </w:rPr>
              <w:t>Patients with one of the following indications are elig</w:t>
            </w:r>
            <w:r>
              <w:rPr>
                <w:rFonts w:ascii="Arial Narrow" w:eastAsia="Arial Narrow" w:hAnsi="Arial Narrow" w:cs="Arial Narrow"/>
                <w:sz w:val="20"/>
              </w:rPr>
              <w:t>ible for items 15XXX and 15YYY:</w:t>
            </w:r>
          </w:p>
          <w:p w14:paraId="2C11E43D" w14:textId="77777777" w:rsidR="009821F7" w:rsidRDefault="009821F7" w:rsidP="009E589D">
            <w:pPr>
              <w:pStyle w:val="ListParagraph"/>
              <w:keepNext/>
              <w:keepLines/>
              <w:numPr>
                <w:ilvl w:val="0"/>
                <w:numId w:val="6"/>
              </w:numPr>
              <w:contextualSpacing w:val="0"/>
              <w:rPr>
                <w:rFonts w:ascii="Arial Narrow" w:eastAsia="Arial Narrow" w:hAnsi="Arial Narrow" w:cs="Arial Narrow"/>
                <w:sz w:val="20"/>
              </w:rPr>
            </w:pPr>
            <w:r>
              <w:rPr>
                <w:rFonts w:ascii="Arial Narrow" w:eastAsia="Arial Narrow" w:hAnsi="Arial Narrow" w:cs="Arial Narrow"/>
                <w:sz w:val="20"/>
              </w:rPr>
              <w:t>a</w:t>
            </w:r>
            <w:r w:rsidRPr="5495A977">
              <w:rPr>
                <w:rFonts w:ascii="Arial Narrow" w:eastAsia="Arial Narrow" w:hAnsi="Arial Narrow" w:cs="Arial Narrow"/>
                <w:sz w:val="20"/>
              </w:rPr>
              <w:t>dult patients with ra</w:t>
            </w:r>
            <w:r>
              <w:rPr>
                <w:rFonts w:ascii="Arial Narrow" w:eastAsia="Arial Narrow" w:hAnsi="Arial Narrow" w:cs="Arial Narrow"/>
                <w:sz w:val="20"/>
              </w:rPr>
              <w:t>re cancers of the head or spine</w:t>
            </w:r>
          </w:p>
          <w:p w14:paraId="456DCE54" w14:textId="77777777" w:rsidR="009821F7" w:rsidRDefault="009821F7" w:rsidP="009E589D">
            <w:pPr>
              <w:pStyle w:val="ListParagraph"/>
              <w:keepNext/>
              <w:keepLines/>
              <w:numPr>
                <w:ilvl w:val="0"/>
                <w:numId w:val="6"/>
              </w:numPr>
              <w:contextualSpacing w:val="0"/>
              <w:rPr>
                <w:rFonts w:ascii="Arial Narrow" w:eastAsia="Arial Narrow" w:hAnsi="Arial Narrow" w:cs="Arial Narrow"/>
                <w:sz w:val="20"/>
              </w:rPr>
            </w:pPr>
            <w:proofErr w:type="gramStart"/>
            <w:r>
              <w:rPr>
                <w:rFonts w:ascii="Arial Narrow" w:eastAsia="Arial Narrow" w:hAnsi="Arial Narrow" w:cs="Arial Narrow"/>
                <w:sz w:val="20"/>
              </w:rPr>
              <w:t>p</w:t>
            </w:r>
            <w:r w:rsidRPr="5495A977">
              <w:rPr>
                <w:rFonts w:ascii="Arial Narrow" w:eastAsia="Arial Narrow" w:hAnsi="Arial Narrow" w:cs="Arial Narrow"/>
                <w:sz w:val="20"/>
              </w:rPr>
              <w:t>aediatric</w:t>
            </w:r>
            <w:proofErr w:type="gramEnd"/>
            <w:r w:rsidRPr="5495A977">
              <w:rPr>
                <w:rFonts w:ascii="Arial Narrow" w:eastAsia="Arial Narrow" w:hAnsi="Arial Narrow" w:cs="Arial Narrow"/>
                <w:sz w:val="20"/>
              </w:rPr>
              <w:t xml:space="preserve"> and AYA patients with a solid tumour located in the head, neck or trunk of </w:t>
            </w:r>
            <w:r>
              <w:rPr>
                <w:rFonts w:ascii="Arial Narrow" w:eastAsia="Arial Narrow" w:hAnsi="Arial Narrow" w:cs="Arial Narrow"/>
                <w:sz w:val="20"/>
              </w:rPr>
              <w:t>the body.</w:t>
            </w:r>
          </w:p>
          <w:p w14:paraId="20914203" w14:textId="77777777" w:rsidR="009821F7" w:rsidRDefault="009821F7" w:rsidP="009E589D">
            <w:pPr>
              <w:keepNext/>
              <w:keepLines/>
              <w:rPr>
                <w:rFonts w:ascii="Arial Narrow" w:eastAsia="Arial Narrow" w:hAnsi="Arial Narrow" w:cs="Arial Narrow"/>
                <w:sz w:val="20"/>
              </w:rPr>
            </w:pPr>
            <w:r w:rsidRPr="5495A977">
              <w:rPr>
                <w:rFonts w:ascii="Arial Narrow" w:eastAsia="Arial Narrow" w:hAnsi="Arial Narrow" w:cs="Arial Narrow"/>
                <w:sz w:val="20"/>
              </w:rPr>
              <w:t>Eligible patients are at risk of clinically significant side effects using other forms of radiation therapy.</w:t>
            </w:r>
          </w:p>
          <w:p w14:paraId="7F9E2A3A" w14:textId="77777777" w:rsidR="009821F7" w:rsidRPr="004F69BC" w:rsidRDefault="009821F7" w:rsidP="009E589D">
            <w:pPr>
              <w:keepNext/>
              <w:keepLines/>
              <w:rPr>
                <w:rFonts w:ascii="Arial Narrow" w:eastAsia="Arial Narrow" w:hAnsi="Arial Narrow" w:cs="Arial Narrow"/>
                <w:sz w:val="20"/>
              </w:rPr>
            </w:pPr>
            <w:r w:rsidRPr="004F69BC">
              <w:rPr>
                <w:rFonts w:ascii="Arial Narrow" w:eastAsia="Arial Narrow" w:hAnsi="Arial Narrow" w:cs="Arial Narrow"/>
                <w:sz w:val="20"/>
              </w:rPr>
              <w:t>Grouped Elements: 3D or 4D Simulation/PBT Planning. Daily Verification, Pre-Treatment QA and 3 x Re-planning/Adaption events</w:t>
            </w:r>
            <w:r w:rsidRPr="5495A977">
              <w:rPr>
                <w:rFonts w:ascii="Arial Narrow" w:eastAsia="Arial Narrow" w:hAnsi="Arial Narrow" w:cs="Arial Narrow"/>
                <w:sz w:val="20"/>
              </w:rPr>
              <w:t>.</w:t>
            </w:r>
          </w:p>
        </w:tc>
      </w:tr>
    </w:tbl>
    <w:p w14:paraId="79B187B0" w14:textId="77777777" w:rsidR="009821F7" w:rsidRPr="00745471" w:rsidRDefault="009821F7" w:rsidP="00654AB1">
      <w:pPr>
        <w:pStyle w:val="Tablenotes"/>
      </w:pPr>
      <w:r w:rsidRPr="00745471">
        <w:t>Source: Table 6, p 39 of the ADAR</w:t>
      </w:r>
    </w:p>
    <w:p w14:paraId="2AAF7089" w14:textId="77777777" w:rsidR="009821F7" w:rsidRDefault="009821F7" w:rsidP="00A740F4">
      <w:pPr>
        <w:spacing w:before="240" w:after="240"/>
      </w:pPr>
      <w:r>
        <w:t>The commentary noted that the ADAR followed MSAC’s advice that the item descriptors should be modelled on item descriptors for IMRT procedures (</w:t>
      </w:r>
      <w:hyperlink r:id="rId14" w:history="1">
        <w:r w:rsidRPr="00EE7A15">
          <w:rPr>
            <w:rStyle w:val="Hyperlink"/>
          </w:rPr>
          <w:t>MSAC Application 1455 P</w:t>
        </w:r>
        <w:r>
          <w:rPr>
            <w:rStyle w:val="Hyperlink"/>
          </w:rPr>
          <w:t>SD</w:t>
        </w:r>
      </w:hyperlink>
      <w:r>
        <w:t xml:space="preserve">), and also considered the recommendations from the </w:t>
      </w:r>
      <w:r w:rsidRPr="000C4220">
        <w:t>Oncology Clinical Committee (</w:t>
      </w:r>
      <w:hyperlink r:id="rId15" w:history="1">
        <w:r w:rsidRPr="000C4220">
          <w:rPr>
            <w:rStyle w:val="Hyperlink"/>
          </w:rPr>
          <w:t>Report from the Oncology Clinical Committee 2018</w:t>
        </w:r>
      </w:hyperlink>
      <w:r w:rsidRPr="000C4220">
        <w:t>)</w:t>
      </w:r>
      <w:r>
        <w:t xml:space="preserve"> for a two-part payment model and an additional dosimetry plan for re-planning.</w:t>
      </w:r>
    </w:p>
    <w:p w14:paraId="277D0C84" w14:textId="6E706463" w:rsidR="009821F7" w:rsidRPr="009821F7" w:rsidRDefault="009821F7" w:rsidP="009821F7">
      <w:pPr>
        <w:spacing w:after="240"/>
        <w:rPr>
          <w:rStyle w:val="CommentChar"/>
          <w:rFonts w:ascii="Times New Roman" w:hAnsi="Times New Roman" w:cs="Times New Roman"/>
          <w:i w:val="0"/>
          <w:szCs w:val="24"/>
        </w:rPr>
      </w:pPr>
      <w:r w:rsidRPr="009821F7">
        <w:rPr>
          <w:rStyle w:val="CommentChar"/>
          <w:rFonts w:ascii="Times New Roman" w:hAnsi="Times New Roman" w:cs="Times New Roman"/>
          <w:i w:val="0"/>
          <w:szCs w:val="24"/>
        </w:rPr>
        <w:t>The commentary noted that population restrictions were consistent with the proposed patient population, but that these restrictions were specified in the proposed explanatory notes (</w:t>
      </w:r>
      <w:r w:rsidRPr="009821F7">
        <w:rPr>
          <w:rStyle w:val="CommentChar"/>
          <w:rFonts w:ascii="Times New Roman" w:hAnsi="Times New Roman" w:cs="Times New Roman"/>
          <w:szCs w:val="24"/>
        </w:rPr>
        <w:fldChar w:fldCharType="begin"/>
      </w:r>
      <w:r w:rsidRPr="009821F7">
        <w:rPr>
          <w:rStyle w:val="CommentChar"/>
          <w:rFonts w:ascii="Times New Roman" w:hAnsi="Times New Roman" w:cs="Times New Roman"/>
          <w:szCs w:val="24"/>
        </w:rPr>
        <w:instrText xml:space="preserve"> REF _Ref48839087 \h  \* MERGEFORMAT </w:instrText>
      </w:r>
      <w:r w:rsidRPr="009821F7">
        <w:rPr>
          <w:rStyle w:val="CommentChar"/>
          <w:rFonts w:ascii="Times New Roman" w:hAnsi="Times New Roman" w:cs="Times New Roman"/>
          <w:szCs w:val="24"/>
        </w:rPr>
      </w:r>
      <w:r w:rsidRPr="009821F7">
        <w:rPr>
          <w:rStyle w:val="CommentChar"/>
          <w:rFonts w:ascii="Times New Roman" w:hAnsi="Times New Roman" w:cs="Times New Roman"/>
          <w:szCs w:val="24"/>
        </w:rPr>
        <w:fldChar w:fldCharType="separate"/>
      </w:r>
      <w:r w:rsidR="00810FF0" w:rsidRPr="00810FF0">
        <w:rPr>
          <w:szCs w:val="24"/>
        </w:rPr>
        <w:t>Table</w:t>
      </w:r>
      <w:r w:rsidR="00810FF0">
        <w:t xml:space="preserve"> </w:t>
      </w:r>
      <w:r w:rsidR="00810FF0">
        <w:rPr>
          <w:noProof/>
        </w:rPr>
        <w:t>6</w:t>
      </w:r>
      <w:r w:rsidRPr="009821F7">
        <w:rPr>
          <w:rStyle w:val="CommentChar"/>
          <w:rFonts w:ascii="Times New Roman" w:hAnsi="Times New Roman" w:cs="Times New Roman"/>
          <w:szCs w:val="24"/>
        </w:rPr>
        <w:fldChar w:fldCharType="end"/>
      </w:r>
      <w:r w:rsidRPr="009821F7">
        <w:rPr>
          <w:rStyle w:val="CommentChar"/>
          <w:rFonts w:ascii="Times New Roman" w:hAnsi="Times New Roman" w:cs="Times New Roman"/>
          <w:i w:val="0"/>
          <w:szCs w:val="24"/>
        </w:rPr>
        <w:t>) instead of within the proposed item descriptors. There would also be a potential for other patients to become eligible as the proposed explanatory note also states that “eligible patients are at risk of clinically significant side effects using other forms of radiation therapy.”</w:t>
      </w:r>
    </w:p>
    <w:p w14:paraId="0355E824" w14:textId="6AE391C0" w:rsidR="009821F7" w:rsidRDefault="009821F7" w:rsidP="009821F7">
      <w:pPr>
        <w:spacing w:after="240"/>
      </w:pPr>
      <w:r w:rsidRPr="001F16BF">
        <w:t xml:space="preserve">The </w:t>
      </w:r>
      <w:r>
        <w:t xml:space="preserve">ADAR stated that the </w:t>
      </w:r>
      <w:r w:rsidRPr="001F16BF">
        <w:t xml:space="preserve">proposed fees for PBT planning and treatment services </w:t>
      </w:r>
      <w:r>
        <w:t>we</w:t>
      </w:r>
      <w:r w:rsidRPr="001F16BF">
        <w:t xml:space="preserve">re based on a comparison of the costs associated with professional services time, maintaining service contracts for the PBT or PRT equipment, and consumables associated with providing each service. </w:t>
      </w:r>
      <w:r>
        <w:t>Recognising that PBT is a more complex and resource-intensive procedure, a</w:t>
      </w:r>
      <w:r w:rsidRPr="001F16BF">
        <w:t xml:space="preserve">dditional costs associated with PBT </w:t>
      </w:r>
      <w:r>
        <w:t>we</w:t>
      </w:r>
      <w:r w:rsidRPr="001F16BF">
        <w:t xml:space="preserve">re added to </w:t>
      </w:r>
      <w:r>
        <w:t xml:space="preserve">the </w:t>
      </w:r>
      <w:r w:rsidRPr="001F16BF">
        <w:t xml:space="preserve">current MBS fees for PRT </w:t>
      </w:r>
      <w:r>
        <w:t xml:space="preserve">(IMRT) </w:t>
      </w:r>
      <w:r w:rsidRPr="001F16BF">
        <w:t xml:space="preserve">to determine </w:t>
      </w:r>
      <w:r>
        <w:t>proposed</w:t>
      </w:r>
      <w:r w:rsidRPr="001F16BF">
        <w:t xml:space="preserve"> appropriate MBS fee</w:t>
      </w:r>
      <w:r>
        <w:t>s</w:t>
      </w:r>
      <w:r w:rsidRPr="001F16BF">
        <w:t xml:space="preserve"> for the PBT planning and treatment services. </w:t>
      </w:r>
      <w:r w:rsidR="006A6812">
        <w:t>Appropriately, t</w:t>
      </w:r>
      <w:r w:rsidRPr="001F16BF">
        <w:t>he</w:t>
      </w:r>
      <w:r>
        <w:t>se</w:t>
      </w:r>
      <w:r w:rsidRPr="001F16BF">
        <w:t xml:space="preserve"> proposed fees d</w:t>
      </w:r>
      <w:r>
        <w:t>id</w:t>
      </w:r>
      <w:r w:rsidRPr="001F16BF">
        <w:t xml:space="preserve"> not incorporate </w:t>
      </w:r>
      <w:r>
        <w:t xml:space="preserve">any </w:t>
      </w:r>
      <w:r w:rsidRPr="001F16BF">
        <w:t xml:space="preserve">cost </w:t>
      </w:r>
      <w:r>
        <w:t>of the</w:t>
      </w:r>
      <w:r w:rsidRPr="001F16BF">
        <w:t xml:space="preserve"> associated capital equipment.</w:t>
      </w:r>
    </w:p>
    <w:p w14:paraId="11B76BCC" w14:textId="77777777" w:rsidR="009821F7" w:rsidRPr="004F69BC" w:rsidRDefault="009821F7" w:rsidP="009821F7">
      <w:pPr>
        <w:spacing w:after="240"/>
      </w:pPr>
      <w:r>
        <w:t xml:space="preserve">The commentary also noted that the ADAR did not propose a separate MBS item for re-planning. The ADAR instead suggested utilising the planning and verification item to be payable through the MBS during the treatment course at 50% of the initial planning fee, based </w:t>
      </w:r>
      <w:r w:rsidRPr="00A558B1">
        <w:t>on the Report from the Oncology Clinical Committee (2018)</w:t>
      </w:r>
      <w:r>
        <w:t xml:space="preserve"> </w:t>
      </w:r>
      <w:r>
        <w:fldChar w:fldCharType="begin"/>
      </w:r>
      <w:r>
        <w:instrText xml:space="preserve"> ADDIN EN.CITE &lt;EndNote&gt;&lt;Cite&gt;&lt;Author&gt;Medicare Benefits Schedule Review Taskforce&lt;/Author&gt;&lt;Year&gt;2018&lt;/Year&gt;&lt;RecNum&gt;43&lt;/RecNum&gt;&lt;DisplayText&gt;(Medicare Benefits Schedule Review Taskforce, 2018)&lt;/DisplayText&gt;&lt;record&gt;&lt;rec-number&gt;43&lt;/rec-number&gt;&lt;foreign-keys&gt;&lt;key app="EN" db-id="exfrw2pee0v5z6evdr2xwspdfw0ezf5ttzwp" timestamp="1597973354"&gt;43&lt;/key&gt;&lt;/foreign-keys&gt;&lt;ref-type name="Electronic Article"&gt;43&lt;/ref-type&gt;&lt;contributors&gt;&lt;authors&gt;&lt;author&gt;Medicare Benefits Schedule Review Taskforce,&lt;/author&gt;&lt;/authors&gt;&lt;/contributors&gt;&lt;titles&gt;&lt;title&gt;Report from the Oncology Clinical Committee&lt;/title&gt;&lt;/titles&gt;&lt;dates&gt;&lt;year&gt;2018&lt;/year&gt;&lt;/dates&gt;&lt;urls&gt;&lt;related-urls&gt;&lt;url&gt;https://www1.health.gov.au/internet/main/publishing.nsf/Content/mbs-review-2018-taskforce-reports-cp/$File/Oncology-Clinical-Committee-report.docx&lt;/url&gt;&lt;/related-urls&gt;&lt;/urls&gt;&lt;/record&gt;&lt;/Cite&gt;&lt;/EndNote&gt;</w:instrText>
      </w:r>
      <w:r>
        <w:fldChar w:fldCharType="separate"/>
      </w:r>
      <w:r>
        <w:rPr>
          <w:noProof/>
        </w:rPr>
        <w:t>(</w:t>
      </w:r>
      <w:hyperlink w:anchor="_ENREF_34" w:tooltip="Medicare Benefits Schedule Review Taskforce, 2018 #43" w:history="1">
        <w:r>
          <w:rPr>
            <w:noProof/>
          </w:rPr>
          <w:t>Medicare Benefits Schedule Review Taskforce, 2018</w:t>
        </w:r>
      </w:hyperlink>
      <w:r>
        <w:rPr>
          <w:noProof/>
        </w:rPr>
        <w:t>)</w:t>
      </w:r>
      <w:r>
        <w:fldChar w:fldCharType="end"/>
      </w:r>
      <w:r w:rsidRPr="00A558B1">
        <w:t>. The</w:t>
      </w:r>
      <w:r>
        <w:t xml:space="preserve"> ADAR claimed the re-planning item should be payable up to three times for PBT, compared to only one additional dosimetry plan for the IMRT recommended by the Oncology Clinical Committee.</w:t>
      </w:r>
    </w:p>
    <w:p w14:paraId="44AF25DC" w14:textId="3D37A48B"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 xml:space="preserve">onsumer </w:t>
      </w:r>
      <w:r w:rsidR="00D045FD" w:rsidRPr="00F715D1">
        <w:t>i</w:t>
      </w:r>
      <w:r w:rsidR="003D7F29" w:rsidRPr="00F715D1">
        <w:t>ssues</w:t>
      </w:r>
    </w:p>
    <w:p w14:paraId="0E4C3DF8" w14:textId="61CF62B1" w:rsidR="009821F7" w:rsidRPr="00387047" w:rsidRDefault="009821F7" w:rsidP="009821F7">
      <w:pPr>
        <w:tabs>
          <w:tab w:val="left" w:pos="720"/>
          <w:tab w:val="left" w:pos="1140"/>
        </w:tabs>
        <w:rPr>
          <w:bCs/>
          <w:snapToGrid w:val="0"/>
        </w:rPr>
      </w:pPr>
      <w:r w:rsidRPr="00387047">
        <w:rPr>
          <w:bCs/>
          <w:snapToGrid w:val="0"/>
        </w:rPr>
        <w:t xml:space="preserve">Consultation feedback was received from </w:t>
      </w:r>
      <w:r w:rsidR="006964B7">
        <w:rPr>
          <w:bCs/>
          <w:snapToGrid w:val="0"/>
        </w:rPr>
        <w:t>five</w:t>
      </w:r>
      <w:r w:rsidR="00CD651E" w:rsidRPr="00387047">
        <w:rPr>
          <w:bCs/>
          <w:snapToGrid w:val="0"/>
        </w:rPr>
        <w:t xml:space="preserve"> </w:t>
      </w:r>
      <w:r w:rsidRPr="00387047">
        <w:rPr>
          <w:bCs/>
          <w:snapToGrid w:val="0"/>
        </w:rPr>
        <w:t>specialist organisations</w:t>
      </w:r>
      <w:r w:rsidR="00CD651E">
        <w:rPr>
          <w:bCs/>
          <w:snapToGrid w:val="0"/>
        </w:rPr>
        <w:t>, a cancer registry organisation, a consumer organisation</w:t>
      </w:r>
      <w:r w:rsidR="006964B7">
        <w:rPr>
          <w:bCs/>
          <w:snapToGrid w:val="0"/>
        </w:rPr>
        <w:t xml:space="preserve"> and an individual consumer</w:t>
      </w:r>
      <w:r w:rsidRPr="00387047">
        <w:rPr>
          <w:bCs/>
          <w:snapToGrid w:val="0"/>
        </w:rPr>
        <w:t xml:space="preserve"> in support of MBS listing for PBT in adult patients with rare cancers of the neck and spine, and paediatric and AYA patients with solid tumours located in the head, neck of trunk of the body. The responses </w:t>
      </w:r>
      <w:r w:rsidRPr="00387047">
        <w:rPr>
          <w:bCs/>
          <w:snapToGrid w:val="0"/>
        </w:rPr>
        <w:lastRenderedPageBreak/>
        <w:t xml:space="preserve">highlighted a number of benefits for PBT based on the ability of </w:t>
      </w:r>
      <w:r w:rsidRPr="00387047">
        <w:t xml:space="preserve">PBT to deliver radiation more precisely to the tumour than conventional radiation treatment, resulting in fewer side effects and less consequential damage to sensitive nearby parts of the body resulting in less damage in the longer term. This was considered especially relevant for children and young adults. </w:t>
      </w:r>
      <w:r>
        <w:t>Responses noted that</w:t>
      </w:r>
      <w:r w:rsidRPr="00387047">
        <w:t xml:space="preserve"> while some patients can access PBT overseas through MTOP or independent funding, MBS listing of PBT would allow for fair and equitable access to PBT for the wider patient population across Australia, and allow Australia to progress with international radiation practices.</w:t>
      </w:r>
      <w:r w:rsidR="00727C7A">
        <w:t xml:space="preserve"> </w:t>
      </w:r>
      <w:r w:rsidR="00727C7A">
        <w:rPr>
          <w:bCs/>
          <w:snapToGrid w:val="0"/>
        </w:rPr>
        <w:t>R</w:t>
      </w:r>
      <w:r w:rsidRPr="00387047">
        <w:rPr>
          <w:bCs/>
          <w:snapToGrid w:val="0"/>
        </w:rPr>
        <w:t xml:space="preserve">esponses </w:t>
      </w:r>
      <w:r w:rsidR="000C6E88">
        <w:rPr>
          <w:bCs/>
          <w:snapToGrid w:val="0"/>
        </w:rPr>
        <w:t xml:space="preserve">from the specialist organisations and cancer registry organisation </w:t>
      </w:r>
      <w:r w:rsidRPr="00387047">
        <w:rPr>
          <w:bCs/>
          <w:snapToGrid w:val="0"/>
        </w:rPr>
        <w:t>strongly advocated for the national coordination and development of infrastructure for</w:t>
      </w:r>
      <w:r>
        <w:rPr>
          <w:bCs/>
          <w:snapToGrid w:val="0"/>
        </w:rPr>
        <w:t xml:space="preserve"> PBT, including auditing, standard</w:t>
      </w:r>
      <w:r w:rsidRPr="00387047">
        <w:rPr>
          <w:bCs/>
          <w:snapToGrid w:val="0"/>
        </w:rPr>
        <w:t>s and a national registry. Issues previously raised in consultation responses for MSAC Application 1455</w:t>
      </w:r>
      <w:r>
        <w:rPr>
          <w:bCs/>
          <w:snapToGrid w:val="0"/>
        </w:rPr>
        <w:t xml:space="preserve"> (</w:t>
      </w:r>
      <w:hyperlink r:id="rId16" w:history="1">
        <w:r w:rsidRPr="00387047">
          <w:rPr>
            <w:rStyle w:val="Hyperlink"/>
            <w:snapToGrid w:val="0"/>
          </w:rPr>
          <w:t>MSAC</w:t>
        </w:r>
        <w:r>
          <w:rPr>
            <w:rStyle w:val="Hyperlink"/>
            <w:snapToGrid w:val="0"/>
          </w:rPr>
          <w:t xml:space="preserve"> Application</w:t>
        </w:r>
        <w:r w:rsidRPr="00387047">
          <w:rPr>
            <w:rStyle w:val="Hyperlink"/>
            <w:snapToGrid w:val="0"/>
          </w:rPr>
          <w:t xml:space="preserve"> 1455 PSD</w:t>
        </w:r>
      </w:hyperlink>
      <w:r>
        <w:rPr>
          <w:bCs/>
          <w:snapToGrid w:val="0"/>
        </w:rPr>
        <w:t xml:space="preserve">) </w:t>
      </w:r>
      <w:r w:rsidRPr="00387047">
        <w:rPr>
          <w:bCs/>
          <w:snapToGrid w:val="0"/>
        </w:rPr>
        <w:t>were reiterated in the cons</w:t>
      </w:r>
      <w:r>
        <w:rPr>
          <w:bCs/>
          <w:snapToGrid w:val="0"/>
        </w:rPr>
        <w:t>u</w:t>
      </w:r>
      <w:r w:rsidRPr="00387047">
        <w:rPr>
          <w:bCs/>
          <w:snapToGrid w:val="0"/>
        </w:rPr>
        <w:t>l</w:t>
      </w:r>
      <w:r>
        <w:rPr>
          <w:bCs/>
          <w:snapToGrid w:val="0"/>
        </w:rPr>
        <w:t>t</w:t>
      </w:r>
      <w:r w:rsidRPr="00387047">
        <w:rPr>
          <w:bCs/>
          <w:snapToGrid w:val="0"/>
        </w:rPr>
        <w:t>ation feedback for this application</w:t>
      </w:r>
      <w:r>
        <w:rPr>
          <w:bCs/>
          <w:snapToGrid w:val="0"/>
        </w:rPr>
        <w:t>. The</w:t>
      </w:r>
      <w:r w:rsidRPr="00387047">
        <w:rPr>
          <w:bCs/>
          <w:snapToGrid w:val="0"/>
        </w:rPr>
        <w:t xml:space="preserve"> following</w:t>
      </w:r>
      <w:r>
        <w:rPr>
          <w:bCs/>
          <w:snapToGrid w:val="0"/>
        </w:rPr>
        <w:t xml:space="preserve"> additional</w:t>
      </w:r>
      <w:r w:rsidRPr="00387047">
        <w:rPr>
          <w:bCs/>
          <w:snapToGrid w:val="0"/>
        </w:rPr>
        <w:t xml:space="preserve"> issues were noted:</w:t>
      </w:r>
    </w:p>
    <w:p w14:paraId="1DF20CCA" w14:textId="77777777" w:rsidR="009821F7" w:rsidRPr="00387047" w:rsidRDefault="009821F7" w:rsidP="00CD2790">
      <w:pPr>
        <w:pStyle w:val="ListParagraph"/>
        <w:numPr>
          <w:ilvl w:val="0"/>
          <w:numId w:val="11"/>
        </w:numPr>
        <w:tabs>
          <w:tab w:val="left" w:pos="720"/>
          <w:tab w:val="left" w:pos="1140"/>
        </w:tabs>
      </w:pPr>
      <w:r w:rsidRPr="00387047">
        <w:t xml:space="preserve">Patient population: </w:t>
      </w:r>
      <w:r>
        <w:t>o</w:t>
      </w:r>
      <w:r w:rsidRPr="00387047">
        <w:t>ne response suggested the proposed MBS patient populations were too narrowly focused on the indications listed in the MTOP. Due to rapid developments occurring in proton radiotherapy, it was suggested that the proposed patient population underrepresents indications where there is emerging evidence of a clear benefit for the patient and that are now being considered for proton radiotherapy.</w:t>
      </w:r>
    </w:p>
    <w:p w14:paraId="69E175FA" w14:textId="77777777" w:rsidR="009821F7" w:rsidRPr="00387047" w:rsidRDefault="009821F7" w:rsidP="00CD2790">
      <w:pPr>
        <w:pStyle w:val="ListParagraph"/>
        <w:numPr>
          <w:ilvl w:val="0"/>
          <w:numId w:val="11"/>
        </w:numPr>
        <w:tabs>
          <w:tab w:val="left" w:pos="720"/>
          <w:tab w:val="left" w:pos="1140"/>
        </w:tabs>
      </w:pPr>
      <w:r w:rsidRPr="00387047">
        <w:t xml:space="preserve">Comparator: </w:t>
      </w:r>
      <w:r>
        <w:t>w</w:t>
      </w:r>
      <w:r w:rsidRPr="00387047">
        <w:t>hile the responses agreed that with the comparison of PBT to PRT, it was suggested that the development of PBT hardware and software (including image guidance) is at least one decade behind PRT. As such</w:t>
      </w:r>
      <w:r>
        <w:t>,</w:t>
      </w:r>
      <w:r w:rsidRPr="00387047">
        <w:t xml:space="preserve"> it was suggest</w:t>
      </w:r>
      <w:r>
        <w:t>ed that</w:t>
      </w:r>
      <w:r w:rsidRPr="00387047">
        <w:t xml:space="preserve"> this would distort evidence as proton dose distributions applied to patients in previously reported studies have not been optimised in the same way as </w:t>
      </w:r>
      <w:r>
        <w:t xml:space="preserve">has been applied to </w:t>
      </w:r>
      <w:r w:rsidRPr="00387047">
        <w:t>photon</w:t>
      </w:r>
      <w:r>
        <w:t xml:space="preserve"> t</w:t>
      </w:r>
      <w:r w:rsidRPr="00387047">
        <w:t>he</w:t>
      </w:r>
      <w:r>
        <w:t>rapy</w:t>
      </w:r>
      <w:r w:rsidRPr="00387047">
        <w:t>.</w:t>
      </w:r>
    </w:p>
    <w:p w14:paraId="0977D46F" w14:textId="77777777" w:rsidR="00BC1364" w:rsidRPr="00F715D1" w:rsidRDefault="00BC1364" w:rsidP="00CD2790">
      <w:pPr>
        <w:pStyle w:val="Heading1"/>
      </w:pPr>
      <w:r w:rsidRPr="00F715D1">
        <w:t>Proposed intervention’s place in clinical management</w:t>
      </w:r>
    </w:p>
    <w:p w14:paraId="551D6D48" w14:textId="35755712" w:rsidR="00CF4E81" w:rsidRDefault="00CF4E81" w:rsidP="00CD2790">
      <w:pPr>
        <w:pStyle w:val="Heading2"/>
        <w:keepNext/>
      </w:pPr>
      <w:r w:rsidRPr="009821F7">
        <w:t>Description</w:t>
      </w:r>
      <w:r w:rsidRPr="00CF4E81">
        <w:t xml:space="preserve"> of </w:t>
      </w:r>
      <w:r w:rsidR="00D045FD" w:rsidRPr="00CF4E81">
        <w:t>proposed intervention</w:t>
      </w:r>
    </w:p>
    <w:p w14:paraId="64F63D85" w14:textId="1BC5677E" w:rsidR="009821F7" w:rsidRPr="00B02E35" w:rsidRDefault="009821F7" w:rsidP="009821F7">
      <w:pPr>
        <w:spacing w:before="240" w:after="240"/>
      </w:pPr>
      <w:r>
        <w:t xml:space="preserve">The proposed intervention, PBT, is a form of external beam radiotherapy that uses heavier particles (protons) instead of conventional intensity modulated radiotherapy </w:t>
      </w:r>
      <w:r w:rsidR="00D045FD">
        <w:t xml:space="preserve">(IMRT) </w:t>
      </w:r>
      <w:r>
        <w:t xml:space="preserve">with </w:t>
      </w:r>
      <w:proofErr w:type="spellStart"/>
      <w:r>
        <w:t>photons</w:t>
      </w:r>
      <w:proofErr w:type="spellEnd"/>
      <w:r>
        <w:t>.</w:t>
      </w:r>
      <w:r w:rsidRPr="0087446A">
        <w:t xml:space="preserve"> </w:t>
      </w:r>
      <w:r>
        <w:t>Compared to photons, p</w:t>
      </w:r>
      <w:r w:rsidRPr="00F73466">
        <w:t>rotons</w:t>
      </w:r>
      <w:r>
        <w:t xml:space="preserve"> have a finite range in matter and have a maximal energy deposition immediately prior to this end of range. This allows for more</w:t>
      </w:r>
      <w:r w:rsidRPr="00F73466">
        <w:t xml:space="preserve"> </w:t>
      </w:r>
      <w:r>
        <w:t>radiation dose</w:t>
      </w:r>
      <w:r w:rsidRPr="00F73466">
        <w:t xml:space="preserve"> </w:t>
      </w:r>
      <w:r>
        <w:t xml:space="preserve">within </w:t>
      </w:r>
      <w:r w:rsidRPr="00F73466">
        <w:t>the tumour</w:t>
      </w:r>
      <w:r>
        <w:t xml:space="preserve"> rather than the surrounding healthy tissues (</w:t>
      </w:r>
      <w:proofErr w:type="spellStart"/>
      <w:r>
        <w:t>Paganetti</w:t>
      </w:r>
      <w:proofErr w:type="spellEnd"/>
      <w:r>
        <w:t>, 2002)</w:t>
      </w:r>
      <w:r w:rsidRPr="00F73466">
        <w:t>.</w:t>
      </w:r>
    </w:p>
    <w:p w14:paraId="55A2F367" w14:textId="6C0F876D" w:rsidR="00CF4E81" w:rsidRPr="00CF4E81" w:rsidRDefault="00CF4E81" w:rsidP="00A740F4">
      <w:pPr>
        <w:pStyle w:val="Heading2"/>
        <w:keepNext/>
      </w:pPr>
      <w:r w:rsidRPr="00CF4E81">
        <w:t xml:space="preserve">Description of </w:t>
      </w:r>
      <w:r w:rsidR="00D045FD" w:rsidRPr="00CF4E81">
        <w:t>medical co</w:t>
      </w:r>
      <w:r w:rsidRPr="00CF4E81">
        <w:t>ndition(s)</w:t>
      </w:r>
    </w:p>
    <w:p w14:paraId="67609952" w14:textId="16AAED1E" w:rsidR="009821F7" w:rsidRDefault="009821F7" w:rsidP="009821F7">
      <w:r>
        <w:t xml:space="preserve">Two patient populations </w:t>
      </w:r>
      <w:r w:rsidR="00D045FD">
        <w:t>we</w:t>
      </w:r>
      <w:r>
        <w:t>re proposed to be treated with PBT:</w:t>
      </w:r>
    </w:p>
    <w:p w14:paraId="7FE6D5FF" w14:textId="77777777" w:rsidR="009821F7" w:rsidRDefault="009821F7" w:rsidP="00CD2790">
      <w:pPr>
        <w:pStyle w:val="ListParagraph"/>
        <w:numPr>
          <w:ilvl w:val="0"/>
          <w:numId w:val="12"/>
        </w:numPr>
      </w:pPr>
      <w:r>
        <w:t>adult patients with rare cancers of the neck and spine, and</w:t>
      </w:r>
    </w:p>
    <w:p w14:paraId="593B8593" w14:textId="72B3DA13" w:rsidR="009821F7" w:rsidRDefault="009821F7" w:rsidP="009821F7">
      <w:pPr>
        <w:pStyle w:val="ListParagraph"/>
        <w:numPr>
          <w:ilvl w:val="0"/>
          <w:numId w:val="12"/>
        </w:numPr>
      </w:pPr>
      <w:proofErr w:type="gramStart"/>
      <w:r>
        <w:t>paediatric</w:t>
      </w:r>
      <w:proofErr w:type="gramEnd"/>
      <w:r>
        <w:t xml:space="preserve"> and AYA patients with solid tumours located in the head, neck or trunk of the body.</w:t>
      </w:r>
    </w:p>
    <w:p w14:paraId="5B802DF8" w14:textId="30E97EE2" w:rsidR="009821F7" w:rsidRPr="002B4A90" w:rsidRDefault="009821F7" w:rsidP="00415A23">
      <w:pPr>
        <w:spacing w:before="240" w:after="240"/>
        <w:rPr>
          <w:szCs w:val="24"/>
        </w:rPr>
      </w:pPr>
      <w:r>
        <w:t xml:space="preserve">The cancers in the two proposed populations </w:t>
      </w:r>
      <w:r w:rsidR="00D045FD">
        <w:t>we</w:t>
      </w:r>
      <w:r>
        <w:t>re stated to be typically cancers of the central nervous system (CNS) and in proximity to the axial skeleton and would include patients with rare cancers who are currently eligible for funding through MTOP to access PBT overseas.</w:t>
      </w:r>
    </w:p>
    <w:p w14:paraId="772831C8" w14:textId="6885F5A8" w:rsidR="009821F7" w:rsidRDefault="009821F7" w:rsidP="00D045FD">
      <w:pPr>
        <w:spacing w:after="240"/>
      </w:pPr>
      <w:r w:rsidRPr="004F187E">
        <w:t>The current and the proposed clinical management algorithm</w:t>
      </w:r>
      <w:r w:rsidR="00D045FD">
        <w:t>s</w:t>
      </w:r>
      <w:r w:rsidRPr="004F187E">
        <w:t xml:space="preserve"> </w:t>
      </w:r>
      <w:r>
        <w:t xml:space="preserve">for the treatment of adult patients with rare cancers of the neck and spine (PICO 1), and paediatric and AYA patients with solid tumours located in the head, neck of trunk of the body (PICO 2) are </w:t>
      </w:r>
      <w:r w:rsidRPr="004F187E">
        <w:t xml:space="preserve">described in </w:t>
      </w:r>
      <w:r>
        <w:fldChar w:fldCharType="begin"/>
      </w:r>
      <w:r>
        <w:instrText xml:space="preserve"> REF _Ref48902101 \h </w:instrText>
      </w:r>
      <w:r>
        <w:fldChar w:fldCharType="separate"/>
      </w:r>
      <w:r w:rsidR="00810FF0">
        <w:t xml:space="preserve">Figure </w:t>
      </w:r>
      <w:r w:rsidR="00810FF0">
        <w:rPr>
          <w:noProof/>
        </w:rPr>
        <w:t>1</w:t>
      </w:r>
      <w:r>
        <w:fldChar w:fldCharType="end"/>
      </w:r>
      <w:r>
        <w:t xml:space="preserve"> and </w:t>
      </w:r>
      <w:r>
        <w:fldChar w:fldCharType="begin"/>
      </w:r>
      <w:r>
        <w:instrText xml:space="preserve"> REF _Ref48902122 \h </w:instrText>
      </w:r>
      <w:r>
        <w:fldChar w:fldCharType="separate"/>
      </w:r>
      <w:r w:rsidR="00810FF0">
        <w:t xml:space="preserve">Figure </w:t>
      </w:r>
      <w:r w:rsidR="00810FF0">
        <w:rPr>
          <w:noProof/>
        </w:rPr>
        <w:t>2</w:t>
      </w:r>
      <w:r>
        <w:fldChar w:fldCharType="end"/>
      </w:r>
      <w:r w:rsidRPr="004F187E">
        <w:t>, respectively.</w:t>
      </w:r>
    </w:p>
    <w:p w14:paraId="2524515C" w14:textId="690F6802" w:rsidR="009821F7" w:rsidRDefault="009821F7" w:rsidP="00D045FD">
      <w:pPr>
        <w:spacing w:after="240"/>
      </w:pPr>
      <w:r>
        <w:t xml:space="preserve">The commentary noted that the current and proposed clinical management algorithms are the same algorithms presented in MSAC Application 1455, and are realistic. </w:t>
      </w:r>
      <w:r w:rsidRPr="00E94AF5">
        <w:t xml:space="preserve">The addition of the </w:t>
      </w:r>
      <w:r w:rsidRPr="00E94AF5">
        <w:lastRenderedPageBreak/>
        <w:t xml:space="preserve">PBT to the </w:t>
      </w:r>
      <w:r w:rsidR="00796E59">
        <w:t xml:space="preserve">current </w:t>
      </w:r>
      <w:r w:rsidRPr="00E94AF5">
        <w:t xml:space="preserve">clinical management algorithm </w:t>
      </w:r>
      <w:r>
        <w:t xml:space="preserve">would </w:t>
      </w:r>
      <w:r w:rsidRPr="00E94AF5">
        <w:t>increase</w:t>
      </w:r>
      <w:r>
        <w:t xml:space="preserve"> the</w:t>
      </w:r>
      <w:r w:rsidRPr="00E94AF5">
        <w:t xml:space="preserve"> radiation ther</w:t>
      </w:r>
      <w:r>
        <w:t>apy options available in Australia.</w:t>
      </w:r>
    </w:p>
    <w:p w14:paraId="4D07F163" w14:textId="77777777" w:rsidR="009821F7" w:rsidRPr="00073316" w:rsidRDefault="009821F7" w:rsidP="009821F7">
      <w:r>
        <w:rPr>
          <w:noProof/>
        </w:rPr>
        <w:drawing>
          <wp:inline distT="0" distB="0" distL="0" distR="0" wp14:anchorId="4A5CEDB8" wp14:editId="6A1890EB">
            <wp:extent cx="5724525" cy="5340985"/>
            <wp:effectExtent l="0" t="0" r="9525" b="0"/>
            <wp:docPr id="700226560" name="Picture 2" descr="Current clinical management algorithm for PICO 1 and P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740970" cy="5356328"/>
                    </a:xfrm>
                    <a:prstGeom prst="rect">
                      <a:avLst/>
                    </a:prstGeom>
                    <a:ln>
                      <a:noFill/>
                    </a:ln>
                    <a:extLst>
                      <a:ext uri="{53640926-AAD7-44D8-BBD7-CCE9431645EC}">
                        <a14:shadowObscured xmlns:a14="http://schemas.microsoft.com/office/drawing/2010/main"/>
                      </a:ext>
                    </a:extLst>
                  </pic:spPr>
                </pic:pic>
              </a:graphicData>
            </a:graphic>
          </wp:inline>
        </w:drawing>
      </w:r>
    </w:p>
    <w:p w14:paraId="44C43E27" w14:textId="2B4ED357" w:rsidR="009821F7" w:rsidRPr="009E589D" w:rsidRDefault="009821F7" w:rsidP="009E589D">
      <w:pPr>
        <w:rPr>
          <w:rFonts w:ascii="Arial Narrow" w:hAnsi="Arial Narrow"/>
          <w:b/>
          <w:sz w:val="20"/>
        </w:rPr>
      </w:pPr>
      <w:bookmarkStart w:id="21" w:name="_Ref48902101"/>
      <w:bookmarkStart w:id="22" w:name="_Toc50391323"/>
      <w:bookmarkStart w:id="23" w:name="_Toc48916482"/>
      <w:r w:rsidRPr="009E589D">
        <w:rPr>
          <w:rFonts w:ascii="Arial Narrow" w:hAnsi="Arial Narrow"/>
          <w:b/>
          <w:sz w:val="20"/>
        </w:rPr>
        <w:t xml:space="preserve">Figure </w:t>
      </w:r>
      <w:r w:rsidR="00FD0A9A" w:rsidRPr="009E589D">
        <w:rPr>
          <w:rFonts w:ascii="Arial Narrow" w:hAnsi="Arial Narrow"/>
          <w:b/>
          <w:sz w:val="20"/>
        </w:rPr>
        <w:fldChar w:fldCharType="begin"/>
      </w:r>
      <w:r w:rsidR="00FD0A9A" w:rsidRPr="009E589D">
        <w:rPr>
          <w:rFonts w:ascii="Arial Narrow" w:hAnsi="Arial Narrow"/>
          <w:b/>
          <w:sz w:val="20"/>
        </w:rPr>
        <w:instrText xml:space="preserve"> SEQ Figure \* ARABIC </w:instrText>
      </w:r>
      <w:r w:rsidR="00FD0A9A" w:rsidRPr="009E589D">
        <w:rPr>
          <w:rFonts w:ascii="Arial Narrow" w:hAnsi="Arial Narrow"/>
          <w:b/>
          <w:sz w:val="20"/>
        </w:rPr>
        <w:fldChar w:fldCharType="separate"/>
      </w:r>
      <w:r w:rsidR="00810FF0" w:rsidRPr="009E589D">
        <w:rPr>
          <w:rFonts w:ascii="Arial Narrow" w:hAnsi="Arial Narrow"/>
          <w:b/>
          <w:sz w:val="20"/>
        </w:rPr>
        <w:t>1</w:t>
      </w:r>
      <w:r w:rsidR="00FD0A9A" w:rsidRPr="009E589D">
        <w:rPr>
          <w:rFonts w:ascii="Arial Narrow" w:hAnsi="Arial Narrow"/>
          <w:b/>
          <w:sz w:val="20"/>
        </w:rPr>
        <w:fldChar w:fldCharType="end"/>
      </w:r>
      <w:bookmarkEnd w:id="21"/>
      <w:r w:rsidRPr="009E589D">
        <w:rPr>
          <w:rFonts w:ascii="Arial Narrow" w:hAnsi="Arial Narrow"/>
          <w:b/>
          <w:sz w:val="20"/>
        </w:rPr>
        <w:tab/>
        <w:t>Current clinical management algorithm for PICO 1 and PICO 2</w:t>
      </w:r>
      <w:bookmarkEnd w:id="22"/>
      <w:bookmarkEnd w:id="23"/>
    </w:p>
    <w:p w14:paraId="37913A2E" w14:textId="77777777" w:rsidR="009821F7" w:rsidRPr="00745471" w:rsidRDefault="009821F7" w:rsidP="00654AB1">
      <w:pPr>
        <w:pStyle w:val="Tablenotes"/>
      </w:pPr>
      <w:r w:rsidRPr="00745471">
        <w:t>Source: Figure 2, p 47 of ADAR</w:t>
      </w:r>
      <w:r w:rsidRPr="00745471">
        <w:br/>
      </w:r>
      <w:r>
        <w:t>Abbreviations: IMRT=</w:t>
      </w:r>
      <w:r w:rsidRPr="00745471">
        <w:t>intensity mo</w:t>
      </w:r>
      <w:r>
        <w:t>dulated radiation therapy; MTOP=medical treatment overseas program; PBT=proton beam therapy; PICO=</w:t>
      </w:r>
      <w:r w:rsidRPr="00745471">
        <w:t>population, interve</w:t>
      </w:r>
      <w:r>
        <w:t>ntion, comparator, outcome; SRT=</w:t>
      </w:r>
      <w:r w:rsidRPr="00745471">
        <w:t>stereotactic radiation therapy</w:t>
      </w:r>
    </w:p>
    <w:p w14:paraId="5971D2A6" w14:textId="77777777" w:rsidR="009821F7" w:rsidRDefault="009821F7" w:rsidP="009821F7">
      <w:bookmarkStart w:id="24" w:name="_Ref48467576"/>
      <w:r>
        <w:rPr>
          <w:noProof/>
        </w:rPr>
        <w:lastRenderedPageBreak/>
        <w:drawing>
          <wp:inline distT="0" distB="0" distL="0" distR="0" wp14:anchorId="4B7C88D9" wp14:editId="039AC1E1">
            <wp:extent cx="5735747" cy="4495800"/>
            <wp:effectExtent l="0" t="0" r="0" b="0"/>
            <wp:docPr id="1632240228" name="Picture 5" descr="Proposed clinical management algorithm for PICO 1 and P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5741594" cy="4500383"/>
                    </a:xfrm>
                    <a:prstGeom prst="rect">
                      <a:avLst/>
                    </a:prstGeom>
                    <a:ln>
                      <a:noFill/>
                    </a:ln>
                    <a:extLst>
                      <a:ext uri="{53640926-AAD7-44D8-BBD7-CCE9431645EC}">
                        <a14:shadowObscured xmlns:a14="http://schemas.microsoft.com/office/drawing/2010/main"/>
                      </a:ext>
                    </a:extLst>
                  </pic:spPr>
                </pic:pic>
              </a:graphicData>
            </a:graphic>
          </wp:inline>
        </w:drawing>
      </w:r>
      <w:bookmarkEnd w:id="24"/>
    </w:p>
    <w:p w14:paraId="7EAAFF45" w14:textId="5E31010D" w:rsidR="009821F7" w:rsidRPr="009E589D" w:rsidRDefault="009821F7" w:rsidP="009E589D">
      <w:pPr>
        <w:rPr>
          <w:rFonts w:ascii="Arial Narrow" w:hAnsi="Arial Narrow"/>
          <w:b/>
          <w:sz w:val="20"/>
        </w:rPr>
      </w:pPr>
      <w:bookmarkStart w:id="25" w:name="_Ref48902122"/>
      <w:bookmarkStart w:id="26" w:name="_Toc50391324"/>
      <w:bookmarkStart w:id="27" w:name="_Toc48916483"/>
      <w:r w:rsidRPr="009E589D">
        <w:rPr>
          <w:rFonts w:ascii="Arial Narrow" w:hAnsi="Arial Narrow"/>
          <w:b/>
          <w:sz w:val="20"/>
        </w:rPr>
        <w:t xml:space="preserve">Figure </w:t>
      </w:r>
      <w:r w:rsidR="00FD0A9A" w:rsidRPr="009E589D">
        <w:rPr>
          <w:rFonts w:ascii="Arial Narrow" w:hAnsi="Arial Narrow"/>
          <w:b/>
          <w:sz w:val="20"/>
        </w:rPr>
        <w:fldChar w:fldCharType="begin"/>
      </w:r>
      <w:r w:rsidR="00FD0A9A" w:rsidRPr="009E589D">
        <w:rPr>
          <w:rFonts w:ascii="Arial Narrow" w:hAnsi="Arial Narrow"/>
          <w:b/>
          <w:sz w:val="20"/>
        </w:rPr>
        <w:instrText xml:space="preserve"> SEQ Figure \* ARABIC </w:instrText>
      </w:r>
      <w:r w:rsidR="00FD0A9A" w:rsidRPr="009E589D">
        <w:rPr>
          <w:rFonts w:ascii="Arial Narrow" w:hAnsi="Arial Narrow"/>
          <w:b/>
          <w:sz w:val="20"/>
        </w:rPr>
        <w:fldChar w:fldCharType="separate"/>
      </w:r>
      <w:r w:rsidR="00810FF0" w:rsidRPr="009E589D">
        <w:rPr>
          <w:rFonts w:ascii="Arial Narrow" w:hAnsi="Arial Narrow"/>
          <w:b/>
          <w:sz w:val="20"/>
        </w:rPr>
        <w:t>2</w:t>
      </w:r>
      <w:r w:rsidR="00FD0A9A" w:rsidRPr="009E589D">
        <w:rPr>
          <w:rFonts w:ascii="Arial Narrow" w:hAnsi="Arial Narrow"/>
          <w:b/>
          <w:sz w:val="20"/>
        </w:rPr>
        <w:fldChar w:fldCharType="end"/>
      </w:r>
      <w:bookmarkEnd w:id="25"/>
      <w:r w:rsidRPr="009E589D">
        <w:rPr>
          <w:rFonts w:ascii="Arial Narrow" w:hAnsi="Arial Narrow"/>
          <w:b/>
          <w:sz w:val="20"/>
        </w:rPr>
        <w:tab/>
        <w:t>Proposed clinical management algorithm for PICO 1 and PICO 2</w:t>
      </w:r>
      <w:bookmarkEnd w:id="26"/>
      <w:bookmarkEnd w:id="27"/>
    </w:p>
    <w:p w14:paraId="010FF986" w14:textId="77777777" w:rsidR="009821F7" w:rsidRPr="00965B4D" w:rsidRDefault="009821F7" w:rsidP="00654AB1">
      <w:pPr>
        <w:pStyle w:val="Tablenotes"/>
      </w:pPr>
      <w:r w:rsidRPr="00965B4D">
        <w:t>Source: Figure 3, p 48 of ADAR</w:t>
      </w:r>
      <w:r w:rsidRPr="00965B4D">
        <w:br/>
      </w:r>
      <w:r w:rsidRPr="00965B4D">
        <w:rPr>
          <w:rStyle w:val="normaltextrun"/>
        </w:rPr>
        <w:t>Abbreviations: IMRT=intensity modulated radiation therapy; PBT=proton beam therapy; PICO=population, intervention, comparator, outcome; SRT=stereotactic radiation therapy</w:t>
      </w:r>
      <w:r w:rsidRPr="00965B4D">
        <w:rPr>
          <w:rStyle w:val="eop"/>
        </w:rPr>
        <w:t> </w:t>
      </w:r>
    </w:p>
    <w:p w14:paraId="5CE43C1B" w14:textId="4C0751F8" w:rsidR="00BC1364" w:rsidRPr="00F715D1" w:rsidRDefault="00796E59" w:rsidP="00F715D1">
      <w:pPr>
        <w:pStyle w:val="Heading1"/>
      </w:pPr>
      <w:r>
        <w:t>Comparator</w:t>
      </w:r>
    </w:p>
    <w:p w14:paraId="3AE2BB04" w14:textId="30D092E6" w:rsidR="009821F7" w:rsidRDefault="009821F7" w:rsidP="009821F7">
      <w:r>
        <w:t xml:space="preserve">The proposed comparator, usual standard of care, comprised </w:t>
      </w:r>
      <w:r w:rsidR="00796E59">
        <w:t xml:space="preserve">photon </w:t>
      </w:r>
      <w:r>
        <w:t xml:space="preserve">radiation therapy alternatives, such as IMRT, stereotactic radiation therapy (SRT) or other external beam therapies, which were together referred </w:t>
      </w:r>
      <w:r w:rsidR="00CD2790">
        <w:t xml:space="preserve">to as </w:t>
      </w:r>
      <w:r>
        <w:t>PRT. While the clinical assessment included several PRT alternatives funded on the MBS, IMRT was the main PRT comparator.</w:t>
      </w:r>
    </w:p>
    <w:p w14:paraId="272D5A47" w14:textId="77777777" w:rsidR="00BC1364" w:rsidRPr="00F715D1" w:rsidRDefault="00BC1364" w:rsidP="00F715D1">
      <w:pPr>
        <w:pStyle w:val="Heading1"/>
      </w:pPr>
      <w:r w:rsidRPr="00F715D1">
        <w:t>Comparative safety</w:t>
      </w:r>
    </w:p>
    <w:p w14:paraId="11ED16C2" w14:textId="77777777" w:rsidR="009821F7" w:rsidRDefault="009821F7" w:rsidP="009821F7">
      <w:pPr>
        <w:spacing w:after="240"/>
      </w:pPr>
      <w:r>
        <w:t xml:space="preserve">The evidence base presented in the ADAR (MSAC 1638) comprised </w:t>
      </w:r>
      <w:r w:rsidRPr="005643EF">
        <w:t xml:space="preserve">28 </w:t>
      </w:r>
      <w:r>
        <w:t xml:space="preserve">retrospective </w:t>
      </w:r>
      <w:r w:rsidRPr="005643EF">
        <w:t>comparative</w:t>
      </w:r>
      <w:r>
        <w:t xml:space="preserve"> studies. In comparison, the previous evidence base presented for MSAC Application 1455 comprised f</w:t>
      </w:r>
      <w:r w:rsidRPr="005643EF">
        <w:t>ive systematic reviews, two previous health technology assessment reports, and</w:t>
      </w:r>
      <w:r>
        <w:t xml:space="preserve"> </w:t>
      </w:r>
      <w:r w:rsidRPr="005643EF">
        <w:t>17 comparative cohort studies</w:t>
      </w:r>
      <w:r>
        <w:t xml:space="preserve"> (p7, </w:t>
      </w:r>
      <w:hyperlink r:id="rId19" w:history="1">
        <w:r w:rsidRPr="00EE7A15">
          <w:rPr>
            <w:rStyle w:val="Hyperlink"/>
          </w:rPr>
          <w:t>MSAC Application 1455 P</w:t>
        </w:r>
        <w:r>
          <w:rPr>
            <w:rStyle w:val="Hyperlink"/>
          </w:rPr>
          <w:t>SD</w:t>
        </w:r>
      </w:hyperlink>
      <w:r>
        <w:t>).</w:t>
      </w:r>
    </w:p>
    <w:p w14:paraId="4F8ED675" w14:textId="77777777" w:rsidR="009821F7" w:rsidRDefault="009821F7" w:rsidP="009821F7">
      <w:pPr>
        <w:spacing w:after="240"/>
      </w:pPr>
      <w:r>
        <w:t xml:space="preserve">The commentary noted that the literature search conducted in the ADAR was </w:t>
      </w:r>
      <w:r w:rsidRPr="00552262">
        <w:t>inadequate in identifying all the appropriate available evidence for PBT compared with PRT</w:t>
      </w:r>
      <w:r>
        <w:t xml:space="preserve">. Therefore, the commentary conducted a systematic literature search with no date limits and re-evaluated the studies included in the ADAR. The commentary identified four studies that were not included in the ADAR and </w:t>
      </w:r>
      <w:r>
        <w:rPr>
          <w:rStyle w:val="normaltextrun"/>
          <w:rFonts w:cs="Calibri"/>
          <w:color w:val="000000"/>
          <w:bdr w:val="none" w:sz="0" w:space="0" w:color="auto" w:frame="1"/>
        </w:rPr>
        <w:t xml:space="preserve">that 8/28 included in the ADAR (six for the PICO 1 adult population and two for the PICO 2 </w:t>
      </w:r>
      <w:r>
        <w:rPr>
          <w:snapToGrid w:val="0"/>
          <w:lang w:eastAsia="en-US"/>
        </w:rPr>
        <w:t>paediatric and AYA population</w:t>
      </w:r>
      <w:r>
        <w:rPr>
          <w:rStyle w:val="normaltextrun"/>
          <w:rFonts w:cs="Calibri"/>
          <w:color w:val="000000"/>
          <w:bdr w:val="none" w:sz="0" w:space="0" w:color="auto" w:frame="1"/>
        </w:rPr>
        <w:t>) did not meet the inclusion criteria as per the PICO</w:t>
      </w:r>
      <w:r w:rsidRPr="00552262">
        <w:t xml:space="preserve">. </w:t>
      </w:r>
      <w:r>
        <w:t>The commentary excluded these eight studies: f</w:t>
      </w:r>
      <w:r w:rsidRPr="00B36C25">
        <w:t xml:space="preserve">our for wrong population, three for wrong comparator and one for wrong outcomes. </w:t>
      </w:r>
      <w:r w:rsidRPr="00552262">
        <w:t xml:space="preserve">Therefore, the evidence base considered in </w:t>
      </w:r>
      <w:r>
        <w:t>the commentary included 24 studies.</w:t>
      </w:r>
    </w:p>
    <w:p w14:paraId="35C6395F" w14:textId="3BE7106A" w:rsidR="009821F7" w:rsidRDefault="009821F7" w:rsidP="009821F7">
      <w:pPr>
        <w:spacing w:after="240"/>
      </w:pPr>
      <w:r w:rsidRPr="00183E4D">
        <w:lastRenderedPageBreak/>
        <w:t xml:space="preserve">A summary </w:t>
      </w:r>
      <w:r>
        <w:t xml:space="preserve">of the commentary’s evidence bases for PICO 1 and PICO 2 is presented in </w:t>
      </w:r>
      <w:r w:rsidRPr="00233DF6">
        <w:fldChar w:fldCharType="begin"/>
      </w:r>
      <w:r w:rsidRPr="00233DF6">
        <w:instrText xml:space="preserve"> REF _Ref399236533 \h </w:instrText>
      </w:r>
      <w:r>
        <w:instrText xml:space="preserve"> \* MERGEFORMAT </w:instrText>
      </w:r>
      <w:r w:rsidRPr="00233DF6">
        <w:fldChar w:fldCharType="separate"/>
      </w:r>
      <w:r w:rsidR="00810FF0" w:rsidRPr="005E5B41">
        <w:t xml:space="preserve">Table </w:t>
      </w:r>
      <w:r w:rsidR="00810FF0">
        <w:rPr>
          <w:noProof/>
        </w:rPr>
        <w:t>7</w:t>
      </w:r>
      <w:r w:rsidRPr="00233DF6">
        <w:fldChar w:fldCharType="end"/>
      </w:r>
      <w:r>
        <w:t xml:space="preserve"> and </w:t>
      </w:r>
      <w:r>
        <w:fldChar w:fldCharType="begin"/>
      </w:r>
      <w:r>
        <w:instrText xml:space="preserve"> REF _Ref48298290 \h </w:instrText>
      </w:r>
      <w:r>
        <w:fldChar w:fldCharType="separate"/>
      </w:r>
      <w:r w:rsidR="00810FF0">
        <w:t xml:space="preserve">Table </w:t>
      </w:r>
      <w:r w:rsidR="00810FF0">
        <w:rPr>
          <w:noProof/>
        </w:rPr>
        <w:t>8</w:t>
      </w:r>
      <w:r>
        <w:fldChar w:fldCharType="end"/>
      </w:r>
      <w:r>
        <w:t>, respectively, along with mark-up to show new studies included by the commentary (italics), studies included in the ADAR but excluded by the commentary (</w:t>
      </w:r>
      <w:r w:rsidRPr="00040CA3">
        <w:rPr>
          <w:strike/>
        </w:rPr>
        <w:t>strikethrough</w:t>
      </w:r>
      <w:r>
        <w:t xml:space="preserve">) </w:t>
      </w:r>
      <w:r w:rsidRPr="00040CA3">
        <w:t>and</w:t>
      </w:r>
      <w:r>
        <w:t xml:space="preserve"> studies not previously considered as part of MSAC Application 1455 (*)</w:t>
      </w:r>
      <w:r w:rsidRPr="00183E4D">
        <w:t>.</w:t>
      </w:r>
    </w:p>
    <w:p w14:paraId="1093B673" w14:textId="77777777" w:rsidR="009821F7" w:rsidRDefault="009821F7" w:rsidP="009821F7">
      <w:pPr>
        <w:spacing w:after="240"/>
        <w:rPr>
          <w:snapToGrid w:val="0"/>
          <w:lang w:eastAsia="en-US"/>
        </w:rPr>
      </w:pPr>
      <w:r>
        <w:t xml:space="preserve">For </w:t>
      </w:r>
      <w:r>
        <w:rPr>
          <w:snapToGrid w:val="0"/>
          <w:lang w:eastAsia="en-US"/>
        </w:rPr>
        <w:t xml:space="preserve">adult patients with tumours of the head and spine (PICO 1), </w:t>
      </w:r>
      <w:r>
        <w:t xml:space="preserve">six retrospective comparative studies were included in the commentary evidence base, all six studies were not </w:t>
      </w:r>
      <w:r>
        <w:rPr>
          <w:snapToGrid w:val="0"/>
          <w:lang w:eastAsia="en-US"/>
        </w:rPr>
        <w:t>previously considered by MSAC as part of MSAC Application 1455.</w:t>
      </w:r>
    </w:p>
    <w:p w14:paraId="0DCB1174" w14:textId="77777777" w:rsidR="009821F7" w:rsidRPr="000B1B88" w:rsidRDefault="009821F7" w:rsidP="009821F7">
      <w:pPr>
        <w:spacing w:after="240"/>
        <w:rPr>
          <w:szCs w:val="24"/>
        </w:rPr>
      </w:pPr>
      <w:r>
        <w:rPr>
          <w:snapToGrid w:val="0"/>
          <w:lang w:eastAsia="en-US"/>
        </w:rPr>
        <w:t>For paediatric and AYA patients with solid tumours (PICO 2), 18 retrospective comparative studies were included in the commentary evidence base, 10 studies were not previously considered by MSAC as part of MSAC Application 1455.</w:t>
      </w:r>
    </w:p>
    <w:p w14:paraId="4269410B" w14:textId="180DA7C0" w:rsidR="009821F7" w:rsidRPr="00DD6551" w:rsidRDefault="009821F7" w:rsidP="00DD6551">
      <w:pPr>
        <w:rPr>
          <w:rFonts w:ascii="Arial Narrow" w:hAnsi="Arial Narrow"/>
          <w:b/>
          <w:sz w:val="20"/>
        </w:rPr>
      </w:pPr>
      <w:bookmarkStart w:id="28" w:name="_Ref399236533"/>
      <w:bookmarkStart w:id="29" w:name="_Toc399251133"/>
      <w:bookmarkStart w:id="30" w:name="_Toc48916449"/>
      <w:bookmarkStart w:id="31" w:name="_Toc50391283"/>
      <w:r w:rsidRPr="00DD6551">
        <w:rPr>
          <w:rFonts w:ascii="Arial Narrow" w:hAnsi="Arial Narrow"/>
          <w:b/>
          <w:sz w:val="20"/>
        </w:rPr>
        <w:t xml:space="preserve">Table </w:t>
      </w:r>
      <w:r w:rsidRPr="00DD6551">
        <w:rPr>
          <w:rFonts w:ascii="Arial Narrow" w:hAnsi="Arial Narrow"/>
          <w:b/>
          <w:sz w:val="20"/>
        </w:rPr>
        <w:fldChar w:fldCharType="begin"/>
      </w:r>
      <w:r w:rsidRPr="00DD6551">
        <w:rPr>
          <w:rFonts w:ascii="Arial Narrow" w:hAnsi="Arial Narrow"/>
          <w:b/>
          <w:sz w:val="20"/>
        </w:rPr>
        <w:instrText>SEQ Table \* ARABIC</w:instrText>
      </w:r>
      <w:r w:rsidRPr="00DD6551">
        <w:rPr>
          <w:rFonts w:ascii="Arial Narrow" w:hAnsi="Arial Narrow"/>
          <w:b/>
          <w:sz w:val="20"/>
        </w:rPr>
        <w:fldChar w:fldCharType="separate"/>
      </w:r>
      <w:r w:rsidR="00810FF0" w:rsidRPr="00DD6551">
        <w:rPr>
          <w:rFonts w:ascii="Arial Narrow" w:hAnsi="Arial Narrow"/>
          <w:b/>
          <w:sz w:val="20"/>
        </w:rPr>
        <w:t>7</w:t>
      </w:r>
      <w:r w:rsidRPr="00DD6551">
        <w:rPr>
          <w:rFonts w:ascii="Arial Narrow" w:hAnsi="Arial Narrow"/>
          <w:b/>
          <w:sz w:val="20"/>
        </w:rPr>
        <w:fldChar w:fldCharType="end"/>
      </w:r>
      <w:bookmarkEnd w:id="28"/>
      <w:bookmarkEnd w:id="29"/>
      <w:r w:rsidRPr="00DD6551">
        <w:rPr>
          <w:rFonts w:ascii="Arial Narrow" w:hAnsi="Arial Narrow"/>
          <w:b/>
          <w:sz w:val="20"/>
        </w:rPr>
        <w:tab/>
        <w:t>Key features of the included evidence comparing PBT with usual standard of care in adult patients with tumours of the head and spine</w:t>
      </w:r>
      <w:bookmarkEnd w:id="30"/>
      <w:r w:rsidRPr="00DD6551">
        <w:rPr>
          <w:rFonts w:ascii="Arial Narrow" w:hAnsi="Arial Narrow"/>
          <w:b/>
          <w:sz w:val="20"/>
        </w:rPr>
        <w:t xml:space="preserve"> and assessed to be eligible as part of the independent assessment undertaken for the commentary</w:t>
      </w:r>
      <w:bookmarkEnd w:id="31"/>
    </w:p>
    <w:tbl>
      <w:tblPr>
        <w:tblStyle w:val="TableGrid1"/>
        <w:tblW w:w="5000" w:type="pct"/>
        <w:tblLook w:val="04A0" w:firstRow="1" w:lastRow="0" w:firstColumn="1" w:lastColumn="0" w:noHBand="0" w:noVBand="1"/>
        <w:tblCaption w:val=" Key features of the included evidence comparing PBT with comparator in adult patients"/>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065"/>
        <w:gridCol w:w="718"/>
        <w:gridCol w:w="1219"/>
        <w:gridCol w:w="1028"/>
        <w:gridCol w:w="1821"/>
        <w:gridCol w:w="2182"/>
        <w:gridCol w:w="983"/>
      </w:tblGrid>
      <w:tr w:rsidR="009821F7" w:rsidRPr="00183E4D" w14:paraId="5462F768" w14:textId="77777777" w:rsidTr="009E589D">
        <w:trPr>
          <w:cnfStyle w:val="100000000000" w:firstRow="1" w:lastRow="0" w:firstColumn="0" w:lastColumn="0" w:oddVBand="0" w:evenVBand="0" w:oddHBand="0" w:evenHBand="0" w:firstRowFirstColumn="0" w:firstRowLastColumn="0" w:lastRowFirstColumn="0" w:lastRowLastColumn="0"/>
          <w:tblHeader/>
        </w:trPr>
        <w:tc>
          <w:tcPr>
            <w:tcW w:w="626" w:type="pct"/>
          </w:tcPr>
          <w:p w14:paraId="5AF11BC9" w14:textId="77777777" w:rsidR="009821F7" w:rsidRPr="00DE1403" w:rsidRDefault="009821F7" w:rsidP="009E589D">
            <w:pPr>
              <w:pStyle w:val="Tabletextboldleft"/>
              <w:keepNext w:val="0"/>
              <w:spacing w:before="0" w:after="0"/>
              <w:rPr>
                <w:snapToGrid w:val="0"/>
              </w:rPr>
            </w:pPr>
            <w:r w:rsidRPr="00DE1403">
              <w:rPr>
                <w:snapToGrid w:val="0"/>
              </w:rPr>
              <w:t>Trial/Study</w:t>
            </w:r>
          </w:p>
        </w:tc>
        <w:tc>
          <w:tcPr>
            <w:tcW w:w="312" w:type="pct"/>
          </w:tcPr>
          <w:p w14:paraId="6EC3D139" w14:textId="77777777" w:rsidR="009821F7" w:rsidRPr="00DE1403" w:rsidRDefault="009821F7" w:rsidP="009E589D">
            <w:pPr>
              <w:pStyle w:val="Tabletextboldleft"/>
              <w:keepNext w:val="0"/>
              <w:spacing w:before="0" w:after="0"/>
              <w:rPr>
                <w:snapToGrid w:val="0"/>
              </w:rPr>
            </w:pPr>
            <w:r w:rsidRPr="00DE1403">
              <w:rPr>
                <w:snapToGrid w:val="0"/>
              </w:rPr>
              <w:t>N</w:t>
            </w:r>
          </w:p>
        </w:tc>
        <w:tc>
          <w:tcPr>
            <w:tcW w:w="705" w:type="pct"/>
          </w:tcPr>
          <w:p w14:paraId="693E646D" w14:textId="77777777" w:rsidR="009821F7" w:rsidRPr="00DE1403" w:rsidRDefault="009821F7" w:rsidP="009E589D">
            <w:pPr>
              <w:pStyle w:val="Tabletextboldleft"/>
              <w:keepNext w:val="0"/>
              <w:spacing w:before="0" w:after="0"/>
              <w:rPr>
                <w:snapToGrid w:val="0"/>
              </w:rPr>
            </w:pPr>
            <w:r w:rsidRPr="00DE1403">
              <w:rPr>
                <w:snapToGrid w:val="0"/>
              </w:rPr>
              <w:t>Design/ duration</w:t>
            </w:r>
          </w:p>
        </w:tc>
        <w:tc>
          <w:tcPr>
            <w:tcW w:w="481" w:type="pct"/>
          </w:tcPr>
          <w:p w14:paraId="199F9905" w14:textId="77777777" w:rsidR="009821F7" w:rsidRPr="00DE1403" w:rsidRDefault="009821F7" w:rsidP="009E589D">
            <w:pPr>
              <w:pStyle w:val="Tabletextboldleft"/>
              <w:keepNext w:val="0"/>
              <w:spacing w:before="0" w:after="0"/>
              <w:rPr>
                <w:snapToGrid w:val="0"/>
              </w:rPr>
            </w:pPr>
            <w:r w:rsidRPr="00DE1403">
              <w:rPr>
                <w:snapToGrid w:val="0"/>
              </w:rPr>
              <w:t>Risk of bias</w:t>
            </w:r>
          </w:p>
        </w:tc>
        <w:tc>
          <w:tcPr>
            <w:tcW w:w="1017" w:type="pct"/>
          </w:tcPr>
          <w:p w14:paraId="1ABE0C1E" w14:textId="77777777" w:rsidR="009821F7" w:rsidRPr="00DE1403" w:rsidRDefault="009821F7" w:rsidP="009E589D">
            <w:pPr>
              <w:pStyle w:val="Tabletextboldleft"/>
              <w:keepNext w:val="0"/>
              <w:spacing w:before="0" w:after="0"/>
              <w:rPr>
                <w:snapToGrid w:val="0"/>
              </w:rPr>
            </w:pPr>
            <w:r w:rsidRPr="00DE1403">
              <w:rPr>
                <w:snapToGrid w:val="0"/>
              </w:rPr>
              <w:t>Patient population</w:t>
            </w:r>
          </w:p>
        </w:tc>
        <w:tc>
          <w:tcPr>
            <w:tcW w:w="1279" w:type="pct"/>
          </w:tcPr>
          <w:p w14:paraId="07E39053" w14:textId="77777777" w:rsidR="009821F7" w:rsidRPr="00DE1403" w:rsidRDefault="009821F7" w:rsidP="009E589D">
            <w:pPr>
              <w:pStyle w:val="Tabletextboldleft"/>
              <w:keepNext w:val="0"/>
              <w:spacing w:before="0" w:after="0"/>
              <w:rPr>
                <w:snapToGrid w:val="0"/>
              </w:rPr>
            </w:pPr>
            <w:r w:rsidRPr="00DE1403">
              <w:rPr>
                <w:snapToGrid w:val="0"/>
              </w:rPr>
              <w:t>Key outcome(s)</w:t>
            </w:r>
          </w:p>
        </w:tc>
        <w:tc>
          <w:tcPr>
            <w:tcW w:w="580" w:type="pct"/>
          </w:tcPr>
          <w:p w14:paraId="4024872F" w14:textId="77777777" w:rsidR="009821F7" w:rsidRPr="00DE1403" w:rsidRDefault="009821F7" w:rsidP="009E589D">
            <w:pPr>
              <w:pStyle w:val="Tabletextboldleft"/>
              <w:keepNext w:val="0"/>
              <w:spacing w:before="0" w:after="0"/>
              <w:rPr>
                <w:i/>
              </w:rPr>
            </w:pPr>
            <w:r w:rsidRPr="00DE1403">
              <w:rPr>
                <w:i/>
              </w:rPr>
              <w:t>Result used in economic model</w:t>
            </w:r>
          </w:p>
        </w:tc>
      </w:tr>
      <w:tr w:rsidR="009821F7" w:rsidRPr="002913B3" w14:paraId="05BB1D48" w14:textId="77777777" w:rsidTr="009E589D">
        <w:tc>
          <w:tcPr>
            <w:tcW w:w="626" w:type="pct"/>
          </w:tcPr>
          <w:p w14:paraId="73BA28BF" w14:textId="77777777" w:rsidR="009821F7" w:rsidRPr="00DE1403" w:rsidRDefault="009821F7" w:rsidP="009E589D">
            <w:pPr>
              <w:pStyle w:val="TableText0"/>
              <w:keepNext w:val="0"/>
              <w:spacing w:before="0" w:after="0"/>
              <w:rPr>
                <w:strike/>
              </w:rPr>
            </w:pPr>
            <w:r w:rsidRPr="00DE1403">
              <w:rPr>
                <w:strike/>
              </w:rPr>
              <w:t>Kahn 2011*</w:t>
            </w:r>
          </w:p>
        </w:tc>
        <w:tc>
          <w:tcPr>
            <w:tcW w:w="312" w:type="pct"/>
          </w:tcPr>
          <w:p w14:paraId="47BA0AAB" w14:textId="77777777" w:rsidR="009821F7" w:rsidRPr="00DE1403" w:rsidRDefault="009821F7" w:rsidP="009E589D">
            <w:pPr>
              <w:pStyle w:val="TableText0"/>
              <w:keepNext w:val="0"/>
              <w:spacing w:before="0" w:after="0"/>
              <w:rPr>
                <w:strike/>
              </w:rPr>
            </w:pPr>
            <w:r w:rsidRPr="00DE1403">
              <w:rPr>
                <w:strike/>
              </w:rPr>
              <w:t>32</w:t>
            </w:r>
          </w:p>
        </w:tc>
        <w:tc>
          <w:tcPr>
            <w:tcW w:w="705" w:type="pct"/>
          </w:tcPr>
          <w:p w14:paraId="47380F86" w14:textId="77777777" w:rsidR="009821F7" w:rsidRPr="00DE1403" w:rsidRDefault="009821F7" w:rsidP="009E589D">
            <w:pPr>
              <w:pStyle w:val="TableText0"/>
              <w:keepNext w:val="0"/>
              <w:spacing w:before="0" w:after="0"/>
              <w:rPr>
                <w:strike/>
              </w:rPr>
            </w:pPr>
            <w:r w:rsidRPr="00DE1403">
              <w:rPr>
                <w:strike/>
                <w:w w:val="95"/>
              </w:rPr>
              <w:t xml:space="preserve">Retrospective </w:t>
            </w:r>
            <w:r w:rsidRPr="00DE1403">
              <w:rPr>
                <w:strike/>
              </w:rPr>
              <w:t>comparative effectiveness</w:t>
            </w:r>
          </w:p>
        </w:tc>
        <w:tc>
          <w:tcPr>
            <w:tcW w:w="481" w:type="pct"/>
          </w:tcPr>
          <w:p w14:paraId="4CB85382" w14:textId="77777777" w:rsidR="009821F7" w:rsidRPr="00DE1403" w:rsidRDefault="009821F7" w:rsidP="009E589D">
            <w:pPr>
              <w:pStyle w:val="TableText0"/>
              <w:keepNext w:val="0"/>
              <w:spacing w:before="0" w:after="0"/>
              <w:rPr>
                <w:strike/>
              </w:rPr>
            </w:pPr>
            <w:r w:rsidRPr="00DE1403">
              <w:rPr>
                <w:strike/>
              </w:rPr>
              <w:t>High</w:t>
            </w:r>
          </w:p>
        </w:tc>
        <w:tc>
          <w:tcPr>
            <w:tcW w:w="1017" w:type="pct"/>
          </w:tcPr>
          <w:p w14:paraId="5668752C" w14:textId="77777777" w:rsidR="009821F7" w:rsidRPr="00DE1403" w:rsidRDefault="009821F7" w:rsidP="009E589D">
            <w:pPr>
              <w:pStyle w:val="TableText0"/>
              <w:keepNext w:val="0"/>
              <w:spacing w:before="0" w:after="0"/>
              <w:rPr>
                <w:strike/>
              </w:rPr>
            </w:pPr>
            <w:r w:rsidRPr="00DE1403">
              <w:rPr>
                <w:strike/>
              </w:rPr>
              <w:t>Primary intramedullary spinal cord glioma</w:t>
            </w:r>
          </w:p>
        </w:tc>
        <w:tc>
          <w:tcPr>
            <w:tcW w:w="1279" w:type="pct"/>
          </w:tcPr>
          <w:p w14:paraId="0063F5C0" w14:textId="77777777" w:rsidR="009821F7" w:rsidRPr="00DE1403" w:rsidRDefault="009821F7" w:rsidP="009E589D">
            <w:pPr>
              <w:pStyle w:val="TableText0"/>
              <w:keepNext w:val="0"/>
              <w:spacing w:before="0" w:after="0"/>
              <w:rPr>
                <w:strike/>
              </w:rPr>
            </w:pPr>
            <w:r w:rsidRPr="00DE1403">
              <w:rPr>
                <w:strike/>
              </w:rPr>
              <w:t>Local recurrence, OS</w:t>
            </w:r>
          </w:p>
        </w:tc>
        <w:tc>
          <w:tcPr>
            <w:tcW w:w="580" w:type="pct"/>
          </w:tcPr>
          <w:p w14:paraId="15D77549" w14:textId="77777777" w:rsidR="009821F7" w:rsidRPr="00DE1403" w:rsidRDefault="009821F7" w:rsidP="009E589D">
            <w:pPr>
              <w:pStyle w:val="TableText0"/>
              <w:keepNext w:val="0"/>
              <w:spacing w:before="0" w:after="0"/>
              <w:rPr>
                <w:i/>
              </w:rPr>
            </w:pPr>
          </w:p>
        </w:tc>
      </w:tr>
      <w:tr w:rsidR="009821F7" w:rsidRPr="002913B3" w14:paraId="43E9082F" w14:textId="77777777" w:rsidTr="009E589D">
        <w:tc>
          <w:tcPr>
            <w:tcW w:w="626" w:type="pct"/>
          </w:tcPr>
          <w:p w14:paraId="765F17FE" w14:textId="77777777" w:rsidR="009821F7" w:rsidRPr="00DE1403" w:rsidRDefault="00DD6551" w:rsidP="009E589D">
            <w:pPr>
              <w:pStyle w:val="TableText0"/>
              <w:keepNext w:val="0"/>
              <w:spacing w:before="0" w:after="0"/>
              <w:rPr>
                <w:snapToGrid w:val="0"/>
                <w:vanish/>
              </w:rPr>
            </w:pPr>
            <w:hyperlink w:anchor="_ENREF_12" w:tooltip="Brown, 2013 #4" w:history="1">
              <w:r w:rsidR="009821F7" w:rsidRPr="00DE1403">
                <w:fldChar w:fldCharType="begin">
                  <w:fldData xml:space="preserve">PEVuZE5vdGU+PENpdGUgQXV0aG9yWWVhcj0iMSI+PEF1dGhvcj5Ccm93bjwvQXV0aG9yPjxZZWFy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</w:fldData>
                </w:fldChar>
              </w:r>
              <w:r w:rsidR="009821F7" w:rsidRPr="00DE1403">
                <w:instrText xml:space="preserve"> ADDIN EN.CITE </w:instrText>
              </w:r>
              <w:r w:rsidR="009821F7" w:rsidRPr="00DE1403">
                <w:fldChar w:fldCharType="begin">
                  <w:fldData xml:space="preserve">PEVuZE5vdGU+PENpdGUgQXV0aG9yWWVhcj0iMSI+PEF1dGhvcj5Ccm93bjwvQXV0aG9yPjxZZWFy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</w:fldData>
                </w:fldChar>
              </w:r>
              <w:r w:rsidR="009821F7" w:rsidRPr="00DE1403">
                <w:instrText xml:space="preserve"> ADDIN EN.CITE.DATA </w:instrText>
              </w:r>
              <w:r w:rsidR="009821F7" w:rsidRPr="00DE1403">
                <w:fldChar w:fldCharType="end"/>
              </w:r>
              <w:r w:rsidR="009821F7" w:rsidRPr="00DE1403">
                <w:fldChar w:fldCharType="separate"/>
              </w:r>
              <w:r w:rsidR="009821F7" w:rsidRPr="00DE1403">
                <w:rPr>
                  <w:noProof/>
                </w:rPr>
                <w:t>Brown et al. (2013)</w:t>
              </w:r>
              <w:r w:rsidR="009821F7" w:rsidRPr="00DE1403">
                <w:fldChar w:fldCharType="end"/>
              </w:r>
            </w:hyperlink>
            <w:r w:rsidR="009821F7" w:rsidRPr="00DE1403">
              <w:t>*</w:t>
            </w:r>
          </w:p>
        </w:tc>
        <w:tc>
          <w:tcPr>
            <w:tcW w:w="312" w:type="pct"/>
          </w:tcPr>
          <w:p w14:paraId="3928708E" w14:textId="77777777" w:rsidR="009821F7" w:rsidRPr="00DE1403" w:rsidRDefault="009821F7" w:rsidP="009E589D">
            <w:pPr>
              <w:pStyle w:val="TableText0"/>
              <w:keepNext w:val="0"/>
              <w:spacing w:before="0" w:after="0"/>
              <w:rPr>
                <w:snapToGrid w:val="0"/>
                <w:vanish/>
              </w:rPr>
            </w:pPr>
            <w:r w:rsidRPr="00DE1403">
              <w:t>40</w:t>
            </w:r>
          </w:p>
        </w:tc>
        <w:tc>
          <w:tcPr>
            <w:tcW w:w="705" w:type="pct"/>
          </w:tcPr>
          <w:p w14:paraId="5F72B83F" w14:textId="77777777" w:rsidR="009821F7" w:rsidRPr="00DE1403" w:rsidRDefault="009821F7" w:rsidP="009E589D">
            <w:pPr>
              <w:pStyle w:val="TableText0"/>
              <w:keepNext w:val="0"/>
              <w:spacing w:before="0" w:after="0"/>
            </w:pPr>
            <w:r w:rsidRPr="00DE1403">
              <w:t>Retrospective comparative effectiveness</w:t>
            </w:r>
          </w:p>
          <w:p w14:paraId="4F133FB9" w14:textId="77777777" w:rsidR="009821F7" w:rsidRPr="00DE1403" w:rsidRDefault="009821F7" w:rsidP="009E589D">
            <w:pPr>
              <w:pStyle w:val="TableText0"/>
              <w:keepNext w:val="0"/>
              <w:spacing w:before="0" w:after="0"/>
              <w:rPr>
                <w:snapToGrid w:val="0"/>
                <w:vanish/>
              </w:rPr>
            </w:pPr>
            <w:r w:rsidRPr="00DE1403">
              <w:t>2003-2011</w:t>
            </w:r>
          </w:p>
        </w:tc>
        <w:tc>
          <w:tcPr>
            <w:tcW w:w="481" w:type="pct"/>
          </w:tcPr>
          <w:p w14:paraId="30807932" w14:textId="77777777" w:rsidR="009821F7" w:rsidRPr="00DE1403" w:rsidRDefault="009821F7" w:rsidP="009E589D">
            <w:pPr>
              <w:pStyle w:val="TableText0"/>
              <w:keepNext w:val="0"/>
              <w:spacing w:before="0" w:after="0"/>
              <w:rPr>
                <w:snapToGrid w:val="0"/>
                <w:vanish/>
              </w:rPr>
            </w:pPr>
            <w:r w:rsidRPr="00DE1403">
              <w:t>High</w:t>
            </w:r>
          </w:p>
        </w:tc>
        <w:tc>
          <w:tcPr>
            <w:tcW w:w="1017" w:type="pct"/>
          </w:tcPr>
          <w:p w14:paraId="4BB63699" w14:textId="77777777" w:rsidR="009821F7" w:rsidRPr="00DE1403" w:rsidRDefault="009821F7" w:rsidP="009E589D">
            <w:pPr>
              <w:pStyle w:val="TableText0"/>
              <w:keepNext w:val="0"/>
              <w:spacing w:before="0" w:after="0"/>
              <w:rPr>
                <w:snapToGrid w:val="0"/>
                <w:vanish/>
              </w:rPr>
            </w:pPr>
            <w:proofErr w:type="spellStart"/>
            <w:r w:rsidRPr="00DE1403">
              <w:t>Medulloblastoma</w:t>
            </w:r>
            <w:proofErr w:type="spellEnd"/>
          </w:p>
        </w:tc>
        <w:tc>
          <w:tcPr>
            <w:tcW w:w="1279" w:type="pct"/>
          </w:tcPr>
          <w:p w14:paraId="285977B5" w14:textId="77777777" w:rsidR="009821F7" w:rsidRPr="00DE1403" w:rsidRDefault="009821F7" w:rsidP="009E589D">
            <w:pPr>
              <w:pStyle w:val="TableText0"/>
              <w:keepNext w:val="0"/>
              <w:spacing w:before="0" w:after="0"/>
            </w:pPr>
            <w:proofErr w:type="spellStart"/>
            <w:r w:rsidRPr="00DE1403">
              <w:t>Locoregional</w:t>
            </w:r>
            <w:proofErr w:type="spellEnd"/>
            <w:r w:rsidRPr="00DE1403">
              <w:t xml:space="preserve"> failure</w:t>
            </w:r>
            <w:r>
              <w:t>, w</w:t>
            </w:r>
            <w:r w:rsidRPr="00DE1403">
              <w:t>eight loss</w:t>
            </w:r>
            <w:r>
              <w:t xml:space="preserve">, </w:t>
            </w:r>
            <w:r>
              <w:rPr>
                <w:i/>
                <w:iCs/>
              </w:rPr>
              <w:t>a</w:t>
            </w:r>
            <w:r w:rsidRPr="00DE1403">
              <w:rPr>
                <w:i/>
                <w:iCs/>
              </w:rPr>
              <w:t xml:space="preserve">cute </w:t>
            </w:r>
            <w:r w:rsidRPr="00DE1403">
              <w:t>toxicities including nausea/vomiting, dermatitis, change in WBC, haemoglobin and platelets</w:t>
            </w:r>
            <w:r>
              <w:t>,</w:t>
            </w:r>
          </w:p>
          <w:p w14:paraId="0B52125B" w14:textId="77777777" w:rsidR="009821F7" w:rsidRPr="00DE1403" w:rsidRDefault="009821F7" w:rsidP="009E589D">
            <w:pPr>
              <w:pStyle w:val="TableText0"/>
              <w:keepNext w:val="0"/>
              <w:spacing w:before="0" w:after="0"/>
              <w:rPr>
                <w:i/>
                <w:snapToGrid w:val="0"/>
                <w:vanish/>
              </w:rPr>
            </w:pPr>
            <w:r w:rsidRPr="00DE1403">
              <w:rPr>
                <w:i/>
              </w:rPr>
              <w:t>PFS, OS</w:t>
            </w:r>
          </w:p>
        </w:tc>
        <w:tc>
          <w:tcPr>
            <w:tcW w:w="580" w:type="pct"/>
          </w:tcPr>
          <w:p w14:paraId="6696D7FE" w14:textId="77777777" w:rsidR="009821F7" w:rsidRPr="00DE1403" w:rsidRDefault="009821F7" w:rsidP="009E589D">
            <w:pPr>
              <w:pStyle w:val="TableText0"/>
              <w:keepNext w:val="0"/>
              <w:spacing w:before="0" w:after="0"/>
              <w:rPr>
                <w:i/>
              </w:rPr>
            </w:pPr>
            <w:r w:rsidRPr="00DE1403">
              <w:rPr>
                <w:i/>
              </w:rPr>
              <w:t>Not used</w:t>
            </w:r>
          </w:p>
        </w:tc>
      </w:tr>
      <w:tr w:rsidR="009821F7" w:rsidRPr="002913B3" w14:paraId="70DD415F" w14:textId="77777777" w:rsidTr="009E589D">
        <w:tc>
          <w:tcPr>
            <w:tcW w:w="626" w:type="pct"/>
          </w:tcPr>
          <w:p w14:paraId="5DEBD5E7" w14:textId="77777777" w:rsidR="009821F7" w:rsidRPr="00DE1403" w:rsidRDefault="009821F7" w:rsidP="009E589D">
            <w:pPr>
              <w:pStyle w:val="TableText0"/>
              <w:keepNext w:val="0"/>
              <w:spacing w:before="0" w:after="0"/>
              <w:rPr>
                <w:strike/>
              </w:rPr>
            </w:pPr>
            <w:proofErr w:type="spellStart"/>
            <w:r w:rsidRPr="00DE1403">
              <w:rPr>
                <w:strike/>
              </w:rPr>
              <w:t>Mima</w:t>
            </w:r>
            <w:proofErr w:type="spellEnd"/>
            <w:r w:rsidRPr="00DE1403">
              <w:rPr>
                <w:strike/>
              </w:rPr>
              <w:t xml:space="preserve"> 2014</w:t>
            </w:r>
          </w:p>
        </w:tc>
        <w:tc>
          <w:tcPr>
            <w:tcW w:w="312" w:type="pct"/>
          </w:tcPr>
          <w:p w14:paraId="3B79EF29" w14:textId="77777777" w:rsidR="009821F7" w:rsidRPr="00DE1403" w:rsidRDefault="009821F7" w:rsidP="009E589D">
            <w:pPr>
              <w:pStyle w:val="TableText0"/>
              <w:keepNext w:val="0"/>
              <w:spacing w:before="0" w:after="0"/>
              <w:rPr>
                <w:strike/>
              </w:rPr>
            </w:pPr>
            <w:r w:rsidRPr="00DE1403">
              <w:rPr>
                <w:strike/>
              </w:rPr>
              <w:t>23</w:t>
            </w:r>
          </w:p>
        </w:tc>
        <w:tc>
          <w:tcPr>
            <w:tcW w:w="705" w:type="pct"/>
          </w:tcPr>
          <w:p w14:paraId="4FD8D57B" w14:textId="77777777" w:rsidR="009821F7" w:rsidRPr="00DE1403" w:rsidRDefault="009821F7" w:rsidP="009E589D">
            <w:pPr>
              <w:pStyle w:val="TableText0"/>
              <w:keepNext w:val="0"/>
              <w:spacing w:before="0" w:after="0"/>
              <w:rPr>
                <w:strike/>
              </w:rPr>
            </w:pPr>
            <w:r w:rsidRPr="00DE1403">
              <w:rPr>
                <w:strike/>
                <w:w w:val="95"/>
              </w:rPr>
              <w:t xml:space="preserve">Retrospective </w:t>
            </w:r>
            <w:r w:rsidRPr="00DE1403">
              <w:rPr>
                <w:strike/>
              </w:rPr>
              <w:t>comparative effectiveness</w:t>
            </w:r>
          </w:p>
        </w:tc>
        <w:tc>
          <w:tcPr>
            <w:tcW w:w="481" w:type="pct"/>
          </w:tcPr>
          <w:p w14:paraId="4C82A481" w14:textId="77777777" w:rsidR="009821F7" w:rsidRPr="00DE1403" w:rsidRDefault="009821F7" w:rsidP="009E589D">
            <w:pPr>
              <w:pStyle w:val="TableText0"/>
              <w:keepNext w:val="0"/>
              <w:spacing w:before="0" w:after="0"/>
              <w:rPr>
                <w:strike/>
              </w:rPr>
            </w:pPr>
            <w:r w:rsidRPr="00DE1403">
              <w:rPr>
                <w:strike/>
              </w:rPr>
              <w:t>High</w:t>
            </w:r>
          </w:p>
        </w:tc>
        <w:tc>
          <w:tcPr>
            <w:tcW w:w="1017" w:type="pct"/>
          </w:tcPr>
          <w:p w14:paraId="4AEDB404" w14:textId="77777777" w:rsidR="009821F7" w:rsidRPr="00DE1403" w:rsidRDefault="009821F7" w:rsidP="009E589D">
            <w:pPr>
              <w:pStyle w:val="TableText0"/>
              <w:keepNext w:val="0"/>
              <w:spacing w:before="0" w:after="0"/>
              <w:rPr>
                <w:strike/>
              </w:rPr>
            </w:pPr>
            <w:proofErr w:type="spellStart"/>
            <w:r w:rsidRPr="00DE1403">
              <w:rPr>
                <w:strike/>
              </w:rPr>
              <w:t>Chordoma</w:t>
            </w:r>
            <w:proofErr w:type="spellEnd"/>
            <w:r w:rsidRPr="00DE1403">
              <w:rPr>
                <w:strike/>
              </w:rPr>
              <w:t xml:space="preserve"> (sacral)</w:t>
            </w:r>
          </w:p>
        </w:tc>
        <w:tc>
          <w:tcPr>
            <w:tcW w:w="1279" w:type="pct"/>
          </w:tcPr>
          <w:p w14:paraId="1C1FDE6A" w14:textId="77777777" w:rsidR="009821F7" w:rsidRPr="00DE1403" w:rsidRDefault="009821F7" w:rsidP="009E589D">
            <w:pPr>
              <w:pStyle w:val="TableText0"/>
              <w:keepNext w:val="0"/>
              <w:spacing w:before="0" w:after="0"/>
              <w:rPr>
                <w:strike/>
              </w:rPr>
            </w:pPr>
            <w:r w:rsidRPr="00DE1403">
              <w:rPr>
                <w:strike/>
              </w:rPr>
              <w:t xml:space="preserve">Local tumour control, </w:t>
            </w:r>
            <w:r>
              <w:rPr>
                <w:strike/>
              </w:rPr>
              <w:t>OS</w:t>
            </w:r>
          </w:p>
        </w:tc>
        <w:tc>
          <w:tcPr>
            <w:tcW w:w="580" w:type="pct"/>
          </w:tcPr>
          <w:p w14:paraId="0DA43DA3" w14:textId="77777777" w:rsidR="009821F7" w:rsidRPr="00DE1403" w:rsidRDefault="009821F7" w:rsidP="009E589D">
            <w:pPr>
              <w:pStyle w:val="TableText0"/>
              <w:keepNext w:val="0"/>
              <w:spacing w:before="0" w:after="0"/>
              <w:rPr>
                <w:i/>
              </w:rPr>
            </w:pPr>
          </w:p>
        </w:tc>
      </w:tr>
      <w:tr w:rsidR="009821F7" w:rsidRPr="002913B3" w14:paraId="46F84B9F" w14:textId="77777777" w:rsidTr="009E589D">
        <w:tc>
          <w:tcPr>
            <w:tcW w:w="626" w:type="pct"/>
          </w:tcPr>
          <w:p w14:paraId="7321CB53" w14:textId="77777777" w:rsidR="009821F7" w:rsidRPr="00DE1403" w:rsidRDefault="009821F7" w:rsidP="009E589D">
            <w:pPr>
              <w:pStyle w:val="TableText0"/>
              <w:keepNext w:val="0"/>
              <w:spacing w:before="0" w:after="0"/>
              <w:rPr>
                <w:strike/>
              </w:rPr>
            </w:pPr>
            <w:r w:rsidRPr="00DE1403">
              <w:rPr>
                <w:strike/>
              </w:rPr>
              <w:t>Molina 2014</w:t>
            </w:r>
          </w:p>
        </w:tc>
        <w:tc>
          <w:tcPr>
            <w:tcW w:w="312" w:type="pct"/>
          </w:tcPr>
          <w:p w14:paraId="72822C0E" w14:textId="77777777" w:rsidR="009821F7" w:rsidRPr="00DE1403" w:rsidRDefault="009821F7" w:rsidP="009E589D">
            <w:pPr>
              <w:pStyle w:val="TableText0"/>
              <w:keepNext w:val="0"/>
              <w:spacing w:before="0" w:after="0"/>
              <w:rPr>
                <w:strike/>
              </w:rPr>
            </w:pPr>
            <w:r w:rsidRPr="00DE1403">
              <w:rPr>
                <w:strike/>
              </w:rPr>
              <w:t>16</w:t>
            </w:r>
          </w:p>
        </w:tc>
        <w:tc>
          <w:tcPr>
            <w:tcW w:w="705" w:type="pct"/>
          </w:tcPr>
          <w:p w14:paraId="06E10D80" w14:textId="77777777" w:rsidR="009821F7" w:rsidRPr="00DE1403" w:rsidRDefault="009821F7" w:rsidP="009E589D">
            <w:pPr>
              <w:pStyle w:val="TableParagraph"/>
              <w:spacing w:before="0" w:after="0"/>
              <w:ind w:left="29"/>
              <w:rPr>
                <w:strike/>
                <w:sz w:val="20"/>
              </w:rPr>
            </w:pPr>
            <w:r w:rsidRPr="00DE1403">
              <w:rPr>
                <w:strike/>
                <w:w w:val="95"/>
                <w:sz w:val="20"/>
              </w:rPr>
              <w:t xml:space="preserve">Retrospective </w:t>
            </w:r>
            <w:r w:rsidRPr="00DE1403">
              <w:rPr>
                <w:strike/>
                <w:sz w:val="20"/>
              </w:rPr>
              <w:t>comparative effectiveness</w:t>
            </w:r>
          </w:p>
          <w:p w14:paraId="02CF9715" w14:textId="77777777" w:rsidR="009821F7" w:rsidRPr="00DE1403" w:rsidRDefault="009821F7" w:rsidP="009E589D">
            <w:pPr>
              <w:pStyle w:val="TableText0"/>
              <w:keepNext w:val="0"/>
              <w:spacing w:before="0" w:after="0"/>
              <w:rPr>
                <w:strike/>
              </w:rPr>
            </w:pPr>
            <w:r w:rsidRPr="00DE1403">
              <w:rPr>
                <w:strike/>
              </w:rPr>
              <w:t>2000-2008</w:t>
            </w:r>
          </w:p>
        </w:tc>
        <w:tc>
          <w:tcPr>
            <w:tcW w:w="481" w:type="pct"/>
          </w:tcPr>
          <w:p w14:paraId="70E3C137" w14:textId="77777777" w:rsidR="009821F7" w:rsidRPr="00DE1403" w:rsidRDefault="009821F7" w:rsidP="009E589D">
            <w:pPr>
              <w:pStyle w:val="TableText0"/>
              <w:keepNext w:val="0"/>
              <w:spacing w:before="0" w:after="0"/>
              <w:rPr>
                <w:strike/>
              </w:rPr>
            </w:pPr>
            <w:r w:rsidRPr="00DE1403">
              <w:rPr>
                <w:strike/>
              </w:rPr>
              <w:t>High</w:t>
            </w:r>
          </w:p>
        </w:tc>
        <w:tc>
          <w:tcPr>
            <w:tcW w:w="1017" w:type="pct"/>
          </w:tcPr>
          <w:p w14:paraId="6C784AD9" w14:textId="77777777" w:rsidR="009821F7" w:rsidRPr="00DE1403" w:rsidRDefault="009821F7" w:rsidP="009E589D">
            <w:pPr>
              <w:pStyle w:val="TableText0"/>
              <w:keepNext w:val="0"/>
              <w:spacing w:before="0" w:after="0"/>
              <w:rPr>
                <w:strike/>
              </w:rPr>
            </w:pPr>
            <w:proofErr w:type="spellStart"/>
            <w:r w:rsidRPr="00DE1403">
              <w:rPr>
                <w:strike/>
              </w:rPr>
              <w:t>Chordomas</w:t>
            </w:r>
            <w:proofErr w:type="spellEnd"/>
          </w:p>
        </w:tc>
        <w:tc>
          <w:tcPr>
            <w:tcW w:w="1279" w:type="pct"/>
          </w:tcPr>
          <w:p w14:paraId="5DDC5EF1" w14:textId="77777777" w:rsidR="009821F7" w:rsidRPr="00DE1403" w:rsidRDefault="009821F7" w:rsidP="009E589D">
            <w:pPr>
              <w:pStyle w:val="TableText0"/>
              <w:keepNext w:val="0"/>
              <w:spacing w:before="0" w:after="0"/>
              <w:rPr>
                <w:strike/>
              </w:rPr>
            </w:pPr>
            <w:r w:rsidRPr="00DE1403">
              <w:rPr>
                <w:strike/>
              </w:rPr>
              <w:t>O</w:t>
            </w:r>
            <w:r>
              <w:rPr>
                <w:strike/>
              </w:rPr>
              <w:t>S</w:t>
            </w:r>
          </w:p>
        </w:tc>
        <w:tc>
          <w:tcPr>
            <w:tcW w:w="580" w:type="pct"/>
          </w:tcPr>
          <w:p w14:paraId="6A3323FB" w14:textId="77777777" w:rsidR="009821F7" w:rsidRPr="00DE1403" w:rsidRDefault="009821F7" w:rsidP="009E589D">
            <w:pPr>
              <w:pStyle w:val="TableText0"/>
              <w:keepNext w:val="0"/>
              <w:spacing w:before="0" w:after="0"/>
              <w:rPr>
                <w:i/>
              </w:rPr>
            </w:pPr>
          </w:p>
        </w:tc>
      </w:tr>
      <w:tr w:rsidR="009821F7" w:rsidRPr="002913B3" w14:paraId="5CD32D98" w14:textId="77777777" w:rsidTr="009E589D">
        <w:tc>
          <w:tcPr>
            <w:tcW w:w="626" w:type="pct"/>
          </w:tcPr>
          <w:p w14:paraId="3E79DAC5" w14:textId="77777777" w:rsidR="009821F7" w:rsidRPr="00DE1403" w:rsidRDefault="009821F7" w:rsidP="009E589D">
            <w:pPr>
              <w:pStyle w:val="TableText0"/>
              <w:keepNext w:val="0"/>
              <w:spacing w:before="0" w:after="0"/>
              <w:rPr>
                <w:strike/>
              </w:rPr>
            </w:pPr>
            <w:proofErr w:type="spellStart"/>
            <w:r w:rsidRPr="00DE1403">
              <w:rPr>
                <w:strike/>
                <w:w w:val="95"/>
              </w:rPr>
              <w:t>Romesser</w:t>
            </w:r>
            <w:proofErr w:type="spellEnd"/>
            <w:r w:rsidRPr="00DE1403">
              <w:rPr>
                <w:strike/>
                <w:w w:val="95"/>
              </w:rPr>
              <w:t xml:space="preserve"> </w:t>
            </w:r>
            <w:r w:rsidRPr="00DE1403">
              <w:rPr>
                <w:strike/>
              </w:rPr>
              <w:t>2016</w:t>
            </w:r>
          </w:p>
        </w:tc>
        <w:tc>
          <w:tcPr>
            <w:tcW w:w="312" w:type="pct"/>
          </w:tcPr>
          <w:p w14:paraId="63CA8065" w14:textId="77777777" w:rsidR="009821F7" w:rsidRPr="00DE1403" w:rsidRDefault="009821F7" w:rsidP="009E589D">
            <w:pPr>
              <w:pStyle w:val="TableText0"/>
              <w:keepNext w:val="0"/>
              <w:spacing w:before="0" w:after="0"/>
              <w:rPr>
                <w:strike/>
              </w:rPr>
            </w:pPr>
            <w:r w:rsidRPr="00DE1403">
              <w:rPr>
                <w:strike/>
              </w:rPr>
              <w:t>23</w:t>
            </w:r>
          </w:p>
        </w:tc>
        <w:tc>
          <w:tcPr>
            <w:tcW w:w="705" w:type="pct"/>
          </w:tcPr>
          <w:p w14:paraId="6AAC91CF" w14:textId="77777777" w:rsidR="009821F7" w:rsidRPr="00DE1403" w:rsidRDefault="009821F7" w:rsidP="009E589D">
            <w:pPr>
              <w:pStyle w:val="TableText0"/>
              <w:keepNext w:val="0"/>
              <w:spacing w:before="0" w:after="0"/>
              <w:rPr>
                <w:strike/>
              </w:rPr>
            </w:pPr>
            <w:r w:rsidRPr="00DE1403">
              <w:rPr>
                <w:strike/>
                <w:w w:val="95"/>
              </w:rPr>
              <w:t xml:space="preserve">Retrospective </w:t>
            </w:r>
            <w:r>
              <w:rPr>
                <w:strike/>
              </w:rPr>
              <w:t>comparative effectiveness</w:t>
            </w:r>
          </w:p>
          <w:p w14:paraId="79629A59" w14:textId="77777777" w:rsidR="009821F7" w:rsidRPr="00DE1403" w:rsidRDefault="009821F7" w:rsidP="009E589D">
            <w:pPr>
              <w:pStyle w:val="TableText0"/>
              <w:keepNext w:val="0"/>
              <w:spacing w:before="0" w:after="0"/>
              <w:rPr>
                <w:strike/>
              </w:rPr>
            </w:pPr>
            <w:r w:rsidRPr="00DE1403">
              <w:rPr>
                <w:strike/>
              </w:rPr>
              <w:t>2011-2014</w:t>
            </w:r>
          </w:p>
        </w:tc>
        <w:tc>
          <w:tcPr>
            <w:tcW w:w="481" w:type="pct"/>
          </w:tcPr>
          <w:p w14:paraId="56C8349A" w14:textId="77777777" w:rsidR="009821F7" w:rsidRPr="00DE1403" w:rsidRDefault="009821F7" w:rsidP="009E589D">
            <w:pPr>
              <w:pStyle w:val="TableText0"/>
              <w:keepNext w:val="0"/>
              <w:spacing w:before="0" w:after="0"/>
              <w:rPr>
                <w:strike/>
              </w:rPr>
            </w:pPr>
            <w:r w:rsidRPr="00DE1403">
              <w:rPr>
                <w:strike/>
              </w:rPr>
              <w:t>High</w:t>
            </w:r>
          </w:p>
        </w:tc>
        <w:tc>
          <w:tcPr>
            <w:tcW w:w="1017" w:type="pct"/>
          </w:tcPr>
          <w:p w14:paraId="5996E3EA" w14:textId="77777777" w:rsidR="009821F7" w:rsidRPr="00DE1403" w:rsidRDefault="009821F7" w:rsidP="009E589D">
            <w:pPr>
              <w:pStyle w:val="TableText0"/>
              <w:keepNext w:val="0"/>
              <w:spacing w:before="0" w:after="0"/>
              <w:rPr>
                <w:strike/>
              </w:rPr>
            </w:pPr>
            <w:r w:rsidRPr="00DE1403">
              <w:rPr>
                <w:strike/>
              </w:rPr>
              <w:t>Major salivary gland cancer or cutaneous squamous cell carcinoma</w:t>
            </w:r>
          </w:p>
        </w:tc>
        <w:tc>
          <w:tcPr>
            <w:tcW w:w="1279" w:type="pct"/>
          </w:tcPr>
          <w:p w14:paraId="0CB27E66" w14:textId="77777777" w:rsidR="009821F7" w:rsidRPr="00DE1403" w:rsidRDefault="009821F7" w:rsidP="009E589D">
            <w:pPr>
              <w:pStyle w:val="TableText0"/>
              <w:keepNext w:val="0"/>
              <w:spacing w:before="0" w:after="0"/>
              <w:rPr>
                <w:strike/>
              </w:rPr>
            </w:pPr>
            <w:r w:rsidRPr="00DE1403">
              <w:rPr>
                <w:strike/>
              </w:rPr>
              <w:t>Acute toxicities</w:t>
            </w:r>
          </w:p>
        </w:tc>
        <w:tc>
          <w:tcPr>
            <w:tcW w:w="580" w:type="pct"/>
          </w:tcPr>
          <w:p w14:paraId="36A7C23B" w14:textId="77777777" w:rsidR="009821F7" w:rsidRPr="00DE1403" w:rsidRDefault="009821F7" w:rsidP="009E589D">
            <w:pPr>
              <w:pStyle w:val="TableText0"/>
              <w:keepNext w:val="0"/>
              <w:spacing w:before="0" w:after="0"/>
              <w:rPr>
                <w:i/>
              </w:rPr>
            </w:pPr>
          </w:p>
        </w:tc>
      </w:tr>
      <w:tr w:rsidR="009821F7" w14:paraId="5B311363" w14:textId="77777777" w:rsidTr="009E589D">
        <w:tc>
          <w:tcPr>
            <w:tcW w:w="626" w:type="pct"/>
          </w:tcPr>
          <w:p w14:paraId="2C890A18" w14:textId="77777777" w:rsidR="009821F7" w:rsidRPr="00DE1403" w:rsidRDefault="00DD6551" w:rsidP="009E589D">
            <w:pPr>
              <w:pStyle w:val="TableText0"/>
              <w:keepNext w:val="0"/>
              <w:spacing w:before="0" w:after="0"/>
            </w:pPr>
            <w:hyperlink w:anchor="_ENREF_2" w:tooltip="Adeberg, 2017 #1" w:history="1">
              <w:r w:rsidR="009821F7" w:rsidRPr="00DE1403">
                <w:fldChar w:fldCharType="begin">
                  <w:fldData xml:space="preserve">PEVuZE5vdGU+PENpdGUgQXV0aG9yWWVhcj0iMSI+PEF1dGhvcj5BZGViZXJnPC9BdXRob3I+PFll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</w:fldData>
                </w:fldChar>
              </w:r>
              <w:r w:rsidR="009821F7" w:rsidRPr="00DE1403">
                <w:instrText xml:space="preserve"> ADDIN EN.CITE </w:instrText>
              </w:r>
              <w:r w:rsidR="009821F7" w:rsidRPr="00DE1403">
                <w:fldChar w:fldCharType="begin">
                  <w:fldData xml:space="preserve">PEVuZE5vdGU+PENpdGUgQXV0aG9yWWVhcj0iMSI+PEF1dGhvcj5BZGViZXJnPC9BdXRob3I+PFll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</w:fldData>
                </w:fldChar>
              </w:r>
              <w:r w:rsidR="009821F7" w:rsidRPr="00DE1403">
                <w:instrText xml:space="preserve"> ADDIN EN.CITE.DATA </w:instrText>
              </w:r>
              <w:r w:rsidR="009821F7" w:rsidRPr="00DE1403">
                <w:fldChar w:fldCharType="end"/>
              </w:r>
              <w:r w:rsidR="009821F7" w:rsidRPr="00DE1403">
                <w:fldChar w:fldCharType="separate"/>
              </w:r>
              <w:r w:rsidR="009821F7" w:rsidRPr="00DE1403">
                <w:rPr>
                  <w:noProof/>
                </w:rPr>
                <w:t>Adeberg et al. (2017)</w:t>
              </w:r>
              <w:r w:rsidR="009821F7" w:rsidRPr="00DE1403">
                <w:fldChar w:fldCharType="end"/>
              </w:r>
            </w:hyperlink>
            <w:r w:rsidR="009821F7" w:rsidRPr="00DE1403">
              <w:t>*</w:t>
            </w:r>
          </w:p>
        </w:tc>
        <w:tc>
          <w:tcPr>
            <w:tcW w:w="312" w:type="pct"/>
          </w:tcPr>
          <w:p w14:paraId="20550773" w14:textId="77777777" w:rsidR="009821F7" w:rsidRPr="00DE1403" w:rsidRDefault="009821F7" w:rsidP="009E589D">
            <w:pPr>
              <w:pStyle w:val="TableText0"/>
              <w:keepNext w:val="0"/>
              <w:spacing w:before="0" w:after="0"/>
            </w:pPr>
            <w:r w:rsidRPr="00DE1403">
              <w:t>132</w:t>
            </w:r>
          </w:p>
        </w:tc>
        <w:tc>
          <w:tcPr>
            <w:tcW w:w="705" w:type="pct"/>
          </w:tcPr>
          <w:p w14:paraId="790B7A40" w14:textId="77777777" w:rsidR="009821F7" w:rsidRPr="00DE1403" w:rsidRDefault="009821F7" w:rsidP="009E589D">
            <w:pPr>
              <w:pStyle w:val="TableText0"/>
              <w:keepNext w:val="0"/>
              <w:spacing w:before="0" w:after="0"/>
            </w:pPr>
            <w:r w:rsidRPr="00DE1403">
              <w:t>Retrospective matched comparative effectiveness</w:t>
            </w:r>
          </w:p>
          <w:p w14:paraId="485DE149" w14:textId="77777777" w:rsidR="009821F7" w:rsidRPr="00DE1403" w:rsidRDefault="009821F7" w:rsidP="009E589D">
            <w:pPr>
              <w:pStyle w:val="TableText0"/>
              <w:keepNext w:val="0"/>
              <w:spacing w:before="0" w:after="0"/>
              <w:rPr>
                <w:i/>
              </w:rPr>
            </w:pPr>
            <w:r w:rsidRPr="00DE1403">
              <w:rPr>
                <w:i/>
                <w:iCs/>
              </w:rPr>
              <w:t>2011-2015</w:t>
            </w:r>
          </w:p>
        </w:tc>
        <w:tc>
          <w:tcPr>
            <w:tcW w:w="481" w:type="pct"/>
          </w:tcPr>
          <w:p w14:paraId="5498870F" w14:textId="77777777" w:rsidR="009821F7" w:rsidRPr="00DE1403" w:rsidRDefault="009821F7" w:rsidP="009E589D">
            <w:pPr>
              <w:pStyle w:val="TableText0"/>
              <w:keepNext w:val="0"/>
              <w:spacing w:before="0" w:after="0"/>
              <w:rPr>
                <w:i/>
              </w:rPr>
            </w:pPr>
            <w:r w:rsidRPr="00DE1403">
              <w:rPr>
                <w:i/>
                <w:iCs/>
              </w:rPr>
              <w:t>High</w:t>
            </w:r>
          </w:p>
        </w:tc>
        <w:tc>
          <w:tcPr>
            <w:tcW w:w="1017" w:type="pct"/>
          </w:tcPr>
          <w:p w14:paraId="7A82269C" w14:textId="77777777" w:rsidR="009821F7" w:rsidRPr="00DE1403" w:rsidRDefault="009821F7" w:rsidP="009E589D">
            <w:pPr>
              <w:pStyle w:val="TableText0"/>
              <w:keepNext w:val="0"/>
              <w:spacing w:before="0" w:after="0"/>
            </w:pPr>
            <w:r w:rsidRPr="00DE1403">
              <w:t>High-grade glioma</w:t>
            </w:r>
          </w:p>
        </w:tc>
        <w:tc>
          <w:tcPr>
            <w:tcW w:w="1279" w:type="pct"/>
          </w:tcPr>
          <w:p w14:paraId="6E10188B" w14:textId="77777777" w:rsidR="009821F7" w:rsidRPr="00DE1403" w:rsidRDefault="009821F7" w:rsidP="009E589D">
            <w:pPr>
              <w:pStyle w:val="TableText0"/>
              <w:keepNext w:val="0"/>
              <w:spacing w:before="0" w:after="0"/>
              <w:rPr>
                <w:i/>
              </w:rPr>
            </w:pPr>
            <w:r w:rsidRPr="00DE1403">
              <w:rPr>
                <w:i/>
                <w:iCs/>
              </w:rPr>
              <w:t>Acute</w:t>
            </w:r>
            <w:r w:rsidRPr="00DE1403">
              <w:t xml:space="preserve"> toxicities: Grade 2 and 3 toxicities include intracranial pressure, decreased fine motor skills, seizure, visual deficits, transient hemiparesis, worsened pre-existing symptoms</w:t>
            </w:r>
            <w:r>
              <w:t>,</w:t>
            </w:r>
          </w:p>
          <w:p w14:paraId="7A8A7FA8" w14:textId="77777777" w:rsidR="009821F7" w:rsidRPr="00DE1403" w:rsidRDefault="009821F7" w:rsidP="009E589D">
            <w:pPr>
              <w:pStyle w:val="TableText0"/>
              <w:keepNext w:val="0"/>
              <w:spacing w:before="0" w:after="0"/>
            </w:pPr>
            <w:r w:rsidRPr="00DE1403">
              <w:rPr>
                <w:i/>
              </w:rPr>
              <w:t>PFS, OS</w:t>
            </w:r>
          </w:p>
        </w:tc>
        <w:tc>
          <w:tcPr>
            <w:tcW w:w="580" w:type="pct"/>
          </w:tcPr>
          <w:p w14:paraId="2E505747" w14:textId="77777777" w:rsidR="009821F7" w:rsidRPr="00DE1403" w:rsidRDefault="009821F7" w:rsidP="009E589D">
            <w:pPr>
              <w:pStyle w:val="TableText0"/>
              <w:keepNext w:val="0"/>
              <w:spacing w:before="0" w:after="0"/>
              <w:rPr>
                <w:i/>
              </w:rPr>
            </w:pPr>
            <w:r>
              <w:rPr>
                <w:i/>
              </w:rPr>
              <w:t>Yes</w:t>
            </w:r>
          </w:p>
        </w:tc>
      </w:tr>
      <w:tr w:rsidR="009821F7" w14:paraId="2EB479DE" w14:textId="77777777" w:rsidTr="009E589D">
        <w:tc>
          <w:tcPr>
            <w:tcW w:w="626" w:type="pct"/>
          </w:tcPr>
          <w:p w14:paraId="04C19995" w14:textId="77777777" w:rsidR="009821F7" w:rsidRPr="00DE1403" w:rsidRDefault="009821F7" w:rsidP="009E589D">
            <w:pPr>
              <w:pStyle w:val="TableText0"/>
              <w:keepNext w:val="0"/>
              <w:spacing w:before="0" w:after="0"/>
              <w:rPr>
                <w:strike/>
              </w:rPr>
            </w:pPr>
            <w:r w:rsidRPr="00DE1403">
              <w:rPr>
                <w:strike/>
              </w:rPr>
              <w:t>Gunther 2017</w:t>
            </w:r>
          </w:p>
        </w:tc>
        <w:tc>
          <w:tcPr>
            <w:tcW w:w="312" w:type="pct"/>
          </w:tcPr>
          <w:p w14:paraId="122D89BA" w14:textId="77777777" w:rsidR="009821F7" w:rsidRPr="00DE1403" w:rsidRDefault="009821F7" w:rsidP="009E589D">
            <w:pPr>
              <w:pStyle w:val="TableText0"/>
              <w:keepNext w:val="0"/>
              <w:spacing w:before="0" w:after="0"/>
              <w:rPr>
                <w:strike/>
              </w:rPr>
            </w:pPr>
            <w:r w:rsidRPr="00DE1403">
              <w:rPr>
                <w:strike/>
              </w:rPr>
              <w:t>37</w:t>
            </w:r>
          </w:p>
        </w:tc>
        <w:tc>
          <w:tcPr>
            <w:tcW w:w="705" w:type="pct"/>
          </w:tcPr>
          <w:p w14:paraId="78095891" w14:textId="77777777" w:rsidR="009821F7" w:rsidRPr="00DE1403" w:rsidRDefault="009821F7" w:rsidP="009E589D">
            <w:pPr>
              <w:pStyle w:val="TableParagraph"/>
              <w:spacing w:before="0" w:after="0"/>
              <w:ind w:left="29"/>
              <w:rPr>
                <w:strike/>
                <w:sz w:val="20"/>
              </w:rPr>
            </w:pPr>
            <w:r w:rsidRPr="00DE1403">
              <w:rPr>
                <w:strike/>
                <w:w w:val="95"/>
                <w:sz w:val="20"/>
              </w:rPr>
              <w:t xml:space="preserve">Retrospective </w:t>
            </w:r>
            <w:r w:rsidRPr="00DE1403">
              <w:rPr>
                <w:strike/>
                <w:sz w:val="20"/>
              </w:rPr>
              <w:t>comparative effectiveness</w:t>
            </w:r>
          </w:p>
          <w:p w14:paraId="1997B521" w14:textId="77777777" w:rsidR="009821F7" w:rsidRPr="00DE1403" w:rsidRDefault="009821F7" w:rsidP="009E589D">
            <w:pPr>
              <w:pStyle w:val="TableText0"/>
              <w:keepNext w:val="0"/>
              <w:spacing w:before="0" w:after="0"/>
              <w:rPr>
                <w:strike/>
              </w:rPr>
            </w:pPr>
            <w:r w:rsidRPr="00DE1403">
              <w:rPr>
                <w:strike/>
              </w:rPr>
              <w:t>2011-2015</w:t>
            </w:r>
          </w:p>
        </w:tc>
        <w:tc>
          <w:tcPr>
            <w:tcW w:w="481" w:type="pct"/>
          </w:tcPr>
          <w:p w14:paraId="6C0C6F9A" w14:textId="77777777" w:rsidR="009821F7" w:rsidRPr="00DE1403" w:rsidRDefault="009821F7" w:rsidP="009E589D">
            <w:pPr>
              <w:pStyle w:val="TableText0"/>
              <w:keepNext w:val="0"/>
              <w:spacing w:before="0" w:after="0"/>
              <w:rPr>
                <w:i/>
                <w:iCs/>
                <w:strike/>
              </w:rPr>
            </w:pPr>
            <w:r w:rsidRPr="00DE1403">
              <w:rPr>
                <w:strike/>
              </w:rPr>
              <w:t>High</w:t>
            </w:r>
          </w:p>
        </w:tc>
        <w:tc>
          <w:tcPr>
            <w:tcW w:w="1017" w:type="pct"/>
          </w:tcPr>
          <w:p w14:paraId="34226520" w14:textId="77777777" w:rsidR="009821F7" w:rsidRPr="00DE1403" w:rsidRDefault="009821F7" w:rsidP="009E589D">
            <w:pPr>
              <w:pStyle w:val="TableText0"/>
              <w:keepNext w:val="0"/>
              <w:spacing w:before="0" w:after="0"/>
              <w:rPr>
                <w:strike/>
              </w:rPr>
            </w:pPr>
            <w:r w:rsidRPr="00DE1403">
              <w:rPr>
                <w:strike/>
              </w:rPr>
              <w:t>Leukaemia/lymphoma with CNS involvement</w:t>
            </w:r>
          </w:p>
        </w:tc>
        <w:tc>
          <w:tcPr>
            <w:tcW w:w="1279" w:type="pct"/>
          </w:tcPr>
          <w:p w14:paraId="268E51F8" w14:textId="77777777" w:rsidR="009821F7" w:rsidRPr="009E589D" w:rsidRDefault="009821F7" w:rsidP="009E589D">
            <w:pPr>
              <w:pStyle w:val="TableParagraph"/>
              <w:spacing w:before="0" w:after="0"/>
              <w:ind w:left="25" w:right="131"/>
              <w:rPr>
                <w:i/>
                <w:iCs/>
                <w:strike/>
                <w:sz w:val="20"/>
                <w:szCs w:val="20"/>
              </w:rPr>
            </w:pPr>
            <w:r w:rsidRPr="009E589D">
              <w:rPr>
                <w:strike/>
                <w:sz w:val="20"/>
                <w:szCs w:val="20"/>
              </w:rPr>
              <w:t xml:space="preserve">Acute and long-term toxicities including </w:t>
            </w:r>
            <w:proofErr w:type="spellStart"/>
            <w:r w:rsidRPr="009E589D">
              <w:rPr>
                <w:strike/>
                <w:sz w:val="20"/>
                <w:szCs w:val="20"/>
              </w:rPr>
              <w:t>mucositis</w:t>
            </w:r>
            <w:proofErr w:type="spellEnd"/>
            <w:r w:rsidRPr="009E589D">
              <w:rPr>
                <w:strike/>
                <w:sz w:val="20"/>
                <w:szCs w:val="20"/>
              </w:rPr>
              <w:t xml:space="preserve">, viral and bacterial infections, gastrointestinal toxicity (nausea, vomiting, diarrhoea and bleeding), pulmonary toxicity (pneumonia, cough and </w:t>
            </w:r>
            <w:r w:rsidRPr="009E589D">
              <w:rPr>
                <w:strike/>
                <w:sz w:val="20"/>
                <w:szCs w:val="20"/>
              </w:rPr>
              <w:lastRenderedPageBreak/>
              <w:t>pulmonary failure) CNS/neurotoxicity (neuropathy, headache, altered mental status, sensory or motor changes), cardiovascular</w:t>
            </w:r>
            <w:r w:rsidRPr="009E589D">
              <w:rPr>
                <w:strike/>
                <w:spacing w:val="-14"/>
                <w:sz w:val="20"/>
                <w:szCs w:val="20"/>
              </w:rPr>
              <w:t xml:space="preserve"> </w:t>
            </w:r>
            <w:r w:rsidRPr="009E589D">
              <w:rPr>
                <w:strike/>
                <w:sz w:val="20"/>
                <w:szCs w:val="20"/>
              </w:rPr>
              <w:t>toxicity (arrhythmia, pericardial fusion, acute hypertension, abnormal ejection fraction, heart failure, ischemic</w:t>
            </w:r>
            <w:r w:rsidRPr="009E589D">
              <w:rPr>
                <w:strike/>
                <w:spacing w:val="-3"/>
                <w:sz w:val="20"/>
                <w:szCs w:val="20"/>
              </w:rPr>
              <w:t xml:space="preserve"> </w:t>
            </w:r>
            <w:r w:rsidRPr="009E589D">
              <w:rPr>
                <w:strike/>
                <w:sz w:val="20"/>
                <w:szCs w:val="20"/>
              </w:rPr>
              <w:t>event)</w:t>
            </w:r>
          </w:p>
        </w:tc>
        <w:tc>
          <w:tcPr>
            <w:tcW w:w="580" w:type="pct"/>
          </w:tcPr>
          <w:p w14:paraId="3CEB6CAA" w14:textId="77777777" w:rsidR="009821F7" w:rsidRPr="00DE1403" w:rsidRDefault="009821F7" w:rsidP="009E589D">
            <w:pPr>
              <w:pStyle w:val="TableText0"/>
              <w:keepNext w:val="0"/>
              <w:spacing w:before="0" w:after="0"/>
              <w:rPr>
                <w:i/>
              </w:rPr>
            </w:pPr>
          </w:p>
        </w:tc>
      </w:tr>
      <w:tr w:rsidR="009821F7" w14:paraId="01E0A885" w14:textId="77777777" w:rsidTr="009E589D">
        <w:tc>
          <w:tcPr>
            <w:tcW w:w="626" w:type="pct"/>
          </w:tcPr>
          <w:p w14:paraId="5CB417C2" w14:textId="77777777" w:rsidR="009821F7" w:rsidRPr="00DE1403" w:rsidRDefault="00DD6551" w:rsidP="009E589D">
            <w:pPr>
              <w:pStyle w:val="TableText0"/>
              <w:keepNext w:val="0"/>
              <w:spacing w:before="0" w:after="0"/>
            </w:pPr>
            <w:hyperlink w:anchor="_ENREF_38" w:tooltip="Mozes, 2017 #10" w:history="1">
              <w:r w:rsidR="009821F7" w:rsidRPr="00DE1403">
                <w:fldChar w:fldCharType="begin"/>
              </w:r>
              <w:r w:rsidR="009821F7" w:rsidRPr="00DE1403">
                <w:instrText xml:space="preserve"> ADDIN EN.CITE &lt;EndNote&gt;&lt;Cite AuthorYear="1"&gt;&lt;Author&gt;Mozes&lt;/Author&gt;&lt;Year&gt;2017&lt;/Year&gt;&lt;RecNum&gt;10&lt;/RecNum&gt;&lt;DisplayText&gt;Mozes et al. (2017)&lt;/DisplayText&gt;&lt;record&gt;&lt;rec-number&gt;10&lt;/rec-number&gt;&lt;foreign-keys&gt;&lt;key app="EN" db-id="exfrw2pee0v5z6evdr2xwspdfw0ezf5ttzwp" timestamp="1597622847"&gt;10&lt;/key&gt;&lt;/foreign-keys&gt;&lt;ref-type name="Journal Article"&gt;17&lt;/ref-type&gt;&lt;contributors&gt;&lt;authors&gt;&lt;author&gt;Mozes, P.&lt;/author&gt;&lt;author&gt;Dittmar, J. O.&lt;/author&gt;&lt;author&gt;Habermehl, D.&lt;/author&gt;&lt;author&gt;Tonndorf-Martini, E.&lt;/author&gt;&lt;author&gt;Hideghety, K.&lt;/author&gt;&lt;author&gt;Dittmar, A.&lt;/author&gt;&lt;author&gt;Debus, J.&lt;/author&gt;&lt;author&gt;Combs, S. E.&lt;/author&gt;&lt;/authors&gt;&lt;/contributors&gt;&lt;titles&gt;&lt;title&gt;Volumetric response of intracranial meningioma after photon or particle irradiation&lt;/title&gt;&lt;secondary-title&gt;Acta Oncol&lt;/secondary-title&gt;&lt;/titles&gt;&lt;periodical&gt;&lt;full-title&gt;Acta Oncol&lt;/full-title&gt;&lt;/periodical&gt;&lt;pages&gt;431-437&lt;/pages&gt;&lt;volume&gt;56&lt;/volume&gt;&lt;number&gt;3&lt;/number&gt;&lt;dates&gt;&lt;year&gt;2017&lt;/year&gt;&lt;/dates&gt;&lt;accession-num&gt;27911139&lt;/accession-num&gt;&lt;urls&gt;&lt;related-urls&gt;&lt;url&gt;http://ezproxy.library.usyd.edu.au/login?url=http://ovidsp.ovid.com/ovidweb.cgi?T=JS&amp;amp;CSC=Y&amp;amp;NEWS=N&amp;amp;PAGE=fulltext&amp;amp;D=med14&amp;amp;AN=27911139https://sydney.alma.exlibrisgroup.com/openurl/61USYD_INST/61USYD_INST:sydney?sid=OVID:medline&amp;amp;id=pmid:27911139&amp;amp;id=doi:10.108&lt;/url&gt;&lt;url&gt;https://www.tandfonline.com/doi/pdf/10.1080/0284186X.2016.1259659?needAccess=true&lt;/url&gt;&lt;/related-urls&gt;&lt;/urls&gt;&lt;electronic-resource-num&gt;https://dx.doi.org/10.1080/0284186X.2016.1259659&lt;/electronic-resource-num&gt;&lt;/record&gt;&lt;/Cite&gt;&lt;/EndNote&gt;</w:instrText>
              </w:r>
              <w:r w:rsidR="009821F7" w:rsidRPr="00DE1403">
                <w:fldChar w:fldCharType="separate"/>
              </w:r>
              <w:r w:rsidR="009821F7" w:rsidRPr="00DE1403">
                <w:rPr>
                  <w:noProof/>
                </w:rPr>
                <w:t>Mozes et al. (2017)</w:t>
              </w:r>
              <w:r w:rsidR="009821F7" w:rsidRPr="00DE1403">
                <w:fldChar w:fldCharType="end"/>
              </w:r>
            </w:hyperlink>
            <w:r w:rsidR="009821F7" w:rsidRPr="00DE1403">
              <w:t>*</w:t>
            </w:r>
          </w:p>
        </w:tc>
        <w:tc>
          <w:tcPr>
            <w:tcW w:w="312" w:type="pct"/>
          </w:tcPr>
          <w:p w14:paraId="04004CB7" w14:textId="77777777" w:rsidR="009821F7" w:rsidRPr="00DE1403" w:rsidRDefault="009821F7" w:rsidP="009E589D">
            <w:pPr>
              <w:pStyle w:val="TableText0"/>
              <w:keepNext w:val="0"/>
              <w:spacing w:before="0" w:after="0"/>
            </w:pPr>
            <w:r w:rsidRPr="00DE1403">
              <w:t>77</w:t>
            </w:r>
          </w:p>
        </w:tc>
        <w:tc>
          <w:tcPr>
            <w:tcW w:w="705" w:type="pct"/>
          </w:tcPr>
          <w:p w14:paraId="1A8BB6CA" w14:textId="77777777" w:rsidR="009821F7" w:rsidRPr="00DE1403" w:rsidRDefault="009821F7" w:rsidP="009E589D">
            <w:pPr>
              <w:pStyle w:val="TableText0"/>
              <w:keepNext w:val="0"/>
              <w:spacing w:before="0" w:after="0"/>
            </w:pPr>
            <w:r w:rsidRPr="00DE1403">
              <w:t>Retrospective comparative effectiveness</w:t>
            </w:r>
          </w:p>
          <w:p w14:paraId="7CF02099" w14:textId="77777777" w:rsidR="009821F7" w:rsidRPr="00DE1403" w:rsidRDefault="009821F7" w:rsidP="009E589D">
            <w:pPr>
              <w:pStyle w:val="TableText0"/>
              <w:keepNext w:val="0"/>
              <w:spacing w:before="0" w:after="0"/>
            </w:pPr>
            <w:r w:rsidRPr="00DE1403">
              <w:t>2000-2012</w:t>
            </w:r>
          </w:p>
        </w:tc>
        <w:tc>
          <w:tcPr>
            <w:tcW w:w="481" w:type="pct"/>
          </w:tcPr>
          <w:p w14:paraId="231F76C9" w14:textId="77777777" w:rsidR="009821F7" w:rsidRPr="00DE1403" w:rsidRDefault="009821F7" w:rsidP="009E589D">
            <w:pPr>
              <w:pStyle w:val="TableText0"/>
              <w:keepNext w:val="0"/>
              <w:spacing w:before="0" w:after="0"/>
            </w:pPr>
            <w:r w:rsidRPr="00DE1403">
              <w:t>High</w:t>
            </w:r>
          </w:p>
        </w:tc>
        <w:tc>
          <w:tcPr>
            <w:tcW w:w="1017" w:type="pct"/>
          </w:tcPr>
          <w:p w14:paraId="091CB166" w14:textId="77777777" w:rsidR="009821F7" w:rsidRPr="00DE1403" w:rsidRDefault="009821F7" w:rsidP="009E589D">
            <w:pPr>
              <w:pStyle w:val="TableText0"/>
              <w:keepNext w:val="0"/>
              <w:spacing w:before="0" w:after="0"/>
            </w:pPr>
            <w:r w:rsidRPr="00DE1403">
              <w:t>Inoperable, r</w:t>
            </w:r>
            <w:r>
              <w:t>esidual or recurrent meningioma</w:t>
            </w:r>
          </w:p>
        </w:tc>
        <w:tc>
          <w:tcPr>
            <w:tcW w:w="1279" w:type="pct"/>
          </w:tcPr>
          <w:p w14:paraId="2CCE4842" w14:textId="77777777" w:rsidR="009821F7" w:rsidRPr="00DE1403" w:rsidRDefault="009821F7" w:rsidP="009E589D">
            <w:pPr>
              <w:pStyle w:val="TableText0"/>
              <w:keepNext w:val="0"/>
              <w:spacing w:before="0" w:after="0"/>
              <w:rPr>
                <w:i/>
              </w:rPr>
            </w:pPr>
            <w:r w:rsidRPr="00DE1403">
              <w:rPr>
                <w:i/>
                <w:iCs/>
              </w:rPr>
              <w:t>Local</w:t>
            </w:r>
            <w:r w:rsidRPr="00DE1403">
              <w:rPr>
                <w:i/>
              </w:rPr>
              <w:t xml:space="preserve"> tumour control</w:t>
            </w:r>
          </w:p>
        </w:tc>
        <w:tc>
          <w:tcPr>
            <w:tcW w:w="580" w:type="pct"/>
          </w:tcPr>
          <w:p w14:paraId="00B6DA48" w14:textId="77777777" w:rsidR="009821F7" w:rsidRPr="00DE1403" w:rsidRDefault="009821F7" w:rsidP="009E589D">
            <w:pPr>
              <w:pStyle w:val="TableText0"/>
              <w:keepNext w:val="0"/>
              <w:spacing w:before="0" w:after="0"/>
              <w:rPr>
                <w:i/>
              </w:rPr>
            </w:pPr>
            <w:r w:rsidRPr="00DE1403">
              <w:rPr>
                <w:i/>
              </w:rPr>
              <w:t>Not used</w:t>
            </w:r>
          </w:p>
        </w:tc>
      </w:tr>
      <w:tr w:rsidR="009821F7" w14:paraId="5638476B" w14:textId="77777777" w:rsidTr="009E589D">
        <w:tc>
          <w:tcPr>
            <w:tcW w:w="626" w:type="pct"/>
          </w:tcPr>
          <w:p w14:paraId="22AD97D0" w14:textId="77777777" w:rsidR="009821F7" w:rsidRPr="00DE1403" w:rsidRDefault="009821F7" w:rsidP="009E589D">
            <w:pPr>
              <w:pStyle w:val="TableText0"/>
              <w:keepNext w:val="0"/>
              <w:spacing w:before="0" w:after="0"/>
              <w:rPr>
                <w:strike/>
              </w:rPr>
            </w:pPr>
            <w:proofErr w:type="spellStart"/>
            <w:r w:rsidRPr="00DE1403">
              <w:rPr>
                <w:strike/>
              </w:rPr>
              <w:t>Bronk</w:t>
            </w:r>
            <w:proofErr w:type="spellEnd"/>
            <w:r w:rsidRPr="00DE1403">
              <w:rPr>
                <w:strike/>
              </w:rPr>
              <w:t xml:space="preserve"> 2018</w:t>
            </w:r>
          </w:p>
        </w:tc>
        <w:tc>
          <w:tcPr>
            <w:tcW w:w="312" w:type="pct"/>
          </w:tcPr>
          <w:p w14:paraId="78A5CCF4" w14:textId="77777777" w:rsidR="009821F7" w:rsidRPr="00DE1403" w:rsidRDefault="009821F7" w:rsidP="009E589D">
            <w:pPr>
              <w:pStyle w:val="TableText0"/>
              <w:keepNext w:val="0"/>
              <w:spacing w:before="0" w:after="0"/>
              <w:rPr>
                <w:strike/>
              </w:rPr>
            </w:pPr>
            <w:r w:rsidRPr="00DE1403">
              <w:rPr>
                <w:strike/>
              </w:rPr>
              <w:t>99</w:t>
            </w:r>
          </w:p>
        </w:tc>
        <w:tc>
          <w:tcPr>
            <w:tcW w:w="705" w:type="pct"/>
          </w:tcPr>
          <w:p w14:paraId="0BB49BA7" w14:textId="77777777" w:rsidR="009821F7" w:rsidRPr="00DE1403" w:rsidRDefault="009821F7" w:rsidP="009E589D">
            <w:pPr>
              <w:pStyle w:val="TableText0"/>
              <w:keepNext w:val="0"/>
              <w:spacing w:before="0" w:after="0"/>
              <w:rPr>
                <w:strike/>
              </w:rPr>
            </w:pPr>
            <w:r w:rsidRPr="00DE1403">
              <w:rPr>
                <w:strike/>
                <w:w w:val="95"/>
              </w:rPr>
              <w:t xml:space="preserve">Retrospective </w:t>
            </w:r>
            <w:r w:rsidRPr="00DE1403">
              <w:rPr>
                <w:strike/>
              </w:rPr>
              <w:t>comparative effectiveness</w:t>
            </w:r>
          </w:p>
          <w:p w14:paraId="2AC3F9DC" w14:textId="77777777" w:rsidR="009821F7" w:rsidRPr="00DE1403" w:rsidRDefault="009821F7" w:rsidP="009E589D">
            <w:pPr>
              <w:pStyle w:val="TableText0"/>
              <w:keepNext w:val="0"/>
              <w:spacing w:before="0" w:after="0"/>
              <w:rPr>
                <w:strike/>
              </w:rPr>
            </w:pPr>
            <w:r w:rsidRPr="00DE1403">
              <w:rPr>
                <w:strike/>
              </w:rPr>
              <w:t>2004-2015</w:t>
            </w:r>
          </w:p>
        </w:tc>
        <w:tc>
          <w:tcPr>
            <w:tcW w:w="481" w:type="pct"/>
          </w:tcPr>
          <w:p w14:paraId="3B553C7F" w14:textId="77777777" w:rsidR="009821F7" w:rsidRPr="00DE1403" w:rsidRDefault="009821F7" w:rsidP="009E589D">
            <w:pPr>
              <w:pStyle w:val="TableText0"/>
              <w:keepNext w:val="0"/>
              <w:spacing w:before="0" w:after="0"/>
              <w:rPr>
                <w:strike/>
              </w:rPr>
            </w:pPr>
            <w:r w:rsidRPr="00DE1403">
              <w:rPr>
                <w:strike/>
              </w:rPr>
              <w:t>High</w:t>
            </w:r>
          </w:p>
        </w:tc>
        <w:tc>
          <w:tcPr>
            <w:tcW w:w="1017" w:type="pct"/>
          </w:tcPr>
          <w:p w14:paraId="4FFEAA3B" w14:textId="77777777" w:rsidR="009821F7" w:rsidRPr="00DE1403" w:rsidRDefault="009821F7" w:rsidP="009E589D">
            <w:pPr>
              <w:pStyle w:val="TableText0"/>
              <w:keepNext w:val="0"/>
              <w:spacing w:before="0" w:after="0"/>
              <w:rPr>
                <w:strike/>
              </w:rPr>
            </w:pPr>
            <w:r w:rsidRPr="00DE1403">
              <w:rPr>
                <w:strike/>
              </w:rPr>
              <w:t xml:space="preserve">Grade II or III </w:t>
            </w:r>
            <w:proofErr w:type="spellStart"/>
            <w:r w:rsidRPr="00DE1403">
              <w:rPr>
                <w:strike/>
              </w:rPr>
              <w:t>oligodendroglioma</w:t>
            </w:r>
            <w:proofErr w:type="spellEnd"/>
            <w:r w:rsidRPr="00DE1403">
              <w:rPr>
                <w:strike/>
              </w:rPr>
              <w:t xml:space="preserve"> (n=67) or astrocytoma/glioma (n=32)</w:t>
            </w:r>
          </w:p>
        </w:tc>
        <w:tc>
          <w:tcPr>
            <w:tcW w:w="1279" w:type="pct"/>
          </w:tcPr>
          <w:p w14:paraId="77D567F5" w14:textId="77777777" w:rsidR="009821F7" w:rsidRPr="00DE1403" w:rsidRDefault="009821F7" w:rsidP="009E589D">
            <w:pPr>
              <w:pStyle w:val="TableText0"/>
              <w:keepNext w:val="0"/>
              <w:spacing w:before="0" w:after="0"/>
              <w:rPr>
                <w:i/>
                <w:iCs/>
                <w:strike/>
              </w:rPr>
            </w:pPr>
            <w:r w:rsidRPr="00DE1403">
              <w:rPr>
                <w:strike/>
              </w:rPr>
              <w:t>Pseudo progression</w:t>
            </w:r>
          </w:p>
        </w:tc>
        <w:tc>
          <w:tcPr>
            <w:tcW w:w="580" w:type="pct"/>
          </w:tcPr>
          <w:p w14:paraId="510209A1" w14:textId="77777777" w:rsidR="009821F7" w:rsidRPr="00DE1403" w:rsidRDefault="009821F7" w:rsidP="009E589D">
            <w:pPr>
              <w:pStyle w:val="TableText0"/>
              <w:keepNext w:val="0"/>
              <w:spacing w:before="0" w:after="0"/>
              <w:rPr>
                <w:i/>
              </w:rPr>
            </w:pPr>
          </w:p>
        </w:tc>
      </w:tr>
      <w:tr w:rsidR="009821F7" w14:paraId="40263B68" w14:textId="77777777" w:rsidTr="009E589D">
        <w:tc>
          <w:tcPr>
            <w:tcW w:w="626" w:type="pct"/>
          </w:tcPr>
          <w:p w14:paraId="4818BD38" w14:textId="77777777" w:rsidR="009821F7" w:rsidRPr="00DE1403" w:rsidRDefault="00DD6551" w:rsidP="009E589D">
            <w:pPr>
              <w:pStyle w:val="TableText0"/>
              <w:keepNext w:val="0"/>
              <w:spacing w:before="0" w:after="0"/>
            </w:pPr>
            <w:hyperlink w:anchor="_ENREF_26" w:tooltip="Jhaveri, 2018 #6" w:history="1">
              <w:r w:rsidR="009821F7" w:rsidRPr="00DE1403">
                <w:fldChar w:fldCharType="begin"/>
              </w:r>
              <w:r w:rsidR="009821F7" w:rsidRPr="00DE1403">
                <w:instrText xml:space="preserve"> ADDIN EN.CITE &lt;EndNote&gt;&lt;Cite AuthorYear="1"&gt;&lt;Author&gt;Jhaveri&lt;/Author&gt;&lt;Year&gt;2018&lt;/Year&gt;&lt;RecNum&gt;6&lt;/RecNum&gt;&lt;DisplayText&gt;Jhaveri et al. (2018)&lt;/DisplayText&gt;&lt;record&gt;&lt;rec-number&gt;6&lt;/rec-number&gt;&lt;foreign-keys&gt;&lt;key app="EN" db-id="exfrw2pee0v5z6evdr2xwspdfw0ezf5ttzwp" timestamp="1597622846"&gt;6&lt;/key&gt;&lt;/foreign-keys&gt;&lt;ref-type name="Journal Article"&gt;17&lt;/ref-type&gt;&lt;contributors&gt;&lt;authors&gt;&lt;author&gt;Jhaveri, J.&lt;/author&gt;&lt;author&gt;Cheng, E.&lt;/author&gt;&lt;author&gt;Tian, S.&lt;/author&gt;&lt;author&gt;Buchwald, Z.&lt;/author&gt;&lt;author&gt;Chowdhary, M.&lt;/author&gt;&lt;author&gt;Liu, Y.&lt;/author&gt;&lt;author&gt;Gillespie, T. W.&lt;/author&gt;&lt;author&gt;Olson, J. J.&lt;/author&gt;&lt;author&gt;Diaz, A. Z.&lt;/author&gt;&lt;author&gt;Voloschin, A.&lt;/author&gt;&lt;author&gt;Eaton, B. R.&lt;/author&gt;&lt;author&gt;Crocker, I. R.&lt;/author&gt;&lt;author&gt;McDonald, M. W.&lt;/author&gt;&lt;author&gt;Curran, W. J.&lt;/author&gt;&lt;author&gt;Patel, K. R.&lt;/author&gt;&lt;/authors&gt;&lt;/contributors&gt;&lt;titles&gt;&lt;title&gt;Proton vs. Photon Radiation Therapy for Primary Gliomas: An Analysis of the National Cancer Data Base&lt;/title&gt;&lt;secondary-title&gt;Front&lt;/secondary-title&gt;&lt;/titles&gt;&lt;periodical&gt;&lt;full-title&gt;Front&lt;/full-title&gt;&lt;/periodical&gt;&lt;pages&gt;440&lt;/pages&gt;&lt;volume&gt;8&lt;/volume&gt;&lt;dates&gt;&lt;year&gt;2018&lt;/year&gt;&lt;/dates&gt;&lt;accession-num&gt;30547008&lt;/accession-num&gt;&lt;urls&gt;&lt;related-urls&gt;&lt;url&gt;http://ezproxy.library.usyd.edu.au/login?url=http://ovidsp.ovid.com/ovidweb.cgi?T=JS&amp;amp;CSC=Y&amp;amp;NEWS=N&amp;amp;PAGE=fulltext&amp;amp;D=prem2&amp;amp;AN=30547008https://sydney.alma.exlibrisgroup.com/openurl/61USYD_INST/61USYD_INST:sydney?sid=OVID:medline&amp;amp;id=pmid:30547008&amp;amp;id=doi:10.338&lt;/url&gt;&lt;url&gt;https://fjfsdata01prod.blob.core.windows.net/articles/files/414720/pubmed-zip/.versions/1/.package-entries/fonc-08-00440/fonc-08-00440.pdf?sv=2015-12-11&amp;amp;sr=b&amp;amp;sig=NcrYuyG%2B%2Fv2HIEXkVl2atCsfwyV9Ifn9cU4Ej9gsYIE%3D&amp;amp;se=2020-07-24T02%3A58%3A25Z&amp;amp;sp=r&amp;amp;rscd=attachment%3B%20filename%2A%3DUTF-8%27%27fonc-08-00440.pdf&lt;/url&gt;&lt;/related-urls&gt;&lt;/urls&gt;&lt;electronic-resource-num&gt;https://dx.doi.org/10.3389/fonc.2018.00440&lt;/electronic-resource-num&gt;&lt;/record&gt;&lt;/Cite&gt;&lt;/EndNote&gt;</w:instrText>
              </w:r>
              <w:r w:rsidR="009821F7" w:rsidRPr="00DE1403">
                <w:fldChar w:fldCharType="separate"/>
              </w:r>
              <w:r w:rsidR="009821F7" w:rsidRPr="00DE1403">
                <w:rPr>
                  <w:noProof/>
                </w:rPr>
                <w:t>Jhaveri et al. (2018)</w:t>
              </w:r>
              <w:r w:rsidR="009821F7" w:rsidRPr="00DE1403">
                <w:fldChar w:fldCharType="end"/>
              </w:r>
            </w:hyperlink>
            <w:r w:rsidR="009821F7" w:rsidRPr="00DE1403">
              <w:t>*</w:t>
            </w:r>
          </w:p>
        </w:tc>
        <w:tc>
          <w:tcPr>
            <w:tcW w:w="312" w:type="pct"/>
          </w:tcPr>
          <w:p w14:paraId="781FF604" w14:textId="77777777" w:rsidR="009821F7" w:rsidRPr="00DE1403" w:rsidRDefault="009821F7" w:rsidP="009E589D">
            <w:pPr>
              <w:pStyle w:val="TableText0"/>
              <w:keepNext w:val="0"/>
              <w:spacing w:before="0" w:after="0"/>
            </w:pPr>
            <w:r w:rsidRPr="00DE1403">
              <w:t>49,575</w:t>
            </w:r>
          </w:p>
        </w:tc>
        <w:tc>
          <w:tcPr>
            <w:tcW w:w="705" w:type="pct"/>
          </w:tcPr>
          <w:p w14:paraId="7D2DEE23" w14:textId="77777777" w:rsidR="009821F7" w:rsidRPr="00DE1403" w:rsidRDefault="009821F7" w:rsidP="009E589D">
            <w:pPr>
              <w:pStyle w:val="TableText0"/>
              <w:keepNext w:val="0"/>
              <w:spacing w:before="0" w:after="0"/>
            </w:pPr>
            <w:r w:rsidRPr="00DE1403">
              <w:t>Retrospective database comparative effectiveness</w:t>
            </w:r>
          </w:p>
          <w:p w14:paraId="6615AA20" w14:textId="77777777" w:rsidR="009821F7" w:rsidRPr="00DE1403" w:rsidRDefault="009821F7" w:rsidP="009E589D">
            <w:pPr>
              <w:pStyle w:val="TableText0"/>
              <w:keepNext w:val="0"/>
              <w:spacing w:before="0" w:after="0"/>
            </w:pPr>
            <w:r w:rsidRPr="00DE1403">
              <w:t>2004-2013</w:t>
            </w:r>
          </w:p>
        </w:tc>
        <w:tc>
          <w:tcPr>
            <w:tcW w:w="481" w:type="pct"/>
          </w:tcPr>
          <w:p w14:paraId="682C7FBD" w14:textId="77777777" w:rsidR="009821F7" w:rsidRPr="00DE1403" w:rsidRDefault="009821F7" w:rsidP="009E589D">
            <w:pPr>
              <w:pStyle w:val="TableText0"/>
              <w:keepNext w:val="0"/>
              <w:spacing w:before="0" w:after="0"/>
            </w:pPr>
            <w:r w:rsidRPr="00DE1403">
              <w:t>Moderately high</w:t>
            </w:r>
          </w:p>
        </w:tc>
        <w:tc>
          <w:tcPr>
            <w:tcW w:w="1017" w:type="pct"/>
          </w:tcPr>
          <w:p w14:paraId="0E2D6801" w14:textId="77777777" w:rsidR="009821F7" w:rsidRPr="00DE1403" w:rsidRDefault="009821F7" w:rsidP="009E589D">
            <w:pPr>
              <w:pStyle w:val="TableText0"/>
              <w:keepNext w:val="0"/>
              <w:spacing w:before="0" w:after="0"/>
            </w:pPr>
            <w:r w:rsidRPr="00DE1403">
              <w:t>Grade I-IV glioma</w:t>
            </w:r>
          </w:p>
        </w:tc>
        <w:tc>
          <w:tcPr>
            <w:tcW w:w="1279" w:type="pct"/>
          </w:tcPr>
          <w:p w14:paraId="7EFBA8E1" w14:textId="77777777" w:rsidR="009821F7" w:rsidRPr="00DE1403" w:rsidRDefault="009821F7" w:rsidP="009E589D">
            <w:pPr>
              <w:pStyle w:val="TableText0"/>
              <w:keepNext w:val="0"/>
              <w:spacing w:before="0" w:after="0"/>
            </w:pPr>
            <w:r w:rsidRPr="00DE1403">
              <w:rPr>
                <w:i/>
                <w:iCs/>
              </w:rPr>
              <w:t>OS</w:t>
            </w:r>
          </w:p>
        </w:tc>
        <w:tc>
          <w:tcPr>
            <w:tcW w:w="580" w:type="pct"/>
          </w:tcPr>
          <w:p w14:paraId="178ABAA0" w14:textId="77777777" w:rsidR="009821F7" w:rsidRPr="00DE1403" w:rsidRDefault="009821F7" w:rsidP="009E589D">
            <w:pPr>
              <w:pStyle w:val="TableText0"/>
              <w:keepNext w:val="0"/>
              <w:spacing w:before="0" w:after="0"/>
              <w:rPr>
                <w:i/>
              </w:rPr>
            </w:pPr>
            <w:r w:rsidRPr="00DE1403">
              <w:rPr>
                <w:i/>
              </w:rPr>
              <w:t>Not used</w:t>
            </w:r>
          </w:p>
        </w:tc>
      </w:tr>
      <w:tr w:rsidR="009821F7" w14:paraId="17981853" w14:textId="77777777" w:rsidTr="009E589D">
        <w:tc>
          <w:tcPr>
            <w:tcW w:w="626" w:type="pct"/>
          </w:tcPr>
          <w:p w14:paraId="15C1CFDD" w14:textId="77777777" w:rsidR="009821F7" w:rsidRPr="00DE1403" w:rsidRDefault="00DD6551" w:rsidP="009E589D">
            <w:pPr>
              <w:pStyle w:val="TableText0"/>
              <w:keepNext w:val="0"/>
              <w:spacing w:before="0" w:after="0"/>
            </w:pPr>
            <w:hyperlink w:anchor="_ENREF_6" w:tooltip="Alterio, 2020 #2" w:history="1">
              <w:r w:rsidR="009821F7" w:rsidRPr="00DE1403">
                <w:fldChar w:fldCharType="begin"/>
              </w:r>
              <w:r w:rsidR="009821F7" w:rsidRPr="00DE1403">
                <w:instrText xml:space="preserve"> ADDIN EN.CITE &lt;EndNote&gt;&lt;Cite AuthorYear="1"&gt;&lt;Author&gt;Alterio&lt;/Author&gt;&lt;Year&gt;2020&lt;/Year&gt;&lt;RecNum&gt;2&lt;/RecNum&gt;&lt;DisplayText&gt;Alterio et al. (2020)&lt;/DisplayText&gt;&lt;record&gt;&lt;rec-number&gt;2&lt;/rec-number&gt;&lt;foreign-keys&gt;&lt;key app="EN" db-id="exfrw2pee0v5z6evdr2xwspdfw0ezf5ttzwp" timestamp="1597622845"&gt;2&lt;/key&gt;&lt;/foreign-keys&gt;&lt;ref-type name="Journal Article"&gt;17&lt;/ref-type&gt;&lt;contributors&gt;&lt;authors&gt;&lt;author&gt;Alterio, D.&lt;/author&gt;&lt;author&gt;D&amp;apos;Ippolito, E.&lt;/author&gt;&lt;author&gt;Vischioni, B.&lt;/author&gt;&lt;author&gt;Fossati, P.&lt;/author&gt;&lt;author&gt;Gandini, S.&lt;/author&gt;&lt;author&gt;Bonora, M.&lt;/author&gt;&lt;author&gt;Ronchi, S.&lt;/author&gt;&lt;author&gt;Vitolo, V.&lt;/author&gt;&lt;author&gt;Mastella, E.&lt;/author&gt;&lt;author&gt;Magro, G.&lt;/author&gt;&lt;author&gt;Franco, P.&lt;/author&gt;&lt;author&gt;Ricardi, U.&lt;/author&gt;&lt;author&gt;Krengli, M.&lt;/author&gt;&lt;author&gt;Ivaldi, G.&lt;/author&gt;&lt;author&gt;Ferrari, A.&lt;/author&gt;&lt;author&gt;Fanetti, G.&lt;/author&gt;&lt;author&gt;Comi, S.&lt;/author&gt;&lt;author&gt;Tagliabue, M.&lt;/author&gt;&lt;author&gt;Verri, E.&lt;/author&gt;&lt;author&gt;Ricotti, R.&lt;/author&gt;&lt;author&gt;Ciardo, D.&lt;/author&gt;&lt;author&gt;Jereczek-Fossa, B. A.&lt;/author&gt;&lt;author&gt;Valvo, F.&lt;/author&gt;&lt;author&gt;Orecchia, R.&lt;/author&gt;&lt;/authors&gt;&lt;/contributors&gt;&lt;titles&gt;&lt;title&gt;Mixed-beam approach in locally advanced nasopharyngeal carcinoma: IMRT followed by proton therapy boost versus IMRT-only. Evaluation of toxicity and efficacy&lt;/title&gt;&lt;secondary-title&gt;Acta Oncol&lt;/secondary-title&gt;&lt;/titles&gt;&lt;periodical&gt;&lt;full-title&gt;Acta Oncol&lt;/full-title&gt;&lt;/periodical&gt;&lt;pages&gt;541-548&lt;/pages&gt;&lt;volume&gt;59&lt;/volume&gt;&lt;number&gt;5&lt;/number&gt;&lt;dates&gt;&lt;year&gt;2020&lt;/year&gt;&lt;/dates&gt;&lt;accession-num&gt;32090645&lt;/accession-num&gt;&lt;urls&gt;&lt;related-urls&gt;&lt;url&gt;http://ezproxy.library.usyd.edu.au/login?url=http://ovidsp.ovid.com/ovidweb.cgi?T=JS&amp;amp;CSC=Y&amp;amp;NEWS=N&amp;amp;PAGE=fulltext&amp;amp;D=prem&amp;amp;AN=32090645https://sydney.alma.exlibrisgroup.com/openurl/61USYD_INST/61USYD_INST:sydney?sid=OVID:medline&amp;amp;id=pmid:32090645&amp;amp;id=doi:10.1080&lt;/url&gt;&lt;url&gt;https://www.tandfonline.com/doi/pdf/10.1080/0284186X.2020.1730001?needAccess=true&lt;/url&gt;&lt;/related-urls&gt;&lt;/urls&gt;&lt;electronic-resource-num&gt;https://dx.doi.org/10.1080/0284186X.2020.1730001&lt;/electronic-resource-num&gt;&lt;/record&gt;&lt;/Cite&gt;&lt;/EndNote&gt;</w:instrText>
              </w:r>
              <w:r w:rsidR="009821F7" w:rsidRPr="00DE1403">
                <w:fldChar w:fldCharType="separate"/>
              </w:r>
              <w:r w:rsidR="009821F7" w:rsidRPr="00DE1403">
                <w:rPr>
                  <w:noProof/>
                </w:rPr>
                <w:t>Alterio et al. (2020)</w:t>
              </w:r>
              <w:r w:rsidR="009821F7" w:rsidRPr="00DE1403">
                <w:fldChar w:fldCharType="end"/>
              </w:r>
            </w:hyperlink>
            <w:r w:rsidR="009821F7" w:rsidRPr="00DE1403">
              <w:t>*</w:t>
            </w:r>
          </w:p>
        </w:tc>
        <w:tc>
          <w:tcPr>
            <w:tcW w:w="312" w:type="pct"/>
          </w:tcPr>
          <w:p w14:paraId="475004E9" w14:textId="77777777" w:rsidR="009821F7" w:rsidRPr="00DE1403" w:rsidRDefault="009821F7" w:rsidP="009E589D">
            <w:pPr>
              <w:pStyle w:val="TableText0"/>
              <w:keepNext w:val="0"/>
              <w:spacing w:before="0" w:after="0"/>
            </w:pPr>
            <w:r w:rsidRPr="00DE1403">
              <w:t>44</w:t>
            </w:r>
          </w:p>
        </w:tc>
        <w:tc>
          <w:tcPr>
            <w:tcW w:w="705" w:type="pct"/>
          </w:tcPr>
          <w:p w14:paraId="63D93E40" w14:textId="77777777" w:rsidR="009821F7" w:rsidRPr="00DE1403" w:rsidRDefault="009821F7" w:rsidP="009E589D">
            <w:pPr>
              <w:pStyle w:val="TableText0"/>
              <w:keepNext w:val="0"/>
              <w:spacing w:before="0" w:after="0"/>
            </w:pPr>
            <w:r w:rsidRPr="00DE1403">
              <w:t>Retrospective comparative effectiveness</w:t>
            </w:r>
          </w:p>
          <w:p w14:paraId="203614C3" w14:textId="77777777" w:rsidR="009821F7" w:rsidRPr="00DE1403" w:rsidRDefault="009821F7" w:rsidP="009E589D">
            <w:pPr>
              <w:pStyle w:val="TableText0"/>
              <w:keepNext w:val="0"/>
              <w:spacing w:before="0" w:after="0"/>
              <w:rPr>
                <w:i/>
              </w:rPr>
            </w:pPr>
            <w:r w:rsidRPr="00DE1403">
              <w:rPr>
                <w:i/>
                <w:iCs/>
              </w:rPr>
              <w:t>2006-2015</w:t>
            </w:r>
          </w:p>
        </w:tc>
        <w:tc>
          <w:tcPr>
            <w:tcW w:w="481" w:type="pct"/>
          </w:tcPr>
          <w:p w14:paraId="55C74BD0" w14:textId="77777777" w:rsidR="009821F7" w:rsidRPr="00DE1403" w:rsidRDefault="009821F7" w:rsidP="009E589D">
            <w:pPr>
              <w:pStyle w:val="TableText0"/>
              <w:keepNext w:val="0"/>
              <w:spacing w:before="0" w:after="0"/>
            </w:pPr>
            <w:r w:rsidRPr="00DE1403">
              <w:t>High</w:t>
            </w:r>
          </w:p>
        </w:tc>
        <w:tc>
          <w:tcPr>
            <w:tcW w:w="1017" w:type="pct"/>
          </w:tcPr>
          <w:p w14:paraId="59B455A2" w14:textId="77777777" w:rsidR="009821F7" w:rsidRPr="00DE1403" w:rsidRDefault="009821F7" w:rsidP="009E589D">
            <w:pPr>
              <w:pStyle w:val="TableText0"/>
              <w:keepNext w:val="0"/>
              <w:spacing w:before="0" w:after="0"/>
            </w:pPr>
            <w:r w:rsidRPr="00DE1403">
              <w:t>Locally advanced nasopharyngeal cancer</w:t>
            </w:r>
          </w:p>
        </w:tc>
        <w:tc>
          <w:tcPr>
            <w:tcW w:w="1279" w:type="pct"/>
          </w:tcPr>
          <w:p w14:paraId="76461758" w14:textId="77777777" w:rsidR="009821F7" w:rsidRPr="00DE1403" w:rsidRDefault="009821F7" w:rsidP="009E589D">
            <w:pPr>
              <w:pStyle w:val="TableText0"/>
              <w:keepNext w:val="0"/>
              <w:spacing w:before="0" w:after="0"/>
            </w:pPr>
            <w:r w:rsidRPr="00DE1403">
              <w:rPr>
                <w:i/>
              </w:rPr>
              <w:t xml:space="preserve">Acute </w:t>
            </w:r>
            <w:r w:rsidRPr="00DE1403">
              <w:t xml:space="preserve">and late toxicities, PFS, local </w:t>
            </w:r>
            <w:r w:rsidRPr="00DE1403">
              <w:rPr>
                <w:i/>
              </w:rPr>
              <w:t xml:space="preserve">tumour </w:t>
            </w:r>
            <w:r w:rsidRPr="00DE1403">
              <w:t>control</w:t>
            </w:r>
          </w:p>
        </w:tc>
        <w:tc>
          <w:tcPr>
            <w:tcW w:w="580" w:type="pct"/>
          </w:tcPr>
          <w:p w14:paraId="79FA6F98" w14:textId="77777777" w:rsidR="009821F7" w:rsidRPr="00DE1403" w:rsidRDefault="009821F7" w:rsidP="009E589D">
            <w:pPr>
              <w:pStyle w:val="TableText0"/>
              <w:keepNext w:val="0"/>
              <w:spacing w:before="0" w:after="0"/>
              <w:rPr>
                <w:i/>
              </w:rPr>
            </w:pPr>
            <w:r>
              <w:rPr>
                <w:i/>
              </w:rPr>
              <w:t>Yes</w:t>
            </w:r>
          </w:p>
        </w:tc>
      </w:tr>
      <w:tr w:rsidR="009821F7" w14:paraId="7F710CED" w14:textId="77777777" w:rsidTr="009E589D">
        <w:tc>
          <w:tcPr>
            <w:tcW w:w="626" w:type="pct"/>
          </w:tcPr>
          <w:p w14:paraId="40E9F69A" w14:textId="77777777" w:rsidR="009821F7" w:rsidRPr="00DE1403" w:rsidRDefault="00DD6551" w:rsidP="009E589D">
            <w:pPr>
              <w:pStyle w:val="TableText0"/>
              <w:keepNext w:val="0"/>
              <w:spacing w:before="0" w:after="0"/>
              <w:rPr>
                <w:i/>
              </w:rPr>
            </w:pPr>
            <w:hyperlink w:anchor="_ENREF_1" w:tooltip="Acharya, 2018 #31" w:history="1">
              <w:r w:rsidR="009821F7" w:rsidRPr="00DE1403">
                <w:rPr>
                  <w:i/>
                </w:rPr>
                <w:fldChar w:fldCharType="begin">
                  <w:fldData xml:space="preserve">PEVuZE5vdGU+PENpdGUgQXV0aG9yWWVhcj0iMSI+PEF1dGhvcj5BY2hhcnlhPC9BdXRob3I+PFll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=
</w:fldData>
                </w:fldChar>
              </w:r>
              <w:r w:rsidR="009821F7" w:rsidRPr="00DE1403">
                <w:rPr>
                  <w:i/>
                </w:rPr>
                <w:instrText xml:space="preserve"> ADDIN EN.CITE </w:instrText>
              </w:r>
              <w:r w:rsidR="009821F7" w:rsidRPr="00DE1403">
                <w:rPr>
                  <w:i/>
                </w:rPr>
                <w:fldChar w:fldCharType="begin">
                  <w:fldData xml:space="preserve">PEVuZE5vdGU+PENpdGUgQXV0aG9yWWVhcj0iMSI+PEF1dGhvcj5BY2hhcnlhPC9BdXRob3I+PFll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=
</w:fldData>
                </w:fldChar>
              </w:r>
              <w:r w:rsidR="009821F7" w:rsidRPr="00DE1403">
                <w:rPr>
                  <w:i/>
                </w:rPr>
                <w:instrText xml:space="preserve"> ADDIN EN.CITE.DATA </w:instrText>
              </w:r>
              <w:r w:rsidR="009821F7" w:rsidRPr="00DE1403">
                <w:rPr>
                  <w:i/>
                </w:rPr>
              </w:r>
              <w:r w:rsidR="009821F7" w:rsidRPr="00DE1403">
                <w:rPr>
                  <w:i/>
                </w:rPr>
                <w:fldChar w:fldCharType="end"/>
              </w:r>
              <w:r w:rsidR="009821F7" w:rsidRPr="00DE1403">
                <w:rPr>
                  <w:i/>
                </w:rPr>
              </w:r>
              <w:r w:rsidR="009821F7" w:rsidRPr="00DE1403">
                <w:rPr>
                  <w:i/>
                </w:rPr>
                <w:fldChar w:fldCharType="separate"/>
              </w:r>
              <w:r w:rsidR="009821F7" w:rsidRPr="00DE1403">
                <w:rPr>
                  <w:i/>
                  <w:noProof/>
                </w:rPr>
                <w:t>Acharya et al. (2018)</w:t>
              </w:r>
              <w:r w:rsidR="009821F7" w:rsidRPr="00DE1403">
                <w:rPr>
                  <w:i/>
                </w:rPr>
                <w:fldChar w:fldCharType="end"/>
              </w:r>
            </w:hyperlink>
            <w:r w:rsidR="009821F7" w:rsidRPr="00DE1403">
              <w:rPr>
                <w:i/>
              </w:rPr>
              <w:t>*</w:t>
            </w:r>
          </w:p>
        </w:tc>
        <w:tc>
          <w:tcPr>
            <w:tcW w:w="312" w:type="pct"/>
          </w:tcPr>
          <w:p w14:paraId="6AA6529A" w14:textId="77777777" w:rsidR="009821F7" w:rsidRPr="00DE1403" w:rsidRDefault="009821F7" w:rsidP="009E589D">
            <w:pPr>
              <w:pStyle w:val="TableText0"/>
              <w:keepNext w:val="0"/>
              <w:spacing w:before="0" w:after="0"/>
              <w:rPr>
                <w:i/>
              </w:rPr>
            </w:pPr>
            <w:r w:rsidRPr="00DE1403">
              <w:rPr>
                <w:i/>
              </w:rPr>
              <w:t>72</w:t>
            </w:r>
          </w:p>
        </w:tc>
        <w:tc>
          <w:tcPr>
            <w:tcW w:w="705" w:type="pct"/>
          </w:tcPr>
          <w:p w14:paraId="09BBC3ED" w14:textId="77777777" w:rsidR="009821F7" w:rsidRPr="00DE1403" w:rsidRDefault="009821F7" w:rsidP="009E589D">
            <w:pPr>
              <w:pStyle w:val="TableText0"/>
              <w:keepNext w:val="0"/>
              <w:spacing w:before="0" w:after="0"/>
              <w:rPr>
                <w:i/>
              </w:rPr>
            </w:pPr>
            <w:r w:rsidRPr="00DE1403">
              <w:rPr>
                <w:i/>
              </w:rPr>
              <w:t>Retrospective comparative study</w:t>
            </w:r>
          </w:p>
        </w:tc>
        <w:tc>
          <w:tcPr>
            <w:tcW w:w="481" w:type="pct"/>
          </w:tcPr>
          <w:p w14:paraId="035816BF" w14:textId="77777777" w:rsidR="009821F7" w:rsidRPr="00DE1403" w:rsidRDefault="009821F7" w:rsidP="009E589D">
            <w:pPr>
              <w:pStyle w:val="TableText0"/>
              <w:keepNext w:val="0"/>
              <w:spacing w:before="0" w:after="0"/>
              <w:rPr>
                <w:i/>
              </w:rPr>
            </w:pPr>
            <w:r w:rsidRPr="00DE1403">
              <w:rPr>
                <w:i/>
              </w:rPr>
              <w:t>High</w:t>
            </w:r>
          </w:p>
        </w:tc>
        <w:tc>
          <w:tcPr>
            <w:tcW w:w="1017" w:type="pct"/>
          </w:tcPr>
          <w:p w14:paraId="656D40FA" w14:textId="77777777" w:rsidR="009821F7" w:rsidRPr="00DE1403" w:rsidRDefault="009821F7" w:rsidP="009E589D">
            <w:pPr>
              <w:pStyle w:val="TableText0"/>
              <w:keepNext w:val="0"/>
              <w:spacing w:before="0" w:after="0"/>
              <w:rPr>
                <w:i/>
              </w:rPr>
            </w:pPr>
            <w:r w:rsidRPr="00DE1403">
              <w:rPr>
                <w:i/>
              </w:rPr>
              <w:t>Adult cranial gliomas (</w:t>
            </w:r>
            <w:proofErr w:type="spellStart"/>
            <w:r w:rsidRPr="00DE1403">
              <w:rPr>
                <w:i/>
              </w:rPr>
              <w:t>oligodendrogliomas</w:t>
            </w:r>
            <w:proofErr w:type="spellEnd"/>
            <w:r w:rsidRPr="00DE1403">
              <w:rPr>
                <w:i/>
              </w:rPr>
              <w:t xml:space="preserve"> and </w:t>
            </w:r>
            <w:proofErr w:type="spellStart"/>
            <w:r w:rsidRPr="00DE1403">
              <w:rPr>
                <w:i/>
              </w:rPr>
              <w:t>astrocytomas</w:t>
            </w:r>
            <w:proofErr w:type="spellEnd"/>
            <w:r w:rsidRPr="00DE1403">
              <w:rPr>
                <w:i/>
              </w:rPr>
              <w:t>)</w:t>
            </w:r>
          </w:p>
        </w:tc>
        <w:tc>
          <w:tcPr>
            <w:tcW w:w="1279" w:type="pct"/>
          </w:tcPr>
          <w:p w14:paraId="2B629B60" w14:textId="77777777" w:rsidR="009821F7" w:rsidRPr="00DE1403" w:rsidRDefault="009821F7" w:rsidP="009E589D">
            <w:pPr>
              <w:pStyle w:val="TableText0"/>
              <w:keepNext w:val="0"/>
              <w:spacing w:before="0" w:after="0"/>
              <w:rPr>
                <w:i/>
              </w:rPr>
            </w:pPr>
            <w:r w:rsidRPr="00DE1403">
              <w:rPr>
                <w:i/>
              </w:rPr>
              <w:t>Late radiation-related toxicity</w:t>
            </w:r>
          </w:p>
        </w:tc>
        <w:tc>
          <w:tcPr>
            <w:tcW w:w="580" w:type="pct"/>
          </w:tcPr>
          <w:p w14:paraId="00EF8294" w14:textId="77777777" w:rsidR="009821F7" w:rsidRPr="00DE1403" w:rsidRDefault="009821F7" w:rsidP="009E589D">
            <w:pPr>
              <w:pStyle w:val="TableText0"/>
              <w:keepNext w:val="0"/>
              <w:spacing w:before="0" w:after="0"/>
              <w:rPr>
                <w:i/>
              </w:rPr>
            </w:pPr>
            <w:r w:rsidRPr="00DE1403">
              <w:rPr>
                <w:i/>
              </w:rPr>
              <w:t>Not used</w:t>
            </w:r>
          </w:p>
        </w:tc>
      </w:tr>
    </w:tbl>
    <w:p w14:paraId="2F09E3E6" w14:textId="77777777" w:rsidR="009821F7" w:rsidRDefault="009821F7" w:rsidP="00654AB1">
      <w:pPr>
        <w:pStyle w:val="Tablenotes"/>
      </w:pPr>
      <w:r w:rsidRPr="00745471">
        <w:t xml:space="preserve">Source: </w:t>
      </w:r>
      <w:r>
        <w:t>Table 19, p21 of the commentary.</w:t>
      </w:r>
    </w:p>
    <w:p w14:paraId="2978C10D" w14:textId="77777777" w:rsidR="009821F7" w:rsidRPr="006D080C" w:rsidRDefault="009821F7" w:rsidP="00654AB1">
      <w:pPr>
        <w:pStyle w:val="Tablenotes"/>
      </w:pPr>
      <w:r>
        <w:t xml:space="preserve">Strikethrough indicates that the commentary did not consider the study to be eligible for inclusion: </w:t>
      </w:r>
      <w:r w:rsidRPr="0014084D">
        <w:t>Kahn et al. (2011)– wrong population</w:t>
      </w:r>
      <w:r>
        <w:t xml:space="preserve">, </w:t>
      </w:r>
      <w:proofErr w:type="spellStart"/>
      <w:r w:rsidRPr="0014084D">
        <w:t>Mima</w:t>
      </w:r>
      <w:proofErr w:type="spellEnd"/>
      <w:r w:rsidRPr="0014084D">
        <w:t xml:space="preserve"> et al. (2014)– wrong comparator, Molina et al. (2014)– wrong comparator, </w:t>
      </w:r>
      <w:proofErr w:type="spellStart"/>
      <w:r w:rsidRPr="0014084D">
        <w:t>Romesser</w:t>
      </w:r>
      <w:proofErr w:type="spellEnd"/>
      <w:r w:rsidRPr="0014084D">
        <w:t xml:space="preserve"> </w:t>
      </w:r>
      <w:r>
        <w:t xml:space="preserve">et al. (2016)– wrong population, </w:t>
      </w:r>
      <w:r w:rsidRPr="0014084D">
        <w:t>Gunther et al. (2017)– wrong population,</w:t>
      </w:r>
      <w:r>
        <w:t xml:space="preserve"> </w:t>
      </w:r>
      <w:proofErr w:type="spellStart"/>
      <w:r w:rsidRPr="0014084D">
        <w:t>Bronk</w:t>
      </w:r>
      <w:proofErr w:type="spellEnd"/>
      <w:r>
        <w:t xml:space="preserve"> et al. (2018)– wrong outcomes.</w:t>
      </w:r>
    </w:p>
    <w:p w14:paraId="1892E90A" w14:textId="77777777" w:rsidR="009821F7" w:rsidRDefault="009821F7" w:rsidP="00654AB1">
      <w:pPr>
        <w:pStyle w:val="Tablenotes"/>
      </w:pPr>
      <w:r>
        <w:t>Studies in italics have been identified through the independent search conducted as part of the commentary.</w:t>
      </w:r>
    </w:p>
    <w:p w14:paraId="5702EBE3" w14:textId="77777777" w:rsidR="009821F7" w:rsidRPr="00745471" w:rsidRDefault="009821F7" w:rsidP="00654AB1">
      <w:pPr>
        <w:pStyle w:val="Tablenotes"/>
        <w:rPr>
          <w:sz w:val="16"/>
          <w:szCs w:val="16"/>
        </w:rPr>
      </w:pPr>
      <w:r>
        <w:t>*New studies not considered in the MSAC application 1455</w:t>
      </w:r>
      <w:r w:rsidRPr="00745471">
        <w:br/>
      </w:r>
      <w:r>
        <w:t>Abbreviations: CNS=</w:t>
      </w:r>
      <w:r w:rsidRPr="00745471">
        <w:t>central nervous system;</w:t>
      </w:r>
      <w:r>
        <w:t xml:space="preserve"> OS=overall survival; PFS=progression free survival; RT=radiation therapy; WBC=</w:t>
      </w:r>
      <w:r w:rsidRPr="00745471">
        <w:t>white blood cell count</w:t>
      </w:r>
    </w:p>
    <w:p w14:paraId="421E19FE" w14:textId="54CC8BF2" w:rsidR="009821F7" w:rsidRPr="00DD6551" w:rsidRDefault="009821F7" w:rsidP="002236BD">
      <w:pPr>
        <w:keepNext/>
        <w:keepLines/>
        <w:spacing w:before="240"/>
        <w:rPr>
          <w:rFonts w:ascii="Arial Narrow" w:hAnsi="Arial Narrow"/>
          <w:b/>
          <w:sz w:val="20"/>
        </w:rPr>
      </w:pPr>
      <w:bookmarkStart w:id="32" w:name="_Ref48298290"/>
      <w:bookmarkStart w:id="33" w:name="_Toc48916450"/>
      <w:bookmarkStart w:id="34" w:name="_Toc50391284"/>
      <w:r w:rsidRPr="00DD6551">
        <w:rPr>
          <w:rFonts w:ascii="Arial Narrow" w:hAnsi="Arial Narrow"/>
          <w:b/>
          <w:sz w:val="20"/>
        </w:rPr>
        <w:t xml:space="preserve">Table </w:t>
      </w:r>
      <w:r w:rsidRPr="00DD6551">
        <w:rPr>
          <w:rFonts w:ascii="Arial Narrow" w:hAnsi="Arial Narrow"/>
          <w:b/>
          <w:sz w:val="20"/>
        </w:rPr>
        <w:fldChar w:fldCharType="begin"/>
      </w:r>
      <w:r w:rsidRPr="00DD6551">
        <w:rPr>
          <w:rFonts w:ascii="Arial Narrow" w:hAnsi="Arial Narrow"/>
          <w:b/>
          <w:sz w:val="20"/>
        </w:rPr>
        <w:instrText>SEQ Table \* ARABIC</w:instrText>
      </w:r>
      <w:r w:rsidRPr="00DD6551">
        <w:rPr>
          <w:rFonts w:ascii="Arial Narrow" w:hAnsi="Arial Narrow"/>
          <w:b/>
          <w:sz w:val="20"/>
        </w:rPr>
        <w:fldChar w:fldCharType="separate"/>
      </w:r>
      <w:r w:rsidR="00810FF0" w:rsidRPr="00DD6551">
        <w:rPr>
          <w:rFonts w:ascii="Arial Narrow" w:hAnsi="Arial Narrow"/>
          <w:b/>
          <w:sz w:val="20"/>
        </w:rPr>
        <w:t>8</w:t>
      </w:r>
      <w:r w:rsidRPr="00DD6551">
        <w:rPr>
          <w:rFonts w:ascii="Arial Narrow" w:hAnsi="Arial Narrow"/>
          <w:b/>
          <w:sz w:val="20"/>
        </w:rPr>
        <w:fldChar w:fldCharType="end"/>
      </w:r>
      <w:bookmarkEnd w:id="32"/>
      <w:r w:rsidRPr="00DD6551">
        <w:rPr>
          <w:rFonts w:ascii="Arial Narrow" w:hAnsi="Arial Narrow"/>
          <w:b/>
          <w:sz w:val="20"/>
        </w:rPr>
        <w:tab/>
        <w:t>Key features of the included evidence comparing PBT with usual standard of care in paediatric and AYA patients with solid tumours</w:t>
      </w:r>
      <w:bookmarkEnd w:id="33"/>
      <w:r w:rsidRPr="00DD6551">
        <w:rPr>
          <w:rFonts w:ascii="Arial Narrow" w:hAnsi="Arial Narrow"/>
          <w:b/>
          <w:sz w:val="20"/>
        </w:rPr>
        <w:t xml:space="preserve"> and assessed to be eligible as part of the independent assessment undertaken for the commentary</w:t>
      </w:r>
      <w:bookmarkEnd w:id="34"/>
    </w:p>
    <w:tbl>
      <w:tblPr>
        <w:tblStyle w:val="TableGrid1"/>
        <w:tblW w:w="5000" w:type="pct"/>
        <w:tblLook w:val="04A0" w:firstRow="1" w:lastRow="0" w:firstColumn="1" w:lastColumn="0" w:noHBand="0" w:noVBand="1"/>
        <w:tblCaption w:val=" Key features of the included evidence comparing PBT with comparator in paediatric/AYA patients"/>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128"/>
        <w:gridCol w:w="627"/>
        <w:gridCol w:w="1219"/>
        <w:gridCol w:w="1028"/>
        <w:gridCol w:w="1774"/>
        <w:gridCol w:w="1979"/>
        <w:gridCol w:w="1261"/>
      </w:tblGrid>
      <w:tr w:rsidR="009821F7" w14:paraId="01844BF2" w14:textId="77777777" w:rsidTr="009E589D">
        <w:trPr>
          <w:cnfStyle w:val="100000000000" w:firstRow="1" w:lastRow="0" w:firstColumn="0" w:lastColumn="0" w:oddVBand="0" w:evenVBand="0" w:oddHBand="0" w:evenHBand="0" w:firstRowFirstColumn="0" w:firstRowLastColumn="0" w:lastRowFirstColumn="0" w:lastRowLastColumn="0"/>
          <w:tblHeader/>
        </w:trPr>
        <w:tc>
          <w:tcPr>
            <w:tcW w:w="625" w:type="pct"/>
          </w:tcPr>
          <w:p w14:paraId="17D809AE" w14:textId="77777777" w:rsidR="009821F7" w:rsidRPr="00721163" w:rsidRDefault="009821F7" w:rsidP="002236BD">
            <w:pPr>
              <w:pStyle w:val="Tabletextboldleft"/>
              <w:keepLines/>
              <w:spacing w:before="0" w:after="0"/>
            </w:pPr>
            <w:r w:rsidRPr="00721163">
              <w:rPr>
                <w:snapToGrid w:val="0"/>
              </w:rPr>
              <w:t>Trial/Study</w:t>
            </w:r>
          </w:p>
        </w:tc>
        <w:tc>
          <w:tcPr>
            <w:tcW w:w="313" w:type="pct"/>
          </w:tcPr>
          <w:p w14:paraId="55F81AF9" w14:textId="77777777" w:rsidR="009821F7" w:rsidRPr="00721163" w:rsidRDefault="009821F7" w:rsidP="002236BD">
            <w:pPr>
              <w:pStyle w:val="Tabletextboldleft"/>
              <w:keepLines/>
              <w:spacing w:before="0" w:after="0"/>
            </w:pPr>
            <w:r w:rsidRPr="00721163">
              <w:rPr>
                <w:snapToGrid w:val="0"/>
              </w:rPr>
              <w:t>N</w:t>
            </w:r>
          </w:p>
        </w:tc>
        <w:tc>
          <w:tcPr>
            <w:tcW w:w="707" w:type="pct"/>
          </w:tcPr>
          <w:p w14:paraId="2A2F963B" w14:textId="77777777" w:rsidR="009821F7" w:rsidRPr="00721163" w:rsidRDefault="009821F7" w:rsidP="002236BD">
            <w:pPr>
              <w:pStyle w:val="Tabletextboldleft"/>
              <w:keepLines/>
              <w:spacing w:before="0" w:after="0"/>
            </w:pPr>
            <w:r w:rsidRPr="00721163">
              <w:rPr>
                <w:snapToGrid w:val="0"/>
              </w:rPr>
              <w:t>Design/ duration</w:t>
            </w:r>
          </w:p>
        </w:tc>
        <w:tc>
          <w:tcPr>
            <w:tcW w:w="481" w:type="pct"/>
          </w:tcPr>
          <w:p w14:paraId="7EA30BC1" w14:textId="77777777" w:rsidR="009821F7" w:rsidRPr="00721163" w:rsidRDefault="009821F7" w:rsidP="002236BD">
            <w:pPr>
              <w:pStyle w:val="Tabletextboldleft"/>
              <w:keepLines/>
              <w:spacing w:before="0" w:after="0"/>
            </w:pPr>
            <w:r w:rsidRPr="00721163">
              <w:rPr>
                <w:snapToGrid w:val="0"/>
              </w:rPr>
              <w:t>Risk of bias</w:t>
            </w:r>
          </w:p>
        </w:tc>
        <w:tc>
          <w:tcPr>
            <w:tcW w:w="1015" w:type="pct"/>
          </w:tcPr>
          <w:p w14:paraId="5006DF67" w14:textId="77777777" w:rsidR="009821F7" w:rsidRPr="00721163" w:rsidRDefault="009821F7" w:rsidP="002236BD">
            <w:pPr>
              <w:pStyle w:val="Tabletextboldleft"/>
              <w:keepLines/>
              <w:spacing w:before="0" w:after="0"/>
            </w:pPr>
            <w:r w:rsidRPr="00721163">
              <w:rPr>
                <w:snapToGrid w:val="0"/>
              </w:rPr>
              <w:t>Patient population</w:t>
            </w:r>
          </w:p>
        </w:tc>
        <w:tc>
          <w:tcPr>
            <w:tcW w:w="1128" w:type="pct"/>
          </w:tcPr>
          <w:p w14:paraId="32B548A9" w14:textId="77777777" w:rsidR="009821F7" w:rsidRPr="00721163" w:rsidRDefault="009821F7" w:rsidP="002236BD">
            <w:pPr>
              <w:pStyle w:val="Tabletextboldleft"/>
              <w:keepLines/>
              <w:spacing w:before="0" w:after="0"/>
            </w:pPr>
            <w:r w:rsidRPr="00721163">
              <w:rPr>
                <w:snapToGrid w:val="0"/>
              </w:rPr>
              <w:t>Key outcome(s)</w:t>
            </w:r>
          </w:p>
        </w:tc>
        <w:tc>
          <w:tcPr>
            <w:tcW w:w="730" w:type="pct"/>
          </w:tcPr>
          <w:p w14:paraId="6FB157DA" w14:textId="77777777" w:rsidR="009821F7" w:rsidRPr="00F74E41" w:rsidRDefault="009821F7" w:rsidP="002236BD">
            <w:pPr>
              <w:pStyle w:val="Tabletextboldleft"/>
              <w:keepLines/>
              <w:spacing w:before="0" w:after="0"/>
              <w:rPr>
                <w:i/>
              </w:rPr>
            </w:pPr>
            <w:r w:rsidRPr="00F74E41">
              <w:rPr>
                <w:i/>
                <w:lang w:eastAsia="en-AU"/>
              </w:rPr>
              <w:t>Result used in economic model</w:t>
            </w:r>
          </w:p>
        </w:tc>
      </w:tr>
      <w:tr w:rsidR="009821F7" w14:paraId="03B01D2B" w14:textId="77777777" w:rsidTr="009E589D">
        <w:tc>
          <w:tcPr>
            <w:tcW w:w="625" w:type="pct"/>
          </w:tcPr>
          <w:p w14:paraId="4B623F3B" w14:textId="77777777" w:rsidR="009821F7" w:rsidRPr="00721163" w:rsidRDefault="00DD6551" w:rsidP="002236BD">
            <w:pPr>
              <w:pStyle w:val="TableText0"/>
              <w:keepNext w:val="0"/>
              <w:spacing w:before="0" w:after="0"/>
            </w:pPr>
            <w:hyperlink w:anchor="_ENREF_9" w:tooltip="Bishop, 2014 #14" w:history="1">
              <w:r w:rsidR="009821F7" w:rsidRPr="00721163">
                <w:fldChar w:fldCharType="begin">
                  <w:fldData xml:space="preserve">PEVuZE5vdGU+PENpdGUgQXV0aG9yWWVhcj0iMSI+PEF1dGhvcj5CaXNob3A8L0F1dGhvcj48WWVh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</w:fldData>
                </w:fldChar>
              </w:r>
              <w:r w:rsidR="009821F7" w:rsidRPr="00721163">
                <w:instrText xml:space="preserve"> ADDIN EN.CITE </w:instrText>
              </w:r>
              <w:r w:rsidR="009821F7" w:rsidRPr="00721163">
                <w:fldChar w:fldCharType="begin">
                  <w:fldData xml:space="preserve">PEVuZE5vdGU+PENpdGUgQXV0aG9yWWVhcj0iMSI+PEF1dGhvcj5CaXNob3A8L0F1dGhvcj48WWVh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</w:fldData>
                </w:fldChar>
              </w:r>
              <w:r w:rsidR="009821F7" w:rsidRPr="00721163">
                <w:instrText xml:space="preserve"> ADDIN EN.CITE.DATA </w:instrText>
              </w:r>
              <w:r w:rsidR="009821F7" w:rsidRPr="00721163">
                <w:fldChar w:fldCharType="end"/>
              </w:r>
              <w:r w:rsidR="009821F7" w:rsidRPr="00721163">
                <w:fldChar w:fldCharType="separate"/>
              </w:r>
              <w:r w:rsidR="009821F7" w:rsidRPr="00721163">
                <w:rPr>
                  <w:noProof/>
                </w:rPr>
                <w:t>Bishop et al. (2014)</w:t>
              </w:r>
              <w:r w:rsidR="009821F7" w:rsidRPr="00721163">
                <w:fldChar w:fldCharType="end"/>
              </w:r>
            </w:hyperlink>
          </w:p>
        </w:tc>
        <w:tc>
          <w:tcPr>
            <w:tcW w:w="313" w:type="pct"/>
          </w:tcPr>
          <w:p w14:paraId="13209CBE" w14:textId="77777777" w:rsidR="009821F7" w:rsidRPr="00721163" w:rsidRDefault="009821F7" w:rsidP="002236BD">
            <w:pPr>
              <w:pStyle w:val="TableText0"/>
              <w:keepNext w:val="0"/>
              <w:spacing w:before="0" w:after="0"/>
            </w:pPr>
            <w:r w:rsidRPr="00721163">
              <w:t>52</w:t>
            </w:r>
          </w:p>
        </w:tc>
        <w:tc>
          <w:tcPr>
            <w:tcW w:w="707" w:type="pct"/>
          </w:tcPr>
          <w:p w14:paraId="6529EFF3" w14:textId="77777777" w:rsidR="009821F7" w:rsidRPr="00721163" w:rsidRDefault="009821F7" w:rsidP="002236BD">
            <w:pPr>
              <w:pStyle w:val="TableText0"/>
              <w:keepNext w:val="0"/>
              <w:spacing w:before="0" w:after="0"/>
            </w:pPr>
            <w:r w:rsidRPr="00721163">
              <w:t>Retrospective comparative effectiveness</w:t>
            </w:r>
          </w:p>
          <w:p w14:paraId="14E72FB2" w14:textId="77777777" w:rsidR="009821F7" w:rsidRPr="00721163" w:rsidRDefault="009821F7" w:rsidP="002236BD">
            <w:pPr>
              <w:pStyle w:val="TableText0"/>
              <w:keepNext w:val="0"/>
              <w:spacing w:before="0" w:after="0"/>
            </w:pPr>
            <w:r w:rsidRPr="00721163">
              <w:t>1996-2012</w:t>
            </w:r>
          </w:p>
        </w:tc>
        <w:tc>
          <w:tcPr>
            <w:tcW w:w="481" w:type="pct"/>
          </w:tcPr>
          <w:p w14:paraId="041D8128" w14:textId="77777777" w:rsidR="009821F7" w:rsidRPr="00721163" w:rsidRDefault="009821F7" w:rsidP="002236BD">
            <w:pPr>
              <w:pStyle w:val="TableText0"/>
              <w:keepNext w:val="0"/>
              <w:spacing w:before="0" w:after="0"/>
            </w:pPr>
            <w:r w:rsidRPr="00721163">
              <w:t>High</w:t>
            </w:r>
          </w:p>
        </w:tc>
        <w:tc>
          <w:tcPr>
            <w:tcW w:w="1015" w:type="pct"/>
          </w:tcPr>
          <w:p w14:paraId="7AF08590" w14:textId="77777777" w:rsidR="009821F7" w:rsidRPr="00721163" w:rsidRDefault="009821F7" w:rsidP="002236BD">
            <w:pPr>
              <w:pStyle w:val="TableText0"/>
              <w:keepNext w:val="0"/>
              <w:spacing w:before="0" w:after="0"/>
            </w:pPr>
            <w:proofErr w:type="spellStart"/>
            <w:r w:rsidRPr="00721163">
              <w:t>Craniopharyngioma</w:t>
            </w:r>
            <w:proofErr w:type="spellEnd"/>
          </w:p>
        </w:tc>
        <w:tc>
          <w:tcPr>
            <w:tcW w:w="1128" w:type="pct"/>
          </w:tcPr>
          <w:p w14:paraId="7840E1B1" w14:textId="77777777" w:rsidR="009821F7" w:rsidRPr="00721163" w:rsidRDefault="009821F7" w:rsidP="002236BD">
            <w:pPr>
              <w:pStyle w:val="TableText0"/>
              <w:keepNext w:val="0"/>
              <w:spacing w:before="0" w:after="0"/>
            </w:pPr>
            <w:r w:rsidRPr="00721163">
              <w:t xml:space="preserve">OS, </w:t>
            </w:r>
            <w:r w:rsidRPr="00721163">
              <w:rPr>
                <w:i/>
              </w:rPr>
              <w:t>disease progression,</w:t>
            </w:r>
            <w:r w:rsidRPr="00721163">
              <w:t xml:space="preserve"> safety (</w:t>
            </w:r>
            <w:r w:rsidRPr="00721163">
              <w:rPr>
                <w:i/>
              </w:rPr>
              <w:t xml:space="preserve">late </w:t>
            </w:r>
            <w:r w:rsidRPr="00721163">
              <w:t>RT-related toxicities)</w:t>
            </w:r>
          </w:p>
        </w:tc>
        <w:tc>
          <w:tcPr>
            <w:tcW w:w="730" w:type="pct"/>
          </w:tcPr>
          <w:p w14:paraId="6C1F3138" w14:textId="77777777" w:rsidR="009821F7" w:rsidRPr="00F74E41" w:rsidRDefault="009821F7" w:rsidP="002236BD">
            <w:pPr>
              <w:pStyle w:val="TableText0"/>
              <w:keepNext w:val="0"/>
              <w:spacing w:before="0" w:after="0"/>
              <w:rPr>
                <w:i/>
              </w:rPr>
            </w:pPr>
            <w:r w:rsidRPr="00F74E41">
              <w:rPr>
                <w:i/>
              </w:rPr>
              <w:t>Yes</w:t>
            </w:r>
          </w:p>
        </w:tc>
      </w:tr>
      <w:tr w:rsidR="009821F7" w14:paraId="69F62CB0" w14:textId="77777777" w:rsidTr="009E589D">
        <w:tc>
          <w:tcPr>
            <w:tcW w:w="625" w:type="pct"/>
          </w:tcPr>
          <w:p w14:paraId="165BBCC9" w14:textId="77777777" w:rsidR="009821F7" w:rsidRPr="00721163" w:rsidRDefault="00DD6551" w:rsidP="002236BD">
            <w:pPr>
              <w:pStyle w:val="TableText0"/>
              <w:keepNext w:val="0"/>
              <w:spacing w:before="0" w:after="0"/>
            </w:pPr>
            <w:hyperlink w:anchor="_ENREF_48" w:tooltip="Sethi, 2014 #25" w:history="1">
              <w:r w:rsidR="009821F7" w:rsidRPr="00721163">
                <w:fldChar w:fldCharType="begin"/>
              </w:r>
              <w:r w:rsidR="009821F7" w:rsidRPr="00721163">
                <w:instrText xml:space="preserve"> ADDIN EN.CITE &lt;EndNote&gt;&lt;Cite AuthorYear="1"&gt;&lt;Author&gt;Sethi&lt;/Author&gt;&lt;Year&gt;2014&lt;/Year&gt;&lt;RecNum&gt;25&lt;/RecNum&gt;&lt;DisplayText&gt;Sethi et al. (2014)&lt;/DisplayText&gt;&lt;record&gt;&lt;rec-number&gt;25&lt;/rec-number&gt;&lt;foreign-keys&gt;&lt;key app="EN" db-id="exfrw2pee0v5z6evdr2xwspdfw0ezf5ttzwp" timestamp="1597622872"&gt;25&lt;/key&gt;&lt;/foreign-keys&gt;&lt;ref-type name="Journal Article"&gt;17&lt;/ref-type&gt;&lt;contributors&gt;&lt;authors&gt;&lt;author&gt;Sethi, R. V.&lt;/author&gt;&lt;author&gt;Shih, H. A.&lt;/author&gt;&lt;author&gt;Yeap, B. Y.&lt;/author&gt;&lt;author&gt;Mouw, K. W.&lt;/author&gt;&lt;author&gt;Petersen, R.&lt;/author&gt;&lt;author&gt;Kim, D. Y.&lt;/author&gt;&lt;author&gt;Munzenrider, J. E.&lt;/author&gt;&lt;author&gt;Grabowski, E.&lt;/author&gt;&lt;author&gt;Rodriguez-Galindo, C.&lt;/author&gt;&lt;author&gt;Yock, T. I.&lt;/author&gt;&lt;author&gt;Tarbell, N. J.&lt;/author&gt;&lt;author&gt;Marcus, K. J.&lt;/author&gt;&lt;author&gt;Mukai, S.&lt;/author&gt;&lt;author&gt;MacDonald, S. M.&lt;/author&gt;&lt;/authors&gt;&lt;/contributors&gt;&lt;titles&gt;&lt;title&gt;Second nonocular tumors among survivors of retinoblastoma treated with contemporary photon and proton radiotherapy&lt;/title&gt;&lt;secondary-title&gt;Cancer&lt;/secondary-title&gt;&lt;/titles&gt;&lt;periodical&gt;&lt;full-title&gt;Cancer&lt;/full-title&gt;&lt;/periodical&gt;&lt;pages&gt;126-33&lt;/pages&gt;&lt;volume&gt;120&lt;/volume&gt;&lt;number&gt;1&lt;/number&gt;&lt;dates&gt;&lt;year&gt;2014&lt;/year&gt;&lt;/dates&gt;&lt;accession-num&gt;24122173&lt;/accession-num&gt;&lt;urls&gt;&lt;related-urls&gt;&lt;url&gt;http://ezproxy.library.usyd.edu.au/login?url=http://ovidsp.ovid.com/ovidweb.cgi?T=JS&amp;amp;CSC=Y&amp;amp;NEWS=N&amp;amp;PAGE=fulltext&amp;amp;D=med11&amp;amp;AN=24122173https://sydney.alma.exlibrisgroup.com/openurl/61USYD_INST/61USYD_INST:sydney?sid=OVID:medline&amp;amp;id=pmid:24122173&amp;amp;id=doi:10.100&lt;/url&gt;&lt;url&gt;https://acsjournals.onlinelibrary.wiley.com/doi/pdfdirect/10.1002/cncr.28387?download=true&lt;/url&gt;&lt;/related-urls&gt;&lt;/urls&gt;&lt;electronic-resource-num&gt;https://dx.doi.org/10.1002/cncr.28387&lt;/electronic-resource-num&gt;&lt;/record&gt;&lt;/Cite&gt;&lt;/EndNote&gt;</w:instrText>
              </w:r>
              <w:r w:rsidR="009821F7" w:rsidRPr="00721163">
                <w:fldChar w:fldCharType="separate"/>
              </w:r>
              <w:r w:rsidR="009821F7" w:rsidRPr="00721163">
                <w:rPr>
                  <w:noProof/>
                </w:rPr>
                <w:t>Sethi et al. (2014)</w:t>
              </w:r>
              <w:r w:rsidR="009821F7" w:rsidRPr="00721163">
                <w:fldChar w:fldCharType="end"/>
              </w:r>
            </w:hyperlink>
          </w:p>
        </w:tc>
        <w:tc>
          <w:tcPr>
            <w:tcW w:w="313" w:type="pct"/>
          </w:tcPr>
          <w:p w14:paraId="58662D68" w14:textId="77777777" w:rsidR="009821F7" w:rsidRPr="00721163" w:rsidRDefault="009821F7" w:rsidP="002236BD">
            <w:pPr>
              <w:pStyle w:val="TableText0"/>
              <w:keepNext w:val="0"/>
              <w:spacing w:before="0" w:after="0"/>
            </w:pPr>
            <w:r w:rsidRPr="00721163">
              <w:t>86</w:t>
            </w:r>
          </w:p>
        </w:tc>
        <w:tc>
          <w:tcPr>
            <w:tcW w:w="707" w:type="pct"/>
          </w:tcPr>
          <w:p w14:paraId="62E8C612" w14:textId="77777777" w:rsidR="009821F7" w:rsidRPr="00721163" w:rsidRDefault="009821F7" w:rsidP="002236BD">
            <w:pPr>
              <w:pStyle w:val="TableText0"/>
              <w:keepNext w:val="0"/>
              <w:spacing w:before="0" w:after="0"/>
            </w:pPr>
            <w:r w:rsidRPr="00721163">
              <w:t>Retrospective comparative effectiveness</w:t>
            </w:r>
          </w:p>
          <w:p w14:paraId="170391D5" w14:textId="77777777" w:rsidR="009821F7" w:rsidRPr="00721163" w:rsidRDefault="009821F7" w:rsidP="002236BD">
            <w:pPr>
              <w:pStyle w:val="TableText0"/>
              <w:keepNext w:val="0"/>
              <w:spacing w:before="0" w:after="0"/>
            </w:pPr>
            <w:r w:rsidRPr="00721163">
              <w:t>1986-2011</w:t>
            </w:r>
          </w:p>
        </w:tc>
        <w:tc>
          <w:tcPr>
            <w:tcW w:w="481" w:type="pct"/>
          </w:tcPr>
          <w:p w14:paraId="7EFE646D" w14:textId="77777777" w:rsidR="009821F7" w:rsidRPr="00721163" w:rsidRDefault="009821F7" w:rsidP="002236BD">
            <w:pPr>
              <w:pStyle w:val="TableText0"/>
              <w:keepNext w:val="0"/>
              <w:spacing w:before="0" w:after="0"/>
            </w:pPr>
            <w:r w:rsidRPr="00721163">
              <w:t>High</w:t>
            </w:r>
          </w:p>
        </w:tc>
        <w:tc>
          <w:tcPr>
            <w:tcW w:w="1015" w:type="pct"/>
          </w:tcPr>
          <w:p w14:paraId="005FB7D1" w14:textId="77777777" w:rsidR="009821F7" w:rsidRPr="00721163" w:rsidRDefault="009821F7" w:rsidP="002236BD">
            <w:pPr>
              <w:pStyle w:val="TableText0"/>
              <w:keepNext w:val="0"/>
              <w:spacing w:before="0" w:after="0"/>
            </w:pPr>
            <w:r w:rsidRPr="00721163">
              <w:t>Retinoblastoma</w:t>
            </w:r>
          </w:p>
        </w:tc>
        <w:tc>
          <w:tcPr>
            <w:tcW w:w="1128" w:type="pct"/>
          </w:tcPr>
          <w:p w14:paraId="731B771C" w14:textId="77777777" w:rsidR="009821F7" w:rsidRPr="00721163" w:rsidRDefault="009821F7" w:rsidP="002236BD">
            <w:pPr>
              <w:pStyle w:val="TableText0"/>
              <w:keepNext w:val="0"/>
              <w:spacing w:before="0" w:after="0"/>
            </w:pPr>
            <w:r w:rsidRPr="00721163">
              <w:t>Safety (rate of in-field or RT-related secondary malignancies)</w:t>
            </w:r>
          </w:p>
        </w:tc>
        <w:tc>
          <w:tcPr>
            <w:tcW w:w="730" w:type="pct"/>
          </w:tcPr>
          <w:p w14:paraId="7FB55120" w14:textId="77777777" w:rsidR="009821F7" w:rsidRPr="00F74E41" w:rsidRDefault="009821F7" w:rsidP="002236BD">
            <w:pPr>
              <w:pStyle w:val="TableText0"/>
              <w:keepNext w:val="0"/>
              <w:spacing w:before="0" w:after="0"/>
              <w:rPr>
                <w:i/>
              </w:rPr>
            </w:pPr>
            <w:r w:rsidRPr="00F74E41">
              <w:rPr>
                <w:i/>
              </w:rPr>
              <w:t>Not used</w:t>
            </w:r>
          </w:p>
        </w:tc>
      </w:tr>
      <w:tr w:rsidR="009821F7" w14:paraId="487A54D8" w14:textId="77777777" w:rsidTr="009E589D">
        <w:tc>
          <w:tcPr>
            <w:tcW w:w="625" w:type="pct"/>
          </w:tcPr>
          <w:p w14:paraId="241D43B7" w14:textId="77777777" w:rsidR="009821F7" w:rsidRPr="00721163" w:rsidRDefault="00DD6551" w:rsidP="002236BD">
            <w:pPr>
              <w:pStyle w:val="TableText0"/>
              <w:keepNext w:val="0"/>
              <w:spacing w:before="0" w:after="0"/>
            </w:pPr>
            <w:hyperlink w:anchor="_ENREF_50" w:tooltip="Song, 2014 #26" w:history="1">
              <w:r w:rsidR="009821F7" w:rsidRPr="00721163">
                <w:fldChar w:fldCharType="begin"/>
              </w:r>
              <w:r w:rsidR="009821F7" w:rsidRPr="00721163">
                <w:instrText xml:space="preserve"> ADDIN EN.CITE &lt;EndNote&gt;&lt;Cite AuthorYear="1"&gt;&lt;Author&gt;Song&lt;/Author&gt;&lt;Year&gt;2014&lt;/Year&gt;&lt;RecNum&gt;26&lt;/RecNum&gt;&lt;DisplayText&gt;Song et al. (2014)&lt;/DisplayText&gt;&lt;record&gt;&lt;rec-number&gt;26&lt;/rec-number&gt;&lt;foreign-keys&gt;&lt;key app="EN" db-id="exfrw2pee0v5z6evdr2xwspdfw0ezf5ttzwp" timestamp="1597622872"&gt;26&lt;/key&gt;&lt;/foreign-keys&gt;&lt;ref-type name="Journal Article"&gt;17&lt;/ref-type&gt;&lt;contributors&gt;&lt;authors&gt;&lt;author&gt;Song, S.&lt;/author&gt;&lt;author&gt;Park, H. J.&lt;/author&gt;&lt;author&gt;Yoon, J. H.&lt;/author&gt;&lt;author&gt;Kim, D. W.&lt;/author&gt;&lt;author&gt;Park, J.&lt;/author&gt;&lt;author&gt;Shin, D.&lt;/author&gt;&lt;author&gt;Shin, S. H.&lt;/author&gt;&lt;author&gt;Kang, H. J.&lt;/author&gt;&lt;author&gt;Kim, S. K.&lt;/author&gt;&lt;author&gt;Phi, J. H.&lt;/author&gt;&lt;author&gt;Kim, J. Y.&lt;/author&gt;&lt;/authors&gt;&lt;/contributors&gt;&lt;titles&gt;&lt;title&gt;Proton beam therapy reduces the incidence of acute haematological and gastrointestinal toxicities associated with craniospinal irradiation in pediatric brain tumors&lt;/title&gt;&lt;secondary-title&gt;Acta Oncol&lt;/secondary-title&gt;&lt;/titles&gt;&lt;periodical&gt;&lt;full-title&gt;Acta Oncol&lt;/full-title&gt;&lt;/periodical&gt;&lt;pages&gt;1158-64&lt;/pages&gt;&lt;volume&gt;53&lt;/volume&gt;&lt;number&gt;9&lt;/number&gt;&lt;dates&gt;&lt;year&gt;2014&lt;/year&gt;&lt;/dates&gt;&lt;accession-num&gt;24913151&lt;/accession-num&gt;&lt;urls&gt;&lt;related-urls&gt;&lt;url&gt;http://ezproxy.library.usyd.edu.au/login?url=http://ovidsp.ovid.com/ovidweb.cgi?T=JS&amp;amp;CSC=Y&amp;amp;NEWS=N&amp;amp;PAGE=fulltext&amp;amp;D=med11&amp;amp;AN=24913151https://sydney.alma.exlibrisgroup.com/openurl/61USYD_INST/61USYD_INST:sydney?sid=OVID:medline&amp;amp;id=pmid:24913151&amp;amp;id=doi:10.310&lt;/url&gt;&lt;url&gt;https://www.tandfonline.com/doi/pdf/10.3109/0284186X.2014.887225?needAccess=true&lt;/url&gt;&lt;/related-urls&gt;&lt;/urls&gt;&lt;electronic-resource-num&gt;https://dx.doi.org/10.3109/0284186X.2014.887225&lt;/electronic-resource-num&gt;&lt;/record&gt;&lt;/Cite&gt;&lt;/EndNote&gt;</w:instrText>
              </w:r>
              <w:r w:rsidR="009821F7" w:rsidRPr="00721163">
                <w:fldChar w:fldCharType="separate"/>
              </w:r>
              <w:r w:rsidR="009821F7" w:rsidRPr="00721163">
                <w:rPr>
                  <w:noProof/>
                </w:rPr>
                <w:t>Song et al. (2014)</w:t>
              </w:r>
              <w:r w:rsidR="009821F7" w:rsidRPr="00721163">
                <w:fldChar w:fldCharType="end"/>
              </w:r>
            </w:hyperlink>
          </w:p>
        </w:tc>
        <w:tc>
          <w:tcPr>
            <w:tcW w:w="313" w:type="pct"/>
          </w:tcPr>
          <w:p w14:paraId="11BB8CEA" w14:textId="77777777" w:rsidR="009821F7" w:rsidRPr="00721163" w:rsidRDefault="009821F7" w:rsidP="002236BD">
            <w:pPr>
              <w:pStyle w:val="TableText0"/>
              <w:keepNext w:val="0"/>
              <w:spacing w:before="0" w:after="0"/>
            </w:pPr>
            <w:r w:rsidRPr="00721163">
              <w:t>39</w:t>
            </w:r>
          </w:p>
        </w:tc>
        <w:tc>
          <w:tcPr>
            <w:tcW w:w="707" w:type="pct"/>
          </w:tcPr>
          <w:p w14:paraId="6319A0C8" w14:textId="77777777" w:rsidR="009821F7" w:rsidRPr="00721163" w:rsidRDefault="009821F7" w:rsidP="002236BD">
            <w:pPr>
              <w:pStyle w:val="TableText0"/>
              <w:keepNext w:val="0"/>
              <w:spacing w:before="0" w:after="0"/>
            </w:pPr>
            <w:r w:rsidRPr="00721163">
              <w:t>Prospective comparative effectiveness</w:t>
            </w:r>
          </w:p>
          <w:p w14:paraId="693A0633" w14:textId="77777777" w:rsidR="009821F7" w:rsidRPr="00721163" w:rsidRDefault="009821F7" w:rsidP="002236BD">
            <w:pPr>
              <w:pStyle w:val="TableText0"/>
              <w:keepNext w:val="0"/>
              <w:spacing w:before="0" w:after="0"/>
            </w:pPr>
            <w:r w:rsidRPr="00721163">
              <w:lastRenderedPageBreak/>
              <w:t>2008-2012</w:t>
            </w:r>
          </w:p>
        </w:tc>
        <w:tc>
          <w:tcPr>
            <w:tcW w:w="481" w:type="pct"/>
          </w:tcPr>
          <w:p w14:paraId="720CC1CB" w14:textId="77777777" w:rsidR="009821F7" w:rsidRPr="00721163" w:rsidRDefault="009821F7" w:rsidP="002236BD">
            <w:pPr>
              <w:pStyle w:val="TableText0"/>
              <w:keepNext w:val="0"/>
              <w:spacing w:before="0" w:after="0"/>
            </w:pPr>
            <w:r w:rsidRPr="00721163">
              <w:lastRenderedPageBreak/>
              <w:t>High</w:t>
            </w:r>
          </w:p>
        </w:tc>
        <w:tc>
          <w:tcPr>
            <w:tcW w:w="1015" w:type="pct"/>
          </w:tcPr>
          <w:p w14:paraId="6E737ED5" w14:textId="77777777" w:rsidR="009821F7" w:rsidRPr="00721163" w:rsidRDefault="009821F7" w:rsidP="002236BD">
            <w:pPr>
              <w:pStyle w:val="TableText0"/>
              <w:keepNext w:val="0"/>
              <w:spacing w:before="0" w:after="0"/>
            </w:pPr>
            <w:r w:rsidRPr="00721163">
              <w:rPr>
                <w:i/>
                <w:iCs/>
              </w:rPr>
              <w:t>Brain</w:t>
            </w:r>
            <w:r w:rsidRPr="00721163">
              <w:t xml:space="preserve"> tumours</w:t>
            </w:r>
          </w:p>
        </w:tc>
        <w:tc>
          <w:tcPr>
            <w:tcW w:w="1128" w:type="pct"/>
          </w:tcPr>
          <w:p w14:paraId="5FD59568" w14:textId="77777777" w:rsidR="009821F7" w:rsidRPr="00721163" w:rsidRDefault="009821F7" w:rsidP="002236BD">
            <w:pPr>
              <w:pStyle w:val="TableText0"/>
              <w:keepNext w:val="0"/>
              <w:spacing w:before="0" w:after="0"/>
            </w:pPr>
            <w:r w:rsidRPr="00721163">
              <w:t>Safety (acute radiation-related toxicities)</w:t>
            </w:r>
          </w:p>
        </w:tc>
        <w:tc>
          <w:tcPr>
            <w:tcW w:w="730" w:type="pct"/>
          </w:tcPr>
          <w:p w14:paraId="1FD1A381" w14:textId="77777777" w:rsidR="009821F7" w:rsidRPr="00F74E41" w:rsidRDefault="009821F7" w:rsidP="002236BD">
            <w:pPr>
              <w:pStyle w:val="TableText0"/>
              <w:keepNext w:val="0"/>
              <w:spacing w:before="0" w:after="0"/>
              <w:rPr>
                <w:i/>
              </w:rPr>
            </w:pPr>
            <w:r w:rsidRPr="00F74E41">
              <w:rPr>
                <w:i/>
              </w:rPr>
              <w:t>Not used</w:t>
            </w:r>
          </w:p>
        </w:tc>
      </w:tr>
      <w:tr w:rsidR="009821F7" w14:paraId="73D22699" w14:textId="77777777" w:rsidTr="009E589D">
        <w:tc>
          <w:tcPr>
            <w:tcW w:w="625" w:type="pct"/>
          </w:tcPr>
          <w:p w14:paraId="1815B92A" w14:textId="77777777" w:rsidR="009821F7" w:rsidRPr="00721163" w:rsidRDefault="00DD6551" w:rsidP="002236BD">
            <w:pPr>
              <w:pStyle w:val="TableText0"/>
              <w:keepNext w:val="0"/>
              <w:spacing w:before="0" w:after="0"/>
            </w:pPr>
            <w:hyperlink w:anchor="_ENREF_58" w:tooltip="Yock, 2014 #27" w:history="1">
              <w:r w:rsidR="009821F7" w:rsidRPr="00721163">
                <w:fldChar w:fldCharType="begin">
                  <w:fldData xml:space="preserve">PEVuZE5vdGU+PENpdGUgQXV0aG9yWWVhcj0iMSI+PEF1dGhvcj5Zb2NrPC9BdXRob3I+PFllYXI+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==
</w:fldData>
                </w:fldChar>
              </w:r>
              <w:r w:rsidR="009821F7" w:rsidRPr="00721163">
                <w:instrText xml:space="preserve"> ADDIN EN.CITE </w:instrText>
              </w:r>
              <w:r w:rsidR="009821F7" w:rsidRPr="00721163">
                <w:fldChar w:fldCharType="begin">
                  <w:fldData xml:space="preserve">PEVuZE5vdGU+PENpdGUgQXV0aG9yWWVhcj0iMSI+PEF1dGhvcj5Zb2NrPC9BdXRob3I+PFllYXI+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==
</w:fldData>
                </w:fldChar>
              </w:r>
              <w:r w:rsidR="009821F7" w:rsidRPr="00721163">
                <w:instrText xml:space="preserve"> ADDIN EN.CITE.DATA </w:instrText>
              </w:r>
              <w:r w:rsidR="009821F7" w:rsidRPr="00721163">
                <w:fldChar w:fldCharType="end"/>
              </w:r>
              <w:r w:rsidR="009821F7" w:rsidRPr="00721163">
                <w:fldChar w:fldCharType="separate"/>
              </w:r>
              <w:r w:rsidR="009821F7" w:rsidRPr="00721163">
                <w:rPr>
                  <w:noProof/>
                </w:rPr>
                <w:t>Yock et al. (2014)</w:t>
              </w:r>
              <w:r w:rsidR="009821F7" w:rsidRPr="00721163">
                <w:fldChar w:fldCharType="end"/>
              </w:r>
            </w:hyperlink>
          </w:p>
        </w:tc>
        <w:tc>
          <w:tcPr>
            <w:tcW w:w="313" w:type="pct"/>
          </w:tcPr>
          <w:p w14:paraId="146D39CE" w14:textId="77777777" w:rsidR="009821F7" w:rsidRPr="00721163" w:rsidRDefault="009821F7" w:rsidP="002236BD">
            <w:pPr>
              <w:pStyle w:val="TableText0"/>
              <w:keepNext w:val="0"/>
              <w:spacing w:before="0" w:after="0"/>
            </w:pPr>
            <w:r w:rsidRPr="00721163">
              <w:t>120</w:t>
            </w:r>
          </w:p>
        </w:tc>
        <w:tc>
          <w:tcPr>
            <w:tcW w:w="707" w:type="pct"/>
          </w:tcPr>
          <w:p w14:paraId="3D4F5A7E" w14:textId="77777777" w:rsidR="009821F7" w:rsidRPr="00721163" w:rsidRDefault="009821F7" w:rsidP="002236BD">
            <w:pPr>
              <w:pStyle w:val="TableText0"/>
              <w:keepNext w:val="0"/>
              <w:spacing w:before="0" w:after="0"/>
            </w:pPr>
            <w:r w:rsidRPr="00721163">
              <w:t>Prospective comparative effectiveness</w:t>
            </w:r>
          </w:p>
          <w:p w14:paraId="284F78A1" w14:textId="77777777" w:rsidR="009821F7" w:rsidRPr="00721163" w:rsidRDefault="009821F7" w:rsidP="002236BD">
            <w:pPr>
              <w:pStyle w:val="TableText0"/>
              <w:keepNext w:val="0"/>
              <w:spacing w:before="0" w:after="0"/>
            </w:pPr>
            <w:r w:rsidRPr="00721163">
              <w:t>1998-2007</w:t>
            </w:r>
          </w:p>
        </w:tc>
        <w:tc>
          <w:tcPr>
            <w:tcW w:w="481" w:type="pct"/>
          </w:tcPr>
          <w:p w14:paraId="0BD37EB3" w14:textId="77777777" w:rsidR="009821F7" w:rsidRPr="00721163" w:rsidRDefault="009821F7" w:rsidP="002236BD">
            <w:pPr>
              <w:pStyle w:val="TableText0"/>
              <w:keepNext w:val="0"/>
              <w:spacing w:before="0" w:after="0"/>
            </w:pPr>
            <w:r w:rsidRPr="00721163">
              <w:t>High</w:t>
            </w:r>
          </w:p>
        </w:tc>
        <w:tc>
          <w:tcPr>
            <w:tcW w:w="1015" w:type="pct"/>
          </w:tcPr>
          <w:p w14:paraId="4BB05412" w14:textId="77777777" w:rsidR="009821F7" w:rsidRPr="00721163" w:rsidRDefault="009821F7" w:rsidP="002236BD">
            <w:pPr>
              <w:pStyle w:val="TableText0"/>
              <w:keepNext w:val="0"/>
              <w:spacing w:before="0" w:after="0"/>
            </w:pPr>
            <w:r w:rsidRPr="00721163">
              <w:t>Paediatric CNS tumour</w:t>
            </w:r>
          </w:p>
        </w:tc>
        <w:tc>
          <w:tcPr>
            <w:tcW w:w="1128" w:type="pct"/>
          </w:tcPr>
          <w:p w14:paraId="46961579" w14:textId="77777777" w:rsidR="009821F7" w:rsidRPr="00721163" w:rsidRDefault="009821F7" w:rsidP="002236BD">
            <w:pPr>
              <w:pStyle w:val="TableText0"/>
              <w:keepNext w:val="0"/>
              <w:spacing w:before="0" w:after="0"/>
            </w:pPr>
            <w:proofErr w:type="spellStart"/>
            <w:r w:rsidRPr="00721163">
              <w:t>HRQoL</w:t>
            </w:r>
            <w:proofErr w:type="spellEnd"/>
          </w:p>
        </w:tc>
        <w:tc>
          <w:tcPr>
            <w:tcW w:w="730" w:type="pct"/>
          </w:tcPr>
          <w:p w14:paraId="06C2A21F" w14:textId="77777777" w:rsidR="009821F7" w:rsidRPr="00F74E41" w:rsidRDefault="009821F7" w:rsidP="002236BD">
            <w:pPr>
              <w:pStyle w:val="TableText0"/>
              <w:keepNext w:val="0"/>
              <w:spacing w:before="0" w:after="0"/>
              <w:rPr>
                <w:i/>
              </w:rPr>
            </w:pPr>
            <w:r w:rsidRPr="00F74E41">
              <w:rPr>
                <w:i/>
              </w:rPr>
              <w:t>Not used</w:t>
            </w:r>
          </w:p>
        </w:tc>
      </w:tr>
      <w:tr w:rsidR="009821F7" w14:paraId="29A8EDF2" w14:textId="77777777" w:rsidTr="009E589D">
        <w:tc>
          <w:tcPr>
            <w:tcW w:w="625" w:type="pct"/>
          </w:tcPr>
          <w:p w14:paraId="601FA348" w14:textId="77777777" w:rsidR="009821F7" w:rsidRPr="00721163" w:rsidRDefault="009821F7" w:rsidP="002236BD">
            <w:pPr>
              <w:pStyle w:val="TableText0"/>
              <w:keepNext w:val="0"/>
              <w:spacing w:before="0" w:after="0"/>
              <w:rPr>
                <w:strike/>
              </w:rPr>
            </w:pPr>
            <w:r w:rsidRPr="00721163">
              <w:rPr>
                <w:strike/>
              </w:rPr>
              <w:t>Grant 2015*</w:t>
            </w:r>
          </w:p>
        </w:tc>
        <w:tc>
          <w:tcPr>
            <w:tcW w:w="313" w:type="pct"/>
          </w:tcPr>
          <w:p w14:paraId="38C7E9FB" w14:textId="77777777" w:rsidR="009821F7" w:rsidRPr="00721163" w:rsidRDefault="009821F7" w:rsidP="002236BD">
            <w:pPr>
              <w:pStyle w:val="TableText0"/>
              <w:keepNext w:val="0"/>
              <w:spacing w:before="0" w:after="0"/>
              <w:rPr>
                <w:strike/>
              </w:rPr>
            </w:pPr>
            <w:r w:rsidRPr="00721163">
              <w:rPr>
                <w:strike/>
              </w:rPr>
              <w:t>86</w:t>
            </w:r>
          </w:p>
        </w:tc>
        <w:tc>
          <w:tcPr>
            <w:tcW w:w="707" w:type="pct"/>
          </w:tcPr>
          <w:p w14:paraId="68682071" w14:textId="77777777" w:rsidR="009821F7" w:rsidRPr="00721163" w:rsidRDefault="009821F7" w:rsidP="002236BD">
            <w:pPr>
              <w:pStyle w:val="TableParagraph"/>
              <w:spacing w:before="0" w:after="0"/>
              <w:ind w:left="29"/>
              <w:rPr>
                <w:strike/>
                <w:sz w:val="20"/>
              </w:rPr>
            </w:pPr>
            <w:r w:rsidRPr="00721163">
              <w:rPr>
                <w:strike/>
                <w:w w:val="95"/>
                <w:sz w:val="20"/>
              </w:rPr>
              <w:t xml:space="preserve">Retrospective </w:t>
            </w:r>
            <w:r w:rsidRPr="00721163">
              <w:rPr>
                <w:strike/>
                <w:sz w:val="20"/>
              </w:rPr>
              <w:t>comparative effectiveness</w:t>
            </w:r>
          </w:p>
          <w:p w14:paraId="7DB17C38" w14:textId="77777777" w:rsidR="009821F7" w:rsidRPr="00721163" w:rsidRDefault="009821F7" w:rsidP="002236BD">
            <w:pPr>
              <w:pStyle w:val="TableText0"/>
              <w:keepNext w:val="0"/>
              <w:spacing w:before="0" w:after="0"/>
              <w:rPr>
                <w:strike/>
              </w:rPr>
            </w:pPr>
            <w:r w:rsidRPr="00721163">
              <w:rPr>
                <w:strike/>
              </w:rPr>
              <w:t>1996-2014</w:t>
            </w:r>
          </w:p>
        </w:tc>
        <w:tc>
          <w:tcPr>
            <w:tcW w:w="481" w:type="pct"/>
          </w:tcPr>
          <w:p w14:paraId="1CF76323" w14:textId="77777777" w:rsidR="009821F7" w:rsidRPr="00721163" w:rsidRDefault="009821F7" w:rsidP="002236BD">
            <w:pPr>
              <w:pStyle w:val="TableText0"/>
              <w:keepNext w:val="0"/>
              <w:spacing w:before="0" w:after="0"/>
              <w:rPr>
                <w:strike/>
              </w:rPr>
            </w:pPr>
            <w:r w:rsidRPr="00721163">
              <w:rPr>
                <w:strike/>
              </w:rPr>
              <w:t>High</w:t>
            </w:r>
          </w:p>
        </w:tc>
        <w:tc>
          <w:tcPr>
            <w:tcW w:w="1015" w:type="pct"/>
          </w:tcPr>
          <w:p w14:paraId="59A2F3AE" w14:textId="77777777" w:rsidR="009821F7" w:rsidRPr="00721163" w:rsidRDefault="009821F7" w:rsidP="002236BD">
            <w:pPr>
              <w:pStyle w:val="TableText0"/>
              <w:keepNext w:val="0"/>
              <w:spacing w:before="0" w:after="0"/>
              <w:rPr>
                <w:strike/>
              </w:rPr>
            </w:pPr>
            <w:r w:rsidRPr="00721163">
              <w:rPr>
                <w:strike/>
              </w:rPr>
              <w:t>Retinoblastoma</w:t>
            </w:r>
          </w:p>
        </w:tc>
        <w:tc>
          <w:tcPr>
            <w:tcW w:w="1128" w:type="pct"/>
          </w:tcPr>
          <w:p w14:paraId="5B6B3C5E" w14:textId="77777777" w:rsidR="009821F7" w:rsidRPr="00721163" w:rsidRDefault="009821F7" w:rsidP="002236BD">
            <w:pPr>
              <w:pStyle w:val="TableText0"/>
              <w:keepNext w:val="0"/>
              <w:spacing w:before="0" w:after="0"/>
              <w:rPr>
                <w:strike/>
              </w:rPr>
            </w:pPr>
            <w:r w:rsidRPr="00721163">
              <w:rPr>
                <w:strike/>
              </w:rPr>
              <w:t>Incidence of distant metastasis, safety (rate of in-field or RT- related secondary malignancies)</w:t>
            </w:r>
          </w:p>
        </w:tc>
        <w:tc>
          <w:tcPr>
            <w:tcW w:w="730" w:type="pct"/>
          </w:tcPr>
          <w:p w14:paraId="3BF7BA0A" w14:textId="77777777" w:rsidR="009821F7" w:rsidRPr="00F74E41" w:rsidRDefault="009821F7" w:rsidP="002236BD">
            <w:pPr>
              <w:pStyle w:val="TableText0"/>
              <w:keepNext w:val="0"/>
              <w:spacing w:before="0" w:after="0"/>
              <w:rPr>
                <w:i/>
                <w:strike/>
              </w:rPr>
            </w:pPr>
          </w:p>
        </w:tc>
      </w:tr>
      <w:tr w:rsidR="009821F7" w14:paraId="1DFDD2A7" w14:textId="77777777" w:rsidTr="009E589D">
        <w:tc>
          <w:tcPr>
            <w:tcW w:w="625" w:type="pct"/>
          </w:tcPr>
          <w:p w14:paraId="50BD2E5C" w14:textId="77777777" w:rsidR="009821F7" w:rsidRPr="00721163" w:rsidRDefault="00DD6551" w:rsidP="002236BD">
            <w:pPr>
              <w:pStyle w:val="TableText0"/>
              <w:keepNext w:val="0"/>
              <w:spacing w:before="0" w:after="0"/>
            </w:pPr>
            <w:hyperlink w:anchor="_ENREF_23" w:tooltip="Gunther, 2015 #18" w:history="1">
              <w:r w:rsidR="009821F7" w:rsidRPr="00721163">
                <w:fldChar w:fldCharType="begin">
                  <w:fldData xml:space="preserve">PEVuZE5vdGU+PENpdGUgQXV0aG9yWWVhcj0iMSI+PEF1dGhvcj5HdW50aGVyPC9BdXRob3I+PFll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</w:fldData>
                </w:fldChar>
              </w:r>
              <w:r w:rsidR="009821F7" w:rsidRPr="00721163">
                <w:instrText xml:space="preserve"> ADDIN EN.CITE </w:instrText>
              </w:r>
              <w:r w:rsidR="009821F7" w:rsidRPr="00721163">
                <w:fldChar w:fldCharType="begin">
                  <w:fldData xml:space="preserve">PEVuZE5vdGU+PENpdGUgQXV0aG9yWWVhcj0iMSI+PEF1dGhvcj5HdW50aGVyPC9BdXRob3I+PFll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</w:fldData>
                </w:fldChar>
              </w:r>
              <w:r w:rsidR="009821F7" w:rsidRPr="00721163">
                <w:instrText xml:space="preserve"> ADDIN EN.CITE.DATA </w:instrText>
              </w:r>
              <w:r w:rsidR="009821F7" w:rsidRPr="00721163">
                <w:fldChar w:fldCharType="end"/>
              </w:r>
              <w:r w:rsidR="009821F7" w:rsidRPr="00721163">
                <w:fldChar w:fldCharType="separate"/>
              </w:r>
              <w:r w:rsidR="009821F7" w:rsidRPr="00721163">
                <w:rPr>
                  <w:noProof/>
                </w:rPr>
                <w:t>Gunther et al. (2015)</w:t>
              </w:r>
              <w:r w:rsidR="009821F7" w:rsidRPr="00721163">
                <w:fldChar w:fldCharType="end"/>
              </w:r>
            </w:hyperlink>
          </w:p>
        </w:tc>
        <w:tc>
          <w:tcPr>
            <w:tcW w:w="313" w:type="pct"/>
          </w:tcPr>
          <w:p w14:paraId="04A86A46" w14:textId="77777777" w:rsidR="009821F7" w:rsidRPr="00721163" w:rsidRDefault="009821F7" w:rsidP="002236BD">
            <w:pPr>
              <w:pStyle w:val="TableText0"/>
              <w:keepNext w:val="0"/>
              <w:spacing w:before="0" w:after="0"/>
            </w:pPr>
            <w:r w:rsidRPr="00721163">
              <w:t>72</w:t>
            </w:r>
          </w:p>
        </w:tc>
        <w:tc>
          <w:tcPr>
            <w:tcW w:w="707" w:type="pct"/>
          </w:tcPr>
          <w:p w14:paraId="4C01B3A8" w14:textId="77777777" w:rsidR="009821F7" w:rsidRPr="00721163" w:rsidRDefault="009821F7" w:rsidP="002236BD">
            <w:pPr>
              <w:pStyle w:val="TableText0"/>
              <w:keepNext w:val="0"/>
              <w:spacing w:before="0" w:after="0"/>
            </w:pPr>
            <w:r w:rsidRPr="00721163">
              <w:t>Retrospective comparative effectiveness</w:t>
            </w:r>
          </w:p>
          <w:p w14:paraId="7855FEA8" w14:textId="77777777" w:rsidR="009821F7" w:rsidRPr="00721163" w:rsidRDefault="009821F7" w:rsidP="002236BD">
            <w:pPr>
              <w:pStyle w:val="TableText0"/>
              <w:keepNext w:val="0"/>
              <w:spacing w:before="0" w:after="0"/>
            </w:pPr>
            <w:r w:rsidRPr="00721163">
              <w:t>2000-2013</w:t>
            </w:r>
          </w:p>
        </w:tc>
        <w:tc>
          <w:tcPr>
            <w:tcW w:w="481" w:type="pct"/>
          </w:tcPr>
          <w:p w14:paraId="16176FF1" w14:textId="77777777" w:rsidR="009821F7" w:rsidRPr="00721163" w:rsidRDefault="009821F7" w:rsidP="002236BD">
            <w:pPr>
              <w:pStyle w:val="TableText0"/>
              <w:keepNext w:val="0"/>
              <w:spacing w:before="0" w:after="0"/>
            </w:pPr>
            <w:r w:rsidRPr="00721163">
              <w:t>High</w:t>
            </w:r>
          </w:p>
        </w:tc>
        <w:tc>
          <w:tcPr>
            <w:tcW w:w="1015" w:type="pct"/>
          </w:tcPr>
          <w:p w14:paraId="1C2E1C3D" w14:textId="77777777" w:rsidR="009821F7" w:rsidRPr="00721163" w:rsidRDefault="009821F7" w:rsidP="002236BD">
            <w:pPr>
              <w:pStyle w:val="TableText0"/>
              <w:keepNext w:val="0"/>
              <w:spacing w:before="0" w:after="0"/>
            </w:pPr>
            <w:r w:rsidRPr="00721163">
              <w:t xml:space="preserve">Paediatric CNS tumour (intracranial </w:t>
            </w:r>
            <w:proofErr w:type="spellStart"/>
            <w:r w:rsidRPr="00721163">
              <w:t>ependymoma</w:t>
            </w:r>
            <w:proofErr w:type="spellEnd"/>
            <w:r w:rsidRPr="00721163">
              <w:t>)</w:t>
            </w:r>
          </w:p>
        </w:tc>
        <w:tc>
          <w:tcPr>
            <w:tcW w:w="1128" w:type="pct"/>
          </w:tcPr>
          <w:p w14:paraId="2FFDFFAA" w14:textId="77777777" w:rsidR="009821F7" w:rsidRPr="00721163" w:rsidRDefault="009821F7" w:rsidP="002236BD">
            <w:pPr>
              <w:pStyle w:val="TableText0"/>
              <w:keepNext w:val="0"/>
              <w:spacing w:before="0" w:after="0"/>
            </w:pPr>
            <w:r w:rsidRPr="00721163">
              <w:t xml:space="preserve">Overall survival, </w:t>
            </w:r>
            <w:r w:rsidRPr="00721163">
              <w:rPr>
                <w:i/>
                <w:iCs/>
              </w:rPr>
              <w:t>disease-specific survival</w:t>
            </w:r>
          </w:p>
        </w:tc>
        <w:tc>
          <w:tcPr>
            <w:tcW w:w="730" w:type="pct"/>
          </w:tcPr>
          <w:p w14:paraId="3E45FCBE" w14:textId="77777777" w:rsidR="009821F7" w:rsidRPr="00F74E41" w:rsidRDefault="009821F7" w:rsidP="002236BD">
            <w:pPr>
              <w:pStyle w:val="TableText0"/>
              <w:keepNext w:val="0"/>
              <w:spacing w:before="0" w:after="0"/>
              <w:rPr>
                <w:i/>
              </w:rPr>
            </w:pPr>
            <w:r w:rsidRPr="00F74E41">
              <w:rPr>
                <w:i/>
              </w:rPr>
              <w:t>Not used</w:t>
            </w:r>
          </w:p>
        </w:tc>
      </w:tr>
      <w:tr w:rsidR="009821F7" w14:paraId="28B32D19" w14:textId="77777777" w:rsidTr="009E589D">
        <w:tc>
          <w:tcPr>
            <w:tcW w:w="625" w:type="pct"/>
          </w:tcPr>
          <w:p w14:paraId="2D870B0A" w14:textId="77777777" w:rsidR="009821F7" w:rsidRPr="00721163" w:rsidRDefault="00DD6551" w:rsidP="002236BD">
            <w:pPr>
              <w:pStyle w:val="TableText0"/>
              <w:keepNext w:val="0"/>
              <w:spacing w:before="0" w:after="0"/>
            </w:pPr>
            <w:hyperlink w:anchor="_ENREF_3" w:tooltip="Agarwal, 2016 #12" w:history="1">
              <w:r w:rsidR="009821F7" w:rsidRPr="00721163">
                <w:fldChar w:fldCharType="begin"/>
              </w:r>
              <w:r w:rsidR="009821F7" w:rsidRPr="00721163">
                <w:instrText xml:space="preserve"> ADDIN EN.CITE &lt;EndNote&gt;&lt;Cite AuthorYear="1"&gt;&lt;Author&gt;Agarwal&lt;/Author&gt;&lt;Year&gt;2016&lt;/Year&gt;&lt;RecNum&gt;12&lt;/RecNum&gt;&lt;DisplayText&gt;Agarwal et al. (2016)&lt;/DisplayText&gt;&lt;record&gt;&lt;rec-number&gt;12&lt;/rec-number&gt;&lt;foreign-keys&gt;&lt;key app="EN" db-id="exfrw2pee0v5z6evdr2xwspdfw0ezf5ttzwp" timestamp="1597622870"&gt;12&lt;/key&gt;&lt;/foreign-keys&gt;&lt;ref-type name="Journal Article"&gt;17&lt;/ref-type&gt;&lt;contributors&gt;&lt;authors&gt;&lt;author&gt;Agarwal, A.&lt;/author&gt;&lt;author&gt;Thaker, N. G.&lt;/author&gt;&lt;author&gt;Tawk, B.&lt;/author&gt;&lt;author&gt;Allen, P. K.&lt;/author&gt;&lt;author&gt;Grosshans, D. R.&lt;/author&gt;&lt;author&gt;Herzog, C. E.&lt;/author&gt;&lt;author&gt;Gombos, D. S.&lt;/author&gt;&lt;author&gt;Mahajan, A.&lt;/author&gt;&lt;/authors&gt;&lt;/contributors&gt;&lt;titles&gt;&lt;title&gt;The Evolution of Radiation Therapy for Retinoblastoma: The MD Anderson Cancer Center Experience&lt;/title&gt;&lt;secondary-title&gt;Int J Part Ther&lt;/secondary-title&gt;&lt;/titles&gt;&lt;periodical&gt;&lt;full-title&gt;Int J Part Ther&lt;/full-title&gt;&lt;/periodical&gt;&lt;pages&gt;490-498&lt;/pages&gt;&lt;volume&gt;2&lt;/volume&gt;&lt;number&gt;4&lt;/number&gt;&lt;dates&gt;&lt;year&gt;2016&lt;/year&gt;&lt;/dates&gt;&lt;accession-num&gt;31772961&lt;/accession-num&gt;&lt;urls&gt;&lt;related-urls&gt;&lt;url&gt;http://ezproxy.library.usyd.edu.au/login?url=http://ovidsp.ovid.com/ovidweb.cgi?T=JS&amp;amp;CSC=Y&amp;amp;NEWS=N&amp;amp;PAGE=fulltext&amp;amp;D=prem2&amp;amp;AN=31772961https://sydney.alma.exlibrisgroup.com/openurl/61USYD_INST/61USYD_INST:sydney?sid=OVID:medline&amp;amp;id=pmid:31772961&amp;amp;id=doi:10.143&lt;/url&gt;&lt;url&gt;https://www.ncbi.nlm.nih.gov/pmc/articles/PMC6871642/pdf/i2331-5180-2-4-490.pdf&lt;/url&gt;&lt;/related-urls&gt;&lt;/urls&gt;&lt;electronic-resource-num&gt;https://dx.doi.org/10.14338/IJPT-15-00016.1&lt;/electronic-resource-num&gt;&lt;/record&gt;&lt;/Cite&gt;&lt;/EndNote&gt;</w:instrText>
              </w:r>
              <w:r w:rsidR="009821F7" w:rsidRPr="00721163">
                <w:fldChar w:fldCharType="separate"/>
              </w:r>
              <w:r w:rsidR="009821F7" w:rsidRPr="00721163">
                <w:rPr>
                  <w:noProof/>
                </w:rPr>
                <w:t>Agarwal et al. (2016)</w:t>
              </w:r>
              <w:r w:rsidR="009821F7" w:rsidRPr="00721163">
                <w:fldChar w:fldCharType="end"/>
              </w:r>
            </w:hyperlink>
            <w:r w:rsidR="009821F7" w:rsidRPr="00721163">
              <w:t>*</w:t>
            </w:r>
          </w:p>
        </w:tc>
        <w:tc>
          <w:tcPr>
            <w:tcW w:w="313" w:type="pct"/>
          </w:tcPr>
          <w:p w14:paraId="30BF4537" w14:textId="77777777" w:rsidR="009821F7" w:rsidRPr="00721163" w:rsidRDefault="009821F7" w:rsidP="002236BD">
            <w:pPr>
              <w:pStyle w:val="TableText0"/>
              <w:keepNext w:val="0"/>
              <w:spacing w:before="0" w:after="0"/>
              <w:rPr>
                <w:i/>
                <w:iCs/>
              </w:rPr>
            </w:pPr>
            <w:r w:rsidRPr="00721163">
              <w:rPr>
                <w:i/>
                <w:iCs/>
              </w:rPr>
              <w:t>39 (47 eyes)</w:t>
            </w:r>
          </w:p>
        </w:tc>
        <w:tc>
          <w:tcPr>
            <w:tcW w:w="707" w:type="pct"/>
          </w:tcPr>
          <w:p w14:paraId="34CF2CDE" w14:textId="77777777" w:rsidR="009821F7" w:rsidRPr="00721163" w:rsidRDefault="009821F7" w:rsidP="002236BD">
            <w:pPr>
              <w:pStyle w:val="TableText0"/>
              <w:keepNext w:val="0"/>
              <w:spacing w:before="0" w:after="0"/>
            </w:pPr>
            <w:r w:rsidRPr="00721163">
              <w:t>Retrospective comparative effectiveness</w:t>
            </w:r>
          </w:p>
          <w:p w14:paraId="0AF90AFB" w14:textId="77777777" w:rsidR="009821F7" w:rsidRPr="00721163" w:rsidRDefault="009821F7" w:rsidP="002236BD">
            <w:pPr>
              <w:pStyle w:val="TableText0"/>
              <w:keepNext w:val="0"/>
              <w:spacing w:before="0" w:after="0"/>
            </w:pPr>
            <w:r w:rsidRPr="00721163">
              <w:rPr>
                <w:szCs w:val="20"/>
              </w:rPr>
              <w:t>1990-2012</w:t>
            </w:r>
          </w:p>
        </w:tc>
        <w:tc>
          <w:tcPr>
            <w:tcW w:w="481" w:type="pct"/>
          </w:tcPr>
          <w:p w14:paraId="0F26F9DB" w14:textId="77777777" w:rsidR="009821F7" w:rsidRPr="00721163" w:rsidRDefault="009821F7" w:rsidP="002236BD">
            <w:pPr>
              <w:pStyle w:val="TableText0"/>
              <w:keepNext w:val="0"/>
              <w:spacing w:before="0" w:after="0"/>
            </w:pPr>
            <w:r w:rsidRPr="00721163">
              <w:t>High</w:t>
            </w:r>
          </w:p>
        </w:tc>
        <w:tc>
          <w:tcPr>
            <w:tcW w:w="1015" w:type="pct"/>
          </w:tcPr>
          <w:p w14:paraId="654C02A6" w14:textId="77777777" w:rsidR="009821F7" w:rsidRPr="00721163" w:rsidRDefault="009821F7" w:rsidP="002236BD">
            <w:pPr>
              <w:pStyle w:val="TableText0"/>
              <w:keepNext w:val="0"/>
              <w:spacing w:before="0" w:after="0"/>
              <w:rPr>
                <w:i/>
                <w:iCs/>
              </w:rPr>
            </w:pPr>
            <w:r w:rsidRPr="00721163">
              <w:rPr>
                <w:i/>
                <w:iCs/>
              </w:rPr>
              <w:t>Retinoblastoma</w:t>
            </w:r>
          </w:p>
        </w:tc>
        <w:tc>
          <w:tcPr>
            <w:tcW w:w="1128" w:type="pct"/>
          </w:tcPr>
          <w:p w14:paraId="300E8E12" w14:textId="77777777" w:rsidR="009821F7" w:rsidRPr="00721163" w:rsidRDefault="009821F7" w:rsidP="002236BD">
            <w:pPr>
              <w:pStyle w:val="TableText0"/>
              <w:keepNext w:val="0"/>
              <w:spacing w:before="0" w:after="0"/>
              <w:rPr>
                <w:i/>
              </w:rPr>
            </w:pPr>
            <w:r w:rsidRPr="00721163">
              <w:t xml:space="preserve">Acute toxicities, </w:t>
            </w:r>
            <w:r w:rsidRPr="00721163">
              <w:rPr>
                <w:i/>
              </w:rPr>
              <w:t>late toxicities, enucleation rates, OS, local control</w:t>
            </w:r>
          </w:p>
        </w:tc>
        <w:tc>
          <w:tcPr>
            <w:tcW w:w="730" w:type="pct"/>
          </w:tcPr>
          <w:p w14:paraId="396D145E" w14:textId="77777777" w:rsidR="009821F7" w:rsidRPr="00F74E41" w:rsidRDefault="009821F7" w:rsidP="002236BD">
            <w:pPr>
              <w:pStyle w:val="TableText0"/>
              <w:keepNext w:val="0"/>
              <w:spacing w:before="0" w:after="0"/>
              <w:rPr>
                <w:i/>
              </w:rPr>
            </w:pPr>
            <w:r w:rsidRPr="00F74E41">
              <w:rPr>
                <w:i/>
              </w:rPr>
              <w:t>Not used</w:t>
            </w:r>
          </w:p>
        </w:tc>
      </w:tr>
      <w:tr w:rsidR="009821F7" w14:paraId="1B3333A1" w14:textId="77777777" w:rsidTr="009E589D">
        <w:tc>
          <w:tcPr>
            <w:tcW w:w="625" w:type="pct"/>
          </w:tcPr>
          <w:p w14:paraId="7CD5CE7A" w14:textId="77777777" w:rsidR="009821F7" w:rsidRPr="00721163" w:rsidRDefault="00DD6551" w:rsidP="002236BD">
            <w:pPr>
              <w:pStyle w:val="TableText0"/>
              <w:keepNext w:val="0"/>
              <w:spacing w:before="0" w:after="0"/>
            </w:pPr>
            <w:hyperlink w:anchor="_ENREF_15" w:tooltip="Eaton, 2016 #15" w:history="1">
              <w:r w:rsidR="009821F7" w:rsidRPr="00721163">
                <w:fldChar w:fldCharType="begin"/>
              </w:r>
              <w:r w:rsidR="009821F7" w:rsidRPr="00721163">
                <w:instrText xml:space="preserve"> ADDIN EN.CITE &lt;EndNote&gt;&lt;Cite AuthorYear="1"&gt;&lt;Author&gt;Eaton&lt;/Author&gt;&lt;Year&gt;2016&lt;/Year&gt;&lt;RecNum&gt;15&lt;/RecNum&gt;&lt;DisplayText&gt;Eaton et al. (2016a)&lt;/DisplayText&gt;&lt;record&gt;&lt;rec-number&gt;15&lt;/rec-number&gt;&lt;foreign-keys&gt;&lt;key app="EN" db-id="exfrw2pee0v5z6evdr2xwspdfw0ezf5ttzwp" timestamp="1597622871"&gt;15&lt;/key&gt;&lt;/foreign-keys&gt;&lt;ref-type name="Journal Article"&gt;17&lt;/ref-type&gt;&lt;contributors&gt;&lt;authors&gt;&lt;author&gt;Eaton, B. R.&lt;/author&gt;&lt;author&gt;Esiashvili, N.&lt;/author&gt;&lt;author&gt;Kim, S.&lt;/author&gt;&lt;author&gt;Patterson, B.&lt;/author&gt;&lt;author&gt;Weyman, E. A.&lt;/author&gt;&lt;author&gt;Thornton, L. T.&lt;/author&gt;&lt;author&gt;Mazewski, C.&lt;/author&gt;&lt;author&gt;MacDonald, T. J.&lt;/author&gt;&lt;author&gt;Ebb, D.&lt;/author&gt;&lt;author&gt;MacDonald, S. M.&lt;/author&gt;&lt;author&gt;Tarbell, N. J.&lt;/author&gt;&lt;author&gt;Yock, T. I.&lt;/author&gt;&lt;/authors&gt;&lt;/contributors&gt;&lt;titles&gt;&lt;title&gt;Endocrine outcomes with proton and photon radiotherapy for standard risk medulloblastoma&lt;/title&gt;&lt;secondary-title&gt;Neuro-oncol&lt;/secondary-title&gt;&lt;/titles&gt;&lt;periodical&gt;&lt;full-title&gt;Neuro-oncol&lt;/full-title&gt;&lt;/periodical&gt;&lt;pages&gt;881-7&lt;/pages&gt;&lt;volume&gt;18&lt;/volume&gt;&lt;number&gt;6&lt;/number&gt;&lt;dates&gt;&lt;year&gt;2016&lt;/year&gt;&lt;/dates&gt;&lt;accession-num&gt;26688075&lt;/accession-num&gt;&lt;urls&gt;&lt;related-urls&gt;&lt;url&gt;http://ezproxy.library.usyd.edu.au/login?url=http://ovidsp.ovid.com/ovidweb.cgi?T=JS&amp;amp;CSC=Y&amp;amp;NEWS=N&amp;amp;PAGE=fulltext&amp;amp;D=med13&amp;amp;AN=26688075https://sydney.alma.exlibrisgroup.com/openurl/61USYD_INST/61USYD_INST:sydney?sid=OVID:medline&amp;amp;id=pmid:26688075&amp;amp;id=doi:10.109&lt;/url&gt;&lt;url&gt;https://www.ncbi.nlm.nih.gov/pmc/articles/PMC4864263/pdf/nov302.pdf&lt;/url&gt;&lt;/related-urls&gt;&lt;/urls&gt;&lt;electronic-resource-num&gt;https://dx.doi.org/10.1093/neuonc/nov302&lt;/electronic-resource-num&gt;&lt;/record&gt;&lt;/Cite&gt;&lt;/EndNote&gt;</w:instrText>
              </w:r>
              <w:r w:rsidR="009821F7" w:rsidRPr="00721163">
                <w:fldChar w:fldCharType="separate"/>
              </w:r>
              <w:r w:rsidR="009821F7" w:rsidRPr="00721163">
                <w:rPr>
                  <w:noProof/>
                </w:rPr>
                <w:t>Eaton et al. (2016a)</w:t>
              </w:r>
              <w:r w:rsidR="009821F7" w:rsidRPr="00721163">
                <w:fldChar w:fldCharType="end"/>
              </w:r>
            </w:hyperlink>
          </w:p>
        </w:tc>
        <w:tc>
          <w:tcPr>
            <w:tcW w:w="313" w:type="pct"/>
          </w:tcPr>
          <w:p w14:paraId="315F1994" w14:textId="77777777" w:rsidR="009821F7" w:rsidRPr="00721163" w:rsidRDefault="009821F7" w:rsidP="002236BD">
            <w:pPr>
              <w:pStyle w:val="TableText0"/>
              <w:keepNext w:val="0"/>
              <w:spacing w:before="0" w:after="0"/>
            </w:pPr>
            <w:r w:rsidRPr="00721163">
              <w:t>88</w:t>
            </w:r>
          </w:p>
        </w:tc>
        <w:tc>
          <w:tcPr>
            <w:tcW w:w="707" w:type="pct"/>
          </w:tcPr>
          <w:p w14:paraId="286514F7" w14:textId="77777777" w:rsidR="009821F7" w:rsidRPr="00721163" w:rsidRDefault="009821F7" w:rsidP="002236BD">
            <w:pPr>
              <w:pStyle w:val="TableText0"/>
              <w:keepNext w:val="0"/>
              <w:spacing w:before="0" w:after="0"/>
            </w:pPr>
            <w:r w:rsidRPr="00721163">
              <w:t>Prospective comparative effectiveness</w:t>
            </w:r>
          </w:p>
          <w:p w14:paraId="48E2052C" w14:textId="77777777" w:rsidR="009821F7" w:rsidRPr="00721163" w:rsidRDefault="009821F7" w:rsidP="002236BD">
            <w:pPr>
              <w:pStyle w:val="TableText0"/>
              <w:keepNext w:val="0"/>
              <w:spacing w:before="0" w:after="0"/>
            </w:pPr>
            <w:r w:rsidRPr="00721163">
              <w:t>2000-2009</w:t>
            </w:r>
          </w:p>
        </w:tc>
        <w:tc>
          <w:tcPr>
            <w:tcW w:w="481" w:type="pct"/>
          </w:tcPr>
          <w:p w14:paraId="21ED40BA" w14:textId="77777777" w:rsidR="009821F7" w:rsidRPr="00721163" w:rsidRDefault="009821F7" w:rsidP="002236BD">
            <w:pPr>
              <w:pStyle w:val="TableText0"/>
              <w:keepNext w:val="0"/>
              <w:spacing w:before="0" w:after="0"/>
            </w:pPr>
            <w:r w:rsidRPr="00721163">
              <w:rPr>
                <w:i/>
                <w:iCs/>
              </w:rPr>
              <w:t xml:space="preserve">Moderately </w:t>
            </w:r>
            <w:r w:rsidRPr="00721163">
              <w:t>High</w:t>
            </w:r>
          </w:p>
        </w:tc>
        <w:tc>
          <w:tcPr>
            <w:tcW w:w="1015" w:type="pct"/>
          </w:tcPr>
          <w:p w14:paraId="25D8EDF2" w14:textId="77777777" w:rsidR="009821F7" w:rsidRPr="00721163" w:rsidRDefault="009821F7" w:rsidP="002236BD">
            <w:pPr>
              <w:pStyle w:val="TableText0"/>
              <w:keepNext w:val="0"/>
              <w:spacing w:before="0" w:after="0"/>
            </w:pPr>
            <w:r w:rsidRPr="00721163">
              <w:t>Paediatric CNS tumour (</w:t>
            </w:r>
            <w:proofErr w:type="spellStart"/>
            <w:r w:rsidRPr="00721163">
              <w:t>medulloblastoma</w:t>
            </w:r>
            <w:proofErr w:type="spellEnd"/>
            <w:r w:rsidRPr="00721163">
              <w:t>)</w:t>
            </w:r>
          </w:p>
        </w:tc>
        <w:tc>
          <w:tcPr>
            <w:tcW w:w="1128" w:type="pct"/>
          </w:tcPr>
          <w:p w14:paraId="0E2D369B" w14:textId="77777777" w:rsidR="009821F7" w:rsidRPr="00721163" w:rsidRDefault="009821F7" w:rsidP="002236BD">
            <w:pPr>
              <w:pStyle w:val="TableText0"/>
              <w:keepNext w:val="0"/>
              <w:spacing w:before="0" w:after="0"/>
              <w:rPr>
                <w:i/>
              </w:rPr>
            </w:pPr>
            <w:r w:rsidRPr="00721163">
              <w:t xml:space="preserve">OS, </w:t>
            </w:r>
            <w:r w:rsidRPr="00721163">
              <w:rPr>
                <w:i/>
                <w:iCs/>
              </w:rPr>
              <w:t>RFS, s</w:t>
            </w:r>
            <w:r w:rsidRPr="00721163">
              <w:rPr>
                <w:i/>
              </w:rPr>
              <w:t>econdary malignancy, treatment length</w:t>
            </w:r>
          </w:p>
        </w:tc>
        <w:tc>
          <w:tcPr>
            <w:tcW w:w="730" w:type="pct"/>
          </w:tcPr>
          <w:p w14:paraId="77949C0A" w14:textId="77777777" w:rsidR="009821F7" w:rsidRPr="00F74E41" w:rsidRDefault="009821F7" w:rsidP="002236BD">
            <w:pPr>
              <w:pStyle w:val="TableText0"/>
              <w:keepNext w:val="0"/>
              <w:spacing w:before="0" w:after="0"/>
              <w:rPr>
                <w:i/>
              </w:rPr>
            </w:pPr>
            <w:r w:rsidRPr="00F74E41">
              <w:rPr>
                <w:i/>
              </w:rPr>
              <w:t>Yes</w:t>
            </w:r>
          </w:p>
        </w:tc>
      </w:tr>
      <w:tr w:rsidR="009821F7" w14:paraId="6A7EA347" w14:textId="77777777" w:rsidTr="009E589D">
        <w:tc>
          <w:tcPr>
            <w:tcW w:w="625" w:type="pct"/>
          </w:tcPr>
          <w:p w14:paraId="1650750B" w14:textId="77777777" w:rsidR="009821F7" w:rsidRPr="00721163" w:rsidRDefault="00DD6551" w:rsidP="002236BD">
            <w:pPr>
              <w:pStyle w:val="TableText0"/>
              <w:keepNext w:val="0"/>
              <w:spacing w:before="0" w:after="0"/>
            </w:pPr>
            <w:hyperlink w:anchor="_ENREF_16" w:tooltip="Eaton, 2016 #16" w:history="1">
              <w:r w:rsidR="009821F7" w:rsidRPr="00721163">
                <w:fldChar w:fldCharType="begin">
                  <w:fldData xml:space="preserve">PEVuZE5vdGU+PENpdGUgQXV0aG9yWWVhcj0iMSI+PEF1dGhvcj5FYXRvbjwvQXV0aG9yPjxZZWFy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</w:fldData>
                </w:fldChar>
              </w:r>
              <w:r w:rsidR="009821F7" w:rsidRPr="00721163">
                <w:instrText xml:space="preserve"> ADDIN EN.CITE </w:instrText>
              </w:r>
              <w:r w:rsidR="009821F7" w:rsidRPr="00721163">
                <w:fldChar w:fldCharType="begin">
                  <w:fldData xml:space="preserve">PEVuZE5vdGU+PENpdGUgQXV0aG9yWWVhcj0iMSI+PEF1dGhvcj5FYXRvbjwvQXV0aG9yPjxZZWFy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</w:fldData>
                </w:fldChar>
              </w:r>
              <w:r w:rsidR="009821F7" w:rsidRPr="00721163">
                <w:instrText xml:space="preserve"> ADDIN EN.CITE.DATA </w:instrText>
              </w:r>
              <w:r w:rsidR="009821F7" w:rsidRPr="00721163">
                <w:fldChar w:fldCharType="end"/>
              </w:r>
              <w:r w:rsidR="009821F7" w:rsidRPr="00721163">
                <w:fldChar w:fldCharType="separate"/>
              </w:r>
              <w:r w:rsidR="009821F7" w:rsidRPr="00721163">
                <w:rPr>
                  <w:noProof/>
                </w:rPr>
                <w:t>Eaton et al. (2016b)</w:t>
              </w:r>
              <w:r w:rsidR="009821F7" w:rsidRPr="00721163">
                <w:fldChar w:fldCharType="end"/>
              </w:r>
            </w:hyperlink>
          </w:p>
        </w:tc>
        <w:tc>
          <w:tcPr>
            <w:tcW w:w="313" w:type="pct"/>
          </w:tcPr>
          <w:p w14:paraId="27A6DA66" w14:textId="77777777" w:rsidR="009821F7" w:rsidRPr="00721163" w:rsidRDefault="009821F7" w:rsidP="002236BD">
            <w:pPr>
              <w:pStyle w:val="TableText0"/>
              <w:keepNext w:val="0"/>
              <w:spacing w:before="0" w:after="0"/>
            </w:pPr>
            <w:r w:rsidRPr="00721163">
              <w:t>77</w:t>
            </w:r>
          </w:p>
        </w:tc>
        <w:tc>
          <w:tcPr>
            <w:tcW w:w="707" w:type="pct"/>
          </w:tcPr>
          <w:p w14:paraId="471545C2" w14:textId="77777777" w:rsidR="009821F7" w:rsidRPr="00721163" w:rsidRDefault="009821F7" w:rsidP="002236BD">
            <w:pPr>
              <w:pStyle w:val="TableText0"/>
              <w:keepNext w:val="0"/>
              <w:spacing w:before="0" w:after="0"/>
            </w:pPr>
            <w:r w:rsidRPr="00721163">
              <w:t>Retrospective comparative effectiveness</w:t>
            </w:r>
          </w:p>
          <w:p w14:paraId="162200FD" w14:textId="77777777" w:rsidR="009821F7" w:rsidRPr="00721163" w:rsidRDefault="009821F7" w:rsidP="002236BD">
            <w:pPr>
              <w:pStyle w:val="TableText0"/>
              <w:keepNext w:val="0"/>
              <w:spacing w:before="0" w:after="0"/>
            </w:pPr>
            <w:r w:rsidRPr="00721163">
              <w:t>2000-2009</w:t>
            </w:r>
          </w:p>
        </w:tc>
        <w:tc>
          <w:tcPr>
            <w:tcW w:w="481" w:type="pct"/>
          </w:tcPr>
          <w:p w14:paraId="318CB7C3" w14:textId="77777777" w:rsidR="009821F7" w:rsidRPr="00721163" w:rsidRDefault="009821F7" w:rsidP="002236BD">
            <w:pPr>
              <w:pStyle w:val="TableText0"/>
              <w:keepNext w:val="0"/>
              <w:spacing w:before="0" w:after="0"/>
              <w:rPr>
                <w:i/>
                <w:iCs/>
              </w:rPr>
            </w:pPr>
            <w:r w:rsidRPr="00721163">
              <w:rPr>
                <w:i/>
                <w:iCs/>
              </w:rPr>
              <w:t>High</w:t>
            </w:r>
          </w:p>
        </w:tc>
        <w:tc>
          <w:tcPr>
            <w:tcW w:w="1015" w:type="pct"/>
          </w:tcPr>
          <w:p w14:paraId="7E72831C" w14:textId="77777777" w:rsidR="009821F7" w:rsidRPr="00721163" w:rsidRDefault="009821F7" w:rsidP="002236BD">
            <w:pPr>
              <w:pStyle w:val="TableText0"/>
              <w:keepNext w:val="0"/>
              <w:spacing w:before="0" w:after="0"/>
            </w:pPr>
            <w:r w:rsidRPr="00721163">
              <w:t>Paediatric CNS tumour (</w:t>
            </w:r>
            <w:proofErr w:type="spellStart"/>
            <w:r w:rsidRPr="00721163">
              <w:t>medulloblastoma</w:t>
            </w:r>
            <w:proofErr w:type="spellEnd"/>
            <w:r w:rsidRPr="00721163">
              <w:t>)</w:t>
            </w:r>
          </w:p>
        </w:tc>
        <w:tc>
          <w:tcPr>
            <w:tcW w:w="1128" w:type="pct"/>
          </w:tcPr>
          <w:p w14:paraId="0A1CD01F" w14:textId="77777777" w:rsidR="009821F7" w:rsidRPr="00721163" w:rsidRDefault="009821F7" w:rsidP="002236BD">
            <w:pPr>
              <w:pStyle w:val="TableText0"/>
              <w:keepNext w:val="0"/>
              <w:spacing w:before="0" w:after="0"/>
              <w:rPr>
                <w:i/>
                <w:iCs/>
              </w:rPr>
            </w:pPr>
            <w:r w:rsidRPr="00721163">
              <w:rPr>
                <w:i/>
                <w:iCs/>
              </w:rPr>
              <w:t>Late toxicities (endocrine effects)</w:t>
            </w:r>
          </w:p>
        </w:tc>
        <w:tc>
          <w:tcPr>
            <w:tcW w:w="730" w:type="pct"/>
          </w:tcPr>
          <w:p w14:paraId="0E68EDFC" w14:textId="77777777" w:rsidR="009821F7" w:rsidRPr="00F74E41" w:rsidRDefault="009821F7" w:rsidP="002236BD">
            <w:pPr>
              <w:pStyle w:val="TableText0"/>
              <w:keepNext w:val="0"/>
              <w:spacing w:before="0" w:after="0"/>
              <w:rPr>
                <w:i/>
              </w:rPr>
            </w:pPr>
            <w:r w:rsidRPr="00F74E41">
              <w:rPr>
                <w:i/>
              </w:rPr>
              <w:t>Yes</w:t>
            </w:r>
          </w:p>
        </w:tc>
      </w:tr>
      <w:tr w:rsidR="009821F7" w14:paraId="3A6551B8" w14:textId="77777777" w:rsidTr="009E589D">
        <w:tc>
          <w:tcPr>
            <w:tcW w:w="625" w:type="pct"/>
          </w:tcPr>
          <w:p w14:paraId="174AC69E" w14:textId="77777777" w:rsidR="009821F7" w:rsidRPr="00721163" w:rsidRDefault="00DD6551" w:rsidP="002236BD">
            <w:pPr>
              <w:pStyle w:val="TableText0"/>
              <w:keepNext w:val="0"/>
              <w:spacing w:before="0" w:after="0"/>
            </w:pPr>
            <w:hyperlink w:anchor="_ENREF_28" w:tooltip="Kahalley, 2016 #21" w:history="1">
              <w:r w:rsidR="009821F7" w:rsidRPr="00721163">
                <w:fldChar w:fldCharType="begin"/>
              </w:r>
              <w:r w:rsidR="009821F7" w:rsidRPr="00721163">
                <w:instrText xml:space="preserve"> ADDIN EN.CITE &lt;EndNote&gt;&lt;Cite AuthorYear="1"&gt;&lt;Author&gt;Kahalley&lt;/Author&gt;&lt;Year&gt;2016&lt;/Year&gt;&lt;RecNum&gt;21&lt;/RecNum&gt;&lt;DisplayText&gt;Kahalley et al. (2016)&lt;/DisplayText&gt;&lt;record&gt;&lt;rec-number&gt;21&lt;/rec-number&gt;&lt;foreign-keys&gt;&lt;key app="EN" db-id="exfrw2pee0v5z6evdr2xwspdfw0ezf5ttzwp" timestamp="1597622872"&gt;21&lt;/key&gt;&lt;/foreign-keys&gt;&lt;ref-type name="Journal Article"&gt;17&lt;/ref-type&gt;&lt;contributors&gt;&lt;authors&gt;&lt;author&gt;Kahalley, L. S.&lt;/author&gt;&lt;author&gt;Ris, M. D.&lt;/author&gt;&lt;author&gt;Grosshans, D. R.&lt;/author&gt;&lt;author&gt;Okcu, M. F.&lt;/author&gt;&lt;author&gt;Paulino, A. C.&lt;/author&gt;&lt;author&gt;Chintagumpala, M.&lt;/author&gt;&lt;author&gt;Moore, B. D.&lt;/author&gt;&lt;author&gt;Guffey, D.&lt;/author&gt;&lt;author&gt;Minard, C. G.&lt;/author&gt;&lt;author&gt;Stancel, H. H.&lt;/author&gt;&lt;author&gt;Mahajan, A.&lt;/author&gt;&lt;/authors&gt;&lt;/contributors&gt;&lt;titles&gt;&lt;title&gt;Comparing Intelligence Quotient Change After Treatment With Proton Versus Photon Radiation Therapy for Pediatric Brain Tumors&lt;/title&gt;&lt;secondary-title&gt;J Clin Oncol&lt;/secondary-title&gt;&lt;/titles&gt;&lt;periodical&gt;&lt;full-title&gt;J Clin Oncol&lt;/full-title&gt;&lt;/periodical&gt;&lt;pages&gt;1043-9&lt;/pages&gt;&lt;volume&gt;34&lt;/volume&gt;&lt;number&gt;10&lt;/number&gt;&lt;dates&gt;&lt;year&gt;2016&lt;/year&gt;&lt;/dates&gt;&lt;accession-num&gt;26811522&lt;/accession-num&gt;&lt;urls&gt;&lt;related-urls&gt;&lt;url&gt;http://ezproxy.library.usyd.edu.au/login?url=http://ovidsp.ovid.com/ovidweb.cgi?T=JS&amp;amp;CSC=Y&amp;amp;NEWS=N&amp;amp;PAGE=fulltext&amp;amp;D=med13&amp;amp;AN=26811522https://sydney.alma.exlibrisgroup.com/openurl/61USYD_INST/61USYD_INST:sydney?sid=OVID:medline&amp;amp;id=pmid:26811522&amp;amp;id=doi:10.120&lt;/url&gt;&lt;url&gt;https://www.ncbi.nlm.nih.gov/pmc/articles/PMC4872015/pdf/JCO621383.pdf&lt;/url&gt;&lt;/related-urls&gt;&lt;/urls&gt;&lt;electronic-resource-num&gt;https://dx.doi.org/10.1200/JCO.2015.62.1383&lt;/electronic-resource-num&gt;&lt;/record&gt;&lt;/Cite&gt;&lt;/EndNote&gt;</w:instrText>
              </w:r>
              <w:r w:rsidR="009821F7" w:rsidRPr="00721163">
                <w:fldChar w:fldCharType="separate"/>
              </w:r>
              <w:r w:rsidR="009821F7" w:rsidRPr="00721163">
                <w:rPr>
                  <w:noProof/>
                </w:rPr>
                <w:t>Kahalley et al. (2016)</w:t>
              </w:r>
              <w:r w:rsidR="009821F7" w:rsidRPr="00721163">
                <w:fldChar w:fldCharType="end"/>
              </w:r>
            </w:hyperlink>
            <w:r w:rsidR="009821F7" w:rsidRPr="00721163">
              <w:t>*</w:t>
            </w:r>
          </w:p>
        </w:tc>
        <w:tc>
          <w:tcPr>
            <w:tcW w:w="313" w:type="pct"/>
          </w:tcPr>
          <w:p w14:paraId="2AB25D7D" w14:textId="77777777" w:rsidR="009821F7" w:rsidRPr="00721163" w:rsidRDefault="009821F7" w:rsidP="002236BD">
            <w:pPr>
              <w:pStyle w:val="TableText0"/>
              <w:keepNext w:val="0"/>
              <w:spacing w:before="0" w:after="0"/>
            </w:pPr>
            <w:r w:rsidRPr="00721163">
              <w:t>150</w:t>
            </w:r>
          </w:p>
        </w:tc>
        <w:tc>
          <w:tcPr>
            <w:tcW w:w="707" w:type="pct"/>
          </w:tcPr>
          <w:p w14:paraId="17B93FD5" w14:textId="77777777" w:rsidR="009821F7" w:rsidRPr="00721163" w:rsidRDefault="009821F7" w:rsidP="002236BD">
            <w:pPr>
              <w:pStyle w:val="TableText0"/>
              <w:keepNext w:val="0"/>
              <w:spacing w:before="0" w:after="0"/>
            </w:pPr>
            <w:r w:rsidRPr="00721163">
              <w:t>Retrospective comparative effectiveness</w:t>
            </w:r>
          </w:p>
          <w:p w14:paraId="38D2836E" w14:textId="77777777" w:rsidR="009821F7" w:rsidRPr="00721163" w:rsidRDefault="009821F7" w:rsidP="002236BD">
            <w:pPr>
              <w:pStyle w:val="TableText0"/>
              <w:keepNext w:val="0"/>
              <w:spacing w:before="0" w:after="0"/>
            </w:pPr>
            <w:r w:rsidRPr="00721163">
              <w:t>2002-</w:t>
            </w:r>
            <w:r w:rsidRPr="00721163">
              <w:rPr>
                <w:i/>
                <w:iCs/>
              </w:rPr>
              <w:t>2012</w:t>
            </w:r>
          </w:p>
        </w:tc>
        <w:tc>
          <w:tcPr>
            <w:tcW w:w="481" w:type="pct"/>
          </w:tcPr>
          <w:p w14:paraId="7F08DD83" w14:textId="77777777" w:rsidR="009821F7" w:rsidRPr="00721163" w:rsidRDefault="009821F7" w:rsidP="002236BD">
            <w:pPr>
              <w:pStyle w:val="TableText0"/>
              <w:keepNext w:val="0"/>
              <w:spacing w:before="0" w:after="0"/>
            </w:pPr>
            <w:r w:rsidRPr="00721163">
              <w:t>High</w:t>
            </w:r>
          </w:p>
        </w:tc>
        <w:tc>
          <w:tcPr>
            <w:tcW w:w="1015" w:type="pct"/>
          </w:tcPr>
          <w:p w14:paraId="1226E088" w14:textId="77777777" w:rsidR="009821F7" w:rsidRPr="00721163" w:rsidRDefault="009821F7" w:rsidP="002236BD">
            <w:pPr>
              <w:pStyle w:val="TableText0"/>
              <w:keepNext w:val="0"/>
              <w:spacing w:before="0" w:after="0"/>
            </w:pPr>
            <w:r w:rsidRPr="00721163">
              <w:t>Paediatric patients with brain tumours</w:t>
            </w:r>
          </w:p>
        </w:tc>
        <w:tc>
          <w:tcPr>
            <w:tcW w:w="1128" w:type="pct"/>
          </w:tcPr>
          <w:p w14:paraId="78807148" w14:textId="77777777" w:rsidR="009821F7" w:rsidRPr="00721163" w:rsidRDefault="009821F7" w:rsidP="002236BD">
            <w:pPr>
              <w:pStyle w:val="TableText0"/>
              <w:keepNext w:val="0"/>
              <w:spacing w:before="0" w:after="0"/>
            </w:pPr>
            <w:r w:rsidRPr="00721163">
              <w:t>IQ scores</w:t>
            </w:r>
          </w:p>
        </w:tc>
        <w:tc>
          <w:tcPr>
            <w:tcW w:w="730" w:type="pct"/>
          </w:tcPr>
          <w:p w14:paraId="7286D9FA" w14:textId="77777777" w:rsidR="009821F7" w:rsidRPr="00F74E41" w:rsidRDefault="009821F7" w:rsidP="002236BD">
            <w:pPr>
              <w:pStyle w:val="TableText0"/>
              <w:keepNext w:val="0"/>
              <w:spacing w:before="0" w:after="0"/>
              <w:rPr>
                <w:i/>
              </w:rPr>
            </w:pPr>
            <w:r w:rsidRPr="00F74E41">
              <w:rPr>
                <w:i/>
              </w:rPr>
              <w:t>Not used</w:t>
            </w:r>
          </w:p>
        </w:tc>
      </w:tr>
      <w:tr w:rsidR="009821F7" w14:paraId="33179D89" w14:textId="77777777" w:rsidTr="009E589D">
        <w:tc>
          <w:tcPr>
            <w:tcW w:w="625" w:type="pct"/>
          </w:tcPr>
          <w:p w14:paraId="5BFCCA19" w14:textId="77777777" w:rsidR="009821F7" w:rsidRPr="00721163" w:rsidRDefault="00DD6551" w:rsidP="002236BD">
            <w:pPr>
              <w:pStyle w:val="TableText0"/>
              <w:keepNext w:val="0"/>
              <w:spacing w:before="0" w:after="0"/>
            </w:pPr>
            <w:hyperlink w:anchor="_ENREF_30" w:tooltip="Kopecky, 2017 #32" w:history="1">
              <w:r w:rsidR="009821F7" w:rsidRPr="00721163">
                <w:fldChar w:fldCharType="begin"/>
              </w:r>
              <w:r w:rsidR="009821F7" w:rsidRPr="00721163">
                <w:instrText xml:space="preserve"> ADDIN EN.CITE &lt;EndNote&gt;&lt;Cite AuthorYear="1"&gt;&lt;Author&gt;Kopecky&lt;/Author&gt;&lt;Year&gt;2017&lt;/Year&gt;&lt;RecNum&gt;32&lt;/RecNum&gt;&lt;DisplayText&gt;Kopecky et al. (2017)&lt;/DisplayText&gt;&lt;record&gt;&lt;rec-number&gt;32&lt;/rec-number&gt;&lt;foreign-keys&gt;&lt;key app="EN" db-id="exfrw2pee0v5z6evdr2xwspdfw0ezf5ttzwp" timestamp="1597623057"&gt;32&lt;/key&gt;&lt;/foreign-keys&gt;&lt;ref-type name="Journal Article"&gt;17&lt;/ref-type&gt;&lt;contributors&gt;&lt;authors&gt;&lt;author&gt;Kopecky, A. S.&lt;/author&gt;&lt;author&gt;Khan, A. J.&lt;/author&gt;&lt;author&gt;Pan, W.&lt;/author&gt;&lt;author&gt;Drachtman, R.&lt;/author&gt;&lt;author&gt;Parikh, R. R.&lt;/author&gt;&lt;/authors&gt;&lt;/contributors&gt;&lt;auth-address&gt;Albany Medical College, Albany, New York.&amp;#xD;Rutgers Cancer Institute of New Jersey, Department of Radiation Oncology, New Brunswick, New Jersey.&amp;#xD;Rutgers Cancer Institute of New Jersey, Section of Pediatric Oncology, New Brunswick, New Jersey.&lt;/auth-address&gt;&lt;titles&gt;&lt;title&gt;Outcomes and patterns of care in a nationwide cohort of pediatric medulloblastoma: Factors affecting proton therapy utilization&lt;/title&gt;&lt;secondary-title&gt;Adv Radiat Oncol&lt;/secondary-title&gt;&lt;/titles&gt;&lt;periodical&gt;&lt;full-title&gt;Adv Radiat Oncol&lt;/full-title&gt;&lt;/periodical&gt;&lt;pages&gt;588-596&lt;/pages&gt;&lt;volume&gt;2&lt;/volume&gt;&lt;number&gt;4&lt;/number&gt;&lt;dates&gt;&lt;year&gt;2017&lt;/year&gt;&lt;pub-dates&gt;&lt;date&gt;Oct-Dec&lt;/date&gt;&lt;/pub-dates&gt;&lt;/dates&gt;&lt;isbn&gt;2452-1094 (Print)&amp;#xD;2452-1094 (Linking)&lt;/isbn&gt;&lt;accession-num&gt;29204526&lt;/accession-num&gt;&lt;urls&gt;&lt;related-urls&gt;&lt;url&gt;https://www.ncbi.nlm.nih.gov/pubmed/29204526&lt;/url&gt;&lt;/related-urls&gt;&lt;/urls&gt;&lt;custom2&gt;PMC5707421&lt;/custom2&gt;&lt;electronic-resource-num&gt;10.1016/j.adro.2017.07.007&lt;/electronic-resource-num&gt;&lt;/record&gt;&lt;/Cite&gt;&lt;/EndNote&gt;</w:instrText>
              </w:r>
              <w:r w:rsidR="009821F7" w:rsidRPr="00721163">
                <w:fldChar w:fldCharType="separate"/>
              </w:r>
              <w:r w:rsidR="009821F7" w:rsidRPr="00721163">
                <w:rPr>
                  <w:noProof/>
                </w:rPr>
                <w:t>Kopecky et al. (2017)</w:t>
              </w:r>
              <w:r w:rsidR="009821F7" w:rsidRPr="00721163">
                <w:fldChar w:fldCharType="end"/>
              </w:r>
            </w:hyperlink>
            <w:r w:rsidR="009821F7" w:rsidRPr="00721163">
              <w:t>*</w:t>
            </w:r>
          </w:p>
        </w:tc>
        <w:tc>
          <w:tcPr>
            <w:tcW w:w="313" w:type="pct"/>
          </w:tcPr>
          <w:p w14:paraId="0BE1FB26" w14:textId="77777777" w:rsidR="009821F7" w:rsidRPr="00721163" w:rsidRDefault="009821F7" w:rsidP="002236BD">
            <w:pPr>
              <w:pStyle w:val="TableText0"/>
              <w:keepNext w:val="0"/>
              <w:spacing w:before="0" w:after="0"/>
            </w:pPr>
            <w:r w:rsidRPr="00721163">
              <w:t>1,277</w:t>
            </w:r>
          </w:p>
        </w:tc>
        <w:tc>
          <w:tcPr>
            <w:tcW w:w="707" w:type="pct"/>
          </w:tcPr>
          <w:p w14:paraId="776CA104" w14:textId="77777777" w:rsidR="009821F7" w:rsidRPr="00721163" w:rsidRDefault="009821F7" w:rsidP="002236BD">
            <w:pPr>
              <w:pStyle w:val="TableText0"/>
              <w:keepNext w:val="0"/>
              <w:spacing w:before="0" w:after="0"/>
            </w:pPr>
            <w:r w:rsidRPr="00721163">
              <w:t>Retrospective comparative effectiveness</w:t>
            </w:r>
          </w:p>
          <w:p w14:paraId="1D6A09D8" w14:textId="77777777" w:rsidR="009821F7" w:rsidRPr="00721163" w:rsidRDefault="009821F7" w:rsidP="002236BD">
            <w:pPr>
              <w:pStyle w:val="TableText0"/>
              <w:keepNext w:val="0"/>
              <w:spacing w:before="0" w:after="0"/>
            </w:pPr>
            <w:r w:rsidRPr="00721163">
              <w:t>2004-2009</w:t>
            </w:r>
          </w:p>
        </w:tc>
        <w:tc>
          <w:tcPr>
            <w:tcW w:w="481" w:type="pct"/>
          </w:tcPr>
          <w:p w14:paraId="080872D2" w14:textId="77777777" w:rsidR="009821F7" w:rsidRPr="00721163" w:rsidRDefault="009821F7" w:rsidP="002236BD">
            <w:pPr>
              <w:pStyle w:val="TableText0"/>
              <w:keepNext w:val="0"/>
              <w:spacing w:before="0" w:after="0"/>
            </w:pPr>
            <w:r w:rsidRPr="00721163">
              <w:t>High</w:t>
            </w:r>
          </w:p>
        </w:tc>
        <w:tc>
          <w:tcPr>
            <w:tcW w:w="1015" w:type="pct"/>
          </w:tcPr>
          <w:p w14:paraId="4729A37A" w14:textId="77777777" w:rsidR="009821F7" w:rsidRPr="00721163" w:rsidRDefault="009821F7" w:rsidP="002236BD">
            <w:pPr>
              <w:pStyle w:val="TableText0"/>
              <w:keepNext w:val="0"/>
              <w:spacing w:before="0" w:after="0"/>
            </w:pPr>
            <w:proofErr w:type="spellStart"/>
            <w:r w:rsidRPr="00721163">
              <w:t>Medulloblastoma</w:t>
            </w:r>
            <w:proofErr w:type="spellEnd"/>
            <w:r w:rsidRPr="00721163">
              <w:t xml:space="preserve"> </w:t>
            </w:r>
          </w:p>
        </w:tc>
        <w:tc>
          <w:tcPr>
            <w:tcW w:w="1128" w:type="pct"/>
          </w:tcPr>
          <w:p w14:paraId="23715A36" w14:textId="77777777" w:rsidR="009821F7" w:rsidRPr="00721163" w:rsidRDefault="009821F7" w:rsidP="002236BD">
            <w:pPr>
              <w:pStyle w:val="TableText0"/>
              <w:keepNext w:val="0"/>
              <w:spacing w:before="0" w:after="0"/>
            </w:pPr>
            <w:r w:rsidRPr="00721163">
              <w:t>Survival</w:t>
            </w:r>
          </w:p>
        </w:tc>
        <w:tc>
          <w:tcPr>
            <w:tcW w:w="730" w:type="pct"/>
          </w:tcPr>
          <w:p w14:paraId="4E9E89C1" w14:textId="77777777" w:rsidR="009821F7" w:rsidRPr="00F74E41" w:rsidRDefault="009821F7" w:rsidP="002236BD">
            <w:pPr>
              <w:pStyle w:val="TableText0"/>
              <w:keepNext w:val="0"/>
              <w:spacing w:before="0" w:after="0"/>
              <w:rPr>
                <w:i/>
              </w:rPr>
            </w:pPr>
            <w:r w:rsidRPr="00F74E41">
              <w:rPr>
                <w:i/>
              </w:rPr>
              <w:t>Not used</w:t>
            </w:r>
          </w:p>
        </w:tc>
      </w:tr>
      <w:tr w:rsidR="009821F7" w14:paraId="50672E04" w14:textId="77777777" w:rsidTr="009E589D">
        <w:tc>
          <w:tcPr>
            <w:tcW w:w="625" w:type="pct"/>
          </w:tcPr>
          <w:p w14:paraId="2C03643E" w14:textId="77777777" w:rsidR="009821F7" w:rsidRPr="00721163" w:rsidRDefault="00DD6551" w:rsidP="002236BD">
            <w:pPr>
              <w:pStyle w:val="TableText0"/>
              <w:keepNext w:val="0"/>
              <w:spacing w:before="0" w:after="0"/>
            </w:pPr>
            <w:hyperlink w:anchor="_ENREF_47" w:tooltip="Sato, 2017 #24" w:history="1">
              <w:r w:rsidR="009821F7" w:rsidRPr="00721163">
                <w:fldChar w:fldCharType="begin"/>
              </w:r>
              <w:r w:rsidR="009821F7" w:rsidRPr="00721163">
                <w:instrText xml:space="preserve"> ADDIN EN.CITE &lt;EndNote&gt;&lt;Cite AuthorYear="1"&gt;&lt;Author&gt;Sato&lt;/Author&gt;&lt;Year&gt;2017&lt;/Year&gt;&lt;RecNum&gt;24&lt;/RecNum&gt;&lt;DisplayText&gt;Sato et al. (2017)&lt;/DisplayText&gt;&lt;record&gt;&lt;rec-number&gt;24&lt;/rec-number&gt;&lt;foreign-keys&gt;&lt;key app="EN" db-id="exfrw2pee0v5z6evdr2xwspdfw0ezf5ttzwp" timestamp="1597622872"&gt;24&lt;/key&gt;&lt;/foreign-keys&gt;&lt;ref-type name="Journal Article"&gt;17&lt;/ref-type&gt;&lt;contributors&gt;&lt;authors&gt;&lt;author&gt;Sato, M.&lt;/author&gt;&lt;author&gt;Gunther, J. R.&lt;/author&gt;&lt;author&gt;Mahajan, A.&lt;/author&gt;&lt;author&gt;Jo, E.&lt;/author&gt;&lt;author&gt;Paulino, A. C.&lt;/author&gt;&lt;author&gt;Adesina, A. M.&lt;/author&gt;&lt;author&gt;Jones, J. Y.&lt;/author&gt;&lt;author&gt;Ketonen, L. M.&lt;/author&gt;&lt;author&gt;Su, J. M.&lt;/author&gt;&lt;author&gt;Okcu, M. F.&lt;/author&gt;&lt;author&gt;Khatua, S.&lt;/author&gt;&lt;author&gt;Dauser, R. C.&lt;/author&gt;&lt;author&gt;Whitehead, W. E.&lt;/author&gt;&lt;author&gt;Weinberg, J.&lt;/author&gt;&lt;author&gt;Chintagumpala, M. M.&lt;/author&gt;&lt;/authors&gt;&lt;/contributors&gt;&lt;titles&gt;&lt;title&gt;Progression-free survival of children with localized ependymoma treated with intensity-modulated radiation therapy or proton-beam radiation therapy&lt;/title&gt;&lt;secondary-title&gt;Cancer&lt;/secondary-title&gt;&lt;/titles&gt;&lt;periodical&gt;&lt;full-title&gt;Cancer&lt;/full-title&gt;&lt;/periodical&gt;&lt;pages&gt;2570-2578&lt;/pages&gt;&lt;volume&gt;123&lt;/volume&gt;&lt;number&gt;13&lt;/number&gt;&lt;dates&gt;&lt;year&gt;2017&lt;/year&gt;&lt;/dates&gt;&lt;accession-num&gt;28267208&lt;/accession-num&gt;&lt;urls&gt;&lt;related-urls&gt;&lt;url&gt;http://ezproxy.library.usyd.edu.au/login?url=http://ovidsp.ovid.com/ovidweb.cgi?T=JS&amp;amp;CSC=Y&amp;amp;NEWS=N&amp;amp;PAGE=fulltext&amp;amp;D=med14&amp;amp;AN=28267208https://sydney.alma.exlibrisgroup.com/openurl/61USYD_INST/61USYD_INST:sydney?sid=OVID:medline&amp;amp;id=pmid:28267208&amp;amp;id=doi:10.100&lt;/url&gt;&lt;url&gt;https://acsjournals.onlinelibrary.wiley.com/doi/pdfdirect/10.1002/cncr.30623?download=true&lt;/url&gt;&lt;/related-urls&gt;&lt;/urls&gt;&lt;electronic-resource-num&gt;https://dx.doi.org/10.1002/cncr.30623&lt;/electronic-resource-num&gt;&lt;/record&gt;&lt;/Cite&gt;&lt;/EndNote&gt;</w:instrText>
              </w:r>
              <w:r w:rsidR="009821F7" w:rsidRPr="00721163">
                <w:fldChar w:fldCharType="separate"/>
              </w:r>
              <w:r w:rsidR="009821F7" w:rsidRPr="00721163">
                <w:rPr>
                  <w:noProof/>
                </w:rPr>
                <w:t>Sato et al. (2017)</w:t>
              </w:r>
              <w:r w:rsidR="009821F7" w:rsidRPr="00721163">
                <w:fldChar w:fldCharType="end"/>
              </w:r>
            </w:hyperlink>
          </w:p>
        </w:tc>
        <w:tc>
          <w:tcPr>
            <w:tcW w:w="313" w:type="pct"/>
          </w:tcPr>
          <w:p w14:paraId="19295F57" w14:textId="77777777" w:rsidR="009821F7" w:rsidRPr="00721163" w:rsidRDefault="009821F7" w:rsidP="002236BD">
            <w:pPr>
              <w:pStyle w:val="TableText0"/>
              <w:keepNext w:val="0"/>
              <w:spacing w:before="0" w:after="0"/>
            </w:pPr>
            <w:r w:rsidRPr="00721163">
              <w:t>79</w:t>
            </w:r>
          </w:p>
        </w:tc>
        <w:tc>
          <w:tcPr>
            <w:tcW w:w="707" w:type="pct"/>
          </w:tcPr>
          <w:p w14:paraId="633B44A6" w14:textId="77777777" w:rsidR="009821F7" w:rsidRPr="00721163" w:rsidRDefault="009821F7" w:rsidP="002236BD">
            <w:pPr>
              <w:pStyle w:val="TableText0"/>
              <w:keepNext w:val="0"/>
              <w:spacing w:before="0" w:after="0"/>
            </w:pPr>
            <w:r w:rsidRPr="00721163">
              <w:t>Retrospective comparative effectiveness</w:t>
            </w:r>
          </w:p>
          <w:p w14:paraId="73C58F69" w14:textId="77777777" w:rsidR="009821F7" w:rsidRPr="00721163" w:rsidRDefault="009821F7" w:rsidP="002236BD">
            <w:pPr>
              <w:pStyle w:val="TableText0"/>
              <w:keepNext w:val="0"/>
              <w:spacing w:before="0" w:after="0"/>
            </w:pPr>
            <w:r w:rsidRPr="00721163">
              <w:t>2000-2013</w:t>
            </w:r>
          </w:p>
        </w:tc>
        <w:tc>
          <w:tcPr>
            <w:tcW w:w="481" w:type="pct"/>
          </w:tcPr>
          <w:p w14:paraId="7D1B99B0" w14:textId="77777777" w:rsidR="009821F7" w:rsidRPr="00721163" w:rsidRDefault="009821F7" w:rsidP="002236BD">
            <w:pPr>
              <w:pStyle w:val="TableText0"/>
              <w:keepNext w:val="0"/>
              <w:spacing w:before="0" w:after="0"/>
            </w:pPr>
            <w:r w:rsidRPr="00721163">
              <w:t>High</w:t>
            </w:r>
          </w:p>
        </w:tc>
        <w:tc>
          <w:tcPr>
            <w:tcW w:w="1015" w:type="pct"/>
          </w:tcPr>
          <w:p w14:paraId="26E40088" w14:textId="77777777" w:rsidR="009821F7" w:rsidRPr="00721163" w:rsidRDefault="009821F7" w:rsidP="002236BD">
            <w:pPr>
              <w:pStyle w:val="TableText0"/>
              <w:keepNext w:val="0"/>
              <w:spacing w:before="0" w:after="0"/>
            </w:pPr>
            <w:r w:rsidRPr="00721163">
              <w:t>Paediatric CNS tumours (</w:t>
            </w:r>
            <w:proofErr w:type="spellStart"/>
            <w:r w:rsidRPr="00721163">
              <w:t>ependymomas</w:t>
            </w:r>
            <w:proofErr w:type="spellEnd"/>
            <w:r w:rsidRPr="00721163">
              <w:t>)</w:t>
            </w:r>
          </w:p>
        </w:tc>
        <w:tc>
          <w:tcPr>
            <w:tcW w:w="1128" w:type="pct"/>
          </w:tcPr>
          <w:p w14:paraId="13F5242C" w14:textId="77777777" w:rsidR="009821F7" w:rsidRPr="00721163" w:rsidRDefault="009821F7" w:rsidP="002236BD">
            <w:pPr>
              <w:pStyle w:val="TableText0"/>
              <w:keepNext w:val="0"/>
              <w:spacing w:before="0" w:after="0"/>
            </w:pPr>
            <w:r w:rsidRPr="00721163">
              <w:t>OS,</w:t>
            </w:r>
            <w:r w:rsidRPr="00721163">
              <w:rPr>
                <w:i/>
                <w:iCs/>
              </w:rPr>
              <w:t xml:space="preserve"> PFS,</w:t>
            </w:r>
            <w:r w:rsidRPr="00721163">
              <w:t xml:space="preserve"> local recurrence </w:t>
            </w:r>
            <w:r w:rsidRPr="00721163">
              <w:rPr>
                <w:i/>
                <w:iCs/>
              </w:rPr>
              <w:t>free survival</w:t>
            </w:r>
            <w:r w:rsidRPr="00721163">
              <w:t>, safety (</w:t>
            </w:r>
            <w:r w:rsidRPr="00721163">
              <w:rPr>
                <w:i/>
                <w:iCs/>
              </w:rPr>
              <w:t xml:space="preserve">acute and late </w:t>
            </w:r>
            <w:r w:rsidRPr="00721163">
              <w:t>RT-related</w:t>
            </w:r>
            <w:r w:rsidRPr="00721163">
              <w:rPr>
                <w:i/>
                <w:iCs/>
              </w:rPr>
              <w:t xml:space="preserve"> toxicities</w:t>
            </w:r>
            <w:r w:rsidRPr="00721163">
              <w:t>)</w:t>
            </w:r>
          </w:p>
        </w:tc>
        <w:tc>
          <w:tcPr>
            <w:tcW w:w="730" w:type="pct"/>
          </w:tcPr>
          <w:p w14:paraId="3E795964" w14:textId="77777777" w:rsidR="009821F7" w:rsidRPr="00F74E41" w:rsidRDefault="009821F7" w:rsidP="002236BD">
            <w:pPr>
              <w:pStyle w:val="TableText0"/>
              <w:keepNext w:val="0"/>
              <w:spacing w:before="0" w:after="0"/>
              <w:rPr>
                <w:i/>
              </w:rPr>
            </w:pPr>
            <w:r w:rsidRPr="00F74E41">
              <w:rPr>
                <w:i/>
              </w:rPr>
              <w:t>Not used</w:t>
            </w:r>
          </w:p>
        </w:tc>
      </w:tr>
      <w:tr w:rsidR="009821F7" w14:paraId="52D94ABD" w14:textId="77777777" w:rsidTr="009E589D">
        <w:tc>
          <w:tcPr>
            <w:tcW w:w="625" w:type="pct"/>
          </w:tcPr>
          <w:p w14:paraId="215D1D61" w14:textId="77777777" w:rsidR="009821F7" w:rsidRPr="00721163" w:rsidRDefault="00DD6551" w:rsidP="002236BD">
            <w:pPr>
              <w:pStyle w:val="TableText0"/>
              <w:keepNext w:val="0"/>
              <w:spacing w:before="0" w:after="0"/>
            </w:pPr>
            <w:hyperlink w:anchor="_ENREF_8" w:tooltip="Bielamowicz, 2018 #13" w:history="1">
              <w:r w:rsidR="009821F7" w:rsidRPr="00721163">
                <w:fldChar w:fldCharType="begin"/>
              </w:r>
              <w:r w:rsidR="009821F7" w:rsidRPr="00721163">
                <w:instrText xml:space="preserve"> ADDIN EN.CITE &lt;EndNote&gt;&lt;Cite AuthorYear="1"&gt;&lt;Author&gt;Bielamowicz&lt;/Author&gt;&lt;Year&gt;2018&lt;/Year&gt;&lt;RecNum&gt;13&lt;/RecNum&gt;&lt;DisplayText&gt;Bielamowicz et al. (2018)&lt;/DisplayText&gt;&lt;record&gt;&lt;rec-number&gt;13&lt;/rec-number&gt;&lt;foreign-keys&gt;&lt;key app="EN" db-id="exfrw2pee0v5z6evdr2xwspdfw0ezf5ttzwp" timestamp="1597622870"&gt;13&lt;/key&gt;&lt;/foreign-keys&gt;&lt;ref-type name="Journal Article"&gt;17&lt;/ref-type&gt;&lt;contributors&gt;&lt;authors&gt;&lt;author&gt;Bielamowicz, K.&lt;/author&gt;&lt;author&gt;Okcu, M. F.&lt;/author&gt;&lt;author&gt;Sonabend, R.&lt;/author&gt;&lt;author&gt;Paulino, A. C.&lt;/author&gt;&lt;author&gt;Hilsenbeck, S. G.&lt;/author&gt;&lt;author&gt;Dreyer, Z.&lt;/author&gt;&lt;author&gt;Suzawa, H.&lt;/author&gt;&lt;author&gt;Bryant, R.&lt;/author&gt;&lt;author&gt;Adesina, A.&lt;/author&gt;&lt;author&gt;Dauser, R.&lt;/author&gt;&lt;author&gt;Mahajan, A.&lt;/author&gt;&lt;author&gt;Chintagumpala, M.&lt;/author&gt;&lt;/authors&gt;&lt;/contributors&gt;&lt;titles&gt;&lt;title&gt;Hypothyroidism after craniospinal irradiation with proton or photon therapy in patients with medulloblastoma&lt;/title&gt;&lt;secondary-title&gt;Pediatr Hematol Oncol&lt;/secondary-title&gt;&lt;/titles&gt;&lt;periodical&gt;&lt;full-title&gt;Pediatr Hematol Oncol&lt;/full-title&gt;&lt;/periodical&gt;&lt;pages&gt;257-267&lt;/pages&gt;&lt;volume&gt;35&lt;/volume&gt;&lt;number&gt;4&lt;/number&gt;&lt;dates&gt;&lt;year&gt;2018&lt;/year&gt;&lt;/dates&gt;&lt;accession-num&gt;30537887&lt;/accession-num&gt;&lt;urls&gt;&lt;related-urls&gt;&lt;url&gt;http://ezproxy.library.usyd.edu.au/login?url=http://ovidsp.ovid.com/ovidweb.cgi?T=JS&amp;amp;CSC=Y&amp;amp;NEWS=N&amp;amp;PAGE=fulltext&amp;amp;D=med15&amp;amp;AN=30537887https://sydney.alma.exlibrisgroup.com/openurl/61USYD_INST/61USYD_INST:sydney?sid=OVID:medline&amp;amp;id=pmid:30537887&amp;amp;id=doi:10.108&lt;/url&gt;&lt;url&gt;https://www.tandfonline.com/doi/pdf/10.1080/08880018.2018.1471111?needAccess=true&lt;/url&gt;&lt;/related-urls&gt;&lt;/urls&gt;&lt;electronic-resource-num&gt;https://dx.doi.org/10.1080/08880018.2018.1471111&lt;/electronic-resource-num&gt;&lt;/record&gt;&lt;/Cite&gt;&lt;/EndNote&gt;</w:instrText>
              </w:r>
              <w:r w:rsidR="009821F7" w:rsidRPr="00721163">
                <w:fldChar w:fldCharType="separate"/>
              </w:r>
              <w:r w:rsidR="009821F7" w:rsidRPr="00721163">
                <w:rPr>
                  <w:noProof/>
                </w:rPr>
                <w:t>Bielamowicz et al. (2018)</w:t>
              </w:r>
              <w:r w:rsidR="009821F7" w:rsidRPr="00721163">
                <w:fldChar w:fldCharType="end"/>
              </w:r>
            </w:hyperlink>
            <w:r w:rsidR="009821F7" w:rsidRPr="00721163">
              <w:t>*</w:t>
            </w:r>
          </w:p>
        </w:tc>
        <w:tc>
          <w:tcPr>
            <w:tcW w:w="313" w:type="pct"/>
          </w:tcPr>
          <w:p w14:paraId="0C3CE87C" w14:textId="77777777" w:rsidR="009821F7" w:rsidRPr="00721163" w:rsidRDefault="009821F7" w:rsidP="002236BD">
            <w:pPr>
              <w:pStyle w:val="TableText0"/>
              <w:keepNext w:val="0"/>
              <w:spacing w:before="0" w:after="0"/>
            </w:pPr>
            <w:r w:rsidRPr="00721163">
              <w:t>95</w:t>
            </w:r>
          </w:p>
        </w:tc>
        <w:tc>
          <w:tcPr>
            <w:tcW w:w="707" w:type="pct"/>
          </w:tcPr>
          <w:p w14:paraId="17AF9326" w14:textId="77777777" w:rsidR="009821F7" w:rsidRPr="00721163" w:rsidRDefault="009821F7" w:rsidP="002236BD">
            <w:pPr>
              <w:pStyle w:val="TableText0"/>
              <w:keepNext w:val="0"/>
              <w:spacing w:before="0" w:after="0"/>
            </w:pPr>
            <w:r w:rsidRPr="00721163">
              <w:t>Retrospective comparative effectiveness</w:t>
            </w:r>
          </w:p>
          <w:p w14:paraId="45ACD1D3" w14:textId="77777777" w:rsidR="009821F7" w:rsidRPr="00721163" w:rsidRDefault="009821F7" w:rsidP="002236BD">
            <w:pPr>
              <w:pStyle w:val="TableText0"/>
              <w:keepNext w:val="0"/>
              <w:spacing w:before="0" w:after="0"/>
            </w:pPr>
            <w:r w:rsidRPr="00721163">
              <w:t>1997-2014</w:t>
            </w:r>
          </w:p>
        </w:tc>
        <w:tc>
          <w:tcPr>
            <w:tcW w:w="481" w:type="pct"/>
          </w:tcPr>
          <w:p w14:paraId="11FA6E43" w14:textId="77777777" w:rsidR="009821F7" w:rsidRPr="00721163" w:rsidRDefault="009821F7" w:rsidP="002236BD">
            <w:pPr>
              <w:pStyle w:val="TableText0"/>
              <w:keepNext w:val="0"/>
              <w:spacing w:before="0" w:after="0"/>
              <w:rPr>
                <w:i/>
                <w:iCs/>
              </w:rPr>
            </w:pPr>
            <w:r w:rsidRPr="00721163">
              <w:rPr>
                <w:i/>
                <w:iCs/>
              </w:rPr>
              <w:t>High</w:t>
            </w:r>
          </w:p>
        </w:tc>
        <w:tc>
          <w:tcPr>
            <w:tcW w:w="1015" w:type="pct"/>
          </w:tcPr>
          <w:p w14:paraId="4F64B550" w14:textId="77777777" w:rsidR="009821F7" w:rsidRPr="00721163" w:rsidRDefault="009821F7" w:rsidP="002236BD">
            <w:pPr>
              <w:pStyle w:val="TableText0"/>
              <w:keepNext w:val="0"/>
              <w:spacing w:before="0" w:after="0"/>
            </w:pPr>
            <w:proofErr w:type="spellStart"/>
            <w:r w:rsidRPr="00721163">
              <w:t>Medulloblastoma</w:t>
            </w:r>
            <w:proofErr w:type="spellEnd"/>
          </w:p>
        </w:tc>
        <w:tc>
          <w:tcPr>
            <w:tcW w:w="1128" w:type="pct"/>
          </w:tcPr>
          <w:p w14:paraId="658CA802" w14:textId="77777777" w:rsidR="009821F7" w:rsidRPr="00721163" w:rsidRDefault="009821F7" w:rsidP="002236BD">
            <w:pPr>
              <w:pStyle w:val="TableText0"/>
              <w:keepNext w:val="0"/>
              <w:spacing w:before="0" w:after="0"/>
            </w:pPr>
            <w:r w:rsidRPr="00721163">
              <w:rPr>
                <w:i/>
                <w:iCs/>
              </w:rPr>
              <w:t>Late toxicities (</w:t>
            </w:r>
            <w:r w:rsidRPr="00721163">
              <w:t>hypothyroidism)</w:t>
            </w:r>
          </w:p>
        </w:tc>
        <w:tc>
          <w:tcPr>
            <w:tcW w:w="730" w:type="pct"/>
          </w:tcPr>
          <w:p w14:paraId="60164EC8" w14:textId="77777777" w:rsidR="009821F7" w:rsidRPr="00F74E41" w:rsidRDefault="009821F7" w:rsidP="002236BD">
            <w:pPr>
              <w:pStyle w:val="TableText0"/>
              <w:keepNext w:val="0"/>
              <w:spacing w:before="0" w:after="0"/>
              <w:rPr>
                <w:i/>
              </w:rPr>
            </w:pPr>
            <w:r w:rsidRPr="00F74E41">
              <w:rPr>
                <w:i/>
              </w:rPr>
              <w:t>Not used</w:t>
            </w:r>
          </w:p>
        </w:tc>
      </w:tr>
      <w:tr w:rsidR="009821F7" w14:paraId="6F710842" w14:textId="77777777" w:rsidTr="009E589D">
        <w:tc>
          <w:tcPr>
            <w:tcW w:w="625" w:type="pct"/>
          </w:tcPr>
          <w:p w14:paraId="751506B4" w14:textId="77777777" w:rsidR="009821F7" w:rsidRPr="00721163" w:rsidRDefault="00DD6551" w:rsidP="002236BD">
            <w:pPr>
              <w:pStyle w:val="TableText0"/>
              <w:keepNext w:val="0"/>
              <w:spacing w:before="0" w:after="0"/>
            </w:pPr>
            <w:hyperlink w:anchor="_ENREF_43" w:tooltip="Paulino, 2018 #22" w:history="1">
              <w:r w:rsidR="009821F7" w:rsidRPr="00721163">
                <w:fldChar w:fldCharType="begin">
                  <w:fldData xml:space="preserve">PEVuZE5vdGU+PENpdGUgQXV0aG9yWWVhcj0iMSI+PEF1dGhvcj5QYXVsaW5vPC9BdXRob3I+PFll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=
</w:fldData>
                </w:fldChar>
              </w:r>
              <w:r w:rsidR="009821F7" w:rsidRPr="00721163">
                <w:instrText xml:space="preserve"> ADDIN EN.CITE </w:instrText>
              </w:r>
              <w:r w:rsidR="009821F7" w:rsidRPr="00721163">
                <w:fldChar w:fldCharType="begin">
                  <w:fldData xml:space="preserve">PEVuZE5vdGU+PENpdGUgQXV0aG9yWWVhcj0iMSI+PEF1dGhvcj5QYXVsaW5vPC9BdXRob3I+PFll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=
</w:fldData>
                </w:fldChar>
              </w:r>
              <w:r w:rsidR="009821F7" w:rsidRPr="00721163">
                <w:instrText xml:space="preserve"> ADDIN EN.CITE.DATA </w:instrText>
              </w:r>
              <w:r w:rsidR="009821F7" w:rsidRPr="00721163">
                <w:fldChar w:fldCharType="end"/>
              </w:r>
              <w:r w:rsidR="009821F7" w:rsidRPr="00721163">
                <w:fldChar w:fldCharType="separate"/>
              </w:r>
              <w:r w:rsidR="009821F7" w:rsidRPr="00721163">
                <w:rPr>
                  <w:noProof/>
                </w:rPr>
                <w:t>Paulino et al. (2018)</w:t>
              </w:r>
              <w:r w:rsidR="009821F7" w:rsidRPr="00721163">
                <w:fldChar w:fldCharType="end"/>
              </w:r>
            </w:hyperlink>
            <w:r w:rsidR="009821F7" w:rsidRPr="00721163">
              <w:t>*</w:t>
            </w:r>
          </w:p>
        </w:tc>
        <w:tc>
          <w:tcPr>
            <w:tcW w:w="313" w:type="pct"/>
          </w:tcPr>
          <w:p w14:paraId="42AF239F" w14:textId="77777777" w:rsidR="009821F7" w:rsidRPr="00721163" w:rsidRDefault="009821F7" w:rsidP="002236BD">
            <w:pPr>
              <w:pStyle w:val="TableText0"/>
              <w:keepNext w:val="0"/>
              <w:spacing w:before="0" w:after="0"/>
            </w:pPr>
            <w:r w:rsidRPr="00721163">
              <w:t>84</w:t>
            </w:r>
          </w:p>
        </w:tc>
        <w:tc>
          <w:tcPr>
            <w:tcW w:w="707" w:type="pct"/>
          </w:tcPr>
          <w:p w14:paraId="53F66AE5" w14:textId="77777777" w:rsidR="009821F7" w:rsidRPr="00721163" w:rsidRDefault="009821F7" w:rsidP="002236BD">
            <w:pPr>
              <w:pStyle w:val="TableText0"/>
              <w:keepNext w:val="0"/>
              <w:spacing w:before="0" w:after="0"/>
            </w:pPr>
            <w:r w:rsidRPr="00721163">
              <w:t>Retrospective comparative effectiveness</w:t>
            </w:r>
          </w:p>
          <w:p w14:paraId="2F6FAEC1" w14:textId="77777777" w:rsidR="009821F7" w:rsidRPr="00721163" w:rsidRDefault="009821F7" w:rsidP="002236BD">
            <w:pPr>
              <w:pStyle w:val="TableText0"/>
              <w:keepNext w:val="0"/>
              <w:spacing w:before="0" w:after="0"/>
            </w:pPr>
            <w:r w:rsidRPr="00721163">
              <w:t>1997-2013</w:t>
            </w:r>
          </w:p>
        </w:tc>
        <w:tc>
          <w:tcPr>
            <w:tcW w:w="481" w:type="pct"/>
          </w:tcPr>
          <w:p w14:paraId="6A8FFA9A" w14:textId="77777777" w:rsidR="009821F7" w:rsidRPr="00721163" w:rsidRDefault="009821F7" w:rsidP="002236BD">
            <w:pPr>
              <w:pStyle w:val="TableText0"/>
              <w:keepNext w:val="0"/>
              <w:spacing w:before="0" w:after="0"/>
            </w:pPr>
            <w:r w:rsidRPr="00721163">
              <w:t>High</w:t>
            </w:r>
          </w:p>
        </w:tc>
        <w:tc>
          <w:tcPr>
            <w:tcW w:w="1015" w:type="pct"/>
          </w:tcPr>
          <w:p w14:paraId="308DD3A4" w14:textId="77777777" w:rsidR="009821F7" w:rsidRPr="00721163" w:rsidRDefault="009821F7" w:rsidP="002236BD">
            <w:pPr>
              <w:pStyle w:val="TableText0"/>
              <w:keepNext w:val="0"/>
              <w:spacing w:before="0" w:after="0"/>
            </w:pPr>
            <w:proofErr w:type="spellStart"/>
            <w:r w:rsidRPr="00721163">
              <w:rPr>
                <w:i/>
                <w:iCs/>
              </w:rPr>
              <w:t>Medulloblastoma</w:t>
            </w:r>
            <w:proofErr w:type="spellEnd"/>
            <w:r w:rsidRPr="00721163" w:rsidDel="00414538">
              <w:rPr>
                <w:i/>
                <w:iCs/>
              </w:rPr>
              <w:t xml:space="preserve"> </w:t>
            </w:r>
          </w:p>
        </w:tc>
        <w:tc>
          <w:tcPr>
            <w:tcW w:w="1128" w:type="pct"/>
          </w:tcPr>
          <w:p w14:paraId="4BFD116B" w14:textId="77777777" w:rsidR="009821F7" w:rsidRPr="00721163" w:rsidRDefault="009821F7" w:rsidP="002236BD">
            <w:pPr>
              <w:pStyle w:val="TableText0"/>
              <w:keepNext w:val="0"/>
              <w:spacing w:before="0" w:after="0"/>
            </w:pPr>
            <w:r w:rsidRPr="00721163">
              <w:rPr>
                <w:i/>
                <w:iCs/>
              </w:rPr>
              <w:t>Late toxicities (</w:t>
            </w:r>
            <w:r w:rsidRPr="00721163">
              <w:t>hearing</w:t>
            </w:r>
            <w:r w:rsidRPr="00721163">
              <w:rPr>
                <w:i/>
                <w:iCs/>
              </w:rPr>
              <w:t xml:space="preserve"> loss)</w:t>
            </w:r>
          </w:p>
        </w:tc>
        <w:tc>
          <w:tcPr>
            <w:tcW w:w="730" w:type="pct"/>
          </w:tcPr>
          <w:p w14:paraId="469223B7" w14:textId="77777777" w:rsidR="009821F7" w:rsidRPr="00F74E41" w:rsidRDefault="009821F7" w:rsidP="002236BD">
            <w:pPr>
              <w:pStyle w:val="TableText0"/>
              <w:keepNext w:val="0"/>
              <w:spacing w:before="0" w:after="0"/>
              <w:rPr>
                <w:i/>
              </w:rPr>
            </w:pPr>
            <w:r w:rsidRPr="00F74E41">
              <w:rPr>
                <w:i/>
              </w:rPr>
              <w:t>Yes</w:t>
            </w:r>
          </w:p>
        </w:tc>
      </w:tr>
      <w:tr w:rsidR="009821F7" w14:paraId="44135EBD" w14:textId="77777777" w:rsidTr="009E589D">
        <w:tc>
          <w:tcPr>
            <w:tcW w:w="625" w:type="pct"/>
          </w:tcPr>
          <w:p w14:paraId="5E56B194" w14:textId="77777777" w:rsidR="009821F7" w:rsidRPr="00721163" w:rsidRDefault="009821F7" w:rsidP="002236BD">
            <w:pPr>
              <w:pStyle w:val="TableText0"/>
              <w:keepNext w:val="0"/>
              <w:spacing w:before="0" w:after="0"/>
              <w:rPr>
                <w:strike/>
              </w:rPr>
            </w:pPr>
            <w:r w:rsidRPr="00721163">
              <w:rPr>
                <w:strike/>
                <w:w w:val="95"/>
              </w:rPr>
              <w:t xml:space="preserve">Hashimoto </w:t>
            </w:r>
            <w:r w:rsidRPr="00721163">
              <w:rPr>
                <w:strike/>
              </w:rPr>
              <w:t>2019*</w:t>
            </w:r>
          </w:p>
        </w:tc>
        <w:tc>
          <w:tcPr>
            <w:tcW w:w="313" w:type="pct"/>
          </w:tcPr>
          <w:p w14:paraId="3EE7604B" w14:textId="77777777" w:rsidR="009821F7" w:rsidRPr="00721163" w:rsidRDefault="009821F7" w:rsidP="002236BD">
            <w:pPr>
              <w:pStyle w:val="TableText0"/>
              <w:keepNext w:val="0"/>
              <w:spacing w:before="0" w:after="0"/>
              <w:rPr>
                <w:strike/>
              </w:rPr>
            </w:pPr>
            <w:r w:rsidRPr="00721163">
              <w:rPr>
                <w:strike/>
              </w:rPr>
              <w:t>17</w:t>
            </w:r>
          </w:p>
        </w:tc>
        <w:tc>
          <w:tcPr>
            <w:tcW w:w="707" w:type="pct"/>
          </w:tcPr>
          <w:p w14:paraId="4D65FBCE" w14:textId="77777777" w:rsidR="009821F7" w:rsidRPr="00721163" w:rsidRDefault="009821F7" w:rsidP="002236BD">
            <w:pPr>
              <w:pStyle w:val="TableParagraph"/>
              <w:spacing w:before="0" w:after="0"/>
              <w:ind w:left="29"/>
              <w:rPr>
                <w:strike/>
                <w:sz w:val="20"/>
              </w:rPr>
            </w:pPr>
            <w:r w:rsidRPr="00721163">
              <w:rPr>
                <w:strike/>
                <w:w w:val="95"/>
                <w:sz w:val="20"/>
              </w:rPr>
              <w:t xml:space="preserve">Retrospective </w:t>
            </w:r>
            <w:r w:rsidRPr="00721163">
              <w:rPr>
                <w:strike/>
                <w:sz w:val="20"/>
              </w:rPr>
              <w:t>comparative effectiveness</w:t>
            </w:r>
          </w:p>
          <w:p w14:paraId="5C79F084" w14:textId="77777777" w:rsidR="009821F7" w:rsidRPr="00721163" w:rsidRDefault="009821F7" w:rsidP="002236BD">
            <w:pPr>
              <w:pStyle w:val="TableText0"/>
              <w:keepNext w:val="0"/>
              <w:spacing w:before="0" w:after="0"/>
              <w:rPr>
                <w:strike/>
              </w:rPr>
            </w:pPr>
            <w:r w:rsidRPr="00721163">
              <w:rPr>
                <w:strike/>
              </w:rPr>
              <w:t>2004-2015</w:t>
            </w:r>
          </w:p>
        </w:tc>
        <w:tc>
          <w:tcPr>
            <w:tcW w:w="481" w:type="pct"/>
          </w:tcPr>
          <w:p w14:paraId="4D0CDA42" w14:textId="77777777" w:rsidR="009821F7" w:rsidRPr="00721163" w:rsidRDefault="009821F7" w:rsidP="002236BD">
            <w:pPr>
              <w:pStyle w:val="TableText0"/>
              <w:keepNext w:val="0"/>
              <w:spacing w:before="0" w:after="0"/>
              <w:rPr>
                <w:strike/>
              </w:rPr>
            </w:pPr>
            <w:r w:rsidRPr="00721163">
              <w:rPr>
                <w:strike/>
              </w:rPr>
              <w:t>High</w:t>
            </w:r>
          </w:p>
        </w:tc>
        <w:tc>
          <w:tcPr>
            <w:tcW w:w="1015" w:type="pct"/>
          </w:tcPr>
          <w:p w14:paraId="011DFBCF" w14:textId="77777777" w:rsidR="009821F7" w:rsidRPr="00721163" w:rsidRDefault="009821F7" w:rsidP="002236BD">
            <w:pPr>
              <w:pStyle w:val="TableText0"/>
              <w:keepNext w:val="0"/>
              <w:spacing w:before="0" w:after="0"/>
              <w:rPr>
                <w:i/>
                <w:iCs/>
                <w:strike/>
              </w:rPr>
            </w:pPr>
            <w:proofErr w:type="spellStart"/>
            <w:r w:rsidRPr="00721163">
              <w:rPr>
                <w:strike/>
              </w:rPr>
              <w:t>Medulloblastoma</w:t>
            </w:r>
            <w:proofErr w:type="spellEnd"/>
            <w:r w:rsidRPr="00721163">
              <w:rPr>
                <w:strike/>
              </w:rPr>
              <w:t xml:space="preserve"> and germ cell tumours</w:t>
            </w:r>
          </w:p>
        </w:tc>
        <w:tc>
          <w:tcPr>
            <w:tcW w:w="1128" w:type="pct"/>
          </w:tcPr>
          <w:p w14:paraId="7651E1E7" w14:textId="77777777" w:rsidR="009821F7" w:rsidRPr="00721163" w:rsidRDefault="009821F7" w:rsidP="002236BD">
            <w:pPr>
              <w:pStyle w:val="TableText0"/>
              <w:keepNext w:val="0"/>
              <w:spacing w:before="0" w:after="0"/>
              <w:rPr>
                <w:i/>
                <w:iCs/>
                <w:strike/>
              </w:rPr>
            </w:pPr>
            <w:r w:rsidRPr="00721163">
              <w:rPr>
                <w:strike/>
              </w:rPr>
              <w:t>WBC, Haemoglobin level, platelet counts</w:t>
            </w:r>
          </w:p>
        </w:tc>
        <w:tc>
          <w:tcPr>
            <w:tcW w:w="730" w:type="pct"/>
          </w:tcPr>
          <w:p w14:paraId="3E54537B" w14:textId="77777777" w:rsidR="009821F7" w:rsidRPr="00F74E41" w:rsidRDefault="009821F7" w:rsidP="002236BD">
            <w:pPr>
              <w:pStyle w:val="TableText0"/>
              <w:keepNext w:val="0"/>
              <w:spacing w:before="0" w:after="0"/>
              <w:rPr>
                <w:i/>
              </w:rPr>
            </w:pPr>
          </w:p>
        </w:tc>
      </w:tr>
      <w:tr w:rsidR="009821F7" w14:paraId="7D5EE807" w14:textId="77777777" w:rsidTr="009E589D">
        <w:tc>
          <w:tcPr>
            <w:tcW w:w="625" w:type="pct"/>
          </w:tcPr>
          <w:p w14:paraId="36265652" w14:textId="77777777" w:rsidR="009821F7" w:rsidRPr="00721163" w:rsidRDefault="00DD6551" w:rsidP="002236BD">
            <w:pPr>
              <w:pStyle w:val="TableText0"/>
              <w:keepNext w:val="0"/>
              <w:spacing w:before="0" w:after="0"/>
            </w:pPr>
            <w:hyperlink w:anchor="_ENREF_44" w:tooltip="Peterson, 2019 #23" w:history="1">
              <w:r w:rsidR="009821F7" w:rsidRPr="00721163">
                <w:fldChar w:fldCharType="begin"/>
              </w:r>
              <w:r w:rsidR="009821F7" w:rsidRPr="00721163">
                <w:instrText xml:space="preserve"> ADDIN EN.CITE &lt;EndNote&gt;&lt;Cite AuthorYear="1"&gt;&lt;Author&gt;Peterson&lt;/Author&gt;&lt;Year&gt;2019&lt;/Year&gt;&lt;RecNum&gt;23&lt;/RecNum&gt;&lt;DisplayText&gt;Peterson et al. (2019)&lt;/DisplayText&gt;&lt;record&gt;&lt;rec-number&gt;23&lt;/rec-number&gt;&lt;foreign-keys&gt;&lt;key app="EN" db-id="exfrw2pee0v5z6evdr2xwspdfw0ezf5ttzwp" timestamp="1597622872"&gt;23&lt;/key&gt;&lt;/foreign-keys&gt;&lt;ref-type name="Journal Article"&gt;17&lt;/ref-type&gt;&lt;contributors&gt;&lt;authors&gt;&lt;author&gt;Peterson, R. K.&lt;/author&gt;&lt;author&gt;Katzenstein, J. M.&lt;/author&gt;&lt;/authors&gt;&lt;/contributors&gt;&lt;titles&gt;&lt;title&gt;Working memory and processing speed among pediatric brain tumor patients treated with photon or proton beam radiation therapy&lt;/title&gt;&lt;secondary-title&gt;Children&amp;apos;s Health Care&lt;/secondary-title&gt;&lt;/titles&gt;&lt;periodical&gt;&lt;full-title&gt;Children&amp;apos;s Health Care&lt;/full-title&gt;&lt;/periodical&gt;&lt;pages&gt;131-141&lt;/pages&gt;&lt;volume&gt;48&lt;/volume&gt;&lt;number&gt;2&lt;/number&gt;&lt;dates&gt;&lt;year&gt;2019&lt;/year&gt;&lt;/dates&gt;&lt;accession-num&gt;623896549&lt;/accession-num&gt;&lt;urls&gt;&lt;related-urls&gt;&lt;url&gt;http://www.tandfonline.com/toc/hchc20/currenthttp://ezproxy.library.usyd.edu.au/login?url=http://ovidsp.ovid.com/ovidweb.cgi?T=JS&amp;amp;CSC=Y&amp;amp;NEWS=N&amp;amp;PAGE=fulltext&amp;amp;D=emexa&amp;amp;AN=623896549https://sydney.alma.exlibrisgroup.com/openurl/61USYD_INST/61USYD_INST:sydney?s&lt;/url&gt;&lt;url&gt;https://www.tandfonline.com/doi/pdf/10.1080/02739615.2018.1510330?needAccess=true&lt;/url&gt;&lt;/related-urls&gt;&lt;/urls&gt;&lt;electronic-resource-num&gt;http://dx.doi.org/10.1080/02739615.2018.1510330&lt;/electronic-resource-num&gt;&lt;/record&gt;&lt;/Cite&gt;&lt;/EndNote&gt;</w:instrText>
              </w:r>
              <w:r w:rsidR="009821F7" w:rsidRPr="00721163">
                <w:fldChar w:fldCharType="separate"/>
              </w:r>
              <w:r w:rsidR="009821F7" w:rsidRPr="00721163">
                <w:rPr>
                  <w:noProof/>
                </w:rPr>
                <w:t>Peterson et al. (2019)</w:t>
              </w:r>
              <w:r w:rsidR="009821F7" w:rsidRPr="00721163">
                <w:fldChar w:fldCharType="end"/>
              </w:r>
            </w:hyperlink>
            <w:r w:rsidR="009821F7" w:rsidRPr="00721163">
              <w:t>*</w:t>
            </w:r>
          </w:p>
        </w:tc>
        <w:tc>
          <w:tcPr>
            <w:tcW w:w="313" w:type="pct"/>
          </w:tcPr>
          <w:p w14:paraId="77CA6393" w14:textId="77777777" w:rsidR="009821F7" w:rsidRPr="00721163" w:rsidRDefault="009821F7" w:rsidP="002236BD">
            <w:pPr>
              <w:pStyle w:val="TableText0"/>
              <w:keepNext w:val="0"/>
              <w:spacing w:before="0" w:after="0"/>
            </w:pPr>
            <w:r w:rsidRPr="00721163">
              <w:t>39</w:t>
            </w:r>
          </w:p>
        </w:tc>
        <w:tc>
          <w:tcPr>
            <w:tcW w:w="707" w:type="pct"/>
          </w:tcPr>
          <w:p w14:paraId="2A5AEBCD" w14:textId="77777777" w:rsidR="009821F7" w:rsidRPr="00721163" w:rsidRDefault="009821F7" w:rsidP="002236BD">
            <w:pPr>
              <w:pStyle w:val="TableText0"/>
              <w:keepNext w:val="0"/>
              <w:spacing w:before="0" w:after="0"/>
            </w:pPr>
            <w:r w:rsidRPr="00721163">
              <w:t>Retrospective comparative effectiveness</w:t>
            </w:r>
          </w:p>
          <w:p w14:paraId="7D14D270" w14:textId="77777777" w:rsidR="009821F7" w:rsidRPr="00721163" w:rsidRDefault="009821F7" w:rsidP="002236BD">
            <w:pPr>
              <w:pStyle w:val="TableText0"/>
              <w:keepNext w:val="0"/>
              <w:spacing w:before="0" w:after="0"/>
            </w:pPr>
            <w:r w:rsidRPr="00721163">
              <w:t>2010-2015</w:t>
            </w:r>
          </w:p>
        </w:tc>
        <w:tc>
          <w:tcPr>
            <w:tcW w:w="481" w:type="pct"/>
          </w:tcPr>
          <w:p w14:paraId="22DA1105" w14:textId="77777777" w:rsidR="009821F7" w:rsidRPr="00721163" w:rsidRDefault="009821F7" w:rsidP="002236BD">
            <w:pPr>
              <w:pStyle w:val="TableText0"/>
              <w:keepNext w:val="0"/>
              <w:spacing w:before="0" w:after="0"/>
            </w:pPr>
            <w:r w:rsidRPr="00721163">
              <w:t>High</w:t>
            </w:r>
          </w:p>
        </w:tc>
        <w:tc>
          <w:tcPr>
            <w:tcW w:w="1015" w:type="pct"/>
          </w:tcPr>
          <w:p w14:paraId="22CBA9E3" w14:textId="77777777" w:rsidR="009821F7" w:rsidRPr="00721163" w:rsidRDefault="009821F7" w:rsidP="002236BD">
            <w:pPr>
              <w:pStyle w:val="TableText0"/>
              <w:keepNext w:val="0"/>
              <w:spacing w:before="0" w:after="0"/>
              <w:rPr>
                <w:i/>
                <w:iCs/>
              </w:rPr>
            </w:pPr>
            <w:r w:rsidRPr="00721163">
              <w:rPr>
                <w:i/>
                <w:iCs/>
              </w:rPr>
              <w:t>Paediatric patients with brain tumours</w:t>
            </w:r>
          </w:p>
          <w:p w14:paraId="7A411E5C" w14:textId="77777777" w:rsidR="009821F7" w:rsidRPr="00721163" w:rsidRDefault="009821F7" w:rsidP="002236BD">
            <w:pPr>
              <w:pStyle w:val="TableText0"/>
              <w:keepNext w:val="0"/>
              <w:spacing w:before="0" w:after="0"/>
            </w:pPr>
          </w:p>
        </w:tc>
        <w:tc>
          <w:tcPr>
            <w:tcW w:w="1128" w:type="pct"/>
          </w:tcPr>
          <w:p w14:paraId="2F36B8C4" w14:textId="77777777" w:rsidR="009821F7" w:rsidRPr="00721163" w:rsidRDefault="009821F7" w:rsidP="002236BD">
            <w:pPr>
              <w:pStyle w:val="TableText0"/>
              <w:keepNext w:val="0"/>
              <w:spacing w:before="0" w:after="0"/>
            </w:pPr>
            <w:r w:rsidRPr="00721163">
              <w:t>Working memory, global IQ</w:t>
            </w:r>
          </w:p>
        </w:tc>
        <w:tc>
          <w:tcPr>
            <w:tcW w:w="730" w:type="pct"/>
          </w:tcPr>
          <w:p w14:paraId="615B0F18" w14:textId="77777777" w:rsidR="009821F7" w:rsidRPr="00F74E41" w:rsidRDefault="009821F7" w:rsidP="002236BD">
            <w:pPr>
              <w:pStyle w:val="TableText0"/>
              <w:keepNext w:val="0"/>
              <w:spacing w:before="0" w:after="0"/>
              <w:rPr>
                <w:i/>
              </w:rPr>
            </w:pPr>
            <w:r w:rsidRPr="00F74E41">
              <w:rPr>
                <w:i/>
              </w:rPr>
              <w:t>Not used</w:t>
            </w:r>
          </w:p>
        </w:tc>
      </w:tr>
      <w:tr w:rsidR="009821F7" w14:paraId="078B5C1E" w14:textId="77777777" w:rsidTr="009E589D">
        <w:tc>
          <w:tcPr>
            <w:tcW w:w="625" w:type="pct"/>
          </w:tcPr>
          <w:p w14:paraId="3CF84C5B" w14:textId="77777777" w:rsidR="009821F7" w:rsidRPr="00721163" w:rsidRDefault="00DD6551" w:rsidP="002236BD">
            <w:pPr>
              <w:pStyle w:val="TableText0"/>
              <w:keepNext w:val="0"/>
              <w:spacing w:before="0" w:after="0"/>
            </w:pPr>
            <w:hyperlink w:anchor="_ENREF_27" w:tooltip="Kahalley, 2020 #20" w:history="1">
              <w:r w:rsidR="009821F7" w:rsidRPr="00721163">
                <w:fldChar w:fldCharType="begin"/>
              </w:r>
              <w:r w:rsidR="009821F7" w:rsidRPr="00721163">
                <w:instrText xml:space="preserve"> ADDIN EN.CITE &lt;EndNote&gt;&lt;Cite AuthorYear="1"&gt;&lt;Author&gt;Kahalley&lt;/Author&gt;&lt;Year&gt;2020&lt;/Year&gt;&lt;RecNum&gt;20&lt;/RecNum&gt;&lt;DisplayText&gt;Kahalley et al. (2020)&lt;/DisplayText&gt;&lt;record&gt;&lt;rec-number&gt;20&lt;/rec-number&gt;&lt;foreign-keys&gt;&lt;key app="EN" db-id="exfrw2pee0v5z6evdr2xwspdfw0ezf5ttzwp" timestamp="1597622871"&gt;20&lt;/key&gt;&lt;/foreign-keys&gt;&lt;ref-type name="Journal Article"&gt;17&lt;/ref-type&gt;&lt;contributors&gt;&lt;authors&gt;&lt;author&gt;Kahalley, L. S.&lt;/author&gt;&lt;author&gt;Peterson, R.&lt;/author&gt;&lt;author&gt;Ris, M. D.&lt;/author&gt;&lt;author&gt;Janzen, L.&lt;/author&gt;&lt;author&gt;Okcu, M. F.&lt;/author&gt;&lt;author&gt;Grosshans, D. R.&lt;/author&gt;&lt;author&gt;Ramaswamy, V.&lt;/author&gt;&lt;author&gt;Paulino, A. C.&lt;/author&gt;&lt;author&gt;Hodgson, D.&lt;/author&gt;&lt;author&gt;Mahajan, A.&lt;/author&gt;&lt;author&gt;Tsang, D. S.&lt;/author&gt;&lt;author&gt;Laperriere, N.&lt;/author&gt;&lt;author&gt;Whitehead, W. E.&lt;/author&gt;&lt;author&gt;Dauser, R. C.&lt;/author&gt;&lt;author&gt;Taylor, M. D.&lt;/author&gt;&lt;author&gt;Conklin, H. M.&lt;/author&gt;&lt;author&gt;Chintagumpala, M.&lt;/author&gt;&lt;author&gt;Bouffet, E.&lt;/author&gt;&lt;author&gt;Mabbott, D.&lt;/author&gt;&lt;/authors&gt;&lt;/contributors&gt;&lt;titles&gt;&lt;title&gt;Superior Intellectual Outcomes After Proton Radiotherapy Compared With Photon Radiotherapy for Pediatric Medulloblastoma&lt;/title&gt;&lt;secondary-title&gt;J Clin Oncol&lt;/secondary-title&gt;&lt;/titles&gt;&lt;periodical&gt;&lt;full-title&gt;J Clin Oncol&lt;/full-title&gt;&lt;/periodical&gt;&lt;pages&gt;454-461&lt;/pages&gt;&lt;volume&gt;38&lt;/volume&gt;&lt;number&gt;5&lt;/number&gt;&lt;dates&gt;&lt;year&gt;2020&lt;/year&gt;&lt;/dates&gt;&lt;accession-num&gt;31774710&lt;/accession-num&gt;&lt;urls&gt;&lt;related-urls&gt;&lt;url&gt;http://ezproxy.library.usyd.edu.au/login?url=http://ovidsp.ovid.com/ovidweb.cgi?T=JS&amp;amp;CSC=Y&amp;amp;NEWS=N&amp;amp;PAGE=fulltext&amp;amp;D=prem&amp;amp;AN=31774710https://sydney.alma.exlibrisgroup.com/openurl/61USYD_INST/61USYD_INST:sydney?sid=OVID:medline&amp;amp;id=pmid:31774710&amp;amp;id=doi:10.1200&lt;/url&gt;&lt;/related-urls&gt;&lt;/urls&gt;&lt;electronic-resource-num&gt;https://dx.doi.org/10.1200/JCO.19.01706&lt;/electronic-resource-num&gt;&lt;/record&gt;&lt;/Cite&gt;&lt;/EndNote&gt;</w:instrText>
              </w:r>
              <w:r w:rsidR="009821F7" w:rsidRPr="00721163">
                <w:fldChar w:fldCharType="separate"/>
              </w:r>
              <w:r w:rsidR="009821F7" w:rsidRPr="00721163">
                <w:rPr>
                  <w:noProof/>
                </w:rPr>
                <w:t>Kahalley et al. (2020)</w:t>
              </w:r>
              <w:r w:rsidR="009821F7" w:rsidRPr="00721163">
                <w:fldChar w:fldCharType="end"/>
              </w:r>
            </w:hyperlink>
            <w:r w:rsidR="009821F7" w:rsidRPr="00721163">
              <w:t>*</w:t>
            </w:r>
          </w:p>
        </w:tc>
        <w:tc>
          <w:tcPr>
            <w:tcW w:w="313" w:type="pct"/>
          </w:tcPr>
          <w:p w14:paraId="1C96039F" w14:textId="77777777" w:rsidR="009821F7" w:rsidRPr="00721163" w:rsidRDefault="009821F7" w:rsidP="002236BD">
            <w:pPr>
              <w:pStyle w:val="TableText0"/>
              <w:keepNext w:val="0"/>
              <w:spacing w:before="0" w:after="0"/>
            </w:pPr>
            <w:r w:rsidRPr="00721163">
              <w:t>79</w:t>
            </w:r>
          </w:p>
        </w:tc>
        <w:tc>
          <w:tcPr>
            <w:tcW w:w="707" w:type="pct"/>
          </w:tcPr>
          <w:p w14:paraId="4215A5F5" w14:textId="77777777" w:rsidR="009821F7" w:rsidRPr="00721163" w:rsidRDefault="009821F7" w:rsidP="002236BD">
            <w:pPr>
              <w:pStyle w:val="TableText0"/>
              <w:keepNext w:val="0"/>
              <w:spacing w:before="0" w:after="0"/>
            </w:pPr>
            <w:r w:rsidRPr="00721163">
              <w:t xml:space="preserve">Longitudinal </w:t>
            </w:r>
            <w:r w:rsidRPr="00721163">
              <w:rPr>
                <w:i/>
              </w:rPr>
              <w:t>retrospective</w:t>
            </w:r>
            <w:r w:rsidRPr="00721163">
              <w:t xml:space="preserve"> comparative study</w:t>
            </w:r>
          </w:p>
          <w:p w14:paraId="538C6E83" w14:textId="77777777" w:rsidR="009821F7" w:rsidRPr="00721163" w:rsidRDefault="009821F7" w:rsidP="002236BD">
            <w:pPr>
              <w:pStyle w:val="TableText0"/>
              <w:keepNext w:val="0"/>
              <w:spacing w:before="0" w:after="0"/>
            </w:pPr>
            <w:r w:rsidRPr="00721163">
              <w:t>2007-2018</w:t>
            </w:r>
          </w:p>
        </w:tc>
        <w:tc>
          <w:tcPr>
            <w:tcW w:w="481" w:type="pct"/>
          </w:tcPr>
          <w:p w14:paraId="4D786E82" w14:textId="77777777" w:rsidR="009821F7" w:rsidRPr="00721163" w:rsidRDefault="009821F7" w:rsidP="002236BD">
            <w:pPr>
              <w:pStyle w:val="TableText0"/>
              <w:keepNext w:val="0"/>
              <w:spacing w:before="0" w:after="0"/>
            </w:pPr>
            <w:r w:rsidRPr="00721163">
              <w:t>High</w:t>
            </w:r>
          </w:p>
        </w:tc>
        <w:tc>
          <w:tcPr>
            <w:tcW w:w="1015" w:type="pct"/>
          </w:tcPr>
          <w:p w14:paraId="20343FAE" w14:textId="77777777" w:rsidR="009821F7" w:rsidRPr="00721163" w:rsidRDefault="009821F7" w:rsidP="002236BD">
            <w:pPr>
              <w:pStyle w:val="TableText0"/>
              <w:keepNext w:val="0"/>
              <w:spacing w:before="0" w:after="0"/>
            </w:pPr>
            <w:proofErr w:type="spellStart"/>
            <w:r w:rsidRPr="00721163">
              <w:t>Medulloblastoma</w:t>
            </w:r>
            <w:proofErr w:type="spellEnd"/>
          </w:p>
        </w:tc>
        <w:tc>
          <w:tcPr>
            <w:tcW w:w="1128" w:type="pct"/>
          </w:tcPr>
          <w:p w14:paraId="0F7BB082" w14:textId="77777777" w:rsidR="009821F7" w:rsidRPr="00721163" w:rsidRDefault="009821F7" w:rsidP="002236BD">
            <w:pPr>
              <w:pStyle w:val="TableText0"/>
              <w:keepNext w:val="0"/>
              <w:spacing w:before="0" w:after="0"/>
            </w:pPr>
            <w:r w:rsidRPr="00721163">
              <w:t>Global IQ, verbal reasoning, perceptual reasoning, working memory, processing speed</w:t>
            </w:r>
          </w:p>
        </w:tc>
        <w:tc>
          <w:tcPr>
            <w:tcW w:w="730" w:type="pct"/>
          </w:tcPr>
          <w:p w14:paraId="172F2AD8" w14:textId="77777777" w:rsidR="009821F7" w:rsidRPr="00B00726" w:rsidRDefault="009821F7" w:rsidP="002236BD">
            <w:pPr>
              <w:pStyle w:val="TableText0"/>
              <w:keepNext w:val="0"/>
              <w:spacing w:before="0" w:after="0"/>
              <w:rPr>
                <w:i/>
                <w:vertAlign w:val="superscript"/>
              </w:rPr>
            </w:pPr>
            <w:r w:rsidRPr="00F74E41">
              <w:rPr>
                <w:i/>
              </w:rPr>
              <w:t>Yes</w:t>
            </w:r>
            <w:r w:rsidRPr="00F74E41">
              <w:rPr>
                <w:i/>
                <w:vertAlign w:val="superscript"/>
              </w:rPr>
              <w:t>#</w:t>
            </w:r>
          </w:p>
        </w:tc>
      </w:tr>
      <w:tr w:rsidR="009821F7" w:rsidRPr="00C95E1A" w14:paraId="0526BE76" w14:textId="77777777" w:rsidTr="009E589D">
        <w:tc>
          <w:tcPr>
            <w:tcW w:w="625" w:type="pct"/>
          </w:tcPr>
          <w:p w14:paraId="08598E7E" w14:textId="77777777" w:rsidR="009821F7" w:rsidRPr="00721163" w:rsidRDefault="00DD6551" w:rsidP="002236BD">
            <w:pPr>
              <w:pStyle w:val="TableText0"/>
              <w:keepNext w:val="0"/>
              <w:spacing w:before="0" w:after="0"/>
              <w:rPr>
                <w:i/>
                <w:iCs/>
              </w:rPr>
            </w:pPr>
            <w:hyperlink w:anchor="_ENREF_21" w:tooltip="Gross, 2019 #28" w:history="1">
              <w:r w:rsidR="009821F7" w:rsidRPr="00721163">
                <w:rPr>
                  <w:i/>
                  <w:iCs/>
                </w:rPr>
                <w:fldChar w:fldCharType="begin"/>
              </w:r>
              <w:r w:rsidR="009821F7" w:rsidRPr="00721163">
                <w:rPr>
                  <w:i/>
                  <w:iCs/>
                </w:rPr>
                <w:instrText xml:space="preserve"> ADDIN EN.CITE &lt;EndNote&gt;&lt;Cite AuthorYear="1"&gt;&lt;Author&gt;Gross&lt;/Author&gt;&lt;Year&gt;2019&lt;/Year&gt;&lt;RecNum&gt;28&lt;/RecNum&gt;&lt;DisplayText&gt;Gross et al. (2019)&lt;/DisplayText&gt;&lt;record&gt;&lt;rec-number&gt;28&lt;/rec-number&gt;&lt;foreign-keys&gt;&lt;key app="EN" db-id="exfrw2pee0v5z6evdr2xwspdfw0ezf5ttzwp" timestamp="1597622886"&gt;28&lt;/key&gt;&lt;/foreign-keys&gt;&lt;ref-type name="Journal Article"&gt;17&lt;/ref-type&gt;&lt;contributors&gt;&lt;authors&gt;&lt;author&gt;Gross, J. P.&lt;/author&gt;&lt;author&gt;Powell, S.&lt;/author&gt;&lt;author&gt;Zelko, F.&lt;/author&gt;&lt;author&gt;Hartsell, W.&lt;/author&gt;&lt;author&gt;Goldman, S.&lt;/author&gt;&lt;author&gt;Fangusaro, J.&lt;/author&gt;&lt;author&gt;Lulla, R. R.&lt;/author&gt;&lt;author&gt;Smiley, N. P.&lt;/author&gt;&lt;author&gt;Chang, J. H.&lt;/author&gt;&lt;author&gt;Gondi, V.&lt;/author&gt;&lt;/authors&gt;&lt;/contributors&gt;&lt;titles&gt;&lt;title&gt;Improved neuropsychological outcomes following proton therapy relative to X-ray therapy for pediatric brain tumor patients&lt;/title&gt;&lt;secondary-title&gt;Neuro-oncol&lt;/secondary-title&gt;&lt;/titles&gt;&lt;periodical&gt;&lt;full-title&gt;Neuro-oncol&lt;/full-title&gt;&lt;/periodical&gt;&lt;pages&gt;934-943&lt;/pages&gt;&lt;volume&gt;21&lt;/volume&gt;&lt;number&gt;7&lt;/number&gt;&lt;dates&gt;&lt;year&gt;2019&lt;/year&gt;&lt;/dates&gt;&lt;accession-num&gt;30997512&lt;/accession-num&gt;&lt;urls&gt;&lt;related-urls&gt;&lt;url&gt;http://ezproxy.library.usyd.edu.au/login?url=http://ovidsp.ovid.com/ovidweb.cgi?T=JS&amp;amp;CSC=Y&amp;amp;NEWS=N&amp;amp;PAGE=fulltext&amp;amp;D=prem&amp;amp;AN=30997512https://sydney.alma.exlibrisgroup.com/openurl/61USYD_INST/61USYD_INST:sydney?sid=OVID:medline&amp;amp;id=pmid:30997512&amp;amp;id=doi:10.1093&lt;/url&gt;&lt;url&gt;https://www.ncbi.nlm.nih.gov/pmc/articles/PMC6620628/pdf/noz070.pdf&lt;/url&gt;&lt;/related-urls&gt;&lt;/urls&gt;&lt;electronic-resource-num&gt;https://dx.doi.org/10.1093/neuonc/noz070&lt;/electronic-resource-num&gt;&lt;/record&gt;&lt;/Cite&gt;&lt;/EndNote&gt;</w:instrText>
              </w:r>
              <w:r w:rsidR="009821F7" w:rsidRPr="00721163">
                <w:rPr>
                  <w:i/>
                  <w:iCs/>
                </w:rPr>
                <w:fldChar w:fldCharType="separate"/>
              </w:r>
              <w:r w:rsidR="009821F7" w:rsidRPr="00721163">
                <w:rPr>
                  <w:i/>
                  <w:iCs/>
                  <w:noProof/>
                </w:rPr>
                <w:t>Gross et al. (2019)</w:t>
              </w:r>
              <w:r w:rsidR="009821F7" w:rsidRPr="00721163">
                <w:rPr>
                  <w:i/>
                  <w:iCs/>
                </w:rPr>
                <w:fldChar w:fldCharType="end"/>
              </w:r>
            </w:hyperlink>
            <w:r w:rsidR="009821F7" w:rsidRPr="00721163">
              <w:rPr>
                <w:i/>
                <w:iCs/>
              </w:rPr>
              <w:t>*</w:t>
            </w:r>
          </w:p>
        </w:tc>
        <w:tc>
          <w:tcPr>
            <w:tcW w:w="313" w:type="pct"/>
          </w:tcPr>
          <w:p w14:paraId="6EBC35F6" w14:textId="77777777" w:rsidR="009821F7" w:rsidRPr="00721163" w:rsidRDefault="009821F7" w:rsidP="002236BD">
            <w:pPr>
              <w:pStyle w:val="TableText0"/>
              <w:keepNext w:val="0"/>
              <w:spacing w:before="0" w:after="0"/>
              <w:rPr>
                <w:i/>
                <w:iCs/>
              </w:rPr>
            </w:pPr>
            <w:r w:rsidRPr="00721163">
              <w:rPr>
                <w:i/>
                <w:iCs/>
              </w:rPr>
              <w:t>125</w:t>
            </w:r>
          </w:p>
        </w:tc>
        <w:tc>
          <w:tcPr>
            <w:tcW w:w="707" w:type="pct"/>
          </w:tcPr>
          <w:p w14:paraId="456F156E" w14:textId="77777777" w:rsidR="009821F7" w:rsidRPr="00721163" w:rsidRDefault="009821F7" w:rsidP="002236BD">
            <w:pPr>
              <w:pStyle w:val="TableText0"/>
              <w:keepNext w:val="0"/>
              <w:spacing w:before="0" w:after="0"/>
              <w:rPr>
                <w:i/>
                <w:iCs/>
              </w:rPr>
            </w:pPr>
            <w:r w:rsidRPr="00721163">
              <w:rPr>
                <w:i/>
                <w:iCs/>
              </w:rPr>
              <w:t>Retrospective comparative study</w:t>
            </w:r>
          </w:p>
          <w:p w14:paraId="5195E890" w14:textId="77777777" w:rsidR="009821F7" w:rsidRPr="00721163" w:rsidRDefault="009821F7" w:rsidP="002236BD">
            <w:pPr>
              <w:pStyle w:val="TableText0"/>
              <w:keepNext w:val="0"/>
              <w:spacing w:before="0" w:after="0"/>
              <w:rPr>
                <w:i/>
                <w:iCs/>
              </w:rPr>
            </w:pPr>
            <w:r w:rsidRPr="00721163">
              <w:rPr>
                <w:i/>
                <w:iCs/>
              </w:rPr>
              <w:t>1998-2017</w:t>
            </w:r>
          </w:p>
        </w:tc>
        <w:tc>
          <w:tcPr>
            <w:tcW w:w="481" w:type="pct"/>
          </w:tcPr>
          <w:p w14:paraId="7F07C0B6" w14:textId="77777777" w:rsidR="009821F7" w:rsidRPr="00721163" w:rsidRDefault="009821F7" w:rsidP="002236BD">
            <w:pPr>
              <w:pStyle w:val="TableText0"/>
              <w:keepNext w:val="0"/>
              <w:spacing w:before="0" w:after="0"/>
              <w:rPr>
                <w:i/>
                <w:iCs/>
              </w:rPr>
            </w:pPr>
            <w:r w:rsidRPr="00721163">
              <w:rPr>
                <w:i/>
                <w:iCs/>
              </w:rPr>
              <w:t>High</w:t>
            </w:r>
          </w:p>
        </w:tc>
        <w:tc>
          <w:tcPr>
            <w:tcW w:w="1015" w:type="pct"/>
          </w:tcPr>
          <w:p w14:paraId="6779159A" w14:textId="77777777" w:rsidR="009821F7" w:rsidRPr="00721163" w:rsidRDefault="009821F7" w:rsidP="002236BD">
            <w:pPr>
              <w:pStyle w:val="TableText0"/>
              <w:keepNext w:val="0"/>
              <w:spacing w:before="0" w:after="0"/>
              <w:rPr>
                <w:i/>
                <w:iCs/>
              </w:rPr>
            </w:pPr>
            <w:r w:rsidRPr="00721163">
              <w:rPr>
                <w:i/>
                <w:iCs/>
              </w:rPr>
              <w:t>Brain tumours</w:t>
            </w:r>
          </w:p>
        </w:tc>
        <w:tc>
          <w:tcPr>
            <w:tcW w:w="1128" w:type="pct"/>
          </w:tcPr>
          <w:p w14:paraId="2B3EAF28" w14:textId="77777777" w:rsidR="009821F7" w:rsidRPr="00721163" w:rsidRDefault="009821F7" w:rsidP="002236BD">
            <w:pPr>
              <w:pStyle w:val="TableText0"/>
              <w:keepNext w:val="0"/>
              <w:spacing w:before="0" w:after="0"/>
              <w:rPr>
                <w:i/>
                <w:iCs/>
              </w:rPr>
            </w:pPr>
            <w:r w:rsidRPr="00721163">
              <w:rPr>
                <w:i/>
                <w:iCs/>
              </w:rPr>
              <w:t>Neuropsychological outcomes (IQ, attention, memory, visuographic skills, academic skills and parent-reported adaptive functioning</w:t>
            </w:r>
          </w:p>
        </w:tc>
        <w:tc>
          <w:tcPr>
            <w:tcW w:w="730" w:type="pct"/>
          </w:tcPr>
          <w:p w14:paraId="1ED24ED3" w14:textId="77777777" w:rsidR="009821F7" w:rsidRPr="00F74E41" w:rsidRDefault="009821F7" w:rsidP="002236BD">
            <w:pPr>
              <w:pStyle w:val="TableText0"/>
              <w:keepNext w:val="0"/>
              <w:spacing w:before="0" w:after="0"/>
              <w:rPr>
                <w:i/>
                <w:iCs/>
              </w:rPr>
            </w:pPr>
            <w:r w:rsidRPr="00F74E41">
              <w:rPr>
                <w:i/>
                <w:iCs/>
              </w:rPr>
              <w:t>Not used</w:t>
            </w:r>
          </w:p>
        </w:tc>
      </w:tr>
      <w:tr w:rsidR="009821F7" w:rsidRPr="00C95E1A" w14:paraId="7D1F7FE3" w14:textId="77777777" w:rsidTr="009E589D">
        <w:tc>
          <w:tcPr>
            <w:tcW w:w="625" w:type="pct"/>
          </w:tcPr>
          <w:p w14:paraId="3A65651F" w14:textId="77777777" w:rsidR="009821F7" w:rsidRPr="00721163" w:rsidRDefault="00DD6551" w:rsidP="002236BD">
            <w:pPr>
              <w:pStyle w:val="TableText0"/>
              <w:keepNext w:val="0"/>
              <w:spacing w:before="0" w:after="0"/>
              <w:rPr>
                <w:i/>
                <w:iCs/>
              </w:rPr>
            </w:pPr>
            <w:hyperlink w:anchor="_ENREF_31" w:tooltip="Ludmir, 2019 #29" w:history="1">
              <w:r w:rsidR="009821F7" w:rsidRPr="00721163">
                <w:rPr>
                  <w:i/>
                  <w:iCs/>
                </w:rPr>
                <w:fldChar w:fldCharType="begin"/>
              </w:r>
              <w:r w:rsidR="009821F7" w:rsidRPr="00721163">
                <w:rPr>
                  <w:i/>
                  <w:iCs/>
                </w:rPr>
                <w:instrText xml:space="preserve"> ADDIN EN.CITE &lt;EndNote&gt;&lt;Cite AuthorYear="1"&gt;&lt;Author&gt;Ludmir&lt;/Author&gt;&lt;Year&gt;2019&lt;/Year&gt;&lt;RecNum&gt;29&lt;/RecNum&gt;&lt;DisplayText&gt;Ludmir et al. (2019)&lt;/DisplayText&gt;&lt;record&gt;&lt;rec-number&gt;29&lt;/rec-number&gt;&lt;foreign-keys&gt;&lt;key app="EN" db-id="exfrw2pee0v5z6evdr2xwspdfw0ezf5ttzwp" timestamp="1597622886"&gt;29&lt;/key&gt;&lt;/foreign-keys&gt;&lt;ref-type name="Journal Article"&gt;17&lt;/ref-type&gt;&lt;contributors&gt;&lt;authors&gt;&lt;author&gt;Ludmir, E. B.&lt;/author&gt;&lt;author&gt;Mahajan, A.&lt;/author&gt;&lt;author&gt;Paulino, A. C.&lt;/author&gt;&lt;author&gt;Jones, J. Y.&lt;/author&gt;&lt;author&gt;Ketonen, L. M.&lt;/author&gt;&lt;author&gt;Su, J. M.&lt;/author&gt;&lt;author&gt;Grosshans, D. R.&lt;/author&gt;&lt;author&gt;McAleer, M. F.&lt;/author&gt;&lt;author&gt;McGovern, S. L.&lt;/author&gt;&lt;author&gt;Lassen-Ramshad, Y. A.&lt;/author&gt;&lt;author&gt;Adesina, A. M.&lt;/author&gt;&lt;author&gt;Dauser, R. C.&lt;/author&gt;&lt;author&gt;Weinberg, J. S.&lt;/author&gt;&lt;author&gt;Chintagumpala, M. M.&lt;/author&gt;&lt;/authors&gt;&lt;/contributors&gt;&lt;titles&gt;&lt;title&gt;Increased risk of pseudoprogression among pediatric low-grade glioma patients treated with proton versus photon radiotherapy&lt;/title&gt;&lt;secondary-title&gt;Neuro-Oncology&lt;/secondary-title&gt;&lt;/titles&gt;&lt;periodical&gt;&lt;full-title&gt;Neuro-Oncology&lt;/full-title&gt;&lt;/periodical&gt;&lt;pages&gt;686-695&lt;/pages&gt;&lt;volume&gt;21&lt;/volume&gt;&lt;number&gt;5&lt;/number&gt;&lt;dates&gt;&lt;year&gt;2019&lt;/year&gt;&lt;/dates&gt;&lt;accession-num&gt;628224896&lt;/accession-num&gt;&lt;urls&gt;&lt;related-urls&gt;&lt;url&gt;http://neuro-oncology.oxfordjournals.org/current.dtlhttp://ezproxy.library.usyd.edu.au/login?url=http://ovidsp.ovid.com/ovidweb.cgi?T=JS&amp;amp;CSC=Y&amp;amp;NEWS=N&amp;amp;PAGE=fulltext&amp;amp;D=emexa&amp;amp;AN=628224896https://sydney.alma.exlibrisgroup.com/openurl/61USYD_INST/61USYD_INST:s&lt;/url&gt;&lt;url&gt;https://www.ncbi.nlm.nih.gov/pmc/articles/PMC6502497/pdf/noz042.pdf&lt;/url&gt;&lt;/related-urls&gt;&lt;/urls&gt;&lt;electronic-resource-num&gt;http://dx.doi.org/10.1093/neuonc/noz042&lt;/electronic-resource-num&gt;&lt;/record&gt;&lt;/Cite&gt;&lt;/EndNote&gt;</w:instrText>
              </w:r>
              <w:r w:rsidR="009821F7" w:rsidRPr="00721163">
                <w:rPr>
                  <w:i/>
                  <w:iCs/>
                </w:rPr>
                <w:fldChar w:fldCharType="separate"/>
              </w:r>
              <w:r w:rsidR="009821F7" w:rsidRPr="00721163">
                <w:rPr>
                  <w:i/>
                  <w:iCs/>
                  <w:noProof/>
                </w:rPr>
                <w:t>Ludmir et al. (2019)</w:t>
              </w:r>
              <w:r w:rsidR="009821F7" w:rsidRPr="00721163">
                <w:rPr>
                  <w:i/>
                  <w:iCs/>
                </w:rPr>
                <w:fldChar w:fldCharType="end"/>
              </w:r>
            </w:hyperlink>
            <w:r w:rsidR="009821F7" w:rsidRPr="00721163">
              <w:rPr>
                <w:i/>
                <w:iCs/>
              </w:rPr>
              <w:t>*</w:t>
            </w:r>
          </w:p>
        </w:tc>
        <w:tc>
          <w:tcPr>
            <w:tcW w:w="313" w:type="pct"/>
          </w:tcPr>
          <w:p w14:paraId="5EE52F33" w14:textId="77777777" w:rsidR="009821F7" w:rsidRPr="00721163" w:rsidRDefault="009821F7" w:rsidP="002236BD">
            <w:pPr>
              <w:pStyle w:val="TableText0"/>
              <w:keepNext w:val="0"/>
              <w:spacing w:before="0" w:after="0"/>
              <w:rPr>
                <w:i/>
                <w:iCs/>
              </w:rPr>
            </w:pPr>
            <w:r w:rsidRPr="00721163">
              <w:rPr>
                <w:i/>
                <w:iCs/>
              </w:rPr>
              <w:t>83</w:t>
            </w:r>
          </w:p>
        </w:tc>
        <w:tc>
          <w:tcPr>
            <w:tcW w:w="707" w:type="pct"/>
          </w:tcPr>
          <w:p w14:paraId="1950A8AC" w14:textId="77777777" w:rsidR="009821F7" w:rsidRPr="00721163" w:rsidRDefault="009821F7" w:rsidP="002236BD">
            <w:pPr>
              <w:pStyle w:val="TableText0"/>
              <w:keepNext w:val="0"/>
              <w:spacing w:before="0" w:after="0"/>
              <w:rPr>
                <w:i/>
                <w:iCs/>
              </w:rPr>
            </w:pPr>
            <w:r w:rsidRPr="00721163">
              <w:rPr>
                <w:i/>
                <w:iCs/>
              </w:rPr>
              <w:t>Retrospective comparative study</w:t>
            </w:r>
          </w:p>
          <w:p w14:paraId="46638C9A" w14:textId="77777777" w:rsidR="009821F7" w:rsidRPr="00721163" w:rsidRDefault="009821F7" w:rsidP="002236BD">
            <w:pPr>
              <w:pStyle w:val="TableText0"/>
              <w:keepNext w:val="0"/>
              <w:spacing w:before="0" w:after="0"/>
              <w:rPr>
                <w:i/>
                <w:iCs/>
              </w:rPr>
            </w:pPr>
            <w:r w:rsidRPr="00721163">
              <w:rPr>
                <w:i/>
                <w:iCs/>
              </w:rPr>
              <w:t>1998-2017</w:t>
            </w:r>
          </w:p>
        </w:tc>
        <w:tc>
          <w:tcPr>
            <w:tcW w:w="481" w:type="pct"/>
          </w:tcPr>
          <w:p w14:paraId="7415B9AC" w14:textId="77777777" w:rsidR="009821F7" w:rsidRPr="00721163" w:rsidRDefault="009821F7" w:rsidP="002236BD">
            <w:pPr>
              <w:pStyle w:val="TableText0"/>
              <w:keepNext w:val="0"/>
              <w:spacing w:before="0" w:after="0"/>
              <w:rPr>
                <w:i/>
                <w:iCs/>
              </w:rPr>
            </w:pPr>
            <w:r w:rsidRPr="00721163">
              <w:rPr>
                <w:i/>
                <w:iCs/>
              </w:rPr>
              <w:t>High</w:t>
            </w:r>
          </w:p>
        </w:tc>
        <w:tc>
          <w:tcPr>
            <w:tcW w:w="1015" w:type="pct"/>
          </w:tcPr>
          <w:p w14:paraId="0080F180" w14:textId="77777777" w:rsidR="009821F7" w:rsidRPr="00721163" w:rsidRDefault="009821F7" w:rsidP="002236BD">
            <w:pPr>
              <w:pStyle w:val="TableText0"/>
              <w:keepNext w:val="0"/>
              <w:spacing w:before="0" w:after="0"/>
              <w:rPr>
                <w:i/>
                <w:iCs/>
              </w:rPr>
            </w:pPr>
            <w:r w:rsidRPr="00721163">
              <w:rPr>
                <w:i/>
                <w:iCs/>
              </w:rPr>
              <w:t>Low grade glioma</w:t>
            </w:r>
          </w:p>
        </w:tc>
        <w:tc>
          <w:tcPr>
            <w:tcW w:w="1128" w:type="pct"/>
          </w:tcPr>
          <w:p w14:paraId="6DBD7245" w14:textId="77777777" w:rsidR="009821F7" w:rsidRPr="00721163" w:rsidRDefault="009821F7" w:rsidP="002236BD">
            <w:pPr>
              <w:pStyle w:val="TableText0"/>
              <w:keepNext w:val="0"/>
              <w:spacing w:before="0" w:after="0"/>
              <w:rPr>
                <w:i/>
                <w:iCs/>
              </w:rPr>
            </w:pPr>
            <w:r w:rsidRPr="00721163">
              <w:rPr>
                <w:i/>
                <w:iCs/>
              </w:rPr>
              <w:t>Local failure, local control</w:t>
            </w:r>
          </w:p>
        </w:tc>
        <w:tc>
          <w:tcPr>
            <w:tcW w:w="730" w:type="pct"/>
          </w:tcPr>
          <w:p w14:paraId="17D5B8CE" w14:textId="77777777" w:rsidR="009821F7" w:rsidRPr="00F74E41" w:rsidRDefault="009821F7" w:rsidP="002236BD">
            <w:pPr>
              <w:pStyle w:val="TableText0"/>
              <w:keepNext w:val="0"/>
              <w:spacing w:before="0" w:after="0"/>
              <w:rPr>
                <w:i/>
                <w:iCs/>
              </w:rPr>
            </w:pPr>
            <w:r w:rsidRPr="00F74E41">
              <w:rPr>
                <w:i/>
                <w:iCs/>
              </w:rPr>
              <w:t>Not used</w:t>
            </w:r>
          </w:p>
        </w:tc>
      </w:tr>
      <w:tr w:rsidR="009821F7" w:rsidRPr="00C95E1A" w14:paraId="1A6DC304" w14:textId="77777777" w:rsidTr="009E589D">
        <w:tc>
          <w:tcPr>
            <w:tcW w:w="625" w:type="pct"/>
          </w:tcPr>
          <w:p w14:paraId="3C7A2B7D" w14:textId="77777777" w:rsidR="009821F7" w:rsidRPr="00721163" w:rsidRDefault="00DD6551" w:rsidP="002236BD">
            <w:pPr>
              <w:pStyle w:val="TableText0"/>
              <w:keepNext w:val="0"/>
              <w:spacing w:before="0" w:after="0"/>
              <w:rPr>
                <w:i/>
                <w:iCs/>
              </w:rPr>
            </w:pPr>
            <w:hyperlink w:anchor="_ENREF_39" w:tooltip="Muroi, 2020 #30" w:history="1">
              <w:r w:rsidR="009821F7" w:rsidRPr="00721163">
                <w:rPr>
                  <w:i/>
                  <w:iCs/>
                </w:rPr>
                <w:fldChar w:fldCharType="begin"/>
              </w:r>
              <w:r w:rsidR="009821F7" w:rsidRPr="00721163">
                <w:rPr>
                  <w:i/>
                  <w:iCs/>
                </w:rPr>
                <w:instrText xml:space="preserve"> ADDIN EN.CITE &lt;EndNote&gt;&lt;Cite AuthorYear="1"&gt;&lt;Author&gt;Muroi&lt;/Author&gt;&lt;Year&gt;2020&lt;/Year&gt;&lt;RecNum&gt;30&lt;/RecNum&gt;&lt;DisplayText&gt;Muroi et al. (2020)&lt;/DisplayText&gt;&lt;record&gt;&lt;rec-number&gt;30&lt;/rec-number&gt;&lt;foreign-keys&gt;&lt;key app="EN" db-id="exfrw2pee0v5z6evdr2xwspdfw0ezf5ttzwp" timestamp="1597622886"&gt;30&lt;/key&gt;&lt;/foreign-keys&gt;&lt;ref-type name="Journal Article"&gt;17&lt;/ref-type&gt;&lt;contributors&gt;&lt;authors&gt;&lt;author&gt;Muroi, A.&lt;/author&gt;&lt;author&gt;Mizumoto, M.&lt;/author&gt;&lt;author&gt;Ishikawa, E.&lt;/author&gt;&lt;author&gt;Ihara, S.&lt;/author&gt;&lt;author&gt;Fukushima, H.&lt;/author&gt;&lt;author&gt;Tsurubuchi, T.&lt;/author&gt;&lt;author&gt;Sakurai, H.&lt;/author&gt;&lt;author&gt;Matsumura, A.&lt;/author&gt;&lt;/authors&gt;&lt;/contributors&gt;&lt;titles&gt;&lt;title&gt;Proton therapy for newly diagnosed pediatric diffuse intrinsic pontine glioma&lt;/title&gt;&lt;secondary-title&gt;Childs Nerv Syst&lt;/secondary-title&gt;&lt;/titles&gt;&lt;periodical&gt;&lt;full-title&gt;Childs Nerv Syst&lt;/full-title&gt;&lt;/periodical&gt;&lt;pages&gt;507-512&lt;/pages&gt;&lt;volume&gt;36&lt;/volume&gt;&lt;number&gt;3&lt;/number&gt;&lt;dates&gt;&lt;year&gt;2020&lt;/year&gt;&lt;/dates&gt;&lt;accession-num&gt;31728705&lt;/accession-num&gt;&lt;urls&gt;&lt;related-urls&gt;&lt;url&gt;http://ezproxy.library.usyd.edu.au/login?url=http://ovidsp.ovid.com/ovidweb.cgi?T=JS&amp;amp;CSC=Y&amp;amp;NEWS=N&amp;amp;PAGE=fulltext&amp;amp;D=prem&amp;amp;AN=31728705https://sydney.alma.exlibrisgroup.com/openurl/61USYD_INST/61USYD_INST:sydney?sid=OVID:medline&amp;amp;id=pmid:31728705&amp;amp;id=doi:10.1007&lt;/url&gt;&lt;url&gt;https://link.springer.com/content/pdf/10.1007/s00381-019-04420-9.pdf&lt;/url&gt;&lt;/related-urls&gt;&lt;/urls&gt;&lt;electronic-resource-num&gt;https://dx.doi.org/10.1007/s00381-019-04420-9&lt;/electronic-resource-num&gt;&lt;/record&gt;&lt;/Cite&gt;&lt;/EndNote&gt;</w:instrText>
              </w:r>
              <w:r w:rsidR="009821F7" w:rsidRPr="00721163">
                <w:rPr>
                  <w:i/>
                  <w:iCs/>
                </w:rPr>
                <w:fldChar w:fldCharType="separate"/>
              </w:r>
              <w:r w:rsidR="009821F7" w:rsidRPr="00721163">
                <w:rPr>
                  <w:i/>
                  <w:iCs/>
                  <w:noProof/>
                </w:rPr>
                <w:t>Muroi et al. (2020)</w:t>
              </w:r>
              <w:r w:rsidR="009821F7" w:rsidRPr="00721163">
                <w:rPr>
                  <w:i/>
                  <w:iCs/>
                </w:rPr>
                <w:fldChar w:fldCharType="end"/>
              </w:r>
            </w:hyperlink>
            <w:r w:rsidR="009821F7" w:rsidRPr="00721163">
              <w:rPr>
                <w:i/>
                <w:iCs/>
              </w:rPr>
              <w:t>*</w:t>
            </w:r>
          </w:p>
        </w:tc>
        <w:tc>
          <w:tcPr>
            <w:tcW w:w="313" w:type="pct"/>
          </w:tcPr>
          <w:p w14:paraId="35E33659" w14:textId="77777777" w:rsidR="009821F7" w:rsidRPr="00721163" w:rsidRDefault="009821F7" w:rsidP="002236BD">
            <w:pPr>
              <w:pStyle w:val="TableText0"/>
              <w:keepNext w:val="0"/>
              <w:spacing w:before="0" w:after="0"/>
              <w:rPr>
                <w:i/>
                <w:iCs/>
              </w:rPr>
            </w:pPr>
            <w:r w:rsidRPr="00721163">
              <w:rPr>
                <w:i/>
                <w:iCs/>
              </w:rPr>
              <w:t>22</w:t>
            </w:r>
          </w:p>
        </w:tc>
        <w:tc>
          <w:tcPr>
            <w:tcW w:w="707" w:type="pct"/>
          </w:tcPr>
          <w:p w14:paraId="68A8C94C" w14:textId="77777777" w:rsidR="009821F7" w:rsidRPr="00721163" w:rsidRDefault="009821F7" w:rsidP="002236BD">
            <w:pPr>
              <w:pStyle w:val="TableText0"/>
              <w:keepNext w:val="0"/>
              <w:spacing w:before="0" w:after="0"/>
              <w:rPr>
                <w:i/>
                <w:iCs/>
              </w:rPr>
            </w:pPr>
            <w:r w:rsidRPr="00721163">
              <w:rPr>
                <w:i/>
                <w:iCs/>
              </w:rPr>
              <w:t>Retrospective comparative study</w:t>
            </w:r>
          </w:p>
          <w:p w14:paraId="2E3F6810" w14:textId="77777777" w:rsidR="009821F7" w:rsidRPr="00721163" w:rsidRDefault="009821F7" w:rsidP="002236BD">
            <w:pPr>
              <w:pStyle w:val="TableText0"/>
              <w:keepNext w:val="0"/>
              <w:spacing w:before="0" w:after="0"/>
              <w:rPr>
                <w:i/>
                <w:iCs/>
              </w:rPr>
            </w:pPr>
            <w:r w:rsidRPr="00721163">
              <w:rPr>
                <w:i/>
                <w:iCs/>
              </w:rPr>
              <w:t>2011-2017 (proton)</w:t>
            </w:r>
          </w:p>
          <w:p w14:paraId="51880687" w14:textId="77777777" w:rsidR="009821F7" w:rsidRPr="00721163" w:rsidRDefault="009821F7" w:rsidP="002236BD">
            <w:pPr>
              <w:pStyle w:val="TableText0"/>
              <w:keepNext w:val="0"/>
              <w:spacing w:before="0" w:after="0"/>
              <w:rPr>
                <w:i/>
                <w:iCs/>
              </w:rPr>
            </w:pPr>
            <w:r w:rsidRPr="00721163">
              <w:rPr>
                <w:i/>
                <w:iCs/>
              </w:rPr>
              <w:t>1984-2004 (photon)</w:t>
            </w:r>
          </w:p>
        </w:tc>
        <w:tc>
          <w:tcPr>
            <w:tcW w:w="481" w:type="pct"/>
          </w:tcPr>
          <w:p w14:paraId="6A6F4547" w14:textId="77777777" w:rsidR="009821F7" w:rsidRPr="00721163" w:rsidRDefault="009821F7" w:rsidP="002236BD">
            <w:pPr>
              <w:pStyle w:val="TableText0"/>
              <w:keepNext w:val="0"/>
              <w:spacing w:before="0" w:after="0"/>
              <w:rPr>
                <w:i/>
                <w:iCs/>
              </w:rPr>
            </w:pPr>
            <w:r w:rsidRPr="00721163">
              <w:rPr>
                <w:i/>
                <w:iCs/>
              </w:rPr>
              <w:t>High</w:t>
            </w:r>
          </w:p>
        </w:tc>
        <w:tc>
          <w:tcPr>
            <w:tcW w:w="1015" w:type="pct"/>
          </w:tcPr>
          <w:p w14:paraId="49C1A5A2" w14:textId="77777777" w:rsidR="009821F7" w:rsidRPr="00721163" w:rsidRDefault="009821F7" w:rsidP="002236BD">
            <w:pPr>
              <w:pStyle w:val="TableText0"/>
              <w:keepNext w:val="0"/>
              <w:spacing w:before="0" w:after="0"/>
              <w:rPr>
                <w:i/>
                <w:iCs/>
              </w:rPr>
            </w:pPr>
            <w:r w:rsidRPr="00721163">
              <w:rPr>
                <w:i/>
                <w:iCs/>
              </w:rPr>
              <w:t>Diffuse intrinsic pontine glioma</w:t>
            </w:r>
          </w:p>
        </w:tc>
        <w:tc>
          <w:tcPr>
            <w:tcW w:w="1128" w:type="pct"/>
          </w:tcPr>
          <w:p w14:paraId="24FC26D3" w14:textId="77777777" w:rsidR="009821F7" w:rsidRPr="00721163" w:rsidRDefault="009821F7" w:rsidP="002236BD">
            <w:pPr>
              <w:pStyle w:val="TableText0"/>
              <w:keepNext w:val="0"/>
              <w:spacing w:before="0" w:after="0"/>
              <w:rPr>
                <w:i/>
                <w:iCs/>
              </w:rPr>
            </w:pPr>
            <w:r w:rsidRPr="00721163">
              <w:rPr>
                <w:i/>
                <w:iCs/>
              </w:rPr>
              <w:t>OS, PFS</w:t>
            </w:r>
          </w:p>
        </w:tc>
        <w:tc>
          <w:tcPr>
            <w:tcW w:w="730" w:type="pct"/>
          </w:tcPr>
          <w:p w14:paraId="786A2080" w14:textId="77777777" w:rsidR="009821F7" w:rsidRPr="00F74E41" w:rsidRDefault="009821F7" w:rsidP="002236BD">
            <w:pPr>
              <w:pStyle w:val="TableText0"/>
              <w:keepNext w:val="0"/>
              <w:spacing w:before="0" w:after="0"/>
              <w:rPr>
                <w:i/>
                <w:iCs/>
              </w:rPr>
            </w:pPr>
            <w:r w:rsidRPr="00F74E41">
              <w:rPr>
                <w:i/>
                <w:iCs/>
              </w:rPr>
              <w:t>Not used</w:t>
            </w:r>
          </w:p>
        </w:tc>
      </w:tr>
    </w:tbl>
    <w:p w14:paraId="7FDF354F" w14:textId="77777777" w:rsidR="009821F7" w:rsidRDefault="009821F7" w:rsidP="00654AB1">
      <w:pPr>
        <w:pStyle w:val="Tablenotes"/>
      </w:pPr>
      <w:r w:rsidRPr="00745471">
        <w:t xml:space="preserve">Source: </w:t>
      </w:r>
      <w:r>
        <w:t>Table 20, p23 of the commentary.</w:t>
      </w:r>
    </w:p>
    <w:p w14:paraId="310D1521" w14:textId="77777777" w:rsidR="009821F7" w:rsidRPr="006D080C" w:rsidRDefault="009821F7" w:rsidP="00654AB1">
      <w:pPr>
        <w:pStyle w:val="Tablenotes"/>
      </w:pPr>
      <w:r>
        <w:t xml:space="preserve">Strikethrough indicates that the commentary did not consider the study to be eligible for inclusion: </w:t>
      </w:r>
      <w:r w:rsidRPr="0014084D">
        <w:t>Grant et al. (2015) for wrong population (salivary gland tumours) and Hashimoto et al. (2019) for the wrong population in the comparator arm (most patients aged over 24 years).</w:t>
      </w:r>
    </w:p>
    <w:p w14:paraId="5DF06F86" w14:textId="77777777" w:rsidR="009821F7" w:rsidRDefault="009821F7" w:rsidP="00654AB1">
      <w:pPr>
        <w:pStyle w:val="Tablenotes"/>
      </w:pPr>
      <w:r>
        <w:t>Studies in italics have been identified through the independent search conducted as part of the commentary.</w:t>
      </w:r>
    </w:p>
    <w:p w14:paraId="6BF34E08" w14:textId="77777777" w:rsidR="009821F7" w:rsidRDefault="009821F7" w:rsidP="00654AB1">
      <w:pPr>
        <w:pStyle w:val="Tablenotes"/>
        <w:rPr>
          <w:vertAlign w:val="superscript"/>
        </w:rPr>
      </w:pPr>
      <w:r>
        <w:t>*New studies not considered in the MSAC application 1455</w:t>
      </w:r>
    </w:p>
    <w:p w14:paraId="70056763" w14:textId="77777777" w:rsidR="009821F7" w:rsidRPr="00745471" w:rsidRDefault="009821F7" w:rsidP="00654AB1">
      <w:pPr>
        <w:pStyle w:val="Tablenotes"/>
        <w:rPr>
          <w:szCs w:val="20"/>
        </w:rPr>
      </w:pPr>
      <w:r>
        <w:rPr>
          <w:vertAlign w:val="superscript"/>
        </w:rPr>
        <w:t>#</w:t>
      </w:r>
      <w:r w:rsidDel="00E267C8">
        <w:t xml:space="preserve"> </w:t>
      </w:r>
      <w:proofErr w:type="gramStart"/>
      <w:r>
        <w:t>T</w:t>
      </w:r>
      <w:r w:rsidRPr="00E267C8">
        <w:t>he</w:t>
      </w:r>
      <w:proofErr w:type="gramEnd"/>
      <w:r w:rsidRPr="00E267C8">
        <w:t xml:space="preserve"> </w:t>
      </w:r>
      <w:r>
        <w:t xml:space="preserve">reported </w:t>
      </w:r>
      <w:r w:rsidRPr="00E267C8">
        <w:t>mean reduction in global IQ</w:t>
      </w:r>
      <w:r>
        <w:t xml:space="preserve"> </w:t>
      </w:r>
      <w:r w:rsidRPr="00E267C8">
        <w:t>was converted into a rate of severe intellectual disability</w:t>
      </w:r>
      <w:r w:rsidRPr="00E267C8" w:rsidDel="00E267C8">
        <w:t xml:space="preserve"> </w:t>
      </w:r>
      <w:r>
        <w:t>for the cost-utility analysis.</w:t>
      </w:r>
      <w:r w:rsidRPr="00745471">
        <w:br/>
      </w:r>
      <w:r>
        <w:t xml:space="preserve">Abbreviations: CNS=central nervous system; </w:t>
      </w:r>
      <w:proofErr w:type="spellStart"/>
      <w:r>
        <w:t>HRQoL</w:t>
      </w:r>
      <w:proofErr w:type="spellEnd"/>
      <w:r>
        <w:t>=</w:t>
      </w:r>
      <w:r w:rsidRPr="00745471">
        <w:t>heal</w:t>
      </w:r>
      <w:r>
        <w:t>th-related quality of life; IQ=</w:t>
      </w:r>
      <w:r w:rsidRPr="00745471">
        <w:t>intelligence qu</w:t>
      </w:r>
      <w:r>
        <w:t>otient; OS=</w:t>
      </w:r>
      <w:r w:rsidRPr="00745471">
        <w:t>overall survival; PFS</w:t>
      </w:r>
      <w:r>
        <w:t>=progression free survival; RT=radiation therapy; WBC=</w:t>
      </w:r>
      <w:r w:rsidRPr="00745471">
        <w:t>white blood cell count</w:t>
      </w:r>
    </w:p>
    <w:p w14:paraId="60879D01" w14:textId="0C9E41E4" w:rsidR="009821F7" w:rsidRDefault="009821F7" w:rsidP="00A740F4">
      <w:pPr>
        <w:pStyle w:val="Heading2"/>
        <w:spacing w:before="240"/>
      </w:pPr>
      <w:r>
        <w:t>Adult patients with rare cancers</w:t>
      </w:r>
      <w:r w:rsidR="00796E59">
        <w:t xml:space="preserve"> of the neck and spine (PICO 1)</w:t>
      </w:r>
    </w:p>
    <w:p w14:paraId="4AE897F4" w14:textId="099D0745" w:rsidR="00415A23" w:rsidRPr="00415A23" w:rsidRDefault="009821F7" w:rsidP="00415A23">
      <w:pPr>
        <w:spacing w:after="240"/>
      </w:pPr>
      <w:r>
        <w:t>Based on the commentary’s defined evidence base, the commentary noted that e</w:t>
      </w:r>
      <w:r w:rsidRPr="00725D08">
        <w:t>vidence at high risk of bias was foun</w:t>
      </w:r>
      <w:r w:rsidRPr="007B14DE">
        <w:t xml:space="preserve">d for improved safety of PBT in terms of acute </w:t>
      </w:r>
      <w:proofErr w:type="spellStart"/>
      <w:r w:rsidRPr="007B14DE">
        <w:t>mucositis</w:t>
      </w:r>
      <w:proofErr w:type="spellEnd"/>
      <w:r w:rsidRPr="007B14DE">
        <w:t xml:space="preserve"> and xerostomia and systemic effects (acute bone marrow suppression - anaemia, leukocytopenia and thrombocytopenia; acute nausea/vomiting and acute weight loss). No significant differences in late radiation-related toxicities were found. Few severe acute or late adverse events were reported. </w:t>
      </w:r>
      <w:r>
        <w:t xml:space="preserve">Toxicities for which statistical significance was reported are summarised in </w:t>
      </w:r>
      <w:r>
        <w:fldChar w:fldCharType="begin"/>
      </w:r>
      <w:r>
        <w:instrText xml:space="preserve"> REF _Ref50105171 \h </w:instrText>
      </w:r>
      <w:r>
        <w:fldChar w:fldCharType="separate"/>
      </w:r>
      <w:r w:rsidR="00810FF0">
        <w:t xml:space="preserve">Table </w:t>
      </w:r>
      <w:r w:rsidR="00810FF0">
        <w:rPr>
          <w:noProof/>
        </w:rPr>
        <w:t>9</w:t>
      </w:r>
      <w:r>
        <w:fldChar w:fldCharType="end"/>
      </w:r>
      <w:r w:rsidR="00A367BA">
        <w:t>.</w:t>
      </w:r>
      <w:bookmarkStart w:id="35" w:name="_Ref50105171"/>
      <w:bookmarkStart w:id="36" w:name="_Toc50391270"/>
      <w:r w:rsidR="00415A23">
        <w:rPr>
          <w:rFonts w:ascii="Arial Narrow" w:hAnsi="Arial Narrow"/>
          <w:b/>
          <w:sz w:val="20"/>
        </w:rPr>
        <w:br w:type="page"/>
      </w:r>
    </w:p>
    <w:p w14:paraId="6B5BA89A" w14:textId="0B33524A" w:rsidR="009821F7" w:rsidRPr="00DD6551" w:rsidRDefault="009821F7" w:rsidP="00DD6551">
      <w:pPr>
        <w:rPr>
          <w:rFonts w:ascii="Arial Narrow" w:hAnsi="Arial Narrow"/>
          <w:b/>
          <w:sz w:val="20"/>
        </w:rPr>
      </w:pPr>
      <w:r w:rsidRPr="00DD6551">
        <w:rPr>
          <w:rFonts w:ascii="Arial Narrow" w:hAnsi="Arial Narrow"/>
          <w:b/>
          <w:sz w:val="20"/>
        </w:rPr>
        <w:t xml:space="preserve">Table </w:t>
      </w:r>
      <w:r w:rsidR="00FD0A9A" w:rsidRPr="00DD6551">
        <w:rPr>
          <w:rFonts w:ascii="Arial Narrow" w:hAnsi="Arial Narrow"/>
          <w:b/>
          <w:sz w:val="20"/>
        </w:rPr>
        <w:fldChar w:fldCharType="begin"/>
      </w:r>
      <w:r w:rsidR="00FD0A9A" w:rsidRPr="00DD6551">
        <w:rPr>
          <w:rFonts w:ascii="Arial Narrow" w:hAnsi="Arial Narrow"/>
          <w:b/>
          <w:sz w:val="20"/>
        </w:rPr>
        <w:instrText xml:space="preserve"> SEQ Table \* ARABIC </w:instrText>
      </w:r>
      <w:r w:rsidR="00FD0A9A" w:rsidRPr="00DD6551">
        <w:rPr>
          <w:rFonts w:ascii="Arial Narrow" w:hAnsi="Arial Narrow"/>
          <w:b/>
          <w:sz w:val="20"/>
        </w:rPr>
        <w:fldChar w:fldCharType="separate"/>
      </w:r>
      <w:r w:rsidR="00810FF0" w:rsidRPr="00DD6551">
        <w:rPr>
          <w:rFonts w:ascii="Arial Narrow" w:hAnsi="Arial Narrow"/>
          <w:b/>
          <w:sz w:val="20"/>
        </w:rPr>
        <w:t>9</w:t>
      </w:r>
      <w:r w:rsidR="00FD0A9A" w:rsidRPr="00DD6551">
        <w:rPr>
          <w:rFonts w:ascii="Arial Narrow" w:hAnsi="Arial Narrow"/>
          <w:b/>
          <w:sz w:val="20"/>
        </w:rPr>
        <w:fldChar w:fldCharType="end"/>
      </w:r>
      <w:bookmarkEnd w:id="35"/>
      <w:r w:rsidRPr="00DD6551">
        <w:rPr>
          <w:rFonts w:ascii="Arial Narrow" w:hAnsi="Arial Narrow"/>
          <w:b/>
          <w:sz w:val="20"/>
        </w:rPr>
        <w:tab/>
        <w:t>Summary of statistically significant toxicity data for adult patients with tumours of the head and spine</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xecutive summary table for safety in PICO 1"/>
        <w:tblDescription w:val="Summary of statistically significant toxicity data for adult tumours of the head and spine"/>
      </w:tblPr>
      <w:tblGrid>
        <w:gridCol w:w="846"/>
        <w:gridCol w:w="1843"/>
        <w:gridCol w:w="566"/>
        <w:gridCol w:w="994"/>
        <w:gridCol w:w="1560"/>
        <w:gridCol w:w="1672"/>
        <w:gridCol w:w="1535"/>
      </w:tblGrid>
      <w:tr w:rsidR="009821F7" w:rsidRPr="0048459B" w14:paraId="4E9466F7" w14:textId="77777777" w:rsidTr="009821F7">
        <w:trPr>
          <w:cantSplit/>
          <w:tblHeader/>
        </w:trPr>
        <w:tc>
          <w:tcPr>
            <w:tcW w:w="469" w:type="pct"/>
            <w:tcBorders>
              <w:bottom w:val="single" w:sz="4" w:space="0" w:color="auto"/>
            </w:tcBorders>
            <w:shd w:val="clear" w:color="auto" w:fill="auto"/>
          </w:tcPr>
          <w:p w14:paraId="365FFF9A" w14:textId="77777777" w:rsidR="009821F7" w:rsidRPr="0048459B" w:rsidRDefault="009821F7" w:rsidP="00415A23">
            <w:pPr>
              <w:pStyle w:val="Tabletextboldleft"/>
              <w:rPr>
                <w:snapToGrid w:val="0"/>
              </w:rPr>
            </w:pPr>
            <w:r w:rsidRPr="0048459B">
              <w:rPr>
                <w:snapToGrid w:val="0"/>
              </w:rPr>
              <w:t>Study ID</w:t>
            </w:r>
          </w:p>
        </w:tc>
        <w:tc>
          <w:tcPr>
            <w:tcW w:w="1022" w:type="pct"/>
            <w:tcBorders>
              <w:bottom w:val="single" w:sz="4" w:space="0" w:color="auto"/>
            </w:tcBorders>
          </w:tcPr>
          <w:p w14:paraId="1BDD80E7" w14:textId="77777777" w:rsidR="009821F7" w:rsidRPr="0048459B" w:rsidRDefault="009821F7" w:rsidP="00415A23">
            <w:pPr>
              <w:pStyle w:val="Tabletextboldleft"/>
              <w:jc w:val="center"/>
              <w:rPr>
                <w:snapToGrid w:val="0"/>
              </w:rPr>
            </w:pPr>
            <w:r>
              <w:rPr>
                <w:snapToGrid w:val="0"/>
              </w:rPr>
              <w:t>Toxicity and grade</w:t>
            </w:r>
          </w:p>
        </w:tc>
        <w:tc>
          <w:tcPr>
            <w:tcW w:w="865" w:type="pct"/>
            <w:gridSpan w:val="2"/>
            <w:shd w:val="clear" w:color="auto" w:fill="auto"/>
          </w:tcPr>
          <w:p w14:paraId="1BA6DC1C" w14:textId="77777777" w:rsidR="009821F7" w:rsidRPr="0048459B" w:rsidRDefault="009821F7" w:rsidP="00415A23">
            <w:pPr>
              <w:pStyle w:val="Tabletextboldleft"/>
              <w:jc w:val="center"/>
              <w:rPr>
                <w:snapToGrid w:val="0"/>
              </w:rPr>
            </w:pPr>
            <w:r>
              <w:rPr>
                <w:snapToGrid w:val="0"/>
              </w:rPr>
              <w:t>PBT</w:t>
            </w:r>
          </w:p>
          <w:p w14:paraId="6B56EEDE" w14:textId="77777777" w:rsidR="009821F7" w:rsidRPr="0048459B" w:rsidRDefault="009821F7" w:rsidP="00415A23">
            <w:pPr>
              <w:pStyle w:val="Tabletextboldleft"/>
              <w:jc w:val="center"/>
              <w:rPr>
                <w:snapToGrid w:val="0"/>
              </w:rPr>
            </w:pPr>
            <w:proofErr w:type="gramStart"/>
            <w:r w:rsidRPr="0048459B">
              <w:rPr>
                <w:snapToGrid w:val="0"/>
              </w:rPr>
              <w:t>n</w:t>
            </w:r>
            <w:proofErr w:type="gramEnd"/>
            <w:r w:rsidRPr="0048459B">
              <w:rPr>
                <w:snapToGrid w:val="0"/>
              </w:rPr>
              <w:t xml:space="preserve"> with event/N (%)</w:t>
            </w:r>
          </w:p>
        </w:tc>
        <w:tc>
          <w:tcPr>
            <w:tcW w:w="865" w:type="pct"/>
            <w:shd w:val="clear" w:color="auto" w:fill="auto"/>
          </w:tcPr>
          <w:p w14:paraId="0116AC8B" w14:textId="77777777" w:rsidR="009821F7" w:rsidRPr="0048459B" w:rsidRDefault="009821F7" w:rsidP="00415A23">
            <w:pPr>
              <w:pStyle w:val="Tabletextboldleft"/>
              <w:jc w:val="center"/>
              <w:rPr>
                <w:snapToGrid w:val="0"/>
              </w:rPr>
            </w:pPr>
            <w:r>
              <w:rPr>
                <w:snapToGrid w:val="0"/>
              </w:rPr>
              <w:t>PRT</w:t>
            </w:r>
          </w:p>
          <w:p w14:paraId="5DE60791" w14:textId="77777777" w:rsidR="009821F7" w:rsidRPr="0048459B" w:rsidRDefault="009821F7" w:rsidP="00415A23">
            <w:pPr>
              <w:pStyle w:val="Tabletextboldleft"/>
              <w:jc w:val="center"/>
              <w:rPr>
                <w:snapToGrid w:val="0"/>
              </w:rPr>
            </w:pPr>
            <w:proofErr w:type="gramStart"/>
            <w:r w:rsidRPr="0048459B">
              <w:rPr>
                <w:snapToGrid w:val="0"/>
              </w:rPr>
              <w:t>n</w:t>
            </w:r>
            <w:proofErr w:type="gramEnd"/>
            <w:r w:rsidRPr="0048459B">
              <w:rPr>
                <w:snapToGrid w:val="0"/>
              </w:rPr>
              <w:t xml:space="preserve"> with event/N (%)</w:t>
            </w:r>
          </w:p>
        </w:tc>
        <w:tc>
          <w:tcPr>
            <w:tcW w:w="927" w:type="pct"/>
            <w:shd w:val="clear" w:color="auto" w:fill="auto"/>
          </w:tcPr>
          <w:p w14:paraId="5CBD32EC" w14:textId="77777777" w:rsidR="009821F7" w:rsidRPr="0048459B" w:rsidRDefault="009821F7" w:rsidP="00415A23">
            <w:pPr>
              <w:pStyle w:val="Tabletextboldleft"/>
              <w:jc w:val="center"/>
              <w:rPr>
                <w:snapToGrid w:val="0"/>
              </w:rPr>
            </w:pPr>
            <w:r w:rsidRPr="0048459B">
              <w:rPr>
                <w:snapToGrid w:val="0"/>
              </w:rPr>
              <w:t>Absolute difference</w:t>
            </w:r>
          </w:p>
          <w:p w14:paraId="61576698" w14:textId="77777777" w:rsidR="009821F7" w:rsidRPr="0048459B" w:rsidRDefault="009821F7" w:rsidP="00415A23">
            <w:pPr>
              <w:pStyle w:val="Tabletextboldleft"/>
              <w:jc w:val="center"/>
              <w:rPr>
                <w:snapToGrid w:val="0"/>
              </w:rPr>
            </w:pPr>
            <w:r>
              <w:rPr>
                <w:snapToGrid w:val="0"/>
              </w:rPr>
              <w:t>(</w:t>
            </w:r>
            <w:r w:rsidRPr="0048459B">
              <w:rPr>
                <w:snapToGrid w:val="0"/>
              </w:rPr>
              <w:t>95% CI</w:t>
            </w:r>
            <w:r>
              <w:rPr>
                <w:snapToGrid w:val="0"/>
              </w:rPr>
              <w:t>)</w:t>
            </w:r>
          </w:p>
        </w:tc>
        <w:tc>
          <w:tcPr>
            <w:tcW w:w="851" w:type="pct"/>
            <w:shd w:val="clear" w:color="auto" w:fill="auto"/>
          </w:tcPr>
          <w:p w14:paraId="7107AD68" w14:textId="77777777" w:rsidR="009821F7" w:rsidRPr="0048459B" w:rsidRDefault="009821F7" w:rsidP="00415A23">
            <w:pPr>
              <w:pStyle w:val="Tabletextboldleft"/>
              <w:jc w:val="center"/>
              <w:rPr>
                <w:snapToGrid w:val="0"/>
              </w:rPr>
            </w:pPr>
            <w:r>
              <w:rPr>
                <w:snapToGrid w:val="0"/>
              </w:rPr>
              <w:t>P</w:t>
            </w:r>
            <w:r w:rsidRPr="0048459B">
              <w:rPr>
                <w:snapToGrid w:val="0"/>
              </w:rPr>
              <w:t>-value</w:t>
            </w:r>
          </w:p>
        </w:tc>
      </w:tr>
      <w:tr w:rsidR="009821F7" w:rsidRPr="0048459B" w14:paraId="79BE4E53" w14:textId="77777777" w:rsidTr="009821F7">
        <w:trPr>
          <w:cantSplit/>
        </w:trPr>
        <w:tc>
          <w:tcPr>
            <w:tcW w:w="1491" w:type="pct"/>
            <w:gridSpan w:val="2"/>
            <w:tcBorders>
              <w:top w:val="single" w:sz="4" w:space="0" w:color="auto"/>
              <w:left w:val="single" w:sz="4" w:space="0" w:color="auto"/>
              <w:bottom w:val="single" w:sz="4" w:space="0" w:color="auto"/>
              <w:right w:val="nil"/>
            </w:tcBorders>
            <w:shd w:val="clear" w:color="auto" w:fill="auto"/>
          </w:tcPr>
          <w:p w14:paraId="2E3EF90F" w14:textId="77777777" w:rsidR="009821F7" w:rsidRPr="00567B13" w:rsidRDefault="009821F7" w:rsidP="00415A23">
            <w:pPr>
              <w:pStyle w:val="TableText0"/>
              <w:keepNext w:val="0"/>
              <w:spacing w:before="0" w:after="0"/>
              <w:ind w:right="117"/>
              <w:rPr>
                <w:b/>
                <w:bCs/>
              </w:rPr>
            </w:pPr>
            <w:r w:rsidRPr="00567B13">
              <w:rPr>
                <w:b/>
                <w:bCs/>
              </w:rPr>
              <w:t>Acute toxicities</w:t>
            </w:r>
          </w:p>
        </w:tc>
        <w:tc>
          <w:tcPr>
            <w:tcW w:w="865" w:type="pct"/>
            <w:gridSpan w:val="2"/>
            <w:tcBorders>
              <w:left w:val="nil"/>
              <w:right w:val="nil"/>
            </w:tcBorders>
            <w:shd w:val="clear" w:color="auto" w:fill="auto"/>
          </w:tcPr>
          <w:p w14:paraId="40E57A6F" w14:textId="77777777" w:rsidR="009821F7" w:rsidRPr="004C5EAF" w:rsidRDefault="009821F7" w:rsidP="00415A23">
            <w:pPr>
              <w:pStyle w:val="TableText0"/>
              <w:keepNext w:val="0"/>
              <w:spacing w:before="0" w:after="0"/>
              <w:ind w:left="111" w:right="117"/>
              <w:jc w:val="center"/>
              <w:rPr>
                <w:bCs/>
              </w:rPr>
            </w:pPr>
          </w:p>
        </w:tc>
        <w:tc>
          <w:tcPr>
            <w:tcW w:w="865" w:type="pct"/>
            <w:tcBorders>
              <w:left w:val="nil"/>
              <w:right w:val="nil"/>
            </w:tcBorders>
            <w:shd w:val="clear" w:color="auto" w:fill="auto"/>
          </w:tcPr>
          <w:p w14:paraId="3E96C0D4" w14:textId="77777777" w:rsidR="009821F7" w:rsidRPr="004C5EAF" w:rsidRDefault="009821F7" w:rsidP="00415A23">
            <w:pPr>
              <w:pStyle w:val="TableText0"/>
              <w:keepNext w:val="0"/>
              <w:spacing w:before="0" w:after="0"/>
              <w:ind w:left="77" w:right="117"/>
              <w:jc w:val="center"/>
              <w:rPr>
                <w:bCs/>
              </w:rPr>
            </w:pPr>
          </w:p>
        </w:tc>
        <w:tc>
          <w:tcPr>
            <w:tcW w:w="927" w:type="pct"/>
            <w:tcBorders>
              <w:left w:val="nil"/>
              <w:bottom w:val="single" w:sz="4" w:space="0" w:color="auto"/>
              <w:right w:val="nil"/>
            </w:tcBorders>
            <w:shd w:val="clear" w:color="auto" w:fill="auto"/>
          </w:tcPr>
          <w:p w14:paraId="387049F3" w14:textId="77777777" w:rsidR="009821F7" w:rsidRPr="004C5EAF" w:rsidRDefault="009821F7" w:rsidP="00415A23">
            <w:pPr>
              <w:pStyle w:val="TableText0"/>
              <w:keepNext w:val="0"/>
              <w:spacing w:before="0" w:after="0"/>
              <w:ind w:left="41" w:right="117"/>
              <w:jc w:val="center"/>
              <w:rPr>
                <w:bCs/>
              </w:rPr>
            </w:pPr>
          </w:p>
        </w:tc>
        <w:tc>
          <w:tcPr>
            <w:tcW w:w="851" w:type="pct"/>
            <w:tcBorders>
              <w:left w:val="nil"/>
            </w:tcBorders>
            <w:shd w:val="clear" w:color="auto" w:fill="auto"/>
          </w:tcPr>
          <w:p w14:paraId="46D1CD50" w14:textId="77777777" w:rsidR="009821F7" w:rsidRPr="004C5EAF" w:rsidRDefault="009821F7" w:rsidP="00415A23">
            <w:pPr>
              <w:pStyle w:val="TableText0"/>
              <w:keepNext w:val="0"/>
              <w:spacing w:before="0" w:after="0"/>
              <w:ind w:right="117"/>
              <w:jc w:val="center"/>
              <w:rPr>
                <w:bCs/>
              </w:rPr>
            </w:pPr>
          </w:p>
        </w:tc>
      </w:tr>
      <w:tr w:rsidR="009821F7" w:rsidRPr="0048459B" w14:paraId="6243144F" w14:textId="77777777" w:rsidTr="009821F7">
        <w:trPr>
          <w:cantSplit/>
        </w:trPr>
        <w:tc>
          <w:tcPr>
            <w:tcW w:w="469" w:type="pct"/>
            <w:vMerge w:val="restart"/>
            <w:tcBorders>
              <w:top w:val="single" w:sz="4" w:space="0" w:color="auto"/>
              <w:left w:val="single" w:sz="4" w:space="0" w:color="auto"/>
              <w:right w:val="single" w:sz="4" w:space="0" w:color="auto"/>
            </w:tcBorders>
            <w:shd w:val="clear" w:color="auto" w:fill="auto"/>
          </w:tcPr>
          <w:p w14:paraId="14CFC54F" w14:textId="77777777" w:rsidR="009821F7" w:rsidRPr="00694384" w:rsidRDefault="00DD6551" w:rsidP="00415A23">
            <w:pPr>
              <w:pStyle w:val="TableText0"/>
              <w:keepNext w:val="0"/>
              <w:spacing w:before="0" w:after="0"/>
              <w:rPr>
                <w:snapToGrid w:val="0"/>
                <w:highlight w:val="yellow"/>
              </w:rPr>
            </w:pPr>
            <w:hyperlink w:anchor="_ENREF_2" w:tooltip="Adeberg, 2017 #1" w:history="1">
              <w:r w:rsidR="009821F7" w:rsidRPr="00782BF6">
                <w:fldChar w:fldCharType="begin">
                  <w:fldData xml:space="preserve">PEVuZE5vdGU+PENpdGUgQXV0aG9yWWVhcj0iMSI+PEF1dGhvcj5BZGViZXJnPC9BdXRob3I+PFll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</w:fldData>
                </w:fldChar>
              </w:r>
              <w:r w:rsidR="009821F7" w:rsidRPr="00782BF6">
                <w:instrText xml:space="preserve"> ADDIN EN.CITE </w:instrText>
              </w:r>
              <w:r w:rsidR="009821F7" w:rsidRPr="00782BF6">
                <w:fldChar w:fldCharType="begin">
                  <w:fldData xml:space="preserve">PEVuZE5vdGU+PENpdGUgQXV0aG9yWWVhcj0iMSI+PEF1dGhvcj5BZGViZXJnPC9BdXRob3I+PFll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</w:fldData>
                </w:fldChar>
              </w:r>
              <w:r w:rsidR="009821F7" w:rsidRPr="00782BF6">
                <w:instrText xml:space="preserve"> ADDIN EN.CITE.DATA </w:instrText>
              </w:r>
              <w:r w:rsidR="009821F7" w:rsidRPr="00782BF6">
                <w:fldChar w:fldCharType="end"/>
              </w:r>
              <w:r w:rsidR="009821F7" w:rsidRPr="00782BF6">
                <w:fldChar w:fldCharType="separate"/>
              </w:r>
              <w:r w:rsidR="009821F7" w:rsidRPr="00782BF6">
                <w:rPr>
                  <w:noProof/>
                </w:rPr>
                <w:t>Adeberg et al. (2017)</w:t>
              </w:r>
              <w:r w:rsidR="009821F7" w:rsidRPr="00782BF6">
                <w:fldChar w:fldCharType="end"/>
              </w:r>
            </w:hyperlink>
          </w:p>
        </w:tc>
        <w:tc>
          <w:tcPr>
            <w:tcW w:w="1022" w:type="pct"/>
            <w:tcBorders>
              <w:left w:val="single" w:sz="4" w:space="0" w:color="auto"/>
            </w:tcBorders>
          </w:tcPr>
          <w:p w14:paraId="01D1249F" w14:textId="77777777" w:rsidR="009821F7" w:rsidRPr="00567B13" w:rsidRDefault="009821F7" w:rsidP="00415A23">
            <w:pPr>
              <w:pStyle w:val="TableText0"/>
              <w:keepNext w:val="0"/>
              <w:spacing w:before="0" w:after="0"/>
              <w:ind w:left="16" w:right="117"/>
              <w:rPr>
                <w:snapToGrid w:val="0"/>
              </w:rPr>
            </w:pPr>
            <w:r w:rsidRPr="009E3450">
              <w:t>Grade ≥ 2 toxicity</w:t>
            </w:r>
          </w:p>
        </w:tc>
        <w:tc>
          <w:tcPr>
            <w:tcW w:w="865" w:type="pct"/>
            <w:gridSpan w:val="2"/>
            <w:shd w:val="clear" w:color="auto" w:fill="auto"/>
          </w:tcPr>
          <w:p w14:paraId="4F768EB9" w14:textId="77777777" w:rsidR="009821F7" w:rsidRPr="00F43B2A" w:rsidRDefault="009821F7" w:rsidP="00415A23">
            <w:pPr>
              <w:pStyle w:val="TableText0"/>
              <w:keepNext w:val="0"/>
              <w:spacing w:before="0" w:after="0"/>
              <w:ind w:left="111" w:right="117"/>
              <w:jc w:val="center"/>
              <w:rPr>
                <w:snapToGrid w:val="0"/>
              </w:rPr>
            </w:pPr>
            <w:r w:rsidRPr="00F43B2A">
              <w:rPr>
                <w:bCs/>
              </w:rPr>
              <w:t>6/66 (9)</w:t>
            </w:r>
          </w:p>
        </w:tc>
        <w:tc>
          <w:tcPr>
            <w:tcW w:w="865" w:type="pct"/>
            <w:shd w:val="clear" w:color="auto" w:fill="auto"/>
          </w:tcPr>
          <w:p w14:paraId="124E3A6F" w14:textId="77777777" w:rsidR="009821F7" w:rsidRPr="00F43B2A" w:rsidRDefault="009821F7" w:rsidP="00415A23">
            <w:pPr>
              <w:pStyle w:val="TableText0"/>
              <w:keepNext w:val="0"/>
              <w:spacing w:before="0" w:after="0"/>
              <w:ind w:left="77" w:right="117"/>
              <w:jc w:val="center"/>
              <w:rPr>
                <w:snapToGrid w:val="0"/>
              </w:rPr>
            </w:pPr>
            <w:r w:rsidRPr="00F43B2A">
              <w:rPr>
                <w:bCs/>
              </w:rPr>
              <w:t>14/66 (22)</w:t>
            </w:r>
          </w:p>
        </w:tc>
        <w:tc>
          <w:tcPr>
            <w:tcW w:w="927" w:type="pct"/>
            <w:shd w:val="clear" w:color="auto" w:fill="auto"/>
          </w:tcPr>
          <w:p w14:paraId="5E247C07" w14:textId="77777777" w:rsidR="009821F7" w:rsidRPr="00F43B2A" w:rsidRDefault="009821F7" w:rsidP="00415A23">
            <w:pPr>
              <w:pStyle w:val="TableText0"/>
              <w:keepNext w:val="0"/>
              <w:spacing w:before="0" w:after="0"/>
              <w:ind w:left="41" w:right="117"/>
              <w:jc w:val="center"/>
              <w:rPr>
                <w:snapToGrid w:val="0"/>
              </w:rPr>
            </w:pPr>
            <w:r w:rsidRPr="00F43B2A">
              <w:rPr>
                <w:bCs/>
              </w:rPr>
              <w:t>-0.12 (-0.24, -0.00)</w:t>
            </w:r>
          </w:p>
        </w:tc>
        <w:tc>
          <w:tcPr>
            <w:tcW w:w="851" w:type="pct"/>
            <w:shd w:val="clear" w:color="auto" w:fill="auto"/>
          </w:tcPr>
          <w:p w14:paraId="38B7123A" w14:textId="77777777" w:rsidR="009821F7" w:rsidRPr="00F43B2A" w:rsidRDefault="009821F7" w:rsidP="00415A23">
            <w:pPr>
              <w:pStyle w:val="TableText0"/>
              <w:keepNext w:val="0"/>
              <w:spacing w:before="0" w:after="0"/>
              <w:ind w:right="117"/>
              <w:jc w:val="center"/>
              <w:rPr>
                <w:snapToGrid w:val="0"/>
              </w:rPr>
            </w:pPr>
            <w:r w:rsidRPr="00F43B2A">
              <w:rPr>
                <w:bCs/>
              </w:rPr>
              <w:t>0.05</w:t>
            </w:r>
          </w:p>
        </w:tc>
      </w:tr>
      <w:tr w:rsidR="009821F7" w:rsidRPr="0048459B" w14:paraId="542E7EA4" w14:textId="77777777" w:rsidTr="009821F7">
        <w:trPr>
          <w:cantSplit/>
        </w:trPr>
        <w:tc>
          <w:tcPr>
            <w:tcW w:w="469" w:type="pct"/>
            <w:vMerge/>
            <w:tcBorders>
              <w:left w:val="single" w:sz="4" w:space="0" w:color="auto"/>
              <w:bottom w:val="single" w:sz="4" w:space="0" w:color="auto"/>
              <w:right w:val="single" w:sz="4" w:space="0" w:color="auto"/>
            </w:tcBorders>
            <w:shd w:val="clear" w:color="auto" w:fill="auto"/>
          </w:tcPr>
          <w:p w14:paraId="426F015A" w14:textId="77777777" w:rsidR="009821F7" w:rsidRDefault="009821F7" w:rsidP="00415A23">
            <w:pPr>
              <w:pStyle w:val="TableText0"/>
              <w:keepNext w:val="0"/>
              <w:spacing w:before="0" w:after="0"/>
            </w:pPr>
          </w:p>
        </w:tc>
        <w:tc>
          <w:tcPr>
            <w:tcW w:w="1022" w:type="pct"/>
            <w:tcBorders>
              <w:left w:val="single" w:sz="4" w:space="0" w:color="auto"/>
            </w:tcBorders>
          </w:tcPr>
          <w:p w14:paraId="3793ADB1" w14:textId="77777777" w:rsidR="009821F7" w:rsidRPr="009E3450" w:rsidRDefault="009821F7" w:rsidP="00415A23">
            <w:pPr>
              <w:pStyle w:val="TableText0"/>
              <w:keepNext w:val="0"/>
              <w:spacing w:before="0" w:after="0"/>
              <w:ind w:left="16" w:right="117"/>
            </w:pPr>
            <w:r w:rsidRPr="009E3450">
              <w:rPr>
                <w:rFonts w:cs="Calibri"/>
              </w:rPr>
              <w:t>Worsened pre-existing symptoms</w:t>
            </w:r>
          </w:p>
        </w:tc>
        <w:tc>
          <w:tcPr>
            <w:tcW w:w="865" w:type="pct"/>
            <w:gridSpan w:val="2"/>
            <w:shd w:val="clear" w:color="auto" w:fill="auto"/>
          </w:tcPr>
          <w:p w14:paraId="377B2A88" w14:textId="77777777" w:rsidR="009821F7" w:rsidRPr="00F43B2A" w:rsidRDefault="009821F7" w:rsidP="00415A23">
            <w:pPr>
              <w:pStyle w:val="TableText0"/>
              <w:keepNext w:val="0"/>
              <w:spacing w:before="0" w:after="0"/>
              <w:ind w:left="111" w:right="117"/>
              <w:jc w:val="center"/>
              <w:rPr>
                <w:rFonts w:cs="Calibri"/>
              </w:rPr>
            </w:pPr>
            <w:r w:rsidRPr="00F43B2A">
              <w:rPr>
                <w:rFonts w:cs="Calibri"/>
              </w:rPr>
              <w:t>4/66 (8)</w:t>
            </w:r>
          </w:p>
          <w:p w14:paraId="0B1B64F9" w14:textId="77777777" w:rsidR="009821F7" w:rsidRPr="00F43B2A" w:rsidRDefault="009821F7" w:rsidP="00415A23">
            <w:pPr>
              <w:pStyle w:val="TableText0"/>
              <w:keepNext w:val="0"/>
              <w:spacing w:before="0" w:after="0"/>
              <w:ind w:left="111" w:right="117"/>
              <w:jc w:val="center"/>
              <w:rPr>
                <w:bCs/>
                <w:i/>
                <w:iCs/>
              </w:rPr>
            </w:pPr>
            <w:r w:rsidRPr="00F43B2A">
              <w:rPr>
                <w:i/>
                <w:iCs/>
              </w:rPr>
              <w:t>(grade 2: n=3)</w:t>
            </w:r>
          </w:p>
        </w:tc>
        <w:tc>
          <w:tcPr>
            <w:tcW w:w="865" w:type="pct"/>
            <w:shd w:val="clear" w:color="auto" w:fill="auto"/>
          </w:tcPr>
          <w:p w14:paraId="34FD5576" w14:textId="77777777" w:rsidR="009821F7" w:rsidRPr="00F43B2A" w:rsidRDefault="009821F7" w:rsidP="00415A23">
            <w:pPr>
              <w:pStyle w:val="CommentTabletext"/>
              <w:spacing w:before="0" w:after="0"/>
              <w:ind w:left="0"/>
              <w:jc w:val="center"/>
              <w:rPr>
                <w:rFonts w:cs="Calibri"/>
                <w:i w:val="0"/>
                <w:lang w:eastAsia="en-US"/>
              </w:rPr>
            </w:pPr>
            <w:r w:rsidRPr="00F43B2A">
              <w:rPr>
                <w:rFonts w:cs="Calibri"/>
                <w:bCs/>
                <w:i w:val="0"/>
                <w:lang w:eastAsia="en-US"/>
              </w:rPr>
              <w:t>11/66 (17)</w:t>
            </w:r>
          </w:p>
          <w:p w14:paraId="75C461C3" w14:textId="77777777" w:rsidR="009821F7" w:rsidRPr="004C5EAF" w:rsidRDefault="009821F7" w:rsidP="00415A23">
            <w:pPr>
              <w:pStyle w:val="TableText0"/>
              <w:keepNext w:val="0"/>
              <w:spacing w:before="0" w:after="0"/>
              <w:ind w:right="117"/>
              <w:jc w:val="center"/>
              <w:rPr>
                <w:i/>
                <w:iCs/>
              </w:rPr>
            </w:pPr>
            <w:r w:rsidRPr="00F43B2A">
              <w:rPr>
                <w:i/>
                <w:iCs/>
              </w:rPr>
              <w:t>(grade 2: n=4,</w:t>
            </w:r>
            <w:r>
              <w:rPr>
                <w:i/>
                <w:iCs/>
              </w:rPr>
              <w:br/>
            </w:r>
            <w:r w:rsidRPr="00F43B2A">
              <w:rPr>
                <w:i/>
                <w:iCs/>
              </w:rPr>
              <w:t xml:space="preserve"> grade 3: n=3)</w:t>
            </w:r>
          </w:p>
        </w:tc>
        <w:tc>
          <w:tcPr>
            <w:tcW w:w="927" w:type="pct"/>
            <w:shd w:val="clear" w:color="auto" w:fill="auto"/>
          </w:tcPr>
          <w:p w14:paraId="09E76423" w14:textId="77777777" w:rsidR="009821F7" w:rsidRPr="00F43B2A" w:rsidRDefault="009821F7" w:rsidP="00415A23">
            <w:pPr>
              <w:pStyle w:val="TableText0"/>
              <w:keepNext w:val="0"/>
              <w:spacing w:before="0" w:after="0"/>
              <w:ind w:left="41" w:right="117"/>
              <w:jc w:val="center"/>
              <w:rPr>
                <w:bCs/>
              </w:rPr>
            </w:pPr>
            <w:r w:rsidRPr="00F43B2A">
              <w:rPr>
                <w:bCs/>
              </w:rPr>
              <w:t>-0.11 (-0.12, 0.00)</w:t>
            </w:r>
          </w:p>
        </w:tc>
        <w:tc>
          <w:tcPr>
            <w:tcW w:w="851" w:type="pct"/>
            <w:shd w:val="clear" w:color="auto" w:fill="auto"/>
          </w:tcPr>
          <w:p w14:paraId="0CF95495" w14:textId="77777777" w:rsidR="009821F7" w:rsidRPr="00F43B2A" w:rsidRDefault="009821F7" w:rsidP="00415A23">
            <w:pPr>
              <w:pStyle w:val="TableText0"/>
              <w:keepNext w:val="0"/>
              <w:spacing w:before="0" w:after="0"/>
              <w:ind w:right="117"/>
              <w:jc w:val="center"/>
              <w:rPr>
                <w:bCs/>
              </w:rPr>
            </w:pPr>
            <w:r w:rsidRPr="00F43B2A">
              <w:rPr>
                <w:bCs/>
              </w:rPr>
              <w:t>0.05</w:t>
            </w:r>
          </w:p>
        </w:tc>
      </w:tr>
      <w:tr w:rsidR="009821F7" w:rsidRPr="0048459B" w14:paraId="77515484" w14:textId="77777777" w:rsidTr="009821F7">
        <w:trPr>
          <w:cantSplit/>
        </w:trPr>
        <w:tc>
          <w:tcPr>
            <w:tcW w:w="469" w:type="pct"/>
            <w:vMerge w:val="restart"/>
            <w:tcBorders>
              <w:top w:val="single" w:sz="4" w:space="0" w:color="auto"/>
              <w:left w:val="single" w:sz="4" w:space="0" w:color="auto"/>
              <w:right w:val="single" w:sz="4" w:space="0" w:color="auto"/>
            </w:tcBorders>
            <w:shd w:val="clear" w:color="auto" w:fill="auto"/>
          </w:tcPr>
          <w:p w14:paraId="16BD415B" w14:textId="77777777" w:rsidR="009821F7" w:rsidRPr="00F01BB4" w:rsidRDefault="00DD6551" w:rsidP="00415A23">
            <w:pPr>
              <w:pStyle w:val="TableText0"/>
              <w:keepNext w:val="0"/>
              <w:spacing w:before="0" w:after="0"/>
            </w:pPr>
            <w:hyperlink w:anchor="_ENREF_6" w:tooltip="Alterio, 2020 #2" w:history="1">
              <w:r w:rsidR="009821F7" w:rsidRPr="00C72BAE">
                <w:fldChar w:fldCharType="begin"/>
              </w:r>
              <w:r w:rsidR="009821F7" w:rsidRPr="00C72BAE">
                <w:instrText xml:space="preserve"> ADDIN EN.CITE &lt;EndNote&gt;&lt;Cite AuthorYear="1"&gt;&lt;Author&gt;Alterio&lt;/Author&gt;&lt;Year&gt;2020&lt;/Year&gt;&lt;RecNum&gt;2&lt;/RecNum&gt;&lt;DisplayText&gt;Alterio et al. (2020)&lt;/DisplayText&gt;&lt;record&gt;&lt;rec-number&gt;2&lt;/rec-number&gt;&lt;foreign-keys&gt;&lt;key app="EN" db-id="exfrw2pee0v5z6evdr2xwspdfw0ezf5ttzwp" timestamp="1597622845"&gt;2&lt;/key&gt;&lt;/foreign-keys&gt;&lt;ref-type name="Journal Article"&gt;17&lt;/ref-type&gt;&lt;contributors&gt;&lt;authors&gt;&lt;author&gt;Alterio, D.&lt;/author&gt;&lt;author&gt;D&amp;apos;Ippolito, E.&lt;/author&gt;&lt;author&gt;Vischioni, B.&lt;/author&gt;&lt;author&gt;Fossati, P.&lt;/author&gt;&lt;author&gt;Gandini, S.&lt;/author&gt;&lt;author&gt;Bonora, M.&lt;/author&gt;&lt;author&gt;Ronchi, S.&lt;/author&gt;&lt;author&gt;Vitolo, V.&lt;/author&gt;&lt;author&gt;Mastella, E.&lt;/author&gt;&lt;author&gt;Magro, G.&lt;/author&gt;&lt;author&gt;Franco, P.&lt;/author&gt;&lt;author&gt;Ricardi, U.&lt;/author&gt;&lt;author&gt;Krengli, M.&lt;/author&gt;&lt;author&gt;Ivaldi, G.&lt;/author&gt;&lt;author&gt;Ferrari, A.&lt;/author&gt;&lt;author&gt;Fanetti, G.&lt;/author&gt;&lt;author&gt;Comi, S.&lt;/author&gt;&lt;author&gt;Tagliabue, M.&lt;/author&gt;&lt;author&gt;Verri, E.&lt;/author&gt;&lt;author&gt;Ricotti, R.&lt;/author&gt;&lt;author&gt;Ciardo, D.&lt;/author&gt;&lt;author&gt;Jereczek-Fossa, B. A.&lt;/author&gt;&lt;author&gt;Valvo, F.&lt;/author&gt;&lt;author&gt;Orecchia, R.&lt;/author&gt;&lt;/authors&gt;&lt;/contributors&gt;&lt;titles&gt;&lt;title&gt;Mixed-beam approach in locally advanced nasopharyngeal carcinoma: IMRT followed by proton therapy boost versus IMRT-only. Evaluation of toxicity and efficacy&lt;/title&gt;&lt;secondary-title&gt;Acta Oncol&lt;/secondary-title&gt;&lt;/titles&gt;&lt;periodical&gt;&lt;full-title&gt;Acta Oncol&lt;/full-title&gt;&lt;/periodical&gt;&lt;pages&gt;541-548&lt;/pages&gt;&lt;volume&gt;59&lt;/volume&gt;&lt;number&gt;5&lt;/number&gt;&lt;dates&gt;&lt;year&gt;2020&lt;/year&gt;&lt;/dates&gt;&lt;accession-num&gt;32090645&lt;/accession-num&gt;&lt;urls&gt;&lt;related-urls&gt;&lt;url&gt;http://ezproxy.library.usyd.edu.au/login?url=http://ovidsp.ovid.com/ovidweb.cgi?T=JS&amp;amp;CSC=Y&amp;amp;NEWS=N&amp;amp;PAGE=fulltext&amp;amp;D=prem&amp;amp;AN=32090645https://sydney.alma.exlibrisgroup.com/openurl/61USYD_INST/61USYD_INST:sydney?sid=OVID:medline&amp;amp;id=pmid:32090645&amp;amp;id=doi:10.1080&lt;/url&gt;&lt;url&gt;https://www.tandfonline.com/doi/pdf/10.1080/0284186X.2020.1730001?needAccess=true&lt;/url&gt;&lt;/related-urls&gt;&lt;/urls&gt;&lt;electronic-resource-num&gt;https://dx.doi.org/10.1080/0284186X.2020.1730001&lt;/electronic-resource-num&gt;&lt;/record&gt;&lt;/Cite&gt;&lt;/EndNote&gt;</w:instrText>
              </w:r>
              <w:r w:rsidR="009821F7" w:rsidRPr="00C72BAE">
                <w:fldChar w:fldCharType="separate"/>
              </w:r>
              <w:r w:rsidR="009821F7" w:rsidRPr="00C72BAE">
                <w:t>Alterio et al. (2020)</w:t>
              </w:r>
              <w:r w:rsidR="009821F7" w:rsidRPr="00C72BAE">
                <w:fldChar w:fldCharType="end"/>
              </w:r>
            </w:hyperlink>
          </w:p>
        </w:tc>
        <w:tc>
          <w:tcPr>
            <w:tcW w:w="1022" w:type="pct"/>
            <w:tcBorders>
              <w:top w:val="single" w:sz="4" w:space="0" w:color="auto"/>
              <w:left w:val="single" w:sz="4" w:space="0" w:color="auto"/>
              <w:bottom w:val="single" w:sz="4" w:space="0" w:color="auto"/>
              <w:right w:val="single" w:sz="4" w:space="0" w:color="auto"/>
            </w:tcBorders>
          </w:tcPr>
          <w:p w14:paraId="7581097C" w14:textId="77777777" w:rsidR="009821F7" w:rsidRPr="00F43B2A" w:rsidRDefault="009821F7" w:rsidP="00415A23">
            <w:pPr>
              <w:pStyle w:val="TableText0"/>
              <w:spacing w:before="0" w:after="0"/>
            </w:pPr>
            <w:r>
              <w:t xml:space="preserve">Xerostomia </w:t>
            </w:r>
            <w:r w:rsidRPr="00F43B2A">
              <w:t>Grade 2</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14:paraId="7255DA8C" w14:textId="77777777" w:rsidR="009821F7" w:rsidRPr="00F43B2A" w:rsidRDefault="009821F7" w:rsidP="00415A23">
            <w:pPr>
              <w:pStyle w:val="TableText0"/>
              <w:keepNext w:val="0"/>
              <w:spacing w:before="0" w:after="0"/>
              <w:ind w:left="111" w:right="117"/>
              <w:jc w:val="center"/>
              <w:rPr>
                <w:rFonts w:cs="Calibri"/>
              </w:rPr>
            </w:pPr>
            <w:r w:rsidRPr="00F43B2A">
              <w:rPr>
                <w:rFonts w:cs="Calibri"/>
              </w:rPr>
              <w:t>2/27 (7)</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62AE1A7A" w14:textId="77777777" w:rsidR="009821F7" w:rsidRPr="00F43B2A" w:rsidRDefault="009821F7" w:rsidP="00415A23">
            <w:pPr>
              <w:pStyle w:val="CommentTabletext"/>
              <w:spacing w:before="0" w:after="0"/>
              <w:ind w:left="0"/>
              <w:jc w:val="center"/>
              <w:rPr>
                <w:rFonts w:cs="Calibri"/>
                <w:bCs/>
                <w:i w:val="0"/>
                <w:lang w:eastAsia="en-US"/>
              </w:rPr>
            </w:pPr>
            <w:r w:rsidRPr="00F43B2A">
              <w:rPr>
                <w:rFonts w:cs="Calibri"/>
                <w:bCs/>
                <w:i w:val="0"/>
                <w:lang w:eastAsia="en-US"/>
              </w:rPr>
              <w:t>6/17 (35)</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4C3AB0A2" w14:textId="77777777" w:rsidR="009821F7" w:rsidRPr="00F43B2A" w:rsidRDefault="009821F7" w:rsidP="00415A23">
            <w:pPr>
              <w:pStyle w:val="TableText0"/>
              <w:keepNext w:val="0"/>
              <w:spacing w:before="0" w:after="0"/>
              <w:ind w:left="41" w:right="117"/>
              <w:jc w:val="center"/>
              <w:rPr>
                <w:bCs/>
              </w:rPr>
            </w:pPr>
            <w:r>
              <w:rPr>
                <w:bCs/>
              </w:rPr>
              <w:t>-0.28 (-0.51, -0.04)</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297096D" w14:textId="77777777" w:rsidR="009821F7" w:rsidRPr="00F01BB4" w:rsidRDefault="009821F7" w:rsidP="00415A23">
            <w:pPr>
              <w:pStyle w:val="Tabletextcentred"/>
              <w:spacing w:before="0" w:after="0"/>
            </w:pPr>
          </w:p>
        </w:tc>
      </w:tr>
      <w:tr w:rsidR="009821F7" w:rsidRPr="0048459B" w14:paraId="2180088A" w14:textId="77777777" w:rsidTr="009821F7">
        <w:trPr>
          <w:cantSplit/>
        </w:trPr>
        <w:tc>
          <w:tcPr>
            <w:tcW w:w="469" w:type="pct"/>
            <w:vMerge/>
            <w:tcBorders>
              <w:left w:val="single" w:sz="4" w:space="0" w:color="auto"/>
              <w:right w:val="single" w:sz="4" w:space="0" w:color="auto"/>
            </w:tcBorders>
            <w:shd w:val="clear" w:color="auto" w:fill="auto"/>
          </w:tcPr>
          <w:p w14:paraId="06243575" w14:textId="77777777" w:rsidR="009821F7" w:rsidRPr="00F01BB4" w:rsidRDefault="009821F7" w:rsidP="00415A23">
            <w:pPr>
              <w:pStyle w:val="TableText0"/>
              <w:keepNext w:val="0"/>
              <w:spacing w:before="0" w:after="0"/>
            </w:pPr>
          </w:p>
        </w:tc>
        <w:tc>
          <w:tcPr>
            <w:tcW w:w="1022" w:type="pct"/>
            <w:tcBorders>
              <w:top w:val="single" w:sz="4" w:space="0" w:color="auto"/>
              <w:left w:val="single" w:sz="4" w:space="0" w:color="auto"/>
              <w:bottom w:val="single" w:sz="4" w:space="0" w:color="auto"/>
              <w:right w:val="single" w:sz="4" w:space="0" w:color="auto"/>
            </w:tcBorders>
          </w:tcPr>
          <w:p w14:paraId="36238A78" w14:textId="77777777" w:rsidR="009821F7" w:rsidRPr="00F43B2A" w:rsidRDefault="009821F7" w:rsidP="00415A23">
            <w:pPr>
              <w:pStyle w:val="TableText0"/>
              <w:spacing w:before="0" w:after="0"/>
            </w:pPr>
            <w:proofErr w:type="spellStart"/>
            <w:r w:rsidRPr="00F43B2A">
              <w:t>Mucositis</w:t>
            </w:r>
            <w:proofErr w:type="spellEnd"/>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14:paraId="0C83E395" w14:textId="77777777" w:rsidR="009821F7" w:rsidRPr="00F43B2A" w:rsidRDefault="009821F7" w:rsidP="00415A23">
            <w:pPr>
              <w:pStyle w:val="TableText0"/>
              <w:keepNext w:val="0"/>
              <w:spacing w:before="0" w:after="0"/>
              <w:ind w:left="111" w:right="117"/>
              <w:jc w:val="center"/>
              <w:rPr>
                <w:rFonts w:cs="Calibri"/>
                <w:bCs/>
              </w:rPr>
            </w:pP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3ABE7145" w14:textId="77777777" w:rsidR="009821F7" w:rsidRPr="00F43B2A" w:rsidRDefault="009821F7" w:rsidP="00415A23">
            <w:pPr>
              <w:pStyle w:val="CommentTabletext"/>
              <w:spacing w:before="0" w:after="0"/>
              <w:jc w:val="center"/>
              <w:rPr>
                <w:rFonts w:cs="Calibri"/>
                <w:bCs/>
                <w:i w:val="0"/>
                <w:lang w:eastAsia="en-US"/>
              </w:rPr>
            </w:pP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370C2900" w14:textId="77777777" w:rsidR="009821F7" w:rsidRPr="00F43B2A" w:rsidRDefault="009821F7" w:rsidP="00415A23">
            <w:pPr>
              <w:pStyle w:val="TableText0"/>
              <w:keepNext w:val="0"/>
              <w:spacing w:before="0" w:after="0"/>
              <w:ind w:left="41" w:right="117"/>
              <w:jc w:val="center"/>
              <w:rPr>
                <w:bCs/>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88DC308" w14:textId="77777777" w:rsidR="009821F7" w:rsidRPr="00F01BB4" w:rsidRDefault="009821F7" w:rsidP="00415A23">
            <w:pPr>
              <w:pStyle w:val="Tabletextcentred"/>
              <w:spacing w:before="0" w:after="0"/>
            </w:pPr>
          </w:p>
        </w:tc>
      </w:tr>
      <w:tr w:rsidR="009821F7" w:rsidRPr="0048459B" w14:paraId="7E467650" w14:textId="77777777" w:rsidTr="009821F7">
        <w:trPr>
          <w:cantSplit/>
        </w:trPr>
        <w:tc>
          <w:tcPr>
            <w:tcW w:w="469" w:type="pct"/>
            <w:vMerge/>
            <w:tcBorders>
              <w:left w:val="single" w:sz="4" w:space="0" w:color="auto"/>
              <w:right w:val="single" w:sz="4" w:space="0" w:color="auto"/>
            </w:tcBorders>
            <w:shd w:val="clear" w:color="auto" w:fill="auto"/>
          </w:tcPr>
          <w:p w14:paraId="47D4488F" w14:textId="77777777" w:rsidR="009821F7" w:rsidRPr="00F01BB4" w:rsidRDefault="009821F7" w:rsidP="00415A23">
            <w:pPr>
              <w:pStyle w:val="TableText0"/>
              <w:keepNext w:val="0"/>
              <w:spacing w:before="0" w:after="0"/>
            </w:pPr>
          </w:p>
        </w:tc>
        <w:tc>
          <w:tcPr>
            <w:tcW w:w="1022" w:type="pct"/>
            <w:tcBorders>
              <w:top w:val="single" w:sz="4" w:space="0" w:color="auto"/>
              <w:left w:val="single" w:sz="4" w:space="0" w:color="auto"/>
              <w:bottom w:val="single" w:sz="4" w:space="0" w:color="auto"/>
              <w:right w:val="single" w:sz="4" w:space="0" w:color="auto"/>
            </w:tcBorders>
          </w:tcPr>
          <w:p w14:paraId="35F07928" w14:textId="77777777" w:rsidR="009821F7" w:rsidRPr="00F43B2A" w:rsidRDefault="009821F7" w:rsidP="00415A23">
            <w:pPr>
              <w:pStyle w:val="TableText0"/>
              <w:spacing w:before="0" w:after="0"/>
            </w:pPr>
            <w:r w:rsidRPr="00F43B2A">
              <w:t>Grade 1</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14:paraId="6564B9E3" w14:textId="77777777" w:rsidR="009821F7" w:rsidRPr="00F43B2A" w:rsidRDefault="009821F7" w:rsidP="00415A23">
            <w:pPr>
              <w:pStyle w:val="TableText0"/>
              <w:keepNext w:val="0"/>
              <w:spacing w:before="0" w:after="0"/>
              <w:ind w:left="111" w:right="117"/>
              <w:jc w:val="center"/>
              <w:rPr>
                <w:rFonts w:cs="Calibri"/>
              </w:rPr>
            </w:pPr>
            <w:r w:rsidRPr="00F43B2A">
              <w:rPr>
                <w:rFonts w:cs="Calibri"/>
              </w:rPr>
              <w:t>11/27 (40.8)</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643C28CE" w14:textId="77777777" w:rsidR="009821F7" w:rsidRPr="00F43B2A" w:rsidRDefault="009821F7" w:rsidP="00415A23">
            <w:pPr>
              <w:pStyle w:val="CommentTabletext"/>
              <w:spacing w:before="0" w:after="0"/>
              <w:ind w:left="0"/>
              <w:jc w:val="center"/>
              <w:rPr>
                <w:rFonts w:cs="Calibri"/>
                <w:i w:val="0"/>
                <w:lang w:eastAsia="en-US"/>
              </w:rPr>
            </w:pPr>
            <w:r w:rsidRPr="00F43B2A">
              <w:rPr>
                <w:rFonts w:cs="Calibri"/>
                <w:i w:val="0"/>
                <w:lang w:eastAsia="en-US"/>
              </w:rPr>
              <w:t>2/17 (11.8)</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72F663E3" w14:textId="77777777" w:rsidR="009821F7" w:rsidRPr="00F43B2A" w:rsidRDefault="009821F7" w:rsidP="00415A23">
            <w:pPr>
              <w:pStyle w:val="TableText0"/>
              <w:keepNext w:val="0"/>
              <w:spacing w:before="0" w:after="0"/>
              <w:ind w:left="41" w:right="117"/>
              <w:jc w:val="center"/>
            </w:pPr>
            <w:r>
              <w:t>0.29 (0.01, 0.57)</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16301BC" w14:textId="77777777" w:rsidR="009821F7" w:rsidRPr="00F01BB4" w:rsidRDefault="009821F7" w:rsidP="00415A23">
            <w:pPr>
              <w:pStyle w:val="Tabletextcentred"/>
              <w:spacing w:before="0" w:after="0"/>
            </w:pPr>
          </w:p>
        </w:tc>
      </w:tr>
      <w:tr w:rsidR="009821F7" w:rsidRPr="0048459B" w14:paraId="7496E305" w14:textId="77777777" w:rsidTr="009821F7">
        <w:trPr>
          <w:cantSplit/>
        </w:trPr>
        <w:tc>
          <w:tcPr>
            <w:tcW w:w="469" w:type="pct"/>
            <w:vMerge/>
            <w:tcBorders>
              <w:left w:val="single" w:sz="4" w:space="0" w:color="auto"/>
              <w:right w:val="single" w:sz="4" w:space="0" w:color="auto"/>
            </w:tcBorders>
            <w:shd w:val="clear" w:color="auto" w:fill="auto"/>
          </w:tcPr>
          <w:p w14:paraId="7035E65A" w14:textId="77777777" w:rsidR="009821F7" w:rsidRPr="00F01BB4" w:rsidRDefault="009821F7" w:rsidP="00415A23">
            <w:pPr>
              <w:pStyle w:val="TableText0"/>
              <w:keepNext w:val="0"/>
              <w:spacing w:before="0" w:after="0"/>
            </w:pPr>
          </w:p>
        </w:tc>
        <w:tc>
          <w:tcPr>
            <w:tcW w:w="1022" w:type="pct"/>
            <w:tcBorders>
              <w:top w:val="single" w:sz="4" w:space="0" w:color="auto"/>
              <w:left w:val="single" w:sz="4" w:space="0" w:color="auto"/>
              <w:bottom w:val="single" w:sz="4" w:space="0" w:color="auto"/>
              <w:right w:val="single" w:sz="4" w:space="0" w:color="auto"/>
            </w:tcBorders>
          </w:tcPr>
          <w:p w14:paraId="5ED2FE4F" w14:textId="77777777" w:rsidR="009821F7" w:rsidRPr="00F43B2A" w:rsidRDefault="009821F7" w:rsidP="00415A23">
            <w:pPr>
              <w:pStyle w:val="TableText0"/>
              <w:spacing w:before="0" w:after="0"/>
            </w:pPr>
            <w:r w:rsidRPr="00F43B2A">
              <w:t>Grade 2</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14:paraId="5F730107" w14:textId="77777777" w:rsidR="009821F7" w:rsidRPr="00F43B2A" w:rsidRDefault="009821F7" w:rsidP="00415A23">
            <w:pPr>
              <w:pStyle w:val="TableText0"/>
              <w:keepNext w:val="0"/>
              <w:spacing w:before="0" w:after="0"/>
              <w:ind w:left="111" w:right="117"/>
              <w:jc w:val="center"/>
              <w:rPr>
                <w:rFonts w:cs="Calibri"/>
              </w:rPr>
            </w:pPr>
            <w:r w:rsidRPr="00F43B2A">
              <w:rPr>
                <w:rFonts w:cs="Calibri"/>
              </w:rPr>
              <w:t>13/27 (48.1)</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59FB4BB3" w14:textId="77777777" w:rsidR="009821F7" w:rsidRPr="00F43B2A" w:rsidRDefault="009821F7" w:rsidP="00415A23">
            <w:pPr>
              <w:pStyle w:val="CommentTabletext"/>
              <w:spacing w:before="0" w:after="0"/>
              <w:ind w:left="0"/>
              <w:jc w:val="center"/>
              <w:rPr>
                <w:rFonts w:cs="Calibri"/>
                <w:i w:val="0"/>
                <w:lang w:eastAsia="en-US"/>
              </w:rPr>
            </w:pPr>
            <w:r w:rsidRPr="00F43B2A">
              <w:rPr>
                <w:rFonts w:cs="Calibri"/>
                <w:i w:val="0"/>
                <w:lang w:eastAsia="en-US"/>
              </w:rPr>
              <w:t>2/17 (11.8)</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1893E9EC" w14:textId="77777777" w:rsidR="009821F7" w:rsidRPr="00F43B2A" w:rsidRDefault="009821F7" w:rsidP="00415A23">
            <w:pPr>
              <w:pStyle w:val="TableText0"/>
              <w:keepNext w:val="0"/>
              <w:spacing w:before="0" w:after="0"/>
              <w:ind w:left="41" w:right="117"/>
              <w:jc w:val="center"/>
            </w:pPr>
            <w:r>
              <w:t>0.36 (0.08, 0.65)</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D81B8AE" w14:textId="77777777" w:rsidR="009821F7" w:rsidRPr="00F01BB4" w:rsidRDefault="009821F7" w:rsidP="00415A23">
            <w:pPr>
              <w:pStyle w:val="Tabletextcentred"/>
              <w:spacing w:before="0" w:after="0"/>
            </w:pPr>
          </w:p>
        </w:tc>
      </w:tr>
      <w:tr w:rsidR="009821F7" w:rsidRPr="0048459B" w14:paraId="1C090739" w14:textId="77777777" w:rsidTr="009821F7">
        <w:trPr>
          <w:cantSplit/>
        </w:trPr>
        <w:tc>
          <w:tcPr>
            <w:tcW w:w="469" w:type="pct"/>
            <w:vMerge/>
            <w:tcBorders>
              <w:left w:val="single" w:sz="4" w:space="0" w:color="auto"/>
              <w:bottom w:val="single" w:sz="4" w:space="0" w:color="auto"/>
              <w:right w:val="single" w:sz="4" w:space="0" w:color="auto"/>
            </w:tcBorders>
            <w:shd w:val="clear" w:color="auto" w:fill="auto"/>
          </w:tcPr>
          <w:p w14:paraId="5B9021BD" w14:textId="77777777" w:rsidR="009821F7" w:rsidRPr="00F01BB4" w:rsidRDefault="009821F7" w:rsidP="00415A23">
            <w:pPr>
              <w:pStyle w:val="TableText0"/>
              <w:keepNext w:val="0"/>
              <w:spacing w:before="0" w:after="0"/>
            </w:pPr>
          </w:p>
        </w:tc>
        <w:tc>
          <w:tcPr>
            <w:tcW w:w="1022" w:type="pct"/>
            <w:tcBorders>
              <w:top w:val="single" w:sz="4" w:space="0" w:color="auto"/>
              <w:left w:val="single" w:sz="4" w:space="0" w:color="auto"/>
              <w:bottom w:val="single" w:sz="4" w:space="0" w:color="auto"/>
              <w:right w:val="single" w:sz="4" w:space="0" w:color="auto"/>
            </w:tcBorders>
          </w:tcPr>
          <w:p w14:paraId="436B314B" w14:textId="77777777" w:rsidR="009821F7" w:rsidRPr="00F43B2A" w:rsidRDefault="009821F7" w:rsidP="00415A23">
            <w:pPr>
              <w:pStyle w:val="TableText0"/>
              <w:spacing w:before="0" w:after="0"/>
            </w:pPr>
            <w:r w:rsidRPr="00F43B2A">
              <w:t>Grade 3</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14:paraId="024ED7BA" w14:textId="77777777" w:rsidR="009821F7" w:rsidRPr="00F43B2A" w:rsidRDefault="009821F7" w:rsidP="00415A23">
            <w:pPr>
              <w:pStyle w:val="TableText0"/>
              <w:keepNext w:val="0"/>
              <w:spacing w:before="0" w:after="0"/>
              <w:ind w:left="111" w:right="117"/>
              <w:jc w:val="center"/>
              <w:rPr>
                <w:rFonts w:cs="Calibri"/>
              </w:rPr>
            </w:pPr>
            <w:r w:rsidRPr="00F43B2A">
              <w:rPr>
                <w:rFonts w:cs="Calibri"/>
              </w:rPr>
              <w:t>3/27 (11.1)</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25B6A701" w14:textId="77777777" w:rsidR="009821F7" w:rsidRPr="00F43B2A" w:rsidRDefault="009821F7" w:rsidP="00415A23">
            <w:pPr>
              <w:pStyle w:val="CommentTabletext"/>
              <w:spacing w:before="0" w:after="0"/>
              <w:ind w:left="0"/>
              <w:jc w:val="center"/>
              <w:rPr>
                <w:rFonts w:cs="Calibri"/>
                <w:i w:val="0"/>
                <w:lang w:eastAsia="en-US"/>
              </w:rPr>
            </w:pPr>
            <w:r w:rsidRPr="00F43B2A">
              <w:rPr>
                <w:rFonts w:cs="Calibri"/>
                <w:i w:val="0"/>
                <w:lang w:eastAsia="en-US"/>
              </w:rPr>
              <w:t>13/17 (76.4)</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6B31A030" w14:textId="77777777" w:rsidR="009821F7" w:rsidRPr="00F43B2A" w:rsidRDefault="009821F7" w:rsidP="00415A23">
            <w:pPr>
              <w:pStyle w:val="TableText0"/>
              <w:keepNext w:val="0"/>
              <w:spacing w:before="0" w:after="0"/>
              <w:ind w:left="41" w:right="117"/>
              <w:jc w:val="center"/>
            </w:pPr>
            <w:r>
              <w:t>-0.65 (</w:t>
            </w:r>
            <w:r w:rsidRPr="00F43B2A">
              <w:t>-0.95, -0.36</w:t>
            </w:r>
            <w:r>
              <w:t>)</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9DB4593" w14:textId="77777777" w:rsidR="009821F7" w:rsidRPr="00F01BB4" w:rsidRDefault="009821F7" w:rsidP="00415A23">
            <w:pPr>
              <w:pStyle w:val="Tabletextcentred"/>
              <w:spacing w:before="0" w:after="0"/>
            </w:pPr>
          </w:p>
        </w:tc>
      </w:tr>
      <w:tr w:rsidR="009821F7" w:rsidRPr="0048459B" w14:paraId="11DF57E0" w14:textId="77777777" w:rsidTr="009821F7">
        <w:trPr>
          <w:cantSplit/>
        </w:trPr>
        <w:tc>
          <w:tcPr>
            <w:tcW w:w="1491" w:type="pct"/>
            <w:gridSpan w:val="2"/>
            <w:tcBorders>
              <w:top w:val="single" w:sz="4" w:space="0" w:color="auto"/>
              <w:left w:val="single" w:sz="4" w:space="0" w:color="auto"/>
              <w:bottom w:val="single" w:sz="4" w:space="0" w:color="auto"/>
              <w:right w:val="nil"/>
            </w:tcBorders>
            <w:shd w:val="clear" w:color="auto" w:fill="auto"/>
            <w:vAlign w:val="center"/>
          </w:tcPr>
          <w:p w14:paraId="2166E1FC" w14:textId="77777777" w:rsidR="009821F7" w:rsidRPr="008C7D1D" w:rsidRDefault="009821F7" w:rsidP="00415A23">
            <w:pPr>
              <w:pStyle w:val="TableText0"/>
              <w:keepNext w:val="0"/>
              <w:spacing w:before="0" w:after="0"/>
              <w:ind w:left="16" w:right="117"/>
              <w:rPr>
                <w:rFonts w:cs="Calibri"/>
                <w:b/>
                <w:bCs/>
              </w:rPr>
            </w:pPr>
            <w:r w:rsidRPr="0043043A">
              <w:rPr>
                <w:b/>
                <w:bCs/>
              </w:rPr>
              <w:t>Late toxicities</w:t>
            </w:r>
          </w:p>
        </w:tc>
        <w:tc>
          <w:tcPr>
            <w:tcW w:w="865" w:type="pct"/>
            <w:gridSpan w:val="2"/>
            <w:tcBorders>
              <w:top w:val="single" w:sz="4" w:space="0" w:color="auto"/>
              <w:left w:val="nil"/>
              <w:bottom w:val="single" w:sz="4" w:space="0" w:color="auto"/>
              <w:right w:val="nil"/>
            </w:tcBorders>
            <w:shd w:val="clear" w:color="auto" w:fill="auto"/>
            <w:vAlign w:val="center"/>
          </w:tcPr>
          <w:p w14:paraId="02F856F1" w14:textId="77777777" w:rsidR="009821F7" w:rsidRPr="00CD330B" w:rsidRDefault="009821F7" w:rsidP="00415A23">
            <w:pPr>
              <w:pStyle w:val="TableText0"/>
              <w:keepNext w:val="0"/>
              <w:spacing w:before="0" w:after="0"/>
              <w:ind w:left="111" w:right="117"/>
              <w:rPr>
                <w:rFonts w:cs="Calibri"/>
                <w:bCs/>
              </w:rPr>
            </w:pPr>
          </w:p>
        </w:tc>
        <w:tc>
          <w:tcPr>
            <w:tcW w:w="865" w:type="pct"/>
            <w:tcBorders>
              <w:top w:val="single" w:sz="4" w:space="0" w:color="auto"/>
              <w:left w:val="nil"/>
              <w:bottom w:val="single" w:sz="4" w:space="0" w:color="auto"/>
              <w:right w:val="nil"/>
            </w:tcBorders>
            <w:shd w:val="clear" w:color="auto" w:fill="auto"/>
            <w:vAlign w:val="center"/>
          </w:tcPr>
          <w:p w14:paraId="0C2C1F97" w14:textId="77777777" w:rsidR="009821F7" w:rsidRPr="00CD330B" w:rsidRDefault="009821F7" w:rsidP="00415A23">
            <w:pPr>
              <w:pStyle w:val="CommentTabletext"/>
              <w:spacing w:before="0" w:after="0"/>
              <w:ind w:left="0"/>
              <w:rPr>
                <w:rFonts w:cs="Calibri"/>
                <w:bCs/>
                <w:i w:val="0"/>
                <w:lang w:eastAsia="en-US"/>
              </w:rPr>
            </w:pPr>
          </w:p>
        </w:tc>
        <w:tc>
          <w:tcPr>
            <w:tcW w:w="927" w:type="pct"/>
            <w:tcBorders>
              <w:top w:val="single" w:sz="4" w:space="0" w:color="auto"/>
              <w:left w:val="nil"/>
              <w:bottom w:val="single" w:sz="4" w:space="0" w:color="auto"/>
              <w:right w:val="nil"/>
            </w:tcBorders>
            <w:shd w:val="clear" w:color="auto" w:fill="auto"/>
            <w:vAlign w:val="center"/>
          </w:tcPr>
          <w:p w14:paraId="13C494A4" w14:textId="77777777" w:rsidR="009821F7" w:rsidRPr="00CD330B" w:rsidRDefault="009821F7" w:rsidP="00415A23">
            <w:pPr>
              <w:pStyle w:val="TableText0"/>
              <w:keepNext w:val="0"/>
              <w:spacing w:before="0" w:after="0"/>
              <w:ind w:left="41" w:right="117"/>
              <w:rPr>
                <w:bCs/>
              </w:rPr>
            </w:pPr>
          </w:p>
        </w:tc>
        <w:tc>
          <w:tcPr>
            <w:tcW w:w="851" w:type="pct"/>
            <w:tcBorders>
              <w:top w:val="single" w:sz="4" w:space="0" w:color="auto"/>
              <w:left w:val="nil"/>
              <w:bottom w:val="single" w:sz="4" w:space="0" w:color="auto"/>
              <w:right w:val="single" w:sz="4" w:space="0" w:color="auto"/>
            </w:tcBorders>
            <w:shd w:val="clear" w:color="auto" w:fill="auto"/>
            <w:vAlign w:val="center"/>
          </w:tcPr>
          <w:p w14:paraId="77870532" w14:textId="77777777" w:rsidR="009821F7" w:rsidRPr="00CD330B" w:rsidRDefault="009821F7" w:rsidP="00415A23">
            <w:pPr>
              <w:pStyle w:val="TableText0"/>
              <w:keepNext w:val="0"/>
              <w:spacing w:before="0" w:after="0"/>
              <w:ind w:right="117"/>
              <w:rPr>
                <w:bCs/>
              </w:rPr>
            </w:pPr>
          </w:p>
        </w:tc>
      </w:tr>
      <w:tr w:rsidR="009821F7" w:rsidRPr="0048459B" w14:paraId="7D40BE50" w14:textId="77777777" w:rsidTr="009821F7">
        <w:trPr>
          <w:cantSplit/>
        </w:trPr>
        <w:tc>
          <w:tcPr>
            <w:tcW w:w="469" w:type="pct"/>
            <w:tcBorders>
              <w:top w:val="single" w:sz="4" w:space="0" w:color="auto"/>
              <w:left w:val="single" w:sz="4" w:space="0" w:color="auto"/>
              <w:bottom w:val="single" w:sz="4" w:space="0" w:color="auto"/>
              <w:right w:val="nil"/>
            </w:tcBorders>
            <w:shd w:val="clear" w:color="auto" w:fill="auto"/>
            <w:vAlign w:val="center"/>
          </w:tcPr>
          <w:p w14:paraId="403ADC41" w14:textId="77777777" w:rsidR="009821F7" w:rsidRPr="00C72BAE" w:rsidRDefault="009821F7" w:rsidP="00415A23">
            <w:pPr>
              <w:pStyle w:val="TableText0"/>
              <w:keepNext w:val="0"/>
              <w:spacing w:before="0" w:after="0"/>
            </w:pPr>
          </w:p>
        </w:tc>
        <w:tc>
          <w:tcPr>
            <w:tcW w:w="1887" w:type="pct"/>
            <w:gridSpan w:val="3"/>
            <w:tcBorders>
              <w:top w:val="single" w:sz="4" w:space="0" w:color="auto"/>
              <w:left w:val="nil"/>
              <w:bottom w:val="single" w:sz="4" w:space="0" w:color="auto"/>
              <w:right w:val="nil"/>
            </w:tcBorders>
            <w:vAlign w:val="center"/>
          </w:tcPr>
          <w:p w14:paraId="2D208614" w14:textId="77777777" w:rsidR="009821F7" w:rsidRPr="00CD330B" w:rsidRDefault="009821F7" w:rsidP="00415A23">
            <w:pPr>
              <w:pStyle w:val="TableText0"/>
              <w:keepNext w:val="0"/>
              <w:spacing w:before="0" w:after="0"/>
              <w:ind w:left="111" w:right="117"/>
              <w:rPr>
                <w:rFonts w:cs="Calibri"/>
                <w:bCs/>
              </w:rPr>
            </w:pPr>
            <w:r w:rsidRPr="004C5EAF">
              <w:t>No significant differences reported</w:t>
            </w:r>
          </w:p>
        </w:tc>
        <w:tc>
          <w:tcPr>
            <w:tcW w:w="865" w:type="pct"/>
            <w:tcBorders>
              <w:top w:val="single" w:sz="4" w:space="0" w:color="auto"/>
              <w:left w:val="nil"/>
              <w:bottom w:val="single" w:sz="4" w:space="0" w:color="auto"/>
              <w:right w:val="nil"/>
            </w:tcBorders>
            <w:shd w:val="clear" w:color="auto" w:fill="auto"/>
            <w:vAlign w:val="center"/>
          </w:tcPr>
          <w:p w14:paraId="53C46649" w14:textId="77777777" w:rsidR="009821F7" w:rsidRPr="00CD330B" w:rsidRDefault="009821F7" w:rsidP="00415A23">
            <w:pPr>
              <w:pStyle w:val="CommentTabletext"/>
              <w:spacing w:before="0" w:after="0"/>
              <w:ind w:left="0"/>
              <w:rPr>
                <w:rFonts w:cs="Calibri"/>
                <w:bCs/>
                <w:i w:val="0"/>
                <w:lang w:eastAsia="en-US"/>
              </w:rPr>
            </w:pPr>
          </w:p>
        </w:tc>
        <w:tc>
          <w:tcPr>
            <w:tcW w:w="927" w:type="pct"/>
            <w:tcBorders>
              <w:top w:val="single" w:sz="4" w:space="0" w:color="auto"/>
              <w:left w:val="nil"/>
              <w:bottom w:val="single" w:sz="4" w:space="0" w:color="auto"/>
              <w:right w:val="nil"/>
            </w:tcBorders>
            <w:shd w:val="clear" w:color="auto" w:fill="auto"/>
            <w:vAlign w:val="center"/>
          </w:tcPr>
          <w:p w14:paraId="3094E120" w14:textId="77777777" w:rsidR="009821F7" w:rsidRPr="00CD330B" w:rsidRDefault="009821F7" w:rsidP="00415A23">
            <w:pPr>
              <w:pStyle w:val="TableText0"/>
              <w:keepNext w:val="0"/>
              <w:spacing w:before="0" w:after="0"/>
              <w:ind w:left="41" w:right="117"/>
              <w:rPr>
                <w:bCs/>
              </w:rPr>
            </w:pPr>
          </w:p>
        </w:tc>
        <w:tc>
          <w:tcPr>
            <w:tcW w:w="851" w:type="pct"/>
            <w:tcBorders>
              <w:top w:val="single" w:sz="4" w:space="0" w:color="auto"/>
              <w:left w:val="nil"/>
              <w:bottom w:val="single" w:sz="4" w:space="0" w:color="auto"/>
              <w:right w:val="single" w:sz="4" w:space="0" w:color="auto"/>
            </w:tcBorders>
            <w:shd w:val="clear" w:color="auto" w:fill="auto"/>
            <w:vAlign w:val="center"/>
          </w:tcPr>
          <w:p w14:paraId="5A8D63F6" w14:textId="77777777" w:rsidR="009821F7" w:rsidRPr="00CD330B" w:rsidRDefault="009821F7" w:rsidP="00415A23">
            <w:pPr>
              <w:pStyle w:val="TableText0"/>
              <w:keepNext w:val="0"/>
              <w:spacing w:before="0" w:after="0"/>
              <w:ind w:right="117"/>
              <w:rPr>
                <w:bCs/>
              </w:rPr>
            </w:pPr>
          </w:p>
        </w:tc>
      </w:tr>
      <w:tr w:rsidR="009821F7" w:rsidRPr="0048459B" w14:paraId="17465400" w14:textId="77777777" w:rsidTr="009821F7">
        <w:trPr>
          <w:cantSplit/>
        </w:trPr>
        <w:tc>
          <w:tcPr>
            <w:tcW w:w="1805" w:type="pct"/>
            <w:gridSpan w:val="3"/>
            <w:tcBorders>
              <w:top w:val="single" w:sz="4" w:space="0" w:color="auto"/>
              <w:left w:val="single" w:sz="4" w:space="0" w:color="auto"/>
              <w:bottom w:val="nil"/>
              <w:right w:val="nil"/>
            </w:tcBorders>
            <w:shd w:val="clear" w:color="auto" w:fill="auto"/>
          </w:tcPr>
          <w:p w14:paraId="37D1FD1F" w14:textId="77777777" w:rsidR="009821F7" w:rsidRPr="009E3450" w:rsidRDefault="009821F7" w:rsidP="00415A23">
            <w:pPr>
              <w:pStyle w:val="TableText0"/>
              <w:keepNext w:val="0"/>
              <w:spacing w:before="0" w:after="0"/>
              <w:ind w:left="16" w:right="117"/>
              <w:rPr>
                <w:rFonts w:cs="Calibri"/>
                <w:b/>
              </w:rPr>
            </w:pPr>
            <w:r w:rsidRPr="009E3450">
              <w:rPr>
                <w:rFonts w:cs="Calibri"/>
                <w:b/>
              </w:rPr>
              <w:t>Systemic effects</w:t>
            </w:r>
          </w:p>
        </w:tc>
        <w:tc>
          <w:tcPr>
            <w:tcW w:w="551" w:type="pct"/>
            <w:tcBorders>
              <w:top w:val="single" w:sz="4" w:space="0" w:color="auto"/>
              <w:left w:val="nil"/>
              <w:bottom w:val="single" w:sz="4" w:space="0" w:color="auto"/>
              <w:right w:val="nil"/>
            </w:tcBorders>
            <w:shd w:val="clear" w:color="auto" w:fill="auto"/>
          </w:tcPr>
          <w:p w14:paraId="0DE8640F" w14:textId="77777777" w:rsidR="009821F7" w:rsidRPr="00110460" w:rsidRDefault="009821F7" w:rsidP="00415A23">
            <w:pPr>
              <w:pStyle w:val="TableText0"/>
              <w:keepNext w:val="0"/>
              <w:spacing w:before="0" w:after="0"/>
              <w:ind w:left="111" w:right="117"/>
              <w:rPr>
                <w:rFonts w:cs="Calibri"/>
                <w:bCs/>
              </w:rPr>
            </w:pPr>
          </w:p>
        </w:tc>
        <w:tc>
          <w:tcPr>
            <w:tcW w:w="865" w:type="pct"/>
            <w:tcBorders>
              <w:top w:val="single" w:sz="4" w:space="0" w:color="auto"/>
              <w:left w:val="nil"/>
              <w:bottom w:val="single" w:sz="4" w:space="0" w:color="auto"/>
              <w:right w:val="nil"/>
            </w:tcBorders>
            <w:shd w:val="clear" w:color="auto" w:fill="auto"/>
          </w:tcPr>
          <w:p w14:paraId="2753461A" w14:textId="77777777" w:rsidR="009821F7" w:rsidRPr="00110460" w:rsidRDefault="009821F7" w:rsidP="00415A23">
            <w:pPr>
              <w:pStyle w:val="CommentTabletext"/>
              <w:spacing w:before="0" w:after="0"/>
              <w:rPr>
                <w:rFonts w:cs="Calibri"/>
                <w:bCs/>
                <w:i w:val="0"/>
                <w:lang w:eastAsia="en-US"/>
              </w:rPr>
            </w:pPr>
          </w:p>
        </w:tc>
        <w:tc>
          <w:tcPr>
            <w:tcW w:w="927" w:type="pct"/>
            <w:tcBorders>
              <w:top w:val="single" w:sz="4" w:space="0" w:color="auto"/>
              <w:left w:val="nil"/>
              <w:bottom w:val="single" w:sz="4" w:space="0" w:color="auto"/>
              <w:right w:val="nil"/>
            </w:tcBorders>
            <w:shd w:val="clear" w:color="auto" w:fill="auto"/>
          </w:tcPr>
          <w:p w14:paraId="40B52531" w14:textId="77777777" w:rsidR="009821F7" w:rsidRPr="00CD330B" w:rsidRDefault="009821F7" w:rsidP="00415A23">
            <w:pPr>
              <w:pStyle w:val="TableText0"/>
              <w:keepNext w:val="0"/>
              <w:spacing w:before="0" w:after="0"/>
              <w:ind w:left="41" w:right="117"/>
              <w:rPr>
                <w:bCs/>
              </w:rPr>
            </w:pPr>
          </w:p>
        </w:tc>
        <w:tc>
          <w:tcPr>
            <w:tcW w:w="851" w:type="pct"/>
            <w:tcBorders>
              <w:top w:val="single" w:sz="4" w:space="0" w:color="auto"/>
              <w:left w:val="nil"/>
              <w:bottom w:val="single" w:sz="4" w:space="0" w:color="auto"/>
              <w:right w:val="single" w:sz="4" w:space="0" w:color="auto"/>
            </w:tcBorders>
            <w:shd w:val="clear" w:color="auto" w:fill="auto"/>
          </w:tcPr>
          <w:p w14:paraId="0060A92A" w14:textId="77777777" w:rsidR="009821F7" w:rsidRPr="00CD330B" w:rsidRDefault="009821F7" w:rsidP="00415A23">
            <w:pPr>
              <w:pStyle w:val="TableText0"/>
              <w:keepNext w:val="0"/>
              <w:spacing w:before="0" w:after="0"/>
              <w:ind w:right="117"/>
              <w:rPr>
                <w:bCs/>
              </w:rPr>
            </w:pPr>
          </w:p>
        </w:tc>
      </w:tr>
      <w:tr w:rsidR="009821F7" w14:paraId="564E3C3D" w14:textId="77777777" w:rsidTr="009821F7">
        <w:trPr>
          <w:cantSplit/>
        </w:trPr>
        <w:tc>
          <w:tcPr>
            <w:tcW w:w="469" w:type="pct"/>
            <w:tcBorders>
              <w:top w:val="single" w:sz="4" w:space="0" w:color="auto"/>
              <w:left w:val="single" w:sz="4" w:space="0" w:color="auto"/>
              <w:bottom w:val="nil"/>
              <w:right w:val="single" w:sz="4" w:space="0" w:color="auto"/>
            </w:tcBorders>
            <w:shd w:val="clear" w:color="auto" w:fill="auto"/>
          </w:tcPr>
          <w:p w14:paraId="00115022" w14:textId="77777777" w:rsidR="009821F7" w:rsidRPr="00782BF6" w:rsidRDefault="00DD6551" w:rsidP="00415A23">
            <w:pPr>
              <w:pStyle w:val="TableText0"/>
              <w:keepNext w:val="0"/>
              <w:spacing w:before="0" w:after="0"/>
            </w:pPr>
            <w:hyperlink w:anchor="_ENREF_12" w:tooltip="Brown, 2013 #4" w:history="1">
              <w:r w:rsidR="009821F7" w:rsidRPr="00C72BAE">
                <w:fldChar w:fldCharType="begin">
                  <w:fldData xml:space="preserve">PEVuZE5vdGU+PENpdGUgQXV0aG9yWWVhcj0iMSI+PEF1dGhvcj5Ccm93bjwvQXV0aG9yPjxZZWFy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</w:fldData>
                </w:fldChar>
              </w:r>
              <w:r w:rsidR="009821F7" w:rsidRPr="00C72BAE">
                <w:instrText xml:space="preserve"> ADDIN EN.CITE </w:instrText>
              </w:r>
              <w:r w:rsidR="009821F7" w:rsidRPr="00C72BAE">
                <w:fldChar w:fldCharType="begin">
                  <w:fldData xml:space="preserve">PEVuZE5vdGU+PENpdGUgQXV0aG9yWWVhcj0iMSI+PEF1dGhvcj5Ccm93bjwvQXV0aG9yPjxZZWFy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</w:fldData>
                </w:fldChar>
              </w:r>
              <w:r w:rsidR="009821F7" w:rsidRPr="00C72BAE">
                <w:instrText xml:space="preserve"> ADDIN EN.CITE.DATA </w:instrText>
              </w:r>
              <w:r w:rsidR="009821F7" w:rsidRPr="00C72BAE">
                <w:fldChar w:fldCharType="end"/>
              </w:r>
              <w:r w:rsidR="009821F7" w:rsidRPr="00C72BAE">
                <w:fldChar w:fldCharType="separate"/>
              </w:r>
              <w:r w:rsidR="009821F7" w:rsidRPr="00C72BAE">
                <w:t>Brown et al. (2013)</w:t>
              </w:r>
              <w:r w:rsidR="009821F7" w:rsidRPr="00C72BAE">
                <w:fldChar w:fldCharType="end"/>
              </w:r>
            </w:hyperlink>
          </w:p>
        </w:tc>
        <w:tc>
          <w:tcPr>
            <w:tcW w:w="1022" w:type="pct"/>
            <w:tcBorders>
              <w:top w:val="single" w:sz="4" w:space="0" w:color="auto"/>
              <w:left w:val="single" w:sz="4" w:space="0" w:color="auto"/>
              <w:bottom w:val="single" w:sz="4" w:space="0" w:color="auto"/>
              <w:right w:val="single" w:sz="4" w:space="0" w:color="auto"/>
            </w:tcBorders>
          </w:tcPr>
          <w:p w14:paraId="333BD8D0" w14:textId="77777777" w:rsidR="009821F7" w:rsidRPr="008C7D1D" w:rsidRDefault="009821F7" w:rsidP="00415A23">
            <w:pPr>
              <w:pStyle w:val="TableText0"/>
              <w:keepNext w:val="0"/>
              <w:spacing w:before="0" w:after="0"/>
              <w:ind w:left="16" w:right="117"/>
              <w:rPr>
                <w:rFonts w:cs="Calibri"/>
              </w:rPr>
            </w:pPr>
            <w:r w:rsidRPr="00567B13">
              <w:rPr>
                <w:i/>
                <w:szCs w:val="20"/>
              </w:rPr>
              <w:t xml:space="preserve">Median </w:t>
            </w:r>
            <w:r>
              <w:rPr>
                <w:i/>
                <w:szCs w:val="20"/>
              </w:rPr>
              <w:t xml:space="preserve">(range) </w:t>
            </w:r>
            <w:r w:rsidRPr="00567B13">
              <w:rPr>
                <w:i/>
                <w:szCs w:val="20"/>
              </w:rPr>
              <w:t>% change</w:t>
            </w:r>
            <w:r w:rsidRPr="00567B13">
              <w:t xml:space="preserve"> in weight</w:t>
            </w:r>
            <w:r w:rsidRPr="009E3450">
              <w:t xml:space="preserve"> at completion of RT</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14:paraId="19F972E6" w14:textId="77777777" w:rsidR="009821F7" w:rsidRPr="00F43B2A" w:rsidRDefault="009821F7" w:rsidP="00415A23">
            <w:pPr>
              <w:pStyle w:val="TableText0"/>
              <w:keepNext w:val="0"/>
              <w:spacing w:before="0" w:after="0"/>
              <w:ind w:left="111" w:right="117"/>
              <w:jc w:val="center"/>
              <w:rPr>
                <w:rFonts w:cs="Calibri"/>
              </w:rPr>
            </w:pPr>
            <w:r w:rsidRPr="00F43B2A">
              <w:rPr>
                <w:rFonts w:cs="Calibri"/>
              </w:rPr>
              <w:t>-1.2</w:t>
            </w:r>
            <w:r>
              <w:rPr>
                <w:rFonts w:cs="Calibri"/>
              </w:rPr>
              <w:t xml:space="preserve"> (</w:t>
            </w:r>
            <w:r w:rsidRPr="00F43B2A">
              <w:rPr>
                <w:rFonts w:cs="Calibri"/>
              </w:rPr>
              <w:t>14 to -8.4)</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11B991E3" w14:textId="77777777" w:rsidR="009821F7" w:rsidRPr="00F43B2A" w:rsidRDefault="009821F7" w:rsidP="00415A23">
            <w:pPr>
              <w:pStyle w:val="CommentTabletext"/>
              <w:spacing w:before="0" w:after="0"/>
              <w:ind w:left="0"/>
              <w:jc w:val="center"/>
              <w:rPr>
                <w:rFonts w:cs="Calibri"/>
                <w:i w:val="0"/>
                <w:lang w:eastAsia="en-US"/>
              </w:rPr>
            </w:pPr>
            <w:r w:rsidRPr="00F43B2A">
              <w:rPr>
                <w:rFonts w:cs="Calibri"/>
                <w:i w:val="0"/>
                <w:lang w:eastAsia="en-US"/>
              </w:rPr>
              <w:t>-5.8 (5.8 to -17.1)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171E6B03" w14:textId="77777777" w:rsidR="009821F7" w:rsidRPr="00F43B2A" w:rsidRDefault="009821F7" w:rsidP="00415A23">
            <w:pPr>
              <w:pStyle w:val="TableText0"/>
              <w:keepNext w:val="0"/>
              <w:spacing w:before="0" w:after="0"/>
              <w:ind w:left="41" w:right="117"/>
              <w:jc w:val="center"/>
            </w:pPr>
            <w:r>
              <w:t>4.6</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4FC18C0" w14:textId="77777777" w:rsidR="009821F7" w:rsidRPr="00F43B2A" w:rsidRDefault="009821F7" w:rsidP="00415A23">
            <w:pPr>
              <w:pStyle w:val="TableText0"/>
              <w:keepNext w:val="0"/>
              <w:spacing w:before="0" w:after="0"/>
              <w:ind w:right="117"/>
              <w:jc w:val="center"/>
            </w:pPr>
            <w:r w:rsidRPr="00F43B2A">
              <w:t>0.004</w:t>
            </w:r>
          </w:p>
        </w:tc>
      </w:tr>
      <w:tr w:rsidR="009821F7" w:rsidRPr="00F957DA" w14:paraId="43C9AC4D" w14:textId="77777777" w:rsidTr="009821F7">
        <w:trPr>
          <w:cantSplit/>
        </w:trPr>
        <w:tc>
          <w:tcPr>
            <w:tcW w:w="469" w:type="pct"/>
            <w:tcBorders>
              <w:top w:val="nil"/>
              <w:left w:val="single" w:sz="4" w:space="0" w:color="auto"/>
              <w:bottom w:val="nil"/>
              <w:right w:val="single" w:sz="4" w:space="0" w:color="auto"/>
            </w:tcBorders>
            <w:shd w:val="clear" w:color="auto" w:fill="auto"/>
          </w:tcPr>
          <w:p w14:paraId="1269DCBC" w14:textId="77777777" w:rsidR="009821F7" w:rsidRDefault="009821F7" w:rsidP="00415A23">
            <w:pPr>
              <w:pStyle w:val="TableText0"/>
              <w:keepNext w:val="0"/>
              <w:spacing w:before="0" w:after="0"/>
            </w:pPr>
          </w:p>
        </w:tc>
        <w:tc>
          <w:tcPr>
            <w:tcW w:w="1022" w:type="pct"/>
            <w:tcBorders>
              <w:top w:val="single" w:sz="4" w:space="0" w:color="auto"/>
              <w:left w:val="single" w:sz="4" w:space="0" w:color="auto"/>
              <w:bottom w:val="single" w:sz="4" w:space="0" w:color="auto"/>
              <w:right w:val="single" w:sz="4" w:space="0" w:color="auto"/>
            </w:tcBorders>
          </w:tcPr>
          <w:p w14:paraId="0245D358" w14:textId="77777777" w:rsidR="009821F7" w:rsidRPr="009E3450" w:rsidRDefault="009821F7" w:rsidP="00415A23">
            <w:pPr>
              <w:pStyle w:val="TableText0"/>
              <w:keepNext w:val="0"/>
              <w:spacing w:before="0" w:after="0"/>
              <w:ind w:left="16" w:right="117"/>
              <w:rPr>
                <w:rFonts w:cs="Calibri"/>
                <w:i/>
                <w:iCs/>
              </w:rPr>
            </w:pPr>
            <w:r w:rsidRPr="009E3450">
              <w:rPr>
                <w:rFonts w:cs="Calibri"/>
                <w:i/>
                <w:iCs/>
              </w:rPr>
              <w:t>Weight loss ≤2%</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14:paraId="4BC98F8A" w14:textId="77777777" w:rsidR="009821F7" w:rsidRPr="009E3450" w:rsidRDefault="009821F7" w:rsidP="00415A23">
            <w:pPr>
              <w:pStyle w:val="TableText0"/>
              <w:keepNext w:val="0"/>
              <w:spacing w:before="0" w:after="0"/>
              <w:ind w:left="111" w:right="117"/>
              <w:jc w:val="center"/>
              <w:rPr>
                <w:rFonts w:cs="Calibri"/>
                <w:bCs/>
                <w:i/>
                <w:iCs/>
              </w:rPr>
            </w:pPr>
            <w:r w:rsidRPr="009E3450">
              <w:rPr>
                <w:rFonts w:cs="Calibri"/>
                <w:bCs/>
                <w:i/>
                <w:iCs/>
              </w:rPr>
              <w:t>12/19 (63)</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0E94804C" w14:textId="77777777" w:rsidR="009821F7" w:rsidRPr="009E3450" w:rsidRDefault="009821F7" w:rsidP="00415A23">
            <w:pPr>
              <w:pStyle w:val="CommentTabletext"/>
              <w:spacing w:before="0" w:after="0"/>
              <w:ind w:left="0"/>
              <w:jc w:val="center"/>
              <w:rPr>
                <w:rFonts w:cs="Calibri"/>
                <w:bCs/>
                <w:iCs/>
                <w:lang w:eastAsia="en-US"/>
              </w:rPr>
            </w:pPr>
            <w:r w:rsidRPr="009E3450">
              <w:rPr>
                <w:rFonts w:cs="Calibri"/>
                <w:bCs/>
                <w:iCs/>
                <w:lang w:eastAsia="en-US"/>
              </w:rPr>
              <w:t>3/14 (21)</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720AA1F2" w14:textId="77777777" w:rsidR="009821F7" w:rsidRPr="009E3450" w:rsidRDefault="009821F7" w:rsidP="00415A23">
            <w:pPr>
              <w:pStyle w:val="TableText0"/>
              <w:spacing w:before="0" w:after="0"/>
              <w:ind w:left="41" w:right="117"/>
              <w:jc w:val="center"/>
              <w:rPr>
                <w:bCs/>
                <w:i/>
                <w:iCs/>
              </w:rPr>
            </w:pPr>
            <w:r w:rsidRPr="009E3450">
              <w:rPr>
                <w:bCs/>
                <w:i/>
                <w:iCs/>
              </w:rPr>
              <w:t xml:space="preserve">0.42 </w:t>
            </w:r>
            <w:r>
              <w:rPr>
                <w:bCs/>
                <w:i/>
                <w:iCs/>
              </w:rPr>
              <w:t>(</w:t>
            </w:r>
            <w:r w:rsidRPr="009E3450">
              <w:rPr>
                <w:bCs/>
                <w:i/>
                <w:iCs/>
              </w:rPr>
              <w:t>0.11, 0.72</w:t>
            </w:r>
            <w:r>
              <w:rPr>
                <w:bCs/>
                <w:i/>
                <w:iCs/>
              </w:rPr>
              <w:t>)</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1CF3C5EA" w14:textId="77777777" w:rsidR="009821F7" w:rsidRPr="009E3450" w:rsidRDefault="009821F7" w:rsidP="00415A23">
            <w:pPr>
              <w:pStyle w:val="TableText0"/>
              <w:keepNext w:val="0"/>
              <w:spacing w:before="0" w:after="0"/>
              <w:ind w:right="117"/>
              <w:jc w:val="center"/>
              <w:rPr>
                <w:bCs/>
                <w:i/>
                <w:iCs/>
              </w:rPr>
            </w:pPr>
            <w:r w:rsidRPr="009E3450">
              <w:rPr>
                <w:bCs/>
                <w:i/>
                <w:iCs/>
              </w:rPr>
              <w:t>0.02 comparing weight loss &gt;2%</w:t>
            </w:r>
          </w:p>
          <w:p w14:paraId="4EFC655E" w14:textId="77777777" w:rsidR="009821F7" w:rsidRPr="009E3450" w:rsidRDefault="009821F7" w:rsidP="00415A23">
            <w:pPr>
              <w:pStyle w:val="TableText0"/>
              <w:keepNext w:val="0"/>
              <w:spacing w:before="0" w:after="0"/>
              <w:ind w:right="117"/>
              <w:jc w:val="center"/>
              <w:rPr>
                <w:bCs/>
                <w:i/>
                <w:iCs/>
              </w:rPr>
            </w:pPr>
            <w:r w:rsidRPr="009E3450">
              <w:rPr>
                <w:bCs/>
                <w:i/>
                <w:iCs/>
              </w:rPr>
              <w:t>0.004 comparing weight loss &gt;5%</w:t>
            </w:r>
          </w:p>
        </w:tc>
      </w:tr>
      <w:tr w:rsidR="009821F7" w14:paraId="6BE7748C" w14:textId="77777777" w:rsidTr="009821F7">
        <w:trPr>
          <w:cantSplit/>
        </w:trPr>
        <w:tc>
          <w:tcPr>
            <w:tcW w:w="469" w:type="pct"/>
            <w:tcBorders>
              <w:top w:val="nil"/>
              <w:left w:val="single" w:sz="4" w:space="0" w:color="auto"/>
              <w:bottom w:val="nil"/>
              <w:right w:val="single" w:sz="4" w:space="0" w:color="auto"/>
            </w:tcBorders>
            <w:shd w:val="clear" w:color="auto" w:fill="auto"/>
          </w:tcPr>
          <w:p w14:paraId="2AE3E80E" w14:textId="77777777" w:rsidR="009821F7" w:rsidRDefault="009821F7" w:rsidP="00415A23">
            <w:pPr>
              <w:pStyle w:val="TableText0"/>
              <w:keepNext w:val="0"/>
              <w:spacing w:before="0" w:after="0"/>
            </w:pPr>
          </w:p>
        </w:tc>
        <w:tc>
          <w:tcPr>
            <w:tcW w:w="1022" w:type="pct"/>
            <w:tcBorders>
              <w:top w:val="single" w:sz="4" w:space="0" w:color="auto"/>
              <w:left w:val="single" w:sz="4" w:space="0" w:color="auto"/>
              <w:bottom w:val="single" w:sz="4" w:space="0" w:color="auto"/>
              <w:right w:val="single" w:sz="4" w:space="0" w:color="auto"/>
            </w:tcBorders>
          </w:tcPr>
          <w:p w14:paraId="044A3203" w14:textId="77777777" w:rsidR="009821F7" w:rsidRPr="008A7875" w:rsidRDefault="009821F7" w:rsidP="00415A23">
            <w:pPr>
              <w:pStyle w:val="TableText0"/>
              <w:keepNext w:val="0"/>
              <w:spacing w:before="0" w:after="0"/>
              <w:ind w:left="16" w:right="117"/>
              <w:rPr>
                <w:rFonts w:cs="Calibri"/>
              </w:rPr>
            </w:pPr>
            <w:r w:rsidRPr="008C7D1D">
              <w:rPr>
                <w:rFonts w:cs="Calibri"/>
              </w:rPr>
              <w:t>&gt;5%-10%</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14:paraId="2D6D5729" w14:textId="77777777" w:rsidR="009821F7" w:rsidRPr="00F43B2A" w:rsidRDefault="009821F7" w:rsidP="00415A23">
            <w:pPr>
              <w:pStyle w:val="TableText0"/>
              <w:keepNext w:val="0"/>
              <w:spacing w:before="0" w:after="0"/>
              <w:ind w:left="111" w:right="117"/>
              <w:jc w:val="center"/>
              <w:rPr>
                <w:rFonts w:cs="Calibri"/>
              </w:rPr>
            </w:pPr>
            <w:r w:rsidRPr="00F43B2A">
              <w:rPr>
                <w:rFonts w:cs="Calibri"/>
              </w:rPr>
              <w:t>3/19 (16)</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56B590F7" w14:textId="77777777" w:rsidR="009821F7" w:rsidRPr="00F43B2A" w:rsidRDefault="009821F7" w:rsidP="00415A23">
            <w:pPr>
              <w:pStyle w:val="CommentTabletext"/>
              <w:spacing w:before="0" w:after="0"/>
              <w:ind w:left="0"/>
              <w:jc w:val="center"/>
              <w:rPr>
                <w:rFonts w:cs="Calibri"/>
                <w:i w:val="0"/>
                <w:lang w:eastAsia="en-US"/>
              </w:rPr>
            </w:pPr>
            <w:r w:rsidRPr="00F43B2A">
              <w:rPr>
                <w:rFonts w:cs="Calibri"/>
                <w:i w:val="0"/>
                <w:lang w:eastAsia="en-US"/>
              </w:rPr>
              <w:t>8/14 (57)</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0E87421A" w14:textId="77777777" w:rsidR="009821F7" w:rsidRPr="00F43B2A" w:rsidRDefault="009821F7" w:rsidP="00415A23">
            <w:pPr>
              <w:pStyle w:val="TableText0"/>
              <w:keepNext w:val="0"/>
              <w:spacing w:before="0" w:after="0"/>
              <w:ind w:left="41" w:right="117"/>
              <w:jc w:val="center"/>
              <w:rPr>
                <w:bCs/>
              </w:rPr>
            </w:pPr>
            <w:r>
              <w:rPr>
                <w:bCs/>
              </w:rPr>
              <w:t>-0.41 (</w:t>
            </w:r>
            <w:r w:rsidRPr="00F43B2A">
              <w:rPr>
                <w:bCs/>
              </w:rPr>
              <w:t>-0.74, -0.09</w:t>
            </w:r>
            <w:r>
              <w:rPr>
                <w:bCs/>
              </w:rPr>
              <w:t>)</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5FFA846" w14:textId="77777777" w:rsidR="009821F7" w:rsidRPr="009E3450" w:rsidRDefault="009821F7" w:rsidP="00415A23">
            <w:pPr>
              <w:pStyle w:val="TableText0"/>
              <w:keepNext w:val="0"/>
              <w:spacing w:before="0" w:after="0"/>
              <w:ind w:right="117"/>
              <w:jc w:val="center"/>
              <w:rPr>
                <w:i/>
                <w:iCs/>
              </w:rPr>
            </w:pPr>
            <w:r w:rsidRPr="009E3450">
              <w:rPr>
                <w:i/>
                <w:iCs/>
              </w:rPr>
              <w:t>0.004</w:t>
            </w:r>
          </w:p>
        </w:tc>
      </w:tr>
      <w:tr w:rsidR="009821F7" w14:paraId="52B0224A" w14:textId="77777777" w:rsidTr="009821F7">
        <w:trPr>
          <w:cantSplit/>
        </w:trPr>
        <w:tc>
          <w:tcPr>
            <w:tcW w:w="469" w:type="pct"/>
            <w:tcBorders>
              <w:top w:val="nil"/>
              <w:left w:val="single" w:sz="4" w:space="0" w:color="auto"/>
              <w:bottom w:val="nil"/>
              <w:right w:val="single" w:sz="4" w:space="0" w:color="auto"/>
            </w:tcBorders>
            <w:shd w:val="clear" w:color="auto" w:fill="auto"/>
            <w:vAlign w:val="center"/>
          </w:tcPr>
          <w:p w14:paraId="296F0716" w14:textId="77777777" w:rsidR="009821F7" w:rsidRDefault="009821F7" w:rsidP="00415A23">
            <w:pPr>
              <w:pStyle w:val="TableText0"/>
              <w:keepNext w:val="0"/>
              <w:spacing w:before="0" w:after="0"/>
            </w:pPr>
          </w:p>
        </w:tc>
        <w:tc>
          <w:tcPr>
            <w:tcW w:w="1022" w:type="pct"/>
            <w:tcBorders>
              <w:top w:val="single" w:sz="4" w:space="0" w:color="auto"/>
              <w:left w:val="single" w:sz="4" w:space="0" w:color="auto"/>
              <w:bottom w:val="single" w:sz="4" w:space="0" w:color="auto"/>
              <w:right w:val="single" w:sz="4" w:space="0" w:color="auto"/>
            </w:tcBorders>
          </w:tcPr>
          <w:p w14:paraId="236FA3F2" w14:textId="77777777" w:rsidR="009821F7" w:rsidRPr="009E3450" w:rsidRDefault="009821F7" w:rsidP="00415A23">
            <w:pPr>
              <w:pStyle w:val="TableText0"/>
              <w:keepNext w:val="0"/>
              <w:spacing w:before="0" w:after="0"/>
              <w:ind w:left="16" w:right="117"/>
              <w:rPr>
                <w:rFonts w:cs="Calibri"/>
                <w:i/>
                <w:iCs/>
              </w:rPr>
            </w:pPr>
            <w:r w:rsidRPr="009E3450">
              <w:rPr>
                <w:i/>
                <w:iCs/>
              </w:rPr>
              <w:t>Nausea/vomiting</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1434C" w14:textId="77777777" w:rsidR="009821F7" w:rsidRPr="009E3450" w:rsidRDefault="009821F7" w:rsidP="00415A23">
            <w:pPr>
              <w:pStyle w:val="TableText0"/>
              <w:keepNext w:val="0"/>
              <w:spacing w:before="0" w:after="0"/>
              <w:ind w:left="111" w:right="117"/>
              <w:jc w:val="center"/>
              <w:rPr>
                <w:rFonts w:cs="Calibri"/>
                <w:bCs/>
                <w:i/>
                <w:iCs/>
              </w:rP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EAF7FEC" w14:textId="77777777" w:rsidR="009821F7" w:rsidRPr="009E3450" w:rsidRDefault="009821F7" w:rsidP="00415A23">
            <w:pPr>
              <w:pStyle w:val="CommentTabletext"/>
              <w:spacing w:before="0" w:after="0"/>
              <w:ind w:left="0"/>
              <w:jc w:val="center"/>
              <w:rPr>
                <w:rFonts w:cs="Calibri"/>
                <w:bCs/>
                <w:iCs/>
                <w:lang w:eastAsia="en-US"/>
              </w:rPr>
            </w:pP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4DCB34E2" w14:textId="77777777" w:rsidR="009821F7" w:rsidRPr="00CD330B" w:rsidRDefault="009821F7" w:rsidP="00415A23">
            <w:pPr>
              <w:pStyle w:val="TableText0"/>
              <w:keepNext w:val="0"/>
              <w:spacing w:before="0" w:after="0"/>
              <w:ind w:left="41" w:right="117"/>
              <w:jc w:val="center"/>
              <w:rPr>
                <w:i/>
                <w:iCs/>
              </w:rPr>
            </w:pP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07B8AC21" w14:textId="77777777" w:rsidR="009821F7" w:rsidRPr="00CD330B" w:rsidRDefault="009821F7" w:rsidP="00415A23">
            <w:pPr>
              <w:pStyle w:val="TableText0"/>
              <w:keepNext w:val="0"/>
              <w:spacing w:before="0" w:after="0"/>
              <w:ind w:right="117"/>
              <w:jc w:val="center"/>
              <w:rPr>
                <w:bCs/>
                <w:i/>
                <w:iCs/>
              </w:rPr>
            </w:pPr>
          </w:p>
        </w:tc>
      </w:tr>
      <w:tr w:rsidR="009821F7" w14:paraId="00E31353" w14:textId="77777777" w:rsidTr="009821F7">
        <w:trPr>
          <w:cantSplit/>
        </w:trPr>
        <w:tc>
          <w:tcPr>
            <w:tcW w:w="469" w:type="pct"/>
            <w:tcBorders>
              <w:top w:val="nil"/>
              <w:left w:val="single" w:sz="4" w:space="0" w:color="auto"/>
              <w:bottom w:val="nil"/>
              <w:right w:val="single" w:sz="4" w:space="0" w:color="auto"/>
            </w:tcBorders>
            <w:shd w:val="clear" w:color="auto" w:fill="auto"/>
            <w:vAlign w:val="center"/>
          </w:tcPr>
          <w:p w14:paraId="4A20427B" w14:textId="77777777" w:rsidR="009821F7" w:rsidRDefault="009821F7" w:rsidP="00415A23">
            <w:pPr>
              <w:pStyle w:val="TableText0"/>
              <w:keepNext w:val="0"/>
              <w:spacing w:before="0" w:after="0"/>
            </w:pPr>
          </w:p>
        </w:tc>
        <w:tc>
          <w:tcPr>
            <w:tcW w:w="1022" w:type="pct"/>
            <w:tcBorders>
              <w:top w:val="single" w:sz="4" w:space="0" w:color="auto"/>
              <w:left w:val="single" w:sz="4" w:space="0" w:color="auto"/>
              <w:bottom w:val="single" w:sz="4" w:space="0" w:color="auto"/>
              <w:right w:val="single" w:sz="4" w:space="0" w:color="auto"/>
            </w:tcBorders>
          </w:tcPr>
          <w:p w14:paraId="52A33B1B" w14:textId="77777777" w:rsidR="009821F7" w:rsidRPr="009E3450" w:rsidRDefault="009821F7" w:rsidP="00415A23">
            <w:pPr>
              <w:pStyle w:val="TableText0"/>
              <w:keepNext w:val="0"/>
              <w:spacing w:before="0" w:after="0"/>
              <w:ind w:left="16" w:right="117"/>
              <w:rPr>
                <w:rFonts w:cs="Calibri"/>
                <w:i/>
                <w:iCs/>
              </w:rPr>
            </w:pPr>
            <w:r w:rsidRPr="009E3450">
              <w:rPr>
                <w:i/>
                <w:iCs/>
              </w:rPr>
              <w:t>Grade 1</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F4D27" w14:textId="77777777" w:rsidR="009821F7" w:rsidRPr="009E3450" w:rsidRDefault="009821F7" w:rsidP="00415A23">
            <w:pPr>
              <w:pStyle w:val="TableText0"/>
              <w:keepNext w:val="0"/>
              <w:spacing w:before="0" w:after="0"/>
              <w:ind w:left="111" w:right="117"/>
              <w:jc w:val="center"/>
              <w:rPr>
                <w:rFonts w:cs="Calibri"/>
                <w:bCs/>
                <w:i/>
                <w:iCs/>
              </w:rPr>
            </w:pPr>
            <w:r w:rsidRPr="009E3450">
              <w:rPr>
                <w:i/>
                <w:iCs/>
              </w:rPr>
              <w:t>10/19 (53)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ADFC2E8" w14:textId="77777777" w:rsidR="009821F7" w:rsidRPr="009E3450" w:rsidRDefault="009821F7" w:rsidP="00415A23">
            <w:pPr>
              <w:pStyle w:val="CommentTabletext"/>
              <w:spacing w:before="0" w:after="0"/>
              <w:ind w:left="0"/>
              <w:jc w:val="center"/>
              <w:rPr>
                <w:rFonts w:cs="Calibri"/>
                <w:bCs/>
                <w:iCs/>
                <w:lang w:eastAsia="en-US"/>
              </w:rPr>
            </w:pPr>
            <w:r w:rsidRPr="008C7D1D">
              <w:rPr>
                <w:iCs/>
              </w:rPr>
              <w:t>4/21 (19)</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55453424" w14:textId="77777777" w:rsidR="009821F7" w:rsidRPr="00CD330B" w:rsidRDefault="009821F7" w:rsidP="00415A23">
            <w:pPr>
              <w:pStyle w:val="TableText0"/>
              <w:keepNext w:val="0"/>
              <w:spacing w:before="0" w:after="0"/>
              <w:ind w:left="41" w:right="117"/>
              <w:jc w:val="center"/>
              <w:rPr>
                <w:bCs/>
                <w:i/>
                <w:iCs/>
              </w:rPr>
            </w:pPr>
            <w:r w:rsidRPr="00CD330B">
              <w:rPr>
                <w:i/>
                <w:iCs/>
              </w:rPr>
              <w:t xml:space="preserve">0.34 </w:t>
            </w:r>
            <w:r>
              <w:rPr>
                <w:i/>
                <w:iCs/>
              </w:rPr>
              <w:t>(</w:t>
            </w:r>
            <w:r w:rsidRPr="00CD330B">
              <w:rPr>
                <w:i/>
                <w:iCs/>
              </w:rPr>
              <w:t>0.06, 0.62</w:t>
            </w:r>
            <w:r>
              <w:rPr>
                <w:i/>
                <w:iCs/>
              </w:rPr>
              <w:t>)</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AEE3E90" w14:textId="77777777" w:rsidR="009821F7" w:rsidRPr="00CD330B" w:rsidRDefault="009821F7" w:rsidP="00415A23">
            <w:pPr>
              <w:pStyle w:val="TableText0"/>
              <w:keepNext w:val="0"/>
              <w:spacing w:before="0" w:after="0"/>
              <w:ind w:right="117"/>
              <w:jc w:val="center"/>
              <w:rPr>
                <w:bCs/>
              </w:rPr>
            </w:pPr>
          </w:p>
        </w:tc>
      </w:tr>
      <w:tr w:rsidR="009821F7" w14:paraId="3B5060DF" w14:textId="77777777" w:rsidTr="009821F7">
        <w:trPr>
          <w:cantSplit/>
        </w:trPr>
        <w:tc>
          <w:tcPr>
            <w:tcW w:w="469" w:type="pct"/>
            <w:tcBorders>
              <w:top w:val="nil"/>
              <w:left w:val="single" w:sz="4" w:space="0" w:color="auto"/>
              <w:bottom w:val="nil"/>
              <w:right w:val="single" w:sz="4" w:space="0" w:color="auto"/>
            </w:tcBorders>
            <w:shd w:val="clear" w:color="auto" w:fill="auto"/>
            <w:vAlign w:val="center"/>
          </w:tcPr>
          <w:p w14:paraId="2269180B" w14:textId="77777777" w:rsidR="009821F7" w:rsidRPr="00983E84" w:rsidRDefault="009821F7" w:rsidP="00415A23">
            <w:pPr>
              <w:pStyle w:val="TableText0"/>
              <w:keepNext w:val="0"/>
              <w:spacing w:before="0" w:after="0"/>
            </w:pPr>
          </w:p>
        </w:tc>
        <w:tc>
          <w:tcPr>
            <w:tcW w:w="1022" w:type="pct"/>
            <w:tcBorders>
              <w:top w:val="single" w:sz="4" w:space="0" w:color="auto"/>
              <w:left w:val="single" w:sz="4" w:space="0" w:color="auto"/>
              <w:bottom w:val="single" w:sz="4" w:space="0" w:color="auto"/>
              <w:right w:val="single" w:sz="4" w:space="0" w:color="auto"/>
            </w:tcBorders>
          </w:tcPr>
          <w:p w14:paraId="34CC1D03" w14:textId="77777777" w:rsidR="009821F7" w:rsidRPr="00983E84" w:rsidRDefault="009821F7" w:rsidP="00415A23">
            <w:pPr>
              <w:pStyle w:val="TableText0"/>
              <w:keepNext w:val="0"/>
              <w:spacing w:before="0" w:after="0"/>
              <w:ind w:left="16" w:right="117"/>
              <w:rPr>
                <w:rFonts w:cs="Calibri"/>
              </w:rPr>
            </w:pPr>
            <w:r w:rsidRPr="00983E84">
              <w:t>Grade 2</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1D838" w14:textId="77777777" w:rsidR="009821F7" w:rsidRPr="009E3450" w:rsidRDefault="009821F7" w:rsidP="00415A23">
            <w:pPr>
              <w:pStyle w:val="TableText0"/>
              <w:keepNext w:val="0"/>
              <w:spacing w:before="0" w:after="0"/>
              <w:ind w:left="111" w:right="117"/>
              <w:jc w:val="center"/>
              <w:rPr>
                <w:rFonts w:cs="Calibri"/>
                <w:bCs/>
                <w:i/>
                <w:iCs/>
              </w:rPr>
            </w:pPr>
            <w:r w:rsidRPr="009E3450">
              <w:rPr>
                <w:i/>
                <w:iCs/>
              </w:rPr>
              <w:t>5/19 (26)</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1508931" w14:textId="77777777" w:rsidR="009821F7" w:rsidRPr="009E3450" w:rsidRDefault="009821F7" w:rsidP="00415A23">
            <w:pPr>
              <w:pStyle w:val="CommentTabletext"/>
              <w:spacing w:before="0" w:after="0"/>
              <w:ind w:left="0"/>
              <w:jc w:val="center"/>
              <w:rPr>
                <w:rFonts w:cs="Calibri"/>
                <w:bCs/>
                <w:iCs/>
                <w:lang w:eastAsia="en-US"/>
              </w:rPr>
            </w:pPr>
            <w:r w:rsidRPr="008C7D1D">
              <w:rPr>
                <w:iCs/>
              </w:rPr>
              <w:t>15/21 (71)</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79ABD867" w14:textId="77777777" w:rsidR="009821F7" w:rsidRPr="00CD330B" w:rsidRDefault="009821F7" w:rsidP="00415A23">
            <w:pPr>
              <w:pStyle w:val="TableText0"/>
              <w:keepNext w:val="0"/>
              <w:spacing w:before="0" w:after="0"/>
              <w:ind w:left="41" w:right="117"/>
              <w:jc w:val="center"/>
              <w:rPr>
                <w:bCs/>
                <w:i/>
                <w:iCs/>
              </w:rPr>
            </w:pPr>
            <w:r>
              <w:rPr>
                <w:i/>
                <w:iCs/>
              </w:rPr>
              <w:t>-0.45 (</w:t>
            </w:r>
            <w:r w:rsidRPr="00CD330B">
              <w:rPr>
                <w:i/>
                <w:iCs/>
              </w:rPr>
              <w:t>-0.73, -0.17</w:t>
            </w:r>
            <w:r>
              <w:rPr>
                <w:i/>
                <w:iCs/>
              </w:rPr>
              <w:t>)</w:t>
            </w:r>
          </w:p>
        </w:tc>
        <w:tc>
          <w:tcPr>
            <w:tcW w:w="851" w:type="pct"/>
            <w:tcBorders>
              <w:top w:val="single" w:sz="4" w:space="0" w:color="auto"/>
              <w:left w:val="single" w:sz="4" w:space="0" w:color="auto"/>
              <w:bottom w:val="single" w:sz="4" w:space="0" w:color="auto"/>
              <w:right w:val="single" w:sz="4" w:space="0" w:color="auto"/>
            </w:tcBorders>
            <w:shd w:val="clear" w:color="auto" w:fill="auto"/>
            <w:vAlign w:val="center"/>
          </w:tcPr>
          <w:p w14:paraId="5099E76F" w14:textId="77777777" w:rsidR="009821F7" w:rsidRPr="00CD330B" w:rsidRDefault="009821F7" w:rsidP="00415A23">
            <w:pPr>
              <w:pStyle w:val="TableText0"/>
              <w:keepNext w:val="0"/>
              <w:spacing w:before="0" w:after="0"/>
              <w:ind w:right="117"/>
              <w:jc w:val="center"/>
              <w:rPr>
                <w:bCs/>
              </w:rPr>
            </w:pPr>
            <w:r w:rsidRPr="00CD330B">
              <w:rPr>
                <w:i/>
                <w:iCs/>
              </w:rPr>
              <w:t>0.004 comparing grade ≥2</w:t>
            </w:r>
          </w:p>
        </w:tc>
      </w:tr>
      <w:tr w:rsidR="009821F7" w:rsidRPr="00F957DA" w14:paraId="3539DC50" w14:textId="77777777" w:rsidTr="009821F7">
        <w:trPr>
          <w:cantSplit/>
        </w:trPr>
        <w:tc>
          <w:tcPr>
            <w:tcW w:w="469" w:type="pct"/>
            <w:tcBorders>
              <w:top w:val="nil"/>
              <w:left w:val="single" w:sz="4" w:space="0" w:color="auto"/>
              <w:bottom w:val="nil"/>
              <w:right w:val="single" w:sz="4" w:space="0" w:color="auto"/>
            </w:tcBorders>
            <w:shd w:val="clear" w:color="auto" w:fill="auto"/>
          </w:tcPr>
          <w:p w14:paraId="15A112CC" w14:textId="77777777" w:rsidR="009821F7" w:rsidRDefault="009821F7" w:rsidP="00415A23">
            <w:pPr>
              <w:pStyle w:val="TableText0"/>
              <w:keepNext w:val="0"/>
              <w:spacing w:before="0" w:after="0"/>
            </w:pPr>
          </w:p>
        </w:tc>
        <w:tc>
          <w:tcPr>
            <w:tcW w:w="1022" w:type="pct"/>
            <w:tcBorders>
              <w:top w:val="single" w:sz="4" w:space="0" w:color="auto"/>
              <w:left w:val="single" w:sz="4" w:space="0" w:color="auto"/>
              <w:bottom w:val="single" w:sz="4" w:space="0" w:color="auto"/>
              <w:right w:val="single" w:sz="4" w:space="0" w:color="auto"/>
            </w:tcBorders>
          </w:tcPr>
          <w:p w14:paraId="5F5AD008" w14:textId="77777777" w:rsidR="009821F7" w:rsidRPr="008A7875" w:rsidRDefault="009821F7" w:rsidP="00415A23">
            <w:pPr>
              <w:pStyle w:val="TableText0"/>
              <w:keepNext w:val="0"/>
              <w:spacing w:before="0" w:after="0"/>
              <w:ind w:left="16" w:right="117"/>
              <w:rPr>
                <w:rFonts w:cs="Calibri"/>
              </w:rPr>
            </w:pPr>
            <w:r w:rsidRPr="008C7D1D">
              <w:rPr>
                <w:rFonts w:cs="Calibri"/>
              </w:rPr>
              <w:t>Haemoglobin</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14:paraId="39EBBE64" w14:textId="77777777" w:rsidR="009821F7" w:rsidRPr="0016143B" w:rsidRDefault="009821F7" w:rsidP="00415A23">
            <w:pPr>
              <w:pStyle w:val="TableText0"/>
              <w:keepNext w:val="0"/>
              <w:spacing w:before="0" w:after="0"/>
              <w:ind w:left="111" w:right="117"/>
              <w:jc w:val="center"/>
              <w:rPr>
                <w:rFonts w:cs="Calibri"/>
                <w:bCs/>
              </w:rPr>
            </w:pP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23F3C2FE" w14:textId="77777777" w:rsidR="009821F7" w:rsidRPr="0016143B" w:rsidRDefault="009821F7" w:rsidP="00415A23">
            <w:pPr>
              <w:pStyle w:val="CommentTabletext"/>
              <w:spacing w:before="0" w:after="0"/>
              <w:jc w:val="center"/>
              <w:rPr>
                <w:rFonts w:cs="Calibri"/>
                <w:bCs/>
                <w:i w:val="0"/>
                <w:lang w:eastAsia="en-US"/>
              </w:rPr>
            </w:pP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598C5ABF" w14:textId="77777777" w:rsidR="009821F7" w:rsidRPr="00CD330B" w:rsidRDefault="009821F7" w:rsidP="00415A23">
            <w:pPr>
              <w:pStyle w:val="TableText0"/>
              <w:keepNext w:val="0"/>
              <w:spacing w:before="0" w:after="0"/>
              <w:ind w:left="41" w:right="117"/>
              <w:jc w:val="center"/>
              <w:rPr>
                <w:bCs/>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8822E5F" w14:textId="77777777" w:rsidR="009821F7" w:rsidRPr="00CD330B" w:rsidRDefault="009821F7" w:rsidP="00415A23">
            <w:pPr>
              <w:pStyle w:val="TableText0"/>
              <w:spacing w:before="0" w:after="0"/>
              <w:ind w:right="117"/>
              <w:jc w:val="center"/>
              <w:rPr>
                <w:i/>
                <w:iCs/>
              </w:rPr>
            </w:pPr>
          </w:p>
        </w:tc>
      </w:tr>
      <w:tr w:rsidR="009821F7" w:rsidRPr="00F957DA" w14:paraId="265CAA52" w14:textId="77777777" w:rsidTr="009821F7">
        <w:trPr>
          <w:cantSplit/>
        </w:trPr>
        <w:tc>
          <w:tcPr>
            <w:tcW w:w="469" w:type="pct"/>
            <w:tcBorders>
              <w:top w:val="nil"/>
              <w:left w:val="single" w:sz="4" w:space="0" w:color="auto"/>
              <w:bottom w:val="nil"/>
              <w:right w:val="single" w:sz="4" w:space="0" w:color="auto"/>
            </w:tcBorders>
            <w:shd w:val="clear" w:color="auto" w:fill="auto"/>
          </w:tcPr>
          <w:p w14:paraId="07C5AED3" w14:textId="77777777" w:rsidR="009821F7" w:rsidRDefault="009821F7" w:rsidP="00415A23">
            <w:pPr>
              <w:pStyle w:val="TableText0"/>
              <w:keepNext w:val="0"/>
              <w:spacing w:before="0" w:after="0"/>
            </w:pPr>
          </w:p>
        </w:tc>
        <w:tc>
          <w:tcPr>
            <w:tcW w:w="1022" w:type="pct"/>
            <w:tcBorders>
              <w:top w:val="single" w:sz="4" w:space="0" w:color="auto"/>
              <w:left w:val="single" w:sz="4" w:space="0" w:color="auto"/>
              <w:bottom w:val="single" w:sz="4" w:space="0" w:color="auto"/>
              <w:right w:val="single" w:sz="4" w:space="0" w:color="auto"/>
            </w:tcBorders>
          </w:tcPr>
          <w:p w14:paraId="45D08C40" w14:textId="77777777" w:rsidR="009821F7" w:rsidRPr="008A7875" w:rsidRDefault="009821F7" w:rsidP="00415A23">
            <w:pPr>
              <w:pStyle w:val="TableText0"/>
              <w:keepNext w:val="0"/>
              <w:spacing w:before="0" w:after="0"/>
              <w:ind w:left="16" w:right="117"/>
              <w:rPr>
                <w:rFonts w:cs="Calibri"/>
              </w:rPr>
            </w:pPr>
            <w:r w:rsidRPr="008C7D1D">
              <w:rPr>
                <w:rFonts w:cs="Calibri"/>
              </w:rPr>
              <w:t>Grade 1</w:t>
            </w:r>
            <w:r>
              <w:rPr>
                <w:rFonts w:cs="Calibri"/>
              </w:rPr>
              <w:br/>
            </w:r>
            <w:r w:rsidRPr="008C7D1D">
              <w:rPr>
                <w:rFonts w:cs="Calibri"/>
              </w:rPr>
              <w:t>(9.5-11</w:t>
            </w:r>
            <w:r>
              <w:rPr>
                <w:rFonts w:cs="Calibri"/>
              </w:rPr>
              <w:t> g/</w:t>
            </w:r>
            <w:proofErr w:type="spellStart"/>
            <w:r>
              <w:rPr>
                <w:rFonts w:cs="Calibri"/>
              </w:rPr>
              <w:t>dL</w:t>
            </w:r>
            <w:proofErr w:type="spellEnd"/>
            <w:r w:rsidRPr="008C7D1D">
              <w:rPr>
                <w:rFonts w:cs="Calibri"/>
              </w:rPr>
              <w:t>)</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14:paraId="6CA1448B" w14:textId="77777777" w:rsidR="009821F7" w:rsidRPr="00F43B2A" w:rsidRDefault="009821F7" w:rsidP="00415A23">
            <w:pPr>
              <w:pStyle w:val="TableText0"/>
              <w:keepNext w:val="0"/>
              <w:spacing w:before="0" w:after="0"/>
              <w:ind w:left="111" w:right="117"/>
              <w:jc w:val="center"/>
              <w:rPr>
                <w:rFonts w:cs="Calibri"/>
              </w:rPr>
            </w:pPr>
            <w:r w:rsidRPr="00F43B2A">
              <w:rPr>
                <w:rFonts w:cs="Calibri"/>
              </w:rPr>
              <w:t>1/19 (6)</w:t>
            </w:r>
          </w:p>
          <w:p w14:paraId="01CF8BC6" w14:textId="77777777" w:rsidR="009821F7" w:rsidRPr="00F43B2A" w:rsidRDefault="009821F7" w:rsidP="00415A23">
            <w:pPr>
              <w:pStyle w:val="TableText0"/>
              <w:spacing w:before="0" w:after="0"/>
              <w:ind w:left="111" w:right="117"/>
              <w:jc w:val="center"/>
              <w:rPr>
                <w:rFonts w:cs="Calibri"/>
                <w:bCs/>
                <w:i/>
                <w:iCs/>
              </w:rPr>
            </w:pPr>
            <w:r w:rsidRPr="00F43B2A">
              <w:rPr>
                <w:rFonts w:cs="Calibri"/>
                <w:bCs/>
                <w:i/>
                <w:iCs/>
              </w:rPr>
              <w:t>1/18 (6)</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1231E766" w14:textId="77777777" w:rsidR="009821F7" w:rsidRPr="00F43B2A" w:rsidRDefault="009821F7" w:rsidP="00415A23">
            <w:pPr>
              <w:pStyle w:val="CommentTabletext"/>
              <w:spacing w:before="0" w:after="0"/>
              <w:ind w:left="0"/>
              <w:jc w:val="center"/>
              <w:rPr>
                <w:rFonts w:cs="Calibri"/>
                <w:i w:val="0"/>
                <w:lang w:eastAsia="en-US"/>
              </w:rPr>
            </w:pPr>
            <w:r w:rsidRPr="00F43B2A">
              <w:rPr>
                <w:rFonts w:cs="Calibri"/>
                <w:i w:val="0"/>
                <w:lang w:eastAsia="en-US"/>
              </w:rPr>
              <w:t>10/20 (48)</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1F86FDF0" w14:textId="77777777" w:rsidR="009821F7" w:rsidRPr="00F43B2A" w:rsidRDefault="009821F7" w:rsidP="00415A23">
            <w:pPr>
              <w:pStyle w:val="TableText0"/>
              <w:keepNext w:val="0"/>
              <w:spacing w:before="0" w:after="0"/>
              <w:ind w:left="41" w:right="117"/>
              <w:jc w:val="center"/>
              <w:rPr>
                <w:bCs/>
              </w:rPr>
            </w:pPr>
            <w:r>
              <w:rPr>
                <w:bCs/>
              </w:rPr>
              <w:t>-0.45 (-0.73, -0.16)</w:t>
            </w:r>
          </w:p>
          <w:p w14:paraId="18C8AE6A" w14:textId="77777777" w:rsidR="009821F7" w:rsidRPr="00F43B2A" w:rsidRDefault="009821F7" w:rsidP="00415A23">
            <w:pPr>
              <w:pStyle w:val="TableText0"/>
              <w:keepNext w:val="0"/>
              <w:spacing w:before="0" w:after="0"/>
              <w:ind w:left="41" w:right="117"/>
              <w:jc w:val="center"/>
              <w:rPr>
                <w:i/>
                <w:iCs/>
              </w:rPr>
            </w:pPr>
            <w:r>
              <w:rPr>
                <w:i/>
                <w:iCs/>
              </w:rPr>
              <w:t>-0.44 (</w:t>
            </w:r>
            <w:r w:rsidRPr="00F43B2A">
              <w:rPr>
                <w:i/>
                <w:iCs/>
              </w:rPr>
              <w:t>-0.69, -0.20</w:t>
            </w:r>
            <w:r>
              <w:rPr>
                <w:i/>
                <w:iCs/>
              </w:rPr>
              <w:t>)</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5D7E442" w14:textId="77777777" w:rsidR="009821F7" w:rsidRPr="00F43B2A" w:rsidRDefault="009821F7" w:rsidP="00415A23">
            <w:pPr>
              <w:pStyle w:val="TableText0"/>
              <w:keepNext w:val="0"/>
              <w:spacing w:before="0" w:after="0"/>
              <w:ind w:right="117"/>
              <w:jc w:val="center"/>
              <w:rPr>
                <w:bCs/>
              </w:rPr>
            </w:pPr>
            <w:r w:rsidRPr="00CD330B">
              <w:rPr>
                <w:i/>
                <w:iCs/>
              </w:rPr>
              <w:t>0.04 comparing grade</w:t>
            </w:r>
            <w:r>
              <w:rPr>
                <w:i/>
                <w:iCs/>
              </w:rPr>
              <w:t xml:space="preserve"> </w:t>
            </w:r>
            <w:r w:rsidRPr="00CD330B">
              <w:rPr>
                <w:i/>
                <w:iCs/>
              </w:rPr>
              <w:t>≥1</w:t>
            </w:r>
          </w:p>
        </w:tc>
      </w:tr>
      <w:tr w:rsidR="009821F7" w:rsidRPr="00F957DA" w14:paraId="530D8468" w14:textId="77777777" w:rsidTr="009821F7">
        <w:trPr>
          <w:cantSplit/>
        </w:trPr>
        <w:tc>
          <w:tcPr>
            <w:tcW w:w="469" w:type="pct"/>
            <w:tcBorders>
              <w:top w:val="nil"/>
              <w:left w:val="single" w:sz="4" w:space="0" w:color="auto"/>
              <w:bottom w:val="nil"/>
              <w:right w:val="single" w:sz="4" w:space="0" w:color="auto"/>
            </w:tcBorders>
            <w:shd w:val="clear" w:color="auto" w:fill="auto"/>
          </w:tcPr>
          <w:p w14:paraId="4BFEC64F" w14:textId="77777777" w:rsidR="009821F7" w:rsidRPr="00F957DA" w:rsidRDefault="009821F7" w:rsidP="00415A23">
            <w:pPr>
              <w:pStyle w:val="TableText0"/>
              <w:spacing w:before="0" w:after="0"/>
            </w:pPr>
          </w:p>
        </w:tc>
        <w:tc>
          <w:tcPr>
            <w:tcW w:w="1022" w:type="pct"/>
            <w:tcBorders>
              <w:top w:val="single" w:sz="4" w:space="0" w:color="auto"/>
              <w:left w:val="single" w:sz="4" w:space="0" w:color="auto"/>
              <w:bottom w:val="single" w:sz="4" w:space="0" w:color="auto"/>
              <w:right w:val="single" w:sz="4" w:space="0" w:color="auto"/>
            </w:tcBorders>
          </w:tcPr>
          <w:p w14:paraId="080A9939" w14:textId="77777777" w:rsidR="009821F7" w:rsidRPr="009E3450" w:rsidRDefault="009821F7" w:rsidP="00415A23">
            <w:pPr>
              <w:pStyle w:val="TableText0"/>
              <w:spacing w:before="0" w:after="0"/>
              <w:ind w:left="16" w:right="117"/>
              <w:rPr>
                <w:rFonts w:cs="Calibri"/>
                <w:i/>
                <w:iCs/>
              </w:rPr>
            </w:pPr>
            <w:proofErr w:type="spellStart"/>
            <w:r w:rsidRPr="009E3450">
              <w:rPr>
                <w:rFonts w:cs="Calibri"/>
                <w:i/>
                <w:iCs/>
              </w:rPr>
              <w:t>Haematologic</w:t>
            </w:r>
            <w:proofErr w:type="spellEnd"/>
            <w:r w:rsidRPr="009E3450">
              <w:rPr>
                <w:rFonts w:cs="Calibri"/>
                <w:i/>
                <w:iCs/>
              </w:rPr>
              <w:t xml:space="preserve"> toxicity 1 month after completing RT</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14:paraId="19A4CEFD" w14:textId="77777777" w:rsidR="009821F7" w:rsidRPr="00F43B2A" w:rsidRDefault="009821F7" w:rsidP="00415A23">
            <w:pPr>
              <w:pStyle w:val="TableText0"/>
              <w:spacing w:before="0" w:after="0"/>
              <w:ind w:left="111" w:right="117"/>
              <w:jc w:val="center"/>
              <w:rPr>
                <w:rFonts w:cs="Calibri"/>
                <w:bCs/>
              </w:rPr>
            </w:pP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62A58AFD" w14:textId="77777777" w:rsidR="009821F7" w:rsidRPr="00F43B2A" w:rsidRDefault="009821F7" w:rsidP="00415A23">
            <w:pPr>
              <w:pStyle w:val="CommentTabletext"/>
              <w:spacing w:before="0" w:after="0"/>
              <w:jc w:val="center"/>
              <w:rPr>
                <w:rFonts w:cs="Calibri"/>
                <w:bCs/>
                <w:i w:val="0"/>
                <w:lang w:eastAsia="en-US"/>
              </w:rPr>
            </w:pP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03D1E5E7" w14:textId="77777777" w:rsidR="009821F7" w:rsidRPr="00F43B2A" w:rsidRDefault="009821F7" w:rsidP="00415A23">
            <w:pPr>
              <w:pStyle w:val="TableText0"/>
              <w:spacing w:before="0" w:after="0"/>
              <w:ind w:left="41" w:right="117"/>
              <w:jc w:val="center"/>
              <w:rPr>
                <w:bCs/>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266D882A" w14:textId="77777777" w:rsidR="009821F7" w:rsidRPr="00F43B2A" w:rsidRDefault="009821F7" w:rsidP="00415A23">
            <w:pPr>
              <w:pStyle w:val="TableText0"/>
              <w:spacing w:before="0" w:after="0"/>
              <w:ind w:right="117"/>
              <w:jc w:val="center"/>
              <w:rPr>
                <w:bCs/>
              </w:rPr>
            </w:pPr>
          </w:p>
        </w:tc>
      </w:tr>
      <w:tr w:rsidR="009821F7" w14:paraId="62FD1C60" w14:textId="77777777" w:rsidTr="009821F7">
        <w:trPr>
          <w:cantSplit/>
        </w:trPr>
        <w:tc>
          <w:tcPr>
            <w:tcW w:w="469" w:type="pct"/>
            <w:tcBorders>
              <w:top w:val="nil"/>
              <w:left w:val="single" w:sz="4" w:space="0" w:color="auto"/>
              <w:bottom w:val="single" w:sz="4" w:space="0" w:color="auto"/>
              <w:right w:val="single" w:sz="4" w:space="0" w:color="auto"/>
            </w:tcBorders>
            <w:shd w:val="clear" w:color="auto" w:fill="auto"/>
          </w:tcPr>
          <w:p w14:paraId="489D58C1" w14:textId="77777777" w:rsidR="009821F7" w:rsidRDefault="009821F7" w:rsidP="00415A23">
            <w:pPr>
              <w:pStyle w:val="TableText0"/>
              <w:keepNext w:val="0"/>
              <w:spacing w:before="0" w:after="0"/>
            </w:pPr>
          </w:p>
        </w:tc>
        <w:tc>
          <w:tcPr>
            <w:tcW w:w="1022" w:type="pct"/>
            <w:tcBorders>
              <w:top w:val="single" w:sz="4" w:space="0" w:color="auto"/>
              <w:left w:val="single" w:sz="4" w:space="0" w:color="auto"/>
              <w:bottom w:val="single" w:sz="4" w:space="0" w:color="auto"/>
              <w:right w:val="single" w:sz="4" w:space="0" w:color="auto"/>
            </w:tcBorders>
          </w:tcPr>
          <w:p w14:paraId="5762CF2F" w14:textId="77777777" w:rsidR="009821F7" w:rsidRPr="008A7875" w:rsidRDefault="009821F7" w:rsidP="00415A23">
            <w:pPr>
              <w:pStyle w:val="TableText0"/>
              <w:spacing w:before="0" w:after="0"/>
              <w:ind w:left="16" w:right="117"/>
              <w:rPr>
                <w:rFonts w:cs="Calibri"/>
              </w:rPr>
            </w:pPr>
            <w:r w:rsidRPr="00FF29CF">
              <w:rPr>
                <w:rFonts w:cs="Calibri"/>
                <w:i/>
              </w:rPr>
              <w:t xml:space="preserve">Median (range) % baseline </w:t>
            </w:r>
            <w:r>
              <w:rPr>
                <w:rFonts w:cs="Calibri"/>
              </w:rPr>
              <w:t>h</w:t>
            </w:r>
            <w:r w:rsidRPr="008C7D1D">
              <w:rPr>
                <w:rFonts w:cs="Calibri"/>
              </w:rPr>
              <w:t>aemoglobin</w:t>
            </w:r>
          </w:p>
        </w:tc>
        <w:tc>
          <w:tcPr>
            <w:tcW w:w="865" w:type="pct"/>
            <w:gridSpan w:val="2"/>
            <w:tcBorders>
              <w:top w:val="single" w:sz="4" w:space="0" w:color="auto"/>
              <w:left w:val="single" w:sz="4" w:space="0" w:color="auto"/>
              <w:bottom w:val="single" w:sz="4" w:space="0" w:color="auto"/>
              <w:right w:val="single" w:sz="4" w:space="0" w:color="auto"/>
            </w:tcBorders>
            <w:shd w:val="clear" w:color="auto" w:fill="auto"/>
          </w:tcPr>
          <w:p w14:paraId="04B32D92" w14:textId="77777777" w:rsidR="009821F7" w:rsidRPr="00F43B2A" w:rsidRDefault="009821F7" w:rsidP="00415A23">
            <w:pPr>
              <w:pStyle w:val="TableText0"/>
              <w:spacing w:before="0" w:after="0"/>
              <w:jc w:val="center"/>
              <w:rPr>
                <w:rFonts w:cs="Calibri"/>
              </w:rPr>
            </w:pPr>
            <w:r w:rsidRPr="00F43B2A">
              <w:rPr>
                <w:rFonts w:cs="Calibri"/>
              </w:rPr>
              <w:t>105 (74,</w:t>
            </w:r>
            <w:r>
              <w:rPr>
                <w:rFonts w:cs="Calibri"/>
              </w:rPr>
              <w:t xml:space="preserve"> </w:t>
            </w:r>
            <w:r w:rsidRPr="00F43B2A">
              <w:rPr>
                <w:rFonts w:cs="Calibri"/>
              </w:rPr>
              <w:t>124)</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68E7F84D" w14:textId="77777777" w:rsidR="009821F7" w:rsidRPr="00F43B2A" w:rsidRDefault="009821F7" w:rsidP="00415A23">
            <w:pPr>
              <w:pStyle w:val="CommentTabletext"/>
              <w:spacing w:before="0" w:after="0"/>
              <w:ind w:left="0"/>
              <w:jc w:val="center"/>
              <w:rPr>
                <w:rFonts w:cs="Calibri"/>
                <w:i w:val="0"/>
                <w:lang w:eastAsia="en-US"/>
              </w:rPr>
            </w:pPr>
            <w:r w:rsidRPr="00F43B2A">
              <w:rPr>
                <w:rFonts w:cs="Calibri"/>
                <w:i w:val="0"/>
                <w:lang w:eastAsia="en-US"/>
              </w:rPr>
              <w:t>88 (68,</w:t>
            </w:r>
            <w:r>
              <w:rPr>
                <w:rFonts w:cs="Calibri"/>
                <w:i w:val="0"/>
                <w:lang w:eastAsia="en-US"/>
              </w:rPr>
              <w:t xml:space="preserve"> </w:t>
            </w:r>
            <w:r w:rsidRPr="00F43B2A">
              <w:rPr>
                <w:rFonts w:cs="Calibri"/>
                <w:i w:val="0"/>
                <w:lang w:eastAsia="en-US"/>
              </w:rPr>
              <w:t>106)</w:t>
            </w:r>
          </w:p>
        </w:tc>
        <w:tc>
          <w:tcPr>
            <w:tcW w:w="927" w:type="pct"/>
            <w:tcBorders>
              <w:top w:val="single" w:sz="4" w:space="0" w:color="auto"/>
              <w:left w:val="single" w:sz="4" w:space="0" w:color="auto"/>
              <w:bottom w:val="single" w:sz="4" w:space="0" w:color="auto"/>
              <w:right w:val="single" w:sz="4" w:space="0" w:color="auto"/>
            </w:tcBorders>
            <w:shd w:val="clear" w:color="auto" w:fill="auto"/>
          </w:tcPr>
          <w:p w14:paraId="262DA001" w14:textId="77777777" w:rsidR="009821F7" w:rsidRPr="00F43B2A" w:rsidRDefault="009821F7" w:rsidP="00415A23">
            <w:pPr>
              <w:pStyle w:val="TableText0"/>
              <w:spacing w:before="0" w:after="0"/>
              <w:ind w:left="41" w:right="117"/>
              <w:jc w:val="center"/>
            </w:pPr>
            <w:r w:rsidRPr="00F43B2A">
              <w:t>17</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3F600DC5" w14:textId="77777777" w:rsidR="009821F7" w:rsidRPr="00F43B2A" w:rsidRDefault="009821F7" w:rsidP="00415A23">
            <w:pPr>
              <w:pStyle w:val="TableText0"/>
              <w:spacing w:before="0" w:after="0"/>
              <w:ind w:right="117"/>
              <w:jc w:val="center"/>
            </w:pPr>
            <w:r w:rsidRPr="00F43B2A">
              <w:t>0.002</w:t>
            </w:r>
          </w:p>
        </w:tc>
      </w:tr>
    </w:tbl>
    <w:p w14:paraId="2336789A" w14:textId="77777777" w:rsidR="009821F7" w:rsidRPr="00965B4D" w:rsidRDefault="009821F7" w:rsidP="00654AB1">
      <w:pPr>
        <w:pStyle w:val="Tablenotes"/>
      </w:pPr>
      <w:r w:rsidRPr="00965B4D">
        <w:t xml:space="preserve">Source: Table 6, </w:t>
      </w:r>
      <w:proofErr w:type="spellStart"/>
      <w:r w:rsidRPr="00965B4D">
        <w:t>pxix</w:t>
      </w:r>
      <w:proofErr w:type="spellEnd"/>
      <w:r w:rsidRPr="00965B4D">
        <w:t xml:space="preserve"> of the commentary</w:t>
      </w:r>
      <w:r w:rsidRPr="00965B4D">
        <w:br/>
        <w:t>Italicised text represents additional text in the commentary which was not included in the ADAR</w:t>
      </w:r>
      <w:r w:rsidRPr="00965B4D">
        <w:br/>
        <w:t>Abbreviations: CI=confidence interval; MD=mean difference; PBT=proton beam therapy; RD=risk difference; PRT=photon radiation therapy; RT=</w:t>
      </w:r>
      <w:r>
        <w:t>radiation therapy</w:t>
      </w:r>
    </w:p>
    <w:p w14:paraId="7BBD6ABB" w14:textId="02CDAF0F" w:rsidR="009821F7" w:rsidRPr="00DD6551" w:rsidRDefault="009821F7" w:rsidP="00DD6551">
      <w:pPr>
        <w:spacing w:before="240" w:after="240"/>
        <w:rPr>
          <w:b/>
          <w:szCs w:val="24"/>
        </w:rPr>
      </w:pPr>
      <w:r w:rsidRPr="00DD6551">
        <w:rPr>
          <w:b/>
          <w:szCs w:val="24"/>
        </w:rPr>
        <w:t>Paediatric and AYA patients with solid tumours located in the head, neck o</w:t>
      </w:r>
      <w:r w:rsidR="0017311D" w:rsidRPr="00DD6551">
        <w:rPr>
          <w:b/>
          <w:szCs w:val="24"/>
        </w:rPr>
        <w:t>r</w:t>
      </w:r>
      <w:r w:rsidRPr="00DD6551">
        <w:rPr>
          <w:b/>
          <w:szCs w:val="24"/>
        </w:rPr>
        <w:t xml:space="preserve"> trunk of the body (PICO 2)</w:t>
      </w:r>
    </w:p>
    <w:p w14:paraId="395A3534" w14:textId="7FFBFC69" w:rsidR="00415A23" w:rsidRPr="00415A23" w:rsidRDefault="009821F7" w:rsidP="00415A23">
      <w:pPr>
        <w:spacing w:after="240"/>
        <w:rPr>
          <w:rFonts w:eastAsia="Calibri" w:cs="Calibri"/>
        </w:rPr>
      </w:pPr>
      <w:r>
        <w:t>Based on the commentary evidence base, the commentary noted that PBT had comparable acute and late radiation-related toxicity rates to PRT. For systemic effects, one study noted a lower proportion of grade 3-4 thrombocytopenia in the PBT group (n=</w:t>
      </w:r>
      <w:r w:rsidRPr="003E04CA">
        <w:t>7/30</w:t>
      </w:r>
      <w:r>
        <w:t>;</w:t>
      </w:r>
      <w:r w:rsidRPr="003E04CA">
        <w:t xml:space="preserve"> 23</w:t>
      </w:r>
      <w:r>
        <w:t>%) compared with the PRT group (n=</w:t>
      </w:r>
      <w:r w:rsidRPr="003E04CA">
        <w:t>7/13</w:t>
      </w:r>
      <w:r>
        <w:t xml:space="preserve">; </w:t>
      </w:r>
      <w:r w:rsidRPr="003E04CA">
        <w:t>54</w:t>
      </w:r>
      <w:r>
        <w:t xml:space="preserve">%) in patients with various brain tumours, although there were significant differences in follow-up duration between the two groups. One study looking at </w:t>
      </w:r>
      <w:proofErr w:type="spellStart"/>
      <w:r>
        <w:t>medulloblastoma</w:t>
      </w:r>
      <w:proofErr w:type="spellEnd"/>
      <w:r>
        <w:t xml:space="preserve">, reported better neurocognitive outcomes in PBT patients compared to PRT patients. </w:t>
      </w:r>
      <w:r w:rsidRPr="7122CC1E">
        <w:rPr>
          <w:rFonts w:eastAsia="Calibri" w:cs="Calibri"/>
        </w:rPr>
        <w:t>The PRT group exhibited a significant decline in global IQ, working memory, and processing speed, whereas the PBT group exhibited stable scores over time in all domains except for processing speed (p=0.003).</w:t>
      </w:r>
      <w:r>
        <w:rPr>
          <w:rFonts w:eastAsia="Calibri" w:cs="Calibri"/>
        </w:rPr>
        <w:t xml:space="preserve">’ </w:t>
      </w:r>
      <w:r>
        <w:t xml:space="preserve">Toxicities for which statistical significance was reported are summarised in </w:t>
      </w:r>
      <w:r>
        <w:fldChar w:fldCharType="begin"/>
      </w:r>
      <w:r>
        <w:instrText xml:space="preserve"> REF _Ref50105926 \h </w:instrText>
      </w:r>
      <w:r>
        <w:fldChar w:fldCharType="separate"/>
      </w:r>
      <w:r w:rsidR="00810FF0">
        <w:t xml:space="preserve">Table </w:t>
      </w:r>
      <w:r w:rsidR="00810FF0">
        <w:rPr>
          <w:noProof/>
        </w:rPr>
        <w:t>10</w:t>
      </w:r>
      <w:r>
        <w:fldChar w:fldCharType="end"/>
      </w:r>
      <w:r>
        <w:t>.</w:t>
      </w:r>
      <w:bookmarkStart w:id="37" w:name="_Ref50105926"/>
      <w:bookmarkStart w:id="38" w:name="_Toc50391271"/>
      <w:r w:rsidR="00415A23">
        <w:rPr>
          <w:rFonts w:ascii="Arial Narrow" w:hAnsi="Arial Narrow"/>
          <w:b/>
          <w:sz w:val="20"/>
        </w:rPr>
        <w:br w:type="page"/>
      </w:r>
    </w:p>
    <w:p w14:paraId="2613AA3D" w14:textId="69D55CE9" w:rsidR="009821F7" w:rsidRPr="00DD6551" w:rsidRDefault="009821F7" w:rsidP="00DD6551">
      <w:pPr>
        <w:rPr>
          <w:rFonts w:ascii="Arial Narrow" w:eastAsia="Calibri" w:hAnsi="Arial Narrow"/>
          <w:b/>
          <w:sz w:val="20"/>
        </w:rPr>
      </w:pPr>
      <w:r w:rsidRPr="00DD6551">
        <w:rPr>
          <w:rFonts w:ascii="Arial Narrow" w:hAnsi="Arial Narrow"/>
          <w:b/>
          <w:sz w:val="20"/>
        </w:rPr>
        <w:t xml:space="preserve">Table </w:t>
      </w:r>
      <w:r w:rsidR="00FD0A9A" w:rsidRPr="00DD6551">
        <w:rPr>
          <w:rFonts w:ascii="Arial Narrow" w:hAnsi="Arial Narrow"/>
          <w:b/>
          <w:sz w:val="20"/>
        </w:rPr>
        <w:fldChar w:fldCharType="begin"/>
      </w:r>
      <w:r w:rsidR="00FD0A9A" w:rsidRPr="00DD6551">
        <w:rPr>
          <w:rFonts w:ascii="Arial Narrow" w:hAnsi="Arial Narrow"/>
          <w:b/>
          <w:sz w:val="20"/>
        </w:rPr>
        <w:instrText xml:space="preserve"> SEQ Table \* ARABIC </w:instrText>
      </w:r>
      <w:r w:rsidR="00FD0A9A" w:rsidRPr="00DD6551">
        <w:rPr>
          <w:rFonts w:ascii="Arial Narrow" w:hAnsi="Arial Narrow"/>
          <w:b/>
          <w:sz w:val="20"/>
        </w:rPr>
        <w:fldChar w:fldCharType="separate"/>
      </w:r>
      <w:r w:rsidR="00810FF0" w:rsidRPr="00DD6551">
        <w:rPr>
          <w:rFonts w:ascii="Arial Narrow" w:hAnsi="Arial Narrow"/>
          <w:b/>
          <w:sz w:val="20"/>
        </w:rPr>
        <w:t>10</w:t>
      </w:r>
      <w:r w:rsidR="00FD0A9A" w:rsidRPr="00DD6551">
        <w:rPr>
          <w:rFonts w:ascii="Arial Narrow" w:hAnsi="Arial Narrow"/>
          <w:b/>
          <w:sz w:val="20"/>
        </w:rPr>
        <w:fldChar w:fldCharType="end"/>
      </w:r>
      <w:bookmarkEnd w:id="37"/>
      <w:r w:rsidRPr="00DD6551">
        <w:rPr>
          <w:rFonts w:ascii="Arial Narrow" w:hAnsi="Arial Narrow"/>
          <w:b/>
          <w:sz w:val="20"/>
        </w:rPr>
        <w:tab/>
        <w:t>Summary of statistically significant toxicity data for the paediatric and AYA population</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ecutive summary table for safety in PICO 2"/>
        <w:tblDescription w:val="Summary of statistically significant toxicity data for adolescent and AYA population"/>
      </w:tblPr>
      <w:tblGrid>
        <w:gridCol w:w="1046"/>
        <w:gridCol w:w="2494"/>
        <w:gridCol w:w="566"/>
        <w:gridCol w:w="851"/>
        <w:gridCol w:w="1417"/>
        <w:gridCol w:w="1560"/>
        <w:gridCol w:w="1082"/>
      </w:tblGrid>
      <w:tr w:rsidR="009821F7" w:rsidRPr="0090417E" w14:paraId="3F1A9396" w14:textId="77777777" w:rsidTr="009821F7">
        <w:trPr>
          <w:cantSplit/>
          <w:tblHeader/>
        </w:trPr>
        <w:tc>
          <w:tcPr>
            <w:tcW w:w="580" w:type="pct"/>
            <w:tcBorders>
              <w:bottom w:val="single" w:sz="4" w:space="0" w:color="auto"/>
            </w:tcBorders>
            <w:shd w:val="clear" w:color="auto" w:fill="auto"/>
          </w:tcPr>
          <w:p w14:paraId="5B76A732" w14:textId="77777777" w:rsidR="009821F7" w:rsidRPr="0090417E" w:rsidRDefault="009821F7" w:rsidP="002236BD">
            <w:pPr>
              <w:pStyle w:val="Tabletextboldleft"/>
              <w:keepNext w:val="0"/>
              <w:rPr>
                <w:sz w:val="19"/>
                <w:szCs w:val="19"/>
              </w:rPr>
            </w:pPr>
            <w:r w:rsidRPr="0090417E">
              <w:rPr>
                <w:sz w:val="19"/>
                <w:szCs w:val="19"/>
              </w:rPr>
              <w:t>Study ID</w:t>
            </w:r>
          </w:p>
        </w:tc>
        <w:tc>
          <w:tcPr>
            <w:tcW w:w="1383" w:type="pct"/>
            <w:tcBorders>
              <w:bottom w:val="single" w:sz="4" w:space="0" w:color="auto"/>
            </w:tcBorders>
          </w:tcPr>
          <w:p w14:paraId="71F91C7A" w14:textId="77777777" w:rsidR="009821F7" w:rsidRPr="0090417E" w:rsidRDefault="009821F7" w:rsidP="002236BD">
            <w:pPr>
              <w:pStyle w:val="Tabletextboldleft"/>
              <w:keepNext w:val="0"/>
              <w:rPr>
                <w:sz w:val="19"/>
                <w:szCs w:val="19"/>
              </w:rPr>
            </w:pPr>
            <w:r w:rsidRPr="0090417E">
              <w:rPr>
                <w:sz w:val="19"/>
                <w:szCs w:val="19"/>
              </w:rPr>
              <w:t>Toxicity and grade</w:t>
            </w:r>
          </w:p>
        </w:tc>
        <w:tc>
          <w:tcPr>
            <w:tcW w:w="786" w:type="pct"/>
            <w:gridSpan w:val="2"/>
            <w:shd w:val="clear" w:color="auto" w:fill="auto"/>
          </w:tcPr>
          <w:p w14:paraId="7CC66310" w14:textId="77777777" w:rsidR="009821F7" w:rsidRPr="0090417E" w:rsidRDefault="009821F7" w:rsidP="002236BD">
            <w:pPr>
              <w:pStyle w:val="Tabletextboldleft"/>
              <w:keepNext w:val="0"/>
              <w:jc w:val="center"/>
              <w:rPr>
                <w:sz w:val="19"/>
                <w:szCs w:val="19"/>
              </w:rPr>
            </w:pPr>
            <w:r w:rsidRPr="0090417E">
              <w:rPr>
                <w:sz w:val="19"/>
                <w:szCs w:val="19"/>
              </w:rPr>
              <w:t>PBT</w:t>
            </w:r>
          </w:p>
          <w:p w14:paraId="61D348A2" w14:textId="77777777" w:rsidR="009821F7" w:rsidRPr="0090417E" w:rsidRDefault="009821F7" w:rsidP="002236BD">
            <w:pPr>
              <w:pStyle w:val="Tabletextboldleft"/>
              <w:keepNext w:val="0"/>
              <w:ind w:left="-109" w:right="-112"/>
              <w:jc w:val="center"/>
              <w:rPr>
                <w:sz w:val="19"/>
                <w:szCs w:val="19"/>
              </w:rPr>
            </w:pPr>
            <w:proofErr w:type="gramStart"/>
            <w:r w:rsidRPr="0090417E">
              <w:rPr>
                <w:sz w:val="19"/>
                <w:szCs w:val="19"/>
              </w:rPr>
              <w:t>n</w:t>
            </w:r>
            <w:proofErr w:type="gramEnd"/>
            <w:r w:rsidRPr="0090417E">
              <w:rPr>
                <w:sz w:val="19"/>
                <w:szCs w:val="19"/>
              </w:rPr>
              <w:t xml:space="preserve"> with event/N (%)</w:t>
            </w:r>
          </w:p>
        </w:tc>
        <w:tc>
          <w:tcPr>
            <w:tcW w:w="786" w:type="pct"/>
            <w:shd w:val="clear" w:color="auto" w:fill="auto"/>
          </w:tcPr>
          <w:p w14:paraId="01965761" w14:textId="77777777" w:rsidR="009821F7" w:rsidRPr="0090417E" w:rsidRDefault="009821F7" w:rsidP="002236BD">
            <w:pPr>
              <w:pStyle w:val="Tabletextboldleft"/>
              <w:keepNext w:val="0"/>
              <w:jc w:val="center"/>
              <w:rPr>
                <w:sz w:val="19"/>
                <w:szCs w:val="19"/>
              </w:rPr>
            </w:pPr>
            <w:r w:rsidRPr="0090417E">
              <w:rPr>
                <w:sz w:val="19"/>
                <w:szCs w:val="19"/>
              </w:rPr>
              <w:t>PRT</w:t>
            </w:r>
          </w:p>
          <w:p w14:paraId="7FA2E69F" w14:textId="77777777" w:rsidR="009821F7" w:rsidRPr="0090417E" w:rsidRDefault="009821F7" w:rsidP="002236BD">
            <w:pPr>
              <w:pStyle w:val="Tabletextboldleft"/>
              <w:keepNext w:val="0"/>
              <w:ind w:left="-108" w:right="-112"/>
              <w:jc w:val="center"/>
              <w:rPr>
                <w:sz w:val="19"/>
                <w:szCs w:val="19"/>
              </w:rPr>
            </w:pPr>
            <w:proofErr w:type="gramStart"/>
            <w:r w:rsidRPr="0090417E">
              <w:rPr>
                <w:sz w:val="19"/>
                <w:szCs w:val="19"/>
              </w:rPr>
              <w:t>n</w:t>
            </w:r>
            <w:proofErr w:type="gramEnd"/>
            <w:r w:rsidRPr="0090417E">
              <w:rPr>
                <w:sz w:val="19"/>
                <w:szCs w:val="19"/>
              </w:rPr>
              <w:t xml:space="preserve"> with event/N (%)</w:t>
            </w:r>
          </w:p>
        </w:tc>
        <w:tc>
          <w:tcPr>
            <w:tcW w:w="865" w:type="pct"/>
            <w:shd w:val="clear" w:color="auto" w:fill="auto"/>
          </w:tcPr>
          <w:p w14:paraId="27765F6B" w14:textId="77777777" w:rsidR="009821F7" w:rsidRPr="0090417E" w:rsidRDefault="009821F7" w:rsidP="002236BD">
            <w:pPr>
              <w:pStyle w:val="Tabletextboldleft"/>
              <w:keepNext w:val="0"/>
              <w:ind w:left="-108" w:right="-104"/>
              <w:jc w:val="center"/>
              <w:rPr>
                <w:sz w:val="19"/>
                <w:szCs w:val="19"/>
              </w:rPr>
            </w:pPr>
            <w:r w:rsidRPr="0090417E">
              <w:rPr>
                <w:sz w:val="19"/>
                <w:szCs w:val="19"/>
              </w:rPr>
              <w:t>Absolute difference</w:t>
            </w:r>
          </w:p>
          <w:p w14:paraId="0337626B" w14:textId="77777777" w:rsidR="009821F7" w:rsidRPr="0090417E" w:rsidRDefault="009821F7" w:rsidP="002236BD">
            <w:pPr>
              <w:pStyle w:val="Tabletextboldleft"/>
              <w:keepNext w:val="0"/>
              <w:jc w:val="center"/>
              <w:rPr>
                <w:sz w:val="19"/>
                <w:szCs w:val="19"/>
              </w:rPr>
            </w:pPr>
            <w:r w:rsidRPr="0090417E">
              <w:rPr>
                <w:sz w:val="19"/>
                <w:szCs w:val="19"/>
              </w:rPr>
              <w:t>(95% CI)</w:t>
            </w:r>
          </w:p>
        </w:tc>
        <w:tc>
          <w:tcPr>
            <w:tcW w:w="600" w:type="pct"/>
            <w:shd w:val="clear" w:color="auto" w:fill="auto"/>
          </w:tcPr>
          <w:p w14:paraId="7EC74E7A" w14:textId="77777777" w:rsidR="009821F7" w:rsidRPr="0090417E" w:rsidRDefault="009821F7" w:rsidP="002236BD">
            <w:pPr>
              <w:pStyle w:val="Tabletextboldleft"/>
              <w:keepNext w:val="0"/>
              <w:jc w:val="center"/>
              <w:rPr>
                <w:sz w:val="19"/>
                <w:szCs w:val="19"/>
              </w:rPr>
            </w:pPr>
            <w:r w:rsidRPr="0090417E">
              <w:rPr>
                <w:sz w:val="19"/>
                <w:szCs w:val="19"/>
              </w:rPr>
              <w:t>P-value</w:t>
            </w:r>
          </w:p>
        </w:tc>
      </w:tr>
      <w:tr w:rsidR="009821F7" w:rsidRPr="0090417E" w14:paraId="413CA977" w14:textId="77777777" w:rsidTr="009821F7">
        <w:trPr>
          <w:cantSplit/>
        </w:trPr>
        <w:tc>
          <w:tcPr>
            <w:tcW w:w="1963" w:type="pct"/>
            <w:gridSpan w:val="2"/>
            <w:tcBorders>
              <w:top w:val="single" w:sz="4" w:space="0" w:color="auto"/>
              <w:bottom w:val="nil"/>
              <w:right w:val="nil"/>
            </w:tcBorders>
            <w:shd w:val="clear" w:color="auto" w:fill="auto"/>
            <w:vAlign w:val="center"/>
          </w:tcPr>
          <w:p w14:paraId="799CB63C" w14:textId="77777777" w:rsidR="009821F7" w:rsidRPr="0090417E" w:rsidRDefault="009821F7" w:rsidP="002236BD">
            <w:pPr>
              <w:pStyle w:val="TableText0"/>
              <w:keepNext w:val="0"/>
              <w:spacing w:before="0" w:after="0"/>
              <w:rPr>
                <w:b/>
                <w:bCs/>
                <w:sz w:val="19"/>
                <w:szCs w:val="19"/>
              </w:rPr>
            </w:pPr>
            <w:r w:rsidRPr="0090417E">
              <w:rPr>
                <w:b/>
                <w:bCs/>
                <w:sz w:val="19"/>
                <w:szCs w:val="19"/>
              </w:rPr>
              <w:t>Acute toxicities</w:t>
            </w:r>
          </w:p>
        </w:tc>
        <w:tc>
          <w:tcPr>
            <w:tcW w:w="786" w:type="pct"/>
            <w:gridSpan w:val="2"/>
            <w:tcBorders>
              <w:left w:val="nil"/>
              <w:right w:val="nil"/>
            </w:tcBorders>
            <w:shd w:val="clear" w:color="auto" w:fill="auto"/>
            <w:vAlign w:val="center"/>
          </w:tcPr>
          <w:p w14:paraId="0C080659" w14:textId="77777777" w:rsidR="009821F7" w:rsidRPr="0090417E" w:rsidRDefault="009821F7" w:rsidP="002236BD">
            <w:pPr>
              <w:pStyle w:val="TableText0"/>
              <w:keepNext w:val="0"/>
              <w:spacing w:before="0" w:after="0"/>
              <w:rPr>
                <w:bCs/>
                <w:sz w:val="19"/>
                <w:szCs w:val="19"/>
              </w:rPr>
            </w:pPr>
          </w:p>
        </w:tc>
        <w:tc>
          <w:tcPr>
            <w:tcW w:w="786" w:type="pct"/>
            <w:tcBorders>
              <w:left w:val="nil"/>
              <w:right w:val="nil"/>
            </w:tcBorders>
            <w:shd w:val="clear" w:color="auto" w:fill="auto"/>
            <w:vAlign w:val="center"/>
          </w:tcPr>
          <w:p w14:paraId="2AE84333" w14:textId="77777777" w:rsidR="009821F7" w:rsidRPr="0090417E" w:rsidRDefault="009821F7" w:rsidP="002236BD">
            <w:pPr>
              <w:pStyle w:val="TableText0"/>
              <w:keepNext w:val="0"/>
              <w:spacing w:before="0" w:after="0"/>
              <w:rPr>
                <w:bCs/>
                <w:sz w:val="19"/>
                <w:szCs w:val="19"/>
              </w:rPr>
            </w:pPr>
          </w:p>
        </w:tc>
        <w:tc>
          <w:tcPr>
            <w:tcW w:w="865" w:type="pct"/>
            <w:tcBorders>
              <w:left w:val="nil"/>
              <w:bottom w:val="single" w:sz="4" w:space="0" w:color="auto"/>
              <w:right w:val="nil"/>
            </w:tcBorders>
            <w:shd w:val="clear" w:color="auto" w:fill="auto"/>
            <w:vAlign w:val="center"/>
          </w:tcPr>
          <w:p w14:paraId="2B66BE37" w14:textId="77777777" w:rsidR="009821F7" w:rsidRPr="0090417E" w:rsidRDefault="009821F7" w:rsidP="002236BD">
            <w:pPr>
              <w:pStyle w:val="TableText0"/>
              <w:keepNext w:val="0"/>
              <w:spacing w:before="0" w:after="0"/>
              <w:rPr>
                <w:bCs/>
                <w:sz w:val="19"/>
                <w:szCs w:val="19"/>
              </w:rPr>
            </w:pPr>
          </w:p>
        </w:tc>
        <w:tc>
          <w:tcPr>
            <w:tcW w:w="600" w:type="pct"/>
            <w:tcBorders>
              <w:left w:val="nil"/>
            </w:tcBorders>
            <w:shd w:val="clear" w:color="auto" w:fill="auto"/>
            <w:vAlign w:val="center"/>
          </w:tcPr>
          <w:p w14:paraId="1F9C10C9" w14:textId="77777777" w:rsidR="009821F7" w:rsidRPr="0090417E" w:rsidRDefault="009821F7" w:rsidP="002236BD">
            <w:pPr>
              <w:pStyle w:val="TableText0"/>
              <w:keepNext w:val="0"/>
              <w:spacing w:before="0" w:after="0"/>
              <w:rPr>
                <w:bCs/>
                <w:sz w:val="19"/>
                <w:szCs w:val="19"/>
              </w:rPr>
            </w:pPr>
          </w:p>
        </w:tc>
      </w:tr>
      <w:tr w:rsidR="009821F7" w:rsidRPr="0090417E" w14:paraId="454084AC" w14:textId="77777777" w:rsidTr="009821F7">
        <w:trPr>
          <w:cantSplit/>
        </w:trPr>
        <w:tc>
          <w:tcPr>
            <w:tcW w:w="580" w:type="pct"/>
            <w:tcBorders>
              <w:top w:val="single" w:sz="2" w:space="0" w:color="auto"/>
              <w:bottom w:val="single" w:sz="2" w:space="0" w:color="auto"/>
              <w:right w:val="single" w:sz="4" w:space="0" w:color="auto"/>
            </w:tcBorders>
            <w:shd w:val="clear" w:color="auto" w:fill="auto"/>
            <w:vAlign w:val="center"/>
          </w:tcPr>
          <w:p w14:paraId="4F3E07C8" w14:textId="77777777" w:rsidR="009821F7" w:rsidRPr="0090417E" w:rsidRDefault="00DD6551" w:rsidP="002236BD">
            <w:pPr>
              <w:pStyle w:val="TableText0"/>
              <w:keepNext w:val="0"/>
              <w:spacing w:before="0" w:after="0"/>
              <w:rPr>
                <w:sz w:val="19"/>
                <w:szCs w:val="19"/>
              </w:rPr>
            </w:pPr>
            <w:hyperlink w:anchor="_ENREF_50" w:tooltip="Song, 2014 #26" w:history="1">
              <w:r w:rsidR="009821F7" w:rsidRPr="0090417E">
                <w:rPr>
                  <w:sz w:val="19"/>
                  <w:szCs w:val="19"/>
                </w:rPr>
                <w:fldChar w:fldCharType="begin"/>
              </w:r>
              <w:r w:rsidR="009821F7" w:rsidRPr="0090417E">
                <w:rPr>
                  <w:sz w:val="19"/>
                  <w:szCs w:val="19"/>
                </w:rPr>
                <w:instrText xml:space="preserve"> ADDIN EN.CITE &lt;EndNote&gt;&lt;Cite AuthorYear="1"&gt;&lt;Author&gt;Song&lt;/Author&gt;&lt;Year&gt;2014&lt;/Year&gt;&lt;RecNum&gt;26&lt;/RecNum&gt;&lt;DisplayText&gt;Song et al. (2014)&lt;/DisplayText&gt;&lt;record&gt;&lt;rec-number&gt;26&lt;/rec-number&gt;&lt;foreign-keys&gt;&lt;key app="EN" db-id="exfrw2pee0v5z6evdr2xwspdfw0ezf5ttzwp" timestamp="1597622872"&gt;26&lt;/key&gt;&lt;/foreign-keys&gt;&lt;ref-type name="Journal Article"&gt;17&lt;/ref-type&gt;&lt;contributors&gt;&lt;authors&gt;&lt;author&gt;Song, S.&lt;/author&gt;&lt;author&gt;Park, H. J.&lt;/author&gt;&lt;author&gt;Yoon, J. H.&lt;/author&gt;&lt;author&gt;Kim, D. W.&lt;/author&gt;&lt;author&gt;Park, J.&lt;/author&gt;&lt;author&gt;Shin, D.&lt;/author&gt;&lt;author&gt;Shin, S. H.&lt;/author&gt;&lt;author&gt;Kang, H. J.&lt;/author&gt;&lt;author&gt;Kim, S. K.&lt;/author&gt;&lt;author&gt;Phi, J. H.&lt;/author&gt;&lt;author&gt;Kim, J. Y.&lt;/author&gt;&lt;/authors&gt;&lt;/contributors&gt;&lt;titles&gt;&lt;title&gt;Proton beam therapy reduces the incidence of acute haematological and gastrointestinal toxicities associated with craniospinal irradiation in pediatric brain tumors&lt;/title&gt;&lt;secondary-title&gt;Acta Oncol&lt;/secondary-title&gt;&lt;/titles&gt;&lt;periodical&gt;&lt;full-title&gt;Acta Oncol&lt;/full-title&gt;&lt;/periodical&gt;&lt;pages&gt;1158-64&lt;/pages&gt;&lt;volume&gt;53&lt;/volume&gt;&lt;number&gt;9&lt;/number&gt;&lt;dates&gt;&lt;year&gt;2014&lt;/year&gt;&lt;/dates&gt;&lt;accession-num&gt;24913151&lt;/accession-num&gt;&lt;urls&gt;&lt;related-urls&gt;&lt;url&gt;http://ezproxy.library.usyd.edu.au/login?url=http://ovidsp.ovid.com/ovidweb.cgi?T=JS&amp;amp;CSC=Y&amp;amp;NEWS=N&amp;amp;PAGE=fulltext&amp;amp;D=med11&amp;amp;AN=24913151https://sydney.alma.exlibrisgroup.com/openurl/61USYD_INST/61USYD_INST:sydney?sid=OVID:medline&amp;amp;id=pmid:24913151&amp;amp;id=doi:10.310&lt;/url&gt;&lt;url&gt;https://www.tandfonline.com/doi/pdf/10.3109/0284186X.2014.887225?needAccess=true&lt;/url&gt;&lt;/related-urls&gt;&lt;/urls&gt;&lt;electronic-resource-num&gt;https://dx.doi.org/10.3109/0284186X.2014.887225&lt;/electronic-resource-num&gt;&lt;/record&gt;&lt;/Cite&gt;&lt;/EndNote&gt;</w:instrText>
              </w:r>
              <w:r w:rsidR="009821F7" w:rsidRPr="0090417E">
                <w:rPr>
                  <w:sz w:val="19"/>
                  <w:szCs w:val="19"/>
                </w:rPr>
                <w:fldChar w:fldCharType="separate"/>
              </w:r>
              <w:r w:rsidR="009821F7" w:rsidRPr="0090417E">
                <w:rPr>
                  <w:noProof/>
                  <w:sz w:val="19"/>
                  <w:szCs w:val="19"/>
                </w:rPr>
                <w:t>Song et al. (2014)</w:t>
              </w:r>
              <w:r w:rsidR="009821F7" w:rsidRPr="0090417E">
                <w:rPr>
                  <w:sz w:val="19"/>
                  <w:szCs w:val="19"/>
                </w:rPr>
                <w:fldChar w:fldCharType="end"/>
              </w:r>
            </w:hyperlink>
          </w:p>
        </w:tc>
        <w:tc>
          <w:tcPr>
            <w:tcW w:w="1383" w:type="pct"/>
            <w:vAlign w:val="center"/>
          </w:tcPr>
          <w:p w14:paraId="19BD5D6C" w14:textId="77777777" w:rsidR="009821F7" w:rsidRPr="0090417E" w:rsidRDefault="009821F7" w:rsidP="002236BD">
            <w:pPr>
              <w:pStyle w:val="TableText0"/>
              <w:keepNext w:val="0"/>
              <w:spacing w:before="0" w:after="0"/>
              <w:rPr>
                <w:i/>
                <w:iCs/>
                <w:sz w:val="19"/>
                <w:szCs w:val="19"/>
              </w:rPr>
            </w:pPr>
            <w:r w:rsidRPr="0090417E">
              <w:rPr>
                <w:sz w:val="19"/>
                <w:szCs w:val="19"/>
              </w:rPr>
              <w:t xml:space="preserve">Diarrhoea </w:t>
            </w:r>
            <w:r w:rsidRPr="0090417E">
              <w:rPr>
                <w:i/>
                <w:iCs/>
                <w:sz w:val="19"/>
                <w:szCs w:val="19"/>
              </w:rPr>
              <w:t>(Grade 1-3)</w:t>
            </w:r>
          </w:p>
        </w:tc>
        <w:tc>
          <w:tcPr>
            <w:tcW w:w="786" w:type="pct"/>
            <w:gridSpan w:val="2"/>
            <w:shd w:val="clear" w:color="auto" w:fill="auto"/>
            <w:vAlign w:val="center"/>
          </w:tcPr>
          <w:p w14:paraId="10B5C2F1" w14:textId="77777777" w:rsidR="009821F7" w:rsidRPr="0090417E" w:rsidRDefault="009821F7" w:rsidP="002236BD">
            <w:pPr>
              <w:pStyle w:val="TableText0"/>
              <w:keepNext w:val="0"/>
              <w:spacing w:before="0" w:after="0"/>
              <w:jc w:val="center"/>
              <w:rPr>
                <w:sz w:val="19"/>
                <w:szCs w:val="19"/>
              </w:rPr>
            </w:pPr>
            <w:r w:rsidRPr="0090417E">
              <w:rPr>
                <w:bCs/>
                <w:sz w:val="19"/>
                <w:szCs w:val="19"/>
              </w:rPr>
              <w:t>0</w:t>
            </w:r>
          </w:p>
        </w:tc>
        <w:tc>
          <w:tcPr>
            <w:tcW w:w="786" w:type="pct"/>
            <w:shd w:val="clear" w:color="auto" w:fill="auto"/>
            <w:vAlign w:val="center"/>
          </w:tcPr>
          <w:p w14:paraId="28044EB3" w14:textId="77777777" w:rsidR="009821F7" w:rsidRPr="0090417E" w:rsidRDefault="009821F7" w:rsidP="002236BD">
            <w:pPr>
              <w:pStyle w:val="TableText0"/>
              <w:keepNext w:val="0"/>
              <w:spacing w:before="0" w:after="0"/>
              <w:jc w:val="center"/>
              <w:rPr>
                <w:sz w:val="19"/>
                <w:szCs w:val="19"/>
              </w:rPr>
            </w:pPr>
            <w:r w:rsidRPr="0090417E">
              <w:rPr>
                <w:bCs/>
                <w:sz w:val="19"/>
                <w:szCs w:val="19"/>
              </w:rPr>
              <w:t>3/13 (23)</w:t>
            </w:r>
          </w:p>
        </w:tc>
        <w:tc>
          <w:tcPr>
            <w:tcW w:w="865" w:type="pct"/>
            <w:shd w:val="clear" w:color="auto" w:fill="auto"/>
            <w:vAlign w:val="center"/>
          </w:tcPr>
          <w:p w14:paraId="484BF6E1" w14:textId="77777777" w:rsidR="009821F7" w:rsidRPr="0090417E" w:rsidRDefault="009821F7" w:rsidP="002236BD">
            <w:pPr>
              <w:pStyle w:val="TableText0"/>
              <w:keepNext w:val="0"/>
              <w:spacing w:before="0" w:after="0"/>
              <w:ind w:left="-108" w:right="-104"/>
              <w:jc w:val="center"/>
              <w:rPr>
                <w:sz w:val="19"/>
                <w:szCs w:val="19"/>
              </w:rPr>
            </w:pPr>
            <w:r w:rsidRPr="0090417E">
              <w:rPr>
                <w:bCs/>
                <w:sz w:val="19"/>
                <w:szCs w:val="19"/>
              </w:rPr>
              <w:t>-0.23 (-0.40, -0.06)</w:t>
            </w:r>
          </w:p>
        </w:tc>
        <w:tc>
          <w:tcPr>
            <w:tcW w:w="600" w:type="pct"/>
            <w:shd w:val="clear" w:color="auto" w:fill="auto"/>
            <w:vAlign w:val="center"/>
          </w:tcPr>
          <w:p w14:paraId="254AE504" w14:textId="77777777" w:rsidR="009821F7" w:rsidRPr="0090417E" w:rsidRDefault="009821F7" w:rsidP="002236BD">
            <w:pPr>
              <w:pStyle w:val="TableText0"/>
              <w:keepNext w:val="0"/>
              <w:spacing w:before="0" w:after="0"/>
              <w:jc w:val="center"/>
              <w:rPr>
                <w:sz w:val="19"/>
                <w:szCs w:val="19"/>
              </w:rPr>
            </w:pPr>
            <w:r w:rsidRPr="0090417E">
              <w:rPr>
                <w:bCs/>
                <w:sz w:val="19"/>
                <w:szCs w:val="19"/>
              </w:rPr>
              <w:t>0.023</w:t>
            </w:r>
          </w:p>
        </w:tc>
      </w:tr>
      <w:tr w:rsidR="009821F7" w:rsidRPr="0090417E" w14:paraId="2F624264" w14:textId="77777777" w:rsidTr="009821F7">
        <w:trPr>
          <w:cantSplit/>
        </w:trPr>
        <w:tc>
          <w:tcPr>
            <w:tcW w:w="1963" w:type="pct"/>
            <w:gridSpan w:val="2"/>
            <w:tcBorders>
              <w:top w:val="single" w:sz="2" w:space="0" w:color="auto"/>
              <w:bottom w:val="nil"/>
              <w:right w:val="nil"/>
            </w:tcBorders>
            <w:shd w:val="clear" w:color="auto" w:fill="auto"/>
            <w:vAlign w:val="center"/>
          </w:tcPr>
          <w:p w14:paraId="572E997E" w14:textId="77777777" w:rsidR="009821F7" w:rsidRPr="0090417E" w:rsidRDefault="009821F7" w:rsidP="002236BD">
            <w:pPr>
              <w:pStyle w:val="TableText0"/>
              <w:keepNext w:val="0"/>
              <w:spacing w:before="0" w:after="0"/>
              <w:rPr>
                <w:b/>
                <w:bCs/>
                <w:sz w:val="19"/>
                <w:szCs w:val="19"/>
              </w:rPr>
            </w:pPr>
            <w:r w:rsidRPr="0090417E">
              <w:rPr>
                <w:b/>
                <w:bCs/>
                <w:sz w:val="19"/>
                <w:szCs w:val="19"/>
              </w:rPr>
              <w:t>Late toxicities</w:t>
            </w:r>
          </w:p>
        </w:tc>
        <w:tc>
          <w:tcPr>
            <w:tcW w:w="786" w:type="pct"/>
            <w:gridSpan w:val="2"/>
            <w:tcBorders>
              <w:left w:val="nil"/>
              <w:right w:val="nil"/>
            </w:tcBorders>
            <w:shd w:val="clear" w:color="auto" w:fill="auto"/>
            <w:vAlign w:val="center"/>
          </w:tcPr>
          <w:p w14:paraId="31C35CE7" w14:textId="77777777" w:rsidR="009821F7" w:rsidRPr="0090417E" w:rsidRDefault="009821F7" w:rsidP="002236BD">
            <w:pPr>
              <w:pStyle w:val="TableText0"/>
              <w:keepNext w:val="0"/>
              <w:spacing w:before="0" w:after="0"/>
              <w:rPr>
                <w:bCs/>
                <w:sz w:val="19"/>
                <w:szCs w:val="19"/>
              </w:rPr>
            </w:pPr>
          </w:p>
        </w:tc>
        <w:tc>
          <w:tcPr>
            <w:tcW w:w="786" w:type="pct"/>
            <w:tcBorders>
              <w:left w:val="nil"/>
              <w:right w:val="nil"/>
            </w:tcBorders>
            <w:shd w:val="clear" w:color="auto" w:fill="auto"/>
            <w:vAlign w:val="center"/>
          </w:tcPr>
          <w:p w14:paraId="2ECFD380" w14:textId="77777777" w:rsidR="009821F7" w:rsidRPr="0090417E" w:rsidRDefault="009821F7" w:rsidP="002236BD">
            <w:pPr>
              <w:pStyle w:val="TableText0"/>
              <w:keepNext w:val="0"/>
              <w:spacing w:before="0" w:after="0"/>
              <w:rPr>
                <w:bCs/>
                <w:sz w:val="19"/>
                <w:szCs w:val="19"/>
              </w:rPr>
            </w:pPr>
          </w:p>
        </w:tc>
        <w:tc>
          <w:tcPr>
            <w:tcW w:w="865" w:type="pct"/>
            <w:tcBorders>
              <w:left w:val="nil"/>
              <w:right w:val="nil"/>
            </w:tcBorders>
            <w:shd w:val="clear" w:color="auto" w:fill="auto"/>
            <w:vAlign w:val="center"/>
          </w:tcPr>
          <w:p w14:paraId="75F19736" w14:textId="77777777" w:rsidR="009821F7" w:rsidRPr="0090417E" w:rsidRDefault="009821F7" w:rsidP="002236BD">
            <w:pPr>
              <w:pStyle w:val="TableText0"/>
              <w:keepNext w:val="0"/>
              <w:spacing w:before="0" w:after="0"/>
              <w:rPr>
                <w:bCs/>
                <w:sz w:val="19"/>
                <w:szCs w:val="19"/>
              </w:rPr>
            </w:pPr>
          </w:p>
        </w:tc>
        <w:tc>
          <w:tcPr>
            <w:tcW w:w="600" w:type="pct"/>
            <w:tcBorders>
              <w:left w:val="nil"/>
            </w:tcBorders>
            <w:shd w:val="clear" w:color="auto" w:fill="auto"/>
            <w:vAlign w:val="center"/>
          </w:tcPr>
          <w:p w14:paraId="5042D7EB" w14:textId="77777777" w:rsidR="009821F7" w:rsidRPr="0090417E" w:rsidRDefault="009821F7" w:rsidP="002236BD">
            <w:pPr>
              <w:pStyle w:val="TableText0"/>
              <w:keepNext w:val="0"/>
              <w:spacing w:before="0" w:after="0"/>
              <w:rPr>
                <w:bCs/>
                <w:sz w:val="19"/>
                <w:szCs w:val="19"/>
              </w:rPr>
            </w:pPr>
          </w:p>
        </w:tc>
      </w:tr>
      <w:tr w:rsidR="009821F7" w:rsidRPr="0090417E" w14:paraId="6061673D" w14:textId="77777777" w:rsidTr="009821F7">
        <w:trPr>
          <w:cantSplit/>
        </w:trPr>
        <w:tc>
          <w:tcPr>
            <w:tcW w:w="580" w:type="pct"/>
            <w:tcBorders>
              <w:top w:val="single" w:sz="2" w:space="0" w:color="auto"/>
              <w:bottom w:val="nil"/>
              <w:right w:val="nil"/>
            </w:tcBorders>
            <w:shd w:val="clear" w:color="auto" w:fill="auto"/>
            <w:vAlign w:val="center"/>
          </w:tcPr>
          <w:p w14:paraId="6799BF02" w14:textId="77777777" w:rsidR="009821F7" w:rsidRPr="0090417E" w:rsidRDefault="009821F7" w:rsidP="002236BD">
            <w:pPr>
              <w:pStyle w:val="TableText0"/>
              <w:keepNext w:val="0"/>
              <w:spacing w:before="0" w:after="0"/>
              <w:rPr>
                <w:sz w:val="19"/>
                <w:szCs w:val="19"/>
              </w:rPr>
            </w:pPr>
          </w:p>
        </w:tc>
        <w:tc>
          <w:tcPr>
            <w:tcW w:w="2169" w:type="pct"/>
            <w:gridSpan w:val="3"/>
            <w:tcBorders>
              <w:left w:val="nil"/>
              <w:right w:val="nil"/>
            </w:tcBorders>
            <w:vAlign w:val="center"/>
          </w:tcPr>
          <w:p w14:paraId="104190E9" w14:textId="77777777" w:rsidR="009821F7" w:rsidRPr="0090417E" w:rsidRDefault="009821F7" w:rsidP="002236BD">
            <w:pPr>
              <w:pStyle w:val="TableText0"/>
              <w:keepNext w:val="0"/>
              <w:spacing w:before="0" w:after="0"/>
              <w:rPr>
                <w:bCs/>
                <w:sz w:val="19"/>
                <w:szCs w:val="19"/>
              </w:rPr>
            </w:pPr>
            <w:r w:rsidRPr="0090417E">
              <w:rPr>
                <w:sz w:val="19"/>
                <w:szCs w:val="19"/>
              </w:rPr>
              <w:t>No significant differences reported</w:t>
            </w:r>
          </w:p>
        </w:tc>
        <w:tc>
          <w:tcPr>
            <w:tcW w:w="786" w:type="pct"/>
            <w:tcBorders>
              <w:left w:val="nil"/>
              <w:right w:val="nil"/>
            </w:tcBorders>
            <w:shd w:val="clear" w:color="auto" w:fill="auto"/>
            <w:vAlign w:val="center"/>
          </w:tcPr>
          <w:p w14:paraId="3E6104AD" w14:textId="77777777" w:rsidR="009821F7" w:rsidRPr="0090417E" w:rsidRDefault="009821F7" w:rsidP="002236BD">
            <w:pPr>
              <w:pStyle w:val="TableText0"/>
              <w:keepNext w:val="0"/>
              <w:spacing w:before="0" w:after="0"/>
              <w:rPr>
                <w:bCs/>
                <w:sz w:val="19"/>
                <w:szCs w:val="19"/>
              </w:rPr>
            </w:pPr>
          </w:p>
        </w:tc>
        <w:tc>
          <w:tcPr>
            <w:tcW w:w="865" w:type="pct"/>
            <w:tcBorders>
              <w:left w:val="nil"/>
              <w:right w:val="nil"/>
            </w:tcBorders>
            <w:shd w:val="clear" w:color="auto" w:fill="auto"/>
            <w:vAlign w:val="center"/>
          </w:tcPr>
          <w:p w14:paraId="2AFD2602" w14:textId="77777777" w:rsidR="009821F7" w:rsidRPr="0090417E" w:rsidRDefault="009821F7" w:rsidP="002236BD">
            <w:pPr>
              <w:pStyle w:val="TableText0"/>
              <w:keepNext w:val="0"/>
              <w:spacing w:before="0" w:after="0"/>
              <w:rPr>
                <w:bCs/>
                <w:sz w:val="19"/>
                <w:szCs w:val="19"/>
              </w:rPr>
            </w:pPr>
          </w:p>
        </w:tc>
        <w:tc>
          <w:tcPr>
            <w:tcW w:w="600" w:type="pct"/>
            <w:tcBorders>
              <w:left w:val="nil"/>
            </w:tcBorders>
            <w:shd w:val="clear" w:color="auto" w:fill="auto"/>
            <w:vAlign w:val="center"/>
          </w:tcPr>
          <w:p w14:paraId="4CA7E74E" w14:textId="77777777" w:rsidR="009821F7" w:rsidRPr="0090417E" w:rsidRDefault="009821F7" w:rsidP="002236BD">
            <w:pPr>
              <w:pStyle w:val="TableText0"/>
              <w:keepNext w:val="0"/>
              <w:spacing w:before="0" w:after="0"/>
              <w:rPr>
                <w:bCs/>
                <w:sz w:val="19"/>
                <w:szCs w:val="19"/>
              </w:rPr>
            </w:pPr>
          </w:p>
        </w:tc>
      </w:tr>
      <w:tr w:rsidR="009821F7" w:rsidRPr="0090417E" w14:paraId="13D96CEA" w14:textId="77777777" w:rsidTr="009821F7">
        <w:trPr>
          <w:cantSplit/>
        </w:trPr>
        <w:tc>
          <w:tcPr>
            <w:tcW w:w="1963" w:type="pct"/>
            <w:gridSpan w:val="2"/>
            <w:tcBorders>
              <w:top w:val="single" w:sz="2" w:space="0" w:color="auto"/>
              <w:bottom w:val="nil"/>
              <w:right w:val="nil"/>
            </w:tcBorders>
            <w:shd w:val="clear" w:color="auto" w:fill="auto"/>
            <w:vAlign w:val="center"/>
          </w:tcPr>
          <w:p w14:paraId="13C26914" w14:textId="77777777" w:rsidR="009821F7" w:rsidRPr="0090417E" w:rsidRDefault="009821F7" w:rsidP="002236BD">
            <w:pPr>
              <w:pStyle w:val="TableText0"/>
              <w:keepNext w:val="0"/>
              <w:spacing w:before="0" w:after="0"/>
              <w:rPr>
                <w:b/>
                <w:bCs/>
                <w:sz w:val="19"/>
                <w:szCs w:val="19"/>
              </w:rPr>
            </w:pPr>
            <w:r w:rsidRPr="0090417E">
              <w:rPr>
                <w:b/>
                <w:bCs/>
                <w:sz w:val="19"/>
                <w:szCs w:val="19"/>
              </w:rPr>
              <w:t>Systemic effects</w:t>
            </w:r>
          </w:p>
        </w:tc>
        <w:tc>
          <w:tcPr>
            <w:tcW w:w="786" w:type="pct"/>
            <w:gridSpan w:val="2"/>
            <w:tcBorders>
              <w:left w:val="nil"/>
              <w:right w:val="nil"/>
            </w:tcBorders>
            <w:shd w:val="clear" w:color="auto" w:fill="auto"/>
            <w:vAlign w:val="center"/>
          </w:tcPr>
          <w:p w14:paraId="2445D68B" w14:textId="77777777" w:rsidR="009821F7" w:rsidRPr="0090417E" w:rsidRDefault="009821F7" w:rsidP="002236BD">
            <w:pPr>
              <w:pStyle w:val="TableText0"/>
              <w:keepNext w:val="0"/>
              <w:spacing w:before="0" w:after="0"/>
              <w:rPr>
                <w:bCs/>
                <w:sz w:val="19"/>
                <w:szCs w:val="19"/>
              </w:rPr>
            </w:pPr>
          </w:p>
        </w:tc>
        <w:tc>
          <w:tcPr>
            <w:tcW w:w="786" w:type="pct"/>
            <w:tcBorders>
              <w:left w:val="nil"/>
              <w:right w:val="nil"/>
            </w:tcBorders>
            <w:shd w:val="clear" w:color="auto" w:fill="auto"/>
            <w:vAlign w:val="center"/>
          </w:tcPr>
          <w:p w14:paraId="264467C4" w14:textId="77777777" w:rsidR="009821F7" w:rsidRPr="0090417E" w:rsidRDefault="009821F7" w:rsidP="002236BD">
            <w:pPr>
              <w:pStyle w:val="TableText0"/>
              <w:keepNext w:val="0"/>
              <w:spacing w:before="0" w:after="0"/>
              <w:rPr>
                <w:bCs/>
                <w:sz w:val="19"/>
                <w:szCs w:val="19"/>
              </w:rPr>
            </w:pPr>
          </w:p>
        </w:tc>
        <w:tc>
          <w:tcPr>
            <w:tcW w:w="865" w:type="pct"/>
            <w:tcBorders>
              <w:left w:val="nil"/>
              <w:right w:val="nil"/>
            </w:tcBorders>
            <w:shd w:val="clear" w:color="auto" w:fill="auto"/>
            <w:vAlign w:val="center"/>
          </w:tcPr>
          <w:p w14:paraId="294D98CE" w14:textId="77777777" w:rsidR="009821F7" w:rsidRPr="0090417E" w:rsidRDefault="009821F7" w:rsidP="002236BD">
            <w:pPr>
              <w:pStyle w:val="TableText0"/>
              <w:keepNext w:val="0"/>
              <w:spacing w:before="0" w:after="0"/>
              <w:rPr>
                <w:bCs/>
                <w:sz w:val="19"/>
                <w:szCs w:val="19"/>
              </w:rPr>
            </w:pPr>
          </w:p>
        </w:tc>
        <w:tc>
          <w:tcPr>
            <w:tcW w:w="600" w:type="pct"/>
            <w:tcBorders>
              <w:left w:val="nil"/>
            </w:tcBorders>
            <w:shd w:val="clear" w:color="auto" w:fill="auto"/>
            <w:vAlign w:val="center"/>
          </w:tcPr>
          <w:p w14:paraId="20EBDF12" w14:textId="77777777" w:rsidR="009821F7" w:rsidRPr="0090417E" w:rsidRDefault="009821F7" w:rsidP="002236BD">
            <w:pPr>
              <w:pStyle w:val="TableText0"/>
              <w:keepNext w:val="0"/>
              <w:spacing w:before="0" w:after="0"/>
              <w:rPr>
                <w:bCs/>
                <w:sz w:val="19"/>
                <w:szCs w:val="19"/>
              </w:rPr>
            </w:pPr>
          </w:p>
        </w:tc>
      </w:tr>
      <w:tr w:rsidR="009821F7" w:rsidRPr="0090417E" w14:paraId="65A390A0" w14:textId="77777777" w:rsidTr="009821F7">
        <w:trPr>
          <w:cantSplit/>
        </w:trPr>
        <w:tc>
          <w:tcPr>
            <w:tcW w:w="580" w:type="pct"/>
            <w:tcBorders>
              <w:top w:val="single" w:sz="2" w:space="0" w:color="auto"/>
              <w:left w:val="single" w:sz="4" w:space="0" w:color="auto"/>
              <w:bottom w:val="nil"/>
              <w:right w:val="single" w:sz="4" w:space="0" w:color="auto"/>
            </w:tcBorders>
            <w:shd w:val="clear" w:color="auto" w:fill="auto"/>
            <w:vAlign w:val="center"/>
          </w:tcPr>
          <w:p w14:paraId="17340967" w14:textId="77777777" w:rsidR="009821F7" w:rsidRPr="0090417E" w:rsidRDefault="00DD6551" w:rsidP="002236BD">
            <w:pPr>
              <w:pStyle w:val="TableText0"/>
              <w:keepNext w:val="0"/>
              <w:spacing w:before="0" w:after="0"/>
              <w:rPr>
                <w:sz w:val="19"/>
                <w:szCs w:val="19"/>
              </w:rPr>
            </w:pPr>
            <w:hyperlink w:anchor="_ENREF_50" w:tooltip="Song, 2014 #26" w:history="1">
              <w:r w:rsidR="009821F7" w:rsidRPr="0090417E">
                <w:rPr>
                  <w:sz w:val="19"/>
                  <w:szCs w:val="19"/>
                </w:rPr>
                <w:fldChar w:fldCharType="begin"/>
              </w:r>
              <w:r w:rsidR="009821F7" w:rsidRPr="0090417E">
                <w:rPr>
                  <w:sz w:val="19"/>
                  <w:szCs w:val="19"/>
                </w:rPr>
                <w:instrText xml:space="preserve"> ADDIN EN.CITE &lt;EndNote&gt;&lt;Cite AuthorYear="1"&gt;&lt;Author&gt;Song&lt;/Author&gt;&lt;Year&gt;2014&lt;/Year&gt;&lt;RecNum&gt;26&lt;/RecNum&gt;&lt;DisplayText&gt;Song et al. (2014)&lt;/DisplayText&gt;&lt;record&gt;&lt;rec-number&gt;26&lt;/rec-number&gt;&lt;foreign-keys&gt;&lt;key app="EN" db-id="exfrw2pee0v5z6evdr2xwspdfw0ezf5ttzwp" timestamp="1597622872"&gt;26&lt;/key&gt;&lt;/foreign-keys&gt;&lt;ref-type name="Journal Article"&gt;17&lt;/ref-type&gt;&lt;contributors&gt;&lt;authors&gt;&lt;author&gt;Song, S.&lt;/author&gt;&lt;author&gt;Park, H. J.&lt;/author&gt;&lt;author&gt;Yoon, J. H.&lt;/author&gt;&lt;author&gt;Kim, D. W.&lt;/author&gt;&lt;author&gt;Park, J.&lt;/author&gt;&lt;author&gt;Shin, D.&lt;/author&gt;&lt;author&gt;Shin, S. H.&lt;/author&gt;&lt;author&gt;Kang, H. J.&lt;/author&gt;&lt;author&gt;Kim, S. K.&lt;/author&gt;&lt;author&gt;Phi, J. H.&lt;/author&gt;&lt;author&gt;Kim, J. Y.&lt;/author&gt;&lt;/authors&gt;&lt;/contributors&gt;&lt;titles&gt;&lt;title&gt;Proton beam therapy reduces the incidence of acute haematological and gastrointestinal toxicities associated with craniospinal irradiation in pediatric brain tumors&lt;/title&gt;&lt;secondary-title&gt;Acta Oncol&lt;/secondary-title&gt;&lt;/titles&gt;&lt;periodical&gt;&lt;full-title&gt;Acta Oncol&lt;/full-title&gt;&lt;/periodical&gt;&lt;pages&gt;1158-64&lt;/pages&gt;&lt;volume&gt;53&lt;/volume&gt;&lt;number&gt;9&lt;/number&gt;&lt;dates&gt;&lt;year&gt;2014&lt;/year&gt;&lt;/dates&gt;&lt;accession-num&gt;24913151&lt;/accession-num&gt;&lt;urls&gt;&lt;related-urls&gt;&lt;url&gt;http://ezproxy.library.usyd.edu.au/login?url=http://ovidsp.ovid.com/ovidweb.cgi?T=JS&amp;amp;CSC=Y&amp;amp;NEWS=N&amp;amp;PAGE=fulltext&amp;amp;D=med11&amp;amp;AN=24913151https://sydney.alma.exlibrisgroup.com/openurl/61USYD_INST/61USYD_INST:sydney?sid=OVID:medline&amp;amp;id=pmid:24913151&amp;amp;id=doi:10.310&lt;/url&gt;&lt;url&gt;https://www.tandfonline.com/doi/pdf/10.3109/0284186X.2014.887225?needAccess=true&lt;/url&gt;&lt;/related-urls&gt;&lt;/urls&gt;&lt;electronic-resource-num&gt;https://dx.doi.org/10.3109/0284186X.2014.887225&lt;/electronic-resource-num&gt;&lt;/record&gt;&lt;/Cite&gt;&lt;/EndNote&gt;</w:instrText>
              </w:r>
              <w:r w:rsidR="009821F7" w:rsidRPr="0090417E">
                <w:rPr>
                  <w:sz w:val="19"/>
                  <w:szCs w:val="19"/>
                </w:rPr>
                <w:fldChar w:fldCharType="separate"/>
              </w:r>
              <w:r w:rsidR="009821F7" w:rsidRPr="0090417E">
                <w:rPr>
                  <w:noProof/>
                  <w:sz w:val="19"/>
                  <w:szCs w:val="19"/>
                </w:rPr>
                <w:t>Song et al. (2014)</w:t>
              </w:r>
              <w:r w:rsidR="009821F7" w:rsidRPr="0090417E">
                <w:rPr>
                  <w:sz w:val="19"/>
                  <w:szCs w:val="19"/>
                </w:rPr>
                <w:fldChar w:fldCharType="end"/>
              </w:r>
            </w:hyperlink>
          </w:p>
        </w:tc>
        <w:tc>
          <w:tcPr>
            <w:tcW w:w="1383" w:type="pct"/>
            <w:tcBorders>
              <w:top w:val="single" w:sz="4" w:space="0" w:color="auto"/>
              <w:left w:val="single" w:sz="4" w:space="0" w:color="auto"/>
              <w:bottom w:val="single" w:sz="4" w:space="0" w:color="auto"/>
              <w:right w:val="single" w:sz="4" w:space="0" w:color="auto"/>
            </w:tcBorders>
            <w:vAlign w:val="center"/>
          </w:tcPr>
          <w:p w14:paraId="42597754" w14:textId="77777777" w:rsidR="009821F7" w:rsidRPr="0090417E" w:rsidRDefault="009821F7" w:rsidP="002236BD">
            <w:pPr>
              <w:pStyle w:val="TableText0"/>
              <w:keepNext w:val="0"/>
              <w:spacing w:before="0" w:after="0"/>
              <w:rPr>
                <w:sz w:val="19"/>
                <w:szCs w:val="19"/>
              </w:rPr>
            </w:pPr>
            <w:r w:rsidRPr="0090417E">
              <w:rPr>
                <w:sz w:val="19"/>
                <w:szCs w:val="19"/>
              </w:rPr>
              <w:t>Thrombocytopenia (grade 3-</w:t>
            </w:r>
            <w:r w:rsidRPr="0090417E" w:rsidDel="00516C4D">
              <w:rPr>
                <w:sz w:val="19"/>
                <w:szCs w:val="19"/>
              </w:rPr>
              <w:t>4</w:t>
            </w:r>
            <w:r w:rsidRPr="0090417E">
              <w:rPr>
                <w:sz w:val="19"/>
                <w:szCs w:val="19"/>
              </w:rPr>
              <w:t>)</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3B338" w14:textId="77777777" w:rsidR="009821F7" w:rsidRPr="0090417E" w:rsidRDefault="009821F7" w:rsidP="002236BD">
            <w:pPr>
              <w:pStyle w:val="TableText0"/>
              <w:keepNext w:val="0"/>
              <w:spacing w:before="0" w:after="0"/>
              <w:jc w:val="center"/>
              <w:rPr>
                <w:bCs/>
                <w:sz w:val="19"/>
                <w:szCs w:val="19"/>
              </w:rPr>
            </w:pPr>
            <w:r w:rsidRPr="0090417E">
              <w:rPr>
                <w:bCs/>
                <w:sz w:val="19"/>
                <w:szCs w:val="19"/>
              </w:rPr>
              <w:t>7/30 (23.3)</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93F6627" w14:textId="77777777" w:rsidR="009821F7" w:rsidRPr="0090417E" w:rsidRDefault="009821F7" w:rsidP="002236BD">
            <w:pPr>
              <w:pStyle w:val="TableText0"/>
              <w:keepNext w:val="0"/>
              <w:spacing w:before="0" w:after="0"/>
              <w:jc w:val="center"/>
              <w:rPr>
                <w:bCs/>
                <w:sz w:val="19"/>
                <w:szCs w:val="19"/>
              </w:rPr>
            </w:pPr>
            <w:r w:rsidRPr="0090417E">
              <w:rPr>
                <w:bCs/>
                <w:sz w:val="19"/>
                <w:szCs w:val="19"/>
              </w:rPr>
              <w:t>7/13 (54)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03EB4EC" w14:textId="77777777" w:rsidR="009821F7" w:rsidRPr="0090417E" w:rsidRDefault="009821F7" w:rsidP="002236BD">
            <w:pPr>
              <w:pStyle w:val="TableText0"/>
              <w:keepNext w:val="0"/>
              <w:spacing w:before="0" w:after="0"/>
              <w:jc w:val="center"/>
              <w:rPr>
                <w:bCs/>
                <w:sz w:val="19"/>
                <w:szCs w:val="19"/>
              </w:rPr>
            </w:pPr>
            <w:r w:rsidRPr="0090417E">
              <w:rPr>
                <w:bCs/>
                <w:sz w:val="19"/>
                <w:szCs w:val="19"/>
              </w:rPr>
              <w:t>-0.31 (-0.61, 0.00)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0AF718B" w14:textId="77777777" w:rsidR="009821F7" w:rsidRPr="0090417E" w:rsidRDefault="009821F7" w:rsidP="002236BD">
            <w:pPr>
              <w:pStyle w:val="TableText0"/>
              <w:keepNext w:val="0"/>
              <w:spacing w:before="0" w:after="0"/>
              <w:jc w:val="center"/>
              <w:rPr>
                <w:bCs/>
                <w:sz w:val="19"/>
                <w:szCs w:val="19"/>
              </w:rPr>
            </w:pPr>
            <w:r w:rsidRPr="0090417E">
              <w:rPr>
                <w:bCs/>
                <w:sz w:val="19"/>
                <w:szCs w:val="19"/>
              </w:rPr>
              <w:t>0.012</w:t>
            </w:r>
          </w:p>
        </w:tc>
      </w:tr>
      <w:tr w:rsidR="009821F7" w:rsidRPr="0090417E" w14:paraId="696D0D2B"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4EF03C01" w14:textId="77777777" w:rsidR="009821F7" w:rsidRPr="0090417E" w:rsidRDefault="009821F7" w:rsidP="002236BD">
            <w:pPr>
              <w:pStyle w:val="TableText0"/>
              <w:keepNext w:val="0"/>
              <w:spacing w:before="0" w:after="0"/>
              <w:rPr>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713AC468" w14:textId="77777777" w:rsidR="009821F7" w:rsidRPr="0090417E" w:rsidRDefault="009821F7" w:rsidP="002236BD">
            <w:pPr>
              <w:pStyle w:val="TableText0"/>
              <w:keepNext w:val="0"/>
              <w:spacing w:before="0" w:after="0"/>
              <w:ind w:right="-111"/>
              <w:rPr>
                <w:sz w:val="19"/>
                <w:szCs w:val="19"/>
              </w:rPr>
            </w:pPr>
            <w:r w:rsidRPr="0090417E">
              <w:rPr>
                <w:sz w:val="19"/>
                <w:szCs w:val="19"/>
              </w:rPr>
              <w:t xml:space="preserve">Haematological parameters change from before CSI to 1 month after treatment </w:t>
            </w:r>
            <w:proofErr w:type="spellStart"/>
            <w:r w:rsidRPr="0090417E">
              <w:rPr>
                <w:sz w:val="19"/>
                <w:szCs w:val="19"/>
              </w:rPr>
              <w:t>mean</w:t>
            </w:r>
            <w:r w:rsidRPr="0090417E">
              <w:rPr>
                <w:bCs/>
                <w:sz w:val="19"/>
                <w:szCs w:val="19"/>
              </w:rPr>
              <w:t>±</w:t>
            </w:r>
            <w:r w:rsidRPr="0090417E">
              <w:rPr>
                <w:sz w:val="19"/>
                <w:szCs w:val="19"/>
              </w:rPr>
              <w:t>SD</w:t>
            </w:r>
            <w:proofErr w:type="spellEnd"/>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DC602" w14:textId="77777777" w:rsidR="009821F7" w:rsidRPr="0090417E" w:rsidRDefault="009821F7" w:rsidP="002236BD">
            <w:pPr>
              <w:pStyle w:val="TableText0"/>
              <w:keepNext w:val="0"/>
              <w:spacing w:before="0" w:after="0"/>
              <w:jc w:val="center"/>
              <w:rPr>
                <w:bCs/>
                <w:sz w:val="19"/>
                <w:szCs w:val="19"/>
              </w:rPr>
            </w:pP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7F24139" w14:textId="77777777" w:rsidR="009821F7" w:rsidRPr="0090417E" w:rsidRDefault="009821F7" w:rsidP="002236BD">
            <w:pPr>
              <w:pStyle w:val="TableText0"/>
              <w:keepNext w:val="0"/>
              <w:spacing w:before="0" w:after="0"/>
              <w:jc w:val="center"/>
              <w:rPr>
                <w:bCs/>
                <w:sz w:val="19"/>
                <w:szCs w:val="19"/>
              </w:rP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3BD0358" w14:textId="77777777" w:rsidR="009821F7" w:rsidRPr="0090417E" w:rsidRDefault="009821F7" w:rsidP="002236BD">
            <w:pPr>
              <w:pStyle w:val="TableText0"/>
              <w:keepNext w:val="0"/>
              <w:spacing w:before="0" w:after="0"/>
              <w:jc w:val="center"/>
              <w:rPr>
                <w:bCs/>
                <w:sz w:val="19"/>
                <w:szCs w:val="19"/>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6536266D" w14:textId="77777777" w:rsidR="009821F7" w:rsidRPr="0090417E" w:rsidRDefault="009821F7" w:rsidP="002236BD">
            <w:pPr>
              <w:pStyle w:val="TableText0"/>
              <w:keepNext w:val="0"/>
              <w:spacing w:before="0" w:after="0"/>
              <w:jc w:val="center"/>
              <w:rPr>
                <w:bCs/>
                <w:sz w:val="19"/>
                <w:szCs w:val="19"/>
              </w:rPr>
            </w:pPr>
          </w:p>
        </w:tc>
      </w:tr>
      <w:tr w:rsidR="009821F7" w:rsidRPr="0090417E" w14:paraId="5CF26172"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179F2834" w14:textId="77777777" w:rsidR="009821F7" w:rsidRPr="0090417E" w:rsidRDefault="009821F7" w:rsidP="002236BD">
            <w:pPr>
              <w:pStyle w:val="TableText0"/>
              <w:keepNext w:val="0"/>
              <w:spacing w:before="0" w:after="0"/>
              <w:rPr>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4FD616DA" w14:textId="77777777" w:rsidR="009821F7" w:rsidRPr="0090417E" w:rsidRDefault="009821F7" w:rsidP="002236BD">
            <w:pPr>
              <w:pStyle w:val="TableText0"/>
              <w:keepNext w:val="0"/>
              <w:spacing w:before="0" w:after="0"/>
              <w:rPr>
                <w:sz w:val="19"/>
                <w:szCs w:val="19"/>
              </w:rPr>
            </w:pPr>
            <w:r w:rsidRPr="0090417E">
              <w:rPr>
                <w:sz w:val="19"/>
                <w:szCs w:val="19"/>
              </w:rPr>
              <w:t>White blood cell count (K/µl)</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7795E" w14:textId="77777777" w:rsidR="009821F7" w:rsidRPr="0090417E" w:rsidRDefault="009821F7" w:rsidP="002236BD">
            <w:pPr>
              <w:pStyle w:val="TableText0"/>
              <w:keepNext w:val="0"/>
              <w:spacing w:before="0" w:after="0"/>
              <w:jc w:val="center"/>
              <w:rPr>
                <w:bCs/>
                <w:sz w:val="19"/>
                <w:szCs w:val="19"/>
              </w:rPr>
            </w:pPr>
            <w:r w:rsidRPr="0090417E">
              <w:rPr>
                <w:bCs/>
                <w:sz w:val="19"/>
                <w:szCs w:val="19"/>
              </w:rPr>
              <w:t>-0.57±2.22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237F29F" w14:textId="77777777" w:rsidR="009821F7" w:rsidRPr="0090417E" w:rsidRDefault="009821F7" w:rsidP="002236BD">
            <w:pPr>
              <w:pStyle w:val="TableText0"/>
              <w:keepNext w:val="0"/>
              <w:spacing w:before="0" w:after="0"/>
              <w:jc w:val="center"/>
              <w:rPr>
                <w:bCs/>
                <w:sz w:val="19"/>
                <w:szCs w:val="19"/>
              </w:rPr>
            </w:pPr>
            <w:r w:rsidRPr="0090417E">
              <w:rPr>
                <w:bCs/>
                <w:sz w:val="19"/>
                <w:szCs w:val="19"/>
              </w:rPr>
              <w:t>-2.61±2.27</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763B80C" w14:textId="77777777" w:rsidR="009821F7" w:rsidRPr="0090417E" w:rsidRDefault="009821F7" w:rsidP="002236BD">
            <w:pPr>
              <w:pStyle w:val="TableText0"/>
              <w:keepNext w:val="0"/>
              <w:spacing w:before="0" w:after="0"/>
              <w:jc w:val="center"/>
              <w:rPr>
                <w:bCs/>
                <w:sz w:val="19"/>
                <w:szCs w:val="19"/>
              </w:rPr>
            </w:pPr>
            <w:r w:rsidRPr="0090417E">
              <w:rPr>
                <w:bCs/>
                <w:sz w:val="19"/>
                <w:szCs w:val="19"/>
              </w:rPr>
              <w:t>2.04 (0.57, 3.51)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6798689E" w14:textId="77777777" w:rsidR="009821F7" w:rsidRPr="0090417E" w:rsidRDefault="009821F7" w:rsidP="002236BD">
            <w:pPr>
              <w:pStyle w:val="TableText0"/>
              <w:keepNext w:val="0"/>
              <w:spacing w:before="0" w:after="0"/>
              <w:jc w:val="center"/>
              <w:rPr>
                <w:bCs/>
                <w:sz w:val="19"/>
                <w:szCs w:val="19"/>
              </w:rPr>
            </w:pPr>
            <w:r w:rsidRPr="0090417E">
              <w:rPr>
                <w:bCs/>
                <w:sz w:val="19"/>
                <w:szCs w:val="19"/>
              </w:rPr>
              <w:t>0.009</w:t>
            </w:r>
          </w:p>
        </w:tc>
      </w:tr>
      <w:tr w:rsidR="009821F7" w:rsidRPr="0090417E" w14:paraId="63A5A4B9" w14:textId="77777777" w:rsidTr="009821F7">
        <w:trPr>
          <w:cantSplit/>
        </w:trPr>
        <w:tc>
          <w:tcPr>
            <w:tcW w:w="580" w:type="pct"/>
            <w:tcBorders>
              <w:top w:val="nil"/>
              <w:left w:val="single" w:sz="4" w:space="0" w:color="auto"/>
              <w:bottom w:val="single" w:sz="4" w:space="0" w:color="auto"/>
              <w:right w:val="single" w:sz="4" w:space="0" w:color="auto"/>
            </w:tcBorders>
            <w:shd w:val="clear" w:color="auto" w:fill="auto"/>
            <w:vAlign w:val="center"/>
          </w:tcPr>
          <w:p w14:paraId="59912968" w14:textId="77777777" w:rsidR="009821F7" w:rsidRPr="0090417E" w:rsidRDefault="009821F7" w:rsidP="002236BD">
            <w:pPr>
              <w:pStyle w:val="TableText0"/>
              <w:keepNext w:val="0"/>
              <w:spacing w:before="0" w:after="0"/>
              <w:rPr>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30EE5033" w14:textId="77777777" w:rsidR="009821F7" w:rsidRPr="0090417E" w:rsidRDefault="009821F7" w:rsidP="002236BD">
            <w:pPr>
              <w:pStyle w:val="TableText0"/>
              <w:keepNext w:val="0"/>
              <w:spacing w:before="0" w:after="0"/>
              <w:rPr>
                <w:sz w:val="19"/>
                <w:szCs w:val="19"/>
              </w:rPr>
            </w:pPr>
            <w:r w:rsidRPr="0090417E">
              <w:rPr>
                <w:sz w:val="19"/>
                <w:szCs w:val="19"/>
              </w:rPr>
              <w:t>Platelet count* (x10</w:t>
            </w:r>
            <w:r w:rsidRPr="0090417E">
              <w:rPr>
                <w:sz w:val="19"/>
                <w:szCs w:val="19"/>
                <w:vertAlign w:val="superscript"/>
              </w:rPr>
              <w:t>5</w:t>
            </w:r>
            <w:r w:rsidRPr="0090417E">
              <w:rPr>
                <w:sz w:val="19"/>
                <w:szCs w:val="19"/>
              </w:rPr>
              <w:t xml:space="preserve"> cells/µl)</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79110" w14:textId="77777777" w:rsidR="009821F7" w:rsidRPr="0090417E" w:rsidRDefault="009821F7" w:rsidP="002236BD">
            <w:pPr>
              <w:pStyle w:val="TableText0"/>
              <w:keepNext w:val="0"/>
              <w:spacing w:before="0" w:after="0"/>
              <w:jc w:val="center"/>
              <w:rPr>
                <w:bCs/>
                <w:sz w:val="19"/>
                <w:szCs w:val="19"/>
              </w:rPr>
            </w:pPr>
            <w:r w:rsidRPr="0090417E">
              <w:rPr>
                <w:bCs/>
                <w:sz w:val="19"/>
                <w:szCs w:val="19"/>
              </w:rPr>
              <w:t>-0.68±0.72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8D4F92B" w14:textId="77777777" w:rsidR="009821F7" w:rsidRPr="0090417E" w:rsidRDefault="009821F7" w:rsidP="002236BD">
            <w:pPr>
              <w:pStyle w:val="TableText0"/>
              <w:keepNext w:val="0"/>
              <w:spacing w:before="0" w:after="0"/>
              <w:jc w:val="center"/>
              <w:rPr>
                <w:bCs/>
                <w:sz w:val="19"/>
                <w:szCs w:val="19"/>
              </w:rPr>
            </w:pPr>
            <w:r w:rsidRPr="0090417E">
              <w:rPr>
                <w:bCs/>
                <w:sz w:val="19"/>
                <w:szCs w:val="19"/>
              </w:rPr>
              <w:t>-2.74±2.28</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D679EBD" w14:textId="77777777" w:rsidR="009821F7" w:rsidRPr="0090417E" w:rsidRDefault="009821F7" w:rsidP="002236BD">
            <w:pPr>
              <w:pStyle w:val="TableText0"/>
              <w:keepNext w:val="0"/>
              <w:spacing w:before="0" w:after="0"/>
              <w:jc w:val="center"/>
              <w:rPr>
                <w:bCs/>
                <w:sz w:val="19"/>
                <w:szCs w:val="19"/>
              </w:rPr>
            </w:pPr>
            <w:r w:rsidRPr="0090417E">
              <w:rPr>
                <w:bCs/>
                <w:sz w:val="19"/>
                <w:szCs w:val="19"/>
              </w:rPr>
              <w:t>2.06 (0.79, 3.33)</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B41BABC" w14:textId="77777777" w:rsidR="009821F7" w:rsidRPr="0090417E" w:rsidRDefault="009821F7" w:rsidP="002236BD">
            <w:pPr>
              <w:pStyle w:val="TableText0"/>
              <w:keepNext w:val="0"/>
              <w:spacing w:before="0" w:after="0"/>
              <w:jc w:val="center"/>
              <w:rPr>
                <w:bCs/>
                <w:sz w:val="19"/>
                <w:szCs w:val="19"/>
              </w:rPr>
            </w:pPr>
            <w:r w:rsidRPr="0090417E">
              <w:rPr>
                <w:bCs/>
                <w:sz w:val="19"/>
                <w:szCs w:val="19"/>
              </w:rPr>
              <w:t>0.007</w:t>
            </w:r>
          </w:p>
        </w:tc>
      </w:tr>
      <w:tr w:rsidR="009821F7" w:rsidRPr="0090417E" w14:paraId="0F41F05D" w14:textId="77777777" w:rsidTr="009821F7">
        <w:trPr>
          <w:cantSplit/>
        </w:trPr>
        <w:tc>
          <w:tcPr>
            <w:tcW w:w="580" w:type="pct"/>
            <w:tcBorders>
              <w:top w:val="single" w:sz="4" w:space="0" w:color="auto"/>
              <w:left w:val="single" w:sz="4" w:space="0" w:color="auto"/>
              <w:bottom w:val="nil"/>
              <w:right w:val="single" w:sz="4" w:space="0" w:color="auto"/>
            </w:tcBorders>
            <w:shd w:val="clear" w:color="auto" w:fill="auto"/>
            <w:vAlign w:val="center"/>
          </w:tcPr>
          <w:p w14:paraId="64AD32A8" w14:textId="77777777" w:rsidR="009821F7" w:rsidRPr="0090417E" w:rsidRDefault="00DD6551" w:rsidP="002236BD">
            <w:pPr>
              <w:pStyle w:val="TableText0"/>
              <w:keepNext w:val="0"/>
              <w:spacing w:before="0" w:after="0"/>
              <w:rPr>
                <w:noProof/>
                <w:sz w:val="19"/>
                <w:szCs w:val="19"/>
              </w:rPr>
            </w:pPr>
            <w:hyperlink w:anchor="_ENREF_16" w:tooltip="Eaton, 2016 #16" w:history="1">
              <w:r w:rsidR="009821F7" w:rsidRPr="0090417E">
                <w:rPr>
                  <w:noProof/>
                  <w:sz w:val="19"/>
                  <w:szCs w:val="19"/>
                </w:rPr>
                <w:fldChar w:fldCharType="begin">
                  <w:fldData xml:space="preserve">PEVuZE5vdGU+PENpdGUgQXV0aG9yWWVhcj0iMSI+PEF1dGhvcj5FYXRvbjwvQXV0aG9yPjxZZWFy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</w:fldData>
                </w:fldChar>
              </w:r>
              <w:r w:rsidR="009821F7" w:rsidRPr="0090417E">
                <w:rPr>
                  <w:noProof/>
                  <w:sz w:val="19"/>
                  <w:szCs w:val="19"/>
                </w:rPr>
                <w:instrText xml:space="preserve"> ADDIN EN.CITE </w:instrText>
              </w:r>
              <w:r w:rsidR="009821F7" w:rsidRPr="0090417E">
                <w:rPr>
                  <w:noProof/>
                  <w:sz w:val="19"/>
                  <w:szCs w:val="19"/>
                </w:rPr>
                <w:fldChar w:fldCharType="begin">
                  <w:fldData xml:space="preserve">PEVuZE5vdGU+PENpdGUgQXV0aG9yWWVhcj0iMSI+PEF1dGhvcj5FYXRvbjwvQXV0aG9yPjxZZWFy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</w:fldData>
                </w:fldChar>
              </w:r>
              <w:r w:rsidR="009821F7" w:rsidRPr="0090417E">
                <w:rPr>
                  <w:noProof/>
                  <w:sz w:val="19"/>
                  <w:szCs w:val="19"/>
                </w:rPr>
                <w:instrText xml:space="preserve"> ADDIN EN.CITE.DATA </w:instrText>
              </w:r>
              <w:r w:rsidR="009821F7" w:rsidRPr="0090417E">
                <w:rPr>
                  <w:noProof/>
                  <w:sz w:val="19"/>
                  <w:szCs w:val="19"/>
                </w:rPr>
              </w:r>
              <w:r w:rsidR="009821F7" w:rsidRPr="0090417E">
                <w:rPr>
                  <w:noProof/>
                  <w:sz w:val="19"/>
                  <w:szCs w:val="19"/>
                </w:rPr>
                <w:fldChar w:fldCharType="end"/>
              </w:r>
              <w:r w:rsidR="009821F7" w:rsidRPr="0090417E">
                <w:rPr>
                  <w:noProof/>
                  <w:sz w:val="19"/>
                  <w:szCs w:val="19"/>
                </w:rPr>
              </w:r>
              <w:r w:rsidR="009821F7" w:rsidRPr="0090417E">
                <w:rPr>
                  <w:noProof/>
                  <w:sz w:val="19"/>
                  <w:szCs w:val="19"/>
                </w:rPr>
                <w:fldChar w:fldCharType="separate"/>
              </w:r>
              <w:r w:rsidR="009821F7" w:rsidRPr="0090417E">
                <w:rPr>
                  <w:noProof/>
                  <w:sz w:val="19"/>
                  <w:szCs w:val="19"/>
                </w:rPr>
                <w:t>Eaton et al. (2016b)</w:t>
              </w:r>
              <w:r w:rsidR="009821F7" w:rsidRPr="0090417E">
                <w:rPr>
                  <w:noProof/>
                  <w:sz w:val="19"/>
                  <w:szCs w:val="19"/>
                </w:rPr>
                <w:fldChar w:fldCharType="end"/>
              </w:r>
            </w:hyperlink>
          </w:p>
        </w:tc>
        <w:tc>
          <w:tcPr>
            <w:tcW w:w="1383" w:type="pct"/>
            <w:tcBorders>
              <w:top w:val="single" w:sz="4" w:space="0" w:color="auto"/>
              <w:left w:val="single" w:sz="4" w:space="0" w:color="auto"/>
              <w:bottom w:val="single" w:sz="4" w:space="0" w:color="auto"/>
              <w:right w:val="single" w:sz="4" w:space="0" w:color="auto"/>
            </w:tcBorders>
            <w:vAlign w:val="center"/>
          </w:tcPr>
          <w:p w14:paraId="637D54FC" w14:textId="77777777" w:rsidR="009821F7" w:rsidRPr="0090417E" w:rsidRDefault="009821F7" w:rsidP="002236BD">
            <w:pPr>
              <w:pStyle w:val="TableText0"/>
              <w:keepNext w:val="0"/>
              <w:spacing w:before="0" w:after="0"/>
              <w:rPr>
                <w:sz w:val="19"/>
                <w:szCs w:val="19"/>
              </w:rPr>
            </w:pPr>
            <w:r w:rsidRPr="0090417E">
              <w:rPr>
                <w:sz w:val="19"/>
                <w:szCs w:val="19"/>
              </w:rPr>
              <w:t>Hypothyroidism</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22E59" w14:textId="77777777" w:rsidR="009821F7" w:rsidRPr="0090417E" w:rsidRDefault="009821F7" w:rsidP="002236BD">
            <w:pPr>
              <w:pStyle w:val="TableText0"/>
              <w:keepNext w:val="0"/>
              <w:spacing w:before="0" w:after="0"/>
              <w:jc w:val="center"/>
              <w:rPr>
                <w:bCs/>
                <w:sz w:val="19"/>
                <w:szCs w:val="19"/>
              </w:rPr>
            </w:pPr>
            <w:r w:rsidRPr="0090417E">
              <w:rPr>
                <w:bCs/>
                <w:sz w:val="19"/>
                <w:szCs w:val="19"/>
              </w:rPr>
              <w:t>9/40 (22.5)</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228EE43" w14:textId="77777777" w:rsidR="009821F7" w:rsidRPr="0090417E" w:rsidRDefault="009821F7" w:rsidP="002236BD">
            <w:pPr>
              <w:pStyle w:val="TableText0"/>
              <w:keepNext w:val="0"/>
              <w:spacing w:before="0" w:after="0"/>
              <w:jc w:val="center"/>
              <w:rPr>
                <w:bCs/>
                <w:sz w:val="19"/>
                <w:szCs w:val="19"/>
              </w:rPr>
            </w:pPr>
            <w:r w:rsidRPr="0090417E">
              <w:rPr>
                <w:bCs/>
                <w:sz w:val="19"/>
                <w:szCs w:val="19"/>
              </w:rPr>
              <w:t>24/36 (64.9)</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74969B1" w14:textId="77777777" w:rsidR="009821F7" w:rsidRPr="0090417E" w:rsidRDefault="009821F7" w:rsidP="002236BD">
            <w:pPr>
              <w:pStyle w:val="TableText0"/>
              <w:keepNext w:val="0"/>
              <w:spacing w:before="0" w:after="0"/>
              <w:jc w:val="center"/>
              <w:rPr>
                <w:bCs/>
                <w:sz w:val="19"/>
                <w:szCs w:val="19"/>
              </w:rPr>
            </w:pPr>
            <w:r w:rsidRPr="0090417E">
              <w:rPr>
                <w:bCs/>
                <w:sz w:val="19"/>
                <w:szCs w:val="19"/>
              </w:rPr>
              <w:t>OR=0.13</w:t>
            </w:r>
            <w:r w:rsidRPr="0090417E">
              <w:rPr>
                <w:bCs/>
                <w:sz w:val="19"/>
                <w:szCs w:val="19"/>
              </w:rPr>
              <w:br/>
              <w:t>(0.04, 0.41)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26686D9D" w14:textId="77777777" w:rsidR="009821F7" w:rsidRPr="0090417E" w:rsidRDefault="009821F7" w:rsidP="002236BD">
            <w:pPr>
              <w:pStyle w:val="TableText0"/>
              <w:keepNext w:val="0"/>
              <w:spacing w:before="0" w:after="0"/>
              <w:jc w:val="center"/>
              <w:rPr>
                <w:bCs/>
                <w:sz w:val="19"/>
                <w:szCs w:val="19"/>
              </w:rPr>
            </w:pPr>
            <w:r w:rsidRPr="0090417E">
              <w:rPr>
                <w:bCs/>
                <w:sz w:val="19"/>
                <w:szCs w:val="19"/>
              </w:rPr>
              <w:t>&lt;0.001</w:t>
            </w:r>
          </w:p>
        </w:tc>
      </w:tr>
      <w:tr w:rsidR="009821F7" w:rsidRPr="0090417E" w14:paraId="737D9D11" w14:textId="77777777" w:rsidTr="009821F7">
        <w:trPr>
          <w:cantSplit/>
        </w:trPr>
        <w:tc>
          <w:tcPr>
            <w:tcW w:w="580" w:type="pct"/>
            <w:tcBorders>
              <w:top w:val="nil"/>
              <w:left w:val="single" w:sz="4" w:space="0" w:color="auto"/>
              <w:bottom w:val="single" w:sz="4" w:space="0" w:color="auto"/>
              <w:right w:val="single" w:sz="4" w:space="0" w:color="auto"/>
            </w:tcBorders>
            <w:shd w:val="clear" w:color="auto" w:fill="auto"/>
            <w:vAlign w:val="center"/>
          </w:tcPr>
          <w:p w14:paraId="6FAEC878" w14:textId="77777777" w:rsidR="009821F7" w:rsidRPr="0090417E" w:rsidRDefault="009821F7" w:rsidP="002236BD">
            <w:pPr>
              <w:pStyle w:val="TableText0"/>
              <w:keepNext w:val="0"/>
              <w:spacing w:before="0" w:after="0"/>
              <w:rPr>
                <w:noProof/>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1F4D95A3" w14:textId="77777777" w:rsidR="009821F7" w:rsidRPr="0090417E" w:rsidRDefault="009821F7" w:rsidP="002236BD">
            <w:pPr>
              <w:pStyle w:val="TableText0"/>
              <w:keepNext w:val="0"/>
              <w:spacing w:before="0" w:after="0"/>
              <w:rPr>
                <w:sz w:val="19"/>
                <w:szCs w:val="19"/>
              </w:rPr>
            </w:pPr>
            <w:r w:rsidRPr="0090417E">
              <w:rPr>
                <w:sz w:val="19"/>
                <w:szCs w:val="19"/>
              </w:rPr>
              <w:t>Endocrine replacement therapy</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2535F" w14:textId="77777777" w:rsidR="009821F7" w:rsidRPr="0090417E" w:rsidRDefault="009821F7" w:rsidP="002236BD">
            <w:pPr>
              <w:pStyle w:val="TableText0"/>
              <w:keepNext w:val="0"/>
              <w:spacing w:before="0" w:after="0"/>
              <w:jc w:val="center"/>
              <w:rPr>
                <w:bCs/>
                <w:sz w:val="19"/>
                <w:szCs w:val="19"/>
              </w:rPr>
            </w:pPr>
            <w:r w:rsidRPr="0090417E">
              <w:rPr>
                <w:bCs/>
                <w:sz w:val="19"/>
                <w:szCs w:val="19"/>
              </w:rPr>
              <w:t>22/40 (55)</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2F55675" w14:textId="77777777" w:rsidR="009821F7" w:rsidRPr="0090417E" w:rsidRDefault="009821F7" w:rsidP="002236BD">
            <w:pPr>
              <w:pStyle w:val="TableText0"/>
              <w:keepNext w:val="0"/>
              <w:spacing w:before="0" w:after="0"/>
              <w:jc w:val="center"/>
              <w:rPr>
                <w:bCs/>
                <w:sz w:val="19"/>
                <w:szCs w:val="19"/>
              </w:rPr>
            </w:pPr>
            <w:r w:rsidRPr="0090417E">
              <w:rPr>
                <w:bCs/>
                <w:sz w:val="19"/>
                <w:szCs w:val="19"/>
              </w:rPr>
              <w:t>29/36 (78.38)</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9026C32" w14:textId="77777777" w:rsidR="009821F7" w:rsidRPr="0090417E" w:rsidRDefault="009821F7" w:rsidP="002236BD">
            <w:pPr>
              <w:pStyle w:val="TableText0"/>
              <w:keepNext w:val="0"/>
              <w:spacing w:before="0" w:after="0"/>
              <w:jc w:val="center"/>
              <w:rPr>
                <w:bCs/>
                <w:sz w:val="19"/>
                <w:szCs w:val="19"/>
              </w:rPr>
            </w:pPr>
            <w:r w:rsidRPr="0090417E">
              <w:rPr>
                <w:bCs/>
                <w:sz w:val="19"/>
                <w:szCs w:val="19"/>
              </w:rPr>
              <w:t>OR=0.30</w:t>
            </w:r>
            <w:r w:rsidRPr="0090417E">
              <w:rPr>
                <w:bCs/>
                <w:sz w:val="19"/>
                <w:szCs w:val="19"/>
              </w:rPr>
              <w:br/>
              <w:t>(0.09, 0.99)</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CFD7BA8" w14:textId="77777777" w:rsidR="009821F7" w:rsidRPr="0090417E" w:rsidRDefault="009821F7" w:rsidP="002236BD">
            <w:pPr>
              <w:pStyle w:val="TableText0"/>
              <w:keepNext w:val="0"/>
              <w:spacing w:before="0" w:after="0"/>
              <w:jc w:val="center"/>
              <w:rPr>
                <w:bCs/>
                <w:sz w:val="19"/>
                <w:szCs w:val="19"/>
              </w:rPr>
            </w:pPr>
            <w:r w:rsidRPr="0090417E">
              <w:rPr>
                <w:bCs/>
                <w:sz w:val="19"/>
                <w:szCs w:val="19"/>
              </w:rPr>
              <w:t>0.047</w:t>
            </w:r>
          </w:p>
        </w:tc>
      </w:tr>
      <w:tr w:rsidR="009821F7" w:rsidRPr="0090417E" w14:paraId="3DF2E6A0" w14:textId="77777777" w:rsidTr="009821F7">
        <w:trPr>
          <w:cantSplit/>
        </w:trPr>
        <w:tc>
          <w:tcPr>
            <w:tcW w:w="2277" w:type="pct"/>
            <w:gridSpan w:val="3"/>
            <w:tcBorders>
              <w:top w:val="single" w:sz="2" w:space="0" w:color="auto"/>
              <w:left w:val="single" w:sz="4" w:space="0" w:color="auto"/>
              <w:bottom w:val="nil"/>
              <w:right w:val="nil"/>
            </w:tcBorders>
            <w:shd w:val="clear" w:color="auto" w:fill="auto"/>
            <w:vAlign w:val="center"/>
          </w:tcPr>
          <w:p w14:paraId="34FF887E" w14:textId="77777777" w:rsidR="009821F7" w:rsidRPr="0090417E" w:rsidRDefault="009821F7" w:rsidP="002236BD">
            <w:pPr>
              <w:pStyle w:val="TableText0"/>
              <w:keepNext w:val="0"/>
              <w:spacing w:before="0" w:after="0"/>
              <w:rPr>
                <w:b/>
                <w:bCs/>
                <w:sz w:val="19"/>
                <w:szCs w:val="19"/>
              </w:rPr>
            </w:pPr>
            <w:r w:rsidRPr="0090417E">
              <w:rPr>
                <w:b/>
                <w:bCs/>
                <w:sz w:val="19"/>
                <w:szCs w:val="19"/>
              </w:rPr>
              <w:t>Toxicities specific to each cancer type</w:t>
            </w:r>
          </w:p>
        </w:tc>
        <w:tc>
          <w:tcPr>
            <w:tcW w:w="1258" w:type="pct"/>
            <w:gridSpan w:val="2"/>
            <w:tcBorders>
              <w:top w:val="single" w:sz="4" w:space="0" w:color="auto"/>
              <w:left w:val="nil"/>
              <w:bottom w:val="single" w:sz="4" w:space="0" w:color="auto"/>
              <w:right w:val="nil"/>
            </w:tcBorders>
            <w:shd w:val="clear" w:color="auto" w:fill="auto"/>
            <w:vAlign w:val="center"/>
          </w:tcPr>
          <w:p w14:paraId="4A24123B" w14:textId="77777777" w:rsidR="009821F7" w:rsidRPr="0090417E" w:rsidRDefault="009821F7" w:rsidP="002236BD">
            <w:pPr>
              <w:pStyle w:val="TableText0"/>
              <w:keepNext w:val="0"/>
              <w:spacing w:before="0" w:after="0"/>
              <w:rPr>
                <w:bCs/>
                <w:sz w:val="19"/>
                <w:szCs w:val="19"/>
              </w:rPr>
            </w:pPr>
          </w:p>
        </w:tc>
        <w:tc>
          <w:tcPr>
            <w:tcW w:w="865" w:type="pct"/>
            <w:tcBorders>
              <w:top w:val="single" w:sz="4" w:space="0" w:color="auto"/>
              <w:left w:val="nil"/>
              <w:bottom w:val="single" w:sz="4" w:space="0" w:color="auto"/>
              <w:right w:val="nil"/>
            </w:tcBorders>
            <w:shd w:val="clear" w:color="auto" w:fill="auto"/>
            <w:vAlign w:val="center"/>
          </w:tcPr>
          <w:p w14:paraId="64DC2DB5" w14:textId="77777777" w:rsidR="009821F7" w:rsidRPr="0090417E" w:rsidRDefault="009821F7" w:rsidP="002236BD">
            <w:pPr>
              <w:pStyle w:val="TableText0"/>
              <w:keepNext w:val="0"/>
              <w:spacing w:before="0" w:after="0"/>
              <w:rPr>
                <w:bCs/>
                <w:sz w:val="19"/>
                <w:szCs w:val="19"/>
              </w:rPr>
            </w:pPr>
          </w:p>
        </w:tc>
        <w:tc>
          <w:tcPr>
            <w:tcW w:w="600" w:type="pct"/>
            <w:tcBorders>
              <w:top w:val="single" w:sz="4" w:space="0" w:color="auto"/>
              <w:left w:val="nil"/>
              <w:bottom w:val="single" w:sz="4" w:space="0" w:color="auto"/>
              <w:right w:val="single" w:sz="4" w:space="0" w:color="auto"/>
            </w:tcBorders>
            <w:shd w:val="clear" w:color="auto" w:fill="auto"/>
            <w:vAlign w:val="center"/>
          </w:tcPr>
          <w:p w14:paraId="6DD27582" w14:textId="77777777" w:rsidR="009821F7" w:rsidRPr="0090417E" w:rsidRDefault="009821F7" w:rsidP="002236BD">
            <w:pPr>
              <w:pStyle w:val="TableText0"/>
              <w:keepNext w:val="0"/>
              <w:spacing w:before="0" w:after="0"/>
              <w:rPr>
                <w:bCs/>
                <w:sz w:val="19"/>
                <w:szCs w:val="19"/>
              </w:rPr>
            </w:pPr>
          </w:p>
        </w:tc>
      </w:tr>
      <w:tr w:rsidR="009821F7" w:rsidRPr="0090417E" w14:paraId="1DD5E096" w14:textId="77777777" w:rsidTr="009821F7">
        <w:trPr>
          <w:cantSplit/>
        </w:trPr>
        <w:tc>
          <w:tcPr>
            <w:tcW w:w="580" w:type="pct"/>
            <w:tcBorders>
              <w:top w:val="single" w:sz="2" w:space="0" w:color="auto"/>
              <w:left w:val="single" w:sz="4" w:space="0" w:color="auto"/>
              <w:bottom w:val="nil"/>
              <w:right w:val="single" w:sz="4" w:space="0" w:color="auto"/>
            </w:tcBorders>
            <w:shd w:val="clear" w:color="auto" w:fill="auto"/>
            <w:vAlign w:val="center"/>
          </w:tcPr>
          <w:p w14:paraId="2A865F45" w14:textId="77777777" w:rsidR="009821F7" w:rsidRPr="0090417E" w:rsidRDefault="00DD6551" w:rsidP="002236BD">
            <w:pPr>
              <w:pStyle w:val="TableText0"/>
              <w:keepNext w:val="0"/>
              <w:spacing w:before="0" w:after="0"/>
              <w:rPr>
                <w:noProof/>
                <w:sz w:val="19"/>
                <w:szCs w:val="19"/>
              </w:rPr>
            </w:pPr>
            <w:hyperlink w:anchor="_ENREF_27" w:tooltip="Kahalley, 2020 #20" w:history="1">
              <w:r w:rsidR="009821F7" w:rsidRPr="0090417E">
                <w:rPr>
                  <w:noProof/>
                  <w:sz w:val="19"/>
                  <w:szCs w:val="19"/>
                </w:rPr>
                <w:fldChar w:fldCharType="begin"/>
              </w:r>
              <w:r w:rsidR="009821F7" w:rsidRPr="0090417E">
                <w:rPr>
                  <w:noProof/>
                  <w:sz w:val="19"/>
                  <w:szCs w:val="19"/>
                </w:rPr>
                <w:instrText xml:space="preserve"> ADDIN EN.CITE &lt;EndNote&gt;&lt;Cite AuthorYear="1"&gt;&lt;Author&gt;Kahalley&lt;/Author&gt;&lt;Year&gt;2020&lt;/Year&gt;&lt;RecNum&gt;20&lt;/RecNum&gt;&lt;DisplayText&gt;Kahalley et al. (2020)&lt;/DisplayText&gt;&lt;record&gt;&lt;rec-number&gt;20&lt;/rec-number&gt;&lt;foreign-keys&gt;&lt;key app="EN" db-id="exfrw2pee0v5z6evdr2xwspdfw0ezf5ttzwp" timestamp="1597622871"&gt;20&lt;/key&gt;&lt;/foreign-keys&gt;&lt;ref-type name="Journal Article"&gt;17&lt;/ref-type&gt;&lt;contributors&gt;&lt;authors&gt;&lt;author&gt;Kahalley, L. S.&lt;/author&gt;&lt;author&gt;Peterson, R.&lt;/author&gt;&lt;author&gt;Ris, M. D.&lt;/author&gt;&lt;author&gt;Janzen, L.&lt;/author&gt;&lt;author&gt;Okcu, M. F.&lt;/author&gt;&lt;author&gt;Grosshans, D. R.&lt;/author&gt;&lt;author&gt;Ramaswamy, V.&lt;/author&gt;&lt;author&gt;Paulino, A. C.&lt;/author&gt;&lt;author&gt;Hodgson, D.&lt;/author&gt;&lt;author&gt;Mahajan, A.&lt;/author&gt;&lt;author&gt;Tsang, D. S.&lt;/author&gt;&lt;author&gt;Laperriere, N.&lt;/author&gt;&lt;author&gt;Whitehead, W. E.&lt;/author&gt;&lt;author&gt;Dauser, R. C.&lt;/author&gt;&lt;author&gt;Taylor, M. D.&lt;/author&gt;&lt;author&gt;Conklin, H. M.&lt;/author&gt;&lt;author&gt;Chintagumpala, M.&lt;/author&gt;&lt;author&gt;Bouffet, E.&lt;/author&gt;&lt;author&gt;Mabbott, D.&lt;/author&gt;&lt;/authors&gt;&lt;/contributors&gt;&lt;titles&gt;&lt;title&gt;Superior Intellectual Outcomes After Proton Radiotherapy Compared With Photon Radiotherapy for Pediatric Medulloblastoma&lt;/title&gt;&lt;secondary-title&gt;J Clin Oncol&lt;/secondary-title&gt;&lt;/titles&gt;&lt;periodical&gt;&lt;full-title&gt;J Clin Oncol&lt;/full-title&gt;&lt;/periodical&gt;&lt;pages&gt;454-461&lt;/pages&gt;&lt;volume&gt;38&lt;/volume&gt;&lt;number&gt;5&lt;/number&gt;&lt;dates&gt;&lt;year&gt;2020&lt;/year&gt;&lt;/dates&gt;&lt;accession-num&gt;31774710&lt;/accession-num&gt;&lt;urls&gt;&lt;related-urls&gt;&lt;url&gt;http://ezproxy.library.usyd.edu.au/login?url=http://ovidsp.ovid.com/ovidweb.cgi?T=JS&amp;amp;CSC=Y&amp;amp;NEWS=N&amp;amp;PAGE=fulltext&amp;amp;D=prem&amp;amp;AN=31774710https://sydney.alma.exlibrisgroup.com/openurl/61USYD_INST/61USYD_INST:sydney?sid=OVID:medline&amp;amp;id=pmid:31774710&amp;amp;id=doi:10.1200&lt;/url&gt;&lt;/related-urls&gt;&lt;/urls&gt;&lt;electronic-resource-num&gt;https://dx.doi.org/10.1200/JCO.19.01706&lt;/electronic-resource-num&gt;&lt;/record&gt;&lt;/Cite&gt;&lt;/EndNote&gt;</w:instrText>
              </w:r>
              <w:r w:rsidR="009821F7" w:rsidRPr="0090417E">
                <w:rPr>
                  <w:noProof/>
                  <w:sz w:val="19"/>
                  <w:szCs w:val="19"/>
                </w:rPr>
                <w:fldChar w:fldCharType="separate"/>
              </w:r>
              <w:r w:rsidR="009821F7" w:rsidRPr="0090417E">
                <w:rPr>
                  <w:noProof/>
                  <w:sz w:val="19"/>
                  <w:szCs w:val="19"/>
                </w:rPr>
                <w:t>Kahalley et al. (2020)</w:t>
              </w:r>
              <w:r w:rsidR="009821F7" w:rsidRPr="0090417E">
                <w:rPr>
                  <w:noProof/>
                  <w:sz w:val="19"/>
                  <w:szCs w:val="19"/>
                </w:rPr>
                <w:fldChar w:fldCharType="end"/>
              </w:r>
            </w:hyperlink>
          </w:p>
        </w:tc>
        <w:tc>
          <w:tcPr>
            <w:tcW w:w="1383" w:type="pct"/>
            <w:tcBorders>
              <w:top w:val="single" w:sz="4" w:space="0" w:color="auto"/>
              <w:left w:val="single" w:sz="4" w:space="0" w:color="auto"/>
              <w:bottom w:val="single" w:sz="4" w:space="0" w:color="auto"/>
              <w:right w:val="single" w:sz="4" w:space="0" w:color="auto"/>
            </w:tcBorders>
            <w:vAlign w:val="center"/>
          </w:tcPr>
          <w:p w14:paraId="00019710" w14:textId="77777777" w:rsidR="009821F7" w:rsidRPr="0090417E" w:rsidRDefault="009821F7" w:rsidP="002236BD">
            <w:pPr>
              <w:pStyle w:val="TableText0"/>
              <w:keepNext w:val="0"/>
              <w:spacing w:before="0" w:after="0"/>
              <w:rPr>
                <w:b/>
                <w:bCs/>
                <w:sz w:val="19"/>
                <w:szCs w:val="19"/>
              </w:rPr>
            </w:pPr>
            <w:r w:rsidRPr="0090417E">
              <w:rPr>
                <w:sz w:val="19"/>
                <w:szCs w:val="19"/>
              </w:rPr>
              <w:t>Mean global IQ (SE)</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CEEBE" w14:textId="77777777" w:rsidR="009821F7" w:rsidRPr="0090417E" w:rsidRDefault="009821F7" w:rsidP="002236BD">
            <w:pPr>
              <w:pStyle w:val="TableText0"/>
              <w:keepNext w:val="0"/>
              <w:spacing w:before="0" w:after="0"/>
              <w:jc w:val="center"/>
              <w:rPr>
                <w:bCs/>
                <w:sz w:val="19"/>
                <w:szCs w:val="19"/>
              </w:rPr>
            </w:pPr>
            <w:r w:rsidRPr="0090417E">
              <w:rPr>
                <w:bCs/>
                <w:sz w:val="19"/>
                <w:szCs w:val="19"/>
              </w:rPr>
              <w:t>95.7 (4.8)</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32FD621" w14:textId="77777777" w:rsidR="009821F7" w:rsidRPr="0090417E" w:rsidRDefault="009821F7" w:rsidP="002236BD">
            <w:pPr>
              <w:pStyle w:val="TableText0"/>
              <w:keepNext w:val="0"/>
              <w:spacing w:before="0" w:after="0"/>
              <w:jc w:val="center"/>
              <w:rPr>
                <w:bCs/>
                <w:sz w:val="19"/>
                <w:szCs w:val="19"/>
              </w:rPr>
            </w:pPr>
            <w:r w:rsidRPr="0090417E">
              <w:rPr>
                <w:bCs/>
                <w:sz w:val="19"/>
                <w:szCs w:val="19"/>
              </w:rPr>
              <w:t>88.1 (5.1)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D366EED" w14:textId="77777777" w:rsidR="009821F7" w:rsidRPr="0090417E" w:rsidRDefault="009821F7" w:rsidP="002236BD">
            <w:pPr>
              <w:pStyle w:val="TableText0"/>
              <w:keepNext w:val="0"/>
              <w:spacing w:before="0" w:after="0"/>
              <w:jc w:val="center"/>
              <w:rPr>
                <w:bCs/>
                <w:sz w:val="19"/>
                <w:szCs w:val="19"/>
              </w:rPr>
            </w:pPr>
            <w:r w:rsidRPr="0090417E">
              <w:rPr>
                <w:bCs/>
                <w:sz w:val="19"/>
                <w:szCs w:val="19"/>
              </w:rPr>
              <w:t>7.60 (5.42, 9.78)</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C4A6A1F" w14:textId="77777777" w:rsidR="009821F7" w:rsidRPr="0090417E" w:rsidRDefault="009821F7" w:rsidP="002236BD">
            <w:pPr>
              <w:pStyle w:val="TableText0"/>
              <w:keepNext w:val="0"/>
              <w:spacing w:before="0" w:after="0"/>
              <w:jc w:val="center"/>
              <w:rPr>
                <w:bCs/>
                <w:sz w:val="19"/>
                <w:szCs w:val="19"/>
              </w:rPr>
            </w:pPr>
            <w:r w:rsidRPr="0090417E">
              <w:rPr>
                <w:bCs/>
                <w:sz w:val="19"/>
                <w:szCs w:val="19"/>
              </w:rPr>
              <w:t>0.009</w:t>
            </w:r>
          </w:p>
        </w:tc>
      </w:tr>
      <w:tr w:rsidR="009821F7" w:rsidRPr="0090417E" w14:paraId="7D1BD184"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31158C3F" w14:textId="77777777" w:rsidR="009821F7" w:rsidRPr="0090417E" w:rsidRDefault="009821F7" w:rsidP="002236BD">
            <w:pPr>
              <w:pStyle w:val="TableText0"/>
              <w:keepNext w:val="0"/>
              <w:spacing w:before="0" w:after="0"/>
              <w:rPr>
                <w:noProof/>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22B217BE" w14:textId="77777777" w:rsidR="009821F7" w:rsidRPr="0090417E" w:rsidRDefault="009821F7" w:rsidP="002236BD">
            <w:pPr>
              <w:pStyle w:val="TableText0"/>
              <w:keepNext w:val="0"/>
              <w:spacing w:before="0" w:after="0"/>
              <w:rPr>
                <w:sz w:val="19"/>
                <w:szCs w:val="19"/>
              </w:rPr>
            </w:pPr>
            <w:r w:rsidRPr="0090417E">
              <w:rPr>
                <w:sz w:val="19"/>
                <w:szCs w:val="19"/>
              </w:rPr>
              <w:t xml:space="preserve">Change in global IQ/year </w:t>
            </w:r>
          </w:p>
          <w:p w14:paraId="2545991C" w14:textId="77777777" w:rsidR="009821F7" w:rsidRPr="0090417E" w:rsidRDefault="009821F7" w:rsidP="002236BD">
            <w:pPr>
              <w:pStyle w:val="TableText0"/>
              <w:keepNext w:val="0"/>
              <w:spacing w:before="0" w:after="0"/>
              <w:rPr>
                <w:sz w:val="19"/>
                <w:szCs w:val="19"/>
              </w:rPr>
            </w:pPr>
            <w:r w:rsidRPr="0090417E">
              <w:rPr>
                <w:i/>
                <w:iCs/>
                <w:sz w:val="19"/>
                <w:szCs w:val="19"/>
              </w:rPr>
              <w:t>Beta</w:t>
            </w:r>
            <w:r w:rsidRPr="0090417E">
              <w:rPr>
                <w:sz w:val="19"/>
                <w:szCs w:val="19"/>
              </w:rPr>
              <w:t xml:space="preserve"> (SE); p-value</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F8CC7" w14:textId="77777777" w:rsidR="009821F7" w:rsidRPr="0090417E" w:rsidRDefault="009821F7" w:rsidP="002236BD">
            <w:pPr>
              <w:pStyle w:val="TableText0"/>
              <w:keepNext w:val="0"/>
              <w:spacing w:before="0" w:after="0"/>
              <w:jc w:val="center"/>
              <w:rPr>
                <w:bCs/>
                <w:sz w:val="19"/>
                <w:szCs w:val="19"/>
              </w:rPr>
            </w:pPr>
            <w:r w:rsidRPr="0090417E">
              <w:rPr>
                <w:bCs/>
                <w:sz w:val="19"/>
                <w:szCs w:val="19"/>
              </w:rPr>
              <w:t>0.3 (0.5); 0.1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198A4AE" w14:textId="77777777" w:rsidR="009821F7" w:rsidRPr="0090417E" w:rsidRDefault="009821F7" w:rsidP="002236BD">
            <w:pPr>
              <w:pStyle w:val="TableText0"/>
              <w:keepNext w:val="0"/>
              <w:spacing w:before="0" w:after="0"/>
              <w:jc w:val="center"/>
              <w:rPr>
                <w:bCs/>
                <w:sz w:val="19"/>
                <w:szCs w:val="19"/>
              </w:rPr>
            </w:pPr>
            <w:r w:rsidRPr="0090417E">
              <w:rPr>
                <w:bCs/>
                <w:sz w:val="19"/>
                <w:szCs w:val="19"/>
              </w:rPr>
              <w:t>-0.9 (0.4); 0.009</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7F280C1" w14:textId="77777777" w:rsidR="009821F7" w:rsidRPr="0090417E" w:rsidRDefault="009821F7" w:rsidP="002236BD">
            <w:pPr>
              <w:pStyle w:val="TableText0"/>
              <w:keepNext w:val="0"/>
              <w:spacing w:before="0" w:after="0"/>
              <w:jc w:val="center"/>
              <w:rPr>
                <w:bCs/>
                <w:sz w:val="19"/>
                <w:szCs w:val="19"/>
              </w:rPr>
            </w:pPr>
            <w:r w:rsidRPr="0090417E">
              <w:rPr>
                <w:bCs/>
                <w:sz w:val="19"/>
                <w:szCs w:val="19"/>
              </w:rPr>
              <w:t>1.20 (1.00, 1.40)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D4221E9" w14:textId="77777777" w:rsidR="009821F7" w:rsidRPr="0090417E" w:rsidRDefault="009821F7" w:rsidP="002236BD">
            <w:pPr>
              <w:pStyle w:val="TableText0"/>
              <w:keepNext w:val="0"/>
              <w:spacing w:before="0" w:after="0"/>
              <w:jc w:val="center"/>
              <w:rPr>
                <w:bCs/>
                <w:sz w:val="19"/>
                <w:szCs w:val="19"/>
              </w:rPr>
            </w:pPr>
            <w:r w:rsidRPr="0090417E">
              <w:rPr>
                <w:bCs/>
                <w:sz w:val="19"/>
                <w:szCs w:val="19"/>
              </w:rPr>
              <w:t>0.011</w:t>
            </w:r>
          </w:p>
        </w:tc>
      </w:tr>
      <w:tr w:rsidR="009821F7" w:rsidRPr="0090417E" w14:paraId="0A78FA73"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2F41A80B" w14:textId="77777777" w:rsidR="009821F7" w:rsidRPr="0090417E" w:rsidRDefault="009821F7" w:rsidP="002236BD">
            <w:pPr>
              <w:pStyle w:val="TableText0"/>
              <w:keepNext w:val="0"/>
              <w:spacing w:before="0" w:after="0"/>
              <w:rPr>
                <w:noProof/>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04D887D7" w14:textId="77777777" w:rsidR="009821F7" w:rsidRPr="0090417E" w:rsidRDefault="009821F7" w:rsidP="002236BD">
            <w:pPr>
              <w:pStyle w:val="TableText0"/>
              <w:keepNext w:val="0"/>
              <w:spacing w:before="0" w:after="0"/>
              <w:rPr>
                <w:sz w:val="19"/>
                <w:szCs w:val="19"/>
              </w:rPr>
            </w:pPr>
            <w:r w:rsidRPr="0090417E">
              <w:rPr>
                <w:sz w:val="19"/>
                <w:szCs w:val="19"/>
              </w:rPr>
              <w:t>Perceptual reasoning mean (SE)</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FEE6B" w14:textId="77777777" w:rsidR="009821F7" w:rsidRPr="0090417E" w:rsidRDefault="009821F7" w:rsidP="002236BD">
            <w:pPr>
              <w:pStyle w:val="TableText0"/>
              <w:keepNext w:val="0"/>
              <w:spacing w:before="0" w:after="0"/>
              <w:jc w:val="center"/>
              <w:rPr>
                <w:bCs/>
                <w:sz w:val="19"/>
                <w:szCs w:val="19"/>
              </w:rPr>
            </w:pPr>
            <w:r w:rsidRPr="0090417E">
              <w:rPr>
                <w:bCs/>
                <w:sz w:val="19"/>
                <w:szCs w:val="19"/>
              </w:rPr>
              <w:t>99.8 (5.3)</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6CA31E7" w14:textId="77777777" w:rsidR="009821F7" w:rsidRPr="0090417E" w:rsidRDefault="009821F7" w:rsidP="002236BD">
            <w:pPr>
              <w:pStyle w:val="TableText0"/>
              <w:keepNext w:val="0"/>
              <w:spacing w:before="0" w:after="0"/>
              <w:jc w:val="center"/>
              <w:rPr>
                <w:bCs/>
                <w:sz w:val="19"/>
                <w:szCs w:val="19"/>
              </w:rPr>
            </w:pPr>
            <w:r w:rsidRPr="0090417E">
              <w:rPr>
                <w:bCs/>
                <w:sz w:val="19"/>
                <w:szCs w:val="19"/>
              </w:rPr>
              <w:t>86.0 (5.6)</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5E912C9" w14:textId="77777777" w:rsidR="009821F7" w:rsidRPr="0090417E" w:rsidRDefault="009821F7" w:rsidP="002236BD">
            <w:pPr>
              <w:pStyle w:val="TableText0"/>
              <w:keepNext w:val="0"/>
              <w:spacing w:before="0" w:after="0"/>
              <w:ind w:left="-108" w:right="-104"/>
              <w:jc w:val="center"/>
              <w:rPr>
                <w:bCs/>
                <w:sz w:val="19"/>
                <w:szCs w:val="19"/>
              </w:rPr>
            </w:pPr>
            <w:r w:rsidRPr="0090417E">
              <w:rPr>
                <w:bCs/>
                <w:sz w:val="19"/>
                <w:szCs w:val="19"/>
              </w:rPr>
              <w:t>13.80 (11.39, 16.21)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29826567" w14:textId="77777777" w:rsidR="009821F7" w:rsidRPr="0090417E" w:rsidRDefault="009821F7" w:rsidP="002236BD">
            <w:pPr>
              <w:pStyle w:val="TableText0"/>
              <w:keepNext w:val="0"/>
              <w:spacing w:before="0" w:after="0"/>
              <w:ind w:left="-115"/>
              <w:jc w:val="center"/>
              <w:rPr>
                <w:bCs/>
                <w:sz w:val="19"/>
                <w:szCs w:val="19"/>
              </w:rPr>
            </w:pPr>
            <w:r w:rsidRPr="0090417E">
              <w:rPr>
                <w:bCs/>
                <w:sz w:val="19"/>
                <w:szCs w:val="19"/>
              </w:rPr>
              <w:t>p=0.001 (adjusted for covariate: p=0.017)</w:t>
            </w:r>
          </w:p>
        </w:tc>
      </w:tr>
      <w:tr w:rsidR="009821F7" w:rsidRPr="0090417E" w14:paraId="2EEEF4FA"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5E2CB753" w14:textId="77777777" w:rsidR="009821F7" w:rsidRPr="0090417E" w:rsidRDefault="009821F7" w:rsidP="002236BD">
            <w:pPr>
              <w:pStyle w:val="TableText0"/>
              <w:keepNext w:val="0"/>
              <w:spacing w:before="0" w:after="0"/>
              <w:rPr>
                <w:noProof/>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7481CD6B" w14:textId="77777777" w:rsidR="009821F7" w:rsidRPr="0090417E" w:rsidRDefault="009821F7" w:rsidP="002236BD">
            <w:pPr>
              <w:pStyle w:val="TableText0"/>
              <w:keepNext w:val="0"/>
              <w:spacing w:before="0" w:after="0"/>
              <w:rPr>
                <w:sz w:val="19"/>
                <w:szCs w:val="19"/>
              </w:rPr>
            </w:pPr>
            <w:r w:rsidRPr="0090417E">
              <w:rPr>
                <w:sz w:val="19"/>
                <w:szCs w:val="19"/>
              </w:rPr>
              <w:t xml:space="preserve">Change in perceptual reasoning/year </w:t>
            </w:r>
          </w:p>
          <w:p w14:paraId="32B2775C" w14:textId="77777777" w:rsidR="009821F7" w:rsidRPr="0090417E" w:rsidRDefault="009821F7" w:rsidP="002236BD">
            <w:pPr>
              <w:pStyle w:val="TableText0"/>
              <w:keepNext w:val="0"/>
              <w:spacing w:before="0" w:after="0"/>
              <w:rPr>
                <w:sz w:val="19"/>
                <w:szCs w:val="19"/>
              </w:rPr>
            </w:pPr>
            <w:r w:rsidRPr="0090417E">
              <w:rPr>
                <w:i/>
                <w:iCs/>
                <w:sz w:val="19"/>
                <w:szCs w:val="19"/>
              </w:rPr>
              <w:t xml:space="preserve">Beta </w:t>
            </w:r>
            <w:r w:rsidRPr="0090417E">
              <w:rPr>
                <w:sz w:val="19"/>
                <w:szCs w:val="19"/>
              </w:rPr>
              <w:t>(SE); p-value</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9D712" w14:textId="77777777" w:rsidR="009821F7" w:rsidRPr="0090417E" w:rsidRDefault="009821F7" w:rsidP="002236BD">
            <w:pPr>
              <w:pStyle w:val="TableText0"/>
              <w:keepNext w:val="0"/>
              <w:spacing w:before="0" w:after="0"/>
              <w:jc w:val="center"/>
              <w:rPr>
                <w:bCs/>
                <w:sz w:val="19"/>
                <w:szCs w:val="19"/>
              </w:rPr>
            </w:pPr>
            <w:r w:rsidRPr="0090417E">
              <w:rPr>
                <w:bCs/>
                <w:sz w:val="19"/>
                <w:szCs w:val="19"/>
              </w:rPr>
              <w:t>1.0 (0.8); 0.053</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FDC8E6D" w14:textId="77777777" w:rsidR="009821F7" w:rsidRPr="0090417E" w:rsidRDefault="009821F7" w:rsidP="002236BD">
            <w:pPr>
              <w:pStyle w:val="TableText0"/>
              <w:keepNext w:val="0"/>
              <w:spacing w:before="0" w:after="0"/>
              <w:jc w:val="center"/>
              <w:rPr>
                <w:bCs/>
                <w:sz w:val="19"/>
                <w:szCs w:val="19"/>
              </w:rPr>
            </w:pPr>
            <w:r w:rsidRPr="0090417E">
              <w:rPr>
                <w:bCs/>
                <w:sz w:val="19"/>
                <w:szCs w:val="19"/>
              </w:rPr>
              <w:t>-0.8 (0.6);.206</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B50D0FB" w14:textId="77777777" w:rsidR="009821F7" w:rsidRPr="0090417E" w:rsidRDefault="009821F7" w:rsidP="002236BD">
            <w:pPr>
              <w:pStyle w:val="TableText0"/>
              <w:keepNext w:val="0"/>
              <w:spacing w:before="0" w:after="0"/>
              <w:jc w:val="center"/>
              <w:rPr>
                <w:bCs/>
                <w:sz w:val="19"/>
                <w:szCs w:val="19"/>
              </w:rPr>
            </w:pPr>
            <w:r w:rsidRPr="0090417E">
              <w:rPr>
                <w:bCs/>
                <w:sz w:val="19"/>
                <w:szCs w:val="19"/>
              </w:rPr>
              <w:t>1.80 (1.48, 2.12)</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66DD772" w14:textId="77777777" w:rsidR="009821F7" w:rsidRPr="0090417E" w:rsidRDefault="009821F7" w:rsidP="002236BD">
            <w:pPr>
              <w:pStyle w:val="TableText0"/>
              <w:keepNext w:val="0"/>
              <w:spacing w:before="0" w:after="0"/>
              <w:jc w:val="center"/>
              <w:rPr>
                <w:bCs/>
                <w:sz w:val="19"/>
                <w:szCs w:val="19"/>
              </w:rPr>
            </w:pPr>
            <w:r w:rsidRPr="0090417E">
              <w:rPr>
                <w:bCs/>
                <w:sz w:val="19"/>
                <w:szCs w:val="19"/>
              </w:rPr>
              <w:t>0.022</w:t>
            </w:r>
          </w:p>
        </w:tc>
      </w:tr>
      <w:tr w:rsidR="009821F7" w:rsidRPr="0090417E" w14:paraId="0B9120B9" w14:textId="77777777" w:rsidTr="009821F7">
        <w:trPr>
          <w:cantSplit/>
        </w:trPr>
        <w:tc>
          <w:tcPr>
            <w:tcW w:w="580" w:type="pct"/>
            <w:tcBorders>
              <w:top w:val="nil"/>
              <w:left w:val="single" w:sz="4" w:space="0" w:color="auto"/>
              <w:bottom w:val="single" w:sz="4" w:space="0" w:color="auto"/>
              <w:right w:val="single" w:sz="4" w:space="0" w:color="auto"/>
            </w:tcBorders>
            <w:shd w:val="clear" w:color="auto" w:fill="auto"/>
            <w:vAlign w:val="center"/>
          </w:tcPr>
          <w:p w14:paraId="2038D604" w14:textId="77777777" w:rsidR="009821F7" w:rsidRPr="0090417E" w:rsidRDefault="009821F7" w:rsidP="002236BD">
            <w:pPr>
              <w:pStyle w:val="TableText0"/>
              <w:keepNext w:val="0"/>
              <w:spacing w:before="0" w:after="0"/>
              <w:rPr>
                <w:noProof/>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3F771DF6" w14:textId="77777777" w:rsidR="009821F7" w:rsidRPr="0090417E" w:rsidRDefault="009821F7" w:rsidP="002236BD">
            <w:pPr>
              <w:pStyle w:val="TableText0"/>
              <w:keepNext w:val="0"/>
              <w:spacing w:before="0" w:after="0"/>
              <w:rPr>
                <w:sz w:val="19"/>
                <w:szCs w:val="19"/>
              </w:rPr>
            </w:pPr>
            <w:r w:rsidRPr="0090417E">
              <w:rPr>
                <w:sz w:val="19"/>
                <w:szCs w:val="19"/>
              </w:rPr>
              <w:t>Change in working memory/year</w:t>
            </w:r>
          </w:p>
          <w:p w14:paraId="57C53D48" w14:textId="77777777" w:rsidR="009821F7" w:rsidRPr="0090417E" w:rsidRDefault="009821F7" w:rsidP="002236BD">
            <w:pPr>
              <w:pStyle w:val="TableText0"/>
              <w:keepNext w:val="0"/>
              <w:spacing w:before="0" w:after="0"/>
              <w:rPr>
                <w:sz w:val="19"/>
                <w:szCs w:val="19"/>
              </w:rPr>
            </w:pPr>
            <w:r w:rsidRPr="0090417E">
              <w:rPr>
                <w:i/>
                <w:iCs/>
                <w:sz w:val="19"/>
                <w:szCs w:val="19"/>
              </w:rPr>
              <w:t>Beta</w:t>
            </w:r>
            <w:r w:rsidRPr="0090417E">
              <w:rPr>
                <w:sz w:val="19"/>
                <w:szCs w:val="19"/>
              </w:rPr>
              <w:t xml:space="preserve"> (SE); p-value</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CE7F8" w14:textId="77777777" w:rsidR="009821F7" w:rsidRPr="0090417E" w:rsidRDefault="009821F7" w:rsidP="002236BD">
            <w:pPr>
              <w:pStyle w:val="TableText0"/>
              <w:keepNext w:val="0"/>
              <w:spacing w:before="0" w:after="0"/>
              <w:jc w:val="center"/>
              <w:rPr>
                <w:bCs/>
                <w:sz w:val="19"/>
                <w:szCs w:val="19"/>
              </w:rPr>
            </w:pPr>
            <w:r w:rsidRPr="0090417E">
              <w:rPr>
                <w:bCs/>
                <w:sz w:val="19"/>
                <w:szCs w:val="19"/>
              </w:rPr>
              <w:t>0.1 (0.7); 0.891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3EBF5C1" w14:textId="77777777" w:rsidR="009821F7" w:rsidRPr="0090417E" w:rsidRDefault="009821F7" w:rsidP="002236BD">
            <w:pPr>
              <w:pStyle w:val="TableText0"/>
              <w:keepNext w:val="0"/>
              <w:spacing w:before="0" w:after="0"/>
              <w:jc w:val="center"/>
              <w:rPr>
                <w:bCs/>
                <w:sz w:val="19"/>
                <w:szCs w:val="19"/>
              </w:rPr>
            </w:pPr>
            <w:r w:rsidRPr="0090417E">
              <w:rPr>
                <w:bCs/>
                <w:sz w:val="19"/>
                <w:szCs w:val="19"/>
              </w:rPr>
              <w:t>-2.2 (0.6); 0.001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E3FACBB" w14:textId="77777777" w:rsidR="009821F7" w:rsidRPr="0090417E" w:rsidRDefault="009821F7" w:rsidP="002236BD">
            <w:pPr>
              <w:pStyle w:val="TableText0"/>
              <w:keepNext w:val="0"/>
              <w:spacing w:before="0" w:after="0"/>
              <w:jc w:val="center"/>
              <w:rPr>
                <w:bCs/>
                <w:sz w:val="19"/>
                <w:szCs w:val="19"/>
              </w:rPr>
            </w:pPr>
            <w:r w:rsidRPr="0090417E">
              <w:rPr>
                <w:bCs/>
                <w:sz w:val="19"/>
                <w:szCs w:val="19"/>
              </w:rPr>
              <w:t>2.30 (2.01, 2.59)</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BD23D94" w14:textId="77777777" w:rsidR="009821F7" w:rsidRPr="0090417E" w:rsidRDefault="009821F7" w:rsidP="002236BD">
            <w:pPr>
              <w:pStyle w:val="TableText0"/>
              <w:keepNext w:val="0"/>
              <w:spacing w:before="0" w:after="0"/>
              <w:jc w:val="center"/>
              <w:rPr>
                <w:bCs/>
                <w:sz w:val="19"/>
                <w:szCs w:val="19"/>
              </w:rPr>
            </w:pPr>
            <w:r w:rsidRPr="0090417E">
              <w:rPr>
                <w:bCs/>
                <w:sz w:val="19"/>
                <w:szCs w:val="19"/>
              </w:rPr>
              <w:t>0.002</w:t>
            </w:r>
          </w:p>
        </w:tc>
      </w:tr>
      <w:tr w:rsidR="009821F7" w:rsidRPr="0090417E" w14:paraId="125DCB6D" w14:textId="77777777" w:rsidTr="009821F7">
        <w:trPr>
          <w:cantSplit/>
        </w:trPr>
        <w:tc>
          <w:tcPr>
            <w:tcW w:w="580" w:type="pct"/>
            <w:tcBorders>
              <w:top w:val="single" w:sz="4" w:space="0" w:color="auto"/>
              <w:left w:val="single" w:sz="4" w:space="0" w:color="auto"/>
              <w:bottom w:val="nil"/>
              <w:right w:val="single" w:sz="4" w:space="0" w:color="auto"/>
            </w:tcBorders>
            <w:shd w:val="clear" w:color="auto" w:fill="auto"/>
            <w:vAlign w:val="center"/>
          </w:tcPr>
          <w:p w14:paraId="59A11765" w14:textId="77777777" w:rsidR="009821F7" w:rsidRPr="0090417E" w:rsidRDefault="00DD6551" w:rsidP="002236BD">
            <w:pPr>
              <w:pStyle w:val="TableText0"/>
              <w:keepNext w:val="0"/>
              <w:spacing w:before="0" w:after="0"/>
              <w:rPr>
                <w:noProof/>
                <w:sz w:val="19"/>
                <w:szCs w:val="19"/>
              </w:rPr>
            </w:pPr>
            <w:hyperlink w:anchor="_ENREF_21" w:tooltip="Gross, 2019 #28" w:history="1">
              <w:r w:rsidR="009821F7" w:rsidRPr="0090417E">
                <w:rPr>
                  <w:noProof/>
                  <w:sz w:val="19"/>
                  <w:szCs w:val="19"/>
                </w:rPr>
                <w:fldChar w:fldCharType="begin"/>
              </w:r>
              <w:r w:rsidR="009821F7" w:rsidRPr="0090417E">
                <w:rPr>
                  <w:noProof/>
                  <w:sz w:val="19"/>
                  <w:szCs w:val="19"/>
                </w:rPr>
                <w:instrText xml:space="preserve"> ADDIN EN.CITE &lt;EndNote&gt;&lt;Cite AuthorYear="1"&gt;&lt;Author&gt;Gross&lt;/Author&gt;&lt;Year&gt;2019&lt;/Year&gt;&lt;RecNum&gt;28&lt;/RecNum&gt;&lt;DisplayText&gt;Gross et al. (2019)&lt;/DisplayText&gt;&lt;record&gt;&lt;rec-number&gt;28&lt;/rec-number&gt;&lt;foreign-keys&gt;&lt;key app="EN" db-id="exfrw2pee0v5z6evdr2xwspdfw0ezf5ttzwp" timestamp="1597622886"&gt;28&lt;/key&gt;&lt;/foreign-keys&gt;&lt;ref-type name="Journal Article"&gt;17&lt;/ref-type&gt;&lt;contributors&gt;&lt;authors&gt;&lt;author&gt;Gross, J. P.&lt;/author&gt;&lt;author&gt;Powell, S.&lt;/author&gt;&lt;author&gt;Zelko, F.&lt;/author&gt;&lt;author&gt;Hartsell, W.&lt;/author&gt;&lt;author&gt;Goldman, S.&lt;/author&gt;&lt;author&gt;Fangusaro, J.&lt;/author&gt;&lt;author&gt;Lulla, R. R.&lt;/author&gt;&lt;author&gt;Smiley, N. P.&lt;/author&gt;&lt;author&gt;Chang, J. H.&lt;/author&gt;&lt;author&gt;Gondi, V.&lt;/author&gt;&lt;/authors&gt;&lt;/contributors&gt;&lt;titles&gt;&lt;title&gt;Improved neuropsychological outcomes following proton therapy relative to X-ray therapy for pediatric brain tumor patients&lt;/title&gt;&lt;secondary-title&gt;Neuro-oncol&lt;/secondary-title&gt;&lt;/titles&gt;&lt;periodical&gt;&lt;full-title&gt;Neuro-oncol&lt;/full-title&gt;&lt;/periodical&gt;&lt;pages&gt;934-943&lt;/pages&gt;&lt;volume&gt;21&lt;/volume&gt;&lt;number&gt;7&lt;/number&gt;&lt;dates&gt;&lt;year&gt;2019&lt;/year&gt;&lt;/dates&gt;&lt;accession-num&gt;30997512&lt;/accession-num&gt;&lt;urls&gt;&lt;related-urls&gt;&lt;url&gt;http://ezproxy.library.usyd.edu.au/login?url=http://ovidsp.ovid.com/ovidweb.cgi?T=JS&amp;amp;CSC=Y&amp;amp;NEWS=N&amp;amp;PAGE=fulltext&amp;amp;D=prem&amp;amp;AN=30997512https://sydney.alma.exlibrisgroup.com/openurl/61USYD_INST/61USYD_INST:sydney?sid=OVID:medline&amp;amp;id=pmid:30997512&amp;amp;id=doi:10.1093&lt;/url&gt;&lt;url&gt;https://www.ncbi.nlm.nih.gov/pmc/articles/PMC6620628/pdf/noz070.pdf&lt;/url&gt;&lt;/related-urls&gt;&lt;/urls&gt;&lt;electronic-resource-num&gt;https://dx.doi.org/10.1093/neuonc/noz070&lt;/electronic-resource-num&gt;&lt;/record&gt;&lt;/Cite&gt;&lt;/EndNote&gt;</w:instrText>
              </w:r>
              <w:r w:rsidR="009821F7" w:rsidRPr="0090417E">
                <w:rPr>
                  <w:noProof/>
                  <w:sz w:val="19"/>
                  <w:szCs w:val="19"/>
                </w:rPr>
                <w:fldChar w:fldCharType="separate"/>
              </w:r>
              <w:r w:rsidR="009821F7" w:rsidRPr="0090417E">
                <w:rPr>
                  <w:noProof/>
                  <w:sz w:val="19"/>
                  <w:szCs w:val="19"/>
                </w:rPr>
                <w:t>Gross et al. (2019)</w:t>
              </w:r>
              <w:r w:rsidR="009821F7" w:rsidRPr="0090417E">
                <w:rPr>
                  <w:noProof/>
                  <w:sz w:val="19"/>
                  <w:szCs w:val="19"/>
                </w:rPr>
                <w:fldChar w:fldCharType="end"/>
              </w:r>
            </w:hyperlink>
          </w:p>
        </w:tc>
        <w:tc>
          <w:tcPr>
            <w:tcW w:w="1383" w:type="pct"/>
            <w:tcBorders>
              <w:top w:val="single" w:sz="4" w:space="0" w:color="auto"/>
              <w:left w:val="single" w:sz="4" w:space="0" w:color="auto"/>
              <w:bottom w:val="single" w:sz="4" w:space="0" w:color="auto"/>
              <w:right w:val="single" w:sz="4" w:space="0" w:color="auto"/>
            </w:tcBorders>
            <w:vAlign w:val="center"/>
          </w:tcPr>
          <w:p w14:paraId="140B74C1" w14:textId="77777777" w:rsidR="009821F7" w:rsidRPr="0090417E" w:rsidRDefault="009821F7" w:rsidP="002236BD">
            <w:pPr>
              <w:pStyle w:val="TableText0"/>
              <w:keepNext w:val="0"/>
              <w:spacing w:before="0" w:after="0"/>
              <w:rPr>
                <w:i/>
                <w:iCs/>
                <w:sz w:val="19"/>
                <w:szCs w:val="19"/>
              </w:rPr>
            </w:pPr>
            <w:r w:rsidRPr="0090417E">
              <w:rPr>
                <w:i/>
                <w:iCs/>
                <w:sz w:val="19"/>
                <w:szCs w:val="19"/>
              </w:rPr>
              <w:t>Cognitive function domain standardised or scaled score, mean (95% CI)</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ADBA5" w14:textId="77777777" w:rsidR="009821F7" w:rsidRPr="0090417E" w:rsidRDefault="009821F7" w:rsidP="002236BD">
            <w:pPr>
              <w:pStyle w:val="TableText0"/>
              <w:keepNext w:val="0"/>
              <w:spacing w:before="0" w:after="0"/>
              <w:jc w:val="center"/>
              <w:rPr>
                <w:bCs/>
                <w:iCs/>
                <w:sz w:val="19"/>
                <w:szCs w:val="19"/>
              </w:rPr>
            </w:pP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8190003" w14:textId="77777777" w:rsidR="009821F7" w:rsidRPr="0090417E" w:rsidRDefault="009821F7" w:rsidP="002236BD">
            <w:pPr>
              <w:pStyle w:val="TableText0"/>
              <w:keepNext w:val="0"/>
              <w:spacing w:before="0" w:after="0"/>
              <w:jc w:val="center"/>
              <w:rPr>
                <w:bCs/>
                <w:iCs/>
                <w:sz w:val="19"/>
                <w:szCs w:val="19"/>
              </w:rP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22226056" w14:textId="77777777" w:rsidR="009821F7" w:rsidRPr="0090417E" w:rsidRDefault="009821F7" w:rsidP="002236BD">
            <w:pPr>
              <w:pStyle w:val="TableText0"/>
              <w:keepNext w:val="0"/>
              <w:spacing w:before="0" w:after="0"/>
              <w:jc w:val="center"/>
              <w:rPr>
                <w:bCs/>
                <w:iCs/>
                <w:sz w:val="19"/>
                <w:szCs w:val="19"/>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1BD696A4" w14:textId="77777777" w:rsidR="009821F7" w:rsidRPr="0090417E" w:rsidRDefault="009821F7" w:rsidP="002236BD">
            <w:pPr>
              <w:pStyle w:val="TableText0"/>
              <w:keepNext w:val="0"/>
              <w:spacing w:before="0" w:after="0"/>
              <w:jc w:val="center"/>
              <w:rPr>
                <w:bCs/>
                <w:iCs/>
                <w:sz w:val="19"/>
                <w:szCs w:val="19"/>
              </w:rPr>
            </w:pPr>
          </w:p>
        </w:tc>
      </w:tr>
      <w:tr w:rsidR="009821F7" w:rsidRPr="0090417E" w14:paraId="7CA51404"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3351D0C4" w14:textId="77777777" w:rsidR="009821F7" w:rsidRPr="0090417E" w:rsidRDefault="009821F7" w:rsidP="002236BD">
            <w:pPr>
              <w:pStyle w:val="TableText0"/>
              <w:keepNext w:val="0"/>
              <w:spacing w:before="0" w:after="0"/>
              <w:rPr>
                <w:i/>
                <w:iCs/>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64C2C392" w14:textId="77777777" w:rsidR="009821F7" w:rsidRPr="0090417E" w:rsidRDefault="009821F7" w:rsidP="002236BD">
            <w:pPr>
              <w:pStyle w:val="TableText0"/>
              <w:keepNext w:val="0"/>
              <w:spacing w:before="0" w:after="0"/>
              <w:rPr>
                <w:i/>
                <w:iCs/>
                <w:sz w:val="19"/>
                <w:szCs w:val="19"/>
              </w:rPr>
            </w:pPr>
            <w:r w:rsidRPr="0090417E">
              <w:rPr>
                <w:i/>
                <w:iCs/>
                <w:sz w:val="19"/>
                <w:szCs w:val="19"/>
              </w:rPr>
              <w:t>Full-scale IQ/General Ability Index</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5A61C" w14:textId="77777777" w:rsidR="009821F7" w:rsidRPr="0090417E" w:rsidRDefault="009821F7" w:rsidP="002236BD">
            <w:pPr>
              <w:pStyle w:val="TableText0"/>
              <w:keepNext w:val="0"/>
              <w:spacing w:before="0" w:after="0"/>
              <w:ind w:left="-109" w:right="-112"/>
              <w:jc w:val="center"/>
              <w:rPr>
                <w:i/>
                <w:iCs/>
                <w:sz w:val="19"/>
                <w:szCs w:val="19"/>
              </w:rPr>
            </w:pPr>
            <w:r w:rsidRPr="0090417E">
              <w:rPr>
                <w:i/>
                <w:iCs/>
                <w:sz w:val="19"/>
                <w:szCs w:val="19"/>
              </w:rPr>
              <w:t>88.6 (84.0, 93.1)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552537F" w14:textId="77777777" w:rsidR="009821F7" w:rsidRPr="0090417E" w:rsidRDefault="009821F7" w:rsidP="002236BD">
            <w:pPr>
              <w:pStyle w:val="TableText0"/>
              <w:keepNext w:val="0"/>
              <w:spacing w:before="0" w:after="0"/>
              <w:ind w:left="-108" w:right="-112"/>
              <w:jc w:val="center"/>
              <w:rPr>
                <w:i/>
                <w:iCs/>
                <w:sz w:val="19"/>
                <w:szCs w:val="19"/>
              </w:rPr>
            </w:pPr>
            <w:r w:rsidRPr="0090417E">
              <w:rPr>
                <w:i/>
                <w:iCs/>
                <w:sz w:val="19"/>
                <w:szCs w:val="19"/>
              </w:rPr>
              <w:t>96.0 (91.8, 100.3)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259E203"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-7.4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D4073BF"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0.0019</w:t>
            </w:r>
          </w:p>
        </w:tc>
      </w:tr>
      <w:tr w:rsidR="009821F7" w:rsidRPr="0090417E" w14:paraId="6976396C"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63FDCF0B" w14:textId="77777777" w:rsidR="009821F7" w:rsidRPr="0090417E" w:rsidRDefault="009821F7" w:rsidP="002236BD">
            <w:pPr>
              <w:pStyle w:val="TableText0"/>
              <w:keepNext w:val="0"/>
              <w:spacing w:before="0" w:after="0"/>
              <w:rPr>
                <w:i/>
                <w:iCs/>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1AFCC0ED" w14:textId="77777777" w:rsidR="009821F7" w:rsidRPr="0090417E" w:rsidRDefault="009821F7" w:rsidP="002236BD">
            <w:pPr>
              <w:pStyle w:val="TableText0"/>
              <w:keepNext w:val="0"/>
              <w:spacing w:before="0" w:after="0"/>
              <w:rPr>
                <w:i/>
                <w:iCs/>
                <w:sz w:val="19"/>
                <w:szCs w:val="19"/>
              </w:rPr>
            </w:pPr>
            <w:r w:rsidRPr="0090417E">
              <w:rPr>
                <w:i/>
                <w:iCs/>
                <w:sz w:val="19"/>
                <w:szCs w:val="19"/>
              </w:rPr>
              <w:t>Verbal IQ</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1F519" w14:textId="77777777" w:rsidR="009821F7" w:rsidRPr="0090417E" w:rsidRDefault="009821F7" w:rsidP="002236BD">
            <w:pPr>
              <w:pStyle w:val="TableText0"/>
              <w:keepNext w:val="0"/>
              <w:spacing w:before="0" w:after="0"/>
              <w:ind w:left="-109" w:right="-112"/>
              <w:jc w:val="center"/>
              <w:rPr>
                <w:i/>
                <w:iCs/>
                <w:sz w:val="19"/>
                <w:szCs w:val="19"/>
              </w:rPr>
            </w:pPr>
            <w:r w:rsidRPr="0090417E">
              <w:rPr>
                <w:i/>
                <w:iCs/>
                <w:sz w:val="19"/>
                <w:szCs w:val="19"/>
              </w:rPr>
              <w:t>99.7 (95.3, 104.1)</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DA4B858" w14:textId="77777777" w:rsidR="009821F7" w:rsidRPr="0090417E" w:rsidRDefault="009821F7" w:rsidP="002236BD">
            <w:pPr>
              <w:pStyle w:val="TableText0"/>
              <w:keepNext w:val="0"/>
              <w:spacing w:before="0" w:after="0"/>
              <w:ind w:left="-108" w:right="-112"/>
              <w:jc w:val="center"/>
              <w:rPr>
                <w:i/>
                <w:iCs/>
                <w:sz w:val="19"/>
                <w:szCs w:val="19"/>
              </w:rPr>
            </w:pPr>
            <w:r w:rsidRPr="0090417E">
              <w:rPr>
                <w:i/>
                <w:iCs/>
                <w:sz w:val="19"/>
                <w:szCs w:val="19"/>
              </w:rPr>
              <w:t>92.8 (88.4, 97.3)</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2340CFFA"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6.9</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87772A8"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0.033</w:t>
            </w:r>
          </w:p>
        </w:tc>
      </w:tr>
      <w:tr w:rsidR="009821F7" w:rsidRPr="0090417E" w14:paraId="414D3D1F"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7785CC62" w14:textId="77777777" w:rsidR="009821F7" w:rsidRPr="0090417E" w:rsidRDefault="009821F7" w:rsidP="002236BD">
            <w:pPr>
              <w:pStyle w:val="TableText0"/>
              <w:keepNext w:val="0"/>
              <w:spacing w:before="0" w:after="0"/>
              <w:rPr>
                <w:i/>
                <w:iCs/>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62FEB7DF" w14:textId="77777777" w:rsidR="009821F7" w:rsidRPr="0090417E" w:rsidRDefault="009821F7" w:rsidP="002236BD">
            <w:pPr>
              <w:pStyle w:val="TableText0"/>
              <w:keepNext w:val="0"/>
              <w:spacing w:before="0" w:after="0"/>
              <w:rPr>
                <w:i/>
                <w:iCs/>
                <w:sz w:val="19"/>
                <w:szCs w:val="19"/>
              </w:rPr>
            </w:pPr>
            <w:r w:rsidRPr="0090417E">
              <w:rPr>
                <w:i/>
                <w:iCs/>
                <w:sz w:val="19"/>
                <w:szCs w:val="19"/>
              </w:rPr>
              <w:t>Performance IQ</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0D1FB" w14:textId="77777777" w:rsidR="009821F7" w:rsidRPr="0090417E" w:rsidRDefault="009821F7" w:rsidP="002236BD">
            <w:pPr>
              <w:pStyle w:val="TableText0"/>
              <w:keepNext w:val="0"/>
              <w:spacing w:before="0" w:after="0"/>
              <w:ind w:left="-109" w:right="-112"/>
              <w:jc w:val="center"/>
              <w:rPr>
                <w:i/>
                <w:iCs/>
                <w:sz w:val="19"/>
                <w:szCs w:val="19"/>
              </w:rPr>
            </w:pPr>
            <w:r w:rsidRPr="0090417E">
              <w:rPr>
                <w:i/>
                <w:iCs/>
                <w:sz w:val="19"/>
                <w:szCs w:val="19"/>
              </w:rPr>
              <w:t>90.7 (82.5, 98.8)</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BE48092" w14:textId="77777777" w:rsidR="009821F7" w:rsidRPr="0090417E" w:rsidRDefault="009821F7" w:rsidP="002236BD">
            <w:pPr>
              <w:pStyle w:val="TableText0"/>
              <w:keepNext w:val="0"/>
              <w:spacing w:before="0" w:after="0"/>
              <w:ind w:left="-108" w:right="-112"/>
              <w:jc w:val="center"/>
              <w:rPr>
                <w:i/>
                <w:iCs/>
                <w:sz w:val="19"/>
                <w:szCs w:val="19"/>
              </w:rPr>
            </w:pPr>
            <w:r w:rsidRPr="0090417E">
              <w:rPr>
                <w:i/>
                <w:iCs/>
                <w:sz w:val="19"/>
                <w:szCs w:val="19"/>
              </w:rPr>
              <w:t>87.8 (82.0, 98.0)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8253A93"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2.9</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7451BED"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0.03</w:t>
            </w:r>
          </w:p>
        </w:tc>
      </w:tr>
      <w:tr w:rsidR="009821F7" w:rsidRPr="0090417E" w14:paraId="31A33E60"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4B2EA8ED" w14:textId="77777777" w:rsidR="009821F7" w:rsidRPr="0090417E" w:rsidRDefault="009821F7" w:rsidP="002236BD">
            <w:pPr>
              <w:pStyle w:val="TableText0"/>
              <w:keepNext w:val="0"/>
              <w:spacing w:before="0" w:after="0"/>
              <w:rPr>
                <w:i/>
                <w:iCs/>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58135DB2" w14:textId="77777777" w:rsidR="009821F7" w:rsidRPr="0090417E" w:rsidRDefault="009821F7" w:rsidP="002236BD">
            <w:pPr>
              <w:pStyle w:val="TableText0"/>
              <w:keepNext w:val="0"/>
              <w:spacing w:before="0" w:after="0"/>
              <w:rPr>
                <w:i/>
                <w:iCs/>
                <w:sz w:val="19"/>
                <w:szCs w:val="19"/>
              </w:rPr>
            </w:pPr>
            <w:r w:rsidRPr="0090417E">
              <w:rPr>
                <w:i/>
                <w:iCs/>
                <w:sz w:val="19"/>
                <w:szCs w:val="19"/>
              </w:rPr>
              <w:t>Digit span</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E4815" w14:textId="77777777" w:rsidR="009821F7" w:rsidRPr="0090417E" w:rsidRDefault="009821F7" w:rsidP="002236BD">
            <w:pPr>
              <w:pStyle w:val="TableText0"/>
              <w:keepNext w:val="0"/>
              <w:spacing w:before="0" w:after="0"/>
              <w:ind w:left="-109" w:right="-112"/>
              <w:jc w:val="center"/>
              <w:rPr>
                <w:i/>
                <w:iCs/>
                <w:sz w:val="19"/>
                <w:szCs w:val="19"/>
              </w:rPr>
            </w:pPr>
            <w:r w:rsidRPr="0090417E">
              <w:rPr>
                <w:i/>
                <w:iCs/>
                <w:sz w:val="19"/>
                <w:szCs w:val="19"/>
              </w:rPr>
              <w:t>8.1 (7.3, 8.8)</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B204657" w14:textId="77777777" w:rsidR="009821F7" w:rsidRPr="0090417E" w:rsidRDefault="009821F7" w:rsidP="002236BD">
            <w:pPr>
              <w:pStyle w:val="TableText0"/>
              <w:keepNext w:val="0"/>
              <w:spacing w:before="0" w:after="0"/>
              <w:ind w:left="-108" w:right="-112"/>
              <w:jc w:val="center"/>
              <w:rPr>
                <w:i/>
                <w:iCs/>
                <w:sz w:val="19"/>
                <w:szCs w:val="19"/>
              </w:rPr>
            </w:pPr>
            <w:r w:rsidRPr="0090417E">
              <w:rPr>
                <w:i/>
                <w:iCs/>
                <w:sz w:val="19"/>
                <w:szCs w:val="19"/>
              </w:rPr>
              <w:t>7.6 (6.7, 8.4)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0374310"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0.5</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3146CEB"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0.03</w:t>
            </w:r>
          </w:p>
        </w:tc>
      </w:tr>
      <w:tr w:rsidR="009821F7" w:rsidRPr="0090417E" w14:paraId="05C2AA53"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5E9CBBE5" w14:textId="77777777" w:rsidR="009821F7" w:rsidRPr="0090417E" w:rsidRDefault="009821F7" w:rsidP="002236BD">
            <w:pPr>
              <w:pStyle w:val="TableText0"/>
              <w:keepNext w:val="0"/>
              <w:spacing w:before="0" w:after="0"/>
              <w:rPr>
                <w:i/>
                <w:iCs/>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3DE123EC" w14:textId="77777777" w:rsidR="009821F7" w:rsidRPr="0090417E" w:rsidRDefault="009821F7" w:rsidP="002236BD">
            <w:pPr>
              <w:pStyle w:val="TableText0"/>
              <w:keepNext w:val="0"/>
              <w:spacing w:before="0" w:after="0"/>
              <w:rPr>
                <w:i/>
                <w:iCs/>
                <w:sz w:val="19"/>
                <w:szCs w:val="19"/>
              </w:rPr>
            </w:pPr>
            <w:r w:rsidRPr="0090417E">
              <w:rPr>
                <w:i/>
                <w:iCs/>
                <w:sz w:val="19"/>
                <w:szCs w:val="19"/>
              </w:rPr>
              <w:t>Story memory</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BE583" w14:textId="77777777" w:rsidR="009821F7" w:rsidRPr="0090417E" w:rsidRDefault="009821F7" w:rsidP="002236BD">
            <w:pPr>
              <w:pStyle w:val="TableText0"/>
              <w:keepNext w:val="0"/>
              <w:spacing w:before="0" w:after="0"/>
              <w:ind w:left="-109" w:right="-112"/>
              <w:jc w:val="center"/>
              <w:rPr>
                <w:i/>
                <w:iCs/>
                <w:sz w:val="19"/>
                <w:szCs w:val="19"/>
              </w:rPr>
            </w:pPr>
            <w:r w:rsidRPr="0090417E">
              <w:rPr>
                <w:i/>
                <w:iCs/>
                <w:sz w:val="19"/>
                <w:szCs w:val="19"/>
              </w:rPr>
              <w:t>9.5 (8.7, 10.4)</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C107EBA" w14:textId="77777777" w:rsidR="009821F7" w:rsidRPr="0090417E" w:rsidRDefault="009821F7" w:rsidP="002236BD">
            <w:pPr>
              <w:pStyle w:val="TableText0"/>
              <w:keepNext w:val="0"/>
              <w:spacing w:before="0" w:after="0"/>
              <w:ind w:left="-108" w:right="-112"/>
              <w:jc w:val="center"/>
              <w:rPr>
                <w:i/>
                <w:iCs/>
                <w:sz w:val="19"/>
                <w:szCs w:val="19"/>
              </w:rPr>
            </w:pPr>
            <w:r w:rsidRPr="0090417E">
              <w:rPr>
                <w:i/>
                <w:iCs/>
                <w:sz w:val="19"/>
                <w:szCs w:val="19"/>
              </w:rPr>
              <w:t>8.7 (7.8, 9.6)</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FDA5885"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0.8</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2682DF71"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0.2</w:t>
            </w:r>
          </w:p>
        </w:tc>
      </w:tr>
      <w:tr w:rsidR="009821F7" w:rsidRPr="0090417E" w14:paraId="0A67A590"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180CF571" w14:textId="77777777" w:rsidR="009821F7" w:rsidRPr="0090417E" w:rsidRDefault="009821F7" w:rsidP="002236BD">
            <w:pPr>
              <w:pStyle w:val="TableText0"/>
              <w:keepNext w:val="0"/>
              <w:spacing w:before="0" w:after="0"/>
              <w:rPr>
                <w:i/>
                <w:iCs/>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4430A7DF" w14:textId="77777777" w:rsidR="009821F7" w:rsidRPr="0090417E" w:rsidRDefault="009821F7" w:rsidP="002236BD">
            <w:pPr>
              <w:pStyle w:val="TableText0"/>
              <w:keepNext w:val="0"/>
              <w:spacing w:before="0" w:after="0"/>
              <w:rPr>
                <w:i/>
                <w:iCs/>
                <w:sz w:val="19"/>
                <w:szCs w:val="19"/>
              </w:rPr>
            </w:pPr>
            <w:r w:rsidRPr="0090417E">
              <w:rPr>
                <w:i/>
                <w:iCs/>
                <w:sz w:val="19"/>
                <w:szCs w:val="19"/>
              </w:rPr>
              <w:t>Visual motor integration</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4FC37" w14:textId="77777777" w:rsidR="009821F7" w:rsidRPr="0090417E" w:rsidRDefault="009821F7" w:rsidP="002236BD">
            <w:pPr>
              <w:pStyle w:val="TableText0"/>
              <w:keepNext w:val="0"/>
              <w:spacing w:before="0" w:after="0"/>
              <w:ind w:left="-109" w:right="-112"/>
              <w:jc w:val="center"/>
              <w:rPr>
                <w:i/>
                <w:iCs/>
                <w:sz w:val="19"/>
                <w:szCs w:val="19"/>
              </w:rPr>
            </w:pPr>
            <w:r w:rsidRPr="0090417E">
              <w:rPr>
                <w:i/>
                <w:iCs/>
                <w:sz w:val="19"/>
                <w:szCs w:val="19"/>
              </w:rPr>
              <w:t>87.2 (82.9, 91.5)</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96C9A87" w14:textId="77777777" w:rsidR="009821F7" w:rsidRPr="0090417E" w:rsidRDefault="009821F7" w:rsidP="002236BD">
            <w:pPr>
              <w:pStyle w:val="TableText0"/>
              <w:keepNext w:val="0"/>
              <w:spacing w:before="0" w:after="0"/>
              <w:ind w:left="-108" w:right="-112"/>
              <w:jc w:val="center"/>
              <w:rPr>
                <w:i/>
                <w:iCs/>
                <w:sz w:val="19"/>
                <w:szCs w:val="19"/>
              </w:rPr>
            </w:pPr>
            <w:r w:rsidRPr="0090417E">
              <w:rPr>
                <w:i/>
                <w:iCs/>
                <w:sz w:val="19"/>
                <w:szCs w:val="19"/>
              </w:rPr>
              <w:t>80.8 (76.7, 85.0)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6711100"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6.4</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3AA5EC51"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0.035</w:t>
            </w:r>
          </w:p>
        </w:tc>
      </w:tr>
      <w:tr w:rsidR="009821F7" w:rsidRPr="0090417E" w14:paraId="1F83B55C"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45473963" w14:textId="77777777" w:rsidR="009821F7" w:rsidRPr="0090417E" w:rsidRDefault="009821F7" w:rsidP="002236BD">
            <w:pPr>
              <w:pStyle w:val="TableText0"/>
              <w:keepNext w:val="0"/>
              <w:spacing w:before="0" w:after="0"/>
              <w:rPr>
                <w:i/>
                <w:iCs/>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58716E05" w14:textId="77777777" w:rsidR="009821F7" w:rsidRPr="0090417E" w:rsidRDefault="009821F7" w:rsidP="002236BD">
            <w:pPr>
              <w:pStyle w:val="TableText0"/>
              <w:keepNext w:val="0"/>
              <w:spacing w:before="0" w:after="0"/>
              <w:rPr>
                <w:i/>
                <w:iCs/>
                <w:sz w:val="19"/>
                <w:szCs w:val="19"/>
              </w:rPr>
            </w:pPr>
            <w:r w:rsidRPr="0090417E">
              <w:rPr>
                <w:i/>
                <w:iCs/>
                <w:sz w:val="19"/>
                <w:szCs w:val="19"/>
              </w:rPr>
              <w:t>Word reading/decoding</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6949B" w14:textId="77777777" w:rsidR="009821F7" w:rsidRPr="0090417E" w:rsidRDefault="009821F7" w:rsidP="002236BD">
            <w:pPr>
              <w:pStyle w:val="TableText0"/>
              <w:keepNext w:val="0"/>
              <w:spacing w:before="0" w:after="0"/>
              <w:ind w:left="-109" w:right="-112"/>
              <w:jc w:val="center"/>
              <w:rPr>
                <w:i/>
                <w:iCs/>
                <w:sz w:val="19"/>
                <w:szCs w:val="19"/>
              </w:rPr>
            </w:pPr>
            <w:r w:rsidRPr="0090417E">
              <w:rPr>
                <w:i/>
                <w:iCs/>
                <w:sz w:val="19"/>
                <w:szCs w:val="19"/>
              </w:rPr>
              <w:t>94.1 (89.8, 93.4)</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5CFA92B" w14:textId="77777777" w:rsidR="009821F7" w:rsidRPr="0090417E" w:rsidRDefault="009821F7" w:rsidP="002236BD">
            <w:pPr>
              <w:pStyle w:val="TableText0"/>
              <w:keepNext w:val="0"/>
              <w:spacing w:before="0" w:after="0"/>
              <w:ind w:left="-108" w:right="-112"/>
              <w:jc w:val="center"/>
              <w:rPr>
                <w:i/>
                <w:iCs/>
                <w:sz w:val="19"/>
                <w:szCs w:val="19"/>
              </w:rPr>
            </w:pPr>
            <w:r w:rsidRPr="0090417E">
              <w:rPr>
                <w:i/>
                <w:iCs/>
                <w:sz w:val="19"/>
                <w:szCs w:val="19"/>
              </w:rPr>
              <w:t>86.4 (81.6, 91.2)</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7A99AC90"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7.7</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47DF743"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0.02</w:t>
            </w:r>
          </w:p>
        </w:tc>
      </w:tr>
      <w:tr w:rsidR="009821F7" w:rsidRPr="0090417E" w14:paraId="4B5C6FC6"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1AD1532E" w14:textId="77777777" w:rsidR="009821F7" w:rsidRPr="0090417E" w:rsidRDefault="009821F7" w:rsidP="002236BD">
            <w:pPr>
              <w:pStyle w:val="TableText0"/>
              <w:keepNext w:val="0"/>
              <w:spacing w:before="0" w:after="0"/>
              <w:rPr>
                <w:i/>
                <w:iCs/>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6B70CD7F" w14:textId="77777777" w:rsidR="009821F7" w:rsidRPr="0090417E" w:rsidRDefault="009821F7" w:rsidP="002236BD">
            <w:pPr>
              <w:pStyle w:val="TableText0"/>
              <w:keepNext w:val="0"/>
              <w:spacing w:before="0" w:after="0"/>
              <w:rPr>
                <w:i/>
                <w:iCs/>
                <w:sz w:val="19"/>
                <w:szCs w:val="19"/>
              </w:rPr>
            </w:pPr>
            <w:r w:rsidRPr="0090417E">
              <w:rPr>
                <w:i/>
                <w:iCs/>
                <w:sz w:val="19"/>
                <w:szCs w:val="19"/>
              </w:rPr>
              <w:t>Written calculations</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86D68" w14:textId="77777777" w:rsidR="009821F7" w:rsidRPr="0090417E" w:rsidRDefault="009821F7" w:rsidP="002236BD">
            <w:pPr>
              <w:pStyle w:val="TableText0"/>
              <w:keepNext w:val="0"/>
              <w:spacing w:before="0" w:after="0"/>
              <w:ind w:left="-109" w:right="-112"/>
              <w:jc w:val="center"/>
              <w:rPr>
                <w:i/>
                <w:iCs/>
                <w:sz w:val="19"/>
                <w:szCs w:val="19"/>
              </w:rPr>
            </w:pPr>
            <w:r w:rsidRPr="0090417E">
              <w:rPr>
                <w:i/>
                <w:iCs/>
                <w:sz w:val="19"/>
                <w:szCs w:val="19"/>
              </w:rPr>
              <w:t>90.4 (85.4, 95.4)</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9DA1AC1" w14:textId="77777777" w:rsidR="009821F7" w:rsidRPr="0090417E" w:rsidRDefault="009821F7" w:rsidP="002236BD">
            <w:pPr>
              <w:pStyle w:val="TableText0"/>
              <w:keepNext w:val="0"/>
              <w:spacing w:before="0" w:after="0"/>
              <w:ind w:left="-108" w:right="-112"/>
              <w:jc w:val="center"/>
              <w:rPr>
                <w:i/>
                <w:iCs/>
                <w:sz w:val="19"/>
                <w:szCs w:val="19"/>
              </w:rPr>
            </w:pPr>
            <w:r w:rsidRPr="0090417E">
              <w:rPr>
                <w:i/>
                <w:iCs/>
                <w:sz w:val="19"/>
                <w:szCs w:val="19"/>
              </w:rPr>
              <w:t>83.1 (78.2, 88.0)</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F412E23"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7.3</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1293CE42"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0.042</w:t>
            </w:r>
          </w:p>
        </w:tc>
      </w:tr>
      <w:tr w:rsidR="009821F7" w:rsidRPr="0090417E" w14:paraId="7334C468"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3438E8CE" w14:textId="77777777" w:rsidR="009821F7" w:rsidRPr="0090417E" w:rsidRDefault="009821F7" w:rsidP="002236BD">
            <w:pPr>
              <w:pStyle w:val="TableText0"/>
              <w:keepNext w:val="0"/>
              <w:spacing w:before="0" w:after="0"/>
              <w:rPr>
                <w:i/>
                <w:iCs/>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0647F391" w14:textId="77777777" w:rsidR="009821F7" w:rsidRPr="0090417E" w:rsidRDefault="009821F7" w:rsidP="002236BD">
            <w:pPr>
              <w:pStyle w:val="TableText0"/>
              <w:keepNext w:val="0"/>
              <w:spacing w:before="0" w:after="0"/>
              <w:rPr>
                <w:i/>
                <w:iCs/>
                <w:sz w:val="19"/>
                <w:szCs w:val="19"/>
              </w:rPr>
            </w:pPr>
            <w:r w:rsidRPr="0090417E">
              <w:rPr>
                <w:i/>
                <w:iCs/>
                <w:sz w:val="19"/>
                <w:szCs w:val="19"/>
              </w:rPr>
              <w:t>Parent-reported general adaptive composite</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7B528" w14:textId="77777777" w:rsidR="009821F7" w:rsidRPr="0090417E" w:rsidRDefault="009821F7" w:rsidP="002236BD">
            <w:pPr>
              <w:pStyle w:val="TableText0"/>
              <w:keepNext w:val="0"/>
              <w:spacing w:before="0" w:after="0"/>
              <w:ind w:left="-109" w:right="-112"/>
              <w:jc w:val="center"/>
              <w:rPr>
                <w:i/>
                <w:iCs/>
                <w:sz w:val="19"/>
                <w:szCs w:val="19"/>
              </w:rPr>
            </w:pPr>
            <w:r w:rsidRPr="0090417E">
              <w:rPr>
                <w:i/>
                <w:iCs/>
                <w:sz w:val="19"/>
                <w:szCs w:val="19"/>
              </w:rPr>
              <w:t>92.0 (87.2, 96.7)</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CCD6AD6" w14:textId="77777777" w:rsidR="009821F7" w:rsidRPr="0090417E" w:rsidRDefault="009821F7" w:rsidP="002236BD">
            <w:pPr>
              <w:pStyle w:val="TableText0"/>
              <w:keepNext w:val="0"/>
              <w:spacing w:before="0" w:after="0"/>
              <w:ind w:left="-108" w:right="-112"/>
              <w:jc w:val="center"/>
              <w:rPr>
                <w:i/>
                <w:iCs/>
                <w:sz w:val="19"/>
                <w:szCs w:val="19"/>
              </w:rPr>
            </w:pPr>
            <w:r w:rsidRPr="0090417E">
              <w:rPr>
                <w:i/>
                <w:iCs/>
                <w:sz w:val="19"/>
                <w:szCs w:val="19"/>
              </w:rPr>
              <w:t>80.7 (76.0, 85.4)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1F88937F"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11.3</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558F3D70"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0.001</w:t>
            </w:r>
          </w:p>
        </w:tc>
      </w:tr>
      <w:tr w:rsidR="009821F7" w:rsidRPr="0090417E" w14:paraId="68289FB1"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4A5FB800" w14:textId="77777777" w:rsidR="009821F7" w:rsidRPr="0090417E" w:rsidRDefault="009821F7" w:rsidP="002236BD">
            <w:pPr>
              <w:pStyle w:val="TableText0"/>
              <w:keepNext w:val="0"/>
              <w:spacing w:before="0" w:after="0"/>
              <w:rPr>
                <w:i/>
                <w:iCs/>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5522B955" w14:textId="77777777" w:rsidR="009821F7" w:rsidRPr="0090417E" w:rsidRDefault="009821F7" w:rsidP="002236BD">
            <w:pPr>
              <w:pStyle w:val="TableText0"/>
              <w:keepNext w:val="0"/>
              <w:spacing w:before="0" w:after="0"/>
              <w:rPr>
                <w:i/>
                <w:iCs/>
                <w:sz w:val="19"/>
                <w:szCs w:val="19"/>
              </w:rPr>
            </w:pPr>
            <w:r w:rsidRPr="0090417E">
              <w:rPr>
                <w:i/>
                <w:iCs/>
                <w:sz w:val="19"/>
                <w:szCs w:val="19"/>
              </w:rPr>
              <w:t>ABAS conceptual domain</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CC9D9" w14:textId="77777777" w:rsidR="009821F7" w:rsidRPr="0090417E" w:rsidRDefault="009821F7" w:rsidP="002236BD">
            <w:pPr>
              <w:pStyle w:val="TableText0"/>
              <w:keepNext w:val="0"/>
              <w:spacing w:before="0" w:after="0"/>
              <w:ind w:left="-109" w:right="-112"/>
              <w:jc w:val="center"/>
              <w:rPr>
                <w:i/>
                <w:iCs/>
                <w:sz w:val="19"/>
                <w:szCs w:val="19"/>
              </w:rPr>
            </w:pPr>
            <w:r w:rsidRPr="0090417E">
              <w:rPr>
                <w:i/>
                <w:iCs/>
                <w:sz w:val="19"/>
                <w:szCs w:val="19"/>
              </w:rPr>
              <w:t>95.1 (90.7, 99.5)</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14846C0" w14:textId="77777777" w:rsidR="009821F7" w:rsidRPr="0090417E" w:rsidRDefault="009821F7" w:rsidP="002236BD">
            <w:pPr>
              <w:pStyle w:val="TableText0"/>
              <w:keepNext w:val="0"/>
              <w:spacing w:before="0" w:after="0"/>
              <w:ind w:left="-108" w:right="-112"/>
              <w:jc w:val="center"/>
              <w:rPr>
                <w:i/>
                <w:iCs/>
                <w:sz w:val="19"/>
                <w:szCs w:val="19"/>
              </w:rPr>
            </w:pPr>
            <w:r w:rsidRPr="0090417E">
              <w:rPr>
                <w:i/>
                <w:iCs/>
                <w:sz w:val="19"/>
                <w:szCs w:val="19"/>
              </w:rPr>
              <w:t>84.1 (79.1, 89.1)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0CCF0114"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11.0</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C69211F"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0.001</w:t>
            </w:r>
          </w:p>
        </w:tc>
      </w:tr>
      <w:tr w:rsidR="009821F7" w:rsidRPr="0090417E" w14:paraId="409C3ED7" w14:textId="77777777" w:rsidTr="009821F7">
        <w:trPr>
          <w:cantSplit/>
        </w:trPr>
        <w:tc>
          <w:tcPr>
            <w:tcW w:w="580" w:type="pct"/>
            <w:tcBorders>
              <w:top w:val="nil"/>
              <w:left w:val="single" w:sz="4" w:space="0" w:color="auto"/>
              <w:bottom w:val="nil"/>
              <w:right w:val="single" w:sz="4" w:space="0" w:color="auto"/>
            </w:tcBorders>
            <w:shd w:val="clear" w:color="auto" w:fill="auto"/>
            <w:vAlign w:val="center"/>
          </w:tcPr>
          <w:p w14:paraId="798325D6" w14:textId="77777777" w:rsidR="009821F7" w:rsidRPr="0090417E" w:rsidRDefault="009821F7" w:rsidP="002236BD">
            <w:pPr>
              <w:pStyle w:val="TableText0"/>
              <w:keepNext w:val="0"/>
              <w:spacing w:before="0" w:after="0"/>
              <w:rPr>
                <w:i/>
                <w:iCs/>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374F6918" w14:textId="77777777" w:rsidR="009821F7" w:rsidRPr="0090417E" w:rsidRDefault="009821F7" w:rsidP="002236BD">
            <w:pPr>
              <w:pStyle w:val="TableText0"/>
              <w:keepNext w:val="0"/>
              <w:spacing w:before="0" w:after="0"/>
              <w:rPr>
                <w:i/>
                <w:iCs/>
                <w:sz w:val="19"/>
                <w:szCs w:val="19"/>
              </w:rPr>
            </w:pPr>
            <w:r w:rsidRPr="0090417E">
              <w:rPr>
                <w:i/>
                <w:iCs/>
                <w:sz w:val="19"/>
                <w:szCs w:val="19"/>
              </w:rPr>
              <w:t>ABAS social domain</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F9C5A" w14:textId="77777777" w:rsidR="009821F7" w:rsidRPr="0090417E" w:rsidRDefault="009821F7" w:rsidP="002236BD">
            <w:pPr>
              <w:pStyle w:val="TableText0"/>
              <w:keepNext w:val="0"/>
              <w:spacing w:before="0" w:after="0"/>
              <w:ind w:left="-109" w:right="-112"/>
              <w:jc w:val="center"/>
              <w:rPr>
                <w:i/>
                <w:iCs/>
                <w:sz w:val="19"/>
                <w:szCs w:val="19"/>
              </w:rPr>
            </w:pPr>
            <w:r w:rsidRPr="0090417E">
              <w:rPr>
                <w:i/>
                <w:iCs/>
                <w:sz w:val="19"/>
                <w:szCs w:val="19"/>
              </w:rPr>
              <w:t>95.0 (90.9, 99.2)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69E1258" w14:textId="77777777" w:rsidR="009821F7" w:rsidRPr="0090417E" w:rsidRDefault="009821F7" w:rsidP="002236BD">
            <w:pPr>
              <w:pStyle w:val="TableText0"/>
              <w:keepNext w:val="0"/>
              <w:spacing w:before="0" w:after="0"/>
              <w:ind w:left="-108" w:right="-112"/>
              <w:jc w:val="center"/>
              <w:rPr>
                <w:i/>
                <w:iCs/>
                <w:sz w:val="19"/>
                <w:szCs w:val="19"/>
              </w:rPr>
            </w:pPr>
            <w:r w:rsidRPr="0090417E">
              <w:rPr>
                <w:i/>
                <w:iCs/>
                <w:sz w:val="19"/>
                <w:szCs w:val="19"/>
              </w:rPr>
              <w:t>86.2 (82.6, 89.8)</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3932984E"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8.8</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6509B61C"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0.002</w:t>
            </w:r>
          </w:p>
        </w:tc>
      </w:tr>
      <w:tr w:rsidR="009821F7" w:rsidRPr="0090417E" w14:paraId="15B03195" w14:textId="77777777" w:rsidTr="009821F7">
        <w:trPr>
          <w:cantSplit/>
        </w:trPr>
        <w:tc>
          <w:tcPr>
            <w:tcW w:w="580" w:type="pct"/>
            <w:tcBorders>
              <w:top w:val="nil"/>
              <w:left w:val="single" w:sz="4" w:space="0" w:color="auto"/>
              <w:bottom w:val="single" w:sz="4" w:space="0" w:color="auto"/>
              <w:right w:val="single" w:sz="4" w:space="0" w:color="auto"/>
            </w:tcBorders>
            <w:shd w:val="clear" w:color="auto" w:fill="auto"/>
            <w:vAlign w:val="center"/>
          </w:tcPr>
          <w:p w14:paraId="4523A2CF" w14:textId="77777777" w:rsidR="009821F7" w:rsidRPr="0090417E" w:rsidRDefault="009821F7" w:rsidP="002236BD">
            <w:pPr>
              <w:pStyle w:val="TableText0"/>
              <w:keepNext w:val="0"/>
              <w:spacing w:before="0" w:after="0"/>
              <w:rPr>
                <w:i/>
                <w:iCs/>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0329BDD6" w14:textId="77777777" w:rsidR="009821F7" w:rsidRPr="0090417E" w:rsidRDefault="009821F7" w:rsidP="002236BD">
            <w:pPr>
              <w:pStyle w:val="TableText0"/>
              <w:keepNext w:val="0"/>
              <w:spacing w:before="0" w:after="0"/>
              <w:rPr>
                <w:i/>
                <w:iCs/>
                <w:sz w:val="19"/>
                <w:szCs w:val="19"/>
              </w:rPr>
            </w:pPr>
            <w:r w:rsidRPr="0090417E">
              <w:rPr>
                <w:i/>
                <w:iCs/>
                <w:sz w:val="19"/>
                <w:szCs w:val="19"/>
              </w:rPr>
              <w:t>ABAS practical domain</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47E06" w14:textId="77777777" w:rsidR="009821F7" w:rsidRPr="0090417E" w:rsidRDefault="009821F7" w:rsidP="002236BD">
            <w:pPr>
              <w:pStyle w:val="TableText0"/>
              <w:keepNext w:val="0"/>
              <w:spacing w:before="0" w:after="0"/>
              <w:ind w:left="-109" w:right="-112"/>
              <w:jc w:val="center"/>
              <w:rPr>
                <w:i/>
                <w:iCs/>
                <w:sz w:val="19"/>
                <w:szCs w:val="19"/>
              </w:rPr>
            </w:pPr>
            <w:r w:rsidRPr="0090417E">
              <w:rPr>
                <w:i/>
                <w:iCs/>
                <w:sz w:val="19"/>
                <w:szCs w:val="19"/>
              </w:rPr>
              <w:t>91.8 (87.1, 96.5)</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143B0BA" w14:textId="77777777" w:rsidR="009821F7" w:rsidRPr="0090417E" w:rsidRDefault="009821F7" w:rsidP="002236BD">
            <w:pPr>
              <w:pStyle w:val="TableText0"/>
              <w:keepNext w:val="0"/>
              <w:spacing w:before="0" w:after="0"/>
              <w:ind w:left="-108" w:right="-112"/>
              <w:jc w:val="center"/>
              <w:rPr>
                <w:i/>
                <w:iCs/>
                <w:sz w:val="19"/>
                <w:szCs w:val="19"/>
              </w:rPr>
            </w:pPr>
            <w:r w:rsidRPr="0090417E">
              <w:rPr>
                <w:i/>
                <w:iCs/>
                <w:sz w:val="19"/>
                <w:szCs w:val="19"/>
              </w:rPr>
              <w:t>78.9 (73.2, 84.7)</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CDFCCC6"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12.9</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0BFB5DA" w14:textId="77777777" w:rsidR="009821F7" w:rsidRPr="0090417E" w:rsidRDefault="009821F7" w:rsidP="002236BD">
            <w:pPr>
              <w:pStyle w:val="TableText0"/>
              <w:keepNext w:val="0"/>
              <w:spacing w:before="0" w:after="0"/>
              <w:jc w:val="center"/>
              <w:rPr>
                <w:i/>
                <w:iCs/>
                <w:sz w:val="19"/>
                <w:szCs w:val="19"/>
              </w:rPr>
            </w:pPr>
            <w:r w:rsidRPr="0090417E">
              <w:rPr>
                <w:i/>
                <w:iCs/>
                <w:sz w:val="19"/>
                <w:szCs w:val="19"/>
              </w:rPr>
              <w:t>0.0001</w:t>
            </w:r>
          </w:p>
        </w:tc>
      </w:tr>
      <w:tr w:rsidR="009821F7" w:rsidRPr="0090417E" w14:paraId="507D44F5" w14:textId="77777777" w:rsidTr="009821F7">
        <w:trPr>
          <w:cantSplit/>
        </w:trPr>
        <w:tc>
          <w:tcPr>
            <w:tcW w:w="1963" w:type="pct"/>
            <w:gridSpan w:val="2"/>
            <w:tcBorders>
              <w:top w:val="single" w:sz="4" w:space="0" w:color="auto"/>
              <w:left w:val="single" w:sz="4" w:space="0" w:color="auto"/>
              <w:bottom w:val="nil"/>
              <w:right w:val="nil"/>
            </w:tcBorders>
            <w:shd w:val="clear" w:color="auto" w:fill="auto"/>
            <w:vAlign w:val="center"/>
          </w:tcPr>
          <w:p w14:paraId="236ADC40" w14:textId="77777777" w:rsidR="009821F7" w:rsidRPr="0090417E" w:rsidRDefault="009821F7" w:rsidP="002236BD">
            <w:pPr>
              <w:pStyle w:val="TableText0"/>
              <w:keepNext w:val="0"/>
              <w:spacing w:before="0" w:after="0"/>
              <w:rPr>
                <w:bCs/>
                <w:sz w:val="19"/>
                <w:szCs w:val="19"/>
              </w:rPr>
            </w:pPr>
            <w:r w:rsidRPr="0090417E">
              <w:rPr>
                <w:b/>
                <w:bCs/>
                <w:sz w:val="19"/>
                <w:szCs w:val="19"/>
              </w:rPr>
              <w:t>Secondary malignancy</w:t>
            </w:r>
          </w:p>
        </w:tc>
        <w:tc>
          <w:tcPr>
            <w:tcW w:w="786" w:type="pct"/>
            <w:gridSpan w:val="2"/>
            <w:tcBorders>
              <w:top w:val="single" w:sz="4" w:space="0" w:color="auto"/>
              <w:left w:val="nil"/>
              <w:bottom w:val="single" w:sz="4" w:space="0" w:color="auto"/>
              <w:right w:val="nil"/>
            </w:tcBorders>
            <w:vAlign w:val="center"/>
          </w:tcPr>
          <w:p w14:paraId="559042CA" w14:textId="77777777" w:rsidR="009821F7" w:rsidRPr="0090417E" w:rsidRDefault="009821F7" w:rsidP="002236BD">
            <w:pPr>
              <w:pStyle w:val="TableText0"/>
              <w:keepNext w:val="0"/>
              <w:spacing w:before="0" w:after="0"/>
              <w:rPr>
                <w:bCs/>
                <w:sz w:val="19"/>
                <w:szCs w:val="19"/>
              </w:rPr>
            </w:pPr>
          </w:p>
        </w:tc>
        <w:tc>
          <w:tcPr>
            <w:tcW w:w="786" w:type="pct"/>
            <w:tcBorders>
              <w:top w:val="single" w:sz="4" w:space="0" w:color="auto"/>
              <w:left w:val="nil"/>
              <w:bottom w:val="single" w:sz="4" w:space="0" w:color="auto"/>
              <w:right w:val="nil"/>
            </w:tcBorders>
            <w:shd w:val="clear" w:color="auto" w:fill="auto"/>
            <w:vAlign w:val="center"/>
          </w:tcPr>
          <w:p w14:paraId="1A5F1A6C" w14:textId="77777777" w:rsidR="009821F7" w:rsidRPr="0090417E" w:rsidRDefault="009821F7" w:rsidP="002236BD">
            <w:pPr>
              <w:pStyle w:val="TableText0"/>
              <w:keepNext w:val="0"/>
              <w:spacing w:before="0" w:after="0"/>
              <w:jc w:val="center"/>
              <w:rPr>
                <w:bCs/>
                <w:sz w:val="19"/>
                <w:szCs w:val="19"/>
              </w:rPr>
            </w:pPr>
          </w:p>
        </w:tc>
        <w:tc>
          <w:tcPr>
            <w:tcW w:w="865" w:type="pct"/>
            <w:tcBorders>
              <w:top w:val="single" w:sz="4" w:space="0" w:color="auto"/>
              <w:left w:val="nil"/>
              <w:bottom w:val="single" w:sz="4" w:space="0" w:color="auto"/>
              <w:right w:val="nil"/>
            </w:tcBorders>
            <w:shd w:val="clear" w:color="auto" w:fill="auto"/>
            <w:vAlign w:val="center"/>
          </w:tcPr>
          <w:p w14:paraId="4D856F4F" w14:textId="77777777" w:rsidR="009821F7" w:rsidRPr="0090417E" w:rsidRDefault="009821F7" w:rsidP="002236BD">
            <w:pPr>
              <w:pStyle w:val="TableText0"/>
              <w:keepNext w:val="0"/>
              <w:spacing w:before="0" w:after="0"/>
              <w:jc w:val="center"/>
              <w:rPr>
                <w:bCs/>
                <w:sz w:val="19"/>
                <w:szCs w:val="19"/>
              </w:rPr>
            </w:pPr>
          </w:p>
        </w:tc>
        <w:tc>
          <w:tcPr>
            <w:tcW w:w="600" w:type="pct"/>
            <w:tcBorders>
              <w:top w:val="single" w:sz="4" w:space="0" w:color="auto"/>
              <w:left w:val="nil"/>
              <w:bottom w:val="single" w:sz="4" w:space="0" w:color="auto"/>
              <w:right w:val="single" w:sz="4" w:space="0" w:color="auto"/>
            </w:tcBorders>
            <w:shd w:val="clear" w:color="auto" w:fill="auto"/>
            <w:vAlign w:val="center"/>
          </w:tcPr>
          <w:p w14:paraId="130C0DE2" w14:textId="77777777" w:rsidR="009821F7" w:rsidRPr="0090417E" w:rsidRDefault="009821F7" w:rsidP="002236BD">
            <w:pPr>
              <w:pStyle w:val="TableText0"/>
              <w:keepNext w:val="0"/>
              <w:spacing w:before="0" w:after="0"/>
              <w:jc w:val="center"/>
              <w:rPr>
                <w:bCs/>
                <w:sz w:val="19"/>
                <w:szCs w:val="19"/>
              </w:rPr>
            </w:pPr>
          </w:p>
        </w:tc>
      </w:tr>
      <w:tr w:rsidR="009821F7" w:rsidRPr="0090417E" w14:paraId="2BE4FD0E" w14:textId="77777777" w:rsidTr="009821F7">
        <w:trPr>
          <w:cantSplit/>
        </w:trPr>
        <w:tc>
          <w:tcPr>
            <w:tcW w:w="580" w:type="pct"/>
            <w:tcBorders>
              <w:top w:val="single" w:sz="2" w:space="0" w:color="auto"/>
              <w:left w:val="single" w:sz="4" w:space="0" w:color="auto"/>
              <w:bottom w:val="nil"/>
              <w:right w:val="single" w:sz="4" w:space="0" w:color="auto"/>
            </w:tcBorders>
            <w:shd w:val="clear" w:color="auto" w:fill="auto"/>
            <w:vAlign w:val="center"/>
          </w:tcPr>
          <w:p w14:paraId="70CB4B22" w14:textId="77777777" w:rsidR="009821F7" w:rsidRPr="0090417E" w:rsidRDefault="00DD6551" w:rsidP="002236BD">
            <w:pPr>
              <w:pStyle w:val="TableText0"/>
              <w:keepNext w:val="0"/>
              <w:spacing w:before="0" w:after="0"/>
              <w:rPr>
                <w:noProof/>
                <w:sz w:val="19"/>
                <w:szCs w:val="19"/>
              </w:rPr>
            </w:pPr>
            <w:hyperlink w:anchor="_ENREF_48" w:tooltip="Sethi, 2014 #25" w:history="1">
              <w:r w:rsidR="009821F7" w:rsidRPr="0090417E">
                <w:rPr>
                  <w:noProof/>
                  <w:sz w:val="19"/>
                  <w:szCs w:val="19"/>
                </w:rPr>
                <w:fldChar w:fldCharType="begin"/>
              </w:r>
              <w:r w:rsidR="009821F7" w:rsidRPr="0090417E">
                <w:rPr>
                  <w:noProof/>
                  <w:sz w:val="19"/>
                  <w:szCs w:val="19"/>
                </w:rPr>
                <w:instrText xml:space="preserve"> ADDIN EN.CITE &lt;EndNote&gt;&lt;Cite AuthorYear="1"&gt;&lt;Author&gt;Sethi&lt;/Author&gt;&lt;Year&gt;2014&lt;/Year&gt;&lt;RecNum&gt;25&lt;/RecNum&gt;&lt;DisplayText&gt;Sethi et al. (2014)&lt;/DisplayText&gt;&lt;record&gt;&lt;rec-number&gt;25&lt;/rec-number&gt;&lt;foreign-keys&gt;&lt;key app="EN" db-id="exfrw2pee0v5z6evdr2xwspdfw0ezf5ttzwp" timestamp="1597622872"&gt;25&lt;/key&gt;&lt;/foreign-keys&gt;&lt;ref-type name="Journal Article"&gt;17&lt;/ref-type&gt;&lt;contributors&gt;&lt;authors&gt;&lt;author&gt;Sethi, R. V.&lt;/author&gt;&lt;author&gt;Shih, H. A.&lt;/author&gt;&lt;author&gt;Yeap, B. Y.&lt;/author&gt;&lt;author&gt;Mouw, K. W.&lt;/author&gt;&lt;author&gt;Petersen, R.&lt;/author&gt;&lt;author&gt;Kim, D. Y.&lt;/author&gt;&lt;author&gt;Munzenrider, J. E.&lt;/author&gt;&lt;author&gt;Grabowski, E.&lt;/author&gt;&lt;author&gt;Rodriguez-Galindo, C.&lt;/author&gt;&lt;author&gt;Yock, T. I.&lt;/author&gt;&lt;author&gt;Tarbell, N. J.&lt;/author&gt;&lt;author&gt;Marcus, K. J.&lt;/author&gt;&lt;author&gt;Mukai, S.&lt;/author&gt;&lt;author&gt;MacDonald, S. M.&lt;/author&gt;&lt;/authors&gt;&lt;/contributors&gt;&lt;titles&gt;&lt;title&gt;Second nonocular tumors among survivors of retinoblastoma treated with contemporary photon and proton radiotherapy&lt;/title&gt;&lt;secondary-title&gt;Cancer&lt;/secondary-title&gt;&lt;/titles&gt;&lt;periodical&gt;&lt;full-title&gt;Cancer&lt;/full-title&gt;&lt;/periodical&gt;&lt;pages&gt;126-33&lt;/pages&gt;&lt;volume&gt;120&lt;/volume&gt;&lt;number&gt;1&lt;/number&gt;&lt;dates&gt;&lt;year&gt;2014&lt;/year&gt;&lt;/dates&gt;&lt;accession-num&gt;24122173&lt;/accession-num&gt;&lt;urls&gt;&lt;related-urls&gt;&lt;url&gt;http://ezproxy.library.usyd.edu.au/login?url=http://ovidsp.ovid.com/ovidweb.cgi?T=JS&amp;amp;CSC=Y&amp;amp;NEWS=N&amp;amp;PAGE=fulltext&amp;amp;D=med11&amp;amp;AN=24122173https://sydney.alma.exlibrisgroup.com/openurl/61USYD_INST/61USYD_INST:sydney?sid=OVID:medline&amp;amp;id=pmid:24122173&amp;amp;id=doi:10.100&lt;/url&gt;&lt;url&gt;https://acsjournals.onlinelibrary.wiley.com/doi/pdfdirect/10.1002/cncr.28387?download=true&lt;/url&gt;&lt;/related-urls&gt;&lt;/urls&gt;&lt;electronic-resource-num&gt;https://dx.doi.org/10.1002/cncr.28387&lt;/electronic-resource-num&gt;&lt;/record&gt;&lt;/Cite&gt;&lt;/EndNote&gt;</w:instrText>
              </w:r>
              <w:r w:rsidR="009821F7" w:rsidRPr="0090417E">
                <w:rPr>
                  <w:noProof/>
                  <w:sz w:val="19"/>
                  <w:szCs w:val="19"/>
                </w:rPr>
                <w:fldChar w:fldCharType="separate"/>
              </w:r>
              <w:r w:rsidR="009821F7" w:rsidRPr="0090417E">
                <w:rPr>
                  <w:noProof/>
                  <w:sz w:val="19"/>
                  <w:szCs w:val="19"/>
                </w:rPr>
                <w:t>Sethi et al. (2014)</w:t>
              </w:r>
              <w:r w:rsidR="009821F7" w:rsidRPr="0090417E">
                <w:rPr>
                  <w:noProof/>
                  <w:sz w:val="19"/>
                  <w:szCs w:val="19"/>
                </w:rPr>
                <w:fldChar w:fldCharType="end"/>
              </w:r>
            </w:hyperlink>
          </w:p>
        </w:tc>
        <w:tc>
          <w:tcPr>
            <w:tcW w:w="1383" w:type="pct"/>
            <w:tcBorders>
              <w:top w:val="single" w:sz="4" w:space="0" w:color="auto"/>
              <w:left w:val="single" w:sz="4" w:space="0" w:color="auto"/>
              <w:bottom w:val="single" w:sz="4" w:space="0" w:color="auto"/>
              <w:right w:val="single" w:sz="4" w:space="0" w:color="auto"/>
            </w:tcBorders>
            <w:vAlign w:val="center"/>
          </w:tcPr>
          <w:p w14:paraId="420E5947" w14:textId="77777777" w:rsidR="009821F7" w:rsidRPr="0090417E" w:rsidRDefault="009821F7" w:rsidP="002236BD">
            <w:pPr>
              <w:pStyle w:val="TableText0"/>
              <w:keepNext w:val="0"/>
              <w:spacing w:before="0" w:after="0"/>
              <w:rPr>
                <w:sz w:val="19"/>
                <w:szCs w:val="19"/>
              </w:rPr>
            </w:pPr>
            <w:r w:rsidRPr="0090417E">
              <w:rPr>
                <w:sz w:val="19"/>
                <w:szCs w:val="19"/>
              </w:rPr>
              <w:t>Secondary malignancies</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3D16F" w14:textId="77777777" w:rsidR="009821F7" w:rsidRPr="0090417E" w:rsidRDefault="009821F7" w:rsidP="002236BD">
            <w:pPr>
              <w:pStyle w:val="TableText0"/>
              <w:keepNext w:val="0"/>
              <w:spacing w:before="0" w:after="0"/>
              <w:jc w:val="center"/>
              <w:rPr>
                <w:bCs/>
                <w:sz w:val="19"/>
                <w:szCs w:val="19"/>
              </w:rPr>
            </w:pPr>
            <w:r w:rsidRPr="0090417E">
              <w:rPr>
                <w:bCs/>
                <w:sz w:val="19"/>
                <w:szCs w:val="19"/>
              </w:rPr>
              <w:t>1/55 (1.8)</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B066498" w14:textId="77777777" w:rsidR="009821F7" w:rsidRPr="0090417E" w:rsidRDefault="009821F7" w:rsidP="002236BD">
            <w:pPr>
              <w:pStyle w:val="TableText0"/>
              <w:keepNext w:val="0"/>
              <w:spacing w:before="0" w:after="0"/>
              <w:jc w:val="center"/>
              <w:rPr>
                <w:bCs/>
                <w:sz w:val="19"/>
                <w:szCs w:val="19"/>
              </w:rPr>
            </w:pPr>
            <w:r w:rsidRPr="0090417E">
              <w:rPr>
                <w:bCs/>
                <w:sz w:val="19"/>
                <w:szCs w:val="19"/>
              </w:rPr>
              <w:t>4/31 (12.9)</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F4DE9D1" w14:textId="77777777" w:rsidR="009821F7" w:rsidRPr="0090417E" w:rsidRDefault="009821F7" w:rsidP="002236BD">
            <w:pPr>
              <w:pStyle w:val="TableText0"/>
              <w:keepNext w:val="0"/>
              <w:spacing w:before="0" w:after="0"/>
              <w:ind w:left="-108" w:right="-104"/>
              <w:jc w:val="center"/>
              <w:rPr>
                <w:bCs/>
                <w:sz w:val="19"/>
                <w:szCs w:val="19"/>
              </w:rPr>
            </w:pPr>
            <w:r w:rsidRPr="0090417E">
              <w:rPr>
                <w:bCs/>
                <w:sz w:val="19"/>
                <w:szCs w:val="19"/>
              </w:rPr>
              <w:t>-0.11 (-0.21, -0.01)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B0FE584" w14:textId="77777777" w:rsidR="009821F7" w:rsidRPr="0090417E" w:rsidRDefault="009821F7" w:rsidP="002236BD">
            <w:pPr>
              <w:pStyle w:val="TableText0"/>
              <w:keepNext w:val="0"/>
              <w:spacing w:before="0" w:after="0"/>
              <w:jc w:val="center"/>
              <w:rPr>
                <w:bCs/>
                <w:sz w:val="19"/>
                <w:szCs w:val="19"/>
              </w:rPr>
            </w:pPr>
            <w:r w:rsidRPr="0090417E">
              <w:rPr>
                <w:bCs/>
                <w:sz w:val="19"/>
                <w:szCs w:val="19"/>
              </w:rPr>
              <w:t>Sig.</w:t>
            </w:r>
          </w:p>
        </w:tc>
      </w:tr>
      <w:tr w:rsidR="009821F7" w:rsidRPr="0090417E" w14:paraId="562C260B" w14:textId="77777777" w:rsidTr="009821F7">
        <w:trPr>
          <w:cantSplit/>
        </w:trPr>
        <w:tc>
          <w:tcPr>
            <w:tcW w:w="580" w:type="pct"/>
            <w:tcBorders>
              <w:top w:val="nil"/>
              <w:left w:val="single" w:sz="4" w:space="0" w:color="auto"/>
              <w:bottom w:val="single" w:sz="4" w:space="0" w:color="auto"/>
              <w:right w:val="single" w:sz="4" w:space="0" w:color="auto"/>
            </w:tcBorders>
            <w:shd w:val="clear" w:color="auto" w:fill="auto"/>
            <w:vAlign w:val="center"/>
          </w:tcPr>
          <w:p w14:paraId="0ACCBE8F" w14:textId="77777777" w:rsidR="009821F7" w:rsidRPr="0090417E" w:rsidRDefault="009821F7" w:rsidP="002236BD">
            <w:pPr>
              <w:pStyle w:val="TableText0"/>
              <w:keepNext w:val="0"/>
              <w:spacing w:before="0" w:after="0"/>
              <w:rPr>
                <w:noProof/>
                <w:sz w:val="19"/>
                <w:szCs w:val="19"/>
              </w:rPr>
            </w:pPr>
          </w:p>
        </w:tc>
        <w:tc>
          <w:tcPr>
            <w:tcW w:w="1383" w:type="pct"/>
            <w:tcBorders>
              <w:top w:val="single" w:sz="4" w:space="0" w:color="auto"/>
              <w:left w:val="single" w:sz="4" w:space="0" w:color="auto"/>
              <w:bottom w:val="single" w:sz="4" w:space="0" w:color="auto"/>
              <w:right w:val="single" w:sz="4" w:space="0" w:color="auto"/>
            </w:tcBorders>
            <w:vAlign w:val="center"/>
          </w:tcPr>
          <w:p w14:paraId="6BB71777" w14:textId="77777777" w:rsidR="009821F7" w:rsidRPr="0090417E" w:rsidRDefault="009821F7" w:rsidP="002236BD">
            <w:pPr>
              <w:pStyle w:val="TableText0"/>
              <w:keepNext w:val="0"/>
              <w:spacing w:before="0" w:after="0"/>
              <w:rPr>
                <w:sz w:val="19"/>
                <w:szCs w:val="19"/>
              </w:rPr>
            </w:pPr>
            <w:r w:rsidRPr="0090417E">
              <w:rPr>
                <w:sz w:val="19"/>
                <w:szCs w:val="19"/>
              </w:rPr>
              <w:t>10-year cumulative incidence of RT-induced or in-field malignancies (95% CI)</w:t>
            </w:r>
          </w:p>
        </w:tc>
        <w:tc>
          <w:tcPr>
            <w:tcW w:w="7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C0DD0" w14:textId="77777777" w:rsidR="009821F7" w:rsidRPr="0090417E" w:rsidRDefault="009821F7" w:rsidP="002236BD">
            <w:pPr>
              <w:pStyle w:val="TableText0"/>
              <w:keepNext w:val="0"/>
              <w:spacing w:before="0" w:after="0"/>
              <w:jc w:val="center"/>
              <w:rPr>
                <w:bCs/>
                <w:sz w:val="19"/>
                <w:szCs w:val="19"/>
              </w:rPr>
            </w:pPr>
            <w:r w:rsidRPr="0090417E">
              <w:rPr>
                <w:bCs/>
                <w:sz w:val="19"/>
                <w:szCs w:val="19"/>
              </w:rPr>
              <w:t>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B7ADFD1" w14:textId="77777777" w:rsidR="009821F7" w:rsidRPr="0090417E" w:rsidRDefault="009821F7" w:rsidP="002236BD">
            <w:pPr>
              <w:pStyle w:val="TableText0"/>
              <w:keepNext w:val="0"/>
              <w:spacing w:before="0" w:after="0"/>
              <w:jc w:val="center"/>
              <w:rPr>
                <w:bCs/>
                <w:sz w:val="19"/>
                <w:szCs w:val="19"/>
              </w:rPr>
            </w:pPr>
            <w:r w:rsidRPr="0090417E">
              <w:rPr>
                <w:bCs/>
                <w:sz w:val="19"/>
                <w:szCs w:val="19"/>
              </w:rPr>
              <w:t>14% (3%-31%)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3E94D69" w14:textId="77777777" w:rsidR="009821F7" w:rsidRPr="0090417E" w:rsidRDefault="009821F7" w:rsidP="002236BD">
            <w:pPr>
              <w:pStyle w:val="TableText0"/>
              <w:keepNext w:val="0"/>
              <w:spacing w:before="0" w:after="0"/>
              <w:jc w:val="center"/>
              <w:rPr>
                <w:bCs/>
                <w:sz w:val="19"/>
                <w:szCs w:val="19"/>
              </w:rPr>
            </w:pPr>
            <w:r w:rsidRPr="0090417E">
              <w:rPr>
                <w:bCs/>
                <w:sz w:val="19"/>
                <w:szCs w:val="19"/>
              </w:rPr>
              <w:t>NE</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084B91FC" w14:textId="77777777" w:rsidR="009821F7" w:rsidRPr="0090417E" w:rsidRDefault="009821F7" w:rsidP="002236BD">
            <w:pPr>
              <w:pStyle w:val="TableText0"/>
              <w:keepNext w:val="0"/>
              <w:spacing w:before="0" w:after="0"/>
              <w:jc w:val="center"/>
              <w:rPr>
                <w:bCs/>
                <w:sz w:val="19"/>
                <w:szCs w:val="19"/>
              </w:rPr>
            </w:pPr>
            <w:r w:rsidRPr="0090417E">
              <w:rPr>
                <w:bCs/>
                <w:sz w:val="19"/>
                <w:szCs w:val="19"/>
              </w:rPr>
              <w:t>0.015</w:t>
            </w:r>
          </w:p>
        </w:tc>
      </w:tr>
    </w:tbl>
    <w:p w14:paraId="76BC685B" w14:textId="77777777" w:rsidR="009821F7" w:rsidRPr="00415A23" w:rsidRDefault="009821F7" w:rsidP="00654AB1">
      <w:pPr>
        <w:pStyle w:val="Tablenotes"/>
        <w:rPr>
          <w:sz w:val="16"/>
          <w:szCs w:val="16"/>
        </w:rPr>
      </w:pPr>
      <w:r w:rsidRPr="00415A23">
        <w:rPr>
          <w:sz w:val="16"/>
          <w:szCs w:val="16"/>
        </w:rPr>
        <w:t xml:space="preserve">Source: Table 7, </w:t>
      </w:r>
      <w:proofErr w:type="spellStart"/>
      <w:r w:rsidRPr="00415A23">
        <w:rPr>
          <w:sz w:val="16"/>
          <w:szCs w:val="16"/>
        </w:rPr>
        <w:t>pxx</w:t>
      </w:r>
      <w:proofErr w:type="spellEnd"/>
      <w:r w:rsidRPr="00415A23">
        <w:rPr>
          <w:sz w:val="16"/>
          <w:szCs w:val="16"/>
        </w:rPr>
        <w:t xml:space="preserve"> of the commentary.</w:t>
      </w:r>
      <w:r w:rsidRPr="00415A23">
        <w:rPr>
          <w:sz w:val="16"/>
          <w:szCs w:val="16"/>
        </w:rPr>
        <w:br/>
        <w:t>*Corrected for transfusion</w:t>
      </w:r>
    </w:p>
    <w:p w14:paraId="34FC6EA2" w14:textId="77777777" w:rsidR="009821F7" w:rsidRPr="00415A23" w:rsidRDefault="009821F7" w:rsidP="00654AB1">
      <w:pPr>
        <w:pStyle w:val="Tablenotes"/>
        <w:rPr>
          <w:sz w:val="16"/>
          <w:szCs w:val="16"/>
        </w:rPr>
      </w:pPr>
      <w:r w:rsidRPr="00415A23">
        <w:rPr>
          <w:sz w:val="16"/>
          <w:szCs w:val="16"/>
        </w:rPr>
        <w:t>Italicised text represents additional text in the commentary which was not included in the ADAR</w:t>
      </w:r>
      <w:r w:rsidRPr="00415A23">
        <w:rPr>
          <w:sz w:val="16"/>
          <w:szCs w:val="16"/>
        </w:rPr>
        <w:br/>
        <w:t>Abbreviations: AYA=adolescent and young adult; ABAS=Adaptive Behaviour Assessment System; CI=confidence interval; CSI=</w:t>
      </w:r>
      <w:proofErr w:type="spellStart"/>
      <w:r w:rsidRPr="00415A23">
        <w:rPr>
          <w:sz w:val="16"/>
          <w:szCs w:val="16"/>
        </w:rPr>
        <w:t>craniospinal</w:t>
      </w:r>
      <w:proofErr w:type="spellEnd"/>
      <w:r w:rsidRPr="00415A23">
        <w:rPr>
          <w:sz w:val="16"/>
          <w:szCs w:val="16"/>
        </w:rPr>
        <w:t xml:space="preserve"> irradiation; IQ=intelligence quotient; MD=mean difference; PBT=proton beam therapy; RD=risk difference; PRT=photon radiation therapy; RT=radiation therapy; SE=standard error; SD=standard deviation</w:t>
      </w:r>
    </w:p>
    <w:p w14:paraId="532D1531" w14:textId="6AA19FCC" w:rsidR="009821F7" w:rsidRDefault="009821F7" w:rsidP="00A740F4">
      <w:pPr>
        <w:spacing w:before="240" w:after="240"/>
      </w:pPr>
      <w:r w:rsidRPr="00FF6A0C">
        <w:rPr>
          <w:szCs w:val="24"/>
        </w:rPr>
        <w:t xml:space="preserve">Overall, the commentary considered that </w:t>
      </w:r>
      <w:r w:rsidRPr="00FF6A0C">
        <w:t xml:space="preserve">the safety profile for both populations included in the ADAR </w:t>
      </w:r>
      <w:r>
        <w:t>wa</w:t>
      </w:r>
      <w:r w:rsidRPr="00FF6A0C">
        <w:t xml:space="preserve">s uncertain due to numerous limitations of the studies included in the evidence base. Reported toxicity outcomes differed across studies. This conclusion differs from the previous MSAC assessment of </w:t>
      </w:r>
      <w:r>
        <w:t>PBT</w:t>
      </w:r>
      <w:r w:rsidRPr="00FF6A0C">
        <w:t xml:space="preserve"> (Application 1455) whe</w:t>
      </w:r>
      <w:r>
        <w:t>n</w:t>
      </w:r>
      <w:r w:rsidRPr="00FF6A0C">
        <w:t xml:space="preserve"> </w:t>
      </w:r>
      <w:r>
        <w:t>MSAC concluded</w:t>
      </w:r>
      <w:r w:rsidRPr="00FF6A0C">
        <w:t xml:space="preserve"> that </w:t>
      </w:r>
      <w:r>
        <w:t xml:space="preserve">“evidence of </w:t>
      </w:r>
      <w:r w:rsidRPr="00F76DB7">
        <w:t>superior safety over photon radiation therapy exists only in paediatric tumours, with the most persuasive case being for paediatric brain or spinal tumours, and possibly a subset of adult brain or spinal tumours.</w:t>
      </w:r>
      <w:r>
        <w:t>”</w:t>
      </w:r>
    </w:p>
    <w:p w14:paraId="0392D890" w14:textId="4C5FBFB7" w:rsidR="009821F7" w:rsidRPr="000B1B88" w:rsidRDefault="001634D6" w:rsidP="00A367BA">
      <w:pPr>
        <w:spacing w:after="240"/>
        <w:rPr>
          <w:szCs w:val="24"/>
        </w:rPr>
      </w:pPr>
      <w:r>
        <w:lastRenderedPageBreak/>
        <w:t>The pre-MSAC response acknowledged the limitations in the evidence base</w:t>
      </w:r>
      <w:r w:rsidR="00796E59">
        <w:t>,</w:t>
      </w:r>
      <w:r w:rsidRPr="001634D6">
        <w:t xml:space="preserve"> </w:t>
      </w:r>
      <w:r>
        <w:t xml:space="preserve">but re-asserted that </w:t>
      </w:r>
      <w:r w:rsidRPr="001634D6">
        <w:t>the majority of studies inclu</w:t>
      </w:r>
      <w:r w:rsidR="00796E59">
        <w:t>ded</w:t>
      </w:r>
      <w:r w:rsidRPr="001634D6">
        <w:t xml:space="preserve"> reported equal or improved toxicity outcomes with PBT as evaluated against PRT. </w:t>
      </w:r>
      <w:r w:rsidR="009821F7">
        <w:t xml:space="preserve">As such, the applicant asserted the clinical claim of superior safety remained unchanged and was </w:t>
      </w:r>
      <w:r w:rsidR="009821F7" w:rsidRPr="00766654">
        <w:t>already accepted by MSAC</w:t>
      </w:r>
      <w:r w:rsidR="009821F7">
        <w:t xml:space="preserve"> when considering MSAC Application 1455.</w:t>
      </w:r>
    </w:p>
    <w:p w14:paraId="338AC509" w14:textId="77777777" w:rsidR="00BC1364" w:rsidRPr="00F715D1" w:rsidRDefault="00BC1364" w:rsidP="00F715D1">
      <w:pPr>
        <w:pStyle w:val="Heading1"/>
      </w:pPr>
      <w:r w:rsidRPr="00F715D1">
        <w:t>Comparative effectiveness</w:t>
      </w:r>
    </w:p>
    <w:p w14:paraId="6DB5B100" w14:textId="77777777" w:rsidR="00A367BA" w:rsidRDefault="00A367BA" w:rsidP="00A367BA">
      <w:pPr>
        <w:pStyle w:val="Heading2"/>
      </w:pPr>
      <w:r>
        <w:t>Adult patients with rare cancers of the neck and spine (PICO 1)</w:t>
      </w:r>
    </w:p>
    <w:p w14:paraId="6E5438D2" w14:textId="2DC313A2" w:rsidR="00A367BA" w:rsidRDefault="00A367BA" w:rsidP="00A367BA">
      <w:pPr>
        <w:spacing w:after="240"/>
      </w:pPr>
      <w:r>
        <w:t xml:space="preserve">Based on the commentary evidence base, the commentary stated that </w:t>
      </w:r>
      <w:r w:rsidRPr="00B11711">
        <w:t xml:space="preserve">the identified evidence suggests possible improved overall survival </w:t>
      </w:r>
      <w:r>
        <w:t xml:space="preserve">(OS) </w:t>
      </w:r>
      <w:r w:rsidRPr="00B11711">
        <w:t xml:space="preserve">for PBT compared to PRT in patients with primary gliomas. No difference in survival (progression-free or </w:t>
      </w:r>
      <w:r>
        <w:t>OS</w:t>
      </w:r>
      <w:r w:rsidRPr="00B11711">
        <w:t>) between PBT and PRT was found for other conditions. No difference in local tumour control between PBT and PRT was found. No data on other effectiveness outcomes, e.g. mortality, disease progression, incidence of metastases, health-related quality of life</w:t>
      </w:r>
      <w:r>
        <w:t xml:space="preserve"> (</w:t>
      </w:r>
      <w:proofErr w:type="spellStart"/>
      <w:r>
        <w:t>HRQoL</w:t>
      </w:r>
      <w:proofErr w:type="spellEnd"/>
      <w:r>
        <w:t>)</w:t>
      </w:r>
      <w:r w:rsidRPr="00B11711">
        <w:t xml:space="preserve"> or other patient-relevant outcomes for the PICO 1 population </w:t>
      </w:r>
      <w:r>
        <w:t xml:space="preserve">of </w:t>
      </w:r>
      <w:r w:rsidRPr="008127F2">
        <w:t xml:space="preserve">adult patients with tumours of the head and spine </w:t>
      </w:r>
      <w:r w:rsidRPr="00B11711">
        <w:t>were reported in the ADAR or found in the expanded systematic literature search.</w:t>
      </w:r>
      <w:r>
        <w:t xml:space="preserve"> Results for the key survival outcomes across the studies are presented in </w:t>
      </w:r>
      <w:r>
        <w:fldChar w:fldCharType="begin"/>
      </w:r>
      <w:r>
        <w:instrText xml:space="preserve"> REF _Ref50107810 \h </w:instrText>
      </w:r>
      <w:r>
        <w:fldChar w:fldCharType="separate"/>
      </w:r>
      <w:r w:rsidR="00810FF0">
        <w:t xml:space="preserve">Table </w:t>
      </w:r>
      <w:r w:rsidR="00810FF0">
        <w:rPr>
          <w:noProof/>
        </w:rPr>
        <w:t>11</w:t>
      </w:r>
      <w:r>
        <w:fldChar w:fldCharType="end"/>
      </w:r>
      <w:r>
        <w:t>.</w:t>
      </w:r>
    </w:p>
    <w:p w14:paraId="3014B8D1" w14:textId="066D2ABF" w:rsidR="00A367BA" w:rsidRPr="009E589D" w:rsidRDefault="00A367BA" w:rsidP="009E589D">
      <w:pPr>
        <w:keepNext/>
        <w:keepLines/>
        <w:rPr>
          <w:rFonts w:ascii="Arial Narrow" w:hAnsi="Arial Narrow"/>
          <w:b/>
          <w:sz w:val="20"/>
        </w:rPr>
      </w:pPr>
      <w:bookmarkStart w:id="39" w:name="_Ref50107810"/>
      <w:bookmarkStart w:id="40" w:name="_Toc50454223"/>
      <w:r w:rsidRPr="009E589D">
        <w:rPr>
          <w:rFonts w:ascii="Arial Narrow" w:hAnsi="Arial Narrow"/>
          <w:b/>
          <w:sz w:val="20"/>
        </w:rPr>
        <w:t xml:space="preserve">Table </w:t>
      </w:r>
      <w:r w:rsidR="00FD0A9A" w:rsidRPr="009E589D">
        <w:rPr>
          <w:rFonts w:ascii="Arial Narrow" w:hAnsi="Arial Narrow"/>
          <w:b/>
          <w:sz w:val="20"/>
        </w:rPr>
        <w:fldChar w:fldCharType="begin"/>
      </w:r>
      <w:r w:rsidR="00FD0A9A" w:rsidRPr="009E589D">
        <w:rPr>
          <w:rFonts w:ascii="Arial Narrow" w:hAnsi="Arial Narrow"/>
          <w:b/>
          <w:sz w:val="20"/>
        </w:rPr>
        <w:instrText xml:space="preserve"> SEQ Table \* ARABIC </w:instrText>
      </w:r>
      <w:r w:rsidR="00FD0A9A" w:rsidRPr="009E589D">
        <w:rPr>
          <w:rFonts w:ascii="Arial Narrow" w:hAnsi="Arial Narrow"/>
          <w:b/>
          <w:sz w:val="20"/>
        </w:rPr>
        <w:fldChar w:fldCharType="separate"/>
      </w:r>
      <w:r w:rsidR="00810FF0" w:rsidRPr="009E589D">
        <w:rPr>
          <w:rFonts w:ascii="Arial Narrow" w:hAnsi="Arial Narrow"/>
          <w:b/>
          <w:sz w:val="20"/>
        </w:rPr>
        <w:t>11</w:t>
      </w:r>
      <w:r w:rsidR="00FD0A9A" w:rsidRPr="009E589D">
        <w:rPr>
          <w:rFonts w:ascii="Arial Narrow" w:hAnsi="Arial Narrow"/>
          <w:b/>
          <w:sz w:val="20"/>
        </w:rPr>
        <w:fldChar w:fldCharType="end"/>
      </w:r>
      <w:bookmarkEnd w:id="39"/>
      <w:r w:rsidRPr="009E589D">
        <w:rPr>
          <w:rFonts w:ascii="Arial Narrow" w:hAnsi="Arial Narrow"/>
          <w:b/>
          <w:sz w:val="20"/>
        </w:rPr>
        <w:tab/>
        <w:t>Results of survival outcomes for adult patients with tumours of the head and spine</w:t>
      </w:r>
      <w:bookmarkEnd w:id="40"/>
      <w:r w:rsidRPr="009E589D">
        <w:rPr>
          <w:rFonts w:ascii="Arial Narrow" w:hAnsi="Arial Narrow"/>
          <w:b/>
          <w:sz w:val="20"/>
        </w:rPr>
        <w:t xml:space="preserve"> across the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Results of survival outcomes across the studies for PICO 1 "/>
        <w:tblDescription w:val="This table provides a summary of the findings in each study for the key patient-relevant outcome. "/>
      </w:tblPr>
      <w:tblGrid>
        <w:gridCol w:w="985"/>
        <w:gridCol w:w="2413"/>
        <w:gridCol w:w="1702"/>
        <w:gridCol w:w="1702"/>
        <w:gridCol w:w="1417"/>
        <w:gridCol w:w="797"/>
      </w:tblGrid>
      <w:tr w:rsidR="00A367BA" w:rsidRPr="0048459B" w14:paraId="78B77631" w14:textId="77777777" w:rsidTr="003028CF">
        <w:trPr>
          <w:cantSplit/>
          <w:tblHeader/>
        </w:trPr>
        <w:tc>
          <w:tcPr>
            <w:tcW w:w="546" w:type="pct"/>
            <w:tcBorders>
              <w:bottom w:val="single" w:sz="4" w:space="0" w:color="auto"/>
            </w:tcBorders>
            <w:shd w:val="clear" w:color="auto" w:fill="auto"/>
          </w:tcPr>
          <w:p w14:paraId="2602EC64" w14:textId="77777777" w:rsidR="00A367BA" w:rsidRPr="00D97A38" w:rsidRDefault="00A367BA" w:rsidP="009E589D">
            <w:pPr>
              <w:pStyle w:val="TableHeading"/>
              <w:keepLines/>
            </w:pPr>
            <w:r w:rsidRPr="00D97A38">
              <w:t>Study ID</w:t>
            </w:r>
          </w:p>
        </w:tc>
        <w:tc>
          <w:tcPr>
            <w:tcW w:w="1338" w:type="pct"/>
          </w:tcPr>
          <w:p w14:paraId="59337039" w14:textId="77777777" w:rsidR="00A367BA" w:rsidRPr="00D97A38" w:rsidRDefault="00A367BA" w:rsidP="009E589D">
            <w:pPr>
              <w:pStyle w:val="TableHeading"/>
              <w:keepLines/>
            </w:pPr>
            <w:r w:rsidRPr="00D97A38">
              <w:t>Outcome</w:t>
            </w:r>
          </w:p>
        </w:tc>
        <w:tc>
          <w:tcPr>
            <w:tcW w:w="944" w:type="pct"/>
            <w:shd w:val="clear" w:color="auto" w:fill="auto"/>
          </w:tcPr>
          <w:p w14:paraId="256527E1" w14:textId="77777777" w:rsidR="00A367BA" w:rsidRPr="00D97A38" w:rsidRDefault="00A367BA" w:rsidP="009E589D">
            <w:pPr>
              <w:pStyle w:val="TableHeading"/>
              <w:keepLines/>
              <w:ind w:left="0" w:firstLine="0"/>
              <w:jc w:val="center"/>
            </w:pPr>
            <w:r w:rsidRPr="00D97A38">
              <w:t>PBT</w:t>
            </w:r>
            <w:r>
              <w:br/>
            </w:r>
            <w:r w:rsidRPr="00D97A38">
              <w:t>n with event/N (%)</w:t>
            </w:r>
            <w:r>
              <w:br/>
            </w:r>
            <w:r w:rsidRPr="00D97A38">
              <w:t>median (range)</w:t>
            </w:r>
          </w:p>
        </w:tc>
        <w:tc>
          <w:tcPr>
            <w:tcW w:w="944" w:type="pct"/>
            <w:shd w:val="clear" w:color="auto" w:fill="auto"/>
          </w:tcPr>
          <w:p w14:paraId="34B7AF2B" w14:textId="77777777" w:rsidR="00A367BA" w:rsidRPr="00D97A38" w:rsidRDefault="00A367BA" w:rsidP="009E589D">
            <w:pPr>
              <w:pStyle w:val="TableHeading"/>
              <w:keepLines/>
              <w:ind w:left="0" w:firstLine="0"/>
              <w:jc w:val="center"/>
            </w:pPr>
            <w:r w:rsidRPr="00D97A38">
              <w:t>PRT</w:t>
            </w:r>
            <w:r>
              <w:br/>
            </w:r>
            <w:r w:rsidRPr="00D97A38">
              <w:t>n with event/N (%)</w:t>
            </w:r>
            <w:r>
              <w:br/>
            </w:r>
            <w:r w:rsidRPr="00D97A38">
              <w:t>median (range)</w:t>
            </w:r>
          </w:p>
        </w:tc>
        <w:tc>
          <w:tcPr>
            <w:tcW w:w="786" w:type="pct"/>
            <w:shd w:val="clear" w:color="auto" w:fill="auto"/>
          </w:tcPr>
          <w:p w14:paraId="05C7C297" w14:textId="77777777" w:rsidR="00A367BA" w:rsidRPr="00D97A38" w:rsidRDefault="00A367BA" w:rsidP="009E589D">
            <w:pPr>
              <w:pStyle w:val="TableHeading"/>
              <w:keepLines/>
              <w:ind w:left="0" w:firstLine="0"/>
              <w:jc w:val="center"/>
            </w:pPr>
            <w:r>
              <w:t>Absolute difference</w:t>
            </w:r>
            <w:r>
              <w:br/>
            </w:r>
            <w:r w:rsidRPr="00D97A38">
              <w:t>(95% CI)</w:t>
            </w:r>
          </w:p>
        </w:tc>
        <w:tc>
          <w:tcPr>
            <w:tcW w:w="442" w:type="pct"/>
            <w:shd w:val="clear" w:color="auto" w:fill="auto"/>
          </w:tcPr>
          <w:p w14:paraId="5B80D6A6" w14:textId="77777777" w:rsidR="00A367BA" w:rsidRPr="00D97A38" w:rsidRDefault="00A367BA" w:rsidP="009E589D">
            <w:pPr>
              <w:pStyle w:val="TableHeading"/>
              <w:keepLines/>
              <w:jc w:val="center"/>
            </w:pPr>
            <w:r w:rsidRPr="00D97A38">
              <w:t>P-value</w:t>
            </w:r>
          </w:p>
        </w:tc>
      </w:tr>
      <w:tr w:rsidR="00A367BA" w:rsidRPr="0048459B" w14:paraId="2D3F4D55" w14:textId="77777777" w:rsidTr="003028CF">
        <w:trPr>
          <w:cantSplit/>
        </w:trPr>
        <w:tc>
          <w:tcPr>
            <w:tcW w:w="546" w:type="pct"/>
            <w:vMerge w:val="restart"/>
            <w:tcBorders>
              <w:top w:val="single" w:sz="4" w:space="0" w:color="auto"/>
              <w:left w:val="single" w:sz="4" w:space="0" w:color="auto"/>
              <w:right w:val="single" w:sz="4" w:space="0" w:color="auto"/>
            </w:tcBorders>
            <w:shd w:val="clear" w:color="auto" w:fill="auto"/>
          </w:tcPr>
          <w:p w14:paraId="313E387A" w14:textId="77777777" w:rsidR="00A367BA" w:rsidRPr="0080030E" w:rsidRDefault="00DD6551" w:rsidP="003028CF">
            <w:pPr>
              <w:pStyle w:val="TableText0"/>
              <w:keepLines/>
              <w:rPr>
                <w:snapToGrid w:val="0"/>
              </w:rPr>
            </w:pPr>
            <w:hyperlink w:anchor="_ENREF_2" w:tooltip="Adeberg, 2017 #1" w:history="1">
              <w:r w:rsidR="00A367BA" w:rsidRPr="0080030E">
                <w:fldChar w:fldCharType="begin">
                  <w:fldData xml:space="preserve">PEVuZE5vdGU+PENpdGUgQXV0aG9yWWVhcj0iMSI+PEF1dGhvcj5BZGViZXJnPC9BdXRob3I+PFll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</w:fldData>
                </w:fldChar>
              </w:r>
              <w:r w:rsidR="00A367BA" w:rsidRPr="0080030E">
                <w:instrText xml:space="preserve"> ADDIN EN.CITE </w:instrText>
              </w:r>
              <w:r w:rsidR="00A367BA" w:rsidRPr="0080030E">
                <w:fldChar w:fldCharType="begin">
                  <w:fldData xml:space="preserve">PEVuZE5vdGU+PENpdGUgQXV0aG9yWWVhcj0iMSI+PEF1dGhvcj5BZGViZXJnPC9BdXRob3I+PFll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</w:fldData>
                </w:fldChar>
              </w:r>
              <w:r w:rsidR="00A367BA" w:rsidRPr="0080030E">
                <w:instrText xml:space="preserve"> ADDIN EN.CITE.DATA </w:instrText>
              </w:r>
              <w:r w:rsidR="00A367BA" w:rsidRPr="0080030E">
                <w:fldChar w:fldCharType="end"/>
              </w:r>
              <w:r w:rsidR="00A367BA" w:rsidRPr="0080030E">
                <w:fldChar w:fldCharType="separate"/>
              </w:r>
              <w:r w:rsidR="00A367BA" w:rsidRPr="0080030E">
                <w:rPr>
                  <w:noProof/>
                </w:rPr>
                <w:t>Adeberg et al. (2017)</w:t>
              </w:r>
              <w:r w:rsidR="00A367BA" w:rsidRPr="0080030E">
                <w:fldChar w:fldCharType="end"/>
              </w:r>
            </w:hyperlink>
          </w:p>
        </w:tc>
        <w:tc>
          <w:tcPr>
            <w:tcW w:w="1338" w:type="pct"/>
            <w:tcBorders>
              <w:top w:val="single" w:sz="4" w:space="0" w:color="auto"/>
              <w:left w:val="single" w:sz="4" w:space="0" w:color="auto"/>
              <w:bottom w:val="single" w:sz="4" w:space="0" w:color="auto"/>
              <w:right w:val="single" w:sz="4" w:space="0" w:color="auto"/>
            </w:tcBorders>
          </w:tcPr>
          <w:p w14:paraId="3B0971C5" w14:textId="77777777" w:rsidR="00A367BA" w:rsidRPr="0048459B" w:rsidRDefault="00A367BA" w:rsidP="003028CF">
            <w:pPr>
              <w:pStyle w:val="TableText0"/>
              <w:keepLines/>
              <w:ind w:left="16" w:right="117"/>
              <w:rPr>
                <w:snapToGrid w:val="0"/>
              </w:rPr>
            </w:pPr>
            <w:r>
              <w:t>OS, median (range)</w:t>
            </w:r>
          </w:p>
        </w:tc>
        <w:tc>
          <w:tcPr>
            <w:tcW w:w="944" w:type="pct"/>
            <w:tcBorders>
              <w:top w:val="nil"/>
              <w:left w:val="single" w:sz="4" w:space="0" w:color="auto"/>
              <w:bottom w:val="single" w:sz="4" w:space="0" w:color="auto"/>
              <w:right w:val="single" w:sz="4" w:space="0" w:color="auto"/>
            </w:tcBorders>
            <w:shd w:val="clear" w:color="auto" w:fill="auto"/>
          </w:tcPr>
          <w:p w14:paraId="745E570C" w14:textId="77777777" w:rsidR="00A367BA" w:rsidRPr="0048459B" w:rsidRDefault="00A367BA" w:rsidP="003028CF">
            <w:pPr>
              <w:pStyle w:val="TableText0"/>
              <w:keepLines/>
              <w:ind w:left="111" w:right="117"/>
              <w:jc w:val="center"/>
              <w:rPr>
                <w:snapToGrid w:val="0"/>
              </w:rPr>
            </w:pPr>
            <w:r>
              <w:t>19.1 months (4-41)</w:t>
            </w:r>
          </w:p>
        </w:tc>
        <w:tc>
          <w:tcPr>
            <w:tcW w:w="944" w:type="pct"/>
            <w:tcBorders>
              <w:top w:val="nil"/>
              <w:left w:val="nil"/>
              <w:bottom w:val="single" w:sz="4" w:space="0" w:color="auto"/>
              <w:right w:val="single" w:sz="4" w:space="0" w:color="auto"/>
            </w:tcBorders>
            <w:shd w:val="clear" w:color="auto" w:fill="auto"/>
          </w:tcPr>
          <w:p w14:paraId="623E684F" w14:textId="77777777" w:rsidR="00A367BA" w:rsidRPr="0048459B" w:rsidRDefault="00A367BA" w:rsidP="003028CF">
            <w:pPr>
              <w:pStyle w:val="TableText0"/>
              <w:keepLines/>
              <w:ind w:left="77" w:right="117"/>
              <w:jc w:val="center"/>
              <w:rPr>
                <w:snapToGrid w:val="0"/>
              </w:rPr>
            </w:pPr>
            <w:r>
              <w:t>20.9 months (3-53)</w:t>
            </w:r>
          </w:p>
        </w:tc>
        <w:tc>
          <w:tcPr>
            <w:tcW w:w="786" w:type="pct"/>
            <w:tcBorders>
              <w:top w:val="nil"/>
              <w:left w:val="nil"/>
              <w:bottom w:val="single" w:sz="4" w:space="0" w:color="auto"/>
              <w:right w:val="single" w:sz="4" w:space="0" w:color="auto"/>
            </w:tcBorders>
            <w:shd w:val="clear" w:color="auto" w:fill="auto"/>
          </w:tcPr>
          <w:p w14:paraId="0F348FC5" w14:textId="77777777" w:rsidR="00A367BA" w:rsidRPr="0048459B" w:rsidRDefault="00A367BA" w:rsidP="003028CF">
            <w:pPr>
              <w:pStyle w:val="TableText0"/>
              <w:keepLines/>
              <w:ind w:left="41" w:right="117"/>
              <w:jc w:val="center"/>
              <w:rPr>
                <w:snapToGrid w:val="0"/>
              </w:rPr>
            </w:pPr>
            <w:r>
              <w:t>NA</w:t>
            </w:r>
          </w:p>
        </w:tc>
        <w:tc>
          <w:tcPr>
            <w:tcW w:w="442" w:type="pct"/>
            <w:tcBorders>
              <w:top w:val="nil"/>
              <w:left w:val="nil"/>
              <w:bottom w:val="single" w:sz="4" w:space="0" w:color="auto"/>
              <w:right w:val="single" w:sz="4" w:space="0" w:color="auto"/>
            </w:tcBorders>
            <w:shd w:val="clear" w:color="auto" w:fill="auto"/>
          </w:tcPr>
          <w:p w14:paraId="6E7C2FB6" w14:textId="77777777" w:rsidR="00A367BA" w:rsidRPr="0048459B" w:rsidRDefault="00A367BA" w:rsidP="003028CF">
            <w:pPr>
              <w:pStyle w:val="TableText0"/>
              <w:keepLines/>
              <w:ind w:right="117"/>
              <w:jc w:val="center"/>
              <w:rPr>
                <w:snapToGrid w:val="0"/>
              </w:rPr>
            </w:pPr>
            <w:r>
              <w:t>0.125</w:t>
            </w:r>
          </w:p>
        </w:tc>
      </w:tr>
      <w:tr w:rsidR="00A367BA" w:rsidRPr="0048459B" w14:paraId="098F3A5A" w14:textId="77777777" w:rsidTr="003028CF">
        <w:trPr>
          <w:cantSplit/>
        </w:trPr>
        <w:tc>
          <w:tcPr>
            <w:tcW w:w="546" w:type="pct"/>
            <w:vMerge/>
            <w:tcBorders>
              <w:left w:val="single" w:sz="4" w:space="0" w:color="auto"/>
              <w:bottom w:val="single" w:sz="4" w:space="0" w:color="auto"/>
              <w:right w:val="single" w:sz="4" w:space="0" w:color="auto"/>
            </w:tcBorders>
            <w:shd w:val="clear" w:color="auto" w:fill="auto"/>
          </w:tcPr>
          <w:p w14:paraId="7086853A" w14:textId="77777777" w:rsidR="00A367BA" w:rsidRPr="0080030E" w:rsidRDefault="00A367BA" w:rsidP="003028CF">
            <w:pPr>
              <w:pStyle w:val="TableText0"/>
              <w:keepLines/>
              <w:rPr>
                <w:snapToGrid w:val="0"/>
              </w:rPr>
            </w:pPr>
          </w:p>
        </w:tc>
        <w:tc>
          <w:tcPr>
            <w:tcW w:w="1338" w:type="pct"/>
            <w:tcBorders>
              <w:top w:val="single" w:sz="4" w:space="0" w:color="auto"/>
              <w:left w:val="single" w:sz="4" w:space="0" w:color="auto"/>
              <w:bottom w:val="single" w:sz="4" w:space="0" w:color="auto"/>
              <w:right w:val="single" w:sz="4" w:space="0" w:color="auto"/>
            </w:tcBorders>
          </w:tcPr>
          <w:p w14:paraId="73B1E99E" w14:textId="77777777" w:rsidR="00A367BA" w:rsidRPr="0048459B" w:rsidRDefault="00A367BA" w:rsidP="003028CF">
            <w:pPr>
              <w:pStyle w:val="TableText0"/>
              <w:keepLines/>
              <w:ind w:left="16" w:right="117"/>
              <w:rPr>
                <w:snapToGrid w:val="0"/>
              </w:rPr>
            </w:pPr>
            <w:r>
              <w:t>PFS, median (range)</w:t>
            </w:r>
          </w:p>
        </w:tc>
        <w:tc>
          <w:tcPr>
            <w:tcW w:w="944" w:type="pct"/>
            <w:tcBorders>
              <w:top w:val="nil"/>
              <w:left w:val="single" w:sz="4" w:space="0" w:color="auto"/>
              <w:bottom w:val="single" w:sz="4" w:space="0" w:color="auto"/>
              <w:right w:val="single" w:sz="4" w:space="0" w:color="auto"/>
            </w:tcBorders>
            <w:shd w:val="clear" w:color="auto" w:fill="auto"/>
          </w:tcPr>
          <w:p w14:paraId="0B5C53CE" w14:textId="77777777" w:rsidR="00A367BA" w:rsidRPr="0048459B" w:rsidRDefault="00A367BA" w:rsidP="003028CF">
            <w:pPr>
              <w:pStyle w:val="TableText0"/>
              <w:keepLines/>
              <w:ind w:left="111" w:right="117"/>
              <w:jc w:val="center"/>
              <w:rPr>
                <w:snapToGrid w:val="0"/>
              </w:rPr>
            </w:pPr>
            <w:r>
              <w:t>8.8 months (2-32)</w:t>
            </w:r>
          </w:p>
        </w:tc>
        <w:tc>
          <w:tcPr>
            <w:tcW w:w="944" w:type="pct"/>
            <w:tcBorders>
              <w:top w:val="nil"/>
              <w:left w:val="nil"/>
              <w:bottom w:val="single" w:sz="4" w:space="0" w:color="auto"/>
              <w:right w:val="single" w:sz="4" w:space="0" w:color="auto"/>
            </w:tcBorders>
            <w:shd w:val="clear" w:color="auto" w:fill="auto"/>
          </w:tcPr>
          <w:p w14:paraId="7007AD9F" w14:textId="77777777" w:rsidR="00A367BA" w:rsidRPr="0048459B" w:rsidRDefault="00A367BA" w:rsidP="003028CF">
            <w:pPr>
              <w:pStyle w:val="TableText0"/>
              <w:keepLines/>
              <w:ind w:left="77" w:right="117"/>
              <w:jc w:val="center"/>
              <w:rPr>
                <w:snapToGrid w:val="0"/>
              </w:rPr>
            </w:pPr>
            <w:r>
              <w:t>7.2 months (2-39)</w:t>
            </w:r>
          </w:p>
        </w:tc>
        <w:tc>
          <w:tcPr>
            <w:tcW w:w="786" w:type="pct"/>
            <w:tcBorders>
              <w:top w:val="nil"/>
              <w:left w:val="nil"/>
              <w:bottom w:val="single" w:sz="4" w:space="0" w:color="auto"/>
              <w:right w:val="single" w:sz="4" w:space="0" w:color="auto"/>
            </w:tcBorders>
            <w:shd w:val="clear" w:color="auto" w:fill="auto"/>
          </w:tcPr>
          <w:p w14:paraId="719C97E8" w14:textId="77777777" w:rsidR="00A367BA" w:rsidRPr="0048459B" w:rsidRDefault="00A367BA" w:rsidP="003028CF">
            <w:pPr>
              <w:pStyle w:val="TableText0"/>
              <w:keepLines/>
              <w:ind w:left="41" w:right="117"/>
              <w:jc w:val="center"/>
              <w:rPr>
                <w:snapToGrid w:val="0"/>
              </w:rPr>
            </w:pPr>
            <w:r>
              <w:t>NA</w:t>
            </w:r>
          </w:p>
        </w:tc>
        <w:tc>
          <w:tcPr>
            <w:tcW w:w="442" w:type="pct"/>
            <w:tcBorders>
              <w:top w:val="nil"/>
              <w:left w:val="nil"/>
              <w:bottom w:val="single" w:sz="4" w:space="0" w:color="auto"/>
              <w:right w:val="single" w:sz="4" w:space="0" w:color="auto"/>
            </w:tcBorders>
            <w:shd w:val="clear" w:color="auto" w:fill="auto"/>
          </w:tcPr>
          <w:p w14:paraId="1F7C95E5" w14:textId="77777777" w:rsidR="00A367BA" w:rsidRPr="0048459B" w:rsidRDefault="00A367BA" w:rsidP="003028CF">
            <w:pPr>
              <w:pStyle w:val="TableText0"/>
              <w:keepLines/>
              <w:ind w:right="117"/>
              <w:jc w:val="center"/>
              <w:rPr>
                <w:snapToGrid w:val="0"/>
              </w:rPr>
            </w:pPr>
            <w:r>
              <w:t>0.4</w:t>
            </w:r>
          </w:p>
        </w:tc>
      </w:tr>
      <w:tr w:rsidR="00A367BA" w:rsidRPr="0048459B" w14:paraId="62FAE219" w14:textId="77777777" w:rsidTr="003028CF">
        <w:trPr>
          <w:cantSplit/>
        </w:trPr>
        <w:tc>
          <w:tcPr>
            <w:tcW w:w="546" w:type="pct"/>
            <w:vMerge w:val="restart"/>
            <w:tcBorders>
              <w:top w:val="single" w:sz="4" w:space="0" w:color="auto"/>
              <w:left w:val="single" w:sz="4" w:space="0" w:color="auto"/>
              <w:right w:val="single" w:sz="4" w:space="0" w:color="auto"/>
            </w:tcBorders>
            <w:shd w:val="clear" w:color="auto" w:fill="auto"/>
          </w:tcPr>
          <w:p w14:paraId="56BE3F19" w14:textId="77777777" w:rsidR="00A367BA" w:rsidRPr="0080030E" w:rsidRDefault="00DD6551" w:rsidP="003028CF">
            <w:pPr>
              <w:pStyle w:val="TableText0"/>
              <w:keepLines/>
              <w:rPr>
                <w:snapToGrid w:val="0"/>
              </w:rPr>
            </w:pPr>
            <w:hyperlink w:anchor="_ENREF_6" w:tooltip="Alterio, 2020 #2" w:history="1">
              <w:r w:rsidR="00A367BA" w:rsidRPr="0080030E">
                <w:fldChar w:fldCharType="begin"/>
              </w:r>
              <w:r w:rsidR="00A367BA" w:rsidRPr="0080030E">
                <w:instrText xml:space="preserve"> ADDIN EN.CITE &lt;EndNote&gt;&lt;Cite AuthorYear="1"&gt;&lt;Author&gt;Alterio&lt;/Author&gt;&lt;Year&gt;2020&lt;/Year&gt;&lt;RecNum&gt;2&lt;/RecNum&gt;&lt;DisplayText&gt;Alterio et al. (2020)&lt;/DisplayText&gt;&lt;record&gt;&lt;rec-number&gt;2&lt;/rec-number&gt;&lt;foreign-keys&gt;&lt;key app="EN" db-id="exfrw2pee0v5z6evdr2xwspdfw0ezf5ttzwp" timestamp="1597622845"&gt;2&lt;/key&gt;&lt;/foreign-keys&gt;&lt;ref-type name="Journal Article"&gt;17&lt;/ref-type&gt;&lt;contributors&gt;&lt;authors&gt;&lt;author&gt;Alterio, D.&lt;/author&gt;&lt;author&gt;D&amp;apos;Ippolito, E.&lt;/author&gt;&lt;author&gt;Vischioni, B.&lt;/author&gt;&lt;author&gt;Fossati, P.&lt;/author&gt;&lt;author&gt;Gandini, S.&lt;/author&gt;&lt;author&gt;Bonora, M.&lt;/author&gt;&lt;author&gt;Ronchi, S.&lt;/author&gt;&lt;author&gt;Vitolo, V.&lt;/author&gt;&lt;author&gt;Mastella, E.&lt;/author&gt;&lt;author&gt;Magro, G.&lt;/author&gt;&lt;author&gt;Franco, P.&lt;/author&gt;&lt;author&gt;Ricardi, U.&lt;/author&gt;&lt;author&gt;Krengli, M.&lt;/author&gt;&lt;author&gt;Ivaldi, G.&lt;/author&gt;&lt;author&gt;Ferrari, A.&lt;/author&gt;&lt;author&gt;Fanetti, G.&lt;/author&gt;&lt;author&gt;Comi, S.&lt;/author&gt;&lt;author&gt;Tagliabue, M.&lt;/author&gt;&lt;author&gt;Verri, E.&lt;/author&gt;&lt;author&gt;Ricotti, R.&lt;/author&gt;&lt;author&gt;Ciardo, D.&lt;/author&gt;&lt;author&gt;Jereczek-Fossa, B. A.&lt;/author&gt;&lt;author&gt;Valvo, F.&lt;/author&gt;&lt;author&gt;Orecchia, R.&lt;/author&gt;&lt;/authors&gt;&lt;/contributors&gt;&lt;titles&gt;&lt;title&gt;Mixed-beam approach in locally advanced nasopharyngeal carcinoma: IMRT followed by proton therapy boost versus IMRT-only. Evaluation of toxicity and efficacy&lt;/title&gt;&lt;secondary-title&gt;Acta Oncol&lt;/secondary-title&gt;&lt;/titles&gt;&lt;periodical&gt;&lt;full-title&gt;Acta Oncol&lt;/full-title&gt;&lt;/periodical&gt;&lt;pages&gt;541-548&lt;/pages&gt;&lt;volume&gt;59&lt;/volume&gt;&lt;number&gt;5&lt;/number&gt;&lt;dates&gt;&lt;year&gt;2020&lt;/year&gt;&lt;/dates&gt;&lt;accession-num&gt;32090645&lt;/accession-num&gt;&lt;urls&gt;&lt;related-urls&gt;&lt;url&gt;http://ezproxy.library.usyd.edu.au/login?url=http://ovidsp.ovid.com/ovidweb.cgi?T=JS&amp;amp;CSC=Y&amp;amp;NEWS=N&amp;amp;PAGE=fulltext&amp;amp;D=prem&amp;amp;AN=32090645https://sydney.alma.exlibrisgroup.com/openurl/61USYD_INST/61USYD_INST:sydney?sid=OVID:medline&amp;amp;id=pmid:32090645&amp;amp;id=doi:10.1080&lt;/url&gt;&lt;url&gt;https://www.tandfonline.com/doi/pdf/10.1080/0284186X.2020.1730001?needAccess=true&lt;/url&gt;&lt;/related-urls&gt;&lt;/urls&gt;&lt;electronic-resource-num&gt;https://dx.doi.org/10.1080/0284186X.2020.1730001&lt;/electronic-resource-num&gt;&lt;/record&gt;&lt;/Cite&gt;&lt;/EndNote&gt;</w:instrText>
              </w:r>
              <w:r w:rsidR="00A367BA" w:rsidRPr="0080030E">
                <w:fldChar w:fldCharType="separate"/>
              </w:r>
              <w:r w:rsidR="00A367BA" w:rsidRPr="0080030E">
                <w:rPr>
                  <w:noProof/>
                </w:rPr>
                <w:t>Alterio et al. (2020)</w:t>
              </w:r>
              <w:r w:rsidR="00A367BA" w:rsidRPr="0080030E">
                <w:fldChar w:fldCharType="end"/>
              </w:r>
            </w:hyperlink>
          </w:p>
        </w:tc>
        <w:tc>
          <w:tcPr>
            <w:tcW w:w="1338" w:type="pct"/>
            <w:tcBorders>
              <w:top w:val="single" w:sz="4" w:space="0" w:color="auto"/>
              <w:left w:val="single" w:sz="4" w:space="0" w:color="auto"/>
              <w:bottom w:val="single" w:sz="4" w:space="0" w:color="auto"/>
              <w:right w:val="single" w:sz="4" w:space="0" w:color="auto"/>
            </w:tcBorders>
          </w:tcPr>
          <w:p w14:paraId="5B8788F5" w14:textId="77777777" w:rsidR="00A367BA" w:rsidRPr="0048459B" w:rsidRDefault="00A367BA" w:rsidP="003028CF">
            <w:pPr>
              <w:pStyle w:val="TableText0"/>
              <w:keepLines/>
              <w:rPr>
                <w:snapToGrid w:val="0"/>
              </w:rPr>
            </w:pPr>
            <w:r>
              <w:t>PFS at 2 years</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799E07E6" w14:textId="77777777" w:rsidR="00A367BA" w:rsidRPr="0048459B" w:rsidRDefault="00A367BA" w:rsidP="003028CF">
            <w:pPr>
              <w:pStyle w:val="TableText0"/>
              <w:keepLines/>
              <w:ind w:left="111" w:right="117"/>
              <w:jc w:val="center"/>
              <w:rPr>
                <w:snapToGrid w:val="0"/>
              </w:rPr>
            </w:pPr>
            <w:r>
              <w:t>76%</w:t>
            </w:r>
          </w:p>
        </w:tc>
        <w:tc>
          <w:tcPr>
            <w:tcW w:w="944" w:type="pct"/>
            <w:tcBorders>
              <w:top w:val="single" w:sz="4" w:space="0" w:color="auto"/>
              <w:left w:val="nil"/>
              <w:bottom w:val="single" w:sz="4" w:space="0" w:color="auto"/>
              <w:right w:val="single" w:sz="4" w:space="0" w:color="auto"/>
            </w:tcBorders>
            <w:shd w:val="clear" w:color="auto" w:fill="auto"/>
          </w:tcPr>
          <w:p w14:paraId="3EA20E26" w14:textId="77777777" w:rsidR="00A367BA" w:rsidRPr="0048459B" w:rsidRDefault="00A367BA" w:rsidP="003028CF">
            <w:pPr>
              <w:pStyle w:val="TableText0"/>
              <w:keepLines/>
              <w:ind w:left="77" w:right="117"/>
              <w:jc w:val="center"/>
              <w:rPr>
                <w:snapToGrid w:val="0"/>
              </w:rPr>
            </w:pPr>
            <w:r>
              <w:t>69%</w:t>
            </w:r>
          </w:p>
        </w:tc>
        <w:tc>
          <w:tcPr>
            <w:tcW w:w="786" w:type="pct"/>
            <w:tcBorders>
              <w:top w:val="single" w:sz="4" w:space="0" w:color="auto"/>
              <w:left w:val="nil"/>
              <w:bottom w:val="single" w:sz="4" w:space="0" w:color="auto"/>
              <w:right w:val="single" w:sz="4" w:space="0" w:color="auto"/>
            </w:tcBorders>
            <w:shd w:val="clear" w:color="auto" w:fill="auto"/>
          </w:tcPr>
          <w:p w14:paraId="6A058A90" w14:textId="77777777" w:rsidR="00A367BA" w:rsidRPr="0048459B" w:rsidRDefault="00A367BA" w:rsidP="003028CF">
            <w:pPr>
              <w:pStyle w:val="TableText0"/>
              <w:keepLines/>
              <w:ind w:left="41" w:right="117"/>
              <w:jc w:val="center"/>
              <w:rPr>
                <w:snapToGrid w:val="0"/>
              </w:rPr>
            </w:pPr>
            <w:r>
              <w:t>NA</w:t>
            </w:r>
          </w:p>
        </w:tc>
        <w:tc>
          <w:tcPr>
            <w:tcW w:w="442" w:type="pct"/>
            <w:tcBorders>
              <w:top w:val="single" w:sz="4" w:space="0" w:color="auto"/>
              <w:left w:val="nil"/>
              <w:bottom w:val="single" w:sz="4" w:space="0" w:color="auto"/>
              <w:right w:val="single" w:sz="4" w:space="0" w:color="auto"/>
            </w:tcBorders>
            <w:shd w:val="clear" w:color="auto" w:fill="auto"/>
          </w:tcPr>
          <w:p w14:paraId="71A1B071" w14:textId="77777777" w:rsidR="00A367BA" w:rsidRPr="0048459B" w:rsidRDefault="00A367BA" w:rsidP="003028CF">
            <w:pPr>
              <w:pStyle w:val="TableText0"/>
              <w:keepLines/>
              <w:ind w:right="117"/>
              <w:jc w:val="center"/>
              <w:rPr>
                <w:snapToGrid w:val="0"/>
              </w:rPr>
            </w:pPr>
            <w:r>
              <w:t>0.4</w:t>
            </w:r>
          </w:p>
        </w:tc>
      </w:tr>
      <w:tr w:rsidR="00A367BA" w:rsidRPr="0048459B" w14:paraId="0FA407EB" w14:textId="77777777" w:rsidTr="003028CF">
        <w:trPr>
          <w:cantSplit/>
        </w:trPr>
        <w:tc>
          <w:tcPr>
            <w:tcW w:w="546" w:type="pct"/>
            <w:vMerge/>
            <w:tcBorders>
              <w:left w:val="single" w:sz="4" w:space="0" w:color="auto"/>
              <w:bottom w:val="single" w:sz="4" w:space="0" w:color="auto"/>
              <w:right w:val="single" w:sz="4" w:space="0" w:color="auto"/>
            </w:tcBorders>
            <w:shd w:val="clear" w:color="auto" w:fill="auto"/>
          </w:tcPr>
          <w:p w14:paraId="4DC0CD72" w14:textId="77777777" w:rsidR="00A367BA" w:rsidRPr="0080030E" w:rsidRDefault="00A367BA" w:rsidP="003028CF">
            <w:pPr>
              <w:pStyle w:val="TableText0"/>
              <w:keepNext w:val="0"/>
              <w:rPr>
                <w:snapToGrid w:val="0"/>
              </w:rPr>
            </w:pPr>
          </w:p>
        </w:tc>
        <w:tc>
          <w:tcPr>
            <w:tcW w:w="1338" w:type="pct"/>
            <w:tcBorders>
              <w:top w:val="single" w:sz="4" w:space="0" w:color="auto"/>
              <w:left w:val="single" w:sz="4" w:space="0" w:color="auto"/>
              <w:bottom w:val="single" w:sz="4" w:space="0" w:color="auto"/>
              <w:right w:val="single" w:sz="4" w:space="0" w:color="auto"/>
            </w:tcBorders>
          </w:tcPr>
          <w:p w14:paraId="78966B9F" w14:textId="77777777" w:rsidR="00A367BA" w:rsidRPr="00C52FDC" w:rsidRDefault="00A367BA" w:rsidP="003028CF">
            <w:pPr>
              <w:pStyle w:val="CommentTabletext"/>
              <w:ind w:left="0"/>
              <w:jc w:val="left"/>
              <w:rPr>
                <w:snapToGrid w:val="0"/>
              </w:rPr>
            </w:pPr>
            <w:r w:rsidRPr="00C52FDC">
              <w:t xml:space="preserve">Local PFS </w:t>
            </w:r>
            <w:r>
              <w:t>at 2 years</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3DABB177" w14:textId="77777777" w:rsidR="00A367BA" w:rsidRPr="00C52FDC" w:rsidRDefault="00A367BA" w:rsidP="003028CF">
            <w:pPr>
              <w:pStyle w:val="TableText0"/>
              <w:keepNext w:val="0"/>
              <w:jc w:val="center"/>
              <w:rPr>
                <w:snapToGrid w:val="0"/>
              </w:rPr>
            </w:pPr>
            <w:r>
              <w:t xml:space="preserve">26/27 (96) </w:t>
            </w:r>
            <w:r w:rsidRPr="00CF7641">
              <w:rPr>
                <w:i/>
              </w:rPr>
              <w:t>(94)</w:t>
            </w:r>
          </w:p>
        </w:tc>
        <w:tc>
          <w:tcPr>
            <w:tcW w:w="944" w:type="pct"/>
            <w:tcBorders>
              <w:top w:val="single" w:sz="4" w:space="0" w:color="auto"/>
              <w:left w:val="nil"/>
              <w:bottom w:val="single" w:sz="4" w:space="0" w:color="auto"/>
              <w:right w:val="single" w:sz="4" w:space="0" w:color="auto"/>
            </w:tcBorders>
            <w:shd w:val="clear" w:color="auto" w:fill="auto"/>
          </w:tcPr>
          <w:p w14:paraId="7EC4020F" w14:textId="77777777" w:rsidR="00A367BA" w:rsidRPr="00C52FDC" w:rsidRDefault="00A367BA" w:rsidP="003028CF">
            <w:pPr>
              <w:pStyle w:val="TableText0"/>
              <w:keepNext w:val="0"/>
              <w:jc w:val="center"/>
              <w:rPr>
                <w:snapToGrid w:val="0"/>
              </w:rPr>
            </w:pPr>
            <w:r>
              <w:t xml:space="preserve">13/16 (81.5) </w:t>
            </w:r>
            <w:r w:rsidRPr="00CF7641">
              <w:rPr>
                <w:i/>
              </w:rPr>
              <w:t>(89)</w:t>
            </w:r>
          </w:p>
        </w:tc>
        <w:tc>
          <w:tcPr>
            <w:tcW w:w="786" w:type="pct"/>
            <w:tcBorders>
              <w:top w:val="single" w:sz="4" w:space="0" w:color="auto"/>
              <w:left w:val="nil"/>
              <w:bottom w:val="single" w:sz="4" w:space="0" w:color="auto"/>
              <w:right w:val="single" w:sz="4" w:space="0" w:color="auto"/>
            </w:tcBorders>
            <w:shd w:val="clear" w:color="auto" w:fill="auto"/>
          </w:tcPr>
          <w:p w14:paraId="409005DD" w14:textId="77777777" w:rsidR="00A367BA" w:rsidRPr="0048459B" w:rsidRDefault="00A367BA" w:rsidP="003028CF">
            <w:pPr>
              <w:pStyle w:val="TableText0"/>
              <w:keepNext w:val="0"/>
              <w:jc w:val="center"/>
              <w:rPr>
                <w:snapToGrid w:val="0"/>
              </w:rPr>
            </w:pPr>
            <w:r>
              <w:t>0.15 (-0.03, 0.33)</w:t>
            </w:r>
          </w:p>
        </w:tc>
        <w:tc>
          <w:tcPr>
            <w:tcW w:w="442" w:type="pct"/>
            <w:tcBorders>
              <w:top w:val="single" w:sz="4" w:space="0" w:color="auto"/>
              <w:left w:val="nil"/>
              <w:bottom w:val="single" w:sz="4" w:space="0" w:color="auto"/>
              <w:right w:val="single" w:sz="4" w:space="0" w:color="auto"/>
            </w:tcBorders>
            <w:shd w:val="clear" w:color="auto" w:fill="auto"/>
          </w:tcPr>
          <w:p w14:paraId="703DD868" w14:textId="77777777" w:rsidR="00A367BA" w:rsidRPr="0048459B" w:rsidRDefault="00A367BA" w:rsidP="003028CF">
            <w:pPr>
              <w:pStyle w:val="TableText0"/>
              <w:keepNext w:val="0"/>
              <w:ind w:right="117"/>
              <w:jc w:val="center"/>
              <w:rPr>
                <w:snapToGrid w:val="0"/>
              </w:rPr>
            </w:pPr>
            <w:r>
              <w:t>NS</w:t>
            </w:r>
          </w:p>
        </w:tc>
      </w:tr>
      <w:tr w:rsidR="00A367BA" w:rsidRPr="0048459B" w14:paraId="52E9E0C4" w14:textId="77777777" w:rsidTr="003028CF">
        <w:trPr>
          <w:cantSplit/>
        </w:trPr>
        <w:tc>
          <w:tcPr>
            <w:tcW w:w="546" w:type="pct"/>
            <w:vMerge w:val="restart"/>
            <w:tcBorders>
              <w:top w:val="single" w:sz="4" w:space="0" w:color="auto"/>
              <w:left w:val="single" w:sz="4" w:space="0" w:color="auto"/>
              <w:right w:val="single" w:sz="4" w:space="0" w:color="auto"/>
            </w:tcBorders>
            <w:shd w:val="clear" w:color="auto" w:fill="auto"/>
          </w:tcPr>
          <w:p w14:paraId="22D078D9" w14:textId="77777777" w:rsidR="00A367BA" w:rsidRPr="0080030E" w:rsidRDefault="00DD6551" w:rsidP="003028CF">
            <w:pPr>
              <w:pStyle w:val="CommentTabletext"/>
              <w:ind w:left="0"/>
              <w:jc w:val="left"/>
            </w:pPr>
            <w:hyperlink w:anchor="_ENREF_12" w:tooltip="Brown, 2013 #4" w:history="1">
              <w:r w:rsidR="00A367BA" w:rsidRPr="0080030E">
                <w:fldChar w:fldCharType="begin">
                  <w:fldData xml:space="preserve">PEVuZE5vdGU+PENpdGUgQXV0aG9yWWVhcj0iMSI+PEF1dGhvcj5Ccm93bjwvQXV0aG9yPjxZZWFy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</w:fldData>
                </w:fldChar>
              </w:r>
              <w:r w:rsidR="00A367BA" w:rsidRPr="0080030E">
                <w:instrText xml:space="preserve"> ADDIN EN.CITE </w:instrText>
              </w:r>
              <w:r w:rsidR="00A367BA" w:rsidRPr="0080030E">
                <w:fldChar w:fldCharType="begin">
                  <w:fldData xml:space="preserve">PEVuZE5vdGU+PENpdGUgQXV0aG9yWWVhcj0iMSI+PEF1dGhvcj5Ccm93bjwvQXV0aG9yPjxZZWFy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</w:fldData>
                </w:fldChar>
              </w:r>
              <w:r w:rsidR="00A367BA" w:rsidRPr="0080030E">
                <w:instrText xml:space="preserve"> ADDIN EN.CITE.DATA </w:instrText>
              </w:r>
              <w:r w:rsidR="00A367BA" w:rsidRPr="0080030E">
                <w:fldChar w:fldCharType="end"/>
              </w:r>
              <w:r w:rsidR="00A367BA" w:rsidRPr="0080030E">
                <w:fldChar w:fldCharType="separate"/>
              </w:r>
              <w:r w:rsidR="00A367BA" w:rsidRPr="0080030E">
                <w:rPr>
                  <w:noProof/>
                </w:rPr>
                <w:t>Brown et al. (2013)</w:t>
              </w:r>
              <w:r w:rsidR="00A367BA" w:rsidRPr="0080030E">
                <w:fldChar w:fldCharType="end"/>
              </w:r>
            </w:hyperlink>
          </w:p>
        </w:tc>
        <w:tc>
          <w:tcPr>
            <w:tcW w:w="1338" w:type="pct"/>
            <w:tcBorders>
              <w:top w:val="single" w:sz="4" w:space="0" w:color="auto"/>
              <w:left w:val="single" w:sz="4" w:space="0" w:color="auto"/>
              <w:bottom w:val="single" w:sz="4" w:space="0" w:color="auto"/>
              <w:right w:val="single" w:sz="4" w:space="0" w:color="auto"/>
            </w:tcBorders>
          </w:tcPr>
          <w:p w14:paraId="32B8D255" w14:textId="77777777" w:rsidR="00A367BA" w:rsidRPr="00C52FDC" w:rsidRDefault="00A367BA" w:rsidP="003028CF">
            <w:pPr>
              <w:pStyle w:val="CommentTabletext"/>
              <w:ind w:left="0"/>
              <w:jc w:val="left"/>
            </w:pPr>
            <w:r w:rsidRPr="00C52FDC">
              <w:t xml:space="preserve">OS </w:t>
            </w:r>
            <w:r>
              <w:t>at 2 years</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7769D4E0" w14:textId="77777777" w:rsidR="00A367BA" w:rsidRPr="00C52FDC" w:rsidRDefault="00A367BA" w:rsidP="003028CF">
            <w:pPr>
              <w:pStyle w:val="CommentTabletext"/>
              <w:ind w:left="0"/>
              <w:jc w:val="center"/>
            </w:pPr>
            <w:r w:rsidRPr="00C52FDC">
              <w:t>94%</w:t>
            </w:r>
          </w:p>
        </w:tc>
        <w:tc>
          <w:tcPr>
            <w:tcW w:w="944" w:type="pct"/>
            <w:tcBorders>
              <w:top w:val="single" w:sz="4" w:space="0" w:color="auto"/>
              <w:left w:val="nil"/>
              <w:bottom w:val="single" w:sz="4" w:space="0" w:color="auto"/>
              <w:right w:val="single" w:sz="4" w:space="0" w:color="auto"/>
            </w:tcBorders>
            <w:shd w:val="clear" w:color="auto" w:fill="auto"/>
          </w:tcPr>
          <w:p w14:paraId="321898F3" w14:textId="77777777" w:rsidR="00A367BA" w:rsidRPr="00C52FDC" w:rsidRDefault="00A367BA" w:rsidP="003028CF">
            <w:pPr>
              <w:pStyle w:val="CommentTabletext"/>
              <w:ind w:left="0"/>
              <w:jc w:val="center"/>
            </w:pPr>
            <w:r w:rsidRPr="00C52FDC">
              <w:t>90%</w:t>
            </w:r>
          </w:p>
        </w:tc>
        <w:tc>
          <w:tcPr>
            <w:tcW w:w="786" w:type="pct"/>
            <w:tcBorders>
              <w:top w:val="single" w:sz="4" w:space="0" w:color="auto"/>
              <w:left w:val="nil"/>
              <w:bottom w:val="single" w:sz="4" w:space="0" w:color="auto"/>
              <w:right w:val="single" w:sz="4" w:space="0" w:color="auto"/>
            </w:tcBorders>
            <w:shd w:val="clear" w:color="auto" w:fill="auto"/>
          </w:tcPr>
          <w:p w14:paraId="74B07A9D" w14:textId="77777777" w:rsidR="00A367BA" w:rsidRPr="00C52FDC" w:rsidRDefault="00A367BA" w:rsidP="003028CF">
            <w:pPr>
              <w:pStyle w:val="CommentTabletext"/>
              <w:ind w:left="0"/>
              <w:jc w:val="center"/>
            </w:pPr>
          </w:p>
        </w:tc>
        <w:tc>
          <w:tcPr>
            <w:tcW w:w="442" w:type="pct"/>
            <w:tcBorders>
              <w:top w:val="single" w:sz="4" w:space="0" w:color="auto"/>
              <w:left w:val="nil"/>
              <w:bottom w:val="single" w:sz="4" w:space="0" w:color="auto"/>
              <w:right w:val="single" w:sz="4" w:space="0" w:color="auto"/>
            </w:tcBorders>
            <w:shd w:val="clear" w:color="auto" w:fill="auto"/>
          </w:tcPr>
          <w:p w14:paraId="315CDF28" w14:textId="77777777" w:rsidR="00A367BA" w:rsidRPr="00C52FDC" w:rsidRDefault="00A367BA" w:rsidP="003028CF">
            <w:pPr>
              <w:pStyle w:val="CommentTabletext"/>
              <w:ind w:left="0"/>
              <w:jc w:val="center"/>
            </w:pPr>
            <w:r w:rsidRPr="00C52FDC">
              <w:t>NS</w:t>
            </w:r>
          </w:p>
        </w:tc>
      </w:tr>
      <w:tr w:rsidR="00A367BA" w:rsidRPr="0048459B" w14:paraId="5B5AF708" w14:textId="77777777" w:rsidTr="003028CF">
        <w:trPr>
          <w:cantSplit/>
        </w:trPr>
        <w:tc>
          <w:tcPr>
            <w:tcW w:w="546" w:type="pct"/>
            <w:vMerge/>
            <w:tcBorders>
              <w:left w:val="single" w:sz="4" w:space="0" w:color="auto"/>
              <w:bottom w:val="single" w:sz="4" w:space="0" w:color="auto"/>
              <w:right w:val="single" w:sz="4" w:space="0" w:color="auto"/>
            </w:tcBorders>
            <w:shd w:val="clear" w:color="auto" w:fill="auto"/>
          </w:tcPr>
          <w:p w14:paraId="716093DF" w14:textId="77777777" w:rsidR="00A367BA" w:rsidRPr="0080030E" w:rsidRDefault="00A367BA" w:rsidP="003028CF">
            <w:pPr>
              <w:pStyle w:val="CommentTabletext"/>
              <w:ind w:left="0"/>
              <w:jc w:val="left"/>
            </w:pPr>
          </w:p>
        </w:tc>
        <w:tc>
          <w:tcPr>
            <w:tcW w:w="1338" w:type="pct"/>
            <w:tcBorders>
              <w:top w:val="single" w:sz="4" w:space="0" w:color="auto"/>
              <w:left w:val="single" w:sz="4" w:space="0" w:color="auto"/>
              <w:bottom w:val="single" w:sz="4" w:space="0" w:color="auto"/>
              <w:right w:val="single" w:sz="4" w:space="0" w:color="auto"/>
            </w:tcBorders>
          </w:tcPr>
          <w:p w14:paraId="2115B598" w14:textId="77777777" w:rsidR="00A367BA" w:rsidRPr="00C52FDC" w:rsidRDefault="00A367BA" w:rsidP="003028CF">
            <w:pPr>
              <w:pStyle w:val="CommentTabletext"/>
              <w:ind w:left="0"/>
              <w:jc w:val="left"/>
            </w:pPr>
            <w:r>
              <w:t xml:space="preserve">PFS at </w:t>
            </w:r>
            <w:r w:rsidRPr="00C52FDC">
              <w:t>2 years</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58E44B21" w14:textId="77777777" w:rsidR="00A367BA" w:rsidRPr="00C52FDC" w:rsidRDefault="00A367BA" w:rsidP="003028CF">
            <w:pPr>
              <w:pStyle w:val="CommentTabletext"/>
              <w:ind w:left="0"/>
              <w:jc w:val="center"/>
            </w:pPr>
            <w:r w:rsidRPr="00C52FDC">
              <w:t>94%</w:t>
            </w:r>
          </w:p>
        </w:tc>
        <w:tc>
          <w:tcPr>
            <w:tcW w:w="944" w:type="pct"/>
            <w:tcBorders>
              <w:top w:val="single" w:sz="4" w:space="0" w:color="auto"/>
              <w:left w:val="nil"/>
              <w:bottom w:val="single" w:sz="4" w:space="0" w:color="auto"/>
              <w:right w:val="single" w:sz="4" w:space="0" w:color="auto"/>
            </w:tcBorders>
            <w:shd w:val="clear" w:color="auto" w:fill="auto"/>
          </w:tcPr>
          <w:p w14:paraId="492312B2" w14:textId="77777777" w:rsidR="00A367BA" w:rsidRPr="00C52FDC" w:rsidRDefault="00A367BA" w:rsidP="003028CF">
            <w:pPr>
              <w:pStyle w:val="CommentTabletext"/>
              <w:ind w:left="0"/>
              <w:jc w:val="center"/>
            </w:pPr>
            <w:r w:rsidRPr="00C52FDC">
              <w:t>85%</w:t>
            </w:r>
          </w:p>
        </w:tc>
        <w:tc>
          <w:tcPr>
            <w:tcW w:w="786" w:type="pct"/>
            <w:tcBorders>
              <w:top w:val="single" w:sz="4" w:space="0" w:color="auto"/>
              <w:left w:val="nil"/>
              <w:bottom w:val="single" w:sz="4" w:space="0" w:color="auto"/>
              <w:right w:val="single" w:sz="4" w:space="0" w:color="auto"/>
            </w:tcBorders>
            <w:shd w:val="clear" w:color="auto" w:fill="auto"/>
          </w:tcPr>
          <w:p w14:paraId="61910B1B" w14:textId="77777777" w:rsidR="00A367BA" w:rsidRPr="00C52FDC" w:rsidRDefault="00A367BA" w:rsidP="003028CF">
            <w:pPr>
              <w:pStyle w:val="CommentTabletext"/>
              <w:ind w:left="0"/>
              <w:jc w:val="center"/>
            </w:pPr>
          </w:p>
        </w:tc>
        <w:tc>
          <w:tcPr>
            <w:tcW w:w="442" w:type="pct"/>
            <w:tcBorders>
              <w:top w:val="single" w:sz="4" w:space="0" w:color="auto"/>
              <w:left w:val="nil"/>
              <w:bottom w:val="single" w:sz="4" w:space="0" w:color="auto"/>
              <w:right w:val="single" w:sz="4" w:space="0" w:color="auto"/>
            </w:tcBorders>
            <w:shd w:val="clear" w:color="auto" w:fill="auto"/>
          </w:tcPr>
          <w:p w14:paraId="1463FFD9" w14:textId="77777777" w:rsidR="00A367BA" w:rsidRPr="00C52FDC" w:rsidRDefault="00A367BA" w:rsidP="003028CF">
            <w:pPr>
              <w:pStyle w:val="CommentTabletext"/>
              <w:ind w:left="0"/>
              <w:jc w:val="center"/>
            </w:pPr>
            <w:r w:rsidRPr="00C52FDC">
              <w:t>NS</w:t>
            </w:r>
          </w:p>
        </w:tc>
      </w:tr>
      <w:tr w:rsidR="00A367BA" w:rsidRPr="0048459B" w14:paraId="7C4B440A" w14:textId="77777777" w:rsidTr="003028CF">
        <w:trPr>
          <w:cantSplit/>
        </w:trPr>
        <w:tc>
          <w:tcPr>
            <w:tcW w:w="546" w:type="pct"/>
            <w:tcBorders>
              <w:top w:val="single" w:sz="4" w:space="0" w:color="auto"/>
              <w:left w:val="single" w:sz="4" w:space="0" w:color="auto"/>
              <w:bottom w:val="nil"/>
              <w:right w:val="single" w:sz="4" w:space="0" w:color="auto"/>
            </w:tcBorders>
            <w:shd w:val="clear" w:color="auto" w:fill="auto"/>
          </w:tcPr>
          <w:p w14:paraId="4BC3C785" w14:textId="77777777" w:rsidR="00A367BA" w:rsidRPr="0080030E" w:rsidRDefault="00DD6551" w:rsidP="003028CF">
            <w:pPr>
              <w:pStyle w:val="TableText0"/>
              <w:keepNext w:val="0"/>
              <w:rPr>
                <w:snapToGrid w:val="0"/>
              </w:rPr>
            </w:pPr>
            <w:hyperlink w:anchor="_ENREF_26" w:tooltip="Jhaveri, 2018 #6" w:history="1">
              <w:r w:rsidR="00A367BA" w:rsidRPr="0080030E">
                <w:fldChar w:fldCharType="begin"/>
              </w:r>
              <w:r w:rsidR="00A367BA" w:rsidRPr="0080030E">
                <w:instrText xml:space="preserve"> ADDIN EN.CITE &lt;EndNote&gt;&lt;Cite AuthorYear="1"&gt;&lt;Author&gt;Jhaveri&lt;/Author&gt;&lt;Year&gt;2018&lt;/Year&gt;&lt;RecNum&gt;6&lt;/RecNum&gt;&lt;DisplayText&gt;Jhaveri et al. (2018)&lt;/DisplayText&gt;&lt;record&gt;&lt;rec-number&gt;6&lt;/rec-number&gt;&lt;foreign-keys&gt;&lt;key app="EN" db-id="exfrw2pee0v5z6evdr2xwspdfw0ezf5ttzwp" timestamp="1597622846"&gt;6&lt;/key&gt;&lt;/foreign-keys&gt;&lt;ref-type name="Journal Article"&gt;17&lt;/ref-type&gt;&lt;contributors&gt;&lt;authors&gt;&lt;author&gt;Jhaveri, J.&lt;/author&gt;&lt;author&gt;Cheng, E.&lt;/author&gt;&lt;author&gt;Tian, S.&lt;/author&gt;&lt;author&gt;Buchwald, Z.&lt;/author&gt;&lt;author&gt;Chowdhary, M.&lt;/author&gt;&lt;author&gt;Liu, Y.&lt;/author&gt;&lt;author&gt;Gillespie, T. W.&lt;/author&gt;&lt;author&gt;Olson, J. J.&lt;/author&gt;&lt;author&gt;Diaz, A. Z.&lt;/author&gt;&lt;author&gt;Voloschin, A.&lt;/author&gt;&lt;author&gt;Eaton, B. R.&lt;/author&gt;&lt;author&gt;Crocker, I. R.&lt;/author&gt;&lt;author&gt;McDonald, M. W.&lt;/author&gt;&lt;author&gt;Curran, W. J.&lt;/author&gt;&lt;author&gt;Patel, K. R.&lt;/author&gt;&lt;/authors&gt;&lt;/contributors&gt;&lt;titles&gt;&lt;title&gt;Proton vs. Photon Radiation Therapy for Primary Gliomas: An Analysis of the National Cancer Data Base&lt;/title&gt;&lt;secondary-title&gt;Front&lt;/secondary-title&gt;&lt;/titles&gt;&lt;periodical&gt;&lt;full-title&gt;Front&lt;/full-title&gt;&lt;/periodical&gt;&lt;pages&gt;440&lt;/pages&gt;&lt;volume&gt;8&lt;/volume&gt;&lt;dates&gt;&lt;year&gt;2018&lt;/year&gt;&lt;/dates&gt;&lt;accession-num&gt;30547008&lt;/accession-num&gt;&lt;urls&gt;&lt;related-urls&gt;&lt;url&gt;http://ezproxy.library.usyd.edu.au/login?url=http://ovidsp.ovid.com/ovidweb.cgi?T=JS&amp;amp;CSC=Y&amp;amp;NEWS=N&amp;amp;PAGE=fulltext&amp;amp;D=prem2&amp;amp;AN=30547008https://sydney.alma.exlibrisgroup.com/openurl/61USYD_INST/61USYD_INST:sydney?sid=OVID:medline&amp;amp;id=pmid:30547008&amp;amp;id=doi:10.338&lt;/url&gt;&lt;url&gt;https://fjfsdata01prod.blob.core.windows.net/articles/files/414720/pubmed-zip/.versions/1/.package-entries/fonc-08-00440/fonc-08-00440.pdf?sv=2015-12-11&amp;amp;sr=b&amp;amp;sig=NcrYuyG%2B%2Fv2HIEXkVl2atCsfwyV9Ifn9cU4Ej9gsYIE%3D&amp;amp;se=2020-07-24T02%3A58%3A25Z&amp;amp;sp=r&amp;amp;rscd=attachment%3B%20filename%2A%3DUTF-8%27%27fonc-08-00440.pdf&lt;/url&gt;&lt;/related-urls&gt;&lt;/urls&gt;&lt;electronic-resource-num&gt;https://dx.doi.org/10.3389/fonc.2018.00440&lt;/electronic-resource-num&gt;&lt;/record&gt;&lt;/Cite&gt;&lt;/EndNote&gt;</w:instrText>
              </w:r>
              <w:r w:rsidR="00A367BA" w:rsidRPr="0080030E">
                <w:fldChar w:fldCharType="separate"/>
              </w:r>
              <w:r w:rsidR="00A367BA" w:rsidRPr="0080030E">
                <w:rPr>
                  <w:noProof/>
                </w:rPr>
                <w:t>Jhaveri et al. (2018)</w:t>
              </w:r>
              <w:r w:rsidR="00A367BA" w:rsidRPr="0080030E">
                <w:fldChar w:fldCharType="end"/>
              </w:r>
            </w:hyperlink>
          </w:p>
        </w:tc>
        <w:tc>
          <w:tcPr>
            <w:tcW w:w="1338" w:type="pct"/>
            <w:tcBorders>
              <w:top w:val="single" w:sz="4" w:space="0" w:color="auto"/>
              <w:left w:val="single" w:sz="4" w:space="0" w:color="auto"/>
              <w:bottom w:val="single" w:sz="4" w:space="0" w:color="auto"/>
              <w:right w:val="single" w:sz="4" w:space="0" w:color="auto"/>
            </w:tcBorders>
          </w:tcPr>
          <w:p w14:paraId="30CA1C73" w14:textId="77777777" w:rsidR="00A367BA" w:rsidRPr="00C52FDC" w:rsidRDefault="00A367BA" w:rsidP="003028CF">
            <w:pPr>
              <w:pStyle w:val="TableText0"/>
              <w:keepNext w:val="0"/>
              <w:ind w:left="16" w:right="117"/>
              <w:rPr>
                <w:snapToGrid w:val="0"/>
              </w:rPr>
            </w:pPr>
            <w:r>
              <w:t>OS</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54B2272A" w14:textId="77777777" w:rsidR="00A367BA" w:rsidRPr="00C52FDC" w:rsidRDefault="00A367BA" w:rsidP="003028CF">
            <w:pPr>
              <w:pStyle w:val="TableText0"/>
              <w:keepNext w:val="0"/>
              <w:jc w:val="center"/>
              <w:rPr>
                <w:rFonts w:cs="Calibri"/>
              </w:rPr>
            </w:pPr>
            <w:r w:rsidRPr="00C52FDC">
              <w:rPr>
                <w:rFonts w:cs="Calibri"/>
              </w:rPr>
              <w:t>159/170 (93.5)</w:t>
            </w:r>
          </w:p>
          <w:p w14:paraId="519569B9" w14:textId="77777777" w:rsidR="00A367BA" w:rsidRPr="00C52FDC" w:rsidRDefault="00A367BA" w:rsidP="003028CF">
            <w:pPr>
              <w:pStyle w:val="CommentTabletext"/>
              <w:ind w:left="0"/>
              <w:jc w:val="center"/>
              <w:rPr>
                <w:snapToGrid w:val="0"/>
              </w:rPr>
            </w:pPr>
            <w:r w:rsidRPr="00C52FDC">
              <w:t>NR</w:t>
            </w:r>
          </w:p>
        </w:tc>
        <w:tc>
          <w:tcPr>
            <w:tcW w:w="944" w:type="pct"/>
            <w:tcBorders>
              <w:top w:val="single" w:sz="4" w:space="0" w:color="auto"/>
              <w:left w:val="nil"/>
              <w:bottom w:val="single" w:sz="4" w:space="0" w:color="auto"/>
              <w:right w:val="single" w:sz="4" w:space="0" w:color="auto"/>
            </w:tcBorders>
            <w:shd w:val="clear" w:color="auto" w:fill="auto"/>
          </w:tcPr>
          <w:p w14:paraId="6C05B486" w14:textId="77777777" w:rsidR="00A367BA" w:rsidRPr="00C52FDC" w:rsidRDefault="00A367BA" w:rsidP="003028CF">
            <w:pPr>
              <w:pStyle w:val="TableText0"/>
              <w:keepNext w:val="0"/>
              <w:jc w:val="center"/>
              <w:rPr>
                <w:rFonts w:cs="Calibri"/>
              </w:rPr>
            </w:pPr>
            <w:r w:rsidRPr="00C52FDC">
              <w:rPr>
                <w:rFonts w:cs="Calibri"/>
              </w:rPr>
              <w:t>45888/49405 (92.9)</w:t>
            </w:r>
          </w:p>
          <w:p w14:paraId="31EB5C1C" w14:textId="77777777" w:rsidR="00A367BA" w:rsidRPr="00C52FDC" w:rsidRDefault="00A367BA" w:rsidP="003028CF">
            <w:pPr>
              <w:pStyle w:val="TableText0"/>
              <w:keepNext w:val="0"/>
              <w:ind w:left="77" w:right="117"/>
              <w:jc w:val="center"/>
              <w:rPr>
                <w:snapToGrid w:val="0"/>
              </w:rPr>
            </w:pPr>
            <w:r w:rsidRPr="00C52FDC">
              <w:rPr>
                <w:i/>
                <w:szCs w:val="20"/>
                <w:lang w:eastAsia="en-AU"/>
              </w:rPr>
              <w:t>NR</w:t>
            </w:r>
          </w:p>
        </w:tc>
        <w:tc>
          <w:tcPr>
            <w:tcW w:w="786" w:type="pct"/>
            <w:tcBorders>
              <w:top w:val="single" w:sz="4" w:space="0" w:color="auto"/>
              <w:left w:val="nil"/>
              <w:bottom w:val="single" w:sz="4" w:space="0" w:color="auto"/>
              <w:right w:val="single" w:sz="4" w:space="0" w:color="auto"/>
            </w:tcBorders>
            <w:shd w:val="clear" w:color="auto" w:fill="auto"/>
          </w:tcPr>
          <w:p w14:paraId="2D397983" w14:textId="77777777" w:rsidR="00A367BA" w:rsidRPr="0048459B" w:rsidRDefault="00A367BA" w:rsidP="003028CF">
            <w:pPr>
              <w:pStyle w:val="TableText0"/>
              <w:keepNext w:val="0"/>
              <w:ind w:left="41" w:right="117"/>
              <w:jc w:val="center"/>
              <w:rPr>
                <w:snapToGrid w:val="0"/>
              </w:rPr>
            </w:pPr>
            <w:proofErr w:type="spellStart"/>
            <w:r w:rsidRPr="00C52FDC">
              <w:rPr>
                <w:rFonts w:cs="Calibri"/>
              </w:rPr>
              <w:t>HRadj</w:t>
            </w:r>
            <w:proofErr w:type="spellEnd"/>
            <w:r w:rsidRPr="00C52FDC">
              <w:rPr>
                <w:rFonts w:cs="Calibri"/>
              </w:rPr>
              <w:t>=0.66 (0.53, 0.83)</w:t>
            </w:r>
          </w:p>
        </w:tc>
        <w:tc>
          <w:tcPr>
            <w:tcW w:w="442" w:type="pct"/>
            <w:tcBorders>
              <w:top w:val="single" w:sz="4" w:space="0" w:color="auto"/>
              <w:left w:val="nil"/>
              <w:bottom w:val="single" w:sz="4" w:space="0" w:color="auto"/>
              <w:right w:val="single" w:sz="4" w:space="0" w:color="auto"/>
            </w:tcBorders>
            <w:shd w:val="clear" w:color="auto" w:fill="auto"/>
          </w:tcPr>
          <w:p w14:paraId="10F75A2E" w14:textId="77777777" w:rsidR="00A367BA" w:rsidRPr="0048459B" w:rsidRDefault="00A367BA" w:rsidP="003028CF">
            <w:pPr>
              <w:pStyle w:val="TableText0"/>
              <w:keepNext w:val="0"/>
              <w:ind w:right="117"/>
              <w:jc w:val="center"/>
              <w:rPr>
                <w:snapToGrid w:val="0"/>
              </w:rPr>
            </w:pPr>
            <w:r w:rsidRPr="00C52FDC">
              <w:rPr>
                <w:rFonts w:cs="Calibri"/>
              </w:rPr>
              <w:t>&lt;0.001</w:t>
            </w:r>
          </w:p>
        </w:tc>
      </w:tr>
      <w:tr w:rsidR="00A367BA" w:rsidRPr="0048459B" w14:paraId="7D30411C" w14:textId="77777777" w:rsidTr="003028CF">
        <w:trPr>
          <w:cantSplit/>
        </w:trPr>
        <w:tc>
          <w:tcPr>
            <w:tcW w:w="546" w:type="pct"/>
            <w:tcBorders>
              <w:top w:val="nil"/>
              <w:left w:val="single" w:sz="4" w:space="0" w:color="auto"/>
              <w:bottom w:val="nil"/>
              <w:right w:val="single" w:sz="4" w:space="0" w:color="auto"/>
            </w:tcBorders>
            <w:shd w:val="clear" w:color="auto" w:fill="auto"/>
          </w:tcPr>
          <w:p w14:paraId="6E7E2FB6" w14:textId="77777777" w:rsidR="00A367BA" w:rsidRPr="0048459B" w:rsidRDefault="00A367BA" w:rsidP="003028CF">
            <w:pPr>
              <w:pStyle w:val="TableText0"/>
              <w:keepNext w:val="0"/>
              <w:rPr>
                <w:snapToGrid w:val="0"/>
              </w:rPr>
            </w:pPr>
          </w:p>
        </w:tc>
        <w:tc>
          <w:tcPr>
            <w:tcW w:w="1338" w:type="pct"/>
            <w:tcBorders>
              <w:top w:val="single" w:sz="4" w:space="0" w:color="auto"/>
              <w:left w:val="single" w:sz="4" w:space="0" w:color="auto"/>
              <w:bottom w:val="single" w:sz="4" w:space="0" w:color="auto"/>
              <w:right w:val="single" w:sz="4" w:space="0" w:color="auto"/>
            </w:tcBorders>
          </w:tcPr>
          <w:p w14:paraId="79F95186" w14:textId="77777777" w:rsidR="00A367BA" w:rsidRPr="00C52FDC" w:rsidRDefault="00A367BA" w:rsidP="003028CF">
            <w:pPr>
              <w:pStyle w:val="TableText0"/>
              <w:keepNext w:val="0"/>
              <w:ind w:left="16" w:right="117"/>
              <w:rPr>
                <w:snapToGrid w:val="0"/>
              </w:rPr>
            </w:pPr>
            <w:r>
              <w:t>Propensity matched OS at 5 years</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6CB97DFC" w14:textId="77777777" w:rsidR="00A367BA" w:rsidRPr="00C52FDC" w:rsidRDefault="00A367BA" w:rsidP="003028CF">
            <w:pPr>
              <w:pStyle w:val="TableText0"/>
              <w:keepNext w:val="0"/>
              <w:ind w:left="111" w:right="117"/>
              <w:jc w:val="center"/>
              <w:rPr>
                <w:snapToGrid w:val="0"/>
              </w:rPr>
            </w:pPr>
            <w:r w:rsidRPr="00C52FDC">
              <w:rPr>
                <w:rFonts w:cs="Calibri"/>
              </w:rPr>
              <w:t>46.10%</w:t>
            </w:r>
          </w:p>
        </w:tc>
        <w:tc>
          <w:tcPr>
            <w:tcW w:w="944" w:type="pct"/>
            <w:tcBorders>
              <w:top w:val="single" w:sz="4" w:space="0" w:color="auto"/>
              <w:left w:val="nil"/>
              <w:bottom w:val="single" w:sz="4" w:space="0" w:color="auto"/>
              <w:right w:val="single" w:sz="4" w:space="0" w:color="auto"/>
            </w:tcBorders>
            <w:shd w:val="clear" w:color="auto" w:fill="auto"/>
          </w:tcPr>
          <w:p w14:paraId="23231393" w14:textId="77777777" w:rsidR="00A367BA" w:rsidRPr="00C52FDC" w:rsidRDefault="00A367BA" w:rsidP="003028CF">
            <w:pPr>
              <w:pStyle w:val="TableText0"/>
              <w:keepNext w:val="0"/>
              <w:ind w:left="77" w:right="117"/>
              <w:jc w:val="center"/>
              <w:rPr>
                <w:snapToGrid w:val="0"/>
              </w:rPr>
            </w:pPr>
            <w:r w:rsidRPr="00C52FDC">
              <w:rPr>
                <w:rFonts w:cs="Calibri"/>
              </w:rPr>
              <w:t>35.50%</w:t>
            </w:r>
          </w:p>
        </w:tc>
        <w:tc>
          <w:tcPr>
            <w:tcW w:w="786" w:type="pct"/>
            <w:tcBorders>
              <w:top w:val="single" w:sz="4" w:space="0" w:color="auto"/>
              <w:left w:val="nil"/>
              <w:bottom w:val="single" w:sz="4" w:space="0" w:color="auto"/>
              <w:right w:val="single" w:sz="4" w:space="0" w:color="auto"/>
            </w:tcBorders>
            <w:shd w:val="clear" w:color="auto" w:fill="auto"/>
          </w:tcPr>
          <w:p w14:paraId="13B2BEF4" w14:textId="77777777" w:rsidR="00A367BA" w:rsidRPr="0048459B" w:rsidRDefault="00A367BA" w:rsidP="003028CF">
            <w:pPr>
              <w:pStyle w:val="TableText0"/>
              <w:keepNext w:val="0"/>
              <w:ind w:left="41" w:right="117"/>
              <w:jc w:val="center"/>
              <w:rPr>
                <w:snapToGrid w:val="0"/>
              </w:rPr>
            </w:pPr>
            <w:r w:rsidRPr="00C52FDC">
              <w:rPr>
                <w:rFonts w:cs="Calibri"/>
              </w:rPr>
              <w:t>NA</w:t>
            </w:r>
          </w:p>
        </w:tc>
        <w:tc>
          <w:tcPr>
            <w:tcW w:w="442" w:type="pct"/>
            <w:tcBorders>
              <w:top w:val="single" w:sz="4" w:space="0" w:color="auto"/>
              <w:left w:val="nil"/>
              <w:bottom w:val="single" w:sz="4" w:space="0" w:color="auto"/>
              <w:right w:val="single" w:sz="4" w:space="0" w:color="auto"/>
            </w:tcBorders>
            <w:shd w:val="clear" w:color="auto" w:fill="auto"/>
          </w:tcPr>
          <w:p w14:paraId="4B54543B" w14:textId="77777777" w:rsidR="00A367BA" w:rsidRPr="0048459B" w:rsidRDefault="00A367BA" w:rsidP="003028CF">
            <w:pPr>
              <w:pStyle w:val="TableText0"/>
              <w:keepNext w:val="0"/>
              <w:ind w:right="117"/>
              <w:jc w:val="center"/>
              <w:rPr>
                <w:snapToGrid w:val="0"/>
              </w:rPr>
            </w:pPr>
            <w:r w:rsidRPr="00C52FDC">
              <w:rPr>
                <w:rFonts w:cs="Calibri"/>
              </w:rPr>
              <w:t>0.009</w:t>
            </w:r>
          </w:p>
        </w:tc>
      </w:tr>
      <w:tr w:rsidR="00A367BA" w:rsidRPr="0048459B" w14:paraId="2C01E000" w14:textId="77777777" w:rsidTr="003028CF">
        <w:trPr>
          <w:cantSplit/>
        </w:trPr>
        <w:tc>
          <w:tcPr>
            <w:tcW w:w="546" w:type="pct"/>
            <w:tcBorders>
              <w:top w:val="nil"/>
              <w:left w:val="single" w:sz="4" w:space="0" w:color="auto"/>
              <w:bottom w:val="single" w:sz="4" w:space="0" w:color="auto"/>
              <w:right w:val="single" w:sz="4" w:space="0" w:color="auto"/>
            </w:tcBorders>
            <w:shd w:val="clear" w:color="auto" w:fill="auto"/>
          </w:tcPr>
          <w:p w14:paraId="3F3EBBAB" w14:textId="77777777" w:rsidR="00A367BA" w:rsidRPr="0048459B" w:rsidRDefault="00A367BA" w:rsidP="003028CF">
            <w:pPr>
              <w:pStyle w:val="TableText0"/>
              <w:keepNext w:val="0"/>
              <w:rPr>
                <w:snapToGrid w:val="0"/>
              </w:rPr>
            </w:pPr>
          </w:p>
        </w:tc>
        <w:tc>
          <w:tcPr>
            <w:tcW w:w="1338" w:type="pct"/>
            <w:tcBorders>
              <w:top w:val="single" w:sz="4" w:space="0" w:color="auto"/>
              <w:left w:val="single" w:sz="4" w:space="0" w:color="auto"/>
              <w:bottom w:val="single" w:sz="4" w:space="0" w:color="auto"/>
              <w:right w:val="single" w:sz="4" w:space="0" w:color="auto"/>
            </w:tcBorders>
          </w:tcPr>
          <w:p w14:paraId="64B2698F" w14:textId="77777777" w:rsidR="00A367BA" w:rsidRPr="00C52FDC" w:rsidRDefault="00A367BA" w:rsidP="003028CF">
            <w:pPr>
              <w:pStyle w:val="CommentTabletext"/>
              <w:ind w:left="0"/>
              <w:jc w:val="left"/>
            </w:pPr>
            <w:r w:rsidRPr="00C52FDC">
              <w:t>Propensity-matched median OS</w:t>
            </w:r>
          </w:p>
        </w:tc>
        <w:tc>
          <w:tcPr>
            <w:tcW w:w="944" w:type="pct"/>
            <w:tcBorders>
              <w:top w:val="single" w:sz="4" w:space="0" w:color="auto"/>
              <w:left w:val="single" w:sz="4" w:space="0" w:color="auto"/>
              <w:bottom w:val="single" w:sz="4" w:space="0" w:color="auto"/>
              <w:right w:val="single" w:sz="4" w:space="0" w:color="auto"/>
            </w:tcBorders>
            <w:shd w:val="clear" w:color="auto" w:fill="auto"/>
          </w:tcPr>
          <w:p w14:paraId="2B887602" w14:textId="77777777" w:rsidR="00A367BA" w:rsidRPr="00C52FDC" w:rsidRDefault="00A367BA" w:rsidP="003028CF">
            <w:pPr>
              <w:pStyle w:val="CommentTabletext"/>
              <w:ind w:left="0"/>
              <w:jc w:val="center"/>
            </w:pPr>
            <w:r w:rsidRPr="00C52FDC">
              <w:t>45.9 months</w:t>
            </w:r>
          </w:p>
        </w:tc>
        <w:tc>
          <w:tcPr>
            <w:tcW w:w="944" w:type="pct"/>
            <w:tcBorders>
              <w:top w:val="single" w:sz="4" w:space="0" w:color="auto"/>
              <w:left w:val="nil"/>
              <w:bottom w:val="single" w:sz="4" w:space="0" w:color="auto"/>
              <w:right w:val="single" w:sz="4" w:space="0" w:color="auto"/>
            </w:tcBorders>
            <w:shd w:val="clear" w:color="auto" w:fill="auto"/>
          </w:tcPr>
          <w:p w14:paraId="2D23E326" w14:textId="77777777" w:rsidR="00A367BA" w:rsidRPr="00C52FDC" w:rsidRDefault="00A367BA" w:rsidP="003028CF">
            <w:pPr>
              <w:pStyle w:val="CommentTabletext"/>
              <w:ind w:left="0"/>
              <w:jc w:val="center"/>
            </w:pPr>
            <w:r w:rsidRPr="00C52FDC">
              <w:t>29.7 months</w:t>
            </w:r>
          </w:p>
        </w:tc>
        <w:tc>
          <w:tcPr>
            <w:tcW w:w="786" w:type="pct"/>
            <w:tcBorders>
              <w:top w:val="single" w:sz="4" w:space="0" w:color="auto"/>
              <w:left w:val="nil"/>
              <w:bottom w:val="single" w:sz="4" w:space="0" w:color="auto"/>
              <w:right w:val="single" w:sz="4" w:space="0" w:color="auto"/>
            </w:tcBorders>
            <w:shd w:val="clear" w:color="auto" w:fill="auto"/>
          </w:tcPr>
          <w:p w14:paraId="54CDFA07" w14:textId="77777777" w:rsidR="00A367BA" w:rsidRPr="00C52FDC" w:rsidRDefault="00A367BA" w:rsidP="003028CF">
            <w:pPr>
              <w:pStyle w:val="CommentTabletext"/>
              <w:ind w:left="0"/>
              <w:jc w:val="center"/>
            </w:pPr>
            <w:r>
              <w:t>NA</w:t>
            </w:r>
          </w:p>
        </w:tc>
        <w:tc>
          <w:tcPr>
            <w:tcW w:w="442" w:type="pct"/>
            <w:tcBorders>
              <w:top w:val="single" w:sz="4" w:space="0" w:color="auto"/>
              <w:left w:val="nil"/>
              <w:bottom w:val="single" w:sz="4" w:space="0" w:color="auto"/>
              <w:right w:val="single" w:sz="4" w:space="0" w:color="auto"/>
            </w:tcBorders>
            <w:shd w:val="clear" w:color="auto" w:fill="auto"/>
          </w:tcPr>
          <w:p w14:paraId="7CFDB47B" w14:textId="77777777" w:rsidR="00A367BA" w:rsidRPr="00C52FDC" w:rsidRDefault="00A367BA" w:rsidP="003028CF">
            <w:pPr>
              <w:pStyle w:val="CommentTabletext"/>
              <w:ind w:left="0"/>
              <w:jc w:val="center"/>
            </w:pPr>
            <w:r w:rsidRPr="00C52FDC">
              <w:t>NR</w:t>
            </w:r>
          </w:p>
        </w:tc>
      </w:tr>
    </w:tbl>
    <w:p w14:paraId="5EFB29A7" w14:textId="77777777" w:rsidR="00A367BA" w:rsidRPr="007A095C" w:rsidRDefault="00A367BA" w:rsidP="00654AB1">
      <w:pPr>
        <w:pStyle w:val="Tablenotes"/>
      </w:pPr>
      <w:r w:rsidRPr="007A095C">
        <w:t xml:space="preserve">Source: Table 8, </w:t>
      </w:r>
      <w:proofErr w:type="spellStart"/>
      <w:r w:rsidRPr="007A095C">
        <w:t>pxxiii</w:t>
      </w:r>
      <w:proofErr w:type="spellEnd"/>
      <w:r w:rsidRPr="007A095C">
        <w:t xml:space="preserve"> of the commentary.</w:t>
      </w:r>
    </w:p>
    <w:p w14:paraId="6479DAB6" w14:textId="77777777" w:rsidR="00A367BA" w:rsidRPr="007A095C" w:rsidRDefault="00A367BA" w:rsidP="00654AB1">
      <w:pPr>
        <w:pStyle w:val="Tablenotes"/>
      </w:pPr>
      <w:r w:rsidRPr="007A095C">
        <w:t>Italicised text represents additional text in the commentary which was not included in the ADAR</w:t>
      </w:r>
    </w:p>
    <w:p w14:paraId="31C8594D" w14:textId="77777777" w:rsidR="00A367BA" w:rsidRPr="00A367BA" w:rsidRDefault="00A367BA" w:rsidP="00654AB1">
      <w:pPr>
        <w:pStyle w:val="Tablenotes"/>
      </w:pPr>
      <w:r w:rsidRPr="007A095C">
        <w:t xml:space="preserve">Abbreviations: </w:t>
      </w:r>
      <w:proofErr w:type="spellStart"/>
      <w:r w:rsidRPr="007A095C">
        <w:t>HRadj</w:t>
      </w:r>
      <w:proofErr w:type="spellEnd"/>
      <w:r w:rsidRPr="007A095C">
        <w:t>=adjusted hazard ratio; OS=overall survival; NA=not applicable; NS=not significant; NR=not reported; PBT=proton beam therapy; PFS=progression free survival; PRT=photon radiation therapy</w:t>
      </w:r>
    </w:p>
    <w:p w14:paraId="6E16A900" w14:textId="77777777" w:rsidR="00A367BA" w:rsidRPr="009E589D" w:rsidRDefault="00A367BA" w:rsidP="009E589D">
      <w:pPr>
        <w:spacing w:before="240" w:after="240"/>
        <w:rPr>
          <w:b/>
        </w:rPr>
      </w:pPr>
      <w:r w:rsidRPr="009E589D">
        <w:rPr>
          <w:b/>
        </w:rPr>
        <w:t>Paediatric and AYA patients with solid tumours located in the head, neck of trunk of the body (PICO 2)</w:t>
      </w:r>
    </w:p>
    <w:p w14:paraId="765E5085" w14:textId="74B26963" w:rsidR="00A367BA" w:rsidRDefault="00A367BA" w:rsidP="00A367BA">
      <w:pPr>
        <w:spacing w:after="240"/>
      </w:pPr>
      <w:r>
        <w:t>Based on the commentary evidence base, the commentary stated that the evidence suggests that there is no difference in OS between PBT and PRT. Similar findings were noted for progression-free survival and local tumour control although these were reported by a smaller number of studies. One study reported that paediatric patients treated with PBT had a significantly improved quality of life (</w:t>
      </w:r>
      <w:proofErr w:type="spellStart"/>
      <w:r>
        <w:t>QoL</w:t>
      </w:r>
      <w:proofErr w:type="spellEnd"/>
      <w:r>
        <w:t xml:space="preserve">) compared to those treated with PRT. Results for the key survival outcomes for </w:t>
      </w:r>
      <w:r w:rsidRPr="008127F2">
        <w:t xml:space="preserve">paediatric and AYA patients </w:t>
      </w:r>
      <w:r>
        <w:t xml:space="preserve">across the studies are presented in </w:t>
      </w:r>
      <w:r>
        <w:fldChar w:fldCharType="begin"/>
      </w:r>
      <w:r>
        <w:instrText xml:space="preserve"> REF _Ref50109926 \h </w:instrText>
      </w:r>
      <w:r>
        <w:fldChar w:fldCharType="separate"/>
      </w:r>
      <w:r w:rsidR="00810FF0">
        <w:t xml:space="preserve">Table </w:t>
      </w:r>
      <w:r w:rsidR="00810FF0">
        <w:rPr>
          <w:noProof/>
        </w:rPr>
        <w:t>12</w:t>
      </w:r>
      <w:r>
        <w:fldChar w:fldCharType="end"/>
      </w:r>
      <w:r>
        <w:t>.</w:t>
      </w:r>
    </w:p>
    <w:p w14:paraId="1B43F155" w14:textId="499DDF12" w:rsidR="00A367BA" w:rsidRPr="009E589D" w:rsidRDefault="00A367BA" w:rsidP="009E589D">
      <w:pPr>
        <w:rPr>
          <w:rFonts w:ascii="Arial Narrow" w:hAnsi="Arial Narrow"/>
          <w:b/>
          <w:sz w:val="20"/>
        </w:rPr>
      </w:pPr>
      <w:bookmarkStart w:id="41" w:name="_Ref50109926"/>
      <w:bookmarkStart w:id="42" w:name="_Toc50454224"/>
      <w:r w:rsidRPr="009E589D">
        <w:rPr>
          <w:rFonts w:ascii="Arial Narrow" w:hAnsi="Arial Narrow"/>
          <w:b/>
          <w:sz w:val="20"/>
        </w:rPr>
        <w:t xml:space="preserve">Table </w:t>
      </w:r>
      <w:r w:rsidR="00FD0A9A" w:rsidRPr="009E589D">
        <w:rPr>
          <w:rFonts w:ascii="Arial Narrow" w:hAnsi="Arial Narrow"/>
          <w:b/>
          <w:sz w:val="20"/>
        </w:rPr>
        <w:fldChar w:fldCharType="begin"/>
      </w:r>
      <w:r w:rsidR="00FD0A9A" w:rsidRPr="009E589D">
        <w:rPr>
          <w:rFonts w:ascii="Arial Narrow" w:hAnsi="Arial Narrow"/>
          <w:b/>
          <w:sz w:val="20"/>
        </w:rPr>
        <w:instrText xml:space="preserve"> SEQ Table \* ARABIC </w:instrText>
      </w:r>
      <w:r w:rsidR="00FD0A9A" w:rsidRPr="009E589D">
        <w:rPr>
          <w:rFonts w:ascii="Arial Narrow" w:hAnsi="Arial Narrow"/>
          <w:b/>
          <w:sz w:val="20"/>
        </w:rPr>
        <w:fldChar w:fldCharType="separate"/>
      </w:r>
      <w:r w:rsidR="00810FF0" w:rsidRPr="009E589D">
        <w:rPr>
          <w:rFonts w:ascii="Arial Narrow" w:hAnsi="Arial Narrow"/>
          <w:b/>
          <w:sz w:val="20"/>
        </w:rPr>
        <w:t>12</w:t>
      </w:r>
      <w:r w:rsidR="00FD0A9A" w:rsidRPr="009E589D">
        <w:rPr>
          <w:rFonts w:ascii="Arial Narrow" w:hAnsi="Arial Narrow"/>
          <w:b/>
          <w:sz w:val="20"/>
        </w:rPr>
        <w:fldChar w:fldCharType="end"/>
      </w:r>
      <w:bookmarkEnd w:id="41"/>
      <w:r w:rsidRPr="009E589D">
        <w:rPr>
          <w:rFonts w:ascii="Arial Narrow" w:hAnsi="Arial Narrow"/>
          <w:b/>
          <w:sz w:val="20"/>
        </w:rPr>
        <w:tab/>
        <w:t>Results of survival outcomes for paediatric and AYA patients across the studies</w:t>
      </w:r>
      <w:bookmarkEnd w:id="42"/>
    </w:p>
    <w:tbl>
      <w:tblPr>
        <w:tblW w:w="5000" w:type="pct"/>
        <w:tblLook w:val="04A0" w:firstRow="1" w:lastRow="0" w:firstColumn="1" w:lastColumn="0" w:noHBand="0" w:noVBand="1"/>
        <w:tblCaption w:val="Table of key effectiveness outcomes in PICO 2"/>
        <w:tblDescription w:val="Overall survival and progression free survival in paediatric and AYA population"/>
      </w:tblPr>
      <w:tblGrid>
        <w:gridCol w:w="1694"/>
        <w:gridCol w:w="2126"/>
        <w:gridCol w:w="1559"/>
        <w:gridCol w:w="1418"/>
        <w:gridCol w:w="1418"/>
        <w:gridCol w:w="795"/>
      </w:tblGrid>
      <w:tr w:rsidR="00A367BA" w14:paraId="01DCF702" w14:textId="77777777" w:rsidTr="003028CF">
        <w:trPr>
          <w:cantSplit/>
          <w:tblHeader/>
        </w:trPr>
        <w:tc>
          <w:tcPr>
            <w:tcW w:w="940" w:type="pct"/>
            <w:tcBorders>
              <w:top w:val="single" w:sz="6" w:space="0" w:color="auto"/>
              <w:left w:val="single" w:sz="6" w:space="0" w:color="auto"/>
              <w:bottom w:val="single" w:sz="6" w:space="0" w:color="auto"/>
              <w:right w:val="single" w:sz="6" w:space="0" w:color="auto"/>
            </w:tcBorders>
          </w:tcPr>
          <w:p w14:paraId="188E1CD4" w14:textId="77777777" w:rsidR="00A367BA" w:rsidRDefault="00A367BA" w:rsidP="002236BD">
            <w:pPr>
              <w:pStyle w:val="TableText0"/>
              <w:spacing w:before="0" w:after="0"/>
              <w:rPr>
                <w:rFonts w:eastAsia="Arial Narrow" w:cs="Arial Narrow"/>
                <w:szCs w:val="20"/>
              </w:rPr>
            </w:pPr>
            <w:r w:rsidRPr="00D32948">
              <w:rPr>
                <w:rFonts w:eastAsia="Arial Narrow" w:cs="Arial Narrow"/>
                <w:b/>
                <w:bCs/>
                <w:szCs w:val="20"/>
              </w:rPr>
              <w:lastRenderedPageBreak/>
              <w:t>Study ID</w:t>
            </w:r>
          </w:p>
        </w:tc>
        <w:tc>
          <w:tcPr>
            <w:tcW w:w="1180" w:type="pct"/>
            <w:tcBorders>
              <w:top w:val="single" w:sz="6" w:space="0" w:color="auto"/>
              <w:left w:val="single" w:sz="6" w:space="0" w:color="auto"/>
              <w:bottom w:val="single" w:sz="6" w:space="0" w:color="auto"/>
              <w:right w:val="single" w:sz="6" w:space="0" w:color="auto"/>
            </w:tcBorders>
          </w:tcPr>
          <w:p w14:paraId="1EF4A76A" w14:textId="77777777" w:rsidR="00A367BA" w:rsidRDefault="00A367BA" w:rsidP="002236BD">
            <w:pPr>
              <w:pStyle w:val="TableText0"/>
              <w:spacing w:before="0" w:after="0"/>
              <w:rPr>
                <w:rFonts w:eastAsia="Arial Narrow" w:cs="Arial Narrow"/>
                <w:szCs w:val="20"/>
              </w:rPr>
            </w:pPr>
            <w:r w:rsidRPr="00D32948">
              <w:rPr>
                <w:rFonts w:eastAsia="Arial Narrow" w:cs="Arial Narrow"/>
                <w:b/>
                <w:bCs/>
                <w:szCs w:val="20"/>
              </w:rPr>
              <w:t>Outcome</w:t>
            </w:r>
          </w:p>
        </w:tc>
        <w:tc>
          <w:tcPr>
            <w:tcW w:w="865" w:type="pct"/>
            <w:tcBorders>
              <w:top w:val="single" w:sz="6" w:space="0" w:color="auto"/>
              <w:left w:val="single" w:sz="6" w:space="0" w:color="auto"/>
              <w:bottom w:val="single" w:sz="6" w:space="0" w:color="auto"/>
              <w:right w:val="single" w:sz="6" w:space="0" w:color="auto"/>
            </w:tcBorders>
          </w:tcPr>
          <w:p w14:paraId="2AC76267" w14:textId="77777777" w:rsidR="00A367BA" w:rsidRDefault="00A367BA" w:rsidP="002236BD">
            <w:pPr>
              <w:pStyle w:val="TableText0"/>
              <w:spacing w:before="0" w:after="0"/>
              <w:jc w:val="center"/>
              <w:rPr>
                <w:rFonts w:eastAsia="Arial Narrow" w:cs="Arial Narrow"/>
                <w:szCs w:val="20"/>
              </w:rPr>
            </w:pPr>
            <w:r w:rsidRPr="00D32948">
              <w:rPr>
                <w:rFonts w:eastAsia="Arial Narrow" w:cs="Arial Narrow"/>
                <w:b/>
                <w:bCs/>
                <w:szCs w:val="20"/>
              </w:rPr>
              <w:t>PBT</w:t>
            </w:r>
          </w:p>
        </w:tc>
        <w:tc>
          <w:tcPr>
            <w:tcW w:w="787" w:type="pct"/>
            <w:tcBorders>
              <w:top w:val="single" w:sz="6" w:space="0" w:color="auto"/>
              <w:left w:val="single" w:sz="6" w:space="0" w:color="auto"/>
              <w:bottom w:val="single" w:sz="6" w:space="0" w:color="auto"/>
              <w:right w:val="single" w:sz="6" w:space="0" w:color="auto"/>
            </w:tcBorders>
          </w:tcPr>
          <w:p w14:paraId="3E16DB8A" w14:textId="77777777" w:rsidR="00A367BA" w:rsidRDefault="00A367BA" w:rsidP="002236BD">
            <w:pPr>
              <w:pStyle w:val="TableText0"/>
              <w:spacing w:before="0" w:after="0"/>
              <w:jc w:val="center"/>
              <w:rPr>
                <w:rFonts w:eastAsia="Arial Narrow" w:cs="Arial Narrow"/>
                <w:szCs w:val="20"/>
              </w:rPr>
            </w:pPr>
            <w:r w:rsidRPr="00D32948">
              <w:rPr>
                <w:rFonts w:eastAsia="Arial Narrow" w:cs="Arial Narrow"/>
                <w:b/>
                <w:bCs/>
                <w:szCs w:val="20"/>
              </w:rPr>
              <w:t>PRT</w:t>
            </w:r>
          </w:p>
        </w:tc>
        <w:tc>
          <w:tcPr>
            <w:tcW w:w="787" w:type="pct"/>
            <w:tcBorders>
              <w:top w:val="single" w:sz="6" w:space="0" w:color="auto"/>
              <w:left w:val="single" w:sz="6" w:space="0" w:color="auto"/>
              <w:bottom w:val="single" w:sz="6" w:space="0" w:color="auto"/>
              <w:right w:val="single" w:sz="6" w:space="0" w:color="auto"/>
            </w:tcBorders>
          </w:tcPr>
          <w:p w14:paraId="0DF119F9" w14:textId="77777777" w:rsidR="00A367BA" w:rsidRDefault="00A367BA" w:rsidP="002236BD">
            <w:pPr>
              <w:pStyle w:val="TableText0"/>
              <w:spacing w:before="0" w:after="0"/>
              <w:jc w:val="center"/>
              <w:rPr>
                <w:rFonts w:eastAsia="Arial Narrow" w:cs="Arial Narrow"/>
                <w:szCs w:val="20"/>
              </w:rPr>
            </w:pPr>
            <w:proofErr w:type="spellStart"/>
            <w:r>
              <w:rPr>
                <w:rFonts w:eastAsia="Arial Narrow" w:cs="Arial Narrow"/>
                <w:b/>
                <w:bCs/>
                <w:szCs w:val="20"/>
              </w:rPr>
              <w:t>adjHR</w:t>
            </w:r>
            <w:proofErr w:type="spellEnd"/>
            <w:r w:rsidRPr="00D32948">
              <w:rPr>
                <w:rFonts w:eastAsia="Arial Narrow" w:cs="Arial Narrow"/>
                <w:b/>
                <w:bCs/>
                <w:szCs w:val="20"/>
              </w:rPr>
              <w:t xml:space="preserve"> (95% CI)</w:t>
            </w:r>
          </w:p>
        </w:tc>
        <w:tc>
          <w:tcPr>
            <w:tcW w:w="441" w:type="pct"/>
            <w:tcBorders>
              <w:top w:val="single" w:sz="6" w:space="0" w:color="auto"/>
              <w:left w:val="single" w:sz="6" w:space="0" w:color="auto"/>
              <w:bottom w:val="single" w:sz="6" w:space="0" w:color="auto"/>
              <w:right w:val="single" w:sz="6" w:space="0" w:color="auto"/>
            </w:tcBorders>
          </w:tcPr>
          <w:p w14:paraId="757E1AF4" w14:textId="77777777" w:rsidR="00A367BA" w:rsidRDefault="00A367BA" w:rsidP="002236BD">
            <w:pPr>
              <w:pStyle w:val="TableText0"/>
              <w:spacing w:before="0" w:after="0"/>
              <w:ind w:left="-108" w:right="-166"/>
              <w:jc w:val="center"/>
              <w:rPr>
                <w:rFonts w:eastAsia="Arial Narrow" w:cs="Arial Narrow"/>
                <w:szCs w:val="20"/>
              </w:rPr>
            </w:pPr>
            <w:r>
              <w:rPr>
                <w:rFonts w:eastAsia="Arial Narrow" w:cs="Arial Narrow"/>
                <w:b/>
                <w:bCs/>
                <w:szCs w:val="20"/>
              </w:rPr>
              <w:t>P</w:t>
            </w:r>
            <w:r w:rsidRPr="00D32948">
              <w:rPr>
                <w:rFonts w:eastAsia="Arial Narrow" w:cs="Arial Narrow"/>
                <w:b/>
                <w:bCs/>
                <w:szCs w:val="20"/>
              </w:rPr>
              <w:t>-value</w:t>
            </w:r>
          </w:p>
        </w:tc>
      </w:tr>
      <w:tr w:rsidR="00A367BA" w14:paraId="533C5DB6" w14:textId="77777777" w:rsidTr="003028CF">
        <w:trPr>
          <w:cantSplit/>
        </w:trPr>
        <w:tc>
          <w:tcPr>
            <w:tcW w:w="940" w:type="pct"/>
            <w:tcBorders>
              <w:top w:val="single" w:sz="6" w:space="0" w:color="auto"/>
              <w:left w:val="single" w:sz="6" w:space="0" w:color="auto"/>
              <w:bottom w:val="single" w:sz="6" w:space="0" w:color="auto"/>
              <w:right w:val="single" w:sz="6" w:space="0" w:color="auto"/>
            </w:tcBorders>
          </w:tcPr>
          <w:p w14:paraId="14FCBEA7" w14:textId="77777777" w:rsidR="00A367BA" w:rsidRPr="0080030E" w:rsidRDefault="00DD6551" w:rsidP="002236BD">
            <w:pPr>
              <w:pStyle w:val="TableText0"/>
              <w:spacing w:before="0" w:after="0"/>
              <w:rPr>
                <w:rFonts w:eastAsia="Arial Narrow" w:cs="Arial Narrow"/>
                <w:szCs w:val="20"/>
              </w:rPr>
            </w:pPr>
            <w:hyperlink w:anchor="_ENREF_9" w:tooltip="Bishop, 2014 #14" w:history="1">
              <w:r w:rsidR="00A367BA" w:rsidRPr="0080030E">
                <w:rPr>
                  <w:rFonts w:eastAsia="Arial Narrow" w:cs="Arial Narrow"/>
                  <w:szCs w:val="20"/>
                </w:rPr>
                <w:fldChar w:fldCharType="begin">
                  <w:fldData xml:space="preserve">PEVuZE5vdGU+PENpdGUgQXV0aG9yWWVhcj0iMSI+PEF1dGhvcj5CaXNob3A8L0F1dGhvcj48WWVh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</w:fldData>
                </w:fldChar>
              </w:r>
              <w:r w:rsidR="00A367BA" w:rsidRPr="0080030E">
                <w:rPr>
                  <w:rFonts w:eastAsia="Arial Narrow" w:cs="Arial Narrow"/>
                  <w:szCs w:val="20"/>
                </w:rPr>
                <w:instrText xml:space="preserve"> ADDIN EN.CITE </w:instrText>
              </w:r>
              <w:r w:rsidR="00A367BA" w:rsidRPr="0080030E">
                <w:rPr>
                  <w:rFonts w:eastAsia="Arial Narrow" w:cs="Arial Narrow"/>
                  <w:szCs w:val="20"/>
                </w:rPr>
                <w:fldChar w:fldCharType="begin">
                  <w:fldData xml:space="preserve">PEVuZE5vdGU+PENpdGUgQXV0aG9yWWVhcj0iMSI+PEF1dGhvcj5CaXNob3A8L0F1dGhvcj48WWVh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</w:fldData>
                </w:fldChar>
              </w:r>
              <w:r w:rsidR="00A367BA" w:rsidRPr="0080030E">
                <w:rPr>
                  <w:rFonts w:eastAsia="Arial Narrow" w:cs="Arial Narrow"/>
                  <w:szCs w:val="20"/>
                </w:rPr>
                <w:instrText xml:space="preserve"> ADDIN EN.CITE.DATA </w:instrText>
              </w:r>
              <w:r w:rsidR="00A367BA" w:rsidRPr="0080030E">
                <w:rPr>
                  <w:rFonts w:eastAsia="Arial Narrow" w:cs="Arial Narrow"/>
                  <w:szCs w:val="20"/>
                </w:rPr>
              </w:r>
              <w:r w:rsidR="00A367BA" w:rsidRPr="0080030E">
                <w:rPr>
                  <w:rFonts w:eastAsia="Arial Narrow" w:cs="Arial Narrow"/>
                  <w:szCs w:val="20"/>
                </w:rPr>
                <w:fldChar w:fldCharType="end"/>
              </w:r>
              <w:r w:rsidR="00A367BA" w:rsidRPr="0080030E">
                <w:rPr>
                  <w:rFonts w:eastAsia="Arial Narrow" w:cs="Arial Narrow"/>
                  <w:szCs w:val="20"/>
                </w:rPr>
              </w:r>
              <w:r w:rsidR="00A367BA" w:rsidRPr="0080030E">
                <w:rPr>
                  <w:rFonts w:eastAsia="Arial Narrow" w:cs="Arial Narrow"/>
                  <w:szCs w:val="20"/>
                </w:rPr>
                <w:fldChar w:fldCharType="separate"/>
              </w:r>
              <w:r w:rsidR="00A367BA" w:rsidRPr="0080030E">
                <w:rPr>
                  <w:rFonts w:eastAsia="Arial Narrow" w:cs="Arial Narrow"/>
                  <w:noProof/>
                  <w:szCs w:val="20"/>
                </w:rPr>
                <w:t>Bishop et al. (2014)</w:t>
              </w:r>
              <w:r w:rsidR="00A367BA" w:rsidRPr="0080030E">
                <w:rPr>
                  <w:rFonts w:eastAsia="Arial Narrow" w:cs="Arial Narrow"/>
                  <w:szCs w:val="20"/>
                </w:rPr>
                <w:fldChar w:fldCharType="end"/>
              </w:r>
            </w:hyperlink>
          </w:p>
        </w:tc>
        <w:tc>
          <w:tcPr>
            <w:tcW w:w="1180" w:type="pct"/>
            <w:tcBorders>
              <w:top w:val="single" w:sz="6" w:space="0" w:color="auto"/>
              <w:left w:val="single" w:sz="6" w:space="0" w:color="auto"/>
              <w:bottom w:val="single" w:sz="6" w:space="0" w:color="auto"/>
              <w:right w:val="single" w:sz="6" w:space="0" w:color="auto"/>
            </w:tcBorders>
          </w:tcPr>
          <w:p w14:paraId="3F2AC59E" w14:textId="77777777" w:rsidR="00A367BA" w:rsidRDefault="00A367BA" w:rsidP="002236BD">
            <w:pPr>
              <w:pStyle w:val="TableText0"/>
              <w:spacing w:before="0" w:after="0"/>
              <w:rPr>
                <w:rFonts w:eastAsia="Arial Narrow" w:cs="Arial Narrow"/>
              </w:rPr>
            </w:pPr>
            <w:r w:rsidRPr="27BEF2A4">
              <w:rPr>
                <w:rFonts w:eastAsia="Arial Narrow" w:cs="Arial Narrow"/>
              </w:rPr>
              <w:t xml:space="preserve">OS </w:t>
            </w:r>
            <w:r w:rsidRPr="00CF7641">
              <w:rPr>
                <w:rFonts w:eastAsia="Arial Narrow" w:cs="Arial Narrow"/>
                <w:i/>
              </w:rPr>
              <w:t xml:space="preserve">at </w:t>
            </w:r>
            <w:r>
              <w:rPr>
                <w:rFonts w:eastAsia="Arial Narrow" w:cs="Arial Narrow"/>
                <w:i/>
              </w:rPr>
              <w:t>3 years</w:t>
            </w:r>
          </w:p>
        </w:tc>
        <w:tc>
          <w:tcPr>
            <w:tcW w:w="865" w:type="pct"/>
            <w:tcBorders>
              <w:top w:val="single" w:sz="6" w:space="0" w:color="auto"/>
              <w:left w:val="single" w:sz="6" w:space="0" w:color="auto"/>
              <w:bottom w:val="single" w:sz="6" w:space="0" w:color="auto"/>
              <w:right w:val="single" w:sz="6" w:space="0" w:color="auto"/>
            </w:tcBorders>
          </w:tcPr>
          <w:p w14:paraId="66EC0AAC" w14:textId="77777777" w:rsidR="00A367BA" w:rsidRDefault="00A367BA" w:rsidP="002236BD">
            <w:pPr>
              <w:pStyle w:val="TableText0"/>
              <w:spacing w:before="0" w:after="0"/>
              <w:jc w:val="center"/>
              <w:rPr>
                <w:rFonts w:eastAsia="Arial Narrow" w:cs="Arial Narrow"/>
                <w:szCs w:val="20"/>
              </w:rPr>
            </w:pPr>
            <w:r w:rsidRPr="00D32948">
              <w:rPr>
                <w:rFonts w:eastAsia="Arial Narrow" w:cs="Arial Narrow"/>
                <w:szCs w:val="20"/>
              </w:rPr>
              <w:t>94.10%</w:t>
            </w:r>
          </w:p>
        </w:tc>
        <w:tc>
          <w:tcPr>
            <w:tcW w:w="787" w:type="pct"/>
            <w:tcBorders>
              <w:top w:val="single" w:sz="6" w:space="0" w:color="auto"/>
              <w:left w:val="single" w:sz="6" w:space="0" w:color="auto"/>
              <w:bottom w:val="single" w:sz="6" w:space="0" w:color="auto"/>
              <w:right w:val="single" w:sz="6" w:space="0" w:color="auto"/>
            </w:tcBorders>
          </w:tcPr>
          <w:p w14:paraId="0862653E" w14:textId="77777777" w:rsidR="00A367BA" w:rsidRDefault="00A367BA" w:rsidP="002236BD">
            <w:pPr>
              <w:pStyle w:val="TableText0"/>
              <w:spacing w:before="0" w:after="0"/>
              <w:jc w:val="center"/>
              <w:rPr>
                <w:rFonts w:eastAsia="Arial Narrow" w:cs="Arial Narrow"/>
                <w:szCs w:val="20"/>
              </w:rPr>
            </w:pPr>
            <w:r w:rsidRPr="00D32948">
              <w:rPr>
                <w:rFonts w:eastAsia="Arial Narrow" w:cs="Arial Narrow"/>
                <w:szCs w:val="20"/>
              </w:rPr>
              <w:t>96.80%</w:t>
            </w:r>
          </w:p>
        </w:tc>
        <w:tc>
          <w:tcPr>
            <w:tcW w:w="787" w:type="pct"/>
            <w:tcBorders>
              <w:top w:val="single" w:sz="6" w:space="0" w:color="auto"/>
              <w:left w:val="single" w:sz="6" w:space="0" w:color="auto"/>
              <w:bottom w:val="single" w:sz="6" w:space="0" w:color="auto"/>
              <w:right w:val="single" w:sz="6" w:space="0" w:color="auto"/>
            </w:tcBorders>
          </w:tcPr>
          <w:p w14:paraId="41D2BF8F" w14:textId="77777777" w:rsidR="00A367BA" w:rsidRDefault="00A367BA" w:rsidP="002236BD">
            <w:pPr>
              <w:pStyle w:val="TableText0"/>
              <w:spacing w:before="0" w:after="0"/>
              <w:jc w:val="center"/>
              <w:rPr>
                <w:rFonts w:eastAsia="Arial Narrow" w:cs="Arial Narrow"/>
                <w:szCs w:val="20"/>
              </w:rPr>
            </w:pPr>
            <w:r w:rsidRPr="00D32948">
              <w:rPr>
                <w:rFonts w:eastAsia="Arial Narrow" w:cs="Arial Narrow"/>
                <w:szCs w:val="20"/>
              </w:rPr>
              <w:t>NA</w:t>
            </w:r>
          </w:p>
        </w:tc>
        <w:tc>
          <w:tcPr>
            <w:tcW w:w="441" w:type="pct"/>
            <w:tcBorders>
              <w:top w:val="single" w:sz="6" w:space="0" w:color="auto"/>
              <w:left w:val="single" w:sz="6" w:space="0" w:color="auto"/>
              <w:bottom w:val="single" w:sz="6" w:space="0" w:color="auto"/>
              <w:right w:val="single" w:sz="6" w:space="0" w:color="auto"/>
            </w:tcBorders>
          </w:tcPr>
          <w:p w14:paraId="4D0BA817" w14:textId="77777777" w:rsidR="00A367BA" w:rsidRDefault="00A367BA" w:rsidP="002236BD">
            <w:pPr>
              <w:pStyle w:val="TableText0"/>
              <w:spacing w:before="0" w:after="0"/>
              <w:jc w:val="center"/>
              <w:rPr>
                <w:rFonts w:eastAsia="Arial Narrow" w:cs="Arial Narrow"/>
                <w:szCs w:val="20"/>
              </w:rPr>
            </w:pPr>
            <w:r w:rsidRPr="00D32948">
              <w:rPr>
                <w:rFonts w:eastAsia="Arial Narrow" w:cs="Arial Narrow"/>
                <w:szCs w:val="20"/>
              </w:rPr>
              <w:t>0.742</w:t>
            </w:r>
          </w:p>
        </w:tc>
      </w:tr>
      <w:tr w:rsidR="00A367BA" w14:paraId="00350066" w14:textId="77777777" w:rsidTr="003028CF">
        <w:trPr>
          <w:cantSplit/>
        </w:trPr>
        <w:tc>
          <w:tcPr>
            <w:tcW w:w="940" w:type="pct"/>
            <w:tcBorders>
              <w:top w:val="single" w:sz="6" w:space="0" w:color="auto"/>
              <w:left w:val="single" w:sz="6" w:space="0" w:color="auto"/>
              <w:bottom w:val="single" w:sz="4" w:space="0" w:color="auto"/>
              <w:right w:val="single" w:sz="6" w:space="0" w:color="auto"/>
            </w:tcBorders>
          </w:tcPr>
          <w:p w14:paraId="4DE3E369" w14:textId="77777777" w:rsidR="00A367BA" w:rsidRPr="0080030E" w:rsidRDefault="00DD6551" w:rsidP="002236BD">
            <w:pPr>
              <w:rPr>
                <w:rFonts w:ascii="Arial Narrow" w:eastAsia="Arial Narrow" w:hAnsi="Arial Narrow" w:cs="Arial Narrow"/>
                <w:sz w:val="20"/>
              </w:rPr>
            </w:pPr>
            <w:hyperlink w:anchor="_ENREF_23" w:tooltip="Gunther, 2015 #18" w:history="1">
              <w:r w:rsidR="00A367BA" w:rsidRPr="0080030E">
                <w:rPr>
                  <w:rFonts w:ascii="Arial Narrow" w:eastAsia="Arial Narrow" w:hAnsi="Arial Narrow" w:cs="Arial Narrow"/>
                  <w:sz w:val="20"/>
                </w:rPr>
                <w:fldChar w:fldCharType="begin">
                  <w:fldData xml:space="preserve">PEVuZE5vdGU+PENpdGUgQXV0aG9yWWVhcj0iMSI+PEF1dGhvcj5HdW50aGVyPC9BdXRob3I+PFll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</w:fldData>
                </w:fldChar>
              </w:r>
              <w:r w:rsidR="00A367BA" w:rsidRPr="0080030E">
                <w:rPr>
                  <w:rFonts w:ascii="Arial Narrow" w:eastAsia="Arial Narrow" w:hAnsi="Arial Narrow" w:cs="Arial Narrow"/>
                  <w:sz w:val="20"/>
                </w:rPr>
                <w:instrText xml:space="preserve"> ADDIN EN.CITE </w:instrText>
              </w:r>
              <w:r w:rsidR="00A367BA" w:rsidRPr="0080030E">
                <w:rPr>
                  <w:rFonts w:ascii="Arial Narrow" w:eastAsia="Arial Narrow" w:hAnsi="Arial Narrow" w:cs="Arial Narrow"/>
                  <w:sz w:val="20"/>
                </w:rPr>
                <w:fldChar w:fldCharType="begin">
                  <w:fldData xml:space="preserve">PEVuZE5vdGU+PENpdGUgQXV0aG9yWWVhcj0iMSI+PEF1dGhvcj5HdW50aGVyPC9BdXRob3I+PFll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</w:fldData>
                </w:fldChar>
              </w:r>
              <w:r w:rsidR="00A367BA" w:rsidRPr="0080030E">
                <w:rPr>
                  <w:rFonts w:ascii="Arial Narrow" w:eastAsia="Arial Narrow" w:hAnsi="Arial Narrow" w:cs="Arial Narrow"/>
                  <w:sz w:val="20"/>
                </w:rPr>
                <w:instrText xml:space="preserve"> ADDIN EN.CITE.DATA </w:instrText>
              </w:r>
              <w:r w:rsidR="00A367BA" w:rsidRPr="0080030E">
                <w:rPr>
                  <w:rFonts w:ascii="Arial Narrow" w:eastAsia="Arial Narrow" w:hAnsi="Arial Narrow" w:cs="Arial Narrow"/>
                  <w:sz w:val="20"/>
                </w:rPr>
              </w:r>
              <w:r w:rsidR="00A367BA" w:rsidRPr="0080030E">
                <w:rPr>
                  <w:rFonts w:ascii="Arial Narrow" w:eastAsia="Arial Narrow" w:hAnsi="Arial Narrow" w:cs="Arial Narrow"/>
                  <w:sz w:val="20"/>
                </w:rPr>
                <w:fldChar w:fldCharType="end"/>
              </w:r>
              <w:r w:rsidR="00A367BA" w:rsidRPr="0080030E">
                <w:rPr>
                  <w:rFonts w:ascii="Arial Narrow" w:eastAsia="Arial Narrow" w:hAnsi="Arial Narrow" w:cs="Arial Narrow"/>
                  <w:sz w:val="20"/>
                </w:rPr>
              </w:r>
              <w:r w:rsidR="00A367BA" w:rsidRPr="0080030E">
                <w:rPr>
                  <w:rFonts w:ascii="Arial Narrow" w:eastAsia="Arial Narrow" w:hAnsi="Arial Narrow" w:cs="Arial Narrow"/>
                  <w:sz w:val="20"/>
                </w:rPr>
                <w:fldChar w:fldCharType="separate"/>
              </w:r>
              <w:r w:rsidR="00A367BA" w:rsidRPr="0080030E">
                <w:rPr>
                  <w:rFonts w:ascii="Arial Narrow" w:eastAsia="Arial Narrow" w:hAnsi="Arial Narrow" w:cs="Arial Narrow"/>
                  <w:noProof/>
                  <w:sz w:val="20"/>
                </w:rPr>
                <w:t>Gunther et al. (2015)</w:t>
              </w:r>
              <w:r w:rsidR="00A367BA" w:rsidRPr="0080030E">
                <w:rPr>
                  <w:rFonts w:ascii="Arial Narrow" w:eastAsia="Arial Narrow" w:hAnsi="Arial Narrow" w:cs="Arial Narrow"/>
                  <w:sz w:val="20"/>
                </w:rPr>
                <w:fldChar w:fldCharType="end"/>
              </w:r>
            </w:hyperlink>
          </w:p>
        </w:tc>
        <w:tc>
          <w:tcPr>
            <w:tcW w:w="1180" w:type="pct"/>
            <w:tcBorders>
              <w:top w:val="single" w:sz="6" w:space="0" w:color="auto"/>
              <w:left w:val="single" w:sz="6" w:space="0" w:color="auto"/>
              <w:bottom w:val="single" w:sz="6" w:space="0" w:color="auto"/>
              <w:right w:val="single" w:sz="6" w:space="0" w:color="auto"/>
            </w:tcBorders>
          </w:tcPr>
          <w:p w14:paraId="3A981A3F" w14:textId="77777777" w:rsidR="00A367BA" w:rsidRDefault="00A367BA" w:rsidP="002236BD">
            <w:pPr>
              <w:rPr>
                <w:rFonts w:ascii="Arial Narrow" w:eastAsia="Arial Narrow" w:hAnsi="Arial Narrow" w:cs="Arial Narrow"/>
                <w:sz w:val="20"/>
              </w:rPr>
            </w:pPr>
            <w:r w:rsidRPr="27BEF2A4">
              <w:rPr>
                <w:rFonts w:ascii="Arial Narrow" w:eastAsia="Arial Narrow" w:hAnsi="Arial Narrow" w:cs="Arial Narrow"/>
                <w:sz w:val="20"/>
              </w:rPr>
              <w:t xml:space="preserve">OS </w:t>
            </w:r>
            <w:r>
              <w:rPr>
                <w:rFonts w:ascii="Arial Narrow" w:eastAsia="Arial Narrow" w:hAnsi="Arial Narrow" w:cs="Arial Narrow"/>
                <w:i/>
                <w:sz w:val="20"/>
              </w:rPr>
              <w:t>at 4 years</w:t>
            </w:r>
            <w:r w:rsidRPr="00CF7641">
              <w:rPr>
                <w:rFonts w:ascii="Arial Narrow" w:eastAsia="Arial Narrow" w:hAnsi="Arial Narrow" w:cs="Arial Narrow"/>
                <w:sz w:val="20"/>
              </w:rPr>
              <w:t xml:space="preserve"> (95% CI)</w:t>
            </w:r>
          </w:p>
        </w:tc>
        <w:tc>
          <w:tcPr>
            <w:tcW w:w="865" w:type="pct"/>
            <w:tcBorders>
              <w:top w:val="single" w:sz="6" w:space="0" w:color="auto"/>
              <w:left w:val="single" w:sz="6" w:space="0" w:color="auto"/>
              <w:bottom w:val="single" w:sz="6" w:space="0" w:color="auto"/>
              <w:right w:val="single" w:sz="6" w:space="0" w:color="auto"/>
            </w:tcBorders>
          </w:tcPr>
          <w:p w14:paraId="7833BA53" w14:textId="77777777" w:rsidR="00A367BA" w:rsidRDefault="00A367BA" w:rsidP="002236BD">
            <w:pPr>
              <w:jc w:val="center"/>
              <w:rPr>
                <w:rFonts w:ascii="Arial Narrow" w:eastAsia="Arial Narrow" w:hAnsi="Arial Narrow" w:cs="Arial Narrow"/>
                <w:sz w:val="20"/>
              </w:rPr>
            </w:pPr>
            <w:r w:rsidRPr="00D32948">
              <w:rPr>
                <w:rFonts w:ascii="Arial Narrow" w:eastAsia="Arial Narrow" w:hAnsi="Arial Narrow" w:cs="Arial Narrow"/>
                <w:sz w:val="20"/>
              </w:rPr>
              <w:t>87.5%</w:t>
            </w:r>
            <w:r>
              <w:rPr>
                <w:rFonts w:ascii="Arial Narrow" w:eastAsia="Arial Narrow" w:hAnsi="Arial Narrow" w:cs="Arial Narrow"/>
                <w:sz w:val="20"/>
              </w:rPr>
              <w:br/>
            </w:r>
            <w:r w:rsidRPr="00D32948">
              <w:rPr>
                <w:rFonts w:ascii="Arial Narrow" w:eastAsia="Arial Narrow" w:hAnsi="Arial Narrow" w:cs="Arial Narrow"/>
                <w:sz w:val="20"/>
              </w:rPr>
              <w:t>(51.6, 97.3)</w:t>
            </w:r>
          </w:p>
        </w:tc>
        <w:tc>
          <w:tcPr>
            <w:tcW w:w="787" w:type="pct"/>
            <w:tcBorders>
              <w:top w:val="single" w:sz="6" w:space="0" w:color="auto"/>
              <w:left w:val="single" w:sz="6" w:space="0" w:color="auto"/>
              <w:bottom w:val="single" w:sz="6" w:space="0" w:color="auto"/>
              <w:right w:val="single" w:sz="6" w:space="0" w:color="auto"/>
            </w:tcBorders>
          </w:tcPr>
          <w:p w14:paraId="73800161" w14:textId="77777777" w:rsidR="00A367BA" w:rsidRDefault="00A367BA" w:rsidP="002236BD">
            <w:pPr>
              <w:jc w:val="center"/>
              <w:rPr>
                <w:rFonts w:ascii="Arial Narrow" w:eastAsia="Arial Narrow" w:hAnsi="Arial Narrow" w:cs="Arial Narrow"/>
                <w:sz w:val="20"/>
              </w:rPr>
            </w:pPr>
            <w:r w:rsidRPr="00D32948">
              <w:rPr>
                <w:rFonts w:ascii="Arial Narrow" w:eastAsia="Arial Narrow" w:hAnsi="Arial Narrow" w:cs="Arial Narrow"/>
                <w:sz w:val="20"/>
              </w:rPr>
              <w:t>78.8</w:t>
            </w:r>
            <w:proofErr w:type="gramStart"/>
            <w:r w:rsidRPr="00D32948">
              <w:rPr>
                <w:rFonts w:ascii="Arial Narrow" w:eastAsia="Arial Narrow" w:hAnsi="Arial Narrow" w:cs="Arial Narrow"/>
                <w:sz w:val="20"/>
              </w:rPr>
              <w:t>%</w:t>
            </w:r>
            <w:proofErr w:type="gramEnd"/>
            <w:r>
              <w:rPr>
                <w:rFonts w:ascii="Arial Narrow" w:eastAsia="Arial Narrow" w:hAnsi="Arial Narrow" w:cs="Arial Narrow"/>
                <w:sz w:val="20"/>
              </w:rPr>
              <w:br/>
            </w:r>
            <w:r w:rsidRPr="00D32948">
              <w:rPr>
                <w:rFonts w:ascii="Arial Narrow" w:eastAsia="Arial Narrow" w:hAnsi="Arial Narrow" w:cs="Arial Narrow"/>
                <w:sz w:val="20"/>
              </w:rPr>
              <w:t>(60.6</w:t>
            </w:r>
            <w:r>
              <w:rPr>
                <w:rFonts w:ascii="Arial Narrow" w:eastAsia="Arial Narrow" w:hAnsi="Arial Narrow" w:cs="Arial Narrow"/>
                <w:sz w:val="20"/>
              </w:rPr>
              <w:t>%</w:t>
            </w:r>
            <w:r w:rsidRPr="00D32948">
              <w:rPr>
                <w:rFonts w:ascii="Arial Narrow" w:eastAsia="Arial Narrow" w:hAnsi="Arial Narrow" w:cs="Arial Narrow"/>
                <w:sz w:val="20"/>
              </w:rPr>
              <w:t>, 89.3</w:t>
            </w:r>
            <w:r>
              <w:rPr>
                <w:rFonts w:ascii="Arial Narrow" w:eastAsia="Arial Narrow" w:hAnsi="Arial Narrow" w:cs="Arial Narrow"/>
                <w:sz w:val="20"/>
              </w:rPr>
              <w:t>%</w:t>
            </w:r>
            <w:r w:rsidRPr="00D32948">
              <w:rPr>
                <w:rFonts w:ascii="Arial Narrow" w:eastAsia="Arial Narrow" w:hAnsi="Arial Narrow" w:cs="Arial Narrow"/>
                <w:sz w:val="20"/>
              </w:rPr>
              <w:t>)</w:t>
            </w:r>
          </w:p>
        </w:tc>
        <w:tc>
          <w:tcPr>
            <w:tcW w:w="787" w:type="pct"/>
            <w:tcBorders>
              <w:top w:val="single" w:sz="6" w:space="0" w:color="auto"/>
              <w:left w:val="single" w:sz="6" w:space="0" w:color="auto"/>
              <w:bottom w:val="single" w:sz="6" w:space="0" w:color="auto"/>
              <w:right w:val="single" w:sz="6" w:space="0" w:color="auto"/>
            </w:tcBorders>
          </w:tcPr>
          <w:p w14:paraId="10C1D091"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NA</w:t>
            </w:r>
          </w:p>
        </w:tc>
        <w:tc>
          <w:tcPr>
            <w:tcW w:w="441" w:type="pct"/>
            <w:tcBorders>
              <w:top w:val="single" w:sz="6" w:space="0" w:color="auto"/>
              <w:left w:val="single" w:sz="6" w:space="0" w:color="auto"/>
              <w:bottom w:val="single" w:sz="6" w:space="0" w:color="auto"/>
              <w:right w:val="single" w:sz="6" w:space="0" w:color="auto"/>
            </w:tcBorders>
          </w:tcPr>
          <w:p w14:paraId="766AF48F" w14:textId="77777777" w:rsidR="00A367BA" w:rsidRDefault="00A367BA" w:rsidP="002236BD">
            <w:pPr>
              <w:jc w:val="center"/>
              <w:rPr>
                <w:rFonts w:ascii="Arial Narrow" w:eastAsia="Arial Narrow" w:hAnsi="Arial Narrow" w:cs="Arial Narrow"/>
                <w:sz w:val="20"/>
              </w:rPr>
            </w:pPr>
            <w:r w:rsidRPr="00D32948">
              <w:rPr>
                <w:rFonts w:ascii="Arial Narrow" w:eastAsia="Arial Narrow" w:hAnsi="Arial Narrow" w:cs="Arial Narrow"/>
                <w:sz w:val="20"/>
              </w:rPr>
              <w:t>0.21</w:t>
            </w:r>
          </w:p>
        </w:tc>
      </w:tr>
      <w:tr w:rsidR="00A367BA" w14:paraId="309BEB24" w14:textId="77777777" w:rsidTr="003028CF">
        <w:trPr>
          <w:cantSplit/>
        </w:trPr>
        <w:tc>
          <w:tcPr>
            <w:tcW w:w="940" w:type="pct"/>
            <w:tcBorders>
              <w:top w:val="single" w:sz="4" w:space="0" w:color="auto"/>
              <w:left w:val="single" w:sz="4" w:space="0" w:color="auto"/>
              <w:right w:val="single" w:sz="4" w:space="0" w:color="auto"/>
            </w:tcBorders>
          </w:tcPr>
          <w:p w14:paraId="0C5CF2A5" w14:textId="77777777" w:rsidR="00A367BA" w:rsidRPr="0080030E" w:rsidRDefault="00DD6551" w:rsidP="002236BD">
            <w:pPr>
              <w:pStyle w:val="TableText0"/>
              <w:keepNext w:val="0"/>
              <w:spacing w:before="0" w:after="0"/>
              <w:rPr>
                <w:rFonts w:eastAsia="Arial Narrow" w:cs="Arial Narrow"/>
                <w:szCs w:val="20"/>
              </w:rPr>
            </w:pPr>
            <w:hyperlink w:anchor="_ENREF_15" w:tooltip="Eaton, 2016 #15" w:history="1">
              <w:r w:rsidR="00A367BA" w:rsidRPr="0080030E">
                <w:rPr>
                  <w:rFonts w:eastAsia="Arial Narrow" w:cs="Arial Narrow"/>
                  <w:szCs w:val="20"/>
                </w:rPr>
                <w:fldChar w:fldCharType="begin"/>
              </w:r>
              <w:r w:rsidR="00A367BA" w:rsidRPr="0080030E">
                <w:rPr>
                  <w:rFonts w:eastAsia="Arial Narrow" w:cs="Arial Narrow"/>
                  <w:szCs w:val="20"/>
                </w:rPr>
                <w:instrText xml:space="preserve"> ADDIN EN.CITE &lt;EndNote&gt;&lt;Cite AuthorYear="1"&gt;&lt;Author&gt;Eaton&lt;/Author&gt;&lt;Year&gt;2016&lt;/Year&gt;&lt;RecNum&gt;15&lt;/RecNum&gt;&lt;DisplayText&gt;Eaton et al. (2016a)&lt;/DisplayText&gt;&lt;record&gt;&lt;rec-number&gt;15&lt;/rec-number&gt;&lt;foreign-keys&gt;&lt;key app="EN" db-id="exfrw2pee0v5z6evdr2xwspdfw0ezf5ttzwp" timestamp="1597622871"&gt;15&lt;/key&gt;&lt;/foreign-keys&gt;&lt;ref-type name="Journal Article"&gt;17&lt;/ref-type&gt;&lt;contributors&gt;&lt;authors&gt;&lt;author&gt;Eaton, B. R.&lt;/author&gt;&lt;author&gt;Esiashvili, N.&lt;/author&gt;&lt;author&gt;Kim, S.&lt;/author&gt;&lt;author&gt;Patterson, B.&lt;/author&gt;&lt;author&gt;Weyman, E. A.&lt;/author&gt;&lt;author&gt;Thornton, L. T.&lt;/author&gt;&lt;author&gt;Mazewski, C.&lt;/author&gt;&lt;author&gt;MacDonald, T. J.&lt;/author&gt;&lt;author&gt;Ebb, D.&lt;/author&gt;&lt;author&gt;MacDonald, S. M.&lt;/author&gt;&lt;author&gt;Tarbell, N. J.&lt;/author&gt;&lt;author&gt;Yock, T. I.&lt;/author&gt;&lt;/authors&gt;&lt;/contributors&gt;&lt;titles&gt;&lt;title&gt;Endocrine outcomes with proton and photon radiotherapy for standard risk medulloblastoma&lt;/title&gt;&lt;secondary-title&gt;Neuro-oncol&lt;/secondary-title&gt;&lt;/titles&gt;&lt;periodical&gt;&lt;full-title&gt;Neuro-oncol&lt;/full-title&gt;&lt;/periodical&gt;&lt;pages&gt;881-7&lt;/pages&gt;&lt;volume&gt;18&lt;/volume&gt;&lt;number&gt;6&lt;/number&gt;&lt;dates&gt;&lt;year&gt;2016&lt;/year&gt;&lt;/dates&gt;&lt;accession-num&gt;26688075&lt;/accession-num&gt;&lt;urls&gt;&lt;related-urls&gt;&lt;url&gt;http://ezproxy.library.usyd.edu.au/login?url=http://ovidsp.ovid.com/ovidweb.cgi?T=JS&amp;amp;CSC=Y&amp;amp;NEWS=N&amp;amp;PAGE=fulltext&amp;amp;D=med13&amp;amp;AN=26688075https://sydney.alma.exlibrisgroup.com/openurl/61USYD_INST/61USYD_INST:sydney?sid=OVID:medline&amp;amp;id=pmid:26688075&amp;amp;id=doi:10.109&lt;/url&gt;&lt;url&gt;https://www.ncbi.nlm.nih.gov/pmc/articles/PMC4864263/pdf/nov302.pdf&lt;/url&gt;&lt;/related-urls&gt;&lt;/urls&gt;&lt;electronic-resource-num&gt;https://dx.doi.org/10.1093/neuonc/nov302&lt;/electronic-resource-num&gt;&lt;/record&gt;&lt;/Cite&gt;&lt;/EndNote&gt;</w:instrText>
              </w:r>
              <w:r w:rsidR="00A367BA" w:rsidRPr="0080030E">
                <w:rPr>
                  <w:rFonts w:eastAsia="Arial Narrow" w:cs="Arial Narrow"/>
                  <w:szCs w:val="20"/>
                </w:rPr>
                <w:fldChar w:fldCharType="separate"/>
              </w:r>
              <w:r w:rsidR="00A367BA" w:rsidRPr="0080030E">
                <w:rPr>
                  <w:rFonts w:eastAsia="Arial Narrow" w:cs="Arial Narrow"/>
                  <w:noProof/>
                  <w:szCs w:val="20"/>
                </w:rPr>
                <w:t>Eaton et al. (2016a)</w:t>
              </w:r>
              <w:r w:rsidR="00A367BA" w:rsidRPr="0080030E">
                <w:rPr>
                  <w:rFonts w:eastAsia="Arial Narrow" w:cs="Arial Narrow"/>
                  <w:szCs w:val="20"/>
                </w:rPr>
                <w:fldChar w:fldCharType="end"/>
              </w:r>
            </w:hyperlink>
          </w:p>
        </w:tc>
        <w:tc>
          <w:tcPr>
            <w:tcW w:w="1180" w:type="pct"/>
            <w:tcBorders>
              <w:top w:val="single" w:sz="6" w:space="0" w:color="auto"/>
              <w:left w:val="single" w:sz="4" w:space="0" w:color="auto"/>
              <w:bottom w:val="single" w:sz="6" w:space="0" w:color="auto"/>
              <w:right w:val="single" w:sz="6" w:space="0" w:color="auto"/>
            </w:tcBorders>
          </w:tcPr>
          <w:p w14:paraId="64D55026" w14:textId="77777777" w:rsidR="00A367BA" w:rsidRDefault="00A367BA" w:rsidP="002236BD">
            <w:pPr>
              <w:pStyle w:val="TableText0"/>
              <w:keepNext w:val="0"/>
              <w:spacing w:before="0" w:after="0"/>
              <w:rPr>
                <w:rFonts w:eastAsia="Arial Narrow" w:cs="Arial Narrow"/>
              </w:rPr>
            </w:pPr>
            <w:r w:rsidRPr="27BEF2A4">
              <w:rPr>
                <w:rFonts w:eastAsia="Arial Narrow" w:cs="Arial Narrow"/>
              </w:rPr>
              <w:t xml:space="preserve">OS </w:t>
            </w:r>
            <w:r>
              <w:rPr>
                <w:rFonts w:eastAsia="Arial Narrow" w:cs="Arial Narrow"/>
                <w:i/>
              </w:rPr>
              <w:t>at 6 years</w:t>
            </w:r>
            <w:r w:rsidRPr="00CF7641">
              <w:rPr>
                <w:rFonts w:eastAsia="Arial Narrow" w:cs="Arial Narrow"/>
              </w:rPr>
              <w:t xml:space="preserve"> (95% CI)</w:t>
            </w:r>
          </w:p>
        </w:tc>
        <w:tc>
          <w:tcPr>
            <w:tcW w:w="865" w:type="pct"/>
            <w:tcBorders>
              <w:top w:val="single" w:sz="6" w:space="0" w:color="auto"/>
              <w:left w:val="single" w:sz="6" w:space="0" w:color="auto"/>
              <w:bottom w:val="single" w:sz="6" w:space="0" w:color="auto"/>
              <w:right w:val="single" w:sz="6" w:space="0" w:color="auto"/>
            </w:tcBorders>
          </w:tcPr>
          <w:p w14:paraId="6670B076"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82</w:t>
            </w:r>
            <w:proofErr w:type="gramStart"/>
            <w:r w:rsidRPr="00D32948">
              <w:rPr>
                <w:rFonts w:eastAsia="Arial Narrow" w:cs="Arial Narrow"/>
                <w:szCs w:val="20"/>
              </w:rPr>
              <w:t>%</w:t>
            </w:r>
            <w:proofErr w:type="gramEnd"/>
            <w:r>
              <w:rPr>
                <w:rFonts w:eastAsia="Arial Narrow" w:cs="Arial Narrow"/>
                <w:szCs w:val="20"/>
              </w:rPr>
              <w:br/>
            </w:r>
            <w:r w:rsidRPr="00D32948">
              <w:rPr>
                <w:rFonts w:eastAsia="Arial Narrow" w:cs="Arial Narrow"/>
                <w:szCs w:val="20"/>
              </w:rPr>
              <w:t>(65.4%, 91.1%)</w:t>
            </w:r>
          </w:p>
        </w:tc>
        <w:tc>
          <w:tcPr>
            <w:tcW w:w="787" w:type="pct"/>
            <w:tcBorders>
              <w:top w:val="single" w:sz="6" w:space="0" w:color="auto"/>
              <w:left w:val="single" w:sz="6" w:space="0" w:color="auto"/>
              <w:bottom w:val="single" w:sz="6" w:space="0" w:color="auto"/>
              <w:right w:val="single" w:sz="6" w:space="0" w:color="auto"/>
            </w:tcBorders>
          </w:tcPr>
          <w:p w14:paraId="0C2E9AA7" w14:textId="77777777" w:rsidR="00A367BA" w:rsidRDefault="00A367BA" w:rsidP="002236BD">
            <w:pPr>
              <w:pStyle w:val="TableText0"/>
              <w:keepNext w:val="0"/>
              <w:spacing w:before="0" w:after="0"/>
              <w:jc w:val="center"/>
              <w:rPr>
                <w:rFonts w:eastAsia="Arial Narrow" w:cs="Arial Narrow"/>
                <w:szCs w:val="20"/>
              </w:rPr>
            </w:pPr>
            <w:r>
              <w:rPr>
                <w:rFonts w:eastAsia="Arial Narrow" w:cs="Arial Narrow"/>
                <w:szCs w:val="20"/>
              </w:rPr>
              <w:t>87.6</w:t>
            </w:r>
            <w:proofErr w:type="gramStart"/>
            <w:r>
              <w:rPr>
                <w:rFonts w:eastAsia="Arial Narrow" w:cs="Arial Narrow"/>
                <w:szCs w:val="20"/>
              </w:rPr>
              <w:t>%</w:t>
            </w:r>
            <w:proofErr w:type="gramEnd"/>
            <w:r>
              <w:rPr>
                <w:rFonts w:eastAsia="Arial Narrow" w:cs="Arial Narrow"/>
                <w:szCs w:val="20"/>
              </w:rPr>
              <w:br/>
            </w:r>
            <w:r w:rsidRPr="00D32948">
              <w:rPr>
                <w:rFonts w:eastAsia="Arial Narrow" w:cs="Arial Narrow"/>
                <w:szCs w:val="20"/>
              </w:rPr>
              <w:t>(72.7%, 94.7%)</w:t>
            </w:r>
          </w:p>
        </w:tc>
        <w:tc>
          <w:tcPr>
            <w:tcW w:w="787" w:type="pct"/>
            <w:tcBorders>
              <w:top w:val="single" w:sz="6" w:space="0" w:color="auto"/>
              <w:left w:val="single" w:sz="6" w:space="0" w:color="auto"/>
              <w:bottom w:val="single" w:sz="6" w:space="0" w:color="auto"/>
              <w:right w:val="single" w:sz="6" w:space="0" w:color="auto"/>
            </w:tcBorders>
          </w:tcPr>
          <w:p w14:paraId="72EFAED7"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2.17</w:t>
            </w:r>
            <w:r>
              <w:rPr>
                <w:rFonts w:eastAsia="Arial Narrow" w:cs="Arial Narrow"/>
                <w:szCs w:val="20"/>
              </w:rPr>
              <w:br/>
            </w:r>
            <w:r w:rsidRPr="00D32948">
              <w:rPr>
                <w:rFonts w:eastAsia="Arial Narrow" w:cs="Arial Narrow"/>
                <w:szCs w:val="20"/>
              </w:rPr>
              <w:t>(0.66, 7.16)</w:t>
            </w:r>
          </w:p>
        </w:tc>
        <w:tc>
          <w:tcPr>
            <w:tcW w:w="441" w:type="pct"/>
            <w:tcBorders>
              <w:top w:val="single" w:sz="6" w:space="0" w:color="auto"/>
              <w:left w:val="single" w:sz="6" w:space="0" w:color="auto"/>
              <w:bottom w:val="single" w:sz="6" w:space="0" w:color="auto"/>
              <w:right w:val="single" w:sz="6" w:space="0" w:color="auto"/>
            </w:tcBorders>
          </w:tcPr>
          <w:p w14:paraId="70135474"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0.201</w:t>
            </w:r>
          </w:p>
        </w:tc>
      </w:tr>
      <w:tr w:rsidR="00A367BA" w14:paraId="75D215BA" w14:textId="77777777" w:rsidTr="003028CF">
        <w:trPr>
          <w:cantSplit/>
        </w:trPr>
        <w:tc>
          <w:tcPr>
            <w:tcW w:w="940" w:type="pct"/>
            <w:tcBorders>
              <w:left w:val="single" w:sz="4" w:space="0" w:color="auto"/>
              <w:bottom w:val="single" w:sz="4" w:space="0" w:color="auto"/>
              <w:right w:val="single" w:sz="4" w:space="0" w:color="auto"/>
            </w:tcBorders>
          </w:tcPr>
          <w:p w14:paraId="68988770" w14:textId="77777777" w:rsidR="00A367BA" w:rsidRPr="0080030E" w:rsidRDefault="00A367BA" w:rsidP="002236BD">
            <w:pPr>
              <w:pStyle w:val="TableText0"/>
              <w:keepNext w:val="0"/>
              <w:spacing w:before="0" w:after="0"/>
              <w:rPr>
                <w:rFonts w:eastAsia="Arial Narrow" w:cs="Arial Narrow"/>
                <w:i/>
                <w:szCs w:val="20"/>
              </w:rPr>
            </w:pPr>
          </w:p>
        </w:tc>
        <w:tc>
          <w:tcPr>
            <w:tcW w:w="1180" w:type="pct"/>
            <w:tcBorders>
              <w:top w:val="single" w:sz="6" w:space="0" w:color="auto"/>
              <w:left w:val="single" w:sz="4" w:space="0" w:color="auto"/>
              <w:bottom w:val="single" w:sz="6" w:space="0" w:color="auto"/>
              <w:right w:val="single" w:sz="6" w:space="0" w:color="auto"/>
            </w:tcBorders>
          </w:tcPr>
          <w:p w14:paraId="3E90B8D7" w14:textId="77777777" w:rsidR="00A367BA" w:rsidRPr="00D2251B" w:rsidRDefault="00A367BA" w:rsidP="002236BD">
            <w:pPr>
              <w:pStyle w:val="TableText0"/>
              <w:keepNext w:val="0"/>
              <w:spacing w:before="0" w:after="0"/>
              <w:rPr>
                <w:rFonts w:eastAsia="Arial Narrow" w:cs="Arial Narrow"/>
                <w:i/>
              </w:rPr>
            </w:pPr>
            <w:r>
              <w:rPr>
                <w:rFonts w:eastAsia="Arial Narrow" w:cs="Arial Narrow"/>
                <w:i/>
              </w:rPr>
              <w:t>RFS at 6 years (95% CI)</w:t>
            </w:r>
          </w:p>
        </w:tc>
        <w:tc>
          <w:tcPr>
            <w:tcW w:w="865" w:type="pct"/>
            <w:tcBorders>
              <w:top w:val="single" w:sz="6" w:space="0" w:color="auto"/>
              <w:left w:val="single" w:sz="6" w:space="0" w:color="auto"/>
              <w:bottom w:val="single" w:sz="6" w:space="0" w:color="auto"/>
              <w:right w:val="single" w:sz="6" w:space="0" w:color="auto"/>
            </w:tcBorders>
          </w:tcPr>
          <w:p w14:paraId="510FF230" w14:textId="77777777" w:rsidR="00A367BA" w:rsidRPr="00D2251B" w:rsidRDefault="00A367BA" w:rsidP="002236BD">
            <w:pPr>
              <w:pStyle w:val="TableText0"/>
              <w:keepNext w:val="0"/>
              <w:spacing w:before="0" w:after="0"/>
              <w:jc w:val="center"/>
              <w:rPr>
                <w:rFonts w:eastAsia="Arial Narrow" w:cs="Arial Narrow"/>
                <w:i/>
              </w:rPr>
            </w:pPr>
            <w:r w:rsidRPr="00D2251B">
              <w:rPr>
                <w:rFonts w:eastAsia="Arial Narrow" w:cs="Arial Narrow"/>
                <w:i/>
              </w:rPr>
              <w:t>78.8</w:t>
            </w:r>
            <w:proofErr w:type="gramStart"/>
            <w:r w:rsidRPr="00D2251B">
              <w:rPr>
                <w:rFonts w:eastAsia="Arial Narrow" w:cs="Arial Narrow"/>
                <w:i/>
              </w:rPr>
              <w:t>%</w:t>
            </w:r>
            <w:proofErr w:type="gramEnd"/>
            <w:r>
              <w:rPr>
                <w:rFonts w:eastAsia="Arial Narrow" w:cs="Arial Narrow"/>
                <w:i/>
              </w:rPr>
              <w:br/>
            </w:r>
            <w:r w:rsidRPr="00D2251B">
              <w:rPr>
                <w:rFonts w:eastAsia="Arial Narrow" w:cs="Arial Narrow"/>
                <w:i/>
              </w:rPr>
              <w:t>(63.0%, 89.0%)</w:t>
            </w:r>
          </w:p>
        </w:tc>
        <w:tc>
          <w:tcPr>
            <w:tcW w:w="787" w:type="pct"/>
            <w:tcBorders>
              <w:top w:val="single" w:sz="6" w:space="0" w:color="auto"/>
              <w:left w:val="single" w:sz="6" w:space="0" w:color="auto"/>
              <w:bottom w:val="single" w:sz="6" w:space="0" w:color="auto"/>
              <w:right w:val="single" w:sz="6" w:space="0" w:color="auto"/>
            </w:tcBorders>
          </w:tcPr>
          <w:p w14:paraId="6BCAEC5C" w14:textId="77777777" w:rsidR="00A367BA" w:rsidRPr="00D2251B" w:rsidRDefault="00A367BA" w:rsidP="002236BD">
            <w:pPr>
              <w:pStyle w:val="TableText0"/>
              <w:keepNext w:val="0"/>
              <w:spacing w:before="0" w:after="0"/>
              <w:jc w:val="center"/>
              <w:rPr>
                <w:rFonts w:eastAsia="Arial Narrow" w:cs="Arial Narrow"/>
                <w:i/>
              </w:rPr>
            </w:pPr>
            <w:r w:rsidRPr="00D2251B">
              <w:rPr>
                <w:rFonts w:eastAsia="Arial Narrow" w:cs="Arial Narrow"/>
                <w:i/>
              </w:rPr>
              <w:t>76.5</w:t>
            </w:r>
            <w:proofErr w:type="gramStart"/>
            <w:r w:rsidRPr="00D2251B">
              <w:rPr>
                <w:rFonts w:eastAsia="Arial Narrow" w:cs="Arial Narrow"/>
                <w:i/>
              </w:rPr>
              <w:t>%</w:t>
            </w:r>
            <w:proofErr w:type="gramEnd"/>
            <w:r>
              <w:rPr>
                <w:rFonts w:eastAsia="Arial Narrow" w:cs="Arial Narrow"/>
                <w:i/>
              </w:rPr>
              <w:br/>
            </w:r>
            <w:r w:rsidRPr="00D2251B">
              <w:rPr>
                <w:rFonts w:eastAsia="Arial Narrow" w:cs="Arial Narrow"/>
                <w:i/>
              </w:rPr>
              <w:t>(60.6%, 86.6%)</w:t>
            </w:r>
          </w:p>
        </w:tc>
        <w:tc>
          <w:tcPr>
            <w:tcW w:w="787" w:type="pct"/>
            <w:tcBorders>
              <w:top w:val="single" w:sz="6" w:space="0" w:color="auto"/>
              <w:left w:val="single" w:sz="6" w:space="0" w:color="auto"/>
              <w:bottom w:val="single" w:sz="6" w:space="0" w:color="auto"/>
              <w:right w:val="single" w:sz="6" w:space="0" w:color="auto"/>
            </w:tcBorders>
          </w:tcPr>
          <w:p w14:paraId="62DA65DA" w14:textId="77777777" w:rsidR="00A367BA" w:rsidRPr="00D2251B" w:rsidRDefault="00A367BA" w:rsidP="002236BD">
            <w:pPr>
              <w:pStyle w:val="TableText0"/>
              <w:keepNext w:val="0"/>
              <w:spacing w:before="0" w:after="0"/>
              <w:jc w:val="center"/>
              <w:rPr>
                <w:rFonts w:eastAsia="Arial Narrow" w:cs="Arial Narrow"/>
                <w:i/>
              </w:rPr>
            </w:pPr>
            <w:r w:rsidRPr="00D2251B">
              <w:rPr>
                <w:rFonts w:eastAsia="Arial Narrow" w:cs="Arial Narrow"/>
                <w:i/>
              </w:rPr>
              <w:t>1.31</w:t>
            </w:r>
            <w:r>
              <w:rPr>
                <w:rFonts w:eastAsia="Arial Narrow" w:cs="Arial Narrow"/>
                <w:i/>
              </w:rPr>
              <w:br/>
            </w:r>
            <w:r w:rsidRPr="00D2251B">
              <w:rPr>
                <w:rFonts w:eastAsia="Arial Narrow" w:cs="Arial Narrow"/>
                <w:i/>
              </w:rPr>
              <w:t>(0.5, 3.41)</w:t>
            </w:r>
          </w:p>
        </w:tc>
        <w:tc>
          <w:tcPr>
            <w:tcW w:w="441" w:type="pct"/>
            <w:tcBorders>
              <w:top w:val="single" w:sz="6" w:space="0" w:color="auto"/>
              <w:left w:val="single" w:sz="6" w:space="0" w:color="auto"/>
              <w:bottom w:val="single" w:sz="6" w:space="0" w:color="auto"/>
              <w:right w:val="single" w:sz="6" w:space="0" w:color="auto"/>
            </w:tcBorders>
          </w:tcPr>
          <w:p w14:paraId="6F8253B4" w14:textId="77777777" w:rsidR="00A367BA" w:rsidRPr="00D2251B" w:rsidRDefault="00A367BA" w:rsidP="002236BD">
            <w:pPr>
              <w:pStyle w:val="TableText0"/>
              <w:keepNext w:val="0"/>
              <w:spacing w:before="0" w:after="0"/>
              <w:jc w:val="center"/>
              <w:rPr>
                <w:rFonts w:eastAsia="Arial Narrow" w:cs="Arial Narrow"/>
                <w:i/>
              </w:rPr>
            </w:pPr>
            <w:r w:rsidRPr="00D2251B">
              <w:rPr>
                <w:rFonts w:eastAsia="Arial Narrow" w:cs="Arial Narrow"/>
                <w:i/>
              </w:rPr>
              <w:t>0.584</w:t>
            </w:r>
          </w:p>
        </w:tc>
      </w:tr>
      <w:tr w:rsidR="00A367BA" w14:paraId="3AEA933E" w14:textId="77777777" w:rsidTr="003028CF">
        <w:trPr>
          <w:cantSplit/>
        </w:trPr>
        <w:tc>
          <w:tcPr>
            <w:tcW w:w="940" w:type="pct"/>
            <w:tcBorders>
              <w:top w:val="single" w:sz="4" w:space="0" w:color="auto"/>
              <w:left w:val="single" w:sz="6" w:space="0" w:color="auto"/>
              <w:bottom w:val="single" w:sz="6" w:space="0" w:color="auto"/>
              <w:right w:val="single" w:sz="6" w:space="0" w:color="auto"/>
            </w:tcBorders>
          </w:tcPr>
          <w:p w14:paraId="17986BCC" w14:textId="77777777" w:rsidR="00A367BA" w:rsidRPr="0080030E" w:rsidRDefault="00DD6551" w:rsidP="002236BD">
            <w:pPr>
              <w:pStyle w:val="TableText0"/>
              <w:keepNext w:val="0"/>
              <w:spacing w:before="0" w:after="0"/>
              <w:rPr>
                <w:rFonts w:eastAsia="Arial Narrow" w:cs="Arial Narrow"/>
                <w:szCs w:val="20"/>
              </w:rPr>
            </w:pPr>
            <w:hyperlink w:anchor="_ENREF_30" w:tooltip="Kopecky, 2017 #32" w:history="1">
              <w:r w:rsidR="00A367BA" w:rsidRPr="0080030E">
                <w:rPr>
                  <w:rFonts w:eastAsia="Arial Narrow" w:cs="Arial Narrow"/>
                  <w:szCs w:val="20"/>
                </w:rPr>
                <w:fldChar w:fldCharType="begin"/>
              </w:r>
              <w:r w:rsidR="00A367BA" w:rsidRPr="0080030E">
                <w:rPr>
                  <w:rFonts w:eastAsia="Arial Narrow" w:cs="Arial Narrow"/>
                  <w:szCs w:val="20"/>
                </w:rPr>
                <w:instrText xml:space="preserve"> ADDIN EN.CITE &lt;EndNote&gt;&lt;Cite AuthorYear="1"&gt;&lt;Author&gt;Kopecky&lt;/Author&gt;&lt;Year&gt;2017&lt;/Year&gt;&lt;RecNum&gt;32&lt;/RecNum&gt;&lt;DisplayText&gt;Kopecky et al. (2017)&lt;/DisplayText&gt;&lt;record&gt;&lt;rec-number&gt;32&lt;/rec-number&gt;&lt;foreign-keys&gt;&lt;key app="EN" db-id="exfrw2pee0v5z6evdr2xwspdfw0ezf5ttzwp" timestamp="1597623057"&gt;32&lt;/key&gt;&lt;/foreign-keys&gt;&lt;ref-type name="Journal Article"&gt;17&lt;/ref-type&gt;&lt;contributors&gt;&lt;authors&gt;&lt;author&gt;Kopecky, A. S.&lt;/author&gt;&lt;author&gt;Khan, A. J.&lt;/author&gt;&lt;author&gt;Pan, W.&lt;/author&gt;&lt;author&gt;Drachtman, R.&lt;/author&gt;&lt;author&gt;Parikh, R. R.&lt;/author&gt;&lt;/authors&gt;&lt;/contributors&gt;&lt;auth-address&gt;Albany Medical College, Albany, New York.&amp;#xD;Rutgers Cancer Institute of New Jersey, Department of Radiation Oncology, New Brunswick, New Jersey.&amp;#xD;Rutgers Cancer Institute of New Jersey, Section of Pediatric Oncology, New Brunswick, New Jersey.&lt;/auth-address&gt;&lt;titles&gt;&lt;title&gt;Outcomes and patterns of care in a nationwide cohort of pediatric medulloblastoma: Factors affecting proton therapy utilization&lt;/title&gt;&lt;secondary-title&gt;Adv Radiat Oncol&lt;/secondary-title&gt;&lt;/titles&gt;&lt;periodical&gt;&lt;full-title&gt;Adv Radiat Oncol&lt;/full-title&gt;&lt;/periodical&gt;&lt;pages&gt;588-596&lt;/pages&gt;&lt;volume&gt;2&lt;/volume&gt;&lt;number&gt;4&lt;/number&gt;&lt;dates&gt;&lt;year&gt;2017&lt;/year&gt;&lt;pub-dates&gt;&lt;date&gt;Oct-Dec&lt;/date&gt;&lt;/pub-dates&gt;&lt;/dates&gt;&lt;isbn&gt;2452-1094 (Print)&amp;#xD;2452-1094 (Linking)&lt;/isbn&gt;&lt;accession-num&gt;29204526&lt;/accession-num&gt;&lt;urls&gt;&lt;related-urls&gt;&lt;url&gt;https://www.ncbi.nlm.nih.gov/pubmed/29204526&lt;/url&gt;&lt;/related-urls&gt;&lt;/urls&gt;&lt;custom2&gt;PMC5707421&lt;/custom2&gt;&lt;electronic-resource-num&gt;10.1016/j.adro.2017.07.007&lt;/electronic-resource-num&gt;&lt;/record&gt;&lt;/Cite&gt;&lt;/EndNote&gt;</w:instrText>
              </w:r>
              <w:r w:rsidR="00A367BA" w:rsidRPr="0080030E">
                <w:rPr>
                  <w:rFonts w:eastAsia="Arial Narrow" w:cs="Arial Narrow"/>
                  <w:szCs w:val="20"/>
                </w:rPr>
                <w:fldChar w:fldCharType="separate"/>
              </w:r>
              <w:r w:rsidR="00A367BA" w:rsidRPr="0080030E">
                <w:rPr>
                  <w:rFonts w:eastAsia="Arial Narrow" w:cs="Arial Narrow"/>
                  <w:noProof/>
                  <w:szCs w:val="20"/>
                </w:rPr>
                <w:t>Kopecky et al. (2017)</w:t>
              </w:r>
              <w:r w:rsidR="00A367BA" w:rsidRPr="0080030E">
                <w:rPr>
                  <w:rFonts w:eastAsia="Arial Narrow" w:cs="Arial Narrow"/>
                  <w:szCs w:val="20"/>
                </w:rPr>
                <w:fldChar w:fldCharType="end"/>
              </w:r>
            </w:hyperlink>
          </w:p>
        </w:tc>
        <w:tc>
          <w:tcPr>
            <w:tcW w:w="1180" w:type="pct"/>
            <w:tcBorders>
              <w:top w:val="single" w:sz="6" w:space="0" w:color="auto"/>
              <w:left w:val="single" w:sz="6" w:space="0" w:color="auto"/>
              <w:bottom w:val="single" w:sz="6" w:space="0" w:color="auto"/>
              <w:right w:val="single" w:sz="6" w:space="0" w:color="auto"/>
            </w:tcBorders>
          </w:tcPr>
          <w:p w14:paraId="4D6C21E3" w14:textId="77777777" w:rsidR="00A367BA" w:rsidRDefault="00A367BA" w:rsidP="002236BD">
            <w:pPr>
              <w:pStyle w:val="TableText0"/>
              <w:keepNext w:val="0"/>
              <w:spacing w:before="0" w:after="0"/>
              <w:rPr>
                <w:rFonts w:eastAsia="Arial Narrow" w:cs="Arial Narrow"/>
              </w:rPr>
            </w:pPr>
            <w:r w:rsidRPr="27BEF2A4">
              <w:rPr>
                <w:rFonts w:eastAsia="Arial Narrow" w:cs="Arial Narrow"/>
              </w:rPr>
              <w:t xml:space="preserve">OS </w:t>
            </w:r>
            <w:r>
              <w:rPr>
                <w:rFonts w:eastAsia="Arial Narrow" w:cs="Arial Narrow"/>
                <w:i/>
              </w:rPr>
              <w:t>at 5 years</w:t>
            </w:r>
          </w:p>
        </w:tc>
        <w:tc>
          <w:tcPr>
            <w:tcW w:w="865" w:type="pct"/>
            <w:tcBorders>
              <w:top w:val="single" w:sz="6" w:space="0" w:color="auto"/>
              <w:left w:val="single" w:sz="6" w:space="0" w:color="auto"/>
              <w:bottom w:val="single" w:sz="6" w:space="0" w:color="auto"/>
              <w:right w:val="single" w:sz="6" w:space="0" w:color="auto"/>
            </w:tcBorders>
          </w:tcPr>
          <w:p w14:paraId="485CE4D2"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NR</w:t>
            </w:r>
          </w:p>
        </w:tc>
        <w:tc>
          <w:tcPr>
            <w:tcW w:w="787" w:type="pct"/>
            <w:tcBorders>
              <w:top w:val="single" w:sz="6" w:space="0" w:color="auto"/>
              <w:left w:val="single" w:sz="6" w:space="0" w:color="auto"/>
              <w:bottom w:val="single" w:sz="6" w:space="0" w:color="auto"/>
              <w:right w:val="single" w:sz="6" w:space="0" w:color="auto"/>
            </w:tcBorders>
          </w:tcPr>
          <w:p w14:paraId="2EC32096"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NR</w:t>
            </w:r>
          </w:p>
        </w:tc>
        <w:tc>
          <w:tcPr>
            <w:tcW w:w="787" w:type="pct"/>
            <w:tcBorders>
              <w:top w:val="single" w:sz="6" w:space="0" w:color="auto"/>
              <w:left w:val="single" w:sz="6" w:space="0" w:color="auto"/>
              <w:bottom w:val="single" w:sz="6" w:space="0" w:color="auto"/>
              <w:right w:val="single" w:sz="6" w:space="0" w:color="auto"/>
            </w:tcBorders>
          </w:tcPr>
          <w:p w14:paraId="0EC5DB3C"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0.99</w:t>
            </w:r>
            <w:r>
              <w:rPr>
                <w:rFonts w:eastAsia="Arial Narrow" w:cs="Arial Narrow"/>
                <w:szCs w:val="20"/>
              </w:rPr>
              <w:br/>
            </w:r>
            <w:r w:rsidRPr="00D32948">
              <w:rPr>
                <w:rFonts w:eastAsia="Arial Narrow" w:cs="Arial Narrow"/>
                <w:szCs w:val="20"/>
              </w:rPr>
              <w:t>(0.41, 2.4)</w:t>
            </w:r>
          </w:p>
        </w:tc>
        <w:tc>
          <w:tcPr>
            <w:tcW w:w="441" w:type="pct"/>
            <w:tcBorders>
              <w:top w:val="single" w:sz="6" w:space="0" w:color="auto"/>
              <w:left w:val="single" w:sz="6" w:space="0" w:color="auto"/>
              <w:bottom w:val="single" w:sz="6" w:space="0" w:color="auto"/>
              <w:right w:val="single" w:sz="6" w:space="0" w:color="auto"/>
            </w:tcBorders>
          </w:tcPr>
          <w:p w14:paraId="57783DE0"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0.98</w:t>
            </w:r>
          </w:p>
        </w:tc>
      </w:tr>
      <w:tr w:rsidR="00A367BA" w14:paraId="2D9F86EB" w14:textId="77777777" w:rsidTr="003028CF">
        <w:trPr>
          <w:cantSplit/>
        </w:trPr>
        <w:tc>
          <w:tcPr>
            <w:tcW w:w="940" w:type="pct"/>
            <w:tcBorders>
              <w:top w:val="single" w:sz="6" w:space="0" w:color="auto"/>
              <w:left w:val="single" w:sz="6" w:space="0" w:color="auto"/>
              <w:right w:val="single" w:sz="6" w:space="0" w:color="auto"/>
            </w:tcBorders>
          </w:tcPr>
          <w:p w14:paraId="541F7555" w14:textId="77777777" w:rsidR="00A367BA" w:rsidRPr="0080030E" w:rsidRDefault="00DD6551" w:rsidP="002236BD">
            <w:pPr>
              <w:pStyle w:val="TableText0"/>
              <w:keepNext w:val="0"/>
              <w:spacing w:before="0" w:after="0"/>
              <w:rPr>
                <w:rFonts w:eastAsia="Arial Narrow" w:cs="Arial Narrow"/>
                <w:szCs w:val="20"/>
              </w:rPr>
            </w:pPr>
            <w:hyperlink w:anchor="_ENREF_47" w:tooltip="Sato, 2017 #24" w:history="1">
              <w:r w:rsidR="00A367BA" w:rsidRPr="0080030E">
                <w:rPr>
                  <w:rFonts w:eastAsia="Arial Narrow" w:cs="Arial Narrow"/>
                  <w:szCs w:val="20"/>
                </w:rPr>
                <w:fldChar w:fldCharType="begin"/>
              </w:r>
              <w:r w:rsidR="00A367BA" w:rsidRPr="0080030E">
                <w:rPr>
                  <w:rFonts w:eastAsia="Arial Narrow" w:cs="Arial Narrow"/>
                  <w:szCs w:val="20"/>
                </w:rPr>
                <w:instrText xml:space="preserve"> ADDIN EN.CITE &lt;EndNote&gt;&lt;Cite AuthorYear="1"&gt;&lt;Author&gt;Sato&lt;/Author&gt;&lt;Year&gt;2017&lt;/Year&gt;&lt;RecNum&gt;24&lt;/RecNum&gt;&lt;DisplayText&gt;Sato et al. (2017)&lt;/DisplayText&gt;&lt;record&gt;&lt;rec-number&gt;24&lt;/rec-number&gt;&lt;foreign-keys&gt;&lt;key app="EN" db-id="exfrw2pee0v5z6evdr2xwspdfw0ezf5ttzwp" timestamp="1597622872"&gt;24&lt;/key&gt;&lt;/foreign-keys&gt;&lt;ref-type name="Journal Article"&gt;17&lt;/ref-type&gt;&lt;contributors&gt;&lt;authors&gt;&lt;author&gt;Sato, M.&lt;/author&gt;&lt;author&gt;Gunther, J. R.&lt;/author&gt;&lt;author&gt;Mahajan, A.&lt;/author&gt;&lt;author&gt;Jo, E.&lt;/author&gt;&lt;author&gt;Paulino, A. C.&lt;/author&gt;&lt;author&gt;Adesina, A. M.&lt;/author&gt;&lt;author&gt;Jones, J. Y.&lt;/author&gt;&lt;author&gt;Ketonen, L. M.&lt;/author&gt;&lt;author&gt;Su, J. M.&lt;/author&gt;&lt;author&gt;Okcu, M. F.&lt;/author&gt;&lt;author&gt;Khatua, S.&lt;/author&gt;&lt;author&gt;Dauser, R. C.&lt;/author&gt;&lt;author&gt;Whitehead, W. E.&lt;/author&gt;&lt;author&gt;Weinberg, J.&lt;/author&gt;&lt;author&gt;Chintagumpala, M. M.&lt;/author&gt;&lt;/authors&gt;&lt;/contributors&gt;&lt;titles&gt;&lt;title&gt;Progression-free survival of children with localized ependymoma treated with intensity-modulated radiation therapy or proton-beam radiation therapy&lt;/title&gt;&lt;secondary-title&gt;Cancer&lt;/secondary-title&gt;&lt;/titles&gt;&lt;periodical&gt;&lt;full-title&gt;Cancer&lt;/full-title&gt;&lt;/periodical&gt;&lt;pages&gt;2570-2578&lt;/pages&gt;&lt;volume&gt;123&lt;/volume&gt;&lt;number&gt;13&lt;/number&gt;&lt;dates&gt;&lt;year&gt;2017&lt;/year&gt;&lt;/dates&gt;&lt;accession-num&gt;28267208&lt;/accession-num&gt;&lt;urls&gt;&lt;related-urls&gt;&lt;url&gt;http://ezproxy.library.usyd.edu.au/login?url=http://ovidsp.ovid.com/ovidweb.cgi?T=JS&amp;amp;CSC=Y&amp;amp;NEWS=N&amp;amp;PAGE=fulltext&amp;amp;D=med14&amp;amp;AN=28267208https://sydney.alma.exlibrisgroup.com/openurl/61USYD_INST/61USYD_INST:sydney?sid=OVID:medline&amp;amp;id=pmid:28267208&amp;amp;id=doi:10.100&lt;/url&gt;&lt;url&gt;https://acsjournals.onlinelibrary.wiley.com/doi/pdfdirect/10.1002/cncr.30623?download=true&lt;/url&gt;&lt;/related-urls&gt;&lt;/urls&gt;&lt;electronic-resource-num&gt;https://dx.doi.org/10.1002/cncr.30623&lt;/electronic-resource-num&gt;&lt;/record&gt;&lt;/Cite&gt;&lt;/EndNote&gt;</w:instrText>
              </w:r>
              <w:r w:rsidR="00A367BA" w:rsidRPr="0080030E">
                <w:rPr>
                  <w:rFonts w:eastAsia="Arial Narrow" w:cs="Arial Narrow"/>
                  <w:szCs w:val="20"/>
                </w:rPr>
                <w:fldChar w:fldCharType="separate"/>
              </w:r>
              <w:r w:rsidR="00A367BA" w:rsidRPr="0080030E">
                <w:rPr>
                  <w:rFonts w:eastAsia="Arial Narrow" w:cs="Arial Narrow"/>
                  <w:noProof/>
                  <w:szCs w:val="20"/>
                </w:rPr>
                <w:t>Sato et al. (2017)</w:t>
              </w:r>
              <w:r w:rsidR="00A367BA" w:rsidRPr="0080030E">
                <w:rPr>
                  <w:rFonts w:eastAsia="Arial Narrow" w:cs="Arial Narrow"/>
                  <w:szCs w:val="20"/>
                </w:rPr>
                <w:fldChar w:fldCharType="end"/>
              </w:r>
            </w:hyperlink>
          </w:p>
        </w:tc>
        <w:tc>
          <w:tcPr>
            <w:tcW w:w="1180" w:type="pct"/>
            <w:tcBorders>
              <w:top w:val="single" w:sz="6" w:space="0" w:color="auto"/>
              <w:left w:val="single" w:sz="6" w:space="0" w:color="auto"/>
              <w:bottom w:val="single" w:sz="6" w:space="0" w:color="auto"/>
              <w:right w:val="single" w:sz="6" w:space="0" w:color="auto"/>
            </w:tcBorders>
          </w:tcPr>
          <w:p w14:paraId="55E5267A" w14:textId="77777777" w:rsidR="00A367BA" w:rsidRDefault="00A367BA" w:rsidP="002236BD">
            <w:pPr>
              <w:pStyle w:val="TableText0"/>
              <w:keepNext w:val="0"/>
              <w:spacing w:before="0" w:after="0"/>
              <w:rPr>
                <w:rFonts w:eastAsia="Arial Narrow" w:cs="Arial Narrow"/>
              </w:rPr>
            </w:pPr>
            <w:r w:rsidRPr="27BEF2A4">
              <w:rPr>
                <w:rFonts w:eastAsia="Arial Narrow" w:cs="Arial Narrow"/>
                <w:szCs w:val="20"/>
              </w:rPr>
              <w:t xml:space="preserve">PFS </w:t>
            </w:r>
            <w:r>
              <w:rPr>
                <w:rFonts w:eastAsia="Arial Narrow" w:cs="Arial Narrow"/>
                <w:i/>
                <w:szCs w:val="20"/>
              </w:rPr>
              <w:t>at 3 years</w:t>
            </w:r>
            <w:r>
              <w:rPr>
                <w:rFonts w:eastAsia="Arial Narrow" w:cs="Arial Narrow"/>
                <w:i/>
              </w:rPr>
              <w:t xml:space="preserve"> </w:t>
            </w:r>
            <w:r w:rsidRPr="00CF7641">
              <w:rPr>
                <w:rFonts w:eastAsia="Arial Narrow" w:cs="Arial Narrow"/>
              </w:rPr>
              <w:t>(95% CI)</w:t>
            </w:r>
          </w:p>
        </w:tc>
        <w:tc>
          <w:tcPr>
            <w:tcW w:w="865" w:type="pct"/>
            <w:tcBorders>
              <w:top w:val="single" w:sz="6" w:space="0" w:color="auto"/>
              <w:left w:val="single" w:sz="6" w:space="0" w:color="auto"/>
              <w:bottom w:val="single" w:sz="6" w:space="0" w:color="auto"/>
              <w:right w:val="single" w:sz="6" w:space="0" w:color="auto"/>
            </w:tcBorders>
          </w:tcPr>
          <w:p w14:paraId="5302060A"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82</w:t>
            </w:r>
            <w:proofErr w:type="gramStart"/>
            <w:r w:rsidRPr="00D32948">
              <w:rPr>
                <w:rFonts w:eastAsia="Arial Narrow" w:cs="Arial Narrow"/>
                <w:szCs w:val="20"/>
              </w:rPr>
              <w:t>%</w:t>
            </w:r>
            <w:proofErr w:type="gramEnd"/>
            <w:r>
              <w:rPr>
                <w:rFonts w:eastAsia="Arial Narrow" w:cs="Arial Narrow"/>
                <w:szCs w:val="20"/>
              </w:rPr>
              <w:br/>
            </w:r>
            <w:r w:rsidRPr="00D32948">
              <w:rPr>
                <w:rFonts w:eastAsia="Arial Narrow" w:cs="Arial Narrow"/>
                <w:szCs w:val="20"/>
              </w:rPr>
              <w:t>(0.64</w:t>
            </w:r>
            <w:r>
              <w:rPr>
                <w:rFonts w:eastAsia="Arial Narrow" w:cs="Arial Narrow"/>
                <w:szCs w:val="20"/>
              </w:rPr>
              <w:t xml:space="preserve">%, </w:t>
            </w:r>
            <w:r w:rsidRPr="00D32948">
              <w:rPr>
                <w:rFonts w:eastAsia="Arial Narrow" w:cs="Arial Narrow"/>
                <w:szCs w:val="20"/>
              </w:rPr>
              <w:t>92%)</w:t>
            </w:r>
          </w:p>
        </w:tc>
        <w:tc>
          <w:tcPr>
            <w:tcW w:w="787" w:type="pct"/>
            <w:tcBorders>
              <w:top w:val="single" w:sz="6" w:space="0" w:color="auto"/>
              <w:left w:val="single" w:sz="6" w:space="0" w:color="auto"/>
              <w:bottom w:val="single" w:sz="6" w:space="0" w:color="auto"/>
              <w:right w:val="single" w:sz="6" w:space="0" w:color="auto"/>
            </w:tcBorders>
          </w:tcPr>
          <w:p w14:paraId="0FAE80CE" w14:textId="77777777" w:rsidR="00A367BA" w:rsidRDefault="00A367BA" w:rsidP="002236BD">
            <w:pPr>
              <w:pStyle w:val="TableText0"/>
              <w:keepNext w:val="0"/>
              <w:spacing w:before="0" w:after="0"/>
              <w:jc w:val="center"/>
              <w:rPr>
                <w:rFonts w:eastAsia="Arial Narrow" w:cs="Arial Narrow"/>
              </w:rPr>
            </w:pPr>
            <w:r w:rsidRPr="27BEF2A4">
              <w:rPr>
                <w:rFonts w:eastAsia="Arial Narrow" w:cs="Arial Narrow"/>
              </w:rPr>
              <w:t>60</w:t>
            </w:r>
            <w:proofErr w:type="gramStart"/>
            <w:r w:rsidRPr="27BEF2A4">
              <w:rPr>
                <w:rFonts w:eastAsia="Arial Narrow" w:cs="Arial Narrow"/>
              </w:rPr>
              <w:t>%</w:t>
            </w:r>
            <w:proofErr w:type="gramEnd"/>
            <w:r>
              <w:rPr>
                <w:rFonts w:eastAsia="Arial Narrow" w:cs="Arial Narrow"/>
              </w:rPr>
              <w:br/>
            </w:r>
            <w:r w:rsidRPr="27BEF2A4">
              <w:rPr>
                <w:rFonts w:eastAsia="Arial Narrow" w:cs="Arial Narrow"/>
              </w:rPr>
              <w:t>(42</w:t>
            </w:r>
            <w:r w:rsidRPr="27BEF2A4" w:rsidDel="00B97D55">
              <w:rPr>
                <w:rFonts w:eastAsia="Arial Narrow" w:cs="Arial Narrow"/>
              </w:rPr>
              <w:t>%</w:t>
            </w:r>
            <w:r w:rsidRPr="27BEF2A4">
              <w:rPr>
                <w:rFonts w:eastAsia="Arial Narrow" w:cs="Arial Narrow"/>
              </w:rPr>
              <w:t>, 74</w:t>
            </w:r>
            <w:r w:rsidRPr="27BEF2A4" w:rsidDel="00B97D55">
              <w:rPr>
                <w:rFonts w:eastAsia="Arial Narrow" w:cs="Arial Narrow"/>
              </w:rPr>
              <w:t>%</w:t>
            </w:r>
            <w:r w:rsidRPr="27BEF2A4">
              <w:rPr>
                <w:rFonts w:eastAsia="Arial Narrow" w:cs="Arial Narrow"/>
              </w:rPr>
              <w:t>)</w:t>
            </w:r>
          </w:p>
        </w:tc>
        <w:tc>
          <w:tcPr>
            <w:tcW w:w="787" w:type="pct"/>
            <w:tcBorders>
              <w:top w:val="single" w:sz="6" w:space="0" w:color="auto"/>
              <w:left w:val="single" w:sz="6" w:space="0" w:color="auto"/>
              <w:bottom w:val="single" w:sz="6" w:space="0" w:color="auto"/>
              <w:right w:val="single" w:sz="6" w:space="0" w:color="auto"/>
            </w:tcBorders>
          </w:tcPr>
          <w:p w14:paraId="34902A24"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NA</w:t>
            </w:r>
          </w:p>
        </w:tc>
        <w:tc>
          <w:tcPr>
            <w:tcW w:w="441" w:type="pct"/>
            <w:tcBorders>
              <w:top w:val="single" w:sz="6" w:space="0" w:color="auto"/>
              <w:left w:val="single" w:sz="6" w:space="0" w:color="auto"/>
              <w:bottom w:val="single" w:sz="6" w:space="0" w:color="auto"/>
              <w:right w:val="single" w:sz="6" w:space="0" w:color="auto"/>
            </w:tcBorders>
          </w:tcPr>
          <w:p w14:paraId="19AD6F9D"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0.0307</w:t>
            </w:r>
          </w:p>
        </w:tc>
      </w:tr>
      <w:tr w:rsidR="00A367BA" w14:paraId="43CEC4EB" w14:textId="77777777" w:rsidTr="003028CF">
        <w:trPr>
          <w:cantSplit/>
        </w:trPr>
        <w:tc>
          <w:tcPr>
            <w:tcW w:w="940" w:type="pct"/>
            <w:tcBorders>
              <w:left w:val="single" w:sz="6" w:space="0" w:color="auto"/>
              <w:right w:val="single" w:sz="6" w:space="0" w:color="auto"/>
            </w:tcBorders>
          </w:tcPr>
          <w:p w14:paraId="5C07B7A4" w14:textId="77777777" w:rsidR="00A367BA" w:rsidRPr="0080030E" w:rsidRDefault="00A367BA" w:rsidP="002236BD">
            <w:pPr>
              <w:rPr>
                <w:rFonts w:ascii="Arial Narrow" w:eastAsia="Arial Narrow" w:hAnsi="Arial Narrow" w:cs="Arial Narrow"/>
                <w:sz w:val="20"/>
              </w:rPr>
            </w:pPr>
          </w:p>
        </w:tc>
        <w:tc>
          <w:tcPr>
            <w:tcW w:w="1180" w:type="pct"/>
            <w:tcBorders>
              <w:top w:val="single" w:sz="6" w:space="0" w:color="auto"/>
              <w:left w:val="single" w:sz="6" w:space="0" w:color="auto"/>
              <w:bottom w:val="single" w:sz="6" w:space="0" w:color="auto"/>
              <w:right w:val="single" w:sz="6" w:space="0" w:color="auto"/>
            </w:tcBorders>
          </w:tcPr>
          <w:p w14:paraId="2F1CF95A" w14:textId="77777777" w:rsidR="00A367BA" w:rsidRDefault="00A367BA" w:rsidP="002236BD">
            <w:pPr>
              <w:pStyle w:val="TableText0"/>
              <w:keepNext w:val="0"/>
              <w:spacing w:before="0" w:after="0"/>
              <w:rPr>
                <w:rFonts w:eastAsia="Arial Narrow"/>
              </w:rPr>
            </w:pPr>
            <w:r w:rsidRPr="27BEF2A4">
              <w:rPr>
                <w:rFonts w:eastAsia="Arial Narrow" w:cs="Arial Narrow"/>
              </w:rPr>
              <w:t>OS</w:t>
            </w:r>
            <w:r w:rsidRPr="00D2251B">
              <w:rPr>
                <w:rFonts w:eastAsia="Arial Narrow" w:cs="Arial Narrow"/>
              </w:rPr>
              <w:t xml:space="preserve"> </w:t>
            </w:r>
            <w:r>
              <w:rPr>
                <w:rFonts w:eastAsia="Arial Narrow" w:cs="Arial Narrow"/>
                <w:i/>
              </w:rPr>
              <w:t xml:space="preserve">at 3 years </w:t>
            </w:r>
            <w:r w:rsidRPr="00CF7641">
              <w:rPr>
                <w:rFonts w:eastAsia="Arial Narrow" w:cs="Arial Narrow"/>
              </w:rPr>
              <w:t>(95% CI)</w:t>
            </w:r>
          </w:p>
        </w:tc>
        <w:tc>
          <w:tcPr>
            <w:tcW w:w="865" w:type="pct"/>
            <w:tcBorders>
              <w:top w:val="single" w:sz="6" w:space="0" w:color="auto"/>
              <w:left w:val="single" w:sz="6" w:space="0" w:color="auto"/>
              <w:bottom w:val="single" w:sz="6" w:space="0" w:color="auto"/>
              <w:right w:val="single" w:sz="6" w:space="0" w:color="auto"/>
            </w:tcBorders>
          </w:tcPr>
          <w:p w14:paraId="0596C552"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97</w:t>
            </w:r>
            <w:proofErr w:type="gramStart"/>
            <w:r w:rsidRPr="00D32948">
              <w:rPr>
                <w:rFonts w:eastAsia="Arial Narrow" w:cs="Arial Narrow"/>
                <w:szCs w:val="20"/>
              </w:rPr>
              <w:t>%</w:t>
            </w:r>
            <w:proofErr w:type="gramEnd"/>
            <w:r>
              <w:rPr>
                <w:rFonts w:eastAsia="Arial Narrow" w:cs="Arial Narrow"/>
                <w:szCs w:val="20"/>
              </w:rPr>
              <w:br/>
            </w:r>
            <w:r w:rsidRPr="00D32948">
              <w:rPr>
                <w:rFonts w:eastAsia="Arial Narrow" w:cs="Arial Narrow"/>
                <w:szCs w:val="20"/>
              </w:rPr>
              <w:t>(83</w:t>
            </w:r>
            <w:r>
              <w:rPr>
                <w:rFonts w:eastAsia="Arial Narrow" w:cs="Arial Narrow"/>
                <w:szCs w:val="20"/>
              </w:rPr>
              <w:t xml:space="preserve">%, </w:t>
            </w:r>
            <w:r w:rsidRPr="00D32948">
              <w:rPr>
                <w:rFonts w:eastAsia="Arial Narrow" w:cs="Arial Narrow"/>
                <w:szCs w:val="20"/>
              </w:rPr>
              <w:t>99</w:t>
            </w:r>
            <w:r>
              <w:rPr>
                <w:rFonts w:eastAsia="Arial Narrow" w:cs="Arial Narrow"/>
                <w:szCs w:val="20"/>
              </w:rPr>
              <w:t>%</w:t>
            </w:r>
            <w:r w:rsidRPr="00D32948">
              <w:rPr>
                <w:rFonts w:eastAsia="Arial Narrow" w:cs="Arial Narrow"/>
                <w:szCs w:val="20"/>
              </w:rPr>
              <w:t>)</w:t>
            </w:r>
          </w:p>
        </w:tc>
        <w:tc>
          <w:tcPr>
            <w:tcW w:w="787" w:type="pct"/>
            <w:tcBorders>
              <w:top w:val="single" w:sz="6" w:space="0" w:color="auto"/>
              <w:left w:val="single" w:sz="6" w:space="0" w:color="auto"/>
              <w:bottom w:val="single" w:sz="6" w:space="0" w:color="auto"/>
              <w:right w:val="single" w:sz="6" w:space="0" w:color="auto"/>
            </w:tcBorders>
          </w:tcPr>
          <w:p w14:paraId="041C832E" w14:textId="77777777" w:rsidR="00A367BA" w:rsidRDefault="00A367BA" w:rsidP="002236BD">
            <w:pPr>
              <w:pStyle w:val="TableText0"/>
              <w:keepNext w:val="0"/>
              <w:spacing w:before="0" w:after="0"/>
              <w:jc w:val="center"/>
              <w:rPr>
                <w:rFonts w:eastAsia="Arial Narrow" w:cs="Arial Narrow"/>
                <w:szCs w:val="20"/>
              </w:rPr>
            </w:pPr>
            <w:r>
              <w:rPr>
                <w:rFonts w:eastAsia="Arial Narrow" w:cs="Arial Narrow"/>
                <w:szCs w:val="20"/>
              </w:rPr>
              <w:t>81</w:t>
            </w:r>
            <w:proofErr w:type="gramStart"/>
            <w:r>
              <w:rPr>
                <w:rFonts w:eastAsia="Arial Narrow" w:cs="Arial Narrow"/>
                <w:szCs w:val="20"/>
              </w:rPr>
              <w:t>%</w:t>
            </w:r>
            <w:proofErr w:type="gramEnd"/>
            <w:r>
              <w:rPr>
                <w:rFonts w:eastAsia="Arial Narrow" w:cs="Arial Narrow"/>
                <w:szCs w:val="20"/>
              </w:rPr>
              <w:br/>
            </w:r>
            <w:r w:rsidRPr="00D32948">
              <w:rPr>
                <w:rFonts w:eastAsia="Arial Narrow" w:cs="Arial Narrow"/>
                <w:szCs w:val="20"/>
              </w:rPr>
              <w:t>(63</w:t>
            </w:r>
            <w:r>
              <w:rPr>
                <w:rFonts w:eastAsia="Arial Narrow" w:cs="Arial Narrow"/>
                <w:szCs w:val="20"/>
              </w:rPr>
              <w:t xml:space="preserve">%, </w:t>
            </w:r>
            <w:r w:rsidRPr="00D32948">
              <w:rPr>
                <w:rFonts w:eastAsia="Arial Narrow" w:cs="Arial Narrow"/>
                <w:szCs w:val="20"/>
              </w:rPr>
              <w:t>9</w:t>
            </w:r>
            <w:r>
              <w:rPr>
                <w:rFonts w:eastAsia="Arial Narrow" w:cs="Arial Narrow"/>
                <w:szCs w:val="20"/>
              </w:rPr>
              <w:t>0</w:t>
            </w:r>
            <w:r w:rsidRPr="00D32948">
              <w:rPr>
                <w:rFonts w:eastAsia="Arial Narrow" w:cs="Arial Narrow"/>
                <w:szCs w:val="20"/>
              </w:rPr>
              <w:t>%)</w:t>
            </w:r>
          </w:p>
        </w:tc>
        <w:tc>
          <w:tcPr>
            <w:tcW w:w="787" w:type="pct"/>
            <w:tcBorders>
              <w:top w:val="single" w:sz="6" w:space="0" w:color="auto"/>
              <w:left w:val="single" w:sz="6" w:space="0" w:color="auto"/>
              <w:bottom w:val="single" w:sz="6" w:space="0" w:color="auto"/>
              <w:right w:val="single" w:sz="6" w:space="0" w:color="auto"/>
            </w:tcBorders>
          </w:tcPr>
          <w:p w14:paraId="54E12B84"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NA</w:t>
            </w:r>
          </w:p>
        </w:tc>
        <w:tc>
          <w:tcPr>
            <w:tcW w:w="441" w:type="pct"/>
            <w:tcBorders>
              <w:top w:val="single" w:sz="6" w:space="0" w:color="auto"/>
              <w:left w:val="single" w:sz="6" w:space="0" w:color="auto"/>
              <w:bottom w:val="single" w:sz="6" w:space="0" w:color="auto"/>
              <w:right w:val="single" w:sz="6" w:space="0" w:color="auto"/>
            </w:tcBorders>
          </w:tcPr>
          <w:p w14:paraId="5D4F3C72" w14:textId="77777777" w:rsidR="00A367BA" w:rsidRDefault="00A367BA" w:rsidP="002236BD">
            <w:pPr>
              <w:pStyle w:val="TableText0"/>
              <w:keepNext w:val="0"/>
              <w:spacing w:before="0" w:after="0"/>
              <w:jc w:val="center"/>
              <w:rPr>
                <w:rFonts w:eastAsia="Arial Narrow" w:cs="Arial Narrow"/>
                <w:szCs w:val="20"/>
              </w:rPr>
            </w:pPr>
            <w:r w:rsidRPr="00D32948">
              <w:rPr>
                <w:rFonts w:eastAsia="Arial Narrow" w:cs="Arial Narrow"/>
                <w:szCs w:val="20"/>
              </w:rPr>
              <w:t>0.08</w:t>
            </w:r>
          </w:p>
        </w:tc>
      </w:tr>
      <w:tr w:rsidR="00A367BA" w14:paraId="1F566A8F" w14:textId="77777777" w:rsidTr="003028CF">
        <w:trPr>
          <w:cantSplit/>
        </w:trPr>
        <w:tc>
          <w:tcPr>
            <w:tcW w:w="940" w:type="pct"/>
            <w:vMerge w:val="restart"/>
            <w:tcBorders>
              <w:top w:val="single" w:sz="6" w:space="0" w:color="auto"/>
              <w:left w:val="single" w:sz="6" w:space="0" w:color="auto"/>
              <w:right w:val="single" w:sz="6" w:space="0" w:color="auto"/>
            </w:tcBorders>
          </w:tcPr>
          <w:p w14:paraId="6E654D99" w14:textId="77777777" w:rsidR="00A367BA" w:rsidRPr="0080030E" w:rsidRDefault="00DD6551" w:rsidP="002236BD">
            <w:pPr>
              <w:rPr>
                <w:rFonts w:ascii="Arial Narrow" w:eastAsia="Arial Narrow" w:hAnsi="Arial Narrow" w:cs="Arial Narrow"/>
                <w:i/>
                <w:sz w:val="20"/>
              </w:rPr>
            </w:pPr>
            <w:hyperlink w:anchor="_ENREF_39" w:tooltip="Muroi, 2020 #30" w:history="1">
              <w:r w:rsidR="00A367BA" w:rsidRPr="0080030E">
                <w:rPr>
                  <w:rFonts w:ascii="Arial Narrow" w:eastAsia="Arial Narrow" w:hAnsi="Arial Narrow" w:cs="Arial Narrow"/>
                  <w:i/>
                  <w:sz w:val="20"/>
                </w:rPr>
                <w:fldChar w:fldCharType="begin"/>
              </w:r>
              <w:r w:rsidR="00A367BA" w:rsidRPr="0080030E">
                <w:rPr>
                  <w:rFonts w:ascii="Arial Narrow" w:eastAsia="Arial Narrow" w:hAnsi="Arial Narrow" w:cs="Arial Narrow"/>
                  <w:i/>
                  <w:sz w:val="20"/>
                </w:rPr>
                <w:instrText xml:space="preserve"> ADDIN EN.CITE &lt;EndNote&gt;&lt;Cite AuthorYear="1"&gt;&lt;Author&gt;Muroi&lt;/Author&gt;&lt;Year&gt;2020&lt;/Year&gt;&lt;RecNum&gt;30&lt;/RecNum&gt;&lt;DisplayText&gt;Muroi et al. (2020)&lt;/DisplayText&gt;&lt;record&gt;&lt;rec-number&gt;30&lt;/rec-number&gt;&lt;foreign-keys&gt;&lt;key app="EN" db-id="exfrw2pee0v5z6evdr2xwspdfw0ezf5ttzwp" timestamp="1597622886"&gt;30&lt;/key&gt;&lt;/foreign-keys&gt;&lt;ref-type name="Journal Article"&gt;17&lt;/ref-type&gt;&lt;contributors&gt;&lt;authors&gt;&lt;author&gt;Muroi, A.&lt;/author&gt;&lt;author&gt;Mizumoto, M.&lt;/author&gt;&lt;author&gt;Ishikawa, E.&lt;/author&gt;&lt;author&gt;Ihara, S.&lt;/author&gt;&lt;author&gt;Fukushima, H.&lt;/author&gt;&lt;author&gt;Tsurubuchi, T.&lt;/author&gt;&lt;author&gt;Sakurai, H.&lt;/author&gt;&lt;author&gt;Matsumura, A.&lt;/author&gt;&lt;/authors&gt;&lt;/contributors&gt;&lt;titles&gt;&lt;title&gt;Proton therapy for newly diagnosed pediatric diffuse intrinsic pontine glioma&lt;/title&gt;&lt;secondary-title&gt;Childs Nerv Syst&lt;/secondary-title&gt;&lt;/titles&gt;&lt;periodical&gt;&lt;full-title&gt;Childs Nerv Syst&lt;/full-title&gt;&lt;/periodical&gt;&lt;pages&gt;507-512&lt;/pages&gt;&lt;volume&gt;36&lt;/volume&gt;&lt;number&gt;3&lt;/number&gt;&lt;dates&gt;&lt;year&gt;2020&lt;/year&gt;&lt;/dates&gt;&lt;accession-num&gt;31728705&lt;/accession-num&gt;&lt;urls&gt;&lt;related-urls&gt;&lt;url&gt;http://ezproxy.library.usyd.edu.au/login?url=http://ovidsp.ovid.com/ovidweb.cgi?T=JS&amp;amp;CSC=Y&amp;amp;NEWS=N&amp;amp;PAGE=fulltext&amp;amp;D=prem&amp;amp;AN=31728705https://sydney.alma.exlibrisgroup.com/openurl/61USYD_INST/61USYD_INST:sydney?sid=OVID:medline&amp;amp;id=pmid:31728705&amp;amp;id=doi:10.1007&lt;/url&gt;&lt;url&gt;https://link.springer.com/content/pdf/10.1007/s00381-019-04420-9.pdf&lt;/url&gt;&lt;/related-urls&gt;&lt;/urls&gt;&lt;electronic-resource-num&gt;https://dx.doi.org/10.1007/s00381-019-04420-9&lt;/electronic-resource-num&gt;&lt;/record&gt;&lt;/Cite&gt;&lt;/EndNote&gt;</w:instrText>
              </w:r>
              <w:r w:rsidR="00A367BA" w:rsidRPr="0080030E">
                <w:rPr>
                  <w:rFonts w:ascii="Arial Narrow" w:eastAsia="Arial Narrow" w:hAnsi="Arial Narrow" w:cs="Arial Narrow"/>
                  <w:i/>
                  <w:sz w:val="20"/>
                </w:rPr>
                <w:fldChar w:fldCharType="separate"/>
              </w:r>
              <w:r w:rsidR="00A367BA" w:rsidRPr="0080030E">
                <w:rPr>
                  <w:rFonts w:ascii="Arial Narrow" w:eastAsia="Arial Narrow" w:hAnsi="Arial Narrow" w:cs="Arial Narrow"/>
                  <w:i/>
                  <w:noProof/>
                  <w:sz w:val="20"/>
                </w:rPr>
                <w:t>Muroi et al. (2020)</w:t>
              </w:r>
              <w:r w:rsidR="00A367BA" w:rsidRPr="0080030E">
                <w:rPr>
                  <w:rFonts w:ascii="Arial Narrow" w:eastAsia="Arial Narrow" w:hAnsi="Arial Narrow" w:cs="Arial Narrow"/>
                  <w:i/>
                  <w:sz w:val="20"/>
                </w:rPr>
                <w:fldChar w:fldCharType="end"/>
              </w:r>
            </w:hyperlink>
          </w:p>
        </w:tc>
        <w:tc>
          <w:tcPr>
            <w:tcW w:w="1180" w:type="pct"/>
            <w:tcBorders>
              <w:top w:val="single" w:sz="6" w:space="0" w:color="auto"/>
              <w:left w:val="single" w:sz="6" w:space="0" w:color="auto"/>
              <w:bottom w:val="single" w:sz="6" w:space="0" w:color="auto"/>
              <w:right w:val="single" w:sz="6" w:space="0" w:color="auto"/>
            </w:tcBorders>
          </w:tcPr>
          <w:p w14:paraId="3F5EEBCE" w14:textId="77777777" w:rsidR="00A367BA" w:rsidRPr="00D2251B" w:rsidRDefault="00A367BA" w:rsidP="002236BD">
            <w:pPr>
              <w:pStyle w:val="TableText0"/>
              <w:keepNext w:val="0"/>
              <w:spacing w:before="0" w:after="0"/>
              <w:rPr>
                <w:rFonts w:eastAsia="Arial Narrow" w:cs="Arial Narrow"/>
                <w:i/>
              </w:rPr>
            </w:pPr>
            <w:r w:rsidRPr="00D2251B">
              <w:rPr>
                <w:rFonts w:eastAsia="Arial Narrow" w:cs="Arial Narrow"/>
                <w:i/>
              </w:rPr>
              <w:t>OS</w:t>
            </w:r>
            <w:r>
              <w:rPr>
                <w:rFonts w:eastAsia="Arial Narrow" w:cs="Arial Narrow"/>
                <w:i/>
              </w:rPr>
              <w:t>,</w:t>
            </w:r>
            <w:r w:rsidRPr="00D2251B">
              <w:rPr>
                <w:rFonts w:eastAsia="Arial Narrow" w:cs="Arial Narrow"/>
                <w:i/>
              </w:rPr>
              <w:t xml:space="preserve"> </w:t>
            </w:r>
            <w:r>
              <w:rPr>
                <w:rFonts w:eastAsia="Arial Narrow" w:cs="Arial Narrow"/>
                <w:i/>
              </w:rPr>
              <w:t>m</w:t>
            </w:r>
            <w:r w:rsidRPr="00D2251B">
              <w:rPr>
                <w:rFonts w:eastAsia="Arial Narrow" w:cs="Arial Narrow"/>
                <w:i/>
              </w:rPr>
              <w:t>edian (range)</w:t>
            </w:r>
          </w:p>
        </w:tc>
        <w:tc>
          <w:tcPr>
            <w:tcW w:w="865" w:type="pct"/>
            <w:tcBorders>
              <w:top w:val="single" w:sz="6" w:space="0" w:color="auto"/>
              <w:left w:val="single" w:sz="6" w:space="0" w:color="auto"/>
              <w:bottom w:val="single" w:sz="6" w:space="0" w:color="auto"/>
              <w:right w:val="single" w:sz="6" w:space="0" w:color="auto"/>
            </w:tcBorders>
          </w:tcPr>
          <w:p w14:paraId="3789162D" w14:textId="77777777" w:rsidR="00A367BA" w:rsidRPr="00D2251B" w:rsidRDefault="00A367BA" w:rsidP="002236BD">
            <w:pPr>
              <w:pStyle w:val="TableText0"/>
              <w:keepNext w:val="0"/>
              <w:spacing w:before="0" w:after="0"/>
              <w:jc w:val="center"/>
              <w:rPr>
                <w:rFonts w:eastAsia="Arial Narrow" w:cs="Arial Narrow"/>
                <w:i/>
              </w:rPr>
            </w:pPr>
            <w:r w:rsidRPr="00D2251B">
              <w:rPr>
                <w:rFonts w:eastAsia="Arial Narrow" w:cs="Arial Narrow"/>
                <w:i/>
              </w:rPr>
              <w:t>9 (4-48) months</w:t>
            </w:r>
          </w:p>
        </w:tc>
        <w:tc>
          <w:tcPr>
            <w:tcW w:w="787" w:type="pct"/>
            <w:tcBorders>
              <w:top w:val="single" w:sz="6" w:space="0" w:color="auto"/>
              <w:left w:val="single" w:sz="6" w:space="0" w:color="auto"/>
              <w:bottom w:val="single" w:sz="6" w:space="0" w:color="auto"/>
              <w:right w:val="single" w:sz="6" w:space="0" w:color="auto"/>
            </w:tcBorders>
          </w:tcPr>
          <w:p w14:paraId="21249C1C" w14:textId="77777777" w:rsidR="00A367BA" w:rsidRPr="00D2251B" w:rsidRDefault="00A367BA" w:rsidP="002236BD">
            <w:pPr>
              <w:pStyle w:val="TableText0"/>
              <w:keepNext w:val="0"/>
              <w:spacing w:before="0" w:after="0"/>
              <w:jc w:val="center"/>
              <w:rPr>
                <w:rFonts w:eastAsia="Arial Narrow" w:cs="Arial Narrow"/>
                <w:i/>
              </w:rPr>
            </w:pPr>
            <w:r w:rsidRPr="00D2251B">
              <w:rPr>
                <w:rFonts w:eastAsia="Arial Narrow" w:cs="Arial Narrow"/>
                <w:i/>
              </w:rPr>
              <w:t>11 (NR) months</w:t>
            </w:r>
          </w:p>
        </w:tc>
        <w:tc>
          <w:tcPr>
            <w:tcW w:w="787" w:type="pct"/>
            <w:tcBorders>
              <w:top w:val="single" w:sz="6" w:space="0" w:color="auto"/>
              <w:left w:val="single" w:sz="6" w:space="0" w:color="auto"/>
              <w:bottom w:val="single" w:sz="6" w:space="0" w:color="auto"/>
              <w:right w:val="single" w:sz="6" w:space="0" w:color="auto"/>
            </w:tcBorders>
            <w:shd w:val="clear" w:color="auto" w:fill="FFFFFF" w:themeFill="background1"/>
          </w:tcPr>
          <w:p w14:paraId="148596E5" w14:textId="77777777" w:rsidR="00A367BA" w:rsidRPr="00D2251B" w:rsidRDefault="00A367BA" w:rsidP="002236BD">
            <w:pPr>
              <w:pStyle w:val="TableText0"/>
              <w:keepNext w:val="0"/>
              <w:spacing w:before="0" w:after="0"/>
              <w:jc w:val="center"/>
              <w:rPr>
                <w:rFonts w:eastAsia="Arial Narrow" w:cs="Arial Narrow"/>
                <w:i/>
              </w:rPr>
            </w:pPr>
            <w:r w:rsidRPr="00D2251B">
              <w:rPr>
                <w:rFonts w:eastAsia="Arial Narrow" w:cs="Arial Narrow"/>
                <w:i/>
              </w:rPr>
              <w:t>NA</w:t>
            </w:r>
          </w:p>
        </w:tc>
        <w:tc>
          <w:tcPr>
            <w:tcW w:w="441" w:type="pct"/>
            <w:tcBorders>
              <w:top w:val="single" w:sz="6" w:space="0" w:color="auto"/>
              <w:left w:val="single" w:sz="6" w:space="0" w:color="auto"/>
              <w:bottom w:val="single" w:sz="6" w:space="0" w:color="auto"/>
              <w:right w:val="single" w:sz="6" w:space="0" w:color="auto"/>
            </w:tcBorders>
          </w:tcPr>
          <w:p w14:paraId="63FA95EC" w14:textId="77777777" w:rsidR="00A367BA" w:rsidRPr="00D2251B" w:rsidRDefault="00A367BA" w:rsidP="002236BD">
            <w:pPr>
              <w:pStyle w:val="TableText0"/>
              <w:keepNext w:val="0"/>
              <w:spacing w:before="0" w:after="0"/>
              <w:jc w:val="center"/>
              <w:rPr>
                <w:rFonts w:eastAsia="Arial Narrow" w:cs="Arial Narrow"/>
                <w:i/>
              </w:rPr>
            </w:pPr>
            <w:r w:rsidRPr="00D2251B">
              <w:rPr>
                <w:rFonts w:eastAsia="Arial Narrow" w:cs="Arial Narrow"/>
                <w:i/>
              </w:rPr>
              <w:t>0.16</w:t>
            </w:r>
          </w:p>
        </w:tc>
      </w:tr>
      <w:tr w:rsidR="00A367BA" w14:paraId="448CEC02" w14:textId="77777777" w:rsidTr="003028CF">
        <w:trPr>
          <w:cantSplit/>
        </w:trPr>
        <w:tc>
          <w:tcPr>
            <w:tcW w:w="940" w:type="pct"/>
            <w:vMerge/>
            <w:tcBorders>
              <w:left w:val="single" w:sz="6" w:space="0" w:color="auto"/>
              <w:bottom w:val="single" w:sz="6" w:space="0" w:color="auto"/>
              <w:right w:val="single" w:sz="6" w:space="0" w:color="auto"/>
            </w:tcBorders>
          </w:tcPr>
          <w:p w14:paraId="5142B209" w14:textId="77777777" w:rsidR="00A367BA" w:rsidRPr="00D2251B" w:rsidRDefault="00A367BA" w:rsidP="002236BD">
            <w:pPr>
              <w:rPr>
                <w:rFonts w:ascii="Arial Narrow" w:eastAsia="Arial Narrow" w:hAnsi="Arial Narrow" w:cs="Arial Narrow"/>
                <w:i/>
                <w:sz w:val="20"/>
              </w:rPr>
            </w:pPr>
          </w:p>
        </w:tc>
        <w:tc>
          <w:tcPr>
            <w:tcW w:w="1180" w:type="pct"/>
            <w:tcBorders>
              <w:top w:val="single" w:sz="6" w:space="0" w:color="auto"/>
              <w:left w:val="single" w:sz="6" w:space="0" w:color="auto"/>
              <w:bottom w:val="single" w:sz="6" w:space="0" w:color="auto"/>
              <w:right w:val="single" w:sz="6" w:space="0" w:color="auto"/>
            </w:tcBorders>
          </w:tcPr>
          <w:p w14:paraId="06B4E50E" w14:textId="77777777" w:rsidR="00A367BA" w:rsidRPr="00D2251B" w:rsidRDefault="00A367BA" w:rsidP="002236BD">
            <w:pPr>
              <w:pStyle w:val="TableText0"/>
              <w:keepNext w:val="0"/>
              <w:spacing w:before="0" w:after="0"/>
              <w:rPr>
                <w:rFonts w:eastAsia="Arial Narrow" w:cs="Arial Narrow"/>
                <w:i/>
              </w:rPr>
            </w:pPr>
            <w:r w:rsidRPr="00D2251B">
              <w:rPr>
                <w:rFonts w:eastAsia="Arial Narrow" w:cs="Arial Narrow"/>
                <w:i/>
              </w:rPr>
              <w:t>PFS</w:t>
            </w:r>
            <w:r>
              <w:rPr>
                <w:rFonts w:eastAsia="Arial Narrow" w:cs="Arial Narrow"/>
                <w:i/>
              </w:rPr>
              <w:t>, m</w:t>
            </w:r>
            <w:r w:rsidRPr="00D2251B">
              <w:rPr>
                <w:rFonts w:eastAsia="Arial Narrow" w:cs="Arial Narrow"/>
                <w:i/>
              </w:rPr>
              <w:t>edian (range)</w:t>
            </w:r>
          </w:p>
        </w:tc>
        <w:tc>
          <w:tcPr>
            <w:tcW w:w="865" w:type="pct"/>
            <w:tcBorders>
              <w:top w:val="single" w:sz="6" w:space="0" w:color="auto"/>
              <w:left w:val="single" w:sz="6" w:space="0" w:color="auto"/>
              <w:bottom w:val="single" w:sz="6" w:space="0" w:color="auto"/>
              <w:right w:val="single" w:sz="6" w:space="0" w:color="auto"/>
            </w:tcBorders>
          </w:tcPr>
          <w:p w14:paraId="64C3FF22" w14:textId="77777777" w:rsidR="00A367BA" w:rsidRPr="00D2251B" w:rsidRDefault="00A367BA" w:rsidP="002236BD">
            <w:pPr>
              <w:pStyle w:val="TableText0"/>
              <w:keepNext w:val="0"/>
              <w:spacing w:before="0" w:after="0"/>
              <w:jc w:val="center"/>
              <w:rPr>
                <w:rFonts w:eastAsia="Arial Narrow" w:cs="Arial Narrow"/>
                <w:i/>
              </w:rPr>
            </w:pPr>
            <w:r w:rsidRPr="00D2251B">
              <w:rPr>
                <w:rFonts w:eastAsia="Arial Narrow" w:cs="Arial Narrow"/>
                <w:i/>
              </w:rPr>
              <w:t>5 (1-11) months</w:t>
            </w:r>
          </w:p>
        </w:tc>
        <w:tc>
          <w:tcPr>
            <w:tcW w:w="787" w:type="pct"/>
            <w:tcBorders>
              <w:top w:val="single" w:sz="6" w:space="0" w:color="auto"/>
              <w:left w:val="single" w:sz="6" w:space="0" w:color="auto"/>
              <w:bottom w:val="single" w:sz="6" w:space="0" w:color="auto"/>
              <w:right w:val="single" w:sz="6" w:space="0" w:color="auto"/>
            </w:tcBorders>
          </w:tcPr>
          <w:p w14:paraId="4E1FAC45" w14:textId="77777777" w:rsidR="00A367BA" w:rsidRPr="00D2251B" w:rsidRDefault="00A367BA" w:rsidP="002236BD">
            <w:pPr>
              <w:pStyle w:val="TableText0"/>
              <w:keepNext w:val="0"/>
              <w:spacing w:before="0" w:after="0"/>
              <w:jc w:val="center"/>
              <w:rPr>
                <w:rFonts w:eastAsia="Arial Narrow" w:cs="Arial Narrow"/>
                <w:i/>
              </w:rPr>
            </w:pPr>
            <w:r w:rsidRPr="00D2251B">
              <w:rPr>
                <w:rFonts w:eastAsia="Arial Narrow" w:cs="Arial Narrow"/>
                <w:i/>
              </w:rPr>
              <w:t>5 (NR) months</w:t>
            </w:r>
          </w:p>
        </w:tc>
        <w:tc>
          <w:tcPr>
            <w:tcW w:w="787" w:type="pct"/>
            <w:tcBorders>
              <w:top w:val="single" w:sz="6" w:space="0" w:color="auto"/>
              <w:left w:val="single" w:sz="6" w:space="0" w:color="auto"/>
              <w:bottom w:val="single" w:sz="6" w:space="0" w:color="auto"/>
              <w:right w:val="single" w:sz="6" w:space="0" w:color="auto"/>
            </w:tcBorders>
            <w:shd w:val="clear" w:color="auto" w:fill="FFFFFF" w:themeFill="background1"/>
          </w:tcPr>
          <w:p w14:paraId="3020A2A4" w14:textId="77777777" w:rsidR="00A367BA" w:rsidRPr="00D2251B" w:rsidRDefault="00A367BA" w:rsidP="002236BD">
            <w:pPr>
              <w:pStyle w:val="TableText0"/>
              <w:keepNext w:val="0"/>
              <w:spacing w:before="0" w:after="0"/>
              <w:jc w:val="center"/>
              <w:rPr>
                <w:rFonts w:eastAsia="Arial Narrow" w:cs="Arial Narrow"/>
                <w:i/>
              </w:rPr>
            </w:pPr>
            <w:r w:rsidRPr="00D2251B">
              <w:rPr>
                <w:rFonts w:eastAsia="Arial Narrow" w:cs="Arial Narrow"/>
                <w:i/>
              </w:rPr>
              <w:t>NA</w:t>
            </w:r>
          </w:p>
        </w:tc>
        <w:tc>
          <w:tcPr>
            <w:tcW w:w="441" w:type="pct"/>
            <w:tcBorders>
              <w:top w:val="single" w:sz="6" w:space="0" w:color="auto"/>
              <w:left w:val="single" w:sz="6" w:space="0" w:color="auto"/>
              <w:bottom w:val="single" w:sz="6" w:space="0" w:color="auto"/>
              <w:right w:val="single" w:sz="6" w:space="0" w:color="auto"/>
            </w:tcBorders>
          </w:tcPr>
          <w:p w14:paraId="6F0C43AB" w14:textId="77777777" w:rsidR="00A367BA" w:rsidRPr="00D2251B" w:rsidRDefault="00A367BA" w:rsidP="002236BD">
            <w:pPr>
              <w:pStyle w:val="TableText0"/>
              <w:keepNext w:val="0"/>
              <w:spacing w:before="0" w:after="0"/>
              <w:jc w:val="center"/>
              <w:rPr>
                <w:rFonts w:eastAsia="Arial Narrow" w:cs="Arial Narrow"/>
                <w:i/>
              </w:rPr>
            </w:pPr>
            <w:r w:rsidRPr="00D2251B">
              <w:rPr>
                <w:rFonts w:eastAsia="Arial Narrow" w:cs="Arial Narrow"/>
                <w:i/>
              </w:rPr>
              <w:t>0.169</w:t>
            </w:r>
          </w:p>
        </w:tc>
      </w:tr>
    </w:tbl>
    <w:p w14:paraId="6D46F05A" w14:textId="77777777" w:rsidR="00A367BA" w:rsidRDefault="00A367BA" w:rsidP="00654AB1">
      <w:pPr>
        <w:pStyle w:val="Tablenotes"/>
        <w:rPr>
          <w:rFonts w:eastAsia="Arial Narrow"/>
        </w:rPr>
      </w:pPr>
      <w:r w:rsidRPr="27BEF2A4">
        <w:rPr>
          <w:rFonts w:eastAsia="Arial Narrow"/>
        </w:rPr>
        <w:t>Source</w:t>
      </w:r>
      <w:r>
        <w:rPr>
          <w:rFonts w:eastAsia="Arial Narrow"/>
        </w:rPr>
        <w:t xml:space="preserve">: Table 9, </w:t>
      </w:r>
      <w:proofErr w:type="spellStart"/>
      <w:r>
        <w:rPr>
          <w:rFonts w:eastAsia="Arial Narrow"/>
        </w:rPr>
        <w:t>pxxiv</w:t>
      </w:r>
      <w:proofErr w:type="spellEnd"/>
      <w:r>
        <w:rPr>
          <w:rFonts w:eastAsia="Arial Narrow"/>
        </w:rPr>
        <w:t xml:space="preserve"> of the commentary</w:t>
      </w:r>
      <w:r>
        <w:rPr>
          <w:rFonts w:eastAsia="Arial Narrow"/>
        </w:rPr>
        <w:br/>
      </w:r>
      <w:r w:rsidRPr="003A00E5">
        <w:rPr>
          <w:rFonts w:eastAsia="Arial Narrow"/>
        </w:rPr>
        <w:t xml:space="preserve">Italicised text represents additional text in the commentary </w:t>
      </w:r>
      <w:r>
        <w:rPr>
          <w:rFonts w:eastAsia="Arial Narrow"/>
        </w:rPr>
        <w:t>which was not included</w:t>
      </w:r>
      <w:r w:rsidRPr="003A00E5">
        <w:rPr>
          <w:rFonts w:eastAsia="Arial Narrow"/>
        </w:rPr>
        <w:t xml:space="preserve"> in the ADAR</w:t>
      </w:r>
      <w:r>
        <w:rPr>
          <w:rFonts w:eastAsia="Arial Narrow"/>
        </w:rPr>
        <w:br/>
        <w:t xml:space="preserve">Abbreviations: </w:t>
      </w:r>
      <w:proofErr w:type="spellStart"/>
      <w:r>
        <w:rPr>
          <w:rFonts w:eastAsia="Arial Narrow"/>
        </w:rPr>
        <w:t>adjHR</w:t>
      </w:r>
      <w:proofErr w:type="spellEnd"/>
      <w:r>
        <w:rPr>
          <w:rFonts w:eastAsia="Arial Narrow"/>
        </w:rPr>
        <w:t>=adjusted hazard ratio; HR=hazard ratio; NA=not applicable; NR=not reported; OS=</w:t>
      </w:r>
      <w:r w:rsidRPr="00D32948">
        <w:rPr>
          <w:rFonts w:eastAsia="Arial Narrow"/>
        </w:rPr>
        <w:t xml:space="preserve">overall survival; </w:t>
      </w:r>
      <w:r>
        <w:rPr>
          <w:rFonts w:eastAsia="Arial Narrow"/>
        </w:rPr>
        <w:t>PBT=proton beam therapy; PFS=progression free survival; PRT=photon radiation therapy; RFS=</w:t>
      </w:r>
      <w:r w:rsidRPr="27BEF2A4">
        <w:rPr>
          <w:rFonts w:eastAsia="Arial Narrow"/>
        </w:rPr>
        <w:t>recurrence</w:t>
      </w:r>
      <w:r w:rsidRPr="00D32948">
        <w:rPr>
          <w:rFonts w:eastAsia="Arial Narrow"/>
        </w:rPr>
        <w:t xml:space="preserve"> free survival</w:t>
      </w:r>
    </w:p>
    <w:p w14:paraId="557F8E8D" w14:textId="77777777" w:rsidR="00A367BA" w:rsidRPr="004F187E" w:rsidRDefault="00A367BA" w:rsidP="00D066A0">
      <w:pPr>
        <w:spacing w:before="240" w:after="240"/>
      </w:pPr>
      <w:r>
        <w:t>The commentary stated that all results presented in the evidence base should be interpreted with caution given the low quality and a very high risk of bias in the included studies.</w:t>
      </w:r>
    </w:p>
    <w:p w14:paraId="198C99C2" w14:textId="77777777" w:rsidR="00A367BA" w:rsidRDefault="00A367BA" w:rsidP="00A367BA">
      <w:pPr>
        <w:pStyle w:val="Heading2"/>
      </w:pPr>
      <w:r>
        <w:t>Clinical claim</w:t>
      </w:r>
    </w:p>
    <w:p w14:paraId="41F3557C" w14:textId="77777777" w:rsidR="00A367BA" w:rsidRDefault="00A367BA" w:rsidP="00A367BA">
      <w:pPr>
        <w:spacing w:after="240"/>
        <w:jc w:val="both"/>
      </w:pPr>
      <w:r>
        <w:t>On the basis of the benefits and harms reported in the ADAR evidence base, the ADAR</w:t>
      </w:r>
      <w:r w:rsidRPr="007613A4">
        <w:t xml:space="preserve"> </w:t>
      </w:r>
      <w:r>
        <w:t>claimed</w:t>
      </w:r>
      <w:r w:rsidRPr="007613A4">
        <w:t xml:space="preserve"> that, relative to </w:t>
      </w:r>
      <w:r>
        <w:t>usual standard care</w:t>
      </w:r>
      <w:r w:rsidRPr="007613A4">
        <w:t xml:space="preserve">, </w:t>
      </w:r>
      <w:r>
        <w:t>PBT</w:t>
      </w:r>
      <w:r w:rsidRPr="007613A4">
        <w:t xml:space="preserve"> has superior</w:t>
      </w:r>
      <w:r>
        <w:t xml:space="preserve"> </w:t>
      </w:r>
      <w:r w:rsidRPr="007613A4">
        <w:t>safety and non-inferior</w:t>
      </w:r>
      <w:r>
        <w:t xml:space="preserve"> </w:t>
      </w:r>
      <w:r w:rsidRPr="007613A4">
        <w:t>effectiveness.</w:t>
      </w:r>
    </w:p>
    <w:p w14:paraId="2F233DC1" w14:textId="77777777" w:rsidR="00BC1364" w:rsidRPr="00A367BA" w:rsidRDefault="00A367BA" w:rsidP="00A367BA">
      <w:pPr>
        <w:spacing w:after="240"/>
      </w:pPr>
      <w:r>
        <w:t xml:space="preserve">The commentary stated that this clinical claim may not be reasonable based on the evidence base available. In most studies included in the commentary evidence base, for both PICOs, safety of PBT was similar to the proposed comparator. There was some evidence that PBT may lead to better neurocognitive outcomes in the paediatric and AYA population. Similarly, effectiveness did not appear to differ between PBT and conventional radiotherapy modalities with an exception of </w:t>
      </w:r>
      <w:proofErr w:type="spellStart"/>
      <w:r>
        <w:t>HRQoL</w:t>
      </w:r>
      <w:proofErr w:type="spellEnd"/>
      <w:r>
        <w:t xml:space="preserve"> in the paediatric/AYA population, which was reported to be higher for PBT patients in one study.</w:t>
      </w:r>
    </w:p>
    <w:p w14:paraId="7604E86E" w14:textId="77777777" w:rsidR="00BC1364" w:rsidRPr="00F715D1" w:rsidRDefault="00BC1364" w:rsidP="00F715D1">
      <w:pPr>
        <w:pStyle w:val="Heading1"/>
      </w:pPr>
      <w:r w:rsidRPr="00F715D1">
        <w:t>Economic evaluation</w:t>
      </w:r>
    </w:p>
    <w:p w14:paraId="65190563" w14:textId="67A0BAFF" w:rsidR="002236BD" w:rsidRPr="00EB37FB" w:rsidRDefault="00A367BA" w:rsidP="00EB37FB">
      <w:pPr>
        <w:tabs>
          <w:tab w:val="left" w:pos="720"/>
        </w:tabs>
        <w:spacing w:after="240"/>
      </w:pPr>
      <w:r>
        <w:t xml:space="preserve">Based on the clinical claim that PBT has superior safety and non-inferior effectiveness compared to PRT, the ADAR presented a modelled cost-utility analysis (CUA), which is summarised in </w:t>
      </w:r>
      <w:r>
        <w:fldChar w:fldCharType="begin"/>
      </w:r>
      <w:r>
        <w:instrText xml:space="preserve"> REF _Ref404370956 \h </w:instrText>
      </w:r>
      <w:r>
        <w:fldChar w:fldCharType="separate"/>
      </w:r>
      <w:r w:rsidR="00810FF0">
        <w:t xml:space="preserve">Table </w:t>
      </w:r>
      <w:r w:rsidR="00810FF0">
        <w:rPr>
          <w:noProof/>
        </w:rPr>
        <w:t>13</w:t>
      </w:r>
      <w:r>
        <w:fldChar w:fldCharType="end"/>
      </w:r>
      <w:bookmarkStart w:id="43" w:name="_Ref404370956"/>
      <w:bookmarkStart w:id="44" w:name="_Ref394419656"/>
      <w:bookmarkStart w:id="45" w:name="_Toc399251123"/>
      <w:bookmarkStart w:id="46" w:name="_Toc50454225"/>
      <w:r w:rsidR="00EB37FB">
        <w:t>.</w:t>
      </w:r>
      <w:r w:rsidR="002236BD">
        <w:rPr>
          <w:rFonts w:ascii="Arial Narrow" w:hAnsi="Arial Narrow"/>
          <w:b/>
          <w:sz w:val="20"/>
        </w:rPr>
        <w:br w:type="page"/>
      </w:r>
    </w:p>
    <w:p w14:paraId="43242499" w14:textId="7C2CFDFE" w:rsidR="00A367BA" w:rsidRPr="009E589D" w:rsidRDefault="00A367BA" w:rsidP="009E589D">
      <w:pPr>
        <w:rPr>
          <w:rFonts w:ascii="Arial Narrow" w:hAnsi="Arial Narrow"/>
          <w:b/>
          <w:sz w:val="20"/>
        </w:rPr>
      </w:pPr>
      <w:r w:rsidRPr="009E589D">
        <w:rPr>
          <w:rFonts w:ascii="Arial Narrow" w:hAnsi="Arial Narrow"/>
          <w:b/>
          <w:sz w:val="20"/>
        </w:rPr>
        <w:lastRenderedPageBreak/>
        <w:t xml:space="preserve">Table </w:t>
      </w:r>
      <w:r w:rsidRPr="009E589D">
        <w:rPr>
          <w:rFonts w:ascii="Arial Narrow" w:hAnsi="Arial Narrow"/>
          <w:b/>
          <w:sz w:val="20"/>
        </w:rPr>
        <w:fldChar w:fldCharType="begin"/>
      </w:r>
      <w:r w:rsidRPr="009E589D">
        <w:rPr>
          <w:rFonts w:ascii="Arial Narrow" w:hAnsi="Arial Narrow"/>
          <w:b/>
          <w:sz w:val="20"/>
        </w:rPr>
        <w:instrText>SEQ Table \* ARABIC</w:instrText>
      </w:r>
      <w:r w:rsidRPr="009E589D">
        <w:rPr>
          <w:rFonts w:ascii="Arial Narrow" w:hAnsi="Arial Narrow"/>
          <w:b/>
          <w:sz w:val="20"/>
        </w:rPr>
        <w:fldChar w:fldCharType="separate"/>
      </w:r>
      <w:r w:rsidR="00810FF0" w:rsidRPr="009E589D">
        <w:rPr>
          <w:rFonts w:ascii="Arial Narrow" w:hAnsi="Arial Narrow"/>
          <w:b/>
          <w:sz w:val="20"/>
        </w:rPr>
        <w:t>13</w:t>
      </w:r>
      <w:r w:rsidRPr="009E589D">
        <w:rPr>
          <w:rFonts w:ascii="Arial Narrow" w:hAnsi="Arial Narrow"/>
          <w:b/>
          <w:sz w:val="20"/>
        </w:rPr>
        <w:fldChar w:fldCharType="end"/>
      </w:r>
      <w:bookmarkEnd w:id="43"/>
      <w:r w:rsidRPr="009E589D">
        <w:rPr>
          <w:rFonts w:ascii="Arial Narrow" w:hAnsi="Arial Narrow"/>
          <w:b/>
          <w:sz w:val="20"/>
        </w:rPr>
        <w:tab/>
        <w:t>Summary of the economic evaluation</w:t>
      </w:r>
      <w:bookmarkEnd w:id="44"/>
      <w:bookmarkEnd w:id="45"/>
      <w:bookmarkEnd w:id="46"/>
    </w:p>
    <w:tbl>
      <w:tblPr>
        <w:tblStyle w:val="TableGrid1"/>
        <w:tblW w:w="5000" w:type="pct"/>
        <w:tblLook w:val="01E0" w:firstRow="1" w:lastRow="1" w:firstColumn="1" w:lastColumn="1" w:noHBand="0" w:noVBand="0"/>
        <w:tblCaption w:val="Table 4 Summary of the economic evaluation"/>
        <w:tblDescription w:val="This table describes the key constructs of the economic evaluation that is provided in the assessment report."/>
      </w:tblPr>
      <w:tblGrid>
        <w:gridCol w:w="2546"/>
        <w:gridCol w:w="6470"/>
      </w:tblGrid>
      <w:tr w:rsidR="00A367BA" w:rsidRPr="00183E4D" w14:paraId="7BCC2800" w14:textId="77777777" w:rsidTr="002236BD">
        <w:trPr>
          <w:cnfStyle w:val="100000000000" w:firstRow="1" w:lastRow="0" w:firstColumn="0" w:lastColumn="0" w:oddVBand="0" w:evenVBand="0" w:oddHBand="0" w:evenHBand="0" w:firstRowFirstColumn="0" w:firstRowLastColumn="0" w:lastRowFirstColumn="0" w:lastRowLastColumn="0"/>
          <w:trHeight w:val="20"/>
          <w:tblHeader/>
        </w:trPr>
        <w:tc>
          <w:tcPr>
            <w:tcW w:w="1412" w:type="pct"/>
          </w:tcPr>
          <w:p w14:paraId="5C9CC8B0" w14:textId="77777777" w:rsidR="00A367BA" w:rsidRPr="00183E4D" w:rsidRDefault="00A367BA" w:rsidP="003028CF">
            <w:pPr>
              <w:pStyle w:val="Tabletext"/>
              <w:keepNext/>
              <w:keepLines/>
            </w:pPr>
            <w:r w:rsidRPr="00183E4D">
              <w:t>Perspective</w:t>
            </w:r>
          </w:p>
        </w:tc>
        <w:tc>
          <w:tcPr>
            <w:tcW w:w="3588" w:type="pct"/>
          </w:tcPr>
          <w:p w14:paraId="05CBF03E" w14:textId="77777777" w:rsidR="00A367BA" w:rsidRPr="00E86C26" w:rsidRDefault="00A367BA" w:rsidP="003028CF">
            <w:pPr>
              <w:keepNext/>
              <w:keepLines/>
              <w:rPr>
                <w:rFonts w:ascii="Arial Narrow" w:hAnsi="Arial Narrow"/>
                <w:sz w:val="20"/>
              </w:rPr>
            </w:pPr>
            <w:r w:rsidRPr="5BE138F5">
              <w:rPr>
                <w:rFonts w:ascii="Arial Narrow" w:hAnsi="Arial Narrow"/>
                <w:sz w:val="20"/>
              </w:rPr>
              <w:t>Australian healthcare system</w:t>
            </w:r>
          </w:p>
        </w:tc>
      </w:tr>
      <w:tr w:rsidR="00A367BA" w:rsidRPr="00183E4D" w14:paraId="2746D11F" w14:textId="77777777" w:rsidTr="002236BD">
        <w:trPr>
          <w:trHeight w:val="20"/>
        </w:trPr>
        <w:tc>
          <w:tcPr>
            <w:tcW w:w="1412" w:type="pct"/>
          </w:tcPr>
          <w:p w14:paraId="62279204" w14:textId="77777777" w:rsidR="00A367BA" w:rsidRPr="00183E4D" w:rsidRDefault="00A367BA" w:rsidP="003028CF">
            <w:pPr>
              <w:pStyle w:val="Tabletext"/>
              <w:keepNext/>
              <w:keepLines/>
            </w:pPr>
            <w:r w:rsidRPr="00183E4D">
              <w:t>Comparator</w:t>
            </w:r>
          </w:p>
        </w:tc>
        <w:tc>
          <w:tcPr>
            <w:tcW w:w="3588" w:type="pct"/>
          </w:tcPr>
          <w:p w14:paraId="231993C6" w14:textId="77777777" w:rsidR="00A367BA" w:rsidRPr="00183E4D" w:rsidRDefault="00A367BA" w:rsidP="003028CF">
            <w:pPr>
              <w:keepNext/>
              <w:keepLines/>
            </w:pPr>
            <w:r w:rsidRPr="5BE138F5">
              <w:rPr>
                <w:sz w:val="20"/>
              </w:rPr>
              <w:t>P</w:t>
            </w:r>
            <w:r w:rsidRPr="00045ADC">
              <w:rPr>
                <w:sz w:val="20"/>
              </w:rPr>
              <w:t>hoton radiation therapy</w:t>
            </w:r>
          </w:p>
        </w:tc>
      </w:tr>
      <w:tr w:rsidR="00A367BA" w:rsidRPr="00183E4D" w14:paraId="24E928A1" w14:textId="77777777" w:rsidTr="002236BD">
        <w:trPr>
          <w:trHeight w:val="20"/>
        </w:trPr>
        <w:tc>
          <w:tcPr>
            <w:tcW w:w="1412" w:type="pct"/>
          </w:tcPr>
          <w:p w14:paraId="62D162F5" w14:textId="77777777" w:rsidR="00A367BA" w:rsidRPr="00183E4D" w:rsidRDefault="00A367BA" w:rsidP="003028CF">
            <w:pPr>
              <w:pStyle w:val="Tabletext"/>
              <w:keepNext/>
              <w:keepLines/>
            </w:pPr>
            <w:r w:rsidRPr="00183E4D">
              <w:t>Type of economic evaluation</w:t>
            </w:r>
          </w:p>
        </w:tc>
        <w:tc>
          <w:tcPr>
            <w:tcW w:w="3588" w:type="pct"/>
          </w:tcPr>
          <w:p w14:paraId="15CE42E6" w14:textId="77777777" w:rsidR="00A367BA" w:rsidRPr="0013014F" w:rsidRDefault="00A367BA" w:rsidP="003028CF">
            <w:pPr>
              <w:keepNext/>
              <w:keepLines/>
              <w:rPr>
                <w:sz w:val="20"/>
              </w:rPr>
            </w:pPr>
            <w:r w:rsidRPr="00E86C26">
              <w:rPr>
                <w:sz w:val="20"/>
              </w:rPr>
              <w:t>Cost-utility analysis</w:t>
            </w:r>
          </w:p>
        </w:tc>
      </w:tr>
      <w:tr w:rsidR="00A367BA" w:rsidRPr="00183E4D" w14:paraId="0701A8ED" w14:textId="77777777" w:rsidTr="002236BD">
        <w:trPr>
          <w:trHeight w:val="20"/>
        </w:trPr>
        <w:tc>
          <w:tcPr>
            <w:tcW w:w="1412" w:type="pct"/>
          </w:tcPr>
          <w:p w14:paraId="1FC86F5F" w14:textId="77777777" w:rsidR="00A367BA" w:rsidRPr="00183E4D" w:rsidRDefault="00A367BA" w:rsidP="003028CF">
            <w:pPr>
              <w:pStyle w:val="Tabletext"/>
              <w:keepNext/>
              <w:keepLines/>
            </w:pPr>
            <w:r w:rsidRPr="00183E4D">
              <w:t>Sources of evidence</w:t>
            </w:r>
          </w:p>
        </w:tc>
        <w:tc>
          <w:tcPr>
            <w:tcW w:w="3588" w:type="pct"/>
          </w:tcPr>
          <w:p w14:paraId="676562E8" w14:textId="77777777" w:rsidR="00A367BA" w:rsidRPr="00E86C26" w:rsidRDefault="00A367BA" w:rsidP="003028CF">
            <w:pPr>
              <w:keepNext/>
              <w:keepLines/>
              <w:rPr>
                <w:sz w:val="20"/>
              </w:rPr>
            </w:pPr>
            <w:r w:rsidRPr="00E86C26">
              <w:rPr>
                <w:sz w:val="20"/>
              </w:rPr>
              <w:t>Systematic review of comparative toxicity profiles</w:t>
            </w:r>
            <w:r>
              <w:rPr>
                <w:sz w:val="20"/>
              </w:rPr>
              <w:t>.</w:t>
            </w:r>
          </w:p>
          <w:p w14:paraId="37903E7D" w14:textId="77777777" w:rsidR="00A367BA" w:rsidRPr="00E86C26" w:rsidRDefault="00A367BA" w:rsidP="003028CF">
            <w:pPr>
              <w:keepNext/>
              <w:keepLines/>
              <w:rPr>
                <w:sz w:val="20"/>
              </w:rPr>
            </w:pPr>
            <w:r w:rsidRPr="5BE138F5">
              <w:rPr>
                <w:sz w:val="20"/>
              </w:rPr>
              <w:t xml:space="preserve">QALY losses and costs of each toxicity </w:t>
            </w:r>
            <w:r>
              <w:rPr>
                <w:sz w:val="20"/>
              </w:rPr>
              <w:t>were</w:t>
            </w:r>
            <w:r w:rsidRPr="5BE138F5">
              <w:rPr>
                <w:sz w:val="20"/>
              </w:rPr>
              <w:t xml:space="preserve"> limited to the expected duration of the implications of the adverse event. There is a maximum time horizon of a lifetime for those toxicit</w:t>
            </w:r>
            <w:r>
              <w:rPr>
                <w:sz w:val="20"/>
              </w:rPr>
              <w:t>ies</w:t>
            </w:r>
            <w:r w:rsidRPr="5BE138F5">
              <w:rPr>
                <w:sz w:val="20"/>
              </w:rPr>
              <w:t xml:space="preserve"> which are permanent and irreversible</w:t>
            </w:r>
            <w:r>
              <w:rPr>
                <w:sz w:val="20"/>
              </w:rPr>
              <w:t>.</w:t>
            </w:r>
          </w:p>
          <w:p w14:paraId="33BA23F1" w14:textId="77777777" w:rsidR="00A367BA" w:rsidRPr="00E86C26" w:rsidRDefault="00A367BA" w:rsidP="003028CF">
            <w:pPr>
              <w:keepNext/>
              <w:keepLines/>
              <w:rPr>
                <w:sz w:val="20"/>
              </w:rPr>
            </w:pPr>
            <w:r>
              <w:rPr>
                <w:sz w:val="20"/>
              </w:rPr>
              <w:t>T</w:t>
            </w:r>
            <w:r w:rsidRPr="5BE138F5">
              <w:rPr>
                <w:sz w:val="20"/>
              </w:rPr>
              <w:t xml:space="preserve">he life expectancy used in the model </w:t>
            </w:r>
            <w:r>
              <w:rPr>
                <w:sz w:val="20"/>
              </w:rPr>
              <w:t>wa</w:t>
            </w:r>
            <w:r w:rsidRPr="5BE138F5">
              <w:rPr>
                <w:sz w:val="20"/>
              </w:rPr>
              <w:t>s uncertain</w:t>
            </w:r>
            <w:r>
              <w:rPr>
                <w:sz w:val="20"/>
              </w:rPr>
              <w:t>.</w:t>
            </w:r>
          </w:p>
        </w:tc>
      </w:tr>
      <w:tr w:rsidR="00A367BA" w:rsidRPr="00183E4D" w14:paraId="451CE4C0" w14:textId="77777777" w:rsidTr="002236BD">
        <w:trPr>
          <w:trHeight w:val="20"/>
        </w:trPr>
        <w:tc>
          <w:tcPr>
            <w:tcW w:w="1412" w:type="pct"/>
            <w:hideMark/>
          </w:tcPr>
          <w:p w14:paraId="65BA2D70" w14:textId="77777777" w:rsidR="00A367BA" w:rsidRPr="00183E4D" w:rsidRDefault="00A367BA" w:rsidP="003028CF">
            <w:pPr>
              <w:pStyle w:val="Tabletext"/>
            </w:pPr>
            <w:r w:rsidRPr="00183E4D">
              <w:t>Time horizon</w:t>
            </w:r>
          </w:p>
        </w:tc>
        <w:tc>
          <w:tcPr>
            <w:tcW w:w="3588" w:type="pct"/>
            <w:hideMark/>
          </w:tcPr>
          <w:p w14:paraId="326E1B5F" w14:textId="77777777" w:rsidR="00A367BA" w:rsidRPr="00E86C26" w:rsidRDefault="00A367BA" w:rsidP="003028CF">
            <w:pPr>
              <w:pStyle w:val="Tabletext"/>
            </w:pPr>
            <w:r w:rsidRPr="00E86C26">
              <w:t>15 years (PICO 1; adult); 75 years (PICO 2; paediatric/AYA)</w:t>
            </w:r>
          </w:p>
        </w:tc>
      </w:tr>
      <w:tr w:rsidR="00A367BA" w:rsidRPr="00183E4D" w14:paraId="69B784BC" w14:textId="77777777" w:rsidTr="002236BD">
        <w:trPr>
          <w:trHeight w:val="20"/>
        </w:trPr>
        <w:tc>
          <w:tcPr>
            <w:tcW w:w="1412" w:type="pct"/>
            <w:hideMark/>
          </w:tcPr>
          <w:p w14:paraId="00808068" w14:textId="77777777" w:rsidR="00A367BA" w:rsidRPr="00183E4D" w:rsidRDefault="00A367BA" w:rsidP="003028CF">
            <w:pPr>
              <w:pStyle w:val="Tabletext"/>
            </w:pPr>
            <w:r w:rsidRPr="00183E4D">
              <w:t>Outcomes</w:t>
            </w:r>
          </w:p>
        </w:tc>
        <w:tc>
          <w:tcPr>
            <w:tcW w:w="3588" w:type="pct"/>
          </w:tcPr>
          <w:p w14:paraId="5CCAC369" w14:textId="77777777" w:rsidR="00A367BA" w:rsidRPr="00E86C26" w:rsidRDefault="00A367BA" w:rsidP="003028CF">
            <w:pPr>
              <w:rPr>
                <w:sz w:val="20"/>
              </w:rPr>
            </w:pPr>
            <w:r w:rsidRPr="00E86C26">
              <w:rPr>
                <w:sz w:val="20"/>
              </w:rPr>
              <w:t>QALYs</w:t>
            </w:r>
          </w:p>
        </w:tc>
      </w:tr>
      <w:tr w:rsidR="00A367BA" w:rsidRPr="00183E4D" w14:paraId="552FD612" w14:textId="77777777" w:rsidTr="002236BD">
        <w:trPr>
          <w:trHeight w:val="20"/>
        </w:trPr>
        <w:tc>
          <w:tcPr>
            <w:tcW w:w="1412" w:type="pct"/>
            <w:hideMark/>
          </w:tcPr>
          <w:p w14:paraId="406C13B0" w14:textId="77777777" w:rsidR="00A367BA" w:rsidRPr="00183E4D" w:rsidRDefault="00A367BA" w:rsidP="003028CF">
            <w:pPr>
              <w:pStyle w:val="Tabletext"/>
            </w:pPr>
            <w:r w:rsidRPr="00183E4D">
              <w:t>Methods used to generate results</w:t>
            </w:r>
          </w:p>
        </w:tc>
        <w:tc>
          <w:tcPr>
            <w:tcW w:w="3588" w:type="pct"/>
          </w:tcPr>
          <w:p w14:paraId="0D3C164A" w14:textId="77777777" w:rsidR="00A367BA" w:rsidRPr="00E86C26" w:rsidRDefault="00A367BA" w:rsidP="003028CF">
            <w:pPr>
              <w:pStyle w:val="Tabletext"/>
            </w:pPr>
            <w:r w:rsidRPr="331F1DB8">
              <w:t>Expected value analysis</w:t>
            </w:r>
            <w:r>
              <w:t>:</w:t>
            </w:r>
            <w:r w:rsidRPr="331F1DB8">
              <w:t xml:space="preserve"> </w:t>
            </w:r>
            <w:r>
              <w:t>e</w:t>
            </w:r>
            <w:r w:rsidRPr="331F1DB8">
              <w:t xml:space="preserve">ach toxicity </w:t>
            </w:r>
            <w:r>
              <w:t>wa</w:t>
            </w:r>
            <w:r w:rsidRPr="331F1DB8">
              <w:t xml:space="preserve">s assigned a total cost and total QALY decrement. The total cost and total QALY decrement assigned to each intervention (PRT or PBT) </w:t>
            </w:r>
            <w:r>
              <w:t>wa</w:t>
            </w:r>
            <w:r w:rsidRPr="331F1DB8">
              <w:t xml:space="preserve">s calculated from the expected frequency of each toxicity </w:t>
            </w:r>
            <w:r>
              <w:t xml:space="preserve">reported in the clinical </w:t>
            </w:r>
            <w:r w:rsidRPr="331F1DB8">
              <w:t>evidence</w:t>
            </w:r>
          </w:p>
        </w:tc>
      </w:tr>
      <w:tr w:rsidR="00A367BA" w:rsidRPr="00183E4D" w14:paraId="24055A81" w14:textId="77777777" w:rsidTr="002236BD">
        <w:trPr>
          <w:trHeight w:val="20"/>
        </w:trPr>
        <w:tc>
          <w:tcPr>
            <w:tcW w:w="1412" w:type="pct"/>
            <w:hideMark/>
          </w:tcPr>
          <w:p w14:paraId="27344B6E" w14:textId="77777777" w:rsidR="00A367BA" w:rsidRPr="00183E4D" w:rsidRDefault="00A367BA" w:rsidP="003028CF">
            <w:pPr>
              <w:pStyle w:val="Tabletext"/>
            </w:pPr>
            <w:r w:rsidRPr="00183E4D">
              <w:t>Discount rate</w:t>
            </w:r>
          </w:p>
        </w:tc>
        <w:tc>
          <w:tcPr>
            <w:tcW w:w="3588" w:type="pct"/>
          </w:tcPr>
          <w:p w14:paraId="1C3E7B1A" w14:textId="77777777" w:rsidR="00A367BA" w:rsidRPr="00183E4D" w:rsidRDefault="00A367BA" w:rsidP="003028CF">
            <w:pPr>
              <w:pStyle w:val="Tabletext"/>
            </w:pPr>
            <w:r>
              <w:t>5% per annum</w:t>
            </w:r>
          </w:p>
        </w:tc>
      </w:tr>
      <w:tr w:rsidR="00A367BA" w:rsidRPr="00183E4D" w14:paraId="33E9B592" w14:textId="77777777" w:rsidTr="002236BD">
        <w:trPr>
          <w:trHeight w:val="20"/>
        </w:trPr>
        <w:tc>
          <w:tcPr>
            <w:tcW w:w="1412" w:type="pct"/>
            <w:hideMark/>
          </w:tcPr>
          <w:p w14:paraId="7C6DDA54" w14:textId="77777777" w:rsidR="00A367BA" w:rsidRPr="00183E4D" w:rsidRDefault="00A367BA" w:rsidP="003028CF">
            <w:pPr>
              <w:pStyle w:val="Tabletext"/>
            </w:pPr>
            <w:r w:rsidRPr="00183E4D">
              <w:t>Software packages used</w:t>
            </w:r>
          </w:p>
        </w:tc>
        <w:tc>
          <w:tcPr>
            <w:tcW w:w="3588" w:type="pct"/>
          </w:tcPr>
          <w:p w14:paraId="1D5DD60F" w14:textId="32EAB6E9" w:rsidR="00A367BA" w:rsidRPr="00183E4D" w:rsidRDefault="00A367BA" w:rsidP="00B3186E">
            <w:pPr>
              <w:pStyle w:val="Tabletext"/>
            </w:pPr>
            <w:r>
              <w:t xml:space="preserve">Microsoft Excel </w:t>
            </w:r>
          </w:p>
        </w:tc>
      </w:tr>
    </w:tbl>
    <w:p w14:paraId="27E77DC1" w14:textId="77777777" w:rsidR="00A367BA" w:rsidRDefault="00A367BA" w:rsidP="00654AB1">
      <w:pPr>
        <w:pStyle w:val="Tablenotes"/>
      </w:pPr>
      <w:r>
        <w:t xml:space="preserve">Source: Table 10, </w:t>
      </w:r>
      <w:proofErr w:type="spellStart"/>
      <w:r>
        <w:t>pxxv</w:t>
      </w:r>
      <w:proofErr w:type="spellEnd"/>
      <w:r>
        <w:t xml:space="preserve"> of the commentary</w:t>
      </w:r>
    </w:p>
    <w:p w14:paraId="76D0152D" w14:textId="77777777" w:rsidR="00A367BA" w:rsidRDefault="00A367BA" w:rsidP="00654AB1">
      <w:pPr>
        <w:pStyle w:val="Tablenotes"/>
      </w:pPr>
      <w:r>
        <w:t>Abbreviations: PICO=population, intervention, comparator, outcomes; PBT=proton beam therapy; PRT=photon radiation therapy; QALY=</w:t>
      </w:r>
      <w:r w:rsidRPr="00D97A38">
        <w:t xml:space="preserve"> </w:t>
      </w:r>
      <w:r>
        <w:t>quality adjusted life y</w:t>
      </w:r>
      <w:r w:rsidRPr="00C76D88">
        <w:t>ear</w:t>
      </w:r>
    </w:p>
    <w:p w14:paraId="27C944CD" w14:textId="77777777" w:rsidR="00A367BA" w:rsidRPr="001F7629" w:rsidRDefault="00A367BA" w:rsidP="00A740F4">
      <w:pPr>
        <w:keepNext/>
        <w:tabs>
          <w:tab w:val="left" w:pos="720"/>
        </w:tabs>
        <w:spacing w:before="240"/>
      </w:pPr>
      <w:r>
        <w:t>The c</w:t>
      </w:r>
      <w:r w:rsidRPr="001F7629">
        <w:t>ommentary highlighted several limitations of the ADAR’s model:</w:t>
      </w:r>
    </w:p>
    <w:p w14:paraId="6F614436" w14:textId="77777777" w:rsidR="00A367BA" w:rsidRDefault="00A367BA" w:rsidP="00A367BA">
      <w:pPr>
        <w:pStyle w:val="NormalBulletList"/>
        <w:spacing w:line="240" w:lineRule="auto"/>
        <w:ind w:left="714" w:hanging="357"/>
      </w:pPr>
      <w:r w:rsidRPr="001F7629">
        <w:t xml:space="preserve">The model structure is a simple decision analytic model, which only models rates of toxicities, and the costs and utilities of these toxicities. </w:t>
      </w:r>
      <w:r>
        <w:t>T</w:t>
      </w:r>
      <w:r w:rsidRPr="001F7629">
        <w:t>hese key parameters drive the mo</w:t>
      </w:r>
      <w:r>
        <w:t>del, h</w:t>
      </w:r>
      <w:r w:rsidRPr="001F7629">
        <w:t>owever, there is great uncertainty with each of the parameters</w:t>
      </w:r>
      <w:r>
        <w:t>.</w:t>
      </w:r>
    </w:p>
    <w:p w14:paraId="0182C05C" w14:textId="77777777" w:rsidR="00A367BA" w:rsidRPr="00A367BA" w:rsidRDefault="00A367BA" w:rsidP="00A367BA">
      <w:pPr>
        <w:pStyle w:val="NormalBulletList"/>
        <w:spacing w:line="240" w:lineRule="auto"/>
        <w:ind w:left="714" w:hanging="357"/>
        <w:rPr>
          <w:rStyle w:val="Emphasis"/>
          <w:rFonts w:ascii="Times New Roman" w:eastAsiaTheme="majorEastAsia" w:hAnsi="Times New Roman"/>
          <w:i w:val="0"/>
        </w:rPr>
      </w:pPr>
      <w:r w:rsidRPr="00A367BA">
        <w:rPr>
          <w:rStyle w:val="Emphasis"/>
          <w:rFonts w:ascii="Times New Roman" w:eastAsiaTheme="majorEastAsia" w:hAnsi="Times New Roman"/>
          <w:i w:val="0"/>
        </w:rPr>
        <w:t>Most sources of data were not specific to rare cancers, and the applicability of these data to the model is uncertain.</w:t>
      </w:r>
    </w:p>
    <w:p w14:paraId="101A3CE7" w14:textId="3804A188" w:rsidR="00A367BA" w:rsidRPr="001F7629" w:rsidRDefault="00A367BA" w:rsidP="00A367BA">
      <w:pPr>
        <w:pStyle w:val="NormalBulletList"/>
        <w:spacing w:line="240" w:lineRule="auto"/>
        <w:ind w:left="714" w:hanging="357"/>
      </w:pPr>
      <w:r w:rsidRPr="001F7629">
        <w:t>Annual costs were projected, and discounted, over the estimated life expectancy of the populations</w:t>
      </w:r>
      <w:r>
        <w:t>:</w:t>
      </w:r>
      <w:r w:rsidRPr="001F7629">
        <w:t xml:space="preserve"> 15 years for PICO 1 (adult) and 75 years for PICO 2 (paediatric/AYA). </w:t>
      </w:r>
      <w:r>
        <w:t>No evidence was provided in the ADAR</w:t>
      </w:r>
      <w:r w:rsidR="001D5A96">
        <w:t xml:space="preserve"> </w:t>
      </w:r>
      <w:r w:rsidR="001D5A96" w:rsidRPr="00B35E1C">
        <w:t>to show why these patients would live for these periods</w:t>
      </w:r>
      <w:r w:rsidR="00C262CC">
        <w:t>,</w:t>
      </w:r>
      <w:r>
        <w:t xml:space="preserve"> but </w:t>
      </w:r>
      <w:r w:rsidR="00C262CC">
        <w:t>these estimates were</w:t>
      </w:r>
      <w:r>
        <w:t xml:space="preserve"> justified in the pre-ESC response.</w:t>
      </w:r>
    </w:p>
    <w:p w14:paraId="599F153A" w14:textId="77777777" w:rsidR="00A367BA" w:rsidRPr="001F7629" w:rsidRDefault="00A367BA" w:rsidP="00A367BA">
      <w:pPr>
        <w:pStyle w:val="NormalBulletList"/>
        <w:spacing w:line="240" w:lineRule="auto"/>
        <w:ind w:left="714" w:hanging="357"/>
      </w:pPr>
      <w:r w:rsidRPr="001F7629">
        <w:t xml:space="preserve">The model assumes </w:t>
      </w:r>
      <w:r>
        <w:t>adverse events</w:t>
      </w:r>
      <w:r w:rsidRPr="001F7629">
        <w:t xml:space="preserve"> occur immediately after PBT or PRT (with the exception of secondary malignancy, xerostomia and </w:t>
      </w:r>
      <w:proofErr w:type="spellStart"/>
      <w:r w:rsidRPr="001F7629">
        <w:t>mucositis</w:t>
      </w:r>
      <w:proofErr w:type="spellEnd"/>
      <w:r w:rsidRPr="001F7629">
        <w:t xml:space="preserve">). </w:t>
      </w:r>
      <w:r>
        <w:t xml:space="preserve">It is uncertain </w:t>
      </w:r>
      <w:r w:rsidRPr="001F7629">
        <w:t xml:space="preserve">whether there is a </w:t>
      </w:r>
      <w:r>
        <w:t xml:space="preserve">delay to onset of these </w:t>
      </w:r>
      <w:r w:rsidRPr="001F7629">
        <w:t>adverse event</w:t>
      </w:r>
      <w:r>
        <w:t>s and, if so, by how long.</w:t>
      </w:r>
    </w:p>
    <w:p w14:paraId="46FE36F6" w14:textId="77777777" w:rsidR="00A367BA" w:rsidRPr="001F7629" w:rsidRDefault="00A367BA" w:rsidP="00A367BA">
      <w:pPr>
        <w:pStyle w:val="NormalBulletList"/>
        <w:spacing w:line="240" w:lineRule="auto"/>
        <w:ind w:left="714" w:hanging="357"/>
      </w:pPr>
      <w:r w:rsidRPr="001F7629">
        <w:t>The cost of endocrine dysfunction was directly calculated by the utilisation of growth hormone therapy, funded on the PBS, and therefore the time on treatment (10 years) was used to determine the overall cost of this toxicity ($23,049.50/year). This cost is a significant driver of the model.</w:t>
      </w:r>
    </w:p>
    <w:p w14:paraId="218F5848" w14:textId="77777777" w:rsidR="00A367BA" w:rsidRPr="001F7629" w:rsidRDefault="00A367BA" w:rsidP="00A367BA">
      <w:pPr>
        <w:pStyle w:val="NormalBulletList"/>
        <w:spacing w:line="240" w:lineRule="auto"/>
        <w:ind w:left="714" w:hanging="357"/>
      </w:pPr>
      <w:r>
        <w:t>The</w:t>
      </w:r>
      <w:r w:rsidRPr="001F7629">
        <w:t xml:space="preserve"> rate for endocrine dysfunction </w:t>
      </w:r>
      <w:r>
        <w:t xml:space="preserve">for the PICO 1 (adult) population was based on </w:t>
      </w:r>
      <w:hyperlink w:anchor="_ENREF_7" w:tooltip="Appelman-Dijkstra, 2011 #49" w:history="1">
        <w:r w:rsidRPr="001F7629">
          <w:fldChar w:fldCharType="begin"/>
        </w:r>
        <w:r w:rsidRPr="001F7629">
          <w:instrText xml:space="preserve"> ADDIN EN.CITE &lt;EndNote&gt;&lt;Cite AuthorYear="1"&gt;&lt;Author&gt;Appelman-Dijkstra&lt;/Author&gt;&lt;Year&gt;2011&lt;/Year&gt;&lt;RecNum&gt;49&lt;/RecNum&gt;&lt;DisplayText&gt;Appelman-Dijkstra et al. (2011)&lt;/DisplayText&gt;&lt;record&gt;&lt;rec-number&gt;49&lt;/rec-number&gt;&lt;foreign-keys&gt;&lt;key app="EN" db-id="exfrw2pee0v5z6evdr2xwspdfw0ezf5ttzwp" timestamp="1597976217"&gt;49&lt;/key&gt;&lt;/foreign-keys&gt;&lt;ref-type name="Journal Article"&gt;17&lt;/ref-type&gt;&lt;contributors&gt;&lt;authors&gt;&lt;author&gt;Appelman-Dijkstra, NM&lt;/author&gt;&lt;author&gt;Kokshoorn, NE&lt;/author&gt;&lt;author&gt;Dekkers, OM&lt;/author&gt;&lt;author&gt;Neelis, KJ&lt;/author&gt;&lt;author&gt;Biermasz, NR&lt;/author&gt;&lt;author&gt;Romijn, JA&lt;/author&gt;&lt;author&gt;Smit, JWA&lt;/author&gt;&lt;author&gt;Pereira, AM&lt;/author&gt;&lt;/authors&gt;&lt;/contributors&gt;&lt;titles&gt;&lt;title&gt;Pituitary dysfunction in adult patients after cranial radiotherapy: systematic review and meta-analysis&lt;/title&gt;&lt;secondary-title&gt;The Journal of Clinical Endocrinology &amp;amp; Metabolism&lt;/secondary-title&gt;&lt;/titles&gt;&lt;periodical&gt;&lt;full-title&gt;The Journal of Clinical Endocrinology &amp;amp; Metabolism&lt;/full-title&gt;&lt;/periodical&gt;&lt;pages&gt;2330-2340&lt;/pages&gt;&lt;volume&gt;96&lt;/volume&gt;&lt;number&gt;8&lt;/number&gt;&lt;dates&gt;&lt;year&gt;2011&lt;/year&gt;&lt;/dates&gt;&lt;isbn&gt;0021-972X&lt;/isbn&gt;&lt;urls&gt;&lt;/urls&gt;&lt;/record&gt;&lt;/Cite&gt;&lt;/EndNote&gt;</w:instrText>
        </w:r>
        <w:r w:rsidRPr="001F7629">
          <w:fldChar w:fldCharType="separate"/>
        </w:r>
        <w:r w:rsidRPr="001F7629">
          <w:t>Appelman-Dijkstra et al. (2011)</w:t>
        </w:r>
        <w:r w:rsidRPr="001F7629">
          <w:fldChar w:fldCharType="end"/>
        </w:r>
      </w:hyperlink>
      <w:r>
        <w:rPr>
          <w:rStyle w:val="FootnoteReference"/>
        </w:rPr>
        <w:footnoteReference w:id="2"/>
      </w:r>
      <w:r w:rsidRPr="001F7629">
        <w:t xml:space="preserve"> which reported a hypopituitarism rate of 66% for patients treated with PRT</w:t>
      </w:r>
      <w:r>
        <w:t xml:space="preserve"> from which the ADAR estimated a rate of 45% in the PBT arm (by applying relative risk of 0.682 derived from Eaton et al. (2016b)</w:t>
      </w:r>
      <w:r>
        <w:rPr>
          <w:rStyle w:val="FootnoteReference"/>
        </w:rPr>
        <w:footnoteReference w:id="3"/>
      </w:r>
      <w:r>
        <w:t xml:space="preserve">). This estimate in the paediatric population differed to the estimate from </w:t>
      </w:r>
      <w:proofErr w:type="spellStart"/>
      <w:r w:rsidRPr="001F7629">
        <w:t>Alterio</w:t>
      </w:r>
      <w:proofErr w:type="spellEnd"/>
      <w:r w:rsidRPr="001F7629">
        <w:t xml:space="preserve"> </w:t>
      </w:r>
      <w:r>
        <w:t>at el. (</w:t>
      </w:r>
      <w:r w:rsidRPr="001F7629">
        <w:t>2020)</w:t>
      </w:r>
      <w:r>
        <w:rPr>
          <w:rStyle w:val="FootnoteReference"/>
        </w:rPr>
        <w:footnoteReference w:id="4"/>
      </w:r>
      <w:r w:rsidRPr="001F7629">
        <w:t xml:space="preserve"> </w:t>
      </w:r>
      <w:r>
        <w:t xml:space="preserve">in the adult population, which </w:t>
      </w:r>
      <w:r w:rsidRPr="001F7629">
        <w:t>reported the endocrine dysfunction rates were 100% in the PRT group and 96.3% in the PBT for any endocrine disorder (MD: -0.04; 95% CI -0.13, 0.06</w:t>
      </w:r>
      <w:r>
        <w:t>).</w:t>
      </w:r>
      <w:r w:rsidRPr="001F7629">
        <w:t xml:space="preserve"> The difference between these two studies significantly increases the uncertainty of the rate of endocrine dysfunction in the model</w:t>
      </w:r>
      <w:r>
        <w:t>. A</w:t>
      </w:r>
      <w:r w:rsidRPr="001F7629">
        <w:t xml:space="preserve">s this rate is a significant driver of the model, this uncertainty </w:t>
      </w:r>
      <w:r>
        <w:t xml:space="preserve">affects </w:t>
      </w:r>
      <w:r w:rsidRPr="001F7629">
        <w:t xml:space="preserve">the </w:t>
      </w:r>
      <w:r>
        <w:t xml:space="preserve">estimate of </w:t>
      </w:r>
      <w:r w:rsidRPr="001F7629">
        <w:t>overall cost-</w:t>
      </w:r>
      <w:r w:rsidRPr="001F7629">
        <w:lastRenderedPageBreak/>
        <w:t>effectiveness of PBT in both PICO</w:t>
      </w:r>
      <w:r>
        <w:t> </w:t>
      </w:r>
      <w:r w:rsidRPr="001F7629">
        <w:t xml:space="preserve">1 (adult) and PICO </w:t>
      </w:r>
      <w:r>
        <w:t>2 (paediatric/AYA) populations.</w:t>
      </w:r>
    </w:p>
    <w:p w14:paraId="133A7EA0" w14:textId="77777777" w:rsidR="00A367BA" w:rsidRDefault="00A367BA" w:rsidP="00A367BA">
      <w:pPr>
        <w:pStyle w:val="NormalBulletList"/>
        <w:spacing w:line="240" w:lineRule="auto"/>
        <w:ind w:left="714" w:hanging="357"/>
      </w:pPr>
      <w:r w:rsidRPr="001F7629">
        <w:t xml:space="preserve">The ADAR applied a rate for dysphagia and hearing loss where no statistical significance was reported between the two groups (dysphagia RD: -0.09 [95% CI: </w:t>
      </w:r>
      <w:r>
        <w:br/>
      </w:r>
      <w:r w:rsidRPr="001F7629">
        <w:t>-0.32, 0.15]; hearing loss RD: 0.01 [-0.19</w:t>
      </w:r>
      <w:r>
        <w:t>, 0.20]).</w:t>
      </w:r>
    </w:p>
    <w:p w14:paraId="46188A01" w14:textId="5F6AFBE1" w:rsidR="00A367BA" w:rsidRDefault="00A367BA" w:rsidP="00A367BA">
      <w:pPr>
        <w:pStyle w:val="NormalBulletList"/>
        <w:spacing w:line="240" w:lineRule="auto"/>
        <w:ind w:left="714" w:hanging="357"/>
      </w:pPr>
      <w:r w:rsidRPr="001F7629">
        <w:t>Utility values used in the model appear to be identified from a systematic review cataloguing EQ-5D scores in chronic disease. Where multiple sources were identified in the systematic review, the ADAR did not discuss why specific utility values were used in the model. Various utility values were not tested in the economic model sensitivity analysis. However, generally, lower disutility values were used in the model reducing the impact on the ICER.</w:t>
      </w:r>
    </w:p>
    <w:p w14:paraId="367325F3" w14:textId="77777777" w:rsidR="00A367BA" w:rsidRDefault="00A367BA" w:rsidP="00A367BA">
      <w:pPr>
        <w:pStyle w:val="NormalBulletList"/>
        <w:spacing w:line="240" w:lineRule="auto"/>
        <w:ind w:left="714" w:hanging="357"/>
      </w:pPr>
      <w:r>
        <w:t>The ADAR estimated the</w:t>
      </w:r>
      <w:r w:rsidRPr="00955B7D">
        <w:t xml:space="preserve"> </w:t>
      </w:r>
      <w:r>
        <w:t xml:space="preserve">ratio of PICO 1 (adult) </w:t>
      </w:r>
      <w:r w:rsidRPr="00955B7D">
        <w:t xml:space="preserve">and </w:t>
      </w:r>
      <w:r>
        <w:t xml:space="preserve">PICO 2 (paediatric/AYA) </w:t>
      </w:r>
      <w:r w:rsidRPr="00955B7D">
        <w:t>patients to be 34.2% and 65.8%, respectively</w:t>
      </w:r>
      <w:r>
        <w:t>, based on AIHW and ACCR data</w:t>
      </w:r>
      <w:r w:rsidRPr="00955B7D">
        <w:t xml:space="preserve">. These proportions </w:t>
      </w:r>
      <w:r>
        <w:t>were</w:t>
      </w:r>
      <w:r w:rsidRPr="00955B7D">
        <w:t xml:space="preserve"> used to provide an overall weighted ICER reflecting the cost-effectiveness of PBT relative to PRT in the combined PICO populations.</w:t>
      </w:r>
      <w:r>
        <w:t xml:space="preserve"> Although the commentary considered this approach appropriate, this ratio may vary substantially depending on the definition of eligible adult </w:t>
      </w:r>
      <w:r>
        <w:rPr>
          <w:i/>
        </w:rPr>
        <w:t>vs.</w:t>
      </w:r>
      <w:r>
        <w:t xml:space="preserve"> paediatric/AYA cancer types.</w:t>
      </w:r>
    </w:p>
    <w:p w14:paraId="7A83B018" w14:textId="77777777" w:rsidR="00A367BA" w:rsidRPr="001F7629" w:rsidRDefault="00A367BA" w:rsidP="00A367BA">
      <w:pPr>
        <w:spacing w:after="240"/>
      </w:pPr>
      <w:r>
        <w:t>The pre-ESC response reiterated that the costs of endocrine replacement therapy and the impact this has in driving the cost-effectiveness of PBT in the ADAR model is consistent with other published studies by</w:t>
      </w:r>
      <w:r w:rsidRPr="004D6EC8">
        <w:t xml:space="preserve"> </w:t>
      </w:r>
      <w:proofErr w:type="spellStart"/>
      <w:r w:rsidRPr="004D6EC8">
        <w:t>Lundkvist</w:t>
      </w:r>
      <w:proofErr w:type="spellEnd"/>
      <w:r w:rsidRPr="004D6EC8">
        <w:t xml:space="preserve"> </w:t>
      </w:r>
      <w:r>
        <w:t xml:space="preserve">et al. </w:t>
      </w:r>
      <w:r w:rsidRPr="004D6EC8">
        <w:t>(2005)</w:t>
      </w:r>
      <w:r>
        <w:rPr>
          <w:rStyle w:val="FootnoteReference"/>
        </w:rPr>
        <w:footnoteReference w:id="5"/>
      </w:r>
      <w:r w:rsidRPr="004D6EC8">
        <w:t xml:space="preserve"> </w:t>
      </w:r>
      <w:r>
        <w:t xml:space="preserve">and </w:t>
      </w:r>
      <w:proofErr w:type="spellStart"/>
      <w:r w:rsidRPr="004D6EC8">
        <w:t>Mailhot</w:t>
      </w:r>
      <w:proofErr w:type="spellEnd"/>
      <w:r>
        <w:t>-</w:t>
      </w:r>
      <w:r w:rsidRPr="004D6EC8">
        <w:t>Vega (2015)</w:t>
      </w:r>
      <w:r>
        <w:rPr>
          <w:rStyle w:val="FootnoteReference"/>
        </w:rPr>
        <w:footnoteReference w:id="6"/>
      </w:r>
      <w:r>
        <w:t xml:space="preserve">. The applicant also clarified that that the life expectancy for </w:t>
      </w:r>
      <w:r w:rsidRPr="00E71C62">
        <w:t xml:space="preserve">the PICO 1 </w:t>
      </w:r>
      <w:r>
        <w:t xml:space="preserve">(adult) </w:t>
      </w:r>
      <w:r w:rsidRPr="00E71C62">
        <w:t xml:space="preserve">population </w:t>
      </w:r>
      <w:r>
        <w:t xml:space="preserve">was </w:t>
      </w:r>
      <w:r w:rsidRPr="00E71C62">
        <w:t>based on survival data for patients with meningioma and adenoid cystic carcinoma</w:t>
      </w:r>
      <w:r>
        <w:t>, and for PICO 2 (</w:t>
      </w:r>
      <w:r w:rsidRPr="00E71C62">
        <w:t>paediatric and AYA</w:t>
      </w:r>
      <w:r>
        <w:t>) population, the</w:t>
      </w:r>
      <w:r w:rsidRPr="00E71C62">
        <w:t xml:space="preserve"> survival </w:t>
      </w:r>
      <w:r>
        <w:t xml:space="preserve">estimates were </w:t>
      </w:r>
      <w:r w:rsidRPr="00E71C62">
        <w:t xml:space="preserve">based on current Australian life expectancy and the assumption that patients </w:t>
      </w:r>
      <w:r>
        <w:t>are treated at 10 years of age.</w:t>
      </w:r>
    </w:p>
    <w:p w14:paraId="63D71742" w14:textId="52FCFECA" w:rsidR="00EB37FB" w:rsidRPr="00EB37FB" w:rsidRDefault="00A367BA" w:rsidP="00EB37FB">
      <w:pPr>
        <w:spacing w:after="240"/>
      </w:pPr>
      <w:r w:rsidRPr="00183E4D">
        <w:t xml:space="preserve">The overall costs and outcomes, and incremental costs and outcomes as calculated for the intervention and comparator in </w:t>
      </w:r>
      <w:r>
        <w:t>the model, and using</w:t>
      </w:r>
      <w:r w:rsidRPr="00183E4D">
        <w:t xml:space="preserve"> the base case assumptions, are shown in </w:t>
      </w:r>
      <w:r>
        <w:fldChar w:fldCharType="begin"/>
      </w:r>
      <w:r>
        <w:instrText xml:space="preserve"> REF _Ref51168057 \h  \* MERGEFORMAT </w:instrText>
      </w:r>
      <w:r>
        <w:fldChar w:fldCharType="separate"/>
      </w:r>
      <w:r w:rsidR="00810FF0" w:rsidRPr="0035691E">
        <w:t xml:space="preserve">Table </w:t>
      </w:r>
      <w:r w:rsidR="00810FF0">
        <w:rPr>
          <w:noProof/>
        </w:rPr>
        <w:t>14</w:t>
      </w:r>
      <w:r>
        <w:fldChar w:fldCharType="end"/>
      </w:r>
      <w:bookmarkStart w:id="47" w:name="_Ref51168057"/>
      <w:bookmarkStart w:id="48" w:name="_Toc399251124"/>
      <w:bookmarkStart w:id="49" w:name="_Toc50454226"/>
      <w:r w:rsidR="00EB37FB">
        <w:t>.</w:t>
      </w:r>
      <w:r w:rsidR="00EB37FB">
        <w:rPr>
          <w:rFonts w:ascii="Arial Narrow" w:hAnsi="Arial Narrow"/>
          <w:b/>
          <w:sz w:val="20"/>
        </w:rPr>
        <w:br w:type="page"/>
      </w:r>
    </w:p>
    <w:p w14:paraId="1EE930D5" w14:textId="610A5120" w:rsidR="00A367BA" w:rsidRPr="009E589D" w:rsidRDefault="00A367BA" w:rsidP="009E589D">
      <w:pPr>
        <w:rPr>
          <w:rFonts w:ascii="Arial Narrow" w:hAnsi="Arial Narrow"/>
          <w:b/>
          <w:sz w:val="20"/>
        </w:rPr>
      </w:pPr>
      <w:r w:rsidRPr="009E589D">
        <w:rPr>
          <w:rFonts w:ascii="Arial Narrow" w:hAnsi="Arial Narrow"/>
          <w:b/>
          <w:sz w:val="20"/>
        </w:rPr>
        <w:t xml:space="preserve">Table </w:t>
      </w:r>
      <w:r w:rsidRPr="009E589D">
        <w:rPr>
          <w:rFonts w:ascii="Arial Narrow" w:hAnsi="Arial Narrow"/>
          <w:b/>
          <w:sz w:val="20"/>
        </w:rPr>
        <w:fldChar w:fldCharType="begin"/>
      </w:r>
      <w:r w:rsidRPr="009E589D">
        <w:rPr>
          <w:rFonts w:ascii="Arial Narrow" w:hAnsi="Arial Narrow"/>
          <w:b/>
          <w:sz w:val="20"/>
        </w:rPr>
        <w:instrText>SEQ Table \* ARABIC</w:instrText>
      </w:r>
      <w:r w:rsidRPr="009E589D">
        <w:rPr>
          <w:rFonts w:ascii="Arial Narrow" w:hAnsi="Arial Narrow"/>
          <w:b/>
          <w:sz w:val="20"/>
        </w:rPr>
        <w:fldChar w:fldCharType="separate"/>
      </w:r>
      <w:r w:rsidR="00810FF0" w:rsidRPr="009E589D">
        <w:rPr>
          <w:rFonts w:ascii="Arial Narrow" w:hAnsi="Arial Narrow"/>
          <w:b/>
          <w:sz w:val="20"/>
        </w:rPr>
        <w:t>14</w:t>
      </w:r>
      <w:r w:rsidRPr="009E589D">
        <w:rPr>
          <w:rFonts w:ascii="Arial Narrow" w:hAnsi="Arial Narrow"/>
          <w:b/>
          <w:sz w:val="20"/>
        </w:rPr>
        <w:fldChar w:fldCharType="end"/>
      </w:r>
      <w:bookmarkEnd w:id="47"/>
      <w:r w:rsidRPr="009E589D">
        <w:rPr>
          <w:rFonts w:ascii="Arial Narrow" w:hAnsi="Arial Narrow"/>
          <w:b/>
          <w:sz w:val="20"/>
        </w:rPr>
        <w:tab/>
      </w:r>
      <w:bookmarkEnd w:id="48"/>
      <w:r w:rsidR="00741769" w:rsidRPr="009E589D">
        <w:rPr>
          <w:rFonts w:ascii="Arial Narrow" w:hAnsi="Arial Narrow"/>
          <w:b/>
          <w:sz w:val="20"/>
        </w:rPr>
        <w:t>Incremental</w:t>
      </w:r>
      <w:r w:rsidRPr="009E589D">
        <w:rPr>
          <w:rFonts w:ascii="Arial Narrow" w:hAnsi="Arial Narrow"/>
          <w:b/>
          <w:sz w:val="20"/>
        </w:rPr>
        <w:t xml:space="preserve"> cost-effectiveness of PBT compared with PRT as reported in the ADAR</w:t>
      </w:r>
      <w:bookmarkEnd w:id="49"/>
      <w:r w:rsidR="00A740F4" w:rsidRPr="009E589D">
        <w:rPr>
          <w:rFonts w:ascii="Arial Narrow" w:hAnsi="Arial Narrow"/>
          <w:b/>
          <w:sz w:val="20"/>
        </w:rPr>
        <w:t xml:space="preserve"> - modified to include the cost of the proposed PRT vs PBT comparison plan</w:t>
      </w:r>
    </w:p>
    <w:tbl>
      <w:tblPr>
        <w:tblStyle w:val="TableGrid2"/>
        <w:tblW w:w="5088" w:type="pct"/>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549"/>
        <w:gridCol w:w="1481"/>
        <w:gridCol w:w="1481"/>
        <w:gridCol w:w="8"/>
        <w:gridCol w:w="1266"/>
        <w:gridCol w:w="8"/>
        <w:gridCol w:w="1248"/>
        <w:gridCol w:w="9"/>
        <w:gridCol w:w="2125"/>
      </w:tblGrid>
      <w:tr w:rsidR="00A22F36" w:rsidRPr="001634D6" w14:paraId="6FEE74B5" w14:textId="77777777" w:rsidTr="00233774">
        <w:trPr>
          <w:cnfStyle w:val="100000000000" w:firstRow="1" w:lastRow="0" w:firstColumn="0" w:lastColumn="0" w:oddVBand="0" w:evenVBand="0" w:oddHBand="0" w:evenHBand="0" w:firstRowFirstColumn="0" w:firstRowLastColumn="0" w:lastRowFirstColumn="0" w:lastRowLastColumn="0"/>
          <w:tblHeader/>
        </w:trPr>
        <w:tc>
          <w:tcPr>
            <w:tcW w:w="847" w:type="pct"/>
            <w:tcBorders>
              <w:bottom w:val="single" w:sz="4" w:space="0" w:color="auto"/>
            </w:tcBorders>
          </w:tcPr>
          <w:p w14:paraId="73031778" w14:textId="77777777" w:rsidR="00A367BA" w:rsidRPr="001634D6" w:rsidRDefault="00A367BA" w:rsidP="003028CF">
            <w:pPr>
              <w:keepNext/>
              <w:keepLines/>
              <w:jc w:val="both"/>
              <w:rPr>
                <w:rFonts w:ascii="Arial Narrow" w:hAnsi="Arial Narrow"/>
                <w:b/>
                <w:sz w:val="20"/>
              </w:rPr>
            </w:pPr>
          </w:p>
        </w:tc>
        <w:tc>
          <w:tcPr>
            <w:tcW w:w="809" w:type="pct"/>
            <w:tcBorders>
              <w:bottom w:val="single" w:sz="4" w:space="0" w:color="auto"/>
            </w:tcBorders>
          </w:tcPr>
          <w:p w14:paraId="58A84A5B" w14:textId="77777777" w:rsidR="00A367BA" w:rsidRPr="001634D6" w:rsidRDefault="00A367BA" w:rsidP="003028CF">
            <w:pPr>
              <w:keepNext/>
              <w:keepLines/>
              <w:jc w:val="center"/>
              <w:rPr>
                <w:rFonts w:ascii="Arial Narrow" w:hAnsi="Arial Narrow"/>
                <w:b/>
                <w:sz w:val="20"/>
              </w:rPr>
            </w:pPr>
            <w:r w:rsidRPr="001634D6">
              <w:rPr>
                <w:rFonts w:ascii="Arial Narrow" w:hAnsi="Arial Narrow"/>
                <w:b/>
                <w:sz w:val="20"/>
              </w:rPr>
              <w:t>Cost</w:t>
            </w:r>
          </w:p>
        </w:tc>
        <w:tc>
          <w:tcPr>
            <w:tcW w:w="809" w:type="pct"/>
            <w:tcBorders>
              <w:bottom w:val="single" w:sz="4" w:space="0" w:color="auto"/>
            </w:tcBorders>
          </w:tcPr>
          <w:p w14:paraId="4B397753" w14:textId="77777777" w:rsidR="00A367BA" w:rsidRPr="001634D6" w:rsidRDefault="00A367BA" w:rsidP="003028CF">
            <w:pPr>
              <w:keepNext/>
              <w:keepLines/>
              <w:jc w:val="center"/>
              <w:rPr>
                <w:rFonts w:ascii="Arial Narrow" w:hAnsi="Arial Narrow"/>
                <w:b/>
                <w:sz w:val="20"/>
              </w:rPr>
            </w:pPr>
            <w:r w:rsidRPr="001634D6">
              <w:rPr>
                <w:rFonts w:ascii="Arial Narrow" w:hAnsi="Arial Narrow"/>
                <w:b/>
                <w:sz w:val="20"/>
              </w:rPr>
              <w:t>Incremental cost</w:t>
            </w:r>
          </w:p>
        </w:tc>
        <w:tc>
          <w:tcPr>
            <w:tcW w:w="690" w:type="pct"/>
            <w:gridSpan w:val="2"/>
            <w:tcBorders>
              <w:bottom w:val="single" w:sz="4" w:space="0" w:color="auto"/>
            </w:tcBorders>
          </w:tcPr>
          <w:p w14:paraId="76A38510" w14:textId="77777777" w:rsidR="00A367BA" w:rsidRPr="001634D6" w:rsidRDefault="00A367BA" w:rsidP="003028CF">
            <w:pPr>
              <w:keepNext/>
              <w:keepLines/>
              <w:jc w:val="center"/>
              <w:rPr>
                <w:rFonts w:ascii="Arial Narrow" w:hAnsi="Arial Narrow"/>
                <w:b/>
                <w:sz w:val="20"/>
              </w:rPr>
            </w:pPr>
            <w:r w:rsidRPr="001634D6">
              <w:rPr>
                <w:rFonts w:ascii="Arial Narrow" w:hAnsi="Arial Narrow"/>
                <w:b/>
                <w:sz w:val="20"/>
              </w:rPr>
              <w:t>Effectiveness (toxicities or QALYs)</w:t>
            </w:r>
          </w:p>
        </w:tc>
        <w:tc>
          <w:tcPr>
            <w:tcW w:w="681" w:type="pct"/>
            <w:gridSpan w:val="2"/>
            <w:tcBorders>
              <w:bottom w:val="single" w:sz="4" w:space="0" w:color="auto"/>
            </w:tcBorders>
          </w:tcPr>
          <w:p w14:paraId="7A34B5D0" w14:textId="77777777" w:rsidR="00A367BA" w:rsidRPr="001634D6" w:rsidRDefault="00A367BA" w:rsidP="003028CF">
            <w:pPr>
              <w:keepNext/>
              <w:keepLines/>
              <w:jc w:val="center"/>
              <w:rPr>
                <w:rFonts w:ascii="Arial Narrow" w:hAnsi="Arial Narrow"/>
                <w:b/>
                <w:sz w:val="20"/>
              </w:rPr>
            </w:pPr>
            <w:r w:rsidRPr="001634D6">
              <w:rPr>
                <w:rFonts w:ascii="Arial Narrow" w:hAnsi="Arial Narrow"/>
                <w:b/>
                <w:sz w:val="20"/>
              </w:rPr>
              <w:t>Incremental effectiveness</w:t>
            </w:r>
          </w:p>
        </w:tc>
        <w:tc>
          <w:tcPr>
            <w:tcW w:w="1160" w:type="pct"/>
            <w:gridSpan w:val="2"/>
            <w:tcBorders>
              <w:bottom w:val="single" w:sz="4" w:space="0" w:color="auto"/>
            </w:tcBorders>
          </w:tcPr>
          <w:p w14:paraId="532FE845" w14:textId="77777777" w:rsidR="00A367BA" w:rsidRPr="001634D6" w:rsidRDefault="00A367BA" w:rsidP="003028CF">
            <w:pPr>
              <w:keepNext/>
              <w:keepLines/>
              <w:jc w:val="center"/>
              <w:rPr>
                <w:rFonts w:ascii="Arial Narrow" w:hAnsi="Arial Narrow"/>
                <w:b/>
                <w:sz w:val="20"/>
              </w:rPr>
            </w:pPr>
            <w:r w:rsidRPr="001634D6">
              <w:rPr>
                <w:rFonts w:ascii="Arial Narrow" w:hAnsi="Arial Narrow"/>
                <w:b/>
                <w:sz w:val="20"/>
              </w:rPr>
              <w:t>ICER</w:t>
            </w:r>
          </w:p>
        </w:tc>
      </w:tr>
      <w:tr w:rsidR="00A367BA" w:rsidRPr="001634D6" w14:paraId="6505994D" w14:textId="77777777" w:rsidTr="00233774">
        <w:tc>
          <w:tcPr>
            <w:tcW w:w="5000" w:type="pct"/>
            <w:gridSpan w:val="9"/>
            <w:tcBorders>
              <w:bottom w:val="single" w:sz="4" w:space="0" w:color="auto"/>
            </w:tcBorders>
          </w:tcPr>
          <w:p w14:paraId="2A003532" w14:textId="77777777" w:rsidR="00A367BA" w:rsidRPr="001634D6" w:rsidRDefault="00A367BA" w:rsidP="003028CF">
            <w:pPr>
              <w:keepNext/>
              <w:keepLines/>
              <w:rPr>
                <w:sz w:val="20"/>
              </w:rPr>
            </w:pPr>
            <w:r w:rsidRPr="001634D6">
              <w:rPr>
                <w:sz w:val="20"/>
              </w:rPr>
              <w:t>STEP 1: Cost of radiation treatment per toxicity event avoided</w:t>
            </w:r>
          </w:p>
        </w:tc>
      </w:tr>
      <w:tr w:rsidR="00A22F36" w:rsidRPr="001634D6" w14:paraId="335BBD2E" w14:textId="77777777" w:rsidTr="00233774">
        <w:tc>
          <w:tcPr>
            <w:tcW w:w="847" w:type="pct"/>
            <w:tcBorders>
              <w:right w:val="nil"/>
            </w:tcBorders>
          </w:tcPr>
          <w:p w14:paraId="22D70C85" w14:textId="77777777" w:rsidR="00A367BA" w:rsidRPr="001634D6" w:rsidRDefault="00A367BA" w:rsidP="003028CF">
            <w:pPr>
              <w:keepNext/>
              <w:keepLines/>
              <w:jc w:val="both"/>
              <w:rPr>
                <w:sz w:val="20"/>
              </w:rPr>
            </w:pPr>
            <w:r w:rsidRPr="001634D6">
              <w:rPr>
                <w:sz w:val="20"/>
              </w:rPr>
              <w:t>PICO 1 (adult)</w:t>
            </w:r>
          </w:p>
        </w:tc>
        <w:tc>
          <w:tcPr>
            <w:tcW w:w="809" w:type="pct"/>
            <w:tcBorders>
              <w:left w:val="nil"/>
              <w:right w:val="nil"/>
            </w:tcBorders>
          </w:tcPr>
          <w:p w14:paraId="2F081339" w14:textId="77777777" w:rsidR="00A367BA" w:rsidRPr="001634D6" w:rsidRDefault="00A367BA" w:rsidP="003028CF">
            <w:pPr>
              <w:keepNext/>
              <w:keepLines/>
              <w:jc w:val="center"/>
              <w:rPr>
                <w:sz w:val="20"/>
              </w:rPr>
            </w:pPr>
          </w:p>
        </w:tc>
        <w:tc>
          <w:tcPr>
            <w:tcW w:w="809" w:type="pct"/>
            <w:tcBorders>
              <w:left w:val="nil"/>
              <w:bottom w:val="single" w:sz="4" w:space="0" w:color="auto"/>
              <w:right w:val="nil"/>
            </w:tcBorders>
          </w:tcPr>
          <w:p w14:paraId="63D6416E" w14:textId="77777777" w:rsidR="00A367BA" w:rsidRPr="001634D6" w:rsidRDefault="00A367BA" w:rsidP="003028CF">
            <w:pPr>
              <w:keepNext/>
              <w:keepLines/>
              <w:jc w:val="center"/>
              <w:rPr>
                <w:sz w:val="20"/>
              </w:rPr>
            </w:pPr>
          </w:p>
        </w:tc>
        <w:tc>
          <w:tcPr>
            <w:tcW w:w="690" w:type="pct"/>
            <w:gridSpan w:val="2"/>
            <w:tcBorders>
              <w:left w:val="nil"/>
              <w:right w:val="nil"/>
            </w:tcBorders>
          </w:tcPr>
          <w:p w14:paraId="2D98FCFE" w14:textId="77777777" w:rsidR="00A367BA" w:rsidRPr="001634D6" w:rsidRDefault="00A367BA" w:rsidP="003028CF">
            <w:pPr>
              <w:keepNext/>
              <w:keepLines/>
              <w:jc w:val="center"/>
              <w:rPr>
                <w:sz w:val="20"/>
              </w:rPr>
            </w:pPr>
          </w:p>
        </w:tc>
        <w:tc>
          <w:tcPr>
            <w:tcW w:w="681" w:type="pct"/>
            <w:gridSpan w:val="2"/>
            <w:tcBorders>
              <w:left w:val="nil"/>
              <w:bottom w:val="single" w:sz="4" w:space="0" w:color="auto"/>
              <w:right w:val="nil"/>
            </w:tcBorders>
          </w:tcPr>
          <w:p w14:paraId="612E628E" w14:textId="77777777" w:rsidR="00A367BA" w:rsidRPr="001634D6" w:rsidRDefault="00A367BA" w:rsidP="003028CF">
            <w:pPr>
              <w:keepNext/>
              <w:keepLines/>
              <w:jc w:val="center"/>
              <w:rPr>
                <w:sz w:val="20"/>
              </w:rPr>
            </w:pPr>
          </w:p>
        </w:tc>
        <w:tc>
          <w:tcPr>
            <w:tcW w:w="1160" w:type="pct"/>
            <w:gridSpan w:val="2"/>
            <w:tcBorders>
              <w:left w:val="nil"/>
              <w:bottom w:val="single" w:sz="4" w:space="0" w:color="auto"/>
            </w:tcBorders>
          </w:tcPr>
          <w:p w14:paraId="4B87C9F6" w14:textId="77777777" w:rsidR="00A367BA" w:rsidRPr="001634D6" w:rsidRDefault="00A367BA" w:rsidP="003028CF">
            <w:pPr>
              <w:keepNext/>
              <w:keepLines/>
              <w:jc w:val="center"/>
              <w:rPr>
                <w:sz w:val="20"/>
              </w:rPr>
            </w:pPr>
          </w:p>
        </w:tc>
      </w:tr>
      <w:tr w:rsidR="00A22F36" w:rsidRPr="001634D6" w14:paraId="4A2310F5" w14:textId="77777777" w:rsidTr="00233774">
        <w:tc>
          <w:tcPr>
            <w:tcW w:w="847" w:type="pct"/>
          </w:tcPr>
          <w:p w14:paraId="61756D3E" w14:textId="77777777" w:rsidR="00A367BA" w:rsidRPr="001634D6" w:rsidRDefault="00A367BA" w:rsidP="003028CF">
            <w:pPr>
              <w:keepNext/>
              <w:keepLines/>
              <w:jc w:val="both"/>
              <w:rPr>
                <w:sz w:val="20"/>
              </w:rPr>
            </w:pPr>
            <w:r w:rsidRPr="001634D6">
              <w:rPr>
                <w:sz w:val="20"/>
              </w:rPr>
              <w:t>PBT</w:t>
            </w:r>
          </w:p>
        </w:tc>
        <w:tc>
          <w:tcPr>
            <w:tcW w:w="809" w:type="pct"/>
          </w:tcPr>
          <w:p w14:paraId="23855BD9" w14:textId="05FA146D" w:rsidR="00A367BA" w:rsidRDefault="00A367BA" w:rsidP="003028CF">
            <w:pPr>
              <w:keepNext/>
              <w:keepLines/>
              <w:jc w:val="center"/>
              <w:rPr>
                <w:sz w:val="20"/>
              </w:rPr>
            </w:pPr>
            <w:r w:rsidRPr="001634D6">
              <w:rPr>
                <w:sz w:val="20"/>
              </w:rPr>
              <w:t>$43,089</w:t>
            </w:r>
          </w:p>
          <w:p w14:paraId="70ECD410" w14:textId="65EE414F" w:rsidR="00A740F4" w:rsidRPr="00A740F4" w:rsidRDefault="00A740F4" w:rsidP="003028CF">
            <w:pPr>
              <w:keepNext/>
              <w:keepLines/>
              <w:jc w:val="center"/>
              <w:rPr>
                <w:i/>
                <w:sz w:val="20"/>
              </w:rPr>
            </w:pPr>
            <w:r w:rsidRPr="00A740F4">
              <w:rPr>
                <w:i/>
                <w:sz w:val="20"/>
              </w:rPr>
              <w:t>$46,506</w:t>
            </w:r>
          </w:p>
        </w:tc>
        <w:tc>
          <w:tcPr>
            <w:tcW w:w="809" w:type="pct"/>
            <w:tcBorders>
              <w:bottom w:val="nil"/>
            </w:tcBorders>
          </w:tcPr>
          <w:p w14:paraId="492BFA51" w14:textId="004C57E2" w:rsidR="00A367BA" w:rsidRDefault="00A367BA" w:rsidP="003028CF">
            <w:pPr>
              <w:keepNext/>
              <w:keepLines/>
              <w:jc w:val="center"/>
              <w:rPr>
                <w:sz w:val="20"/>
              </w:rPr>
            </w:pPr>
            <w:r w:rsidRPr="001634D6">
              <w:rPr>
                <w:sz w:val="20"/>
              </w:rPr>
              <w:t>$29,045</w:t>
            </w:r>
          </w:p>
          <w:p w14:paraId="48906345" w14:textId="0BD426F6" w:rsidR="00A740F4" w:rsidRPr="00A740F4" w:rsidRDefault="00A740F4" w:rsidP="003028CF">
            <w:pPr>
              <w:keepNext/>
              <w:keepLines/>
              <w:jc w:val="center"/>
              <w:rPr>
                <w:i/>
                <w:sz w:val="20"/>
              </w:rPr>
            </w:pPr>
            <w:r w:rsidRPr="00A740F4">
              <w:rPr>
                <w:i/>
                <w:sz w:val="20"/>
              </w:rPr>
              <w:t>$32,462</w:t>
            </w:r>
          </w:p>
        </w:tc>
        <w:tc>
          <w:tcPr>
            <w:tcW w:w="690" w:type="pct"/>
            <w:gridSpan w:val="2"/>
          </w:tcPr>
          <w:p w14:paraId="663D38D6" w14:textId="77777777" w:rsidR="00A367BA" w:rsidRPr="001634D6" w:rsidRDefault="00A367BA" w:rsidP="003028CF">
            <w:pPr>
              <w:keepNext/>
              <w:keepLines/>
              <w:jc w:val="center"/>
              <w:rPr>
                <w:sz w:val="20"/>
              </w:rPr>
            </w:pPr>
            <w:r w:rsidRPr="001634D6">
              <w:rPr>
                <w:sz w:val="20"/>
              </w:rPr>
              <w:t>0.8380</w:t>
            </w:r>
          </w:p>
        </w:tc>
        <w:tc>
          <w:tcPr>
            <w:tcW w:w="681" w:type="pct"/>
            <w:gridSpan w:val="2"/>
            <w:tcBorders>
              <w:bottom w:val="nil"/>
            </w:tcBorders>
          </w:tcPr>
          <w:p w14:paraId="55BA63B9" w14:textId="77777777" w:rsidR="00A367BA" w:rsidRPr="001634D6" w:rsidRDefault="00A367BA" w:rsidP="003028CF">
            <w:pPr>
              <w:keepNext/>
              <w:keepLines/>
              <w:jc w:val="center"/>
              <w:rPr>
                <w:sz w:val="20"/>
              </w:rPr>
            </w:pPr>
            <w:r w:rsidRPr="001634D6">
              <w:rPr>
                <w:sz w:val="20"/>
              </w:rPr>
              <w:t>-0.7307</w:t>
            </w:r>
          </w:p>
        </w:tc>
        <w:tc>
          <w:tcPr>
            <w:tcW w:w="1160" w:type="pct"/>
            <w:gridSpan w:val="2"/>
            <w:tcBorders>
              <w:bottom w:val="nil"/>
            </w:tcBorders>
          </w:tcPr>
          <w:p w14:paraId="53EAF235" w14:textId="1C1FD9A8" w:rsidR="00A367BA" w:rsidRPr="00233774" w:rsidRDefault="00A367BA" w:rsidP="003028CF">
            <w:pPr>
              <w:keepNext/>
              <w:keepLines/>
              <w:jc w:val="center"/>
              <w:rPr>
                <w:sz w:val="20"/>
                <w:vertAlign w:val="superscript"/>
              </w:rPr>
            </w:pPr>
            <w:r w:rsidRPr="001634D6">
              <w:rPr>
                <w:sz w:val="20"/>
              </w:rPr>
              <w:t>$39,</w:t>
            </w:r>
            <w:r w:rsidRPr="00A37BE6">
              <w:rPr>
                <w:sz w:val="20"/>
              </w:rPr>
              <w:t>748</w:t>
            </w:r>
          </w:p>
          <w:p w14:paraId="6A90A551" w14:textId="4BA0853C" w:rsidR="00A740F4" w:rsidRPr="00A740F4" w:rsidRDefault="00A740F4" w:rsidP="00A22F36">
            <w:pPr>
              <w:keepNext/>
              <w:keepLines/>
              <w:jc w:val="center"/>
              <w:rPr>
                <w:i/>
                <w:sz w:val="20"/>
              </w:rPr>
            </w:pPr>
            <w:r w:rsidRPr="00A740F4">
              <w:rPr>
                <w:i/>
                <w:sz w:val="20"/>
              </w:rPr>
              <w:t>$44,426</w:t>
            </w:r>
          </w:p>
        </w:tc>
      </w:tr>
      <w:tr w:rsidR="00A22F36" w:rsidRPr="001634D6" w14:paraId="7DB1543F" w14:textId="77777777" w:rsidTr="00233774">
        <w:tc>
          <w:tcPr>
            <w:tcW w:w="847" w:type="pct"/>
            <w:tcBorders>
              <w:bottom w:val="single" w:sz="4" w:space="0" w:color="auto"/>
            </w:tcBorders>
          </w:tcPr>
          <w:p w14:paraId="3E4E5C7F" w14:textId="77777777" w:rsidR="00A367BA" w:rsidRPr="001634D6" w:rsidRDefault="00A367BA" w:rsidP="003028CF">
            <w:pPr>
              <w:keepNext/>
              <w:keepLines/>
              <w:jc w:val="both"/>
              <w:rPr>
                <w:sz w:val="20"/>
              </w:rPr>
            </w:pPr>
            <w:r w:rsidRPr="001634D6">
              <w:rPr>
                <w:sz w:val="20"/>
              </w:rPr>
              <w:t>PRT</w:t>
            </w:r>
          </w:p>
        </w:tc>
        <w:tc>
          <w:tcPr>
            <w:tcW w:w="809" w:type="pct"/>
            <w:tcBorders>
              <w:bottom w:val="single" w:sz="4" w:space="0" w:color="auto"/>
            </w:tcBorders>
          </w:tcPr>
          <w:p w14:paraId="5F3F57A4" w14:textId="19B651AC" w:rsidR="00A367BA" w:rsidRPr="001634D6" w:rsidRDefault="00A367BA" w:rsidP="007E2B54">
            <w:pPr>
              <w:keepNext/>
              <w:keepLines/>
              <w:jc w:val="center"/>
              <w:rPr>
                <w:sz w:val="20"/>
              </w:rPr>
            </w:pPr>
            <w:r w:rsidRPr="001634D6">
              <w:rPr>
                <w:sz w:val="20"/>
              </w:rPr>
              <w:t>$14,044</w:t>
            </w:r>
          </w:p>
        </w:tc>
        <w:tc>
          <w:tcPr>
            <w:tcW w:w="809" w:type="pct"/>
            <w:tcBorders>
              <w:top w:val="nil"/>
              <w:bottom w:val="single" w:sz="4" w:space="0" w:color="auto"/>
            </w:tcBorders>
          </w:tcPr>
          <w:p w14:paraId="1C1210D0" w14:textId="77777777" w:rsidR="00A367BA" w:rsidRPr="001634D6" w:rsidRDefault="00A367BA" w:rsidP="003028CF">
            <w:pPr>
              <w:keepNext/>
              <w:keepLines/>
              <w:jc w:val="center"/>
              <w:rPr>
                <w:sz w:val="20"/>
              </w:rPr>
            </w:pPr>
          </w:p>
        </w:tc>
        <w:tc>
          <w:tcPr>
            <w:tcW w:w="690" w:type="pct"/>
            <w:gridSpan w:val="2"/>
            <w:tcBorders>
              <w:bottom w:val="single" w:sz="4" w:space="0" w:color="auto"/>
            </w:tcBorders>
          </w:tcPr>
          <w:p w14:paraId="7C1BB40E" w14:textId="77777777" w:rsidR="00A367BA" w:rsidRPr="001634D6" w:rsidRDefault="00A367BA" w:rsidP="003028CF">
            <w:pPr>
              <w:keepNext/>
              <w:keepLines/>
              <w:jc w:val="center"/>
              <w:rPr>
                <w:sz w:val="20"/>
              </w:rPr>
            </w:pPr>
            <w:r w:rsidRPr="001634D6">
              <w:rPr>
                <w:sz w:val="20"/>
              </w:rPr>
              <w:t>1.5687</w:t>
            </w:r>
          </w:p>
        </w:tc>
        <w:tc>
          <w:tcPr>
            <w:tcW w:w="681" w:type="pct"/>
            <w:gridSpan w:val="2"/>
            <w:tcBorders>
              <w:top w:val="nil"/>
              <w:bottom w:val="single" w:sz="4" w:space="0" w:color="auto"/>
            </w:tcBorders>
          </w:tcPr>
          <w:p w14:paraId="4DD77BA4" w14:textId="77777777" w:rsidR="00A367BA" w:rsidRPr="001634D6" w:rsidRDefault="00A367BA" w:rsidP="003028CF">
            <w:pPr>
              <w:keepNext/>
              <w:keepLines/>
              <w:jc w:val="center"/>
              <w:rPr>
                <w:sz w:val="20"/>
              </w:rPr>
            </w:pPr>
          </w:p>
        </w:tc>
        <w:tc>
          <w:tcPr>
            <w:tcW w:w="1160" w:type="pct"/>
            <w:gridSpan w:val="2"/>
            <w:tcBorders>
              <w:top w:val="nil"/>
              <w:bottom w:val="single" w:sz="4" w:space="0" w:color="auto"/>
            </w:tcBorders>
          </w:tcPr>
          <w:p w14:paraId="5EAF1479" w14:textId="77777777" w:rsidR="00A367BA" w:rsidRPr="001634D6" w:rsidRDefault="00A367BA" w:rsidP="003028CF">
            <w:pPr>
              <w:keepNext/>
              <w:keepLines/>
              <w:jc w:val="center"/>
              <w:rPr>
                <w:sz w:val="20"/>
              </w:rPr>
            </w:pPr>
          </w:p>
        </w:tc>
      </w:tr>
      <w:tr w:rsidR="00A22F36" w:rsidRPr="001634D6" w14:paraId="308E71F2" w14:textId="77777777" w:rsidTr="00233774">
        <w:tc>
          <w:tcPr>
            <w:tcW w:w="847" w:type="pct"/>
            <w:tcBorders>
              <w:right w:val="nil"/>
            </w:tcBorders>
          </w:tcPr>
          <w:p w14:paraId="16FA037A" w14:textId="77777777" w:rsidR="00A367BA" w:rsidRPr="001634D6" w:rsidRDefault="00A367BA" w:rsidP="003028CF">
            <w:pPr>
              <w:keepNext/>
              <w:keepLines/>
              <w:jc w:val="both"/>
              <w:rPr>
                <w:sz w:val="20"/>
              </w:rPr>
            </w:pPr>
            <w:r w:rsidRPr="001634D6">
              <w:rPr>
                <w:sz w:val="20"/>
              </w:rPr>
              <w:t>PICO 2 (paediatric/AYA)</w:t>
            </w:r>
          </w:p>
        </w:tc>
        <w:tc>
          <w:tcPr>
            <w:tcW w:w="809" w:type="pct"/>
            <w:tcBorders>
              <w:left w:val="nil"/>
              <w:right w:val="nil"/>
            </w:tcBorders>
          </w:tcPr>
          <w:p w14:paraId="10642C46" w14:textId="77777777" w:rsidR="00A367BA" w:rsidRPr="001634D6" w:rsidRDefault="00A367BA" w:rsidP="003028CF">
            <w:pPr>
              <w:keepNext/>
              <w:keepLines/>
              <w:jc w:val="center"/>
              <w:rPr>
                <w:sz w:val="20"/>
              </w:rPr>
            </w:pPr>
          </w:p>
        </w:tc>
        <w:tc>
          <w:tcPr>
            <w:tcW w:w="809" w:type="pct"/>
            <w:tcBorders>
              <w:left w:val="nil"/>
              <w:bottom w:val="single" w:sz="4" w:space="0" w:color="auto"/>
              <w:right w:val="nil"/>
            </w:tcBorders>
          </w:tcPr>
          <w:p w14:paraId="6E0341CF" w14:textId="77777777" w:rsidR="00A367BA" w:rsidRPr="001634D6" w:rsidRDefault="00A367BA" w:rsidP="003028CF">
            <w:pPr>
              <w:keepNext/>
              <w:keepLines/>
              <w:jc w:val="center"/>
              <w:rPr>
                <w:sz w:val="20"/>
              </w:rPr>
            </w:pPr>
          </w:p>
        </w:tc>
        <w:tc>
          <w:tcPr>
            <w:tcW w:w="690" w:type="pct"/>
            <w:gridSpan w:val="2"/>
            <w:tcBorders>
              <w:left w:val="nil"/>
              <w:right w:val="nil"/>
            </w:tcBorders>
          </w:tcPr>
          <w:p w14:paraId="0E008DE0" w14:textId="77777777" w:rsidR="00A367BA" w:rsidRPr="001634D6" w:rsidRDefault="00A367BA" w:rsidP="003028CF">
            <w:pPr>
              <w:keepNext/>
              <w:keepLines/>
              <w:jc w:val="center"/>
              <w:rPr>
                <w:sz w:val="20"/>
              </w:rPr>
            </w:pPr>
          </w:p>
        </w:tc>
        <w:tc>
          <w:tcPr>
            <w:tcW w:w="681" w:type="pct"/>
            <w:gridSpan w:val="2"/>
            <w:tcBorders>
              <w:left w:val="nil"/>
              <w:bottom w:val="single" w:sz="4" w:space="0" w:color="auto"/>
              <w:right w:val="nil"/>
            </w:tcBorders>
          </w:tcPr>
          <w:p w14:paraId="464F7E9A" w14:textId="77777777" w:rsidR="00A367BA" w:rsidRPr="001634D6" w:rsidRDefault="00A367BA" w:rsidP="003028CF">
            <w:pPr>
              <w:keepNext/>
              <w:keepLines/>
              <w:jc w:val="center"/>
              <w:rPr>
                <w:sz w:val="20"/>
              </w:rPr>
            </w:pPr>
          </w:p>
        </w:tc>
        <w:tc>
          <w:tcPr>
            <w:tcW w:w="1160" w:type="pct"/>
            <w:gridSpan w:val="2"/>
            <w:tcBorders>
              <w:left w:val="nil"/>
              <w:bottom w:val="single" w:sz="4" w:space="0" w:color="auto"/>
            </w:tcBorders>
          </w:tcPr>
          <w:p w14:paraId="72B8A492" w14:textId="77777777" w:rsidR="00A367BA" w:rsidRPr="001634D6" w:rsidRDefault="00A367BA" w:rsidP="003028CF">
            <w:pPr>
              <w:keepNext/>
              <w:keepLines/>
              <w:jc w:val="center"/>
              <w:rPr>
                <w:sz w:val="20"/>
              </w:rPr>
            </w:pPr>
          </w:p>
        </w:tc>
      </w:tr>
      <w:tr w:rsidR="00A22F36" w:rsidRPr="001634D6" w14:paraId="6D30F52D" w14:textId="77777777" w:rsidTr="00233774">
        <w:tc>
          <w:tcPr>
            <w:tcW w:w="847" w:type="pct"/>
          </w:tcPr>
          <w:p w14:paraId="63B622F5" w14:textId="77777777" w:rsidR="00A367BA" w:rsidRPr="001634D6" w:rsidRDefault="00A367BA" w:rsidP="003028CF">
            <w:pPr>
              <w:keepNext/>
              <w:keepLines/>
              <w:jc w:val="both"/>
              <w:rPr>
                <w:sz w:val="20"/>
              </w:rPr>
            </w:pPr>
            <w:r w:rsidRPr="001634D6">
              <w:rPr>
                <w:sz w:val="20"/>
              </w:rPr>
              <w:t>PBT</w:t>
            </w:r>
          </w:p>
        </w:tc>
        <w:tc>
          <w:tcPr>
            <w:tcW w:w="809" w:type="pct"/>
          </w:tcPr>
          <w:p w14:paraId="1B44060C" w14:textId="682424F6" w:rsidR="00A367BA" w:rsidRDefault="00A367BA" w:rsidP="003028CF">
            <w:pPr>
              <w:keepNext/>
              <w:keepLines/>
              <w:jc w:val="center"/>
              <w:rPr>
                <w:sz w:val="20"/>
              </w:rPr>
            </w:pPr>
            <w:r w:rsidRPr="001634D6">
              <w:rPr>
                <w:sz w:val="20"/>
              </w:rPr>
              <w:t>$43,089</w:t>
            </w:r>
          </w:p>
          <w:p w14:paraId="5D680D3C" w14:textId="4DAAED39" w:rsidR="00A740F4" w:rsidRPr="00A740F4" w:rsidRDefault="00A740F4" w:rsidP="00A22F36">
            <w:pPr>
              <w:keepNext/>
              <w:keepLines/>
              <w:jc w:val="center"/>
              <w:rPr>
                <w:i/>
                <w:sz w:val="20"/>
              </w:rPr>
            </w:pPr>
            <w:r w:rsidRPr="00A740F4">
              <w:rPr>
                <w:i/>
                <w:sz w:val="20"/>
              </w:rPr>
              <w:t>$46,506</w:t>
            </w:r>
          </w:p>
        </w:tc>
        <w:tc>
          <w:tcPr>
            <w:tcW w:w="809" w:type="pct"/>
            <w:tcBorders>
              <w:bottom w:val="nil"/>
            </w:tcBorders>
          </w:tcPr>
          <w:p w14:paraId="5BF4EB3C" w14:textId="315B8737" w:rsidR="00A367BA" w:rsidRDefault="00A367BA" w:rsidP="003028CF">
            <w:pPr>
              <w:keepNext/>
              <w:keepLines/>
              <w:jc w:val="center"/>
              <w:rPr>
                <w:sz w:val="20"/>
              </w:rPr>
            </w:pPr>
            <w:r w:rsidRPr="001634D6">
              <w:rPr>
                <w:sz w:val="20"/>
              </w:rPr>
              <w:t>$29,045</w:t>
            </w:r>
          </w:p>
          <w:p w14:paraId="7BD096C7" w14:textId="1F5F04DA" w:rsidR="00A740F4" w:rsidRPr="00A740F4" w:rsidRDefault="00A740F4" w:rsidP="00A22F36">
            <w:pPr>
              <w:keepNext/>
              <w:keepLines/>
              <w:jc w:val="center"/>
              <w:rPr>
                <w:i/>
                <w:sz w:val="20"/>
              </w:rPr>
            </w:pPr>
            <w:r w:rsidRPr="00A740F4">
              <w:rPr>
                <w:i/>
                <w:sz w:val="20"/>
              </w:rPr>
              <w:t>$32,462</w:t>
            </w:r>
          </w:p>
        </w:tc>
        <w:tc>
          <w:tcPr>
            <w:tcW w:w="690" w:type="pct"/>
            <w:gridSpan w:val="2"/>
          </w:tcPr>
          <w:p w14:paraId="0C354449" w14:textId="77777777" w:rsidR="00A367BA" w:rsidRPr="001634D6" w:rsidRDefault="00A367BA" w:rsidP="003028CF">
            <w:pPr>
              <w:keepNext/>
              <w:keepLines/>
              <w:jc w:val="center"/>
              <w:rPr>
                <w:sz w:val="20"/>
              </w:rPr>
            </w:pPr>
            <w:r w:rsidRPr="001634D6">
              <w:rPr>
                <w:sz w:val="20"/>
              </w:rPr>
              <w:t>0.8199</w:t>
            </w:r>
          </w:p>
        </w:tc>
        <w:tc>
          <w:tcPr>
            <w:tcW w:w="681" w:type="pct"/>
            <w:gridSpan w:val="2"/>
            <w:tcBorders>
              <w:bottom w:val="nil"/>
            </w:tcBorders>
          </w:tcPr>
          <w:p w14:paraId="72895EE3" w14:textId="77777777" w:rsidR="00A367BA" w:rsidRPr="001634D6" w:rsidRDefault="00A367BA" w:rsidP="003028CF">
            <w:pPr>
              <w:keepNext/>
              <w:keepLines/>
              <w:jc w:val="center"/>
              <w:rPr>
                <w:sz w:val="20"/>
              </w:rPr>
            </w:pPr>
            <w:r w:rsidRPr="001634D6">
              <w:rPr>
                <w:sz w:val="20"/>
              </w:rPr>
              <w:t>-0.6854</w:t>
            </w:r>
          </w:p>
        </w:tc>
        <w:tc>
          <w:tcPr>
            <w:tcW w:w="1160" w:type="pct"/>
            <w:gridSpan w:val="2"/>
            <w:tcBorders>
              <w:bottom w:val="nil"/>
            </w:tcBorders>
          </w:tcPr>
          <w:p w14:paraId="3BEE1E07" w14:textId="7AE4797D" w:rsidR="00A367BA" w:rsidRDefault="00A367BA" w:rsidP="003028CF">
            <w:pPr>
              <w:keepNext/>
              <w:keepLines/>
              <w:jc w:val="center"/>
              <w:rPr>
                <w:sz w:val="20"/>
              </w:rPr>
            </w:pPr>
            <w:r w:rsidRPr="001634D6">
              <w:rPr>
                <w:sz w:val="20"/>
              </w:rPr>
              <w:t>$42,376</w:t>
            </w:r>
          </w:p>
          <w:p w14:paraId="1B0A176A" w14:textId="22F4DED8" w:rsidR="00A740F4" w:rsidRPr="00A740F4" w:rsidRDefault="00A740F4" w:rsidP="00A22F36">
            <w:pPr>
              <w:keepNext/>
              <w:keepLines/>
              <w:jc w:val="center"/>
              <w:rPr>
                <w:i/>
                <w:sz w:val="20"/>
              </w:rPr>
            </w:pPr>
            <w:r w:rsidRPr="00A740F4">
              <w:rPr>
                <w:i/>
                <w:sz w:val="20"/>
              </w:rPr>
              <w:t>$47,362</w:t>
            </w:r>
          </w:p>
        </w:tc>
      </w:tr>
      <w:tr w:rsidR="00A22F36" w:rsidRPr="001634D6" w14:paraId="3F8C0F96" w14:textId="77777777" w:rsidTr="00233774">
        <w:tc>
          <w:tcPr>
            <w:tcW w:w="847" w:type="pct"/>
            <w:tcBorders>
              <w:bottom w:val="single" w:sz="4" w:space="0" w:color="auto"/>
            </w:tcBorders>
          </w:tcPr>
          <w:p w14:paraId="0A3ABDFB" w14:textId="77777777" w:rsidR="00A367BA" w:rsidRPr="001634D6" w:rsidRDefault="00A367BA" w:rsidP="003028CF">
            <w:pPr>
              <w:jc w:val="both"/>
              <w:rPr>
                <w:sz w:val="20"/>
              </w:rPr>
            </w:pPr>
            <w:r w:rsidRPr="001634D6">
              <w:rPr>
                <w:sz w:val="20"/>
              </w:rPr>
              <w:t>PRT</w:t>
            </w:r>
          </w:p>
        </w:tc>
        <w:tc>
          <w:tcPr>
            <w:tcW w:w="809" w:type="pct"/>
            <w:tcBorders>
              <w:bottom w:val="single" w:sz="4" w:space="0" w:color="auto"/>
            </w:tcBorders>
          </w:tcPr>
          <w:p w14:paraId="0A96F8C4" w14:textId="2D8E8EEB" w:rsidR="00A367BA" w:rsidRPr="001634D6" w:rsidRDefault="00A367BA" w:rsidP="007E2B54">
            <w:pPr>
              <w:jc w:val="center"/>
              <w:rPr>
                <w:sz w:val="20"/>
              </w:rPr>
            </w:pPr>
            <w:r w:rsidRPr="001634D6">
              <w:rPr>
                <w:sz w:val="20"/>
              </w:rPr>
              <w:t>$14,044</w:t>
            </w:r>
          </w:p>
        </w:tc>
        <w:tc>
          <w:tcPr>
            <w:tcW w:w="809" w:type="pct"/>
            <w:tcBorders>
              <w:top w:val="nil"/>
              <w:bottom w:val="single" w:sz="4" w:space="0" w:color="auto"/>
            </w:tcBorders>
          </w:tcPr>
          <w:p w14:paraId="5CD21B9E" w14:textId="77777777" w:rsidR="00A367BA" w:rsidRPr="001634D6" w:rsidRDefault="00A367BA" w:rsidP="003028CF">
            <w:pPr>
              <w:jc w:val="center"/>
              <w:rPr>
                <w:sz w:val="20"/>
              </w:rPr>
            </w:pPr>
          </w:p>
        </w:tc>
        <w:tc>
          <w:tcPr>
            <w:tcW w:w="690" w:type="pct"/>
            <w:gridSpan w:val="2"/>
            <w:tcBorders>
              <w:bottom w:val="single" w:sz="4" w:space="0" w:color="auto"/>
            </w:tcBorders>
          </w:tcPr>
          <w:p w14:paraId="037A60E2" w14:textId="77777777" w:rsidR="00A367BA" w:rsidRPr="001634D6" w:rsidRDefault="00A367BA" w:rsidP="003028CF">
            <w:pPr>
              <w:jc w:val="center"/>
              <w:rPr>
                <w:sz w:val="20"/>
              </w:rPr>
            </w:pPr>
            <w:r w:rsidRPr="001634D6">
              <w:rPr>
                <w:sz w:val="20"/>
              </w:rPr>
              <w:t>1.5053</w:t>
            </w:r>
          </w:p>
        </w:tc>
        <w:tc>
          <w:tcPr>
            <w:tcW w:w="681" w:type="pct"/>
            <w:gridSpan w:val="2"/>
            <w:tcBorders>
              <w:top w:val="nil"/>
              <w:bottom w:val="single" w:sz="4" w:space="0" w:color="auto"/>
            </w:tcBorders>
          </w:tcPr>
          <w:p w14:paraId="08E36179" w14:textId="77777777" w:rsidR="00A367BA" w:rsidRPr="001634D6" w:rsidRDefault="00A367BA" w:rsidP="003028CF">
            <w:pPr>
              <w:jc w:val="center"/>
              <w:rPr>
                <w:sz w:val="20"/>
              </w:rPr>
            </w:pPr>
          </w:p>
        </w:tc>
        <w:tc>
          <w:tcPr>
            <w:tcW w:w="1160" w:type="pct"/>
            <w:gridSpan w:val="2"/>
            <w:tcBorders>
              <w:top w:val="nil"/>
              <w:bottom w:val="single" w:sz="4" w:space="0" w:color="auto"/>
            </w:tcBorders>
          </w:tcPr>
          <w:p w14:paraId="161F083F" w14:textId="77777777" w:rsidR="00A367BA" w:rsidRPr="001634D6" w:rsidRDefault="00A367BA" w:rsidP="003028CF">
            <w:pPr>
              <w:jc w:val="center"/>
              <w:rPr>
                <w:sz w:val="20"/>
              </w:rPr>
            </w:pPr>
          </w:p>
        </w:tc>
      </w:tr>
      <w:tr w:rsidR="00A367BA" w:rsidRPr="001634D6" w14:paraId="387AF014" w14:textId="77777777" w:rsidTr="00233774">
        <w:tc>
          <w:tcPr>
            <w:tcW w:w="2469" w:type="pct"/>
            <w:gridSpan w:val="4"/>
            <w:tcBorders>
              <w:bottom w:val="single" w:sz="4" w:space="0" w:color="auto"/>
              <w:right w:val="nil"/>
            </w:tcBorders>
          </w:tcPr>
          <w:p w14:paraId="7B3EB7E5" w14:textId="77777777" w:rsidR="00A367BA" w:rsidRPr="001634D6" w:rsidRDefault="00A367BA" w:rsidP="003028CF">
            <w:pPr>
              <w:rPr>
                <w:sz w:val="20"/>
              </w:rPr>
            </w:pPr>
            <w:r w:rsidRPr="001634D6">
              <w:rPr>
                <w:sz w:val="20"/>
              </w:rPr>
              <w:t>STEP 2: Weighted average cost per toxicity event</w:t>
            </w:r>
          </w:p>
        </w:tc>
        <w:tc>
          <w:tcPr>
            <w:tcW w:w="690" w:type="pct"/>
            <w:gridSpan w:val="2"/>
            <w:tcBorders>
              <w:left w:val="nil"/>
              <w:bottom w:val="single" w:sz="4" w:space="0" w:color="auto"/>
              <w:right w:val="nil"/>
            </w:tcBorders>
          </w:tcPr>
          <w:p w14:paraId="3021B431" w14:textId="77777777" w:rsidR="00A367BA" w:rsidRPr="001634D6" w:rsidRDefault="00A367BA" w:rsidP="003028CF">
            <w:pPr>
              <w:jc w:val="center"/>
              <w:rPr>
                <w:sz w:val="20"/>
              </w:rPr>
            </w:pPr>
          </w:p>
        </w:tc>
        <w:tc>
          <w:tcPr>
            <w:tcW w:w="681" w:type="pct"/>
            <w:gridSpan w:val="2"/>
            <w:tcBorders>
              <w:left w:val="nil"/>
              <w:bottom w:val="single" w:sz="4" w:space="0" w:color="auto"/>
              <w:right w:val="nil"/>
            </w:tcBorders>
          </w:tcPr>
          <w:p w14:paraId="180A9A23" w14:textId="77777777" w:rsidR="00A367BA" w:rsidRPr="001634D6" w:rsidRDefault="00A367BA" w:rsidP="003028CF">
            <w:pPr>
              <w:jc w:val="center"/>
              <w:rPr>
                <w:sz w:val="20"/>
              </w:rPr>
            </w:pPr>
          </w:p>
        </w:tc>
        <w:tc>
          <w:tcPr>
            <w:tcW w:w="1160" w:type="pct"/>
            <w:tcBorders>
              <w:left w:val="nil"/>
              <w:bottom w:val="single" w:sz="4" w:space="0" w:color="auto"/>
            </w:tcBorders>
          </w:tcPr>
          <w:p w14:paraId="69C7FE7D" w14:textId="77777777" w:rsidR="00A367BA" w:rsidRPr="001634D6" w:rsidRDefault="00A367BA" w:rsidP="003028CF">
            <w:pPr>
              <w:jc w:val="center"/>
              <w:rPr>
                <w:sz w:val="20"/>
              </w:rPr>
            </w:pPr>
          </w:p>
        </w:tc>
      </w:tr>
      <w:tr w:rsidR="00A22F36" w:rsidRPr="001634D6" w14:paraId="4F4B52AF" w14:textId="77777777" w:rsidTr="00233774">
        <w:tc>
          <w:tcPr>
            <w:tcW w:w="847" w:type="pct"/>
            <w:tcBorders>
              <w:right w:val="nil"/>
            </w:tcBorders>
          </w:tcPr>
          <w:p w14:paraId="5F5913F8" w14:textId="77777777" w:rsidR="00A367BA" w:rsidRPr="001634D6" w:rsidRDefault="00A367BA" w:rsidP="003028CF">
            <w:pPr>
              <w:jc w:val="both"/>
              <w:rPr>
                <w:sz w:val="20"/>
              </w:rPr>
            </w:pPr>
            <w:r w:rsidRPr="001634D6">
              <w:rPr>
                <w:sz w:val="20"/>
              </w:rPr>
              <w:t>PICO 1 (adult)</w:t>
            </w:r>
          </w:p>
        </w:tc>
        <w:tc>
          <w:tcPr>
            <w:tcW w:w="809" w:type="pct"/>
            <w:tcBorders>
              <w:left w:val="nil"/>
              <w:right w:val="nil"/>
            </w:tcBorders>
          </w:tcPr>
          <w:p w14:paraId="775FEFBA" w14:textId="77777777" w:rsidR="00A367BA" w:rsidRPr="001634D6" w:rsidRDefault="00A367BA" w:rsidP="003028CF">
            <w:pPr>
              <w:jc w:val="center"/>
              <w:rPr>
                <w:sz w:val="20"/>
              </w:rPr>
            </w:pPr>
          </w:p>
        </w:tc>
        <w:tc>
          <w:tcPr>
            <w:tcW w:w="809" w:type="pct"/>
            <w:tcBorders>
              <w:left w:val="nil"/>
              <w:bottom w:val="single" w:sz="4" w:space="0" w:color="auto"/>
              <w:right w:val="nil"/>
            </w:tcBorders>
          </w:tcPr>
          <w:p w14:paraId="367C9C38" w14:textId="77777777" w:rsidR="00A367BA" w:rsidRPr="001634D6" w:rsidRDefault="00A367BA" w:rsidP="003028CF">
            <w:pPr>
              <w:jc w:val="center"/>
              <w:rPr>
                <w:sz w:val="20"/>
              </w:rPr>
            </w:pPr>
          </w:p>
        </w:tc>
        <w:tc>
          <w:tcPr>
            <w:tcW w:w="690" w:type="pct"/>
            <w:gridSpan w:val="2"/>
            <w:tcBorders>
              <w:left w:val="nil"/>
              <w:bottom w:val="single" w:sz="4" w:space="0" w:color="auto"/>
              <w:right w:val="nil"/>
            </w:tcBorders>
          </w:tcPr>
          <w:p w14:paraId="6581EEAD" w14:textId="77777777" w:rsidR="00A367BA" w:rsidRPr="001634D6" w:rsidRDefault="00A367BA" w:rsidP="003028CF">
            <w:pPr>
              <w:jc w:val="center"/>
              <w:rPr>
                <w:sz w:val="20"/>
              </w:rPr>
            </w:pPr>
          </w:p>
        </w:tc>
        <w:tc>
          <w:tcPr>
            <w:tcW w:w="681" w:type="pct"/>
            <w:gridSpan w:val="2"/>
            <w:tcBorders>
              <w:left w:val="nil"/>
              <w:bottom w:val="single" w:sz="4" w:space="0" w:color="auto"/>
              <w:right w:val="nil"/>
            </w:tcBorders>
          </w:tcPr>
          <w:p w14:paraId="44AE56FD" w14:textId="77777777" w:rsidR="00A367BA" w:rsidRPr="001634D6" w:rsidRDefault="00A367BA" w:rsidP="003028CF">
            <w:pPr>
              <w:jc w:val="center"/>
              <w:rPr>
                <w:sz w:val="20"/>
              </w:rPr>
            </w:pPr>
          </w:p>
        </w:tc>
        <w:tc>
          <w:tcPr>
            <w:tcW w:w="1160" w:type="pct"/>
            <w:gridSpan w:val="2"/>
            <w:tcBorders>
              <w:left w:val="nil"/>
              <w:bottom w:val="single" w:sz="4" w:space="0" w:color="auto"/>
            </w:tcBorders>
          </w:tcPr>
          <w:p w14:paraId="6F4BF037" w14:textId="77777777" w:rsidR="00A367BA" w:rsidRPr="001634D6" w:rsidRDefault="00A367BA" w:rsidP="003028CF">
            <w:pPr>
              <w:jc w:val="center"/>
              <w:rPr>
                <w:sz w:val="20"/>
              </w:rPr>
            </w:pPr>
          </w:p>
        </w:tc>
      </w:tr>
      <w:tr w:rsidR="00A22F36" w:rsidRPr="001634D6" w14:paraId="252AB15B" w14:textId="77777777" w:rsidTr="00233774">
        <w:tc>
          <w:tcPr>
            <w:tcW w:w="847" w:type="pct"/>
          </w:tcPr>
          <w:p w14:paraId="17AFE236" w14:textId="77777777" w:rsidR="00A367BA" w:rsidRPr="001634D6" w:rsidRDefault="00A367BA" w:rsidP="003028CF">
            <w:pPr>
              <w:jc w:val="both"/>
              <w:rPr>
                <w:sz w:val="20"/>
              </w:rPr>
            </w:pPr>
            <w:r w:rsidRPr="001634D6">
              <w:rPr>
                <w:sz w:val="20"/>
              </w:rPr>
              <w:t>PBT</w:t>
            </w:r>
          </w:p>
        </w:tc>
        <w:tc>
          <w:tcPr>
            <w:tcW w:w="809" w:type="pct"/>
          </w:tcPr>
          <w:p w14:paraId="5185F4E7" w14:textId="77777777" w:rsidR="00A367BA" w:rsidRPr="001634D6" w:rsidRDefault="00A367BA" w:rsidP="003028CF">
            <w:pPr>
              <w:jc w:val="center"/>
              <w:rPr>
                <w:sz w:val="20"/>
              </w:rPr>
            </w:pPr>
            <w:r w:rsidRPr="001634D6">
              <w:rPr>
                <w:sz w:val="20"/>
              </w:rPr>
              <w:t>$3,265</w:t>
            </w:r>
          </w:p>
        </w:tc>
        <w:tc>
          <w:tcPr>
            <w:tcW w:w="809" w:type="pct"/>
            <w:tcBorders>
              <w:bottom w:val="nil"/>
            </w:tcBorders>
          </w:tcPr>
          <w:p w14:paraId="1B11201B" w14:textId="77777777" w:rsidR="00A367BA" w:rsidRPr="001634D6" w:rsidRDefault="00A367BA" w:rsidP="003028CF">
            <w:pPr>
              <w:jc w:val="center"/>
              <w:rPr>
                <w:sz w:val="20"/>
              </w:rPr>
            </w:pPr>
            <w:r w:rsidRPr="001634D6">
              <w:rPr>
                <w:sz w:val="20"/>
              </w:rPr>
              <w:t>-$4,655</w:t>
            </w:r>
          </w:p>
        </w:tc>
        <w:tc>
          <w:tcPr>
            <w:tcW w:w="690" w:type="pct"/>
            <w:gridSpan w:val="2"/>
            <w:tcBorders>
              <w:bottom w:val="nil"/>
            </w:tcBorders>
          </w:tcPr>
          <w:p w14:paraId="7B096BA5" w14:textId="77777777" w:rsidR="00A367BA" w:rsidRPr="001634D6" w:rsidRDefault="00A367BA" w:rsidP="003028CF">
            <w:pPr>
              <w:jc w:val="center"/>
              <w:rPr>
                <w:sz w:val="20"/>
              </w:rPr>
            </w:pPr>
            <w:r w:rsidRPr="001634D6">
              <w:rPr>
                <w:sz w:val="20"/>
              </w:rPr>
              <w:t>-</w:t>
            </w:r>
          </w:p>
        </w:tc>
        <w:tc>
          <w:tcPr>
            <w:tcW w:w="681" w:type="pct"/>
            <w:gridSpan w:val="2"/>
            <w:tcBorders>
              <w:bottom w:val="nil"/>
            </w:tcBorders>
          </w:tcPr>
          <w:p w14:paraId="33738FDB" w14:textId="77777777" w:rsidR="00A367BA" w:rsidRPr="001634D6" w:rsidRDefault="00A367BA" w:rsidP="003028CF">
            <w:pPr>
              <w:jc w:val="center"/>
              <w:rPr>
                <w:sz w:val="20"/>
              </w:rPr>
            </w:pPr>
            <w:r w:rsidRPr="001634D6">
              <w:rPr>
                <w:sz w:val="20"/>
              </w:rPr>
              <w:t>-</w:t>
            </w:r>
          </w:p>
        </w:tc>
        <w:tc>
          <w:tcPr>
            <w:tcW w:w="1160" w:type="pct"/>
            <w:gridSpan w:val="2"/>
            <w:tcBorders>
              <w:bottom w:val="nil"/>
            </w:tcBorders>
          </w:tcPr>
          <w:p w14:paraId="73628239" w14:textId="77777777" w:rsidR="00A367BA" w:rsidRPr="001634D6" w:rsidRDefault="00A367BA" w:rsidP="003028CF">
            <w:pPr>
              <w:jc w:val="center"/>
              <w:rPr>
                <w:sz w:val="20"/>
              </w:rPr>
            </w:pPr>
            <w:r w:rsidRPr="001634D6">
              <w:rPr>
                <w:sz w:val="20"/>
              </w:rPr>
              <w:t>-</w:t>
            </w:r>
          </w:p>
        </w:tc>
      </w:tr>
      <w:tr w:rsidR="00A22F36" w:rsidRPr="001634D6" w14:paraId="5B261DA2" w14:textId="77777777" w:rsidTr="00233774">
        <w:tc>
          <w:tcPr>
            <w:tcW w:w="847" w:type="pct"/>
            <w:tcBorders>
              <w:bottom w:val="single" w:sz="4" w:space="0" w:color="auto"/>
            </w:tcBorders>
          </w:tcPr>
          <w:p w14:paraId="71E2B238" w14:textId="77777777" w:rsidR="00A367BA" w:rsidRPr="001634D6" w:rsidRDefault="00A367BA" w:rsidP="003028CF">
            <w:pPr>
              <w:jc w:val="both"/>
              <w:rPr>
                <w:sz w:val="20"/>
              </w:rPr>
            </w:pPr>
            <w:r w:rsidRPr="001634D6">
              <w:rPr>
                <w:sz w:val="20"/>
              </w:rPr>
              <w:lastRenderedPageBreak/>
              <w:t>PRT</w:t>
            </w:r>
          </w:p>
        </w:tc>
        <w:tc>
          <w:tcPr>
            <w:tcW w:w="809" w:type="pct"/>
            <w:tcBorders>
              <w:bottom w:val="single" w:sz="4" w:space="0" w:color="auto"/>
            </w:tcBorders>
          </w:tcPr>
          <w:p w14:paraId="20DBF719" w14:textId="77777777" w:rsidR="00A367BA" w:rsidRPr="001634D6" w:rsidRDefault="00A367BA" w:rsidP="003028CF">
            <w:pPr>
              <w:jc w:val="center"/>
              <w:rPr>
                <w:sz w:val="20"/>
              </w:rPr>
            </w:pPr>
            <w:r w:rsidRPr="001634D6">
              <w:rPr>
                <w:sz w:val="20"/>
              </w:rPr>
              <w:t>$7,920</w:t>
            </w:r>
          </w:p>
        </w:tc>
        <w:tc>
          <w:tcPr>
            <w:tcW w:w="809" w:type="pct"/>
            <w:tcBorders>
              <w:top w:val="nil"/>
              <w:bottom w:val="single" w:sz="4" w:space="0" w:color="auto"/>
            </w:tcBorders>
          </w:tcPr>
          <w:p w14:paraId="31A32B29" w14:textId="77777777" w:rsidR="00A367BA" w:rsidRPr="001634D6" w:rsidRDefault="00A367BA" w:rsidP="003028CF">
            <w:pPr>
              <w:jc w:val="center"/>
              <w:rPr>
                <w:sz w:val="20"/>
              </w:rPr>
            </w:pPr>
          </w:p>
        </w:tc>
        <w:tc>
          <w:tcPr>
            <w:tcW w:w="690" w:type="pct"/>
            <w:gridSpan w:val="2"/>
            <w:tcBorders>
              <w:top w:val="nil"/>
              <w:bottom w:val="single" w:sz="4" w:space="0" w:color="auto"/>
            </w:tcBorders>
          </w:tcPr>
          <w:p w14:paraId="5BBB9CC2" w14:textId="77777777" w:rsidR="00A367BA" w:rsidRPr="001634D6" w:rsidRDefault="00A367BA" w:rsidP="003028CF">
            <w:pPr>
              <w:jc w:val="center"/>
              <w:rPr>
                <w:sz w:val="20"/>
              </w:rPr>
            </w:pPr>
          </w:p>
        </w:tc>
        <w:tc>
          <w:tcPr>
            <w:tcW w:w="681" w:type="pct"/>
            <w:gridSpan w:val="2"/>
            <w:tcBorders>
              <w:top w:val="nil"/>
              <w:bottom w:val="single" w:sz="4" w:space="0" w:color="auto"/>
            </w:tcBorders>
          </w:tcPr>
          <w:p w14:paraId="4779A8A6" w14:textId="77777777" w:rsidR="00A367BA" w:rsidRPr="001634D6" w:rsidRDefault="00A367BA" w:rsidP="003028CF">
            <w:pPr>
              <w:jc w:val="center"/>
              <w:rPr>
                <w:sz w:val="20"/>
              </w:rPr>
            </w:pPr>
          </w:p>
        </w:tc>
        <w:tc>
          <w:tcPr>
            <w:tcW w:w="1160" w:type="pct"/>
            <w:gridSpan w:val="2"/>
            <w:tcBorders>
              <w:top w:val="nil"/>
              <w:bottom w:val="single" w:sz="4" w:space="0" w:color="auto"/>
            </w:tcBorders>
          </w:tcPr>
          <w:p w14:paraId="2147D0E8" w14:textId="77777777" w:rsidR="00A367BA" w:rsidRPr="001634D6" w:rsidRDefault="00A367BA" w:rsidP="003028CF">
            <w:pPr>
              <w:jc w:val="center"/>
              <w:rPr>
                <w:sz w:val="20"/>
              </w:rPr>
            </w:pPr>
          </w:p>
        </w:tc>
      </w:tr>
      <w:tr w:rsidR="00A22F36" w:rsidRPr="001634D6" w14:paraId="215AAB9C" w14:textId="77777777" w:rsidTr="00233774">
        <w:tc>
          <w:tcPr>
            <w:tcW w:w="847" w:type="pct"/>
            <w:tcBorders>
              <w:right w:val="nil"/>
            </w:tcBorders>
          </w:tcPr>
          <w:p w14:paraId="604BC962" w14:textId="77777777" w:rsidR="00A367BA" w:rsidRPr="001634D6" w:rsidRDefault="00A367BA" w:rsidP="003028CF">
            <w:pPr>
              <w:jc w:val="both"/>
              <w:rPr>
                <w:sz w:val="20"/>
              </w:rPr>
            </w:pPr>
            <w:r w:rsidRPr="001634D6">
              <w:rPr>
                <w:sz w:val="20"/>
              </w:rPr>
              <w:t>PICO 2 (paediatric/AYA)</w:t>
            </w:r>
          </w:p>
        </w:tc>
        <w:tc>
          <w:tcPr>
            <w:tcW w:w="809" w:type="pct"/>
            <w:tcBorders>
              <w:left w:val="nil"/>
              <w:right w:val="nil"/>
            </w:tcBorders>
          </w:tcPr>
          <w:p w14:paraId="5679A644" w14:textId="77777777" w:rsidR="00A367BA" w:rsidRPr="001634D6" w:rsidRDefault="00A367BA" w:rsidP="003028CF">
            <w:pPr>
              <w:jc w:val="center"/>
              <w:rPr>
                <w:sz w:val="20"/>
              </w:rPr>
            </w:pPr>
          </w:p>
        </w:tc>
        <w:tc>
          <w:tcPr>
            <w:tcW w:w="809" w:type="pct"/>
            <w:tcBorders>
              <w:left w:val="nil"/>
              <w:bottom w:val="single" w:sz="4" w:space="0" w:color="auto"/>
              <w:right w:val="nil"/>
            </w:tcBorders>
          </w:tcPr>
          <w:p w14:paraId="13EC6D9A" w14:textId="77777777" w:rsidR="00A367BA" w:rsidRPr="001634D6" w:rsidRDefault="00A367BA" w:rsidP="003028CF">
            <w:pPr>
              <w:jc w:val="center"/>
              <w:rPr>
                <w:sz w:val="20"/>
              </w:rPr>
            </w:pPr>
          </w:p>
        </w:tc>
        <w:tc>
          <w:tcPr>
            <w:tcW w:w="690" w:type="pct"/>
            <w:gridSpan w:val="2"/>
            <w:tcBorders>
              <w:left w:val="nil"/>
              <w:bottom w:val="single" w:sz="4" w:space="0" w:color="auto"/>
              <w:right w:val="nil"/>
            </w:tcBorders>
          </w:tcPr>
          <w:p w14:paraId="703559D3" w14:textId="77777777" w:rsidR="00A367BA" w:rsidRPr="001634D6" w:rsidRDefault="00A367BA" w:rsidP="003028CF">
            <w:pPr>
              <w:jc w:val="center"/>
              <w:rPr>
                <w:sz w:val="20"/>
              </w:rPr>
            </w:pPr>
          </w:p>
        </w:tc>
        <w:tc>
          <w:tcPr>
            <w:tcW w:w="681" w:type="pct"/>
            <w:gridSpan w:val="2"/>
            <w:tcBorders>
              <w:left w:val="nil"/>
              <w:bottom w:val="single" w:sz="4" w:space="0" w:color="auto"/>
              <w:right w:val="nil"/>
            </w:tcBorders>
          </w:tcPr>
          <w:p w14:paraId="49C3EC49" w14:textId="77777777" w:rsidR="00A367BA" w:rsidRPr="001634D6" w:rsidRDefault="00A367BA" w:rsidP="003028CF">
            <w:pPr>
              <w:jc w:val="center"/>
              <w:rPr>
                <w:sz w:val="20"/>
              </w:rPr>
            </w:pPr>
          </w:p>
        </w:tc>
        <w:tc>
          <w:tcPr>
            <w:tcW w:w="1160" w:type="pct"/>
            <w:gridSpan w:val="2"/>
            <w:tcBorders>
              <w:left w:val="nil"/>
              <w:bottom w:val="single" w:sz="4" w:space="0" w:color="auto"/>
            </w:tcBorders>
          </w:tcPr>
          <w:p w14:paraId="7C4C9770" w14:textId="77777777" w:rsidR="00A367BA" w:rsidRPr="001634D6" w:rsidRDefault="00A367BA" w:rsidP="003028CF">
            <w:pPr>
              <w:jc w:val="center"/>
              <w:rPr>
                <w:sz w:val="20"/>
              </w:rPr>
            </w:pPr>
          </w:p>
        </w:tc>
      </w:tr>
      <w:tr w:rsidR="00A22F36" w:rsidRPr="001634D6" w14:paraId="2E6B0E80" w14:textId="77777777" w:rsidTr="00233774">
        <w:tc>
          <w:tcPr>
            <w:tcW w:w="847" w:type="pct"/>
          </w:tcPr>
          <w:p w14:paraId="2E764655" w14:textId="77777777" w:rsidR="00A367BA" w:rsidRPr="001634D6" w:rsidRDefault="00A367BA" w:rsidP="003028CF">
            <w:pPr>
              <w:jc w:val="both"/>
              <w:rPr>
                <w:sz w:val="20"/>
              </w:rPr>
            </w:pPr>
            <w:r w:rsidRPr="001634D6">
              <w:rPr>
                <w:sz w:val="20"/>
              </w:rPr>
              <w:t>PBT</w:t>
            </w:r>
          </w:p>
        </w:tc>
        <w:tc>
          <w:tcPr>
            <w:tcW w:w="809" w:type="pct"/>
          </w:tcPr>
          <w:p w14:paraId="0A74E95F" w14:textId="77777777" w:rsidR="00A367BA" w:rsidRPr="001634D6" w:rsidRDefault="00A367BA" w:rsidP="003028CF">
            <w:pPr>
              <w:jc w:val="center"/>
              <w:rPr>
                <w:sz w:val="20"/>
              </w:rPr>
            </w:pPr>
            <w:r w:rsidRPr="001634D6">
              <w:rPr>
                <w:sz w:val="20"/>
              </w:rPr>
              <w:t>$71,166</w:t>
            </w:r>
          </w:p>
        </w:tc>
        <w:tc>
          <w:tcPr>
            <w:tcW w:w="809" w:type="pct"/>
            <w:tcBorders>
              <w:bottom w:val="nil"/>
            </w:tcBorders>
          </w:tcPr>
          <w:p w14:paraId="4229A7B8" w14:textId="77777777" w:rsidR="00A367BA" w:rsidRPr="001634D6" w:rsidRDefault="00A367BA" w:rsidP="003028CF">
            <w:pPr>
              <w:jc w:val="center"/>
              <w:rPr>
                <w:sz w:val="20"/>
              </w:rPr>
            </w:pPr>
            <w:r w:rsidRPr="001634D6">
              <w:rPr>
                <w:sz w:val="20"/>
              </w:rPr>
              <w:t>-$41,798</w:t>
            </w:r>
          </w:p>
        </w:tc>
        <w:tc>
          <w:tcPr>
            <w:tcW w:w="690" w:type="pct"/>
            <w:gridSpan w:val="2"/>
            <w:tcBorders>
              <w:bottom w:val="nil"/>
            </w:tcBorders>
          </w:tcPr>
          <w:p w14:paraId="53141F40" w14:textId="77777777" w:rsidR="00A367BA" w:rsidRPr="001634D6" w:rsidRDefault="00A367BA" w:rsidP="003028CF">
            <w:pPr>
              <w:jc w:val="center"/>
              <w:rPr>
                <w:sz w:val="20"/>
              </w:rPr>
            </w:pPr>
            <w:r w:rsidRPr="001634D6">
              <w:rPr>
                <w:sz w:val="20"/>
              </w:rPr>
              <w:t>-</w:t>
            </w:r>
          </w:p>
        </w:tc>
        <w:tc>
          <w:tcPr>
            <w:tcW w:w="681" w:type="pct"/>
            <w:gridSpan w:val="2"/>
            <w:tcBorders>
              <w:bottom w:val="nil"/>
            </w:tcBorders>
          </w:tcPr>
          <w:p w14:paraId="45FFB92F" w14:textId="77777777" w:rsidR="00A367BA" w:rsidRPr="001634D6" w:rsidRDefault="00A367BA" w:rsidP="003028CF">
            <w:pPr>
              <w:jc w:val="center"/>
              <w:rPr>
                <w:sz w:val="20"/>
              </w:rPr>
            </w:pPr>
            <w:r w:rsidRPr="001634D6">
              <w:rPr>
                <w:sz w:val="20"/>
              </w:rPr>
              <w:t>-</w:t>
            </w:r>
          </w:p>
        </w:tc>
        <w:tc>
          <w:tcPr>
            <w:tcW w:w="1160" w:type="pct"/>
            <w:gridSpan w:val="2"/>
            <w:tcBorders>
              <w:bottom w:val="nil"/>
            </w:tcBorders>
          </w:tcPr>
          <w:p w14:paraId="7E701F3B" w14:textId="77777777" w:rsidR="00A367BA" w:rsidRPr="001634D6" w:rsidRDefault="00A367BA" w:rsidP="003028CF">
            <w:pPr>
              <w:jc w:val="center"/>
              <w:rPr>
                <w:sz w:val="20"/>
              </w:rPr>
            </w:pPr>
            <w:r w:rsidRPr="001634D6">
              <w:rPr>
                <w:sz w:val="20"/>
              </w:rPr>
              <w:t>-</w:t>
            </w:r>
          </w:p>
        </w:tc>
      </w:tr>
      <w:tr w:rsidR="00A22F36" w:rsidRPr="001634D6" w14:paraId="1D9AFC64" w14:textId="77777777" w:rsidTr="00233774">
        <w:tc>
          <w:tcPr>
            <w:tcW w:w="847" w:type="pct"/>
            <w:tcBorders>
              <w:bottom w:val="single" w:sz="4" w:space="0" w:color="auto"/>
            </w:tcBorders>
          </w:tcPr>
          <w:p w14:paraId="5C1805E9" w14:textId="77777777" w:rsidR="00A367BA" w:rsidRPr="001634D6" w:rsidRDefault="00A367BA" w:rsidP="003028CF">
            <w:pPr>
              <w:jc w:val="both"/>
              <w:rPr>
                <w:sz w:val="20"/>
              </w:rPr>
            </w:pPr>
            <w:r w:rsidRPr="001634D6">
              <w:rPr>
                <w:sz w:val="20"/>
              </w:rPr>
              <w:t>PRT</w:t>
            </w:r>
          </w:p>
        </w:tc>
        <w:tc>
          <w:tcPr>
            <w:tcW w:w="809" w:type="pct"/>
            <w:tcBorders>
              <w:bottom w:val="single" w:sz="4" w:space="0" w:color="auto"/>
            </w:tcBorders>
          </w:tcPr>
          <w:p w14:paraId="20A7AB71" w14:textId="77777777" w:rsidR="00A367BA" w:rsidRPr="001634D6" w:rsidRDefault="00A367BA" w:rsidP="003028CF">
            <w:pPr>
              <w:jc w:val="center"/>
              <w:rPr>
                <w:sz w:val="20"/>
              </w:rPr>
            </w:pPr>
            <w:r w:rsidRPr="001634D6">
              <w:rPr>
                <w:sz w:val="20"/>
              </w:rPr>
              <w:t>$112,964</w:t>
            </w:r>
          </w:p>
        </w:tc>
        <w:tc>
          <w:tcPr>
            <w:tcW w:w="809" w:type="pct"/>
            <w:tcBorders>
              <w:top w:val="nil"/>
              <w:bottom w:val="single" w:sz="4" w:space="0" w:color="auto"/>
            </w:tcBorders>
          </w:tcPr>
          <w:p w14:paraId="5B68C1D3" w14:textId="77777777" w:rsidR="00A367BA" w:rsidRPr="001634D6" w:rsidRDefault="00A367BA" w:rsidP="003028CF">
            <w:pPr>
              <w:jc w:val="center"/>
              <w:rPr>
                <w:sz w:val="20"/>
              </w:rPr>
            </w:pPr>
          </w:p>
        </w:tc>
        <w:tc>
          <w:tcPr>
            <w:tcW w:w="690" w:type="pct"/>
            <w:gridSpan w:val="2"/>
            <w:tcBorders>
              <w:top w:val="nil"/>
              <w:bottom w:val="single" w:sz="4" w:space="0" w:color="auto"/>
            </w:tcBorders>
          </w:tcPr>
          <w:p w14:paraId="5CE0A932" w14:textId="77777777" w:rsidR="00A367BA" w:rsidRPr="001634D6" w:rsidRDefault="00A367BA" w:rsidP="003028CF">
            <w:pPr>
              <w:jc w:val="center"/>
              <w:rPr>
                <w:sz w:val="20"/>
              </w:rPr>
            </w:pPr>
          </w:p>
        </w:tc>
        <w:tc>
          <w:tcPr>
            <w:tcW w:w="681" w:type="pct"/>
            <w:gridSpan w:val="2"/>
            <w:tcBorders>
              <w:top w:val="nil"/>
              <w:bottom w:val="single" w:sz="4" w:space="0" w:color="auto"/>
            </w:tcBorders>
          </w:tcPr>
          <w:p w14:paraId="31C7D26F" w14:textId="77777777" w:rsidR="00A367BA" w:rsidRPr="001634D6" w:rsidRDefault="00A367BA" w:rsidP="003028CF">
            <w:pPr>
              <w:jc w:val="center"/>
              <w:rPr>
                <w:sz w:val="20"/>
              </w:rPr>
            </w:pPr>
          </w:p>
        </w:tc>
        <w:tc>
          <w:tcPr>
            <w:tcW w:w="1160" w:type="pct"/>
            <w:gridSpan w:val="2"/>
            <w:tcBorders>
              <w:top w:val="nil"/>
              <w:bottom w:val="single" w:sz="4" w:space="0" w:color="auto"/>
            </w:tcBorders>
          </w:tcPr>
          <w:p w14:paraId="59E0BC0C" w14:textId="77777777" w:rsidR="00A367BA" w:rsidRPr="001634D6" w:rsidRDefault="00A367BA" w:rsidP="003028CF">
            <w:pPr>
              <w:jc w:val="center"/>
              <w:rPr>
                <w:sz w:val="20"/>
              </w:rPr>
            </w:pPr>
          </w:p>
        </w:tc>
      </w:tr>
      <w:tr w:rsidR="00A22F36" w:rsidRPr="001634D6" w14:paraId="3D37A622" w14:textId="77777777" w:rsidTr="00233774">
        <w:tc>
          <w:tcPr>
            <w:tcW w:w="847" w:type="pct"/>
            <w:tcBorders>
              <w:bottom w:val="single" w:sz="4" w:space="0" w:color="auto"/>
              <w:right w:val="nil"/>
            </w:tcBorders>
          </w:tcPr>
          <w:p w14:paraId="5DD14E9C" w14:textId="77777777" w:rsidR="00A367BA" w:rsidRPr="001634D6" w:rsidRDefault="00A367BA" w:rsidP="003028CF">
            <w:pPr>
              <w:jc w:val="both"/>
              <w:rPr>
                <w:sz w:val="20"/>
              </w:rPr>
            </w:pPr>
            <w:r w:rsidRPr="001634D6">
              <w:rPr>
                <w:sz w:val="20"/>
              </w:rPr>
              <w:t>STEP 3: Cost per QALY gained</w:t>
            </w:r>
          </w:p>
        </w:tc>
        <w:tc>
          <w:tcPr>
            <w:tcW w:w="809" w:type="pct"/>
            <w:tcBorders>
              <w:left w:val="nil"/>
              <w:bottom w:val="single" w:sz="4" w:space="0" w:color="auto"/>
              <w:right w:val="nil"/>
            </w:tcBorders>
          </w:tcPr>
          <w:p w14:paraId="41C19F0C" w14:textId="77777777" w:rsidR="00A367BA" w:rsidRPr="001634D6" w:rsidRDefault="00A367BA" w:rsidP="003028CF">
            <w:pPr>
              <w:jc w:val="center"/>
              <w:rPr>
                <w:sz w:val="20"/>
              </w:rPr>
            </w:pPr>
          </w:p>
        </w:tc>
        <w:tc>
          <w:tcPr>
            <w:tcW w:w="809" w:type="pct"/>
            <w:tcBorders>
              <w:left w:val="nil"/>
              <w:bottom w:val="single" w:sz="4" w:space="0" w:color="auto"/>
              <w:right w:val="nil"/>
            </w:tcBorders>
          </w:tcPr>
          <w:p w14:paraId="3BFF6A2C" w14:textId="77777777" w:rsidR="00A367BA" w:rsidRPr="001634D6" w:rsidRDefault="00A367BA" w:rsidP="003028CF">
            <w:pPr>
              <w:jc w:val="center"/>
              <w:rPr>
                <w:sz w:val="20"/>
              </w:rPr>
            </w:pPr>
          </w:p>
        </w:tc>
        <w:tc>
          <w:tcPr>
            <w:tcW w:w="690" w:type="pct"/>
            <w:gridSpan w:val="2"/>
            <w:tcBorders>
              <w:left w:val="nil"/>
              <w:bottom w:val="single" w:sz="4" w:space="0" w:color="auto"/>
              <w:right w:val="nil"/>
            </w:tcBorders>
          </w:tcPr>
          <w:p w14:paraId="5098F984" w14:textId="77777777" w:rsidR="00A367BA" w:rsidRPr="001634D6" w:rsidRDefault="00A367BA" w:rsidP="003028CF">
            <w:pPr>
              <w:jc w:val="center"/>
              <w:rPr>
                <w:sz w:val="20"/>
              </w:rPr>
            </w:pPr>
          </w:p>
        </w:tc>
        <w:tc>
          <w:tcPr>
            <w:tcW w:w="681" w:type="pct"/>
            <w:gridSpan w:val="2"/>
            <w:tcBorders>
              <w:left w:val="nil"/>
              <w:bottom w:val="single" w:sz="4" w:space="0" w:color="auto"/>
              <w:right w:val="nil"/>
            </w:tcBorders>
          </w:tcPr>
          <w:p w14:paraId="17A92D80" w14:textId="77777777" w:rsidR="00A367BA" w:rsidRPr="001634D6" w:rsidRDefault="00A367BA" w:rsidP="003028CF">
            <w:pPr>
              <w:jc w:val="center"/>
              <w:rPr>
                <w:sz w:val="20"/>
              </w:rPr>
            </w:pPr>
          </w:p>
        </w:tc>
        <w:tc>
          <w:tcPr>
            <w:tcW w:w="1160" w:type="pct"/>
            <w:gridSpan w:val="2"/>
            <w:tcBorders>
              <w:left w:val="nil"/>
              <w:bottom w:val="single" w:sz="4" w:space="0" w:color="auto"/>
            </w:tcBorders>
          </w:tcPr>
          <w:p w14:paraId="5043343B" w14:textId="77777777" w:rsidR="00A367BA" w:rsidRPr="001634D6" w:rsidRDefault="00A367BA" w:rsidP="003028CF">
            <w:pPr>
              <w:jc w:val="center"/>
              <w:rPr>
                <w:sz w:val="20"/>
              </w:rPr>
            </w:pPr>
          </w:p>
        </w:tc>
      </w:tr>
      <w:tr w:rsidR="00A22F36" w:rsidRPr="001634D6" w14:paraId="585701D8" w14:textId="77777777" w:rsidTr="00233774">
        <w:tc>
          <w:tcPr>
            <w:tcW w:w="847" w:type="pct"/>
            <w:tcBorders>
              <w:right w:val="nil"/>
            </w:tcBorders>
          </w:tcPr>
          <w:p w14:paraId="1AED3301" w14:textId="77777777" w:rsidR="00A367BA" w:rsidRPr="001634D6" w:rsidRDefault="00A367BA" w:rsidP="003028CF">
            <w:pPr>
              <w:jc w:val="both"/>
              <w:rPr>
                <w:sz w:val="20"/>
              </w:rPr>
            </w:pPr>
            <w:r w:rsidRPr="001634D6">
              <w:rPr>
                <w:sz w:val="20"/>
              </w:rPr>
              <w:t>PICO 1 (adult)</w:t>
            </w:r>
          </w:p>
        </w:tc>
        <w:tc>
          <w:tcPr>
            <w:tcW w:w="809" w:type="pct"/>
            <w:tcBorders>
              <w:left w:val="nil"/>
              <w:right w:val="nil"/>
            </w:tcBorders>
          </w:tcPr>
          <w:p w14:paraId="18CA803D" w14:textId="77777777" w:rsidR="00A367BA" w:rsidRPr="001634D6" w:rsidRDefault="00A367BA" w:rsidP="003028CF">
            <w:pPr>
              <w:jc w:val="center"/>
              <w:rPr>
                <w:sz w:val="20"/>
              </w:rPr>
            </w:pPr>
          </w:p>
        </w:tc>
        <w:tc>
          <w:tcPr>
            <w:tcW w:w="809" w:type="pct"/>
            <w:tcBorders>
              <w:left w:val="nil"/>
              <w:bottom w:val="single" w:sz="4" w:space="0" w:color="auto"/>
              <w:right w:val="nil"/>
            </w:tcBorders>
          </w:tcPr>
          <w:p w14:paraId="2BA65397" w14:textId="77777777" w:rsidR="00A367BA" w:rsidRPr="001634D6" w:rsidRDefault="00A367BA" w:rsidP="003028CF">
            <w:pPr>
              <w:jc w:val="center"/>
              <w:rPr>
                <w:sz w:val="20"/>
              </w:rPr>
            </w:pPr>
          </w:p>
        </w:tc>
        <w:tc>
          <w:tcPr>
            <w:tcW w:w="690" w:type="pct"/>
            <w:gridSpan w:val="2"/>
            <w:tcBorders>
              <w:left w:val="nil"/>
              <w:right w:val="nil"/>
            </w:tcBorders>
          </w:tcPr>
          <w:p w14:paraId="26E1A0DF" w14:textId="77777777" w:rsidR="00A367BA" w:rsidRPr="001634D6" w:rsidRDefault="00A367BA" w:rsidP="003028CF">
            <w:pPr>
              <w:jc w:val="center"/>
              <w:rPr>
                <w:sz w:val="20"/>
              </w:rPr>
            </w:pPr>
          </w:p>
        </w:tc>
        <w:tc>
          <w:tcPr>
            <w:tcW w:w="681" w:type="pct"/>
            <w:gridSpan w:val="2"/>
            <w:tcBorders>
              <w:left w:val="nil"/>
              <w:bottom w:val="single" w:sz="4" w:space="0" w:color="auto"/>
              <w:right w:val="nil"/>
            </w:tcBorders>
          </w:tcPr>
          <w:p w14:paraId="38E55CC2" w14:textId="77777777" w:rsidR="00A367BA" w:rsidRPr="001634D6" w:rsidRDefault="00A367BA" w:rsidP="003028CF">
            <w:pPr>
              <w:jc w:val="center"/>
              <w:rPr>
                <w:sz w:val="20"/>
              </w:rPr>
            </w:pPr>
          </w:p>
        </w:tc>
        <w:tc>
          <w:tcPr>
            <w:tcW w:w="1160" w:type="pct"/>
            <w:gridSpan w:val="2"/>
            <w:tcBorders>
              <w:left w:val="nil"/>
              <w:bottom w:val="single" w:sz="4" w:space="0" w:color="auto"/>
            </w:tcBorders>
          </w:tcPr>
          <w:p w14:paraId="52245ED5" w14:textId="77777777" w:rsidR="00A367BA" w:rsidRPr="001634D6" w:rsidRDefault="00A367BA" w:rsidP="003028CF">
            <w:pPr>
              <w:jc w:val="center"/>
              <w:rPr>
                <w:sz w:val="20"/>
              </w:rPr>
            </w:pPr>
          </w:p>
        </w:tc>
      </w:tr>
      <w:tr w:rsidR="00A22F36" w:rsidRPr="001634D6" w14:paraId="0C25BFDB" w14:textId="77777777" w:rsidTr="00233774">
        <w:tc>
          <w:tcPr>
            <w:tcW w:w="847" w:type="pct"/>
          </w:tcPr>
          <w:p w14:paraId="1CEEADF6" w14:textId="77777777" w:rsidR="00A367BA" w:rsidRPr="001634D6" w:rsidRDefault="00A367BA" w:rsidP="003028CF">
            <w:pPr>
              <w:jc w:val="both"/>
              <w:rPr>
                <w:sz w:val="20"/>
              </w:rPr>
            </w:pPr>
            <w:r w:rsidRPr="001634D6">
              <w:rPr>
                <w:sz w:val="20"/>
              </w:rPr>
              <w:t>PBT</w:t>
            </w:r>
          </w:p>
        </w:tc>
        <w:tc>
          <w:tcPr>
            <w:tcW w:w="809" w:type="pct"/>
          </w:tcPr>
          <w:p w14:paraId="3385DFB3" w14:textId="2715D0F9" w:rsidR="00A367BA" w:rsidRDefault="00A367BA" w:rsidP="003028CF">
            <w:pPr>
              <w:jc w:val="center"/>
              <w:rPr>
                <w:sz w:val="20"/>
              </w:rPr>
            </w:pPr>
            <w:r w:rsidRPr="001634D6">
              <w:rPr>
                <w:sz w:val="20"/>
              </w:rPr>
              <w:t>$46,354</w:t>
            </w:r>
          </w:p>
          <w:p w14:paraId="0B947ED4" w14:textId="0AFEA565" w:rsidR="00A740F4" w:rsidRPr="00A740F4" w:rsidRDefault="00A740F4" w:rsidP="00A22F36">
            <w:pPr>
              <w:jc w:val="center"/>
              <w:rPr>
                <w:i/>
                <w:sz w:val="20"/>
              </w:rPr>
            </w:pPr>
            <w:r w:rsidRPr="00A740F4">
              <w:rPr>
                <w:i/>
                <w:sz w:val="20"/>
              </w:rPr>
              <w:t>$49,772</w:t>
            </w:r>
          </w:p>
        </w:tc>
        <w:tc>
          <w:tcPr>
            <w:tcW w:w="809" w:type="pct"/>
            <w:tcBorders>
              <w:bottom w:val="nil"/>
            </w:tcBorders>
          </w:tcPr>
          <w:p w14:paraId="784B0D9A" w14:textId="661BCB5C" w:rsidR="00A367BA" w:rsidRDefault="00A367BA" w:rsidP="003028CF">
            <w:pPr>
              <w:jc w:val="center"/>
              <w:rPr>
                <w:sz w:val="20"/>
              </w:rPr>
            </w:pPr>
            <w:r w:rsidRPr="001634D6">
              <w:rPr>
                <w:sz w:val="20"/>
              </w:rPr>
              <w:t>$24,390</w:t>
            </w:r>
          </w:p>
          <w:p w14:paraId="5AD230EE" w14:textId="5355870D" w:rsidR="00A740F4" w:rsidRPr="00A740F4" w:rsidRDefault="00A740F4" w:rsidP="00C876B3">
            <w:pPr>
              <w:jc w:val="center"/>
              <w:rPr>
                <w:i/>
                <w:sz w:val="20"/>
              </w:rPr>
            </w:pPr>
            <w:r w:rsidRPr="00A740F4">
              <w:rPr>
                <w:i/>
                <w:sz w:val="20"/>
              </w:rPr>
              <w:t>$27,808</w:t>
            </w:r>
          </w:p>
        </w:tc>
        <w:tc>
          <w:tcPr>
            <w:tcW w:w="690" w:type="pct"/>
            <w:gridSpan w:val="2"/>
          </w:tcPr>
          <w:p w14:paraId="4CABF0DA" w14:textId="77777777" w:rsidR="00A367BA" w:rsidRPr="001634D6" w:rsidRDefault="00A367BA" w:rsidP="003028CF">
            <w:pPr>
              <w:jc w:val="center"/>
              <w:rPr>
                <w:sz w:val="20"/>
              </w:rPr>
            </w:pPr>
            <w:r w:rsidRPr="001634D6">
              <w:rPr>
                <w:sz w:val="20"/>
              </w:rPr>
              <w:t>-0.1398</w:t>
            </w:r>
          </w:p>
        </w:tc>
        <w:tc>
          <w:tcPr>
            <w:tcW w:w="681" w:type="pct"/>
            <w:gridSpan w:val="2"/>
            <w:tcBorders>
              <w:bottom w:val="nil"/>
            </w:tcBorders>
          </w:tcPr>
          <w:p w14:paraId="7B43C597" w14:textId="77777777" w:rsidR="00A367BA" w:rsidRPr="001634D6" w:rsidRDefault="00A367BA" w:rsidP="003028CF">
            <w:pPr>
              <w:jc w:val="center"/>
              <w:rPr>
                <w:sz w:val="20"/>
              </w:rPr>
            </w:pPr>
            <w:r w:rsidRPr="001634D6">
              <w:rPr>
                <w:sz w:val="20"/>
              </w:rPr>
              <w:t>0.1653</w:t>
            </w:r>
          </w:p>
        </w:tc>
        <w:tc>
          <w:tcPr>
            <w:tcW w:w="1160" w:type="pct"/>
            <w:gridSpan w:val="2"/>
            <w:tcBorders>
              <w:bottom w:val="nil"/>
            </w:tcBorders>
          </w:tcPr>
          <w:p w14:paraId="17B915BD" w14:textId="6D7442CB" w:rsidR="00A367BA" w:rsidRDefault="00A367BA" w:rsidP="003028CF">
            <w:pPr>
              <w:jc w:val="center"/>
              <w:rPr>
                <w:sz w:val="20"/>
              </w:rPr>
            </w:pPr>
            <w:r w:rsidRPr="001634D6">
              <w:rPr>
                <w:sz w:val="20"/>
              </w:rPr>
              <w:t>$147,539</w:t>
            </w:r>
          </w:p>
          <w:p w14:paraId="72002F5C" w14:textId="6BEF8EA5" w:rsidR="00A740F4" w:rsidRPr="00A740F4" w:rsidRDefault="00A740F4" w:rsidP="00C876B3">
            <w:pPr>
              <w:jc w:val="center"/>
              <w:rPr>
                <w:i/>
                <w:sz w:val="20"/>
              </w:rPr>
            </w:pPr>
            <w:r w:rsidRPr="00A740F4">
              <w:rPr>
                <w:i/>
                <w:sz w:val="20"/>
              </w:rPr>
              <w:t>$168,209</w:t>
            </w:r>
          </w:p>
        </w:tc>
      </w:tr>
      <w:tr w:rsidR="00A22F36" w:rsidRPr="001634D6" w14:paraId="5BB2045D" w14:textId="77777777" w:rsidTr="00233774">
        <w:tc>
          <w:tcPr>
            <w:tcW w:w="847" w:type="pct"/>
            <w:tcBorders>
              <w:bottom w:val="single" w:sz="4" w:space="0" w:color="auto"/>
            </w:tcBorders>
          </w:tcPr>
          <w:p w14:paraId="1F3DE989" w14:textId="77777777" w:rsidR="00A367BA" w:rsidRPr="001634D6" w:rsidRDefault="00A367BA" w:rsidP="003028CF">
            <w:pPr>
              <w:jc w:val="both"/>
              <w:rPr>
                <w:sz w:val="20"/>
              </w:rPr>
            </w:pPr>
            <w:r w:rsidRPr="001634D6">
              <w:rPr>
                <w:sz w:val="20"/>
              </w:rPr>
              <w:t>PRT</w:t>
            </w:r>
          </w:p>
        </w:tc>
        <w:tc>
          <w:tcPr>
            <w:tcW w:w="809" w:type="pct"/>
            <w:tcBorders>
              <w:bottom w:val="single" w:sz="4" w:space="0" w:color="auto"/>
            </w:tcBorders>
          </w:tcPr>
          <w:p w14:paraId="2534F05B" w14:textId="77777777" w:rsidR="00A367BA" w:rsidRPr="001634D6" w:rsidRDefault="00A367BA" w:rsidP="003028CF">
            <w:pPr>
              <w:jc w:val="center"/>
              <w:rPr>
                <w:sz w:val="20"/>
              </w:rPr>
            </w:pPr>
            <w:r w:rsidRPr="001634D6">
              <w:rPr>
                <w:sz w:val="20"/>
              </w:rPr>
              <w:t>$21,964</w:t>
            </w:r>
          </w:p>
        </w:tc>
        <w:tc>
          <w:tcPr>
            <w:tcW w:w="809" w:type="pct"/>
            <w:tcBorders>
              <w:top w:val="nil"/>
              <w:bottom w:val="single" w:sz="4" w:space="0" w:color="auto"/>
            </w:tcBorders>
          </w:tcPr>
          <w:p w14:paraId="7AF5A6C0" w14:textId="77777777" w:rsidR="00A367BA" w:rsidRPr="001634D6" w:rsidRDefault="00A367BA" w:rsidP="003028CF">
            <w:pPr>
              <w:jc w:val="center"/>
              <w:rPr>
                <w:sz w:val="20"/>
              </w:rPr>
            </w:pPr>
          </w:p>
        </w:tc>
        <w:tc>
          <w:tcPr>
            <w:tcW w:w="690" w:type="pct"/>
            <w:gridSpan w:val="2"/>
            <w:tcBorders>
              <w:bottom w:val="single" w:sz="4" w:space="0" w:color="auto"/>
            </w:tcBorders>
          </w:tcPr>
          <w:p w14:paraId="3D0B0FD5" w14:textId="77777777" w:rsidR="00A367BA" w:rsidRPr="001634D6" w:rsidRDefault="00A367BA" w:rsidP="003028CF">
            <w:pPr>
              <w:jc w:val="center"/>
              <w:rPr>
                <w:sz w:val="20"/>
              </w:rPr>
            </w:pPr>
            <w:r w:rsidRPr="001634D6">
              <w:rPr>
                <w:sz w:val="20"/>
              </w:rPr>
              <w:t>-0.3051</w:t>
            </w:r>
          </w:p>
        </w:tc>
        <w:tc>
          <w:tcPr>
            <w:tcW w:w="681" w:type="pct"/>
            <w:gridSpan w:val="2"/>
            <w:tcBorders>
              <w:top w:val="nil"/>
              <w:bottom w:val="single" w:sz="4" w:space="0" w:color="auto"/>
            </w:tcBorders>
          </w:tcPr>
          <w:p w14:paraId="6C6B306C" w14:textId="77777777" w:rsidR="00A367BA" w:rsidRPr="001634D6" w:rsidRDefault="00A367BA" w:rsidP="003028CF">
            <w:pPr>
              <w:jc w:val="center"/>
              <w:rPr>
                <w:sz w:val="20"/>
              </w:rPr>
            </w:pPr>
          </w:p>
        </w:tc>
        <w:tc>
          <w:tcPr>
            <w:tcW w:w="1160" w:type="pct"/>
            <w:gridSpan w:val="2"/>
            <w:tcBorders>
              <w:top w:val="nil"/>
              <w:bottom w:val="single" w:sz="4" w:space="0" w:color="auto"/>
            </w:tcBorders>
          </w:tcPr>
          <w:p w14:paraId="672D9B77" w14:textId="77777777" w:rsidR="00A367BA" w:rsidRPr="001634D6" w:rsidRDefault="00A367BA" w:rsidP="003028CF">
            <w:pPr>
              <w:jc w:val="center"/>
              <w:rPr>
                <w:sz w:val="20"/>
              </w:rPr>
            </w:pPr>
          </w:p>
        </w:tc>
      </w:tr>
      <w:tr w:rsidR="00A22F36" w:rsidRPr="001634D6" w14:paraId="5916507F" w14:textId="77777777" w:rsidTr="00233774">
        <w:tc>
          <w:tcPr>
            <w:tcW w:w="847" w:type="pct"/>
            <w:tcBorders>
              <w:right w:val="nil"/>
            </w:tcBorders>
          </w:tcPr>
          <w:p w14:paraId="575E3F59" w14:textId="77777777" w:rsidR="00A367BA" w:rsidRPr="001634D6" w:rsidRDefault="00A367BA" w:rsidP="003028CF">
            <w:pPr>
              <w:jc w:val="both"/>
              <w:rPr>
                <w:sz w:val="20"/>
              </w:rPr>
            </w:pPr>
            <w:r w:rsidRPr="001634D6">
              <w:rPr>
                <w:sz w:val="20"/>
              </w:rPr>
              <w:t>PICO 2 (paediatric/AYA)</w:t>
            </w:r>
          </w:p>
        </w:tc>
        <w:tc>
          <w:tcPr>
            <w:tcW w:w="809" w:type="pct"/>
            <w:tcBorders>
              <w:left w:val="nil"/>
              <w:right w:val="nil"/>
            </w:tcBorders>
          </w:tcPr>
          <w:p w14:paraId="55B111D2" w14:textId="77777777" w:rsidR="00A367BA" w:rsidRPr="001634D6" w:rsidRDefault="00A367BA" w:rsidP="003028CF">
            <w:pPr>
              <w:jc w:val="center"/>
              <w:rPr>
                <w:sz w:val="20"/>
              </w:rPr>
            </w:pPr>
          </w:p>
        </w:tc>
        <w:tc>
          <w:tcPr>
            <w:tcW w:w="809" w:type="pct"/>
            <w:tcBorders>
              <w:left w:val="nil"/>
              <w:bottom w:val="single" w:sz="4" w:space="0" w:color="auto"/>
              <w:right w:val="nil"/>
            </w:tcBorders>
          </w:tcPr>
          <w:p w14:paraId="050592FD" w14:textId="77777777" w:rsidR="00A367BA" w:rsidRPr="001634D6" w:rsidRDefault="00A367BA" w:rsidP="003028CF">
            <w:pPr>
              <w:jc w:val="center"/>
              <w:rPr>
                <w:sz w:val="20"/>
              </w:rPr>
            </w:pPr>
          </w:p>
        </w:tc>
        <w:tc>
          <w:tcPr>
            <w:tcW w:w="690" w:type="pct"/>
            <w:gridSpan w:val="2"/>
            <w:tcBorders>
              <w:left w:val="nil"/>
              <w:right w:val="nil"/>
            </w:tcBorders>
          </w:tcPr>
          <w:p w14:paraId="41E4A464" w14:textId="77777777" w:rsidR="00A367BA" w:rsidRPr="001634D6" w:rsidRDefault="00A367BA" w:rsidP="003028CF">
            <w:pPr>
              <w:jc w:val="center"/>
              <w:rPr>
                <w:sz w:val="20"/>
              </w:rPr>
            </w:pPr>
          </w:p>
        </w:tc>
        <w:tc>
          <w:tcPr>
            <w:tcW w:w="681" w:type="pct"/>
            <w:gridSpan w:val="2"/>
            <w:tcBorders>
              <w:left w:val="nil"/>
              <w:bottom w:val="single" w:sz="4" w:space="0" w:color="auto"/>
              <w:right w:val="nil"/>
            </w:tcBorders>
          </w:tcPr>
          <w:p w14:paraId="7B8357CE" w14:textId="77777777" w:rsidR="00A367BA" w:rsidRPr="001634D6" w:rsidRDefault="00A367BA" w:rsidP="003028CF">
            <w:pPr>
              <w:jc w:val="center"/>
              <w:rPr>
                <w:sz w:val="20"/>
              </w:rPr>
            </w:pPr>
          </w:p>
        </w:tc>
        <w:tc>
          <w:tcPr>
            <w:tcW w:w="1160" w:type="pct"/>
            <w:gridSpan w:val="2"/>
            <w:tcBorders>
              <w:left w:val="nil"/>
              <w:bottom w:val="single" w:sz="4" w:space="0" w:color="auto"/>
            </w:tcBorders>
          </w:tcPr>
          <w:p w14:paraId="78CC84FA" w14:textId="77777777" w:rsidR="00A367BA" w:rsidRPr="001634D6" w:rsidRDefault="00A367BA" w:rsidP="003028CF">
            <w:pPr>
              <w:jc w:val="center"/>
              <w:rPr>
                <w:sz w:val="20"/>
              </w:rPr>
            </w:pPr>
          </w:p>
        </w:tc>
      </w:tr>
      <w:tr w:rsidR="00A22F36" w:rsidRPr="001634D6" w14:paraId="18C24435" w14:textId="77777777" w:rsidTr="00233774">
        <w:tc>
          <w:tcPr>
            <w:tcW w:w="847" w:type="pct"/>
          </w:tcPr>
          <w:p w14:paraId="481B04B5" w14:textId="77777777" w:rsidR="00A367BA" w:rsidRPr="001634D6" w:rsidRDefault="00A367BA" w:rsidP="003028CF">
            <w:pPr>
              <w:jc w:val="both"/>
              <w:rPr>
                <w:sz w:val="20"/>
              </w:rPr>
            </w:pPr>
            <w:r w:rsidRPr="001634D6">
              <w:rPr>
                <w:sz w:val="20"/>
              </w:rPr>
              <w:t>PBT</w:t>
            </w:r>
          </w:p>
        </w:tc>
        <w:tc>
          <w:tcPr>
            <w:tcW w:w="809" w:type="pct"/>
          </w:tcPr>
          <w:p w14:paraId="34EC6764" w14:textId="604053F7" w:rsidR="00A367BA" w:rsidRDefault="00A367BA" w:rsidP="003028CF">
            <w:pPr>
              <w:jc w:val="center"/>
              <w:rPr>
                <w:sz w:val="20"/>
              </w:rPr>
            </w:pPr>
            <w:r w:rsidRPr="001634D6">
              <w:rPr>
                <w:sz w:val="20"/>
              </w:rPr>
              <w:t>$114,255</w:t>
            </w:r>
          </w:p>
          <w:p w14:paraId="4F907529" w14:textId="1EE206AB" w:rsidR="00A740F4" w:rsidRPr="00A740F4" w:rsidRDefault="00A740F4" w:rsidP="00233774">
            <w:pPr>
              <w:jc w:val="center"/>
              <w:rPr>
                <w:i/>
                <w:sz w:val="20"/>
              </w:rPr>
            </w:pPr>
            <w:r w:rsidRPr="00A740F4">
              <w:rPr>
                <w:i/>
                <w:sz w:val="20"/>
              </w:rPr>
              <w:t>$117,673</w:t>
            </w:r>
          </w:p>
        </w:tc>
        <w:tc>
          <w:tcPr>
            <w:tcW w:w="809" w:type="pct"/>
            <w:tcBorders>
              <w:bottom w:val="nil"/>
            </w:tcBorders>
          </w:tcPr>
          <w:p w14:paraId="74940FF8" w14:textId="6026A317" w:rsidR="00A367BA" w:rsidRDefault="00A367BA" w:rsidP="003028CF">
            <w:pPr>
              <w:jc w:val="center"/>
              <w:rPr>
                <w:sz w:val="20"/>
              </w:rPr>
            </w:pPr>
            <w:r w:rsidRPr="001634D6">
              <w:rPr>
                <w:sz w:val="20"/>
              </w:rPr>
              <w:t>-$12,753</w:t>
            </w:r>
          </w:p>
          <w:p w14:paraId="73EB84D3" w14:textId="454B8272" w:rsidR="00A740F4" w:rsidRPr="00A740F4" w:rsidRDefault="00A740F4" w:rsidP="00233774">
            <w:pPr>
              <w:jc w:val="center"/>
              <w:rPr>
                <w:i/>
                <w:sz w:val="20"/>
              </w:rPr>
            </w:pPr>
            <w:r w:rsidRPr="00A740F4">
              <w:rPr>
                <w:i/>
                <w:sz w:val="20"/>
              </w:rPr>
              <w:t>-$9,335</w:t>
            </w:r>
          </w:p>
        </w:tc>
        <w:tc>
          <w:tcPr>
            <w:tcW w:w="690" w:type="pct"/>
            <w:gridSpan w:val="2"/>
          </w:tcPr>
          <w:p w14:paraId="2D53982D" w14:textId="77777777" w:rsidR="00A367BA" w:rsidRPr="001634D6" w:rsidRDefault="00A367BA" w:rsidP="003028CF">
            <w:pPr>
              <w:jc w:val="center"/>
              <w:rPr>
                <w:sz w:val="20"/>
              </w:rPr>
            </w:pPr>
            <w:r w:rsidRPr="001634D6">
              <w:rPr>
                <w:sz w:val="20"/>
              </w:rPr>
              <w:t>-0.3285</w:t>
            </w:r>
          </w:p>
        </w:tc>
        <w:tc>
          <w:tcPr>
            <w:tcW w:w="681" w:type="pct"/>
            <w:gridSpan w:val="2"/>
            <w:tcBorders>
              <w:bottom w:val="nil"/>
            </w:tcBorders>
          </w:tcPr>
          <w:p w14:paraId="7B01C432" w14:textId="77777777" w:rsidR="00A367BA" w:rsidRPr="001634D6" w:rsidRDefault="00A367BA" w:rsidP="003028CF">
            <w:pPr>
              <w:jc w:val="center"/>
              <w:rPr>
                <w:sz w:val="20"/>
              </w:rPr>
            </w:pPr>
            <w:r w:rsidRPr="001634D6">
              <w:rPr>
                <w:sz w:val="20"/>
              </w:rPr>
              <w:t>0.6503</w:t>
            </w:r>
          </w:p>
        </w:tc>
        <w:tc>
          <w:tcPr>
            <w:tcW w:w="1160" w:type="pct"/>
            <w:gridSpan w:val="2"/>
            <w:tcBorders>
              <w:bottom w:val="nil"/>
            </w:tcBorders>
          </w:tcPr>
          <w:p w14:paraId="471118D3" w14:textId="77777777" w:rsidR="00A367BA" w:rsidRDefault="00A367BA" w:rsidP="003028CF">
            <w:pPr>
              <w:jc w:val="center"/>
              <w:rPr>
                <w:sz w:val="20"/>
              </w:rPr>
            </w:pPr>
            <w:r w:rsidRPr="001634D6">
              <w:rPr>
                <w:sz w:val="20"/>
              </w:rPr>
              <w:t>Dominant</w:t>
            </w:r>
          </w:p>
          <w:p w14:paraId="0DD0A7CE" w14:textId="79F9A139" w:rsidR="00A740F4" w:rsidRPr="00A740F4" w:rsidRDefault="00A740F4" w:rsidP="003028CF">
            <w:pPr>
              <w:jc w:val="center"/>
              <w:rPr>
                <w:i/>
                <w:sz w:val="20"/>
              </w:rPr>
            </w:pPr>
            <w:r w:rsidRPr="00A740F4">
              <w:rPr>
                <w:i/>
                <w:sz w:val="20"/>
              </w:rPr>
              <w:t>Dominant</w:t>
            </w:r>
          </w:p>
        </w:tc>
      </w:tr>
      <w:tr w:rsidR="00A22F36" w:rsidRPr="001634D6" w14:paraId="4B0DE143" w14:textId="77777777" w:rsidTr="00233774">
        <w:tc>
          <w:tcPr>
            <w:tcW w:w="847" w:type="pct"/>
            <w:tcBorders>
              <w:bottom w:val="single" w:sz="4" w:space="0" w:color="auto"/>
            </w:tcBorders>
          </w:tcPr>
          <w:p w14:paraId="6FBF6BD5" w14:textId="77777777" w:rsidR="00A367BA" w:rsidRPr="001634D6" w:rsidRDefault="00A367BA" w:rsidP="003028CF">
            <w:pPr>
              <w:jc w:val="both"/>
              <w:rPr>
                <w:sz w:val="20"/>
              </w:rPr>
            </w:pPr>
            <w:r w:rsidRPr="001634D6">
              <w:rPr>
                <w:sz w:val="20"/>
              </w:rPr>
              <w:t>PRT</w:t>
            </w:r>
          </w:p>
        </w:tc>
        <w:tc>
          <w:tcPr>
            <w:tcW w:w="809" w:type="pct"/>
            <w:tcBorders>
              <w:bottom w:val="single" w:sz="4" w:space="0" w:color="auto"/>
            </w:tcBorders>
          </w:tcPr>
          <w:p w14:paraId="1D98CEA1" w14:textId="56B63434" w:rsidR="00A367BA" w:rsidRPr="001634D6" w:rsidRDefault="00A367BA" w:rsidP="00233774">
            <w:pPr>
              <w:jc w:val="center"/>
              <w:rPr>
                <w:sz w:val="20"/>
              </w:rPr>
            </w:pPr>
            <w:r w:rsidRPr="001634D6">
              <w:rPr>
                <w:sz w:val="20"/>
              </w:rPr>
              <w:t>$127,008</w:t>
            </w:r>
          </w:p>
        </w:tc>
        <w:tc>
          <w:tcPr>
            <w:tcW w:w="809" w:type="pct"/>
            <w:tcBorders>
              <w:top w:val="nil"/>
              <w:bottom w:val="single" w:sz="4" w:space="0" w:color="auto"/>
            </w:tcBorders>
          </w:tcPr>
          <w:p w14:paraId="0A3BC0E5" w14:textId="77777777" w:rsidR="00A367BA" w:rsidRPr="001634D6" w:rsidRDefault="00A367BA" w:rsidP="003028CF">
            <w:pPr>
              <w:jc w:val="center"/>
              <w:rPr>
                <w:sz w:val="20"/>
              </w:rPr>
            </w:pPr>
          </w:p>
        </w:tc>
        <w:tc>
          <w:tcPr>
            <w:tcW w:w="690" w:type="pct"/>
            <w:gridSpan w:val="2"/>
            <w:tcBorders>
              <w:bottom w:val="single" w:sz="4" w:space="0" w:color="auto"/>
            </w:tcBorders>
          </w:tcPr>
          <w:p w14:paraId="3163D2D4" w14:textId="77777777" w:rsidR="00A367BA" w:rsidRPr="001634D6" w:rsidRDefault="00A367BA" w:rsidP="003028CF">
            <w:pPr>
              <w:jc w:val="center"/>
              <w:rPr>
                <w:sz w:val="20"/>
              </w:rPr>
            </w:pPr>
            <w:r w:rsidRPr="001634D6">
              <w:rPr>
                <w:sz w:val="20"/>
              </w:rPr>
              <w:t>-0.9789</w:t>
            </w:r>
          </w:p>
        </w:tc>
        <w:tc>
          <w:tcPr>
            <w:tcW w:w="681" w:type="pct"/>
            <w:gridSpan w:val="2"/>
            <w:tcBorders>
              <w:top w:val="nil"/>
              <w:bottom w:val="single" w:sz="4" w:space="0" w:color="auto"/>
            </w:tcBorders>
          </w:tcPr>
          <w:p w14:paraId="5D9BED59" w14:textId="77777777" w:rsidR="00A367BA" w:rsidRPr="001634D6" w:rsidRDefault="00A367BA" w:rsidP="003028CF">
            <w:pPr>
              <w:jc w:val="center"/>
              <w:rPr>
                <w:sz w:val="20"/>
              </w:rPr>
            </w:pPr>
          </w:p>
        </w:tc>
        <w:tc>
          <w:tcPr>
            <w:tcW w:w="1160" w:type="pct"/>
            <w:gridSpan w:val="2"/>
            <w:tcBorders>
              <w:top w:val="nil"/>
              <w:bottom w:val="single" w:sz="4" w:space="0" w:color="auto"/>
            </w:tcBorders>
          </w:tcPr>
          <w:p w14:paraId="41ED6379" w14:textId="77777777" w:rsidR="00A367BA" w:rsidRPr="001634D6" w:rsidRDefault="00A367BA" w:rsidP="003028CF">
            <w:pPr>
              <w:jc w:val="center"/>
              <w:rPr>
                <w:sz w:val="20"/>
              </w:rPr>
            </w:pPr>
          </w:p>
        </w:tc>
      </w:tr>
      <w:tr w:rsidR="00A367BA" w:rsidRPr="001634D6" w14:paraId="65E000A1" w14:textId="77777777" w:rsidTr="00233774">
        <w:tc>
          <w:tcPr>
            <w:tcW w:w="5000" w:type="pct"/>
            <w:gridSpan w:val="9"/>
          </w:tcPr>
          <w:p w14:paraId="6E87AC0A" w14:textId="77777777" w:rsidR="00A367BA" w:rsidRPr="001634D6" w:rsidRDefault="00A367BA" w:rsidP="003028CF">
            <w:pPr>
              <w:rPr>
                <w:sz w:val="20"/>
              </w:rPr>
            </w:pPr>
            <w:r w:rsidRPr="001634D6">
              <w:rPr>
                <w:sz w:val="20"/>
              </w:rPr>
              <w:t>Combined PICO 1 (34.2%) and PICO 2 (65.8%)</w:t>
            </w:r>
          </w:p>
        </w:tc>
      </w:tr>
      <w:tr w:rsidR="00A22F36" w:rsidRPr="001634D6" w14:paraId="4406DB32" w14:textId="77777777" w:rsidTr="00233774">
        <w:tc>
          <w:tcPr>
            <w:tcW w:w="847" w:type="pct"/>
          </w:tcPr>
          <w:p w14:paraId="5D850A36" w14:textId="77777777" w:rsidR="00A367BA" w:rsidRPr="001634D6" w:rsidRDefault="00A367BA" w:rsidP="003028CF">
            <w:pPr>
              <w:jc w:val="both"/>
              <w:rPr>
                <w:sz w:val="20"/>
              </w:rPr>
            </w:pPr>
            <w:r w:rsidRPr="001634D6">
              <w:rPr>
                <w:sz w:val="20"/>
              </w:rPr>
              <w:t>PBT</w:t>
            </w:r>
          </w:p>
        </w:tc>
        <w:tc>
          <w:tcPr>
            <w:tcW w:w="809" w:type="pct"/>
          </w:tcPr>
          <w:p w14:paraId="5BD07A1C" w14:textId="7CD82820" w:rsidR="00A367BA" w:rsidRDefault="00A367BA" w:rsidP="003028CF">
            <w:pPr>
              <w:jc w:val="center"/>
              <w:rPr>
                <w:sz w:val="20"/>
              </w:rPr>
            </w:pPr>
            <w:r w:rsidRPr="001634D6">
              <w:rPr>
                <w:sz w:val="20"/>
              </w:rPr>
              <w:t>$91,050</w:t>
            </w:r>
          </w:p>
          <w:p w14:paraId="53E59EC5" w14:textId="0B88563B" w:rsidR="00A740F4" w:rsidRPr="00A740F4" w:rsidRDefault="00A740F4" w:rsidP="00233774">
            <w:pPr>
              <w:jc w:val="center"/>
              <w:rPr>
                <w:i/>
                <w:sz w:val="20"/>
              </w:rPr>
            </w:pPr>
            <w:r w:rsidRPr="00A740F4">
              <w:rPr>
                <w:i/>
                <w:sz w:val="20"/>
              </w:rPr>
              <w:t>$94,467</w:t>
            </w:r>
          </w:p>
        </w:tc>
        <w:tc>
          <w:tcPr>
            <w:tcW w:w="809" w:type="pct"/>
            <w:tcBorders>
              <w:bottom w:val="nil"/>
            </w:tcBorders>
          </w:tcPr>
          <w:p w14:paraId="2916E3CC" w14:textId="0860B9A1" w:rsidR="00A367BA" w:rsidRDefault="00A367BA" w:rsidP="003028CF">
            <w:pPr>
              <w:jc w:val="center"/>
              <w:rPr>
                <w:sz w:val="20"/>
              </w:rPr>
            </w:pPr>
            <w:r w:rsidRPr="001634D6">
              <w:rPr>
                <w:sz w:val="20"/>
              </w:rPr>
              <w:t>-$59.01</w:t>
            </w:r>
          </w:p>
          <w:p w14:paraId="2B08CDA6" w14:textId="01BDFEB4" w:rsidR="00A740F4" w:rsidRPr="00A740F4" w:rsidRDefault="00A740F4" w:rsidP="0000741E">
            <w:pPr>
              <w:jc w:val="center"/>
              <w:rPr>
                <w:i/>
                <w:sz w:val="20"/>
              </w:rPr>
            </w:pPr>
            <w:r w:rsidRPr="00A740F4">
              <w:rPr>
                <w:i/>
                <w:sz w:val="20"/>
              </w:rPr>
              <w:t>$3,358</w:t>
            </w:r>
          </w:p>
        </w:tc>
        <w:tc>
          <w:tcPr>
            <w:tcW w:w="690" w:type="pct"/>
            <w:gridSpan w:val="2"/>
          </w:tcPr>
          <w:p w14:paraId="0BC62A3B" w14:textId="77777777" w:rsidR="00A367BA" w:rsidRPr="001634D6" w:rsidRDefault="00A367BA" w:rsidP="003028CF">
            <w:pPr>
              <w:jc w:val="center"/>
              <w:rPr>
                <w:sz w:val="20"/>
              </w:rPr>
            </w:pPr>
            <w:r w:rsidRPr="001634D6">
              <w:rPr>
                <w:sz w:val="20"/>
              </w:rPr>
              <w:t>-0.2641</w:t>
            </w:r>
          </w:p>
        </w:tc>
        <w:tc>
          <w:tcPr>
            <w:tcW w:w="681" w:type="pct"/>
            <w:gridSpan w:val="2"/>
            <w:tcBorders>
              <w:bottom w:val="nil"/>
            </w:tcBorders>
          </w:tcPr>
          <w:p w14:paraId="4C4ED381" w14:textId="77777777" w:rsidR="00A367BA" w:rsidRPr="001634D6" w:rsidRDefault="00A367BA" w:rsidP="003028CF">
            <w:pPr>
              <w:jc w:val="center"/>
              <w:rPr>
                <w:sz w:val="20"/>
              </w:rPr>
            </w:pPr>
            <w:r w:rsidRPr="001634D6">
              <w:rPr>
                <w:sz w:val="20"/>
              </w:rPr>
              <w:t>0.4846</w:t>
            </w:r>
          </w:p>
        </w:tc>
        <w:tc>
          <w:tcPr>
            <w:tcW w:w="1160" w:type="pct"/>
            <w:gridSpan w:val="2"/>
            <w:tcBorders>
              <w:bottom w:val="nil"/>
            </w:tcBorders>
          </w:tcPr>
          <w:p w14:paraId="4C386E90" w14:textId="77777777" w:rsidR="00A367BA" w:rsidRDefault="00A367BA" w:rsidP="003028CF">
            <w:pPr>
              <w:jc w:val="center"/>
              <w:rPr>
                <w:sz w:val="20"/>
              </w:rPr>
            </w:pPr>
            <w:r w:rsidRPr="001634D6">
              <w:rPr>
                <w:sz w:val="20"/>
              </w:rPr>
              <w:t>Dominant</w:t>
            </w:r>
          </w:p>
          <w:p w14:paraId="0714CCF1" w14:textId="004246CB" w:rsidR="00A740F4" w:rsidRPr="00A740F4" w:rsidRDefault="00A740F4" w:rsidP="00C876B3">
            <w:pPr>
              <w:jc w:val="center"/>
              <w:rPr>
                <w:i/>
                <w:sz w:val="20"/>
              </w:rPr>
            </w:pPr>
            <w:r w:rsidRPr="00A740F4">
              <w:rPr>
                <w:i/>
                <w:sz w:val="20"/>
              </w:rPr>
              <w:t>$6,930</w:t>
            </w:r>
          </w:p>
        </w:tc>
      </w:tr>
      <w:tr w:rsidR="00A22F36" w:rsidRPr="001634D6" w14:paraId="6B940448" w14:textId="77777777" w:rsidTr="00233774">
        <w:tc>
          <w:tcPr>
            <w:tcW w:w="847" w:type="pct"/>
          </w:tcPr>
          <w:p w14:paraId="5613D5FE" w14:textId="77777777" w:rsidR="00A367BA" w:rsidRPr="001634D6" w:rsidRDefault="00A367BA" w:rsidP="003028CF">
            <w:pPr>
              <w:jc w:val="both"/>
              <w:rPr>
                <w:sz w:val="20"/>
              </w:rPr>
            </w:pPr>
            <w:r w:rsidRPr="001634D6">
              <w:rPr>
                <w:sz w:val="20"/>
              </w:rPr>
              <w:t>PRT</w:t>
            </w:r>
          </w:p>
        </w:tc>
        <w:tc>
          <w:tcPr>
            <w:tcW w:w="809" w:type="pct"/>
          </w:tcPr>
          <w:p w14:paraId="52056064" w14:textId="11EC9B5C" w:rsidR="00A367BA" w:rsidRPr="001634D6" w:rsidRDefault="00A367BA" w:rsidP="00233774">
            <w:pPr>
              <w:jc w:val="center"/>
              <w:rPr>
                <w:sz w:val="20"/>
              </w:rPr>
            </w:pPr>
            <w:r w:rsidRPr="001634D6">
              <w:rPr>
                <w:sz w:val="20"/>
              </w:rPr>
              <w:t>$91,109</w:t>
            </w:r>
          </w:p>
        </w:tc>
        <w:tc>
          <w:tcPr>
            <w:tcW w:w="809" w:type="pct"/>
            <w:tcBorders>
              <w:top w:val="nil"/>
            </w:tcBorders>
          </w:tcPr>
          <w:p w14:paraId="334FC47B" w14:textId="77777777" w:rsidR="00A367BA" w:rsidRPr="001634D6" w:rsidRDefault="00A367BA" w:rsidP="003028CF">
            <w:pPr>
              <w:jc w:val="center"/>
              <w:rPr>
                <w:sz w:val="20"/>
              </w:rPr>
            </w:pPr>
          </w:p>
        </w:tc>
        <w:tc>
          <w:tcPr>
            <w:tcW w:w="690" w:type="pct"/>
            <w:gridSpan w:val="2"/>
          </w:tcPr>
          <w:p w14:paraId="16316898" w14:textId="77777777" w:rsidR="00A367BA" w:rsidRPr="001634D6" w:rsidRDefault="00A367BA" w:rsidP="003028CF">
            <w:pPr>
              <w:jc w:val="center"/>
              <w:rPr>
                <w:sz w:val="20"/>
              </w:rPr>
            </w:pPr>
            <w:r w:rsidRPr="001634D6">
              <w:rPr>
                <w:sz w:val="20"/>
              </w:rPr>
              <w:t>-0.7486</w:t>
            </w:r>
          </w:p>
        </w:tc>
        <w:tc>
          <w:tcPr>
            <w:tcW w:w="681" w:type="pct"/>
            <w:gridSpan w:val="2"/>
            <w:tcBorders>
              <w:top w:val="nil"/>
            </w:tcBorders>
          </w:tcPr>
          <w:p w14:paraId="008654C2" w14:textId="77777777" w:rsidR="00A367BA" w:rsidRPr="001634D6" w:rsidRDefault="00A367BA" w:rsidP="003028CF">
            <w:pPr>
              <w:jc w:val="center"/>
              <w:rPr>
                <w:sz w:val="20"/>
              </w:rPr>
            </w:pPr>
          </w:p>
        </w:tc>
        <w:tc>
          <w:tcPr>
            <w:tcW w:w="1160" w:type="pct"/>
            <w:gridSpan w:val="2"/>
            <w:tcBorders>
              <w:top w:val="nil"/>
            </w:tcBorders>
          </w:tcPr>
          <w:p w14:paraId="3C6E392B" w14:textId="77777777" w:rsidR="00A367BA" w:rsidRPr="001634D6" w:rsidRDefault="00A367BA" w:rsidP="003028CF">
            <w:pPr>
              <w:jc w:val="center"/>
              <w:rPr>
                <w:sz w:val="20"/>
              </w:rPr>
            </w:pPr>
          </w:p>
        </w:tc>
      </w:tr>
    </w:tbl>
    <w:p w14:paraId="28752569" w14:textId="53F01FEF" w:rsidR="00A367BA" w:rsidRPr="00C76D88" w:rsidRDefault="00A367BA" w:rsidP="00654AB1">
      <w:pPr>
        <w:pStyle w:val="Tablenotes"/>
      </w:pPr>
      <w:r w:rsidRPr="00C76D88">
        <w:t xml:space="preserve">Source: </w:t>
      </w:r>
      <w:r>
        <w:t xml:space="preserve">Table 11, </w:t>
      </w:r>
      <w:proofErr w:type="spellStart"/>
      <w:r>
        <w:t>pxxviii</w:t>
      </w:r>
      <w:proofErr w:type="spellEnd"/>
      <w:r>
        <w:t xml:space="preserve"> of the commentary</w:t>
      </w:r>
      <w:r w:rsidR="00A740F4" w:rsidRPr="001655E6">
        <w:t xml:space="preserve"> + </w:t>
      </w:r>
      <w:r w:rsidR="00A740F4" w:rsidRPr="001655E6">
        <w:rPr>
          <w:i/>
        </w:rPr>
        <w:t>amendments to show the implications for the ICERs of requiring a PRT plan for comparison with a PBT plan by adding $3417.35 per patient for MBS item 15565</w:t>
      </w:r>
      <w:r>
        <w:t>.</w:t>
      </w:r>
    </w:p>
    <w:p w14:paraId="22CD07FA" w14:textId="178D0320" w:rsidR="00A22F36" w:rsidRPr="00FE0C13" w:rsidRDefault="00A367BA" w:rsidP="00654AB1">
      <w:pPr>
        <w:pStyle w:val="Tablenotes"/>
      </w:pPr>
      <w:r>
        <w:t>Abbreviations: AYA=a</w:t>
      </w:r>
      <w:r w:rsidRPr="00C76D88">
        <w:t xml:space="preserve">dolescent and young adult; </w:t>
      </w:r>
      <w:r>
        <w:t>ICER=incremental cost effectiveness r</w:t>
      </w:r>
      <w:r w:rsidRPr="00C76D88">
        <w:t>atio; PBT</w:t>
      </w:r>
      <w:r>
        <w:t>=p</w:t>
      </w:r>
      <w:r w:rsidRPr="00C76D88">
        <w:t>roton beam therapy</w:t>
      </w:r>
      <w:r>
        <w:t xml:space="preserve">; PICO=population, intervention, comparator, outcomes; </w:t>
      </w:r>
      <w:r w:rsidRPr="00C76D88">
        <w:t>PRT=</w:t>
      </w:r>
      <w:r>
        <w:t>p</w:t>
      </w:r>
      <w:r w:rsidRPr="00C76D88">
        <w:t>hoton radiation therapy; QALY</w:t>
      </w:r>
      <w:r>
        <w:t>=q</w:t>
      </w:r>
      <w:r w:rsidRPr="00C76D88">
        <w:t xml:space="preserve">uality adjusted </w:t>
      </w:r>
      <w:r>
        <w:t>l</w:t>
      </w:r>
      <w:r w:rsidRPr="00C76D88">
        <w:t xml:space="preserve">ife </w:t>
      </w:r>
      <w:r>
        <w:t>y</w:t>
      </w:r>
      <w:r w:rsidRPr="00C76D88">
        <w:t>ear</w:t>
      </w:r>
    </w:p>
    <w:p w14:paraId="014BD3A9" w14:textId="436049CD" w:rsidR="00A367BA" w:rsidRPr="00FE0C13" w:rsidRDefault="00A367BA" w:rsidP="00D066A0">
      <w:pPr>
        <w:spacing w:before="240" w:after="240"/>
        <w:rPr>
          <w:iCs/>
        </w:rPr>
      </w:pPr>
      <w:r w:rsidRPr="00FE0C13">
        <w:rPr>
          <w:iCs/>
        </w:rPr>
        <w:t xml:space="preserve">The commentary noted that the relevance of presenting outcomes as </w:t>
      </w:r>
      <w:r>
        <w:rPr>
          <w:iCs/>
        </w:rPr>
        <w:t xml:space="preserve">a </w:t>
      </w:r>
      <w:r w:rsidRPr="00FE0C13">
        <w:rPr>
          <w:iCs/>
        </w:rPr>
        <w:t xml:space="preserve">cumulative proportion of toxicities per treatment cost </w:t>
      </w:r>
      <w:r>
        <w:rPr>
          <w:iCs/>
        </w:rPr>
        <w:t>wa</w:t>
      </w:r>
      <w:r w:rsidRPr="00FE0C13">
        <w:rPr>
          <w:iCs/>
        </w:rPr>
        <w:t xml:space="preserve">s uncertain as the cost of the actual toxicities </w:t>
      </w:r>
      <w:r>
        <w:rPr>
          <w:iCs/>
        </w:rPr>
        <w:t>wa</w:t>
      </w:r>
      <w:r w:rsidRPr="00FE0C13">
        <w:rPr>
          <w:iCs/>
        </w:rPr>
        <w:t>s not included in this specific analysis, and the proportion</w:t>
      </w:r>
      <w:r>
        <w:rPr>
          <w:iCs/>
        </w:rPr>
        <w:t>s</w:t>
      </w:r>
      <w:r w:rsidRPr="00FE0C13">
        <w:rPr>
          <w:iCs/>
        </w:rPr>
        <w:t xml:space="preserve"> of </w:t>
      </w:r>
      <w:r>
        <w:rPr>
          <w:iCs/>
        </w:rPr>
        <w:t xml:space="preserve">each </w:t>
      </w:r>
      <w:r w:rsidRPr="00FE0C13">
        <w:rPr>
          <w:iCs/>
        </w:rPr>
        <w:t xml:space="preserve">toxicities </w:t>
      </w:r>
      <w:r>
        <w:rPr>
          <w:iCs/>
        </w:rPr>
        <w:t>were</w:t>
      </w:r>
      <w:r w:rsidRPr="00FE0C13">
        <w:rPr>
          <w:iCs/>
        </w:rPr>
        <w:t xml:space="preserve"> also uncertain, as there </w:t>
      </w:r>
      <w:r>
        <w:rPr>
          <w:iCs/>
        </w:rPr>
        <w:t>w</w:t>
      </w:r>
      <w:r w:rsidRPr="00FE0C13">
        <w:rPr>
          <w:iCs/>
        </w:rPr>
        <w:t xml:space="preserve">as no consistency in identifying grades of toxicity, or if the toxicity </w:t>
      </w:r>
      <w:r>
        <w:rPr>
          <w:iCs/>
        </w:rPr>
        <w:t>wa</w:t>
      </w:r>
      <w:r w:rsidRPr="00FE0C13">
        <w:rPr>
          <w:iCs/>
        </w:rPr>
        <w:t xml:space="preserve">s relevant to the analysis (as defined by statistical significance). Additionally, most toxicity costs used in the ADAR </w:t>
      </w:r>
      <w:r>
        <w:rPr>
          <w:iCs/>
        </w:rPr>
        <w:t>we</w:t>
      </w:r>
      <w:r w:rsidRPr="00FE0C13">
        <w:rPr>
          <w:iCs/>
        </w:rPr>
        <w:t xml:space="preserve">re not specific to the target population, and the time horizon </w:t>
      </w:r>
      <w:r>
        <w:rPr>
          <w:iCs/>
        </w:rPr>
        <w:t>w</w:t>
      </w:r>
      <w:r w:rsidRPr="00FE0C13">
        <w:rPr>
          <w:iCs/>
        </w:rPr>
        <w:t xml:space="preserve">as not adequately justified for each population. Therefore, the </w:t>
      </w:r>
      <w:r>
        <w:rPr>
          <w:iCs/>
        </w:rPr>
        <w:t xml:space="preserve">weighted average </w:t>
      </w:r>
      <w:r w:rsidRPr="00FE0C13">
        <w:rPr>
          <w:iCs/>
        </w:rPr>
        <w:t xml:space="preserve">cost per </w:t>
      </w:r>
      <w:r>
        <w:rPr>
          <w:iCs/>
        </w:rPr>
        <w:t xml:space="preserve">toxicity </w:t>
      </w:r>
      <w:r w:rsidRPr="00FE0C13">
        <w:rPr>
          <w:iCs/>
        </w:rPr>
        <w:t xml:space="preserve">event </w:t>
      </w:r>
      <w:r>
        <w:rPr>
          <w:iCs/>
        </w:rPr>
        <w:t>wa</w:t>
      </w:r>
      <w:r w:rsidRPr="00FE0C13">
        <w:rPr>
          <w:iCs/>
        </w:rPr>
        <w:t>s uncertain</w:t>
      </w:r>
      <w:r>
        <w:rPr>
          <w:iCs/>
        </w:rPr>
        <w:t xml:space="preserve"> for each population</w:t>
      </w:r>
      <w:r w:rsidRPr="00FE0C13">
        <w:rPr>
          <w:iCs/>
        </w:rPr>
        <w:t>.</w:t>
      </w:r>
      <w:r w:rsidR="00D066A0">
        <w:rPr>
          <w:iCs/>
        </w:rPr>
        <w:t xml:space="preserve"> Overall, t</w:t>
      </w:r>
      <w:r w:rsidR="00D066A0" w:rsidRPr="00FE0C13">
        <w:rPr>
          <w:iCs/>
        </w:rPr>
        <w:t xml:space="preserve">he commentary considered </w:t>
      </w:r>
      <w:r w:rsidRPr="00FE0C13">
        <w:rPr>
          <w:iCs/>
        </w:rPr>
        <w:t xml:space="preserve">the ADAR reported cost-effectiveness of PBT compared with PRT </w:t>
      </w:r>
      <w:r w:rsidR="00D066A0">
        <w:rPr>
          <w:iCs/>
        </w:rPr>
        <w:t xml:space="preserve">to be uncertain </w:t>
      </w:r>
      <w:r w:rsidRPr="00FE0C13">
        <w:rPr>
          <w:iCs/>
        </w:rPr>
        <w:t xml:space="preserve">in the PICO 2 (paediatric/AYA) </w:t>
      </w:r>
      <w:r>
        <w:rPr>
          <w:iCs/>
        </w:rPr>
        <w:t xml:space="preserve">population </w:t>
      </w:r>
      <w:r w:rsidRPr="00FE0C13">
        <w:rPr>
          <w:iCs/>
        </w:rPr>
        <w:t xml:space="preserve">and </w:t>
      </w:r>
      <w:r>
        <w:rPr>
          <w:iCs/>
        </w:rPr>
        <w:t>the PICO 1</w:t>
      </w:r>
      <w:r w:rsidRPr="00FE0C13">
        <w:rPr>
          <w:iCs/>
        </w:rPr>
        <w:t xml:space="preserve"> (</w:t>
      </w:r>
      <w:r>
        <w:rPr>
          <w:iCs/>
        </w:rPr>
        <w:t>adult</w:t>
      </w:r>
      <w:r w:rsidRPr="00FE0C13">
        <w:rPr>
          <w:iCs/>
        </w:rPr>
        <w:t xml:space="preserve">) </w:t>
      </w:r>
      <w:r>
        <w:rPr>
          <w:iCs/>
        </w:rPr>
        <w:t>population</w:t>
      </w:r>
      <w:r w:rsidRPr="00FE0C13">
        <w:rPr>
          <w:iCs/>
        </w:rPr>
        <w:t>.</w:t>
      </w:r>
    </w:p>
    <w:p w14:paraId="5503B656" w14:textId="769454DC" w:rsidR="00A367BA" w:rsidRDefault="00A367BA" w:rsidP="00A367BA">
      <w:pPr>
        <w:spacing w:after="240"/>
        <w:jc w:val="both"/>
      </w:pPr>
      <w:bookmarkStart w:id="50" w:name="_Hlk48318362"/>
      <w:r>
        <w:t xml:space="preserve">The ADAR presented sensitivity analyses on including capital costs, on testing the ICER when excluding </w:t>
      </w:r>
      <w:proofErr w:type="spellStart"/>
      <w:r>
        <w:t>extracranial</w:t>
      </w:r>
      <w:proofErr w:type="spellEnd"/>
      <w:r>
        <w:t xml:space="preserve"> cancers (as these patients have a different toxicity profile to patients with intracranial cancers), along with model duration, discount rate, and the exclusion of each included toxicity (</w:t>
      </w:r>
      <w:r>
        <w:fldChar w:fldCharType="begin"/>
      </w:r>
      <w:r>
        <w:instrText xml:space="preserve"> REF _Ref42503059 \h </w:instrText>
      </w:r>
      <w:r>
        <w:fldChar w:fldCharType="separate"/>
      </w:r>
      <w:r w:rsidR="00810FF0" w:rsidRPr="00463A2B">
        <w:t xml:space="preserve">Table </w:t>
      </w:r>
      <w:r w:rsidR="00810FF0">
        <w:rPr>
          <w:noProof/>
        </w:rPr>
        <w:t>15</w:t>
      </w:r>
      <w:r>
        <w:fldChar w:fldCharType="end"/>
      </w:r>
      <w:r>
        <w:t>).</w:t>
      </w:r>
    </w:p>
    <w:p w14:paraId="0A76E713" w14:textId="52520709" w:rsidR="00A367BA" w:rsidRPr="009E589D" w:rsidRDefault="00A367BA" w:rsidP="009E589D">
      <w:pPr>
        <w:rPr>
          <w:rFonts w:ascii="Arial Narrow" w:hAnsi="Arial Narrow"/>
          <w:b/>
          <w:sz w:val="20"/>
        </w:rPr>
      </w:pPr>
      <w:bookmarkStart w:id="51" w:name="_Ref42503059"/>
      <w:bookmarkStart w:id="52" w:name="_Toc42503038"/>
      <w:bookmarkStart w:id="53" w:name="_Toc42606560"/>
      <w:bookmarkStart w:id="54" w:name="_Hlk42523288"/>
      <w:r w:rsidRPr="009E589D">
        <w:rPr>
          <w:rFonts w:ascii="Arial Narrow" w:hAnsi="Arial Narrow"/>
          <w:b/>
          <w:sz w:val="20"/>
        </w:rPr>
        <w:t xml:space="preserve">Table </w:t>
      </w:r>
      <w:r w:rsidR="00FD0A9A" w:rsidRPr="009E589D">
        <w:rPr>
          <w:rFonts w:ascii="Arial Narrow" w:hAnsi="Arial Narrow"/>
          <w:b/>
          <w:sz w:val="20"/>
        </w:rPr>
        <w:fldChar w:fldCharType="begin"/>
      </w:r>
      <w:r w:rsidR="00FD0A9A" w:rsidRPr="009E589D">
        <w:rPr>
          <w:rFonts w:ascii="Arial Narrow" w:hAnsi="Arial Narrow"/>
          <w:b/>
          <w:sz w:val="20"/>
        </w:rPr>
        <w:instrText xml:space="preserve"> SEQ Table \* ARABIC </w:instrText>
      </w:r>
      <w:r w:rsidR="00FD0A9A" w:rsidRPr="009E589D">
        <w:rPr>
          <w:rFonts w:ascii="Arial Narrow" w:hAnsi="Arial Narrow"/>
          <w:b/>
          <w:sz w:val="20"/>
        </w:rPr>
        <w:fldChar w:fldCharType="separate"/>
      </w:r>
      <w:r w:rsidR="00810FF0" w:rsidRPr="009E589D">
        <w:rPr>
          <w:rFonts w:ascii="Arial Narrow" w:hAnsi="Arial Narrow"/>
          <w:b/>
          <w:sz w:val="20"/>
        </w:rPr>
        <w:t>15</w:t>
      </w:r>
      <w:r w:rsidR="00FD0A9A" w:rsidRPr="009E589D">
        <w:rPr>
          <w:rFonts w:ascii="Arial Narrow" w:hAnsi="Arial Narrow"/>
          <w:b/>
          <w:sz w:val="20"/>
        </w:rPr>
        <w:fldChar w:fldCharType="end"/>
      </w:r>
      <w:bookmarkEnd w:id="51"/>
      <w:r w:rsidRPr="009E589D">
        <w:rPr>
          <w:rFonts w:ascii="Arial Narrow" w:hAnsi="Arial Narrow"/>
          <w:b/>
          <w:sz w:val="20"/>
        </w:rPr>
        <w:tab/>
        <w:t xml:space="preserve">Sensitivity analyses of key model </w:t>
      </w:r>
      <w:r w:rsidR="00741769" w:rsidRPr="009E589D">
        <w:rPr>
          <w:rFonts w:ascii="Arial Narrow" w:hAnsi="Arial Narrow"/>
          <w:b/>
          <w:sz w:val="20"/>
        </w:rPr>
        <w:t>variables</w:t>
      </w:r>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Sensitivity analyses of key model variables"/>
      </w:tblPr>
      <w:tblGrid>
        <w:gridCol w:w="3553"/>
        <w:gridCol w:w="1821"/>
        <w:gridCol w:w="1821"/>
        <w:gridCol w:w="1821"/>
      </w:tblGrid>
      <w:tr w:rsidR="00A367BA" w:rsidRPr="00463A2B" w14:paraId="6BBE54B9" w14:textId="77777777" w:rsidTr="002236BD">
        <w:trPr>
          <w:trHeight w:val="328"/>
          <w:tblHeader/>
        </w:trPr>
        <w:tc>
          <w:tcPr>
            <w:tcW w:w="1970" w:type="pct"/>
            <w:shd w:val="clear" w:color="auto" w:fill="auto"/>
            <w:noWrap/>
            <w:hideMark/>
          </w:tcPr>
          <w:p w14:paraId="0E8B7D13" w14:textId="77777777" w:rsidR="00A367BA" w:rsidRPr="00463A2B" w:rsidRDefault="00A367BA" w:rsidP="003028CF">
            <w:pPr>
              <w:pStyle w:val="Tabletextboldleft"/>
            </w:pPr>
            <w:r w:rsidRPr="00463A2B">
              <w:t>Sensitivity analysis</w:t>
            </w:r>
          </w:p>
        </w:tc>
        <w:tc>
          <w:tcPr>
            <w:tcW w:w="3030" w:type="pct"/>
            <w:gridSpan w:val="3"/>
            <w:shd w:val="clear" w:color="auto" w:fill="auto"/>
            <w:noWrap/>
            <w:hideMark/>
          </w:tcPr>
          <w:p w14:paraId="184A0C16" w14:textId="77777777" w:rsidR="00A367BA" w:rsidRPr="00463A2B" w:rsidRDefault="00A367BA" w:rsidP="003028CF">
            <w:pPr>
              <w:pStyle w:val="Tabletextboldleft"/>
              <w:jc w:val="center"/>
            </w:pPr>
            <w:r>
              <w:t>Incremental cost per QALY (i</w:t>
            </w:r>
            <w:r w:rsidRPr="00463A2B">
              <w:t>ncr</w:t>
            </w:r>
            <w:r>
              <w:t>emental</w:t>
            </w:r>
            <w:r w:rsidRPr="00463A2B">
              <w:t xml:space="preserve"> cost; </w:t>
            </w:r>
            <w:r>
              <w:t>i</w:t>
            </w:r>
            <w:r w:rsidRPr="00463A2B">
              <w:t>ncr</w:t>
            </w:r>
            <w:r>
              <w:t>emental</w:t>
            </w:r>
            <w:r w:rsidRPr="00463A2B">
              <w:t xml:space="preserve"> QALYs)</w:t>
            </w:r>
          </w:p>
        </w:tc>
      </w:tr>
      <w:tr w:rsidR="00A367BA" w:rsidRPr="00463A2B" w14:paraId="05A5A76A" w14:textId="77777777" w:rsidTr="002236BD">
        <w:trPr>
          <w:trHeight w:val="328"/>
          <w:tblHeader/>
        </w:trPr>
        <w:tc>
          <w:tcPr>
            <w:tcW w:w="1970" w:type="pct"/>
            <w:shd w:val="clear" w:color="auto" w:fill="auto"/>
            <w:noWrap/>
          </w:tcPr>
          <w:p w14:paraId="7FC527E7" w14:textId="77777777" w:rsidR="00A367BA" w:rsidRPr="00463A2B" w:rsidRDefault="00A367BA" w:rsidP="003028CF">
            <w:pPr>
              <w:pStyle w:val="Tabletextboldleft"/>
            </w:pPr>
          </w:p>
        </w:tc>
        <w:tc>
          <w:tcPr>
            <w:tcW w:w="1010" w:type="pct"/>
            <w:shd w:val="clear" w:color="auto" w:fill="auto"/>
            <w:noWrap/>
          </w:tcPr>
          <w:p w14:paraId="4998BBEF" w14:textId="77777777" w:rsidR="00A367BA" w:rsidRPr="00463A2B" w:rsidRDefault="00A367BA" w:rsidP="003028CF">
            <w:pPr>
              <w:pStyle w:val="Tabletextboldleft"/>
              <w:jc w:val="center"/>
            </w:pPr>
            <w:r w:rsidRPr="00463A2B">
              <w:t>PICO 1: Adults</w:t>
            </w:r>
          </w:p>
        </w:tc>
        <w:tc>
          <w:tcPr>
            <w:tcW w:w="1010" w:type="pct"/>
            <w:shd w:val="clear" w:color="auto" w:fill="auto"/>
            <w:noWrap/>
          </w:tcPr>
          <w:p w14:paraId="036E92C6" w14:textId="77777777" w:rsidR="00A367BA" w:rsidRPr="00463A2B" w:rsidRDefault="00A367BA" w:rsidP="003028CF">
            <w:pPr>
              <w:pStyle w:val="Tabletextboldleft"/>
              <w:jc w:val="center"/>
            </w:pPr>
            <w:r w:rsidRPr="00463A2B">
              <w:t xml:space="preserve">PICO 2: </w:t>
            </w:r>
            <w:proofErr w:type="spellStart"/>
            <w:r w:rsidRPr="00463A2B">
              <w:t>Paed</w:t>
            </w:r>
            <w:proofErr w:type="spellEnd"/>
            <w:r>
              <w:t>/</w:t>
            </w:r>
            <w:r w:rsidRPr="00463A2B">
              <w:t>AYA</w:t>
            </w:r>
          </w:p>
        </w:tc>
        <w:tc>
          <w:tcPr>
            <w:tcW w:w="1010" w:type="pct"/>
            <w:shd w:val="clear" w:color="auto" w:fill="auto"/>
            <w:noWrap/>
          </w:tcPr>
          <w:p w14:paraId="44016C54" w14:textId="77777777" w:rsidR="00A367BA" w:rsidRPr="00463A2B" w:rsidRDefault="00A367BA" w:rsidP="003028CF">
            <w:pPr>
              <w:pStyle w:val="Tabletextboldleft"/>
              <w:jc w:val="center"/>
            </w:pPr>
            <w:r w:rsidRPr="00463A2B">
              <w:t>Both pops</w:t>
            </w:r>
          </w:p>
        </w:tc>
      </w:tr>
      <w:tr w:rsidR="00A367BA" w:rsidRPr="00463A2B" w14:paraId="58CC196D" w14:textId="77777777" w:rsidTr="003028CF">
        <w:trPr>
          <w:trHeight w:val="328"/>
        </w:trPr>
        <w:tc>
          <w:tcPr>
            <w:tcW w:w="1970" w:type="pct"/>
            <w:shd w:val="clear" w:color="auto" w:fill="auto"/>
            <w:noWrap/>
            <w:hideMark/>
          </w:tcPr>
          <w:p w14:paraId="3F143944" w14:textId="77777777" w:rsidR="00A367BA" w:rsidRPr="00463A2B" w:rsidRDefault="00A367BA" w:rsidP="003028CF">
            <w:pPr>
              <w:pStyle w:val="Tabletext"/>
            </w:pPr>
            <w:r w:rsidRPr="00463A2B">
              <w:t>Base case</w:t>
            </w:r>
          </w:p>
        </w:tc>
        <w:tc>
          <w:tcPr>
            <w:tcW w:w="1010" w:type="pct"/>
            <w:shd w:val="clear" w:color="auto" w:fill="auto"/>
            <w:noWrap/>
            <w:vAlign w:val="bottom"/>
          </w:tcPr>
          <w:p w14:paraId="05E5C28B" w14:textId="0EC76945" w:rsidR="00A367BA" w:rsidRPr="00463A2B" w:rsidRDefault="00A367BA" w:rsidP="004B197A">
            <w:pPr>
              <w:pStyle w:val="Tabletext"/>
              <w:jc w:val="center"/>
            </w:pPr>
            <w:r w:rsidRPr="00463A2B">
              <w:t>$147,539</w:t>
            </w:r>
            <w:r w:rsidRPr="00463A2B">
              <w:br/>
              <w:t>($24,390; 0.165)</w:t>
            </w:r>
          </w:p>
        </w:tc>
        <w:tc>
          <w:tcPr>
            <w:tcW w:w="1010" w:type="pct"/>
            <w:shd w:val="clear" w:color="auto" w:fill="auto"/>
            <w:noWrap/>
            <w:vAlign w:val="bottom"/>
          </w:tcPr>
          <w:p w14:paraId="5A6503FE" w14:textId="131E36AA" w:rsidR="00A367BA" w:rsidRPr="00463A2B" w:rsidRDefault="00A367BA" w:rsidP="004B197A">
            <w:pPr>
              <w:pStyle w:val="Tabletext"/>
              <w:jc w:val="center"/>
            </w:pPr>
            <w:r w:rsidRPr="00463A2B">
              <w:t>DOMINANT</w:t>
            </w:r>
            <w:r w:rsidRPr="00463A2B">
              <w:br/>
              <w:t>(-$12,753; 0.65)</w:t>
            </w:r>
          </w:p>
        </w:tc>
        <w:tc>
          <w:tcPr>
            <w:tcW w:w="1010" w:type="pct"/>
            <w:shd w:val="clear" w:color="auto" w:fill="auto"/>
            <w:noWrap/>
            <w:vAlign w:val="bottom"/>
          </w:tcPr>
          <w:p w14:paraId="70571BA2" w14:textId="0923CCE3" w:rsidR="00A367BA" w:rsidRPr="00463A2B" w:rsidRDefault="00A367BA" w:rsidP="004B197A">
            <w:pPr>
              <w:pStyle w:val="Tabletext"/>
              <w:jc w:val="center"/>
            </w:pPr>
            <w:r w:rsidRPr="00463A2B">
              <w:t>DOMINANT</w:t>
            </w:r>
            <w:r w:rsidRPr="00463A2B">
              <w:br/>
              <w:t>(-$59; 0.485)</w:t>
            </w:r>
          </w:p>
        </w:tc>
      </w:tr>
      <w:tr w:rsidR="00A367BA" w:rsidRPr="00463A2B" w14:paraId="37FC6AC2" w14:textId="77777777" w:rsidTr="003028CF">
        <w:trPr>
          <w:trHeight w:val="328"/>
        </w:trPr>
        <w:tc>
          <w:tcPr>
            <w:tcW w:w="1970" w:type="pct"/>
            <w:shd w:val="clear" w:color="auto" w:fill="auto"/>
            <w:noWrap/>
          </w:tcPr>
          <w:p w14:paraId="28F842F1" w14:textId="77777777" w:rsidR="00A367BA" w:rsidRPr="00463A2B" w:rsidRDefault="00A367BA" w:rsidP="003028CF">
            <w:pPr>
              <w:pStyle w:val="Tabletext"/>
            </w:pPr>
            <w:r w:rsidRPr="00463A2B">
              <w:t>Include capital costs</w:t>
            </w:r>
          </w:p>
        </w:tc>
        <w:tc>
          <w:tcPr>
            <w:tcW w:w="1010" w:type="pct"/>
            <w:shd w:val="clear" w:color="auto" w:fill="auto"/>
            <w:noWrap/>
            <w:vAlign w:val="bottom"/>
          </w:tcPr>
          <w:p w14:paraId="572CD0F2" w14:textId="34A4E0CD" w:rsidR="00A367BA" w:rsidRPr="00463A2B" w:rsidRDefault="00A367BA" w:rsidP="004B197A">
            <w:pPr>
              <w:pStyle w:val="Tabletext"/>
              <w:jc w:val="center"/>
            </w:pPr>
            <w:r w:rsidRPr="00463A2B">
              <w:t>$218,704($36,155; 0.165)</w:t>
            </w:r>
          </w:p>
        </w:tc>
        <w:tc>
          <w:tcPr>
            <w:tcW w:w="1010" w:type="pct"/>
            <w:shd w:val="clear" w:color="auto" w:fill="auto"/>
            <w:noWrap/>
            <w:vAlign w:val="bottom"/>
          </w:tcPr>
          <w:p w14:paraId="6D58B2FF" w14:textId="3450EB7F" w:rsidR="00A367BA" w:rsidRPr="00463A2B" w:rsidRDefault="00A367BA" w:rsidP="004B197A">
            <w:pPr>
              <w:pStyle w:val="Tabletext"/>
              <w:jc w:val="center"/>
            </w:pPr>
            <w:r w:rsidRPr="00463A2B">
              <w:t>DOMINANT</w:t>
            </w:r>
            <w:r w:rsidRPr="00463A2B">
              <w:br/>
              <w:t>(-$988; 0.65)</w:t>
            </w:r>
          </w:p>
        </w:tc>
        <w:tc>
          <w:tcPr>
            <w:tcW w:w="1010" w:type="pct"/>
            <w:shd w:val="clear" w:color="auto" w:fill="auto"/>
            <w:noWrap/>
            <w:vAlign w:val="bottom"/>
          </w:tcPr>
          <w:p w14:paraId="7ED7CDBB" w14:textId="7EBBC36E" w:rsidR="00A367BA" w:rsidRPr="00463A2B" w:rsidRDefault="00A367BA" w:rsidP="004B197A">
            <w:pPr>
              <w:pStyle w:val="Tabletext"/>
              <w:jc w:val="center"/>
            </w:pPr>
            <w:r w:rsidRPr="00463A2B">
              <w:t>$24,157</w:t>
            </w:r>
            <w:r w:rsidRPr="00463A2B">
              <w:br/>
              <w:t>($11,706; 0.485)</w:t>
            </w:r>
          </w:p>
        </w:tc>
      </w:tr>
      <w:tr w:rsidR="00A367BA" w:rsidRPr="00463A2B" w14:paraId="063F1D3A" w14:textId="77777777" w:rsidTr="003028CF">
        <w:trPr>
          <w:trHeight w:val="328"/>
        </w:trPr>
        <w:tc>
          <w:tcPr>
            <w:tcW w:w="1970" w:type="pct"/>
            <w:shd w:val="clear" w:color="auto" w:fill="auto"/>
            <w:noWrap/>
          </w:tcPr>
          <w:p w14:paraId="699856A3" w14:textId="77777777" w:rsidR="00A367BA" w:rsidRPr="00463A2B" w:rsidRDefault="00A367BA" w:rsidP="003028CF">
            <w:pPr>
              <w:pStyle w:val="Tabletext"/>
            </w:pPr>
            <w:r w:rsidRPr="00463A2B">
              <w:lastRenderedPageBreak/>
              <w:t>Exclude re-planning costs</w:t>
            </w:r>
          </w:p>
        </w:tc>
        <w:tc>
          <w:tcPr>
            <w:tcW w:w="1010" w:type="pct"/>
            <w:shd w:val="clear" w:color="auto" w:fill="auto"/>
            <w:noWrap/>
            <w:vAlign w:val="center"/>
          </w:tcPr>
          <w:p w14:paraId="144093F8" w14:textId="5477632D" w:rsidR="00A367BA" w:rsidRPr="00463A2B" w:rsidRDefault="00A367BA" w:rsidP="004B197A">
            <w:pPr>
              <w:pStyle w:val="Tabletext"/>
              <w:jc w:val="center"/>
            </w:pPr>
            <w:r w:rsidRPr="00463A2B">
              <w:t>$90,669</w:t>
            </w:r>
            <w:r w:rsidRPr="00463A2B">
              <w:br/>
              <w:t>($14,989; 0.165)</w:t>
            </w:r>
          </w:p>
        </w:tc>
        <w:tc>
          <w:tcPr>
            <w:tcW w:w="1010" w:type="pct"/>
            <w:shd w:val="clear" w:color="auto" w:fill="auto"/>
            <w:noWrap/>
            <w:vAlign w:val="center"/>
          </w:tcPr>
          <w:p w14:paraId="0C794207" w14:textId="0324866D" w:rsidR="00A367BA" w:rsidRPr="00463A2B" w:rsidRDefault="00A367BA" w:rsidP="004B197A">
            <w:pPr>
              <w:pStyle w:val="Tabletext"/>
              <w:jc w:val="center"/>
            </w:pPr>
            <w:r w:rsidRPr="00463A2B">
              <w:t>DOMINANT</w:t>
            </w:r>
            <w:r w:rsidRPr="00463A2B">
              <w:br/>
              <w:t>(-$22,154; 0.65)</w:t>
            </w:r>
          </w:p>
        </w:tc>
        <w:tc>
          <w:tcPr>
            <w:tcW w:w="1010" w:type="pct"/>
            <w:shd w:val="clear" w:color="auto" w:fill="auto"/>
            <w:noWrap/>
            <w:vAlign w:val="center"/>
          </w:tcPr>
          <w:p w14:paraId="22E6AB1C" w14:textId="2B45A53E" w:rsidR="00A367BA" w:rsidRPr="00463A2B" w:rsidRDefault="00A367BA" w:rsidP="004B197A">
            <w:pPr>
              <w:pStyle w:val="Tabletext"/>
              <w:jc w:val="center"/>
            </w:pPr>
            <w:r w:rsidRPr="00463A2B">
              <w:t>DOMINANT</w:t>
            </w:r>
            <w:r w:rsidRPr="00463A2B">
              <w:br/>
              <w:t>(-$9,461; 0.485)</w:t>
            </w:r>
          </w:p>
        </w:tc>
      </w:tr>
      <w:tr w:rsidR="00A367BA" w:rsidRPr="00463A2B" w14:paraId="7EF6E3FE" w14:textId="77777777" w:rsidTr="003028CF">
        <w:trPr>
          <w:trHeight w:val="328"/>
        </w:trPr>
        <w:tc>
          <w:tcPr>
            <w:tcW w:w="1970" w:type="pct"/>
            <w:shd w:val="clear" w:color="auto" w:fill="auto"/>
            <w:noWrap/>
          </w:tcPr>
          <w:p w14:paraId="3E50FB8F" w14:textId="77777777" w:rsidR="00A367BA" w:rsidRPr="00463A2B" w:rsidRDefault="00A367BA" w:rsidP="003028CF">
            <w:pPr>
              <w:pStyle w:val="Tabletext"/>
            </w:pPr>
            <w:r w:rsidRPr="00463A2B">
              <w:t xml:space="preserve">Exclude </w:t>
            </w:r>
            <w:proofErr w:type="spellStart"/>
            <w:r w:rsidRPr="00463A2B">
              <w:t>extracranial</w:t>
            </w:r>
            <w:proofErr w:type="spellEnd"/>
            <w:r w:rsidRPr="00463A2B">
              <w:t xml:space="preserve"> cancers</w:t>
            </w:r>
          </w:p>
        </w:tc>
        <w:tc>
          <w:tcPr>
            <w:tcW w:w="1010" w:type="pct"/>
            <w:shd w:val="clear" w:color="auto" w:fill="auto"/>
            <w:noWrap/>
            <w:vAlign w:val="bottom"/>
          </w:tcPr>
          <w:p w14:paraId="43CF6D59" w14:textId="49B02CD2" w:rsidR="00A367BA" w:rsidRPr="00463A2B" w:rsidRDefault="00A367BA" w:rsidP="000B3A35">
            <w:pPr>
              <w:pStyle w:val="Tabletext"/>
              <w:jc w:val="center"/>
            </w:pPr>
            <w:r w:rsidRPr="00463A2B">
              <w:t>$105,374</w:t>
            </w:r>
            <w:r w:rsidRPr="00463A2B">
              <w:br/>
              <w:t>($22,517; 0.214)</w:t>
            </w:r>
          </w:p>
        </w:tc>
        <w:tc>
          <w:tcPr>
            <w:tcW w:w="1010" w:type="pct"/>
            <w:shd w:val="clear" w:color="auto" w:fill="auto"/>
            <w:noWrap/>
            <w:vAlign w:val="bottom"/>
          </w:tcPr>
          <w:p w14:paraId="07A2C55A" w14:textId="06B4601D" w:rsidR="00A367BA" w:rsidRPr="00463A2B" w:rsidRDefault="00A367BA" w:rsidP="000B3A35">
            <w:pPr>
              <w:pStyle w:val="Tabletext"/>
              <w:jc w:val="center"/>
            </w:pPr>
            <w:r w:rsidRPr="00463A2B">
              <w:t>DOMINANT</w:t>
            </w:r>
            <w:r w:rsidRPr="00463A2B">
              <w:br/>
              <w:t>(-$33,774; 0.977)</w:t>
            </w:r>
          </w:p>
        </w:tc>
        <w:tc>
          <w:tcPr>
            <w:tcW w:w="1010" w:type="pct"/>
            <w:shd w:val="clear" w:color="auto" w:fill="auto"/>
            <w:noWrap/>
            <w:vAlign w:val="bottom"/>
          </w:tcPr>
          <w:p w14:paraId="0A79D541" w14:textId="77777777" w:rsidR="00A367BA" w:rsidRPr="00463A2B" w:rsidRDefault="00A367BA" w:rsidP="003028CF">
            <w:pPr>
              <w:pStyle w:val="Tabletext"/>
              <w:jc w:val="center"/>
            </w:pPr>
            <w:r w:rsidRPr="00463A2B">
              <w:t>DOMINANT</w:t>
            </w:r>
            <w:r w:rsidRPr="00463A2B">
              <w:br/>
              <w:t>(-$13,651; 0.704)</w:t>
            </w:r>
          </w:p>
        </w:tc>
      </w:tr>
      <w:tr w:rsidR="00A367BA" w:rsidRPr="00463A2B" w14:paraId="678C1F36" w14:textId="77777777" w:rsidTr="003028CF">
        <w:trPr>
          <w:trHeight w:val="328"/>
        </w:trPr>
        <w:tc>
          <w:tcPr>
            <w:tcW w:w="1970" w:type="pct"/>
            <w:shd w:val="clear" w:color="auto" w:fill="auto"/>
            <w:noWrap/>
          </w:tcPr>
          <w:p w14:paraId="60958F1E" w14:textId="77777777" w:rsidR="00A367BA" w:rsidRPr="00463A2B" w:rsidRDefault="00A367BA" w:rsidP="003028CF">
            <w:pPr>
              <w:pStyle w:val="Tabletext"/>
            </w:pPr>
            <w:r w:rsidRPr="00463A2B">
              <w:t>Exclude:</w:t>
            </w:r>
            <w:r w:rsidRPr="00463A2B">
              <w:tab/>
            </w:r>
            <w:r w:rsidRPr="00463A2B">
              <w:tab/>
              <w:t>Visual impairment</w:t>
            </w:r>
          </w:p>
        </w:tc>
        <w:tc>
          <w:tcPr>
            <w:tcW w:w="1010" w:type="pct"/>
            <w:shd w:val="clear" w:color="auto" w:fill="auto"/>
            <w:noWrap/>
            <w:vAlign w:val="bottom"/>
          </w:tcPr>
          <w:p w14:paraId="64A057E0" w14:textId="5D7ABAE8" w:rsidR="00A367BA" w:rsidRPr="00463A2B" w:rsidRDefault="00A367BA" w:rsidP="005A4D48">
            <w:pPr>
              <w:pStyle w:val="Tabletext"/>
              <w:jc w:val="center"/>
            </w:pPr>
            <w:r w:rsidRPr="00463A2B">
              <w:t>$175,756</w:t>
            </w:r>
            <w:r w:rsidRPr="00463A2B">
              <w:br/>
              <w:t>($26,394; 0.15)</w:t>
            </w:r>
          </w:p>
        </w:tc>
        <w:tc>
          <w:tcPr>
            <w:tcW w:w="1010" w:type="pct"/>
            <w:shd w:val="clear" w:color="auto" w:fill="auto"/>
            <w:noWrap/>
            <w:vAlign w:val="bottom"/>
          </w:tcPr>
          <w:p w14:paraId="76580E61" w14:textId="48614733" w:rsidR="00A367BA" w:rsidRPr="00463A2B" w:rsidRDefault="00A367BA" w:rsidP="005A4D48">
            <w:pPr>
              <w:pStyle w:val="Tabletext"/>
              <w:jc w:val="center"/>
            </w:pPr>
            <w:r w:rsidRPr="00463A2B">
              <w:t>DOMINANT</w:t>
            </w:r>
            <w:r w:rsidRPr="00463A2B">
              <w:br/>
              <w:t>(-$7,137; 0.604)</w:t>
            </w:r>
          </w:p>
        </w:tc>
        <w:tc>
          <w:tcPr>
            <w:tcW w:w="1010" w:type="pct"/>
            <w:shd w:val="clear" w:color="auto" w:fill="auto"/>
            <w:noWrap/>
            <w:vAlign w:val="bottom"/>
          </w:tcPr>
          <w:p w14:paraId="2B2C8F8F" w14:textId="4308E2A8" w:rsidR="00A367BA" w:rsidRPr="00463A2B" w:rsidRDefault="00A367BA" w:rsidP="005A4D48">
            <w:pPr>
              <w:pStyle w:val="Tabletext"/>
              <w:jc w:val="center"/>
            </w:pPr>
            <w:r w:rsidRPr="00463A2B">
              <w:t>$9,626</w:t>
            </w:r>
            <w:r w:rsidRPr="00463A2B">
              <w:br/>
              <w:t>($4,322; 0.449)</w:t>
            </w:r>
          </w:p>
        </w:tc>
      </w:tr>
      <w:tr w:rsidR="00A367BA" w:rsidRPr="00463A2B" w14:paraId="61A68C71" w14:textId="77777777" w:rsidTr="003028CF">
        <w:trPr>
          <w:trHeight w:val="328"/>
        </w:trPr>
        <w:tc>
          <w:tcPr>
            <w:tcW w:w="1970" w:type="pct"/>
            <w:shd w:val="clear" w:color="auto" w:fill="auto"/>
            <w:noWrap/>
          </w:tcPr>
          <w:p w14:paraId="059658A7" w14:textId="77777777" w:rsidR="00A367BA" w:rsidRPr="00463A2B" w:rsidRDefault="00A367BA" w:rsidP="003028CF">
            <w:pPr>
              <w:pStyle w:val="Tabletext"/>
            </w:pPr>
            <w:r w:rsidRPr="00463A2B">
              <w:t>Exclude:</w:t>
            </w:r>
            <w:r w:rsidRPr="00463A2B">
              <w:tab/>
            </w:r>
            <w:r w:rsidRPr="00463A2B">
              <w:tab/>
              <w:t>Xerostomia</w:t>
            </w:r>
          </w:p>
        </w:tc>
        <w:tc>
          <w:tcPr>
            <w:tcW w:w="1010" w:type="pct"/>
            <w:shd w:val="clear" w:color="auto" w:fill="auto"/>
            <w:noWrap/>
            <w:vAlign w:val="bottom"/>
          </w:tcPr>
          <w:p w14:paraId="73D39FB5" w14:textId="7D7C1AD8" w:rsidR="00A367BA" w:rsidRPr="00463A2B" w:rsidRDefault="00A367BA" w:rsidP="005A4D48">
            <w:pPr>
              <w:pStyle w:val="Tabletext"/>
              <w:jc w:val="center"/>
            </w:pPr>
            <w:r w:rsidRPr="00463A2B">
              <w:t>$154,538</w:t>
            </w:r>
            <w:r w:rsidRPr="00463A2B">
              <w:br/>
              <w:t>($25,268; 0.164)</w:t>
            </w:r>
          </w:p>
        </w:tc>
        <w:tc>
          <w:tcPr>
            <w:tcW w:w="1010" w:type="pct"/>
            <w:shd w:val="clear" w:color="auto" w:fill="auto"/>
            <w:noWrap/>
            <w:vAlign w:val="bottom"/>
          </w:tcPr>
          <w:p w14:paraId="18A2E6EE" w14:textId="1D1EBD58" w:rsidR="00A367BA" w:rsidRPr="00463A2B" w:rsidRDefault="00A367BA" w:rsidP="005A4D48">
            <w:pPr>
              <w:pStyle w:val="Tabletext"/>
              <w:jc w:val="center"/>
            </w:pPr>
            <w:r w:rsidRPr="00463A2B">
              <w:t>DOMINANT</w:t>
            </w:r>
            <w:r w:rsidRPr="00463A2B">
              <w:br/>
              <w:t>(-$12,753; 0.65)</w:t>
            </w:r>
          </w:p>
        </w:tc>
        <w:tc>
          <w:tcPr>
            <w:tcW w:w="1010" w:type="pct"/>
            <w:shd w:val="clear" w:color="auto" w:fill="auto"/>
            <w:noWrap/>
            <w:vAlign w:val="bottom"/>
          </w:tcPr>
          <w:p w14:paraId="3C81FBD2" w14:textId="23EF448A" w:rsidR="00A367BA" w:rsidRPr="00463A2B" w:rsidRDefault="00A367BA" w:rsidP="005A4D48">
            <w:pPr>
              <w:pStyle w:val="Tabletext"/>
              <w:jc w:val="center"/>
            </w:pPr>
            <w:r w:rsidRPr="00463A2B">
              <w:t>$498</w:t>
            </w:r>
            <w:r w:rsidRPr="00463A2B">
              <w:br/>
              <w:t>($241; 0.484)</w:t>
            </w:r>
          </w:p>
        </w:tc>
      </w:tr>
      <w:tr w:rsidR="00A367BA" w:rsidRPr="00463A2B" w14:paraId="6518134C" w14:textId="77777777" w:rsidTr="003028CF">
        <w:trPr>
          <w:trHeight w:val="328"/>
        </w:trPr>
        <w:tc>
          <w:tcPr>
            <w:tcW w:w="1970" w:type="pct"/>
            <w:shd w:val="clear" w:color="auto" w:fill="auto"/>
            <w:noWrap/>
          </w:tcPr>
          <w:p w14:paraId="4D66AD22" w14:textId="77777777" w:rsidR="00A367BA" w:rsidRPr="00463A2B" w:rsidRDefault="00A367BA" w:rsidP="003028CF">
            <w:pPr>
              <w:pStyle w:val="Tabletext"/>
            </w:pPr>
            <w:r w:rsidRPr="00463A2B">
              <w:t>Exclude:</w:t>
            </w:r>
            <w:r w:rsidRPr="00463A2B">
              <w:tab/>
            </w:r>
            <w:r w:rsidRPr="00463A2B">
              <w:tab/>
              <w:t>Endocrine dysfunction</w:t>
            </w:r>
          </w:p>
        </w:tc>
        <w:tc>
          <w:tcPr>
            <w:tcW w:w="1010" w:type="pct"/>
            <w:shd w:val="clear" w:color="auto" w:fill="auto"/>
            <w:noWrap/>
            <w:vAlign w:val="bottom"/>
          </w:tcPr>
          <w:p w14:paraId="770CC245" w14:textId="7724D982" w:rsidR="00A367BA" w:rsidRPr="00463A2B" w:rsidRDefault="00A367BA" w:rsidP="005A4D48">
            <w:pPr>
              <w:pStyle w:val="Tabletext"/>
              <w:jc w:val="center"/>
            </w:pPr>
            <w:r w:rsidRPr="00463A2B">
              <w:t>$184,798</w:t>
            </w:r>
            <w:r w:rsidRPr="00463A2B">
              <w:br/>
              <w:t>($24,390; 0.132)</w:t>
            </w:r>
          </w:p>
        </w:tc>
        <w:tc>
          <w:tcPr>
            <w:tcW w:w="1010" w:type="pct"/>
            <w:shd w:val="clear" w:color="auto" w:fill="auto"/>
            <w:noWrap/>
            <w:vAlign w:val="bottom"/>
          </w:tcPr>
          <w:p w14:paraId="3F85D7DD" w14:textId="0A9BFE05" w:rsidR="00A367BA" w:rsidRPr="00463A2B" w:rsidRDefault="00A367BA" w:rsidP="005A4D48">
            <w:pPr>
              <w:pStyle w:val="Tabletext"/>
              <w:jc w:val="center"/>
            </w:pPr>
            <w:r w:rsidRPr="00463A2B">
              <w:t>$25,123</w:t>
            </w:r>
            <w:r w:rsidRPr="00463A2B">
              <w:br/>
              <w:t>($14,485; 0.577)</w:t>
            </w:r>
          </w:p>
        </w:tc>
        <w:tc>
          <w:tcPr>
            <w:tcW w:w="1010" w:type="pct"/>
            <w:shd w:val="clear" w:color="auto" w:fill="auto"/>
            <w:noWrap/>
            <w:vAlign w:val="bottom"/>
          </w:tcPr>
          <w:p w14:paraId="0CB70A70" w14:textId="6AF367C2" w:rsidR="00A367BA" w:rsidRPr="00463A2B" w:rsidRDefault="00A367BA" w:rsidP="005A4D48">
            <w:pPr>
              <w:pStyle w:val="Tabletext"/>
              <w:jc w:val="center"/>
            </w:pPr>
            <w:r w:rsidRPr="00463A2B">
              <w:t>$42,085</w:t>
            </w:r>
            <w:r w:rsidRPr="00463A2B">
              <w:br/>
              <w:t>($17,870; 0.425)</w:t>
            </w:r>
          </w:p>
        </w:tc>
      </w:tr>
      <w:tr w:rsidR="00A367BA" w:rsidRPr="00463A2B" w14:paraId="5376D474" w14:textId="77777777" w:rsidTr="003028CF">
        <w:trPr>
          <w:trHeight w:val="328"/>
        </w:trPr>
        <w:tc>
          <w:tcPr>
            <w:tcW w:w="1970" w:type="pct"/>
            <w:shd w:val="clear" w:color="auto" w:fill="auto"/>
            <w:noWrap/>
          </w:tcPr>
          <w:p w14:paraId="67A935AE" w14:textId="77777777" w:rsidR="00A367BA" w:rsidRPr="00463A2B" w:rsidRDefault="00A367BA" w:rsidP="003028CF">
            <w:pPr>
              <w:pStyle w:val="Tabletext"/>
            </w:pPr>
            <w:r w:rsidRPr="00463A2B">
              <w:t>Exclude:</w:t>
            </w:r>
            <w:r w:rsidRPr="00463A2B">
              <w:tab/>
            </w:r>
            <w:r w:rsidRPr="00463A2B">
              <w:tab/>
              <w:t>Dysphagia</w:t>
            </w:r>
          </w:p>
        </w:tc>
        <w:tc>
          <w:tcPr>
            <w:tcW w:w="1010" w:type="pct"/>
            <w:shd w:val="clear" w:color="auto" w:fill="auto"/>
            <w:noWrap/>
            <w:vAlign w:val="bottom"/>
          </w:tcPr>
          <w:p w14:paraId="617D43B4" w14:textId="5D59DD33" w:rsidR="00A367BA" w:rsidRPr="00463A2B" w:rsidRDefault="00A367BA" w:rsidP="005A4D48">
            <w:pPr>
              <w:pStyle w:val="Tabletext"/>
              <w:jc w:val="center"/>
            </w:pPr>
            <w:r w:rsidRPr="00463A2B">
              <w:t>$202,937</w:t>
            </w:r>
            <w:r w:rsidRPr="00463A2B">
              <w:br/>
              <w:t>($24,390; 0.12)</w:t>
            </w:r>
          </w:p>
        </w:tc>
        <w:tc>
          <w:tcPr>
            <w:tcW w:w="1010" w:type="pct"/>
            <w:shd w:val="clear" w:color="auto" w:fill="auto"/>
            <w:noWrap/>
            <w:vAlign w:val="bottom"/>
          </w:tcPr>
          <w:p w14:paraId="1D9B3506" w14:textId="5B87CAA9" w:rsidR="00A367BA" w:rsidRPr="00463A2B" w:rsidRDefault="00A367BA" w:rsidP="005A4D48">
            <w:pPr>
              <w:pStyle w:val="Tabletext"/>
              <w:jc w:val="center"/>
            </w:pPr>
            <w:r w:rsidRPr="00463A2B">
              <w:t>DOMINANT</w:t>
            </w:r>
            <w:r w:rsidRPr="00463A2B">
              <w:br/>
              <w:t>(-$12,753; 0.65)</w:t>
            </w:r>
          </w:p>
        </w:tc>
        <w:tc>
          <w:tcPr>
            <w:tcW w:w="1010" w:type="pct"/>
            <w:shd w:val="clear" w:color="auto" w:fill="auto"/>
            <w:noWrap/>
            <w:vAlign w:val="bottom"/>
          </w:tcPr>
          <w:p w14:paraId="664DD87B" w14:textId="0376AD22" w:rsidR="00A367BA" w:rsidRPr="00463A2B" w:rsidRDefault="00A367BA" w:rsidP="005A4D48">
            <w:pPr>
              <w:pStyle w:val="Tabletext"/>
              <w:jc w:val="center"/>
            </w:pPr>
            <w:r w:rsidRPr="00463A2B">
              <w:t>DOMINANT</w:t>
            </w:r>
            <w:r w:rsidRPr="00463A2B">
              <w:br/>
              <w:t>(-$59; 0.469)</w:t>
            </w:r>
          </w:p>
        </w:tc>
      </w:tr>
      <w:tr w:rsidR="00A367BA" w:rsidRPr="00463A2B" w14:paraId="73041E2B" w14:textId="77777777" w:rsidTr="003028CF">
        <w:trPr>
          <w:trHeight w:val="328"/>
        </w:trPr>
        <w:tc>
          <w:tcPr>
            <w:tcW w:w="1970" w:type="pct"/>
            <w:shd w:val="clear" w:color="auto" w:fill="auto"/>
            <w:noWrap/>
          </w:tcPr>
          <w:p w14:paraId="10C143F4" w14:textId="77777777" w:rsidR="00A367BA" w:rsidRPr="00463A2B" w:rsidRDefault="00A367BA" w:rsidP="003028CF">
            <w:pPr>
              <w:pStyle w:val="Tabletext"/>
            </w:pPr>
            <w:r w:rsidRPr="00463A2B">
              <w:t>Exclude:</w:t>
            </w:r>
            <w:r w:rsidRPr="00463A2B">
              <w:tab/>
            </w:r>
            <w:r w:rsidRPr="00463A2B">
              <w:tab/>
              <w:t>Hearing loss</w:t>
            </w:r>
          </w:p>
        </w:tc>
        <w:tc>
          <w:tcPr>
            <w:tcW w:w="1010" w:type="pct"/>
            <w:shd w:val="clear" w:color="auto" w:fill="auto"/>
            <w:noWrap/>
            <w:vAlign w:val="bottom"/>
          </w:tcPr>
          <w:p w14:paraId="6158AB00" w14:textId="09C9E8AE" w:rsidR="00A367BA" w:rsidRPr="00463A2B" w:rsidRDefault="00A367BA" w:rsidP="00650B57">
            <w:pPr>
              <w:pStyle w:val="Tabletext"/>
              <w:jc w:val="center"/>
            </w:pPr>
            <w:r w:rsidRPr="00463A2B">
              <w:t>$225,440</w:t>
            </w:r>
            <w:r w:rsidRPr="00463A2B">
              <w:br/>
              <w:t>($24,461; 0.109)</w:t>
            </w:r>
          </w:p>
        </w:tc>
        <w:tc>
          <w:tcPr>
            <w:tcW w:w="1010" w:type="pct"/>
            <w:shd w:val="clear" w:color="auto" w:fill="auto"/>
            <w:noWrap/>
            <w:vAlign w:val="bottom"/>
          </w:tcPr>
          <w:p w14:paraId="21A50428" w14:textId="21F00EFD" w:rsidR="00A367BA" w:rsidRPr="00463A2B" w:rsidRDefault="00A367BA" w:rsidP="005A4D48">
            <w:pPr>
              <w:pStyle w:val="Tabletext"/>
              <w:jc w:val="center"/>
            </w:pPr>
            <w:r w:rsidRPr="00463A2B">
              <w:t>DOMINANT</w:t>
            </w:r>
            <w:r w:rsidRPr="00463A2B">
              <w:br/>
              <w:t>(-$12,629; 0.543)</w:t>
            </w:r>
          </w:p>
        </w:tc>
        <w:tc>
          <w:tcPr>
            <w:tcW w:w="1010" w:type="pct"/>
            <w:shd w:val="clear" w:color="auto" w:fill="auto"/>
            <w:noWrap/>
            <w:vAlign w:val="bottom"/>
          </w:tcPr>
          <w:p w14:paraId="529D2E40" w14:textId="739845D9" w:rsidR="00A367BA" w:rsidRPr="00463A2B" w:rsidRDefault="00A367BA" w:rsidP="005A4D48">
            <w:pPr>
              <w:pStyle w:val="Tabletext"/>
              <w:jc w:val="center"/>
            </w:pPr>
            <w:r w:rsidRPr="00463A2B">
              <w:t>$118</w:t>
            </w:r>
            <w:r w:rsidRPr="00463A2B">
              <w:br/>
              <w:t>($46; 0.395)</w:t>
            </w:r>
          </w:p>
        </w:tc>
      </w:tr>
      <w:tr w:rsidR="00A367BA" w:rsidRPr="00463A2B" w14:paraId="2B5A2011" w14:textId="77777777" w:rsidTr="003028CF">
        <w:trPr>
          <w:trHeight w:val="328"/>
        </w:trPr>
        <w:tc>
          <w:tcPr>
            <w:tcW w:w="1970" w:type="pct"/>
            <w:shd w:val="clear" w:color="auto" w:fill="auto"/>
            <w:noWrap/>
          </w:tcPr>
          <w:p w14:paraId="00065E6C" w14:textId="77777777" w:rsidR="00A367BA" w:rsidRPr="00463A2B" w:rsidRDefault="00A367BA" w:rsidP="003028CF">
            <w:pPr>
              <w:pStyle w:val="Tabletext"/>
            </w:pPr>
            <w:r w:rsidRPr="00463A2B">
              <w:t>Exclude:</w:t>
            </w:r>
            <w:r w:rsidRPr="00463A2B">
              <w:tab/>
            </w:r>
            <w:r w:rsidRPr="00463A2B">
              <w:tab/>
            </w:r>
            <w:proofErr w:type="spellStart"/>
            <w:r w:rsidRPr="00463A2B">
              <w:t>Mucositis</w:t>
            </w:r>
            <w:proofErr w:type="spellEnd"/>
          </w:p>
        </w:tc>
        <w:tc>
          <w:tcPr>
            <w:tcW w:w="1010" w:type="pct"/>
            <w:shd w:val="clear" w:color="auto" w:fill="auto"/>
            <w:noWrap/>
            <w:vAlign w:val="bottom"/>
          </w:tcPr>
          <w:p w14:paraId="0F610006" w14:textId="55F957EC" w:rsidR="00A367BA" w:rsidRPr="00463A2B" w:rsidRDefault="00A367BA" w:rsidP="00650B57">
            <w:pPr>
              <w:pStyle w:val="Tabletext"/>
              <w:jc w:val="center"/>
            </w:pPr>
            <w:r w:rsidRPr="00463A2B">
              <w:t>$170,300</w:t>
            </w:r>
            <w:r w:rsidRPr="00463A2B">
              <w:br/>
              <w:t>($25,924; 0.152)</w:t>
            </w:r>
          </w:p>
        </w:tc>
        <w:tc>
          <w:tcPr>
            <w:tcW w:w="1010" w:type="pct"/>
            <w:shd w:val="clear" w:color="auto" w:fill="auto"/>
            <w:noWrap/>
            <w:vAlign w:val="bottom"/>
          </w:tcPr>
          <w:p w14:paraId="174A8ECC" w14:textId="59AECF6D" w:rsidR="00A367BA" w:rsidRPr="00463A2B" w:rsidRDefault="00A367BA" w:rsidP="005A4D48">
            <w:pPr>
              <w:pStyle w:val="Tabletext"/>
              <w:jc w:val="center"/>
            </w:pPr>
            <w:r w:rsidRPr="00463A2B">
              <w:t>DOMINANT</w:t>
            </w:r>
            <w:r w:rsidRPr="00463A2B">
              <w:br/>
              <w:t>(-$11,322; 0.637)</w:t>
            </w:r>
          </w:p>
        </w:tc>
        <w:tc>
          <w:tcPr>
            <w:tcW w:w="1010" w:type="pct"/>
            <w:shd w:val="clear" w:color="auto" w:fill="auto"/>
            <w:noWrap/>
            <w:vAlign w:val="bottom"/>
          </w:tcPr>
          <w:p w14:paraId="2254D41D" w14:textId="13BE07F5" w:rsidR="00A367BA" w:rsidRPr="00463A2B" w:rsidRDefault="00A367BA" w:rsidP="005A4D48">
            <w:pPr>
              <w:pStyle w:val="Tabletext"/>
              <w:jc w:val="center"/>
            </w:pPr>
            <w:r w:rsidRPr="00463A2B">
              <w:t>$2,987</w:t>
            </w:r>
            <w:r w:rsidRPr="00463A2B">
              <w:br/>
              <w:t>($1,407; 0.471)</w:t>
            </w:r>
          </w:p>
        </w:tc>
      </w:tr>
      <w:tr w:rsidR="00A367BA" w:rsidRPr="00463A2B" w14:paraId="5E7644A5" w14:textId="77777777" w:rsidTr="003028CF">
        <w:trPr>
          <w:trHeight w:val="328"/>
        </w:trPr>
        <w:tc>
          <w:tcPr>
            <w:tcW w:w="1970" w:type="pct"/>
            <w:shd w:val="clear" w:color="auto" w:fill="auto"/>
            <w:noWrap/>
          </w:tcPr>
          <w:p w14:paraId="3B8CF109" w14:textId="77777777" w:rsidR="00A367BA" w:rsidRPr="00463A2B" w:rsidRDefault="00A367BA" w:rsidP="003028CF">
            <w:pPr>
              <w:pStyle w:val="Tabletext"/>
            </w:pPr>
            <w:r w:rsidRPr="00463A2B">
              <w:t>Exclude:</w:t>
            </w:r>
            <w:r w:rsidRPr="00463A2B">
              <w:tab/>
            </w:r>
            <w:r w:rsidRPr="00463A2B">
              <w:tab/>
              <w:t>Intellectual disability</w:t>
            </w:r>
          </w:p>
        </w:tc>
        <w:tc>
          <w:tcPr>
            <w:tcW w:w="1010" w:type="pct"/>
            <w:shd w:val="clear" w:color="auto" w:fill="auto"/>
            <w:noWrap/>
            <w:vAlign w:val="bottom"/>
          </w:tcPr>
          <w:p w14:paraId="2907BD57" w14:textId="51F4821D" w:rsidR="00A367BA" w:rsidRPr="00463A2B" w:rsidRDefault="00A367BA" w:rsidP="005A4D48">
            <w:pPr>
              <w:pStyle w:val="Tabletext"/>
              <w:jc w:val="center"/>
            </w:pPr>
            <w:r w:rsidRPr="00463A2B">
              <w:t>$147,539</w:t>
            </w:r>
            <w:r w:rsidRPr="00463A2B">
              <w:br/>
              <w:t>($24,390; 0.165)</w:t>
            </w:r>
          </w:p>
        </w:tc>
        <w:tc>
          <w:tcPr>
            <w:tcW w:w="1010" w:type="pct"/>
            <w:shd w:val="clear" w:color="auto" w:fill="auto"/>
            <w:noWrap/>
            <w:vAlign w:val="bottom"/>
          </w:tcPr>
          <w:p w14:paraId="28F768A1" w14:textId="2C3071B2" w:rsidR="00A367BA" w:rsidRPr="00463A2B" w:rsidRDefault="00A367BA" w:rsidP="005A4D48">
            <w:pPr>
              <w:pStyle w:val="Tabletext"/>
              <w:jc w:val="center"/>
            </w:pPr>
            <w:r w:rsidRPr="00463A2B">
              <w:t>DOMINANT</w:t>
            </w:r>
            <w:r w:rsidRPr="00463A2B">
              <w:br/>
              <w:t>(-$12,753; 0.241)</w:t>
            </w:r>
          </w:p>
        </w:tc>
        <w:tc>
          <w:tcPr>
            <w:tcW w:w="1010" w:type="pct"/>
            <w:shd w:val="clear" w:color="auto" w:fill="auto"/>
            <w:noWrap/>
            <w:vAlign w:val="bottom"/>
          </w:tcPr>
          <w:p w14:paraId="3675C0E8" w14:textId="5986875D" w:rsidR="00A367BA" w:rsidRPr="00463A2B" w:rsidRDefault="00A367BA" w:rsidP="005A4D48">
            <w:pPr>
              <w:pStyle w:val="Tabletext"/>
              <w:jc w:val="center"/>
            </w:pPr>
            <w:r w:rsidRPr="00463A2B">
              <w:t>DOMINANT</w:t>
            </w:r>
            <w:r w:rsidRPr="00463A2B">
              <w:br/>
              <w:t>(-$59; 0.215)</w:t>
            </w:r>
          </w:p>
        </w:tc>
      </w:tr>
      <w:tr w:rsidR="00A367BA" w:rsidRPr="00463A2B" w14:paraId="5C976967" w14:textId="77777777" w:rsidTr="003028CF">
        <w:trPr>
          <w:trHeight w:val="328"/>
        </w:trPr>
        <w:tc>
          <w:tcPr>
            <w:tcW w:w="1970" w:type="pct"/>
            <w:shd w:val="clear" w:color="auto" w:fill="auto"/>
            <w:noWrap/>
          </w:tcPr>
          <w:p w14:paraId="7A3448E7" w14:textId="77777777" w:rsidR="00A367BA" w:rsidRPr="00463A2B" w:rsidRDefault="00A367BA" w:rsidP="003028CF">
            <w:pPr>
              <w:pStyle w:val="Tabletext"/>
            </w:pPr>
            <w:r w:rsidRPr="00463A2B">
              <w:t>Exclude:</w:t>
            </w:r>
            <w:r w:rsidRPr="00463A2B">
              <w:tab/>
            </w:r>
            <w:r w:rsidRPr="00463A2B">
              <w:tab/>
              <w:t>Secondary malignancies</w:t>
            </w:r>
          </w:p>
        </w:tc>
        <w:tc>
          <w:tcPr>
            <w:tcW w:w="1010" w:type="pct"/>
            <w:shd w:val="clear" w:color="auto" w:fill="auto"/>
            <w:noWrap/>
            <w:vAlign w:val="bottom"/>
          </w:tcPr>
          <w:p w14:paraId="42DDB363" w14:textId="42132446" w:rsidR="00A367BA" w:rsidRPr="00463A2B" w:rsidRDefault="00A367BA" w:rsidP="005A4D48">
            <w:pPr>
              <w:pStyle w:val="Tabletext"/>
              <w:jc w:val="center"/>
            </w:pPr>
            <w:r w:rsidRPr="00463A2B">
              <w:t>$154,672</w:t>
            </w:r>
            <w:r w:rsidRPr="00463A2B">
              <w:br/>
              <w:t>($24,560; 0.159)</w:t>
            </w:r>
          </w:p>
        </w:tc>
        <w:tc>
          <w:tcPr>
            <w:tcW w:w="1010" w:type="pct"/>
            <w:shd w:val="clear" w:color="auto" w:fill="auto"/>
            <w:noWrap/>
            <w:vAlign w:val="bottom"/>
          </w:tcPr>
          <w:p w14:paraId="4E37C557" w14:textId="7363583C" w:rsidR="00A367BA" w:rsidRPr="00463A2B" w:rsidRDefault="00A367BA" w:rsidP="005A4D48">
            <w:pPr>
              <w:pStyle w:val="Tabletext"/>
              <w:jc w:val="center"/>
            </w:pPr>
            <w:r w:rsidRPr="00463A2B">
              <w:t>DOMINANT</w:t>
            </w:r>
            <w:r w:rsidRPr="00463A2B">
              <w:br/>
              <w:t>(-$5,362; 0.586)</w:t>
            </w:r>
          </w:p>
        </w:tc>
        <w:tc>
          <w:tcPr>
            <w:tcW w:w="1010" w:type="pct"/>
            <w:shd w:val="clear" w:color="auto" w:fill="auto"/>
            <w:noWrap/>
            <w:vAlign w:val="bottom"/>
          </w:tcPr>
          <w:p w14:paraId="4C9A756B" w14:textId="2313A872" w:rsidR="00A367BA" w:rsidRPr="00463A2B" w:rsidRDefault="00A367BA" w:rsidP="00650B57">
            <w:pPr>
              <w:pStyle w:val="Tabletext"/>
              <w:jc w:val="center"/>
            </w:pPr>
            <w:r w:rsidRPr="00463A2B">
              <w:t>$11,048</w:t>
            </w:r>
            <w:r w:rsidRPr="00463A2B">
              <w:br/>
              <w:t>($4,863; 0.44)</w:t>
            </w:r>
          </w:p>
        </w:tc>
      </w:tr>
      <w:tr w:rsidR="00A367BA" w:rsidRPr="00463A2B" w14:paraId="3CCCC963" w14:textId="77777777" w:rsidTr="003028CF">
        <w:trPr>
          <w:trHeight w:val="328"/>
        </w:trPr>
        <w:tc>
          <w:tcPr>
            <w:tcW w:w="1970" w:type="pct"/>
            <w:shd w:val="clear" w:color="auto" w:fill="auto"/>
            <w:noWrap/>
          </w:tcPr>
          <w:p w14:paraId="37B384F6" w14:textId="77777777" w:rsidR="00A367BA" w:rsidRPr="00463A2B" w:rsidRDefault="00A367BA" w:rsidP="003028CF">
            <w:pPr>
              <w:pStyle w:val="Tabletext"/>
            </w:pPr>
            <w:r w:rsidRPr="00463A2B">
              <w:t>Model duration:</w:t>
            </w:r>
            <w:r w:rsidRPr="00463A2B">
              <w:tab/>
              <w:t>5 years</w:t>
            </w:r>
          </w:p>
        </w:tc>
        <w:tc>
          <w:tcPr>
            <w:tcW w:w="1010" w:type="pct"/>
            <w:shd w:val="clear" w:color="auto" w:fill="auto"/>
            <w:noWrap/>
            <w:vAlign w:val="bottom"/>
          </w:tcPr>
          <w:p w14:paraId="7D00A476" w14:textId="4FF2EAC0" w:rsidR="00A367BA" w:rsidRPr="00463A2B" w:rsidRDefault="00A367BA" w:rsidP="00650B57">
            <w:pPr>
              <w:pStyle w:val="Tabletext"/>
              <w:jc w:val="center"/>
            </w:pPr>
            <w:r w:rsidRPr="00463A2B">
              <w:t>$332,545</w:t>
            </w:r>
            <w:r w:rsidRPr="00463A2B">
              <w:br/>
              <w:t>($25,819; 0.078)</w:t>
            </w:r>
          </w:p>
        </w:tc>
        <w:tc>
          <w:tcPr>
            <w:tcW w:w="1010" w:type="pct"/>
            <w:shd w:val="clear" w:color="auto" w:fill="auto"/>
            <w:noWrap/>
            <w:vAlign w:val="bottom"/>
          </w:tcPr>
          <w:p w14:paraId="1CB22D91" w14:textId="3524B299" w:rsidR="00A367BA" w:rsidRPr="00463A2B" w:rsidRDefault="00A367BA" w:rsidP="00650B57">
            <w:pPr>
              <w:pStyle w:val="Tabletext"/>
              <w:jc w:val="center"/>
            </w:pPr>
            <w:r w:rsidRPr="00463A2B">
              <w:t>DOMINANT</w:t>
            </w:r>
            <w:r w:rsidRPr="00463A2B">
              <w:br/>
              <w:t>(-$7,781; 0.474)</w:t>
            </w:r>
          </w:p>
        </w:tc>
        <w:tc>
          <w:tcPr>
            <w:tcW w:w="1010" w:type="pct"/>
            <w:shd w:val="clear" w:color="auto" w:fill="auto"/>
            <w:noWrap/>
            <w:vAlign w:val="bottom"/>
          </w:tcPr>
          <w:p w14:paraId="7A8AE053" w14:textId="473EF4BD" w:rsidR="00A367BA" w:rsidRPr="00463A2B" w:rsidRDefault="00A367BA" w:rsidP="00650B57">
            <w:pPr>
              <w:pStyle w:val="Tabletext"/>
              <w:jc w:val="center"/>
            </w:pPr>
            <w:r w:rsidRPr="00463A2B">
              <w:t>$10,941</w:t>
            </w:r>
            <w:r w:rsidRPr="00463A2B">
              <w:br/>
              <w:t>($3,702; 0.338)</w:t>
            </w:r>
          </w:p>
        </w:tc>
      </w:tr>
      <w:tr w:rsidR="00A367BA" w:rsidRPr="00463A2B" w14:paraId="08F3ED90" w14:textId="77777777" w:rsidTr="003028CF">
        <w:trPr>
          <w:trHeight w:val="328"/>
        </w:trPr>
        <w:tc>
          <w:tcPr>
            <w:tcW w:w="1970" w:type="pct"/>
            <w:shd w:val="clear" w:color="auto" w:fill="auto"/>
            <w:noWrap/>
          </w:tcPr>
          <w:p w14:paraId="1756B0E9" w14:textId="77777777" w:rsidR="00A367BA" w:rsidRPr="00463A2B" w:rsidRDefault="00A367BA" w:rsidP="003028CF">
            <w:pPr>
              <w:pStyle w:val="Tabletext"/>
            </w:pPr>
            <w:r w:rsidRPr="00463A2B">
              <w:t>Model duration:</w:t>
            </w:r>
            <w:r w:rsidRPr="00463A2B">
              <w:tab/>
              <w:t>10 years</w:t>
            </w:r>
          </w:p>
        </w:tc>
        <w:tc>
          <w:tcPr>
            <w:tcW w:w="1010" w:type="pct"/>
            <w:shd w:val="clear" w:color="auto" w:fill="auto"/>
            <w:noWrap/>
            <w:vAlign w:val="bottom"/>
          </w:tcPr>
          <w:p w14:paraId="73CD9B3B" w14:textId="0D355D57" w:rsidR="00A367BA" w:rsidRPr="00463A2B" w:rsidRDefault="00A367BA" w:rsidP="00650B57">
            <w:pPr>
              <w:pStyle w:val="Tabletext"/>
              <w:jc w:val="center"/>
            </w:pPr>
            <w:r w:rsidRPr="00463A2B">
              <w:t>$197,305</w:t>
            </w:r>
            <w:r w:rsidRPr="00463A2B">
              <w:br/>
              <w:t>($25,018; 0.127)</w:t>
            </w:r>
          </w:p>
        </w:tc>
        <w:tc>
          <w:tcPr>
            <w:tcW w:w="1010" w:type="pct"/>
            <w:shd w:val="clear" w:color="auto" w:fill="auto"/>
            <w:noWrap/>
            <w:vAlign w:val="bottom"/>
          </w:tcPr>
          <w:p w14:paraId="31C9164D" w14:textId="534A907F" w:rsidR="00A367BA" w:rsidRPr="00463A2B" w:rsidRDefault="00A367BA" w:rsidP="00650B57">
            <w:pPr>
              <w:pStyle w:val="Tabletext"/>
              <w:jc w:val="center"/>
            </w:pPr>
            <w:r w:rsidRPr="00463A2B">
              <w:t>DOMINANT</w:t>
            </w:r>
            <w:r w:rsidRPr="00463A2B">
              <w:br/>
              <w:t>(-$8,894; 0.513)</w:t>
            </w:r>
          </w:p>
        </w:tc>
        <w:tc>
          <w:tcPr>
            <w:tcW w:w="1010" w:type="pct"/>
            <w:shd w:val="clear" w:color="auto" w:fill="auto"/>
            <w:noWrap/>
            <w:vAlign w:val="bottom"/>
          </w:tcPr>
          <w:p w14:paraId="0A696929" w14:textId="7920CE31" w:rsidR="00A367BA" w:rsidRPr="00463A2B" w:rsidRDefault="00A367BA" w:rsidP="00650B57">
            <w:pPr>
              <w:pStyle w:val="Tabletext"/>
              <w:jc w:val="center"/>
            </w:pPr>
            <w:r w:rsidRPr="00463A2B">
              <w:t>$7,072</w:t>
            </w:r>
            <w:r w:rsidRPr="00463A2B">
              <w:br/>
              <w:t>($2,696; 0.381)</w:t>
            </w:r>
          </w:p>
        </w:tc>
      </w:tr>
      <w:tr w:rsidR="00A367BA" w:rsidRPr="00463A2B" w14:paraId="7E983314" w14:textId="77777777" w:rsidTr="003028CF">
        <w:trPr>
          <w:trHeight w:val="328"/>
        </w:trPr>
        <w:tc>
          <w:tcPr>
            <w:tcW w:w="1970" w:type="pct"/>
            <w:shd w:val="clear" w:color="auto" w:fill="auto"/>
            <w:noWrap/>
          </w:tcPr>
          <w:p w14:paraId="10ED7279" w14:textId="77777777" w:rsidR="00A367BA" w:rsidRPr="00463A2B" w:rsidRDefault="00A367BA" w:rsidP="003028CF">
            <w:pPr>
              <w:pStyle w:val="Tabletext"/>
            </w:pPr>
            <w:r w:rsidRPr="00463A2B">
              <w:t>Model duration:</w:t>
            </w:r>
            <w:r w:rsidRPr="00463A2B">
              <w:tab/>
              <w:t>15 years</w:t>
            </w:r>
          </w:p>
        </w:tc>
        <w:tc>
          <w:tcPr>
            <w:tcW w:w="1010" w:type="pct"/>
            <w:shd w:val="clear" w:color="auto" w:fill="auto"/>
            <w:noWrap/>
            <w:vAlign w:val="bottom"/>
          </w:tcPr>
          <w:p w14:paraId="004D588A" w14:textId="143E4596" w:rsidR="00A367BA" w:rsidRPr="00463A2B" w:rsidRDefault="00A367BA" w:rsidP="00650B57">
            <w:pPr>
              <w:pStyle w:val="Tabletext"/>
              <w:jc w:val="center"/>
            </w:pPr>
            <w:r w:rsidRPr="00463A2B">
              <w:t>$147,539</w:t>
            </w:r>
            <w:r w:rsidRPr="00463A2B">
              <w:br/>
              <w:t>($24,390; 0.165)</w:t>
            </w:r>
          </w:p>
        </w:tc>
        <w:tc>
          <w:tcPr>
            <w:tcW w:w="1010" w:type="pct"/>
            <w:shd w:val="clear" w:color="auto" w:fill="auto"/>
            <w:noWrap/>
            <w:vAlign w:val="bottom"/>
          </w:tcPr>
          <w:p w14:paraId="324A4BAC" w14:textId="3400402B" w:rsidR="00A367BA" w:rsidRPr="00463A2B" w:rsidRDefault="00A367BA" w:rsidP="00650B57">
            <w:pPr>
              <w:pStyle w:val="Tabletext"/>
              <w:jc w:val="center"/>
            </w:pPr>
            <w:r w:rsidRPr="00463A2B">
              <w:t>DOMINANT</w:t>
            </w:r>
            <w:r w:rsidRPr="00463A2B">
              <w:br/>
              <w:t>(-$9,766; 0.544)</w:t>
            </w:r>
          </w:p>
        </w:tc>
        <w:tc>
          <w:tcPr>
            <w:tcW w:w="1010" w:type="pct"/>
            <w:shd w:val="clear" w:color="auto" w:fill="auto"/>
            <w:noWrap/>
            <w:vAlign w:val="bottom"/>
          </w:tcPr>
          <w:p w14:paraId="6745DF66" w14:textId="468D39B0" w:rsidR="00A367BA" w:rsidRPr="00463A2B" w:rsidRDefault="00A367BA" w:rsidP="00650B57">
            <w:pPr>
              <w:pStyle w:val="Tabletext"/>
              <w:jc w:val="center"/>
            </w:pPr>
            <w:r w:rsidRPr="00463A2B">
              <w:t>$4,599</w:t>
            </w:r>
            <w:r w:rsidRPr="00463A2B">
              <w:br/>
              <w:t>($1,907; 0.415)</w:t>
            </w:r>
          </w:p>
        </w:tc>
      </w:tr>
      <w:tr w:rsidR="00A367BA" w:rsidRPr="00463A2B" w14:paraId="7F97D5F2" w14:textId="77777777" w:rsidTr="003028CF">
        <w:trPr>
          <w:trHeight w:val="328"/>
        </w:trPr>
        <w:tc>
          <w:tcPr>
            <w:tcW w:w="1970" w:type="pct"/>
            <w:shd w:val="clear" w:color="auto" w:fill="auto"/>
            <w:noWrap/>
          </w:tcPr>
          <w:p w14:paraId="2FEC7D1A" w14:textId="77777777" w:rsidR="00A367BA" w:rsidRPr="00463A2B" w:rsidRDefault="00A367BA" w:rsidP="003028CF">
            <w:pPr>
              <w:pStyle w:val="Tabletext"/>
            </w:pPr>
            <w:r w:rsidRPr="00463A2B">
              <w:t>Model duration:</w:t>
            </w:r>
            <w:r w:rsidRPr="00463A2B">
              <w:tab/>
              <w:t>20 years</w:t>
            </w:r>
          </w:p>
        </w:tc>
        <w:tc>
          <w:tcPr>
            <w:tcW w:w="1010" w:type="pct"/>
            <w:shd w:val="clear" w:color="auto" w:fill="auto"/>
            <w:noWrap/>
            <w:vAlign w:val="bottom"/>
          </w:tcPr>
          <w:p w14:paraId="1E882B95" w14:textId="7B26B0EF" w:rsidR="00A367BA" w:rsidRPr="00463A2B" w:rsidRDefault="00A367BA" w:rsidP="00650B57">
            <w:pPr>
              <w:pStyle w:val="Tabletext"/>
              <w:jc w:val="center"/>
            </w:pPr>
            <w:r w:rsidRPr="00463A2B">
              <w:t>$122,247</w:t>
            </w:r>
            <w:r w:rsidRPr="00463A2B">
              <w:br/>
              <w:t>($23,899; 0.195)</w:t>
            </w:r>
          </w:p>
        </w:tc>
        <w:tc>
          <w:tcPr>
            <w:tcW w:w="1010" w:type="pct"/>
            <w:shd w:val="clear" w:color="auto" w:fill="auto"/>
            <w:noWrap/>
            <w:vAlign w:val="bottom"/>
          </w:tcPr>
          <w:p w14:paraId="68FCC480" w14:textId="165EAE99" w:rsidR="00A367BA" w:rsidRPr="00463A2B" w:rsidRDefault="00A367BA" w:rsidP="00650B57">
            <w:pPr>
              <w:pStyle w:val="Tabletext"/>
              <w:jc w:val="center"/>
            </w:pPr>
            <w:r w:rsidRPr="00463A2B">
              <w:t>DOMINANT</w:t>
            </w:r>
            <w:r w:rsidRPr="00463A2B">
              <w:br/>
              <w:t>(-$10,449; 0.568)</w:t>
            </w:r>
          </w:p>
        </w:tc>
        <w:tc>
          <w:tcPr>
            <w:tcW w:w="1010" w:type="pct"/>
            <w:shd w:val="clear" w:color="auto" w:fill="auto"/>
            <w:noWrap/>
            <w:vAlign w:val="bottom"/>
          </w:tcPr>
          <w:p w14:paraId="440B4661" w14:textId="7C8AD0BE" w:rsidR="00A367BA" w:rsidRPr="00463A2B" w:rsidRDefault="00A367BA" w:rsidP="00650B57">
            <w:pPr>
              <w:pStyle w:val="Tabletext"/>
              <w:jc w:val="center"/>
            </w:pPr>
            <w:r w:rsidRPr="00463A2B">
              <w:t>$2,924</w:t>
            </w:r>
            <w:r w:rsidRPr="00463A2B">
              <w:br/>
              <w:t>($1,289; 0.441)</w:t>
            </w:r>
          </w:p>
        </w:tc>
      </w:tr>
      <w:tr w:rsidR="00A367BA" w:rsidRPr="00463A2B" w14:paraId="7D97CB66" w14:textId="77777777" w:rsidTr="003028CF">
        <w:trPr>
          <w:trHeight w:val="328"/>
        </w:trPr>
        <w:tc>
          <w:tcPr>
            <w:tcW w:w="1970" w:type="pct"/>
            <w:shd w:val="clear" w:color="auto" w:fill="auto"/>
            <w:noWrap/>
          </w:tcPr>
          <w:p w14:paraId="7EF79587" w14:textId="77777777" w:rsidR="00A367BA" w:rsidRPr="00463A2B" w:rsidRDefault="00A367BA" w:rsidP="003028CF">
            <w:pPr>
              <w:pStyle w:val="Tabletext"/>
            </w:pPr>
            <w:r w:rsidRPr="00463A2B">
              <w:t>Discount rate:</w:t>
            </w:r>
            <w:r w:rsidRPr="00463A2B">
              <w:tab/>
              <w:t>0%</w:t>
            </w:r>
          </w:p>
        </w:tc>
        <w:tc>
          <w:tcPr>
            <w:tcW w:w="1010" w:type="pct"/>
            <w:shd w:val="clear" w:color="auto" w:fill="auto"/>
            <w:noWrap/>
            <w:vAlign w:val="bottom"/>
          </w:tcPr>
          <w:p w14:paraId="7B305C8B" w14:textId="3707EEA8" w:rsidR="00A367BA" w:rsidRPr="00463A2B" w:rsidRDefault="00A367BA" w:rsidP="00650B57">
            <w:pPr>
              <w:pStyle w:val="Tabletext"/>
              <w:jc w:val="center"/>
            </w:pPr>
            <w:r w:rsidRPr="00463A2B">
              <w:t>$100,072</w:t>
            </w:r>
            <w:r w:rsidRPr="00463A2B">
              <w:br/>
              <w:t>($23,299; 0.233)</w:t>
            </w:r>
          </w:p>
        </w:tc>
        <w:tc>
          <w:tcPr>
            <w:tcW w:w="1010" w:type="pct"/>
            <w:shd w:val="clear" w:color="auto" w:fill="auto"/>
            <w:noWrap/>
            <w:vAlign w:val="bottom"/>
          </w:tcPr>
          <w:p w14:paraId="095B2E1F" w14:textId="465B74B4" w:rsidR="00A367BA" w:rsidRPr="00463A2B" w:rsidRDefault="00A367BA" w:rsidP="00650B57">
            <w:pPr>
              <w:pStyle w:val="Tabletext"/>
              <w:jc w:val="center"/>
            </w:pPr>
            <w:r w:rsidRPr="00463A2B">
              <w:t>DOMINANT</w:t>
            </w:r>
            <w:r w:rsidRPr="00463A2B">
              <w:br/>
              <w:t>(-$40,908; 2.186)</w:t>
            </w:r>
          </w:p>
        </w:tc>
        <w:tc>
          <w:tcPr>
            <w:tcW w:w="1010" w:type="pct"/>
            <w:shd w:val="clear" w:color="auto" w:fill="auto"/>
            <w:noWrap/>
            <w:vAlign w:val="bottom"/>
          </w:tcPr>
          <w:p w14:paraId="0A0504DA" w14:textId="3D98F6C8" w:rsidR="00A367BA" w:rsidRPr="00463A2B" w:rsidRDefault="00A367BA" w:rsidP="00650B57">
            <w:pPr>
              <w:pStyle w:val="Tabletext"/>
              <w:jc w:val="center"/>
            </w:pPr>
            <w:r w:rsidRPr="00463A2B">
              <w:t>DOMINANT</w:t>
            </w:r>
            <w:r w:rsidRPr="00463A2B">
              <w:br/>
              <w:t>(-$18,965; 1.519)</w:t>
            </w:r>
          </w:p>
        </w:tc>
      </w:tr>
      <w:tr w:rsidR="00A367BA" w:rsidRPr="00463A2B" w14:paraId="13154485" w14:textId="77777777" w:rsidTr="003028CF">
        <w:trPr>
          <w:trHeight w:val="328"/>
        </w:trPr>
        <w:tc>
          <w:tcPr>
            <w:tcW w:w="1970" w:type="pct"/>
            <w:shd w:val="clear" w:color="auto" w:fill="auto"/>
            <w:noWrap/>
          </w:tcPr>
          <w:p w14:paraId="43630EB3" w14:textId="77777777" w:rsidR="00A367BA" w:rsidRPr="00463A2B" w:rsidRDefault="00A367BA" w:rsidP="003028CF">
            <w:pPr>
              <w:pStyle w:val="Tabletext"/>
            </w:pPr>
            <w:r w:rsidRPr="00463A2B">
              <w:t>Discount rate:</w:t>
            </w:r>
            <w:r w:rsidRPr="00463A2B">
              <w:tab/>
              <w:t>10%</w:t>
            </w:r>
          </w:p>
        </w:tc>
        <w:tc>
          <w:tcPr>
            <w:tcW w:w="1010" w:type="pct"/>
            <w:shd w:val="clear" w:color="auto" w:fill="auto"/>
            <w:noWrap/>
            <w:vAlign w:val="bottom"/>
          </w:tcPr>
          <w:p w14:paraId="4A37D29A" w14:textId="0127468A" w:rsidR="00A367BA" w:rsidRPr="00463A2B" w:rsidRDefault="00A367BA" w:rsidP="00650B57">
            <w:pPr>
              <w:pStyle w:val="Tabletext"/>
              <w:jc w:val="center"/>
            </w:pPr>
            <w:r w:rsidRPr="00463A2B">
              <w:t>$200,992</w:t>
            </w:r>
            <w:r w:rsidRPr="00463A2B">
              <w:br/>
              <w:t>($25,045; 0.125)</w:t>
            </w:r>
          </w:p>
        </w:tc>
        <w:tc>
          <w:tcPr>
            <w:tcW w:w="1010" w:type="pct"/>
            <w:shd w:val="clear" w:color="auto" w:fill="auto"/>
            <w:noWrap/>
            <w:vAlign w:val="bottom"/>
          </w:tcPr>
          <w:p w14:paraId="5A973529" w14:textId="5AC9D6A7" w:rsidR="00A367BA" w:rsidRPr="00463A2B" w:rsidRDefault="00A367BA" w:rsidP="00650B57">
            <w:pPr>
              <w:pStyle w:val="Tabletext"/>
              <w:jc w:val="center"/>
            </w:pPr>
            <w:r w:rsidRPr="00463A2B">
              <w:t>DOMINANT</w:t>
            </w:r>
            <w:r w:rsidRPr="00463A2B">
              <w:br/>
              <w:t>(-$2,755; 0.345)</w:t>
            </w:r>
          </w:p>
        </w:tc>
        <w:tc>
          <w:tcPr>
            <w:tcW w:w="1010" w:type="pct"/>
            <w:shd w:val="clear" w:color="auto" w:fill="auto"/>
            <w:noWrap/>
            <w:vAlign w:val="bottom"/>
          </w:tcPr>
          <w:p w14:paraId="75DF5037" w14:textId="6BA168EB" w:rsidR="00A367BA" w:rsidRPr="00463A2B" w:rsidRDefault="00A367BA" w:rsidP="00650B57">
            <w:pPr>
              <w:pStyle w:val="Tabletext"/>
              <w:jc w:val="center"/>
            </w:pPr>
            <w:r w:rsidRPr="00463A2B">
              <w:t>$24,995</w:t>
            </w:r>
            <w:r w:rsidRPr="00463A2B">
              <w:br/>
              <w:t>($6,746; 0.27)</w:t>
            </w:r>
          </w:p>
        </w:tc>
      </w:tr>
    </w:tbl>
    <w:p w14:paraId="31F26395" w14:textId="77777777" w:rsidR="00A367BA" w:rsidRDefault="00A367BA" w:rsidP="00654AB1">
      <w:pPr>
        <w:pStyle w:val="Tablenotes"/>
      </w:pPr>
      <w:r>
        <w:t>Source: Table 53, p137 of the ADAR</w:t>
      </w:r>
    </w:p>
    <w:p w14:paraId="26C80784" w14:textId="2DCA7DAE" w:rsidR="004B197A" w:rsidRPr="00183E4D" w:rsidRDefault="00A367BA" w:rsidP="00654AB1">
      <w:pPr>
        <w:pStyle w:val="Tablenotes"/>
      </w:pPr>
      <w:r>
        <w:t>Abbreviations: AYA=a</w:t>
      </w:r>
      <w:r w:rsidRPr="00C76D88">
        <w:t xml:space="preserve">dolescent and young adult; </w:t>
      </w:r>
      <w:r>
        <w:t>PICO=population, intervention, comparator, outcomes; QALY=</w:t>
      </w:r>
      <w:r w:rsidRPr="00463A2B">
        <w:t>quality adjusted life year</w:t>
      </w:r>
      <w:bookmarkEnd w:id="54"/>
    </w:p>
    <w:p w14:paraId="3281E425" w14:textId="77777777" w:rsidR="00A367BA" w:rsidRDefault="00A367BA" w:rsidP="00D066A0">
      <w:pPr>
        <w:spacing w:before="240" w:after="240"/>
        <w:rPr>
          <w:iCs/>
        </w:rPr>
      </w:pPr>
      <w:r>
        <w:t>The commentary noted that the sensitivity analyses reported in the ADAR did not include the costs of toxicities nor the values of utilities included in the model. The commentary considered that there was a high degree of uncertainty regarding the proportional difference in the rates of toxicities, and these rates also need to be tested. Further, some of the rates should be excluded from the analyses as a statistical significance between the two interventions was specifically reported as not being reached.</w:t>
      </w:r>
      <w:r w:rsidRPr="009C5A9D">
        <w:t xml:space="preserve"> </w:t>
      </w:r>
      <w:r>
        <w:t>Overall, the ADAR sensitivity</w:t>
      </w:r>
      <w:r w:rsidRPr="009C5A9D">
        <w:t xml:space="preserve"> analyses d</w:t>
      </w:r>
      <w:r>
        <w:t>id</w:t>
      </w:r>
      <w:r w:rsidRPr="009C5A9D">
        <w:t xml:space="preserve"> not adequately reduce the para</w:t>
      </w:r>
      <w:r>
        <w:t>meter uncertainty in the model.</w:t>
      </w:r>
    </w:p>
    <w:p w14:paraId="3C1A25E0" w14:textId="77777777" w:rsidR="00A367BA" w:rsidRPr="00C3241E" w:rsidRDefault="00A367BA" w:rsidP="00A367BA">
      <w:pPr>
        <w:spacing w:after="240"/>
        <w:rPr>
          <w:iCs/>
        </w:rPr>
      </w:pPr>
      <w:r w:rsidRPr="00C3241E">
        <w:rPr>
          <w:iCs/>
        </w:rPr>
        <w:t xml:space="preserve">Additional one-way sensitivity analyses were analysed </w:t>
      </w:r>
      <w:r>
        <w:rPr>
          <w:iCs/>
        </w:rPr>
        <w:t>in the c</w:t>
      </w:r>
      <w:r w:rsidRPr="00C3241E">
        <w:rPr>
          <w:iCs/>
        </w:rPr>
        <w:t>ommentary</w:t>
      </w:r>
      <w:r>
        <w:rPr>
          <w:iCs/>
        </w:rPr>
        <w:t>,</w:t>
      </w:r>
      <w:r w:rsidRPr="00C3241E">
        <w:rPr>
          <w:iCs/>
        </w:rPr>
        <w:t xml:space="preserve"> </w:t>
      </w:r>
      <w:r>
        <w:rPr>
          <w:iCs/>
        </w:rPr>
        <w:t xml:space="preserve">testing the impact of additional numbers of toxicities, varying the rates of toxicity and costs of toxicity on </w:t>
      </w:r>
      <w:r w:rsidRPr="00C3241E">
        <w:rPr>
          <w:iCs/>
        </w:rPr>
        <w:t>the base case ICER. In all cases, the ICER did not significantly deviate from the base case ICER. However, these sensitivity analyses d</w:t>
      </w:r>
      <w:r>
        <w:rPr>
          <w:iCs/>
        </w:rPr>
        <w:t>id</w:t>
      </w:r>
      <w:r w:rsidRPr="00C3241E">
        <w:rPr>
          <w:iCs/>
        </w:rPr>
        <w:t xml:space="preserve"> not </w:t>
      </w:r>
      <w:r>
        <w:rPr>
          <w:iCs/>
        </w:rPr>
        <w:t>re</w:t>
      </w:r>
      <w:r w:rsidRPr="00C3241E">
        <w:rPr>
          <w:iCs/>
        </w:rPr>
        <w:t>present the overall impact of endocrine dysfunction in the PICO 2 (paediatric/AYA) population, due to the relatively high (and uncertain) rates of toxicity (55.6% in the PBT arm and 88.2% in the PRT arm) and the</w:t>
      </w:r>
      <w:r>
        <w:rPr>
          <w:iCs/>
        </w:rPr>
        <w:t>se</w:t>
      </w:r>
      <w:r w:rsidRPr="00C3241E">
        <w:rPr>
          <w:iCs/>
        </w:rPr>
        <w:t xml:space="preserve"> additional sensitivity analyses only varied the rates of toxicity by +/-5 events and such a </w:t>
      </w:r>
      <w:r w:rsidRPr="00C3241E">
        <w:rPr>
          <w:iCs/>
        </w:rPr>
        <w:lastRenderedPageBreak/>
        <w:t xml:space="preserve">small variation would not significantly impact the overall ICER. Likewise, the total cost per event for endocrine dysfunction in the PRT </w:t>
      </w:r>
      <w:r>
        <w:rPr>
          <w:iCs/>
        </w:rPr>
        <w:t>wa</w:t>
      </w:r>
      <w:r w:rsidRPr="00C3241E">
        <w:rPr>
          <w:iCs/>
        </w:rPr>
        <w:t xml:space="preserve">s 64% higher than the cost per event in the PBT arm. Therefore, further multivariate sensitivity analyses </w:t>
      </w:r>
      <w:r>
        <w:rPr>
          <w:iCs/>
        </w:rPr>
        <w:t>were</w:t>
      </w:r>
      <w:r w:rsidRPr="00C3241E">
        <w:rPr>
          <w:iCs/>
        </w:rPr>
        <w:t xml:space="preserve"> required to ascertain the impact of these parameters.</w:t>
      </w:r>
    </w:p>
    <w:p w14:paraId="522BD253" w14:textId="4FBAB15D" w:rsidR="00A367BA" w:rsidRDefault="00A367BA" w:rsidP="00A367BA">
      <w:pPr>
        <w:spacing w:after="240"/>
      </w:pPr>
      <w:r>
        <w:t xml:space="preserve">The key drivers of the economic model are shown in </w:t>
      </w:r>
      <w:r>
        <w:fldChar w:fldCharType="begin"/>
      </w:r>
      <w:r>
        <w:instrText xml:space="preserve"> REF _Ref50495874 \h  \* MERGEFORMAT </w:instrText>
      </w:r>
      <w:r>
        <w:fldChar w:fldCharType="separate"/>
      </w:r>
      <w:r w:rsidR="00810FF0" w:rsidRPr="00602EA6">
        <w:t xml:space="preserve">Table </w:t>
      </w:r>
      <w:r w:rsidR="00810FF0">
        <w:rPr>
          <w:noProof/>
        </w:rPr>
        <w:t>16</w:t>
      </w:r>
      <w:r>
        <w:fldChar w:fldCharType="end"/>
      </w:r>
      <w:r>
        <w:t xml:space="preserve">. </w:t>
      </w:r>
      <w:proofErr w:type="spellStart"/>
      <w:r>
        <w:t>Mucositis</w:t>
      </w:r>
      <w:proofErr w:type="spellEnd"/>
      <w:r>
        <w:t xml:space="preserve"> (grade 3) in the PICO 1 (adult) population and endocrine dysfunction in the PICO 2 (paediatric/AYA) population constitute the largest proportions of costs attributed to the cost of toxicity for each treatment. This suggests the rate of toxicity and the cost of toxicity for endocrine dysfunction in the PICO 2 (paediatric/AYA) population and the rate of toxicity and cost of toxicity for </w:t>
      </w:r>
      <w:proofErr w:type="spellStart"/>
      <w:r>
        <w:t>mucositis</w:t>
      </w:r>
      <w:proofErr w:type="spellEnd"/>
      <w:r>
        <w:t xml:space="preserve"> (grade 3) in the PICO 1 (adult) population were the key drivers of the model. Additionally, the time horizon in the PICO 2 (paediatric/AYA) population impacts the overall cost of endocrine dysfunction, and therefore is another key driver of the model.</w:t>
      </w:r>
    </w:p>
    <w:p w14:paraId="76308CB8" w14:textId="11F2B18D" w:rsidR="00A367BA" w:rsidRPr="009E589D" w:rsidRDefault="00A367BA" w:rsidP="009E589D">
      <w:pPr>
        <w:rPr>
          <w:rFonts w:ascii="Arial Narrow" w:hAnsi="Arial Narrow"/>
          <w:b/>
          <w:sz w:val="20"/>
        </w:rPr>
      </w:pPr>
      <w:bookmarkStart w:id="55" w:name="_Ref50495874"/>
      <w:bookmarkStart w:id="56" w:name="_Toc50454260"/>
      <w:r w:rsidRPr="009E589D">
        <w:rPr>
          <w:rFonts w:ascii="Arial Narrow" w:hAnsi="Arial Narrow"/>
          <w:b/>
          <w:sz w:val="20"/>
        </w:rPr>
        <w:t xml:space="preserve">Table </w:t>
      </w:r>
      <w:r w:rsidRPr="009E589D">
        <w:rPr>
          <w:rFonts w:ascii="Arial Narrow" w:hAnsi="Arial Narrow"/>
          <w:b/>
          <w:sz w:val="20"/>
        </w:rPr>
        <w:fldChar w:fldCharType="begin"/>
      </w:r>
      <w:r w:rsidRPr="009E589D">
        <w:rPr>
          <w:rFonts w:ascii="Arial Narrow" w:hAnsi="Arial Narrow"/>
          <w:b/>
          <w:sz w:val="20"/>
        </w:rPr>
        <w:instrText>SEQ Table \* ARABIC</w:instrText>
      </w:r>
      <w:r w:rsidRPr="009E589D">
        <w:rPr>
          <w:rFonts w:ascii="Arial Narrow" w:hAnsi="Arial Narrow"/>
          <w:b/>
          <w:sz w:val="20"/>
        </w:rPr>
        <w:fldChar w:fldCharType="separate"/>
      </w:r>
      <w:r w:rsidR="00810FF0" w:rsidRPr="009E589D">
        <w:rPr>
          <w:rFonts w:ascii="Arial Narrow" w:hAnsi="Arial Narrow"/>
          <w:b/>
          <w:sz w:val="20"/>
        </w:rPr>
        <w:t>16</w:t>
      </w:r>
      <w:r w:rsidRPr="009E589D">
        <w:rPr>
          <w:rFonts w:ascii="Arial Narrow" w:hAnsi="Arial Narrow"/>
          <w:b/>
          <w:sz w:val="20"/>
        </w:rPr>
        <w:fldChar w:fldCharType="end"/>
      </w:r>
      <w:bookmarkEnd w:id="55"/>
      <w:r w:rsidRPr="009E589D">
        <w:rPr>
          <w:rFonts w:ascii="Arial Narrow" w:hAnsi="Arial Narrow"/>
          <w:b/>
          <w:sz w:val="20"/>
        </w:rPr>
        <w:tab/>
        <w:t>Key drivers of the economic model</w:t>
      </w:r>
      <w:bookmarkEnd w:id="56"/>
    </w:p>
    <w:tbl>
      <w:tblPr>
        <w:tblStyle w:val="TableGrid1"/>
        <w:tblW w:w="5000" w:type="pct"/>
        <w:tblLook w:val="04A0" w:firstRow="1" w:lastRow="0" w:firstColumn="1" w:lastColumn="0" w:noHBand="0" w:noVBand="1"/>
        <w:tblCaption w:val="Table 24 Key drivers of the economic model"/>
        <w:tblDescription w:val="This table describes what factors and assumptions in the economic model affect the incremental cost-effectiveness to the greatest extent."/>
      </w:tblPr>
      <w:tblGrid>
        <w:gridCol w:w="1696"/>
        <w:gridCol w:w="5814"/>
        <w:gridCol w:w="1506"/>
      </w:tblGrid>
      <w:tr w:rsidR="00A367BA" w:rsidRPr="00183E4D" w14:paraId="639D2229" w14:textId="77777777" w:rsidTr="002236BD">
        <w:trPr>
          <w:cnfStyle w:val="100000000000" w:firstRow="1" w:lastRow="0" w:firstColumn="0" w:lastColumn="0" w:oddVBand="0" w:evenVBand="0" w:oddHBand="0" w:evenHBand="0" w:firstRowFirstColumn="0" w:firstRowLastColumn="0" w:lastRowFirstColumn="0" w:lastRowLastColumn="0"/>
          <w:tblHeader/>
        </w:trPr>
        <w:tc>
          <w:tcPr>
            <w:tcW w:w="941" w:type="pct"/>
          </w:tcPr>
          <w:p w14:paraId="3F93757E" w14:textId="77777777" w:rsidR="00A367BA" w:rsidRPr="00183E4D" w:rsidRDefault="00A367BA" w:rsidP="003028CF">
            <w:pPr>
              <w:pStyle w:val="TableHeading"/>
              <w:rPr>
                <w:snapToGrid w:val="0"/>
                <w:lang w:eastAsia="en-US"/>
              </w:rPr>
            </w:pPr>
            <w:r w:rsidRPr="00183E4D">
              <w:rPr>
                <w:snapToGrid w:val="0"/>
                <w:lang w:eastAsia="en-US"/>
              </w:rPr>
              <w:t>Description</w:t>
            </w:r>
          </w:p>
        </w:tc>
        <w:tc>
          <w:tcPr>
            <w:tcW w:w="3224" w:type="pct"/>
          </w:tcPr>
          <w:p w14:paraId="170F25FD" w14:textId="77777777" w:rsidR="00A367BA" w:rsidRPr="00183E4D" w:rsidRDefault="00A367BA" w:rsidP="003028CF">
            <w:pPr>
              <w:pStyle w:val="TableHeading"/>
              <w:rPr>
                <w:snapToGrid w:val="0"/>
                <w:lang w:eastAsia="en-US"/>
              </w:rPr>
            </w:pPr>
            <w:r w:rsidRPr="00183E4D">
              <w:rPr>
                <w:snapToGrid w:val="0"/>
                <w:lang w:eastAsia="en-US"/>
              </w:rPr>
              <w:t>Method/Value</w:t>
            </w:r>
          </w:p>
        </w:tc>
        <w:tc>
          <w:tcPr>
            <w:tcW w:w="836" w:type="pct"/>
          </w:tcPr>
          <w:p w14:paraId="3B310BC4" w14:textId="77777777" w:rsidR="00A367BA" w:rsidRPr="00183E4D" w:rsidRDefault="00A367BA" w:rsidP="003028CF">
            <w:pPr>
              <w:pStyle w:val="TableHeading"/>
              <w:rPr>
                <w:snapToGrid w:val="0"/>
                <w:lang w:eastAsia="en-US"/>
              </w:rPr>
            </w:pPr>
            <w:r w:rsidRPr="00183E4D">
              <w:rPr>
                <w:snapToGrid w:val="0"/>
                <w:lang w:eastAsia="en-US"/>
              </w:rPr>
              <w:t>Impact</w:t>
            </w:r>
          </w:p>
        </w:tc>
      </w:tr>
      <w:tr w:rsidR="00A367BA" w:rsidRPr="00183E4D" w14:paraId="58E69A82" w14:textId="77777777" w:rsidTr="002236BD">
        <w:tc>
          <w:tcPr>
            <w:tcW w:w="941" w:type="pct"/>
          </w:tcPr>
          <w:p w14:paraId="1E34756F" w14:textId="77777777" w:rsidR="00A367BA" w:rsidRPr="00183E4D" w:rsidRDefault="00A367BA" w:rsidP="003028CF">
            <w:pPr>
              <w:pStyle w:val="Tabletext"/>
              <w:rPr>
                <w:snapToGrid w:val="0"/>
              </w:rPr>
            </w:pPr>
            <w:r>
              <w:rPr>
                <w:snapToGrid w:val="0"/>
              </w:rPr>
              <w:t>Cost and rate of endocrine dysfunction</w:t>
            </w:r>
          </w:p>
        </w:tc>
        <w:tc>
          <w:tcPr>
            <w:tcW w:w="3224" w:type="pct"/>
          </w:tcPr>
          <w:p w14:paraId="5D89E46F" w14:textId="77777777" w:rsidR="00A367BA" w:rsidRDefault="00A367BA" w:rsidP="003028CF">
            <w:pPr>
              <w:pStyle w:val="Tabletext"/>
              <w:rPr>
                <w:snapToGrid w:val="0"/>
              </w:rPr>
            </w:pPr>
            <w:r>
              <w:rPr>
                <w:snapToGrid w:val="0"/>
              </w:rPr>
              <w:t>PRT (paediatric/AYA): $92,370 [$23,049x10years (discounted @5%) x 51.9%]</w:t>
            </w:r>
          </w:p>
          <w:p w14:paraId="0E0D709C" w14:textId="77777777" w:rsidR="00A367BA" w:rsidRPr="00183E4D" w:rsidRDefault="00A367BA" w:rsidP="003028CF">
            <w:pPr>
              <w:pStyle w:val="Tabletext"/>
              <w:rPr>
                <w:snapToGrid w:val="0"/>
              </w:rPr>
            </w:pPr>
            <w:r>
              <w:rPr>
                <w:snapToGrid w:val="0"/>
              </w:rPr>
              <w:t>PBT (paediatric/AYA): $65,133 [$23,049x10years (discounted @5%) x 36.6%]</w:t>
            </w:r>
          </w:p>
        </w:tc>
        <w:tc>
          <w:tcPr>
            <w:tcW w:w="836" w:type="pct"/>
          </w:tcPr>
          <w:p w14:paraId="34A5D4EF" w14:textId="77777777" w:rsidR="00A367BA" w:rsidRPr="00183E4D" w:rsidRDefault="00A367BA" w:rsidP="003028CF">
            <w:pPr>
              <w:pStyle w:val="Tabletext"/>
              <w:rPr>
                <w:snapToGrid w:val="0"/>
              </w:rPr>
            </w:pPr>
            <w:r>
              <w:rPr>
                <w:snapToGrid w:val="0"/>
              </w:rPr>
              <w:t>Very h</w:t>
            </w:r>
            <w:r w:rsidRPr="00CB6CE8">
              <w:rPr>
                <w:snapToGrid w:val="0"/>
              </w:rPr>
              <w:t>igh</w:t>
            </w:r>
            <w:r>
              <w:rPr>
                <w:snapToGrid w:val="0"/>
              </w:rPr>
              <w:t>; favours intervention</w:t>
            </w:r>
          </w:p>
        </w:tc>
      </w:tr>
      <w:tr w:rsidR="00A367BA" w:rsidRPr="00183E4D" w14:paraId="044A430A" w14:textId="77777777" w:rsidTr="002236BD">
        <w:tc>
          <w:tcPr>
            <w:tcW w:w="941" w:type="pct"/>
          </w:tcPr>
          <w:p w14:paraId="21C24438" w14:textId="77777777" w:rsidR="00A367BA" w:rsidRPr="00183E4D" w:rsidRDefault="00A367BA" w:rsidP="003028CF">
            <w:pPr>
              <w:pStyle w:val="Tabletext"/>
              <w:rPr>
                <w:snapToGrid w:val="0"/>
              </w:rPr>
            </w:pPr>
            <w:r>
              <w:rPr>
                <w:snapToGrid w:val="0"/>
              </w:rPr>
              <w:t>Cost and rate of visual impairment</w:t>
            </w:r>
          </w:p>
        </w:tc>
        <w:tc>
          <w:tcPr>
            <w:tcW w:w="3224" w:type="pct"/>
          </w:tcPr>
          <w:p w14:paraId="34BFEDC3" w14:textId="77777777" w:rsidR="00A367BA" w:rsidRDefault="00A367BA" w:rsidP="003028CF">
            <w:pPr>
              <w:pStyle w:val="Tabletext"/>
              <w:rPr>
                <w:snapToGrid w:val="0"/>
              </w:rPr>
            </w:pPr>
            <w:r>
              <w:rPr>
                <w:snapToGrid w:val="0"/>
              </w:rPr>
              <w:t>PRT (adult): $2,003 [$5,414x10years (discounted @5%) x 3.57%]</w:t>
            </w:r>
          </w:p>
          <w:p w14:paraId="42112E60" w14:textId="77777777" w:rsidR="00A367BA" w:rsidRDefault="00A367BA" w:rsidP="003028CF">
            <w:pPr>
              <w:pStyle w:val="Tabletext"/>
              <w:rPr>
                <w:snapToGrid w:val="0"/>
              </w:rPr>
            </w:pPr>
            <w:r>
              <w:rPr>
                <w:snapToGrid w:val="0"/>
              </w:rPr>
              <w:t>PBT (adult): $0 [$5,414x10years (discounted @5%) x 0%]</w:t>
            </w:r>
          </w:p>
          <w:p w14:paraId="282CFF3B" w14:textId="77777777" w:rsidR="00A367BA" w:rsidRDefault="00A367BA" w:rsidP="003028CF">
            <w:pPr>
              <w:pStyle w:val="Tabletext"/>
              <w:rPr>
                <w:snapToGrid w:val="0"/>
              </w:rPr>
            </w:pPr>
            <w:r>
              <w:rPr>
                <w:snapToGrid w:val="0"/>
              </w:rPr>
              <w:t>PRT (paediatric/AYA): $9,125 [$5,414x75 years (discounted @5%) x 8.65%]</w:t>
            </w:r>
          </w:p>
          <w:p w14:paraId="6148328E" w14:textId="77777777" w:rsidR="00A367BA" w:rsidRPr="00183E4D" w:rsidRDefault="00A367BA" w:rsidP="003028CF">
            <w:pPr>
              <w:pStyle w:val="Tabletext"/>
              <w:rPr>
                <w:snapToGrid w:val="0"/>
              </w:rPr>
            </w:pPr>
            <w:r>
              <w:rPr>
                <w:snapToGrid w:val="0"/>
              </w:rPr>
              <w:t>PBT (paediatric/AYA): $3,510 [$5,414x75years (discounted @5%) x 3.33%]</w:t>
            </w:r>
          </w:p>
        </w:tc>
        <w:tc>
          <w:tcPr>
            <w:tcW w:w="836" w:type="pct"/>
          </w:tcPr>
          <w:p w14:paraId="29C84D4D" w14:textId="77777777" w:rsidR="00A367BA" w:rsidRPr="00183E4D" w:rsidRDefault="00A367BA" w:rsidP="003028CF">
            <w:pPr>
              <w:pStyle w:val="Tabletext"/>
              <w:rPr>
                <w:snapToGrid w:val="0"/>
              </w:rPr>
            </w:pPr>
            <w:r w:rsidRPr="00CB6CE8">
              <w:rPr>
                <w:snapToGrid w:val="0"/>
              </w:rPr>
              <w:t>High</w:t>
            </w:r>
            <w:r>
              <w:rPr>
                <w:snapToGrid w:val="0"/>
              </w:rPr>
              <w:t>; favours intervention</w:t>
            </w:r>
          </w:p>
        </w:tc>
      </w:tr>
      <w:tr w:rsidR="00A367BA" w:rsidRPr="00183E4D" w14:paraId="019D9CED" w14:textId="77777777" w:rsidTr="002236BD">
        <w:tc>
          <w:tcPr>
            <w:tcW w:w="941" w:type="pct"/>
          </w:tcPr>
          <w:p w14:paraId="2FFA95B9" w14:textId="77777777" w:rsidR="00A367BA" w:rsidRPr="00183E4D" w:rsidRDefault="00A367BA" w:rsidP="003028CF">
            <w:pPr>
              <w:pStyle w:val="Tabletext"/>
              <w:rPr>
                <w:snapToGrid w:val="0"/>
              </w:rPr>
            </w:pPr>
            <w:r>
              <w:rPr>
                <w:snapToGrid w:val="0"/>
              </w:rPr>
              <w:t xml:space="preserve">Cost and rate of </w:t>
            </w:r>
            <w:proofErr w:type="spellStart"/>
            <w:r>
              <w:rPr>
                <w:snapToGrid w:val="0"/>
              </w:rPr>
              <w:t>mucositis</w:t>
            </w:r>
            <w:proofErr w:type="spellEnd"/>
          </w:p>
        </w:tc>
        <w:tc>
          <w:tcPr>
            <w:tcW w:w="3224" w:type="pct"/>
          </w:tcPr>
          <w:p w14:paraId="3B4EB1CC" w14:textId="77777777" w:rsidR="00A367BA" w:rsidRDefault="00A367BA" w:rsidP="003028CF">
            <w:pPr>
              <w:pStyle w:val="Tabletext"/>
              <w:rPr>
                <w:snapToGrid w:val="0"/>
              </w:rPr>
            </w:pPr>
            <w:r>
              <w:rPr>
                <w:snapToGrid w:val="0"/>
              </w:rPr>
              <w:t>PRT (adult): $4,149 [$6,597 x 62.89%]</w:t>
            </w:r>
          </w:p>
          <w:p w14:paraId="5507C5E9" w14:textId="77777777" w:rsidR="00A367BA" w:rsidRDefault="00A367BA" w:rsidP="003028CF">
            <w:pPr>
              <w:pStyle w:val="Tabletext"/>
              <w:rPr>
                <w:snapToGrid w:val="0"/>
              </w:rPr>
            </w:pPr>
            <w:r>
              <w:rPr>
                <w:snapToGrid w:val="0"/>
              </w:rPr>
              <w:t>PBT (adult): $2,615 [$6,597 x 39.64%]</w:t>
            </w:r>
          </w:p>
          <w:p w14:paraId="26405D94" w14:textId="77777777" w:rsidR="00A367BA" w:rsidRDefault="00A367BA" w:rsidP="003028CF">
            <w:pPr>
              <w:pStyle w:val="Tabletext"/>
              <w:rPr>
                <w:snapToGrid w:val="0"/>
              </w:rPr>
            </w:pPr>
            <w:r>
              <w:rPr>
                <w:snapToGrid w:val="0"/>
              </w:rPr>
              <w:t>PRT (paediatric/AYA): $3,871 [$6,597 x 58.69%]</w:t>
            </w:r>
          </w:p>
          <w:p w14:paraId="0E52B9C1" w14:textId="77777777" w:rsidR="00A367BA" w:rsidRPr="00183E4D" w:rsidRDefault="00A367BA" w:rsidP="003028CF">
            <w:pPr>
              <w:pStyle w:val="Tabletext"/>
              <w:rPr>
                <w:snapToGrid w:val="0"/>
              </w:rPr>
            </w:pPr>
            <w:r>
              <w:rPr>
                <w:snapToGrid w:val="0"/>
              </w:rPr>
              <w:t>PBT (paediatric/AYA): $2,441 [$6,597 x 36.99%]</w:t>
            </w:r>
          </w:p>
        </w:tc>
        <w:tc>
          <w:tcPr>
            <w:tcW w:w="836" w:type="pct"/>
          </w:tcPr>
          <w:p w14:paraId="16ACE36D" w14:textId="77777777" w:rsidR="00A367BA" w:rsidRPr="00183E4D" w:rsidRDefault="00A367BA" w:rsidP="003028CF">
            <w:pPr>
              <w:pStyle w:val="Tabletext"/>
              <w:rPr>
                <w:snapToGrid w:val="0"/>
              </w:rPr>
            </w:pPr>
            <w:r w:rsidRPr="00CB6CE8">
              <w:rPr>
                <w:snapToGrid w:val="0"/>
              </w:rPr>
              <w:t>High</w:t>
            </w:r>
            <w:r>
              <w:rPr>
                <w:snapToGrid w:val="0"/>
              </w:rPr>
              <w:t>; favours intervention</w:t>
            </w:r>
          </w:p>
        </w:tc>
      </w:tr>
      <w:tr w:rsidR="00A367BA" w:rsidRPr="00183E4D" w14:paraId="672697C0" w14:textId="77777777" w:rsidTr="002236BD">
        <w:tc>
          <w:tcPr>
            <w:tcW w:w="941" w:type="pct"/>
          </w:tcPr>
          <w:p w14:paraId="1699D8C9" w14:textId="77777777" w:rsidR="00A367BA" w:rsidRPr="00183E4D" w:rsidRDefault="00A367BA" w:rsidP="003028CF">
            <w:pPr>
              <w:pStyle w:val="Tabletext"/>
              <w:rPr>
                <w:snapToGrid w:val="0"/>
              </w:rPr>
            </w:pPr>
            <w:r>
              <w:rPr>
                <w:snapToGrid w:val="0"/>
              </w:rPr>
              <w:t>Time horizon</w:t>
            </w:r>
          </w:p>
        </w:tc>
        <w:tc>
          <w:tcPr>
            <w:tcW w:w="3224" w:type="pct"/>
          </w:tcPr>
          <w:p w14:paraId="271E62B3" w14:textId="77777777" w:rsidR="00A367BA" w:rsidRDefault="00A367BA" w:rsidP="003028CF">
            <w:pPr>
              <w:pStyle w:val="Tabletext"/>
              <w:rPr>
                <w:snapToGrid w:val="0"/>
              </w:rPr>
            </w:pPr>
            <w:r>
              <w:rPr>
                <w:snapToGrid w:val="0"/>
              </w:rPr>
              <w:t>Adult: 15 years</w:t>
            </w:r>
          </w:p>
          <w:p w14:paraId="53BD3D89" w14:textId="77777777" w:rsidR="00A367BA" w:rsidRPr="00183E4D" w:rsidRDefault="00A367BA" w:rsidP="003028CF">
            <w:pPr>
              <w:pStyle w:val="Tabletext"/>
              <w:rPr>
                <w:snapToGrid w:val="0"/>
              </w:rPr>
            </w:pPr>
            <w:r>
              <w:rPr>
                <w:snapToGrid w:val="0"/>
              </w:rPr>
              <w:t>Paediatric/AYA: 75 years</w:t>
            </w:r>
          </w:p>
        </w:tc>
        <w:tc>
          <w:tcPr>
            <w:tcW w:w="836" w:type="pct"/>
          </w:tcPr>
          <w:p w14:paraId="1DEEA46C" w14:textId="77777777" w:rsidR="00A367BA" w:rsidRPr="00183E4D" w:rsidRDefault="00A367BA" w:rsidP="003028CF">
            <w:pPr>
              <w:pStyle w:val="Tabletext"/>
              <w:rPr>
                <w:snapToGrid w:val="0"/>
              </w:rPr>
            </w:pPr>
            <w:r w:rsidRPr="00CB6CE8">
              <w:rPr>
                <w:snapToGrid w:val="0"/>
              </w:rPr>
              <w:t>High</w:t>
            </w:r>
            <w:r>
              <w:rPr>
                <w:snapToGrid w:val="0"/>
              </w:rPr>
              <w:t>; favours intervention</w:t>
            </w:r>
          </w:p>
        </w:tc>
      </w:tr>
    </w:tbl>
    <w:p w14:paraId="4E989CC1" w14:textId="77777777" w:rsidR="00A367BA" w:rsidRPr="00561C09" w:rsidRDefault="00A367BA" w:rsidP="00654AB1">
      <w:pPr>
        <w:pStyle w:val="Tablenotes"/>
      </w:pPr>
      <w:r>
        <w:t xml:space="preserve">Source: Table 45, p 95 of the </w:t>
      </w:r>
      <w:bookmarkEnd w:id="50"/>
      <w:r>
        <w:t>commentary</w:t>
      </w:r>
    </w:p>
    <w:p w14:paraId="4FC2898E" w14:textId="77777777" w:rsidR="00BC1364" w:rsidRPr="00F715D1" w:rsidRDefault="00BC1364" w:rsidP="00F715D1">
      <w:pPr>
        <w:pStyle w:val="Heading1"/>
      </w:pPr>
      <w:r w:rsidRPr="00F715D1">
        <w:t>Financial/budgetary impacts</w:t>
      </w:r>
    </w:p>
    <w:p w14:paraId="7523E692" w14:textId="561AD983" w:rsidR="00A367BA" w:rsidRDefault="00A367BA" w:rsidP="00A367BA">
      <w:pPr>
        <w:spacing w:after="240"/>
      </w:pPr>
      <w:r w:rsidRPr="006C66EF">
        <w:t xml:space="preserve">An </w:t>
      </w:r>
      <w:r w:rsidRPr="00175F2D">
        <w:t xml:space="preserve">epidemiological approach was used to estimate the financial implications </w:t>
      </w:r>
      <w:r>
        <w:t>of listing PBT on the MBS for treating</w:t>
      </w:r>
      <w:r w:rsidRPr="00175F2D">
        <w:t xml:space="preserve"> a</w:t>
      </w:r>
      <w:r>
        <w:t xml:space="preserve">dult patients </w:t>
      </w:r>
      <w:r w:rsidRPr="00175F2D">
        <w:t>with rare cancers of the neck and spine, and paediatric and AYA patients with solid tumours.</w:t>
      </w:r>
      <w:r>
        <w:t xml:space="preserve"> </w:t>
      </w:r>
      <w:r w:rsidRPr="006C66EF">
        <w:t xml:space="preserve">The </w:t>
      </w:r>
      <w:r>
        <w:t>total costs</w:t>
      </w:r>
      <w:r w:rsidRPr="006C66EF">
        <w:t xml:space="preserve"> to the MBS resulting from the proposed listing of PBT are summarised in </w:t>
      </w:r>
      <w:r w:rsidRPr="006C66EF">
        <w:rPr>
          <w:highlight w:val="cyan"/>
        </w:rPr>
        <w:fldChar w:fldCharType="begin"/>
      </w:r>
      <w:r w:rsidRPr="006C66EF">
        <w:instrText xml:space="preserve"> REF _Ref404372077 \h </w:instrText>
      </w:r>
      <w:r>
        <w:rPr>
          <w:highlight w:val="cyan"/>
        </w:rPr>
        <w:instrText xml:space="preserve"> \* MERGEFORMAT </w:instrText>
      </w:r>
      <w:r w:rsidRPr="006C66EF">
        <w:rPr>
          <w:highlight w:val="cyan"/>
        </w:rPr>
      </w:r>
      <w:r w:rsidRPr="006C66EF">
        <w:rPr>
          <w:highlight w:val="cyan"/>
        </w:rPr>
        <w:fldChar w:fldCharType="separate"/>
      </w:r>
      <w:r w:rsidR="00810FF0">
        <w:t xml:space="preserve">Table </w:t>
      </w:r>
      <w:r w:rsidR="00810FF0">
        <w:rPr>
          <w:noProof/>
        </w:rPr>
        <w:t>17</w:t>
      </w:r>
      <w:r w:rsidRPr="006C66EF">
        <w:rPr>
          <w:highlight w:val="cyan"/>
        </w:rPr>
        <w:fldChar w:fldCharType="end"/>
      </w:r>
      <w:r w:rsidRPr="006C66EF">
        <w:t>.</w:t>
      </w:r>
    </w:p>
    <w:p w14:paraId="7D517502" w14:textId="4856AF70" w:rsidR="00A367BA" w:rsidRPr="009E589D" w:rsidRDefault="00A367BA" w:rsidP="009E589D">
      <w:pPr>
        <w:keepNext/>
        <w:keepLines/>
        <w:rPr>
          <w:rFonts w:ascii="Arial Narrow" w:hAnsi="Arial Narrow"/>
          <w:b/>
          <w:sz w:val="20"/>
        </w:rPr>
      </w:pPr>
      <w:bookmarkStart w:id="57" w:name="_Ref404372077"/>
      <w:bookmarkStart w:id="58" w:name="_Toc393197779"/>
      <w:bookmarkStart w:id="59" w:name="_Toc393378192"/>
      <w:bookmarkStart w:id="60" w:name="_Toc399251128"/>
      <w:bookmarkStart w:id="61" w:name="_Toc50454228"/>
      <w:r w:rsidRPr="009E589D">
        <w:rPr>
          <w:rFonts w:ascii="Arial Narrow" w:hAnsi="Arial Narrow"/>
          <w:b/>
          <w:sz w:val="20"/>
        </w:rPr>
        <w:t xml:space="preserve">Table </w:t>
      </w:r>
      <w:r w:rsidRPr="009E589D">
        <w:rPr>
          <w:rFonts w:ascii="Arial Narrow" w:hAnsi="Arial Narrow"/>
          <w:b/>
          <w:sz w:val="20"/>
        </w:rPr>
        <w:fldChar w:fldCharType="begin"/>
      </w:r>
      <w:r w:rsidRPr="009E589D">
        <w:rPr>
          <w:rFonts w:ascii="Arial Narrow" w:hAnsi="Arial Narrow"/>
          <w:b/>
          <w:sz w:val="20"/>
        </w:rPr>
        <w:instrText>SEQ Table \* ARABIC</w:instrText>
      </w:r>
      <w:r w:rsidRPr="009E589D">
        <w:rPr>
          <w:rFonts w:ascii="Arial Narrow" w:hAnsi="Arial Narrow"/>
          <w:b/>
          <w:sz w:val="20"/>
        </w:rPr>
        <w:fldChar w:fldCharType="separate"/>
      </w:r>
      <w:r w:rsidR="00810FF0" w:rsidRPr="009E589D">
        <w:rPr>
          <w:rFonts w:ascii="Arial Narrow" w:hAnsi="Arial Narrow"/>
          <w:b/>
          <w:sz w:val="20"/>
        </w:rPr>
        <w:t>17</w:t>
      </w:r>
      <w:r w:rsidRPr="009E589D">
        <w:rPr>
          <w:rFonts w:ascii="Arial Narrow" w:hAnsi="Arial Narrow"/>
          <w:b/>
          <w:sz w:val="20"/>
        </w:rPr>
        <w:fldChar w:fldCharType="end"/>
      </w:r>
      <w:bookmarkEnd w:id="57"/>
      <w:r w:rsidRPr="009E589D">
        <w:rPr>
          <w:rFonts w:ascii="Arial Narrow" w:hAnsi="Arial Narrow"/>
          <w:b/>
          <w:sz w:val="20"/>
        </w:rPr>
        <w:tab/>
        <w:t xml:space="preserve">Total costs to the MBS associated with </w:t>
      </w:r>
      <w:bookmarkEnd w:id="58"/>
      <w:bookmarkEnd w:id="59"/>
      <w:bookmarkEnd w:id="60"/>
      <w:r w:rsidRPr="009E589D">
        <w:rPr>
          <w:rFonts w:ascii="Arial Narrow" w:hAnsi="Arial Narrow"/>
          <w:b/>
          <w:sz w:val="20"/>
        </w:rPr>
        <w:t>PBT</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3397"/>
        <w:gridCol w:w="1134"/>
        <w:gridCol w:w="1098"/>
        <w:gridCol w:w="1129"/>
        <w:gridCol w:w="1129"/>
        <w:gridCol w:w="1129"/>
      </w:tblGrid>
      <w:tr w:rsidR="00A367BA" w:rsidRPr="00183E4D" w14:paraId="1A58FF3E" w14:textId="77777777" w:rsidTr="00520F7E">
        <w:trPr>
          <w:trHeight w:val="300"/>
          <w:tblHeader/>
        </w:trPr>
        <w:tc>
          <w:tcPr>
            <w:tcW w:w="1884" w:type="pct"/>
            <w:tcBorders>
              <w:bottom w:val="single" w:sz="4" w:space="0" w:color="auto"/>
            </w:tcBorders>
            <w:shd w:val="clear" w:color="auto" w:fill="auto"/>
            <w:vAlign w:val="center"/>
          </w:tcPr>
          <w:p w14:paraId="3902C53D" w14:textId="77777777" w:rsidR="00A367BA" w:rsidRPr="00183E4D" w:rsidRDefault="00A367BA" w:rsidP="009E589D">
            <w:pPr>
              <w:keepNext/>
              <w:keepLines/>
              <w:tabs>
                <w:tab w:val="left" w:pos="851"/>
              </w:tabs>
              <w:spacing w:before="40" w:after="40"/>
              <w:rPr>
                <w:rFonts w:ascii="Arial Narrow" w:hAnsi="Arial Narrow"/>
                <w:b/>
                <w:sz w:val="20"/>
              </w:rPr>
            </w:pPr>
          </w:p>
        </w:tc>
        <w:tc>
          <w:tcPr>
            <w:tcW w:w="629" w:type="pct"/>
            <w:tcBorders>
              <w:bottom w:val="single" w:sz="4" w:space="0" w:color="auto"/>
            </w:tcBorders>
            <w:vAlign w:val="center"/>
          </w:tcPr>
          <w:p w14:paraId="3A558436" w14:textId="77777777" w:rsidR="00A367BA" w:rsidRPr="00183E4D" w:rsidRDefault="00A367BA" w:rsidP="009E589D">
            <w:pPr>
              <w:keepNext/>
              <w:keepLines/>
              <w:spacing w:before="40" w:after="40"/>
              <w:ind w:left="851" w:hanging="851"/>
              <w:jc w:val="center"/>
            </w:pPr>
            <w:r w:rsidRPr="2697FDDB">
              <w:rPr>
                <w:rFonts w:ascii="Arial Narrow" w:hAnsi="Arial Narrow"/>
                <w:b/>
                <w:bCs/>
                <w:sz w:val="20"/>
              </w:rPr>
              <w:t>2021</w:t>
            </w:r>
          </w:p>
        </w:tc>
        <w:tc>
          <w:tcPr>
            <w:tcW w:w="609" w:type="pct"/>
            <w:tcBorders>
              <w:bottom w:val="single" w:sz="4" w:space="0" w:color="auto"/>
            </w:tcBorders>
            <w:shd w:val="clear" w:color="auto" w:fill="auto"/>
            <w:vAlign w:val="center"/>
          </w:tcPr>
          <w:p w14:paraId="7DBDD74B" w14:textId="77777777" w:rsidR="00A367BA" w:rsidRPr="00183E4D" w:rsidRDefault="00A367BA" w:rsidP="009E589D">
            <w:pPr>
              <w:keepNext/>
              <w:keepLines/>
              <w:spacing w:before="40" w:after="40"/>
              <w:ind w:left="851" w:hanging="851"/>
              <w:jc w:val="center"/>
            </w:pPr>
            <w:r w:rsidRPr="2697FDDB">
              <w:rPr>
                <w:rFonts w:ascii="Arial Narrow" w:hAnsi="Arial Narrow"/>
                <w:b/>
                <w:bCs/>
                <w:sz w:val="20"/>
              </w:rPr>
              <w:t>2022</w:t>
            </w:r>
          </w:p>
        </w:tc>
        <w:tc>
          <w:tcPr>
            <w:tcW w:w="626" w:type="pct"/>
            <w:tcBorders>
              <w:bottom w:val="single" w:sz="4" w:space="0" w:color="auto"/>
            </w:tcBorders>
            <w:shd w:val="clear" w:color="auto" w:fill="auto"/>
            <w:vAlign w:val="center"/>
          </w:tcPr>
          <w:p w14:paraId="76F9439E" w14:textId="77777777" w:rsidR="00A367BA" w:rsidRPr="00183E4D" w:rsidRDefault="00A367BA" w:rsidP="009E589D">
            <w:pPr>
              <w:keepNext/>
              <w:keepLines/>
              <w:spacing w:before="40" w:after="40"/>
              <w:ind w:left="851" w:hanging="851"/>
              <w:jc w:val="center"/>
            </w:pPr>
            <w:r w:rsidRPr="2697FDDB">
              <w:rPr>
                <w:rFonts w:ascii="Arial Narrow" w:hAnsi="Arial Narrow"/>
                <w:b/>
                <w:bCs/>
                <w:sz w:val="20"/>
              </w:rPr>
              <w:t>2023</w:t>
            </w:r>
          </w:p>
        </w:tc>
        <w:tc>
          <w:tcPr>
            <w:tcW w:w="626" w:type="pct"/>
            <w:tcBorders>
              <w:bottom w:val="single" w:sz="4" w:space="0" w:color="auto"/>
            </w:tcBorders>
            <w:shd w:val="clear" w:color="auto" w:fill="auto"/>
            <w:vAlign w:val="center"/>
          </w:tcPr>
          <w:p w14:paraId="53A3E97A" w14:textId="77777777" w:rsidR="00A367BA" w:rsidRPr="00183E4D" w:rsidRDefault="00A367BA" w:rsidP="009E589D">
            <w:pPr>
              <w:keepNext/>
              <w:keepLines/>
              <w:spacing w:before="40" w:after="40"/>
              <w:ind w:left="851" w:hanging="851"/>
              <w:jc w:val="center"/>
            </w:pPr>
            <w:r w:rsidRPr="2697FDDB">
              <w:rPr>
                <w:rFonts w:ascii="Arial Narrow" w:hAnsi="Arial Narrow"/>
                <w:b/>
                <w:bCs/>
                <w:sz w:val="20"/>
              </w:rPr>
              <w:t>2024</w:t>
            </w:r>
          </w:p>
        </w:tc>
        <w:tc>
          <w:tcPr>
            <w:tcW w:w="626" w:type="pct"/>
            <w:tcBorders>
              <w:bottom w:val="single" w:sz="4" w:space="0" w:color="auto"/>
            </w:tcBorders>
            <w:shd w:val="clear" w:color="auto" w:fill="auto"/>
            <w:vAlign w:val="center"/>
          </w:tcPr>
          <w:p w14:paraId="5240C882" w14:textId="77777777" w:rsidR="00A367BA" w:rsidRPr="00183E4D" w:rsidRDefault="00A367BA" w:rsidP="009E589D">
            <w:pPr>
              <w:keepNext/>
              <w:keepLines/>
              <w:spacing w:before="40" w:after="40"/>
              <w:ind w:left="851" w:hanging="851"/>
              <w:jc w:val="center"/>
            </w:pPr>
            <w:r w:rsidRPr="2697FDDB">
              <w:rPr>
                <w:rFonts w:ascii="Arial Narrow" w:hAnsi="Arial Narrow"/>
                <w:b/>
                <w:bCs/>
                <w:sz w:val="20"/>
              </w:rPr>
              <w:t>2025</w:t>
            </w:r>
          </w:p>
        </w:tc>
      </w:tr>
      <w:tr w:rsidR="00A367BA" w:rsidRPr="00AD2492" w14:paraId="3B9EA571" w14:textId="77777777" w:rsidTr="00520F7E">
        <w:trPr>
          <w:trHeight w:val="300"/>
        </w:trPr>
        <w:tc>
          <w:tcPr>
            <w:tcW w:w="1884" w:type="pct"/>
            <w:tcBorders>
              <w:right w:val="nil"/>
            </w:tcBorders>
            <w:shd w:val="clear" w:color="auto" w:fill="auto"/>
          </w:tcPr>
          <w:p w14:paraId="6344A318" w14:textId="77777777" w:rsidR="00A367BA" w:rsidRPr="00AD2492" w:rsidRDefault="00A367BA" w:rsidP="009E589D">
            <w:pPr>
              <w:keepNext/>
              <w:keepLines/>
              <w:widowControl w:val="0"/>
              <w:tabs>
                <w:tab w:val="left" w:pos="851"/>
              </w:tabs>
              <w:spacing w:before="40" w:after="40"/>
              <w:jc w:val="both"/>
              <w:rPr>
                <w:rFonts w:ascii="Arial Narrow" w:hAnsi="Arial Narrow"/>
                <w:b/>
                <w:sz w:val="20"/>
              </w:rPr>
            </w:pPr>
            <w:r w:rsidRPr="2697FDDB">
              <w:rPr>
                <w:rFonts w:ascii="Arial Narrow" w:hAnsi="Arial Narrow"/>
                <w:b/>
                <w:bCs/>
                <w:sz w:val="20"/>
              </w:rPr>
              <w:t>PBT</w:t>
            </w:r>
          </w:p>
        </w:tc>
        <w:tc>
          <w:tcPr>
            <w:tcW w:w="629" w:type="pct"/>
            <w:tcBorders>
              <w:left w:val="nil"/>
              <w:right w:val="nil"/>
            </w:tcBorders>
          </w:tcPr>
          <w:p w14:paraId="5B31CB0D" w14:textId="77777777" w:rsidR="00A367BA" w:rsidRPr="00AD2492" w:rsidRDefault="00A367BA" w:rsidP="009E589D">
            <w:pPr>
              <w:keepNext/>
              <w:keepLines/>
              <w:widowControl w:val="0"/>
              <w:spacing w:before="40" w:after="40"/>
              <w:jc w:val="right"/>
              <w:rPr>
                <w:rFonts w:ascii="Arial Narrow" w:hAnsi="Arial Narrow"/>
                <w:b/>
                <w:color w:val="FFFFFF" w:themeColor="background1"/>
                <w:sz w:val="20"/>
              </w:rPr>
            </w:pPr>
          </w:p>
        </w:tc>
        <w:tc>
          <w:tcPr>
            <w:tcW w:w="609" w:type="pct"/>
            <w:tcBorders>
              <w:left w:val="nil"/>
              <w:right w:val="nil"/>
            </w:tcBorders>
            <w:shd w:val="clear" w:color="auto" w:fill="auto"/>
          </w:tcPr>
          <w:p w14:paraId="20478AD1" w14:textId="77777777" w:rsidR="00A367BA" w:rsidRPr="00AD2492" w:rsidRDefault="00A367BA" w:rsidP="009E589D">
            <w:pPr>
              <w:keepNext/>
              <w:keepLines/>
              <w:widowControl w:val="0"/>
              <w:spacing w:before="40" w:after="40"/>
              <w:jc w:val="right"/>
              <w:rPr>
                <w:rFonts w:ascii="Arial Narrow" w:hAnsi="Arial Narrow"/>
                <w:b/>
                <w:color w:val="FFFFFF" w:themeColor="background1"/>
                <w:sz w:val="20"/>
              </w:rPr>
            </w:pPr>
          </w:p>
        </w:tc>
        <w:tc>
          <w:tcPr>
            <w:tcW w:w="626" w:type="pct"/>
            <w:tcBorders>
              <w:left w:val="nil"/>
              <w:right w:val="nil"/>
            </w:tcBorders>
            <w:shd w:val="clear" w:color="auto" w:fill="auto"/>
          </w:tcPr>
          <w:p w14:paraId="73A52646" w14:textId="77777777" w:rsidR="00A367BA" w:rsidRPr="00AD2492" w:rsidRDefault="00A367BA" w:rsidP="009E589D">
            <w:pPr>
              <w:keepNext/>
              <w:keepLines/>
              <w:widowControl w:val="0"/>
              <w:spacing w:before="40" w:after="40"/>
              <w:jc w:val="right"/>
              <w:rPr>
                <w:rFonts w:ascii="Arial Narrow" w:hAnsi="Arial Narrow"/>
                <w:b/>
                <w:color w:val="FFFFFF" w:themeColor="background1"/>
                <w:sz w:val="20"/>
              </w:rPr>
            </w:pPr>
          </w:p>
        </w:tc>
        <w:tc>
          <w:tcPr>
            <w:tcW w:w="626" w:type="pct"/>
            <w:tcBorders>
              <w:left w:val="nil"/>
              <w:right w:val="nil"/>
            </w:tcBorders>
            <w:shd w:val="clear" w:color="auto" w:fill="auto"/>
          </w:tcPr>
          <w:p w14:paraId="21BA4E08" w14:textId="77777777" w:rsidR="00A367BA" w:rsidRPr="00AD2492" w:rsidRDefault="00A367BA" w:rsidP="009E589D">
            <w:pPr>
              <w:keepNext/>
              <w:keepLines/>
              <w:widowControl w:val="0"/>
              <w:spacing w:before="40" w:after="40"/>
              <w:jc w:val="right"/>
              <w:rPr>
                <w:rFonts w:ascii="Arial Narrow" w:hAnsi="Arial Narrow"/>
                <w:b/>
                <w:color w:val="FFFFFF" w:themeColor="background1"/>
                <w:sz w:val="20"/>
              </w:rPr>
            </w:pPr>
          </w:p>
        </w:tc>
        <w:tc>
          <w:tcPr>
            <w:tcW w:w="626" w:type="pct"/>
            <w:tcBorders>
              <w:left w:val="nil"/>
              <w:right w:val="single" w:sz="4" w:space="0" w:color="auto"/>
            </w:tcBorders>
            <w:shd w:val="clear" w:color="auto" w:fill="auto"/>
          </w:tcPr>
          <w:p w14:paraId="03505377" w14:textId="77777777" w:rsidR="00A367BA" w:rsidRPr="00AD2492" w:rsidRDefault="00A367BA" w:rsidP="009E589D">
            <w:pPr>
              <w:keepNext/>
              <w:keepLines/>
              <w:widowControl w:val="0"/>
              <w:spacing w:before="40" w:after="40"/>
              <w:jc w:val="right"/>
              <w:rPr>
                <w:rFonts w:ascii="Arial Narrow" w:hAnsi="Arial Narrow"/>
                <w:b/>
                <w:color w:val="FFFFFF" w:themeColor="background1"/>
                <w:sz w:val="20"/>
              </w:rPr>
            </w:pPr>
          </w:p>
        </w:tc>
      </w:tr>
      <w:tr w:rsidR="00A367BA" w:rsidRPr="00AD2492" w14:paraId="64E71D2A" w14:textId="77777777" w:rsidTr="00520F7E">
        <w:trPr>
          <w:trHeight w:val="300"/>
        </w:trPr>
        <w:tc>
          <w:tcPr>
            <w:tcW w:w="1884" w:type="pct"/>
            <w:shd w:val="clear" w:color="auto" w:fill="auto"/>
          </w:tcPr>
          <w:p w14:paraId="503DB625" w14:textId="77777777" w:rsidR="00A367BA" w:rsidRPr="00AD2492" w:rsidRDefault="00A367BA" w:rsidP="009E589D">
            <w:pPr>
              <w:keepNext/>
              <w:keepLines/>
              <w:widowControl w:val="0"/>
              <w:tabs>
                <w:tab w:val="left" w:pos="851"/>
              </w:tabs>
              <w:spacing w:before="40" w:after="40"/>
              <w:ind w:left="851" w:hanging="851"/>
              <w:jc w:val="both"/>
              <w:rPr>
                <w:rFonts w:ascii="Arial Narrow" w:hAnsi="Arial Narrow"/>
                <w:sz w:val="20"/>
              </w:rPr>
            </w:pPr>
            <w:r w:rsidRPr="00AD2492">
              <w:rPr>
                <w:rFonts w:ascii="Arial Narrow" w:hAnsi="Arial Narrow"/>
                <w:sz w:val="20"/>
              </w:rPr>
              <w:t>Number of services</w:t>
            </w:r>
          </w:p>
        </w:tc>
        <w:tc>
          <w:tcPr>
            <w:tcW w:w="629" w:type="pct"/>
          </w:tcPr>
          <w:p w14:paraId="6A818EF8" w14:textId="77777777" w:rsidR="00A367BA" w:rsidRPr="00AD2492" w:rsidRDefault="00A367BA" w:rsidP="009E589D">
            <w:pPr>
              <w:keepNext/>
              <w:keepLines/>
              <w:widowControl w:val="0"/>
              <w:spacing w:before="40" w:after="40"/>
              <w:jc w:val="center"/>
              <w:rPr>
                <w:rFonts w:ascii="Arial Narrow" w:hAnsi="Arial Narrow"/>
                <w:sz w:val="20"/>
              </w:rPr>
            </w:pPr>
            <w:r w:rsidRPr="2697FDDB">
              <w:rPr>
                <w:rFonts w:ascii="Arial Narrow" w:hAnsi="Arial Narrow"/>
                <w:sz w:val="20"/>
              </w:rPr>
              <w:t>231</w:t>
            </w:r>
          </w:p>
        </w:tc>
        <w:tc>
          <w:tcPr>
            <w:tcW w:w="609" w:type="pct"/>
            <w:shd w:val="clear" w:color="auto" w:fill="auto"/>
          </w:tcPr>
          <w:p w14:paraId="07569EA8" w14:textId="77777777" w:rsidR="00A367BA" w:rsidRPr="00AD2492" w:rsidRDefault="00A367BA" w:rsidP="009E589D">
            <w:pPr>
              <w:keepNext/>
              <w:keepLines/>
              <w:widowControl w:val="0"/>
              <w:spacing w:before="40" w:after="40"/>
              <w:jc w:val="center"/>
              <w:rPr>
                <w:rFonts w:ascii="Arial Narrow" w:hAnsi="Arial Narrow"/>
                <w:sz w:val="20"/>
              </w:rPr>
            </w:pPr>
            <w:r w:rsidRPr="2697FDDB">
              <w:rPr>
                <w:rFonts w:ascii="Arial Narrow" w:hAnsi="Arial Narrow"/>
                <w:sz w:val="20"/>
              </w:rPr>
              <w:t>353</w:t>
            </w:r>
          </w:p>
        </w:tc>
        <w:tc>
          <w:tcPr>
            <w:tcW w:w="626" w:type="pct"/>
            <w:shd w:val="clear" w:color="auto" w:fill="auto"/>
          </w:tcPr>
          <w:p w14:paraId="301DEBA4" w14:textId="77777777" w:rsidR="00A367BA" w:rsidRPr="00654AB1" w:rsidRDefault="00A367BA" w:rsidP="009E589D">
            <w:pPr>
              <w:keepNext/>
              <w:keepLines/>
              <w:widowControl w:val="0"/>
              <w:spacing w:before="40" w:after="40"/>
              <w:jc w:val="center"/>
            </w:pPr>
            <w:r w:rsidRPr="00654AB1">
              <w:rPr>
                <w:rFonts w:ascii="Arial Narrow" w:eastAsia="Arial Narrow" w:hAnsi="Arial Narrow" w:cs="Arial Narrow"/>
                <w:iCs/>
                <w:sz w:val="20"/>
              </w:rPr>
              <w:t>360</w:t>
            </w:r>
          </w:p>
        </w:tc>
        <w:tc>
          <w:tcPr>
            <w:tcW w:w="626" w:type="pct"/>
            <w:shd w:val="clear" w:color="auto" w:fill="auto"/>
          </w:tcPr>
          <w:p w14:paraId="34EC2411" w14:textId="77777777" w:rsidR="00A367BA" w:rsidRPr="00654AB1" w:rsidRDefault="00A367BA" w:rsidP="009E589D">
            <w:pPr>
              <w:keepNext/>
              <w:keepLines/>
              <w:widowControl w:val="0"/>
              <w:spacing w:before="40" w:after="40"/>
              <w:jc w:val="center"/>
            </w:pPr>
            <w:r w:rsidRPr="00654AB1">
              <w:rPr>
                <w:rFonts w:ascii="Arial Narrow" w:eastAsia="Arial Narrow" w:hAnsi="Arial Narrow" w:cs="Arial Narrow"/>
                <w:iCs/>
                <w:sz w:val="20"/>
              </w:rPr>
              <w:t>366</w:t>
            </w:r>
          </w:p>
        </w:tc>
        <w:tc>
          <w:tcPr>
            <w:tcW w:w="626" w:type="pct"/>
            <w:shd w:val="clear" w:color="auto" w:fill="auto"/>
          </w:tcPr>
          <w:p w14:paraId="77A08A50" w14:textId="77777777" w:rsidR="00A367BA" w:rsidRPr="00654AB1" w:rsidRDefault="00A367BA" w:rsidP="009E589D">
            <w:pPr>
              <w:keepNext/>
              <w:keepLines/>
              <w:widowControl w:val="0"/>
              <w:spacing w:before="40" w:after="40"/>
              <w:jc w:val="center"/>
            </w:pPr>
            <w:r w:rsidRPr="00654AB1">
              <w:rPr>
                <w:rFonts w:ascii="Arial Narrow" w:eastAsia="Arial Narrow" w:hAnsi="Arial Narrow" w:cs="Arial Narrow"/>
                <w:iCs/>
                <w:sz w:val="20"/>
              </w:rPr>
              <w:t>372</w:t>
            </w:r>
          </w:p>
        </w:tc>
      </w:tr>
      <w:tr w:rsidR="00A367BA" w:rsidRPr="00183E4D" w14:paraId="2002A22F" w14:textId="77777777" w:rsidTr="00520F7E">
        <w:trPr>
          <w:trHeight w:val="315"/>
        </w:trPr>
        <w:tc>
          <w:tcPr>
            <w:tcW w:w="1884" w:type="pct"/>
            <w:shd w:val="clear" w:color="auto" w:fill="auto"/>
          </w:tcPr>
          <w:p w14:paraId="1156C913" w14:textId="77777777" w:rsidR="00A367BA" w:rsidRPr="00183E4D" w:rsidRDefault="00A367BA" w:rsidP="003028CF">
            <w:pPr>
              <w:widowControl w:val="0"/>
              <w:spacing w:before="40" w:after="40"/>
              <w:rPr>
                <w:rFonts w:ascii="Arial Narrow" w:hAnsi="Arial Narrow"/>
                <w:b/>
                <w:sz w:val="20"/>
              </w:rPr>
            </w:pPr>
            <w:r w:rsidRPr="00183E4D">
              <w:rPr>
                <w:rFonts w:ascii="Arial Narrow" w:hAnsi="Arial Narrow"/>
                <w:b/>
                <w:sz w:val="20"/>
              </w:rPr>
              <w:t>Total cost</w:t>
            </w:r>
            <w:r w:rsidRPr="2697FDDB">
              <w:rPr>
                <w:rFonts w:ascii="Arial Narrow" w:hAnsi="Arial Narrow"/>
                <w:b/>
                <w:bCs/>
                <w:sz w:val="20"/>
              </w:rPr>
              <w:t xml:space="preserve"> (85% rebate)</w:t>
            </w:r>
          </w:p>
        </w:tc>
        <w:tc>
          <w:tcPr>
            <w:tcW w:w="629" w:type="pct"/>
          </w:tcPr>
          <w:p w14:paraId="66179C24" w14:textId="77777777" w:rsidR="00A367BA" w:rsidRPr="00654AB1" w:rsidRDefault="00A367BA" w:rsidP="003028CF">
            <w:pPr>
              <w:widowControl w:val="0"/>
              <w:spacing w:before="40" w:after="40"/>
              <w:jc w:val="center"/>
            </w:pPr>
            <w:r w:rsidRPr="00654AB1">
              <w:rPr>
                <w:rFonts w:ascii="Arial Narrow" w:eastAsia="Arial Narrow" w:hAnsi="Arial Narrow" w:cs="Arial Narrow"/>
                <w:iCs/>
                <w:sz w:val="20"/>
              </w:rPr>
              <w:t>$5,726,862</w:t>
            </w:r>
          </w:p>
        </w:tc>
        <w:tc>
          <w:tcPr>
            <w:tcW w:w="609" w:type="pct"/>
            <w:shd w:val="clear" w:color="auto" w:fill="auto"/>
          </w:tcPr>
          <w:p w14:paraId="21F35CF3" w14:textId="77777777" w:rsidR="00A367BA" w:rsidRPr="00654AB1" w:rsidRDefault="00A367BA" w:rsidP="003028CF">
            <w:pPr>
              <w:widowControl w:val="0"/>
              <w:spacing w:before="40" w:after="40"/>
              <w:jc w:val="center"/>
            </w:pPr>
            <w:r w:rsidRPr="00654AB1">
              <w:rPr>
                <w:rFonts w:ascii="Arial Narrow" w:eastAsia="Arial Narrow" w:hAnsi="Arial Narrow" w:cs="Arial Narrow"/>
                <w:iCs/>
                <w:sz w:val="20"/>
              </w:rPr>
              <w:t>$8,743,833</w:t>
            </w:r>
          </w:p>
        </w:tc>
        <w:tc>
          <w:tcPr>
            <w:tcW w:w="626" w:type="pct"/>
            <w:shd w:val="clear" w:color="auto" w:fill="auto"/>
          </w:tcPr>
          <w:p w14:paraId="3EE9904B" w14:textId="77777777" w:rsidR="00A367BA" w:rsidRPr="00654AB1" w:rsidRDefault="00A367BA" w:rsidP="003028CF">
            <w:pPr>
              <w:widowControl w:val="0"/>
              <w:spacing w:before="40" w:after="40"/>
              <w:jc w:val="center"/>
            </w:pPr>
            <w:r w:rsidRPr="00654AB1">
              <w:rPr>
                <w:rFonts w:ascii="Arial Narrow" w:eastAsia="Arial Narrow" w:hAnsi="Arial Narrow" w:cs="Arial Narrow"/>
                <w:iCs/>
                <w:sz w:val="20"/>
              </w:rPr>
              <w:t>$8,898,691</w:t>
            </w:r>
          </w:p>
        </w:tc>
        <w:tc>
          <w:tcPr>
            <w:tcW w:w="626" w:type="pct"/>
            <w:shd w:val="clear" w:color="auto" w:fill="auto"/>
          </w:tcPr>
          <w:p w14:paraId="48C7815D" w14:textId="77777777" w:rsidR="00A367BA" w:rsidRPr="00654AB1" w:rsidRDefault="00A367BA" w:rsidP="003028CF">
            <w:pPr>
              <w:widowControl w:val="0"/>
              <w:spacing w:before="40" w:after="40"/>
              <w:jc w:val="center"/>
            </w:pPr>
            <w:r w:rsidRPr="00654AB1">
              <w:rPr>
                <w:rFonts w:ascii="Arial Narrow" w:eastAsia="Arial Narrow" w:hAnsi="Arial Narrow" w:cs="Arial Narrow"/>
                <w:iCs/>
                <w:sz w:val="20"/>
              </w:rPr>
              <w:t>$9,054,742</w:t>
            </w:r>
          </w:p>
        </w:tc>
        <w:tc>
          <w:tcPr>
            <w:tcW w:w="626" w:type="pct"/>
            <w:shd w:val="clear" w:color="auto" w:fill="auto"/>
          </w:tcPr>
          <w:p w14:paraId="1E7F984E" w14:textId="77777777" w:rsidR="00A367BA" w:rsidRPr="00654AB1" w:rsidRDefault="00A367BA" w:rsidP="003028CF">
            <w:pPr>
              <w:widowControl w:val="0"/>
              <w:spacing w:before="40" w:after="40"/>
              <w:jc w:val="center"/>
            </w:pPr>
            <w:r w:rsidRPr="00654AB1">
              <w:rPr>
                <w:rFonts w:ascii="Arial Narrow" w:eastAsia="Arial Narrow" w:hAnsi="Arial Narrow" w:cs="Arial Narrow"/>
                <w:iCs/>
                <w:sz w:val="20"/>
              </w:rPr>
              <w:t>$9,211,531</w:t>
            </w:r>
          </w:p>
        </w:tc>
      </w:tr>
      <w:tr w:rsidR="00654AB1" w:rsidRPr="00183E4D" w14:paraId="03644E7D" w14:textId="77777777" w:rsidTr="00520F7E">
        <w:trPr>
          <w:trHeight w:val="315"/>
        </w:trPr>
        <w:tc>
          <w:tcPr>
            <w:tcW w:w="1884" w:type="pct"/>
            <w:shd w:val="clear" w:color="auto" w:fill="auto"/>
          </w:tcPr>
          <w:p w14:paraId="7E419CFD" w14:textId="74F7B80B" w:rsidR="00654AB1" w:rsidRPr="00183E4D" w:rsidRDefault="00654AB1" w:rsidP="00654AB1">
            <w:pPr>
              <w:widowControl w:val="0"/>
              <w:spacing w:before="40" w:after="40"/>
              <w:rPr>
                <w:rFonts w:ascii="Arial Narrow" w:hAnsi="Arial Narrow"/>
                <w:b/>
                <w:sz w:val="20"/>
              </w:rPr>
            </w:pPr>
            <w:r>
              <w:rPr>
                <w:rFonts w:ascii="Arial Narrow" w:hAnsi="Arial Narrow" w:cs="Calibri"/>
                <w:b/>
                <w:bCs/>
                <w:color w:val="000000"/>
                <w:sz w:val="20"/>
              </w:rPr>
              <w:t>C</w:t>
            </w:r>
            <w:r w:rsidRPr="001655E6">
              <w:rPr>
                <w:rFonts w:ascii="Arial Narrow" w:hAnsi="Arial Narrow" w:cs="Calibri"/>
                <w:b/>
                <w:bCs/>
                <w:color w:val="000000"/>
                <w:sz w:val="20"/>
              </w:rPr>
              <w:t xml:space="preserve">osts for PRT </w:t>
            </w:r>
            <w:r w:rsidRPr="001655E6">
              <w:rPr>
                <w:rFonts w:ascii="Arial Narrow" w:hAnsi="Arial Narrow" w:cs="Calibri"/>
                <w:b/>
                <w:bCs/>
                <w:i/>
                <w:iCs/>
                <w:color w:val="000000"/>
                <w:sz w:val="20"/>
              </w:rPr>
              <w:t>vs</w:t>
            </w:r>
            <w:r w:rsidRPr="001655E6">
              <w:rPr>
                <w:rFonts w:ascii="Arial Narrow" w:hAnsi="Arial Narrow" w:cs="Calibri"/>
                <w:b/>
                <w:bCs/>
                <w:color w:val="000000"/>
                <w:sz w:val="20"/>
              </w:rPr>
              <w:t xml:space="preserve"> PBT comparison plan (85% rebate) </w:t>
            </w:r>
            <w:r w:rsidRPr="001655E6">
              <w:rPr>
                <w:rFonts w:ascii="Arial Narrow" w:hAnsi="Arial Narrow" w:cs="Calibri"/>
                <w:b/>
                <w:bCs/>
                <w:i/>
                <w:iCs/>
                <w:color w:val="000000"/>
                <w:sz w:val="20"/>
                <w:vertAlign w:val="superscript"/>
              </w:rPr>
              <w:t>#</w:t>
            </w:r>
          </w:p>
        </w:tc>
        <w:tc>
          <w:tcPr>
            <w:tcW w:w="629" w:type="pct"/>
          </w:tcPr>
          <w:p w14:paraId="36308508" w14:textId="1D1F75AE" w:rsidR="00654AB1" w:rsidRPr="00520F7E" w:rsidRDefault="00520F7E" w:rsidP="003028CF">
            <w:pPr>
              <w:widowControl w:val="0"/>
              <w:spacing w:before="40" w:after="40"/>
              <w:jc w:val="center"/>
              <w:rPr>
                <w:rFonts w:ascii="Arial Narrow" w:eastAsia="Arial Narrow" w:hAnsi="Arial Narrow" w:cs="Arial Narrow"/>
                <w:i/>
                <w:sz w:val="20"/>
              </w:rPr>
            </w:pPr>
            <w:r w:rsidRPr="00520F7E">
              <w:rPr>
                <w:rFonts w:ascii="Arial Narrow" w:eastAsia="Arial Narrow" w:hAnsi="Arial Narrow" w:cs="Arial Narrow"/>
                <w:i/>
                <w:sz w:val="20"/>
              </w:rPr>
              <w:t>$769,842</w:t>
            </w:r>
          </w:p>
        </w:tc>
        <w:tc>
          <w:tcPr>
            <w:tcW w:w="609" w:type="pct"/>
            <w:shd w:val="clear" w:color="auto" w:fill="auto"/>
          </w:tcPr>
          <w:p w14:paraId="7E6C45C4" w14:textId="43B583D7" w:rsidR="00654AB1" w:rsidRPr="00520F7E" w:rsidRDefault="00654AB1" w:rsidP="003028CF">
            <w:pPr>
              <w:widowControl w:val="0"/>
              <w:spacing w:before="40" w:after="40"/>
              <w:jc w:val="center"/>
              <w:rPr>
                <w:rFonts w:ascii="Arial Narrow" w:eastAsia="Arial Narrow" w:hAnsi="Arial Narrow" w:cs="Arial Narrow"/>
                <w:i/>
                <w:sz w:val="20"/>
              </w:rPr>
            </w:pPr>
            <w:r w:rsidRPr="00520F7E">
              <w:rPr>
                <w:rFonts w:ascii="Arial Narrow" w:eastAsia="Arial Narrow" w:hAnsi="Arial Narrow" w:cs="Arial Narrow"/>
                <w:i/>
                <w:sz w:val="20"/>
              </w:rPr>
              <w:t>$1,1</w:t>
            </w:r>
            <w:r w:rsidR="00520F7E" w:rsidRPr="00520F7E">
              <w:rPr>
                <w:rFonts w:ascii="Arial Narrow" w:eastAsia="Arial Narrow" w:hAnsi="Arial Narrow" w:cs="Arial Narrow"/>
                <w:i/>
                <w:sz w:val="20"/>
              </w:rPr>
              <w:t>76,425</w:t>
            </w:r>
          </w:p>
        </w:tc>
        <w:tc>
          <w:tcPr>
            <w:tcW w:w="626" w:type="pct"/>
            <w:shd w:val="clear" w:color="auto" w:fill="auto"/>
          </w:tcPr>
          <w:p w14:paraId="1ABD6372" w14:textId="1F027A6A" w:rsidR="00654AB1" w:rsidRPr="00520F7E" w:rsidRDefault="00520F7E" w:rsidP="003028CF">
            <w:pPr>
              <w:widowControl w:val="0"/>
              <w:spacing w:before="40" w:after="40"/>
              <w:jc w:val="center"/>
              <w:rPr>
                <w:rFonts w:ascii="Arial Narrow" w:eastAsia="Arial Narrow" w:hAnsi="Arial Narrow" w:cs="Arial Narrow"/>
                <w:i/>
                <w:sz w:val="20"/>
              </w:rPr>
            </w:pPr>
            <w:r w:rsidRPr="00520F7E">
              <w:rPr>
                <w:rFonts w:ascii="Arial Narrow" w:eastAsia="Arial Narrow" w:hAnsi="Arial Narrow" w:cs="Arial Narrow"/>
                <w:i/>
                <w:sz w:val="20"/>
              </w:rPr>
              <w:t>$1,199,754</w:t>
            </w:r>
          </w:p>
        </w:tc>
        <w:tc>
          <w:tcPr>
            <w:tcW w:w="626" w:type="pct"/>
            <w:shd w:val="clear" w:color="auto" w:fill="auto"/>
          </w:tcPr>
          <w:p w14:paraId="6E9CCDF9" w14:textId="4CA78DD2" w:rsidR="00654AB1" w:rsidRPr="00520F7E" w:rsidRDefault="00520F7E" w:rsidP="003028CF">
            <w:pPr>
              <w:widowControl w:val="0"/>
              <w:spacing w:before="40" w:after="40"/>
              <w:jc w:val="center"/>
              <w:rPr>
                <w:rFonts w:ascii="Arial Narrow" w:eastAsia="Arial Narrow" w:hAnsi="Arial Narrow" w:cs="Arial Narrow"/>
                <w:i/>
                <w:sz w:val="20"/>
              </w:rPr>
            </w:pPr>
            <w:r w:rsidRPr="00520F7E">
              <w:rPr>
                <w:rFonts w:ascii="Arial Narrow" w:eastAsia="Arial Narrow" w:hAnsi="Arial Narrow" w:cs="Arial Narrow"/>
                <w:i/>
                <w:sz w:val="20"/>
              </w:rPr>
              <w:t>$1,219,750</w:t>
            </w:r>
          </w:p>
        </w:tc>
        <w:tc>
          <w:tcPr>
            <w:tcW w:w="626" w:type="pct"/>
            <w:shd w:val="clear" w:color="auto" w:fill="auto"/>
          </w:tcPr>
          <w:p w14:paraId="1096C731" w14:textId="2D4E1214" w:rsidR="00654AB1" w:rsidRPr="00520F7E" w:rsidRDefault="00520F7E" w:rsidP="003028CF">
            <w:pPr>
              <w:widowControl w:val="0"/>
              <w:spacing w:before="40" w:after="40"/>
              <w:jc w:val="center"/>
              <w:rPr>
                <w:rFonts w:ascii="Arial Narrow" w:eastAsia="Arial Narrow" w:hAnsi="Arial Narrow" w:cs="Arial Narrow"/>
                <w:i/>
                <w:sz w:val="20"/>
              </w:rPr>
            </w:pPr>
            <w:r w:rsidRPr="00520F7E">
              <w:rPr>
                <w:rFonts w:ascii="Arial Narrow" w:eastAsia="Arial Narrow" w:hAnsi="Arial Narrow" w:cs="Arial Narrow"/>
                <w:i/>
                <w:sz w:val="20"/>
              </w:rPr>
              <w:t>$1,239,746</w:t>
            </w:r>
          </w:p>
        </w:tc>
      </w:tr>
      <w:tr w:rsidR="00654AB1" w:rsidRPr="00183E4D" w14:paraId="7EAFC970" w14:textId="77777777" w:rsidTr="00520F7E">
        <w:trPr>
          <w:trHeight w:val="315"/>
        </w:trPr>
        <w:tc>
          <w:tcPr>
            <w:tcW w:w="1884" w:type="pct"/>
            <w:shd w:val="clear" w:color="auto" w:fill="auto"/>
            <w:vAlign w:val="center"/>
          </w:tcPr>
          <w:p w14:paraId="777F2BE0" w14:textId="58562272" w:rsidR="00654AB1" w:rsidRPr="00183E4D" w:rsidRDefault="00654AB1" w:rsidP="00654AB1">
            <w:pPr>
              <w:widowControl w:val="0"/>
              <w:spacing w:before="40" w:after="40"/>
              <w:rPr>
                <w:rFonts w:ascii="Arial Narrow" w:hAnsi="Arial Narrow"/>
                <w:b/>
                <w:sz w:val="20"/>
              </w:rPr>
            </w:pPr>
            <w:r w:rsidRPr="001655E6">
              <w:rPr>
                <w:rFonts w:ascii="Arial Narrow" w:hAnsi="Arial Narrow" w:cs="Calibri"/>
                <w:b/>
                <w:bCs/>
                <w:color w:val="000000"/>
                <w:sz w:val="20"/>
              </w:rPr>
              <w:t xml:space="preserve">Total cost </w:t>
            </w:r>
            <w:r>
              <w:rPr>
                <w:rFonts w:ascii="Arial Narrow" w:hAnsi="Arial Narrow" w:cs="Calibri"/>
                <w:b/>
                <w:bCs/>
                <w:color w:val="000000"/>
                <w:sz w:val="20"/>
              </w:rPr>
              <w:t>with</w:t>
            </w:r>
            <w:r w:rsidRPr="001655E6">
              <w:rPr>
                <w:rFonts w:ascii="Arial Narrow" w:hAnsi="Arial Narrow" w:cs="Calibri"/>
                <w:b/>
                <w:bCs/>
                <w:color w:val="000000"/>
                <w:sz w:val="20"/>
              </w:rPr>
              <w:t xml:space="preserve"> costs for PRT </w:t>
            </w:r>
            <w:r w:rsidRPr="001655E6">
              <w:rPr>
                <w:rFonts w:ascii="Arial Narrow" w:hAnsi="Arial Narrow" w:cs="Calibri"/>
                <w:b/>
                <w:bCs/>
                <w:i/>
                <w:iCs/>
                <w:color w:val="000000"/>
                <w:sz w:val="20"/>
              </w:rPr>
              <w:t>vs</w:t>
            </w:r>
            <w:r w:rsidRPr="001655E6">
              <w:rPr>
                <w:rFonts w:ascii="Arial Narrow" w:hAnsi="Arial Narrow" w:cs="Calibri"/>
                <w:b/>
                <w:bCs/>
                <w:color w:val="000000"/>
                <w:sz w:val="20"/>
              </w:rPr>
              <w:t xml:space="preserve"> PBT comparison plan (85% rebate) </w:t>
            </w:r>
            <w:r w:rsidRPr="001655E6">
              <w:rPr>
                <w:rFonts w:ascii="Arial Narrow" w:hAnsi="Arial Narrow" w:cs="Calibri"/>
                <w:b/>
                <w:bCs/>
                <w:i/>
                <w:iCs/>
                <w:color w:val="000000"/>
                <w:sz w:val="20"/>
                <w:vertAlign w:val="superscript"/>
              </w:rPr>
              <w:t>#</w:t>
            </w:r>
          </w:p>
        </w:tc>
        <w:tc>
          <w:tcPr>
            <w:tcW w:w="629" w:type="pct"/>
            <w:vAlign w:val="center"/>
          </w:tcPr>
          <w:p w14:paraId="64C336A5" w14:textId="2EA3A422" w:rsidR="00654AB1" w:rsidRPr="2697FDDB" w:rsidRDefault="00654AB1" w:rsidP="00654AB1">
            <w:pPr>
              <w:widowControl w:val="0"/>
              <w:spacing w:before="40" w:after="40"/>
              <w:jc w:val="center"/>
              <w:rPr>
                <w:rFonts w:ascii="Arial Narrow" w:eastAsia="Arial Narrow" w:hAnsi="Arial Narrow" w:cs="Arial Narrow"/>
                <w:sz w:val="20"/>
              </w:rPr>
            </w:pPr>
            <w:r w:rsidRPr="001655E6">
              <w:rPr>
                <w:rFonts w:ascii="Arial Narrow" w:hAnsi="Arial Narrow" w:cs="Calibri"/>
                <w:i/>
                <w:iCs/>
                <w:sz w:val="20"/>
              </w:rPr>
              <w:t>$6,496,704</w:t>
            </w:r>
          </w:p>
        </w:tc>
        <w:tc>
          <w:tcPr>
            <w:tcW w:w="609" w:type="pct"/>
            <w:shd w:val="clear" w:color="auto" w:fill="auto"/>
            <w:vAlign w:val="center"/>
          </w:tcPr>
          <w:p w14:paraId="301444F7" w14:textId="42566F93" w:rsidR="00654AB1" w:rsidRPr="2697FDDB" w:rsidRDefault="00654AB1" w:rsidP="00654AB1">
            <w:pPr>
              <w:widowControl w:val="0"/>
              <w:spacing w:before="40" w:after="40"/>
              <w:jc w:val="center"/>
              <w:rPr>
                <w:rFonts w:ascii="Arial Narrow" w:eastAsia="Arial Narrow" w:hAnsi="Arial Narrow" w:cs="Arial Narrow"/>
                <w:sz w:val="20"/>
              </w:rPr>
            </w:pPr>
            <w:r w:rsidRPr="001655E6">
              <w:rPr>
                <w:rFonts w:ascii="Arial Narrow" w:hAnsi="Arial Narrow" w:cs="Calibri"/>
                <w:i/>
                <w:iCs/>
                <w:sz w:val="20"/>
              </w:rPr>
              <w:t>$9,920,258</w:t>
            </w:r>
          </w:p>
        </w:tc>
        <w:tc>
          <w:tcPr>
            <w:tcW w:w="626" w:type="pct"/>
            <w:shd w:val="clear" w:color="auto" w:fill="auto"/>
            <w:vAlign w:val="center"/>
          </w:tcPr>
          <w:p w14:paraId="14A67639" w14:textId="28B4D41A" w:rsidR="00654AB1" w:rsidRPr="2697FDDB" w:rsidRDefault="00654AB1" w:rsidP="00654AB1">
            <w:pPr>
              <w:widowControl w:val="0"/>
              <w:spacing w:before="40" w:after="40"/>
              <w:jc w:val="center"/>
              <w:rPr>
                <w:rFonts w:ascii="Arial Narrow" w:eastAsia="Arial Narrow" w:hAnsi="Arial Narrow" w:cs="Arial Narrow"/>
                <w:sz w:val="20"/>
              </w:rPr>
            </w:pPr>
            <w:r w:rsidRPr="001655E6">
              <w:rPr>
                <w:rFonts w:ascii="Arial Narrow" w:hAnsi="Arial Narrow" w:cs="Calibri"/>
                <w:i/>
                <w:iCs/>
                <w:sz w:val="20"/>
              </w:rPr>
              <w:t>$10,098,445</w:t>
            </w:r>
          </w:p>
        </w:tc>
        <w:tc>
          <w:tcPr>
            <w:tcW w:w="626" w:type="pct"/>
            <w:shd w:val="clear" w:color="auto" w:fill="auto"/>
            <w:vAlign w:val="center"/>
          </w:tcPr>
          <w:p w14:paraId="51122EEA" w14:textId="44F23EE2" w:rsidR="00654AB1" w:rsidRPr="2697FDDB" w:rsidRDefault="00654AB1" w:rsidP="00654AB1">
            <w:pPr>
              <w:widowControl w:val="0"/>
              <w:spacing w:before="40" w:after="40"/>
              <w:jc w:val="center"/>
              <w:rPr>
                <w:rFonts w:ascii="Arial Narrow" w:eastAsia="Arial Narrow" w:hAnsi="Arial Narrow" w:cs="Arial Narrow"/>
                <w:sz w:val="20"/>
              </w:rPr>
            </w:pPr>
            <w:r w:rsidRPr="001655E6">
              <w:rPr>
                <w:rFonts w:ascii="Arial Narrow" w:hAnsi="Arial Narrow" w:cs="Calibri"/>
                <w:i/>
                <w:iCs/>
                <w:sz w:val="20"/>
              </w:rPr>
              <w:t>$10,274,492</w:t>
            </w:r>
          </w:p>
        </w:tc>
        <w:tc>
          <w:tcPr>
            <w:tcW w:w="626" w:type="pct"/>
            <w:shd w:val="clear" w:color="auto" w:fill="auto"/>
            <w:vAlign w:val="center"/>
          </w:tcPr>
          <w:p w14:paraId="419EA86A" w14:textId="16170ED0" w:rsidR="00654AB1" w:rsidRPr="2697FDDB" w:rsidRDefault="00654AB1" w:rsidP="00654AB1">
            <w:pPr>
              <w:widowControl w:val="0"/>
              <w:spacing w:before="40" w:after="40"/>
              <w:jc w:val="center"/>
              <w:rPr>
                <w:rFonts w:ascii="Arial Narrow" w:eastAsia="Arial Narrow" w:hAnsi="Arial Narrow" w:cs="Arial Narrow"/>
                <w:sz w:val="20"/>
              </w:rPr>
            </w:pPr>
            <w:r w:rsidRPr="001655E6">
              <w:rPr>
                <w:rFonts w:ascii="Arial Narrow" w:hAnsi="Arial Narrow" w:cs="Calibri"/>
                <w:i/>
                <w:iCs/>
                <w:sz w:val="20"/>
              </w:rPr>
              <w:t>$10,451,277</w:t>
            </w:r>
          </w:p>
        </w:tc>
      </w:tr>
    </w:tbl>
    <w:p w14:paraId="2014A13E" w14:textId="77777777" w:rsidR="00A367BA" w:rsidRPr="00C66F2F" w:rsidRDefault="00A367BA" w:rsidP="00A367BA">
      <w:pPr>
        <w:keepNext/>
        <w:keepLines/>
        <w:widowControl w:val="0"/>
        <w:rPr>
          <w:rFonts w:ascii="Arial Narrow" w:eastAsia="Calibri" w:hAnsi="Arial Narrow" w:cs="Arial"/>
          <w:sz w:val="16"/>
          <w:szCs w:val="16"/>
          <w:lang w:eastAsia="en-US"/>
        </w:rPr>
      </w:pPr>
      <w:r w:rsidRPr="00C66F2F">
        <w:rPr>
          <w:rFonts w:ascii="Arial Narrow" w:eastAsia="Calibri" w:hAnsi="Arial Narrow"/>
          <w:sz w:val="16"/>
          <w:szCs w:val="16"/>
        </w:rPr>
        <w:t xml:space="preserve">Source: </w:t>
      </w:r>
      <w:r>
        <w:rPr>
          <w:rFonts w:ascii="Arial Narrow" w:eastAsia="Calibri" w:hAnsi="Arial Narrow"/>
          <w:sz w:val="16"/>
          <w:szCs w:val="16"/>
        </w:rPr>
        <w:t xml:space="preserve">Table 13, </w:t>
      </w:r>
      <w:proofErr w:type="spellStart"/>
      <w:r>
        <w:rPr>
          <w:rFonts w:ascii="Arial Narrow" w:eastAsia="Calibri" w:hAnsi="Arial Narrow"/>
          <w:sz w:val="16"/>
          <w:szCs w:val="16"/>
        </w:rPr>
        <w:t>pxxxii</w:t>
      </w:r>
      <w:proofErr w:type="spellEnd"/>
      <w:r>
        <w:rPr>
          <w:rFonts w:ascii="Arial Narrow" w:eastAsia="Calibri" w:hAnsi="Arial Narrow"/>
          <w:sz w:val="16"/>
          <w:szCs w:val="16"/>
        </w:rPr>
        <w:t xml:space="preserve"> of the commentary</w:t>
      </w:r>
    </w:p>
    <w:p w14:paraId="527A9BE4" w14:textId="396606BC" w:rsidR="00A367BA" w:rsidRDefault="00A367BA" w:rsidP="00654AB1">
      <w:pPr>
        <w:pStyle w:val="Tablenotes"/>
      </w:pPr>
      <w:r>
        <w:t>Italicised text indicates values revised by the commentary to reflect corrected number of services and updated MBS fees</w:t>
      </w:r>
    </w:p>
    <w:p w14:paraId="1A1D3A6F" w14:textId="6716F4CC" w:rsidR="00654AB1" w:rsidRPr="00654AB1" w:rsidRDefault="00654AB1" w:rsidP="00654AB1">
      <w:pPr>
        <w:spacing w:after="240"/>
        <w:rPr>
          <w:rFonts w:ascii="Arial Narrow" w:hAnsi="Arial Narrow"/>
          <w:i/>
          <w:sz w:val="18"/>
          <w:szCs w:val="18"/>
        </w:rPr>
      </w:pPr>
      <w:r w:rsidRPr="001655E6">
        <w:rPr>
          <w:rFonts w:ascii="Arial Narrow" w:hAnsi="Arial Narrow"/>
          <w:i/>
          <w:sz w:val="18"/>
          <w:szCs w:val="18"/>
        </w:rPr>
        <w:t xml:space="preserve"># </w:t>
      </w:r>
      <w:proofErr w:type="gramStart"/>
      <w:r w:rsidRPr="001655E6">
        <w:rPr>
          <w:rFonts w:ascii="Arial Narrow" w:hAnsi="Arial Narrow"/>
          <w:i/>
          <w:sz w:val="18"/>
          <w:szCs w:val="18"/>
        </w:rPr>
        <w:t>Th</w:t>
      </w:r>
      <w:r>
        <w:rPr>
          <w:rFonts w:ascii="Arial Narrow" w:hAnsi="Arial Narrow"/>
          <w:i/>
          <w:sz w:val="18"/>
          <w:szCs w:val="18"/>
        </w:rPr>
        <w:t>ese</w:t>
      </w:r>
      <w:proofErr w:type="gramEnd"/>
      <w:r w:rsidRPr="001655E6">
        <w:rPr>
          <w:rFonts w:ascii="Arial Narrow" w:hAnsi="Arial Narrow"/>
          <w:i/>
          <w:sz w:val="18"/>
          <w:szCs w:val="18"/>
        </w:rPr>
        <w:t xml:space="preserve"> row</w:t>
      </w:r>
      <w:r>
        <w:rPr>
          <w:rFonts w:ascii="Arial Narrow" w:hAnsi="Arial Narrow"/>
          <w:i/>
          <w:sz w:val="18"/>
          <w:szCs w:val="18"/>
        </w:rPr>
        <w:t>s</w:t>
      </w:r>
      <w:r w:rsidRPr="001655E6">
        <w:rPr>
          <w:rFonts w:ascii="Arial Narrow" w:hAnsi="Arial Narrow"/>
          <w:i/>
          <w:sz w:val="18"/>
          <w:szCs w:val="18"/>
        </w:rPr>
        <w:t xml:space="preserve"> show the implications for the financial analyses of requiring a PRT plan for comparison with a PBT plan by adding $3,332.65 per patient for MBS item 15565.</w:t>
      </w:r>
    </w:p>
    <w:p w14:paraId="44BB67E6" w14:textId="77777777" w:rsidR="00A367BA" w:rsidRDefault="00A367BA" w:rsidP="00A367BA">
      <w:pPr>
        <w:spacing w:after="240"/>
      </w:pPr>
      <w:r>
        <w:lastRenderedPageBreak/>
        <w:t>PBT is expected to be provided on an outpatient basis. Therefore, an 85% rebate was considered relevant to the application. However, the commentary noted that a separate analysis of the financial implications to the safety net was not provided in the ADAR.</w:t>
      </w:r>
    </w:p>
    <w:p w14:paraId="648DB5DF" w14:textId="4FC7CDB5" w:rsidR="00A367BA" w:rsidRDefault="00A367BA" w:rsidP="00A367BA">
      <w:pPr>
        <w:spacing w:after="240"/>
      </w:pPr>
      <w:r>
        <w:t xml:space="preserve">The cost per patient of PBT is expected to be $36,857 (at an 85% rebate, corrected for MBS fee update), compared to $12,116 for a course of IMRT (at an 85% rebate, corrected for MBS fee update). </w:t>
      </w:r>
      <w:r w:rsidRPr="00561C09">
        <w:t>T</w:t>
      </w:r>
      <w:r>
        <w:t xml:space="preserve">he commentary considered this estimate to be </w:t>
      </w:r>
      <w:r w:rsidRPr="00561C09">
        <w:t xml:space="preserve">reasonable, assuming the utilisation of 30 fractions and 3 replanning assessments per patient </w:t>
      </w:r>
      <w:r>
        <w:t>we</w:t>
      </w:r>
      <w:r w:rsidRPr="00561C09">
        <w:t>re valid.</w:t>
      </w:r>
    </w:p>
    <w:p w14:paraId="2B872B9E" w14:textId="55E013C8" w:rsidR="00A367BA" w:rsidRDefault="00A367BA" w:rsidP="00A367BA">
      <w:pPr>
        <w:spacing w:after="240"/>
      </w:pPr>
      <w:r>
        <w:t xml:space="preserve">The ADAR estimated that 231 patients would receive PBT in 2021 and 372 in 2025 (revised estimate). </w:t>
      </w:r>
      <w:r w:rsidRPr="2697FDDB">
        <w:t>Th</w:t>
      </w:r>
      <w:r>
        <w:t>e commentary considered this</w:t>
      </w:r>
      <w:r w:rsidRPr="2697FDDB">
        <w:t xml:space="preserve"> estimate </w:t>
      </w:r>
      <w:r>
        <w:t>to be</w:t>
      </w:r>
      <w:r w:rsidRPr="2697FDDB">
        <w:t xml:space="preserve"> uncertain, as both the number of eligible patients </w:t>
      </w:r>
      <w:r>
        <w:t>wa</w:t>
      </w:r>
      <w:r w:rsidRPr="2697FDDB">
        <w:t xml:space="preserve">s uncertain, and the expected uptake rates </w:t>
      </w:r>
      <w:r>
        <w:t>we</w:t>
      </w:r>
      <w:r w:rsidRPr="2697FDDB">
        <w:t>re not justified in the ADAR.</w:t>
      </w:r>
      <w:r>
        <w:t xml:space="preserve"> The pre-ESC response clarified that el</w:t>
      </w:r>
      <w:r w:rsidRPr="000A0746">
        <w:t xml:space="preserve">igibility was based on the actual incidence of the most common eligible cancers using data from </w:t>
      </w:r>
      <w:r>
        <w:t>the Australian Institute of Health and Welfare (</w:t>
      </w:r>
      <w:r w:rsidRPr="000A0746">
        <w:t>AIHW</w:t>
      </w:r>
      <w:r>
        <w:t>)</w:t>
      </w:r>
      <w:r w:rsidRPr="000A0746">
        <w:t xml:space="preserve"> and the children’s cancer registry. </w:t>
      </w:r>
      <w:r>
        <w:t>The applicant acknowledged that u</w:t>
      </w:r>
      <w:r w:rsidRPr="000A0746">
        <w:t xml:space="preserve">ptake </w:t>
      </w:r>
      <w:r>
        <w:t>wa</w:t>
      </w:r>
      <w:r w:rsidRPr="000A0746">
        <w:t>s less certain, due to a range of factors including referral patterns, willingness and ability to travel and previous treatment history</w:t>
      </w:r>
      <w:r>
        <w:t>, but claimed that</w:t>
      </w:r>
      <w:r w:rsidRPr="000A0746">
        <w:t xml:space="preserve"> capacity constraints at the proposed PBT facility </w:t>
      </w:r>
      <w:r>
        <w:t xml:space="preserve">would </w:t>
      </w:r>
      <w:r w:rsidRPr="000A0746">
        <w:t xml:space="preserve">ensure that the number of procedures will be less than approximately </w:t>
      </w:r>
      <w:r w:rsidR="008C4425" w:rsidRPr="008C4425">
        <w:rPr>
          <w:b/>
        </w:rPr>
        <w:t>redacted</w:t>
      </w:r>
      <w:r w:rsidRPr="000A0746">
        <w:t xml:space="preserve"> patients per year.</w:t>
      </w:r>
    </w:p>
    <w:p w14:paraId="2864663F" w14:textId="3CDD55DC" w:rsidR="00EB218F" w:rsidRPr="00EB37FB" w:rsidRDefault="00A367BA" w:rsidP="00EB37FB">
      <w:pPr>
        <w:spacing w:after="240"/>
        <w:rPr>
          <w:i/>
          <w:szCs w:val="24"/>
        </w:rPr>
      </w:pPr>
      <w:r w:rsidRPr="00A367BA">
        <w:rPr>
          <w:rStyle w:val="Emphasis"/>
          <w:rFonts w:ascii="Times New Roman" w:hAnsi="Times New Roman"/>
          <w:i w:val="0"/>
        </w:rPr>
        <w:t>The commentary noted that there was potential for the net cost/year to the MBS to be greater than estimated in the ADAR, as the ADAR expects cost offsets based on adverse events avoided for PBT compared to the conventional radiotherapy, but there was significant uncertainty around the toxicity rates.</w:t>
      </w:r>
      <w:r w:rsidR="00EB218F">
        <w:br w:type="page"/>
      </w:r>
    </w:p>
    <w:p w14:paraId="354E8F21" w14:textId="1B0248DE" w:rsidR="00A367BA" w:rsidRPr="00EB37FB" w:rsidRDefault="006A0D97" w:rsidP="00EB37FB">
      <w:pPr>
        <w:pStyle w:val="Heading1"/>
      </w:pPr>
      <w:r w:rsidRPr="00F715D1">
        <w:lastRenderedPageBreak/>
        <w:t>Key issues from ESC for MSAC</w:t>
      </w:r>
      <w:bookmarkStart w:id="62" w:name="_GoBack"/>
      <w:bookmarkEnd w:id="62"/>
    </w:p>
    <w:tbl>
      <w:tblPr>
        <w:tblStyle w:val="TableGrid1"/>
        <w:tblW w:w="9010" w:type="dxa"/>
        <w:tblLook w:val="04A0" w:firstRow="1" w:lastRow="0" w:firstColumn="1" w:lastColumn="0" w:noHBand="0" w:noVBand="1"/>
        <w:tblDescription w:val="Key issues from ESC for MSAC consideration"/>
      </w:tblPr>
      <w:tblGrid>
        <w:gridCol w:w="2234"/>
        <w:gridCol w:w="6776"/>
      </w:tblGrid>
      <w:tr w:rsidR="00A367BA" w:rsidRPr="002236BD" w14:paraId="2572C27A" w14:textId="77777777" w:rsidTr="002236BD">
        <w:trPr>
          <w:cnfStyle w:val="100000000000" w:firstRow="1" w:lastRow="0" w:firstColumn="0" w:lastColumn="0" w:oddVBand="0" w:evenVBand="0" w:oddHBand="0" w:evenHBand="0" w:firstRowFirstColumn="0" w:firstRowLastColumn="0" w:lastRowFirstColumn="0" w:lastRowLastColumn="0"/>
          <w:tblHeader/>
        </w:trPr>
        <w:tc>
          <w:tcPr>
            <w:tcW w:w="2234" w:type="dxa"/>
            <w:hideMark/>
          </w:tcPr>
          <w:p w14:paraId="21D5AD99" w14:textId="77777777" w:rsidR="00A367BA" w:rsidRPr="002236BD" w:rsidRDefault="00A367BA" w:rsidP="003028CF">
            <w:pPr>
              <w:textAlignment w:val="baseline"/>
              <w:rPr>
                <w:rFonts w:ascii="Times New Roman" w:hAnsi="Times New Roman"/>
                <w:b/>
                <w:bCs/>
                <w:color w:val="000000"/>
                <w:sz w:val="22"/>
                <w:szCs w:val="22"/>
              </w:rPr>
            </w:pPr>
            <w:r w:rsidRPr="002236BD">
              <w:rPr>
                <w:rFonts w:ascii="Times New Roman" w:hAnsi="Times New Roman"/>
                <w:b/>
                <w:bCs/>
                <w:color w:val="000000"/>
                <w:sz w:val="22"/>
                <w:szCs w:val="22"/>
              </w:rPr>
              <w:t>ESC key issue</w:t>
            </w:r>
          </w:p>
        </w:tc>
        <w:tc>
          <w:tcPr>
            <w:tcW w:w="6776" w:type="dxa"/>
            <w:hideMark/>
          </w:tcPr>
          <w:p w14:paraId="1D717A6F" w14:textId="77777777" w:rsidR="00A367BA" w:rsidRPr="002236BD" w:rsidRDefault="00A367BA" w:rsidP="003028CF">
            <w:pPr>
              <w:textAlignment w:val="baseline"/>
              <w:rPr>
                <w:rFonts w:ascii="Times New Roman" w:hAnsi="Times New Roman"/>
                <w:b/>
                <w:bCs/>
                <w:color w:val="000000"/>
                <w:sz w:val="22"/>
                <w:szCs w:val="22"/>
              </w:rPr>
            </w:pPr>
            <w:r w:rsidRPr="002236BD">
              <w:rPr>
                <w:rFonts w:ascii="Times New Roman" w:hAnsi="Times New Roman"/>
                <w:b/>
                <w:bCs/>
                <w:color w:val="000000"/>
                <w:sz w:val="22"/>
                <w:szCs w:val="22"/>
              </w:rPr>
              <w:t>ESC advice to MSAC</w:t>
            </w:r>
          </w:p>
        </w:tc>
      </w:tr>
      <w:tr w:rsidR="00A367BA" w:rsidRPr="002236BD" w14:paraId="249932CA" w14:textId="77777777" w:rsidTr="002236BD">
        <w:tc>
          <w:tcPr>
            <w:tcW w:w="2234" w:type="dxa"/>
          </w:tcPr>
          <w:p w14:paraId="3E9B871B"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Population defined in item descriptors or explanatory note</w:t>
            </w:r>
          </w:p>
        </w:tc>
        <w:tc>
          <w:tcPr>
            <w:tcW w:w="6776" w:type="dxa"/>
          </w:tcPr>
          <w:p w14:paraId="6F9AE6E8"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Defining the eligible population in the item descriptors rather than the explanatory notes would better support compliance measures associated with MBS funding.</w:t>
            </w:r>
          </w:p>
        </w:tc>
      </w:tr>
      <w:tr w:rsidR="00A367BA" w:rsidRPr="002236BD" w14:paraId="2EB83241" w14:textId="77777777" w:rsidTr="002236BD">
        <w:tc>
          <w:tcPr>
            <w:tcW w:w="2234" w:type="dxa"/>
          </w:tcPr>
          <w:p w14:paraId="243E476D" w14:textId="77777777" w:rsidR="00A367BA" w:rsidRPr="002236BD" w:rsidDel="003D5774"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Proposed population changed from cancer-based definitions to anatomy-based definitions</w:t>
            </w:r>
          </w:p>
        </w:tc>
        <w:tc>
          <w:tcPr>
            <w:tcW w:w="6776" w:type="dxa"/>
          </w:tcPr>
          <w:p w14:paraId="0446E47D"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The proposed population now consists of two broad subpopulations: “adult patients with rare cancers of the head and spine” (Population 1) and “paediatric and adolescent/young adult (AYA) patients with a solid tumour in the head, neck or trunk of the body” (Population 2), rather than disease-specific cancer subtypes. This is inconsistent with MSAC’s previous advice.</w:t>
            </w:r>
          </w:p>
        </w:tc>
      </w:tr>
      <w:tr w:rsidR="00A367BA" w:rsidRPr="002236BD" w14:paraId="1CF35519" w14:textId="77777777" w:rsidTr="002236BD">
        <w:tc>
          <w:tcPr>
            <w:tcW w:w="2234" w:type="dxa"/>
          </w:tcPr>
          <w:p w14:paraId="6B6CACD8" w14:textId="77777777" w:rsidR="00A367BA" w:rsidRPr="002236BD" w:rsidDel="003D5774"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Adolescent/young adult age definition</w:t>
            </w:r>
          </w:p>
        </w:tc>
        <w:tc>
          <w:tcPr>
            <w:tcW w:w="6776" w:type="dxa"/>
          </w:tcPr>
          <w:p w14:paraId="432FD461"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Given the broader anatomical eligibility proposed for Population 2, the upper age limit of AYA should be defined as well as whether this would relate to the age at cancer diagnosis, age at PBT initiation, or age at PBT completion.</w:t>
            </w:r>
          </w:p>
        </w:tc>
      </w:tr>
      <w:tr w:rsidR="00A367BA" w:rsidRPr="002236BD" w14:paraId="5D66AE53" w14:textId="77777777" w:rsidTr="002236BD">
        <w:tc>
          <w:tcPr>
            <w:tcW w:w="2234" w:type="dxa"/>
          </w:tcPr>
          <w:p w14:paraId="3E145AFA"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Proposed intervention</w:t>
            </w:r>
          </w:p>
        </w:tc>
        <w:tc>
          <w:tcPr>
            <w:tcW w:w="6776" w:type="dxa"/>
          </w:tcPr>
          <w:p w14:paraId="2DF2F9D2"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The applicant should provide justification for the proposed number of additional dosimetry plans and the fee for the treatment and verification item, and clarification regarding the ‘patient specific PBT quality assurance’.</w:t>
            </w:r>
          </w:p>
        </w:tc>
      </w:tr>
      <w:tr w:rsidR="00A367BA" w:rsidRPr="002236BD" w14:paraId="5D483421" w14:textId="77777777" w:rsidTr="002236BD">
        <w:tc>
          <w:tcPr>
            <w:tcW w:w="2234" w:type="dxa"/>
            <w:hideMark/>
          </w:tcPr>
          <w:p w14:paraId="473A9978"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Superior safety</w:t>
            </w:r>
          </w:p>
        </w:tc>
        <w:tc>
          <w:tcPr>
            <w:tcW w:w="6776" w:type="dxa"/>
            <w:hideMark/>
          </w:tcPr>
          <w:p w14:paraId="2E1E58FA"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ESC acknowledged the limitations of the overall evidence base, but considered that neither the assessment report nor the commentary provided any new evidence that would substantially challenge MSAC’s previous overarching conclusions of superior safety and non-inferior effectiveness of PBT compared to PRT, although these conclusions might vary by how patients are defined as eligible for the two proposed subpopulations.</w:t>
            </w:r>
          </w:p>
        </w:tc>
      </w:tr>
      <w:tr w:rsidR="00A367BA" w:rsidRPr="002236BD" w14:paraId="68F7D757" w14:textId="77777777" w:rsidTr="002236BD">
        <w:tc>
          <w:tcPr>
            <w:tcW w:w="2234" w:type="dxa"/>
          </w:tcPr>
          <w:p w14:paraId="3604B081" w14:textId="77777777" w:rsidR="00A367BA" w:rsidRPr="002236BD" w:rsidDel="003D5774"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Uncertainty in the size of safety advantage</w:t>
            </w:r>
          </w:p>
        </w:tc>
        <w:tc>
          <w:tcPr>
            <w:tcW w:w="6776" w:type="dxa"/>
          </w:tcPr>
          <w:p w14:paraId="6CF40885"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The size of safety advantage of PBT over PRT in the two subpopulations remains uncertain based on the total evidence available. This has important implications for the economic evaluation for each subpopulation.</w:t>
            </w:r>
          </w:p>
        </w:tc>
      </w:tr>
      <w:tr w:rsidR="00A367BA" w:rsidRPr="002236BD" w14:paraId="4963C8D8" w14:textId="77777777" w:rsidTr="002236BD">
        <w:tc>
          <w:tcPr>
            <w:tcW w:w="2234" w:type="dxa"/>
            <w:hideMark/>
          </w:tcPr>
          <w:p w14:paraId="070D1CB8"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Modelling inputs</w:t>
            </w:r>
          </w:p>
        </w:tc>
        <w:tc>
          <w:tcPr>
            <w:tcW w:w="6776" w:type="dxa"/>
            <w:hideMark/>
          </w:tcPr>
          <w:p w14:paraId="1D1378D7"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The rates (and evidence sources) applied in the model for the two subpopulations are uncertain, in particular for the identified key driver of endocrine dysfunction.</w:t>
            </w:r>
          </w:p>
          <w:p w14:paraId="0F0F9A36"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Utility values used in the model were derived from a systematic review cataloguing EQ-5D scores in chronic disease that was not included in the clinical evidence base.</w:t>
            </w:r>
          </w:p>
          <w:p w14:paraId="649BD5BE"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The model time horizons reasonably varied across the two subpopulations.</w:t>
            </w:r>
          </w:p>
        </w:tc>
      </w:tr>
      <w:tr w:rsidR="00A367BA" w:rsidRPr="002236BD" w14:paraId="60431FB1" w14:textId="77777777" w:rsidTr="002236BD">
        <w:tc>
          <w:tcPr>
            <w:tcW w:w="2234" w:type="dxa"/>
          </w:tcPr>
          <w:p w14:paraId="141CD2C0"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 xml:space="preserve">Prospective Australian data collection </w:t>
            </w:r>
          </w:p>
        </w:tc>
        <w:tc>
          <w:tcPr>
            <w:tcW w:w="6776" w:type="dxa"/>
          </w:tcPr>
          <w:p w14:paraId="30CDBFC8" w14:textId="77777777" w:rsidR="00A367BA" w:rsidRPr="002236BD" w:rsidRDefault="00A367BA" w:rsidP="003028CF">
            <w:pPr>
              <w:textAlignment w:val="baseline"/>
              <w:rPr>
                <w:rFonts w:ascii="Times New Roman" w:hAnsi="Times New Roman"/>
                <w:bCs/>
                <w:color w:val="000000"/>
                <w:sz w:val="22"/>
                <w:szCs w:val="22"/>
              </w:rPr>
            </w:pPr>
            <w:r w:rsidRPr="002236BD">
              <w:rPr>
                <w:rFonts w:ascii="Times New Roman" w:hAnsi="Times New Roman"/>
                <w:bCs/>
                <w:color w:val="000000"/>
                <w:sz w:val="22"/>
                <w:szCs w:val="22"/>
              </w:rPr>
              <w:t>The ESC supported suggestions for the prospective collection of Australian data to</w:t>
            </w:r>
            <w:r w:rsidRPr="002236BD">
              <w:rPr>
                <w:rFonts w:ascii="Times New Roman" w:hAnsi="Times New Roman"/>
              </w:rPr>
              <w:t xml:space="preserve"> </w:t>
            </w:r>
            <w:r w:rsidRPr="002236BD">
              <w:rPr>
                <w:rFonts w:ascii="Times New Roman" w:hAnsi="Times New Roman"/>
                <w:bCs/>
                <w:color w:val="000000"/>
                <w:sz w:val="22"/>
                <w:szCs w:val="22"/>
              </w:rPr>
              <w:t>help inform the comparative cost-effectiveness of PBT, including in the event that 5-year interim MBS funding is supported.</w:t>
            </w:r>
          </w:p>
        </w:tc>
      </w:tr>
    </w:tbl>
    <w:p w14:paraId="0A23A072" w14:textId="77777777" w:rsidR="006A0D97" w:rsidRDefault="00F56D7F" w:rsidP="00A367BA">
      <w:pPr>
        <w:spacing w:before="240" w:after="240"/>
        <w:rPr>
          <w:b/>
        </w:rPr>
      </w:pPr>
      <w:r w:rsidRPr="00F56D7F">
        <w:rPr>
          <w:b/>
        </w:rPr>
        <w:t>ESC discussion</w:t>
      </w:r>
    </w:p>
    <w:p w14:paraId="13CEF269" w14:textId="7B6220A4" w:rsidR="00A367BA" w:rsidRDefault="00A367BA" w:rsidP="00A367BA">
      <w:pPr>
        <w:spacing w:before="240"/>
      </w:pPr>
      <w:r>
        <w:t xml:space="preserve">ESC noted the application was requesting MBS listing of PBT for paediatric and rare cancers. ESC noted that MSAC had previously considered an application for PBT (MSAC Application 1455, submitted by a different applicant). At that time MSAC concluded that PBT “has likely similar effectiveness to PRT overall, but evidence of superior safety over PRT exists only in paediatric tumours, with the most persuasive case being for paediatric </w:t>
      </w:r>
      <w:r>
        <w:lastRenderedPageBreak/>
        <w:t>brain or spinal tumours, and possibly a subset of adult brain or spinal tumours”. MSAC considered that “the economic evaluation did not support a conclusion that PBT would be acceptably cost-effective but would welcome a more completely informed economic evaluation” (see PSD for MSAC Application 1455).</w:t>
      </w:r>
    </w:p>
    <w:p w14:paraId="05365414" w14:textId="2E9F09BA" w:rsidR="00A367BA" w:rsidRDefault="00A367BA" w:rsidP="00A367BA">
      <w:pPr>
        <w:keepNext/>
        <w:spacing w:before="240"/>
      </w:pPr>
      <w:r>
        <w:t>ESC noted that Application 1638 attempted to address the issues previously raised by MSAC by presenting an ADAR that:</w:t>
      </w:r>
    </w:p>
    <w:p w14:paraId="10444402" w14:textId="77777777" w:rsidR="00A367BA" w:rsidRDefault="00A367BA" w:rsidP="00796E59">
      <w:pPr>
        <w:pStyle w:val="ListParagraph"/>
        <w:numPr>
          <w:ilvl w:val="0"/>
          <w:numId w:val="15"/>
        </w:numPr>
        <w:ind w:left="777" w:hanging="357"/>
      </w:pPr>
      <w:r>
        <w:t>proposed new MBS item descriptors and explanatory notes for PBT,</w:t>
      </w:r>
    </w:p>
    <w:p w14:paraId="25F1B1CE" w14:textId="77777777" w:rsidR="00A367BA" w:rsidRDefault="00A367BA" w:rsidP="00796E59">
      <w:pPr>
        <w:pStyle w:val="ListParagraph"/>
        <w:numPr>
          <w:ilvl w:val="0"/>
          <w:numId w:val="15"/>
        </w:numPr>
        <w:spacing w:before="240"/>
      </w:pPr>
      <w:r>
        <w:t>provided an updated assessment of the clinical evidence, and</w:t>
      </w:r>
    </w:p>
    <w:p w14:paraId="443F04B3" w14:textId="23AA6FF8" w:rsidR="00A367BA" w:rsidRDefault="00A367BA" w:rsidP="00796E59">
      <w:pPr>
        <w:pStyle w:val="ListParagraph"/>
        <w:numPr>
          <w:ilvl w:val="0"/>
          <w:numId w:val="15"/>
        </w:numPr>
        <w:spacing w:before="240"/>
      </w:pPr>
      <w:proofErr w:type="gramStart"/>
      <w:r>
        <w:t>presented</w:t>
      </w:r>
      <w:proofErr w:type="gramEnd"/>
      <w:r>
        <w:t xml:space="preserve"> a CUA to estimate the QALY implications of the superior safety profile of PBT over PRT compared with the associated incremental costs.</w:t>
      </w:r>
    </w:p>
    <w:p w14:paraId="40A43133" w14:textId="77777777" w:rsidR="00A367BA" w:rsidRDefault="00A367BA" w:rsidP="00A367BA">
      <w:pPr>
        <w:spacing w:before="240"/>
        <w:rPr>
          <w:lang w:eastAsia="en-US"/>
        </w:rPr>
      </w:pPr>
      <w:r>
        <w:rPr>
          <w:lang w:eastAsia="en-US"/>
        </w:rPr>
        <w:t>ESC noted that the proposed eligible populations were defined in the proposed explanatory notes (rather than the proposed MBS item descriptors), and considered that d</w:t>
      </w:r>
      <w:r w:rsidRPr="00794EB7">
        <w:rPr>
          <w:lang w:eastAsia="en-US"/>
        </w:rPr>
        <w:t>efining the eligible population in the item descriptors would better support compliance measures associated with MBS funding</w:t>
      </w:r>
      <w:r>
        <w:rPr>
          <w:lang w:eastAsia="en-US"/>
        </w:rPr>
        <w:t>.</w:t>
      </w:r>
    </w:p>
    <w:p w14:paraId="76005A20" w14:textId="63549FD4" w:rsidR="00A367BA" w:rsidRDefault="00A367BA" w:rsidP="00A367BA">
      <w:pPr>
        <w:spacing w:before="240"/>
        <w:rPr>
          <w:lang w:eastAsia="en-US"/>
        </w:rPr>
      </w:pPr>
      <w:r>
        <w:rPr>
          <w:lang w:eastAsia="en-US"/>
        </w:rPr>
        <w:t>ESC noted the two proposed subpopulations had changed from cancer-defined populations to anatomy-defined populations. The PICO populations in Application 1455 referred to disease-specific cancer subtypes, whereas the PICO populations in Application 1638 now comprised two broad population groups: tumours of the head and spine in the adult population (Population 1) and solid tumours in the head, neck or trunk of the body in the paediatric and AYA population (Population 2). ESC noted the pre-ESC response claimed that this</w:t>
      </w:r>
      <w:r w:rsidRPr="000A4A78">
        <w:rPr>
          <w:lang w:eastAsia="en-US"/>
        </w:rPr>
        <w:t xml:space="preserve"> approach </w:t>
      </w:r>
      <w:r>
        <w:rPr>
          <w:lang w:eastAsia="en-US"/>
        </w:rPr>
        <w:t>was</w:t>
      </w:r>
      <w:r w:rsidRPr="000A4A78">
        <w:rPr>
          <w:lang w:eastAsia="en-US"/>
        </w:rPr>
        <w:t xml:space="preserve"> </w:t>
      </w:r>
      <w:r>
        <w:rPr>
          <w:lang w:eastAsia="en-US"/>
        </w:rPr>
        <w:t>“</w:t>
      </w:r>
      <w:r w:rsidRPr="000A4A78">
        <w:rPr>
          <w:lang w:eastAsia="en-US"/>
        </w:rPr>
        <w:t>clinically appropriate and</w:t>
      </w:r>
      <w:r>
        <w:rPr>
          <w:lang w:eastAsia="en-US"/>
        </w:rPr>
        <w:t xml:space="preserve"> </w:t>
      </w:r>
      <w:r w:rsidRPr="000A4A78">
        <w:rPr>
          <w:lang w:eastAsia="en-US"/>
        </w:rPr>
        <w:t>more feasible to implement</w:t>
      </w:r>
      <w:r>
        <w:rPr>
          <w:lang w:eastAsia="en-US"/>
        </w:rPr>
        <w:t xml:space="preserve">”. However, ESC considered that this approach was inconsistent with MSAC’s advice in the PSD for Application 1455 </w:t>
      </w:r>
      <w:r w:rsidRPr="008A41CC">
        <w:rPr>
          <w:lang w:eastAsia="en-US"/>
        </w:rPr>
        <w:t>that “it was important to provide justification for which tumours should be treated with protons rather than conventional modalities of radiation therapy using photons.”</w:t>
      </w:r>
      <w:r>
        <w:rPr>
          <w:lang w:eastAsia="en-US"/>
        </w:rPr>
        <w:t xml:space="preserve"> This greater degree of imprecision could result in the use of PBT for example, ocular melanoma, which the applicant has accepted not be included in either subpopulation. ESC noted the pre-ESC response from the applicant that emphasised the practical nature of its proposal, and that the likelihood of inappropriate use of PBT would be low due to a “robust national referral network”, but considered that the issue remained for MSAC consideration.</w:t>
      </w:r>
    </w:p>
    <w:p w14:paraId="068E6D59" w14:textId="77777777" w:rsidR="00A367BA" w:rsidRDefault="00A367BA" w:rsidP="00A367BA">
      <w:pPr>
        <w:spacing w:before="240"/>
        <w:rPr>
          <w:lang w:eastAsia="en-US"/>
        </w:rPr>
      </w:pPr>
      <w:r>
        <w:rPr>
          <w:lang w:eastAsia="en-US"/>
        </w:rPr>
        <w:t xml:space="preserve">Similarly, ESC considered that it was also unclear whether the applicant was proposing that the text “Eligible patients are at risk of clinically significant side effects using other forms of radiation therapy” as an additional eligibility criterion (narrowing the eligible population) or as an alternative eligibility criterion (widening the eligible population). Further, ESC queried the upper age limit of </w:t>
      </w:r>
      <w:r>
        <w:t>adolescents and young adults</w:t>
      </w:r>
      <w:r>
        <w:rPr>
          <w:lang w:eastAsia="en-US"/>
        </w:rPr>
        <w:t xml:space="preserve">, given that </w:t>
      </w:r>
      <w:r w:rsidRPr="007B7002">
        <w:rPr>
          <w:lang w:eastAsia="en-US"/>
        </w:rPr>
        <w:t xml:space="preserve">there are different definitions </w:t>
      </w:r>
      <w:r>
        <w:rPr>
          <w:lang w:eastAsia="en-US"/>
        </w:rPr>
        <w:t xml:space="preserve">of this age limit </w:t>
      </w:r>
      <w:r w:rsidRPr="007B7002">
        <w:rPr>
          <w:lang w:eastAsia="en-US"/>
        </w:rPr>
        <w:t xml:space="preserve">in the literature. </w:t>
      </w:r>
      <w:r>
        <w:rPr>
          <w:lang w:eastAsia="en-US"/>
        </w:rPr>
        <w:t xml:space="preserve">ESC also questioned whether this age limit would </w:t>
      </w:r>
      <w:r w:rsidRPr="008A41CC">
        <w:rPr>
          <w:lang w:eastAsia="en-US"/>
        </w:rPr>
        <w:t>relate to the age at cancer diagnosis, age at PBT initiation, or age at PBT completion</w:t>
      </w:r>
      <w:r>
        <w:rPr>
          <w:lang w:eastAsia="en-US"/>
        </w:rPr>
        <w:t>.</w:t>
      </w:r>
    </w:p>
    <w:p w14:paraId="21059C37" w14:textId="77777777" w:rsidR="00A367BA" w:rsidRDefault="00A367BA" w:rsidP="00A367BA">
      <w:pPr>
        <w:spacing w:before="240"/>
        <w:rPr>
          <w:lang w:eastAsia="en-US"/>
        </w:rPr>
      </w:pPr>
      <w:r>
        <w:rPr>
          <w:lang w:eastAsia="en-US"/>
        </w:rPr>
        <w:t xml:space="preserve">ESC considered that the proposed number of additional dosimetry plans at 50% of the fee in the proposed simulation and planning MBS item required justification and that the applicant should provide clarification regarding the ‘patient specific PBT quality assurance’ in the proposed </w:t>
      </w:r>
      <w:r w:rsidRPr="00290BE4">
        <w:rPr>
          <w:lang w:eastAsia="en-US"/>
        </w:rPr>
        <w:t xml:space="preserve">treatment and verification </w:t>
      </w:r>
      <w:r>
        <w:rPr>
          <w:lang w:eastAsia="en-US"/>
        </w:rPr>
        <w:t xml:space="preserve">MBS item. ESC also considered that the fee for this </w:t>
      </w:r>
      <w:r w:rsidRPr="00290BE4">
        <w:rPr>
          <w:lang w:eastAsia="en-US"/>
        </w:rPr>
        <w:t>treatment and verification</w:t>
      </w:r>
      <w:r>
        <w:rPr>
          <w:lang w:eastAsia="en-US"/>
        </w:rPr>
        <w:t xml:space="preserve"> item needed further justification, particularly in relation to the inclusion of consumables.</w:t>
      </w:r>
    </w:p>
    <w:p w14:paraId="6F46BC40" w14:textId="77777777" w:rsidR="00A367BA" w:rsidRDefault="00A367BA" w:rsidP="00A367BA">
      <w:pPr>
        <w:spacing w:before="240"/>
      </w:pPr>
      <w:r>
        <w:t xml:space="preserve">ESC reviewed the updated clinical evidence assessment comparing PBT with PRT. Based on the commentary’s advice, this consisted of 28 non-randomised, retrospective comparative studies, although ESC noted the commentary’s view that eight of these studies were inappropriately included and that four additional studies should have been included for a total </w:t>
      </w:r>
      <w:r>
        <w:lastRenderedPageBreak/>
        <w:t xml:space="preserve">of 24 new comparative studies. ESC noted that the clinical claim in the ADAR of superior safety and non-inferior effectiveness (for both populations) aligned with MSAC’s previous assessment for PBT (PSD for Application 1455). ESC noted that the commentary’s assessment of the evidence and conclusion of uncertain safety differed from the applicant’s clinical claim and MSAC’s previous assessment of PBT (Application 1455). ESC acknowledged the limitations of the evidence base raised by the commentary, including their inclusion of small heterogeneous populations of inadequate power, their assessment of different cancer types, different outcome measures, different durations of follow-up and different co-administered treatments, and their retrospective study designs with moderate to high risk of bias. However, in the context of the overall clinical evidence available, ESC considered that there was no new evidence that would substantially challenge MSAC’s previous overarching conclusions of superior safety and non-inferior effectiveness of PBT compared to PRT. Rather, ESC considered the key issues were in assessing </w:t>
      </w:r>
      <w:r w:rsidRPr="00A82D72">
        <w:t>these conclusions might vary by how patients are defined as eligible for the two proposed subpopulations</w:t>
      </w:r>
      <w:r>
        <w:t>, and then estimating the size of the safety advantage in the two subpopulations based on the total evidence available. ESC considered that this has important implications for the economic evaluation for each subpopulation.</w:t>
      </w:r>
    </w:p>
    <w:p w14:paraId="07B0CE07" w14:textId="1B665E5B" w:rsidR="00A367BA" w:rsidRDefault="00A367BA" w:rsidP="00A367BA">
      <w:pPr>
        <w:spacing w:before="240"/>
      </w:pPr>
      <w:r>
        <w:rPr>
          <w:lang w:eastAsia="en-US"/>
        </w:rPr>
        <w:t xml:space="preserve">ESC noted that the applicant submitted a cost-utility analysis comparing PBT and PRT that focused on translating the toxicity profiles into estimates of incremental QALYs gained and associated cost offsets due to reduced use of health care resources to manage these toxicities. </w:t>
      </w:r>
      <w:r>
        <w:t>ESC noted that the ICER for the paediatric/AYA population (Population 2) was dominant (i.e. more QALYs gained for less cost), whereas the ICER for the adult population (Population 1) was estimated to be $147,539/QALY. A ratio of 34.2% adult patients and 65.8% paediatric/AYA patients was used to determine a weighted ICER for the combined adult and paediatric/AYA population. Using this ratio, the weighted ICER for the combined population was also dominant.</w:t>
      </w:r>
    </w:p>
    <w:p w14:paraId="24DC8FE0" w14:textId="77777777" w:rsidR="00A367BA" w:rsidRDefault="00A367BA" w:rsidP="00A367BA">
      <w:pPr>
        <w:spacing w:before="240"/>
      </w:pPr>
      <w:r>
        <w:t xml:space="preserve">ESC noted that the key drivers of the models were: cost and rate of endocrine dysfunction (for the paediatric/AYA subpopulation); cost and rate of visual impairment; cost and rate of </w:t>
      </w:r>
      <w:proofErr w:type="spellStart"/>
      <w:r>
        <w:t>mucositis</w:t>
      </w:r>
      <w:proofErr w:type="spellEnd"/>
      <w:r>
        <w:t xml:space="preserve"> (for the adult population); and the time horizon of each model. ESC considered that the modelling decision to have different time horizons (15 years for the adult subpopulation and 75 years for the paediatric/AYA subpopulation) was reasonable. ESC noted that the pre-ESC response explained that the adult time horizon was based on life expectancy for patients with meningioma and adenoid cystic carcinoma and that the other time horizon was based on current Australian life expectancy and assuming these patients were treated at 10 years of age on average.</w:t>
      </w:r>
    </w:p>
    <w:p w14:paraId="3C885A18" w14:textId="77777777" w:rsidR="00A367BA" w:rsidRDefault="00A367BA" w:rsidP="00A367BA">
      <w:pPr>
        <w:spacing w:before="240"/>
      </w:pPr>
      <w:r>
        <w:t xml:space="preserve">ESC considered that there was uncertainty regarding the appropriateness of the rates applied in the two models and that the base case consistently appeared to favour PBT, in particular for endocrine dysfunction, and to a lesser extent for visual impairment and </w:t>
      </w:r>
      <w:proofErr w:type="spellStart"/>
      <w:r>
        <w:t>mucositis</w:t>
      </w:r>
      <w:proofErr w:type="spellEnd"/>
      <w:r>
        <w:t>. In particular, ESC was concerned that different sources were used to generate rates and rate ratios, and there was an overall disconnect between the evidence presented for the clinical claims and that used in the economic modelling. Further, the ADAR did not present any sensitivity analyses around the costs or utilities used in the model.</w:t>
      </w:r>
    </w:p>
    <w:p w14:paraId="55F51CC4" w14:textId="77777777" w:rsidR="00A367BA" w:rsidRDefault="00A367BA" w:rsidP="00A367BA">
      <w:pPr>
        <w:spacing w:before="240"/>
      </w:pPr>
      <w:r>
        <w:t xml:space="preserve">ESC noted costs for cognitive impairment or secondary malignancy were not included in the models such that the base case did not favour PBT. Although acknowledging this may have a significant impact, it would be difficult to separate direct and indirect costs if included. In addition, utility values used in the model were derived from a systematic review cataloguing EQ-5D scores in chronic disease that was not included in the clinical evidence base. ESC </w:t>
      </w:r>
      <w:r>
        <w:lastRenderedPageBreak/>
        <w:t>agreed with the commentary that further multivariate analyses were required to assess the robustness of the economic estimates.</w:t>
      </w:r>
    </w:p>
    <w:p w14:paraId="375D6112" w14:textId="132F092D" w:rsidR="00A367BA" w:rsidRDefault="00A367BA" w:rsidP="00A367BA">
      <w:pPr>
        <w:spacing w:before="240"/>
      </w:pPr>
      <w:r>
        <w:t xml:space="preserve">ESC noted an epidemiological approach was used to estimate the financial implications for MBS listing of PBT for the proposed MBS population. ESC noted significant uncertainty in the estimates due to uncertainty in the toxicity assumptions and utilisation uptake rates. Although utilisation was estimated to increase to 372 patients by year 5, ESC noted that the PBT facility could accommodate the treatment of up to </w:t>
      </w:r>
      <w:r w:rsidR="008C4425" w:rsidRPr="008C4425">
        <w:rPr>
          <w:b/>
        </w:rPr>
        <w:t>redacted</w:t>
      </w:r>
      <w:r w:rsidR="008C4425">
        <w:t xml:space="preserve"> </w:t>
      </w:r>
      <w:r>
        <w:t>patients per year.</w:t>
      </w:r>
    </w:p>
    <w:p w14:paraId="1461CF86" w14:textId="77777777" w:rsidR="00A367BA" w:rsidRDefault="00A367BA" w:rsidP="00A367BA">
      <w:pPr>
        <w:spacing w:before="240"/>
      </w:pPr>
      <w:r>
        <w:t>ESC noted the Department’s proposal for interim MBS items (active for 5 years) to collect Australian data to help inform the cost-effectiveness of PBT. ESC supported the collection of further Australian data to inform a later MSAC reconsideration of PBT, particularly in relation to the types of toxicity which both drive the economic evaluations and would manifest in the time horizon considered reasonable for this data collection. ESC advised that for each type of toxicity, data collection should also include a more robust basis to derive their consequences in terms of utility losses and costs associated with their management, and could consider including other outcomes listed in the PICO. ESC suggested that collecting, analysing and reporting such MSAC-defined data would best be achieved through an existing registry if possible.</w:t>
      </w:r>
    </w:p>
    <w:p w14:paraId="0763154F" w14:textId="77777777" w:rsidR="00A367BA" w:rsidRPr="00F31611" w:rsidRDefault="00A367BA" w:rsidP="00A367BA">
      <w:pPr>
        <w:spacing w:before="240"/>
        <w:rPr>
          <w:lang w:eastAsia="en-US"/>
        </w:rPr>
      </w:pPr>
      <w:r>
        <w:rPr>
          <w:lang w:eastAsia="en-US"/>
        </w:rPr>
        <w:t xml:space="preserve">ESC noted the supportive consumer input, which highlighted that MBS funding would make this procedure more accessible to more Australians and that </w:t>
      </w:r>
      <w:r w:rsidRPr="00F645D6">
        <w:rPr>
          <w:lang w:eastAsia="en-US"/>
        </w:rPr>
        <w:t xml:space="preserve">PBT delivers </w:t>
      </w:r>
      <w:r>
        <w:rPr>
          <w:lang w:eastAsia="en-US"/>
        </w:rPr>
        <w:t>radiation</w:t>
      </w:r>
      <w:r w:rsidRPr="00F645D6">
        <w:rPr>
          <w:lang w:eastAsia="en-US"/>
        </w:rPr>
        <w:t xml:space="preserve"> more precisely to</w:t>
      </w:r>
      <w:r>
        <w:rPr>
          <w:lang w:eastAsia="en-US"/>
        </w:rPr>
        <w:t xml:space="preserve"> the</w:t>
      </w:r>
      <w:r w:rsidRPr="00F645D6">
        <w:rPr>
          <w:lang w:eastAsia="en-US"/>
        </w:rPr>
        <w:t xml:space="preserve"> affected area, with less damage to </w:t>
      </w:r>
      <w:r>
        <w:rPr>
          <w:lang w:eastAsia="en-US"/>
        </w:rPr>
        <w:t xml:space="preserve">nearby </w:t>
      </w:r>
      <w:r w:rsidRPr="00F645D6">
        <w:rPr>
          <w:lang w:eastAsia="en-US"/>
        </w:rPr>
        <w:t>healthy body parts and less damage in longer term</w:t>
      </w:r>
      <w:r>
        <w:rPr>
          <w:lang w:eastAsia="en-US"/>
        </w:rPr>
        <w:t>. However, some p</w:t>
      </w:r>
      <w:r w:rsidRPr="00F645D6">
        <w:rPr>
          <w:lang w:eastAsia="en-US"/>
        </w:rPr>
        <w:t xml:space="preserve">atient groups criticised the diagnostic groups listed for the application as </w:t>
      </w:r>
      <w:r>
        <w:rPr>
          <w:lang w:eastAsia="en-US"/>
        </w:rPr>
        <w:t xml:space="preserve">being </w:t>
      </w:r>
      <w:r w:rsidRPr="00F645D6">
        <w:rPr>
          <w:lang w:eastAsia="en-US"/>
        </w:rPr>
        <w:t>too narrow</w:t>
      </w:r>
      <w:r>
        <w:rPr>
          <w:lang w:eastAsia="en-US"/>
        </w:rPr>
        <w:t>, and noted that patient and family travel costs might become an issue, especially where inter-state travel is needed</w:t>
      </w:r>
      <w:r w:rsidRPr="00F645D6">
        <w:rPr>
          <w:lang w:eastAsia="en-US"/>
        </w:rPr>
        <w:t>.</w:t>
      </w:r>
    </w:p>
    <w:p w14:paraId="7F353211" w14:textId="77777777" w:rsidR="00D90A38" w:rsidRPr="00F715D1" w:rsidRDefault="00BC1364" w:rsidP="00F715D1">
      <w:pPr>
        <w:pStyle w:val="Heading1"/>
      </w:pPr>
      <w:r w:rsidRPr="00F715D1">
        <w:t>Other significant factors</w:t>
      </w:r>
    </w:p>
    <w:p w14:paraId="36CEA31F" w14:textId="0832CE5C" w:rsidR="00BC1364" w:rsidRPr="00796E59" w:rsidRDefault="00BC1364" w:rsidP="00F715D1">
      <w:pPr>
        <w:spacing w:after="240"/>
        <w:rPr>
          <w:szCs w:val="24"/>
        </w:rPr>
      </w:pPr>
      <w:r w:rsidRPr="00796E59">
        <w:rPr>
          <w:szCs w:val="24"/>
        </w:rPr>
        <w:t>Nil</w:t>
      </w:r>
      <w:r w:rsidR="00796E59">
        <w:rPr>
          <w:szCs w:val="24"/>
        </w:rPr>
        <w:t>.</w:t>
      </w:r>
    </w:p>
    <w:p w14:paraId="3054BA4C"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3D7BCDE0" w14:textId="004FD88D" w:rsidR="00BC1364" w:rsidRPr="005A4362" w:rsidRDefault="009F38E1" w:rsidP="00F715D1">
      <w:pPr>
        <w:spacing w:after="240"/>
        <w:rPr>
          <w:color w:val="00B0F0"/>
          <w:szCs w:val="24"/>
        </w:rPr>
      </w:pPr>
      <w:bookmarkStart w:id="63" w:name="_Hlk62806452"/>
      <w:r>
        <w:t>The South Australian Health and Medical Research Institute (SAHMRI) and the Australian Bragg Centre for Proton Therapy and Research (ABCPTR) are pleased with the outcome of the MSAC 1638 application and wish to thank all those involved in the MSAC framework for the thorough review undertaken. The decision reported in this Public Summary Document is of immense importance to those patients diagnosed with a cancer type outlined in the item descriptors and will ensure these patients, where clinically appropriate, are offered equitable access to proton beam therapy (PBT). We look forward to working with the Australian Government Department of Health in establishing a PBT/PRT cancer registry relevant to the MSAC 1638 population to further strengthen the international evidence base for PBT.</w:t>
      </w:r>
      <w:bookmarkEnd w:id="63"/>
      <w:r w:rsidR="005663A2">
        <w:t xml:space="preserve"> </w:t>
      </w:r>
    </w:p>
    <w:p w14:paraId="5195E32A" w14:textId="77777777" w:rsidR="00BC1364" w:rsidRPr="00F715D1" w:rsidRDefault="00271F18" w:rsidP="00F715D1">
      <w:pPr>
        <w:pStyle w:val="Heading1"/>
      </w:pPr>
      <w:r w:rsidRPr="00F715D1">
        <w:t>Further information on MSAC</w:t>
      </w:r>
    </w:p>
    <w:p w14:paraId="7E38A576"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20"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21"/>
      <w:headerReference w:type="default" r:id="rId22"/>
      <w:footerReference w:type="even" r:id="rId23"/>
      <w:footerReference w:type="default" r:id="rId24"/>
      <w:headerReference w:type="first" r:id="rId25"/>
      <w:footerReference w:type="first" r:id="rId26"/>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5F1659" w16cid:durableId="23BE5FDA"/>
  <w16cid:commentId w16cid:paraId="36E599A6" w16cid:durableId="23B55A8B"/>
  <w16cid:commentId w16cid:paraId="7F8BC162" w16cid:durableId="23B55BDA"/>
  <w16cid:commentId w16cid:paraId="7CE37DF8" w16cid:durableId="23B55D60"/>
  <w16cid:commentId w16cid:paraId="3572E1C3" w16cid:durableId="23BE5F85"/>
  <w16cid:commentId w16cid:paraId="5975CDFC" w16cid:durableId="23B561CA"/>
  <w16cid:commentId w16cid:paraId="15F325EA" w16cid:durableId="23BE55E5"/>
  <w16cid:commentId w16cid:paraId="05502D27" w16cid:durableId="23BD2491"/>
  <w16cid:commentId w16cid:paraId="6C3CA256" w16cid:durableId="23BE56BF"/>
  <w16cid:commentId w16cid:paraId="3590E134" w16cid:durableId="23BD29CB"/>
  <w16cid:commentId w16cid:paraId="2E2E71A7" w16cid:durableId="23BD2A6B"/>
  <w16cid:commentId w16cid:paraId="433C11C8" w16cid:durableId="23BE5880"/>
  <w16cid:commentId w16cid:paraId="5C55E1CC" w16cid:durableId="23BE5896"/>
  <w16cid:commentId w16cid:paraId="2C495F50" w16cid:durableId="23BE58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76288" w14:textId="77777777" w:rsidR="00415A23" w:rsidRDefault="00415A23" w:rsidP="00065623">
      <w:r>
        <w:separator/>
      </w:r>
    </w:p>
  </w:endnote>
  <w:endnote w:type="continuationSeparator" w:id="0">
    <w:p w14:paraId="60D176F5" w14:textId="77777777" w:rsidR="00415A23" w:rsidRDefault="00415A23"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Humanist 77 7 BT">
    <w:altName w:val="Calibri"/>
    <w:panose1 w:val="00000000000000000000"/>
    <w:charset w:val="00"/>
    <w:family w:val="swiss"/>
    <w:notTrueType/>
    <w:pitch w:val="default"/>
    <w:sig w:usb0="00000003" w:usb1="00000000" w:usb2="00000000" w:usb3="00000000" w:csb0="00000001" w:csb1="00000000"/>
  </w:font>
  <w:font w:name="@Yu Gothic UI Semibold">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83AA7" w14:textId="77777777" w:rsidR="00415A23" w:rsidRDefault="00415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0AB79F6B" w14:textId="75504C10" w:rsidR="00415A23" w:rsidRDefault="00415A23">
        <w:pPr>
          <w:pStyle w:val="Footer"/>
          <w:jc w:val="right"/>
        </w:pPr>
        <w:r>
          <w:fldChar w:fldCharType="begin"/>
        </w:r>
        <w:r>
          <w:instrText xml:space="preserve"> PAGE   \* MERGEFORMAT </w:instrText>
        </w:r>
        <w:r>
          <w:fldChar w:fldCharType="separate"/>
        </w:r>
        <w:r w:rsidR="00EB37FB">
          <w:rPr>
            <w:noProof/>
          </w:rPr>
          <w:t>34</w:t>
        </w:r>
        <w:r>
          <w:rPr>
            <w:noProof/>
          </w:rPr>
          <w:fldChar w:fldCharType="end"/>
        </w:r>
      </w:p>
    </w:sdtContent>
  </w:sdt>
  <w:p w14:paraId="416B8EC8" w14:textId="77777777" w:rsidR="00415A23" w:rsidRDefault="00415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B11A" w14:textId="77777777" w:rsidR="00415A23" w:rsidRDefault="00415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37839" w14:textId="77777777" w:rsidR="00415A23" w:rsidRDefault="00415A23" w:rsidP="00065623">
      <w:r>
        <w:separator/>
      </w:r>
    </w:p>
  </w:footnote>
  <w:footnote w:type="continuationSeparator" w:id="0">
    <w:p w14:paraId="070C1242" w14:textId="77777777" w:rsidR="00415A23" w:rsidRDefault="00415A23" w:rsidP="00065623">
      <w:r>
        <w:continuationSeparator/>
      </w:r>
    </w:p>
  </w:footnote>
  <w:footnote w:id="1">
    <w:p w14:paraId="5DF5854A" w14:textId="44D50526" w:rsidR="00415A23" w:rsidRDefault="00415A23">
      <w:pPr>
        <w:pStyle w:val="FootnoteText"/>
      </w:pPr>
      <w:r>
        <w:rPr>
          <w:rStyle w:val="FootnoteReference"/>
        </w:rPr>
        <w:footnoteRef/>
      </w:r>
      <w:r>
        <w:t xml:space="preserve"> Population, Intervention, Comparator, Outcome</w:t>
      </w:r>
    </w:p>
  </w:footnote>
  <w:footnote w:id="2">
    <w:p w14:paraId="6287CA1B" w14:textId="77777777" w:rsidR="00415A23" w:rsidRDefault="00415A23" w:rsidP="00A367BA">
      <w:pPr>
        <w:pStyle w:val="FootnoteText"/>
      </w:pPr>
      <w:r>
        <w:rPr>
          <w:rStyle w:val="FootnoteReference"/>
        </w:rPr>
        <w:footnoteRef/>
      </w:r>
      <w:r>
        <w:t xml:space="preserve"> </w:t>
      </w:r>
      <w:proofErr w:type="spellStart"/>
      <w:r w:rsidRPr="00C2439E">
        <w:t>Appelman-Dijkstra</w:t>
      </w:r>
      <w:proofErr w:type="spellEnd"/>
      <w:r>
        <w:t>,</w:t>
      </w:r>
      <w:r w:rsidRPr="00C2439E">
        <w:t xml:space="preserve"> N</w:t>
      </w:r>
      <w:r>
        <w:t>.M. et al. (2011).</w:t>
      </w:r>
      <w:r w:rsidRPr="00C2439E">
        <w:t xml:space="preserve"> </w:t>
      </w:r>
      <w:r>
        <w:t xml:space="preserve">J </w:t>
      </w:r>
      <w:proofErr w:type="spellStart"/>
      <w:r>
        <w:t>Clin</w:t>
      </w:r>
      <w:proofErr w:type="spellEnd"/>
      <w:r>
        <w:t xml:space="preserve"> </w:t>
      </w:r>
      <w:proofErr w:type="spellStart"/>
      <w:r>
        <w:t>Endocrinol</w:t>
      </w:r>
      <w:proofErr w:type="spellEnd"/>
      <w:r>
        <w:t xml:space="preserve"> </w:t>
      </w:r>
      <w:proofErr w:type="spellStart"/>
      <w:r>
        <w:t>Metab</w:t>
      </w:r>
      <w:proofErr w:type="spellEnd"/>
      <w:r>
        <w:t xml:space="preserve">, </w:t>
      </w:r>
      <w:r w:rsidRPr="00C2439E">
        <w:t>96:2330–2340</w:t>
      </w:r>
    </w:p>
  </w:footnote>
  <w:footnote w:id="3">
    <w:p w14:paraId="0E616360" w14:textId="77777777" w:rsidR="00415A23" w:rsidRDefault="00415A23" w:rsidP="00A367BA">
      <w:pPr>
        <w:pStyle w:val="FootnoteText"/>
      </w:pPr>
      <w:r>
        <w:rPr>
          <w:rStyle w:val="FootnoteReference"/>
        </w:rPr>
        <w:footnoteRef/>
      </w:r>
      <w:r>
        <w:t xml:space="preserve"> Eaton, B.R. et al. (</w:t>
      </w:r>
      <w:r w:rsidRPr="009F5BDB">
        <w:t>2016b</w:t>
      </w:r>
      <w:r>
        <w:t>)</w:t>
      </w:r>
      <w:r w:rsidRPr="009F5BDB">
        <w:t xml:space="preserve">. </w:t>
      </w:r>
      <w:r>
        <w:t>Neuro O</w:t>
      </w:r>
      <w:r w:rsidRPr="009F5BDB">
        <w:t>ncology 18(6), 881–887</w:t>
      </w:r>
    </w:p>
  </w:footnote>
  <w:footnote w:id="4">
    <w:p w14:paraId="492E0D20" w14:textId="77777777" w:rsidR="00415A23" w:rsidRDefault="00415A23" w:rsidP="00A367BA">
      <w:pPr>
        <w:pStyle w:val="FootnoteText"/>
      </w:pPr>
      <w:r>
        <w:rPr>
          <w:rStyle w:val="FootnoteReference"/>
        </w:rPr>
        <w:footnoteRef/>
      </w:r>
      <w:r>
        <w:t xml:space="preserve"> </w:t>
      </w:r>
      <w:proofErr w:type="spellStart"/>
      <w:r>
        <w:t>Alterio</w:t>
      </w:r>
      <w:proofErr w:type="spellEnd"/>
      <w:r>
        <w:t>, D. et al. (</w:t>
      </w:r>
      <w:r w:rsidRPr="00C2439E">
        <w:t>2020</w:t>
      </w:r>
      <w:r>
        <w:t>)</w:t>
      </w:r>
      <w:r w:rsidRPr="00C2439E">
        <w:t xml:space="preserve">. </w:t>
      </w:r>
      <w:r>
        <w:t xml:space="preserve">ACTA </w:t>
      </w:r>
      <w:proofErr w:type="spellStart"/>
      <w:r>
        <w:t>Oncologica</w:t>
      </w:r>
      <w:proofErr w:type="spellEnd"/>
      <w:r>
        <w:t>,</w:t>
      </w:r>
      <w:r w:rsidRPr="00C2439E">
        <w:t xml:space="preserve"> 59</w:t>
      </w:r>
      <w:r>
        <w:t>(5):</w:t>
      </w:r>
      <w:r w:rsidRPr="00C2439E">
        <w:t xml:space="preserve"> 541–548</w:t>
      </w:r>
    </w:p>
  </w:footnote>
  <w:footnote w:id="5">
    <w:p w14:paraId="06BA67C2" w14:textId="77777777" w:rsidR="00415A23" w:rsidRDefault="00415A23" w:rsidP="00A367BA">
      <w:pPr>
        <w:pStyle w:val="FootnoteText"/>
      </w:pPr>
      <w:r>
        <w:rPr>
          <w:rStyle w:val="FootnoteReference"/>
        </w:rPr>
        <w:footnoteRef/>
      </w:r>
      <w:r>
        <w:t xml:space="preserve"> </w:t>
      </w:r>
      <w:proofErr w:type="spellStart"/>
      <w:r>
        <w:t>Lundkvist</w:t>
      </w:r>
      <w:proofErr w:type="spellEnd"/>
      <w:r>
        <w:t>, J.</w:t>
      </w:r>
      <w:r w:rsidRPr="00455BB3">
        <w:t xml:space="preserve"> </w:t>
      </w:r>
      <w:r>
        <w:t>et al. (2005).</w:t>
      </w:r>
      <w:r w:rsidRPr="00455BB3">
        <w:t xml:space="preserve"> </w:t>
      </w:r>
      <w:r>
        <w:t>American Cancer Society,</w:t>
      </w:r>
      <w:r w:rsidRPr="00455BB3">
        <w:t xml:space="preserve"> 103(4):793-801</w:t>
      </w:r>
    </w:p>
  </w:footnote>
  <w:footnote w:id="6">
    <w:p w14:paraId="382B3CDE" w14:textId="77777777" w:rsidR="00415A23" w:rsidRDefault="00415A23" w:rsidP="00A367BA">
      <w:pPr>
        <w:pStyle w:val="FootnoteText"/>
      </w:pPr>
      <w:r>
        <w:rPr>
          <w:rStyle w:val="FootnoteReference"/>
        </w:rPr>
        <w:footnoteRef/>
      </w:r>
      <w:r>
        <w:t xml:space="preserve"> </w:t>
      </w:r>
      <w:proofErr w:type="spellStart"/>
      <w:r w:rsidRPr="009F5BDB">
        <w:t>Mailhot</w:t>
      </w:r>
      <w:proofErr w:type="spellEnd"/>
      <w:r w:rsidRPr="009F5BDB">
        <w:t>-Vega</w:t>
      </w:r>
      <w:r>
        <w:t>,</w:t>
      </w:r>
      <w:r w:rsidRPr="009F5BDB">
        <w:t xml:space="preserve"> R</w:t>
      </w:r>
      <w:r>
        <w:t>. et al (2015).</w:t>
      </w:r>
      <w:r w:rsidRPr="009F5BDB">
        <w:t xml:space="preserve"> </w:t>
      </w:r>
      <w:r>
        <w:t>Cancer,</w:t>
      </w:r>
      <w:r w:rsidRPr="009F5BDB">
        <w:t xml:space="preserve"> 1694-1702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ECC2C" w14:textId="77777777" w:rsidR="00415A23" w:rsidRDefault="00415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9FB1C" w14:textId="77777777" w:rsidR="00415A23" w:rsidRDefault="00415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9684" w14:textId="77777777" w:rsidR="00415A23" w:rsidRDefault="00415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2BB"/>
    <w:multiLevelType w:val="hybridMultilevel"/>
    <w:tmpl w:val="747C46A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F6843"/>
    <w:multiLevelType w:val="hybridMultilevel"/>
    <w:tmpl w:val="758A93BC"/>
    <w:lvl w:ilvl="0" w:tplc="9F0ABAC2">
      <w:start w:val="1"/>
      <w:numFmt w:val="lowerLetter"/>
      <w:lvlText w:val="(%1)"/>
      <w:lvlJc w:val="left"/>
      <w:pPr>
        <w:ind w:left="360" w:hanging="360"/>
      </w:pPr>
    </w:lvl>
    <w:lvl w:ilvl="1" w:tplc="9F0ABAC2">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871687"/>
    <w:multiLevelType w:val="hybridMultilevel"/>
    <w:tmpl w:val="28F0F1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98A0A00"/>
    <w:multiLevelType w:val="hybridMultilevel"/>
    <w:tmpl w:val="9074217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865A19"/>
    <w:multiLevelType w:val="hybridMultilevel"/>
    <w:tmpl w:val="669CF4CC"/>
    <w:lvl w:ilvl="0" w:tplc="9342F646">
      <w:start w:val="1"/>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6" w15:restartNumberingAfterBreak="0">
    <w:nsid w:val="1E9C08B8"/>
    <w:multiLevelType w:val="hybridMultilevel"/>
    <w:tmpl w:val="5E52DEA4"/>
    <w:lvl w:ilvl="0" w:tplc="F5F8C8FA">
      <w:numFmt w:val="bullet"/>
      <w:lvlText w:val="•"/>
      <w:lvlJc w:val="left"/>
      <w:pPr>
        <w:ind w:left="720" w:hanging="360"/>
      </w:pPr>
      <w:rPr>
        <w:rFonts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82742C"/>
    <w:multiLevelType w:val="hybridMultilevel"/>
    <w:tmpl w:val="C0CE425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8" w15:restartNumberingAfterBreak="0">
    <w:nsid w:val="23E95941"/>
    <w:multiLevelType w:val="hybridMultilevel"/>
    <w:tmpl w:val="CBAE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46518"/>
    <w:multiLevelType w:val="hybridMultilevel"/>
    <w:tmpl w:val="49A016F4"/>
    <w:lvl w:ilvl="0" w:tplc="FC109C5C">
      <w:numFmt w:val="bullet"/>
      <w:lvlText w:val=""/>
      <w:lvlJc w:val="left"/>
      <w:pPr>
        <w:ind w:left="840" w:hanging="360"/>
      </w:pPr>
      <w:rPr>
        <w:rFonts w:ascii="Symbol" w:eastAsia="Symbol" w:hAnsi="Symbol" w:cs="Symbol" w:hint="default"/>
        <w:w w:val="99"/>
        <w:sz w:val="20"/>
        <w:szCs w:val="20"/>
        <w:lang w:val="en-AU" w:eastAsia="en-AU" w:bidi="en-AU"/>
      </w:rPr>
    </w:lvl>
    <w:lvl w:ilvl="1" w:tplc="F5F8C8FA">
      <w:numFmt w:val="bullet"/>
      <w:lvlText w:val="•"/>
      <w:lvlJc w:val="left"/>
      <w:pPr>
        <w:ind w:left="1331" w:hanging="360"/>
      </w:pPr>
      <w:rPr>
        <w:rFonts w:hint="default"/>
        <w:lang w:val="en-AU" w:eastAsia="en-AU" w:bidi="en-AU"/>
      </w:rPr>
    </w:lvl>
    <w:lvl w:ilvl="2" w:tplc="DC9CFAC4">
      <w:numFmt w:val="bullet"/>
      <w:lvlText w:val="•"/>
      <w:lvlJc w:val="left"/>
      <w:pPr>
        <w:ind w:left="1822" w:hanging="360"/>
      </w:pPr>
      <w:rPr>
        <w:rFonts w:hint="default"/>
        <w:lang w:val="en-AU" w:eastAsia="en-AU" w:bidi="en-AU"/>
      </w:rPr>
    </w:lvl>
    <w:lvl w:ilvl="3" w:tplc="F372076A">
      <w:numFmt w:val="bullet"/>
      <w:lvlText w:val="•"/>
      <w:lvlJc w:val="left"/>
      <w:pPr>
        <w:ind w:left="2313" w:hanging="360"/>
      </w:pPr>
      <w:rPr>
        <w:rFonts w:hint="default"/>
        <w:lang w:val="en-AU" w:eastAsia="en-AU" w:bidi="en-AU"/>
      </w:rPr>
    </w:lvl>
    <w:lvl w:ilvl="4" w:tplc="D00E55BC">
      <w:numFmt w:val="bullet"/>
      <w:lvlText w:val="•"/>
      <w:lvlJc w:val="left"/>
      <w:pPr>
        <w:ind w:left="2804" w:hanging="360"/>
      </w:pPr>
      <w:rPr>
        <w:rFonts w:hint="default"/>
        <w:lang w:val="en-AU" w:eastAsia="en-AU" w:bidi="en-AU"/>
      </w:rPr>
    </w:lvl>
    <w:lvl w:ilvl="5" w:tplc="A3F46274">
      <w:numFmt w:val="bullet"/>
      <w:lvlText w:val="•"/>
      <w:lvlJc w:val="left"/>
      <w:pPr>
        <w:ind w:left="3295" w:hanging="360"/>
      </w:pPr>
      <w:rPr>
        <w:rFonts w:hint="default"/>
        <w:lang w:val="en-AU" w:eastAsia="en-AU" w:bidi="en-AU"/>
      </w:rPr>
    </w:lvl>
    <w:lvl w:ilvl="6" w:tplc="80942A72">
      <w:numFmt w:val="bullet"/>
      <w:lvlText w:val="•"/>
      <w:lvlJc w:val="left"/>
      <w:pPr>
        <w:ind w:left="3786" w:hanging="360"/>
      </w:pPr>
      <w:rPr>
        <w:rFonts w:hint="default"/>
        <w:lang w:val="en-AU" w:eastAsia="en-AU" w:bidi="en-AU"/>
      </w:rPr>
    </w:lvl>
    <w:lvl w:ilvl="7" w:tplc="B194ED12">
      <w:numFmt w:val="bullet"/>
      <w:lvlText w:val="•"/>
      <w:lvlJc w:val="left"/>
      <w:pPr>
        <w:ind w:left="4277" w:hanging="360"/>
      </w:pPr>
      <w:rPr>
        <w:rFonts w:hint="default"/>
        <w:lang w:val="en-AU" w:eastAsia="en-AU" w:bidi="en-AU"/>
      </w:rPr>
    </w:lvl>
    <w:lvl w:ilvl="8" w:tplc="8CCE5788">
      <w:numFmt w:val="bullet"/>
      <w:lvlText w:val="•"/>
      <w:lvlJc w:val="left"/>
      <w:pPr>
        <w:ind w:left="4768" w:hanging="360"/>
      </w:pPr>
      <w:rPr>
        <w:rFonts w:hint="default"/>
        <w:lang w:val="en-AU" w:eastAsia="en-AU" w:bidi="en-AU"/>
      </w:rPr>
    </w:lvl>
  </w:abstractNum>
  <w:abstractNum w:abstractNumId="10" w15:restartNumberingAfterBreak="0">
    <w:nsid w:val="25EA2E87"/>
    <w:multiLevelType w:val="hybridMultilevel"/>
    <w:tmpl w:val="3896373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 w15:restartNumberingAfterBreak="0">
    <w:nsid w:val="268F7D02"/>
    <w:multiLevelType w:val="hybridMultilevel"/>
    <w:tmpl w:val="F56CDF0A"/>
    <w:lvl w:ilvl="0" w:tplc="88A6AE30">
      <w:numFmt w:val="bullet"/>
      <w:lvlText w:val="-"/>
      <w:lvlJc w:val="left"/>
      <w:pPr>
        <w:ind w:left="420" w:hanging="360"/>
      </w:pPr>
      <w:rPr>
        <w:rFonts w:ascii="Segoe UI" w:eastAsia="Calibri" w:hAnsi="Segoe UI" w:cs="Segoe UI" w:hint="default"/>
        <w:color w:val="000000"/>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2B260949"/>
    <w:multiLevelType w:val="hybridMultilevel"/>
    <w:tmpl w:val="CFE8A84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F4487E"/>
    <w:multiLevelType w:val="hybridMultilevel"/>
    <w:tmpl w:val="A8F084CE"/>
    <w:lvl w:ilvl="0" w:tplc="1AB0593A">
      <w:start w:val="46"/>
      <w:numFmt w:val="bullet"/>
      <w:lvlText w:val="-"/>
      <w:lvlJc w:val="left"/>
      <w:pPr>
        <w:ind w:left="720" w:hanging="360"/>
      </w:pPr>
      <w:rPr>
        <w:rFonts w:ascii="Arial Narrow" w:eastAsia="Times New Roman" w:hAnsi="Arial Narrow"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7D61AA"/>
    <w:multiLevelType w:val="hybridMultilevel"/>
    <w:tmpl w:val="5F6C4EB0"/>
    <w:lvl w:ilvl="0" w:tplc="0C090015">
      <w:start w:val="1"/>
      <w:numFmt w:val="upperLetter"/>
      <w:lvlText w:val="%1."/>
      <w:lvlJc w:val="left"/>
      <w:pPr>
        <w:ind w:left="1080" w:hanging="360"/>
      </w:pPr>
    </w:lvl>
    <w:lvl w:ilvl="1" w:tplc="17242666">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29F3973"/>
    <w:multiLevelType w:val="hybridMultilevel"/>
    <w:tmpl w:val="39A61C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6C776B"/>
    <w:multiLevelType w:val="hybridMultilevel"/>
    <w:tmpl w:val="46E05166"/>
    <w:lvl w:ilvl="0" w:tplc="F5F8C8FA">
      <w:numFmt w:val="bullet"/>
      <w:lvlText w:val="•"/>
      <w:lvlJc w:val="left"/>
      <w:pPr>
        <w:ind w:left="720" w:hanging="360"/>
      </w:pPr>
      <w:rPr>
        <w:rFonts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810ECA"/>
    <w:multiLevelType w:val="hybridMultilevel"/>
    <w:tmpl w:val="11228562"/>
    <w:lvl w:ilvl="0" w:tplc="F5F8C8FA">
      <w:numFmt w:val="bullet"/>
      <w:lvlText w:val="•"/>
      <w:lvlJc w:val="left"/>
      <w:pPr>
        <w:ind w:left="720" w:hanging="360"/>
      </w:pPr>
      <w:rPr>
        <w:rFonts w:hint="default"/>
        <w:lang w:val="en-AU" w:eastAsia="en-AU" w:bidi="en-AU"/>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A31608"/>
    <w:multiLevelType w:val="hybridMultilevel"/>
    <w:tmpl w:val="C0AC370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677813"/>
    <w:multiLevelType w:val="hybridMultilevel"/>
    <w:tmpl w:val="7830355C"/>
    <w:lvl w:ilvl="0" w:tplc="F5F8C8FA">
      <w:numFmt w:val="bullet"/>
      <w:lvlText w:val="•"/>
      <w:lvlJc w:val="left"/>
      <w:pPr>
        <w:ind w:left="720" w:hanging="360"/>
      </w:pPr>
      <w:rPr>
        <w:rFonts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F64C3D"/>
    <w:multiLevelType w:val="hybridMultilevel"/>
    <w:tmpl w:val="2F0A17D8"/>
    <w:lvl w:ilvl="0" w:tplc="F37678D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20B6ECC"/>
    <w:multiLevelType w:val="hybridMultilevel"/>
    <w:tmpl w:val="100C219C"/>
    <w:lvl w:ilvl="0" w:tplc="C21A1322">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3" w15:restartNumberingAfterBreak="0">
    <w:nsid w:val="4583721B"/>
    <w:multiLevelType w:val="hybridMultilevel"/>
    <w:tmpl w:val="8F7866B8"/>
    <w:lvl w:ilvl="0" w:tplc="87147A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15052"/>
    <w:multiLevelType w:val="hybridMultilevel"/>
    <w:tmpl w:val="4C002AF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416D0F"/>
    <w:multiLevelType w:val="hybridMultilevel"/>
    <w:tmpl w:val="FFFFFFFF"/>
    <w:lvl w:ilvl="0" w:tplc="6A300F3C">
      <w:start w:val="1"/>
      <w:numFmt w:val="decimal"/>
      <w:pStyle w:val="BulletLast"/>
      <w:lvlText w:val="%1."/>
      <w:lvlJc w:val="left"/>
      <w:pPr>
        <w:ind w:left="720" w:hanging="360"/>
      </w:pPr>
    </w:lvl>
    <w:lvl w:ilvl="1" w:tplc="B846C87A">
      <w:start w:val="1"/>
      <w:numFmt w:val="lowerLetter"/>
      <w:lvlText w:val="%2."/>
      <w:lvlJc w:val="left"/>
      <w:pPr>
        <w:ind w:left="1440" w:hanging="360"/>
      </w:pPr>
    </w:lvl>
    <w:lvl w:ilvl="2" w:tplc="ACEA2A82">
      <w:start w:val="1"/>
      <w:numFmt w:val="lowerRoman"/>
      <w:lvlText w:val="%3."/>
      <w:lvlJc w:val="right"/>
      <w:pPr>
        <w:ind w:left="2160" w:hanging="180"/>
      </w:pPr>
    </w:lvl>
    <w:lvl w:ilvl="3" w:tplc="4BBCF3F2">
      <w:start w:val="1"/>
      <w:numFmt w:val="decimal"/>
      <w:lvlText w:val="%4."/>
      <w:lvlJc w:val="left"/>
      <w:pPr>
        <w:ind w:left="2880" w:hanging="360"/>
      </w:pPr>
    </w:lvl>
    <w:lvl w:ilvl="4" w:tplc="0F1AC74A">
      <w:start w:val="1"/>
      <w:numFmt w:val="lowerLetter"/>
      <w:lvlText w:val="%5."/>
      <w:lvlJc w:val="left"/>
      <w:pPr>
        <w:ind w:left="3600" w:hanging="360"/>
      </w:pPr>
    </w:lvl>
    <w:lvl w:ilvl="5" w:tplc="027A76CE">
      <w:start w:val="1"/>
      <w:numFmt w:val="lowerRoman"/>
      <w:lvlText w:val="%6."/>
      <w:lvlJc w:val="right"/>
      <w:pPr>
        <w:ind w:left="4320" w:hanging="180"/>
      </w:pPr>
    </w:lvl>
    <w:lvl w:ilvl="6" w:tplc="56149E54">
      <w:start w:val="1"/>
      <w:numFmt w:val="decimal"/>
      <w:lvlText w:val="%7."/>
      <w:lvlJc w:val="left"/>
      <w:pPr>
        <w:ind w:left="5040" w:hanging="360"/>
      </w:pPr>
    </w:lvl>
    <w:lvl w:ilvl="7" w:tplc="673609C4">
      <w:start w:val="1"/>
      <w:numFmt w:val="lowerLetter"/>
      <w:lvlText w:val="%8."/>
      <w:lvlJc w:val="left"/>
      <w:pPr>
        <w:ind w:left="5760" w:hanging="360"/>
      </w:pPr>
    </w:lvl>
    <w:lvl w:ilvl="8" w:tplc="F828A050">
      <w:start w:val="1"/>
      <w:numFmt w:val="lowerRoman"/>
      <w:lvlText w:val="%9."/>
      <w:lvlJc w:val="right"/>
      <w:pPr>
        <w:ind w:left="6480" w:hanging="180"/>
      </w:pPr>
    </w:lvl>
  </w:abstractNum>
  <w:abstractNum w:abstractNumId="26" w15:restartNumberingAfterBreak="0">
    <w:nsid w:val="5D030A45"/>
    <w:multiLevelType w:val="hybridMultilevel"/>
    <w:tmpl w:val="5808AC90"/>
    <w:lvl w:ilvl="0" w:tplc="9F0ABAC2">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F0E6971"/>
    <w:multiLevelType w:val="hybridMultilevel"/>
    <w:tmpl w:val="CFDCA902"/>
    <w:lvl w:ilvl="0" w:tplc="9F0ABAC2">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033550B"/>
    <w:multiLevelType w:val="hybridMultilevel"/>
    <w:tmpl w:val="84205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846A23"/>
    <w:multiLevelType w:val="hybridMultilevel"/>
    <w:tmpl w:val="2ED2964E"/>
    <w:lvl w:ilvl="0" w:tplc="F5F8C8FA">
      <w:numFmt w:val="bullet"/>
      <w:lvlText w:val="•"/>
      <w:lvlJc w:val="left"/>
      <w:pPr>
        <w:ind w:left="720" w:hanging="360"/>
      </w:pPr>
      <w:rPr>
        <w:rFonts w:hint="default"/>
        <w:lang w:val="en-AU" w:eastAsia="en-AU" w:bidi="en-AU"/>
      </w:rPr>
    </w:lvl>
    <w:lvl w:ilvl="1" w:tplc="B846C87A">
      <w:start w:val="1"/>
      <w:numFmt w:val="lowerLetter"/>
      <w:lvlText w:val="%2."/>
      <w:lvlJc w:val="left"/>
      <w:pPr>
        <w:ind w:left="1440" w:hanging="360"/>
      </w:pPr>
    </w:lvl>
    <w:lvl w:ilvl="2" w:tplc="ACEA2A82">
      <w:start w:val="1"/>
      <w:numFmt w:val="lowerRoman"/>
      <w:lvlText w:val="%3."/>
      <w:lvlJc w:val="right"/>
      <w:pPr>
        <w:ind w:left="2160" w:hanging="180"/>
      </w:pPr>
    </w:lvl>
    <w:lvl w:ilvl="3" w:tplc="4BBCF3F2">
      <w:start w:val="1"/>
      <w:numFmt w:val="decimal"/>
      <w:lvlText w:val="%4."/>
      <w:lvlJc w:val="left"/>
      <w:pPr>
        <w:ind w:left="2880" w:hanging="360"/>
      </w:pPr>
    </w:lvl>
    <w:lvl w:ilvl="4" w:tplc="0F1AC74A">
      <w:start w:val="1"/>
      <w:numFmt w:val="lowerLetter"/>
      <w:lvlText w:val="%5."/>
      <w:lvlJc w:val="left"/>
      <w:pPr>
        <w:ind w:left="3600" w:hanging="360"/>
      </w:pPr>
    </w:lvl>
    <w:lvl w:ilvl="5" w:tplc="027A76CE">
      <w:start w:val="1"/>
      <w:numFmt w:val="lowerRoman"/>
      <w:lvlText w:val="%6."/>
      <w:lvlJc w:val="right"/>
      <w:pPr>
        <w:ind w:left="4320" w:hanging="180"/>
      </w:pPr>
    </w:lvl>
    <w:lvl w:ilvl="6" w:tplc="56149E54">
      <w:start w:val="1"/>
      <w:numFmt w:val="decimal"/>
      <w:lvlText w:val="%7."/>
      <w:lvlJc w:val="left"/>
      <w:pPr>
        <w:ind w:left="5040" w:hanging="360"/>
      </w:pPr>
    </w:lvl>
    <w:lvl w:ilvl="7" w:tplc="673609C4">
      <w:start w:val="1"/>
      <w:numFmt w:val="lowerLetter"/>
      <w:lvlText w:val="%8."/>
      <w:lvlJc w:val="left"/>
      <w:pPr>
        <w:ind w:left="5760" w:hanging="360"/>
      </w:pPr>
    </w:lvl>
    <w:lvl w:ilvl="8" w:tplc="F828A050">
      <w:start w:val="1"/>
      <w:numFmt w:val="lowerRoman"/>
      <w:lvlText w:val="%9."/>
      <w:lvlJc w:val="right"/>
      <w:pPr>
        <w:ind w:left="6480" w:hanging="180"/>
      </w:pPr>
    </w:lvl>
  </w:abstractNum>
  <w:abstractNum w:abstractNumId="30" w15:restartNumberingAfterBreak="0">
    <w:nsid w:val="69AC323D"/>
    <w:multiLevelType w:val="hybridMultilevel"/>
    <w:tmpl w:val="EDF2F928"/>
    <w:lvl w:ilvl="0" w:tplc="9F0ABAC2">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EEC16CB"/>
    <w:multiLevelType w:val="hybridMultilevel"/>
    <w:tmpl w:val="4B627094"/>
    <w:lvl w:ilvl="0" w:tplc="F5F8C8FA">
      <w:numFmt w:val="bullet"/>
      <w:lvlText w:val="•"/>
      <w:lvlJc w:val="left"/>
      <w:pPr>
        <w:ind w:left="720" w:hanging="360"/>
      </w:pPr>
      <w:rPr>
        <w:rFonts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7D06D0"/>
    <w:multiLevelType w:val="hybridMultilevel"/>
    <w:tmpl w:val="11A2C8E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026A6C"/>
    <w:multiLevelType w:val="hybridMultilevel"/>
    <w:tmpl w:val="FFFFFFFF"/>
    <w:lvl w:ilvl="0" w:tplc="ECBA448C">
      <w:start w:val="1"/>
      <w:numFmt w:val="bullet"/>
      <w:lvlText w:val=""/>
      <w:lvlJc w:val="left"/>
      <w:pPr>
        <w:ind w:left="720" w:hanging="360"/>
      </w:pPr>
      <w:rPr>
        <w:rFonts w:ascii="Symbol" w:hAnsi="Symbol" w:hint="default"/>
      </w:rPr>
    </w:lvl>
    <w:lvl w:ilvl="1" w:tplc="39E452BE">
      <w:start w:val="1"/>
      <w:numFmt w:val="bullet"/>
      <w:lvlText w:val="o"/>
      <w:lvlJc w:val="left"/>
      <w:pPr>
        <w:ind w:left="1440" w:hanging="360"/>
      </w:pPr>
      <w:rPr>
        <w:rFonts w:ascii="Courier New" w:hAnsi="Courier New" w:hint="default"/>
      </w:rPr>
    </w:lvl>
    <w:lvl w:ilvl="2" w:tplc="C1FA3944">
      <w:start w:val="1"/>
      <w:numFmt w:val="bullet"/>
      <w:lvlText w:val=""/>
      <w:lvlJc w:val="left"/>
      <w:pPr>
        <w:ind w:left="2160" w:hanging="360"/>
      </w:pPr>
      <w:rPr>
        <w:rFonts w:ascii="Wingdings" w:hAnsi="Wingdings" w:hint="default"/>
      </w:rPr>
    </w:lvl>
    <w:lvl w:ilvl="3" w:tplc="64D225B0">
      <w:start w:val="1"/>
      <w:numFmt w:val="bullet"/>
      <w:lvlText w:val=""/>
      <w:lvlJc w:val="left"/>
      <w:pPr>
        <w:ind w:left="2880" w:hanging="360"/>
      </w:pPr>
      <w:rPr>
        <w:rFonts w:ascii="Symbol" w:hAnsi="Symbol" w:hint="default"/>
      </w:rPr>
    </w:lvl>
    <w:lvl w:ilvl="4" w:tplc="13D2B456">
      <w:start w:val="1"/>
      <w:numFmt w:val="bullet"/>
      <w:lvlText w:val="o"/>
      <w:lvlJc w:val="left"/>
      <w:pPr>
        <w:ind w:left="3600" w:hanging="360"/>
      </w:pPr>
      <w:rPr>
        <w:rFonts w:ascii="Courier New" w:hAnsi="Courier New" w:hint="default"/>
      </w:rPr>
    </w:lvl>
    <w:lvl w:ilvl="5" w:tplc="EBAE0EFC">
      <w:start w:val="1"/>
      <w:numFmt w:val="bullet"/>
      <w:lvlText w:val=""/>
      <w:lvlJc w:val="left"/>
      <w:pPr>
        <w:ind w:left="4320" w:hanging="360"/>
      </w:pPr>
      <w:rPr>
        <w:rFonts w:ascii="Wingdings" w:hAnsi="Wingdings" w:hint="default"/>
      </w:rPr>
    </w:lvl>
    <w:lvl w:ilvl="6" w:tplc="1520A93A">
      <w:start w:val="1"/>
      <w:numFmt w:val="bullet"/>
      <w:lvlText w:val=""/>
      <w:lvlJc w:val="left"/>
      <w:pPr>
        <w:ind w:left="5040" w:hanging="360"/>
      </w:pPr>
      <w:rPr>
        <w:rFonts w:ascii="Symbol" w:hAnsi="Symbol" w:hint="default"/>
      </w:rPr>
    </w:lvl>
    <w:lvl w:ilvl="7" w:tplc="9C40BF08">
      <w:start w:val="1"/>
      <w:numFmt w:val="bullet"/>
      <w:lvlText w:val="o"/>
      <w:lvlJc w:val="left"/>
      <w:pPr>
        <w:ind w:left="5760" w:hanging="360"/>
      </w:pPr>
      <w:rPr>
        <w:rFonts w:ascii="Courier New" w:hAnsi="Courier New" w:hint="default"/>
      </w:rPr>
    </w:lvl>
    <w:lvl w:ilvl="8" w:tplc="0CB4CF04">
      <w:start w:val="1"/>
      <w:numFmt w:val="bullet"/>
      <w:lvlText w:val=""/>
      <w:lvlJc w:val="left"/>
      <w:pPr>
        <w:ind w:left="6480" w:hanging="360"/>
      </w:pPr>
      <w:rPr>
        <w:rFonts w:ascii="Wingdings" w:hAnsi="Wingdings" w:hint="default"/>
      </w:rPr>
    </w:lvl>
  </w:abstractNum>
  <w:abstractNum w:abstractNumId="34" w15:restartNumberingAfterBreak="0">
    <w:nsid w:val="76F31981"/>
    <w:multiLevelType w:val="hybridMultilevel"/>
    <w:tmpl w:val="4D06508A"/>
    <w:lvl w:ilvl="0" w:tplc="F5F8C8FA">
      <w:numFmt w:val="bullet"/>
      <w:lvlText w:val="•"/>
      <w:lvlJc w:val="left"/>
      <w:pPr>
        <w:ind w:left="720" w:hanging="360"/>
      </w:pPr>
      <w:rPr>
        <w:rFonts w:hint="default"/>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C158BC"/>
    <w:multiLevelType w:val="hybridMultilevel"/>
    <w:tmpl w:val="F11C89E6"/>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25"/>
  </w:num>
  <w:num w:numId="3">
    <w:abstractNumId w:val="9"/>
  </w:num>
  <w:num w:numId="4">
    <w:abstractNumId w:val="7"/>
  </w:num>
  <w:num w:numId="5">
    <w:abstractNumId w:val="14"/>
  </w:num>
  <w:num w:numId="6">
    <w:abstractNumId w:val="33"/>
  </w:num>
  <w:num w:numId="7">
    <w:abstractNumId w:val="32"/>
  </w:num>
  <w:num w:numId="8">
    <w:abstractNumId w:val="0"/>
  </w:num>
  <w:num w:numId="9">
    <w:abstractNumId w:val="4"/>
  </w:num>
  <w:num w:numId="10">
    <w:abstractNumId w:val="21"/>
  </w:num>
  <w:num w:numId="11">
    <w:abstractNumId w:val="8"/>
  </w:num>
  <w:num w:numId="12">
    <w:abstractNumId w:val="28"/>
  </w:num>
  <w:num w:numId="13">
    <w:abstractNumId w:val="22"/>
  </w:num>
  <w:num w:numId="14">
    <w:abstractNumId w:val="13"/>
  </w:num>
  <w:num w:numId="15">
    <w:abstractNumId w:val="10"/>
  </w:num>
  <w:num w:numId="16">
    <w:abstractNumId w:val="35"/>
  </w:num>
  <w:num w:numId="17">
    <w:abstractNumId w:val="19"/>
  </w:num>
  <w:num w:numId="18">
    <w:abstractNumId w:val="16"/>
  </w:num>
  <w:num w:numId="19">
    <w:abstractNumId w:val="15"/>
  </w:num>
  <w:num w:numId="20">
    <w:abstractNumId w:val="34"/>
  </w:num>
  <w:num w:numId="21">
    <w:abstractNumId w:val="6"/>
  </w:num>
  <w:num w:numId="22">
    <w:abstractNumId w:val="17"/>
  </w:num>
  <w:num w:numId="23">
    <w:abstractNumId w:val="24"/>
  </w:num>
  <w:num w:numId="24">
    <w:abstractNumId w:val="12"/>
  </w:num>
  <w:num w:numId="25">
    <w:abstractNumId w:val="36"/>
  </w:num>
  <w:num w:numId="26">
    <w:abstractNumId w:val="20"/>
  </w:num>
  <w:num w:numId="27">
    <w:abstractNumId w:val="27"/>
  </w:num>
  <w:num w:numId="28">
    <w:abstractNumId w:val="1"/>
  </w:num>
  <w:num w:numId="29">
    <w:abstractNumId w:val="30"/>
  </w:num>
  <w:num w:numId="30">
    <w:abstractNumId w:val="31"/>
  </w:num>
  <w:num w:numId="31">
    <w:abstractNumId w:val="26"/>
  </w:num>
  <w:num w:numId="32">
    <w:abstractNumId w:val="18"/>
  </w:num>
  <w:num w:numId="33">
    <w:abstractNumId w:val="3"/>
  </w:num>
  <w:num w:numId="34">
    <w:abstractNumId w:val="29"/>
  </w:num>
  <w:num w:numId="35">
    <w:abstractNumId w:val="11"/>
  </w:num>
  <w:num w:numId="36">
    <w:abstractNumId w:val="23"/>
  </w:num>
  <w:num w:numId="37">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mailMerge>
    <w:mainDocumentType w:val="mailingLabels"/>
    <w:dataType w:val="textFile"/>
    <w:activeRecord w:val="-1"/>
  </w:mailMerge>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0741E"/>
    <w:rsid w:val="00007AE6"/>
    <w:rsid w:val="00011A36"/>
    <w:rsid w:val="000129A9"/>
    <w:rsid w:val="0001311B"/>
    <w:rsid w:val="000146C1"/>
    <w:rsid w:val="000179EC"/>
    <w:rsid w:val="000317F2"/>
    <w:rsid w:val="00034F5D"/>
    <w:rsid w:val="000472CE"/>
    <w:rsid w:val="00047606"/>
    <w:rsid w:val="00047914"/>
    <w:rsid w:val="00061D93"/>
    <w:rsid w:val="00062741"/>
    <w:rsid w:val="0006389B"/>
    <w:rsid w:val="00065623"/>
    <w:rsid w:val="000756B9"/>
    <w:rsid w:val="00096B67"/>
    <w:rsid w:val="00096DAF"/>
    <w:rsid w:val="000B10E1"/>
    <w:rsid w:val="000B3A35"/>
    <w:rsid w:val="000C2F47"/>
    <w:rsid w:val="000C6E88"/>
    <w:rsid w:val="000D2B9A"/>
    <w:rsid w:val="000D6C00"/>
    <w:rsid w:val="000E4E04"/>
    <w:rsid w:val="000E78AF"/>
    <w:rsid w:val="000F14B4"/>
    <w:rsid w:val="000F4FC7"/>
    <w:rsid w:val="000F75DF"/>
    <w:rsid w:val="001023DC"/>
    <w:rsid w:val="0011179C"/>
    <w:rsid w:val="00111DC7"/>
    <w:rsid w:val="001328FA"/>
    <w:rsid w:val="00133A21"/>
    <w:rsid w:val="001363DD"/>
    <w:rsid w:val="00136CD6"/>
    <w:rsid w:val="00147AAF"/>
    <w:rsid w:val="001552C0"/>
    <w:rsid w:val="001634D6"/>
    <w:rsid w:val="001640B1"/>
    <w:rsid w:val="0017311D"/>
    <w:rsid w:val="001842B7"/>
    <w:rsid w:val="0018435E"/>
    <w:rsid w:val="00194A71"/>
    <w:rsid w:val="001973DD"/>
    <w:rsid w:val="001D5A96"/>
    <w:rsid w:val="001E3F42"/>
    <w:rsid w:val="001F203D"/>
    <w:rsid w:val="002041A1"/>
    <w:rsid w:val="002054F0"/>
    <w:rsid w:val="00213CC6"/>
    <w:rsid w:val="00214120"/>
    <w:rsid w:val="002148BE"/>
    <w:rsid w:val="0022169D"/>
    <w:rsid w:val="00222DAE"/>
    <w:rsid w:val="002236BD"/>
    <w:rsid w:val="00230D6B"/>
    <w:rsid w:val="00232068"/>
    <w:rsid w:val="002330F2"/>
    <w:rsid w:val="00233131"/>
    <w:rsid w:val="00233774"/>
    <w:rsid w:val="00243D9E"/>
    <w:rsid w:val="002535A0"/>
    <w:rsid w:val="00253B66"/>
    <w:rsid w:val="002558EA"/>
    <w:rsid w:val="00255E54"/>
    <w:rsid w:val="002610B1"/>
    <w:rsid w:val="00261DF1"/>
    <w:rsid w:val="00271638"/>
    <w:rsid w:val="00271F18"/>
    <w:rsid w:val="0028237B"/>
    <w:rsid w:val="00282779"/>
    <w:rsid w:val="0028334D"/>
    <w:rsid w:val="00287038"/>
    <w:rsid w:val="002A4B0C"/>
    <w:rsid w:val="002B3164"/>
    <w:rsid w:val="002B7FFA"/>
    <w:rsid w:val="002C109E"/>
    <w:rsid w:val="002C2BCF"/>
    <w:rsid w:val="002F15A3"/>
    <w:rsid w:val="002F279D"/>
    <w:rsid w:val="002F27C9"/>
    <w:rsid w:val="002F3DCC"/>
    <w:rsid w:val="002F43B8"/>
    <w:rsid w:val="002F5D50"/>
    <w:rsid w:val="003028CF"/>
    <w:rsid w:val="00336856"/>
    <w:rsid w:val="0034554D"/>
    <w:rsid w:val="00352224"/>
    <w:rsid w:val="003671E6"/>
    <w:rsid w:val="003724D2"/>
    <w:rsid w:val="00384272"/>
    <w:rsid w:val="00386D67"/>
    <w:rsid w:val="003945B8"/>
    <w:rsid w:val="003B42C4"/>
    <w:rsid w:val="003C1ACA"/>
    <w:rsid w:val="003D7F29"/>
    <w:rsid w:val="003E3E3C"/>
    <w:rsid w:val="003E6679"/>
    <w:rsid w:val="003E70F4"/>
    <w:rsid w:val="00405A6B"/>
    <w:rsid w:val="00407B1F"/>
    <w:rsid w:val="0041184F"/>
    <w:rsid w:val="00412C18"/>
    <w:rsid w:val="00414C57"/>
    <w:rsid w:val="00415A23"/>
    <w:rsid w:val="0041758C"/>
    <w:rsid w:val="00424791"/>
    <w:rsid w:val="00444A7D"/>
    <w:rsid w:val="004539DE"/>
    <w:rsid w:val="00477996"/>
    <w:rsid w:val="00491615"/>
    <w:rsid w:val="004A2CF1"/>
    <w:rsid w:val="004A7421"/>
    <w:rsid w:val="004A7E0B"/>
    <w:rsid w:val="004B197A"/>
    <w:rsid w:val="004C3035"/>
    <w:rsid w:val="004C307F"/>
    <w:rsid w:val="004C43D7"/>
    <w:rsid w:val="004C7C55"/>
    <w:rsid w:val="004D43FB"/>
    <w:rsid w:val="004D448E"/>
    <w:rsid w:val="004E4BA8"/>
    <w:rsid w:val="004F28D5"/>
    <w:rsid w:val="004F340F"/>
    <w:rsid w:val="004F7B7C"/>
    <w:rsid w:val="00515404"/>
    <w:rsid w:val="0051621A"/>
    <w:rsid w:val="00520F7E"/>
    <w:rsid w:val="0052243D"/>
    <w:rsid w:val="00532435"/>
    <w:rsid w:val="00540F02"/>
    <w:rsid w:val="00550354"/>
    <w:rsid w:val="0055658A"/>
    <w:rsid w:val="005663A2"/>
    <w:rsid w:val="00571236"/>
    <w:rsid w:val="00572E13"/>
    <w:rsid w:val="005902FC"/>
    <w:rsid w:val="005953A1"/>
    <w:rsid w:val="005A2D17"/>
    <w:rsid w:val="005A4362"/>
    <w:rsid w:val="005A4D48"/>
    <w:rsid w:val="005B006E"/>
    <w:rsid w:val="005B5434"/>
    <w:rsid w:val="005C78E2"/>
    <w:rsid w:val="005D0332"/>
    <w:rsid w:val="005D0D8C"/>
    <w:rsid w:val="005D31E1"/>
    <w:rsid w:val="005E0EC4"/>
    <w:rsid w:val="005F729B"/>
    <w:rsid w:val="006047FD"/>
    <w:rsid w:val="00607C26"/>
    <w:rsid w:val="006134F2"/>
    <w:rsid w:val="0062250F"/>
    <w:rsid w:val="00635153"/>
    <w:rsid w:val="00640A46"/>
    <w:rsid w:val="00650B57"/>
    <w:rsid w:val="00654AB1"/>
    <w:rsid w:val="006776AE"/>
    <w:rsid w:val="0069140D"/>
    <w:rsid w:val="006964B7"/>
    <w:rsid w:val="006A0D97"/>
    <w:rsid w:val="006A6812"/>
    <w:rsid w:val="006B1F86"/>
    <w:rsid w:val="006C0A91"/>
    <w:rsid w:val="006C4386"/>
    <w:rsid w:val="006E0459"/>
    <w:rsid w:val="00701E9C"/>
    <w:rsid w:val="007054BB"/>
    <w:rsid w:val="00707064"/>
    <w:rsid w:val="00712B1D"/>
    <w:rsid w:val="00715D59"/>
    <w:rsid w:val="00724C12"/>
    <w:rsid w:val="00727C7A"/>
    <w:rsid w:val="00730683"/>
    <w:rsid w:val="00735C41"/>
    <w:rsid w:val="00741769"/>
    <w:rsid w:val="00747FFA"/>
    <w:rsid w:val="0075261F"/>
    <w:rsid w:val="0075468E"/>
    <w:rsid w:val="00756DC6"/>
    <w:rsid w:val="00757328"/>
    <w:rsid w:val="007665D8"/>
    <w:rsid w:val="00766E36"/>
    <w:rsid w:val="00772003"/>
    <w:rsid w:val="007765F4"/>
    <w:rsid w:val="00776633"/>
    <w:rsid w:val="00784D53"/>
    <w:rsid w:val="00793A2B"/>
    <w:rsid w:val="00796E59"/>
    <w:rsid w:val="00797797"/>
    <w:rsid w:val="007A13D0"/>
    <w:rsid w:val="007A3690"/>
    <w:rsid w:val="007A3A94"/>
    <w:rsid w:val="007A63C9"/>
    <w:rsid w:val="007B32D1"/>
    <w:rsid w:val="007B7095"/>
    <w:rsid w:val="007C4805"/>
    <w:rsid w:val="007C6129"/>
    <w:rsid w:val="007D24E1"/>
    <w:rsid w:val="007D29A5"/>
    <w:rsid w:val="007D6288"/>
    <w:rsid w:val="007D63F2"/>
    <w:rsid w:val="007E2B54"/>
    <w:rsid w:val="007E47BB"/>
    <w:rsid w:val="007F2E34"/>
    <w:rsid w:val="007F4CE9"/>
    <w:rsid w:val="007F4E20"/>
    <w:rsid w:val="0080248E"/>
    <w:rsid w:val="00802B5A"/>
    <w:rsid w:val="00810FF0"/>
    <w:rsid w:val="00816221"/>
    <w:rsid w:val="008212CA"/>
    <w:rsid w:val="00822C7E"/>
    <w:rsid w:val="0082394B"/>
    <w:rsid w:val="00846DFF"/>
    <w:rsid w:val="00847060"/>
    <w:rsid w:val="00847A36"/>
    <w:rsid w:val="00856A33"/>
    <w:rsid w:val="008609EF"/>
    <w:rsid w:val="0087527B"/>
    <w:rsid w:val="00875479"/>
    <w:rsid w:val="00880082"/>
    <w:rsid w:val="00892620"/>
    <w:rsid w:val="0089718B"/>
    <w:rsid w:val="008B2678"/>
    <w:rsid w:val="008C4425"/>
    <w:rsid w:val="008C778E"/>
    <w:rsid w:val="008C7D37"/>
    <w:rsid w:val="008D5885"/>
    <w:rsid w:val="0090417E"/>
    <w:rsid w:val="009118F8"/>
    <w:rsid w:val="00911E1C"/>
    <w:rsid w:val="00912F85"/>
    <w:rsid w:val="00914292"/>
    <w:rsid w:val="00915F34"/>
    <w:rsid w:val="00916768"/>
    <w:rsid w:val="00923FA2"/>
    <w:rsid w:val="00924013"/>
    <w:rsid w:val="0096060D"/>
    <w:rsid w:val="00962EBB"/>
    <w:rsid w:val="00972517"/>
    <w:rsid w:val="00974A50"/>
    <w:rsid w:val="00975036"/>
    <w:rsid w:val="0097585A"/>
    <w:rsid w:val="00980B4E"/>
    <w:rsid w:val="009821F7"/>
    <w:rsid w:val="009830BD"/>
    <w:rsid w:val="009924B0"/>
    <w:rsid w:val="009942C9"/>
    <w:rsid w:val="009B169C"/>
    <w:rsid w:val="009B35C4"/>
    <w:rsid w:val="009C00BD"/>
    <w:rsid w:val="009C596F"/>
    <w:rsid w:val="009C630A"/>
    <w:rsid w:val="009D3726"/>
    <w:rsid w:val="009E0D98"/>
    <w:rsid w:val="009E589D"/>
    <w:rsid w:val="009F1D84"/>
    <w:rsid w:val="009F38E1"/>
    <w:rsid w:val="009F7B91"/>
    <w:rsid w:val="00A068A1"/>
    <w:rsid w:val="00A1207D"/>
    <w:rsid w:val="00A12FD8"/>
    <w:rsid w:val="00A22F36"/>
    <w:rsid w:val="00A32AE1"/>
    <w:rsid w:val="00A346FC"/>
    <w:rsid w:val="00A367BA"/>
    <w:rsid w:val="00A37BE6"/>
    <w:rsid w:val="00A46D77"/>
    <w:rsid w:val="00A47282"/>
    <w:rsid w:val="00A5130B"/>
    <w:rsid w:val="00A57AA9"/>
    <w:rsid w:val="00A61A57"/>
    <w:rsid w:val="00A6376C"/>
    <w:rsid w:val="00A740F4"/>
    <w:rsid w:val="00A846F2"/>
    <w:rsid w:val="00A84F93"/>
    <w:rsid w:val="00AB1AC5"/>
    <w:rsid w:val="00AB3BFC"/>
    <w:rsid w:val="00AC15D1"/>
    <w:rsid w:val="00AC4F2E"/>
    <w:rsid w:val="00AD0C37"/>
    <w:rsid w:val="00AD385F"/>
    <w:rsid w:val="00AE1581"/>
    <w:rsid w:val="00AE263D"/>
    <w:rsid w:val="00AE6E2A"/>
    <w:rsid w:val="00AF4529"/>
    <w:rsid w:val="00AF5829"/>
    <w:rsid w:val="00B03EAB"/>
    <w:rsid w:val="00B30E92"/>
    <w:rsid w:val="00B3186E"/>
    <w:rsid w:val="00B31E9C"/>
    <w:rsid w:val="00B35595"/>
    <w:rsid w:val="00B4277F"/>
    <w:rsid w:val="00B50F9C"/>
    <w:rsid w:val="00B51C6D"/>
    <w:rsid w:val="00B54432"/>
    <w:rsid w:val="00B71314"/>
    <w:rsid w:val="00B77EAA"/>
    <w:rsid w:val="00B83DD2"/>
    <w:rsid w:val="00B86D64"/>
    <w:rsid w:val="00B97183"/>
    <w:rsid w:val="00BA4AC5"/>
    <w:rsid w:val="00BA4EB6"/>
    <w:rsid w:val="00BB324D"/>
    <w:rsid w:val="00BB7E94"/>
    <w:rsid w:val="00BC1364"/>
    <w:rsid w:val="00BC2667"/>
    <w:rsid w:val="00BC7DE9"/>
    <w:rsid w:val="00BF479B"/>
    <w:rsid w:val="00C02577"/>
    <w:rsid w:val="00C06B0B"/>
    <w:rsid w:val="00C16AAB"/>
    <w:rsid w:val="00C204FB"/>
    <w:rsid w:val="00C20BEE"/>
    <w:rsid w:val="00C2158D"/>
    <w:rsid w:val="00C262CC"/>
    <w:rsid w:val="00C421EA"/>
    <w:rsid w:val="00C67DD2"/>
    <w:rsid w:val="00C725CB"/>
    <w:rsid w:val="00C76F5C"/>
    <w:rsid w:val="00C876B3"/>
    <w:rsid w:val="00C931A6"/>
    <w:rsid w:val="00C93A14"/>
    <w:rsid w:val="00C96BAD"/>
    <w:rsid w:val="00CA3566"/>
    <w:rsid w:val="00CA6944"/>
    <w:rsid w:val="00CB0F8E"/>
    <w:rsid w:val="00CB7E7D"/>
    <w:rsid w:val="00CC2911"/>
    <w:rsid w:val="00CC71F0"/>
    <w:rsid w:val="00CD2790"/>
    <w:rsid w:val="00CD651E"/>
    <w:rsid w:val="00CF0C6D"/>
    <w:rsid w:val="00CF4E81"/>
    <w:rsid w:val="00CF7307"/>
    <w:rsid w:val="00CF7C68"/>
    <w:rsid w:val="00D045FD"/>
    <w:rsid w:val="00D064A8"/>
    <w:rsid w:val="00D066A0"/>
    <w:rsid w:val="00D124FA"/>
    <w:rsid w:val="00D3256E"/>
    <w:rsid w:val="00D340DE"/>
    <w:rsid w:val="00D55723"/>
    <w:rsid w:val="00D62FAD"/>
    <w:rsid w:val="00D64355"/>
    <w:rsid w:val="00D70450"/>
    <w:rsid w:val="00D71DFB"/>
    <w:rsid w:val="00D75C5F"/>
    <w:rsid w:val="00D83BFD"/>
    <w:rsid w:val="00D90A38"/>
    <w:rsid w:val="00D95739"/>
    <w:rsid w:val="00DA047A"/>
    <w:rsid w:val="00DA0515"/>
    <w:rsid w:val="00DA171E"/>
    <w:rsid w:val="00DA56AA"/>
    <w:rsid w:val="00DB5833"/>
    <w:rsid w:val="00DD032E"/>
    <w:rsid w:val="00DD2858"/>
    <w:rsid w:val="00DD6551"/>
    <w:rsid w:val="00DF489D"/>
    <w:rsid w:val="00E03E33"/>
    <w:rsid w:val="00E059E0"/>
    <w:rsid w:val="00E135D9"/>
    <w:rsid w:val="00E205E3"/>
    <w:rsid w:val="00E2484E"/>
    <w:rsid w:val="00E36293"/>
    <w:rsid w:val="00E3642A"/>
    <w:rsid w:val="00E37538"/>
    <w:rsid w:val="00E415C4"/>
    <w:rsid w:val="00E50016"/>
    <w:rsid w:val="00E50EAA"/>
    <w:rsid w:val="00E60F1E"/>
    <w:rsid w:val="00E656D6"/>
    <w:rsid w:val="00E65E42"/>
    <w:rsid w:val="00E77357"/>
    <w:rsid w:val="00E832B3"/>
    <w:rsid w:val="00E91A2F"/>
    <w:rsid w:val="00E94768"/>
    <w:rsid w:val="00E977EE"/>
    <w:rsid w:val="00EA05EA"/>
    <w:rsid w:val="00EA2F24"/>
    <w:rsid w:val="00EA5C0E"/>
    <w:rsid w:val="00EA67A2"/>
    <w:rsid w:val="00EA772A"/>
    <w:rsid w:val="00EB218F"/>
    <w:rsid w:val="00EB37FB"/>
    <w:rsid w:val="00EB630F"/>
    <w:rsid w:val="00EB6B6F"/>
    <w:rsid w:val="00EC4AFA"/>
    <w:rsid w:val="00EC4F98"/>
    <w:rsid w:val="00F12F02"/>
    <w:rsid w:val="00F14095"/>
    <w:rsid w:val="00F14704"/>
    <w:rsid w:val="00F17EBE"/>
    <w:rsid w:val="00F26E24"/>
    <w:rsid w:val="00F32E0D"/>
    <w:rsid w:val="00F35134"/>
    <w:rsid w:val="00F37B9C"/>
    <w:rsid w:val="00F41812"/>
    <w:rsid w:val="00F4274B"/>
    <w:rsid w:val="00F53620"/>
    <w:rsid w:val="00F56D7F"/>
    <w:rsid w:val="00F715D1"/>
    <w:rsid w:val="00F72715"/>
    <w:rsid w:val="00F73333"/>
    <w:rsid w:val="00F878CB"/>
    <w:rsid w:val="00F90DBE"/>
    <w:rsid w:val="00F91797"/>
    <w:rsid w:val="00F95D8F"/>
    <w:rsid w:val="00FB350A"/>
    <w:rsid w:val="00FB4C5D"/>
    <w:rsid w:val="00FC5C3D"/>
    <w:rsid w:val="00FD0063"/>
    <w:rsid w:val="00FD0A9A"/>
    <w:rsid w:val="00FD27DA"/>
    <w:rsid w:val="00FD66A1"/>
    <w:rsid w:val="00FE1C3F"/>
    <w:rsid w:val="00FE2937"/>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ecimalSymbol w:val="."/>
  <w:listSeparator w:val=","/>
  <w14:docId w14:val="2F4C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
    <w:qFormat/>
    <w:rsid w:val="00A846F2"/>
    <w:pPr>
      <w:keepNext/>
      <w:keepLines/>
      <w:numPr>
        <w:numId w:val="1"/>
      </w:numPr>
      <w:spacing w:before="240" w:after="240"/>
      <w:ind w:hanging="720"/>
      <w:outlineLvl w:val="0"/>
    </w:pPr>
    <w:rPr>
      <w:rFonts w:ascii="Arial" w:hAnsi="Arial"/>
      <w:b/>
      <w:bCs/>
      <w:szCs w:val="28"/>
    </w:rPr>
  </w:style>
  <w:style w:type="paragraph" w:styleId="Heading2">
    <w:name w:val="heading 2"/>
    <w:basedOn w:val="Normal"/>
    <w:next w:val="Normal"/>
    <w:link w:val="Heading2Char"/>
    <w:uiPriority w:val="9"/>
    <w:unhideWhenUsed/>
    <w:qFormat/>
    <w:locked/>
    <w:rsid w:val="009821F7"/>
    <w:pPr>
      <w:spacing w:after="240"/>
      <w:outlineLvl w:val="1"/>
    </w:pPr>
    <w:rPr>
      <w:b/>
      <w:szCs w:val="24"/>
    </w:rPr>
  </w:style>
  <w:style w:type="paragraph" w:styleId="Heading3">
    <w:name w:val="heading 3"/>
    <w:basedOn w:val="Normal"/>
    <w:next w:val="Normal"/>
    <w:link w:val="Heading3Char"/>
    <w:uiPriority w:val="9"/>
    <w:semiHidden/>
    <w:unhideWhenUsed/>
    <w:qFormat/>
    <w:locked/>
    <w:rsid w:val="009821F7"/>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locked/>
    <w:rsid w:val="009821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uiPriority w:val="9"/>
    <w:rsid w:val="009821F7"/>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9821F7"/>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9821F7"/>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9821F7"/>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9821F7"/>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654AB1"/>
    <w:pPr>
      <w:widowControl w:val="0"/>
      <w:contextualSpacing/>
    </w:pPr>
    <w:rPr>
      <w:rFonts w:ascii="Arial Narrow" w:hAnsi="Arial Narrow" w:cs="Arial"/>
      <w:snapToGrid w:val="0"/>
      <w:sz w:val="18"/>
      <w:szCs w:val="18"/>
      <w:lang w:eastAsia="en-US"/>
    </w:rPr>
  </w:style>
  <w:style w:type="character" w:customStyle="1" w:styleId="TablenotesChar">
    <w:name w:val="Tablenotes Char"/>
    <w:basedOn w:val="DefaultParagraphFont"/>
    <w:link w:val="Tablenotes"/>
    <w:rsid w:val="00654AB1"/>
    <w:rPr>
      <w:rFonts w:ascii="Arial Narrow" w:eastAsia="Times New Roman" w:hAnsi="Arial Narrow" w:cs="Arial"/>
      <w:snapToGrid w:val="0"/>
      <w:sz w:val="18"/>
      <w:szCs w:val="18"/>
      <w:lang w:eastAsia="en-US"/>
    </w:rPr>
  </w:style>
  <w:style w:type="character" w:customStyle="1" w:styleId="ListParagraphChar">
    <w:name w:val="List Paragraph Char"/>
    <w:aliases w:val="Styl moj Char,Akapit z listą1 Char,Akapit z listą11 Char"/>
    <w:link w:val="ListParagraph"/>
    <w:uiPriority w:val="34"/>
    <w:rsid w:val="009821F7"/>
    <w:rPr>
      <w:rFonts w:eastAsia="Times New Roman"/>
      <w:sz w:val="24"/>
      <w:szCs w:val="20"/>
    </w:rPr>
  </w:style>
  <w:style w:type="paragraph" w:customStyle="1" w:styleId="TableParagraph">
    <w:name w:val="Table Paragraph"/>
    <w:basedOn w:val="Normal"/>
    <w:uiPriority w:val="1"/>
    <w:qFormat/>
    <w:rsid w:val="009821F7"/>
    <w:pPr>
      <w:widowControl w:val="0"/>
      <w:autoSpaceDE w:val="0"/>
      <w:autoSpaceDN w:val="0"/>
      <w:spacing w:before="40"/>
      <w:ind w:left="107"/>
    </w:pPr>
    <w:rPr>
      <w:rFonts w:ascii="Arial Narrow" w:eastAsia="Arial Narrow" w:hAnsi="Arial Narrow" w:cs="Arial Narrow"/>
      <w:sz w:val="22"/>
      <w:szCs w:val="22"/>
      <w:lang w:bidi="en-AU"/>
    </w:rPr>
  </w:style>
  <w:style w:type="paragraph" w:customStyle="1" w:styleId="CommentTabletext">
    <w:name w:val="Comment Table text"/>
    <w:basedOn w:val="Normal"/>
    <w:qFormat/>
    <w:rsid w:val="009821F7"/>
    <w:pPr>
      <w:tabs>
        <w:tab w:val="num" w:pos="720"/>
      </w:tabs>
      <w:spacing w:before="40" w:after="40"/>
      <w:ind w:left="720"/>
      <w:jc w:val="both"/>
    </w:pPr>
    <w:rPr>
      <w:rFonts w:ascii="Arial Narrow" w:hAnsi="Arial Narrow" w:cs="Tahoma"/>
      <w:i/>
      <w:sz w:val="20"/>
    </w:rPr>
  </w:style>
  <w:style w:type="paragraph" w:customStyle="1" w:styleId="Tabletextright">
    <w:name w:val="Table text right"/>
    <w:basedOn w:val="Normal"/>
    <w:link w:val="TabletextrightChar"/>
    <w:qFormat/>
    <w:rsid w:val="009821F7"/>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9821F7"/>
    <w:rPr>
      <w:rFonts w:ascii="Arial Narrow" w:eastAsia="Times New Roman" w:hAnsi="Arial Narrow" w:cs="Arial"/>
      <w:sz w:val="20"/>
      <w:szCs w:val="20"/>
      <w:lang w:eastAsia="en-US"/>
    </w:rPr>
  </w:style>
  <w:style w:type="paragraph" w:customStyle="1" w:styleId="Comment">
    <w:name w:val="Comment"/>
    <w:basedOn w:val="Normal"/>
    <w:link w:val="CommentChar"/>
    <w:qFormat/>
    <w:rsid w:val="009821F7"/>
    <w:pPr>
      <w:tabs>
        <w:tab w:val="num" w:pos="720"/>
      </w:tabs>
      <w:spacing w:after="240" w:line="312" w:lineRule="auto"/>
      <w:jc w:val="both"/>
    </w:pPr>
    <w:rPr>
      <w:rFonts w:ascii="Calibri" w:hAnsi="Calibri" w:cs="Tahoma"/>
      <w:i/>
      <w:sz w:val="22"/>
      <w:szCs w:val="22"/>
    </w:rPr>
  </w:style>
  <w:style w:type="character" w:customStyle="1" w:styleId="CommentChar">
    <w:name w:val="Comment Char"/>
    <w:basedOn w:val="DefaultParagraphFont"/>
    <w:link w:val="Comment"/>
    <w:rsid w:val="009821F7"/>
    <w:rPr>
      <w:rFonts w:ascii="Calibri" w:eastAsia="Times New Roman" w:hAnsi="Calibri" w:cs="Tahoma"/>
      <w:i/>
    </w:rPr>
  </w:style>
  <w:style w:type="character" w:customStyle="1" w:styleId="normaltextrun">
    <w:name w:val="normaltextrun"/>
    <w:basedOn w:val="DefaultParagraphFont"/>
    <w:rsid w:val="009821F7"/>
  </w:style>
  <w:style w:type="character" w:customStyle="1" w:styleId="eop">
    <w:name w:val="eop"/>
    <w:basedOn w:val="DefaultParagraphFont"/>
    <w:rsid w:val="009821F7"/>
  </w:style>
  <w:style w:type="character" w:customStyle="1" w:styleId="Heading3Char">
    <w:name w:val="Heading 3 Char"/>
    <w:basedOn w:val="DefaultParagraphFont"/>
    <w:link w:val="Heading3"/>
    <w:uiPriority w:val="9"/>
    <w:semiHidden/>
    <w:rsid w:val="009821F7"/>
    <w:rPr>
      <w:rFonts w:eastAsiaTheme="majorEastAsia" w:cstheme="majorBidi"/>
      <w:sz w:val="24"/>
      <w:szCs w:val="24"/>
      <w:u w:val="single"/>
    </w:rPr>
  </w:style>
  <w:style w:type="character" w:customStyle="1" w:styleId="Heading4Char">
    <w:name w:val="Heading 4 Char"/>
    <w:basedOn w:val="DefaultParagraphFont"/>
    <w:link w:val="Heading4"/>
    <w:uiPriority w:val="9"/>
    <w:semiHidden/>
    <w:rsid w:val="009821F7"/>
    <w:rPr>
      <w:rFonts w:asciiTheme="majorHAnsi" w:eastAsiaTheme="majorEastAsia" w:hAnsiTheme="majorHAnsi" w:cstheme="majorBidi"/>
      <w:b/>
      <w:bCs/>
      <w:i/>
      <w:iCs/>
      <w:color w:val="4F81BD" w:themeColor="accent1"/>
      <w:sz w:val="24"/>
      <w:szCs w:val="20"/>
    </w:rPr>
  </w:style>
  <w:style w:type="paragraph" w:customStyle="1" w:styleId="Table">
    <w:name w:val="Table"/>
    <w:basedOn w:val="Normal"/>
    <w:link w:val="TableChar"/>
    <w:qFormat/>
    <w:rsid w:val="009821F7"/>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9821F7"/>
    <w:rPr>
      <w:rFonts w:ascii="Candara" w:eastAsiaTheme="majorEastAsia" w:hAnsi="Candara" w:cstheme="majorBidi"/>
      <w:sz w:val="20"/>
      <w:lang w:eastAsia="en-US" w:bidi="en-US"/>
    </w:rPr>
  </w:style>
  <w:style w:type="paragraph" w:customStyle="1" w:styleId="TableCentre">
    <w:name w:val="Table Centre"/>
    <w:basedOn w:val="Table"/>
    <w:uiPriority w:val="99"/>
    <w:qFormat/>
    <w:rsid w:val="009821F7"/>
    <w:pPr>
      <w:jc w:val="center"/>
    </w:pPr>
  </w:style>
  <w:style w:type="paragraph" w:customStyle="1" w:styleId="Tabletextbold">
    <w:name w:val="Table text bold"/>
    <w:basedOn w:val="Normal"/>
    <w:link w:val="TabletextboldChar"/>
    <w:rsid w:val="009821F7"/>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9821F7"/>
    <w:rPr>
      <w:rFonts w:ascii="Arial Narrow" w:eastAsia="Times New Roman" w:hAnsi="Arial Narrow" w:cs="Arial"/>
      <w:b/>
      <w:sz w:val="20"/>
      <w:szCs w:val="20"/>
      <w:lang w:eastAsia="en-US"/>
    </w:rPr>
  </w:style>
  <w:style w:type="paragraph" w:customStyle="1" w:styleId="ESHeading2">
    <w:name w:val="ES Heading 2"/>
    <w:basedOn w:val="Heading2"/>
    <w:link w:val="ESHeading2Char"/>
    <w:rsid w:val="009821F7"/>
    <w:pPr>
      <w:keepNext/>
      <w:spacing w:after="0"/>
      <w:ind w:left="576" w:hanging="576"/>
      <w:jc w:val="both"/>
    </w:pPr>
    <w:rPr>
      <w:rFonts w:ascii="Garamond" w:hAnsi="Garamond"/>
      <w:b w:val="0"/>
      <w:bCs/>
      <w:i/>
      <w:iCs/>
      <w:szCs w:val="28"/>
    </w:rPr>
  </w:style>
  <w:style w:type="character" w:customStyle="1" w:styleId="ESHeading2Char">
    <w:name w:val="ES Heading 2 Char"/>
    <w:basedOn w:val="Heading2Char"/>
    <w:link w:val="ESHeading2"/>
    <w:rsid w:val="009821F7"/>
    <w:rPr>
      <w:rFonts w:ascii="Garamond" w:eastAsia="Times New Roman" w:hAnsi="Garamond"/>
      <w:b w:val="0"/>
      <w:bCs/>
      <w:i/>
      <w:iCs/>
      <w:sz w:val="24"/>
      <w:szCs w:val="28"/>
    </w:rPr>
  </w:style>
  <w:style w:type="table" w:customStyle="1" w:styleId="Submissiontemplate2">
    <w:name w:val="Submission template2"/>
    <w:basedOn w:val="TableNormal"/>
    <w:uiPriority w:val="99"/>
    <w:rsid w:val="009821F7"/>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Emphasis">
    <w:name w:val="Emphasis"/>
    <w:uiPriority w:val="20"/>
    <w:qFormat/>
    <w:locked/>
    <w:rsid w:val="009821F7"/>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9821F7"/>
    <w:pPr>
      <w:jc w:val="left"/>
    </w:pPr>
  </w:style>
  <w:style w:type="character" w:customStyle="1" w:styleId="TabletextboldleftChar">
    <w:name w:val="Table text bold left Char"/>
    <w:basedOn w:val="TabletextboldChar"/>
    <w:link w:val="Tabletextboldleft"/>
    <w:rsid w:val="009821F7"/>
    <w:rPr>
      <w:rFonts w:ascii="Arial Narrow" w:eastAsia="Times New Roman" w:hAnsi="Arial Narrow" w:cs="Arial"/>
      <w:b/>
      <w:sz w:val="20"/>
      <w:szCs w:val="20"/>
      <w:lang w:eastAsia="en-US"/>
    </w:rPr>
  </w:style>
  <w:style w:type="table" w:customStyle="1" w:styleId="Submissiontemplate7">
    <w:name w:val="Submission template7"/>
    <w:basedOn w:val="TableNormal"/>
    <w:uiPriority w:val="99"/>
    <w:rsid w:val="009821F7"/>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9821F7"/>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9821F7"/>
    <w:rPr>
      <w:rFonts w:ascii="Arial Narrow" w:eastAsia="Times New Roman" w:hAnsi="Arial Narrow" w:cs="Arial"/>
      <w:sz w:val="20"/>
      <w:szCs w:val="20"/>
      <w:lang w:eastAsia="en-US"/>
    </w:rPr>
  </w:style>
  <w:style w:type="paragraph" w:customStyle="1" w:styleId="Tabletextcentred">
    <w:name w:val="Table text centred"/>
    <w:basedOn w:val="Tabletext"/>
    <w:link w:val="TabletextcentredChar"/>
    <w:qFormat/>
    <w:rsid w:val="009821F7"/>
    <w:pPr>
      <w:jc w:val="center"/>
    </w:pPr>
  </w:style>
  <w:style w:type="character" w:customStyle="1" w:styleId="TabletextcentredChar">
    <w:name w:val="Table text centred Char"/>
    <w:basedOn w:val="TabletextChar"/>
    <w:link w:val="Tabletextcentred"/>
    <w:rsid w:val="009821F7"/>
    <w:rPr>
      <w:rFonts w:ascii="Arial Narrow" w:eastAsia="Times New Roman" w:hAnsi="Arial Narrow"/>
      <w:sz w:val="20"/>
      <w:szCs w:val="24"/>
      <w:lang w:eastAsia="en-US"/>
    </w:rPr>
  </w:style>
  <w:style w:type="character" w:customStyle="1" w:styleId="TableBold">
    <w:name w:val="Table Bold"/>
    <w:uiPriority w:val="4"/>
    <w:qFormat/>
    <w:rsid w:val="009821F7"/>
    <w:rPr>
      <w:rFonts w:ascii="Calibri" w:hAnsi="Calibri" w:hint="default"/>
      <w:b/>
      <w:bCs w:val="0"/>
      <w:sz w:val="20"/>
      <w:lang w:val="en-AU"/>
    </w:rPr>
  </w:style>
  <w:style w:type="table" w:customStyle="1" w:styleId="TableGrid12">
    <w:name w:val="Table Grid12"/>
    <w:basedOn w:val="TableNormal"/>
    <w:next w:val="TableGrid"/>
    <w:uiPriority w:val="59"/>
    <w:rsid w:val="009821F7"/>
    <w:rPr>
      <w:rFonts w:ascii="Candara" w:eastAsia="Times New Roman" w:hAnsi="Candara" w:cstheme="majorBidi"/>
      <w:sz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9821F7"/>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9821F7"/>
    <w:rPr>
      <w:rFonts w:ascii="Arial" w:eastAsia="Times New Roman" w:hAnsi="Arial" w:cs="Arial"/>
      <w:color w:val="3366FF"/>
      <w:sz w:val="24"/>
      <w:szCs w:val="24"/>
    </w:rPr>
  </w:style>
  <w:style w:type="paragraph" w:styleId="NoSpacing">
    <w:name w:val="No Spacing"/>
    <w:uiPriority w:val="1"/>
    <w:qFormat/>
    <w:rsid w:val="009821F7"/>
    <w:rPr>
      <w:rFonts w:asciiTheme="minorHAnsi" w:eastAsiaTheme="minorHAnsi" w:hAnsiTheme="minorHAnsi" w:cstheme="minorBidi"/>
      <w:lang w:eastAsia="en-US"/>
    </w:rPr>
  </w:style>
  <w:style w:type="paragraph" w:customStyle="1" w:styleId="NormalBulletList">
    <w:name w:val="Normal Bullet List"/>
    <w:basedOn w:val="Normal"/>
    <w:uiPriority w:val="3"/>
    <w:qFormat/>
    <w:rsid w:val="009821F7"/>
    <w:pPr>
      <w:numPr>
        <w:numId w:val="13"/>
      </w:numPr>
      <w:spacing w:after="240" w:line="276" w:lineRule="auto"/>
      <w:contextualSpacing/>
    </w:pPr>
    <w:rPr>
      <w:rFonts w:eastAsiaTheme="majorEastAsia"/>
      <w:szCs w:val="22"/>
      <w:lang w:eastAsia="en-US" w:bidi="en-US"/>
    </w:rPr>
  </w:style>
  <w:style w:type="paragraph" w:styleId="EndnoteText">
    <w:name w:val="endnote text"/>
    <w:basedOn w:val="Normal"/>
    <w:link w:val="EndnoteTextChar"/>
    <w:rsid w:val="009821F7"/>
    <w:pPr>
      <w:widowControl w:val="0"/>
    </w:pPr>
    <w:rPr>
      <w:snapToGrid w:val="0"/>
      <w:sz w:val="20"/>
      <w:lang w:val="en-US" w:eastAsia="en-US"/>
    </w:rPr>
  </w:style>
  <w:style w:type="character" w:customStyle="1" w:styleId="EndnoteTextChar">
    <w:name w:val="Endnote Text Char"/>
    <w:basedOn w:val="DefaultParagraphFont"/>
    <w:link w:val="EndnoteText"/>
    <w:rsid w:val="009821F7"/>
    <w:rPr>
      <w:rFonts w:eastAsia="Times New Roman"/>
      <w:snapToGrid w:val="0"/>
      <w:sz w:val="20"/>
      <w:szCs w:val="20"/>
      <w:lang w:val="en-US" w:eastAsia="en-US"/>
    </w:rPr>
  </w:style>
  <w:style w:type="character" w:styleId="EndnoteReference">
    <w:name w:val="endnote reference"/>
    <w:basedOn w:val="DefaultParagraphFont"/>
    <w:rsid w:val="009821F7"/>
    <w:rPr>
      <w:vertAlign w:val="superscript"/>
    </w:rPr>
  </w:style>
  <w:style w:type="character" w:customStyle="1" w:styleId="SmallBold">
    <w:name w:val="Small Bold"/>
    <w:basedOn w:val="DefaultParagraphFont"/>
    <w:uiPriority w:val="4"/>
    <w:qFormat/>
    <w:rsid w:val="009821F7"/>
    <w:rPr>
      <w:rFonts w:ascii="Candara" w:hAnsi="Candara"/>
      <w:b/>
      <w:sz w:val="20"/>
      <w:lang w:val="en-AU"/>
    </w:rPr>
  </w:style>
  <w:style w:type="table" w:customStyle="1" w:styleId="Submissiontemplate">
    <w:name w:val="Submission template"/>
    <w:basedOn w:val="TableNormal"/>
    <w:uiPriority w:val="99"/>
    <w:rsid w:val="009821F7"/>
    <w:rPr>
      <w:rFonts w:ascii="Candara" w:eastAsiaTheme="majorEastAsia" w:hAnsi="Candara" w:cstheme="majorBidi"/>
      <w:sz w:val="20"/>
      <w:lang w:val="en-US" w:eastAsia="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Heading">
    <w:name w:val="TableHeading"/>
    <w:basedOn w:val="Normal"/>
    <w:link w:val="TableHeadingChar"/>
    <w:qFormat/>
    <w:rsid w:val="009821F7"/>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9821F7"/>
    <w:rPr>
      <w:rFonts w:ascii="Arial Narrow" w:eastAsia="Times New Roman" w:hAnsi="Arial Narrow" w:cs="Tahoma"/>
      <w:b/>
      <w:noProof/>
      <w:sz w:val="20"/>
      <w:szCs w:val="20"/>
    </w:rPr>
  </w:style>
  <w:style w:type="table" w:customStyle="1" w:styleId="TableGrid2">
    <w:name w:val="Table Grid2"/>
    <w:basedOn w:val="TableNormal"/>
    <w:next w:val="TableGrid"/>
    <w:rsid w:val="009821F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paragraph" w:customStyle="1" w:styleId="Tablenotes1">
    <w:name w:val="Tablenotes 1"/>
    <w:basedOn w:val="Normal"/>
    <w:link w:val="Tablenotes1Char"/>
    <w:qFormat/>
    <w:rsid w:val="009821F7"/>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9821F7"/>
    <w:rPr>
      <w:rFonts w:ascii="Arial Narrow" w:eastAsia="Times New Roman" w:hAnsi="Arial Narrow" w:cs="Arial"/>
      <w:snapToGrid w:val="0"/>
      <w:sz w:val="18"/>
      <w:szCs w:val="20"/>
      <w:lang w:eastAsia="en-US"/>
    </w:rPr>
  </w:style>
  <w:style w:type="numbering" w:customStyle="1" w:styleId="Heading1a">
    <w:name w:val="Heading 1a"/>
    <w:basedOn w:val="NoList"/>
    <w:uiPriority w:val="99"/>
    <w:rsid w:val="009821F7"/>
    <w:pPr>
      <w:numPr>
        <w:numId w:val="14"/>
      </w:numPr>
    </w:pPr>
  </w:style>
  <w:style w:type="paragraph" w:customStyle="1" w:styleId="Tabletext-left">
    <w:name w:val="Table text - left"/>
    <w:basedOn w:val="Normal"/>
    <w:link w:val="Tabletext-leftChar"/>
    <w:rsid w:val="009821F7"/>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9821F7"/>
    <w:rPr>
      <w:rFonts w:asciiTheme="minorHAnsi" w:eastAsia="Times New Roman" w:hAnsiTheme="minorHAnsi" w:cs="Arial"/>
      <w:sz w:val="20"/>
      <w:szCs w:val="20"/>
      <w:lang w:eastAsia="en-US"/>
    </w:rPr>
  </w:style>
  <w:style w:type="table" w:customStyle="1" w:styleId="TableGrid9">
    <w:name w:val="Table Grid9"/>
    <w:basedOn w:val="TableNormal"/>
    <w:next w:val="TableGrid"/>
    <w:uiPriority w:val="39"/>
    <w:rsid w:val="009821F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821F7"/>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StylePr>
  </w:style>
  <w:style w:type="paragraph" w:customStyle="1" w:styleId="Sub-title">
    <w:name w:val="Sub-title"/>
    <w:basedOn w:val="Normal"/>
    <w:rsid w:val="009821F7"/>
    <w:pPr>
      <w:spacing w:after="240" w:line="312" w:lineRule="auto"/>
      <w:ind w:right="113"/>
      <w:jc w:val="right"/>
    </w:pPr>
    <w:rPr>
      <w:rFonts w:ascii="Arial" w:hAnsi="Arial" w:cs="Tahoma"/>
      <w:b/>
      <w:sz w:val="32"/>
      <w:szCs w:val="22"/>
    </w:rPr>
  </w:style>
  <w:style w:type="paragraph" w:customStyle="1" w:styleId="TableText0">
    <w:name w:val="Table Text"/>
    <w:basedOn w:val="Normal"/>
    <w:link w:val="TableTextChar0"/>
    <w:qFormat/>
    <w:rsid w:val="009821F7"/>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9821F7"/>
    <w:rPr>
      <w:rFonts w:ascii="Arial Narrow" w:eastAsia="Times New Roman" w:hAnsi="Arial Narrow" w:cs="Tahoma"/>
      <w:sz w:val="20"/>
      <w:lang w:eastAsia="en-US"/>
    </w:rPr>
  </w:style>
  <w:style w:type="paragraph" w:customStyle="1" w:styleId="Tablefooter">
    <w:name w:val="Table footer"/>
    <w:basedOn w:val="Normal"/>
    <w:next w:val="Normal"/>
    <w:link w:val="TablefooterChar"/>
    <w:qFormat/>
    <w:rsid w:val="009821F7"/>
    <w:pPr>
      <w:spacing w:before="80" w:after="80"/>
    </w:pPr>
    <w:rPr>
      <w:rFonts w:ascii="Arial Narrow" w:eastAsiaTheme="minorEastAsia" w:hAnsi="Arial Narrow" w:cs="Arial Narrow"/>
      <w:sz w:val="16"/>
      <w:szCs w:val="16"/>
    </w:rPr>
  </w:style>
  <w:style w:type="character" w:customStyle="1" w:styleId="TablefooterChar">
    <w:name w:val="Table footer Char"/>
    <w:basedOn w:val="DefaultParagraphFont"/>
    <w:link w:val="Tablefooter"/>
    <w:rsid w:val="009821F7"/>
    <w:rPr>
      <w:rFonts w:ascii="Arial Narrow" w:eastAsiaTheme="minorEastAsia" w:hAnsi="Arial Narrow" w:cs="Arial Narrow"/>
      <w:sz w:val="16"/>
      <w:szCs w:val="16"/>
    </w:rPr>
  </w:style>
  <w:style w:type="paragraph" w:customStyle="1" w:styleId="Summaryboxheading">
    <w:name w:val="Summary box heading"/>
    <w:basedOn w:val="Normal"/>
    <w:rsid w:val="009821F7"/>
    <w:pPr>
      <w:spacing w:before="120" w:after="100" w:afterAutospacing="1" w:line="312" w:lineRule="auto"/>
    </w:pPr>
    <w:rPr>
      <w:rFonts w:ascii="Arial Narrow" w:hAnsi="Arial Narrow" w:cs="Tahoma"/>
      <w:b/>
      <w:sz w:val="22"/>
      <w:szCs w:val="22"/>
    </w:rPr>
  </w:style>
  <w:style w:type="paragraph" w:customStyle="1" w:styleId="TableText1">
    <w:name w:val="TableText"/>
    <w:basedOn w:val="Normal"/>
    <w:link w:val="TableTextChar1"/>
    <w:rsid w:val="009821F7"/>
    <w:pPr>
      <w:keepNext/>
      <w:spacing w:before="40" w:after="40" w:line="312" w:lineRule="auto"/>
    </w:pPr>
    <w:rPr>
      <w:rFonts w:ascii="Arial Narrow" w:hAnsi="Arial Narrow" w:cs="Tahoma"/>
      <w:sz w:val="18"/>
      <w:szCs w:val="22"/>
    </w:rPr>
  </w:style>
  <w:style w:type="character" w:customStyle="1" w:styleId="TableTextChar1">
    <w:name w:val="TableText Char"/>
    <w:link w:val="TableText1"/>
    <w:rsid w:val="009821F7"/>
    <w:rPr>
      <w:rFonts w:ascii="Arial Narrow" w:eastAsia="Times New Roman" w:hAnsi="Arial Narrow" w:cs="Tahoma"/>
      <w:sz w:val="18"/>
    </w:rPr>
  </w:style>
  <w:style w:type="paragraph" w:customStyle="1" w:styleId="BulletBeforeDash">
    <w:name w:val="BulletBeforeDash"/>
    <w:basedOn w:val="Normal"/>
    <w:rsid w:val="007E47BB"/>
    <w:pPr>
      <w:numPr>
        <w:numId w:val="16"/>
      </w:numPr>
      <w:ind w:left="720"/>
    </w:pPr>
    <w:rPr>
      <w:color w:val="000000"/>
    </w:rPr>
  </w:style>
  <w:style w:type="paragraph" w:customStyle="1" w:styleId="BulletLast">
    <w:name w:val="BulletLast"/>
    <w:basedOn w:val="Normal"/>
    <w:qFormat/>
    <w:rsid w:val="007E47BB"/>
    <w:pPr>
      <w:numPr>
        <w:numId w:val="2"/>
      </w:numPr>
      <w:spacing w:after="240"/>
    </w:pPr>
    <w:rPr>
      <w:color w:val="000000"/>
    </w:rPr>
  </w:style>
  <w:style w:type="paragraph" w:styleId="Revision">
    <w:name w:val="Revision"/>
    <w:hidden/>
    <w:uiPriority w:val="99"/>
    <w:semiHidden/>
    <w:rsid w:val="000129A9"/>
    <w:rPr>
      <w:rFonts w:eastAsia="Times New Roman"/>
      <w:sz w:val="24"/>
      <w:szCs w:val="20"/>
    </w:rPr>
  </w:style>
  <w:style w:type="character" w:customStyle="1" w:styleId="TableFigureFooterChar">
    <w:name w:val="Table/Figure Footer Char"/>
    <w:link w:val="TableFigureFooter"/>
    <w:locked/>
    <w:rsid w:val="00A22F36"/>
    <w:rPr>
      <w:rFonts w:ascii="Arial Narrow" w:eastAsia="Times New Roman" w:hAnsi="Arial Narrow" w:cs="Arial"/>
      <w:sz w:val="18"/>
    </w:rPr>
  </w:style>
  <w:style w:type="paragraph" w:customStyle="1" w:styleId="TableFigureFooter">
    <w:name w:val="Table/Figure Footer"/>
    <w:basedOn w:val="Normal"/>
    <w:link w:val="TableFigureFooterChar"/>
    <w:qFormat/>
    <w:rsid w:val="00A22F36"/>
    <w:pPr>
      <w:snapToGrid w:val="0"/>
      <w:spacing w:after="120"/>
      <w:contextualSpacing/>
      <w:jc w:val="both"/>
    </w:pPr>
    <w:rPr>
      <w:rFonts w:ascii="Arial Narrow" w:hAnsi="Arial Narrow" w:cs="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cessdata.fda.gov/scripts/cdrh/cfdocs/cfpmn/pmn.cfm?ID=K134052" TargetMode="Externa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sac.gov.au/internet/msac/publishing.nsf/Content/1455-public"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sac.gov.au/internet/msac/publishing.nsf/Content/1455-public" TargetMode="External"/><Relationship Id="rId20" Type="http://schemas.openxmlformats.org/officeDocument/2006/relationships/hyperlink" Target="http://www.msa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cmprd01.central.health/internet/msac/publishing.nsf/Content/1455-publi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1.health.gov.au/internet/main/publishing.nsf/Content/MBSR-closed-consul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msac.gov.au/internet/msac/publishing.nsf/Content/1455-public" TargetMode="External"/><Relationship Id="rId19" Type="http://schemas.openxmlformats.org/officeDocument/2006/relationships/hyperlink" Target="http://www.msac.gov.au/internet/msac/publishing.nsf/Content/1455-public"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1455-public"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5F350-FDD7-40C3-83D2-46565172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15244</Words>
  <Characters>141579</Characters>
  <Application>Microsoft Office Word</Application>
  <DocSecurity>0</DocSecurity>
  <Lines>1179</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2021-02-25T03:26:00Z</dcterms:created>
  <dcterms:modified xsi:type="dcterms:W3CDTF">2021-02-26T04:29:00Z</dcterms:modified>
</cp:coreProperties>
</file>