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3CCA1" w14:textId="1F00B151"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34CF39B4" wp14:editId="0CE57966">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E0E357F"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62273063" w14:textId="77777777" w:rsidR="00BC1364" w:rsidRPr="00F715D1" w:rsidRDefault="00BC1364" w:rsidP="00F715D1">
      <w:pPr>
        <w:pStyle w:val="Subtitle"/>
      </w:pPr>
      <w:r w:rsidRPr="00F715D1">
        <w:t xml:space="preserve">Application No. </w:t>
      </w:r>
      <w:r w:rsidR="00F878CB">
        <w:t>15</w:t>
      </w:r>
      <w:r w:rsidR="0028237B">
        <w:t>75</w:t>
      </w:r>
      <w:r w:rsidRPr="00F715D1">
        <w:t xml:space="preserve"> – </w:t>
      </w:r>
      <w:r w:rsidR="0028237B">
        <w:t>Autologous fat grafting (AFG) by injection, for defects arising from breast surgery, breast cancer treatment / prevention and congenital breast deformity.</w:t>
      </w:r>
    </w:p>
    <w:p w14:paraId="61239F97" w14:textId="5DF30237" w:rsidR="0066172E" w:rsidRPr="00F715D1" w:rsidRDefault="00B35595" w:rsidP="009F4A74">
      <w:pPr>
        <w:tabs>
          <w:tab w:val="left" w:pos="3686"/>
        </w:tabs>
        <w:ind w:left="3686" w:hanging="3686"/>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C87DA0">
        <w:rPr>
          <w:rFonts w:ascii="Arial" w:hAnsi="Arial" w:cs="Arial"/>
          <w:b/>
          <w:szCs w:val="24"/>
        </w:rPr>
        <w:t xml:space="preserve">Breast Surgeons </w:t>
      </w:r>
      <w:r w:rsidR="007F47DB">
        <w:rPr>
          <w:rFonts w:ascii="Arial" w:hAnsi="Arial" w:cs="Arial"/>
          <w:b/>
          <w:szCs w:val="24"/>
        </w:rPr>
        <w:t xml:space="preserve">of </w:t>
      </w:r>
      <w:r w:rsidR="00C87DA0">
        <w:rPr>
          <w:rFonts w:ascii="Arial" w:hAnsi="Arial" w:cs="Arial"/>
          <w:b/>
          <w:szCs w:val="24"/>
        </w:rPr>
        <w:t xml:space="preserve">Australia </w:t>
      </w:r>
      <w:r w:rsidR="007F47DB">
        <w:rPr>
          <w:rFonts w:ascii="Arial" w:hAnsi="Arial" w:cs="Arial"/>
          <w:b/>
          <w:szCs w:val="24"/>
        </w:rPr>
        <w:t xml:space="preserve">and </w:t>
      </w:r>
      <w:r w:rsidR="00C87DA0">
        <w:rPr>
          <w:rFonts w:ascii="Arial" w:hAnsi="Arial" w:cs="Arial"/>
          <w:b/>
          <w:szCs w:val="24"/>
        </w:rPr>
        <w:t>New Zealand (BreastSurg ANZ)</w:t>
      </w:r>
    </w:p>
    <w:p w14:paraId="2EAE4EC8" w14:textId="77777777" w:rsidR="00BC1364" w:rsidRPr="00F715D1" w:rsidRDefault="00BC1364" w:rsidP="009F4A74">
      <w:pPr>
        <w:tabs>
          <w:tab w:val="left" w:pos="3686"/>
        </w:tabs>
        <w:spacing w:before="240"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F878CB">
        <w:rPr>
          <w:rFonts w:ascii="Arial" w:hAnsi="Arial" w:cs="Arial"/>
          <w:b/>
          <w:szCs w:val="24"/>
        </w:rPr>
        <w:t>79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F878CB">
        <w:rPr>
          <w:rFonts w:ascii="Arial" w:hAnsi="Arial" w:cs="Arial"/>
          <w:b/>
          <w:szCs w:val="24"/>
        </w:rPr>
        <w:t>28-29 July 2020</w:t>
      </w:r>
    </w:p>
    <w:p w14:paraId="701109D9"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58B3B6B4" w14:textId="77777777" w:rsidR="003D7F29" w:rsidRPr="00F715D1" w:rsidRDefault="003D7F29" w:rsidP="00F715D1">
      <w:pPr>
        <w:pStyle w:val="Heading1"/>
      </w:pPr>
      <w:r w:rsidRPr="00F715D1">
        <w:t>Purpose of application</w:t>
      </w:r>
      <w:r w:rsidR="00822C7E" w:rsidRPr="00F715D1">
        <w:t xml:space="preserve"> </w:t>
      </w:r>
    </w:p>
    <w:p w14:paraId="0174EE63" w14:textId="77777777" w:rsidR="00C204FB" w:rsidRPr="00687501" w:rsidRDefault="00687501" w:rsidP="00687501">
      <w:r>
        <w:t xml:space="preserve">An application </w:t>
      </w:r>
      <w:r w:rsidRPr="00F738F7">
        <w:t xml:space="preserve">requesting </w:t>
      </w:r>
      <w:r>
        <w:t>Medicare Benefits Schedule (</w:t>
      </w:r>
      <w:r w:rsidRPr="00F738F7">
        <w:t>MBS</w:t>
      </w:r>
      <w:r>
        <w:t>)</w:t>
      </w:r>
      <w:r w:rsidRPr="00F738F7">
        <w:t xml:space="preserve"> listing</w:t>
      </w:r>
      <w:r>
        <w:t xml:space="preserve"> of autologous fat grafting (AFG) injection for </w:t>
      </w:r>
      <w:r w:rsidRPr="00F738F7">
        <w:t>the treatment/management of defects arising from breast surgery, breast cancer treatment/prevention and congenital breast deformity</w:t>
      </w:r>
      <w:r>
        <w:t xml:space="preserve"> was received from Breast Surgeons of Australia and New Zealand</w:t>
      </w:r>
      <w:r w:rsidRPr="00F738F7">
        <w:t xml:space="preserve"> </w:t>
      </w:r>
      <w:r>
        <w:t>by the Department of Health.</w:t>
      </w:r>
    </w:p>
    <w:p w14:paraId="7DE9FB04" w14:textId="77777777" w:rsidR="00E977EE" w:rsidRPr="00F715D1" w:rsidRDefault="00E977EE" w:rsidP="00F715D1">
      <w:pPr>
        <w:pStyle w:val="Heading1"/>
      </w:pPr>
      <w:r w:rsidRPr="00F715D1">
        <w:t>MSAC’s advice to the Minister</w:t>
      </w:r>
    </w:p>
    <w:p w14:paraId="1BC3B4CB" w14:textId="44349CA7" w:rsidR="009F4A74" w:rsidRDefault="00C65D70" w:rsidP="009F4A74">
      <w:pPr>
        <w:spacing w:after="240"/>
      </w:pPr>
      <w:r>
        <w:t>After considering the strength of the available evidence in relation to comparative safety, clinical effectiveness and cost-effectiveness, MSAC supported public funding for AFG injection for the treatment/management of defects arising from breast surgery, breast cancer treatment/prevention and congenital breast deformity. MSAC noted limitations in the evidence, but considered that, on balance, the totality of evidence indicated that AFG is safe, cost-effective, and will have modest costs to the MBS while reducing out-of-pocket costs for patients. MSAC accepted that AFG is an established standard practice for treating and managing these patients.</w:t>
      </w:r>
      <w:r w:rsidR="00796C6F">
        <w:t xml:space="preserve"> </w:t>
      </w:r>
      <w:r>
        <w:t>MSAC noted issues regarding the fee and potential leakage for cosmetic use, particularly in the congenital breast deformity population. MSAC recommended a review be conducted after 1 year to observe if leakage due to cosmetic use is occurring.</w:t>
      </w:r>
    </w:p>
    <w:tbl>
      <w:tblPr>
        <w:tblStyle w:val="TableGrid"/>
        <w:tblW w:w="0" w:type="auto"/>
        <w:tblLook w:val="04A0" w:firstRow="1" w:lastRow="0" w:firstColumn="1" w:lastColumn="0" w:noHBand="0" w:noVBand="1"/>
        <w:tblDescription w:val="Consumer summary of MSAC consideration"/>
      </w:tblPr>
      <w:tblGrid>
        <w:gridCol w:w="9016"/>
      </w:tblGrid>
      <w:tr w:rsidR="009F4A74" w14:paraId="04B21CF5" w14:textId="77777777" w:rsidTr="00B72DF9">
        <w:trPr>
          <w:tblHeader/>
        </w:trPr>
        <w:tc>
          <w:tcPr>
            <w:tcW w:w="9016" w:type="dxa"/>
          </w:tcPr>
          <w:p w14:paraId="1E322495" w14:textId="2AA7BA17" w:rsidR="009F4A74" w:rsidRPr="009F4A74" w:rsidRDefault="009F4A74" w:rsidP="009F4A74">
            <w:pPr>
              <w:spacing w:before="120" w:after="120"/>
              <w:rPr>
                <w:b/>
              </w:rPr>
            </w:pPr>
            <w:r w:rsidRPr="009F4A74">
              <w:rPr>
                <w:b/>
              </w:rPr>
              <w:t>Consumer summary</w:t>
            </w:r>
          </w:p>
        </w:tc>
      </w:tr>
      <w:tr w:rsidR="009F4A74" w14:paraId="64A61A9A" w14:textId="77777777" w:rsidTr="009F4A74">
        <w:tc>
          <w:tcPr>
            <w:tcW w:w="9016" w:type="dxa"/>
          </w:tcPr>
          <w:p w14:paraId="5C476FC6" w14:textId="77777777" w:rsidR="009F4A74" w:rsidRDefault="009F4A74" w:rsidP="009F4A74">
            <w:r>
              <w:t>Breast Surgeons of Australia and New Zealand applied for public funding via the Medicare Benefits Schedule (MBS) for the use of autologous fat grafting (AFG) for people who have breast defects as a result of breast surgery, breast cancer treatment or prevention, or who were born with certain breast deformities.</w:t>
            </w:r>
          </w:p>
          <w:p w14:paraId="3B97E103" w14:textId="77777777" w:rsidR="009F4A74" w:rsidRDefault="009F4A74" w:rsidP="009F4A74">
            <w:r>
              <w:lastRenderedPageBreak/>
              <w:t>AFG is a type of surgery that takes fat from one part of the body (such as the thigh) using liposuction, and injects it into another part of the body (such as the breast). The transferred fat adds volume to the area it is injected into, which can help correct defects. Over time, the body absorbs some of the transferred fat, so AFG is usually done several times to reach the desired effect.</w:t>
            </w:r>
          </w:p>
          <w:p w14:paraId="4CA00103" w14:textId="77777777" w:rsidR="009F4A74" w:rsidRDefault="009F4A74" w:rsidP="009F4A74">
            <w:pPr>
              <w:spacing w:before="240"/>
            </w:pPr>
            <w:r>
              <w:t>MSAC noted that the clinical studies on AFG were low quality, making it difficult to be sure that AFG is safe and effective. After reviewing all of the available evidence, MSAC considered that, overall, AFG is safe, effective and cost-effective.</w:t>
            </w:r>
          </w:p>
          <w:p w14:paraId="3153B086" w14:textId="77777777" w:rsidR="009F4A74" w:rsidRDefault="009F4A74" w:rsidP="009F4A74">
            <w:pPr>
              <w:spacing w:before="240"/>
            </w:pPr>
            <w:r>
              <w:t>MSAC noted the large number of comments from consumers and practitioners, which supported AFG. Consumers mentioned that AFG had benefits such as pain relief, minimal scarring and the convenience of a same-day procedure. MSAC also noted the psychological impact that breast defects due to cancer treatment or prevention can have on a person’s wellbeing, and that the availability of effective treatment options can improve quality of life in these circumstances. MSAC noted AFG is already a standard practice for treating and managing these patients, so MBS listing will improve access to AFG services and reduce out-of-pocket costs for consumers.</w:t>
            </w:r>
          </w:p>
          <w:p w14:paraId="72A7D5C0" w14:textId="77777777" w:rsidR="009F4A74" w:rsidRDefault="009F4A74" w:rsidP="009F4A74">
            <w:pPr>
              <w:spacing w:before="240"/>
            </w:pPr>
            <w:r>
              <w:t>MSAC was concerned that people may try to use this MBS item to claim AFG services for cosmetic reasons, which is not funded under the MBS. To prevent this, MSAC decided to list the specific conditions that are covered under this item number, and to limit use of the item to certain types of specialists. MSAC recommended that the MBS item is reviewed after one year to check that it is being used properly. MSAC also asked the Department to look at the MBS fees for other breast-related procedures to make sure the proposed fee for AFG is in line with those, especially considering that the AFG fee can be claimed up to five times.</w:t>
            </w:r>
          </w:p>
          <w:p w14:paraId="2BC0151F" w14:textId="77777777" w:rsidR="009F4A74" w:rsidRPr="009F4A74" w:rsidRDefault="009F4A74" w:rsidP="009F4A74">
            <w:pPr>
              <w:spacing w:before="240" w:after="120"/>
              <w:rPr>
                <w:b/>
              </w:rPr>
            </w:pPr>
            <w:r w:rsidRPr="009F4A74">
              <w:rPr>
                <w:b/>
              </w:rPr>
              <w:t>MSAC’s advice to the Commonwealth Minister for Health</w:t>
            </w:r>
          </w:p>
          <w:p w14:paraId="400D98A7" w14:textId="02F70F2C" w:rsidR="009F4A74" w:rsidRDefault="009F4A74" w:rsidP="009F4A74">
            <w:pPr>
              <w:spacing w:after="120"/>
            </w:pPr>
            <w:r>
              <w:t>MSAC supported public funding for AFG for people with certain breast defects and breast surgeries. MSAC accepted that AFG was likely effective, safe and cost-effective. MSAC recommended review of use of the item after one year to check it is being used as intended.</w:t>
            </w:r>
          </w:p>
        </w:tc>
      </w:tr>
    </w:tbl>
    <w:p w14:paraId="7F7BB9E1" w14:textId="77777777" w:rsidR="00550354" w:rsidRPr="00F715D1" w:rsidRDefault="00550354" w:rsidP="00F715D1">
      <w:pPr>
        <w:pStyle w:val="Heading1"/>
      </w:pPr>
      <w:r w:rsidRPr="00F715D1">
        <w:lastRenderedPageBreak/>
        <w:t xml:space="preserve">Summary of consideration and rationale for MSAC’s advice </w:t>
      </w:r>
    </w:p>
    <w:p w14:paraId="4C9B6795" w14:textId="04D0A19E" w:rsidR="004A37A2" w:rsidRDefault="00C65D70" w:rsidP="00C65D70">
      <w:r>
        <w:t>MSAC noted the application was requesting MBS listing for AFG injection for the management of defects arising from breast surgery, breast cancer treatment/prevention (Population A, with 3 subpopulations) and congenital breast deformity (Population B).</w:t>
      </w:r>
      <w:r w:rsidR="007F011C">
        <w:t xml:space="preserve"> </w:t>
      </w:r>
      <w:r>
        <w:t>MSAC noted this application arose from an MBS Review Taskforce recommendation and initially covered a broader population, which was split into MSAC Application 1575 and 1577. The linked MSAC Application 1577 is requesting MBS listing for AFG for the treatment of burn scars, and facial defects due to craniofacial abnormalities.</w:t>
      </w:r>
    </w:p>
    <w:p w14:paraId="1B2E4EC0" w14:textId="32DA3686" w:rsidR="00C65D70" w:rsidRDefault="004A37A2" w:rsidP="009F4A74">
      <w:pPr>
        <w:spacing w:before="240"/>
      </w:pPr>
      <w:r>
        <w:t xml:space="preserve">MSAC noted the extensive feedback from consumers and practitioners, which was supportive of the application. Consumers cited benefits of AFG including pain relief, minimal scarring and the convenience of a same-day procedure. Some consumers reported that they had received implants because they could not afford AFG. MSAC accepted that AFG is an established standard practice for treating and managing these patients, and acknowledged that </w:t>
      </w:r>
      <w:r>
        <w:lastRenderedPageBreak/>
        <w:t>MBS listing may improve access to breast reconstruction options for patients in rural areas, or for those who are unsuitable for skin flap or prosthesis.</w:t>
      </w:r>
    </w:p>
    <w:p w14:paraId="30449C24" w14:textId="461EE0DD" w:rsidR="004A37A2" w:rsidRDefault="00C65D70" w:rsidP="007F011C">
      <w:pPr>
        <w:spacing w:before="240"/>
      </w:pPr>
      <w:r>
        <w:t>MSAC noted the issues raised by the Evaluation Sub-Committee (ESC), including the</w:t>
      </w:r>
      <w:r w:rsidR="0081552B">
        <w:t xml:space="preserve"> complex patient populations</w:t>
      </w:r>
      <w:r w:rsidR="005E2803">
        <w:t xml:space="preserve"> with difficulty to define a true comparator for each subgroup,</w:t>
      </w:r>
      <w:r>
        <w:t xml:space="preserve"> low quality of evidence and uncertain comparative safety</w:t>
      </w:r>
      <w:r w:rsidR="008234A6">
        <w:t xml:space="preserve">, but MSAC considered that </w:t>
      </w:r>
      <w:r w:rsidR="00B11137">
        <w:t>although limited</w:t>
      </w:r>
      <w:r w:rsidR="00BD4AEE">
        <w:t>,</w:t>
      </w:r>
      <w:r w:rsidR="00B11137">
        <w:t xml:space="preserve"> </w:t>
      </w:r>
      <w:r w:rsidR="008234A6">
        <w:t>the available evidence indicated AFG is safe</w:t>
      </w:r>
      <w:r w:rsidR="00585DDA">
        <w:t xml:space="preserve"> in both patient populations</w:t>
      </w:r>
      <w:r w:rsidR="008234A6">
        <w:t>. MSAC noted the c</w:t>
      </w:r>
      <w:r>
        <w:t>linical effectiveness studies indicate</w:t>
      </w:r>
      <w:r w:rsidR="008234A6">
        <w:t>d</w:t>
      </w:r>
      <w:r>
        <w:t xml:space="preserve"> that AFG may reduce pain and analgesic use, and improve patient satisfaction (BREAST-Q scores) compared with best supportive care.</w:t>
      </w:r>
      <w:r w:rsidR="00524D97">
        <w:t xml:space="preserve"> MSAC noted the limited evidence on the duration of effect of AFG in both patient populations, and that the rate of fat resorption over time appears to vary widely and may contribute to uncertainty. </w:t>
      </w:r>
      <w:r>
        <w:t xml:space="preserve"> MSAC concluded that, based on the limited evidence, AFG is likely to </w:t>
      </w:r>
      <w:r w:rsidR="008234A6">
        <w:t>have</w:t>
      </w:r>
      <w:r>
        <w:t xml:space="preserve"> superior </w:t>
      </w:r>
      <w:r w:rsidR="008234A6">
        <w:t xml:space="preserve">effectiveness </w:t>
      </w:r>
      <w:r w:rsidR="00307064">
        <w:t>compared with</w:t>
      </w:r>
      <w:r>
        <w:t xml:space="preserve"> </w:t>
      </w:r>
      <w:r w:rsidR="00585DDA">
        <w:t>best supportive care</w:t>
      </w:r>
      <w:r w:rsidR="00307064">
        <w:t xml:space="preserve"> or reconstruction alone </w:t>
      </w:r>
      <w:r w:rsidR="005E2803">
        <w:t>in</w:t>
      </w:r>
      <w:r w:rsidR="00307064">
        <w:t xml:space="preserve"> most subpopulations</w:t>
      </w:r>
      <w:r>
        <w:t xml:space="preserve"> for Population A</w:t>
      </w:r>
      <w:r w:rsidR="00EC23B8">
        <w:t xml:space="preserve">. </w:t>
      </w:r>
      <w:r w:rsidR="00585DDA">
        <w:t>However, the clinical</w:t>
      </w:r>
      <w:r>
        <w:t xml:space="preserve"> effectiveness</w:t>
      </w:r>
      <w:r w:rsidR="00585DDA">
        <w:t xml:space="preserve"> of AFG</w:t>
      </w:r>
      <w:r>
        <w:t xml:space="preserve"> is uncertain for Population</w:t>
      </w:r>
      <w:r w:rsidR="00585DDA">
        <w:t> </w:t>
      </w:r>
      <w:r>
        <w:t>B.</w:t>
      </w:r>
    </w:p>
    <w:p w14:paraId="55E86FA7" w14:textId="2D3FAF0A" w:rsidR="00C65D70" w:rsidRDefault="004A37A2" w:rsidP="009F4A74">
      <w:pPr>
        <w:spacing w:before="240"/>
      </w:pPr>
      <w:r>
        <w:t>MSAC noted the applicant’s pre-MSAC response, which agreed with the conclusions from ESC and reiterated the importance of psychological benefits from breast reconstruction procedures including AFG for women with breast defects due to cancer treatment or prevention.</w:t>
      </w:r>
    </w:p>
    <w:p w14:paraId="4CB2B702" w14:textId="28D1DF52" w:rsidR="004A37A2" w:rsidRPr="002F2AEA" w:rsidRDefault="00C65D70" w:rsidP="009F4A74">
      <w:pPr>
        <w:spacing w:before="240"/>
        <w:rPr>
          <w:szCs w:val="24"/>
        </w:rPr>
      </w:pPr>
      <w:r>
        <w:t xml:space="preserve">MSAC </w:t>
      </w:r>
      <w:r w:rsidR="00DA0902">
        <w:t xml:space="preserve">considered </w:t>
      </w:r>
      <w:r>
        <w:t xml:space="preserve">that the outcomes in the economic evaluation </w:t>
      </w:r>
      <w:r w:rsidR="001604EF">
        <w:t xml:space="preserve">and financial impact </w:t>
      </w:r>
      <w:r>
        <w:t xml:space="preserve">were uncertain due to the </w:t>
      </w:r>
      <w:r w:rsidR="001604EF">
        <w:t xml:space="preserve">complex patient populations and subpopulations, and </w:t>
      </w:r>
      <w:r>
        <w:t xml:space="preserve">limited clinical evidence base. MSAC noted ESC’s suggestion that the </w:t>
      </w:r>
      <w:r w:rsidR="00341EFA">
        <w:t xml:space="preserve">DCAR </w:t>
      </w:r>
      <w:r>
        <w:t>consider a cost-consequence analysis</w:t>
      </w:r>
      <w:r w:rsidR="007F468C">
        <w:t xml:space="preserve"> (CCA). H</w:t>
      </w:r>
      <w:r w:rsidR="00341EFA">
        <w:t>owever, the DCAR reasoned that a CCA could not be reasonably performed due to lack of data</w:t>
      </w:r>
      <w:r w:rsidR="007F468C">
        <w:t xml:space="preserve">, but </w:t>
      </w:r>
      <w:r w:rsidR="009C1766">
        <w:t xml:space="preserve">re-summarised the results </w:t>
      </w:r>
      <w:r w:rsidR="007F468C">
        <w:t xml:space="preserve">of </w:t>
      </w:r>
      <w:r w:rsidR="009C1766">
        <w:t xml:space="preserve">the economic evaluations disaggregating for outcomes and costs. </w:t>
      </w:r>
      <w:r w:rsidR="003A0C34">
        <w:t>For the budget impact, MSAC noted that Population </w:t>
      </w:r>
      <w:r>
        <w:t>A contributed most to the total cost in the budget impact</w:t>
      </w:r>
      <w:r w:rsidR="005163E8">
        <w:t xml:space="preserve"> (</w:t>
      </w:r>
      <w:r w:rsidR="005163E8" w:rsidRPr="002F2AEA">
        <w:rPr>
          <w:szCs w:val="24"/>
        </w:rPr>
        <w:t xml:space="preserve">see </w:t>
      </w:r>
      <w:r w:rsidR="002F2AEA" w:rsidRPr="002F2AEA">
        <w:rPr>
          <w:szCs w:val="24"/>
        </w:rPr>
        <w:fldChar w:fldCharType="begin"/>
      </w:r>
      <w:r w:rsidR="002F2AEA" w:rsidRPr="002F2AEA">
        <w:rPr>
          <w:szCs w:val="24"/>
        </w:rPr>
        <w:instrText xml:space="preserve"> REF _Ref29775698 \h  \* MERGEFORMAT </w:instrText>
      </w:r>
      <w:r w:rsidR="002F2AEA" w:rsidRPr="002F2AEA">
        <w:rPr>
          <w:szCs w:val="24"/>
        </w:rPr>
      </w:r>
      <w:r w:rsidR="002F2AEA" w:rsidRPr="002F2AEA">
        <w:rPr>
          <w:szCs w:val="24"/>
        </w:rPr>
        <w:fldChar w:fldCharType="separate"/>
      </w:r>
      <w:r w:rsidR="002F2AEA" w:rsidRPr="002F2AEA">
        <w:rPr>
          <w:szCs w:val="24"/>
        </w:rPr>
        <w:t>Table 14</w:t>
      </w:r>
      <w:r w:rsidR="002F2AEA" w:rsidRPr="002F2AEA">
        <w:rPr>
          <w:szCs w:val="24"/>
        </w:rPr>
        <w:fldChar w:fldCharType="end"/>
      </w:r>
      <w:r w:rsidR="005163E8" w:rsidRPr="002F2AEA">
        <w:rPr>
          <w:szCs w:val="24"/>
        </w:rPr>
        <w:t>)</w:t>
      </w:r>
      <w:r w:rsidRPr="002F2AEA">
        <w:rPr>
          <w:szCs w:val="24"/>
        </w:rPr>
        <w:t>.</w:t>
      </w:r>
    </w:p>
    <w:p w14:paraId="7B4B9FB3" w14:textId="45BB54B0" w:rsidR="00524D97" w:rsidRDefault="004A37A2" w:rsidP="009F4A74">
      <w:pPr>
        <w:spacing w:before="240"/>
      </w:pPr>
      <w:r>
        <w:t>Overall, MSAC considered that, on balance, the totality of evidence indicated that AFG is safe, cost-effective, and will have modest costs to the MBS while reducing out-of-pocket costs for patients.</w:t>
      </w:r>
    </w:p>
    <w:p w14:paraId="5A35569F" w14:textId="2459874A" w:rsidR="00C65D70" w:rsidRDefault="00524D97" w:rsidP="009F4A74">
      <w:pPr>
        <w:spacing w:before="240"/>
      </w:pPr>
      <w:r>
        <w:t>MSAC noted the proposed item descriptor</w:t>
      </w:r>
      <w:r w:rsidR="00F62FB8">
        <w:t xml:space="preserve">, and </w:t>
      </w:r>
      <w:r>
        <w:t>considered the number of ‘services per side’ should be</w:t>
      </w:r>
      <w:r w:rsidR="003E7D34">
        <w:t xml:space="preserve"> restricted to </w:t>
      </w:r>
      <w:r w:rsidR="00FB07A4">
        <w:t>five (instead of three</w:t>
      </w:r>
      <w:r>
        <w:t xml:space="preserve">) so that it is consistent across populations in this application </w:t>
      </w:r>
      <w:r w:rsidR="003E7D34">
        <w:t>and with</w:t>
      </w:r>
      <w:r>
        <w:t xml:space="preserve"> MSAC application 1577. </w:t>
      </w:r>
      <w:r w:rsidR="00C65D70">
        <w:t xml:space="preserve">MSAC </w:t>
      </w:r>
      <w:r w:rsidR="00307064">
        <w:t xml:space="preserve">noted </w:t>
      </w:r>
      <w:r w:rsidR="00C65D70">
        <w:t>the potential for leakage for cosmetic use, particularly for Population B. MSAC considered that the item descriptor should specifically list the indications that relate to Population B to prevent broad interpretation, as proposed by the PICO Advisory Sub-Committee (PASC) and supported by ESC. The descriptor should also specify a requirement for photographic or other imaging evidence in the patient record. MSAC also considered that the ability to claim the MBS item should be limited to breast surgeons, and plastic and reconstructive surgeons. Using this limitation, it would be possible to monitor for leakage through the regular audits that occur in this group of specialists. MSAC recommended that the Department liaise with the relevant colleges about including such monitoring in regular audits. MSAC also recommended that a review be conducted after 1 year to observe if leakage due to cosmetic use is occurring.</w:t>
      </w:r>
    </w:p>
    <w:p w14:paraId="115D5338" w14:textId="64EAA80B" w:rsidR="00934783" w:rsidRDefault="00C65D70" w:rsidP="009F4A74">
      <w:pPr>
        <w:spacing w:before="240"/>
      </w:pPr>
      <w:r>
        <w:t>MSAC noted the proposed fee of $641.85</w:t>
      </w:r>
      <w:r w:rsidR="00637438">
        <w:t xml:space="preserve"> for AFG</w:t>
      </w:r>
      <w:r>
        <w:t xml:space="preserve"> is in line with regional area liposuction items</w:t>
      </w:r>
      <w:r w:rsidR="00637438">
        <w:t xml:space="preserve">, </w:t>
      </w:r>
      <w:r w:rsidR="00D62548">
        <w:t>and although</w:t>
      </w:r>
      <w:r w:rsidR="00CE59B6">
        <w:t xml:space="preserve"> additional costs </w:t>
      </w:r>
      <w:r w:rsidR="00D62548">
        <w:t xml:space="preserve">are </w:t>
      </w:r>
      <w:r w:rsidR="00CE59B6">
        <w:t>associated with</w:t>
      </w:r>
      <w:r w:rsidR="00D62548">
        <w:t xml:space="preserve"> the AFG procedure compared </w:t>
      </w:r>
      <w:r w:rsidR="00307064">
        <w:t>with</w:t>
      </w:r>
      <w:r w:rsidR="00D62548">
        <w:t xml:space="preserve"> liposuction, MSAC considered the fee to be the upper limit of the fee price.</w:t>
      </w:r>
      <w:r>
        <w:t xml:space="preserve"> </w:t>
      </w:r>
      <w:r w:rsidR="00637438">
        <w:t xml:space="preserve">MSAC also noted the fees associated with </w:t>
      </w:r>
      <w:r>
        <w:t>other breast-related procedures</w:t>
      </w:r>
      <w:r w:rsidR="00637438">
        <w:t xml:space="preserve"> </w:t>
      </w:r>
      <w:r w:rsidR="00CE59B6">
        <w:t>available</w:t>
      </w:r>
      <w:r w:rsidR="00637438">
        <w:t xml:space="preserve"> to treat the proposed </w:t>
      </w:r>
      <w:r w:rsidR="00637438">
        <w:lastRenderedPageBreak/>
        <w:t>populations</w:t>
      </w:r>
      <w:r>
        <w:t>,</w:t>
      </w:r>
      <w:r w:rsidR="00637438">
        <w:t xml:space="preserve"> including</w:t>
      </w:r>
      <w:r>
        <w:t xml:space="preserve"> mastectomy </w:t>
      </w:r>
      <w:r w:rsidR="00637438">
        <w:t>(</w:t>
      </w:r>
      <w:r>
        <w:t>fee of $528.30</w:t>
      </w:r>
      <w:r w:rsidR="00637438">
        <w:t>)</w:t>
      </w:r>
      <w:r>
        <w:t xml:space="preserve"> and breast reconstruction with tissue expansion </w:t>
      </w:r>
      <w:r w:rsidR="00637438">
        <w:t>(</w:t>
      </w:r>
      <w:r>
        <w:t>fee of $1,088.35</w:t>
      </w:r>
      <w:r w:rsidR="00637438">
        <w:t>)</w:t>
      </w:r>
      <w:r w:rsidR="00CE59B6">
        <w:t>.</w:t>
      </w:r>
      <w:r w:rsidR="00637438">
        <w:t xml:space="preserve"> </w:t>
      </w:r>
      <w:r w:rsidR="00F904D4">
        <w:t xml:space="preserve">While the costs of revisions and complications associated with other breast-related procedures was noted, </w:t>
      </w:r>
      <w:r>
        <w:t xml:space="preserve">MSAC </w:t>
      </w:r>
      <w:r w:rsidR="00D62548">
        <w:t>raised concern that since</w:t>
      </w:r>
      <w:r w:rsidR="00CE59B6">
        <w:t xml:space="preserve"> </w:t>
      </w:r>
      <w:r w:rsidR="00FB07A4">
        <w:t xml:space="preserve">AFG </w:t>
      </w:r>
      <w:r w:rsidR="00D62548">
        <w:t xml:space="preserve">may be claimed </w:t>
      </w:r>
      <w:r w:rsidR="00FB07A4">
        <w:t>up to five times per side</w:t>
      </w:r>
      <w:r w:rsidR="00D62548">
        <w:t xml:space="preserve"> </w:t>
      </w:r>
      <w:r w:rsidR="00CE59B6">
        <w:t>this may create a cost differential between</w:t>
      </w:r>
      <w:r>
        <w:t xml:space="preserve"> </w:t>
      </w:r>
      <w:r w:rsidR="00CE59B6">
        <w:t>the total</w:t>
      </w:r>
      <w:r w:rsidR="00C66641">
        <w:t xml:space="preserve"> rebatable</w:t>
      </w:r>
      <w:r w:rsidR="00CE59B6">
        <w:t xml:space="preserve"> fee (and cost) to treat a patient with AFG and </w:t>
      </w:r>
      <w:r>
        <w:t xml:space="preserve">other </w:t>
      </w:r>
      <w:r w:rsidR="00CE59B6">
        <w:t xml:space="preserve">breast-related </w:t>
      </w:r>
      <w:r w:rsidR="00F904D4">
        <w:t>procedures</w:t>
      </w:r>
      <w:r w:rsidR="00CE59B6">
        <w:t>.</w:t>
      </w:r>
      <w:r>
        <w:t xml:space="preserve"> MSAC considered that </w:t>
      </w:r>
      <w:r w:rsidR="00D62548">
        <w:t>the potential cost differentials</w:t>
      </w:r>
      <w:r>
        <w:t xml:space="preserve"> may create perverse incentives for providers. MSAC therefore recommended that the Department review the fees for other breast-related procedures and determine whether a more appropriate benchmark exists on which to base the AFG fee.</w:t>
      </w:r>
    </w:p>
    <w:p w14:paraId="1A7CD497" w14:textId="675F5FA9" w:rsidR="003A0C34" w:rsidRPr="009F4A74" w:rsidRDefault="00934783" w:rsidP="009F4A74">
      <w:pPr>
        <w:spacing w:before="240" w:after="120"/>
      </w:pPr>
      <w:r>
        <w:t xml:space="preserve">MSAC </w:t>
      </w:r>
      <w:r w:rsidR="003A0C34">
        <w:t>supported the following</w:t>
      </w:r>
      <w:r>
        <w:t xml:space="preserve"> item descriptor:</w:t>
      </w:r>
    </w:p>
    <w:p w14:paraId="1739363F" w14:textId="11DB05DE" w:rsidR="003A0C34" w:rsidRPr="003A0C34" w:rsidRDefault="003A0C34" w:rsidP="003A0C34">
      <w:pPr>
        <w:rPr>
          <w:i/>
        </w:rPr>
      </w:pPr>
      <w:r w:rsidRPr="003A0C34">
        <w:rPr>
          <w:i/>
        </w:rPr>
        <w:t>Autologous fat grafting (harvesting, preparation and injection of adipocytes) as an independent procedure or in conjunction with another procedure, if:</w:t>
      </w:r>
    </w:p>
    <w:p w14:paraId="08E2B9D3" w14:textId="77777777" w:rsidR="003A0C34" w:rsidRPr="003A0C34" w:rsidRDefault="003A0C34" w:rsidP="003A0C34">
      <w:pPr>
        <w:rPr>
          <w:i/>
        </w:rPr>
      </w:pPr>
      <w:r w:rsidRPr="003A0C34">
        <w:rPr>
          <w:i/>
        </w:rPr>
        <w:t>(a) the autologous fat grafting is for</w:t>
      </w:r>
    </w:p>
    <w:p w14:paraId="7CFF8A32" w14:textId="64F2519D" w:rsidR="003A0C34" w:rsidRPr="003A0C34" w:rsidRDefault="003A0C34" w:rsidP="00E410FC">
      <w:pPr>
        <w:ind w:left="709" w:hanging="425"/>
        <w:rPr>
          <w:i/>
        </w:rPr>
      </w:pPr>
      <w:r w:rsidRPr="003A0C34">
        <w:rPr>
          <w:i/>
        </w:rPr>
        <w:t>(i)</w:t>
      </w:r>
      <w:r w:rsidRPr="003A0C34">
        <w:rPr>
          <w:i/>
        </w:rPr>
        <w:tab/>
        <w:t xml:space="preserve">correction of defects arising from treatment and prevention of breast cancer in patients with contour defects, ≥20% volume asymmetry, post-treatment pain or poor prosthetic coverage, up to a total of </w:t>
      </w:r>
      <w:r>
        <w:rPr>
          <w:i/>
        </w:rPr>
        <w:t>5</w:t>
      </w:r>
      <w:r w:rsidRPr="003A0C34">
        <w:rPr>
          <w:i/>
        </w:rPr>
        <w:t xml:space="preserve"> services per side (for total treatment of a single breast), but only one service to be billed on a single occasion of service; OR</w:t>
      </w:r>
    </w:p>
    <w:p w14:paraId="7265A95B" w14:textId="3F31DBF6" w:rsidR="003A0C34" w:rsidRPr="003A0C34" w:rsidRDefault="003A0C34" w:rsidP="00E410FC">
      <w:pPr>
        <w:ind w:left="709" w:hanging="425"/>
        <w:rPr>
          <w:i/>
        </w:rPr>
      </w:pPr>
      <w:r w:rsidRPr="003A0C34">
        <w:rPr>
          <w:i/>
        </w:rPr>
        <w:t>(ii)</w:t>
      </w:r>
      <w:r w:rsidRPr="003A0C34">
        <w:rPr>
          <w:i/>
        </w:rPr>
        <w:tab/>
        <w:t xml:space="preserve">preparation of post mastectomy thin/irradiated skin flaps in patients intending to have breast reconstruction, up to a total of </w:t>
      </w:r>
      <w:r>
        <w:rPr>
          <w:i/>
        </w:rPr>
        <w:t>5</w:t>
      </w:r>
      <w:r w:rsidRPr="003A0C34">
        <w:rPr>
          <w:i/>
        </w:rPr>
        <w:t xml:space="preserve"> services per side (for total treatment of a single breast), but only one service to be billed on a single occasion of service; OR</w:t>
      </w:r>
    </w:p>
    <w:p w14:paraId="411EF860" w14:textId="77777777" w:rsidR="003A0C34" w:rsidRPr="003A0C34" w:rsidRDefault="003A0C34" w:rsidP="00E410FC">
      <w:pPr>
        <w:ind w:left="709" w:hanging="425"/>
        <w:rPr>
          <w:i/>
        </w:rPr>
      </w:pPr>
      <w:r w:rsidRPr="003A0C34">
        <w:rPr>
          <w:i/>
        </w:rPr>
        <w:t>(iii)</w:t>
      </w:r>
      <w:r w:rsidRPr="003A0C34">
        <w:rPr>
          <w:i/>
        </w:rPr>
        <w:tab/>
        <w:t>breast reconstruction in suitable patients, up to 5 services per side (for total treatment of a single breast), but only one service to be billed on a single occasion of service, OR</w:t>
      </w:r>
    </w:p>
    <w:p w14:paraId="5C2B5F81" w14:textId="76D043BB" w:rsidR="003A0C34" w:rsidRPr="003A0C34" w:rsidRDefault="003A0C34" w:rsidP="00E410FC">
      <w:pPr>
        <w:ind w:left="709" w:hanging="425"/>
        <w:rPr>
          <w:i/>
        </w:rPr>
      </w:pPr>
      <w:r w:rsidRPr="003A0C34">
        <w:rPr>
          <w:i/>
        </w:rPr>
        <w:t>(iv)</w:t>
      </w:r>
      <w:r w:rsidRPr="003A0C34">
        <w:rPr>
          <w:i/>
        </w:rPr>
        <w:tab/>
        <w:t xml:space="preserve">correction of developmental disorders of the breast, up to </w:t>
      </w:r>
      <w:r>
        <w:rPr>
          <w:i/>
        </w:rPr>
        <w:t>5</w:t>
      </w:r>
      <w:r w:rsidRPr="003A0C34">
        <w:rPr>
          <w:i/>
        </w:rPr>
        <w:t xml:space="preserve"> services per side (for total treatment of a single breast), but only one service to be billed on a single occasion of service.</w:t>
      </w:r>
    </w:p>
    <w:p w14:paraId="0089BBD1" w14:textId="782414B5" w:rsidR="003A0C34" w:rsidRPr="003A0C34" w:rsidRDefault="003A0C34" w:rsidP="003A0C34">
      <w:pPr>
        <w:rPr>
          <w:i/>
        </w:rPr>
      </w:pPr>
      <w:r w:rsidRPr="003A0C34">
        <w:rPr>
          <w:i/>
        </w:rPr>
        <w:t>(b) photographic and/or imaging evidence demonstrating the clinical need for this service is documented in patient notes</w:t>
      </w:r>
      <w:r w:rsidR="00E410FC">
        <w:rPr>
          <w:i/>
        </w:rPr>
        <w:t>.</w:t>
      </w:r>
    </w:p>
    <w:p w14:paraId="5E3081AA" w14:textId="18F6C7B6" w:rsidR="003A0C34" w:rsidRDefault="003A0C34" w:rsidP="009F4A74">
      <w:pPr>
        <w:spacing w:before="240"/>
      </w:pPr>
      <w:r w:rsidRPr="003A0C34">
        <w:rPr>
          <w:i/>
        </w:rPr>
        <w:t>MBS Fee: $</w:t>
      </w:r>
      <w:r w:rsidR="004D0B5B">
        <w:rPr>
          <w:i/>
        </w:rPr>
        <w:t>651.50</w:t>
      </w:r>
      <w:r w:rsidRPr="003A0C34">
        <w:rPr>
          <w:i/>
        </w:rPr>
        <w:t xml:space="preserve">  Benefit 75%=$</w:t>
      </w:r>
      <w:r w:rsidR="004D0B5B">
        <w:rPr>
          <w:i/>
        </w:rPr>
        <w:t>488.65</w:t>
      </w:r>
    </w:p>
    <w:p w14:paraId="468CF6C6" w14:textId="77777777" w:rsidR="00BC1364" w:rsidRPr="00F715D1" w:rsidRDefault="00BC1364" w:rsidP="00F715D1">
      <w:pPr>
        <w:pStyle w:val="Heading1"/>
      </w:pPr>
      <w:r w:rsidRPr="00F715D1">
        <w:t>Background</w:t>
      </w:r>
    </w:p>
    <w:p w14:paraId="491EB451" w14:textId="1DA4E487" w:rsidR="00687501" w:rsidRDefault="00687501" w:rsidP="00687501">
      <w:r w:rsidRPr="006B2C4A">
        <w:t>This is the first submission (Department</w:t>
      </w:r>
      <w:r>
        <w:t xml:space="preserve"> Contracted A</w:t>
      </w:r>
      <w:r w:rsidRPr="006B2C4A">
        <w:t>ssessmen</w:t>
      </w:r>
      <w:r>
        <w:t>t R</w:t>
      </w:r>
      <w:r w:rsidRPr="006B2C4A">
        <w:t>eport [DCAR]) for AFG injection for the treatment/management of defects arising from breast surgery, breast cancer treatment/prevention and congenital breast deformity.</w:t>
      </w:r>
    </w:p>
    <w:p w14:paraId="08EEDCEC" w14:textId="4EF3CE0D" w:rsidR="00687501" w:rsidRPr="009F4A74" w:rsidRDefault="00687501" w:rsidP="009F4A74">
      <w:pPr>
        <w:spacing w:before="240"/>
        <w:rPr>
          <w:iCs/>
        </w:rPr>
      </w:pPr>
      <w:r>
        <w:t xml:space="preserve">The initial proposal to introduce a new MBS item for AFG arose as a recommendation from the </w:t>
      </w:r>
      <w:r w:rsidRPr="00C23D5A">
        <w:rPr>
          <w:iCs/>
        </w:rPr>
        <w:t>Medical Benefits Schedule Review Taskforce</w:t>
      </w:r>
      <w:r>
        <w:rPr>
          <w:iCs/>
        </w:rPr>
        <w:t xml:space="preserve">. The </w:t>
      </w:r>
      <w:hyperlink r:id="rId10" w:history="1">
        <w:r>
          <w:rPr>
            <w:rStyle w:val="Hyperlink"/>
            <w:iCs/>
          </w:rPr>
          <w:t>dr</w:t>
        </w:r>
        <w:r w:rsidRPr="007778F7">
          <w:rPr>
            <w:rStyle w:val="Hyperlink"/>
            <w:iCs/>
          </w:rPr>
          <w:t>aft report from the Plastic and Reconstructive Surgery Clinical Committee</w:t>
        </w:r>
      </w:hyperlink>
      <w:r>
        <w:rPr>
          <w:rStyle w:val="Hyperlink"/>
          <w:iCs/>
        </w:rPr>
        <w:t xml:space="preserve"> (PRSCC)</w:t>
      </w:r>
      <w:r w:rsidRPr="00C23D5A">
        <w:rPr>
          <w:iCs/>
        </w:rPr>
        <w:t xml:space="preserve"> </w:t>
      </w:r>
      <w:r w:rsidRPr="00B8335E">
        <w:t xml:space="preserve">recommended a new MBS item for </w:t>
      </w:r>
      <w:r>
        <w:t>AFG</w:t>
      </w:r>
      <w:r w:rsidRPr="00B8335E">
        <w:t xml:space="preserve"> for</w:t>
      </w:r>
      <w:r>
        <w:t xml:space="preserve"> </w:t>
      </w:r>
      <w:r w:rsidRPr="00B8335E">
        <w:t>defects resulting from</w:t>
      </w:r>
      <w:r>
        <w:t xml:space="preserve"> </w:t>
      </w:r>
      <w:r w:rsidRPr="00B8335E">
        <w:t>excision of a breast malignancy</w:t>
      </w:r>
      <w:r>
        <w:t>,</w:t>
      </w:r>
      <w:r w:rsidRPr="00B8335E">
        <w:t xml:space="preserve"> for defect</w:t>
      </w:r>
      <w:r>
        <w:t>s</w:t>
      </w:r>
      <w:r w:rsidRPr="00B8335E">
        <w:t xml:space="preserve"> post-mastectomy</w:t>
      </w:r>
      <w:r>
        <w:t>,</w:t>
      </w:r>
      <w:r w:rsidRPr="00B8335E">
        <w:t xml:space="preserve"> or for developmental abnormality</w:t>
      </w:r>
      <w:r>
        <w:t xml:space="preserve">. The </w:t>
      </w:r>
      <w:r w:rsidRPr="00B111FC">
        <w:t xml:space="preserve">Breast Cancer Surgery </w:t>
      </w:r>
      <w:r w:rsidRPr="00726CCC">
        <w:rPr>
          <w:snapToGrid w:val="0"/>
          <w:lang w:val="en-US" w:eastAsia="en-US"/>
        </w:rPr>
        <w:t xml:space="preserve">and Reconstruction Working Group, part of the PRSCC, noted that a new item would require an MSAC application and </w:t>
      </w:r>
      <w:r>
        <w:rPr>
          <w:snapToGrid w:val="0"/>
          <w:lang w:val="en-US" w:eastAsia="en-US"/>
        </w:rPr>
        <w:t>stated</w:t>
      </w:r>
      <w:r w:rsidRPr="00726CCC">
        <w:rPr>
          <w:snapToGrid w:val="0"/>
          <w:lang w:val="en-US" w:eastAsia="en-US"/>
        </w:rPr>
        <w:t xml:space="preserve"> support for such an application. The report was endorsed for Government by the MBS Review Taskforce at their meeting on 14 and 15 May 2019</w:t>
      </w:r>
      <w:r w:rsidRPr="00C23D5A">
        <w:rPr>
          <w:iCs/>
        </w:rPr>
        <w:t xml:space="preserve"> (</w:t>
      </w:r>
      <w:hyperlink r:id="rId11" w:history="1">
        <w:r w:rsidRPr="00C23D5A">
          <w:rPr>
            <w:rStyle w:val="Hyperlink"/>
            <w:iCs/>
          </w:rPr>
          <w:t>MBSR-outcomes-14-15 May 2019</w:t>
        </w:r>
      </w:hyperlink>
      <w:r>
        <w:rPr>
          <w:iCs/>
        </w:rPr>
        <w:t>).</w:t>
      </w:r>
    </w:p>
    <w:p w14:paraId="6A76EF39" w14:textId="77777777" w:rsidR="00BB621B" w:rsidRDefault="00BB621B" w:rsidP="009F4A74">
      <w:pPr>
        <w:tabs>
          <w:tab w:val="left" w:pos="720"/>
          <w:tab w:val="left" w:pos="1140"/>
        </w:tabs>
        <w:spacing w:before="240"/>
        <w:rPr>
          <w:snapToGrid w:val="0"/>
          <w:lang w:val="en-US" w:eastAsia="en-US"/>
        </w:rPr>
      </w:pPr>
      <w:r w:rsidRPr="00BB621B">
        <w:rPr>
          <w:snapToGrid w:val="0"/>
          <w:lang w:val="en-US" w:eastAsia="en-US"/>
        </w:rPr>
        <w:t xml:space="preserve">There is another relevant application: </w:t>
      </w:r>
    </w:p>
    <w:p w14:paraId="4E9DFB30" w14:textId="410BF9BF" w:rsidR="00BC1364" w:rsidRPr="009F4A74" w:rsidRDefault="003B1995" w:rsidP="009F4A74">
      <w:pPr>
        <w:pStyle w:val="ListParagraph"/>
        <w:numPr>
          <w:ilvl w:val="0"/>
          <w:numId w:val="49"/>
        </w:numPr>
        <w:tabs>
          <w:tab w:val="left" w:pos="720"/>
          <w:tab w:val="left" w:pos="1140"/>
        </w:tabs>
        <w:rPr>
          <w:szCs w:val="24"/>
        </w:rPr>
      </w:pPr>
      <w:hyperlink r:id="rId12" w:history="1">
        <w:r w:rsidR="00BB621B" w:rsidRPr="00BB621B">
          <w:rPr>
            <w:rStyle w:val="Hyperlink"/>
          </w:rPr>
          <w:t>Application 1577– AFG for the treatment of craniofacial defects and burns scars.</w:t>
        </w:r>
      </w:hyperlink>
    </w:p>
    <w:p w14:paraId="1DBA35C9" w14:textId="77777777" w:rsidR="00BC1364" w:rsidRPr="00F715D1" w:rsidRDefault="00BC1364" w:rsidP="00F715D1">
      <w:pPr>
        <w:pStyle w:val="Heading1"/>
      </w:pPr>
      <w:r w:rsidRPr="00F715D1">
        <w:lastRenderedPageBreak/>
        <w:t>Prerequisites to implementation of any funding advice</w:t>
      </w:r>
    </w:p>
    <w:p w14:paraId="2F8AE82E" w14:textId="54EC576A" w:rsidR="00687501" w:rsidRDefault="00687501" w:rsidP="009F4A74">
      <w:pPr>
        <w:tabs>
          <w:tab w:val="left" w:pos="720"/>
          <w:tab w:val="left" w:pos="1140"/>
        </w:tabs>
      </w:pPr>
      <w:r>
        <w:rPr>
          <w:szCs w:val="24"/>
        </w:rPr>
        <w:t xml:space="preserve">The application </w:t>
      </w:r>
      <w:r w:rsidRPr="005E0D09">
        <w:rPr>
          <w:szCs w:val="24"/>
        </w:rPr>
        <w:t xml:space="preserve">indicated that regulatory requirements are not applicable to the proposed medical service. </w:t>
      </w:r>
      <w:r>
        <w:t>The DCAR noted that the autologous fat that is harvested and re-injected during the AFG</w:t>
      </w:r>
      <w:r w:rsidRPr="008D71E1">
        <w:t xml:space="preserve"> </w:t>
      </w:r>
      <w:r>
        <w:t xml:space="preserve">intervention </w:t>
      </w:r>
      <w:r w:rsidRPr="008D71E1">
        <w:t>falls within the definition of autologous human cells and tissues (HCT)</w:t>
      </w:r>
      <w:r>
        <w:t xml:space="preserve"> products</w:t>
      </w:r>
      <w:r w:rsidRPr="008D71E1">
        <w:t xml:space="preserve"> </w:t>
      </w:r>
      <w:r>
        <w:t>excluded</w:t>
      </w:r>
      <w:r w:rsidRPr="008D71E1">
        <w:t xml:space="preserve"> from some aspects of TGA regulation (</w:t>
      </w:r>
      <w:hyperlink r:id="rId13" w:history="1">
        <w:r>
          <w:rPr>
            <w:rStyle w:val="Hyperlink"/>
          </w:rPr>
          <w:t>TGA excluded autologous HCT</w:t>
        </w:r>
      </w:hyperlink>
      <w:r w:rsidRPr="008D71E1">
        <w:t xml:space="preserve">). </w:t>
      </w:r>
      <w:r>
        <w:t>Exclusion from TGA regulation is not exclusion from all regulation. There is regulation by other bodies that is sufficient to mitigate possible risks that may arise as a result of manufacturing and using autologous HCT products that are excluded from TGA regulation.</w:t>
      </w:r>
    </w:p>
    <w:p w14:paraId="597DF986" w14:textId="6B3CB8C9" w:rsidR="00BC1364" w:rsidRPr="009F4A74" w:rsidRDefault="00687501" w:rsidP="009F4A74">
      <w:pPr>
        <w:spacing w:before="240"/>
      </w:pPr>
      <w:r>
        <w:t xml:space="preserve">Medical </w:t>
      </w:r>
      <w:r w:rsidRPr="008D71E1">
        <w:t>devices or equipment used for the manufacture of autologous HCT products</w:t>
      </w:r>
      <w:r>
        <w:t xml:space="preserve"> (i.e. used to harvest, prepare and re-inject the autologous fat for the AFG intervention),</w:t>
      </w:r>
      <w:r w:rsidRPr="008D71E1">
        <w:t xml:space="preserve"> may be regulated under the medical devices framework, where it is to be used for the treatment, diagnosis or modification of a patient’s anatomy or physiological process. </w:t>
      </w:r>
      <w:r w:rsidRPr="00417D29">
        <w:t>Such medical devices can be found listed on the Australian Register of Therapeuti</w:t>
      </w:r>
      <w:r>
        <w:t>c Goods (ARTG; reference Table 12, p56</w:t>
      </w:r>
      <w:r w:rsidRPr="00417D29">
        <w:t xml:space="preserve"> of the DCAR).</w:t>
      </w:r>
    </w:p>
    <w:p w14:paraId="50DA5E6C" w14:textId="77777777" w:rsidR="00BC1364" w:rsidRPr="00F715D1" w:rsidRDefault="00BC1364" w:rsidP="00F715D1">
      <w:pPr>
        <w:pStyle w:val="Heading1"/>
      </w:pPr>
      <w:r w:rsidRPr="00F715D1">
        <w:t>Proposal for public funding</w:t>
      </w:r>
    </w:p>
    <w:p w14:paraId="64653FC8" w14:textId="77777777" w:rsidR="00687501" w:rsidRDefault="00687501" w:rsidP="009F4A74">
      <w:pPr>
        <w:spacing w:before="240"/>
      </w:pPr>
      <w:r>
        <w:t>AFG is comprised of two parts:</w:t>
      </w:r>
    </w:p>
    <w:p w14:paraId="1B4CC0BD" w14:textId="77777777" w:rsidR="00687501" w:rsidRDefault="00687501" w:rsidP="00687501">
      <w:pPr>
        <w:pStyle w:val="ListParagraph"/>
        <w:numPr>
          <w:ilvl w:val="0"/>
          <w:numId w:val="27"/>
        </w:numPr>
      </w:pPr>
      <w:r>
        <w:t>the harvesting and preparation of the autologous fat; and</w:t>
      </w:r>
    </w:p>
    <w:p w14:paraId="6910DC30" w14:textId="4B1FC276" w:rsidR="00687501" w:rsidRDefault="00687501" w:rsidP="00687501">
      <w:pPr>
        <w:pStyle w:val="ListParagraph"/>
        <w:numPr>
          <w:ilvl w:val="0"/>
          <w:numId w:val="27"/>
        </w:numPr>
      </w:pPr>
      <w:r>
        <w:t>re-injection of the autologous fat into the breast of the donor after being minimally manipulated (such as centrifugation, flushing or washing).</w:t>
      </w:r>
    </w:p>
    <w:p w14:paraId="46DBFD7F" w14:textId="33304536" w:rsidR="00687501" w:rsidRDefault="00687501" w:rsidP="009F4A74">
      <w:pPr>
        <w:spacing w:before="240" w:after="240"/>
      </w:pPr>
      <w:r>
        <w:t xml:space="preserve">The proposed MBS item descriptor and fee includes both parts of the intervention, see </w:t>
      </w:r>
      <w:r w:rsidR="009F4A74">
        <w:fldChar w:fldCharType="begin"/>
      </w:r>
      <w:r w:rsidR="009F4A74">
        <w:instrText xml:space="preserve"> REF _Ref41068977 \h </w:instrText>
      </w:r>
      <w:r w:rsidR="009F4A74">
        <w:fldChar w:fldCharType="separate"/>
      </w:r>
      <w:r w:rsidR="009F4A74">
        <w:t>Table </w:t>
      </w:r>
      <w:r w:rsidR="009F4A74">
        <w:rPr>
          <w:noProof/>
        </w:rPr>
        <w:t>1</w:t>
      </w:r>
      <w:r w:rsidR="009F4A74">
        <w:fldChar w:fldCharType="end"/>
      </w:r>
      <w:r>
        <w:t>.</w:t>
      </w:r>
    </w:p>
    <w:p w14:paraId="0098C5BC" w14:textId="3C339FB7" w:rsidR="00687501" w:rsidRPr="00B72DF9" w:rsidRDefault="009F4A74" w:rsidP="00B72DF9">
      <w:pPr>
        <w:keepNext/>
        <w:keepLines/>
        <w:rPr>
          <w:rFonts w:ascii="Arial Narrow" w:hAnsi="Arial Narrow"/>
          <w:b/>
          <w:sz w:val="20"/>
        </w:rPr>
      </w:pPr>
      <w:bookmarkStart w:id="1" w:name="_Ref41068977"/>
      <w:bookmarkStart w:id="2" w:name="_Toc37815101"/>
      <w:r w:rsidRPr="00B72DF9">
        <w:rPr>
          <w:rFonts w:ascii="Arial Narrow" w:hAnsi="Arial Narrow"/>
          <w:b/>
          <w:sz w:val="20"/>
        </w:rPr>
        <w:t xml:space="preserve">Table </w:t>
      </w:r>
      <w:r w:rsidRPr="00B72DF9">
        <w:rPr>
          <w:rFonts w:ascii="Arial Narrow" w:hAnsi="Arial Narrow"/>
          <w:b/>
          <w:sz w:val="20"/>
        </w:rPr>
        <w:fldChar w:fldCharType="begin"/>
      </w:r>
      <w:r w:rsidRPr="00B72DF9">
        <w:rPr>
          <w:rFonts w:ascii="Arial Narrow" w:hAnsi="Arial Narrow"/>
          <w:b/>
          <w:sz w:val="20"/>
        </w:rPr>
        <w:instrText xml:space="preserve"> SEQ Table \* ARABIC </w:instrText>
      </w:r>
      <w:r w:rsidRPr="00B72DF9">
        <w:rPr>
          <w:rFonts w:ascii="Arial Narrow" w:hAnsi="Arial Narrow"/>
          <w:b/>
          <w:sz w:val="20"/>
        </w:rPr>
        <w:fldChar w:fldCharType="separate"/>
      </w:r>
      <w:r w:rsidR="00EF74CD">
        <w:rPr>
          <w:rFonts w:ascii="Arial Narrow" w:hAnsi="Arial Narrow"/>
          <w:b/>
          <w:noProof/>
          <w:sz w:val="20"/>
        </w:rPr>
        <w:t>1</w:t>
      </w:r>
      <w:r w:rsidRPr="00B72DF9">
        <w:rPr>
          <w:rFonts w:ascii="Arial Narrow" w:hAnsi="Arial Narrow"/>
          <w:b/>
          <w:sz w:val="20"/>
        </w:rPr>
        <w:fldChar w:fldCharType="end"/>
      </w:r>
      <w:bookmarkEnd w:id="1"/>
      <w:r w:rsidR="00687501" w:rsidRPr="00B72DF9">
        <w:rPr>
          <w:rFonts w:ascii="Arial Narrow" w:hAnsi="Arial Narrow"/>
          <w:b/>
          <w:sz w:val="20"/>
        </w:rPr>
        <w:t xml:space="preserve"> Proposed MBS item descriptor</w:t>
      </w:r>
      <w:bookmarkEnd w:id="2"/>
    </w:p>
    <w:tbl>
      <w:tblPr>
        <w:tblStyle w:val="TableGrid1"/>
        <w:tblW w:w="0" w:type="auto"/>
        <w:tblLook w:val="04A0" w:firstRow="1" w:lastRow="0" w:firstColumn="1" w:lastColumn="0" w:noHBand="0" w:noVBand="1"/>
        <w:tblCaption w:val="Table 1 Proposed MBS item descriptor"/>
        <w:tblDescription w:val="This table provides a description of the wording of the item to be included in the Medicare Benefits Schedule for this technology."/>
      </w:tblPr>
      <w:tblGrid>
        <w:gridCol w:w="9016"/>
      </w:tblGrid>
      <w:tr w:rsidR="00687501" w:rsidRPr="008D71E1" w:rsidDel="00A134DA" w14:paraId="46EB88D1" w14:textId="77777777" w:rsidTr="00B72DF9">
        <w:trPr>
          <w:cnfStyle w:val="100000000000" w:firstRow="1" w:lastRow="0" w:firstColumn="0" w:lastColumn="0" w:oddVBand="0" w:evenVBand="0" w:oddHBand="0" w:evenHBand="0" w:firstRowFirstColumn="0" w:firstRowLastColumn="0" w:lastRowFirstColumn="0" w:lastRowLastColumn="0"/>
          <w:tblHeader/>
        </w:trPr>
        <w:tc>
          <w:tcPr>
            <w:tcW w:w="9021" w:type="dxa"/>
          </w:tcPr>
          <w:p w14:paraId="7FE6738B" w14:textId="77777777" w:rsidR="00687501" w:rsidRPr="008D71E1" w:rsidDel="00A134DA" w:rsidRDefault="00687501" w:rsidP="00B72DF9">
            <w:pPr>
              <w:pStyle w:val="Tabletext"/>
              <w:keepNext/>
              <w:keepLines/>
              <w:jc w:val="right"/>
            </w:pPr>
            <w:r w:rsidRPr="008D71E1" w:rsidDel="00A134DA">
              <w:t xml:space="preserve">Category </w:t>
            </w:r>
            <w:r w:rsidRPr="008D71E1">
              <w:t>3</w:t>
            </w:r>
            <w:r>
              <w:t xml:space="preserve"> </w:t>
            </w:r>
            <w:r w:rsidRPr="008D71E1" w:rsidDel="00A134DA">
              <w:t xml:space="preserve">– </w:t>
            </w:r>
            <w:r w:rsidRPr="008D71E1">
              <w:t>Therapeutic Procedures</w:t>
            </w:r>
          </w:p>
        </w:tc>
      </w:tr>
      <w:tr w:rsidR="00687501" w:rsidRPr="008D71E1" w:rsidDel="00A134DA" w14:paraId="25E57014" w14:textId="77777777" w:rsidTr="00B72DF9">
        <w:tc>
          <w:tcPr>
            <w:tcW w:w="9021" w:type="dxa"/>
          </w:tcPr>
          <w:p w14:paraId="54EC9FE7" w14:textId="77777777" w:rsidR="00687501" w:rsidRPr="008D71E1" w:rsidRDefault="00687501" w:rsidP="00B72DF9">
            <w:pPr>
              <w:pStyle w:val="Tabletext"/>
            </w:pPr>
            <w:r w:rsidRPr="008D71E1">
              <w:t>Autologous fat grafting (harvesting, preparation and injection of adipocytes) as an independent procedure or in conjunction with another procedure, if:</w:t>
            </w:r>
          </w:p>
          <w:p w14:paraId="14BF42ED" w14:textId="77777777" w:rsidR="00687501" w:rsidRPr="008D71E1" w:rsidRDefault="00687501" w:rsidP="00B72DF9">
            <w:pPr>
              <w:pStyle w:val="Tabletext"/>
            </w:pPr>
            <w:r w:rsidRPr="008D71E1">
              <w:t>(a)</w:t>
            </w:r>
            <w:r>
              <w:t xml:space="preserve"> </w:t>
            </w:r>
            <w:r w:rsidRPr="008D71E1">
              <w:t>the autologous fat grafting is for</w:t>
            </w:r>
          </w:p>
          <w:p w14:paraId="0877480E" w14:textId="77777777" w:rsidR="00687501" w:rsidRPr="008D71E1" w:rsidRDefault="00687501" w:rsidP="00B72DF9">
            <w:pPr>
              <w:pStyle w:val="Tabletext"/>
              <w:ind w:left="601" w:hanging="283"/>
            </w:pPr>
            <w:r w:rsidRPr="008D71E1">
              <w:t>(i)</w:t>
            </w:r>
            <w:r>
              <w:tab/>
            </w:r>
            <w:r w:rsidRPr="008D71E1">
              <w:t xml:space="preserve">correction of defects arising from treatment and prevention of breast cancer in patients with contour defects, </w:t>
            </w:r>
            <w:r>
              <w:t>≥</w:t>
            </w:r>
            <w:r w:rsidRPr="008D71E1">
              <w:t xml:space="preserve">20% volume </w:t>
            </w:r>
            <w:r>
              <w:t>a</w:t>
            </w:r>
            <w:r w:rsidRPr="008D71E1">
              <w:t>symmetry, post-treatment pain or poor prosthetic coverage, up to a total of 3 services per side (for total treatment of a single breast), but only one service to be billed on a single occasion of service; OR</w:t>
            </w:r>
          </w:p>
          <w:p w14:paraId="6313FF46" w14:textId="77777777" w:rsidR="00687501" w:rsidRPr="008D71E1" w:rsidRDefault="00687501" w:rsidP="00B72DF9">
            <w:pPr>
              <w:pStyle w:val="Tabletext"/>
              <w:ind w:left="601" w:hanging="283"/>
            </w:pPr>
            <w:r w:rsidRPr="008D71E1">
              <w:t>(ii)</w:t>
            </w:r>
            <w:r>
              <w:tab/>
            </w:r>
            <w:r w:rsidRPr="008D71E1">
              <w:t xml:space="preserve">preparation of </w:t>
            </w:r>
            <w:r>
              <w:t>post mastectomy</w:t>
            </w:r>
            <w:r w:rsidRPr="008D71E1">
              <w:t xml:space="preserve"> thin/irradiated skin flaps in patients intending to have breast reconstruction, up to a total of 3 services per side (for total treatment of a single breast), but only one service to be billed on a single occasion of service; OR</w:t>
            </w:r>
          </w:p>
          <w:p w14:paraId="1135177E" w14:textId="77777777" w:rsidR="00687501" w:rsidRPr="008D71E1" w:rsidRDefault="00687501" w:rsidP="00B72DF9">
            <w:pPr>
              <w:pStyle w:val="Tabletext"/>
              <w:ind w:left="601" w:hanging="283"/>
            </w:pPr>
            <w:r w:rsidRPr="008D71E1">
              <w:t>(iii)</w:t>
            </w:r>
            <w:r>
              <w:tab/>
            </w:r>
            <w:r w:rsidRPr="008D71E1">
              <w:t>breast reconstruction in suitable patients, up to 5 services per side (for total treatment of a single breast), but only one service to be billed on a single occasion of service, OR</w:t>
            </w:r>
          </w:p>
          <w:p w14:paraId="3CD3084D" w14:textId="77777777" w:rsidR="00687501" w:rsidRPr="008D71E1" w:rsidRDefault="00687501" w:rsidP="00B72DF9">
            <w:pPr>
              <w:pStyle w:val="Tabletext"/>
              <w:ind w:left="601" w:hanging="283"/>
            </w:pPr>
            <w:r w:rsidRPr="008D71E1">
              <w:t>(</w:t>
            </w:r>
            <w:r>
              <w:t>iv</w:t>
            </w:r>
            <w:r w:rsidRPr="008D71E1">
              <w:t>)</w:t>
            </w:r>
            <w:r>
              <w:tab/>
            </w:r>
            <w:r w:rsidRPr="008D71E1">
              <w:t>correction of developmental disorders of the breast, up to 3 services per side (for total treatment of a single breast), but only one service to be billed on a single occasion of service.</w:t>
            </w:r>
          </w:p>
          <w:p w14:paraId="18DD3608" w14:textId="37129507" w:rsidR="00687501" w:rsidRPr="008D71E1" w:rsidRDefault="00687501" w:rsidP="00B72DF9">
            <w:pPr>
              <w:pStyle w:val="Tabletext"/>
            </w:pPr>
            <w:r w:rsidRPr="008D71E1">
              <w:t>(b)</w:t>
            </w:r>
            <w:r>
              <w:t xml:space="preserve"> p</w:t>
            </w:r>
            <w:r w:rsidRPr="008D71E1">
              <w:t>hotographic and/or imaging evidence demonstrating the clinical need for this service is documented in patient notes</w:t>
            </w:r>
          </w:p>
          <w:p w14:paraId="796E7DEF" w14:textId="77777777" w:rsidR="00687501" w:rsidRPr="008D71E1" w:rsidRDefault="00687501" w:rsidP="00B72DF9">
            <w:pPr>
              <w:pStyle w:val="Tabletext"/>
              <w:spacing w:before="120"/>
            </w:pPr>
            <w:r w:rsidRPr="008D71E1">
              <w:t>Multiple Operation Rule</w:t>
            </w:r>
          </w:p>
          <w:p w14:paraId="1EE24066" w14:textId="77777777" w:rsidR="00687501" w:rsidRPr="008D71E1" w:rsidRDefault="00687501" w:rsidP="00B72DF9">
            <w:pPr>
              <w:pStyle w:val="Tabletext"/>
            </w:pPr>
            <w:r w:rsidRPr="008D71E1">
              <w:t>(Anaes.)</w:t>
            </w:r>
          </w:p>
          <w:p w14:paraId="68CD4538" w14:textId="77777777" w:rsidR="00687501" w:rsidRPr="008D71E1" w:rsidDel="00A134DA" w:rsidRDefault="00687501" w:rsidP="00B72DF9">
            <w:pPr>
              <w:pStyle w:val="Tabletext"/>
            </w:pPr>
            <w:r w:rsidRPr="008D71E1">
              <w:t>MBS Fee: $</w:t>
            </w:r>
            <w:r>
              <w:t>641.85</w:t>
            </w:r>
            <w:r w:rsidRPr="008D71E1">
              <w:t xml:space="preserve">  Benefit 75%=$4</w:t>
            </w:r>
            <w:r>
              <w:t>81.39</w:t>
            </w:r>
          </w:p>
        </w:tc>
      </w:tr>
    </w:tbl>
    <w:p w14:paraId="7C2601C6" w14:textId="3643C09A" w:rsidR="00687501" w:rsidRPr="009F4A74" w:rsidRDefault="00687501" w:rsidP="00B72DF9">
      <w:pPr>
        <w:rPr>
          <w:rFonts w:ascii="Arial Narrow" w:hAnsi="Arial Narrow"/>
          <w:sz w:val="18"/>
        </w:rPr>
      </w:pPr>
      <w:r>
        <w:rPr>
          <w:rFonts w:ascii="Arial Narrow" w:hAnsi="Arial Narrow"/>
          <w:sz w:val="18"/>
        </w:rPr>
        <w:t>Source: Table 1, p24 of the DCAR.</w:t>
      </w:r>
    </w:p>
    <w:p w14:paraId="591F0888" w14:textId="16208C29" w:rsidR="00687501" w:rsidRDefault="00687501" w:rsidP="009F4A74">
      <w:pPr>
        <w:spacing w:before="240"/>
      </w:pPr>
      <w:r>
        <w:lastRenderedPageBreak/>
        <w:t>The DCAR noted that applicant’s proposed MBS item descriptor, was modified during the PICO ratification process to address some of the concerns expressed by the PICO</w:t>
      </w:r>
      <w:r>
        <w:rPr>
          <w:rStyle w:val="FootnoteReference"/>
        </w:rPr>
        <w:footnoteReference w:id="1"/>
      </w:r>
      <w:r>
        <w:t xml:space="preserve"> Advisory Sub-Committee (PASC; as shown </w:t>
      </w:r>
      <w:r w:rsidRPr="00F73B0A">
        <w:rPr>
          <w:szCs w:val="24"/>
        </w:rPr>
        <w:t xml:space="preserve">in </w:t>
      </w:r>
      <w:r w:rsidR="00F73B0A" w:rsidRPr="00F73B0A">
        <w:rPr>
          <w:szCs w:val="24"/>
        </w:rPr>
        <w:fldChar w:fldCharType="begin"/>
      </w:r>
      <w:r w:rsidR="00F73B0A" w:rsidRPr="00F73B0A">
        <w:rPr>
          <w:szCs w:val="24"/>
        </w:rPr>
        <w:instrText xml:space="preserve"> REF _Ref41068977 \h  \* MERGEFORMAT </w:instrText>
      </w:r>
      <w:r w:rsidR="00F73B0A" w:rsidRPr="00F73B0A">
        <w:rPr>
          <w:szCs w:val="24"/>
        </w:rPr>
      </w:r>
      <w:r w:rsidR="00F73B0A" w:rsidRPr="00F73B0A">
        <w:rPr>
          <w:szCs w:val="24"/>
        </w:rPr>
        <w:fldChar w:fldCharType="separate"/>
      </w:r>
      <w:r w:rsidR="00F73B0A" w:rsidRPr="00F73B0A">
        <w:rPr>
          <w:szCs w:val="24"/>
        </w:rPr>
        <w:t xml:space="preserve">Table </w:t>
      </w:r>
      <w:r w:rsidR="00F73B0A" w:rsidRPr="00F73B0A">
        <w:rPr>
          <w:noProof/>
          <w:szCs w:val="24"/>
        </w:rPr>
        <w:t>1</w:t>
      </w:r>
      <w:r w:rsidR="00F73B0A" w:rsidRPr="00F73B0A">
        <w:rPr>
          <w:szCs w:val="24"/>
        </w:rPr>
        <w:fldChar w:fldCharType="end"/>
      </w:r>
      <w:r w:rsidRPr="00F73B0A">
        <w:rPr>
          <w:szCs w:val="24"/>
        </w:rPr>
        <w:t xml:space="preserve"> above</w:t>
      </w:r>
      <w:r>
        <w:t xml:space="preserve"> from the </w:t>
      </w:r>
      <w:hyperlink r:id="rId14" w:history="1">
        <w:r>
          <w:rPr>
            <w:rStyle w:val="Hyperlink"/>
          </w:rPr>
          <w:t xml:space="preserve">ratified </w:t>
        </w:r>
        <w:r w:rsidRPr="00AE3452">
          <w:rPr>
            <w:rStyle w:val="Hyperlink"/>
          </w:rPr>
          <w:t>PICO Confirmation</w:t>
        </w:r>
      </w:hyperlink>
      <w:r>
        <w:t>). However, other recommendations and observations from PASC still need to be addressed. For example:</w:t>
      </w:r>
    </w:p>
    <w:p w14:paraId="16973023" w14:textId="77777777" w:rsidR="00687501" w:rsidRDefault="00687501" w:rsidP="00687501">
      <w:pPr>
        <w:pStyle w:val="ListParagraph"/>
        <w:numPr>
          <w:ilvl w:val="0"/>
          <w:numId w:val="28"/>
        </w:numPr>
      </w:pPr>
      <w:r>
        <w:t>the item does not describe the lifetime number of sessions a patient may have, as a patient may have multiple indications over time;</w:t>
      </w:r>
    </w:p>
    <w:p w14:paraId="411E6351" w14:textId="77777777" w:rsidR="00687501" w:rsidRDefault="00687501" w:rsidP="00687501">
      <w:pPr>
        <w:pStyle w:val="ListParagraph"/>
        <w:numPr>
          <w:ilvl w:val="0"/>
          <w:numId w:val="28"/>
        </w:numPr>
      </w:pPr>
      <w:r>
        <w:t>a bilateral service item should be developed to align with other MBS items; and</w:t>
      </w:r>
    </w:p>
    <w:p w14:paraId="12DD06B6" w14:textId="68677162" w:rsidR="00687501" w:rsidRDefault="00687501" w:rsidP="00687501">
      <w:pPr>
        <w:pStyle w:val="ListParagraph"/>
        <w:numPr>
          <w:ilvl w:val="0"/>
          <w:numId w:val="28"/>
        </w:numPr>
      </w:pPr>
      <w:r>
        <w:t>if AFG is listed, the item descriptor would need to clearly outline restriction, to avoid benefits being paid for cosmetic procedures.</w:t>
      </w:r>
    </w:p>
    <w:p w14:paraId="5DB0CE3C" w14:textId="32A48E7B" w:rsidR="00687501" w:rsidRDefault="00687501" w:rsidP="009F4A74">
      <w:pPr>
        <w:spacing w:before="240"/>
      </w:pPr>
      <w:r>
        <w:t>The DCAR also noted that the item descriptor will need to align with any of the accepted recommendations from the MBS Taskforce Review of the Plastic and Reconstructive MBS items.</w:t>
      </w:r>
    </w:p>
    <w:p w14:paraId="7D3EB158" w14:textId="3A0A91BE" w:rsidR="00687501" w:rsidRDefault="00687501" w:rsidP="009F4A74">
      <w:pPr>
        <w:spacing w:before="240"/>
      </w:pPr>
      <w:r>
        <w:t>The pre-ESC response claimed that the issue of ‘lifetime number of session’ is</w:t>
      </w:r>
      <w:r w:rsidRPr="00162F74">
        <w:t xml:space="preserve"> mitigate</w:t>
      </w:r>
      <w:r>
        <w:t>d by the maximum allowance of 3 services per side as stated in the item descriptor. T</w:t>
      </w:r>
      <w:r w:rsidRPr="006E50B7">
        <w:t>he intention is that there would be a maximum of 3 sessions of AFG (i.e 3 operations per side, as there may be insufficient donor fat to do bilat</w:t>
      </w:r>
      <w:r>
        <w:t>eral surgery at each operation)</w:t>
      </w:r>
      <w:r w:rsidRPr="006E50B7">
        <w:t>, which may be separated by 3 or more months</w:t>
      </w:r>
      <w:r>
        <w:t>. The applicant however supported</w:t>
      </w:r>
      <w:r w:rsidRPr="00162F74">
        <w:t xml:space="preserve"> an increased allowance of additional se</w:t>
      </w:r>
      <w:r>
        <w:t xml:space="preserve">ssions in special circumstances and </w:t>
      </w:r>
      <w:r w:rsidRPr="002813EA">
        <w:t>acknowledge the need for a bilateral item service</w:t>
      </w:r>
      <w:r>
        <w:t xml:space="preserve">. </w:t>
      </w:r>
      <w:r w:rsidRPr="002813EA">
        <w:t xml:space="preserve">The </w:t>
      </w:r>
      <w:r>
        <w:t>applicant also noted that the i</w:t>
      </w:r>
      <w:r w:rsidRPr="002813EA">
        <w:t>tem descriptor states that the use of AFG is for correction of defects arising from treatment or prevention of breast cancer, which should exclude cosmetic indications</w:t>
      </w:r>
      <w:r>
        <w:t xml:space="preserve"> but would</w:t>
      </w:r>
      <w:r w:rsidRPr="002813EA">
        <w:t xml:space="preserve"> welcome a restriction for cosmetic purposes if it was felt necessary to clarify this.</w:t>
      </w:r>
    </w:p>
    <w:p w14:paraId="69267C45" w14:textId="77777777" w:rsidR="00BC1364" w:rsidRPr="00687501" w:rsidRDefault="00687501" w:rsidP="009F4A74">
      <w:pPr>
        <w:spacing w:before="240"/>
      </w:pPr>
      <w:r>
        <w:t xml:space="preserve">In the rejoinder, the assessment group clarified the </w:t>
      </w:r>
      <w:r w:rsidRPr="00925CD6">
        <w:t>issue of ‘lifetime number of session’</w:t>
      </w:r>
      <w:r>
        <w:t xml:space="preserve"> refers to the fact </w:t>
      </w:r>
      <w:r w:rsidRPr="00925CD6">
        <w:t>that a patient may move through the different population categories (i.e. they are not mutually exclusive), so they would be eligible for further AFG sessions if they moved from one of the surgical categories to another (e.g. from a post mastectomy pre reconstructive category to a post mastectomy post reconstruction category).</w:t>
      </w:r>
    </w:p>
    <w:p w14:paraId="047A5449" w14:textId="77777777"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4F3DE672" w14:textId="31BAF66E" w:rsidR="00AD7646" w:rsidRDefault="00687501" w:rsidP="00AD7646">
      <w:r w:rsidRPr="008D71E1">
        <w:t>A letter in support of AFG was received from the Breast Cancer Network Australia (BCNA), the peak national organisation for Australians personally affected by breast cancer. The BCNA states it represents more than 120,000 individual members and 300 breast cancer support groups from across Australia. BCNA notes the difficulties their members face accessing breast reconstruction surgery, due to long waiting lists in some public hospitals, no access to reconstruction surgery in some regional and rural areas and high out-of-pocket costs in the private health system (reports of up to $18,000). The BCNA notes that AFG is evidence-based, already used in Australia and other countries and therefore supports MBS funding for AFG to provide an additional, affordable breast reconstruction option for all women who might benefit</w:t>
      </w:r>
      <w:r>
        <w:t xml:space="preserve"> (</w:t>
      </w:r>
      <w:hyperlink r:id="rId15" w:history="1">
        <w:r w:rsidRPr="00616C31">
          <w:rPr>
            <w:rStyle w:val="Hyperlink"/>
          </w:rPr>
          <w:t>Letter from BCNA in support of AFG</w:t>
        </w:r>
      </w:hyperlink>
      <w:r>
        <w:t>)</w:t>
      </w:r>
      <w:r w:rsidRPr="008D71E1">
        <w:t>.</w:t>
      </w:r>
    </w:p>
    <w:p w14:paraId="14318B12" w14:textId="32D95DAF" w:rsidR="00AD7646" w:rsidRDefault="00CD7633" w:rsidP="009F4A74">
      <w:pPr>
        <w:spacing w:before="240" w:after="240"/>
      </w:pPr>
      <w:r>
        <w:t>In addition, 70 consultation responses (55 from specialists, 15 from consumers/patient support group) were received. The feedback from Specialists (55 responses) and Consumers including patient support groups (15 responses) are summarised below.</w:t>
      </w:r>
    </w:p>
    <w:p w14:paraId="1B6CF6E1" w14:textId="77777777" w:rsidR="00AD7646" w:rsidRPr="00AD7646" w:rsidRDefault="00AD7646" w:rsidP="00AD7646">
      <w:pPr>
        <w:keepNext/>
        <w:outlineLvl w:val="1"/>
        <w:rPr>
          <w:b/>
          <w:bCs/>
          <w:iCs/>
          <w:szCs w:val="28"/>
          <w:lang w:eastAsia="en-US"/>
        </w:rPr>
      </w:pPr>
      <w:r w:rsidRPr="00AD7646">
        <w:rPr>
          <w:b/>
          <w:bCs/>
          <w:iCs/>
          <w:szCs w:val="28"/>
          <w:lang w:eastAsia="en-US"/>
        </w:rPr>
        <w:lastRenderedPageBreak/>
        <w:t xml:space="preserve">Summary of Specialist Comments </w:t>
      </w:r>
    </w:p>
    <w:p w14:paraId="3E47D14F" w14:textId="54E1FE1F" w:rsidR="00AD7646" w:rsidRPr="00AD7646" w:rsidRDefault="00AD7646" w:rsidP="00AD7646">
      <w:pPr>
        <w:rPr>
          <w:szCs w:val="28"/>
        </w:rPr>
      </w:pPr>
      <w:r w:rsidRPr="00AD7646">
        <w:rPr>
          <w:szCs w:val="28"/>
        </w:rPr>
        <w:t>Some of the main benefits of the proposed medical service being funded were:</w:t>
      </w:r>
    </w:p>
    <w:p w14:paraId="643586AF" w14:textId="7D4AFE0B" w:rsidR="00AD7646" w:rsidRPr="00F04AF1" w:rsidRDefault="00AD7646" w:rsidP="00E410FC">
      <w:pPr>
        <w:pStyle w:val="ListParagraph"/>
        <w:numPr>
          <w:ilvl w:val="0"/>
          <w:numId w:val="50"/>
        </w:numPr>
        <w:rPr>
          <w:szCs w:val="28"/>
          <w:lang w:eastAsia="en-US"/>
        </w:rPr>
      </w:pPr>
      <w:r w:rsidRPr="00F04AF1">
        <w:rPr>
          <w:szCs w:val="28"/>
          <w:lang w:eastAsia="en-US"/>
        </w:rPr>
        <w:t>Equitable access to this service for all eligible patients.</w:t>
      </w:r>
    </w:p>
    <w:p w14:paraId="747CD03F" w14:textId="0568B74B" w:rsidR="00AD7646" w:rsidRPr="009F4A74" w:rsidRDefault="00AD7646" w:rsidP="00E410FC">
      <w:pPr>
        <w:pStyle w:val="ListParagraph"/>
        <w:numPr>
          <w:ilvl w:val="0"/>
          <w:numId w:val="50"/>
        </w:numPr>
        <w:rPr>
          <w:szCs w:val="28"/>
          <w:lang w:eastAsia="en-US"/>
        </w:rPr>
      </w:pPr>
      <w:r w:rsidRPr="009F4A74">
        <w:rPr>
          <w:szCs w:val="28"/>
          <w:lang w:eastAsia="en-US"/>
        </w:rPr>
        <w:t>Wider range of equitable options for patients requiring breast reconstructive surgery.</w:t>
      </w:r>
    </w:p>
    <w:p w14:paraId="734DF792" w14:textId="6CA32448" w:rsidR="00AD7646" w:rsidRPr="009F4A74" w:rsidRDefault="00AD7646" w:rsidP="00E410FC">
      <w:pPr>
        <w:pStyle w:val="ListParagraph"/>
        <w:numPr>
          <w:ilvl w:val="0"/>
          <w:numId w:val="50"/>
        </w:numPr>
        <w:rPr>
          <w:szCs w:val="28"/>
          <w:lang w:eastAsia="en-US"/>
        </w:rPr>
      </w:pPr>
      <w:r w:rsidRPr="009F4A74">
        <w:rPr>
          <w:szCs w:val="28"/>
          <w:lang w:eastAsia="en-US"/>
        </w:rPr>
        <w:t>Health funds will be able to cover added out-of-pocket expenses with MBS listing and more patients could have the option to be treated in a private hospital.</w:t>
      </w:r>
    </w:p>
    <w:p w14:paraId="111F9174" w14:textId="58E9EAE8" w:rsidR="00AD7646" w:rsidRPr="009F4A74" w:rsidRDefault="00AD7646" w:rsidP="00E410FC">
      <w:pPr>
        <w:pStyle w:val="ListParagraph"/>
        <w:numPr>
          <w:ilvl w:val="0"/>
          <w:numId w:val="50"/>
        </w:numPr>
        <w:rPr>
          <w:szCs w:val="28"/>
          <w:lang w:eastAsia="en-US"/>
        </w:rPr>
      </w:pPr>
      <w:r w:rsidRPr="009F4A74">
        <w:rPr>
          <w:szCs w:val="28"/>
          <w:lang w:eastAsia="en-US"/>
        </w:rPr>
        <w:t>Natural reconstructive surgery, creates more natural feel/look of breasts.</w:t>
      </w:r>
    </w:p>
    <w:p w14:paraId="031BDAE6" w14:textId="77777777" w:rsidR="00AD7646" w:rsidRPr="009F4A74" w:rsidRDefault="00AD7646" w:rsidP="00E410FC">
      <w:pPr>
        <w:pStyle w:val="ListParagraph"/>
        <w:numPr>
          <w:ilvl w:val="0"/>
          <w:numId w:val="50"/>
        </w:numPr>
        <w:rPr>
          <w:szCs w:val="28"/>
          <w:lang w:eastAsia="en-US"/>
        </w:rPr>
      </w:pPr>
      <w:r w:rsidRPr="009F4A74">
        <w:rPr>
          <w:szCs w:val="28"/>
          <w:lang w:eastAsia="en-US"/>
        </w:rPr>
        <w:t>Often less invasive, with very low complication rate.</w:t>
      </w:r>
    </w:p>
    <w:p w14:paraId="5EA94F2B" w14:textId="685BCD2F" w:rsidR="00AD7646" w:rsidRPr="009F4A74" w:rsidRDefault="00AD7646" w:rsidP="00E410FC">
      <w:pPr>
        <w:pStyle w:val="ListParagraph"/>
        <w:numPr>
          <w:ilvl w:val="0"/>
          <w:numId w:val="50"/>
        </w:numPr>
        <w:rPr>
          <w:szCs w:val="28"/>
          <w:lang w:eastAsia="en-US"/>
        </w:rPr>
      </w:pPr>
      <w:r w:rsidRPr="009F4A74">
        <w:rPr>
          <w:szCs w:val="28"/>
          <w:lang w:eastAsia="en-US"/>
        </w:rPr>
        <w:t>Minimal scarring compared to other procedures.</w:t>
      </w:r>
    </w:p>
    <w:p w14:paraId="204F0582" w14:textId="27D3A874" w:rsidR="00AD7646" w:rsidRPr="009F4A74" w:rsidRDefault="00AD7646" w:rsidP="00E410FC">
      <w:pPr>
        <w:pStyle w:val="ListParagraph"/>
        <w:numPr>
          <w:ilvl w:val="0"/>
          <w:numId w:val="50"/>
        </w:numPr>
        <w:rPr>
          <w:szCs w:val="28"/>
          <w:lang w:eastAsia="en-US"/>
        </w:rPr>
      </w:pPr>
      <w:r w:rsidRPr="009F4A74">
        <w:rPr>
          <w:szCs w:val="28"/>
          <w:lang w:eastAsia="en-US"/>
        </w:rPr>
        <w:t>It can result in avoiding the need for implants, which normally need replacing in future. Otherwise it can be used alongside implant surgery to improve results.</w:t>
      </w:r>
    </w:p>
    <w:p w14:paraId="12931163" w14:textId="35D74E3C" w:rsidR="00AD7646" w:rsidRPr="009F4A74" w:rsidRDefault="00AD7646" w:rsidP="00E410FC">
      <w:pPr>
        <w:pStyle w:val="ListParagraph"/>
        <w:numPr>
          <w:ilvl w:val="0"/>
          <w:numId w:val="50"/>
        </w:numPr>
        <w:rPr>
          <w:szCs w:val="28"/>
          <w:lang w:eastAsia="en-US"/>
        </w:rPr>
      </w:pPr>
      <w:r w:rsidRPr="009F4A74">
        <w:rPr>
          <w:szCs w:val="28"/>
          <w:lang w:eastAsia="en-US"/>
        </w:rPr>
        <w:t>It can replace flap reconstruction which is has a longer surgery and recovery.</w:t>
      </w:r>
    </w:p>
    <w:p w14:paraId="2F0ECF8B" w14:textId="3E6D5103" w:rsidR="00AD7646" w:rsidRPr="009F4A74" w:rsidRDefault="00AD7646" w:rsidP="00E410FC">
      <w:pPr>
        <w:pStyle w:val="ListParagraph"/>
        <w:numPr>
          <w:ilvl w:val="0"/>
          <w:numId w:val="50"/>
        </w:numPr>
        <w:rPr>
          <w:szCs w:val="28"/>
          <w:lang w:eastAsia="en-US"/>
        </w:rPr>
      </w:pPr>
      <w:r w:rsidRPr="009F4A74">
        <w:rPr>
          <w:szCs w:val="28"/>
          <w:lang w:eastAsia="en-US"/>
        </w:rPr>
        <w:t>Improved psychological wellbeing of the patient and improved outcomes from having more affordable choices.</w:t>
      </w:r>
    </w:p>
    <w:p w14:paraId="4686C9F8" w14:textId="0232A96A" w:rsidR="00AD7646" w:rsidRPr="009F4A74" w:rsidRDefault="00AD7646" w:rsidP="00AD7646">
      <w:pPr>
        <w:pStyle w:val="ListParagraph"/>
        <w:numPr>
          <w:ilvl w:val="0"/>
          <w:numId w:val="50"/>
        </w:numPr>
        <w:rPr>
          <w:szCs w:val="28"/>
          <w:lang w:eastAsia="en-US"/>
        </w:rPr>
      </w:pPr>
      <w:r w:rsidRPr="009F4A74">
        <w:rPr>
          <w:szCs w:val="28"/>
          <w:lang w:eastAsia="en-US"/>
        </w:rPr>
        <w:t>For some patients this is the only suitable option for breast reconstruction.</w:t>
      </w:r>
    </w:p>
    <w:p w14:paraId="3BFF07BC" w14:textId="7DCBA470" w:rsidR="00AD7646" w:rsidRPr="00AD7646" w:rsidRDefault="00AD7646" w:rsidP="009F4A74">
      <w:pPr>
        <w:spacing w:before="240"/>
        <w:rPr>
          <w:szCs w:val="28"/>
          <w:lang w:eastAsia="en-US"/>
        </w:rPr>
      </w:pPr>
      <w:r w:rsidRPr="00AD7646">
        <w:rPr>
          <w:szCs w:val="28"/>
          <w:lang w:eastAsia="en-US"/>
        </w:rPr>
        <w:t xml:space="preserve">The specialists considered that disadvantages of the service could </w:t>
      </w:r>
      <w:r>
        <w:rPr>
          <w:szCs w:val="28"/>
          <w:lang w:eastAsia="en-US"/>
        </w:rPr>
        <w:t>include:</w:t>
      </w:r>
    </w:p>
    <w:p w14:paraId="41D88C91" w14:textId="6340861D" w:rsidR="00AD7646" w:rsidRPr="00AD7646" w:rsidRDefault="00AD7646" w:rsidP="00AD7646">
      <w:pPr>
        <w:numPr>
          <w:ilvl w:val="0"/>
          <w:numId w:val="47"/>
        </w:numPr>
        <w:contextualSpacing/>
        <w:rPr>
          <w:szCs w:val="28"/>
          <w:lang w:eastAsia="en-US"/>
        </w:rPr>
      </w:pPr>
      <w:r w:rsidRPr="00AD7646">
        <w:rPr>
          <w:szCs w:val="28"/>
          <w:lang w:eastAsia="en-US"/>
        </w:rPr>
        <w:t>Poor res</w:t>
      </w:r>
      <w:r>
        <w:rPr>
          <w:szCs w:val="28"/>
          <w:lang w:eastAsia="en-US"/>
        </w:rPr>
        <w:t>ults from untrained clinicians.</w:t>
      </w:r>
    </w:p>
    <w:p w14:paraId="2B956547" w14:textId="045BECE8" w:rsidR="00AD7646" w:rsidRPr="00AD7646" w:rsidRDefault="00AD7646" w:rsidP="00AD7646">
      <w:pPr>
        <w:numPr>
          <w:ilvl w:val="0"/>
          <w:numId w:val="47"/>
        </w:numPr>
        <w:contextualSpacing/>
        <w:rPr>
          <w:szCs w:val="28"/>
          <w:lang w:eastAsia="en-US"/>
        </w:rPr>
      </w:pPr>
      <w:r w:rsidRPr="00AD7646">
        <w:rPr>
          <w:szCs w:val="28"/>
          <w:lang w:eastAsia="en-US"/>
        </w:rPr>
        <w:t>Complications of surgery</w:t>
      </w:r>
      <w:r>
        <w:rPr>
          <w:szCs w:val="28"/>
          <w:lang w:eastAsia="en-US"/>
        </w:rPr>
        <w:t>.</w:t>
      </w:r>
    </w:p>
    <w:p w14:paraId="1D5B1D07" w14:textId="2BA0068F" w:rsidR="00AD7646" w:rsidRPr="009F4A74" w:rsidRDefault="00AD7646" w:rsidP="00AD7646">
      <w:pPr>
        <w:numPr>
          <w:ilvl w:val="0"/>
          <w:numId w:val="47"/>
        </w:numPr>
        <w:contextualSpacing/>
        <w:rPr>
          <w:szCs w:val="28"/>
          <w:lang w:eastAsia="en-US"/>
        </w:rPr>
      </w:pPr>
      <w:r w:rsidRPr="009F4A74">
        <w:rPr>
          <w:szCs w:val="28"/>
          <w:lang w:eastAsia="en-US"/>
        </w:rPr>
        <w:t>It needs an anaesthetic.</w:t>
      </w:r>
    </w:p>
    <w:p w14:paraId="4B754CEA" w14:textId="478FA98C" w:rsidR="00AD7646" w:rsidRPr="009F4A74" w:rsidRDefault="00AD7646" w:rsidP="00AD7646">
      <w:pPr>
        <w:numPr>
          <w:ilvl w:val="0"/>
          <w:numId w:val="47"/>
        </w:numPr>
        <w:contextualSpacing/>
        <w:rPr>
          <w:szCs w:val="28"/>
          <w:lang w:eastAsia="en-US"/>
        </w:rPr>
      </w:pPr>
      <w:r w:rsidRPr="009F4A74">
        <w:rPr>
          <w:szCs w:val="28"/>
          <w:lang w:eastAsia="en-US"/>
        </w:rPr>
        <w:t>Resorption of portion of fat graft.</w:t>
      </w:r>
    </w:p>
    <w:p w14:paraId="6E148FC3" w14:textId="53BDA6A2" w:rsidR="00AD7646" w:rsidRPr="009F4A74" w:rsidRDefault="00AD7646" w:rsidP="00AD7646">
      <w:pPr>
        <w:numPr>
          <w:ilvl w:val="0"/>
          <w:numId w:val="47"/>
        </w:numPr>
        <w:contextualSpacing/>
        <w:rPr>
          <w:szCs w:val="28"/>
          <w:lang w:eastAsia="en-US"/>
        </w:rPr>
      </w:pPr>
      <w:r w:rsidRPr="009F4A74">
        <w:rPr>
          <w:szCs w:val="28"/>
          <w:lang w:eastAsia="en-US"/>
        </w:rPr>
        <w:t>Failure to remedy cosmetic defect.</w:t>
      </w:r>
    </w:p>
    <w:p w14:paraId="25DC151E" w14:textId="1B2549B9" w:rsidR="00AD7646" w:rsidRPr="009F4A74" w:rsidRDefault="00AD7646" w:rsidP="00AD7646">
      <w:pPr>
        <w:numPr>
          <w:ilvl w:val="0"/>
          <w:numId w:val="47"/>
        </w:numPr>
        <w:contextualSpacing/>
        <w:rPr>
          <w:szCs w:val="28"/>
          <w:lang w:eastAsia="en-US"/>
        </w:rPr>
      </w:pPr>
      <w:r w:rsidRPr="009F4A74">
        <w:rPr>
          <w:szCs w:val="28"/>
          <w:lang w:eastAsia="en-US"/>
        </w:rPr>
        <w:t>The percentage of fat which will survive is unpredictable.</w:t>
      </w:r>
    </w:p>
    <w:p w14:paraId="0722DB52" w14:textId="75FF8A83" w:rsidR="00AD7646" w:rsidRPr="009F4A74" w:rsidRDefault="00AD7646" w:rsidP="00AD7646">
      <w:pPr>
        <w:numPr>
          <w:ilvl w:val="0"/>
          <w:numId w:val="47"/>
        </w:numPr>
        <w:contextualSpacing/>
        <w:rPr>
          <w:szCs w:val="28"/>
          <w:lang w:eastAsia="en-US"/>
        </w:rPr>
      </w:pPr>
      <w:r w:rsidRPr="009F4A74">
        <w:rPr>
          <w:szCs w:val="28"/>
          <w:lang w:eastAsia="en-US"/>
        </w:rPr>
        <w:t>Possible need for repeat surgery, it often requires more than one procedure to achieve adequate volume. Large volume fat transfers must be done in stages to minimise the risk of fat necrosis and oil cysts.</w:t>
      </w:r>
    </w:p>
    <w:p w14:paraId="5F448DD6" w14:textId="77777777" w:rsidR="00AD7646" w:rsidRPr="009F4A74" w:rsidRDefault="00AD7646" w:rsidP="00AD7646">
      <w:pPr>
        <w:numPr>
          <w:ilvl w:val="0"/>
          <w:numId w:val="47"/>
        </w:numPr>
        <w:contextualSpacing/>
        <w:rPr>
          <w:szCs w:val="28"/>
          <w:lang w:eastAsia="en-US"/>
        </w:rPr>
      </w:pPr>
      <w:r w:rsidRPr="009F4A74">
        <w:rPr>
          <w:szCs w:val="28"/>
          <w:lang w:eastAsia="en-US"/>
        </w:rPr>
        <w:t>Post-operative bruising of the donor site, which may preclude early return to work.</w:t>
      </w:r>
    </w:p>
    <w:p w14:paraId="44B791F8" w14:textId="1FC37FC2" w:rsidR="00AD7646" w:rsidRPr="009F4A74" w:rsidRDefault="00AD7646" w:rsidP="00AD7646">
      <w:pPr>
        <w:numPr>
          <w:ilvl w:val="0"/>
          <w:numId w:val="47"/>
        </w:numPr>
        <w:contextualSpacing/>
        <w:rPr>
          <w:szCs w:val="28"/>
          <w:lang w:eastAsia="en-US"/>
        </w:rPr>
      </w:pPr>
      <w:r w:rsidRPr="009F4A74">
        <w:rPr>
          <w:szCs w:val="28"/>
          <w:lang w:eastAsia="en-US"/>
        </w:rPr>
        <w:t>Potential “marketing” vehicle for financially motivated and untrained practitioners – restriction must be tight to avoid misuse in the context of a cosmetic procedure.</w:t>
      </w:r>
    </w:p>
    <w:p w14:paraId="116BD8F7" w14:textId="447CC50D" w:rsidR="00AD7646" w:rsidRPr="00AD7646" w:rsidRDefault="00AD7646" w:rsidP="00B72DF9">
      <w:pPr>
        <w:spacing w:before="240"/>
        <w:rPr>
          <w:szCs w:val="28"/>
          <w:lang w:eastAsia="en-US"/>
        </w:rPr>
      </w:pPr>
      <w:r w:rsidRPr="00AD7646">
        <w:rPr>
          <w:szCs w:val="28"/>
          <w:lang w:eastAsia="en-US"/>
        </w:rPr>
        <w:t xml:space="preserve">One specialist considered that another benefit from having this intervention MBS funded, is that it may move more patients from the public system into private hospitals for the service. Other services that could be delivered were recommended for this service in the form of physiotherapy and/or occupational therapy for fitting of compression garments and/or bra post-operative. </w:t>
      </w:r>
      <w:r w:rsidRPr="009F4A74">
        <w:rPr>
          <w:szCs w:val="28"/>
          <w:lang w:eastAsia="en-US"/>
        </w:rPr>
        <w:t>One specialist added that physiological support could be of benefit to patients as an additional service before and/or after this intervention.</w:t>
      </w:r>
    </w:p>
    <w:p w14:paraId="5383BE21" w14:textId="58FA52D2" w:rsidR="00AD7646" w:rsidRPr="00AD7646" w:rsidRDefault="00AD7646" w:rsidP="009F4A74">
      <w:pPr>
        <w:spacing w:before="240"/>
        <w:rPr>
          <w:szCs w:val="28"/>
          <w:lang w:eastAsia="en-US"/>
        </w:rPr>
      </w:pPr>
      <w:r w:rsidRPr="00AD7646">
        <w:rPr>
          <w:szCs w:val="28"/>
          <w:lang w:eastAsia="en-US"/>
        </w:rPr>
        <w:t xml:space="preserve">One of the specialists considered the descriptor should be amended to read “correction of developmental and </w:t>
      </w:r>
      <w:r w:rsidRPr="00CD7633">
        <w:rPr>
          <w:szCs w:val="28"/>
          <w:lang w:eastAsia="en-US"/>
        </w:rPr>
        <w:t>acquired</w:t>
      </w:r>
      <w:r w:rsidRPr="00AD7646">
        <w:rPr>
          <w:szCs w:val="28"/>
          <w:lang w:eastAsia="en-US"/>
        </w:rPr>
        <w:t xml:space="preserve"> disorders…” The same specialist also considered that the fee is relevant to a small volume fat transfer however; occasionally a high volume fat transfer is performed (pg 15). Another specialist considered that this proposed service is critical for patient</w:t>
      </w:r>
      <w:r>
        <w:rPr>
          <w:szCs w:val="28"/>
          <w:lang w:eastAsia="en-US"/>
        </w:rPr>
        <w:t>-centred cancer care.</w:t>
      </w:r>
    </w:p>
    <w:p w14:paraId="2DC8F4B0" w14:textId="24EB1BE5" w:rsidR="00AD7646" w:rsidRPr="009F4A74" w:rsidRDefault="00AD7646" w:rsidP="009F4A74">
      <w:pPr>
        <w:spacing w:before="240"/>
        <w:rPr>
          <w:szCs w:val="28"/>
          <w:lang w:eastAsia="en-US"/>
        </w:rPr>
      </w:pPr>
      <w:r w:rsidRPr="009F4A74">
        <w:rPr>
          <w:szCs w:val="28"/>
          <w:lang w:eastAsia="en-US"/>
        </w:rPr>
        <w:t>Some mention was made to the proposed population being clearer about Poland’s syndrome, post radiotherapy and post thoracic surgery as inclusions. Almost all specialists commented that the item descriptor needs to ensure it could not be used in patients undergoing breast reconstruction for cosmetic purposes.</w:t>
      </w:r>
    </w:p>
    <w:p w14:paraId="23145AA6" w14:textId="6BBD3F70" w:rsidR="00AD7646" w:rsidRPr="00AD7646" w:rsidRDefault="00AD7646" w:rsidP="009F4A74">
      <w:pPr>
        <w:spacing w:before="240"/>
        <w:rPr>
          <w:szCs w:val="28"/>
          <w:lang w:eastAsia="en-US"/>
        </w:rPr>
      </w:pPr>
      <w:r w:rsidRPr="009F4A74">
        <w:rPr>
          <w:szCs w:val="28"/>
          <w:lang w:eastAsia="en-US"/>
        </w:rPr>
        <w:t>One specialist considered that AFG should be publically funded for women having their breasts reconstructed after implantation removal.</w:t>
      </w:r>
    </w:p>
    <w:p w14:paraId="5EE666BF" w14:textId="0F8CEA28" w:rsidR="00AD7646" w:rsidRPr="00AD7646" w:rsidRDefault="00AD7646" w:rsidP="009F4A74">
      <w:pPr>
        <w:keepNext/>
        <w:spacing w:before="240" w:after="120"/>
        <w:outlineLvl w:val="1"/>
        <w:rPr>
          <w:b/>
          <w:bCs/>
          <w:iCs/>
          <w:szCs w:val="28"/>
          <w:lang w:eastAsia="en-US"/>
        </w:rPr>
      </w:pPr>
      <w:r w:rsidRPr="00AD7646">
        <w:rPr>
          <w:b/>
          <w:bCs/>
          <w:iCs/>
          <w:szCs w:val="28"/>
          <w:lang w:eastAsia="en-US"/>
        </w:rPr>
        <w:lastRenderedPageBreak/>
        <w:t xml:space="preserve">Summary of </w:t>
      </w:r>
      <w:r w:rsidR="006F1E85">
        <w:rPr>
          <w:b/>
          <w:bCs/>
          <w:iCs/>
          <w:szCs w:val="28"/>
          <w:lang w:eastAsia="en-US"/>
        </w:rPr>
        <w:t xml:space="preserve">Consumer </w:t>
      </w:r>
      <w:r w:rsidRPr="00AD7646">
        <w:rPr>
          <w:b/>
          <w:bCs/>
          <w:iCs/>
          <w:szCs w:val="28"/>
          <w:lang w:eastAsia="en-US"/>
        </w:rPr>
        <w:t xml:space="preserve">Comments </w:t>
      </w:r>
    </w:p>
    <w:p w14:paraId="5B63FECC" w14:textId="44A3BABF" w:rsidR="00AD7646" w:rsidRPr="009F4A74" w:rsidRDefault="00AD7646" w:rsidP="00AD7646">
      <w:pPr>
        <w:rPr>
          <w:szCs w:val="28"/>
        </w:rPr>
      </w:pPr>
      <w:r w:rsidRPr="009F4A74">
        <w:rPr>
          <w:szCs w:val="28"/>
        </w:rPr>
        <w:t>The views towards the benefits of the proposed medical service, were similar to those listed by the specialists, especially in regards to it improving the patients’ physical and mental wellbeing. It was noted that it will improve equitable access to this option for many patients and that it being much less invasive than other major surgeries was comforting to patients.</w:t>
      </w:r>
    </w:p>
    <w:p w14:paraId="01D8E957" w14:textId="4117EFCC" w:rsidR="00AD7646" w:rsidRPr="009F4A74" w:rsidRDefault="00AD7646" w:rsidP="009F4A74">
      <w:pPr>
        <w:spacing w:before="240"/>
        <w:rPr>
          <w:szCs w:val="28"/>
        </w:rPr>
      </w:pPr>
      <w:r w:rsidRPr="009F4A74">
        <w:rPr>
          <w:szCs w:val="28"/>
        </w:rPr>
        <w:t>One of the consumers especially considered that the proposed service will benefit patients’ physical and mental wellbeing.</w:t>
      </w:r>
    </w:p>
    <w:p w14:paraId="35949CBE" w14:textId="3D7B2C57" w:rsidR="00AD7646" w:rsidRPr="009F4A74" w:rsidRDefault="00AD7646" w:rsidP="009F4A74">
      <w:pPr>
        <w:spacing w:before="240"/>
        <w:rPr>
          <w:szCs w:val="28"/>
        </w:rPr>
      </w:pPr>
      <w:r w:rsidRPr="009F4A74">
        <w:rPr>
          <w:szCs w:val="28"/>
        </w:rPr>
        <w:t>The risk of complications and additional surgeries were noted as a disadvantage by the consumers.</w:t>
      </w:r>
    </w:p>
    <w:p w14:paraId="28387CB5" w14:textId="33D148FF" w:rsidR="00AD7646" w:rsidRPr="009F4A74" w:rsidRDefault="00AD7646" w:rsidP="009F4A74">
      <w:pPr>
        <w:spacing w:before="240"/>
        <w:rPr>
          <w:szCs w:val="28"/>
        </w:rPr>
      </w:pPr>
      <w:r w:rsidRPr="009F4A74">
        <w:rPr>
          <w:szCs w:val="28"/>
        </w:rPr>
        <w:t>Consumers added that the following allied health could be considered as other beneficial services before and/or after the intervention: dietician, exercise physiologist.</w:t>
      </w:r>
    </w:p>
    <w:p w14:paraId="5BA7DB3B" w14:textId="77777777" w:rsidR="00BC1364" w:rsidRPr="00F715D1" w:rsidRDefault="00BC1364" w:rsidP="00F715D1">
      <w:pPr>
        <w:pStyle w:val="Heading1"/>
      </w:pPr>
      <w:r w:rsidRPr="00F715D1">
        <w:t>Proposed intervention’s place in clinical management</w:t>
      </w:r>
    </w:p>
    <w:p w14:paraId="51924298" w14:textId="77777777" w:rsidR="00CF4E81" w:rsidRDefault="00CF4E81" w:rsidP="003C2E14">
      <w:pPr>
        <w:pStyle w:val="Heading2"/>
      </w:pPr>
      <w:r w:rsidRPr="003C2E14">
        <w:t>Description</w:t>
      </w:r>
      <w:r w:rsidRPr="00CF4E81">
        <w:t xml:space="preserve"> of Proposed Intervention</w:t>
      </w:r>
    </w:p>
    <w:p w14:paraId="6EBB6161" w14:textId="09910E86" w:rsidR="009F4A74" w:rsidRPr="009F4A74" w:rsidRDefault="003C2E14" w:rsidP="009F4A74">
      <w:pPr>
        <w:tabs>
          <w:tab w:val="left" w:pos="720"/>
          <w:tab w:val="left" w:pos="1140"/>
        </w:tabs>
      </w:pPr>
      <w:r w:rsidRPr="00D431AF">
        <w:t>AFG is the harvesting, preparation, and re-injection of autologous fat, with or without specialised fat grafting equipment. It includes live fat cells being harvested from a donor site on the patient, prepared in theatre by a variety of methods to separate and purify the fat cells, and injected back into the defective area. It relies on the fat stem cells remaining v</w:t>
      </w:r>
      <w:r w:rsidR="009F4A74">
        <w:t>iable in the transferred site.</w:t>
      </w:r>
      <w:r w:rsidR="009F4A74">
        <w:br w:type="page"/>
      </w:r>
    </w:p>
    <w:p w14:paraId="582EE340" w14:textId="466012BB" w:rsidR="00CF4E81" w:rsidRPr="00CF4E81" w:rsidRDefault="00CF4E81" w:rsidP="009F4A74">
      <w:pPr>
        <w:pStyle w:val="Heading2"/>
        <w:spacing w:before="240"/>
      </w:pPr>
      <w:r w:rsidRPr="00CF4E81">
        <w:lastRenderedPageBreak/>
        <w:t>Des</w:t>
      </w:r>
      <w:r w:rsidR="003C2E14">
        <w:t>cription of Medical Conditions</w:t>
      </w:r>
    </w:p>
    <w:p w14:paraId="02EAF7EA" w14:textId="412B3A22" w:rsidR="003C2E14" w:rsidRDefault="003C2E14" w:rsidP="009F4A74">
      <w:pPr>
        <w:spacing w:after="240"/>
      </w:pPr>
      <w:r w:rsidRPr="001D3B64">
        <w:t xml:space="preserve">AFG </w:t>
      </w:r>
      <w:r>
        <w:t>is proposed for use in two broad patient populations.</w:t>
      </w:r>
    </w:p>
    <w:p w14:paraId="0B3573E0" w14:textId="77777777" w:rsidR="003C2E14" w:rsidRPr="003C2E14" w:rsidRDefault="003C2E14" w:rsidP="003C2E14">
      <w:pPr>
        <w:pStyle w:val="Heading3"/>
      </w:pPr>
      <w:r w:rsidRPr="003C2E14">
        <w:t>Population A</w:t>
      </w:r>
    </w:p>
    <w:p w14:paraId="1CAAFDC5" w14:textId="77777777" w:rsidR="003C2E14" w:rsidRDefault="003C2E14" w:rsidP="003C2E14">
      <w:r>
        <w:t>P</w:t>
      </w:r>
      <w:r w:rsidRPr="00665F9E">
        <w:t>atients who have had previous surgery for breast cancer treatment or risk reduction for the treatment of</w:t>
      </w:r>
      <w:r>
        <w:t xml:space="preserve"> post </w:t>
      </w:r>
      <w:r w:rsidRPr="00665F9E">
        <w:t>mastectomy pain and/or to improve post</w:t>
      </w:r>
      <w:r>
        <w:t xml:space="preserve"> </w:t>
      </w:r>
      <w:r w:rsidRPr="00665F9E">
        <w:t>mastectomy skin quality (wit</w:t>
      </w:r>
      <w:r>
        <w:t>h or without radiation therapy) with the following subpopulations:</w:t>
      </w:r>
    </w:p>
    <w:p w14:paraId="66D62B2C" w14:textId="77777777" w:rsidR="003C2E14" w:rsidRPr="008D71E1" w:rsidRDefault="003C2E14" w:rsidP="003C2E14">
      <w:pPr>
        <w:pStyle w:val="ListParagraph"/>
        <w:numPr>
          <w:ilvl w:val="0"/>
          <w:numId w:val="29"/>
        </w:numPr>
      </w:pPr>
      <w:r>
        <w:t>Subp</w:t>
      </w:r>
      <w:r w:rsidRPr="008D71E1">
        <w:t>opulation A1</w:t>
      </w:r>
      <w:r>
        <w:t xml:space="preserve"> - Post mastectomy</w:t>
      </w:r>
      <w:r w:rsidRPr="008D71E1">
        <w:t xml:space="preserve"> without reconstruction.</w:t>
      </w:r>
      <w:r>
        <w:t xml:space="preserve"> </w:t>
      </w:r>
    </w:p>
    <w:p w14:paraId="414325EA" w14:textId="77777777" w:rsidR="003C2E14" w:rsidRPr="008D71E1" w:rsidRDefault="003C2E14" w:rsidP="003C2E14">
      <w:pPr>
        <w:pStyle w:val="ListParagraph"/>
        <w:numPr>
          <w:ilvl w:val="0"/>
          <w:numId w:val="29"/>
        </w:numPr>
      </w:pPr>
      <w:r>
        <w:t>Subp</w:t>
      </w:r>
      <w:r w:rsidRPr="008D71E1">
        <w:t>opulation A2</w:t>
      </w:r>
      <w:r>
        <w:t xml:space="preserve"> - Post mastectomy</w:t>
      </w:r>
      <w:r w:rsidRPr="008D71E1">
        <w:t xml:space="preserve"> with suboptimal outcomes after autologous or prosthetic reconstruction.</w:t>
      </w:r>
    </w:p>
    <w:p w14:paraId="05C469B4" w14:textId="216592AD" w:rsidR="003C2E14" w:rsidRDefault="003C2E14" w:rsidP="009F4A74">
      <w:pPr>
        <w:pStyle w:val="ListParagraph"/>
        <w:numPr>
          <w:ilvl w:val="0"/>
          <w:numId w:val="29"/>
        </w:numPr>
      </w:pPr>
      <w:r>
        <w:t>Subpopulation A3 - S</w:t>
      </w:r>
      <w:r w:rsidRPr="008D71E1">
        <w:t xml:space="preserve">uboptimal outcomes following </w:t>
      </w:r>
      <w:r>
        <w:t>breast conserving surgery (</w:t>
      </w:r>
      <w:r w:rsidRPr="008D71E1">
        <w:t>BCS</w:t>
      </w:r>
      <w:r>
        <w:t>)</w:t>
      </w:r>
      <w:r w:rsidRPr="008D71E1">
        <w:t xml:space="preserve"> for benign or malignant neoplasms.</w:t>
      </w:r>
    </w:p>
    <w:p w14:paraId="5B17CDBE" w14:textId="77777777" w:rsidR="003C2E14" w:rsidRDefault="003C2E14" w:rsidP="009F4A74">
      <w:pPr>
        <w:pStyle w:val="Heading3"/>
        <w:spacing w:before="240"/>
      </w:pPr>
      <w:r>
        <w:t>Population B</w:t>
      </w:r>
    </w:p>
    <w:p w14:paraId="2AFA7A32" w14:textId="6254D10F" w:rsidR="003C2E14" w:rsidRDefault="003C2E14" w:rsidP="003C2E14">
      <w:pPr>
        <w:autoSpaceDE w:val="0"/>
        <w:autoSpaceDN w:val="0"/>
        <w:adjustRightInd w:val="0"/>
      </w:pPr>
      <w:r w:rsidRPr="007C2BA3">
        <w:t>Developmental breast abnormalities defined as congenital tuberous breast or unilateral hypomastia causing asymmetry with a &gt;20% difference in the contralateral side.</w:t>
      </w:r>
    </w:p>
    <w:p w14:paraId="662E89C8" w14:textId="77777777" w:rsidR="003C2E14" w:rsidRDefault="003C2E14" w:rsidP="009F4A74">
      <w:pPr>
        <w:pStyle w:val="Heading2"/>
        <w:spacing w:before="240"/>
      </w:pPr>
      <w:r>
        <w:t>Population A clinical management pathway</w:t>
      </w:r>
    </w:p>
    <w:p w14:paraId="2573E7AD" w14:textId="66B682C4" w:rsidR="003C2E14" w:rsidRDefault="003C2E14" w:rsidP="009F4A74">
      <w:pPr>
        <w:spacing w:after="240"/>
      </w:pPr>
      <w:r>
        <w:t xml:space="preserve">The current clinical practice for managing </w:t>
      </w:r>
      <w:r w:rsidRPr="00FE7BDF">
        <w:t>patients with breast cancer (or risk of breast cancer)</w:t>
      </w:r>
      <w:r>
        <w:t xml:space="preserve"> in the absence of MBS listing of AFG is depicted in </w:t>
      </w:r>
      <w:r>
        <w:fldChar w:fldCharType="begin"/>
      </w:r>
      <w:r>
        <w:instrText xml:space="preserve"> REF _Ref24465767 \h </w:instrText>
      </w:r>
      <w:r>
        <w:fldChar w:fldCharType="separate"/>
      </w:r>
      <w:r w:rsidRPr="008D71E1">
        <w:t xml:space="preserve">Figure </w:t>
      </w:r>
      <w:r>
        <w:rPr>
          <w:noProof/>
        </w:rPr>
        <w:t>1</w:t>
      </w:r>
      <w:r>
        <w:fldChar w:fldCharType="end"/>
      </w:r>
      <w:r>
        <w:t>.</w:t>
      </w:r>
    </w:p>
    <w:p w14:paraId="6A8B9E6E" w14:textId="77777777" w:rsidR="003C2E14" w:rsidRPr="008D71E1" w:rsidRDefault="003C2E14" w:rsidP="003C2E14">
      <w:r w:rsidRPr="008D71E1">
        <w:rPr>
          <w:noProof/>
        </w:rPr>
        <w:drawing>
          <wp:inline distT="0" distB="0" distL="0" distR="0" wp14:anchorId="5A2B7BF1" wp14:editId="513EB73F">
            <wp:extent cx="5173980" cy="2339340"/>
            <wp:effectExtent l="0" t="0" r="7620" b="3810"/>
            <wp:docPr id="7" name="Picture 7" descr="Current clinical management pathway of patients with breast cancer (or risk of breast cancer)" title="Current clinical management pathway of patients with breast cancer (or risk of breast cancer)"/>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73980" cy="2339340"/>
                    </a:xfrm>
                    <a:prstGeom prst="rect">
                      <a:avLst/>
                    </a:prstGeom>
                    <a:noFill/>
                  </pic:spPr>
                </pic:pic>
              </a:graphicData>
            </a:graphic>
          </wp:inline>
        </w:drawing>
      </w:r>
    </w:p>
    <w:p w14:paraId="0949BFDA" w14:textId="77777777" w:rsidR="003C2E14" w:rsidRPr="00B72DF9" w:rsidRDefault="003C2E14" w:rsidP="00B72DF9">
      <w:pPr>
        <w:rPr>
          <w:rFonts w:ascii="Arial Narrow" w:hAnsi="Arial Narrow"/>
          <w:b/>
          <w:sz w:val="20"/>
        </w:rPr>
      </w:pPr>
      <w:bookmarkStart w:id="3" w:name="_Ref24465767"/>
      <w:bookmarkStart w:id="4" w:name="_Toc37815226"/>
      <w:r w:rsidRPr="00B72DF9">
        <w:rPr>
          <w:rFonts w:ascii="Arial Narrow" w:hAnsi="Arial Narrow"/>
          <w:b/>
          <w:sz w:val="20"/>
        </w:rPr>
        <w:t xml:space="preserve">Figure </w:t>
      </w:r>
      <w:r w:rsidRPr="00B72DF9">
        <w:rPr>
          <w:rFonts w:ascii="Arial Narrow" w:hAnsi="Arial Narrow"/>
          <w:b/>
          <w:sz w:val="20"/>
        </w:rPr>
        <w:fldChar w:fldCharType="begin"/>
      </w:r>
      <w:r w:rsidRPr="00B72DF9">
        <w:rPr>
          <w:rFonts w:ascii="Arial Narrow" w:hAnsi="Arial Narrow"/>
          <w:b/>
          <w:sz w:val="20"/>
        </w:rPr>
        <w:instrText xml:space="preserve"> SEQ Figure \* ARABIC </w:instrText>
      </w:r>
      <w:r w:rsidRPr="00B72DF9">
        <w:rPr>
          <w:rFonts w:ascii="Arial Narrow" w:hAnsi="Arial Narrow"/>
          <w:b/>
          <w:sz w:val="20"/>
        </w:rPr>
        <w:fldChar w:fldCharType="separate"/>
      </w:r>
      <w:r w:rsidRPr="00B72DF9">
        <w:rPr>
          <w:rFonts w:ascii="Arial Narrow" w:hAnsi="Arial Narrow"/>
          <w:b/>
          <w:sz w:val="20"/>
        </w:rPr>
        <w:t>1</w:t>
      </w:r>
      <w:r w:rsidRPr="00B72DF9">
        <w:rPr>
          <w:rFonts w:ascii="Arial Narrow" w:hAnsi="Arial Narrow"/>
          <w:b/>
          <w:sz w:val="20"/>
        </w:rPr>
        <w:fldChar w:fldCharType="end"/>
      </w:r>
      <w:bookmarkEnd w:id="3"/>
      <w:r w:rsidRPr="00B72DF9">
        <w:rPr>
          <w:rFonts w:ascii="Arial Narrow" w:hAnsi="Arial Narrow"/>
          <w:b/>
          <w:sz w:val="20"/>
        </w:rPr>
        <w:tab/>
        <w:t>Current clinical management pathway of patients with breast cancer (or risk of breast cancer)</w:t>
      </w:r>
      <w:bookmarkEnd w:id="4"/>
    </w:p>
    <w:p w14:paraId="6D51B229" w14:textId="77777777" w:rsidR="003C2E14" w:rsidRDefault="003C2E14" w:rsidP="003C2E14">
      <w:pPr>
        <w:pStyle w:val="Tablenotes"/>
      </w:pPr>
      <w:r w:rsidRPr="008D71E1">
        <w:t>Note: the green line represents patients who initially elect to have no reconstruction but who have a change in preference over time. Patients who do not have reconstruction (because they are medically unfit) are unlikely to continue with best supportive care. PASC advised this</w:t>
      </w:r>
      <w:r>
        <w:t xml:space="preserve"> should be tested in the sensitivity analysis.</w:t>
      </w:r>
    </w:p>
    <w:p w14:paraId="3765F9A1" w14:textId="5C4F5F6D" w:rsidR="003C2E14" w:rsidRDefault="003C2E14" w:rsidP="009F4A74">
      <w:pPr>
        <w:pStyle w:val="Tablenotes"/>
      </w:pPr>
      <w:r>
        <w:t>Source: Figure 3, p87 of the DCAR.</w:t>
      </w:r>
    </w:p>
    <w:p w14:paraId="5E2669EE" w14:textId="77777777" w:rsidR="003C2E14" w:rsidRDefault="003C2E14" w:rsidP="009F4A74">
      <w:pPr>
        <w:spacing w:before="240"/>
      </w:pPr>
      <w:r w:rsidRPr="008D71E1">
        <w:t>The clinical management pathway is further broken down to present the current and proposed</w:t>
      </w:r>
      <w:r>
        <w:t xml:space="preserve"> clinical management algorithms for the proposed subpopulations for public funding with AFG: </w:t>
      </w:r>
    </w:p>
    <w:p w14:paraId="02BAC481" w14:textId="0503F8D2" w:rsidR="003C2E14" w:rsidRDefault="003C2E14" w:rsidP="003C2E14">
      <w:pPr>
        <w:pStyle w:val="ListParagraph"/>
        <w:numPr>
          <w:ilvl w:val="0"/>
          <w:numId w:val="30"/>
        </w:numPr>
      </w:pPr>
      <w:r>
        <w:t xml:space="preserve">Subpopulation </w:t>
      </w:r>
      <w:r w:rsidRPr="008D71E1">
        <w:t>A1</w:t>
      </w:r>
      <w:r>
        <w:t xml:space="preserve">: patients who are post mastectomy without reconstruction who are currently unable to pursue reconstruction. The availability of AFG will address the poor quality of their skin flaps, allowing them to have reconstruction with AFG alone or AFG treatment of skin flaps will allow for further prosthetic reconstruction. Additionally, those who are unable to pursue reconstruction may use AFG for the treatment of </w:t>
      </w:r>
      <w:r w:rsidRPr="00B72DF9">
        <w:rPr>
          <w:szCs w:val="24"/>
        </w:rPr>
        <w:t>pain (</w:t>
      </w:r>
      <w:r w:rsidR="00B72DF9" w:rsidRPr="00B72DF9">
        <w:rPr>
          <w:szCs w:val="24"/>
        </w:rPr>
        <w:fldChar w:fldCharType="begin"/>
      </w:r>
      <w:r w:rsidR="00B72DF9" w:rsidRPr="00B72DF9">
        <w:rPr>
          <w:szCs w:val="24"/>
        </w:rPr>
        <w:instrText xml:space="preserve"> REF _Ref24478920 \h  \* MERGEFORMAT </w:instrText>
      </w:r>
      <w:r w:rsidR="00B72DF9" w:rsidRPr="00B72DF9">
        <w:rPr>
          <w:szCs w:val="24"/>
        </w:rPr>
      </w:r>
      <w:r w:rsidR="00B72DF9" w:rsidRPr="00B72DF9">
        <w:rPr>
          <w:szCs w:val="24"/>
        </w:rPr>
        <w:fldChar w:fldCharType="separate"/>
      </w:r>
      <w:r w:rsidR="00B72DF9" w:rsidRPr="00B72DF9">
        <w:rPr>
          <w:szCs w:val="24"/>
        </w:rPr>
        <w:t>Figure 2</w:t>
      </w:r>
      <w:r w:rsidR="00B72DF9" w:rsidRPr="00B72DF9">
        <w:rPr>
          <w:szCs w:val="24"/>
        </w:rPr>
        <w:fldChar w:fldCharType="end"/>
      </w:r>
      <w:r w:rsidRPr="00B72DF9">
        <w:rPr>
          <w:szCs w:val="24"/>
        </w:rPr>
        <w:t>).</w:t>
      </w:r>
    </w:p>
    <w:p w14:paraId="521131B3" w14:textId="7FAF1EDF" w:rsidR="003C2E14" w:rsidRPr="00E86C20" w:rsidRDefault="003C2E14" w:rsidP="003C2E14">
      <w:pPr>
        <w:pStyle w:val="ListParagraph"/>
        <w:numPr>
          <w:ilvl w:val="0"/>
          <w:numId w:val="30"/>
        </w:numPr>
        <w:rPr>
          <w:szCs w:val="24"/>
        </w:rPr>
      </w:pPr>
      <w:r>
        <w:lastRenderedPageBreak/>
        <w:t xml:space="preserve">Subpopulation A2: patients who are post mastectomy with reconstruction but have suboptimal outcomes is sub-divided into two subgroups: (i) those with skin flaps suitable for revision surgery and (ii) those with skin flaps that are not suitable for revision surgery. The availability of AFG would provide another option to have a breast reconstruction using AFG alone for those whose skin flaps are of a suitable quality or for those with poor quality skin, AFG will be used with further reconstructive </w:t>
      </w:r>
      <w:r w:rsidRPr="00E86C20">
        <w:rPr>
          <w:szCs w:val="24"/>
        </w:rPr>
        <w:t>surgery (</w:t>
      </w:r>
      <w:r w:rsidR="00B72DF9" w:rsidRPr="00E86C20">
        <w:rPr>
          <w:szCs w:val="24"/>
        </w:rPr>
        <w:fldChar w:fldCharType="begin"/>
      </w:r>
      <w:r w:rsidR="00B72DF9" w:rsidRPr="00E86C20">
        <w:rPr>
          <w:szCs w:val="24"/>
        </w:rPr>
        <w:instrText xml:space="preserve"> REF _Ref379455005 \h </w:instrText>
      </w:r>
      <w:r w:rsidR="00E86C20" w:rsidRPr="00E86C20">
        <w:rPr>
          <w:szCs w:val="24"/>
        </w:rPr>
        <w:instrText xml:space="preserve"> \* MERGEFORMAT </w:instrText>
      </w:r>
      <w:r w:rsidR="00B72DF9" w:rsidRPr="00E86C20">
        <w:rPr>
          <w:szCs w:val="24"/>
        </w:rPr>
      </w:r>
      <w:r w:rsidR="00B72DF9" w:rsidRPr="00E86C20">
        <w:rPr>
          <w:szCs w:val="24"/>
        </w:rPr>
        <w:fldChar w:fldCharType="separate"/>
      </w:r>
      <w:r w:rsidR="00B72DF9" w:rsidRPr="00E86C20">
        <w:rPr>
          <w:szCs w:val="24"/>
        </w:rPr>
        <w:t>Figure 3</w:t>
      </w:r>
      <w:r w:rsidR="00B72DF9" w:rsidRPr="00E86C20">
        <w:rPr>
          <w:szCs w:val="24"/>
        </w:rPr>
        <w:fldChar w:fldCharType="end"/>
      </w:r>
      <w:r w:rsidRPr="00E86C20">
        <w:rPr>
          <w:szCs w:val="24"/>
        </w:rPr>
        <w:t>).</w:t>
      </w:r>
    </w:p>
    <w:p w14:paraId="0BC382B7" w14:textId="7A9DEFBA" w:rsidR="003C2E14" w:rsidRPr="008D71E1" w:rsidRDefault="003C2E14" w:rsidP="003C2E14">
      <w:pPr>
        <w:pStyle w:val="ListParagraph"/>
        <w:numPr>
          <w:ilvl w:val="0"/>
          <w:numId w:val="30"/>
        </w:numPr>
        <w:spacing w:after="240"/>
      </w:pPr>
      <w:r>
        <w:t xml:space="preserve">Subpopulation A3: patients who have suboptimal outcomes following breast conserving surgery to their breast. The availability of AFG will present another option to the current options of best supportive care (BSC), mastectomy plus reconstruction or reduction mammoplasty of the contralateral breast. AFG may substitute for any of the current options or be an adjunct to the other surgical </w:t>
      </w:r>
      <w:r w:rsidRPr="00E86C20">
        <w:rPr>
          <w:szCs w:val="24"/>
        </w:rPr>
        <w:t>options (</w:t>
      </w:r>
      <w:r w:rsidR="00E86C20" w:rsidRPr="00E86C20">
        <w:rPr>
          <w:szCs w:val="24"/>
        </w:rPr>
        <w:fldChar w:fldCharType="begin"/>
      </w:r>
      <w:r w:rsidR="00E86C20" w:rsidRPr="00E86C20">
        <w:rPr>
          <w:szCs w:val="24"/>
        </w:rPr>
        <w:instrText xml:space="preserve"> REF _Ref25170540 \h  \* MERGEFORMAT </w:instrText>
      </w:r>
      <w:r w:rsidR="00E86C20" w:rsidRPr="00E86C20">
        <w:rPr>
          <w:szCs w:val="24"/>
        </w:rPr>
      </w:r>
      <w:r w:rsidR="00E86C20" w:rsidRPr="00E86C20">
        <w:rPr>
          <w:szCs w:val="24"/>
        </w:rPr>
        <w:fldChar w:fldCharType="separate"/>
      </w:r>
      <w:r w:rsidR="00E86C20" w:rsidRPr="00E86C20">
        <w:rPr>
          <w:szCs w:val="24"/>
        </w:rPr>
        <w:t>Figure 4</w:t>
      </w:r>
      <w:r w:rsidR="00E86C20" w:rsidRPr="00E86C20">
        <w:rPr>
          <w:szCs w:val="24"/>
        </w:rPr>
        <w:fldChar w:fldCharType="end"/>
      </w:r>
      <w:r w:rsidRPr="00E86C20">
        <w:rPr>
          <w:szCs w:val="24"/>
        </w:rPr>
        <w:t>).</w:t>
      </w:r>
    </w:p>
    <w:p w14:paraId="667A5CF4" w14:textId="77777777" w:rsidR="003C2E14" w:rsidRPr="008D71E1" w:rsidRDefault="003C2E14" w:rsidP="003C2E14">
      <w:pPr>
        <w:jc w:val="center"/>
      </w:pPr>
      <w:r w:rsidRPr="008D71E1">
        <w:rPr>
          <w:noProof/>
        </w:rPr>
        <w:drawing>
          <wp:inline distT="0" distB="0" distL="0" distR="0" wp14:anchorId="6E08DEE6" wp14:editId="655C16C9">
            <wp:extent cx="5286375" cy="2381250"/>
            <wp:effectExtent l="0" t="0" r="9525" b="0"/>
            <wp:docPr id="198" name="Picture 198" descr="Current and proposed clinical management pathway of patients post mastectomy: Populations A1 and A4" title="Current and proposed clinical management pathway of patients post mastectomy: Populations A1 and A4"/>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86375" cy="2381250"/>
                    </a:xfrm>
                    <a:prstGeom prst="rect">
                      <a:avLst/>
                    </a:prstGeom>
                    <a:noFill/>
                  </pic:spPr>
                </pic:pic>
              </a:graphicData>
            </a:graphic>
          </wp:inline>
        </w:drawing>
      </w:r>
    </w:p>
    <w:p w14:paraId="7F4CD880" w14:textId="77777777" w:rsidR="003C2E14" w:rsidRPr="00B72DF9" w:rsidRDefault="003C2E14" w:rsidP="00B72DF9">
      <w:pPr>
        <w:spacing w:before="240"/>
        <w:rPr>
          <w:rFonts w:ascii="Arial Narrow" w:hAnsi="Arial Narrow"/>
          <w:b/>
          <w:sz w:val="20"/>
        </w:rPr>
      </w:pPr>
      <w:bookmarkStart w:id="5" w:name="_Ref24478920"/>
      <w:bookmarkStart w:id="6" w:name="_Toc37815227"/>
      <w:r w:rsidRPr="00B72DF9">
        <w:rPr>
          <w:rFonts w:ascii="Arial Narrow" w:hAnsi="Arial Narrow"/>
          <w:b/>
          <w:sz w:val="20"/>
        </w:rPr>
        <w:t xml:space="preserve">Figure </w:t>
      </w:r>
      <w:r w:rsidRPr="00B72DF9">
        <w:rPr>
          <w:rFonts w:ascii="Arial Narrow" w:hAnsi="Arial Narrow"/>
          <w:b/>
          <w:sz w:val="20"/>
        </w:rPr>
        <w:fldChar w:fldCharType="begin"/>
      </w:r>
      <w:r w:rsidRPr="00B72DF9">
        <w:rPr>
          <w:rFonts w:ascii="Arial Narrow" w:hAnsi="Arial Narrow"/>
          <w:b/>
          <w:sz w:val="20"/>
        </w:rPr>
        <w:instrText xml:space="preserve"> SEQ Figure \* ARABIC </w:instrText>
      </w:r>
      <w:r w:rsidRPr="00B72DF9">
        <w:rPr>
          <w:rFonts w:ascii="Arial Narrow" w:hAnsi="Arial Narrow"/>
          <w:b/>
          <w:sz w:val="20"/>
        </w:rPr>
        <w:fldChar w:fldCharType="separate"/>
      </w:r>
      <w:r w:rsidRPr="00B72DF9">
        <w:rPr>
          <w:rFonts w:ascii="Arial Narrow" w:hAnsi="Arial Narrow"/>
          <w:b/>
          <w:sz w:val="20"/>
        </w:rPr>
        <w:t>2</w:t>
      </w:r>
      <w:r w:rsidRPr="00B72DF9">
        <w:rPr>
          <w:rFonts w:ascii="Arial Narrow" w:hAnsi="Arial Narrow"/>
          <w:b/>
          <w:sz w:val="20"/>
        </w:rPr>
        <w:fldChar w:fldCharType="end"/>
      </w:r>
      <w:bookmarkEnd w:id="5"/>
      <w:r w:rsidRPr="00B72DF9">
        <w:rPr>
          <w:rFonts w:ascii="Arial Narrow" w:hAnsi="Arial Narrow"/>
          <w:b/>
          <w:sz w:val="20"/>
        </w:rPr>
        <w:tab/>
        <w:t>Current and proposed clinical management pathway of patients post mastectomy - Subpopulation A1</w:t>
      </w:r>
      <w:bookmarkEnd w:id="6"/>
    </w:p>
    <w:p w14:paraId="421A9ADD" w14:textId="77777777" w:rsidR="003C2E14" w:rsidRDefault="003C2E14" w:rsidP="003C2E14">
      <w:pPr>
        <w:pStyle w:val="Tablenotes1"/>
      </w:pPr>
      <w:r>
        <w:t>Source: Figure 4, p87 of the DCAR.</w:t>
      </w:r>
    </w:p>
    <w:p w14:paraId="11B3ED93" w14:textId="77777777" w:rsidR="003C2E14" w:rsidRPr="008D71E1" w:rsidRDefault="003C2E14" w:rsidP="003C2E14">
      <w:pPr>
        <w:jc w:val="center"/>
        <w:rPr>
          <w:color w:val="C00000"/>
        </w:rPr>
      </w:pPr>
      <w:r w:rsidRPr="008D71E1">
        <w:rPr>
          <w:noProof/>
        </w:rPr>
        <w:drawing>
          <wp:inline distT="0" distB="0" distL="0" distR="0" wp14:anchorId="18E31954" wp14:editId="5B4F6C1A">
            <wp:extent cx="5061585" cy="2656205"/>
            <wp:effectExtent l="0" t="0" r="9525" b="9525"/>
            <wp:docPr id="8" name="Picture 8" descr="Current and proposed clinical management algorithm for post mastectomy and post breast reconstruction women - Population A2" title="Current and proposed clinical management algorithm for post mastectomy and post breast reconstruction women - Population A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61585" cy="2656205"/>
                    </a:xfrm>
                    <a:prstGeom prst="rect">
                      <a:avLst/>
                    </a:prstGeom>
                    <a:noFill/>
                  </pic:spPr>
                </pic:pic>
              </a:graphicData>
            </a:graphic>
          </wp:inline>
        </w:drawing>
      </w:r>
    </w:p>
    <w:p w14:paraId="3EADD959" w14:textId="77777777" w:rsidR="003C2E14" w:rsidRPr="00B72DF9" w:rsidRDefault="003C2E14" w:rsidP="00B72DF9">
      <w:pPr>
        <w:spacing w:before="240"/>
        <w:rPr>
          <w:rFonts w:ascii="Arial Narrow" w:hAnsi="Arial Narrow"/>
          <w:b/>
          <w:sz w:val="20"/>
        </w:rPr>
      </w:pPr>
      <w:bookmarkStart w:id="7" w:name="_Ref379455005"/>
      <w:bookmarkStart w:id="8" w:name="_Ref379454995"/>
      <w:bookmarkStart w:id="9" w:name="_Toc381969891"/>
      <w:bookmarkStart w:id="10" w:name="_Toc37815228"/>
      <w:r w:rsidRPr="00B72DF9">
        <w:rPr>
          <w:rFonts w:ascii="Arial Narrow" w:hAnsi="Arial Narrow"/>
          <w:b/>
          <w:sz w:val="20"/>
        </w:rPr>
        <w:t xml:space="preserve">Figure </w:t>
      </w:r>
      <w:r w:rsidRPr="00B72DF9">
        <w:rPr>
          <w:rFonts w:ascii="Arial Narrow" w:hAnsi="Arial Narrow"/>
          <w:b/>
          <w:sz w:val="20"/>
        </w:rPr>
        <w:fldChar w:fldCharType="begin"/>
      </w:r>
      <w:r w:rsidRPr="00B72DF9">
        <w:rPr>
          <w:rFonts w:ascii="Arial Narrow" w:hAnsi="Arial Narrow"/>
          <w:b/>
          <w:sz w:val="20"/>
        </w:rPr>
        <w:instrText xml:space="preserve"> SEQ Figure \* ARABIC </w:instrText>
      </w:r>
      <w:r w:rsidRPr="00B72DF9">
        <w:rPr>
          <w:rFonts w:ascii="Arial Narrow" w:hAnsi="Arial Narrow"/>
          <w:b/>
          <w:sz w:val="20"/>
        </w:rPr>
        <w:fldChar w:fldCharType="separate"/>
      </w:r>
      <w:r w:rsidRPr="00B72DF9">
        <w:rPr>
          <w:rFonts w:ascii="Arial Narrow" w:hAnsi="Arial Narrow"/>
          <w:b/>
          <w:sz w:val="20"/>
        </w:rPr>
        <w:t>3</w:t>
      </w:r>
      <w:r w:rsidRPr="00B72DF9">
        <w:rPr>
          <w:rFonts w:ascii="Arial Narrow" w:hAnsi="Arial Narrow"/>
          <w:b/>
          <w:sz w:val="20"/>
        </w:rPr>
        <w:fldChar w:fldCharType="end"/>
      </w:r>
      <w:bookmarkEnd w:id="7"/>
      <w:r w:rsidRPr="00B72DF9">
        <w:rPr>
          <w:rFonts w:ascii="Arial Narrow" w:hAnsi="Arial Narrow"/>
          <w:b/>
          <w:sz w:val="20"/>
        </w:rPr>
        <w:tab/>
        <w:t xml:space="preserve">Current and proposed clinical management algorithm </w:t>
      </w:r>
      <w:bookmarkEnd w:id="8"/>
      <w:bookmarkEnd w:id="9"/>
      <w:r w:rsidRPr="00B72DF9">
        <w:rPr>
          <w:rFonts w:ascii="Arial Narrow" w:hAnsi="Arial Narrow"/>
          <w:b/>
          <w:sz w:val="20"/>
        </w:rPr>
        <w:t>for post mastectomy and post breast reconstruction patients - Subpopulation A2</w:t>
      </w:r>
      <w:bookmarkEnd w:id="10"/>
    </w:p>
    <w:p w14:paraId="4DB0378D" w14:textId="7D27C1D6" w:rsidR="003C2E14" w:rsidRDefault="003C2E14" w:rsidP="003C2E14">
      <w:pPr>
        <w:pStyle w:val="Tablenotes1"/>
      </w:pPr>
      <w:r>
        <w:t>Source: Figure 5, p88 of the DCAR.</w:t>
      </w:r>
    </w:p>
    <w:p w14:paraId="7C5005CB" w14:textId="77777777" w:rsidR="003C2E14" w:rsidRPr="008D71E1" w:rsidRDefault="003C2E14" w:rsidP="003C2E14">
      <w:pPr>
        <w:jc w:val="center"/>
        <w:rPr>
          <w:b/>
        </w:rPr>
      </w:pPr>
      <w:r w:rsidRPr="008D71E1">
        <w:rPr>
          <w:noProof/>
        </w:rPr>
        <w:lastRenderedPageBreak/>
        <w:drawing>
          <wp:inline distT="0" distB="0" distL="0" distR="0" wp14:anchorId="10F31151" wp14:editId="57EC0B2B">
            <wp:extent cx="4711700" cy="1275080"/>
            <wp:effectExtent l="0" t="0" r="0" b="1270"/>
            <wp:docPr id="199" name="Picture 199" descr="Current and proposed clinical management of women who have had suboptimal outcomes following breast conserving surgery - Population A3" title="Current and proposed clinical management of women who have had suboptimal outcomes following breast conserving surgery - Population A3"/>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11700" cy="1275080"/>
                    </a:xfrm>
                    <a:prstGeom prst="rect">
                      <a:avLst/>
                    </a:prstGeom>
                    <a:noFill/>
                  </pic:spPr>
                </pic:pic>
              </a:graphicData>
            </a:graphic>
          </wp:inline>
        </w:drawing>
      </w:r>
    </w:p>
    <w:p w14:paraId="24FB3A54" w14:textId="77777777" w:rsidR="003C2E14" w:rsidRPr="00B72DF9" w:rsidRDefault="003C2E14" w:rsidP="00B72DF9">
      <w:pPr>
        <w:spacing w:before="240"/>
        <w:rPr>
          <w:rFonts w:ascii="Arial Narrow" w:hAnsi="Arial Narrow"/>
          <w:b/>
          <w:sz w:val="20"/>
        </w:rPr>
      </w:pPr>
      <w:bookmarkStart w:id="11" w:name="_Ref25170540"/>
      <w:bookmarkStart w:id="12" w:name="_Toc37815229"/>
      <w:r w:rsidRPr="00B72DF9">
        <w:rPr>
          <w:rFonts w:ascii="Arial Narrow" w:hAnsi="Arial Narrow"/>
          <w:b/>
          <w:sz w:val="20"/>
        </w:rPr>
        <w:t xml:space="preserve">Figure </w:t>
      </w:r>
      <w:r w:rsidRPr="00B72DF9">
        <w:rPr>
          <w:rFonts w:ascii="Arial Narrow" w:hAnsi="Arial Narrow"/>
          <w:b/>
          <w:sz w:val="20"/>
        </w:rPr>
        <w:fldChar w:fldCharType="begin"/>
      </w:r>
      <w:r w:rsidRPr="00B72DF9">
        <w:rPr>
          <w:rFonts w:ascii="Arial Narrow" w:hAnsi="Arial Narrow"/>
          <w:b/>
          <w:sz w:val="20"/>
        </w:rPr>
        <w:instrText xml:space="preserve"> SEQ Figure \* ARABIC </w:instrText>
      </w:r>
      <w:r w:rsidRPr="00B72DF9">
        <w:rPr>
          <w:rFonts w:ascii="Arial Narrow" w:hAnsi="Arial Narrow"/>
          <w:b/>
          <w:sz w:val="20"/>
        </w:rPr>
        <w:fldChar w:fldCharType="separate"/>
      </w:r>
      <w:r w:rsidRPr="00B72DF9">
        <w:rPr>
          <w:rFonts w:ascii="Arial Narrow" w:hAnsi="Arial Narrow"/>
          <w:b/>
          <w:sz w:val="20"/>
        </w:rPr>
        <w:t>4</w:t>
      </w:r>
      <w:r w:rsidRPr="00B72DF9">
        <w:rPr>
          <w:rFonts w:ascii="Arial Narrow" w:hAnsi="Arial Narrow"/>
          <w:b/>
          <w:sz w:val="20"/>
        </w:rPr>
        <w:fldChar w:fldCharType="end"/>
      </w:r>
      <w:bookmarkEnd w:id="11"/>
      <w:r w:rsidRPr="00B72DF9">
        <w:rPr>
          <w:rFonts w:ascii="Arial Narrow" w:hAnsi="Arial Narrow"/>
          <w:b/>
          <w:sz w:val="20"/>
        </w:rPr>
        <w:tab/>
        <w:t>Current and proposed clinical management of patients who have had suboptimal outcomes following breast conserving surgery - Subpopulation A3</w:t>
      </w:r>
      <w:bookmarkEnd w:id="12"/>
      <w:r w:rsidRPr="00B72DF9">
        <w:rPr>
          <w:rFonts w:ascii="Arial Narrow" w:hAnsi="Arial Narrow"/>
          <w:b/>
          <w:sz w:val="20"/>
        </w:rPr>
        <w:t xml:space="preserve"> </w:t>
      </w:r>
    </w:p>
    <w:p w14:paraId="7FC3547D" w14:textId="41E3EE30" w:rsidR="003C2E14" w:rsidRDefault="003C2E14" w:rsidP="003C2E14">
      <w:pPr>
        <w:pStyle w:val="Tablenotes1"/>
      </w:pPr>
      <w:r>
        <w:t>Source: Figure 6, p89 of the DCAR.</w:t>
      </w:r>
    </w:p>
    <w:p w14:paraId="038D4D41" w14:textId="77777777" w:rsidR="003C2E14" w:rsidRDefault="003C2E14" w:rsidP="003C2E14">
      <w:pPr>
        <w:pStyle w:val="Heading2"/>
      </w:pPr>
      <w:r>
        <w:t>Population B clinical management pathway</w:t>
      </w:r>
    </w:p>
    <w:p w14:paraId="54E7901D" w14:textId="4C2D1CBB" w:rsidR="003C2E14" w:rsidRPr="008D71E1" w:rsidRDefault="003C2E14" w:rsidP="009F3F9E">
      <w:pPr>
        <w:spacing w:after="240"/>
      </w:pPr>
      <w:r>
        <w:t>T</w:t>
      </w:r>
      <w:r w:rsidRPr="008D71E1">
        <w:t xml:space="preserve">he current and proposed clinical management pathway for </w:t>
      </w:r>
      <w:r>
        <w:t>patients</w:t>
      </w:r>
      <w:r w:rsidRPr="008D71E1">
        <w:t xml:space="preserve"> with development</w:t>
      </w:r>
      <w:r w:rsidR="00121A26">
        <w:t>al</w:t>
      </w:r>
      <w:r w:rsidRPr="008D71E1">
        <w:t xml:space="preserve"> breast abnormalities, such as tuberous breasts</w:t>
      </w:r>
      <w:r>
        <w:t xml:space="preserve">, is depicted in </w:t>
      </w:r>
      <w:r>
        <w:fldChar w:fldCharType="begin"/>
      </w:r>
      <w:r>
        <w:instrText xml:space="preserve"> REF _Ref25801375 \h </w:instrText>
      </w:r>
      <w:r>
        <w:fldChar w:fldCharType="separate"/>
      </w:r>
      <w:r w:rsidRPr="008D71E1">
        <w:t xml:space="preserve">Figure </w:t>
      </w:r>
      <w:r>
        <w:rPr>
          <w:noProof/>
        </w:rPr>
        <w:t>5</w:t>
      </w:r>
      <w:r>
        <w:fldChar w:fldCharType="end"/>
      </w:r>
      <w:r w:rsidRPr="008D71E1">
        <w:t>.</w:t>
      </w:r>
      <w:r>
        <w:t xml:space="preserve"> AFG would provide an additional treatment option alongside currently available treatment of BSC or correction surgery. AFG could be used as a substitute or as an adjun</w:t>
      </w:r>
      <w:r w:rsidR="009F3F9E">
        <w:t>ct to other correction surgery.</w:t>
      </w:r>
    </w:p>
    <w:p w14:paraId="52909076" w14:textId="77777777" w:rsidR="003C2E14" w:rsidRPr="008D71E1" w:rsidRDefault="003C2E14" w:rsidP="003C2E14">
      <w:pPr>
        <w:jc w:val="center"/>
      </w:pPr>
      <w:r w:rsidRPr="008D71E1">
        <w:rPr>
          <w:noProof/>
        </w:rPr>
        <w:drawing>
          <wp:inline distT="0" distB="0" distL="0" distR="0" wp14:anchorId="15755A0C" wp14:editId="520C47A3">
            <wp:extent cx="2686050" cy="1019810"/>
            <wp:effectExtent l="0" t="0" r="0" b="8890"/>
            <wp:docPr id="200" name="Picture 200" descr="Current and proposed clinical management algorithm for women with developmental breast abnormalities - Population B" title="Current and proposed clinical management algorithm for women with developmental breast abnormalities - Population B"/>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86050" cy="1019810"/>
                    </a:xfrm>
                    <a:prstGeom prst="rect">
                      <a:avLst/>
                    </a:prstGeom>
                    <a:noFill/>
                  </pic:spPr>
                </pic:pic>
              </a:graphicData>
            </a:graphic>
          </wp:inline>
        </w:drawing>
      </w:r>
    </w:p>
    <w:p w14:paraId="0F02D63D" w14:textId="77777777" w:rsidR="003C2E14" w:rsidRPr="00B72DF9" w:rsidRDefault="003C2E14" w:rsidP="00B72DF9">
      <w:pPr>
        <w:spacing w:before="240"/>
        <w:rPr>
          <w:rFonts w:ascii="Arial Narrow" w:hAnsi="Arial Narrow"/>
          <w:b/>
          <w:sz w:val="20"/>
        </w:rPr>
      </w:pPr>
      <w:bookmarkStart w:id="13" w:name="_Ref25801375"/>
      <w:bookmarkStart w:id="14" w:name="_Toc37815230"/>
      <w:r w:rsidRPr="00B72DF9">
        <w:rPr>
          <w:rFonts w:ascii="Arial Narrow" w:hAnsi="Arial Narrow"/>
          <w:b/>
          <w:sz w:val="20"/>
        </w:rPr>
        <w:t xml:space="preserve">Figure </w:t>
      </w:r>
      <w:r w:rsidRPr="00B72DF9">
        <w:rPr>
          <w:rFonts w:ascii="Arial Narrow" w:hAnsi="Arial Narrow"/>
          <w:b/>
          <w:sz w:val="20"/>
        </w:rPr>
        <w:fldChar w:fldCharType="begin"/>
      </w:r>
      <w:r w:rsidRPr="00B72DF9">
        <w:rPr>
          <w:rFonts w:ascii="Arial Narrow" w:hAnsi="Arial Narrow"/>
          <w:b/>
          <w:sz w:val="20"/>
        </w:rPr>
        <w:instrText xml:space="preserve"> SEQ Figure \* ARABIC </w:instrText>
      </w:r>
      <w:r w:rsidRPr="00B72DF9">
        <w:rPr>
          <w:rFonts w:ascii="Arial Narrow" w:hAnsi="Arial Narrow"/>
          <w:b/>
          <w:sz w:val="20"/>
        </w:rPr>
        <w:fldChar w:fldCharType="separate"/>
      </w:r>
      <w:r w:rsidRPr="00B72DF9">
        <w:rPr>
          <w:rFonts w:ascii="Arial Narrow" w:hAnsi="Arial Narrow"/>
          <w:b/>
          <w:sz w:val="20"/>
        </w:rPr>
        <w:t>5</w:t>
      </w:r>
      <w:r w:rsidRPr="00B72DF9">
        <w:rPr>
          <w:rFonts w:ascii="Arial Narrow" w:hAnsi="Arial Narrow"/>
          <w:b/>
          <w:sz w:val="20"/>
        </w:rPr>
        <w:fldChar w:fldCharType="end"/>
      </w:r>
      <w:bookmarkEnd w:id="13"/>
      <w:r w:rsidRPr="00B72DF9">
        <w:rPr>
          <w:rFonts w:ascii="Arial Narrow" w:hAnsi="Arial Narrow"/>
          <w:b/>
          <w:sz w:val="20"/>
        </w:rPr>
        <w:tab/>
        <w:t>Current and proposed clinical management algorithm for patients with developmental breast abnormalities - Population B</w:t>
      </w:r>
      <w:bookmarkEnd w:id="14"/>
    </w:p>
    <w:p w14:paraId="3A05AD99" w14:textId="0362FA2F" w:rsidR="003C2E14" w:rsidRDefault="003C2E14" w:rsidP="009F3F9E">
      <w:pPr>
        <w:pStyle w:val="Tablenotes1"/>
      </w:pPr>
      <w:r>
        <w:t>Source: Figure 7, p of the DCAR.</w:t>
      </w:r>
    </w:p>
    <w:p w14:paraId="06E18873" w14:textId="77777777" w:rsidR="00BC1364" w:rsidRPr="00F715D1" w:rsidRDefault="00BC1364" w:rsidP="00F715D1">
      <w:pPr>
        <w:pStyle w:val="Heading1"/>
      </w:pPr>
      <w:r w:rsidRPr="00F715D1">
        <w:t xml:space="preserve">Comparator </w:t>
      </w:r>
    </w:p>
    <w:p w14:paraId="44FAE0A9" w14:textId="7D683A00" w:rsidR="003C2E14" w:rsidRDefault="003C2E14" w:rsidP="003C2E14">
      <w:r w:rsidRPr="002733D5">
        <w:t xml:space="preserve">The proposed comparators </w:t>
      </w:r>
      <w:r>
        <w:t>for AFG according to th</w:t>
      </w:r>
      <w:r w:rsidRPr="002733D5">
        <w:t xml:space="preserve">e </w:t>
      </w:r>
      <w:r>
        <w:t>patient populations a</w:t>
      </w:r>
      <w:r w:rsidRPr="002733D5">
        <w:t xml:space="preserve">re presented </w:t>
      </w:r>
      <w:r w:rsidRPr="00336FDB">
        <w:rPr>
          <w:szCs w:val="24"/>
        </w:rPr>
        <w:t xml:space="preserve">in </w:t>
      </w:r>
      <w:r w:rsidR="00336FDB" w:rsidRPr="00336FDB">
        <w:rPr>
          <w:szCs w:val="24"/>
        </w:rPr>
        <w:fldChar w:fldCharType="begin"/>
      </w:r>
      <w:r w:rsidR="00336FDB" w:rsidRPr="00336FDB">
        <w:rPr>
          <w:szCs w:val="24"/>
        </w:rPr>
        <w:instrText xml:space="preserve"> REF _Ref29694269 \h  \* MERGEFORMAT </w:instrText>
      </w:r>
      <w:r w:rsidR="00336FDB" w:rsidRPr="00336FDB">
        <w:rPr>
          <w:szCs w:val="24"/>
        </w:rPr>
      </w:r>
      <w:r w:rsidR="00336FDB" w:rsidRPr="00336FDB">
        <w:rPr>
          <w:szCs w:val="24"/>
        </w:rPr>
        <w:fldChar w:fldCharType="separate"/>
      </w:r>
      <w:r w:rsidR="00336FDB" w:rsidRPr="00336FDB">
        <w:rPr>
          <w:szCs w:val="24"/>
        </w:rPr>
        <w:t>Table 2</w:t>
      </w:r>
      <w:r w:rsidR="00336FDB" w:rsidRPr="00336FDB">
        <w:rPr>
          <w:szCs w:val="24"/>
        </w:rPr>
        <w:fldChar w:fldCharType="end"/>
      </w:r>
      <w:r w:rsidRPr="00336FDB">
        <w:rPr>
          <w:szCs w:val="24"/>
        </w:rPr>
        <w:fldChar w:fldCharType="begin"/>
      </w:r>
      <w:r w:rsidRPr="00336FDB">
        <w:rPr>
          <w:szCs w:val="24"/>
        </w:rPr>
        <w:instrText xml:space="preserve"> REF _Ref364240778 \h  \* MERGEFORMAT </w:instrText>
      </w:r>
      <w:r w:rsidRPr="00336FDB">
        <w:rPr>
          <w:szCs w:val="24"/>
        </w:rPr>
      </w:r>
      <w:r w:rsidRPr="00336FDB">
        <w:rPr>
          <w:szCs w:val="24"/>
        </w:rPr>
        <w:fldChar w:fldCharType="end"/>
      </w:r>
      <w:r w:rsidRPr="00336FDB">
        <w:rPr>
          <w:szCs w:val="24"/>
        </w:rPr>
        <w:t>, along with comments from the DCAR on differences between the ratified PICO Confirmation and DCAR. The DCAR noted BSC was not specified in the ratified PIC</w:t>
      </w:r>
      <w:r>
        <w:t xml:space="preserve">O Confirmation; BSC was </w:t>
      </w:r>
      <w:r w:rsidRPr="00EE000A">
        <w:t xml:space="preserve">assumed in the DCAR to refer to analgesia for </w:t>
      </w:r>
      <w:r w:rsidR="00121A26" w:rsidRPr="00121A26">
        <w:t xml:space="preserve">post mastectomy pain syndrome </w:t>
      </w:r>
      <w:r w:rsidR="00121A26">
        <w:t>(</w:t>
      </w:r>
      <w:r w:rsidRPr="00EE000A">
        <w:t>PMPS</w:t>
      </w:r>
      <w:r w:rsidR="00121A26">
        <w:t>)</w:t>
      </w:r>
      <w:r w:rsidRPr="00EE000A">
        <w:t>.</w:t>
      </w:r>
    </w:p>
    <w:p w14:paraId="208684CB" w14:textId="6EB4ED48" w:rsidR="003C2E14" w:rsidRDefault="003C2E14" w:rsidP="009F3F9E">
      <w:pPr>
        <w:spacing w:before="240"/>
      </w:pPr>
      <w:r>
        <w:t>The pre-ESC response acknowledged that the analysis of comparators is challenging in this application, and considered it was inappropriate that the DCAR seemed to have defaulted to BSC as the comparator for nearly every situation. In particular for Subpopulation A2, the applicant claimed 95% of patients are likely to have revisionary surgery. These patients may not have enough tissue volume to provide a completely autologous reconstruction, but would be suitable for flap surgery in combination with prosthetics, where prosthetic reconstruction alone has had a poor outcome. Therefore, the applicant stated that the use of BSC as the comparator f</w:t>
      </w:r>
      <w:r w:rsidR="009F3F9E">
        <w:t>or this group is inappropriate.</w:t>
      </w:r>
    </w:p>
    <w:p w14:paraId="63A126ED" w14:textId="77777777" w:rsidR="003C2E14" w:rsidRPr="00DE75CD" w:rsidRDefault="003C2E14" w:rsidP="003C2E14">
      <w:pPr>
        <w:sectPr w:rsidR="003C2E14" w:rsidRPr="00DE75CD" w:rsidSect="002D52C6">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20" w:footer="720" w:gutter="0"/>
          <w:paperSrc w:first="2" w:other="2"/>
          <w:cols w:space="720"/>
        </w:sectPr>
      </w:pPr>
    </w:p>
    <w:p w14:paraId="385F415E" w14:textId="26EC3D77" w:rsidR="003C2E14" w:rsidRPr="00336FDB" w:rsidRDefault="00336FDB" w:rsidP="00336FDB">
      <w:pPr>
        <w:rPr>
          <w:rFonts w:ascii="Arial Narrow" w:hAnsi="Arial Narrow"/>
          <w:b/>
          <w:sz w:val="20"/>
        </w:rPr>
      </w:pPr>
      <w:bookmarkStart w:id="15" w:name="_Ref29694269"/>
      <w:bookmarkStart w:id="16" w:name="_Toc37815102"/>
      <w:r w:rsidRPr="00336FDB">
        <w:rPr>
          <w:rFonts w:ascii="Arial Narrow" w:hAnsi="Arial Narrow"/>
          <w:b/>
          <w:sz w:val="20"/>
        </w:rPr>
        <w:lastRenderedPageBreak/>
        <w:t xml:space="preserve">Table </w:t>
      </w:r>
      <w:r w:rsidRPr="00336FDB">
        <w:rPr>
          <w:rFonts w:ascii="Arial Narrow" w:hAnsi="Arial Narrow"/>
          <w:b/>
          <w:sz w:val="20"/>
        </w:rPr>
        <w:fldChar w:fldCharType="begin"/>
      </w:r>
      <w:r w:rsidRPr="00336FDB">
        <w:rPr>
          <w:rFonts w:ascii="Arial Narrow" w:hAnsi="Arial Narrow"/>
          <w:b/>
          <w:sz w:val="20"/>
        </w:rPr>
        <w:instrText xml:space="preserve"> SEQ Table \* ARABIC </w:instrText>
      </w:r>
      <w:r w:rsidRPr="00336FDB">
        <w:rPr>
          <w:rFonts w:ascii="Arial Narrow" w:hAnsi="Arial Narrow"/>
          <w:b/>
          <w:sz w:val="20"/>
        </w:rPr>
        <w:fldChar w:fldCharType="separate"/>
      </w:r>
      <w:r w:rsidR="00EF74CD">
        <w:rPr>
          <w:rFonts w:ascii="Arial Narrow" w:hAnsi="Arial Narrow"/>
          <w:b/>
          <w:noProof/>
          <w:sz w:val="20"/>
        </w:rPr>
        <w:t>2</w:t>
      </w:r>
      <w:r w:rsidRPr="00336FDB">
        <w:rPr>
          <w:rFonts w:ascii="Arial Narrow" w:hAnsi="Arial Narrow"/>
          <w:b/>
          <w:sz w:val="20"/>
        </w:rPr>
        <w:fldChar w:fldCharType="end"/>
      </w:r>
      <w:bookmarkEnd w:id="15"/>
      <w:r w:rsidR="003C2E14" w:rsidRPr="00336FDB">
        <w:rPr>
          <w:rFonts w:ascii="Arial Narrow" w:hAnsi="Arial Narrow"/>
          <w:b/>
          <w:sz w:val="20"/>
        </w:rPr>
        <w:t xml:space="preserve"> Populations with their nominated comparators and consistency with clinical algorithms</w:t>
      </w:r>
      <w:bookmarkEnd w:id="16"/>
    </w:p>
    <w:tbl>
      <w:tblPr>
        <w:tblStyle w:val="TableGrid1"/>
        <w:tblW w:w="14170" w:type="dxa"/>
        <w:tblCellMar>
          <w:left w:w="28" w:type="dxa"/>
          <w:right w:w="28" w:type="dxa"/>
        </w:tblCellMar>
        <w:tblLook w:val="04A0" w:firstRow="1" w:lastRow="0" w:firstColumn="1" w:lastColumn="0" w:noHBand="0" w:noVBand="1"/>
        <w:tblCaption w:val="Populations with their nominated comparators and consistency with clinical algorithms"/>
        <w:tblDescription w:val="Populations with their nominated comparators and consistency with clinical algorithms"/>
      </w:tblPr>
      <w:tblGrid>
        <w:gridCol w:w="4673"/>
        <w:gridCol w:w="3260"/>
        <w:gridCol w:w="6237"/>
      </w:tblGrid>
      <w:tr w:rsidR="003C2E14" w:rsidRPr="008D71E1" w14:paraId="4E65592B" w14:textId="77777777" w:rsidTr="002D52C6">
        <w:trPr>
          <w:cnfStyle w:val="100000000000" w:firstRow="1" w:lastRow="0" w:firstColumn="0" w:lastColumn="0" w:oddVBand="0" w:evenVBand="0" w:oddHBand="0" w:evenHBand="0" w:firstRowFirstColumn="0" w:firstRowLastColumn="0" w:lastRowFirstColumn="0" w:lastRowLastColumn="0"/>
          <w:tblHeader/>
        </w:trPr>
        <w:tc>
          <w:tcPr>
            <w:tcW w:w="4673" w:type="dxa"/>
            <w:vAlign w:val="center"/>
          </w:tcPr>
          <w:p w14:paraId="395B82DF" w14:textId="77777777" w:rsidR="003C2E14" w:rsidRPr="008D71E1" w:rsidRDefault="003C2E14" w:rsidP="002D52C6">
            <w:pPr>
              <w:pStyle w:val="Tabletext"/>
              <w:rPr>
                <w:b/>
              </w:rPr>
            </w:pPr>
            <w:r w:rsidRPr="008D71E1">
              <w:rPr>
                <w:b/>
              </w:rPr>
              <w:t xml:space="preserve">Population </w:t>
            </w:r>
          </w:p>
        </w:tc>
        <w:tc>
          <w:tcPr>
            <w:tcW w:w="3260" w:type="dxa"/>
            <w:vAlign w:val="center"/>
          </w:tcPr>
          <w:p w14:paraId="06B8890B" w14:textId="77777777" w:rsidR="003C2E14" w:rsidRPr="008D71E1" w:rsidRDefault="003C2E14" w:rsidP="002D52C6">
            <w:pPr>
              <w:pStyle w:val="Tabletext"/>
              <w:jc w:val="center"/>
              <w:rPr>
                <w:b/>
              </w:rPr>
            </w:pPr>
            <w:r w:rsidRPr="008D71E1">
              <w:rPr>
                <w:b/>
              </w:rPr>
              <w:t xml:space="preserve">Comparator (as defined in </w:t>
            </w:r>
            <w:r w:rsidRPr="00426AC0">
              <w:rPr>
                <w:b/>
              </w:rPr>
              <w:t>Ratified PICO Confirmation</w:t>
            </w:r>
            <w:r w:rsidRPr="008D71E1">
              <w:rPr>
                <w:b/>
              </w:rPr>
              <w:t>)</w:t>
            </w:r>
          </w:p>
        </w:tc>
        <w:tc>
          <w:tcPr>
            <w:tcW w:w="6237" w:type="dxa"/>
            <w:vAlign w:val="center"/>
          </w:tcPr>
          <w:p w14:paraId="706E3147" w14:textId="77777777" w:rsidR="003C2E14" w:rsidRPr="00FE7754" w:rsidRDefault="003C2E14" w:rsidP="002D52C6">
            <w:pPr>
              <w:pStyle w:val="Tabletext"/>
              <w:jc w:val="center"/>
              <w:rPr>
                <w:b/>
              </w:rPr>
            </w:pPr>
            <w:r w:rsidRPr="00FE7754">
              <w:rPr>
                <w:b/>
              </w:rPr>
              <w:t>Comments</w:t>
            </w:r>
          </w:p>
        </w:tc>
      </w:tr>
      <w:tr w:rsidR="003C2E14" w:rsidRPr="008D71E1" w14:paraId="5EE05193" w14:textId="77777777" w:rsidTr="002D52C6">
        <w:tc>
          <w:tcPr>
            <w:tcW w:w="4673" w:type="dxa"/>
          </w:tcPr>
          <w:p w14:paraId="211AA183" w14:textId="77777777" w:rsidR="003C2E14" w:rsidRPr="008D71E1" w:rsidRDefault="003C2E14" w:rsidP="002D52C6">
            <w:pPr>
              <w:pStyle w:val="Tabletext"/>
            </w:pPr>
            <w:r>
              <w:rPr>
                <w:b/>
              </w:rPr>
              <w:t xml:space="preserve">Subpopulation </w:t>
            </w:r>
            <w:r w:rsidRPr="008D71E1">
              <w:rPr>
                <w:b/>
              </w:rPr>
              <w:t>A1</w:t>
            </w:r>
            <w:r>
              <w:t>: P</w:t>
            </w:r>
            <w:r w:rsidRPr="008D71E1">
              <w:t>atients who are post mastectomy without reconstruction (with or without radiation) who require AFG</w:t>
            </w:r>
            <w:r>
              <w:t>:</w:t>
            </w:r>
          </w:p>
          <w:p w14:paraId="15B2DEBB" w14:textId="77777777" w:rsidR="003C2E14" w:rsidRDefault="003C2E14" w:rsidP="003C2E14">
            <w:pPr>
              <w:pStyle w:val="Tabletext"/>
              <w:numPr>
                <w:ilvl w:val="0"/>
                <w:numId w:val="33"/>
              </w:numPr>
              <w:ind w:left="251" w:hanging="251"/>
            </w:pPr>
            <w:r w:rsidRPr="00D109B3">
              <w:t>AFG alone, to treat pain resulting from scarring and/or tightness of the skin following mastectomy</w:t>
            </w:r>
            <w:r>
              <w:t xml:space="preserve">; </w:t>
            </w:r>
          </w:p>
          <w:p w14:paraId="0A1771FF" w14:textId="1F1FCBD4" w:rsidR="003C2E14" w:rsidRPr="008D71E1" w:rsidRDefault="003C2E14" w:rsidP="003C2E14">
            <w:pPr>
              <w:pStyle w:val="Tabletext"/>
              <w:numPr>
                <w:ilvl w:val="0"/>
                <w:numId w:val="33"/>
              </w:numPr>
              <w:ind w:left="251" w:hanging="251"/>
            </w:pPr>
            <w:r w:rsidRPr="008D71E1">
              <w:t>alone to construct a breast mound; or</w:t>
            </w:r>
          </w:p>
          <w:p w14:paraId="407CF0BE" w14:textId="77777777" w:rsidR="003C2E14" w:rsidRPr="008D71E1" w:rsidRDefault="003C2E14" w:rsidP="003C2E14">
            <w:pPr>
              <w:pStyle w:val="Tabletext"/>
              <w:numPr>
                <w:ilvl w:val="0"/>
                <w:numId w:val="33"/>
              </w:numPr>
              <w:ind w:left="251" w:hanging="251"/>
            </w:pPr>
            <w:r>
              <w:t>t</w:t>
            </w:r>
            <w:r w:rsidRPr="008D71E1">
              <w:t>reatment of poor quality skin with AFG followed by prosthetic reconstruction</w:t>
            </w:r>
            <w:r>
              <w:t>.</w:t>
            </w:r>
          </w:p>
        </w:tc>
        <w:tc>
          <w:tcPr>
            <w:tcW w:w="3260" w:type="dxa"/>
          </w:tcPr>
          <w:p w14:paraId="0CA4D2F1" w14:textId="0B5881FB" w:rsidR="003C2E14" w:rsidRDefault="009F3F9E" w:rsidP="003C2E14">
            <w:pPr>
              <w:pStyle w:val="Tabletext"/>
              <w:numPr>
                <w:ilvl w:val="0"/>
                <w:numId w:val="34"/>
              </w:numPr>
              <w:ind w:left="284" w:hanging="284"/>
            </w:pPr>
            <w:r>
              <w:t>BSC</w:t>
            </w:r>
          </w:p>
          <w:p w14:paraId="2A3D15EF" w14:textId="77777777" w:rsidR="003C2E14" w:rsidRPr="007B0436" w:rsidRDefault="003C2E14" w:rsidP="003C2E14">
            <w:pPr>
              <w:pStyle w:val="Tabletext"/>
              <w:numPr>
                <w:ilvl w:val="0"/>
                <w:numId w:val="34"/>
              </w:numPr>
              <w:ind w:left="284" w:hanging="284"/>
            </w:pPr>
            <w:r w:rsidRPr="008D71E1">
              <w:t xml:space="preserve">no reconstruction </w:t>
            </w:r>
            <w:r w:rsidRPr="007B0436">
              <w:t>or alternative method of reconstruction</w:t>
            </w:r>
            <w:r>
              <w:t>; or</w:t>
            </w:r>
          </w:p>
          <w:p w14:paraId="047F3603" w14:textId="77777777" w:rsidR="003C2E14" w:rsidRPr="008D71E1" w:rsidRDefault="003C2E14" w:rsidP="003C2E14">
            <w:pPr>
              <w:pStyle w:val="Tabletext"/>
              <w:numPr>
                <w:ilvl w:val="0"/>
                <w:numId w:val="34"/>
              </w:numPr>
              <w:ind w:left="284" w:hanging="284"/>
            </w:pPr>
            <w:r w:rsidRPr="008D71E1">
              <w:t>no reconstruction or reconstruction with poor quality skin</w:t>
            </w:r>
            <w:r>
              <w:t>.</w:t>
            </w:r>
          </w:p>
        </w:tc>
        <w:tc>
          <w:tcPr>
            <w:tcW w:w="6237" w:type="dxa"/>
          </w:tcPr>
          <w:p w14:paraId="1F47CFCF" w14:textId="77777777" w:rsidR="003C2E14" w:rsidRDefault="003C2E14" w:rsidP="002D52C6">
            <w:pPr>
              <w:pStyle w:val="Tabletext"/>
            </w:pPr>
            <w:r w:rsidRPr="00CD6E08">
              <w:t xml:space="preserve">BSC not specified in the </w:t>
            </w:r>
            <w:r>
              <w:t>r</w:t>
            </w:r>
            <w:r w:rsidRPr="00426AC0">
              <w:t>atified PICO Confirmation</w:t>
            </w:r>
            <w:r>
              <w:t xml:space="preserve">, </w:t>
            </w:r>
            <w:r w:rsidRPr="00CD6E08">
              <w:t xml:space="preserve">assumed in the </w:t>
            </w:r>
            <w:r>
              <w:t>DCAR to refer to analgesia for PMPS.</w:t>
            </w:r>
          </w:p>
          <w:p w14:paraId="20FBECF3" w14:textId="77777777" w:rsidR="003C2E14" w:rsidRPr="007B0436" w:rsidRDefault="003C2E14" w:rsidP="002D52C6">
            <w:pPr>
              <w:pStyle w:val="Tabletext"/>
            </w:pPr>
            <w:r w:rsidRPr="007B0436">
              <w:t>Based on Fig</w:t>
            </w:r>
            <w:r>
              <w:t>ure</w:t>
            </w:r>
            <w:r w:rsidRPr="007B0436">
              <w:t xml:space="preserve"> 4 of the </w:t>
            </w:r>
            <w:r>
              <w:t>r</w:t>
            </w:r>
            <w:r w:rsidRPr="00426AC0">
              <w:t>atified PICO Confirmation</w:t>
            </w:r>
            <w:r>
              <w:t>,</w:t>
            </w:r>
            <w:r w:rsidRPr="007B0436">
              <w:t xml:space="preserve"> it appears that the comparator </w:t>
            </w:r>
            <w:r>
              <w:t>is</w:t>
            </w:r>
            <w:r w:rsidRPr="007B0436">
              <w:t xml:space="preserve"> patients unable to pursue reconstruction</w:t>
            </w:r>
            <w:r>
              <w:t>,</w:t>
            </w:r>
            <w:r w:rsidRPr="007B0436">
              <w:t xml:space="preserve"> not those for who</w:t>
            </w:r>
            <w:r>
              <w:t>m</w:t>
            </w:r>
            <w:r w:rsidRPr="007B0436">
              <w:t xml:space="preserve"> reconstruction (even with poor quality skin is an option). The definition of alternative method of reconstruction is not defined. </w:t>
            </w:r>
          </w:p>
          <w:p w14:paraId="7BBDFB51" w14:textId="77777777" w:rsidR="003C2E14" w:rsidRPr="007B0436" w:rsidRDefault="003C2E14" w:rsidP="002D52C6">
            <w:pPr>
              <w:pStyle w:val="Tabletext"/>
            </w:pPr>
            <w:r>
              <w:t>DCAR assumes</w:t>
            </w:r>
            <w:r w:rsidRPr="007B0436">
              <w:t xml:space="preserve"> no reconstruction possible for both populations</w:t>
            </w:r>
            <w:r>
              <w:t>.</w:t>
            </w:r>
          </w:p>
          <w:p w14:paraId="425F58D9" w14:textId="77777777" w:rsidR="003C2E14" w:rsidRPr="008D71E1" w:rsidRDefault="003C2E14" w:rsidP="002D52C6">
            <w:pPr>
              <w:pStyle w:val="Tabletext"/>
              <w:rPr>
                <w:i/>
              </w:rPr>
            </w:pPr>
            <w:r>
              <w:t xml:space="preserve">Irradiated </w:t>
            </w:r>
            <w:r w:rsidRPr="001A2BDE">
              <w:rPr>
                <w:i/>
              </w:rPr>
              <w:t>vs</w:t>
            </w:r>
            <w:r>
              <w:rPr>
                <w:i/>
              </w:rPr>
              <w:t>.</w:t>
            </w:r>
            <w:r>
              <w:t xml:space="preserve"> non-ir</w:t>
            </w:r>
            <w:r w:rsidRPr="007B0436">
              <w:t>radiated skin has an effect on outcomes but clinical studies do not separate the populations by this characteristic</w:t>
            </w:r>
            <w:r>
              <w:t>.</w:t>
            </w:r>
          </w:p>
        </w:tc>
      </w:tr>
      <w:tr w:rsidR="003C2E14" w:rsidRPr="008D71E1" w14:paraId="4700A95A" w14:textId="77777777" w:rsidTr="002D52C6">
        <w:tc>
          <w:tcPr>
            <w:tcW w:w="4673" w:type="dxa"/>
          </w:tcPr>
          <w:p w14:paraId="5EA65EF3" w14:textId="77777777" w:rsidR="003C2E14" w:rsidRPr="008D71E1" w:rsidRDefault="003C2E14" w:rsidP="002D52C6">
            <w:pPr>
              <w:pStyle w:val="Tabletext"/>
            </w:pPr>
            <w:r>
              <w:rPr>
                <w:b/>
              </w:rPr>
              <w:t xml:space="preserve">Subpopulation A2: </w:t>
            </w:r>
            <w:r w:rsidRPr="008D71E1">
              <w:t>Patients who are post mastectomy with suboptimal outcomes following autologous or prosthetic reconstruction who require AFG:</w:t>
            </w:r>
          </w:p>
          <w:p w14:paraId="2F95755B" w14:textId="77777777" w:rsidR="003C2E14" w:rsidRDefault="003C2E14" w:rsidP="003C2E14">
            <w:pPr>
              <w:pStyle w:val="Tabletext"/>
              <w:numPr>
                <w:ilvl w:val="0"/>
                <w:numId w:val="35"/>
              </w:numPr>
              <w:ind w:left="251" w:hanging="251"/>
            </w:pPr>
            <w:r w:rsidRPr="00D109B3">
              <w:t>AFG alone, to treat pain resulting from scarring and/or tightness of the skin following mastectomy</w:t>
            </w:r>
            <w:r>
              <w:t xml:space="preserve">; </w:t>
            </w:r>
          </w:p>
          <w:p w14:paraId="13C3FF2D" w14:textId="77777777" w:rsidR="003C2E14" w:rsidRPr="008D71E1" w:rsidRDefault="003C2E14" w:rsidP="003C2E14">
            <w:pPr>
              <w:pStyle w:val="Tabletext"/>
              <w:numPr>
                <w:ilvl w:val="0"/>
                <w:numId w:val="35"/>
              </w:numPr>
              <w:ind w:left="251" w:hanging="251"/>
            </w:pPr>
            <w:r w:rsidRPr="008D71E1">
              <w:t>alone to improve contour defects, volume differences and rippling</w:t>
            </w:r>
            <w:r>
              <w:t>; or</w:t>
            </w:r>
          </w:p>
          <w:p w14:paraId="61211007" w14:textId="77777777" w:rsidR="003C2E14" w:rsidRPr="008D71E1" w:rsidRDefault="003C2E14" w:rsidP="003C2E14">
            <w:pPr>
              <w:pStyle w:val="Tabletext"/>
              <w:numPr>
                <w:ilvl w:val="0"/>
                <w:numId w:val="35"/>
              </w:numPr>
              <w:ind w:left="251" w:hanging="251"/>
            </w:pPr>
            <w:r w:rsidRPr="008D71E1">
              <w:t>as an adjunct to additional surgery to improve skin flaps to extend coverage of a prosthesis</w:t>
            </w:r>
            <w:r>
              <w:t>.</w:t>
            </w:r>
          </w:p>
        </w:tc>
        <w:tc>
          <w:tcPr>
            <w:tcW w:w="3260" w:type="dxa"/>
          </w:tcPr>
          <w:p w14:paraId="1C00348B" w14:textId="58FA31C9" w:rsidR="003C2E14" w:rsidRDefault="009F3F9E" w:rsidP="003C2E14">
            <w:pPr>
              <w:pStyle w:val="Tabletext"/>
              <w:numPr>
                <w:ilvl w:val="0"/>
                <w:numId w:val="36"/>
              </w:numPr>
              <w:tabs>
                <w:tab w:val="left" w:pos="204"/>
              </w:tabs>
              <w:ind w:left="284" w:hanging="284"/>
            </w:pPr>
            <w:r>
              <w:t>BSC;</w:t>
            </w:r>
          </w:p>
          <w:p w14:paraId="4EEC6EBE" w14:textId="4AAB53A6" w:rsidR="003C2E14" w:rsidRPr="008D71E1" w:rsidRDefault="003C2E14" w:rsidP="003C2E14">
            <w:pPr>
              <w:pStyle w:val="Tabletext"/>
              <w:numPr>
                <w:ilvl w:val="0"/>
                <w:numId w:val="36"/>
              </w:numPr>
              <w:tabs>
                <w:tab w:val="left" w:pos="204"/>
              </w:tabs>
              <w:ind w:left="284" w:hanging="284"/>
            </w:pPr>
            <w:r w:rsidRPr="008D71E1">
              <w:t>BSC or re</w:t>
            </w:r>
            <w:r w:rsidR="009F3F9E">
              <w:t>vision surgery</w:t>
            </w:r>
          </w:p>
          <w:p w14:paraId="5F615C58" w14:textId="77777777" w:rsidR="003C2E14" w:rsidRPr="008D71E1" w:rsidRDefault="003C2E14" w:rsidP="003C2E14">
            <w:pPr>
              <w:pStyle w:val="Tabletext"/>
              <w:numPr>
                <w:ilvl w:val="0"/>
                <w:numId w:val="36"/>
              </w:numPr>
              <w:tabs>
                <w:tab w:val="left" w:pos="204"/>
              </w:tabs>
              <w:ind w:left="284" w:hanging="284"/>
            </w:pPr>
            <w:r>
              <w:tab/>
            </w:r>
            <w:r w:rsidRPr="008D71E1">
              <w:t>BSC</w:t>
            </w:r>
          </w:p>
        </w:tc>
        <w:tc>
          <w:tcPr>
            <w:tcW w:w="6237" w:type="dxa"/>
          </w:tcPr>
          <w:p w14:paraId="35207655" w14:textId="77777777" w:rsidR="003C2E14" w:rsidRDefault="003C2E14" w:rsidP="002D52C6">
            <w:pPr>
              <w:pStyle w:val="Tabletext"/>
            </w:pPr>
            <w:r w:rsidRPr="00CD6E08">
              <w:t xml:space="preserve">BSC not specified in the </w:t>
            </w:r>
            <w:r>
              <w:t>r</w:t>
            </w:r>
            <w:r w:rsidRPr="00426AC0">
              <w:t>atified PICO Confirmation</w:t>
            </w:r>
            <w:r>
              <w:t xml:space="preserve">, </w:t>
            </w:r>
            <w:r w:rsidRPr="00CD6E08">
              <w:t xml:space="preserve">assumed in the </w:t>
            </w:r>
            <w:r>
              <w:t>DCAR to refer to analgesia for PMPS.</w:t>
            </w:r>
          </w:p>
          <w:p w14:paraId="396876F7" w14:textId="77777777" w:rsidR="003C2E14" w:rsidRPr="007B0436" w:rsidRDefault="003C2E14" w:rsidP="002D52C6">
            <w:pPr>
              <w:pStyle w:val="Tabletext"/>
            </w:pPr>
            <w:r w:rsidRPr="007B0436">
              <w:t xml:space="preserve">Figure 5 of the </w:t>
            </w:r>
            <w:r>
              <w:t>r</w:t>
            </w:r>
            <w:r w:rsidRPr="00426AC0">
              <w:t>atified PICO Confirmation</w:t>
            </w:r>
            <w:r w:rsidRPr="007B0436">
              <w:t xml:space="preserve"> separates out this </w:t>
            </w:r>
            <w:r>
              <w:t>Subpopulation a</w:t>
            </w:r>
            <w:r w:rsidRPr="007B0436">
              <w:t xml:space="preserve">ccording to whether their skin flaps are suitable for revision surgery. This is used to inform the comparators. </w:t>
            </w:r>
          </w:p>
          <w:p w14:paraId="77A8C4A2" w14:textId="77777777" w:rsidR="003C2E14" w:rsidRPr="007B0436" w:rsidRDefault="003C2E14" w:rsidP="002D52C6">
            <w:pPr>
              <w:pStyle w:val="Tabletext"/>
            </w:pPr>
            <w:r w:rsidRPr="007B0436">
              <w:t>For those who do have skin flaps suitable for revision surgery then the comparator is BSC or revision surgery</w:t>
            </w:r>
            <w:r>
              <w:t>.</w:t>
            </w:r>
            <w:r w:rsidRPr="007B0436">
              <w:t xml:space="preserve"> </w:t>
            </w:r>
          </w:p>
          <w:p w14:paraId="208C7211" w14:textId="77777777" w:rsidR="003C2E14" w:rsidRPr="008D71E1" w:rsidRDefault="003C2E14" w:rsidP="002D52C6">
            <w:pPr>
              <w:pStyle w:val="Tabletext"/>
              <w:rPr>
                <w:b/>
                <w:i/>
              </w:rPr>
            </w:pPr>
            <w:r w:rsidRPr="007B0436">
              <w:t>For those whose skin flaps are not suitable for revision surgery then the comparator is BSC</w:t>
            </w:r>
            <w:r>
              <w:t xml:space="preserve">. </w:t>
            </w:r>
            <w:r w:rsidRPr="007B0436">
              <w:t>BSC is not defined</w:t>
            </w:r>
            <w:r>
              <w:t>.</w:t>
            </w:r>
          </w:p>
        </w:tc>
      </w:tr>
      <w:tr w:rsidR="003C2E14" w:rsidRPr="008D71E1" w14:paraId="6390F16A" w14:textId="77777777" w:rsidTr="002D52C6">
        <w:tc>
          <w:tcPr>
            <w:tcW w:w="4673" w:type="dxa"/>
          </w:tcPr>
          <w:p w14:paraId="7F6DBDDB" w14:textId="77777777" w:rsidR="003C2E14" w:rsidRPr="008D71E1" w:rsidRDefault="003C2E14" w:rsidP="002D52C6">
            <w:pPr>
              <w:pStyle w:val="Tabletext"/>
            </w:pPr>
            <w:r>
              <w:rPr>
                <w:b/>
              </w:rPr>
              <w:t xml:space="preserve">Subpopulation </w:t>
            </w:r>
            <w:r w:rsidRPr="008D71E1">
              <w:rPr>
                <w:b/>
              </w:rPr>
              <w:t>A3</w:t>
            </w:r>
            <w:r>
              <w:rPr>
                <w:b/>
              </w:rPr>
              <w:t xml:space="preserve">: </w:t>
            </w:r>
            <w:r w:rsidRPr="007B0436">
              <w:t>P</w:t>
            </w:r>
            <w:r w:rsidRPr="008D71E1">
              <w:t>atients with suboptimal outcome following breast conserving surgery for benign or malignant neoplasms who require AFG</w:t>
            </w:r>
            <w:r>
              <w:t>:</w:t>
            </w:r>
          </w:p>
          <w:p w14:paraId="3019646F" w14:textId="77777777" w:rsidR="003C2E14" w:rsidRDefault="003C2E14" w:rsidP="003C2E14">
            <w:pPr>
              <w:pStyle w:val="Tabletext"/>
              <w:numPr>
                <w:ilvl w:val="2"/>
                <w:numId w:val="31"/>
              </w:numPr>
              <w:ind w:left="251" w:hanging="251"/>
            </w:pPr>
            <w:r w:rsidRPr="00D109B3">
              <w:t>AFG alone, to treat pain resulting from scarring and/or tightness of the skin following mastectomy</w:t>
            </w:r>
            <w:r>
              <w:t>; or</w:t>
            </w:r>
          </w:p>
          <w:p w14:paraId="592EC320" w14:textId="77777777" w:rsidR="003C2E14" w:rsidRPr="008D71E1" w:rsidRDefault="003C2E14" w:rsidP="003C2E14">
            <w:pPr>
              <w:pStyle w:val="Tabletext"/>
              <w:numPr>
                <w:ilvl w:val="2"/>
                <w:numId w:val="31"/>
              </w:numPr>
              <w:ind w:left="251" w:hanging="251"/>
            </w:pPr>
            <w:r w:rsidRPr="008D71E1">
              <w:t>alone to improve contour defects, volume differences and rippling</w:t>
            </w:r>
            <w:r>
              <w:t>.</w:t>
            </w:r>
          </w:p>
        </w:tc>
        <w:tc>
          <w:tcPr>
            <w:tcW w:w="3260" w:type="dxa"/>
          </w:tcPr>
          <w:p w14:paraId="7200836E" w14:textId="0E63BEDC" w:rsidR="003C2E14" w:rsidRDefault="009F3F9E" w:rsidP="002D52C6">
            <w:pPr>
              <w:pStyle w:val="Tabletext"/>
              <w:tabs>
                <w:tab w:val="left" w:pos="256"/>
              </w:tabs>
            </w:pPr>
            <w:r>
              <w:t>a)</w:t>
            </w:r>
            <w:r>
              <w:tab/>
              <w:t>BSC;</w:t>
            </w:r>
          </w:p>
          <w:p w14:paraId="18BF06E1" w14:textId="77777777" w:rsidR="003C2E14" w:rsidRPr="008D71E1" w:rsidRDefault="003C2E14" w:rsidP="003C2E14">
            <w:pPr>
              <w:pStyle w:val="Tabletext"/>
              <w:numPr>
                <w:ilvl w:val="0"/>
                <w:numId w:val="38"/>
              </w:numPr>
              <w:tabs>
                <w:tab w:val="left" w:pos="397"/>
              </w:tabs>
              <w:ind w:left="256" w:hanging="256"/>
            </w:pPr>
            <w:r w:rsidRPr="008D71E1">
              <w:t xml:space="preserve">BSC; or </w:t>
            </w:r>
            <w:r>
              <w:t>M</w:t>
            </w:r>
            <w:r w:rsidRPr="008D71E1">
              <w:t xml:space="preserve">astectomy and reconstruction, or </w:t>
            </w:r>
            <w:r>
              <w:t>C</w:t>
            </w:r>
            <w:r w:rsidRPr="008D71E1">
              <w:t xml:space="preserve">ontralateral breast reduction to correct asymmetry, or </w:t>
            </w:r>
            <w:r>
              <w:t>O</w:t>
            </w:r>
            <w:r w:rsidRPr="008D71E1">
              <w:t>ther corrective surgery (e.g. local perforated flaps)</w:t>
            </w:r>
            <w:r>
              <w:t>.</w:t>
            </w:r>
          </w:p>
        </w:tc>
        <w:tc>
          <w:tcPr>
            <w:tcW w:w="6237" w:type="dxa"/>
          </w:tcPr>
          <w:p w14:paraId="73779936" w14:textId="77777777" w:rsidR="003C2E14" w:rsidRDefault="003C2E14" w:rsidP="002D52C6">
            <w:pPr>
              <w:pStyle w:val="Tabletext"/>
            </w:pPr>
            <w:r w:rsidRPr="00CD6E08">
              <w:t xml:space="preserve">BSC not specified in the </w:t>
            </w:r>
            <w:r>
              <w:t>r</w:t>
            </w:r>
            <w:r w:rsidRPr="00426AC0">
              <w:t>atified PICO Confirmation</w:t>
            </w:r>
            <w:r>
              <w:t xml:space="preserve">, </w:t>
            </w:r>
            <w:r w:rsidRPr="00CD6E08">
              <w:t xml:space="preserve">assumed in the </w:t>
            </w:r>
            <w:r>
              <w:t>DCAR to refer to analgesia for PMPS.</w:t>
            </w:r>
          </w:p>
          <w:p w14:paraId="4E3DA4A7" w14:textId="77777777" w:rsidR="003C2E14" w:rsidRPr="008D71E1" w:rsidRDefault="003C2E14" w:rsidP="002D52C6">
            <w:pPr>
              <w:pStyle w:val="Tabletext"/>
            </w:pPr>
            <w:r w:rsidRPr="008D71E1">
              <w:t xml:space="preserve">Figure 6 of the </w:t>
            </w:r>
            <w:r>
              <w:t>r</w:t>
            </w:r>
            <w:r w:rsidRPr="00426AC0">
              <w:t>atified PICO Confirmation</w:t>
            </w:r>
            <w:r w:rsidRPr="008D71E1">
              <w:t xml:space="preserve"> presents current comparators as</w:t>
            </w:r>
            <w:r>
              <w:t xml:space="preserve"> (i) B</w:t>
            </w:r>
            <w:r w:rsidRPr="008D71E1">
              <w:t>SC; or</w:t>
            </w:r>
            <w:r>
              <w:t xml:space="preserve"> (ii) </w:t>
            </w:r>
            <w:r w:rsidRPr="008D71E1">
              <w:t>Mastectomy plus reconstruction; or</w:t>
            </w:r>
            <w:r>
              <w:t xml:space="preserve"> (iii) </w:t>
            </w:r>
            <w:r w:rsidRPr="008D71E1">
              <w:t>Reduction mammoplasty of contralateral breast</w:t>
            </w:r>
            <w:r>
              <w:t>, b</w:t>
            </w:r>
            <w:r w:rsidRPr="008D71E1">
              <w:t xml:space="preserve">ut excludes </w:t>
            </w:r>
            <w:r>
              <w:t>‘</w:t>
            </w:r>
            <w:r w:rsidRPr="008D71E1">
              <w:t>other corrective surgery</w:t>
            </w:r>
            <w:r>
              <w:t>’.</w:t>
            </w:r>
          </w:p>
          <w:p w14:paraId="2DE27435" w14:textId="77777777" w:rsidR="003C2E14" w:rsidRPr="00A046C5" w:rsidRDefault="003C2E14" w:rsidP="002D52C6">
            <w:pPr>
              <w:pStyle w:val="Tabletext"/>
            </w:pPr>
            <w:r w:rsidRPr="00A046C5">
              <w:t xml:space="preserve">The </w:t>
            </w:r>
            <w:r>
              <w:t>DCAR includes</w:t>
            </w:r>
            <w:r w:rsidRPr="00A046C5">
              <w:t xml:space="preserve"> </w:t>
            </w:r>
            <w:r>
              <w:t>‘</w:t>
            </w:r>
            <w:r w:rsidRPr="00A046C5">
              <w:t>other corrective surgery</w:t>
            </w:r>
            <w:r>
              <w:t>’</w:t>
            </w:r>
            <w:r w:rsidRPr="00A046C5">
              <w:t xml:space="preserve"> as one of the comparators (where evidence is available)</w:t>
            </w:r>
            <w:r>
              <w:t>.</w:t>
            </w:r>
          </w:p>
        </w:tc>
      </w:tr>
      <w:tr w:rsidR="003C2E14" w:rsidRPr="008D71E1" w14:paraId="2380EADF" w14:textId="77777777" w:rsidTr="002D52C6">
        <w:tc>
          <w:tcPr>
            <w:tcW w:w="4673" w:type="dxa"/>
          </w:tcPr>
          <w:p w14:paraId="4A8A5962" w14:textId="77777777" w:rsidR="003C2E14" w:rsidRDefault="003C2E14" w:rsidP="002D52C6">
            <w:pPr>
              <w:pStyle w:val="Tabletext"/>
            </w:pPr>
            <w:r>
              <w:rPr>
                <w:b/>
              </w:rPr>
              <w:t xml:space="preserve">Population </w:t>
            </w:r>
            <w:r w:rsidRPr="008D71E1">
              <w:rPr>
                <w:b/>
              </w:rPr>
              <w:t>B</w:t>
            </w:r>
            <w:r>
              <w:rPr>
                <w:b/>
              </w:rPr>
              <w:t xml:space="preserve">: </w:t>
            </w:r>
            <w:r>
              <w:t>P</w:t>
            </w:r>
            <w:r w:rsidRPr="008D71E1">
              <w:t>atients with developmental b</w:t>
            </w:r>
            <w:r>
              <w:t>reast abnormalities defined as:</w:t>
            </w:r>
          </w:p>
          <w:p w14:paraId="3893D154" w14:textId="77777777" w:rsidR="003C2E14" w:rsidRPr="008D71E1" w:rsidRDefault="003C2E14" w:rsidP="003C2E14">
            <w:pPr>
              <w:pStyle w:val="Tabletext"/>
              <w:numPr>
                <w:ilvl w:val="0"/>
                <w:numId w:val="37"/>
              </w:numPr>
              <w:ind w:left="251" w:hanging="251"/>
            </w:pPr>
            <w:r w:rsidRPr="008D71E1">
              <w:t xml:space="preserve">congenital tuberous breasts; or </w:t>
            </w:r>
          </w:p>
          <w:p w14:paraId="19D25D5B" w14:textId="77777777" w:rsidR="003C2E14" w:rsidRPr="008D71E1" w:rsidRDefault="003C2E14" w:rsidP="003C2E14">
            <w:pPr>
              <w:pStyle w:val="Tabletext"/>
              <w:numPr>
                <w:ilvl w:val="0"/>
                <w:numId w:val="37"/>
              </w:numPr>
              <w:ind w:left="251" w:hanging="251"/>
            </w:pPr>
            <w:r w:rsidRPr="008D71E1">
              <w:t>unilateral hypomastia causing asymmetry with a &gt;20% difference to the contralateral side</w:t>
            </w:r>
            <w:r>
              <w:t>.</w:t>
            </w:r>
          </w:p>
        </w:tc>
        <w:tc>
          <w:tcPr>
            <w:tcW w:w="3260" w:type="dxa"/>
          </w:tcPr>
          <w:p w14:paraId="58D10852" w14:textId="77777777" w:rsidR="003C2E14" w:rsidRPr="008D71E1" w:rsidRDefault="003C2E14" w:rsidP="002D52C6">
            <w:pPr>
              <w:pStyle w:val="Tabletext"/>
            </w:pPr>
            <w:r w:rsidRPr="008D71E1">
              <w:t>BSC; or</w:t>
            </w:r>
          </w:p>
          <w:p w14:paraId="66392660" w14:textId="77777777" w:rsidR="003C2E14" w:rsidRPr="008D71E1" w:rsidRDefault="003C2E14" w:rsidP="002D52C6">
            <w:pPr>
              <w:pStyle w:val="Tabletext"/>
            </w:pPr>
            <w:r w:rsidRPr="008D71E1">
              <w:t>Corrective breast surgery</w:t>
            </w:r>
            <w:r>
              <w:t>.</w:t>
            </w:r>
          </w:p>
        </w:tc>
        <w:tc>
          <w:tcPr>
            <w:tcW w:w="6237" w:type="dxa"/>
          </w:tcPr>
          <w:p w14:paraId="398222FE" w14:textId="77777777" w:rsidR="003C2E14" w:rsidRPr="008D71E1" w:rsidRDefault="003C2E14" w:rsidP="002D52C6">
            <w:pPr>
              <w:pStyle w:val="Tabletext"/>
            </w:pPr>
            <w:r w:rsidRPr="008D71E1">
              <w:t xml:space="preserve">Figure 7 of the </w:t>
            </w:r>
            <w:r>
              <w:t>r</w:t>
            </w:r>
            <w:r w:rsidRPr="00426AC0">
              <w:t>atified PICO Confirmation</w:t>
            </w:r>
            <w:r w:rsidRPr="008D71E1">
              <w:t xml:space="preserve"> is consistent</w:t>
            </w:r>
            <w:r>
              <w:t>,</w:t>
            </w:r>
            <w:r w:rsidRPr="008D71E1">
              <w:t xml:space="preserve"> presenting the comparator as</w:t>
            </w:r>
            <w:r>
              <w:t>:</w:t>
            </w:r>
          </w:p>
          <w:p w14:paraId="50853640" w14:textId="77777777" w:rsidR="003C2E14" w:rsidRPr="008D71E1" w:rsidRDefault="003C2E14" w:rsidP="003C2E14">
            <w:pPr>
              <w:pStyle w:val="Tabletext"/>
              <w:numPr>
                <w:ilvl w:val="0"/>
                <w:numId w:val="32"/>
              </w:numPr>
              <w:ind w:left="216" w:hanging="216"/>
            </w:pPr>
            <w:r w:rsidRPr="008D71E1">
              <w:t>BSC; or</w:t>
            </w:r>
          </w:p>
          <w:p w14:paraId="217F1622" w14:textId="77777777" w:rsidR="003C2E14" w:rsidRPr="008D71E1" w:rsidRDefault="003C2E14" w:rsidP="003C2E14">
            <w:pPr>
              <w:pStyle w:val="Tabletext"/>
              <w:numPr>
                <w:ilvl w:val="0"/>
                <w:numId w:val="32"/>
              </w:numPr>
              <w:ind w:left="216" w:hanging="216"/>
            </w:pPr>
            <w:r w:rsidRPr="008D71E1">
              <w:t>Correction surgery</w:t>
            </w:r>
            <w:r>
              <w:t>.</w:t>
            </w:r>
          </w:p>
        </w:tc>
      </w:tr>
    </w:tbl>
    <w:p w14:paraId="23BF42A8" w14:textId="77777777" w:rsidR="003C2E14" w:rsidRDefault="003C2E14" w:rsidP="003C2E14">
      <w:pPr>
        <w:rPr>
          <w:rFonts w:ascii="Arial Narrow" w:hAnsi="Arial Narrow"/>
          <w:sz w:val="18"/>
        </w:rPr>
      </w:pPr>
      <w:r>
        <w:rPr>
          <w:rFonts w:ascii="Arial Narrow" w:hAnsi="Arial Narrow"/>
          <w:sz w:val="18"/>
        </w:rPr>
        <w:t xml:space="preserve">Abbreviations: </w:t>
      </w:r>
      <w:r w:rsidRPr="00F75A4B">
        <w:rPr>
          <w:rFonts w:ascii="Arial Narrow" w:hAnsi="Arial Narrow"/>
          <w:sz w:val="18"/>
        </w:rPr>
        <w:t>AFG = autologous fat grafting; BSC = best supportive care</w:t>
      </w:r>
      <w:r>
        <w:rPr>
          <w:rFonts w:ascii="Arial Narrow" w:hAnsi="Arial Narrow"/>
          <w:sz w:val="18"/>
        </w:rPr>
        <w:t xml:space="preserve">; </w:t>
      </w:r>
      <w:r w:rsidRPr="00FB43F3">
        <w:rPr>
          <w:rFonts w:ascii="Arial Narrow" w:hAnsi="Arial Narrow"/>
          <w:sz w:val="18"/>
        </w:rPr>
        <w:t>PMPS = post</w:t>
      </w:r>
      <w:r>
        <w:rPr>
          <w:rFonts w:ascii="Arial Narrow" w:hAnsi="Arial Narrow"/>
          <w:sz w:val="18"/>
        </w:rPr>
        <w:t xml:space="preserve"> </w:t>
      </w:r>
      <w:r w:rsidRPr="00FB43F3">
        <w:rPr>
          <w:rFonts w:ascii="Arial Narrow" w:hAnsi="Arial Narrow"/>
          <w:sz w:val="18"/>
        </w:rPr>
        <w:t>mastectomy pain syndrome</w:t>
      </w:r>
      <w:r>
        <w:rPr>
          <w:rFonts w:ascii="Arial Narrow" w:hAnsi="Arial Narrow"/>
          <w:sz w:val="18"/>
        </w:rPr>
        <w:t>.</w:t>
      </w:r>
    </w:p>
    <w:p w14:paraId="7B6CF21B" w14:textId="77777777" w:rsidR="003C2E14" w:rsidRPr="00F75A4B" w:rsidRDefault="003C2E14" w:rsidP="003C2E14">
      <w:pPr>
        <w:rPr>
          <w:rFonts w:ascii="Arial Narrow" w:hAnsi="Arial Narrow"/>
        </w:rPr>
        <w:sectPr w:rsidR="003C2E14" w:rsidRPr="00F75A4B" w:rsidSect="002D52C6">
          <w:pgSz w:w="16838" w:h="11906" w:orient="landscape"/>
          <w:pgMar w:top="1440" w:right="1440" w:bottom="1440" w:left="1440" w:header="720" w:footer="720" w:gutter="0"/>
          <w:paperSrc w:first="2" w:other="2"/>
          <w:cols w:space="720"/>
          <w:docGrid w:linePitch="299"/>
        </w:sectPr>
      </w:pPr>
      <w:r w:rsidRPr="00F75A4B">
        <w:rPr>
          <w:rFonts w:ascii="Arial Narrow" w:hAnsi="Arial Narrow"/>
          <w:sz w:val="18"/>
        </w:rPr>
        <w:t xml:space="preserve">Source: </w:t>
      </w:r>
      <w:r>
        <w:rPr>
          <w:rFonts w:ascii="Arial Narrow" w:hAnsi="Arial Narrow"/>
          <w:sz w:val="18"/>
        </w:rPr>
        <w:t>Table 2, p26 of the DCAR.</w:t>
      </w:r>
    </w:p>
    <w:p w14:paraId="5D406294" w14:textId="77777777" w:rsidR="003C2E14" w:rsidRDefault="003C2E14" w:rsidP="003C2E14">
      <w:r w:rsidRPr="003D44B7">
        <w:lastRenderedPageBreak/>
        <w:t xml:space="preserve">The </w:t>
      </w:r>
      <w:r>
        <w:t xml:space="preserve">DCAR listed the </w:t>
      </w:r>
      <w:r w:rsidRPr="003D44B7">
        <w:t>relevant MBS item for reimbursement of comparators to AFG according to their purpose</w:t>
      </w:r>
      <w:r>
        <w:t>:</w:t>
      </w:r>
    </w:p>
    <w:p w14:paraId="0A129FE3" w14:textId="77777777" w:rsidR="003C2E14" w:rsidRDefault="003C2E14" w:rsidP="003C2E14">
      <w:pPr>
        <w:pStyle w:val="ListParagraph"/>
        <w:numPr>
          <w:ilvl w:val="0"/>
          <w:numId w:val="39"/>
        </w:numPr>
        <w:jc w:val="both"/>
      </w:pPr>
      <w:r>
        <w:t>Mastectomy (31519, 31524)</w:t>
      </w:r>
    </w:p>
    <w:p w14:paraId="078C6BF5" w14:textId="77777777" w:rsidR="003C2E14" w:rsidRDefault="003C2E14" w:rsidP="003C2E14">
      <w:pPr>
        <w:pStyle w:val="ListParagraph"/>
        <w:numPr>
          <w:ilvl w:val="0"/>
          <w:numId w:val="39"/>
        </w:numPr>
        <w:jc w:val="both"/>
      </w:pPr>
      <w:r>
        <w:t>Breast reconstruction using autoflaps (45530, 45533, 45536)</w:t>
      </w:r>
    </w:p>
    <w:p w14:paraId="31165B17" w14:textId="77777777" w:rsidR="003C2E14" w:rsidRDefault="003C2E14" w:rsidP="003C2E14">
      <w:pPr>
        <w:pStyle w:val="ListParagraph"/>
        <w:numPr>
          <w:ilvl w:val="0"/>
          <w:numId w:val="39"/>
        </w:numPr>
        <w:jc w:val="both"/>
      </w:pPr>
      <w:r>
        <w:t>Breast reconstruction using prostheses (45527, 45539, 45542)</w:t>
      </w:r>
    </w:p>
    <w:p w14:paraId="41B146F7" w14:textId="77777777" w:rsidR="003C2E14" w:rsidRDefault="003C2E14" w:rsidP="003C2E14">
      <w:pPr>
        <w:pStyle w:val="ListParagraph"/>
        <w:numPr>
          <w:ilvl w:val="0"/>
          <w:numId w:val="39"/>
        </w:numPr>
        <w:jc w:val="both"/>
      </w:pPr>
      <w:r>
        <w:t>Flap revision (45497, 45498, 45499)</w:t>
      </w:r>
    </w:p>
    <w:p w14:paraId="48FC41C1" w14:textId="77777777" w:rsidR="003C2E14" w:rsidRDefault="003C2E14" w:rsidP="003C2E14">
      <w:pPr>
        <w:pStyle w:val="ListParagraph"/>
        <w:numPr>
          <w:ilvl w:val="0"/>
          <w:numId w:val="39"/>
        </w:numPr>
        <w:jc w:val="both"/>
      </w:pPr>
      <w:r>
        <w:t>Augmentation mammoplasty (45524, 45528)</w:t>
      </w:r>
    </w:p>
    <w:p w14:paraId="107362A8" w14:textId="77777777" w:rsidR="003C2E14" w:rsidRDefault="003C2E14" w:rsidP="003C2E14">
      <w:pPr>
        <w:pStyle w:val="ListParagraph"/>
        <w:numPr>
          <w:ilvl w:val="0"/>
          <w:numId w:val="39"/>
        </w:numPr>
        <w:jc w:val="both"/>
      </w:pPr>
      <w:r>
        <w:t>Reduction mammaplasty (45520)</w:t>
      </w:r>
    </w:p>
    <w:p w14:paraId="359C7CD5" w14:textId="77777777" w:rsidR="003C2E14" w:rsidRDefault="003C2E14" w:rsidP="003C2E14">
      <w:pPr>
        <w:pStyle w:val="ListParagraph"/>
        <w:numPr>
          <w:ilvl w:val="0"/>
          <w:numId w:val="39"/>
        </w:numPr>
        <w:jc w:val="both"/>
      </w:pPr>
      <w:r>
        <w:t>Congenital developmental abnormalities (45528, 45060, 45061, 45062, 45556).</w:t>
      </w:r>
    </w:p>
    <w:p w14:paraId="3FA7898E" w14:textId="74EF90BB" w:rsidR="003C2E14" w:rsidRPr="003F70D2" w:rsidRDefault="003C2E14" w:rsidP="009F3F9E">
      <w:pPr>
        <w:pStyle w:val="ListParagraph"/>
        <w:numPr>
          <w:ilvl w:val="0"/>
          <w:numId w:val="39"/>
        </w:numPr>
        <w:jc w:val="both"/>
      </w:pPr>
      <w:r>
        <w:t xml:space="preserve">Scar revision (45515, 45506 to 45518). </w:t>
      </w:r>
    </w:p>
    <w:p w14:paraId="1954E66D" w14:textId="77777777" w:rsidR="00DB5833" w:rsidRPr="003C2E14" w:rsidRDefault="003C2E14" w:rsidP="009F3F9E">
      <w:pPr>
        <w:spacing w:before="240"/>
        <w:jc w:val="both"/>
      </w:pPr>
      <w:r w:rsidRPr="003D44B7">
        <w:t>The DCAR</w:t>
      </w:r>
      <w:r>
        <w:t xml:space="preserve"> also</w:t>
      </w:r>
      <w:r w:rsidRPr="003D44B7">
        <w:t xml:space="preserve"> noted that these items may not always be the items charged and that the descriptors for</w:t>
      </w:r>
      <w:r>
        <w:t xml:space="preserve"> these items remains in flux since being</w:t>
      </w:r>
      <w:r w:rsidRPr="008D71E1">
        <w:t xml:space="preserve"> reviewed</w:t>
      </w:r>
      <w:r>
        <w:t xml:space="preserve"> (MBSRT PRSCC 2018). The review found many items did</w:t>
      </w:r>
      <w:r w:rsidRPr="008D71E1">
        <w:t xml:space="preserve"> not reflect current </w:t>
      </w:r>
      <w:r>
        <w:t>procedures, new item numbers were</w:t>
      </w:r>
      <w:r w:rsidRPr="008D71E1">
        <w:t xml:space="preserve"> required and there is coding confusion between breast reconstruction and plastic reconstruction items</w:t>
      </w:r>
      <w:r>
        <w:t>.</w:t>
      </w:r>
    </w:p>
    <w:p w14:paraId="6918B544" w14:textId="77777777" w:rsidR="00BC1364" w:rsidRPr="00F715D1" w:rsidRDefault="00BC1364" w:rsidP="00F715D1">
      <w:pPr>
        <w:pStyle w:val="Heading1"/>
      </w:pPr>
      <w:r w:rsidRPr="00F715D1">
        <w:t>Comparative safety</w:t>
      </w:r>
    </w:p>
    <w:p w14:paraId="30B1E3BB" w14:textId="3667344C" w:rsidR="003C2E14" w:rsidRDefault="003C2E14" w:rsidP="003C2E14">
      <w:r>
        <w:t>A total of 35 comparative studies and five systematic reviews were included in the DCAR (</w:t>
      </w:r>
      <w:r w:rsidRPr="007F011C">
        <w:rPr>
          <w:szCs w:val="24"/>
        </w:rPr>
        <w:t xml:space="preserve">see </w:t>
      </w:r>
      <w:r w:rsidR="007F011C" w:rsidRPr="007F011C">
        <w:rPr>
          <w:szCs w:val="24"/>
        </w:rPr>
        <w:fldChar w:fldCharType="begin"/>
      </w:r>
      <w:r w:rsidR="007F011C" w:rsidRPr="007F011C">
        <w:rPr>
          <w:szCs w:val="24"/>
        </w:rPr>
        <w:instrText xml:space="preserve"> REF _Ref50012328 \h  \* MERGEFORMAT </w:instrText>
      </w:r>
      <w:r w:rsidR="007F011C" w:rsidRPr="007F011C">
        <w:rPr>
          <w:szCs w:val="24"/>
        </w:rPr>
      </w:r>
      <w:r w:rsidR="007F011C" w:rsidRPr="007F011C">
        <w:rPr>
          <w:szCs w:val="24"/>
        </w:rPr>
        <w:fldChar w:fldCharType="separate"/>
      </w:r>
      <w:r w:rsidR="007F011C" w:rsidRPr="007F011C">
        <w:rPr>
          <w:szCs w:val="24"/>
        </w:rPr>
        <w:t xml:space="preserve">Table </w:t>
      </w:r>
      <w:r w:rsidR="007F011C" w:rsidRPr="007F011C">
        <w:rPr>
          <w:noProof/>
          <w:szCs w:val="24"/>
        </w:rPr>
        <w:t>3</w:t>
      </w:r>
      <w:r w:rsidR="007F011C" w:rsidRPr="007F011C">
        <w:rPr>
          <w:szCs w:val="24"/>
        </w:rPr>
        <w:fldChar w:fldCharType="end"/>
      </w:r>
      <w:r>
        <w:t xml:space="preserve"> for summary of evidence for Population A and </w:t>
      </w:r>
      <w:r w:rsidR="007F011C">
        <w:fldChar w:fldCharType="begin"/>
      </w:r>
      <w:r w:rsidR="007F011C">
        <w:instrText xml:space="preserve"> REF _Ref50012336 \h </w:instrText>
      </w:r>
      <w:r w:rsidR="007F011C">
        <w:fldChar w:fldCharType="separate"/>
      </w:r>
      <w:r w:rsidR="007F011C">
        <w:t xml:space="preserve">Table </w:t>
      </w:r>
      <w:r w:rsidR="007F011C">
        <w:rPr>
          <w:noProof/>
        </w:rPr>
        <w:t>4</w:t>
      </w:r>
      <w:r w:rsidR="007F011C">
        <w:fldChar w:fldCharType="end"/>
      </w:r>
      <w:r w:rsidR="009F3F9E">
        <w:t xml:space="preserve"> for Population B below).</w:t>
      </w:r>
    </w:p>
    <w:p w14:paraId="754353E9" w14:textId="681D86B3" w:rsidR="003C2E14" w:rsidRDefault="003C2E14" w:rsidP="009F3F9E">
      <w:pPr>
        <w:spacing w:before="240"/>
      </w:pPr>
      <w:r>
        <w:t xml:space="preserve">The DCAR identified a </w:t>
      </w:r>
      <w:r w:rsidRPr="00D35786">
        <w:t xml:space="preserve">number of studies that reported on the use of AFG for the treatment of PMPS. Given the use of AFG for PMPS (i.e. </w:t>
      </w:r>
      <w:r>
        <w:t xml:space="preserve">for </w:t>
      </w:r>
      <w:r w:rsidRPr="00D35786">
        <w:t>the reduction of pain) and the nominated comparator (BSC) is the same, regardless of where a patient may be</w:t>
      </w:r>
      <w:r>
        <w:t xml:space="preserve"> in</w:t>
      </w:r>
      <w:r w:rsidRPr="00D35786">
        <w:t xml:space="preserve"> their reco</w:t>
      </w:r>
      <w:r>
        <w:t>nstruction journey (defined as Subp</w:t>
      </w:r>
      <w:r w:rsidRPr="00D35786">
        <w:t xml:space="preserve">opulations A1-A3), the evidence relating to AFG for </w:t>
      </w:r>
      <w:r>
        <w:t>the treatment of PMPS</w:t>
      </w:r>
      <w:r w:rsidRPr="00D35786">
        <w:t xml:space="preserve"> </w:t>
      </w:r>
      <w:r>
        <w:t xml:space="preserve">was presented together (see </w:t>
      </w:r>
      <w:r w:rsidR="007F011C" w:rsidRPr="007F011C">
        <w:rPr>
          <w:szCs w:val="24"/>
        </w:rPr>
        <w:fldChar w:fldCharType="begin"/>
      </w:r>
      <w:r w:rsidR="007F011C" w:rsidRPr="007F011C">
        <w:rPr>
          <w:szCs w:val="24"/>
        </w:rPr>
        <w:instrText xml:space="preserve"> REF _Ref50012328 \h  \* MERGEFORMAT </w:instrText>
      </w:r>
      <w:r w:rsidR="007F011C" w:rsidRPr="007F011C">
        <w:rPr>
          <w:szCs w:val="24"/>
        </w:rPr>
      </w:r>
      <w:r w:rsidR="007F011C" w:rsidRPr="007F011C">
        <w:rPr>
          <w:szCs w:val="24"/>
        </w:rPr>
        <w:fldChar w:fldCharType="separate"/>
      </w:r>
      <w:r w:rsidR="007F011C" w:rsidRPr="007F011C">
        <w:rPr>
          <w:szCs w:val="24"/>
        </w:rPr>
        <w:t xml:space="preserve">Table </w:t>
      </w:r>
      <w:r w:rsidR="007F011C" w:rsidRPr="007F011C">
        <w:rPr>
          <w:noProof/>
          <w:szCs w:val="24"/>
        </w:rPr>
        <w:t>3</w:t>
      </w:r>
      <w:r w:rsidR="007F011C" w:rsidRPr="007F011C">
        <w:rPr>
          <w:szCs w:val="24"/>
        </w:rPr>
        <w:fldChar w:fldCharType="end"/>
      </w:r>
      <w:r>
        <w:t xml:space="preserve"> below)</w:t>
      </w:r>
      <w:r w:rsidRPr="00D35786">
        <w:t>.</w:t>
      </w:r>
    </w:p>
    <w:p w14:paraId="4C82B76C" w14:textId="3413D7A7" w:rsidR="003C2E14" w:rsidRDefault="003C2E14" w:rsidP="009F3F9E">
      <w:pPr>
        <w:spacing w:before="240"/>
      </w:pPr>
      <w:r>
        <w:t>The DCAR noted that one comparative study (RCT;</w:t>
      </w:r>
      <w:r w:rsidRPr="00DB7A32">
        <w:t xml:space="preserve"> </w:t>
      </w:r>
      <w:r>
        <w:t>Juhl 2016</w:t>
      </w:r>
      <w:r>
        <w:rPr>
          <w:rStyle w:val="FootnoteReference"/>
        </w:rPr>
        <w:footnoteReference w:id="2"/>
      </w:r>
      <w:r>
        <w:t xml:space="preserve">) assessed the use of AFG in patients who were post mastectomy without reconstruction (Subpopulation A1) and reported on the use of AFG for the treatment of post mastectomy pain (PMPS subpopulation). The DCAR elected to include this study (Juhl 2016) as </w:t>
      </w:r>
      <w:r w:rsidR="009F3F9E">
        <w:t>part of the PMPS subpopulation.</w:t>
      </w:r>
    </w:p>
    <w:p w14:paraId="4DC386D8" w14:textId="79169BCF" w:rsidR="003C2E14" w:rsidRDefault="003C2E14" w:rsidP="009F3F9E">
      <w:pPr>
        <w:spacing w:before="240"/>
      </w:pPr>
      <w:r>
        <w:t xml:space="preserve">The DCAR included the four studies </w:t>
      </w:r>
      <w:r w:rsidRPr="008D71E1">
        <w:t>(Calabrese 2018</w:t>
      </w:r>
      <w:r>
        <w:rPr>
          <w:rStyle w:val="FootnoteReference"/>
        </w:rPr>
        <w:footnoteReference w:id="3"/>
      </w:r>
      <w:r w:rsidRPr="008D71E1">
        <w:t>, Cuomo 2014</w:t>
      </w:r>
      <w:r>
        <w:rPr>
          <w:rStyle w:val="FootnoteReference"/>
        </w:rPr>
        <w:footnoteReference w:id="4"/>
      </w:r>
      <w:r w:rsidRPr="008D71E1">
        <w:t>, Ribuffo 2013</w:t>
      </w:r>
      <w:r>
        <w:rPr>
          <w:rStyle w:val="FootnoteReference"/>
        </w:rPr>
        <w:footnoteReference w:id="5"/>
      </w:r>
      <w:r w:rsidRPr="008D71E1">
        <w:t>, Vaia 2018</w:t>
      </w:r>
      <w:r>
        <w:rPr>
          <w:rStyle w:val="FootnoteReference"/>
        </w:rPr>
        <w:footnoteReference w:id="6"/>
      </w:r>
      <w:r w:rsidRPr="008D71E1">
        <w:t>)</w:t>
      </w:r>
      <w:r>
        <w:t xml:space="preserve"> in Subpopulation A1, as they included patients who do not have a completed reconstruction and are considered to be distinct from those who have a completed reconstruction (Subpopulation A2). However, the DCAR acknowledged that this group may be considered as those who have undergone reconstruction (Subpopulation A2). </w:t>
      </w:r>
      <w:r w:rsidR="003A1063">
        <w:t xml:space="preserve">The DCAR suggested that </w:t>
      </w:r>
      <w:r>
        <w:t>MSAC may wish to consider whether this population is reflective of Subpopulation A1, or whether they should be considered as part of Subpopulation A2; alternatively, they may be considered to not represent any of the subgroups nominated in the ratified PICO Confirmation.</w:t>
      </w:r>
    </w:p>
    <w:p w14:paraId="163394C0" w14:textId="4348C118" w:rsidR="003C2E14" w:rsidRDefault="003C2E14" w:rsidP="003C2E14">
      <w:pPr>
        <w:sectPr w:rsidR="003C2E14" w:rsidSect="002D52C6">
          <w:pgSz w:w="11906" w:h="16838"/>
          <w:pgMar w:top="1440" w:right="1440" w:bottom="1440" w:left="1440" w:header="720" w:footer="720" w:gutter="0"/>
          <w:paperSrc w:first="2" w:other="2"/>
          <w:cols w:space="720"/>
        </w:sectPr>
      </w:pPr>
    </w:p>
    <w:p w14:paraId="53DE3F79" w14:textId="5CADBB1A" w:rsidR="003C2E14" w:rsidRPr="00B72DF9" w:rsidRDefault="003C2E14" w:rsidP="00B72DF9">
      <w:pPr>
        <w:rPr>
          <w:rFonts w:ascii="Arial Narrow" w:hAnsi="Arial Narrow"/>
          <w:b/>
          <w:sz w:val="20"/>
        </w:rPr>
      </w:pPr>
      <w:bookmarkStart w:id="17" w:name="_Ref50012328"/>
      <w:r w:rsidRPr="00B72DF9">
        <w:rPr>
          <w:rFonts w:ascii="Arial Narrow" w:hAnsi="Arial Narrow"/>
          <w:b/>
          <w:sz w:val="20"/>
        </w:rPr>
        <w:lastRenderedPageBreak/>
        <w:t xml:space="preserve">Table </w:t>
      </w:r>
      <w:r w:rsidRPr="00B72DF9">
        <w:rPr>
          <w:rFonts w:ascii="Arial Narrow" w:hAnsi="Arial Narrow"/>
          <w:b/>
          <w:sz w:val="20"/>
        </w:rPr>
        <w:fldChar w:fldCharType="begin"/>
      </w:r>
      <w:r w:rsidRPr="00B72DF9">
        <w:rPr>
          <w:rFonts w:ascii="Arial Narrow" w:hAnsi="Arial Narrow"/>
          <w:b/>
          <w:sz w:val="20"/>
        </w:rPr>
        <w:instrText xml:space="preserve"> SEQ Table \* ARABIC </w:instrText>
      </w:r>
      <w:r w:rsidRPr="00B72DF9">
        <w:rPr>
          <w:rFonts w:ascii="Arial Narrow" w:hAnsi="Arial Narrow"/>
          <w:b/>
          <w:sz w:val="20"/>
        </w:rPr>
        <w:fldChar w:fldCharType="separate"/>
      </w:r>
      <w:r w:rsidR="00EF74CD">
        <w:rPr>
          <w:rFonts w:ascii="Arial Narrow" w:hAnsi="Arial Narrow"/>
          <w:b/>
          <w:noProof/>
          <w:sz w:val="20"/>
        </w:rPr>
        <w:t>3</w:t>
      </w:r>
      <w:r w:rsidRPr="00B72DF9">
        <w:rPr>
          <w:rFonts w:ascii="Arial Narrow" w:hAnsi="Arial Narrow"/>
          <w:b/>
          <w:sz w:val="20"/>
        </w:rPr>
        <w:fldChar w:fldCharType="end"/>
      </w:r>
      <w:bookmarkEnd w:id="17"/>
      <w:r w:rsidRPr="00B72DF9">
        <w:rPr>
          <w:rFonts w:ascii="Arial Narrow" w:hAnsi="Arial Narrow"/>
          <w:b/>
          <w:sz w:val="20"/>
        </w:rPr>
        <w:t xml:space="preserve"> Summary of the evidence available of AFG for Population A</w:t>
      </w:r>
    </w:p>
    <w:tbl>
      <w:tblPr>
        <w:tblStyle w:val="TableGrid"/>
        <w:tblW w:w="14029" w:type="dxa"/>
        <w:tblCellMar>
          <w:left w:w="28" w:type="dxa"/>
          <w:right w:w="28" w:type="dxa"/>
        </w:tblCellMar>
        <w:tblLook w:val="04A0" w:firstRow="1" w:lastRow="0" w:firstColumn="1" w:lastColumn="0" w:noHBand="0" w:noVBand="1"/>
        <w:tblCaption w:val="Summary of the evidence available for Population A4"/>
        <w:tblDescription w:val="Summary of the evidence available for Population A4"/>
      </w:tblPr>
      <w:tblGrid>
        <w:gridCol w:w="1301"/>
        <w:gridCol w:w="685"/>
        <w:gridCol w:w="504"/>
        <w:gridCol w:w="3512"/>
        <w:gridCol w:w="2371"/>
        <w:gridCol w:w="2405"/>
        <w:gridCol w:w="738"/>
        <w:gridCol w:w="2513"/>
      </w:tblGrid>
      <w:tr w:rsidR="003C2E14" w:rsidRPr="008D71E1" w14:paraId="5821C67A" w14:textId="77777777" w:rsidTr="002D52C6">
        <w:trPr>
          <w:tblHeader/>
        </w:trPr>
        <w:tc>
          <w:tcPr>
            <w:tcW w:w="0" w:type="auto"/>
            <w:tcBorders>
              <w:bottom w:val="single" w:sz="4" w:space="0" w:color="auto"/>
            </w:tcBorders>
            <w:shd w:val="clear" w:color="auto" w:fill="auto"/>
          </w:tcPr>
          <w:p w14:paraId="1035E7DE" w14:textId="77777777" w:rsidR="003C2E14" w:rsidRPr="008D71E1" w:rsidRDefault="003C2E14" w:rsidP="00F73B0A">
            <w:pPr>
              <w:rPr>
                <w:rFonts w:ascii="Arial Narrow" w:hAnsi="Arial Narrow"/>
                <w:b/>
                <w:sz w:val="20"/>
              </w:rPr>
            </w:pPr>
            <w:r w:rsidRPr="008D71E1">
              <w:rPr>
                <w:rFonts w:ascii="Arial Narrow" w:hAnsi="Arial Narrow"/>
                <w:b/>
                <w:sz w:val="20"/>
              </w:rPr>
              <w:t>Author</w:t>
            </w:r>
          </w:p>
        </w:tc>
        <w:tc>
          <w:tcPr>
            <w:tcW w:w="0" w:type="auto"/>
            <w:tcBorders>
              <w:bottom w:val="single" w:sz="4" w:space="0" w:color="auto"/>
            </w:tcBorders>
            <w:shd w:val="clear" w:color="auto" w:fill="auto"/>
          </w:tcPr>
          <w:p w14:paraId="7F0CDA21" w14:textId="77777777" w:rsidR="003C2E14" w:rsidRPr="008D71E1" w:rsidRDefault="003C2E14" w:rsidP="00F73B0A">
            <w:pPr>
              <w:rPr>
                <w:rFonts w:ascii="Arial Narrow" w:hAnsi="Arial Narrow"/>
                <w:b/>
                <w:sz w:val="20"/>
              </w:rPr>
            </w:pPr>
            <w:r w:rsidRPr="008D71E1">
              <w:rPr>
                <w:rFonts w:ascii="Arial Narrow" w:hAnsi="Arial Narrow"/>
                <w:b/>
                <w:sz w:val="20"/>
              </w:rPr>
              <w:t>Design</w:t>
            </w:r>
          </w:p>
        </w:tc>
        <w:tc>
          <w:tcPr>
            <w:tcW w:w="0" w:type="auto"/>
            <w:tcBorders>
              <w:bottom w:val="single" w:sz="4" w:space="0" w:color="auto"/>
            </w:tcBorders>
            <w:shd w:val="clear" w:color="auto" w:fill="auto"/>
          </w:tcPr>
          <w:p w14:paraId="2B1923D1" w14:textId="77777777" w:rsidR="003C2E14" w:rsidRPr="008D71E1" w:rsidRDefault="003C2E14" w:rsidP="00F73B0A">
            <w:pPr>
              <w:rPr>
                <w:rFonts w:ascii="Arial Narrow" w:hAnsi="Arial Narrow"/>
                <w:b/>
                <w:sz w:val="20"/>
                <w:vertAlign w:val="superscript"/>
              </w:rPr>
            </w:pPr>
            <w:r w:rsidRPr="008D71E1">
              <w:rPr>
                <w:rFonts w:ascii="Arial Narrow" w:hAnsi="Arial Narrow"/>
                <w:b/>
                <w:sz w:val="20"/>
              </w:rPr>
              <w:t>N</w:t>
            </w:r>
            <w:r w:rsidRPr="008D71E1">
              <w:rPr>
                <w:rFonts w:ascii="Arial Narrow" w:hAnsi="Arial Narrow"/>
                <w:b/>
                <w:sz w:val="20"/>
                <w:vertAlign w:val="superscript"/>
              </w:rPr>
              <w:t>a</w:t>
            </w:r>
          </w:p>
        </w:tc>
        <w:tc>
          <w:tcPr>
            <w:tcW w:w="0" w:type="auto"/>
            <w:tcBorders>
              <w:bottom w:val="single" w:sz="4" w:space="0" w:color="auto"/>
            </w:tcBorders>
            <w:shd w:val="clear" w:color="auto" w:fill="auto"/>
          </w:tcPr>
          <w:p w14:paraId="7E7FDE44" w14:textId="77777777" w:rsidR="003C2E14" w:rsidRPr="008D71E1" w:rsidRDefault="003C2E14" w:rsidP="00F73B0A">
            <w:pPr>
              <w:rPr>
                <w:rFonts w:ascii="Arial Narrow" w:hAnsi="Arial Narrow"/>
                <w:b/>
                <w:sz w:val="20"/>
              </w:rPr>
            </w:pPr>
            <w:r w:rsidRPr="008D71E1">
              <w:rPr>
                <w:rFonts w:ascii="Arial Narrow" w:hAnsi="Arial Narrow"/>
                <w:b/>
                <w:sz w:val="20"/>
              </w:rPr>
              <w:t>Population</w:t>
            </w:r>
            <w:r>
              <w:rPr>
                <w:rFonts w:ascii="Arial Narrow" w:hAnsi="Arial Narrow"/>
                <w:b/>
                <w:sz w:val="20"/>
              </w:rPr>
              <w:t xml:space="preserve"> detail</w:t>
            </w:r>
          </w:p>
        </w:tc>
        <w:tc>
          <w:tcPr>
            <w:tcW w:w="0" w:type="auto"/>
            <w:tcBorders>
              <w:bottom w:val="single" w:sz="4" w:space="0" w:color="auto"/>
              <w:right w:val="single" w:sz="4" w:space="0" w:color="auto"/>
            </w:tcBorders>
            <w:shd w:val="clear" w:color="auto" w:fill="auto"/>
          </w:tcPr>
          <w:p w14:paraId="0A7ED2A3" w14:textId="77777777" w:rsidR="003C2E14" w:rsidRPr="008D71E1" w:rsidRDefault="003C2E14" w:rsidP="00F73B0A">
            <w:pPr>
              <w:rPr>
                <w:rFonts w:ascii="Arial Narrow" w:hAnsi="Arial Narrow"/>
                <w:b/>
                <w:sz w:val="20"/>
              </w:rPr>
            </w:pPr>
            <w:r w:rsidRPr="008D71E1">
              <w:rPr>
                <w:rFonts w:ascii="Arial Narrow" w:hAnsi="Arial Narrow"/>
                <w:b/>
                <w:sz w:val="20"/>
              </w:rPr>
              <w:t xml:space="preserve">Intervention </w:t>
            </w:r>
            <w:r>
              <w:rPr>
                <w:rFonts w:ascii="Arial Narrow" w:hAnsi="Arial Narrow"/>
                <w:b/>
                <w:sz w:val="20"/>
              </w:rPr>
              <w:t>g</w:t>
            </w:r>
            <w:r w:rsidRPr="008D71E1">
              <w:rPr>
                <w:rFonts w:ascii="Arial Narrow" w:hAnsi="Arial Narrow"/>
                <w:b/>
                <w:sz w:val="20"/>
              </w:rPr>
              <w:t>roup</w:t>
            </w:r>
          </w:p>
        </w:tc>
        <w:tc>
          <w:tcPr>
            <w:tcW w:w="0" w:type="auto"/>
            <w:tcBorders>
              <w:left w:val="single" w:sz="4" w:space="0" w:color="auto"/>
              <w:bottom w:val="single" w:sz="4" w:space="0" w:color="auto"/>
            </w:tcBorders>
            <w:shd w:val="clear" w:color="auto" w:fill="auto"/>
          </w:tcPr>
          <w:p w14:paraId="3E637B7A" w14:textId="77777777" w:rsidR="003C2E14" w:rsidRPr="008D71E1" w:rsidRDefault="003C2E14" w:rsidP="00F73B0A">
            <w:pPr>
              <w:rPr>
                <w:rFonts w:ascii="Arial Narrow" w:hAnsi="Arial Narrow"/>
                <w:b/>
                <w:sz w:val="20"/>
              </w:rPr>
            </w:pPr>
            <w:r w:rsidRPr="008D71E1">
              <w:rPr>
                <w:rFonts w:ascii="Arial Narrow" w:hAnsi="Arial Narrow"/>
                <w:b/>
                <w:sz w:val="20"/>
              </w:rPr>
              <w:t xml:space="preserve">Comparator </w:t>
            </w:r>
            <w:r>
              <w:rPr>
                <w:rFonts w:ascii="Arial Narrow" w:hAnsi="Arial Narrow"/>
                <w:b/>
                <w:sz w:val="20"/>
              </w:rPr>
              <w:t>g</w:t>
            </w:r>
            <w:r w:rsidRPr="008D71E1">
              <w:rPr>
                <w:rFonts w:ascii="Arial Narrow" w:hAnsi="Arial Narrow"/>
                <w:b/>
                <w:sz w:val="20"/>
              </w:rPr>
              <w:t>roup</w:t>
            </w:r>
          </w:p>
        </w:tc>
        <w:tc>
          <w:tcPr>
            <w:tcW w:w="0" w:type="auto"/>
            <w:tcBorders>
              <w:bottom w:val="single" w:sz="4" w:space="0" w:color="auto"/>
            </w:tcBorders>
            <w:shd w:val="clear" w:color="auto" w:fill="auto"/>
          </w:tcPr>
          <w:p w14:paraId="0984BD02" w14:textId="77777777" w:rsidR="003C2E14" w:rsidRPr="008D71E1" w:rsidRDefault="003C2E14" w:rsidP="00F73B0A">
            <w:pPr>
              <w:rPr>
                <w:rFonts w:ascii="Arial Narrow" w:hAnsi="Arial Narrow"/>
                <w:b/>
                <w:sz w:val="20"/>
                <w:vertAlign w:val="superscript"/>
              </w:rPr>
            </w:pPr>
            <w:r w:rsidRPr="008D71E1">
              <w:rPr>
                <w:rFonts w:ascii="Arial Narrow" w:hAnsi="Arial Narrow"/>
                <w:b/>
                <w:sz w:val="20"/>
              </w:rPr>
              <w:t>Risk of bias</w:t>
            </w:r>
            <w:r w:rsidRPr="008D71E1">
              <w:rPr>
                <w:rFonts w:ascii="Arial Narrow" w:hAnsi="Arial Narrow"/>
                <w:b/>
                <w:sz w:val="20"/>
                <w:vertAlign w:val="superscript"/>
              </w:rPr>
              <w:t>b</w:t>
            </w:r>
          </w:p>
        </w:tc>
        <w:tc>
          <w:tcPr>
            <w:tcW w:w="2513" w:type="dxa"/>
            <w:tcBorders>
              <w:bottom w:val="single" w:sz="4" w:space="0" w:color="auto"/>
            </w:tcBorders>
            <w:shd w:val="clear" w:color="auto" w:fill="auto"/>
          </w:tcPr>
          <w:p w14:paraId="4453A65B" w14:textId="77777777" w:rsidR="003C2E14" w:rsidRPr="008D71E1" w:rsidRDefault="003C2E14" w:rsidP="00F73B0A">
            <w:pPr>
              <w:rPr>
                <w:rFonts w:ascii="Arial Narrow" w:hAnsi="Arial Narrow"/>
                <w:b/>
                <w:sz w:val="20"/>
                <w:vertAlign w:val="superscript"/>
              </w:rPr>
            </w:pPr>
            <w:r w:rsidRPr="008D71E1">
              <w:rPr>
                <w:rFonts w:ascii="Arial Narrow" w:hAnsi="Arial Narrow"/>
                <w:b/>
                <w:sz w:val="20"/>
              </w:rPr>
              <w:t>Outcomes</w:t>
            </w:r>
            <w:r w:rsidRPr="008D71E1">
              <w:rPr>
                <w:rFonts w:ascii="Arial Narrow" w:hAnsi="Arial Narrow"/>
                <w:b/>
                <w:sz w:val="20"/>
                <w:vertAlign w:val="superscript"/>
              </w:rPr>
              <w:t>c</w:t>
            </w:r>
          </w:p>
        </w:tc>
      </w:tr>
      <w:tr w:rsidR="003C2E14" w:rsidRPr="008D71E1" w14:paraId="663CD994" w14:textId="77777777" w:rsidTr="002D52C6">
        <w:tc>
          <w:tcPr>
            <w:tcW w:w="0" w:type="auto"/>
            <w:tcBorders>
              <w:top w:val="single" w:sz="4" w:space="0" w:color="auto"/>
              <w:left w:val="single" w:sz="4" w:space="0" w:color="auto"/>
              <w:bottom w:val="single" w:sz="4" w:space="0" w:color="auto"/>
              <w:right w:val="nil"/>
            </w:tcBorders>
            <w:shd w:val="clear" w:color="auto" w:fill="auto"/>
            <w:vAlign w:val="center"/>
          </w:tcPr>
          <w:p w14:paraId="22C812DC" w14:textId="77777777" w:rsidR="003C2E14" w:rsidRPr="003F70D2" w:rsidRDefault="003C2E14" w:rsidP="00F73B0A">
            <w:pPr>
              <w:pStyle w:val="Tabletext"/>
              <w:spacing w:before="0" w:after="0"/>
              <w:rPr>
                <w:b/>
              </w:rPr>
            </w:pPr>
            <w:r>
              <w:rPr>
                <w:b/>
              </w:rPr>
              <w:t>Sub</w:t>
            </w:r>
            <w:r w:rsidRPr="003E1F0F">
              <w:rPr>
                <w:b/>
              </w:rPr>
              <w:t>p</w:t>
            </w:r>
            <w:r w:rsidRPr="003F70D2">
              <w:rPr>
                <w:b/>
              </w:rPr>
              <w:t>opulation</w:t>
            </w:r>
            <w:r w:rsidRPr="003E1F0F">
              <w:rPr>
                <w:b/>
              </w:rPr>
              <w:t>:</w:t>
            </w:r>
          </w:p>
        </w:tc>
        <w:tc>
          <w:tcPr>
            <w:tcW w:w="0" w:type="auto"/>
            <w:tcBorders>
              <w:top w:val="single" w:sz="4" w:space="0" w:color="auto"/>
              <w:left w:val="nil"/>
              <w:bottom w:val="single" w:sz="4" w:space="0" w:color="auto"/>
              <w:right w:val="nil"/>
            </w:tcBorders>
            <w:shd w:val="clear" w:color="auto" w:fill="auto"/>
            <w:vAlign w:val="center"/>
          </w:tcPr>
          <w:p w14:paraId="708841E8" w14:textId="77777777" w:rsidR="003C2E14" w:rsidRPr="003F70D2" w:rsidRDefault="003C2E14" w:rsidP="00F73B0A">
            <w:pPr>
              <w:pStyle w:val="Tabletext"/>
              <w:spacing w:before="0" w:after="0"/>
              <w:rPr>
                <w:b/>
              </w:rPr>
            </w:pPr>
            <w:r w:rsidRPr="003F70D2">
              <w:rPr>
                <w:b/>
              </w:rPr>
              <w:t>PMPS</w:t>
            </w:r>
          </w:p>
        </w:tc>
        <w:tc>
          <w:tcPr>
            <w:tcW w:w="0" w:type="auto"/>
            <w:tcBorders>
              <w:top w:val="single" w:sz="4" w:space="0" w:color="auto"/>
              <w:left w:val="nil"/>
              <w:bottom w:val="single" w:sz="4" w:space="0" w:color="auto"/>
              <w:right w:val="nil"/>
            </w:tcBorders>
            <w:shd w:val="clear" w:color="auto" w:fill="auto"/>
            <w:vAlign w:val="center"/>
          </w:tcPr>
          <w:p w14:paraId="36556621" w14:textId="77777777" w:rsidR="003C2E14" w:rsidRPr="008D71E1" w:rsidRDefault="003C2E14" w:rsidP="00F73B0A">
            <w:pPr>
              <w:pStyle w:val="Tabletext"/>
              <w:spacing w:before="0" w:after="0"/>
            </w:pPr>
          </w:p>
        </w:tc>
        <w:tc>
          <w:tcPr>
            <w:tcW w:w="0" w:type="auto"/>
            <w:tcBorders>
              <w:top w:val="single" w:sz="4" w:space="0" w:color="auto"/>
              <w:left w:val="nil"/>
              <w:bottom w:val="single" w:sz="4" w:space="0" w:color="auto"/>
              <w:right w:val="nil"/>
            </w:tcBorders>
            <w:shd w:val="clear" w:color="auto" w:fill="auto"/>
          </w:tcPr>
          <w:p w14:paraId="053BDBC8" w14:textId="77777777" w:rsidR="003C2E14" w:rsidRPr="008D71E1" w:rsidRDefault="003C2E14" w:rsidP="00F73B0A">
            <w:pPr>
              <w:pStyle w:val="Tabletext"/>
              <w:spacing w:before="0" w:after="0"/>
            </w:pPr>
          </w:p>
        </w:tc>
        <w:tc>
          <w:tcPr>
            <w:tcW w:w="0" w:type="auto"/>
            <w:tcBorders>
              <w:top w:val="single" w:sz="4" w:space="0" w:color="auto"/>
              <w:left w:val="nil"/>
              <w:bottom w:val="single" w:sz="4" w:space="0" w:color="auto"/>
              <w:right w:val="nil"/>
            </w:tcBorders>
            <w:shd w:val="clear" w:color="auto" w:fill="auto"/>
            <w:vAlign w:val="center"/>
          </w:tcPr>
          <w:p w14:paraId="646B2853" w14:textId="77777777" w:rsidR="003C2E14" w:rsidRPr="008D71E1" w:rsidRDefault="003C2E14" w:rsidP="00F73B0A">
            <w:pPr>
              <w:pStyle w:val="Tabletext"/>
              <w:spacing w:before="0" w:after="0"/>
            </w:pPr>
          </w:p>
        </w:tc>
        <w:tc>
          <w:tcPr>
            <w:tcW w:w="0" w:type="auto"/>
            <w:tcBorders>
              <w:top w:val="single" w:sz="4" w:space="0" w:color="auto"/>
              <w:left w:val="nil"/>
              <w:bottom w:val="single" w:sz="4" w:space="0" w:color="auto"/>
              <w:right w:val="nil"/>
            </w:tcBorders>
            <w:shd w:val="clear" w:color="auto" w:fill="auto"/>
            <w:vAlign w:val="center"/>
          </w:tcPr>
          <w:p w14:paraId="7DF6D97B" w14:textId="77777777" w:rsidR="003C2E14" w:rsidRPr="008D71E1" w:rsidRDefault="003C2E14" w:rsidP="00F73B0A">
            <w:pPr>
              <w:pStyle w:val="Tabletext"/>
              <w:spacing w:before="0" w:after="0"/>
            </w:pPr>
          </w:p>
        </w:tc>
        <w:tc>
          <w:tcPr>
            <w:tcW w:w="0" w:type="auto"/>
            <w:tcBorders>
              <w:top w:val="single" w:sz="4" w:space="0" w:color="auto"/>
              <w:left w:val="nil"/>
              <w:bottom w:val="single" w:sz="4" w:space="0" w:color="auto"/>
              <w:right w:val="nil"/>
            </w:tcBorders>
            <w:shd w:val="clear" w:color="auto" w:fill="auto"/>
            <w:vAlign w:val="center"/>
          </w:tcPr>
          <w:p w14:paraId="02024204" w14:textId="77777777" w:rsidR="003C2E14" w:rsidRPr="008D71E1" w:rsidRDefault="003C2E14" w:rsidP="00F73B0A">
            <w:pPr>
              <w:pStyle w:val="Tabletext"/>
              <w:spacing w:before="0" w:after="0"/>
            </w:pPr>
          </w:p>
        </w:tc>
        <w:tc>
          <w:tcPr>
            <w:tcW w:w="2513" w:type="dxa"/>
            <w:tcBorders>
              <w:top w:val="single" w:sz="4" w:space="0" w:color="auto"/>
              <w:left w:val="nil"/>
              <w:bottom w:val="single" w:sz="4" w:space="0" w:color="auto"/>
              <w:right w:val="single" w:sz="4" w:space="0" w:color="auto"/>
            </w:tcBorders>
            <w:shd w:val="clear" w:color="auto" w:fill="auto"/>
            <w:vAlign w:val="center"/>
          </w:tcPr>
          <w:p w14:paraId="2BAB5085" w14:textId="77777777" w:rsidR="003C2E14" w:rsidRPr="008D71E1" w:rsidRDefault="003C2E14" w:rsidP="00F73B0A">
            <w:pPr>
              <w:pStyle w:val="Tabletext"/>
              <w:spacing w:before="0" w:after="0"/>
            </w:pPr>
          </w:p>
        </w:tc>
      </w:tr>
      <w:tr w:rsidR="003C2E14" w:rsidRPr="008D71E1" w14:paraId="1FA40F0C" w14:textId="77777777" w:rsidTr="002D52C6">
        <w:tc>
          <w:tcPr>
            <w:tcW w:w="0" w:type="auto"/>
            <w:tcBorders>
              <w:top w:val="single" w:sz="4" w:space="0" w:color="auto"/>
              <w:bottom w:val="double" w:sz="4" w:space="0" w:color="auto"/>
            </w:tcBorders>
            <w:shd w:val="clear" w:color="auto" w:fill="auto"/>
          </w:tcPr>
          <w:p w14:paraId="4773FCC0" w14:textId="77777777" w:rsidR="003C2E14" w:rsidRDefault="003C2E14" w:rsidP="00F73B0A">
            <w:pPr>
              <w:pStyle w:val="Tabletext"/>
              <w:spacing w:before="0" w:after="0"/>
            </w:pPr>
            <w:r w:rsidRPr="008D71E1">
              <w:t>Juhl 2016</w:t>
            </w:r>
          </w:p>
          <w:p w14:paraId="47B42080" w14:textId="77777777" w:rsidR="003C2E14" w:rsidRPr="008D71E1" w:rsidRDefault="003C2E14" w:rsidP="00F73B0A">
            <w:pPr>
              <w:pStyle w:val="Tabletext"/>
              <w:spacing w:before="0" w:after="0"/>
            </w:pPr>
            <w:r>
              <w:t>(Subpop. A1)</w:t>
            </w:r>
          </w:p>
        </w:tc>
        <w:tc>
          <w:tcPr>
            <w:tcW w:w="0" w:type="auto"/>
            <w:tcBorders>
              <w:top w:val="single" w:sz="4" w:space="0" w:color="auto"/>
              <w:bottom w:val="double" w:sz="4" w:space="0" w:color="auto"/>
            </w:tcBorders>
            <w:shd w:val="clear" w:color="auto" w:fill="auto"/>
          </w:tcPr>
          <w:p w14:paraId="644FA4AA" w14:textId="77777777" w:rsidR="003C2E14" w:rsidRPr="008D71E1" w:rsidRDefault="003C2E14" w:rsidP="00F73B0A">
            <w:pPr>
              <w:pStyle w:val="Tabletext"/>
              <w:spacing w:before="0" w:after="0"/>
            </w:pPr>
            <w:r w:rsidRPr="008D71E1">
              <w:t>RCT, open-label</w:t>
            </w:r>
          </w:p>
        </w:tc>
        <w:tc>
          <w:tcPr>
            <w:tcW w:w="0" w:type="auto"/>
            <w:tcBorders>
              <w:top w:val="single" w:sz="4" w:space="0" w:color="auto"/>
              <w:bottom w:val="double" w:sz="4" w:space="0" w:color="auto"/>
            </w:tcBorders>
            <w:shd w:val="clear" w:color="auto" w:fill="auto"/>
          </w:tcPr>
          <w:p w14:paraId="5E6D099D" w14:textId="77777777" w:rsidR="003C2E14" w:rsidRPr="008D71E1" w:rsidRDefault="003C2E14" w:rsidP="00F73B0A">
            <w:pPr>
              <w:pStyle w:val="Tabletext"/>
              <w:spacing w:before="0" w:after="0"/>
            </w:pPr>
            <w:r w:rsidRPr="008D71E1">
              <w:t>18</w:t>
            </w:r>
          </w:p>
        </w:tc>
        <w:tc>
          <w:tcPr>
            <w:tcW w:w="0" w:type="auto"/>
            <w:tcBorders>
              <w:top w:val="single" w:sz="4" w:space="0" w:color="auto"/>
              <w:bottom w:val="double" w:sz="4" w:space="0" w:color="auto"/>
            </w:tcBorders>
            <w:shd w:val="clear" w:color="auto" w:fill="auto"/>
          </w:tcPr>
          <w:p w14:paraId="1816AF8B" w14:textId="77777777" w:rsidR="003C2E14" w:rsidRPr="008D71E1" w:rsidRDefault="003C2E14" w:rsidP="00F73B0A">
            <w:pPr>
              <w:pStyle w:val="Tabletext"/>
              <w:spacing w:before="0" w:after="0"/>
              <w:rPr>
                <w:b/>
              </w:rPr>
            </w:pPr>
            <w:r w:rsidRPr="008D71E1">
              <w:t xml:space="preserve">Unilateral mastectomy for treating breast cancer, with or without radiotherapy, no reconstruction. Patients must have had ≥3 pain on the </w:t>
            </w:r>
            <w:r>
              <w:t>NRS</w:t>
            </w:r>
            <w:r w:rsidRPr="008D71E1">
              <w:t xml:space="preserve"> in the area of missing breast for ≥3 months</w:t>
            </w:r>
          </w:p>
        </w:tc>
        <w:tc>
          <w:tcPr>
            <w:tcW w:w="0" w:type="auto"/>
            <w:tcBorders>
              <w:top w:val="single" w:sz="4" w:space="0" w:color="auto"/>
              <w:bottom w:val="double" w:sz="4" w:space="0" w:color="auto"/>
            </w:tcBorders>
            <w:shd w:val="clear" w:color="auto" w:fill="auto"/>
          </w:tcPr>
          <w:p w14:paraId="3959235D" w14:textId="77777777" w:rsidR="003C2E14" w:rsidRPr="008D71E1" w:rsidRDefault="003C2E14" w:rsidP="00F73B0A">
            <w:pPr>
              <w:pStyle w:val="Tabletext"/>
              <w:spacing w:before="0" w:after="0"/>
            </w:pPr>
            <w:r w:rsidRPr="008D71E1">
              <w:t>AFG to the pain-inflicted area around the missing breast</w:t>
            </w:r>
          </w:p>
        </w:tc>
        <w:tc>
          <w:tcPr>
            <w:tcW w:w="0" w:type="auto"/>
            <w:tcBorders>
              <w:top w:val="single" w:sz="4" w:space="0" w:color="auto"/>
              <w:bottom w:val="double" w:sz="4" w:space="0" w:color="auto"/>
            </w:tcBorders>
            <w:shd w:val="clear" w:color="auto" w:fill="auto"/>
          </w:tcPr>
          <w:p w14:paraId="2BAE85A5" w14:textId="77777777" w:rsidR="003C2E14" w:rsidRPr="008D71E1" w:rsidRDefault="003C2E14" w:rsidP="00F73B0A">
            <w:pPr>
              <w:pStyle w:val="Tabletext"/>
              <w:spacing w:before="0" w:after="0"/>
            </w:pPr>
            <w:r w:rsidRPr="008D71E1">
              <w:t>BSC (usual pain management)</w:t>
            </w:r>
          </w:p>
        </w:tc>
        <w:tc>
          <w:tcPr>
            <w:tcW w:w="0" w:type="auto"/>
            <w:tcBorders>
              <w:top w:val="single" w:sz="4" w:space="0" w:color="auto"/>
              <w:bottom w:val="double" w:sz="4" w:space="0" w:color="auto"/>
            </w:tcBorders>
            <w:shd w:val="clear" w:color="auto" w:fill="auto"/>
          </w:tcPr>
          <w:p w14:paraId="6149E321" w14:textId="77777777" w:rsidR="003C2E14" w:rsidRPr="008D71E1" w:rsidRDefault="003C2E14" w:rsidP="00F73B0A">
            <w:pPr>
              <w:pStyle w:val="Tabletext"/>
              <w:spacing w:before="0" w:after="0"/>
            </w:pPr>
            <w:r w:rsidRPr="008D71E1">
              <w:t>Medium-high</w:t>
            </w:r>
          </w:p>
        </w:tc>
        <w:tc>
          <w:tcPr>
            <w:tcW w:w="2513" w:type="dxa"/>
            <w:tcBorders>
              <w:top w:val="single" w:sz="4" w:space="0" w:color="auto"/>
              <w:bottom w:val="double" w:sz="4" w:space="0" w:color="auto"/>
            </w:tcBorders>
            <w:shd w:val="clear" w:color="auto" w:fill="auto"/>
          </w:tcPr>
          <w:p w14:paraId="6A9B612C" w14:textId="77777777" w:rsidR="003C2E14" w:rsidRPr="008D71E1" w:rsidRDefault="003C2E14" w:rsidP="00F73B0A">
            <w:pPr>
              <w:pStyle w:val="Tabletext"/>
              <w:spacing w:before="0" w:after="0"/>
            </w:pPr>
            <w:r w:rsidRPr="008D71E1">
              <w:t>Pain outcomes</w:t>
            </w:r>
          </w:p>
          <w:p w14:paraId="65EBBC4F" w14:textId="77777777" w:rsidR="003C2E14" w:rsidRPr="008D71E1" w:rsidRDefault="003C2E14" w:rsidP="00F73B0A">
            <w:pPr>
              <w:pStyle w:val="Tabletext"/>
              <w:spacing w:before="0" w:after="0"/>
            </w:pPr>
            <w:r w:rsidRPr="008D71E1">
              <w:t>Scar outcomes</w:t>
            </w:r>
          </w:p>
        </w:tc>
      </w:tr>
      <w:tr w:rsidR="003C2E14" w:rsidRPr="008D71E1" w14:paraId="2F2B76DE" w14:textId="77777777" w:rsidTr="002D52C6">
        <w:tc>
          <w:tcPr>
            <w:tcW w:w="0" w:type="auto"/>
            <w:tcBorders>
              <w:top w:val="double" w:sz="4" w:space="0" w:color="auto"/>
            </w:tcBorders>
            <w:shd w:val="clear" w:color="auto" w:fill="auto"/>
          </w:tcPr>
          <w:p w14:paraId="73E20BDC" w14:textId="77777777" w:rsidR="003C2E14" w:rsidRDefault="003C2E14" w:rsidP="00F73B0A">
            <w:pPr>
              <w:pStyle w:val="Tabletext"/>
              <w:spacing w:before="0" w:after="0"/>
            </w:pPr>
            <w:r w:rsidRPr="008D71E1">
              <w:t>Caviggioli 2011</w:t>
            </w:r>
          </w:p>
          <w:p w14:paraId="41EDE238" w14:textId="77777777" w:rsidR="003C2E14" w:rsidRPr="008D71E1" w:rsidRDefault="003C2E14" w:rsidP="00F73B0A">
            <w:pPr>
              <w:pStyle w:val="Tabletext"/>
              <w:spacing w:before="0" w:after="0"/>
            </w:pPr>
            <w:r>
              <w:t>(Subpop. A2)</w:t>
            </w:r>
          </w:p>
        </w:tc>
        <w:tc>
          <w:tcPr>
            <w:tcW w:w="0" w:type="auto"/>
            <w:tcBorders>
              <w:top w:val="double" w:sz="4" w:space="0" w:color="auto"/>
            </w:tcBorders>
            <w:shd w:val="clear" w:color="auto" w:fill="auto"/>
          </w:tcPr>
          <w:p w14:paraId="5E0C5C61" w14:textId="77777777" w:rsidR="003C2E14" w:rsidRPr="008D71E1" w:rsidRDefault="003C2E14" w:rsidP="00F73B0A">
            <w:pPr>
              <w:pStyle w:val="Tabletext"/>
              <w:spacing w:before="0" w:after="0"/>
            </w:pPr>
            <w:r w:rsidRPr="008D71E1">
              <w:t>C, NM, R</w:t>
            </w:r>
          </w:p>
        </w:tc>
        <w:tc>
          <w:tcPr>
            <w:tcW w:w="0" w:type="auto"/>
            <w:tcBorders>
              <w:top w:val="double" w:sz="4" w:space="0" w:color="auto"/>
            </w:tcBorders>
            <w:shd w:val="clear" w:color="auto" w:fill="auto"/>
          </w:tcPr>
          <w:p w14:paraId="1B40CD82" w14:textId="77777777" w:rsidR="003C2E14" w:rsidRPr="008D71E1" w:rsidRDefault="003C2E14" w:rsidP="00F73B0A">
            <w:pPr>
              <w:pStyle w:val="Tabletext"/>
              <w:spacing w:before="0" w:after="0"/>
            </w:pPr>
            <w:r w:rsidRPr="008D71E1">
              <w:t>113</w:t>
            </w:r>
          </w:p>
        </w:tc>
        <w:tc>
          <w:tcPr>
            <w:tcW w:w="0" w:type="auto"/>
            <w:tcBorders>
              <w:top w:val="double" w:sz="4" w:space="0" w:color="auto"/>
            </w:tcBorders>
            <w:shd w:val="clear" w:color="auto" w:fill="auto"/>
          </w:tcPr>
          <w:p w14:paraId="2018A6A8" w14:textId="77777777" w:rsidR="003C2E14" w:rsidRPr="008D71E1" w:rsidRDefault="003C2E14" w:rsidP="00F73B0A">
            <w:pPr>
              <w:pStyle w:val="Tabletext"/>
              <w:spacing w:before="0" w:after="0"/>
              <w:rPr>
                <w:b/>
              </w:rPr>
            </w:pPr>
            <w:r w:rsidRPr="008D71E1">
              <w:t xml:space="preserve">Patients with severe scar retraction and </w:t>
            </w:r>
            <w:r>
              <w:t>PMPS</w:t>
            </w:r>
            <w:r w:rsidRPr="008D71E1">
              <w:t>. All patients had undergone mastectomy with axillary dissection and radiotherapy. All patients had prosthetic reconstruction</w:t>
            </w:r>
          </w:p>
        </w:tc>
        <w:tc>
          <w:tcPr>
            <w:tcW w:w="0" w:type="auto"/>
            <w:tcBorders>
              <w:top w:val="double" w:sz="4" w:space="0" w:color="auto"/>
            </w:tcBorders>
            <w:shd w:val="clear" w:color="auto" w:fill="auto"/>
          </w:tcPr>
          <w:p w14:paraId="6CBE37DF" w14:textId="77777777" w:rsidR="003C2E14" w:rsidRPr="008D71E1" w:rsidRDefault="003C2E14" w:rsidP="00F73B0A">
            <w:pPr>
              <w:pStyle w:val="Tabletext"/>
              <w:spacing w:before="0" w:after="0"/>
            </w:pPr>
            <w:r w:rsidRPr="008D71E1">
              <w:t xml:space="preserve">Patients with </w:t>
            </w:r>
            <w:r>
              <w:t>PMPS</w:t>
            </w:r>
            <w:r w:rsidRPr="008D71E1">
              <w:t xml:space="preserve"> who had been treated with AFG</w:t>
            </w:r>
          </w:p>
        </w:tc>
        <w:tc>
          <w:tcPr>
            <w:tcW w:w="0" w:type="auto"/>
            <w:tcBorders>
              <w:top w:val="double" w:sz="4" w:space="0" w:color="auto"/>
            </w:tcBorders>
            <w:shd w:val="clear" w:color="auto" w:fill="auto"/>
          </w:tcPr>
          <w:p w14:paraId="587252BB" w14:textId="77777777" w:rsidR="003C2E14" w:rsidRPr="008D71E1" w:rsidRDefault="003C2E14" w:rsidP="00F73B0A">
            <w:pPr>
              <w:pStyle w:val="Tabletext"/>
              <w:spacing w:before="0" w:after="0"/>
            </w:pPr>
            <w:r w:rsidRPr="008D71E1">
              <w:t xml:space="preserve">Patients with </w:t>
            </w:r>
            <w:r>
              <w:t>PMPS</w:t>
            </w:r>
            <w:r w:rsidRPr="008D71E1">
              <w:t xml:space="preserve"> who had not been treated with AFG</w:t>
            </w:r>
          </w:p>
        </w:tc>
        <w:tc>
          <w:tcPr>
            <w:tcW w:w="0" w:type="auto"/>
            <w:tcBorders>
              <w:top w:val="double" w:sz="4" w:space="0" w:color="auto"/>
            </w:tcBorders>
            <w:shd w:val="clear" w:color="auto" w:fill="auto"/>
          </w:tcPr>
          <w:p w14:paraId="34DCBF5A" w14:textId="77777777" w:rsidR="003C2E14" w:rsidRPr="008D71E1" w:rsidRDefault="003C2E14" w:rsidP="00F73B0A">
            <w:pPr>
              <w:pStyle w:val="Tabletext"/>
              <w:spacing w:before="0" w:after="0"/>
            </w:pPr>
            <w:r w:rsidRPr="008D71E1">
              <w:t>High</w:t>
            </w:r>
          </w:p>
        </w:tc>
        <w:tc>
          <w:tcPr>
            <w:tcW w:w="2513" w:type="dxa"/>
            <w:tcBorders>
              <w:top w:val="double" w:sz="4" w:space="0" w:color="auto"/>
            </w:tcBorders>
            <w:shd w:val="clear" w:color="auto" w:fill="auto"/>
          </w:tcPr>
          <w:p w14:paraId="13A5BD5C" w14:textId="77777777" w:rsidR="003C2E14" w:rsidRPr="008D71E1" w:rsidRDefault="003C2E14" w:rsidP="00F73B0A">
            <w:pPr>
              <w:pStyle w:val="Tabletext"/>
              <w:spacing w:before="0" w:after="0"/>
            </w:pPr>
            <w:r w:rsidRPr="008D71E1">
              <w:t>Pain outcomes</w:t>
            </w:r>
          </w:p>
          <w:p w14:paraId="585E27D8" w14:textId="77777777" w:rsidR="003C2E14" w:rsidRPr="000864E9" w:rsidRDefault="003C2E14" w:rsidP="00F73B0A">
            <w:pPr>
              <w:pStyle w:val="Tabletext"/>
              <w:spacing w:before="0" w:after="0"/>
              <w:rPr>
                <w:b/>
              </w:rPr>
            </w:pPr>
            <w:r w:rsidRPr="000864E9">
              <w:rPr>
                <w:b/>
              </w:rPr>
              <w:t>Analgesic use</w:t>
            </w:r>
          </w:p>
        </w:tc>
      </w:tr>
      <w:tr w:rsidR="003C2E14" w:rsidRPr="008D71E1" w14:paraId="2B9ACE71" w14:textId="77777777" w:rsidTr="002D52C6">
        <w:tc>
          <w:tcPr>
            <w:tcW w:w="0" w:type="auto"/>
            <w:tcBorders>
              <w:top w:val="single" w:sz="4" w:space="0" w:color="auto"/>
            </w:tcBorders>
            <w:shd w:val="clear" w:color="auto" w:fill="auto"/>
          </w:tcPr>
          <w:p w14:paraId="317BDD9E" w14:textId="77777777" w:rsidR="003C2E14" w:rsidRDefault="003C2E14" w:rsidP="00F73B0A">
            <w:pPr>
              <w:pStyle w:val="Tabletext"/>
              <w:spacing w:before="0" w:after="0"/>
            </w:pPr>
            <w:r w:rsidRPr="008D71E1">
              <w:t>Caviggioli 2016</w:t>
            </w:r>
          </w:p>
          <w:p w14:paraId="77F1CE5C" w14:textId="77777777" w:rsidR="003C2E14" w:rsidRPr="008D71E1" w:rsidRDefault="003C2E14" w:rsidP="00F73B0A">
            <w:pPr>
              <w:pStyle w:val="Tabletext"/>
              <w:spacing w:before="0" w:after="0"/>
            </w:pPr>
            <w:r>
              <w:t>(Subpop. A2 and A3)</w:t>
            </w:r>
          </w:p>
        </w:tc>
        <w:tc>
          <w:tcPr>
            <w:tcW w:w="0" w:type="auto"/>
            <w:tcBorders>
              <w:top w:val="single" w:sz="4" w:space="0" w:color="auto"/>
            </w:tcBorders>
            <w:shd w:val="clear" w:color="auto" w:fill="auto"/>
          </w:tcPr>
          <w:p w14:paraId="1286A911" w14:textId="77777777" w:rsidR="003C2E14" w:rsidRPr="008D71E1" w:rsidRDefault="003C2E14" w:rsidP="00F73B0A">
            <w:pPr>
              <w:pStyle w:val="Tabletext"/>
              <w:spacing w:before="0" w:after="0"/>
            </w:pPr>
            <w:r w:rsidRPr="008D71E1">
              <w:t>C, NM, R</w:t>
            </w:r>
          </w:p>
        </w:tc>
        <w:tc>
          <w:tcPr>
            <w:tcW w:w="0" w:type="auto"/>
            <w:tcBorders>
              <w:top w:val="single" w:sz="4" w:space="0" w:color="auto"/>
            </w:tcBorders>
            <w:shd w:val="clear" w:color="auto" w:fill="auto"/>
          </w:tcPr>
          <w:p w14:paraId="5310BE93" w14:textId="77777777" w:rsidR="003C2E14" w:rsidRPr="008D71E1" w:rsidRDefault="003C2E14" w:rsidP="00F73B0A">
            <w:pPr>
              <w:pStyle w:val="Tabletext"/>
              <w:spacing w:before="0" w:after="0"/>
            </w:pPr>
            <w:r>
              <w:t>190</w:t>
            </w:r>
          </w:p>
        </w:tc>
        <w:tc>
          <w:tcPr>
            <w:tcW w:w="0" w:type="auto"/>
            <w:tcBorders>
              <w:top w:val="single" w:sz="4" w:space="0" w:color="auto"/>
            </w:tcBorders>
            <w:shd w:val="clear" w:color="auto" w:fill="auto"/>
          </w:tcPr>
          <w:p w14:paraId="446BFF98" w14:textId="77777777" w:rsidR="003C2E14" w:rsidRPr="008D71E1" w:rsidRDefault="003C2E14" w:rsidP="00F73B0A">
            <w:pPr>
              <w:pStyle w:val="Tabletext"/>
              <w:spacing w:before="0" w:after="0"/>
              <w:rPr>
                <w:b/>
              </w:rPr>
            </w:pPr>
            <w:r w:rsidRPr="008D71E1">
              <w:t>Patients with severe scar retraction, radiodystrophy, and chronic pain meeting the definition of “</w:t>
            </w:r>
            <w:r>
              <w:t>PMPS</w:t>
            </w:r>
            <w:r w:rsidRPr="008D71E1">
              <w:t xml:space="preserve">”, who had undergone mastectomy with axillary dissection or BCS </w:t>
            </w:r>
            <w:r>
              <w:t>(</w:t>
            </w:r>
            <w:r w:rsidRPr="008D71E1">
              <w:t>quadrantectomy) followed by radiotherapy</w:t>
            </w:r>
          </w:p>
          <w:p w14:paraId="7E393D29" w14:textId="77777777" w:rsidR="003C2E14" w:rsidRPr="008D71E1" w:rsidRDefault="003C2E14" w:rsidP="00F73B0A">
            <w:pPr>
              <w:pStyle w:val="Tabletext"/>
              <w:spacing w:before="0" w:after="0"/>
            </w:pPr>
            <w:r w:rsidRPr="008D71E1">
              <w:t>Likely includes same mastectomy patients as Caviggioli 2011</w:t>
            </w:r>
            <w:r>
              <w:t xml:space="preserve"> and Maione 2014</w:t>
            </w:r>
          </w:p>
        </w:tc>
        <w:tc>
          <w:tcPr>
            <w:tcW w:w="0" w:type="auto"/>
            <w:tcBorders>
              <w:top w:val="single" w:sz="4" w:space="0" w:color="auto"/>
            </w:tcBorders>
            <w:shd w:val="clear" w:color="auto" w:fill="auto"/>
          </w:tcPr>
          <w:p w14:paraId="74EC5104" w14:textId="77777777" w:rsidR="003C2E14" w:rsidRPr="008D71E1" w:rsidRDefault="003C2E14" w:rsidP="00F73B0A">
            <w:pPr>
              <w:pStyle w:val="Tabletext"/>
              <w:spacing w:before="0" w:after="0"/>
            </w:pPr>
            <w:r w:rsidRPr="008D71E1">
              <w:t xml:space="preserve">Patients with </w:t>
            </w:r>
            <w:r>
              <w:t>PMPS</w:t>
            </w:r>
            <w:r w:rsidRPr="008D71E1">
              <w:t xml:space="preserve"> who had been treated with AFG</w:t>
            </w:r>
          </w:p>
        </w:tc>
        <w:tc>
          <w:tcPr>
            <w:tcW w:w="0" w:type="auto"/>
            <w:tcBorders>
              <w:top w:val="single" w:sz="4" w:space="0" w:color="auto"/>
            </w:tcBorders>
            <w:shd w:val="clear" w:color="auto" w:fill="auto"/>
          </w:tcPr>
          <w:p w14:paraId="28ED01DD" w14:textId="77777777" w:rsidR="003C2E14" w:rsidRPr="008D71E1" w:rsidRDefault="003C2E14" w:rsidP="00F73B0A">
            <w:pPr>
              <w:pStyle w:val="Tabletext"/>
              <w:spacing w:before="0" w:after="0"/>
            </w:pPr>
            <w:r w:rsidRPr="008D71E1">
              <w:t xml:space="preserve">Patients with </w:t>
            </w:r>
            <w:r>
              <w:t xml:space="preserve">PMPS </w:t>
            </w:r>
            <w:r w:rsidRPr="008D71E1">
              <w:t>who refused treatment with AFG</w:t>
            </w:r>
          </w:p>
        </w:tc>
        <w:tc>
          <w:tcPr>
            <w:tcW w:w="0" w:type="auto"/>
            <w:tcBorders>
              <w:top w:val="single" w:sz="4" w:space="0" w:color="auto"/>
            </w:tcBorders>
            <w:shd w:val="clear" w:color="auto" w:fill="auto"/>
          </w:tcPr>
          <w:p w14:paraId="276D350F" w14:textId="77777777" w:rsidR="003C2E14" w:rsidRPr="008D71E1" w:rsidRDefault="003C2E14" w:rsidP="00F73B0A">
            <w:pPr>
              <w:pStyle w:val="Tabletext"/>
              <w:spacing w:before="0" w:after="0"/>
            </w:pPr>
            <w:r w:rsidRPr="008D71E1">
              <w:t>High</w:t>
            </w:r>
          </w:p>
        </w:tc>
        <w:tc>
          <w:tcPr>
            <w:tcW w:w="2513" w:type="dxa"/>
            <w:tcBorders>
              <w:top w:val="single" w:sz="4" w:space="0" w:color="auto"/>
            </w:tcBorders>
            <w:shd w:val="clear" w:color="auto" w:fill="auto"/>
          </w:tcPr>
          <w:p w14:paraId="239935A6" w14:textId="77777777" w:rsidR="003C2E14" w:rsidRPr="008D71E1" w:rsidRDefault="003C2E14" w:rsidP="00F73B0A">
            <w:pPr>
              <w:pStyle w:val="Tabletext"/>
              <w:spacing w:before="0" w:after="0"/>
            </w:pPr>
            <w:r w:rsidRPr="008D71E1">
              <w:t>Pain outcomes</w:t>
            </w:r>
          </w:p>
          <w:p w14:paraId="47ABF9CB" w14:textId="77777777" w:rsidR="003C2E14" w:rsidRPr="000864E9" w:rsidRDefault="003C2E14" w:rsidP="00F73B0A">
            <w:pPr>
              <w:pStyle w:val="Tabletext"/>
              <w:spacing w:before="0" w:after="0"/>
              <w:rPr>
                <w:b/>
              </w:rPr>
            </w:pPr>
            <w:r w:rsidRPr="000864E9">
              <w:rPr>
                <w:b/>
              </w:rPr>
              <w:t>Analgesic use</w:t>
            </w:r>
          </w:p>
        </w:tc>
      </w:tr>
      <w:tr w:rsidR="003C2E14" w:rsidRPr="008D71E1" w14:paraId="4B8CB0D5" w14:textId="77777777" w:rsidTr="002D52C6">
        <w:tc>
          <w:tcPr>
            <w:tcW w:w="0" w:type="auto"/>
            <w:tcBorders>
              <w:top w:val="single" w:sz="4" w:space="0" w:color="auto"/>
              <w:bottom w:val="single" w:sz="4" w:space="0" w:color="auto"/>
            </w:tcBorders>
            <w:shd w:val="clear" w:color="auto" w:fill="auto"/>
          </w:tcPr>
          <w:p w14:paraId="6CEE9BE4" w14:textId="77777777" w:rsidR="003C2E14" w:rsidRDefault="003C2E14" w:rsidP="00F73B0A">
            <w:pPr>
              <w:pStyle w:val="Tabletext"/>
              <w:spacing w:before="0" w:after="0"/>
            </w:pPr>
            <w:r w:rsidRPr="008D71E1">
              <w:t>Maione 2014</w:t>
            </w:r>
          </w:p>
          <w:p w14:paraId="18DF67AD" w14:textId="77777777" w:rsidR="003C2E14" w:rsidRPr="008D71E1" w:rsidRDefault="003C2E14" w:rsidP="00F73B0A">
            <w:pPr>
              <w:pStyle w:val="Tabletext"/>
              <w:spacing w:before="0" w:after="0"/>
            </w:pPr>
            <w:r>
              <w:t>(Pop. A3)</w:t>
            </w:r>
          </w:p>
        </w:tc>
        <w:tc>
          <w:tcPr>
            <w:tcW w:w="0" w:type="auto"/>
            <w:tcBorders>
              <w:top w:val="single" w:sz="4" w:space="0" w:color="auto"/>
              <w:bottom w:val="single" w:sz="4" w:space="0" w:color="auto"/>
            </w:tcBorders>
            <w:shd w:val="clear" w:color="auto" w:fill="auto"/>
          </w:tcPr>
          <w:p w14:paraId="4D99166A" w14:textId="77777777" w:rsidR="003C2E14" w:rsidRPr="008D71E1" w:rsidRDefault="003C2E14" w:rsidP="00F73B0A">
            <w:pPr>
              <w:pStyle w:val="Tabletext"/>
              <w:spacing w:before="0" w:after="0"/>
            </w:pPr>
            <w:r w:rsidRPr="008D71E1">
              <w:t>C, NM, R</w:t>
            </w:r>
          </w:p>
        </w:tc>
        <w:tc>
          <w:tcPr>
            <w:tcW w:w="0" w:type="auto"/>
            <w:tcBorders>
              <w:top w:val="single" w:sz="4" w:space="0" w:color="auto"/>
              <w:bottom w:val="single" w:sz="4" w:space="0" w:color="auto"/>
            </w:tcBorders>
            <w:shd w:val="clear" w:color="auto" w:fill="auto"/>
          </w:tcPr>
          <w:p w14:paraId="04FDADB0" w14:textId="77777777" w:rsidR="003C2E14" w:rsidRPr="008D71E1" w:rsidRDefault="003C2E14" w:rsidP="00F73B0A">
            <w:pPr>
              <w:pStyle w:val="Tabletext"/>
              <w:spacing w:before="0" w:after="0"/>
            </w:pPr>
            <w:r w:rsidRPr="008D71E1">
              <w:t>96</w:t>
            </w:r>
          </w:p>
        </w:tc>
        <w:tc>
          <w:tcPr>
            <w:tcW w:w="0" w:type="auto"/>
            <w:tcBorders>
              <w:top w:val="single" w:sz="4" w:space="0" w:color="auto"/>
              <w:bottom w:val="single" w:sz="4" w:space="0" w:color="auto"/>
            </w:tcBorders>
            <w:shd w:val="clear" w:color="auto" w:fill="auto"/>
          </w:tcPr>
          <w:p w14:paraId="12FCEFDD" w14:textId="77777777" w:rsidR="003C2E14" w:rsidRPr="008D71E1" w:rsidRDefault="003C2E14" w:rsidP="00F73B0A">
            <w:pPr>
              <w:pStyle w:val="Tabletext"/>
              <w:spacing w:before="0" w:after="0"/>
              <w:rPr>
                <w:b/>
              </w:rPr>
            </w:pPr>
            <w:r w:rsidRPr="008D71E1">
              <w:t>Patients who had undergone BCS</w:t>
            </w:r>
            <w:r>
              <w:t xml:space="preserve"> (</w:t>
            </w:r>
            <w:r w:rsidRPr="008D71E1">
              <w:t>lumpectomy) and radiation therapy were considered for treatment of PMPS</w:t>
            </w:r>
          </w:p>
        </w:tc>
        <w:tc>
          <w:tcPr>
            <w:tcW w:w="0" w:type="auto"/>
            <w:tcBorders>
              <w:top w:val="single" w:sz="4" w:space="0" w:color="auto"/>
              <w:bottom w:val="single" w:sz="4" w:space="0" w:color="auto"/>
            </w:tcBorders>
            <w:shd w:val="clear" w:color="auto" w:fill="auto"/>
          </w:tcPr>
          <w:p w14:paraId="0C8AAA3C" w14:textId="77777777" w:rsidR="003C2E14" w:rsidRPr="008D71E1" w:rsidRDefault="003C2E14" w:rsidP="00F73B0A">
            <w:pPr>
              <w:pStyle w:val="Tabletext"/>
              <w:spacing w:before="0" w:after="0"/>
            </w:pPr>
            <w:r w:rsidRPr="008D71E1">
              <w:t>AFG</w:t>
            </w:r>
          </w:p>
        </w:tc>
        <w:tc>
          <w:tcPr>
            <w:tcW w:w="0" w:type="auto"/>
            <w:tcBorders>
              <w:top w:val="single" w:sz="4" w:space="0" w:color="auto"/>
              <w:bottom w:val="single" w:sz="4" w:space="0" w:color="auto"/>
            </w:tcBorders>
            <w:shd w:val="clear" w:color="auto" w:fill="auto"/>
          </w:tcPr>
          <w:p w14:paraId="3EB17512" w14:textId="77777777" w:rsidR="003C2E14" w:rsidRPr="008D71E1" w:rsidRDefault="003C2E14" w:rsidP="00F73B0A">
            <w:pPr>
              <w:pStyle w:val="Tabletext"/>
              <w:spacing w:before="0" w:after="0"/>
            </w:pPr>
            <w:r w:rsidRPr="008D71E1">
              <w:t>Patients who did not undergo any further surgical procedure</w:t>
            </w:r>
          </w:p>
        </w:tc>
        <w:tc>
          <w:tcPr>
            <w:tcW w:w="0" w:type="auto"/>
            <w:tcBorders>
              <w:top w:val="single" w:sz="4" w:space="0" w:color="auto"/>
              <w:bottom w:val="single" w:sz="4" w:space="0" w:color="auto"/>
            </w:tcBorders>
            <w:shd w:val="clear" w:color="auto" w:fill="auto"/>
          </w:tcPr>
          <w:p w14:paraId="38E51300" w14:textId="77777777" w:rsidR="003C2E14" w:rsidRPr="008D71E1" w:rsidRDefault="003C2E14" w:rsidP="00F73B0A">
            <w:pPr>
              <w:pStyle w:val="Tabletext"/>
              <w:spacing w:before="0" w:after="0"/>
            </w:pPr>
            <w:r w:rsidRPr="008D71E1">
              <w:t>High</w:t>
            </w:r>
          </w:p>
        </w:tc>
        <w:tc>
          <w:tcPr>
            <w:tcW w:w="2513" w:type="dxa"/>
            <w:tcBorders>
              <w:top w:val="single" w:sz="4" w:space="0" w:color="auto"/>
              <w:bottom w:val="single" w:sz="4" w:space="0" w:color="auto"/>
            </w:tcBorders>
            <w:shd w:val="clear" w:color="auto" w:fill="auto"/>
          </w:tcPr>
          <w:p w14:paraId="4716AA36" w14:textId="77777777" w:rsidR="003C2E14" w:rsidRPr="008D71E1" w:rsidRDefault="003C2E14" w:rsidP="00F73B0A">
            <w:pPr>
              <w:pStyle w:val="Tabletext"/>
              <w:spacing w:before="0" w:after="0"/>
            </w:pPr>
            <w:r w:rsidRPr="008D71E1">
              <w:t>Pain outcomes</w:t>
            </w:r>
          </w:p>
        </w:tc>
      </w:tr>
      <w:tr w:rsidR="003C2E14" w:rsidRPr="008D71E1" w14:paraId="0642F87A" w14:textId="77777777" w:rsidTr="002D52C6">
        <w:tc>
          <w:tcPr>
            <w:tcW w:w="0" w:type="auto"/>
            <w:tcBorders>
              <w:top w:val="single" w:sz="4" w:space="0" w:color="auto"/>
              <w:left w:val="single" w:sz="4" w:space="0" w:color="auto"/>
              <w:bottom w:val="single" w:sz="4" w:space="0" w:color="auto"/>
              <w:right w:val="nil"/>
            </w:tcBorders>
            <w:shd w:val="clear" w:color="auto" w:fill="auto"/>
            <w:vAlign w:val="center"/>
          </w:tcPr>
          <w:p w14:paraId="6F68C5B3" w14:textId="77777777" w:rsidR="003C2E14" w:rsidRPr="003F70D2" w:rsidRDefault="003C2E14" w:rsidP="00F73B0A">
            <w:pPr>
              <w:pStyle w:val="Tabletext"/>
              <w:spacing w:before="0" w:after="0"/>
              <w:rPr>
                <w:b/>
              </w:rPr>
            </w:pPr>
            <w:r>
              <w:rPr>
                <w:b/>
              </w:rPr>
              <w:t>Sub</w:t>
            </w:r>
            <w:r w:rsidRPr="003E1F0F">
              <w:rPr>
                <w:b/>
              </w:rPr>
              <w:t>p</w:t>
            </w:r>
            <w:r w:rsidRPr="003F70D2">
              <w:rPr>
                <w:b/>
              </w:rPr>
              <w:t>opulation</w:t>
            </w:r>
            <w:r>
              <w:rPr>
                <w:b/>
              </w:rPr>
              <w:t>:</w:t>
            </w:r>
          </w:p>
        </w:tc>
        <w:tc>
          <w:tcPr>
            <w:tcW w:w="0" w:type="auto"/>
            <w:tcBorders>
              <w:top w:val="single" w:sz="4" w:space="0" w:color="auto"/>
              <w:left w:val="nil"/>
              <w:bottom w:val="single" w:sz="4" w:space="0" w:color="auto"/>
              <w:right w:val="nil"/>
            </w:tcBorders>
            <w:shd w:val="clear" w:color="auto" w:fill="auto"/>
            <w:vAlign w:val="center"/>
          </w:tcPr>
          <w:p w14:paraId="21755A91" w14:textId="77777777" w:rsidR="003C2E14" w:rsidRPr="003F70D2" w:rsidRDefault="003C2E14" w:rsidP="00F73B0A">
            <w:pPr>
              <w:pStyle w:val="Tabletext"/>
              <w:spacing w:before="0" w:after="0"/>
              <w:rPr>
                <w:b/>
              </w:rPr>
            </w:pPr>
            <w:r w:rsidRPr="003F70D2">
              <w:rPr>
                <w:b/>
              </w:rPr>
              <w:t>A1</w:t>
            </w:r>
          </w:p>
        </w:tc>
        <w:tc>
          <w:tcPr>
            <w:tcW w:w="0" w:type="auto"/>
            <w:tcBorders>
              <w:top w:val="single" w:sz="4" w:space="0" w:color="auto"/>
              <w:left w:val="nil"/>
              <w:bottom w:val="single" w:sz="4" w:space="0" w:color="auto"/>
              <w:right w:val="nil"/>
            </w:tcBorders>
            <w:shd w:val="clear" w:color="auto" w:fill="auto"/>
            <w:vAlign w:val="center"/>
          </w:tcPr>
          <w:p w14:paraId="2E202DF1" w14:textId="77777777" w:rsidR="003C2E14" w:rsidRPr="008D71E1" w:rsidRDefault="003C2E14" w:rsidP="00F73B0A">
            <w:pPr>
              <w:pStyle w:val="Tabletext"/>
              <w:spacing w:before="0" w:after="0"/>
            </w:pPr>
          </w:p>
        </w:tc>
        <w:tc>
          <w:tcPr>
            <w:tcW w:w="0" w:type="auto"/>
            <w:tcBorders>
              <w:top w:val="single" w:sz="4" w:space="0" w:color="auto"/>
              <w:left w:val="nil"/>
              <w:bottom w:val="single" w:sz="4" w:space="0" w:color="auto"/>
              <w:right w:val="nil"/>
            </w:tcBorders>
            <w:shd w:val="clear" w:color="auto" w:fill="auto"/>
          </w:tcPr>
          <w:p w14:paraId="238F320C" w14:textId="77777777" w:rsidR="003C2E14" w:rsidRPr="008D71E1" w:rsidRDefault="003C2E14" w:rsidP="00F73B0A">
            <w:pPr>
              <w:pStyle w:val="Tabletext"/>
              <w:spacing w:before="0" w:after="0"/>
            </w:pPr>
          </w:p>
        </w:tc>
        <w:tc>
          <w:tcPr>
            <w:tcW w:w="0" w:type="auto"/>
            <w:tcBorders>
              <w:top w:val="single" w:sz="4" w:space="0" w:color="auto"/>
              <w:left w:val="nil"/>
              <w:bottom w:val="single" w:sz="4" w:space="0" w:color="auto"/>
              <w:right w:val="nil"/>
            </w:tcBorders>
            <w:shd w:val="clear" w:color="auto" w:fill="auto"/>
            <w:vAlign w:val="center"/>
          </w:tcPr>
          <w:p w14:paraId="477FB260" w14:textId="77777777" w:rsidR="003C2E14" w:rsidRPr="008D71E1" w:rsidRDefault="003C2E14" w:rsidP="00F73B0A">
            <w:pPr>
              <w:pStyle w:val="Tabletext"/>
              <w:spacing w:before="0" w:after="0"/>
            </w:pPr>
          </w:p>
        </w:tc>
        <w:tc>
          <w:tcPr>
            <w:tcW w:w="0" w:type="auto"/>
            <w:tcBorders>
              <w:top w:val="single" w:sz="4" w:space="0" w:color="auto"/>
              <w:left w:val="nil"/>
              <w:bottom w:val="single" w:sz="4" w:space="0" w:color="auto"/>
              <w:right w:val="nil"/>
            </w:tcBorders>
            <w:shd w:val="clear" w:color="auto" w:fill="auto"/>
            <w:vAlign w:val="center"/>
          </w:tcPr>
          <w:p w14:paraId="08EAF9AD" w14:textId="77777777" w:rsidR="003C2E14" w:rsidRPr="008D71E1" w:rsidRDefault="003C2E14" w:rsidP="00F73B0A">
            <w:pPr>
              <w:pStyle w:val="Tabletext"/>
              <w:spacing w:before="0" w:after="0"/>
            </w:pPr>
          </w:p>
        </w:tc>
        <w:tc>
          <w:tcPr>
            <w:tcW w:w="0" w:type="auto"/>
            <w:tcBorders>
              <w:top w:val="single" w:sz="4" w:space="0" w:color="auto"/>
              <w:left w:val="nil"/>
              <w:bottom w:val="single" w:sz="4" w:space="0" w:color="auto"/>
              <w:right w:val="nil"/>
            </w:tcBorders>
            <w:shd w:val="clear" w:color="auto" w:fill="auto"/>
            <w:vAlign w:val="center"/>
          </w:tcPr>
          <w:p w14:paraId="39790B6F" w14:textId="77777777" w:rsidR="003C2E14" w:rsidRPr="008D71E1" w:rsidRDefault="003C2E14" w:rsidP="00F73B0A">
            <w:pPr>
              <w:pStyle w:val="Tabletext"/>
              <w:spacing w:before="0" w:after="0"/>
            </w:pPr>
          </w:p>
        </w:tc>
        <w:tc>
          <w:tcPr>
            <w:tcW w:w="2513" w:type="dxa"/>
            <w:tcBorders>
              <w:top w:val="single" w:sz="4" w:space="0" w:color="auto"/>
              <w:left w:val="nil"/>
              <w:bottom w:val="single" w:sz="4" w:space="0" w:color="auto"/>
              <w:right w:val="single" w:sz="4" w:space="0" w:color="auto"/>
            </w:tcBorders>
            <w:shd w:val="clear" w:color="auto" w:fill="auto"/>
            <w:vAlign w:val="center"/>
          </w:tcPr>
          <w:p w14:paraId="73B873E4" w14:textId="77777777" w:rsidR="003C2E14" w:rsidRPr="008D71E1" w:rsidRDefault="003C2E14" w:rsidP="00F73B0A">
            <w:pPr>
              <w:pStyle w:val="Tabletext"/>
              <w:spacing w:before="0" w:after="0"/>
            </w:pPr>
          </w:p>
        </w:tc>
      </w:tr>
      <w:tr w:rsidR="003C2E14" w:rsidRPr="008D71E1" w14:paraId="5F0C4388" w14:textId="77777777" w:rsidTr="002D52C6">
        <w:tc>
          <w:tcPr>
            <w:tcW w:w="0" w:type="auto"/>
            <w:tcBorders>
              <w:top w:val="single" w:sz="4" w:space="0" w:color="auto"/>
              <w:bottom w:val="single" w:sz="4" w:space="0" w:color="auto"/>
            </w:tcBorders>
            <w:shd w:val="clear" w:color="auto" w:fill="auto"/>
          </w:tcPr>
          <w:p w14:paraId="52432388" w14:textId="77777777" w:rsidR="003C2E14" w:rsidRDefault="003C2E14" w:rsidP="00F73B0A">
            <w:pPr>
              <w:pStyle w:val="Tabletext"/>
              <w:spacing w:before="0" w:after="0"/>
            </w:pPr>
            <w:r w:rsidRPr="008D71E1">
              <w:t>Calabrese 2018</w:t>
            </w:r>
          </w:p>
        </w:tc>
        <w:tc>
          <w:tcPr>
            <w:tcW w:w="0" w:type="auto"/>
            <w:tcBorders>
              <w:top w:val="single" w:sz="4" w:space="0" w:color="auto"/>
              <w:bottom w:val="single" w:sz="4" w:space="0" w:color="auto"/>
            </w:tcBorders>
            <w:shd w:val="clear" w:color="auto" w:fill="auto"/>
          </w:tcPr>
          <w:p w14:paraId="74B6EF9F" w14:textId="77777777" w:rsidR="003C2E14" w:rsidRDefault="003C2E14" w:rsidP="00F73B0A">
            <w:pPr>
              <w:pStyle w:val="Tabletext"/>
              <w:spacing w:before="0" w:after="0"/>
            </w:pPr>
            <w:r w:rsidRPr="008D71E1">
              <w:t>C, NM, P</w:t>
            </w:r>
          </w:p>
        </w:tc>
        <w:tc>
          <w:tcPr>
            <w:tcW w:w="0" w:type="auto"/>
            <w:tcBorders>
              <w:top w:val="single" w:sz="4" w:space="0" w:color="auto"/>
              <w:bottom w:val="single" w:sz="4" w:space="0" w:color="auto"/>
            </w:tcBorders>
            <w:shd w:val="clear" w:color="auto" w:fill="auto"/>
          </w:tcPr>
          <w:p w14:paraId="29139116" w14:textId="77777777" w:rsidR="003C2E14" w:rsidRPr="008D71E1" w:rsidRDefault="003C2E14" w:rsidP="00F73B0A">
            <w:pPr>
              <w:pStyle w:val="Tabletext"/>
              <w:spacing w:before="0" w:after="0"/>
            </w:pPr>
            <w:r w:rsidRPr="008D71E1">
              <w:t>169</w:t>
            </w:r>
          </w:p>
        </w:tc>
        <w:tc>
          <w:tcPr>
            <w:tcW w:w="0" w:type="auto"/>
            <w:tcBorders>
              <w:top w:val="single" w:sz="4" w:space="0" w:color="auto"/>
              <w:bottom w:val="single" w:sz="4" w:space="0" w:color="auto"/>
            </w:tcBorders>
            <w:shd w:val="clear" w:color="auto" w:fill="auto"/>
          </w:tcPr>
          <w:p w14:paraId="6EB1C93D" w14:textId="77777777" w:rsidR="003C2E14" w:rsidRPr="008D71E1" w:rsidRDefault="003C2E14" w:rsidP="00F73B0A">
            <w:pPr>
              <w:pStyle w:val="Tabletext"/>
              <w:spacing w:before="0" w:after="0"/>
            </w:pPr>
            <w:r w:rsidRPr="008D71E1">
              <w:t xml:space="preserve">Patients diagnosed for breast cancer, who underwent </w:t>
            </w:r>
            <w:r>
              <w:t>NSM</w:t>
            </w:r>
            <w:r w:rsidRPr="008D71E1">
              <w:t xml:space="preserve"> with two-stage breast reconstruction </w:t>
            </w:r>
          </w:p>
        </w:tc>
        <w:tc>
          <w:tcPr>
            <w:tcW w:w="0" w:type="auto"/>
            <w:tcBorders>
              <w:top w:val="single" w:sz="4" w:space="0" w:color="auto"/>
              <w:bottom w:val="single" w:sz="4" w:space="0" w:color="auto"/>
            </w:tcBorders>
            <w:shd w:val="clear" w:color="auto" w:fill="auto"/>
          </w:tcPr>
          <w:p w14:paraId="3582179B" w14:textId="77777777" w:rsidR="003C2E14" w:rsidRPr="008D71E1" w:rsidRDefault="003C2E14" w:rsidP="00F73B0A">
            <w:pPr>
              <w:rPr>
                <w:rFonts w:ascii="Arial Narrow" w:hAnsi="Arial Narrow"/>
                <w:sz w:val="20"/>
              </w:rPr>
            </w:pPr>
            <w:r w:rsidRPr="008D71E1">
              <w:rPr>
                <w:rFonts w:ascii="Arial Narrow" w:hAnsi="Arial Narrow"/>
                <w:sz w:val="20"/>
              </w:rPr>
              <w:t>AFG at the time of second stage reconstruction (during the expander/ implant exchange)</w:t>
            </w:r>
          </w:p>
          <w:p w14:paraId="5AD06541" w14:textId="77777777" w:rsidR="003C2E14" w:rsidRPr="008D71E1" w:rsidRDefault="003C2E14" w:rsidP="00F73B0A">
            <w:pPr>
              <w:pStyle w:val="Tabletext"/>
              <w:spacing w:before="0" w:after="0"/>
            </w:pPr>
            <w:r w:rsidRPr="008D71E1">
              <w:t xml:space="preserve">Two groups: (1) AFG enriched with </w:t>
            </w:r>
            <w:r>
              <w:t>SVF</w:t>
            </w:r>
            <w:r w:rsidRPr="008D71E1">
              <w:t xml:space="preserve"> (SVF+AFG) and (2) standard (Coleman) AFG</w:t>
            </w:r>
          </w:p>
        </w:tc>
        <w:tc>
          <w:tcPr>
            <w:tcW w:w="0" w:type="auto"/>
            <w:tcBorders>
              <w:top w:val="single" w:sz="4" w:space="0" w:color="auto"/>
              <w:bottom w:val="single" w:sz="4" w:space="0" w:color="auto"/>
            </w:tcBorders>
            <w:shd w:val="clear" w:color="auto" w:fill="auto"/>
          </w:tcPr>
          <w:p w14:paraId="07C9678D" w14:textId="77777777" w:rsidR="003C2E14" w:rsidRPr="008D71E1" w:rsidRDefault="003C2E14" w:rsidP="00F73B0A">
            <w:pPr>
              <w:pStyle w:val="Tabletext"/>
              <w:spacing w:before="0" w:after="0"/>
            </w:pPr>
            <w:r w:rsidRPr="008D71E1">
              <w:t xml:space="preserve">No AFG (did not require it) at the time of second stage reconstruction (during the expander/ implant exchange) </w:t>
            </w:r>
          </w:p>
        </w:tc>
        <w:tc>
          <w:tcPr>
            <w:tcW w:w="0" w:type="auto"/>
            <w:tcBorders>
              <w:top w:val="single" w:sz="4" w:space="0" w:color="auto"/>
              <w:bottom w:val="single" w:sz="4" w:space="0" w:color="auto"/>
            </w:tcBorders>
            <w:shd w:val="clear" w:color="auto" w:fill="auto"/>
          </w:tcPr>
          <w:p w14:paraId="54964624" w14:textId="77777777" w:rsidR="003C2E14" w:rsidRPr="008D71E1" w:rsidRDefault="003C2E14" w:rsidP="00F73B0A">
            <w:pPr>
              <w:pStyle w:val="Tabletext"/>
              <w:spacing w:before="0" w:after="0"/>
            </w:pPr>
            <w:r w:rsidRPr="008D71E1">
              <w:t>Medium-high</w:t>
            </w:r>
          </w:p>
        </w:tc>
        <w:tc>
          <w:tcPr>
            <w:tcW w:w="2513" w:type="dxa"/>
            <w:tcBorders>
              <w:top w:val="single" w:sz="4" w:space="0" w:color="auto"/>
              <w:bottom w:val="single" w:sz="4" w:space="0" w:color="auto"/>
            </w:tcBorders>
            <w:shd w:val="clear" w:color="auto" w:fill="auto"/>
          </w:tcPr>
          <w:p w14:paraId="240DBC94" w14:textId="77777777" w:rsidR="003C2E14" w:rsidRPr="008D71E1" w:rsidRDefault="003C2E14" w:rsidP="00F73B0A">
            <w:pPr>
              <w:rPr>
                <w:rFonts w:ascii="Arial Narrow" w:hAnsi="Arial Narrow"/>
                <w:sz w:val="20"/>
              </w:rPr>
            </w:pPr>
            <w:r>
              <w:rPr>
                <w:rFonts w:ascii="Arial Narrow" w:hAnsi="Arial Narrow"/>
                <w:sz w:val="20"/>
              </w:rPr>
              <w:t>Loco</w:t>
            </w:r>
            <w:r w:rsidRPr="008D71E1">
              <w:rPr>
                <w:rFonts w:ascii="Arial Narrow" w:hAnsi="Arial Narrow"/>
                <w:sz w:val="20"/>
              </w:rPr>
              <w:t>regional recurrence</w:t>
            </w:r>
          </w:p>
          <w:p w14:paraId="3E084A04" w14:textId="77777777" w:rsidR="003C2E14" w:rsidRPr="008D71E1" w:rsidRDefault="003C2E14" w:rsidP="00F73B0A">
            <w:pPr>
              <w:pStyle w:val="Tabletext"/>
              <w:spacing w:before="0" w:after="0"/>
            </w:pPr>
            <w:r w:rsidRPr="008D71E1">
              <w:t>Systemic recurrence</w:t>
            </w:r>
          </w:p>
        </w:tc>
      </w:tr>
      <w:tr w:rsidR="003C2E14" w:rsidRPr="008D71E1" w14:paraId="18498000" w14:textId="77777777" w:rsidTr="002D52C6">
        <w:tc>
          <w:tcPr>
            <w:tcW w:w="0" w:type="auto"/>
            <w:tcBorders>
              <w:top w:val="single" w:sz="4" w:space="0" w:color="auto"/>
              <w:bottom w:val="single" w:sz="4" w:space="0" w:color="auto"/>
            </w:tcBorders>
            <w:shd w:val="clear" w:color="auto" w:fill="auto"/>
          </w:tcPr>
          <w:p w14:paraId="7487AE91" w14:textId="77777777" w:rsidR="003C2E14" w:rsidRDefault="003C2E14" w:rsidP="00F73B0A">
            <w:pPr>
              <w:pStyle w:val="Tabletext"/>
              <w:spacing w:before="0" w:after="0"/>
            </w:pPr>
            <w:r w:rsidRPr="008D71E1">
              <w:t>Cuomo 2014</w:t>
            </w:r>
          </w:p>
        </w:tc>
        <w:tc>
          <w:tcPr>
            <w:tcW w:w="0" w:type="auto"/>
            <w:tcBorders>
              <w:top w:val="single" w:sz="4" w:space="0" w:color="auto"/>
              <w:bottom w:val="single" w:sz="4" w:space="0" w:color="auto"/>
            </w:tcBorders>
            <w:shd w:val="clear" w:color="auto" w:fill="auto"/>
          </w:tcPr>
          <w:p w14:paraId="1440DBAD" w14:textId="77777777" w:rsidR="003C2E14" w:rsidRDefault="003C2E14" w:rsidP="00F73B0A">
            <w:pPr>
              <w:pStyle w:val="Tabletext"/>
              <w:spacing w:before="0" w:after="0"/>
            </w:pPr>
            <w:r w:rsidRPr="008D71E1">
              <w:t>C, NM, R</w:t>
            </w:r>
          </w:p>
        </w:tc>
        <w:tc>
          <w:tcPr>
            <w:tcW w:w="0" w:type="auto"/>
            <w:tcBorders>
              <w:top w:val="single" w:sz="4" w:space="0" w:color="auto"/>
              <w:bottom w:val="single" w:sz="4" w:space="0" w:color="auto"/>
            </w:tcBorders>
            <w:shd w:val="clear" w:color="auto" w:fill="auto"/>
          </w:tcPr>
          <w:p w14:paraId="17383E03" w14:textId="77777777" w:rsidR="003C2E14" w:rsidRPr="008D71E1" w:rsidRDefault="003C2E14" w:rsidP="00F73B0A">
            <w:pPr>
              <w:pStyle w:val="Tabletext"/>
              <w:spacing w:before="0" w:after="0"/>
            </w:pPr>
            <w:r w:rsidRPr="008D71E1">
              <w:t>55</w:t>
            </w:r>
          </w:p>
        </w:tc>
        <w:tc>
          <w:tcPr>
            <w:tcW w:w="0" w:type="auto"/>
            <w:tcBorders>
              <w:top w:val="single" w:sz="4" w:space="0" w:color="auto"/>
              <w:bottom w:val="single" w:sz="4" w:space="0" w:color="auto"/>
            </w:tcBorders>
            <w:shd w:val="clear" w:color="auto" w:fill="auto"/>
          </w:tcPr>
          <w:p w14:paraId="63AFBB79" w14:textId="77777777" w:rsidR="003C2E14" w:rsidRPr="008D71E1" w:rsidRDefault="003C2E14" w:rsidP="00F73B0A">
            <w:pPr>
              <w:pStyle w:val="Tabletext"/>
              <w:spacing w:before="0" w:after="0"/>
            </w:pPr>
            <w:r w:rsidRPr="008D71E1">
              <w:t xml:space="preserve">All patients who had radical mastectomy without axillary dissection in order to treat breast cancer, with prosthetic reconstruction </w:t>
            </w:r>
          </w:p>
        </w:tc>
        <w:tc>
          <w:tcPr>
            <w:tcW w:w="0" w:type="auto"/>
            <w:tcBorders>
              <w:top w:val="single" w:sz="4" w:space="0" w:color="auto"/>
              <w:bottom w:val="single" w:sz="4" w:space="0" w:color="auto"/>
            </w:tcBorders>
            <w:shd w:val="clear" w:color="auto" w:fill="auto"/>
          </w:tcPr>
          <w:p w14:paraId="67B80E9C" w14:textId="77777777" w:rsidR="003C2E14" w:rsidRPr="008D71E1" w:rsidRDefault="003C2E14" w:rsidP="00F73B0A">
            <w:pPr>
              <w:pStyle w:val="Tabletext"/>
              <w:spacing w:before="0" w:after="0"/>
            </w:pPr>
            <w:r w:rsidRPr="008D71E1">
              <w:t>AFG in conjunction with prosthetic reconstruction</w:t>
            </w:r>
          </w:p>
        </w:tc>
        <w:tc>
          <w:tcPr>
            <w:tcW w:w="0" w:type="auto"/>
            <w:tcBorders>
              <w:top w:val="single" w:sz="4" w:space="0" w:color="auto"/>
              <w:bottom w:val="single" w:sz="4" w:space="0" w:color="auto"/>
            </w:tcBorders>
            <w:shd w:val="clear" w:color="auto" w:fill="auto"/>
          </w:tcPr>
          <w:p w14:paraId="1B1567F7" w14:textId="77777777" w:rsidR="003C2E14" w:rsidRPr="008D71E1" w:rsidRDefault="003C2E14" w:rsidP="00F73B0A">
            <w:pPr>
              <w:pStyle w:val="Tabletext"/>
              <w:spacing w:before="0" w:after="0"/>
            </w:pPr>
            <w:r w:rsidRPr="008D71E1">
              <w:t>Prosthetic reconstruction alone</w:t>
            </w:r>
          </w:p>
        </w:tc>
        <w:tc>
          <w:tcPr>
            <w:tcW w:w="0" w:type="auto"/>
            <w:tcBorders>
              <w:top w:val="single" w:sz="4" w:space="0" w:color="auto"/>
              <w:bottom w:val="single" w:sz="4" w:space="0" w:color="auto"/>
            </w:tcBorders>
            <w:shd w:val="clear" w:color="auto" w:fill="auto"/>
          </w:tcPr>
          <w:p w14:paraId="1F423AC9" w14:textId="77777777" w:rsidR="003C2E14" w:rsidRPr="008D71E1" w:rsidRDefault="003C2E14" w:rsidP="00F73B0A">
            <w:pPr>
              <w:pStyle w:val="Tabletext"/>
              <w:spacing w:before="0" w:after="0"/>
            </w:pPr>
            <w:r w:rsidRPr="008D71E1">
              <w:t>High</w:t>
            </w:r>
          </w:p>
        </w:tc>
        <w:tc>
          <w:tcPr>
            <w:tcW w:w="2513" w:type="dxa"/>
            <w:tcBorders>
              <w:top w:val="single" w:sz="4" w:space="0" w:color="auto"/>
              <w:bottom w:val="single" w:sz="4" w:space="0" w:color="auto"/>
            </w:tcBorders>
            <w:shd w:val="clear" w:color="auto" w:fill="auto"/>
          </w:tcPr>
          <w:p w14:paraId="4AD5F282" w14:textId="77777777" w:rsidR="003C2E14" w:rsidRPr="008D71E1" w:rsidRDefault="003C2E14" w:rsidP="00F73B0A">
            <w:pPr>
              <w:rPr>
                <w:rFonts w:ascii="Arial Narrow" w:hAnsi="Arial Narrow"/>
                <w:sz w:val="20"/>
              </w:rPr>
            </w:pPr>
            <w:r w:rsidRPr="008D71E1">
              <w:rPr>
                <w:rFonts w:ascii="Arial Narrow" w:hAnsi="Arial Narrow"/>
                <w:sz w:val="20"/>
              </w:rPr>
              <w:t>Pain outcomes</w:t>
            </w:r>
          </w:p>
          <w:p w14:paraId="0CC535A1" w14:textId="77777777" w:rsidR="003C2E14" w:rsidRPr="008D71E1" w:rsidRDefault="003C2E14" w:rsidP="00F73B0A">
            <w:pPr>
              <w:rPr>
                <w:rFonts w:ascii="Arial Narrow" w:hAnsi="Arial Narrow"/>
                <w:sz w:val="20"/>
              </w:rPr>
            </w:pPr>
            <w:r w:rsidRPr="008D71E1">
              <w:rPr>
                <w:rFonts w:ascii="Arial Narrow" w:hAnsi="Arial Narrow"/>
                <w:sz w:val="20"/>
              </w:rPr>
              <w:t>Analgesic use</w:t>
            </w:r>
          </w:p>
          <w:p w14:paraId="04A71126" w14:textId="77777777" w:rsidR="003C2E14" w:rsidRPr="008D71E1" w:rsidRDefault="003C2E14" w:rsidP="00F73B0A">
            <w:pPr>
              <w:pStyle w:val="Tabletext"/>
              <w:spacing w:before="0" w:after="0"/>
            </w:pPr>
            <w:r w:rsidRPr="008D71E1">
              <w:t>Complications</w:t>
            </w:r>
          </w:p>
        </w:tc>
      </w:tr>
      <w:tr w:rsidR="003C2E14" w:rsidRPr="008D71E1" w14:paraId="1E79CCDF" w14:textId="77777777" w:rsidTr="002D52C6">
        <w:tc>
          <w:tcPr>
            <w:tcW w:w="0" w:type="auto"/>
            <w:tcBorders>
              <w:top w:val="single" w:sz="4" w:space="0" w:color="auto"/>
              <w:bottom w:val="single" w:sz="4" w:space="0" w:color="auto"/>
            </w:tcBorders>
            <w:shd w:val="clear" w:color="auto" w:fill="auto"/>
          </w:tcPr>
          <w:p w14:paraId="56C04562" w14:textId="77777777" w:rsidR="003C2E14" w:rsidRDefault="003C2E14" w:rsidP="00F73B0A">
            <w:pPr>
              <w:pStyle w:val="Tabletext"/>
              <w:spacing w:before="0" w:after="0"/>
            </w:pPr>
            <w:r w:rsidRPr="008D71E1">
              <w:t>Ribuffo 2013</w:t>
            </w:r>
          </w:p>
        </w:tc>
        <w:tc>
          <w:tcPr>
            <w:tcW w:w="0" w:type="auto"/>
            <w:tcBorders>
              <w:top w:val="single" w:sz="4" w:space="0" w:color="auto"/>
              <w:bottom w:val="single" w:sz="4" w:space="0" w:color="auto"/>
            </w:tcBorders>
            <w:shd w:val="clear" w:color="auto" w:fill="auto"/>
          </w:tcPr>
          <w:p w14:paraId="2932A216" w14:textId="77777777" w:rsidR="003C2E14" w:rsidRDefault="003C2E14" w:rsidP="00F73B0A">
            <w:pPr>
              <w:pStyle w:val="Tabletext"/>
              <w:spacing w:before="0" w:after="0"/>
            </w:pPr>
            <w:r w:rsidRPr="008D71E1">
              <w:t>C, NM, R</w:t>
            </w:r>
          </w:p>
        </w:tc>
        <w:tc>
          <w:tcPr>
            <w:tcW w:w="0" w:type="auto"/>
            <w:tcBorders>
              <w:top w:val="single" w:sz="4" w:space="0" w:color="auto"/>
              <w:bottom w:val="single" w:sz="4" w:space="0" w:color="auto"/>
            </w:tcBorders>
            <w:shd w:val="clear" w:color="auto" w:fill="auto"/>
          </w:tcPr>
          <w:p w14:paraId="1680E589" w14:textId="77777777" w:rsidR="003C2E14" w:rsidRPr="008D71E1" w:rsidRDefault="003C2E14" w:rsidP="00F73B0A">
            <w:pPr>
              <w:pStyle w:val="Tabletext"/>
              <w:spacing w:before="0" w:after="0"/>
            </w:pPr>
            <w:r w:rsidRPr="008D71E1">
              <w:t>32</w:t>
            </w:r>
          </w:p>
        </w:tc>
        <w:tc>
          <w:tcPr>
            <w:tcW w:w="0" w:type="auto"/>
            <w:tcBorders>
              <w:top w:val="single" w:sz="4" w:space="0" w:color="auto"/>
              <w:bottom w:val="single" w:sz="4" w:space="0" w:color="auto"/>
            </w:tcBorders>
            <w:shd w:val="clear" w:color="auto" w:fill="auto"/>
          </w:tcPr>
          <w:p w14:paraId="69F26D71" w14:textId="77777777" w:rsidR="003C2E14" w:rsidRPr="008D71E1" w:rsidRDefault="003C2E14" w:rsidP="00F73B0A">
            <w:pPr>
              <w:pStyle w:val="Tabletext"/>
              <w:spacing w:before="0" w:after="0"/>
            </w:pPr>
            <w:r w:rsidRPr="008D71E1">
              <w:t xml:space="preserve">Patients who underwent total </w:t>
            </w:r>
            <w:r>
              <w:t>MRM</w:t>
            </w:r>
            <w:r w:rsidRPr="008D71E1">
              <w:t xml:space="preserve"> and radiotherapy and immediate alloplastic breast reconstruction </w:t>
            </w:r>
          </w:p>
        </w:tc>
        <w:tc>
          <w:tcPr>
            <w:tcW w:w="0" w:type="auto"/>
            <w:tcBorders>
              <w:top w:val="single" w:sz="4" w:space="0" w:color="auto"/>
              <w:bottom w:val="single" w:sz="4" w:space="0" w:color="auto"/>
            </w:tcBorders>
            <w:shd w:val="clear" w:color="auto" w:fill="auto"/>
          </w:tcPr>
          <w:p w14:paraId="145D7C7E" w14:textId="77777777" w:rsidR="003C2E14" w:rsidRPr="008D71E1" w:rsidRDefault="003C2E14" w:rsidP="00F73B0A">
            <w:pPr>
              <w:pStyle w:val="Tabletext"/>
              <w:spacing w:before="0" w:after="0"/>
            </w:pPr>
            <w:r w:rsidRPr="008D71E1">
              <w:t>AFG on irradiated expanders at least 6 weeks after radiotherapy with subsequent prosthetic reconstruction</w:t>
            </w:r>
          </w:p>
        </w:tc>
        <w:tc>
          <w:tcPr>
            <w:tcW w:w="0" w:type="auto"/>
            <w:tcBorders>
              <w:top w:val="single" w:sz="4" w:space="0" w:color="auto"/>
              <w:bottom w:val="single" w:sz="4" w:space="0" w:color="auto"/>
            </w:tcBorders>
            <w:shd w:val="clear" w:color="auto" w:fill="auto"/>
          </w:tcPr>
          <w:p w14:paraId="617DAB96" w14:textId="77777777" w:rsidR="003C2E14" w:rsidRPr="008D71E1" w:rsidRDefault="003C2E14" w:rsidP="00F73B0A">
            <w:pPr>
              <w:pStyle w:val="Tabletext"/>
              <w:spacing w:before="0" w:after="0"/>
            </w:pPr>
            <w:r w:rsidRPr="008D71E1">
              <w:t>Those who underwent immediate implantation of an expander, with no AFG and subsequent prosthetic reconstruction</w:t>
            </w:r>
          </w:p>
        </w:tc>
        <w:tc>
          <w:tcPr>
            <w:tcW w:w="0" w:type="auto"/>
            <w:tcBorders>
              <w:top w:val="single" w:sz="4" w:space="0" w:color="auto"/>
              <w:bottom w:val="single" w:sz="4" w:space="0" w:color="auto"/>
            </w:tcBorders>
            <w:shd w:val="clear" w:color="auto" w:fill="auto"/>
          </w:tcPr>
          <w:p w14:paraId="2D2C9414" w14:textId="77777777" w:rsidR="003C2E14" w:rsidRPr="008D71E1" w:rsidRDefault="003C2E14" w:rsidP="00F73B0A">
            <w:pPr>
              <w:pStyle w:val="Tabletext"/>
              <w:spacing w:before="0" w:after="0"/>
            </w:pPr>
            <w:r w:rsidRPr="008D71E1">
              <w:t>High</w:t>
            </w:r>
          </w:p>
        </w:tc>
        <w:tc>
          <w:tcPr>
            <w:tcW w:w="2513" w:type="dxa"/>
            <w:tcBorders>
              <w:top w:val="single" w:sz="4" w:space="0" w:color="auto"/>
              <w:bottom w:val="single" w:sz="4" w:space="0" w:color="auto"/>
            </w:tcBorders>
            <w:shd w:val="clear" w:color="auto" w:fill="auto"/>
          </w:tcPr>
          <w:p w14:paraId="22397D0A" w14:textId="77777777" w:rsidR="003C2E14" w:rsidRPr="008D71E1" w:rsidRDefault="003C2E14" w:rsidP="00F73B0A">
            <w:pPr>
              <w:rPr>
                <w:rFonts w:ascii="Arial Narrow" w:hAnsi="Arial Narrow"/>
                <w:sz w:val="20"/>
              </w:rPr>
            </w:pPr>
            <w:r w:rsidRPr="008D71E1">
              <w:rPr>
                <w:rFonts w:ascii="Arial Narrow" w:hAnsi="Arial Narrow"/>
                <w:sz w:val="20"/>
              </w:rPr>
              <w:t>Patient satisfaction</w:t>
            </w:r>
          </w:p>
          <w:p w14:paraId="127E9DD6" w14:textId="77777777" w:rsidR="003C2E14" w:rsidRPr="008D71E1" w:rsidRDefault="003C2E14" w:rsidP="00F73B0A">
            <w:pPr>
              <w:pStyle w:val="Tabletext"/>
              <w:spacing w:before="0" w:after="0"/>
            </w:pPr>
            <w:r>
              <w:rPr>
                <w:b/>
              </w:rPr>
              <w:t>Reconstruction failure (extrusion and implant replacement)</w:t>
            </w:r>
          </w:p>
        </w:tc>
      </w:tr>
      <w:tr w:rsidR="003C2E14" w:rsidRPr="008D71E1" w14:paraId="619DBCD4" w14:textId="77777777" w:rsidTr="002D52C6">
        <w:tc>
          <w:tcPr>
            <w:tcW w:w="0" w:type="auto"/>
            <w:tcBorders>
              <w:top w:val="single" w:sz="4" w:space="0" w:color="auto"/>
              <w:bottom w:val="single" w:sz="4" w:space="0" w:color="auto"/>
            </w:tcBorders>
            <w:shd w:val="clear" w:color="auto" w:fill="auto"/>
          </w:tcPr>
          <w:p w14:paraId="41B54E58" w14:textId="77777777" w:rsidR="003C2E14" w:rsidRDefault="003C2E14" w:rsidP="00F73B0A">
            <w:pPr>
              <w:pStyle w:val="Tabletext"/>
              <w:spacing w:before="0" w:after="0"/>
            </w:pPr>
            <w:r w:rsidRPr="008D71E1">
              <w:lastRenderedPageBreak/>
              <w:t>Vaia 2018</w:t>
            </w:r>
          </w:p>
        </w:tc>
        <w:tc>
          <w:tcPr>
            <w:tcW w:w="0" w:type="auto"/>
            <w:tcBorders>
              <w:top w:val="single" w:sz="4" w:space="0" w:color="auto"/>
              <w:bottom w:val="single" w:sz="4" w:space="0" w:color="auto"/>
            </w:tcBorders>
            <w:shd w:val="clear" w:color="auto" w:fill="auto"/>
          </w:tcPr>
          <w:p w14:paraId="638B5CCF" w14:textId="77777777" w:rsidR="003C2E14" w:rsidRDefault="003C2E14" w:rsidP="00F73B0A">
            <w:pPr>
              <w:pStyle w:val="Tabletext"/>
              <w:spacing w:before="0" w:after="0"/>
            </w:pPr>
            <w:r w:rsidRPr="008D71E1">
              <w:t>C, NM, R</w:t>
            </w:r>
          </w:p>
        </w:tc>
        <w:tc>
          <w:tcPr>
            <w:tcW w:w="0" w:type="auto"/>
            <w:tcBorders>
              <w:top w:val="single" w:sz="4" w:space="0" w:color="auto"/>
              <w:bottom w:val="single" w:sz="4" w:space="0" w:color="auto"/>
            </w:tcBorders>
            <w:shd w:val="clear" w:color="auto" w:fill="auto"/>
          </w:tcPr>
          <w:p w14:paraId="74745F0B" w14:textId="77777777" w:rsidR="003C2E14" w:rsidRPr="008D71E1" w:rsidRDefault="003C2E14" w:rsidP="00F73B0A">
            <w:pPr>
              <w:pStyle w:val="Tabletext"/>
              <w:spacing w:before="0" w:after="0"/>
            </w:pPr>
            <w:r w:rsidRPr="008D71E1">
              <w:t>30</w:t>
            </w:r>
          </w:p>
        </w:tc>
        <w:tc>
          <w:tcPr>
            <w:tcW w:w="0" w:type="auto"/>
            <w:tcBorders>
              <w:top w:val="single" w:sz="4" w:space="0" w:color="auto"/>
              <w:bottom w:val="single" w:sz="4" w:space="0" w:color="auto"/>
            </w:tcBorders>
            <w:shd w:val="clear" w:color="auto" w:fill="auto"/>
          </w:tcPr>
          <w:p w14:paraId="2F6F0DC7" w14:textId="77777777" w:rsidR="003C2E14" w:rsidRPr="008D71E1" w:rsidRDefault="003C2E14" w:rsidP="00F73B0A">
            <w:pPr>
              <w:pStyle w:val="Tabletext"/>
              <w:spacing w:before="0" w:after="0"/>
            </w:pPr>
            <w:r w:rsidRPr="008D71E1">
              <w:t xml:space="preserve">Patients who underwent modified radical mastectomy with immediate breast reconstruction with expanders </w:t>
            </w:r>
          </w:p>
        </w:tc>
        <w:tc>
          <w:tcPr>
            <w:tcW w:w="0" w:type="auto"/>
            <w:tcBorders>
              <w:top w:val="single" w:sz="4" w:space="0" w:color="auto"/>
              <w:bottom w:val="single" w:sz="4" w:space="0" w:color="auto"/>
            </w:tcBorders>
            <w:shd w:val="clear" w:color="auto" w:fill="auto"/>
          </w:tcPr>
          <w:p w14:paraId="52704A9B" w14:textId="77777777" w:rsidR="003C2E14" w:rsidRPr="008D71E1" w:rsidRDefault="003C2E14" w:rsidP="00F73B0A">
            <w:pPr>
              <w:pStyle w:val="Tabletext"/>
              <w:spacing w:before="0" w:after="0"/>
            </w:pPr>
            <w:r w:rsidRPr="008D71E1">
              <w:t>Patients who underwent modified radical mastectomy with immediate breast reconstruction with expanders, undergoing radiation therapy and AFG</w:t>
            </w:r>
          </w:p>
        </w:tc>
        <w:tc>
          <w:tcPr>
            <w:tcW w:w="0" w:type="auto"/>
            <w:tcBorders>
              <w:top w:val="single" w:sz="4" w:space="0" w:color="auto"/>
              <w:bottom w:val="single" w:sz="4" w:space="0" w:color="auto"/>
            </w:tcBorders>
            <w:shd w:val="clear" w:color="auto" w:fill="auto"/>
          </w:tcPr>
          <w:p w14:paraId="38EB08CE" w14:textId="77777777" w:rsidR="003C2E14" w:rsidRPr="008D71E1" w:rsidRDefault="003C2E14" w:rsidP="00F73B0A">
            <w:pPr>
              <w:pStyle w:val="Tabletext"/>
              <w:spacing w:before="0" w:after="0"/>
            </w:pPr>
            <w:r w:rsidRPr="008D71E1">
              <w:t>Patients who underwent modified radical mastectomy with immediate breast reconstruction with expanders, not undergoing radiation therapy</w:t>
            </w:r>
            <w:r>
              <w:t xml:space="preserve"> or AFG</w:t>
            </w:r>
          </w:p>
        </w:tc>
        <w:tc>
          <w:tcPr>
            <w:tcW w:w="0" w:type="auto"/>
            <w:tcBorders>
              <w:top w:val="single" w:sz="4" w:space="0" w:color="auto"/>
              <w:bottom w:val="single" w:sz="4" w:space="0" w:color="auto"/>
            </w:tcBorders>
            <w:shd w:val="clear" w:color="auto" w:fill="auto"/>
          </w:tcPr>
          <w:p w14:paraId="2BBDA147" w14:textId="77777777" w:rsidR="003C2E14" w:rsidRPr="008D71E1" w:rsidRDefault="003C2E14" w:rsidP="00F73B0A">
            <w:pPr>
              <w:pStyle w:val="Tabletext"/>
              <w:spacing w:before="0" w:after="0"/>
            </w:pPr>
            <w:r w:rsidRPr="008D71E1">
              <w:t xml:space="preserve">High </w:t>
            </w:r>
          </w:p>
        </w:tc>
        <w:tc>
          <w:tcPr>
            <w:tcW w:w="2513" w:type="dxa"/>
            <w:tcBorders>
              <w:top w:val="single" w:sz="4" w:space="0" w:color="auto"/>
              <w:bottom w:val="single" w:sz="4" w:space="0" w:color="auto"/>
            </w:tcBorders>
            <w:shd w:val="clear" w:color="auto" w:fill="auto"/>
          </w:tcPr>
          <w:p w14:paraId="24E0DD7D" w14:textId="77777777" w:rsidR="003C2E14" w:rsidRPr="008D71E1" w:rsidRDefault="003C2E14" w:rsidP="00F73B0A">
            <w:pPr>
              <w:pStyle w:val="Tabletext"/>
              <w:spacing w:before="0" w:after="0"/>
            </w:pPr>
            <w:r w:rsidRPr="008D71E1">
              <w:t>Tissue thickness</w:t>
            </w:r>
          </w:p>
        </w:tc>
      </w:tr>
      <w:tr w:rsidR="003C2E14" w:rsidRPr="008D71E1" w14:paraId="5B76A0F4" w14:textId="77777777" w:rsidTr="002D52C6">
        <w:tc>
          <w:tcPr>
            <w:tcW w:w="0" w:type="auto"/>
            <w:tcBorders>
              <w:top w:val="single" w:sz="4" w:space="0" w:color="auto"/>
              <w:left w:val="single" w:sz="4" w:space="0" w:color="auto"/>
              <w:bottom w:val="single" w:sz="4" w:space="0" w:color="auto"/>
              <w:right w:val="nil"/>
            </w:tcBorders>
            <w:shd w:val="clear" w:color="auto" w:fill="auto"/>
          </w:tcPr>
          <w:p w14:paraId="7B620899" w14:textId="77777777" w:rsidR="003C2E14" w:rsidRPr="003F70D2" w:rsidRDefault="003C2E14" w:rsidP="00F73B0A">
            <w:pPr>
              <w:pStyle w:val="Tabletext"/>
              <w:spacing w:before="0" w:after="0"/>
              <w:rPr>
                <w:b/>
              </w:rPr>
            </w:pPr>
            <w:r>
              <w:rPr>
                <w:b/>
              </w:rPr>
              <w:t>Sub</w:t>
            </w:r>
            <w:r w:rsidRPr="003E1F0F">
              <w:rPr>
                <w:b/>
              </w:rPr>
              <w:t>p</w:t>
            </w:r>
            <w:r w:rsidRPr="003F70D2">
              <w:rPr>
                <w:b/>
              </w:rPr>
              <w:t>opulation</w:t>
            </w:r>
            <w:r>
              <w:rPr>
                <w:b/>
              </w:rPr>
              <w:t>:</w:t>
            </w:r>
          </w:p>
        </w:tc>
        <w:tc>
          <w:tcPr>
            <w:tcW w:w="0" w:type="auto"/>
            <w:tcBorders>
              <w:top w:val="single" w:sz="4" w:space="0" w:color="auto"/>
              <w:left w:val="nil"/>
              <w:bottom w:val="single" w:sz="4" w:space="0" w:color="auto"/>
              <w:right w:val="nil"/>
            </w:tcBorders>
            <w:shd w:val="clear" w:color="auto" w:fill="auto"/>
          </w:tcPr>
          <w:p w14:paraId="7AF0D1E3" w14:textId="77777777" w:rsidR="003C2E14" w:rsidRPr="003F70D2" w:rsidRDefault="003C2E14" w:rsidP="00F73B0A">
            <w:pPr>
              <w:pStyle w:val="Tabletext"/>
              <w:spacing w:before="0" w:after="0"/>
              <w:rPr>
                <w:b/>
              </w:rPr>
            </w:pPr>
            <w:r w:rsidRPr="003F70D2">
              <w:rPr>
                <w:b/>
              </w:rPr>
              <w:t>A2</w:t>
            </w:r>
          </w:p>
        </w:tc>
        <w:tc>
          <w:tcPr>
            <w:tcW w:w="0" w:type="auto"/>
            <w:tcBorders>
              <w:top w:val="single" w:sz="4" w:space="0" w:color="auto"/>
              <w:left w:val="nil"/>
              <w:bottom w:val="single" w:sz="4" w:space="0" w:color="auto"/>
              <w:right w:val="nil"/>
            </w:tcBorders>
            <w:shd w:val="clear" w:color="auto" w:fill="auto"/>
          </w:tcPr>
          <w:p w14:paraId="03B0D87F" w14:textId="77777777" w:rsidR="003C2E14" w:rsidRPr="00DB2695" w:rsidRDefault="003C2E14" w:rsidP="00F73B0A">
            <w:pPr>
              <w:pStyle w:val="Tabletext"/>
              <w:spacing w:before="0" w:after="0"/>
            </w:pPr>
          </w:p>
        </w:tc>
        <w:tc>
          <w:tcPr>
            <w:tcW w:w="0" w:type="auto"/>
            <w:tcBorders>
              <w:top w:val="single" w:sz="4" w:space="0" w:color="auto"/>
              <w:left w:val="nil"/>
              <w:bottom w:val="single" w:sz="4" w:space="0" w:color="auto"/>
              <w:right w:val="nil"/>
            </w:tcBorders>
            <w:shd w:val="clear" w:color="auto" w:fill="auto"/>
          </w:tcPr>
          <w:p w14:paraId="326E2A53" w14:textId="77777777" w:rsidR="003C2E14" w:rsidRPr="00DB2695" w:rsidRDefault="003C2E14" w:rsidP="00F73B0A">
            <w:pPr>
              <w:pStyle w:val="Tabletext"/>
              <w:spacing w:before="0" w:after="0"/>
            </w:pPr>
          </w:p>
        </w:tc>
        <w:tc>
          <w:tcPr>
            <w:tcW w:w="0" w:type="auto"/>
            <w:tcBorders>
              <w:top w:val="single" w:sz="4" w:space="0" w:color="auto"/>
              <w:left w:val="nil"/>
              <w:bottom w:val="single" w:sz="4" w:space="0" w:color="auto"/>
              <w:right w:val="nil"/>
            </w:tcBorders>
            <w:shd w:val="clear" w:color="auto" w:fill="auto"/>
          </w:tcPr>
          <w:p w14:paraId="475A6FBE" w14:textId="77777777" w:rsidR="003C2E14" w:rsidRPr="00DB2695" w:rsidRDefault="003C2E14" w:rsidP="00F73B0A">
            <w:pPr>
              <w:pStyle w:val="Tabletext"/>
              <w:spacing w:before="0" w:after="0"/>
            </w:pPr>
          </w:p>
        </w:tc>
        <w:tc>
          <w:tcPr>
            <w:tcW w:w="0" w:type="auto"/>
            <w:tcBorders>
              <w:top w:val="single" w:sz="4" w:space="0" w:color="auto"/>
              <w:left w:val="nil"/>
              <w:bottom w:val="single" w:sz="4" w:space="0" w:color="auto"/>
              <w:right w:val="nil"/>
            </w:tcBorders>
            <w:shd w:val="clear" w:color="auto" w:fill="auto"/>
          </w:tcPr>
          <w:p w14:paraId="737DB1B3" w14:textId="77777777" w:rsidR="003C2E14" w:rsidRPr="00DB2695" w:rsidRDefault="003C2E14" w:rsidP="00F73B0A">
            <w:pPr>
              <w:pStyle w:val="Tabletext"/>
              <w:spacing w:before="0" w:after="0"/>
            </w:pPr>
          </w:p>
        </w:tc>
        <w:tc>
          <w:tcPr>
            <w:tcW w:w="0" w:type="auto"/>
            <w:tcBorders>
              <w:top w:val="single" w:sz="4" w:space="0" w:color="auto"/>
              <w:left w:val="nil"/>
              <w:bottom w:val="single" w:sz="4" w:space="0" w:color="auto"/>
              <w:right w:val="nil"/>
            </w:tcBorders>
            <w:shd w:val="clear" w:color="auto" w:fill="auto"/>
          </w:tcPr>
          <w:p w14:paraId="38170C86" w14:textId="77777777" w:rsidR="003C2E14" w:rsidRPr="00DB2695" w:rsidRDefault="003C2E14" w:rsidP="00F73B0A">
            <w:pPr>
              <w:pStyle w:val="Tabletext"/>
              <w:spacing w:before="0" w:after="0"/>
            </w:pPr>
          </w:p>
        </w:tc>
        <w:tc>
          <w:tcPr>
            <w:tcW w:w="2513" w:type="dxa"/>
            <w:tcBorders>
              <w:top w:val="single" w:sz="4" w:space="0" w:color="auto"/>
              <w:left w:val="nil"/>
              <w:bottom w:val="single" w:sz="4" w:space="0" w:color="auto"/>
              <w:right w:val="single" w:sz="4" w:space="0" w:color="auto"/>
            </w:tcBorders>
            <w:shd w:val="clear" w:color="auto" w:fill="auto"/>
          </w:tcPr>
          <w:p w14:paraId="67484B1E" w14:textId="77777777" w:rsidR="003C2E14" w:rsidRPr="008D71E1" w:rsidRDefault="003C2E14" w:rsidP="00F73B0A">
            <w:pPr>
              <w:pStyle w:val="Tabletext"/>
              <w:spacing w:before="0" w:after="0"/>
            </w:pPr>
          </w:p>
        </w:tc>
      </w:tr>
      <w:tr w:rsidR="003C2E14" w:rsidRPr="008D71E1" w14:paraId="6398E26F" w14:textId="77777777" w:rsidTr="002D52C6">
        <w:tc>
          <w:tcPr>
            <w:tcW w:w="0" w:type="auto"/>
            <w:tcBorders>
              <w:top w:val="single" w:sz="4" w:space="0" w:color="auto"/>
            </w:tcBorders>
            <w:shd w:val="clear" w:color="auto" w:fill="auto"/>
          </w:tcPr>
          <w:p w14:paraId="71098F6C" w14:textId="77777777" w:rsidR="003C2E14" w:rsidRDefault="003C2E14" w:rsidP="00F73B0A">
            <w:pPr>
              <w:pStyle w:val="Tabletext"/>
              <w:spacing w:before="0" w:after="0"/>
            </w:pPr>
            <w:r w:rsidRPr="00DB2695">
              <w:t>Bennett 2017</w:t>
            </w:r>
          </w:p>
        </w:tc>
        <w:tc>
          <w:tcPr>
            <w:tcW w:w="0" w:type="auto"/>
            <w:tcBorders>
              <w:top w:val="single" w:sz="4" w:space="0" w:color="auto"/>
            </w:tcBorders>
            <w:shd w:val="clear" w:color="auto" w:fill="auto"/>
          </w:tcPr>
          <w:p w14:paraId="16D019D3" w14:textId="77777777" w:rsidR="003C2E14" w:rsidRDefault="003C2E14" w:rsidP="00F73B0A">
            <w:pPr>
              <w:pStyle w:val="Tabletext"/>
              <w:spacing w:before="0" w:after="0"/>
            </w:pPr>
            <w:r w:rsidRPr="00DB2695">
              <w:t>C, NM, R</w:t>
            </w:r>
          </w:p>
        </w:tc>
        <w:tc>
          <w:tcPr>
            <w:tcW w:w="0" w:type="auto"/>
            <w:tcBorders>
              <w:top w:val="single" w:sz="4" w:space="0" w:color="auto"/>
            </w:tcBorders>
            <w:shd w:val="clear" w:color="auto" w:fill="auto"/>
          </w:tcPr>
          <w:p w14:paraId="487B633B" w14:textId="77777777" w:rsidR="003C2E14" w:rsidRPr="008D71E1" w:rsidRDefault="003C2E14" w:rsidP="00F73B0A">
            <w:pPr>
              <w:pStyle w:val="Tabletext"/>
              <w:spacing w:before="0" w:after="0"/>
            </w:pPr>
            <w:r w:rsidRPr="00DB2695">
              <w:t>2,048</w:t>
            </w:r>
          </w:p>
        </w:tc>
        <w:tc>
          <w:tcPr>
            <w:tcW w:w="0" w:type="auto"/>
            <w:tcBorders>
              <w:top w:val="single" w:sz="4" w:space="0" w:color="auto"/>
            </w:tcBorders>
            <w:shd w:val="clear" w:color="auto" w:fill="auto"/>
          </w:tcPr>
          <w:p w14:paraId="409AB563" w14:textId="77777777" w:rsidR="003C2E14" w:rsidRPr="008D71E1" w:rsidRDefault="003C2E14" w:rsidP="00F73B0A">
            <w:pPr>
              <w:pStyle w:val="Tabletext"/>
              <w:spacing w:before="0" w:after="0"/>
            </w:pPr>
            <w:r w:rsidRPr="00DB2695">
              <w:t xml:space="preserve">Unilateral or bilateral mastectomy for treatment or prophylaxis (of the non-disease breast) of breast cancer, with or without radiotherapy, autologous or prosthetic reconstruction (breast mound reconstructed by Year 1) </w:t>
            </w:r>
          </w:p>
        </w:tc>
        <w:tc>
          <w:tcPr>
            <w:tcW w:w="0" w:type="auto"/>
            <w:tcBorders>
              <w:top w:val="single" w:sz="4" w:space="0" w:color="auto"/>
            </w:tcBorders>
            <w:shd w:val="clear" w:color="auto" w:fill="auto"/>
          </w:tcPr>
          <w:p w14:paraId="0A2D6079" w14:textId="77777777" w:rsidR="003C2E14" w:rsidRPr="008D71E1" w:rsidRDefault="003C2E14" w:rsidP="00F73B0A">
            <w:pPr>
              <w:pStyle w:val="Tabletext"/>
              <w:spacing w:before="0" w:after="0"/>
            </w:pPr>
            <w:r w:rsidRPr="00DB2695">
              <w:t xml:space="preserve">Those who had AFG between Years 1 and 2. </w:t>
            </w:r>
            <w:r w:rsidRPr="006F1E9D">
              <w:t>Reason for AFG treatment not reported (</w:t>
            </w:r>
            <w:r>
              <w:t>e.g.</w:t>
            </w:r>
            <w:r w:rsidRPr="006F1E9D">
              <w:t xml:space="preserve"> pain or suboptimal outcomes)</w:t>
            </w:r>
          </w:p>
        </w:tc>
        <w:tc>
          <w:tcPr>
            <w:tcW w:w="0" w:type="auto"/>
            <w:tcBorders>
              <w:top w:val="single" w:sz="4" w:space="0" w:color="auto"/>
            </w:tcBorders>
            <w:shd w:val="clear" w:color="auto" w:fill="auto"/>
          </w:tcPr>
          <w:p w14:paraId="09DABCB4" w14:textId="77777777" w:rsidR="003C2E14" w:rsidRPr="008D71E1" w:rsidRDefault="003C2E14" w:rsidP="00F73B0A">
            <w:pPr>
              <w:pStyle w:val="Tabletext"/>
              <w:spacing w:before="0" w:after="0"/>
            </w:pPr>
            <w:r w:rsidRPr="00DB2695">
              <w:t>Those who had no AFG between Years 1 and 2</w:t>
            </w:r>
            <w:r>
              <w:t xml:space="preserve"> (but could have had AFG in post-operative Year 1)</w:t>
            </w:r>
          </w:p>
        </w:tc>
        <w:tc>
          <w:tcPr>
            <w:tcW w:w="0" w:type="auto"/>
            <w:tcBorders>
              <w:top w:val="single" w:sz="4" w:space="0" w:color="auto"/>
            </w:tcBorders>
            <w:shd w:val="clear" w:color="auto" w:fill="auto"/>
          </w:tcPr>
          <w:p w14:paraId="27860874" w14:textId="77777777" w:rsidR="003C2E14" w:rsidRPr="008D71E1" w:rsidRDefault="003C2E14" w:rsidP="00F73B0A">
            <w:pPr>
              <w:pStyle w:val="Tabletext"/>
              <w:spacing w:before="0" w:after="0"/>
            </w:pPr>
            <w:r w:rsidRPr="00DB2695">
              <w:t>High</w:t>
            </w:r>
          </w:p>
        </w:tc>
        <w:tc>
          <w:tcPr>
            <w:tcW w:w="2513" w:type="dxa"/>
            <w:tcBorders>
              <w:top w:val="single" w:sz="4" w:space="0" w:color="auto"/>
            </w:tcBorders>
            <w:shd w:val="clear" w:color="auto" w:fill="auto"/>
          </w:tcPr>
          <w:p w14:paraId="5BFF136B" w14:textId="77777777" w:rsidR="003C2E14" w:rsidRPr="008D71E1" w:rsidRDefault="003C2E14" w:rsidP="00F73B0A">
            <w:pPr>
              <w:pStyle w:val="Tabletext"/>
              <w:spacing w:before="0" w:after="0"/>
            </w:pPr>
            <w:r w:rsidRPr="008D71E1">
              <w:t>BREAST-Q</w:t>
            </w:r>
            <w:r>
              <w:t xml:space="preserve"> scores</w:t>
            </w:r>
          </w:p>
        </w:tc>
      </w:tr>
      <w:tr w:rsidR="003C2E14" w:rsidRPr="008D71E1" w14:paraId="353937BC" w14:textId="77777777" w:rsidTr="002D52C6">
        <w:tc>
          <w:tcPr>
            <w:tcW w:w="0" w:type="auto"/>
            <w:tcBorders>
              <w:top w:val="single" w:sz="4" w:space="0" w:color="auto"/>
            </w:tcBorders>
            <w:shd w:val="clear" w:color="auto" w:fill="auto"/>
          </w:tcPr>
          <w:p w14:paraId="7B33B21C" w14:textId="77777777" w:rsidR="003C2E14" w:rsidRPr="00DB2695" w:rsidRDefault="003C2E14" w:rsidP="00F73B0A">
            <w:pPr>
              <w:pStyle w:val="Tabletext"/>
              <w:spacing w:before="0" w:after="0"/>
            </w:pPr>
            <w:r w:rsidRPr="008D71E1">
              <w:t>Cogliandro 2017</w:t>
            </w:r>
          </w:p>
        </w:tc>
        <w:tc>
          <w:tcPr>
            <w:tcW w:w="0" w:type="auto"/>
            <w:tcBorders>
              <w:top w:val="single" w:sz="4" w:space="0" w:color="auto"/>
            </w:tcBorders>
            <w:shd w:val="clear" w:color="auto" w:fill="auto"/>
          </w:tcPr>
          <w:p w14:paraId="0944CAB2" w14:textId="77777777" w:rsidR="003C2E14" w:rsidRPr="00DB2695" w:rsidRDefault="003C2E14" w:rsidP="00F73B0A">
            <w:pPr>
              <w:pStyle w:val="Tabletext"/>
              <w:spacing w:before="0" w:after="0"/>
            </w:pPr>
            <w:r w:rsidRPr="008D71E1">
              <w:t>C, NM, P</w:t>
            </w:r>
          </w:p>
        </w:tc>
        <w:tc>
          <w:tcPr>
            <w:tcW w:w="0" w:type="auto"/>
            <w:tcBorders>
              <w:top w:val="single" w:sz="4" w:space="0" w:color="auto"/>
            </w:tcBorders>
            <w:shd w:val="clear" w:color="auto" w:fill="auto"/>
          </w:tcPr>
          <w:p w14:paraId="2F20BF25" w14:textId="77777777" w:rsidR="003C2E14" w:rsidRPr="00DB2695" w:rsidRDefault="003C2E14" w:rsidP="00F73B0A">
            <w:pPr>
              <w:pStyle w:val="Tabletext"/>
              <w:spacing w:before="0" w:after="0"/>
            </w:pPr>
            <w:r w:rsidRPr="008D71E1">
              <w:t>70</w:t>
            </w:r>
          </w:p>
        </w:tc>
        <w:tc>
          <w:tcPr>
            <w:tcW w:w="0" w:type="auto"/>
            <w:tcBorders>
              <w:top w:val="single" w:sz="4" w:space="0" w:color="auto"/>
            </w:tcBorders>
            <w:shd w:val="clear" w:color="auto" w:fill="auto"/>
          </w:tcPr>
          <w:p w14:paraId="1651B5ED" w14:textId="77777777" w:rsidR="003C2E14" w:rsidRPr="00DB2695" w:rsidRDefault="003C2E14" w:rsidP="00F73B0A">
            <w:pPr>
              <w:pStyle w:val="Tabletext"/>
              <w:spacing w:before="0" w:after="0"/>
            </w:pPr>
            <w:r w:rsidRPr="008D71E1">
              <w:t>Patients selected to undergo definitive implant-based breast reconstruction. All patients developed different grades of breast asymmetry, resulting in dissatisfaction from an aesthetic point of view</w:t>
            </w:r>
          </w:p>
        </w:tc>
        <w:tc>
          <w:tcPr>
            <w:tcW w:w="0" w:type="auto"/>
            <w:tcBorders>
              <w:top w:val="single" w:sz="4" w:space="0" w:color="auto"/>
            </w:tcBorders>
            <w:shd w:val="clear" w:color="auto" w:fill="auto"/>
          </w:tcPr>
          <w:p w14:paraId="57BD0383" w14:textId="77777777" w:rsidR="003C2E14" w:rsidRPr="00DB2695" w:rsidRDefault="003C2E14" w:rsidP="00F73B0A">
            <w:pPr>
              <w:pStyle w:val="Tabletext"/>
              <w:spacing w:before="0" w:after="0"/>
            </w:pPr>
            <w:r w:rsidRPr="008D71E1">
              <w:t>Patients who underwent secondary AFG almost 1 year after prosthesis-based reconstruction</w:t>
            </w:r>
          </w:p>
        </w:tc>
        <w:tc>
          <w:tcPr>
            <w:tcW w:w="0" w:type="auto"/>
            <w:tcBorders>
              <w:top w:val="single" w:sz="4" w:space="0" w:color="auto"/>
            </w:tcBorders>
            <w:shd w:val="clear" w:color="auto" w:fill="auto"/>
          </w:tcPr>
          <w:p w14:paraId="093C9E32" w14:textId="77777777" w:rsidR="003C2E14" w:rsidRPr="00DB2695" w:rsidRDefault="003C2E14" w:rsidP="00F73B0A">
            <w:pPr>
              <w:pStyle w:val="Tabletext"/>
              <w:spacing w:before="0" w:after="0"/>
            </w:pPr>
            <w:r w:rsidRPr="008D71E1">
              <w:t>Patients who declined to undergo secondary AFG after prosthesis-based reconstruction</w:t>
            </w:r>
          </w:p>
        </w:tc>
        <w:tc>
          <w:tcPr>
            <w:tcW w:w="0" w:type="auto"/>
            <w:tcBorders>
              <w:top w:val="single" w:sz="4" w:space="0" w:color="auto"/>
            </w:tcBorders>
            <w:shd w:val="clear" w:color="auto" w:fill="auto"/>
          </w:tcPr>
          <w:p w14:paraId="758DA353" w14:textId="77777777" w:rsidR="003C2E14" w:rsidRPr="00DB2695" w:rsidRDefault="003C2E14" w:rsidP="00F73B0A">
            <w:pPr>
              <w:pStyle w:val="Tabletext"/>
              <w:spacing w:before="0" w:after="0"/>
            </w:pPr>
            <w:r w:rsidRPr="008D71E1">
              <w:t>Low-medium</w:t>
            </w:r>
          </w:p>
        </w:tc>
        <w:tc>
          <w:tcPr>
            <w:tcW w:w="2513" w:type="dxa"/>
            <w:tcBorders>
              <w:top w:val="single" w:sz="4" w:space="0" w:color="auto"/>
            </w:tcBorders>
            <w:shd w:val="clear" w:color="auto" w:fill="auto"/>
          </w:tcPr>
          <w:p w14:paraId="55BFAC13" w14:textId="77777777" w:rsidR="003C2E14" w:rsidRPr="008D71E1" w:rsidRDefault="003C2E14" w:rsidP="00F73B0A">
            <w:pPr>
              <w:pStyle w:val="Tabletext"/>
              <w:spacing w:before="0" w:after="0"/>
            </w:pPr>
            <w:r w:rsidRPr="008D71E1">
              <w:t>BREAST-Q</w:t>
            </w:r>
            <w:r>
              <w:t xml:space="preserve"> scores</w:t>
            </w:r>
          </w:p>
        </w:tc>
      </w:tr>
      <w:tr w:rsidR="003C2E14" w:rsidRPr="008D71E1" w14:paraId="4B0408F3" w14:textId="77777777" w:rsidTr="002D52C6">
        <w:tc>
          <w:tcPr>
            <w:tcW w:w="0" w:type="auto"/>
            <w:tcBorders>
              <w:top w:val="single" w:sz="4" w:space="0" w:color="auto"/>
            </w:tcBorders>
            <w:shd w:val="clear" w:color="auto" w:fill="auto"/>
          </w:tcPr>
          <w:p w14:paraId="6F1BF12C" w14:textId="77777777" w:rsidR="003C2E14" w:rsidRPr="008D71E1" w:rsidRDefault="003C2E14" w:rsidP="00F73B0A">
            <w:pPr>
              <w:pStyle w:val="Tabletext"/>
              <w:spacing w:before="0" w:after="0"/>
            </w:pPr>
            <w:r>
              <w:t>Fertsch 2017</w:t>
            </w:r>
          </w:p>
        </w:tc>
        <w:tc>
          <w:tcPr>
            <w:tcW w:w="0" w:type="auto"/>
            <w:tcBorders>
              <w:top w:val="single" w:sz="4" w:space="0" w:color="auto"/>
            </w:tcBorders>
            <w:shd w:val="clear" w:color="auto" w:fill="auto"/>
          </w:tcPr>
          <w:p w14:paraId="1E0028EF" w14:textId="77777777" w:rsidR="003C2E14" w:rsidRPr="008D71E1" w:rsidRDefault="003C2E14" w:rsidP="00F73B0A">
            <w:pPr>
              <w:pStyle w:val="Tabletext"/>
              <w:spacing w:before="0" w:after="0"/>
            </w:pPr>
            <w:r>
              <w:t>C, M, R</w:t>
            </w:r>
          </w:p>
        </w:tc>
        <w:tc>
          <w:tcPr>
            <w:tcW w:w="0" w:type="auto"/>
            <w:tcBorders>
              <w:top w:val="single" w:sz="4" w:space="0" w:color="auto"/>
            </w:tcBorders>
            <w:shd w:val="clear" w:color="auto" w:fill="auto"/>
          </w:tcPr>
          <w:p w14:paraId="072F2DB9" w14:textId="77777777" w:rsidR="003C2E14" w:rsidRPr="008D71E1" w:rsidRDefault="003C2E14" w:rsidP="00F73B0A">
            <w:pPr>
              <w:pStyle w:val="Tabletext"/>
              <w:spacing w:before="0" w:after="0"/>
            </w:pPr>
            <w:r>
              <w:t>200</w:t>
            </w:r>
          </w:p>
        </w:tc>
        <w:tc>
          <w:tcPr>
            <w:tcW w:w="0" w:type="auto"/>
            <w:tcBorders>
              <w:top w:val="single" w:sz="4" w:space="0" w:color="auto"/>
            </w:tcBorders>
            <w:shd w:val="clear" w:color="auto" w:fill="auto"/>
          </w:tcPr>
          <w:p w14:paraId="37F9BDF7" w14:textId="77777777" w:rsidR="003C2E14" w:rsidRPr="008D71E1" w:rsidRDefault="003C2E14" w:rsidP="00F73B0A">
            <w:pPr>
              <w:pStyle w:val="Tabletext"/>
              <w:spacing w:before="0" w:after="0"/>
            </w:pPr>
            <w:r>
              <w:t>B</w:t>
            </w:r>
            <w:r w:rsidRPr="001C6D2F">
              <w:t>reast cancer patients treated with total mastectomy and</w:t>
            </w:r>
            <w:r>
              <w:t xml:space="preserve"> </w:t>
            </w:r>
            <w:r w:rsidRPr="001C6D2F">
              <w:t>delayed DIEP-flap reconstruction</w:t>
            </w:r>
            <w:r>
              <w:t>. P</w:t>
            </w:r>
            <w:r w:rsidRPr="001C6D2F">
              <w:t>atients were not allowed to have a cancer recurrence</w:t>
            </w:r>
            <w:r>
              <w:t xml:space="preserve"> </w:t>
            </w:r>
            <w:r w:rsidRPr="001C6D2F">
              <w:t>between the time interval of their primary surgery</w:t>
            </w:r>
            <w:r>
              <w:t xml:space="preserve"> (mastectomy), </w:t>
            </w:r>
            <w:r w:rsidRPr="001C6D2F">
              <w:t>delayed DIEP-flap reconstruction</w:t>
            </w:r>
            <w:r>
              <w:t xml:space="preserve"> and AFG</w:t>
            </w:r>
          </w:p>
        </w:tc>
        <w:tc>
          <w:tcPr>
            <w:tcW w:w="0" w:type="auto"/>
            <w:tcBorders>
              <w:top w:val="single" w:sz="4" w:space="0" w:color="auto"/>
            </w:tcBorders>
            <w:shd w:val="clear" w:color="auto" w:fill="auto"/>
          </w:tcPr>
          <w:p w14:paraId="02F98992" w14:textId="77777777" w:rsidR="003C2E14" w:rsidRPr="008D71E1" w:rsidRDefault="003C2E14" w:rsidP="00F73B0A">
            <w:pPr>
              <w:pStyle w:val="Tabletext"/>
              <w:spacing w:before="0" w:after="0"/>
            </w:pPr>
            <w:r>
              <w:t xml:space="preserve">AFG following delayed DIEP-flap reconstructive surgery. </w:t>
            </w:r>
            <w:r w:rsidRPr="006F1E9D">
              <w:t>Reason for AFG treatment not reported (</w:t>
            </w:r>
            <w:r>
              <w:t>e.g.</w:t>
            </w:r>
            <w:r w:rsidRPr="006F1E9D">
              <w:t xml:space="preserve"> pain or suboptimal outcomes)</w:t>
            </w:r>
          </w:p>
        </w:tc>
        <w:tc>
          <w:tcPr>
            <w:tcW w:w="0" w:type="auto"/>
            <w:tcBorders>
              <w:top w:val="single" w:sz="4" w:space="0" w:color="auto"/>
            </w:tcBorders>
            <w:shd w:val="clear" w:color="auto" w:fill="auto"/>
          </w:tcPr>
          <w:p w14:paraId="3A1F5B8A" w14:textId="77777777" w:rsidR="003C2E14" w:rsidRPr="008D71E1" w:rsidRDefault="003C2E14" w:rsidP="00F73B0A">
            <w:pPr>
              <w:pStyle w:val="Tabletext"/>
              <w:spacing w:before="0" w:after="0"/>
            </w:pPr>
            <w:r>
              <w:t>No AFG following delayed DIEP-flap reconstructive surgery (matched to cases)</w:t>
            </w:r>
          </w:p>
        </w:tc>
        <w:tc>
          <w:tcPr>
            <w:tcW w:w="0" w:type="auto"/>
            <w:tcBorders>
              <w:top w:val="single" w:sz="4" w:space="0" w:color="auto"/>
            </w:tcBorders>
            <w:shd w:val="clear" w:color="auto" w:fill="auto"/>
          </w:tcPr>
          <w:p w14:paraId="60078B22" w14:textId="77777777" w:rsidR="003C2E14" w:rsidRPr="008D71E1" w:rsidRDefault="003C2E14" w:rsidP="00F73B0A">
            <w:pPr>
              <w:pStyle w:val="Tabletext"/>
              <w:spacing w:before="0" w:after="0"/>
            </w:pPr>
            <w:r w:rsidRPr="00E4124B">
              <w:t>Low</w:t>
            </w:r>
            <w:r>
              <w:t>-</w:t>
            </w:r>
            <w:r w:rsidRPr="00E4124B">
              <w:t>medium</w:t>
            </w:r>
          </w:p>
        </w:tc>
        <w:tc>
          <w:tcPr>
            <w:tcW w:w="2513" w:type="dxa"/>
            <w:tcBorders>
              <w:top w:val="single" w:sz="4" w:space="0" w:color="auto"/>
            </w:tcBorders>
            <w:shd w:val="clear" w:color="auto" w:fill="auto"/>
          </w:tcPr>
          <w:p w14:paraId="1C718B91" w14:textId="77777777" w:rsidR="003C2E14" w:rsidRPr="008D71E1" w:rsidRDefault="003C2E14" w:rsidP="00F73B0A">
            <w:pPr>
              <w:pStyle w:val="Tabletext"/>
              <w:spacing w:before="0" w:after="0"/>
            </w:pPr>
            <w:r>
              <w:t>Disease-free survival</w:t>
            </w:r>
          </w:p>
        </w:tc>
      </w:tr>
      <w:tr w:rsidR="003C2E14" w:rsidRPr="008D71E1" w14:paraId="725AEF4A" w14:textId="77777777" w:rsidTr="002D52C6">
        <w:tc>
          <w:tcPr>
            <w:tcW w:w="0" w:type="auto"/>
            <w:tcBorders>
              <w:top w:val="single" w:sz="4" w:space="0" w:color="auto"/>
            </w:tcBorders>
            <w:shd w:val="clear" w:color="auto" w:fill="auto"/>
          </w:tcPr>
          <w:p w14:paraId="74D832DB" w14:textId="77777777" w:rsidR="003C2E14" w:rsidRDefault="003C2E14" w:rsidP="00F73B0A">
            <w:pPr>
              <w:pStyle w:val="Tabletext"/>
              <w:spacing w:before="0" w:after="0"/>
            </w:pPr>
            <w:r w:rsidRPr="008D71E1">
              <w:t>Kim 2014</w:t>
            </w:r>
          </w:p>
        </w:tc>
        <w:tc>
          <w:tcPr>
            <w:tcW w:w="0" w:type="auto"/>
            <w:tcBorders>
              <w:top w:val="single" w:sz="4" w:space="0" w:color="auto"/>
            </w:tcBorders>
            <w:shd w:val="clear" w:color="auto" w:fill="auto"/>
          </w:tcPr>
          <w:p w14:paraId="252400EF" w14:textId="77777777" w:rsidR="003C2E14" w:rsidRDefault="003C2E14" w:rsidP="00F73B0A">
            <w:pPr>
              <w:pStyle w:val="Tabletext"/>
              <w:spacing w:before="0" w:after="0"/>
            </w:pPr>
            <w:r w:rsidRPr="008D71E1">
              <w:t>C, NM, R</w:t>
            </w:r>
          </w:p>
        </w:tc>
        <w:tc>
          <w:tcPr>
            <w:tcW w:w="0" w:type="auto"/>
            <w:tcBorders>
              <w:top w:val="single" w:sz="4" w:space="0" w:color="auto"/>
            </w:tcBorders>
            <w:shd w:val="clear" w:color="auto" w:fill="auto"/>
          </w:tcPr>
          <w:p w14:paraId="71449096" w14:textId="77777777" w:rsidR="003C2E14" w:rsidRDefault="003C2E14" w:rsidP="00F73B0A">
            <w:pPr>
              <w:pStyle w:val="Tabletext"/>
              <w:spacing w:before="0" w:after="0"/>
            </w:pPr>
            <w:r w:rsidRPr="008D71E1">
              <w:t>551</w:t>
            </w:r>
          </w:p>
        </w:tc>
        <w:tc>
          <w:tcPr>
            <w:tcW w:w="0" w:type="auto"/>
            <w:tcBorders>
              <w:top w:val="single" w:sz="4" w:space="0" w:color="auto"/>
            </w:tcBorders>
            <w:shd w:val="clear" w:color="auto" w:fill="auto"/>
          </w:tcPr>
          <w:p w14:paraId="6E6BBA6F" w14:textId="77777777" w:rsidR="003C2E14" w:rsidRDefault="003C2E14" w:rsidP="00F73B0A">
            <w:pPr>
              <w:pStyle w:val="Tabletext"/>
              <w:spacing w:before="0" w:after="0"/>
            </w:pPr>
            <w:r w:rsidRPr="008D71E1">
              <w:t>Patients with a history of breast cancer and reconstruction (autologous and prosthetic)</w:t>
            </w:r>
          </w:p>
        </w:tc>
        <w:tc>
          <w:tcPr>
            <w:tcW w:w="0" w:type="auto"/>
            <w:tcBorders>
              <w:top w:val="single" w:sz="4" w:space="0" w:color="auto"/>
            </w:tcBorders>
            <w:shd w:val="clear" w:color="auto" w:fill="auto"/>
          </w:tcPr>
          <w:p w14:paraId="35DC1C8D" w14:textId="77777777" w:rsidR="003C2E14" w:rsidRDefault="003C2E14" w:rsidP="00F73B0A">
            <w:pPr>
              <w:pStyle w:val="Tabletext"/>
              <w:spacing w:before="0" w:after="0"/>
            </w:pPr>
            <w:r w:rsidRPr="008D71E1">
              <w:t>Those who underwent AFG for secondary revision breast surgery</w:t>
            </w:r>
          </w:p>
        </w:tc>
        <w:tc>
          <w:tcPr>
            <w:tcW w:w="0" w:type="auto"/>
            <w:tcBorders>
              <w:top w:val="single" w:sz="4" w:space="0" w:color="auto"/>
            </w:tcBorders>
            <w:shd w:val="clear" w:color="auto" w:fill="auto"/>
          </w:tcPr>
          <w:p w14:paraId="58401A2C" w14:textId="77777777" w:rsidR="003C2E14" w:rsidRDefault="003C2E14" w:rsidP="00F73B0A">
            <w:pPr>
              <w:pStyle w:val="Tabletext"/>
              <w:spacing w:before="0" w:after="0"/>
            </w:pPr>
            <w:r w:rsidRPr="008D71E1">
              <w:t>Those who did not undergo AFG</w:t>
            </w:r>
          </w:p>
        </w:tc>
        <w:tc>
          <w:tcPr>
            <w:tcW w:w="0" w:type="auto"/>
            <w:tcBorders>
              <w:top w:val="single" w:sz="4" w:space="0" w:color="auto"/>
            </w:tcBorders>
            <w:shd w:val="clear" w:color="auto" w:fill="auto"/>
          </w:tcPr>
          <w:p w14:paraId="2E38F8BB" w14:textId="77777777" w:rsidR="003C2E14" w:rsidRPr="00E4124B" w:rsidRDefault="003C2E14" w:rsidP="00F73B0A">
            <w:pPr>
              <w:pStyle w:val="Tabletext"/>
              <w:spacing w:before="0" w:after="0"/>
            </w:pPr>
            <w:r w:rsidRPr="008D71E1">
              <w:t>Medium-high</w:t>
            </w:r>
          </w:p>
        </w:tc>
        <w:tc>
          <w:tcPr>
            <w:tcW w:w="2513" w:type="dxa"/>
            <w:tcBorders>
              <w:top w:val="single" w:sz="4" w:space="0" w:color="auto"/>
            </w:tcBorders>
            <w:shd w:val="clear" w:color="auto" w:fill="auto"/>
          </w:tcPr>
          <w:p w14:paraId="5AAAE33E" w14:textId="77777777" w:rsidR="003C2E14" w:rsidRPr="008D71E1" w:rsidRDefault="003C2E14" w:rsidP="00F73B0A">
            <w:pPr>
              <w:rPr>
                <w:rFonts w:ascii="Arial Narrow" w:hAnsi="Arial Narrow"/>
                <w:sz w:val="20"/>
              </w:rPr>
            </w:pPr>
            <w:r>
              <w:rPr>
                <w:rFonts w:ascii="Arial Narrow" w:hAnsi="Arial Narrow"/>
                <w:sz w:val="20"/>
              </w:rPr>
              <w:t>Loco</w:t>
            </w:r>
            <w:r w:rsidRPr="008D71E1">
              <w:rPr>
                <w:rFonts w:ascii="Arial Narrow" w:hAnsi="Arial Narrow"/>
                <w:sz w:val="20"/>
              </w:rPr>
              <w:t>regional recurrence</w:t>
            </w:r>
          </w:p>
          <w:p w14:paraId="68DC9C09" w14:textId="77777777" w:rsidR="003C2E14" w:rsidRDefault="003C2E14" w:rsidP="00F73B0A">
            <w:pPr>
              <w:pStyle w:val="Tabletext"/>
              <w:spacing w:before="0" w:after="0"/>
            </w:pPr>
            <w:r>
              <w:t>AFG c</w:t>
            </w:r>
            <w:r w:rsidRPr="008D71E1">
              <w:t>omplications</w:t>
            </w:r>
            <w:r>
              <w:t xml:space="preserve"> (fat necrosis &amp; cyst formation)</w:t>
            </w:r>
          </w:p>
        </w:tc>
      </w:tr>
      <w:tr w:rsidR="003C2E14" w:rsidRPr="008D71E1" w14:paraId="035C9BF5" w14:textId="77777777" w:rsidTr="002D52C6">
        <w:tc>
          <w:tcPr>
            <w:tcW w:w="0" w:type="auto"/>
            <w:tcBorders>
              <w:top w:val="single" w:sz="4" w:space="0" w:color="auto"/>
            </w:tcBorders>
            <w:shd w:val="clear" w:color="auto" w:fill="auto"/>
          </w:tcPr>
          <w:p w14:paraId="259AEAE9" w14:textId="77777777" w:rsidR="003C2E14" w:rsidRPr="008D71E1" w:rsidRDefault="003C2E14" w:rsidP="00F73B0A">
            <w:pPr>
              <w:pStyle w:val="Tabletext"/>
              <w:spacing w:before="0" w:after="0"/>
            </w:pPr>
            <w:r w:rsidRPr="008D71E1">
              <w:t>Lakhiani 2014</w:t>
            </w:r>
          </w:p>
        </w:tc>
        <w:tc>
          <w:tcPr>
            <w:tcW w:w="0" w:type="auto"/>
            <w:tcBorders>
              <w:top w:val="single" w:sz="4" w:space="0" w:color="auto"/>
            </w:tcBorders>
            <w:shd w:val="clear" w:color="auto" w:fill="auto"/>
          </w:tcPr>
          <w:p w14:paraId="4332BE64" w14:textId="77777777" w:rsidR="003C2E14" w:rsidRPr="008D71E1" w:rsidRDefault="003C2E14" w:rsidP="00F73B0A">
            <w:pPr>
              <w:pStyle w:val="Tabletext"/>
              <w:spacing w:before="0" w:after="0"/>
            </w:pPr>
            <w:r w:rsidRPr="008D71E1">
              <w:t>C, NM, R</w:t>
            </w:r>
          </w:p>
        </w:tc>
        <w:tc>
          <w:tcPr>
            <w:tcW w:w="0" w:type="auto"/>
            <w:tcBorders>
              <w:top w:val="single" w:sz="4" w:space="0" w:color="auto"/>
            </w:tcBorders>
            <w:shd w:val="clear" w:color="auto" w:fill="auto"/>
          </w:tcPr>
          <w:p w14:paraId="0CBEE2B0" w14:textId="77777777" w:rsidR="003C2E14" w:rsidRPr="008D71E1" w:rsidRDefault="003C2E14" w:rsidP="00F73B0A">
            <w:pPr>
              <w:pStyle w:val="Tabletext"/>
              <w:spacing w:before="0" w:after="0"/>
            </w:pPr>
            <w:r>
              <w:t>23</w:t>
            </w:r>
            <w:r w:rsidRPr="008D71E1">
              <w:t xml:space="preserve"> (39)</w:t>
            </w:r>
          </w:p>
        </w:tc>
        <w:tc>
          <w:tcPr>
            <w:tcW w:w="0" w:type="auto"/>
            <w:tcBorders>
              <w:top w:val="single" w:sz="4" w:space="0" w:color="auto"/>
            </w:tcBorders>
            <w:shd w:val="clear" w:color="auto" w:fill="auto"/>
          </w:tcPr>
          <w:p w14:paraId="120B440B" w14:textId="77777777" w:rsidR="003C2E14" w:rsidRPr="008D71E1" w:rsidRDefault="003C2E14" w:rsidP="00F73B0A">
            <w:pPr>
              <w:pStyle w:val="Tabletext"/>
              <w:spacing w:before="0" w:after="0"/>
            </w:pPr>
            <w:r w:rsidRPr="008D71E1">
              <w:t xml:space="preserve">Patients who underwent secondary breast augmentation with AFG or implant insertion or both, after </w:t>
            </w:r>
            <w:r>
              <w:t>post mastectomy</w:t>
            </w:r>
            <w:r w:rsidRPr="008D71E1">
              <w:t xml:space="preserve"> autologous (free flap) reconstruction</w:t>
            </w:r>
          </w:p>
        </w:tc>
        <w:tc>
          <w:tcPr>
            <w:tcW w:w="0" w:type="auto"/>
            <w:tcBorders>
              <w:top w:val="single" w:sz="4" w:space="0" w:color="auto"/>
            </w:tcBorders>
            <w:shd w:val="clear" w:color="auto" w:fill="auto"/>
          </w:tcPr>
          <w:p w14:paraId="553E261F" w14:textId="77777777" w:rsidR="003C2E14" w:rsidRPr="008D71E1" w:rsidRDefault="003C2E14" w:rsidP="00F73B0A">
            <w:pPr>
              <w:rPr>
                <w:rFonts w:ascii="Arial Narrow" w:hAnsi="Arial Narrow"/>
                <w:sz w:val="20"/>
              </w:rPr>
            </w:pPr>
            <w:r w:rsidRPr="008D71E1">
              <w:rPr>
                <w:rFonts w:ascii="Arial Narrow" w:hAnsi="Arial Narrow"/>
                <w:sz w:val="20"/>
              </w:rPr>
              <w:t>AFG alone</w:t>
            </w:r>
          </w:p>
          <w:p w14:paraId="4C496215" w14:textId="77777777" w:rsidR="003C2E14" w:rsidRPr="008D71E1" w:rsidRDefault="003C2E14" w:rsidP="00F73B0A">
            <w:pPr>
              <w:pStyle w:val="Tabletext"/>
              <w:spacing w:before="0" w:after="0"/>
            </w:pPr>
            <w:r w:rsidRPr="008D71E1">
              <w:t>AFG + prosthesis</w:t>
            </w:r>
          </w:p>
        </w:tc>
        <w:tc>
          <w:tcPr>
            <w:tcW w:w="0" w:type="auto"/>
            <w:tcBorders>
              <w:top w:val="single" w:sz="4" w:space="0" w:color="auto"/>
            </w:tcBorders>
            <w:shd w:val="clear" w:color="auto" w:fill="auto"/>
          </w:tcPr>
          <w:p w14:paraId="36448BE8" w14:textId="77777777" w:rsidR="003C2E14" w:rsidRPr="008D71E1" w:rsidRDefault="003C2E14" w:rsidP="00F73B0A">
            <w:pPr>
              <w:pStyle w:val="Tabletext"/>
              <w:spacing w:before="0" w:after="0"/>
            </w:pPr>
            <w:r w:rsidRPr="008D71E1">
              <w:t>Prosthesis alone</w:t>
            </w:r>
          </w:p>
        </w:tc>
        <w:tc>
          <w:tcPr>
            <w:tcW w:w="0" w:type="auto"/>
            <w:tcBorders>
              <w:top w:val="single" w:sz="4" w:space="0" w:color="auto"/>
            </w:tcBorders>
            <w:shd w:val="clear" w:color="auto" w:fill="auto"/>
          </w:tcPr>
          <w:p w14:paraId="7EB819AC" w14:textId="77777777" w:rsidR="003C2E14" w:rsidRPr="008D71E1" w:rsidRDefault="003C2E14" w:rsidP="00F73B0A">
            <w:pPr>
              <w:pStyle w:val="Tabletext"/>
              <w:spacing w:before="0" w:after="0"/>
            </w:pPr>
            <w:r w:rsidRPr="008D71E1">
              <w:t>High</w:t>
            </w:r>
          </w:p>
        </w:tc>
        <w:tc>
          <w:tcPr>
            <w:tcW w:w="2513" w:type="dxa"/>
            <w:tcBorders>
              <w:top w:val="single" w:sz="4" w:space="0" w:color="auto"/>
            </w:tcBorders>
            <w:shd w:val="clear" w:color="auto" w:fill="auto"/>
          </w:tcPr>
          <w:p w14:paraId="77BDC5E1" w14:textId="77777777" w:rsidR="003C2E14" w:rsidRPr="007A5F78" w:rsidRDefault="003C2E14" w:rsidP="00F73B0A">
            <w:pPr>
              <w:rPr>
                <w:rFonts w:ascii="Arial Narrow" w:hAnsi="Arial Narrow"/>
                <w:b/>
                <w:sz w:val="20"/>
              </w:rPr>
            </w:pPr>
            <w:r w:rsidRPr="007A5F78">
              <w:rPr>
                <w:rFonts w:ascii="Arial Narrow" w:hAnsi="Arial Narrow"/>
                <w:b/>
                <w:sz w:val="20"/>
              </w:rPr>
              <w:t>Aesthetic assessment</w:t>
            </w:r>
          </w:p>
          <w:p w14:paraId="465D463E" w14:textId="77777777" w:rsidR="003C2E14" w:rsidRDefault="003C2E14" w:rsidP="00F73B0A">
            <w:pPr>
              <w:rPr>
                <w:rFonts w:ascii="Arial Narrow" w:hAnsi="Arial Narrow"/>
                <w:sz w:val="20"/>
              </w:rPr>
            </w:pPr>
            <w:r>
              <w:rPr>
                <w:rFonts w:ascii="Arial Narrow" w:hAnsi="Arial Narrow"/>
                <w:sz w:val="20"/>
              </w:rPr>
              <w:t>AFG c</w:t>
            </w:r>
            <w:r w:rsidRPr="008D71E1">
              <w:rPr>
                <w:rFonts w:ascii="Arial Narrow" w:hAnsi="Arial Narrow"/>
                <w:sz w:val="20"/>
              </w:rPr>
              <w:t>omplications</w:t>
            </w:r>
            <w:r>
              <w:rPr>
                <w:rFonts w:ascii="Arial Narrow" w:hAnsi="Arial Narrow"/>
                <w:sz w:val="20"/>
              </w:rPr>
              <w:t xml:space="preserve"> (fat necrosis) surgical revisions (implant malpositioning)</w:t>
            </w:r>
          </w:p>
        </w:tc>
      </w:tr>
      <w:tr w:rsidR="003C2E14" w:rsidRPr="008D71E1" w14:paraId="530B7A38" w14:textId="77777777" w:rsidTr="002D52C6">
        <w:tc>
          <w:tcPr>
            <w:tcW w:w="0" w:type="auto"/>
            <w:tcBorders>
              <w:top w:val="single" w:sz="4" w:space="0" w:color="auto"/>
            </w:tcBorders>
            <w:shd w:val="clear" w:color="auto" w:fill="auto"/>
          </w:tcPr>
          <w:p w14:paraId="12D7BAE8" w14:textId="77777777" w:rsidR="003C2E14" w:rsidRPr="008D71E1" w:rsidRDefault="003C2E14" w:rsidP="00F73B0A">
            <w:pPr>
              <w:pStyle w:val="Tabletext"/>
              <w:spacing w:before="0" w:after="0"/>
            </w:pPr>
            <w:r w:rsidRPr="008D71E1">
              <w:t>Laporta 2015</w:t>
            </w:r>
          </w:p>
        </w:tc>
        <w:tc>
          <w:tcPr>
            <w:tcW w:w="0" w:type="auto"/>
            <w:tcBorders>
              <w:top w:val="single" w:sz="4" w:space="0" w:color="auto"/>
            </w:tcBorders>
            <w:shd w:val="clear" w:color="auto" w:fill="auto"/>
          </w:tcPr>
          <w:p w14:paraId="792A12E5" w14:textId="77777777" w:rsidR="003C2E14" w:rsidRPr="008D71E1" w:rsidRDefault="003C2E14" w:rsidP="00F73B0A">
            <w:pPr>
              <w:pStyle w:val="Tabletext"/>
              <w:spacing w:before="0" w:after="0"/>
            </w:pPr>
            <w:r w:rsidRPr="008D71E1">
              <w:t>C, M, P</w:t>
            </w:r>
          </w:p>
        </w:tc>
        <w:tc>
          <w:tcPr>
            <w:tcW w:w="0" w:type="auto"/>
            <w:tcBorders>
              <w:top w:val="single" w:sz="4" w:space="0" w:color="auto"/>
            </w:tcBorders>
            <w:shd w:val="clear" w:color="auto" w:fill="auto"/>
          </w:tcPr>
          <w:p w14:paraId="5E23D95E" w14:textId="77777777" w:rsidR="003C2E14" w:rsidRDefault="003C2E14" w:rsidP="00F73B0A">
            <w:pPr>
              <w:pStyle w:val="Tabletext"/>
              <w:spacing w:before="0" w:after="0"/>
            </w:pPr>
            <w:r w:rsidRPr="008D71E1">
              <w:t>40</w:t>
            </w:r>
          </w:p>
        </w:tc>
        <w:tc>
          <w:tcPr>
            <w:tcW w:w="0" w:type="auto"/>
            <w:tcBorders>
              <w:top w:val="single" w:sz="4" w:space="0" w:color="auto"/>
            </w:tcBorders>
            <w:shd w:val="clear" w:color="auto" w:fill="auto"/>
          </w:tcPr>
          <w:p w14:paraId="2056E6DB" w14:textId="77777777" w:rsidR="003C2E14" w:rsidRPr="008D71E1" w:rsidRDefault="003C2E14" w:rsidP="00F73B0A">
            <w:pPr>
              <w:pStyle w:val="Tabletext"/>
              <w:spacing w:before="0" w:after="0"/>
            </w:pPr>
            <w:r w:rsidRPr="008D71E1">
              <w:t xml:space="preserve">Consecutive patients who received breast reconstruction with a </w:t>
            </w:r>
            <w:r>
              <w:t>DIEP</w:t>
            </w:r>
            <w:r w:rsidRPr="008D71E1">
              <w:t xml:space="preserve"> flap </w:t>
            </w:r>
          </w:p>
        </w:tc>
        <w:tc>
          <w:tcPr>
            <w:tcW w:w="0" w:type="auto"/>
            <w:tcBorders>
              <w:top w:val="single" w:sz="4" w:space="0" w:color="auto"/>
            </w:tcBorders>
            <w:shd w:val="clear" w:color="auto" w:fill="auto"/>
          </w:tcPr>
          <w:p w14:paraId="40E33521" w14:textId="77777777" w:rsidR="003C2E14" w:rsidRPr="008D71E1" w:rsidRDefault="003C2E14" w:rsidP="00F73B0A">
            <w:pPr>
              <w:rPr>
                <w:rFonts w:ascii="Arial Narrow" w:hAnsi="Arial Narrow"/>
                <w:sz w:val="20"/>
              </w:rPr>
            </w:pPr>
            <w:r w:rsidRPr="008D71E1">
              <w:rPr>
                <w:rFonts w:ascii="Arial Narrow" w:hAnsi="Arial Narrow"/>
                <w:sz w:val="20"/>
              </w:rPr>
              <w:t>Reconstruction with an AFG-augmented DIEP flap</w:t>
            </w:r>
          </w:p>
        </w:tc>
        <w:tc>
          <w:tcPr>
            <w:tcW w:w="0" w:type="auto"/>
            <w:tcBorders>
              <w:top w:val="single" w:sz="4" w:space="0" w:color="auto"/>
            </w:tcBorders>
            <w:shd w:val="clear" w:color="auto" w:fill="auto"/>
          </w:tcPr>
          <w:p w14:paraId="6779F719" w14:textId="77777777" w:rsidR="003C2E14" w:rsidRPr="008D71E1" w:rsidRDefault="003C2E14" w:rsidP="00F73B0A">
            <w:pPr>
              <w:pStyle w:val="Tabletext"/>
              <w:spacing w:before="0" w:after="0"/>
            </w:pPr>
            <w:r w:rsidRPr="008D71E1">
              <w:t>Reconstruction with a DIEP flap and no AFG (because of adequate abdominal donor-site volume)</w:t>
            </w:r>
          </w:p>
        </w:tc>
        <w:tc>
          <w:tcPr>
            <w:tcW w:w="0" w:type="auto"/>
            <w:tcBorders>
              <w:top w:val="single" w:sz="4" w:space="0" w:color="auto"/>
            </w:tcBorders>
            <w:shd w:val="clear" w:color="auto" w:fill="auto"/>
          </w:tcPr>
          <w:p w14:paraId="4D095831" w14:textId="77777777" w:rsidR="003C2E14" w:rsidRPr="008D71E1" w:rsidRDefault="003C2E14" w:rsidP="00F73B0A">
            <w:pPr>
              <w:pStyle w:val="Tabletext"/>
              <w:spacing w:before="0" w:after="0"/>
            </w:pPr>
            <w:r w:rsidRPr="008D71E1">
              <w:t>Medium-high</w:t>
            </w:r>
          </w:p>
        </w:tc>
        <w:tc>
          <w:tcPr>
            <w:tcW w:w="2513" w:type="dxa"/>
            <w:tcBorders>
              <w:top w:val="single" w:sz="4" w:space="0" w:color="auto"/>
            </w:tcBorders>
            <w:shd w:val="clear" w:color="auto" w:fill="auto"/>
          </w:tcPr>
          <w:p w14:paraId="7A892F08" w14:textId="77777777" w:rsidR="003C2E14" w:rsidRPr="008D71E1" w:rsidRDefault="003C2E14" w:rsidP="00F73B0A">
            <w:pPr>
              <w:rPr>
                <w:rFonts w:ascii="Arial Narrow" w:hAnsi="Arial Narrow"/>
                <w:sz w:val="20"/>
              </w:rPr>
            </w:pPr>
            <w:r w:rsidRPr="008D71E1">
              <w:rPr>
                <w:rFonts w:ascii="Arial Narrow" w:hAnsi="Arial Narrow"/>
                <w:sz w:val="20"/>
              </w:rPr>
              <w:t xml:space="preserve">Aesthetic </w:t>
            </w:r>
            <w:r>
              <w:rPr>
                <w:rFonts w:ascii="Arial Narrow" w:hAnsi="Arial Narrow"/>
                <w:sz w:val="20"/>
              </w:rPr>
              <w:t>assessment</w:t>
            </w:r>
          </w:p>
          <w:p w14:paraId="7BDE40EF" w14:textId="77777777" w:rsidR="003C2E14" w:rsidRPr="008D71E1" w:rsidRDefault="003C2E14" w:rsidP="00F73B0A">
            <w:pPr>
              <w:rPr>
                <w:rFonts w:ascii="Arial Narrow" w:hAnsi="Arial Narrow"/>
                <w:sz w:val="20"/>
              </w:rPr>
            </w:pPr>
            <w:r>
              <w:rPr>
                <w:rFonts w:ascii="Arial Narrow" w:hAnsi="Arial Narrow"/>
                <w:sz w:val="20"/>
              </w:rPr>
              <w:t>Loco</w:t>
            </w:r>
            <w:r w:rsidRPr="008D71E1">
              <w:rPr>
                <w:rFonts w:ascii="Arial Narrow" w:hAnsi="Arial Narrow"/>
                <w:sz w:val="20"/>
              </w:rPr>
              <w:t>regional recurrence</w:t>
            </w:r>
          </w:p>
          <w:p w14:paraId="186E1AEB" w14:textId="77777777" w:rsidR="003C2E14" w:rsidRPr="007A5F78" w:rsidRDefault="003C2E14" w:rsidP="00F73B0A">
            <w:pPr>
              <w:rPr>
                <w:rFonts w:ascii="Arial Narrow" w:hAnsi="Arial Narrow"/>
                <w:b/>
                <w:sz w:val="20"/>
              </w:rPr>
            </w:pPr>
            <w:r>
              <w:rPr>
                <w:rFonts w:ascii="Arial Narrow" w:hAnsi="Arial Narrow"/>
                <w:sz w:val="20"/>
              </w:rPr>
              <w:t xml:space="preserve">Revision procedures; </w:t>
            </w:r>
            <w:r w:rsidRPr="00305EB6">
              <w:rPr>
                <w:rFonts w:ascii="Arial Narrow" w:hAnsi="Arial Narrow"/>
                <w:sz w:val="20"/>
              </w:rPr>
              <w:t>total treatment period</w:t>
            </w:r>
          </w:p>
        </w:tc>
      </w:tr>
      <w:tr w:rsidR="003C2E14" w:rsidRPr="008D71E1" w14:paraId="72BB33E1" w14:textId="77777777" w:rsidTr="002D52C6">
        <w:tc>
          <w:tcPr>
            <w:tcW w:w="0" w:type="auto"/>
            <w:tcBorders>
              <w:top w:val="single" w:sz="4" w:space="0" w:color="auto"/>
            </w:tcBorders>
            <w:shd w:val="clear" w:color="auto" w:fill="auto"/>
          </w:tcPr>
          <w:p w14:paraId="7A5C8FCE" w14:textId="77777777" w:rsidR="003C2E14" w:rsidRPr="008D71E1" w:rsidRDefault="003C2E14" w:rsidP="00F73B0A">
            <w:pPr>
              <w:pStyle w:val="Tabletext"/>
              <w:spacing w:before="0" w:after="0"/>
            </w:pPr>
            <w:r w:rsidRPr="008D71E1">
              <w:lastRenderedPageBreak/>
              <w:t>Leuzzi 2019</w:t>
            </w:r>
          </w:p>
        </w:tc>
        <w:tc>
          <w:tcPr>
            <w:tcW w:w="0" w:type="auto"/>
            <w:tcBorders>
              <w:top w:val="single" w:sz="4" w:space="0" w:color="auto"/>
            </w:tcBorders>
            <w:shd w:val="clear" w:color="auto" w:fill="auto"/>
          </w:tcPr>
          <w:p w14:paraId="4C05CD64" w14:textId="77777777" w:rsidR="003C2E14" w:rsidRPr="008D71E1" w:rsidRDefault="003C2E14" w:rsidP="00F73B0A">
            <w:pPr>
              <w:pStyle w:val="Tabletext"/>
              <w:spacing w:before="0" w:after="0"/>
            </w:pPr>
            <w:r w:rsidRPr="008D71E1">
              <w:t>C, NM, R</w:t>
            </w:r>
          </w:p>
        </w:tc>
        <w:tc>
          <w:tcPr>
            <w:tcW w:w="0" w:type="auto"/>
            <w:tcBorders>
              <w:top w:val="single" w:sz="4" w:space="0" w:color="auto"/>
            </w:tcBorders>
            <w:shd w:val="clear" w:color="auto" w:fill="auto"/>
          </w:tcPr>
          <w:p w14:paraId="15A56367" w14:textId="77777777" w:rsidR="003C2E14" w:rsidRPr="008D71E1" w:rsidRDefault="003C2E14" w:rsidP="00F73B0A">
            <w:pPr>
              <w:pStyle w:val="Tabletext"/>
              <w:spacing w:before="0" w:after="0"/>
            </w:pPr>
            <w:r w:rsidRPr="008D71E1">
              <w:t>90 (95)</w:t>
            </w:r>
          </w:p>
        </w:tc>
        <w:tc>
          <w:tcPr>
            <w:tcW w:w="0" w:type="auto"/>
            <w:tcBorders>
              <w:top w:val="single" w:sz="4" w:space="0" w:color="auto"/>
            </w:tcBorders>
            <w:shd w:val="clear" w:color="auto" w:fill="auto"/>
          </w:tcPr>
          <w:p w14:paraId="04E31361" w14:textId="77777777" w:rsidR="003C2E14" w:rsidRPr="008D71E1" w:rsidRDefault="003C2E14" w:rsidP="00F73B0A">
            <w:pPr>
              <w:pStyle w:val="Tabletext"/>
              <w:spacing w:before="0" w:after="0"/>
            </w:pPr>
            <w:r>
              <w:t>Patients</w:t>
            </w:r>
            <w:r w:rsidRPr="008D71E1">
              <w:t xml:space="preserve"> who had undergone breast reconstruction with a </w:t>
            </w:r>
            <w:r>
              <w:t>LD</w:t>
            </w:r>
            <w:r w:rsidRPr="008D71E1">
              <w:t xml:space="preserve"> flap (immediate or delayed, unilateral or bilateral)</w:t>
            </w:r>
          </w:p>
        </w:tc>
        <w:tc>
          <w:tcPr>
            <w:tcW w:w="0" w:type="auto"/>
            <w:tcBorders>
              <w:top w:val="single" w:sz="4" w:space="0" w:color="auto"/>
            </w:tcBorders>
            <w:shd w:val="clear" w:color="auto" w:fill="auto"/>
          </w:tcPr>
          <w:p w14:paraId="166B231E" w14:textId="77777777" w:rsidR="003C2E14" w:rsidRPr="008D71E1" w:rsidRDefault="003C2E14" w:rsidP="00F73B0A">
            <w:pPr>
              <w:rPr>
                <w:rFonts w:ascii="Arial Narrow" w:hAnsi="Arial Narrow"/>
                <w:sz w:val="20"/>
              </w:rPr>
            </w:pPr>
            <w:r w:rsidRPr="008D71E1">
              <w:rPr>
                <w:rFonts w:ascii="Arial Narrow" w:hAnsi="Arial Narrow"/>
                <w:sz w:val="20"/>
              </w:rPr>
              <w:t>Reconstruction with an LD flap and AFG</w:t>
            </w:r>
          </w:p>
        </w:tc>
        <w:tc>
          <w:tcPr>
            <w:tcW w:w="0" w:type="auto"/>
            <w:tcBorders>
              <w:top w:val="single" w:sz="4" w:space="0" w:color="auto"/>
            </w:tcBorders>
            <w:shd w:val="clear" w:color="auto" w:fill="auto"/>
          </w:tcPr>
          <w:p w14:paraId="272EF630" w14:textId="77777777" w:rsidR="003C2E14" w:rsidRPr="008D71E1" w:rsidRDefault="003C2E14" w:rsidP="00F73B0A">
            <w:pPr>
              <w:pStyle w:val="Tabletext"/>
              <w:spacing w:before="0" w:after="0"/>
            </w:pPr>
            <w:r w:rsidRPr="008D71E1">
              <w:t>Reconstruction with an LD flap and prosthesis</w:t>
            </w:r>
          </w:p>
        </w:tc>
        <w:tc>
          <w:tcPr>
            <w:tcW w:w="0" w:type="auto"/>
            <w:tcBorders>
              <w:top w:val="single" w:sz="4" w:space="0" w:color="auto"/>
            </w:tcBorders>
            <w:shd w:val="clear" w:color="auto" w:fill="auto"/>
          </w:tcPr>
          <w:p w14:paraId="4FA7636E" w14:textId="77777777" w:rsidR="003C2E14" w:rsidRPr="008D71E1" w:rsidRDefault="003C2E14" w:rsidP="00F73B0A">
            <w:pPr>
              <w:pStyle w:val="Tabletext"/>
              <w:spacing w:before="0" w:after="0"/>
            </w:pPr>
            <w:r w:rsidRPr="008D71E1">
              <w:t>High</w:t>
            </w:r>
          </w:p>
        </w:tc>
        <w:tc>
          <w:tcPr>
            <w:tcW w:w="2513" w:type="dxa"/>
            <w:tcBorders>
              <w:top w:val="single" w:sz="4" w:space="0" w:color="auto"/>
            </w:tcBorders>
            <w:shd w:val="clear" w:color="auto" w:fill="auto"/>
          </w:tcPr>
          <w:p w14:paraId="639E648D" w14:textId="77777777" w:rsidR="003C2E14" w:rsidRPr="00F6232F" w:rsidRDefault="003C2E14" w:rsidP="00F73B0A">
            <w:pPr>
              <w:rPr>
                <w:rFonts w:ascii="Arial Narrow" w:hAnsi="Arial Narrow"/>
                <w:b/>
                <w:sz w:val="20"/>
              </w:rPr>
            </w:pPr>
            <w:r w:rsidRPr="00F6232F">
              <w:rPr>
                <w:rFonts w:ascii="Arial Narrow" w:hAnsi="Arial Narrow"/>
                <w:b/>
                <w:sz w:val="20"/>
              </w:rPr>
              <w:t>BREAST-Q</w:t>
            </w:r>
            <w:r>
              <w:rPr>
                <w:rFonts w:ascii="Arial Narrow" w:hAnsi="Arial Narrow"/>
                <w:b/>
                <w:sz w:val="20"/>
              </w:rPr>
              <w:t xml:space="preserve"> scores</w:t>
            </w:r>
            <w:r w:rsidRPr="00F6232F">
              <w:rPr>
                <w:rFonts w:ascii="Arial Narrow" w:hAnsi="Arial Narrow"/>
                <w:b/>
                <w:sz w:val="20"/>
              </w:rPr>
              <w:t xml:space="preserve"> (standardised point difference)</w:t>
            </w:r>
          </w:p>
          <w:p w14:paraId="4E845D26" w14:textId="77777777" w:rsidR="003C2E14" w:rsidRDefault="003C2E14" w:rsidP="00F73B0A">
            <w:pPr>
              <w:rPr>
                <w:rFonts w:ascii="Arial Narrow" w:hAnsi="Arial Narrow"/>
                <w:sz w:val="20"/>
              </w:rPr>
            </w:pPr>
            <w:r>
              <w:rPr>
                <w:rFonts w:ascii="Arial Narrow" w:hAnsi="Arial Narrow"/>
                <w:sz w:val="20"/>
              </w:rPr>
              <w:t xml:space="preserve">Revision procedures; </w:t>
            </w:r>
            <w:r w:rsidRPr="00305EB6">
              <w:rPr>
                <w:rFonts w:ascii="Arial Narrow" w:hAnsi="Arial Narrow"/>
                <w:sz w:val="20"/>
              </w:rPr>
              <w:t>total treatment period</w:t>
            </w:r>
          </w:p>
          <w:p w14:paraId="46F6522C" w14:textId="77777777" w:rsidR="003C2E14" w:rsidRPr="008D71E1" w:rsidRDefault="003C2E14" w:rsidP="00F73B0A">
            <w:pPr>
              <w:rPr>
                <w:rFonts w:ascii="Arial Narrow" w:hAnsi="Arial Narrow"/>
                <w:sz w:val="20"/>
              </w:rPr>
            </w:pPr>
            <w:r>
              <w:rPr>
                <w:rFonts w:ascii="Arial Narrow" w:hAnsi="Arial Narrow"/>
                <w:sz w:val="20"/>
              </w:rPr>
              <w:t>Surgical c</w:t>
            </w:r>
            <w:r w:rsidRPr="008D71E1">
              <w:rPr>
                <w:rFonts w:ascii="Arial Narrow" w:hAnsi="Arial Narrow"/>
                <w:sz w:val="20"/>
              </w:rPr>
              <w:t>omplications</w:t>
            </w:r>
            <w:r>
              <w:rPr>
                <w:rFonts w:ascii="Arial Narrow" w:hAnsi="Arial Narrow"/>
                <w:sz w:val="20"/>
              </w:rPr>
              <w:t xml:space="preserve"> (infection, seroma, haematoma)</w:t>
            </w:r>
          </w:p>
        </w:tc>
      </w:tr>
      <w:tr w:rsidR="003C2E14" w:rsidRPr="008D71E1" w14:paraId="715E284F" w14:textId="77777777" w:rsidTr="002D52C6">
        <w:tc>
          <w:tcPr>
            <w:tcW w:w="0" w:type="auto"/>
            <w:tcBorders>
              <w:top w:val="single" w:sz="4" w:space="0" w:color="auto"/>
            </w:tcBorders>
            <w:shd w:val="clear" w:color="auto" w:fill="auto"/>
          </w:tcPr>
          <w:p w14:paraId="12C22D09" w14:textId="77777777" w:rsidR="003C2E14" w:rsidRPr="008D71E1" w:rsidRDefault="003C2E14" w:rsidP="00F73B0A">
            <w:pPr>
              <w:pStyle w:val="Tabletext"/>
              <w:spacing w:before="0" w:after="0"/>
            </w:pPr>
            <w:r w:rsidRPr="00DB2695">
              <w:t>Masia 2015</w:t>
            </w:r>
          </w:p>
        </w:tc>
        <w:tc>
          <w:tcPr>
            <w:tcW w:w="0" w:type="auto"/>
            <w:tcBorders>
              <w:top w:val="single" w:sz="4" w:space="0" w:color="auto"/>
            </w:tcBorders>
            <w:shd w:val="clear" w:color="auto" w:fill="auto"/>
          </w:tcPr>
          <w:p w14:paraId="3E467422" w14:textId="77777777" w:rsidR="003C2E14" w:rsidRPr="008D71E1" w:rsidRDefault="003C2E14" w:rsidP="00F73B0A">
            <w:pPr>
              <w:pStyle w:val="Tabletext"/>
              <w:spacing w:before="0" w:after="0"/>
            </w:pPr>
            <w:r w:rsidRPr="00DB2695">
              <w:t>C, NM, R</w:t>
            </w:r>
          </w:p>
        </w:tc>
        <w:tc>
          <w:tcPr>
            <w:tcW w:w="0" w:type="auto"/>
            <w:tcBorders>
              <w:top w:val="single" w:sz="4" w:space="0" w:color="auto"/>
            </w:tcBorders>
            <w:shd w:val="clear" w:color="auto" w:fill="auto"/>
          </w:tcPr>
          <w:p w14:paraId="2FE2093B" w14:textId="77777777" w:rsidR="003C2E14" w:rsidRPr="008D71E1" w:rsidRDefault="003C2E14" w:rsidP="00F73B0A">
            <w:pPr>
              <w:pStyle w:val="Tabletext"/>
              <w:spacing w:before="0" w:after="0"/>
            </w:pPr>
            <w:r w:rsidRPr="00DB2695">
              <w:t>207 (214)</w:t>
            </w:r>
          </w:p>
        </w:tc>
        <w:tc>
          <w:tcPr>
            <w:tcW w:w="0" w:type="auto"/>
            <w:tcBorders>
              <w:top w:val="single" w:sz="4" w:space="0" w:color="auto"/>
            </w:tcBorders>
            <w:shd w:val="clear" w:color="auto" w:fill="auto"/>
          </w:tcPr>
          <w:p w14:paraId="0D88DDD9" w14:textId="77777777" w:rsidR="003C2E14" w:rsidRDefault="003C2E14" w:rsidP="00F73B0A">
            <w:pPr>
              <w:pStyle w:val="Tabletext"/>
              <w:spacing w:before="0" w:after="0"/>
            </w:pPr>
            <w:r w:rsidRPr="00DB2695">
              <w:t xml:space="preserve">Consecutive patients who underwent mastectomy for breast cancer, with or without radiation therapy, and subsequent autologous reconstruction (free flaps) </w:t>
            </w:r>
          </w:p>
        </w:tc>
        <w:tc>
          <w:tcPr>
            <w:tcW w:w="0" w:type="auto"/>
            <w:tcBorders>
              <w:top w:val="single" w:sz="4" w:space="0" w:color="auto"/>
            </w:tcBorders>
            <w:shd w:val="clear" w:color="auto" w:fill="auto"/>
          </w:tcPr>
          <w:p w14:paraId="56B39743" w14:textId="77777777" w:rsidR="003C2E14" w:rsidRPr="008D71E1" w:rsidRDefault="003C2E14" w:rsidP="00F73B0A">
            <w:pPr>
              <w:rPr>
                <w:rFonts w:ascii="Arial Narrow" w:hAnsi="Arial Narrow"/>
                <w:sz w:val="20"/>
              </w:rPr>
            </w:pPr>
            <w:r w:rsidRPr="00DB2695">
              <w:rPr>
                <w:rFonts w:ascii="Arial Narrow" w:hAnsi="Arial Narrow"/>
                <w:sz w:val="20"/>
              </w:rPr>
              <w:t xml:space="preserve">Autologous (free-flap) reconstruction with subsequent AFG. </w:t>
            </w:r>
            <w:r w:rsidRPr="00E74D21">
              <w:rPr>
                <w:rFonts w:ascii="Arial Narrow" w:hAnsi="Arial Narrow"/>
                <w:sz w:val="20"/>
              </w:rPr>
              <w:t>Reason for AFG treatment not reported (</w:t>
            </w:r>
            <w:r>
              <w:rPr>
                <w:rFonts w:ascii="Arial Narrow" w:hAnsi="Arial Narrow"/>
                <w:sz w:val="20"/>
              </w:rPr>
              <w:t>e.g.</w:t>
            </w:r>
            <w:r w:rsidRPr="00E74D21">
              <w:rPr>
                <w:rFonts w:ascii="Arial Narrow" w:hAnsi="Arial Narrow"/>
                <w:sz w:val="20"/>
              </w:rPr>
              <w:t xml:space="preserve"> pain or suboptimal outcomes)</w:t>
            </w:r>
          </w:p>
        </w:tc>
        <w:tc>
          <w:tcPr>
            <w:tcW w:w="0" w:type="auto"/>
            <w:tcBorders>
              <w:top w:val="single" w:sz="4" w:space="0" w:color="auto"/>
            </w:tcBorders>
            <w:shd w:val="clear" w:color="auto" w:fill="auto"/>
          </w:tcPr>
          <w:p w14:paraId="42BEBF7B" w14:textId="77777777" w:rsidR="003C2E14" w:rsidRPr="008D71E1" w:rsidRDefault="003C2E14" w:rsidP="00F73B0A">
            <w:pPr>
              <w:pStyle w:val="Tabletext"/>
              <w:spacing w:before="0" w:after="0"/>
            </w:pPr>
            <w:r w:rsidRPr="00DB2695">
              <w:t>Autologous (free-flap) reconstruction without subsequent AFG</w:t>
            </w:r>
          </w:p>
        </w:tc>
        <w:tc>
          <w:tcPr>
            <w:tcW w:w="0" w:type="auto"/>
            <w:tcBorders>
              <w:top w:val="single" w:sz="4" w:space="0" w:color="auto"/>
            </w:tcBorders>
            <w:shd w:val="clear" w:color="auto" w:fill="auto"/>
          </w:tcPr>
          <w:p w14:paraId="2AC498DE" w14:textId="77777777" w:rsidR="003C2E14" w:rsidRPr="008D71E1" w:rsidRDefault="003C2E14" w:rsidP="00F73B0A">
            <w:pPr>
              <w:pStyle w:val="Tabletext"/>
              <w:spacing w:before="0" w:after="0"/>
            </w:pPr>
            <w:r w:rsidRPr="00DB2695">
              <w:t>Low-medium</w:t>
            </w:r>
          </w:p>
        </w:tc>
        <w:tc>
          <w:tcPr>
            <w:tcW w:w="2513" w:type="dxa"/>
            <w:tcBorders>
              <w:top w:val="single" w:sz="4" w:space="0" w:color="auto"/>
            </w:tcBorders>
            <w:shd w:val="clear" w:color="auto" w:fill="auto"/>
          </w:tcPr>
          <w:p w14:paraId="5329458E" w14:textId="77777777" w:rsidR="003C2E14" w:rsidRPr="00F6232F" w:rsidRDefault="003C2E14" w:rsidP="00F73B0A">
            <w:pPr>
              <w:rPr>
                <w:rFonts w:ascii="Arial Narrow" w:hAnsi="Arial Narrow"/>
                <w:b/>
                <w:sz w:val="20"/>
              </w:rPr>
            </w:pPr>
            <w:r>
              <w:rPr>
                <w:rFonts w:ascii="Arial Narrow" w:hAnsi="Arial Narrow"/>
                <w:sz w:val="20"/>
              </w:rPr>
              <w:t>Loco</w:t>
            </w:r>
            <w:r w:rsidRPr="008D71E1">
              <w:rPr>
                <w:rFonts w:ascii="Arial Narrow" w:hAnsi="Arial Narrow"/>
                <w:sz w:val="20"/>
              </w:rPr>
              <w:t>regional recurrence</w:t>
            </w:r>
          </w:p>
        </w:tc>
      </w:tr>
      <w:tr w:rsidR="003C2E14" w:rsidRPr="008D71E1" w14:paraId="044DE6D3" w14:textId="77777777" w:rsidTr="002D52C6">
        <w:tc>
          <w:tcPr>
            <w:tcW w:w="0" w:type="auto"/>
            <w:tcBorders>
              <w:top w:val="single" w:sz="4" w:space="0" w:color="auto"/>
            </w:tcBorders>
            <w:shd w:val="clear" w:color="auto" w:fill="auto"/>
          </w:tcPr>
          <w:p w14:paraId="443D42BB" w14:textId="77777777" w:rsidR="003C2E14" w:rsidRPr="00DB2695" w:rsidRDefault="003C2E14" w:rsidP="00F73B0A">
            <w:pPr>
              <w:pStyle w:val="Tabletext"/>
              <w:spacing w:before="0" w:after="0"/>
            </w:pPr>
            <w:r w:rsidRPr="008D71E1">
              <w:t>Panettiere 2009</w:t>
            </w:r>
          </w:p>
        </w:tc>
        <w:tc>
          <w:tcPr>
            <w:tcW w:w="0" w:type="auto"/>
            <w:tcBorders>
              <w:top w:val="single" w:sz="4" w:space="0" w:color="auto"/>
            </w:tcBorders>
            <w:shd w:val="clear" w:color="auto" w:fill="auto"/>
          </w:tcPr>
          <w:p w14:paraId="7D35C64A" w14:textId="77777777" w:rsidR="003C2E14" w:rsidRPr="00DB2695" w:rsidRDefault="003C2E14" w:rsidP="00F73B0A">
            <w:pPr>
              <w:pStyle w:val="Tabletext"/>
              <w:spacing w:before="0" w:after="0"/>
            </w:pPr>
            <w:r w:rsidRPr="008D71E1">
              <w:t>C, NM, P</w:t>
            </w:r>
          </w:p>
        </w:tc>
        <w:tc>
          <w:tcPr>
            <w:tcW w:w="0" w:type="auto"/>
            <w:tcBorders>
              <w:top w:val="single" w:sz="4" w:space="0" w:color="auto"/>
            </w:tcBorders>
            <w:shd w:val="clear" w:color="auto" w:fill="auto"/>
          </w:tcPr>
          <w:p w14:paraId="1304F43B" w14:textId="77777777" w:rsidR="003C2E14" w:rsidRPr="00DB2695" w:rsidRDefault="003C2E14" w:rsidP="00F73B0A">
            <w:pPr>
              <w:pStyle w:val="Tabletext"/>
              <w:spacing w:before="0" w:after="0"/>
            </w:pPr>
            <w:r w:rsidRPr="008D71E1">
              <w:t>61 (62)</w:t>
            </w:r>
          </w:p>
        </w:tc>
        <w:tc>
          <w:tcPr>
            <w:tcW w:w="0" w:type="auto"/>
            <w:tcBorders>
              <w:top w:val="single" w:sz="4" w:space="0" w:color="auto"/>
            </w:tcBorders>
            <w:shd w:val="clear" w:color="auto" w:fill="auto"/>
          </w:tcPr>
          <w:p w14:paraId="401A2BEA" w14:textId="77777777" w:rsidR="003C2E14" w:rsidRPr="00DB2695" w:rsidRDefault="003C2E14" w:rsidP="00F73B0A">
            <w:pPr>
              <w:pStyle w:val="Tabletext"/>
              <w:spacing w:before="0" w:after="0"/>
            </w:pPr>
            <w:r w:rsidRPr="008D71E1">
              <w:t>Patients undergoing mastectomy, with radiation for breast cancer and subsequent prosthetic reconstruction. All patients presented mild to severe superficial irregularities and different degrees of skin dystrophy</w:t>
            </w:r>
          </w:p>
        </w:tc>
        <w:tc>
          <w:tcPr>
            <w:tcW w:w="0" w:type="auto"/>
            <w:tcBorders>
              <w:top w:val="single" w:sz="4" w:space="0" w:color="auto"/>
            </w:tcBorders>
            <w:shd w:val="clear" w:color="auto" w:fill="auto"/>
          </w:tcPr>
          <w:p w14:paraId="4713777D" w14:textId="77777777" w:rsidR="003C2E14" w:rsidRPr="00DB2695" w:rsidRDefault="003C2E14" w:rsidP="00F73B0A">
            <w:pPr>
              <w:rPr>
                <w:rFonts w:ascii="Arial Narrow" w:hAnsi="Arial Narrow"/>
                <w:sz w:val="20"/>
              </w:rPr>
            </w:pPr>
            <w:r w:rsidRPr="008D71E1">
              <w:rPr>
                <w:rFonts w:ascii="Arial Narrow" w:hAnsi="Arial Narrow"/>
                <w:sz w:val="20"/>
              </w:rPr>
              <w:t>AFG</w:t>
            </w:r>
          </w:p>
        </w:tc>
        <w:tc>
          <w:tcPr>
            <w:tcW w:w="0" w:type="auto"/>
            <w:tcBorders>
              <w:top w:val="single" w:sz="4" w:space="0" w:color="auto"/>
            </w:tcBorders>
            <w:shd w:val="clear" w:color="auto" w:fill="auto"/>
          </w:tcPr>
          <w:p w14:paraId="50DBDB30" w14:textId="77777777" w:rsidR="003C2E14" w:rsidRPr="00DB2695" w:rsidRDefault="003C2E14" w:rsidP="00F73B0A">
            <w:pPr>
              <w:pStyle w:val="Tabletext"/>
              <w:spacing w:before="0" w:after="0"/>
            </w:pPr>
            <w:r w:rsidRPr="008D71E1">
              <w:t>No AFG, standard treatment only</w:t>
            </w:r>
            <w:r w:rsidRPr="00BB2B06">
              <w:t xml:space="preserve">. </w:t>
            </w:r>
          </w:p>
        </w:tc>
        <w:tc>
          <w:tcPr>
            <w:tcW w:w="0" w:type="auto"/>
            <w:tcBorders>
              <w:top w:val="single" w:sz="4" w:space="0" w:color="auto"/>
            </w:tcBorders>
            <w:shd w:val="clear" w:color="auto" w:fill="auto"/>
          </w:tcPr>
          <w:p w14:paraId="1D74A60B" w14:textId="77777777" w:rsidR="003C2E14" w:rsidRPr="00DB2695" w:rsidRDefault="003C2E14" w:rsidP="00F73B0A">
            <w:pPr>
              <w:pStyle w:val="Tabletext"/>
              <w:spacing w:before="0" w:after="0"/>
            </w:pPr>
            <w:r w:rsidRPr="008D71E1">
              <w:t>Low-medium</w:t>
            </w:r>
          </w:p>
        </w:tc>
        <w:tc>
          <w:tcPr>
            <w:tcW w:w="2513" w:type="dxa"/>
            <w:tcBorders>
              <w:top w:val="single" w:sz="4" w:space="0" w:color="auto"/>
            </w:tcBorders>
            <w:shd w:val="clear" w:color="auto" w:fill="auto"/>
          </w:tcPr>
          <w:p w14:paraId="1F12B32A" w14:textId="77777777" w:rsidR="003C2E14" w:rsidRDefault="003C2E14" w:rsidP="00F73B0A">
            <w:pPr>
              <w:rPr>
                <w:rFonts w:ascii="Arial Narrow" w:hAnsi="Arial Narrow"/>
                <w:sz w:val="20"/>
              </w:rPr>
            </w:pPr>
            <w:r w:rsidRPr="008D71E1">
              <w:rPr>
                <w:rFonts w:ascii="Arial Narrow" w:hAnsi="Arial Narrow"/>
                <w:sz w:val="20"/>
              </w:rPr>
              <w:t>LENT-SOMA (pain, tele-angiectasias, atrophy, breast oedema, fibrosis)</w:t>
            </w:r>
          </w:p>
          <w:p w14:paraId="2B700A75" w14:textId="77777777" w:rsidR="003C2E14" w:rsidRDefault="003C2E14" w:rsidP="00F73B0A">
            <w:pPr>
              <w:rPr>
                <w:rFonts w:ascii="Arial Narrow" w:hAnsi="Arial Narrow"/>
                <w:sz w:val="20"/>
              </w:rPr>
            </w:pPr>
            <w:r>
              <w:rPr>
                <w:rFonts w:ascii="Arial Narrow" w:hAnsi="Arial Narrow"/>
                <w:b/>
                <w:sz w:val="20"/>
              </w:rPr>
              <w:t xml:space="preserve">Radiotherapy </w:t>
            </w:r>
            <w:r w:rsidRPr="00C81B4F">
              <w:rPr>
                <w:rFonts w:ascii="Arial Narrow" w:hAnsi="Arial Narrow"/>
                <w:b/>
                <w:sz w:val="20"/>
              </w:rPr>
              <w:t>complications (flap thinning and capsular contracture)</w:t>
            </w:r>
          </w:p>
        </w:tc>
      </w:tr>
      <w:tr w:rsidR="003C2E14" w:rsidRPr="008D71E1" w14:paraId="70FB7F6E" w14:textId="77777777" w:rsidTr="002D52C6">
        <w:tc>
          <w:tcPr>
            <w:tcW w:w="0" w:type="auto"/>
            <w:tcBorders>
              <w:top w:val="single" w:sz="4" w:space="0" w:color="auto"/>
            </w:tcBorders>
            <w:shd w:val="clear" w:color="auto" w:fill="auto"/>
          </w:tcPr>
          <w:p w14:paraId="3B9CE898" w14:textId="77777777" w:rsidR="003C2E14" w:rsidRPr="008D71E1" w:rsidRDefault="003C2E14" w:rsidP="00F73B0A">
            <w:pPr>
              <w:pStyle w:val="Tabletext"/>
              <w:spacing w:before="0" w:after="0"/>
            </w:pPr>
            <w:r w:rsidRPr="00DB2695">
              <w:t>Pinell-White 2015</w:t>
            </w:r>
          </w:p>
        </w:tc>
        <w:tc>
          <w:tcPr>
            <w:tcW w:w="0" w:type="auto"/>
            <w:tcBorders>
              <w:top w:val="single" w:sz="4" w:space="0" w:color="auto"/>
            </w:tcBorders>
            <w:shd w:val="clear" w:color="auto" w:fill="auto"/>
          </w:tcPr>
          <w:p w14:paraId="0D93F50D" w14:textId="77777777" w:rsidR="003C2E14" w:rsidRPr="008D71E1" w:rsidRDefault="003C2E14" w:rsidP="00F73B0A">
            <w:pPr>
              <w:pStyle w:val="Tabletext"/>
              <w:spacing w:before="0" w:after="0"/>
            </w:pPr>
            <w:r w:rsidRPr="00DB2695">
              <w:t>C, M, R</w:t>
            </w:r>
          </w:p>
        </w:tc>
        <w:tc>
          <w:tcPr>
            <w:tcW w:w="0" w:type="auto"/>
            <w:tcBorders>
              <w:top w:val="single" w:sz="4" w:space="0" w:color="auto"/>
            </w:tcBorders>
            <w:shd w:val="clear" w:color="auto" w:fill="auto"/>
          </w:tcPr>
          <w:p w14:paraId="002CA16F" w14:textId="77777777" w:rsidR="003C2E14" w:rsidRPr="008D71E1" w:rsidRDefault="003C2E14" w:rsidP="00F73B0A">
            <w:pPr>
              <w:pStyle w:val="Tabletext"/>
              <w:spacing w:before="0" w:after="0"/>
            </w:pPr>
            <w:r>
              <w:t>97 (</w:t>
            </w:r>
            <w:r w:rsidRPr="00DB2695">
              <w:t>102</w:t>
            </w:r>
            <w:r>
              <w:t>)</w:t>
            </w:r>
          </w:p>
        </w:tc>
        <w:tc>
          <w:tcPr>
            <w:tcW w:w="0" w:type="auto"/>
            <w:tcBorders>
              <w:top w:val="single" w:sz="4" w:space="0" w:color="auto"/>
            </w:tcBorders>
            <w:shd w:val="clear" w:color="auto" w:fill="auto"/>
          </w:tcPr>
          <w:p w14:paraId="4B39CB28" w14:textId="77777777" w:rsidR="003C2E14" w:rsidRPr="008D71E1" w:rsidRDefault="003C2E14" w:rsidP="00F73B0A">
            <w:pPr>
              <w:pStyle w:val="Tabletext"/>
              <w:spacing w:before="0" w:after="0"/>
            </w:pPr>
            <w:r w:rsidRPr="00DB2695">
              <w:t xml:space="preserve">Patients who underwent mastectomy, autologous or prosthetic reconstruction and had postoperative breast imaging at single hospital </w:t>
            </w:r>
          </w:p>
        </w:tc>
        <w:tc>
          <w:tcPr>
            <w:tcW w:w="0" w:type="auto"/>
            <w:tcBorders>
              <w:top w:val="single" w:sz="4" w:space="0" w:color="auto"/>
            </w:tcBorders>
            <w:shd w:val="clear" w:color="auto" w:fill="auto"/>
          </w:tcPr>
          <w:p w14:paraId="0333A157" w14:textId="77777777" w:rsidR="003C2E14" w:rsidRPr="008D71E1" w:rsidRDefault="003C2E14" w:rsidP="00F73B0A">
            <w:pPr>
              <w:rPr>
                <w:rFonts w:ascii="Arial Narrow" w:hAnsi="Arial Narrow"/>
                <w:sz w:val="20"/>
              </w:rPr>
            </w:pPr>
            <w:r w:rsidRPr="00E74D21">
              <w:rPr>
                <w:rFonts w:ascii="Arial Narrow" w:hAnsi="Arial Narrow"/>
                <w:sz w:val="20"/>
              </w:rPr>
              <w:t>Those who underwent AFG as an adjunct to breast reconstruction. Reason for AFG treatment not reported (</w:t>
            </w:r>
            <w:r>
              <w:rPr>
                <w:rFonts w:ascii="Arial Narrow" w:hAnsi="Arial Narrow"/>
                <w:sz w:val="20"/>
              </w:rPr>
              <w:t>e.g.</w:t>
            </w:r>
            <w:r w:rsidRPr="00E74D21">
              <w:rPr>
                <w:rFonts w:ascii="Arial Narrow" w:hAnsi="Arial Narrow"/>
                <w:sz w:val="20"/>
              </w:rPr>
              <w:t xml:space="preserve"> pain or suboptimal outcomes)</w:t>
            </w:r>
          </w:p>
        </w:tc>
        <w:tc>
          <w:tcPr>
            <w:tcW w:w="0" w:type="auto"/>
            <w:tcBorders>
              <w:top w:val="single" w:sz="4" w:space="0" w:color="auto"/>
            </w:tcBorders>
            <w:shd w:val="clear" w:color="auto" w:fill="auto"/>
          </w:tcPr>
          <w:p w14:paraId="6EC1465E" w14:textId="77777777" w:rsidR="003C2E14" w:rsidRPr="008D71E1" w:rsidRDefault="003C2E14" w:rsidP="00F73B0A">
            <w:pPr>
              <w:pStyle w:val="Tabletext"/>
              <w:spacing w:before="0" w:after="0"/>
            </w:pPr>
            <w:r w:rsidRPr="00E74D21">
              <w:t>Those who did not receive AFG, matched for various variables. Unclear if did not require or did not want AFG</w:t>
            </w:r>
          </w:p>
        </w:tc>
        <w:tc>
          <w:tcPr>
            <w:tcW w:w="0" w:type="auto"/>
            <w:tcBorders>
              <w:top w:val="single" w:sz="4" w:space="0" w:color="auto"/>
            </w:tcBorders>
            <w:shd w:val="clear" w:color="auto" w:fill="auto"/>
          </w:tcPr>
          <w:p w14:paraId="07B57419" w14:textId="77777777" w:rsidR="003C2E14" w:rsidRPr="008D71E1" w:rsidRDefault="003C2E14" w:rsidP="00F73B0A">
            <w:pPr>
              <w:pStyle w:val="Tabletext"/>
              <w:spacing w:before="0" w:after="0"/>
            </w:pPr>
            <w:r w:rsidRPr="00DB2695">
              <w:t>Low</w:t>
            </w:r>
          </w:p>
        </w:tc>
        <w:tc>
          <w:tcPr>
            <w:tcW w:w="2513" w:type="dxa"/>
            <w:tcBorders>
              <w:top w:val="single" w:sz="4" w:space="0" w:color="auto"/>
            </w:tcBorders>
            <w:shd w:val="clear" w:color="auto" w:fill="auto"/>
          </w:tcPr>
          <w:p w14:paraId="57339582" w14:textId="77777777" w:rsidR="003C2E14" w:rsidRPr="008D71E1" w:rsidRDefault="003C2E14" w:rsidP="00F73B0A">
            <w:pPr>
              <w:rPr>
                <w:rFonts w:ascii="Arial Narrow" w:hAnsi="Arial Narrow"/>
                <w:sz w:val="20"/>
              </w:rPr>
            </w:pPr>
            <w:r w:rsidRPr="00DB2695">
              <w:rPr>
                <w:rFonts w:ascii="Arial Narrow" w:hAnsi="Arial Narrow"/>
                <w:sz w:val="20"/>
              </w:rPr>
              <w:t>Abnormal</w:t>
            </w:r>
            <w:r>
              <w:rPr>
                <w:rFonts w:ascii="Arial Narrow" w:hAnsi="Arial Narrow"/>
                <w:sz w:val="20"/>
              </w:rPr>
              <w:t xml:space="preserve"> breast</w:t>
            </w:r>
            <w:r w:rsidRPr="00DB2695">
              <w:rPr>
                <w:rFonts w:ascii="Arial Narrow" w:hAnsi="Arial Narrow"/>
                <w:sz w:val="20"/>
              </w:rPr>
              <w:t xml:space="preserve"> imaging</w:t>
            </w:r>
            <w:r>
              <w:rPr>
                <w:rFonts w:ascii="Arial Narrow" w:hAnsi="Arial Narrow"/>
                <w:sz w:val="20"/>
              </w:rPr>
              <w:t xml:space="preserve"> and biopsy due to AFG complications (</w:t>
            </w:r>
            <w:r w:rsidRPr="00C81B4F">
              <w:rPr>
                <w:rFonts w:ascii="Arial Narrow" w:hAnsi="Arial Narrow"/>
                <w:sz w:val="20"/>
              </w:rPr>
              <w:t>fat necrosis, scarring,</w:t>
            </w:r>
            <w:r>
              <w:rPr>
                <w:rFonts w:ascii="Arial Narrow" w:hAnsi="Arial Narrow"/>
                <w:sz w:val="20"/>
              </w:rPr>
              <w:t xml:space="preserve"> </w:t>
            </w:r>
            <w:r w:rsidRPr="00C81B4F">
              <w:rPr>
                <w:rFonts w:ascii="Arial Narrow" w:hAnsi="Arial Narrow"/>
                <w:sz w:val="20"/>
              </w:rPr>
              <w:t>and calcification</w:t>
            </w:r>
            <w:r>
              <w:rPr>
                <w:rFonts w:ascii="Arial Narrow" w:hAnsi="Arial Narrow"/>
                <w:sz w:val="20"/>
              </w:rPr>
              <w:t>)</w:t>
            </w:r>
          </w:p>
        </w:tc>
      </w:tr>
      <w:tr w:rsidR="003C2E14" w:rsidRPr="008D71E1" w14:paraId="0EA2E43A" w14:textId="77777777" w:rsidTr="002D52C6">
        <w:tc>
          <w:tcPr>
            <w:tcW w:w="0" w:type="auto"/>
            <w:tcBorders>
              <w:top w:val="single" w:sz="4" w:space="0" w:color="auto"/>
              <w:bottom w:val="single" w:sz="4" w:space="0" w:color="auto"/>
            </w:tcBorders>
            <w:shd w:val="clear" w:color="auto" w:fill="auto"/>
          </w:tcPr>
          <w:p w14:paraId="7B548BAE" w14:textId="77777777" w:rsidR="003C2E14" w:rsidRPr="00DB2695" w:rsidRDefault="003C2E14" w:rsidP="00F73B0A">
            <w:pPr>
              <w:pStyle w:val="Tabletext"/>
              <w:spacing w:before="0" w:after="0"/>
            </w:pPr>
            <w:r w:rsidRPr="008D71E1">
              <w:t>Weichman 2013</w:t>
            </w:r>
          </w:p>
        </w:tc>
        <w:tc>
          <w:tcPr>
            <w:tcW w:w="0" w:type="auto"/>
            <w:tcBorders>
              <w:top w:val="single" w:sz="4" w:space="0" w:color="auto"/>
              <w:bottom w:val="single" w:sz="4" w:space="0" w:color="auto"/>
            </w:tcBorders>
            <w:shd w:val="clear" w:color="auto" w:fill="auto"/>
          </w:tcPr>
          <w:p w14:paraId="757F81A0" w14:textId="77777777" w:rsidR="003C2E14" w:rsidRPr="00DB2695" w:rsidRDefault="003C2E14" w:rsidP="00F73B0A">
            <w:pPr>
              <w:pStyle w:val="Tabletext"/>
              <w:spacing w:before="0" w:after="0"/>
            </w:pPr>
            <w:r w:rsidRPr="008D71E1">
              <w:t>C, NM, R</w:t>
            </w:r>
          </w:p>
        </w:tc>
        <w:tc>
          <w:tcPr>
            <w:tcW w:w="0" w:type="auto"/>
            <w:tcBorders>
              <w:top w:val="single" w:sz="4" w:space="0" w:color="auto"/>
              <w:bottom w:val="single" w:sz="4" w:space="0" w:color="auto"/>
            </w:tcBorders>
            <w:shd w:val="clear" w:color="auto" w:fill="auto"/>
          </w:tcPr>
          <w:p w14:paraId="379CDB39" w14:textId="77777777" w:rsidR="003C2E14" w:rsidRDefault="003C2E14" w:rsidP="00F73B0A">
            <w:pPr>
              <w:pStyle w:val="Tabletext"/>
              <w:spacing w:before="0" w:after="0"/>
            </w:pPr>
            <w:r w:rsidRPr="008D71E1">
              <w:t>374</w:t>
            </w:r>
          </w:p>
        </w:tc>
        <w:tc>
          <w:tcPr>
            <w:tcW w:w="0" w:type="auto"/>
            <w:tcBorders>
              <w:top w:val="single" w:sz="4" w:space="0" w:color="auto"/>
              <w:bottom w:val="single" w:sz="4" w:space="0" w:color="auto"/>
            </w:tcBorders>
            <w:shd w:val="clear" w:color="auto" w:fill="auto"/>
          </w:tcPr>
          <w:p w14:paraId="1792FC8A" w14:textId="77777777" w:rsidR="003C2E14" w:rsidRPr="00DB2695" w:rsidRDefault="003C2E14" w:rsidP="00F73B0A">
            <w:pPr>
              <w:pStyle w:val="Tabletext"/>
              <w:spacing w:before="0" w:after="0"/>
            </w:pPr>
            <w:r w:rsidRPr="008D71E1">
              <w:t>Patients undergoing autologous breast reconstruction with microvascular free flaps, with or without radiation</w:t>
            </w:r>
          </w:p>
        </w:tc>
        <w:tc>
          <w:tcPr>
            <w:tcW w:w="0" w:type="auto"/>
            <w:tcBorders>
              <w:top w:val="single" w:sz="4" w:space="0" w:color="auto"/>
              <w:bottom w:val="single" w:sz="4" w:space="0" w:color="auto"/>
            </w:tcBorders>
            <w:shd w:val="clear" w:color="auto" w:fill="auto"/>
          </w:tcPr>
          <w:p w14:paraId="7CEF0402" w14:textId="77777777" w:rsidR="003C2E14" w:rsidRPr="00E74D21" w:rsidRDefault="003C2E14" w:rsidP="00F73B0A">
            <w:pPr>
              <w:rPr>
                <w:rFonts w:ascii="Arial Narrow" w:hAnsi="Arial Narrow"/>
                <w:sz w:val="20"/>
              </w:rPr>
            </w:pPr>
            <w:r w:rsidRPr="008D71E1">
              <w:rPr>
                <w:rFonts w:ascii="Arial Narrow" w:hAnsi="Arial Narrow"/>
                <w:sz w:val="20"/>
              </w:rPr>
              <w:t>Secondary AFG to augment volume-deficient reconstructions and need to improve postoperative contour abnormalities</w:t>
            </w:r>
          </w:p>
        </w:tc>
        <w:tc>
          <w:tcPr>
            <w:tcW w:w="0" w:type="auto"/>
            <w:tcBorders>
              <w:top w:val="single" w:sz="4" w:space="0" w:color="auto"/>
              <w:bottom w:val="single" w:sz="4" w:space="0" w:color="auto"/>
            </w:tcBorders>
            <w:shd w:val="clear" w:color="auto" w:fill="auto"/>
          </w:tcPr>
          <w:p w14:paraId="7879C4AC" w14:textId="77777777" w:rsidR="003C2E14" w:rsidRPr="00E74D21" w:rsidRDefault="003C2E14" w:rsidP="00F73B0A">
            <w:pPr>
              <w:pStyle w:val="Tabletext"/>
              <w:spacing w:before="0" w:after="0"/>
            </w:pPr>
            <w:r w:rsidRPr="008D71E1">
              <w:t xml:space="preserve">No secondary AFG. </w:t>
            </w:r>
            <w:r w:rsidRPr="00BB2B06">
              <w:t>Unclear if did not require or did not want AFG</w:t>
            </w:r>
          </w:p>
        </w:tc>
        <w:tc>
          <w:tcPr>
            <w:tcW w:w="0" w:type="auto"/>
            <w:tcBorders>
              <w:top w:val="single" w:sz="4" w:space="0" w:color="auto"/>
              <w:bottom w:val="single" w:sz="4" w:space="0" w:color="auto"/>
            </w:tcBorders>
            <w:shd w:val="clear" w:color="auto" w:fill="auto"/>
          </w:tcPr>
          <w:p w14:paraId="727AF5BD" w14:textId="77777777" w:rsidR="003C2E14" w:rsidRPr="00DB2695" w:rsidRDefault="003C2E14" w:rsidP="00F73B0A">
            <w:pPr>
              <w:pStyle w:val="Tabletext"/>
              <w:spacing w:before="0" w:after="0"/>
            </w:pPr>
            <w:r w:rsidRPr="008D71E1">
              <w:t>Medium-high</w:t>
            </w:r>
          </w:p>
        </w:tc>
        <w:tc>
          <w:tcPr>
            <w:tcW w:w="2513" w:type="dxa"/>
            <w:tcBorders>
              <w:top w:val="single" w:sz="4" w:space="0" w:color="auto"/>
              <w:bottom w:val="single" w:sz="4" w:space="0" w:color="auto"/>
            </w:tcBorders>
            <w:shd w:val="clear" w:color="auto" w:fill="auto"/>
          </w:tcPr>
          <w:p w14:paraId="72324C38" w14:textId="77777777" w:rsidR="003C2E14" w:rsidRPr="00DB2695" w:rsidRDefault="003C2E14" w:rsidP="00F73B0A">
            <w:pPr>
              <w:rPr>
                <w:rFonts w:ascii="Arial Narrow" w:hAnsi="Arial Narrow"/>
                <w:sz w:val="20"/>
              </w:rPr>
            </w:pPr>
            <w:r>
              <w:rPr>
                <w:rFonts w:ascii="Arial Narrow" w:hAnsi="Arial Narrow"/>
                <w:sz w:val="20"/>
              </w:rPr>
              <w:t>Surgical characteristics of patients who did and did not require AFG. Surgical c</w:t>
            </w:r>
            <w:r w:rsidRPr="008D71E1">
              <w:rPr>
                <w:rFonts w:ascii="Arial Narrow" w:hAnsi="Arial Narrow"/>
                <w:sz w:val="20"/>
              </w:rPr>
              <w:t>omplications</w:t>
            </w:r>
            <w:r>
              <w:rPr>
                <w:rFonts w:ascii="Arial Narrow" w:hAnsi="Arial Narrow"/>
                <w:sz w:val="20"/>
              </w:rPr>
              <w:t xml:space="preserve"> and revisions</w:t>
            </w:r>
          </w:p>
        </w:tc>
      </w:tr>
      <w:tr w:rsidR="003C2E14" w:rsidRPr="008D71E1" w14:paraId="2543F609" w14:textId="77777777" w:rsidTr="002D52C6">
        <w:tc>
          <w:tcPr>
            <w:tcW w:w="0" w:type="auto"/>
            <w:tcBorders>
              <w:top w:val="single" w:sz="4" w:space="0" w:color="auto"/>
              <w:left w:val="single" w:sz="4" w:space="0" w:color="auto"/>
              <w:bottom w:val="single" w:sz="4" w:space="0" w:color="auto"/>
              <w:right w:val="nil"/>
            </w:tcBorders>
            <w:shd w:val="clear" w:color="auto" w:fill="auto"/>
          </w:tcPr>
          <w:p w14:paraId="1A1A3D7E" w14:textId="77777777" w:rsidR="003C2E14" w:rsidRPr="003F70D2" w:rsidRDefault="003C2E14" w:rsidP="00F73B0A">
            <w:pPr>
              <w:pStyle w:val="Tabletext"/>
              <w:spacing w:before="0" w:after="0"/>
              <w:rPr>
                <w:b/>
              </w:rPr>
            </w:pPr>
            <w:r>
              <w:rPr>
                <w:b/>
              </w:rPr>
              <w:t>Sub</w:t>
            </w:r>
            <w:r w:rsidRPr="003E1F0F">
              <w:rPr>
                <w:b/>
              </w:rPr>
              <w:t>p</w:t>
            </w:r>
            <w:r w:rsidRPr="003F70D2">
              <w:rPr>
                <w:b/>
              </w:rPr>
              <w:t>opulation</w:t>
            </w:r>
            <w:r>
              <w:rPr>
                <w:b/>
              </w:rPr>
              <w:t>:</w:t>
            </w:r>
          </w:p>
        </w:tc>
        <w:tc>
          <w:tcPr>
            <w:tcW w:w="0" w:type="auto"/>
            <w:tcBorders>
              <w:top w:val="single" w:sz="4" w:space="0" w:color="auto"/>
              <w:left w:val="nil"/>
              <w:bottom w:val="single" w:sz="4" w:space="0" w:color="auto"/>
              <w:right w:val="nil"/>
            </w:tcBorders>
            <w:shd w:val="clear" w:color="auto" w:fill="auto"/>
          </w:tcPr>
          <w:p w14:paraId="7BB5DBFE" w14:textId="77777777" w:rsidR="003C2E14" w:rsidRPr="003F70D2" w:rsidRDefault="003C2E14" w:rsidP="00F73B0A">
            <w:pPr>
              <w:pStyle w:val="Tabletext"/>
              <w:spacing w:before="0" w:after="0"/>
              <w:rPr>
                <w:b/>
              </w:rPr>
            </w:pPr>
            <w:r w:rsidRPr="003F70D2">
              <w:rPr>
                <w:b/>
              </w:rPr>
              <w:t>A3</w:t>
            </w:r>
          </w:p>
        </w:tc>
        <w:tc>
          <w:tcPr>
            <w:tcW w:w="0" w:type="auto"/>
            <w:tcBorders>
              <w:top w:val="single" w:sz="4" w:space="0" w:color="auto"/>
              <w:left w:val="nil"/>
              <w:bottom w:val="single" w:sz="4" w:space="0" w:color="auto"/>
              <w:right w:val="nil"/>
            </w:tcBorders>
            <w:shd w:val="clear" w:color="auto" w:fill="auto"/>
          </w:tcPr>
          <w:p w14:paraId="0AC59B95" w14:textId="77777777" w:rsidR="003C2E14" w:rsidRPr="008D71E1" w:rsidRDefault="003C2E14" w:rsidP="00F73B0A">
            <w:pPr>
              <w:pStyle w:val="Tabletext"/>
              <w:spacing w:before="0" w:after="0"/>
            </w:pPr>
          </w:p>
        </w:tc>
        <w:tc>
          <w:tcPr>
            <w:tcW w:w="0" w:type="auto"/>
            <w:tcBorders>
              <w:top w:val="single" w:sz="4" w:space="0" w:color="auto"/>
              <w:left w:val="nil"/>
              <w:bottom w:val="single" w:sz="4" w:space="0" w:color="auto"/>
              <w:right w:val="nil"/>
            </w:tcBorders>
            <w:shd w:val="clear" w:color="auto" w:fill="auto"/>
          </w:tcPr>
          <w:p w14:paraId="59EE63CA" w14:textId="77777777" w:rsidR="003C2E14" w:rsidRPr="008D71E1" w:rsidRDefault="003C2E14" w:rsidP="00F73B0A">
            <w:pPr>
              <w:pStyle w:val="Tabletext"/>
              <w:spacing w:before="0" w:after="0"/>
            </w:pPr>
          </w:p>
        </w:tc>
        <w:tc>
          <w:tcPr>
            <w:tcW w:w="0" w:type="auto"/>
            <w:tcBorders>
              <w:top w:val="single" w:sz="4" w:space="0" w:color="auto"/>
              <w:left w:val="nil"/>
              <w:bottom w:val="single" w:sz="4" w:space="0" w:color="auto"/>
              <w:right w:val="nil"/>
            </w:tcBorders>
            <w:shd w:val="clear" w:color="auto" w:fill="auto"/>
          </w:tcPr>
          <w:p w14:paraId="29773339" w14:textId="77777777" w:rsidR="003C2E14" w:rsidRPr="008D71E1" w:rsidRDefault="003C2E14" w:rsidP="00F73B0A">
            <w:pPr>
              <w:rPr>
                <w:rFonts w:ascii="Arial Narrow" w:hAnsi="Arial Narrow"/>
                <w:sz w:val="20"/>
              </w:rPr>
            </w:pPr>
          </w:p>
        </w:tc>
        <w:tc>
          <w:tcPr>
            <w:tcW w:w="0" w:type="auto"/>
            <w:tcBorders>
              <w:top w:val="single" w:sz="4" w:space="0" w:color="auto"/>
              <w:left w:val="nil"/>
              <w:bottom w:val="single" w:sz="4" w:space="0" w:color="auto"/>
              <w:right w:val="nil"/>
            </w:tcBorders>
            <w:shd w:val="clear" w:color="auto" w:fill="auto"/>
          </w:tcPr>
          <w:p w14:paraId="5CF4C854" w14:textId="77777777" w:rsidR="003C2E14" w:rsidRPr="008D71E1" w:rsidRDefault="003C2E14" w:rsidP="00F73B0A">
            <w:pPr>
              <w:pStyle w:val="Tabletext"/>
              <w:spacing w:before="0" w:after="0"/>
            </w:pPr>
          </w:p>
        </w:tc>
        <w:tc>
          <w:tcPr>
            <w:tcW w:w="0" w:type="auto"/>
            <w:tcBorders>
              <w:top w:val="single" w:sz="4" w:space="0" w:color="auto"/>
              <w:left w:val="nil"/>
              <w:bottom w:val="single" w:sz="4" w:space="0" w:color="auto"/>
              <w:right w:val="nil"/>
            </w:tcBorders>
            <w:shd w:val="clear" w:color="auto" w:fill="auto"/>
          </w:tcPr>
          <w:p w14:paraId="35B62851" w14:textId="77777777" w:rsidR="003C2E14" w:rsidRPr="008D71E1" w:rsidRDefault="003C2E14" w:rsidP="00F73B0A">
            <w:pPr>
              <w:pStyle w:val="Tabletext"/>
              <w:spacing w:before="0" w:after="0"/>
            </w:pPr>
          </w:p>
        </w:tc>
        <w:tc>
          <w:tcPr>
            <w:tcW w:w="2513" w:type="dxa"/>
            <w:tcBorders>
              <w:top w:val="single" w:sz="4" w:space="0" w:color="auto"/>
              <w:left w:val="nil"/>
              <w:bottom w:val="single" w:sz="4" w:space="0" w:color="auto"/>
              <w:right w:val="single" w:sz="4" w:space="0" w:color="auto"/>
            </w:tcBorders>
            <w:shd w:val="clear" w:color="auto" w:fill="auto"/>
          </w:tcPr>
          <w:p w14:paraId="28357130" w14:textId="77777777" w:rsidR="003C2E14" w:rsidRDefault="003C2E14" w:rsidP="00F73B0A">
            <w:pPr>
              <w:rPr>
                <w:rFonts w:ascii="Arial Narrow" w:hAnsi="Arial Narrow"/>
                <w:sz w:val="20"/>
              </w:rPr>
            </w:pPr>
          </w:p>
        </w:tc>
      </w:tr>
      <w:tr w:rsidR="003C2E14" w:rsidRPr="008D71E1" w14:paraId="4BBCFD6E" w14:textId="77777777" w:rsidTr="002D52C6">
        <w:tc>
          <w:tcPr>
            <w:tcW w:w="0" w:type="auto"/>
            <w:tcBorders>
              <w:top w:val="single" w:sz="4" w:space="0" w:color="auto"/>
              <w:bottom w:val="single" w:sz="4" w:space="0" w:color="auto"/>
            </w:tcBorders>
            <w:shd w:val="clear" w:color="auto" w:fill="auto"/>
          </w:tcPr>
          <w:p w14:paraId="3B428891" w14:textId="77777777" w:rsidR="003C2E14" w:rsidRPr="008D71E1" w:rsidRDefault="003C2E14" w:rsidP="00F73B0A">
            <w:pPr>
              <w:pStyle w:val="Tabletext"/>
              <w:spacing w:before="0" w:after="0"/>
            </w:pPr>
            <w:r w:rsidRPr="008D71E1">
              <w:t>Khan 2017</w:t>
            </w:r>
          </w:p>
        </w:tc>
        <w:tc>
          <w:tcPr>
            <w:tcW w:w="0" w:type="auto"/>
            <w:tcBorders>
              <w:top w:val="single" w:sz="4" w:space="0" w:color="auto"/>
              <w:bottom w:val="single" w:sz="4" w:space="0" w:color="auto"/>
            </w:tcBorders>
            <w:shd w:val="clear" w:color="auto" w:fill="auto"/>
          </w:tcPr>
          <w:p w14:paraId="027DFF97" w14:textId="77777777" w:rsidR="003C2E14" w:rsidRPr="008D71E1" w:rsidRDefault="003C2E14" w:rsidP="00F73B0A">
            <w:pPr>
              <w:pStyle w:val="Tabletext"/>
              <w:spacing w:before="0" w:after="0"/>
            </w:pPr>
            <w:r w:rsidRPr="008D71E1">
              <w:t>C, NM, R</w:t>
            </w:r>
          </w:p>
        </w:tc>
        <w:tc>
          <w:tcPr>
            <w:tcW w:w="0" w:type="auto"/>
            <w:tcBorders>
              <w:top w:val="single" w:sz="4" w:space="0" w:color="auto"/>
              <w:bottom w:val="single" w:sz="4" w:space="0" w:color="auto"/>
            </w:tcBorders>
            <w:shd w:val="clear" w:color="auto" w:fill="auto"/>
          </w:tcPr>
          <w:p w14:paraId="36C30053" w14:textId="77777777" w:rsidR="003C2E14" w:rsidRPr="008D71E1" w:rsidRDefault="003C2E14" w:rsidP="00F73B0A">
            <w:pPr>
              <w:pStyle w:val="Tabletext"/>
              <w:spacing w:before="0" w:after="0"/>
            </w:pPr>
            <w:r w:rsidRPr="008D71E1">
              <w:t>71</w:t>
            </w:r>
          </w:p>
        </w:tc>
        <w:tc>
          <w:tcPr>
            <w:tcW w:w="0" w:type="auto"/>
            <w:tcBorders>
              <w:top w:val="single" w:sz="4" w:space="0" w:color="auto"/>
              <w:bottom w:val="single" w:sz="4" w:space="0" w:color="auto"/>
            </w:tcBorders>
            <w:shd w:val="clear" w:color="auto" w:fill="auto"/>
          </w:tcPr>
          <w:p w14:paraId="71F03A08" w14:textId="77777777" w:rsidR="003C2E14" w:rsidRPr="008D71E1" w:rsidRDefault="003C2E14" w:rsidP="00F73B0A">
            <w:pPr>
              <w:pStyle w:val="Tabletext"/>
              <w:spacing w:before="0" w:after="0"/>
            </w:pPr>
            <w:r w:rsidRPr="008D71E1">
              <w:t>Patients with early breast cancer who underwent BCS and whole breast radiotherapy</w:t>
            </w:r>
          </w:p>
        </w:tc>
        <w:tc>
          <w:tcPr>
            <w:tcW w:w="0" w:type="auto"/>
            <w:tcBorders>
              <w:top w:val="single" w:sz="4" w:space="0" w:color="auto"/>
              <w:bottom w:val="single" w:sz="4" w:space="0" w:color="auto"/>
            </w:tcBorders>
            <w:shd w:val="clear" w:color="auto" w:fill="auto"/>
          </w:tcPr>
          <w:p w14:paraId="27EF397F" w14:textId="77777777" w:rsidR="003C2E14" w:rsidRPr="008D71E1" w:rsidRDefault="003C2E14" w:rsidP="00F73B0A">
            <w:pPr>
              <w:rPr>
                <w:rFonts w:ascii="Arial Narrow" w:hAnsi="Arial Narrow"/>
                <w:sz w:val="20"/>
              </w:rPr>
            </w:pPr>
            <w:r w:rsidRPr="008D71E1">
              <w:rPr>
                <w:rFonts w:ascii="Arial Narrow" w:hAnsi="Arial Narrow"/>
                <w:sz w:val="20"/>
              </w:rPr>
              <w:t>Immediate AFG after BCS</w:t>
            </w:r>
          </w:p>
        </w:tc>
        <w:tc>
          <w:tcPr>
            <w:tcW w:w="0" w:type="auto"/>
            <w:tcBorders>
              <w:top w:val="single" w:sz="4" w:space="0" w:color="auto"/>
              <w:bottom w:val="single" w:sz="4" w:space="0" w:color="auto"/>
            </w:tcBorders>
            <w:shd w:val="clear" w:color="auto" w:fill="auto"/>
          </w:tcPr>
          <w:p w14:paraId="1F7D88E4" w14:textId="77777777" w:rsidR="003C2E14" w:rsidRPr="008D71E1" w:rsidRDefault="003C2E14" w:rsidP="00F73B0A">
            <w:pPr>
              <w:pStyle w:val="Tabletext"/>
              <w:spacing w:before="0" w:after="0"/>
            </w:pPr>
            <w:r w:rsidRPr="008D71E1">
              <w:t>BCS alone</w:t>
            </w:r>
          </w:p>
        </w:tc>
        <w:tc>
          <w:tcPr>
            <w:tcW w:w="0" w:type="auto"/>
            <w:tcBorders>
              <w:top w:val="single" w:sz="4" w:space="0" w:color="auto"/>
              <w:bottom w:val="single" w:sz="4" w:space="0" w:color="auto"/>
            </w:tcBorders>
            <w:shd w:val="clear" w:color="auto" w:fill="auto"/>
          </w:tcPr>
          <w:p w14:paraId="2DF95ECF" w14:textId="77777777" w:rsidR="003C2E14" w:rsidRPr="008D71E1" w:rsidRDefault="003C2E14" w:rsidP="00F73B0A">
            <w:pPr>
              <w:pStyle w:val="Tabletext"/>
              <w:spacing w:before="0" w:after="0"/>
            </w:pPr>
            <w:r w:rsidRPr="008D71E1">
              <w:t>Low-medium</w:t>
            </w:r>
          </w:p>
        </w:tc>
        <w:tc>
          <w:tcPr>
            <w:tcW w:w="2513" w:type="dxa"/>
            <w:tcBorders>
              <w:top w:val="single" w:sz="4" w:space="0" w:color="auto"/>
              <w:bottom w:val="single" w:sz="4" w:space="0" w:color="auto"/>
            </w:tcBorders>
            <w:shd w:val="clear" w:color="auto" w:fill="auto"/>
          </w:tcPr>
          <w:p w14:paraId="52B6E5B8" w14:textId="77777777" w:rsidR="003C2E14" w:rsidRPr="008D71E1" w:rsidRDefault="003C2E14" w:rsidP="00F73B0A">
            <w:pPr>
              <w:rPr>
                <w:rFonts w:ascii="Arial Narrow" w:hAnsi="Arial Narrow"/>
                <w:sz w:val="20"/>
              </w:rPr>
            </w:pPr>
            <w:r w:rsidRPr="008D71E1">
              <w:rPr>
                <w:rFonts w:ascii="Arial Narrow" w:hAnsi="Arial Narrow"/>
                <w:sz w:val="20"/>
              </w:rPr>
              <w:t>Locoregional recurrence</w:t>
            </w:r>
          </w:p>
          <w:p w14:paraId="4D97985D" w14:textId="77777777" w:rsidR="003C2E14" w:rsidRDefault="003C2E14" w:rsidP="00F73B0A">
            <w:pPr>
              <w:rPr>
                <w:rFonts w:ascii="Arial Narrow" w:hAnsi="Arial Narrow"/>
                <w:sz w:val="20"/>
              </w:rPr>
            </w:pPr>
            <w:r w:rsidRPr="00F6232F">
              <w:rPr>
                <w:rFonts w:ascii="Arial Narrow" w:hAnsi="Arial Narrow"/>
                <w:b/>
                <w:sz w:val="20"/>
              </w:rPr>
              <w:t>% of patients satisfied/dissatisfied by each of the BREAST-Q domain</w:t>
            </w:r>
            <w:r>
              <w:rPr>
                <w:rFonts w:ascii="Arial Narrow" w:hAnsi="Arial Narrow"/>
                <w:b/>
                <w:sz w:val="20"/>
              </w:rPr>
              <w:t>s</w:t>
            </w:r>
          </w:p>
        </w:tc>
      </w:tr>
      <w:tr w:rsidR="003C2E14" w:rsidRPr="008D71E1" w14:paraId="742A652D" w14:textId="77777777" w:rsidTr="002D52C6">
        <w:tc>
          <w:tcPr>
            <w:tcW w:w="0" w:type="auto"/>
            <w:tcBorders>
              <w:top w:val="single" w:sz="4" w:space="0" w:color="auto"/>
              <w:bottom w:val="single" w:sz="4" w:space="0" w:color="auto"/>
            </w:tcBorders>
            <w:shd w:val="clear" w:color="auto" w:fill="auto"/>
          </w:tcPr>
          <w:p w14:paraId="2C53300A" w14:textId="77777777" w:rsidR="003C2E14" w:rsidRPr="008D71E1" w:rsidRDefault="003C2E14" w:rsidP="00F73B0A">
            <w:pPr>
              <w:pStyle w:val="Tabletext"/>
              <w:spacing w:before="0" w:after="0"/>
            </w:pPr>
            <w:r w:rsidRPr="008D71E1">
              <w:t>Mestak 2016</w:t>
            </w:r>
          </w:p>
        </w:tc>
        <w:tc>
          <w:tcPr>
            <w:tcW w:w="0" w:type="auto"/>
            <w:tcBorders>
              <w:top w:val="single" w:sz="4" w:space="0" w:color="auto"/>
              <w:bottom w:val="single" w:sz="4" w:space="0" w:color="auto"/>
            </w:tcBorders>
            <w:shd w:val="clear" w:color="auto" w:fill="auto"/>
          </w:tcPr>
          <w:p w14:paraId="0E66C9A0" w14:textId="77777777" w:rsidR="003C2E14" w:rsidRPr="008D71E1" w:rsidRDefault="003C2E14" w:rsidP="00F73B0A">
            <w:pPr>
              <w:pStyle w:val="Tabletext"/>
              <w:spacing w:before="0" w:after="0"/>
            </w:pPr>
            <w:r w:rsidRPr="008D71E1">
              <w:t>C, M, R</w:t>
            </w:r>
          </w:p>
        </w:tc>
        <w:tc>
          <w:tcPr>
            <w:tcW w:w="0" w:type="auto"/>
            <w:tcBorders>
              <w:top w:val="single" w:sz="4" w:space="0" w:color="auto"/>
              <w:bottom w:val="single" w:sz="4" w:space="0" w:color="auto"/>
            </w:tcBorders>
            <w:shd w:val="clear" w:color="auto" w:fill="auto"/>
          </w:tcPr>
          <w:p w14:paraId="1851B85F" w14:textId="77777777" w:rsidR="003C2E14" w:rsidRPr="008D71E1" w:rsidRDefault="003C2E14" w:rsidP="00F73B0A">
            <w:pPr>
              <w:pStyle w:val="Tabletext"/>
              <w:spacing w:before="0" w:after="0"/>
            </w:pPr>
            <w:r w:rsidRPr="008D71E1">
              <w:t>77</w:t>
            </w:r>
          </w:p>
        </w:tc>
        <w:tc>
          <w:tcPr>
            <w:tcW w:w="0" w:type="auto"/>
            <w:tcBorders>
              <w:top w:val="single" w:sz="4" w:space="0" w:color="auto"/>
              <w:bottom w:val="single" w:sz="4" w:space="0" w:color="auto"/>
            </w:tcBorders>
            <w:shd w:val="clear" w:color="auto" w:fill="auto"/>
          </w:tcPr>
          <w:p w14:paraId="121AE5AA" w14:textId="77777777" w:rsidR="003C2E14" w:rsidRPr="008D71E1" w:rsidRDefault="003C2E14" w:rsidP="00F73B0A">
            <w:pPr>
              <w:pStyle w:val="Tabletext"/>
              <w:spacing w:before="0" w:after="0"/>
            </w:pPr>
            <w:r w:rsidRPr="008D71E1">
              <w:t>Patients who underwent BCS with radiotherapy</w:t>
            </w:r>
          </w:p>
        </w:tc>
        <w:tc>
          <w:tcPr>
            <w:tcW w:w="0" w:type="auto"/>
            <w:tcBorders>
              <w:top w:val="single" w:sz="4" w:space="0" w:color="auto"/>
              <w:bottom w:val="single" w:sz="4" w:space="0" w:color="auto"/>
            </w:tcBorders>
            <w:shd w:val="clear" w:color="auto" w:fill="auto"/>
          </w:tcPr>
          <w:p w14:paraId="2CE9535F" w14:textId="77777777" w:rsidR="003C2E14" w:rsidRPr="008D71E1" w:rsidRDefault="003C2E14" w:rsidP="00F73B0A">
            <w:pPr>
              <w:rPr>
                <w:rFonts w:ascii="Arial Narrow" w:hAnsi="Arial Narrow"/>
                <w:sz w:val="20"/>
              </w:rPr>
            </w:pPr>
            <w:r w:rsidRPr="008D71E1">
              <w:rPr>
                <w:rFonts w:ascii="Arial Narrow" w:hAnsi="Arial Narrow"/>
                <w:sz w:val="20"/>
              </w:rPr>
              <w:t>Breast reconstruction using AFG alone</w:t>
            </w:r>
          </w:p>
        </w:tc>
        <w:tc>
          <w:tcPr>
            <w:tcW w:w="0" w:type="auto"/>
            <w:tcBorders>
              <w:top w:val="single" w:sz="4" w:space="0" w:color="auto"/>
              <w:bottom w:val="single" w:sz="4" w:space="0" w:color="auto"/>
            </w:tcBorders>
            <w:shd w:val="clear" w:color="auto" w:fill="auto"/>
          </w:tcPr>
          <w:p w14:paraId="0E302839" w14:textId="77777777" w:rsidR="003C2E14" w:rsidRPr="008D71E1" w:rsidRDefault="003C2E14" w:rsidP="00F73B0A">
            <w:pPr>
              <w:pStyle w:val="Tabletext"/>
              <w:spacing w:before="0" w:after="0"/>
            </w:pPr>
            <w:r w:rsidRPr="008D71E1">
              <w:t xml:space="preserve">Those who did not have AFG (with or without other reconstruction), matched for </w:t>
            </w:r>
            <w:r w:rsidRPr="008D71E1">
              <w:lastRenderedPageBreak/>
              <w:t xml:space="preserve">various variables. </w:t>
            </w:r>
            <w:r w:rsidRPr="00177454">
              <w:t>Unclear if did not require or did not want AFG</w:t>
            </w:r>
          </w:p>
        </w:tc>
        <w:tc>
          <w:tcPr>
            <w:tcW w:w="0" w:type="auto"/>
            <w:tcBorders>
              <w:top w:val="single" w:sz="4" w:space="0" w:color="auto"/>
              <w:bottom w:val="single" w:sz="4" w:space="0" w:color="auto"/>
            </w:tcBorders>
            <w:shd w:val="clear" w:color="auto" w:fill="auto"/>
          </w:tcPr>
          <w:p w14:paraId="6883DBD6" w14:textId="77777777" w:rsidR="003C2E14" w:rsidRPr="008D71E1" w:rsidRDefault="003C2E14" w:rsidP="00F73B0A">
            <w:pPr>
              <w:pStyle w:val="Tabletext"/>
              <w:spacing w:before="0" w:after="0"/>
            </w:pPr>
            <w:r w:rsidRPr="008D71E1">
              <w:lastRenderedPageBreak/>
              <w:t>Low</w:t>
            </w:r>
          </w:p>
        </w:tc>
        <w:tc>
          <w:tcPr>
            <w:tcW w:w="2513" w:type="dxa"/>
            <w:tcBorders>
              <w:top w:val="single" w:sz="4" w:space="0" w:color="auto"/>
              <w:bottom w:val="single" w:sz="4" w:space="0" w:color="auto"/>
            </w:tcBorders>
            <w:shd w:val="clear" w:color="auto" w:fill="auto"/>
          </w:tcPr>
          <w:p w14:paraId="2595855F" w14:textId="77777777" w:rsidR="003C2E14" w:rsidRDefault="003C2E14" w:rsidP="00F73B0A">
            <w:pPr>
              <w:rPr>
                <w:rFonts w:ascii="Arial Narrow" w:hAnsi="Arial Narrow"/>
                <w:sz w:val="20"/>
              </w:rPr>
            </w:pPr>
            <w:r w:rsidRPr="008D71E1">
              <w:rPr>
                <w:rFonts w:ascii="Arial Narrow" w:hAnsi="Arial Narrow"/>
                <w:sz w:val="20"/>
              </w:rPr>
              <w:t>Locoregional recurrence</w:t>
            </w:r>
          </w:p>
        </w:tc>
      </w:tr>
      <w:tr w:rsidR="003C2E14" w:rsidRPr="008D71E1" w14:paraId="3C010885" w14:textId="77777777" w:rsidTr="002D52C6">
        <w:tc>
          <w:tcPr>
            <w:tcW w:w="0" w:type="auto"/>
            <w:tcBorders>
              <w:top w:val="single" w:sz="4" w:space="0" w:color="auto"/>
              <w:bottom w:val="single" w:sz="4" w:space="0" w:color="auto"/>
            </w:tcBorders>
            <w:shd w:val="clear" w:color="auto" w:fill="auto"/>
          </w:tcPr>
          <w:p w14:paraId="19785D1F" w14:textId="77777777" w:rsidR="003C2E14" w:rsidRPr="008D71E1" w:rsidRDefault="003C2E14" w:rsidP="00F73B0A">
            <w:pPr>
              <w:pStyle w:val="Tabletext"/>
              <w:spacing w:before="0" w:after="0"/>
            </w:pPr>
            <w:r w:rsidRPr="008D71E1">
              <w:t>Stumpf 2017</w:t>
            </w:r>
          </w:p>
        </w:tc>
        <w:tc>
          <w:tcPr>
            <w:tcW w:w="0" w:type="auto"/>
            <w:tcBorders>
              <w:top w:val="single" w:sz="4" w:space="0" w:color="auto"/>
              <w:bottom w:val="single" w:sz="4" w:space="0" w:color="auto"/>
            </w:tcBorders>
            <w:shd w:val="clear" w:color="auto" w:fill="auto"/>
          </w:tcPr>
          <w:p w14:paraId="399925C9" w14:textId="77777777" w:rsidR="003C2E14" w:rsidRPr="008D71E1" w:rsidRDefault="003C2E14" w:rsidP="00F73B0A">
            <w:pPr>
              <w:pStyle w:val="Tabletext"/>
              <w:spacing w:before="0" w:after="0"/>
            </w:pPr>
            <w:r w:rsidRPr="008D71E1">
              <w:t>C, NM, R</w:t>
            </w:r>
          </w:p>
        </w:tc>
        <w:tc>
          <w:tcPr>
            <w:tcW w:w="0" w:type="auto"/>
            <w:tcBorders>
              <w:top w:val="single" w:sz="4" w:space="0" w:color="auto"/>
              <w:bottom w:val="single" w:sz="4" w:space="0" w:color="auto"/>
            </w:tcBorders>
            <w:shd w:val="clear" w:color="auto" w:fill="auto"/>
          </w:tcPr>
          <w:p w14:paraId="434B5A59" w14:textId="77777777" w:rsidR="003C2E14" w:rsidRPr="008D71E1" w:rsidRDefault="003C2E14" w:rsidP="00F73B0A">
            <w:pPr>
              <w:pStyle w:val="Tabletext"/>
              <w:spacing w:before="0" w:after="0"/>
            </w:pPr>
            <w:r w:rsidRPr="008D71E1">
              <w:t>194</w:t>
            </w:r>
          </w:p>
        </w:tc>
        <w:tc>
          <w:tcPr>
            <w:tcW w:w="0" w:type="auto"/>
            <w:tcBorders>
              <w:top w:val="single" w:sz="4" w:space="0" w:color="auto"/>
              <w:bottom w:val="single" w:sz="4" w:space="0" w:color="auto"/>
            </w:tcBorders>
            <w:shd w:val="clear" w:color="auto" w:fill="auto"/>
          </w:tcPr>
          <w:p w14:paraId="3CD5E95D" w14:textId="77777777" w:rsidR="003C2E14" w:rsidRPr="008D71E1" w:rsidRDefault="003C2E14" w:rsidP="00F73B0A">
            <w:pPr>
              <w:pStyle w:val="Tabletext"/>
              <w:spacing w:before="0" w:after="0"/>
            </w:pPr>
            <w:r w:rsidRPr="008D71E1">
              <w:t xml:space="preserve">Patients with invasive breast cancer submitted to </w:t>
            </w:r>
            <w:r>
              <w:t>BCS</w:t>
            </w:r>
            <w:r w:rsidRPr="008D71E1">
              <w:t xml:space="preserve">, most receiving radiotherapy </w:t>
            </w:r>
          </w:p>
        </w:tc>
        <w:tc>
          <w:tcPr>
            <w:tcW w:w="0" w:type="auto"/>
            <w:tcBorders>
              <w:top w:val="single" w:sz="4" w:space="0" w:color="auto"/>
              <w:bottom w:val="single" w:sz="4" w:space="0" w:color="auto"/>
            </w:tcBorders>
            <w:shd w:val="clear" w:color="auto" w:fill="auto"/>
          </w:tcPr>
          <w:p w14:paraId="7566773D" w14:textId="77777777" w:rsidR="003C2E14" w:rsidRPr="008D71E1" w:rsidRDefault="003C2E14" w:rsidP="00F73B0A">
            <w:pPr>
              <w:rPr>
                <w:rFonts w:ascii="Arial Narrow" w:hAnsi="Arial Narrow"/>
                <w:sz w:val="20"/>
              </w:rPr>
            </w:pPr>
            <w:r w:rsidRPr="008D71E1">
              <w:rPr>
                <w:rFonts w:ascii="Arial Narrow" w:hAnsi="Arial Narrow"/>
                <w:sz w:val="20"/>
              </w:rPr>
              <w:t xml:space="preserve">Patients undergoing </w:t>
            </w:r>
            <w:r>
              <w:rPr>
                <w:rFonts w:ascii="Arial Narrow" w:hAnsi="Arial Narrow"/>
                <w:sz w:val="20"/>
              </w:rPr>
              <w:t>BCS</w:t>
            </w:r>
            <w:r w:rsidRPr="008D71E1">
              <w:rPr>
                <w:rFonts w:ascii="Arial Narrow" w:hAnsi="Arial Narrow"/>
                <w:sz w:val="20"/>
              </w:rPr>
              <w:t xml:space="preserve"> with immediate AFG (2010-2011)</w:t>
            </w:r>
          </w:p>
        </w:tc>
        <w:tc>
          <w:tcPr>
            <w:tcW w:w="0" w:type="auto"/>
            <w:tcBorders>
              <w:top w:val="single" w:sz="4" w:space="0" w:color="auto"/>
              <w:bottom w:val="single" w:sz="4" w:space="0" w:color="auto"/>
            </w:tcBorders>
            <w:shd w:val="clear" w:color="auto" w:fill="auto"/>
          </w:tcPr>
          <w:p w14:paraId="76F952EC" w14:textId="77777777" w:rsidR="003C2E14" w:rsidRPr="008D71E1" w:rsidRDefault="003C2E14" w:rsidP="00F73B0A">
            <w:pPr>
              <w:pStyle w:val="Tabletext"/>
              <w:spacing w:before="0" w:after="0"/>
            </w:pPr>
            <w:r w:rsidRPr="008D71E1">
              <w:t xml:space="preserve">Patients undergoing </w:t>
            </w:r>
            <w:r>
              <w:t>BCS</w:t>
            </w:r>
            <w:r w:rsidRPr="008D71E1">
              <w:t xml:space="preserve"> without breast reconstruction (2004-2009)</w:t>
            </w:r>
          </w:p>
        </w:tc>
        <w:tc>
          <w:tcPr>
            <w:tcW w:w="0" w:type="auto"/>
            <w:tcBorders>
              <w:top w:val="single" w:sz="4" w:space="0" w:color="auto"/>
              <w:bottom w:val="single" w:sz="4" w:space="0" w:color="auto"/>
            </w:tcBorders>
            <w:shd w:val="clear" w:color="auto" w:fill="auto"/>
          </w:tcPr>
          <w:p w14:paraId="55EF1A00" w14:textId="77777777" w:rsidR="003C2E14" w:rsidRPr="008D71E1" w:rsidRDefault="003C2E14" w:rsidP="00F73B0A">
            <w:pPr>
              <w:pStyle w:val="Tabletext"/>
              <w:spacing w:before="0" w:after="0"/>
            </w:pPr>
            <w:r w:rsidRPr="008D71E1">
              <w:t>High</w:t>
            </w:r>
          </w:p>
        </w:tc>
        <w:tc>
          <w:tcPr>
            <w:tcW w:w="2513" w:type="dxa"/>
            <w:tcBorders>
              <w:top w:val="single" w:sz="4" w:space="0" w:color="auto"/>
              <w:bottom w:val="single" w:sz="4" w:space="0" w:color="auto"/>
            </w:tcBorders>
            <w:shd w:val="clear" w:color="auto" w:fill="auto"/>
          </w:tcPr>
          <w:p w14:paraId="50C54BFD" w14:textId="77777777" w:rsidR="003C2E14" w:rsidRDefault="003C2E14" w:rsidP="00F73B0A">
            <w:pPr>
              <w:rPr>
                <w:rFonts w:ascii="Arial Narrow" w:hAnsi="Arial Narrow"/>
                <w:sz w:val="20"/>
              </w:rPr>
            </w:pPr>
            <w:r w:rsidRPr="008D71E1">
              <w:rPr>
                <w:rFonts w:ascii="Arial Narrow" w:hAnsi="Arial Narrow"/>
                <w:sz w:val="20"/>
              </w:rPr>
              <w:t>Locoregional recurrence</w:t>
            </w:r>
          </w:p>
        </w:tc>
      </w:tr>
    </w:tbl>
    <w:p w14:paraId="0EB0A778" w14:textId="77777777" w:rsidR="003C2E14" w:rsidRPr="008D71E1" w:rsidRDefault="003C2E14" w:rsidP="003C2E14">
      <w:pPr>
        <w:pStyle w:val="Tablenotes"/>
      </w:pPr>
      <w:r>
        <w:t xml:space="preserve">Abbreviations: AFG = autologous fat graft; BCS = breast conserving surgery; BSC = best supportive care; </w:t>
      </w:r>
      <w:r w:rsidRPr="00732A24">
        <w:t>C = comparative study; NM = not</w:t>
      </w:r>
      <w:r w:rsidRPr="008D71E1">
        <w:t xml:space="preserve"> matched</w:t>
      </w:r>
      <w:r>
        <w:t xml:space="preserve">; NRS = </w:t>
      </w:r>
      <w:r w:rsidRPr="002D2B43">
        <w:t>numerical rating scale</w:t>
      </w:r>
      <w:r>
        <w:t>;</w:t>
      </w:r>
      <w:r w:rsidRPr="002D2B43">
        <w:t xml:space="preserve"> </w:t>
      </w:r>
      <w:r>
        <w:t>PMPS = post mastectomy</w:t>
      </w:r>
      <w:r w:rsidRPr="002D2B43">
        <w:t xml:space="preserve"> pain syndrome</w:t>
      </w:r>
      <w:r>
        <w:t>;</w:t>
      </w:r>
      <w:r w:rsidRPr="002D2B43">
        <w:t xml:space="preserve"> </w:t>
      </w:r>
      <w:r w:rsidRPr="008D71E1">
        <w:t>R = retrospective</w:t>
      </w:r>
      <w:r>
        <w:t>; RCT = randomised controlled trial</w:t>
      </w:r>
    </w:p>
    <w:p w14:paraId="2A154F35" w14:textId="77777777" w:rsidR="003C2E14" w:rsidRPr="008D71E1" w:rsidRDefault="003C2E14" w:rsidP="003C2E14">
      <w:pPr>
        <w:pStyle w:val="Tablenotes"/>
        <w:tabs>
          <w:tab w:val="left" w:pos="284"/>
        </w:tabs>
      </w:pPr>
      <w:r w:rsidRPr="008D71E1">
        <w:rPr>
          <w:vertAlign w:val="superscript"/>
        </w:rPr>
        <w:t>a</w:t>
      </w:r>
      <w:r w:rsidRPr="008D71E1">
        <w:rPr>
          <w:vertAlign w:val="superscript"/>
        </w:rPr>
        <w:tab/>
      </w:r>
      <w:r w:rsidRPr="008D71E1">
        <w:t>number of patients (breasts)</w:t>
      </w:r>
      <w:r>
        <w:t>;</w:t>
      </w:r>
    </w:p>
    <w:p w14:paraId="0E8C68F7" w14:textId="77777777" w:rsidR="003C2E14" w:rsidRPr="008D71E1" w:rsidRDefault="003C2E14" w:rsidP="003C2E14">
      <w:pPr>
        <w:pStyle w:val="Tablenotes"/>
        <w:tabs>
          <w:tab w:val="left" w:pos="284"/>
        </w:tabs>
      </w:pPr>
      <w:r w:rsidRPr="008D71E1">
        <w:rPr>
          <w:vertAlign w:val="superscript"/>
        </w:rPr>
        <w:t>b</w:t>
      </w:r>
      <w:r w:rsidRPr="008D71E1">
        <w:tab/>
        <w:t>RCTs assessed by Cochrane tool for assessing risk of bias of RCTs, comparative studies by ROBINS-I</w:t>
      </w:r>
    </w:p>
    <w:p w14:paraId="3BA394DC" w14:textId="77777777" w:rsidR="003C2E14" w:rsidRPr="008D71E1" w:rsidRDefault="003C2E14" w:rsidP="003C2E14">
      <w:pPr>
        <w:pStyle w:val="Tablenotes"/>
        <w:tabs>
          <w:tab w:val="left" w:pos="284"/>
        </w:tabs>
      </w:pPr>
      <w:r w:rsidRPr="008D71E1">
        <w:rPr>
          <w:vertAlign w:val="superscript"/>
        </w:rPr>
        <w:t>c</w:t>
      </w:r>
      <w:r w:rsidRPr="008D71E1">
        <w:tab/>
      </w:r>
      <w:r w:rsidRPr="00382650">
        <w:t>outcomes in bold typography were used in the economic evaluation</w:t>
      </w:r>
    </w:p>
    <w:p w14:paraId="0D92A08E" w14:textId="77777777" w:rsidR="003C2E14" w:rsidRDefault="003C2E14" w:rsidP="003C2E14">
      <w:pPr>
        <w:pStyle w:val="Tablenotes"/>
      </w:pPr>
      <w:r w:rsidRPr="000864E9">
        <w:t xml:space="preserve">Source: </w:t>
      </w:r>
      <w:r>
        <w:t>Table 22, p99; Table 25, p106; Table 30, p112; Table 39, p128; Table 41, p130 of the DCAR.</w:t>
      </w:r>
    </w:p>
    <w:p w14:paraId="4D2618E3" w14:textId="197493CA" w:rsidR="003C2E14" w:rsidRPr="002F2AEA" w:rsidRDefault="007F011C" w:rsidP="002F2AEA">
      <w:pPr>
        <w:spacing w:before="240"/>
        <w:rPr>
          <w:rFonts w:ascii="Arial Narrow" w:hAnsi="Arial Narrow"/>
          <w:b/>
          <w:sz w:val="20"/>
        </w:rPr>
      </w:pPr>
      <w:bookmarkStart w:id="18" w:name="_Ref50012336"/>
      <w:r w:rsidRPr="002F2AEA">
        <w:rPr>
          <w:rFonts w:ascii="Arial Narrow" w:hAnsi="Arial Narrow"/>
          <w:b/>
          <w:sz w:val="20"/>
        </w:rPr>
        <w:t xml:space="preserve">Table </w:t>
      </w:r>
      <w:r w:rsidR="002E3DBE" w:rsidRPr="002F2AEA">
        <w:rPr>
          <w:rFonts w:ascii="Arial Narrow" w:hAnsi="Arial Narrow"/>
          <w:b/>
          <w:sz w:val="20"/>
        </w:rPr>
        <w:fldChar w:fldCharType="begin"/>
      </w:r>
      <w:r w:rsidR="002E3DBE" w:rsidRPr="002F2AEA">
        <w:rPr>
          <w:rFonts w:ascii="Arial Narrow" w:hAnsi="Arial Narrow"/>
          <w:b/>
          <w:sz w:val="20"/>
        </w:rPr>
        <w:instrText xml:space="preserve"> SEQ Table \* ARABIC </w:instrText>
      </w:r>
      <w:r w:rsidR="002E3DBE" w:rsidRPr="002F2AEA">
        <w:rPr>
          <w:rFonts w:ascii="Arial Narrow" w:hAnsi="Arial Narrow"/>
          <w:b/>
          <w:sz w:val="20"/>
        </w:rPr>
        <w:fldChar w:fldCharType="separate"/>
      </w:r>
      <w:r w:rsidR="00EF74CD" w:rsidRPr="002F2AEA">
        <w:rPr>
          <w:rFonts w:ascii="Arial Narrow" w:hAnsi="Arial Narrow"/>
          <w:b/>
          <w:sz w:val="20"/>
        </w:rPr>
        <w:t>4</w:t>
      </w:r>
      <w:r w:rsidR="002E3DBE" w:rsidRPr="002F2AEA">
        <w:rPr>
          <w:rFonts w:ascii="Arial Narrow" w:hAnsi="Arial Narrow"/>
          <w:b/>
          <w:sz w:val="20"/>
        </w:rPr>
        <w:fldChar w:fldCharType="end"/>
      </w:r>
      <w:bookmarkEnd w:id="18"/>
      <w:r w:rsidR="003C2E14" w:rsidRPr="002F2AEA">
        <w:rPr>
          <w:rFonts w:ascii="Arial Narrow" w:hAnsi="Arial Narrow"/>
          <w:b/>
          <w:sz w:val="20"/>
        </w:rPr>
        <w:tab/>
        <w:t>Summary of the evidence available for Population B</w:t>
      </w:r>
    </w:p>
    <w:tbl>
      <w:tblPr>
        <w:tblStyle w:val="TableGrid"/>
        <w:tblW w:w="14029" w:type="dxa"/>
        <w:tblCellMar>
          <w:left w:w="28" w:type="dxa"/>
          <w:right w:w="28" w:type="dxa"/>
        </w:tblCellMar>
        <w:tblLook w:val="04A0" w:firstRow="1" w:lastRow="0" w:firstColumn="1" w:lastColumn="0" w:noHBand="0" w:noVBand="1"/>
        <w:tblCaption w:val="Summary of the evidence available for Population B"/>
        <w:tblDescription w:val="Summary of the evidence available for Population B"/>
      </w:tblPr>
      <w:tblGrid>
        <w:gridCol w:w="728"/>
        <w:gridCol w:w="654"/>
        <w:gridCol w:w="439"/>
        <w:gridCol w:w="3843"/>
        <w:gridCol w:w="3601"/>
        <w:gridCol w:w="2421"/>
        <w:gridCol w:w="686"/>
        <w:gridCol w:w="1657"/>
      </w:tblGrid>
      <w:tr w:rsidR="003C2E14" w:rsidRPr="008D71E1" w14:paraId="6F94E1B3" w14:textId="77777777" w:rsidTr="002D52C6">
        <w:trPr>
          <w:tblHeader/>
        </w:trPr>
        <w:tc>
          <w:tcPr>
            <w:tcW w:w="0" w:type="auto"/>
            <w:tcBorders>
              <w:top w:val="single" w:sz="4" w:space="0" w:color="auto"/>
            </w:tcBorders>
            <w:shd w:val="clear" w:color="auto" w:fill="auto"/>
          </w:tcPr>
          <w:p w14:paraId="4995AA3C" w14:textId="77777777" w:rsidR="003C2E14" w:rsidRPr="008D71E1" w:rsidRDefault="003C2E14" w:rsidP="002D52C6">
            <w:pPr>
              <w:spacing w:before="40" w:after="40"/>
              <w:rPr>
                <w:rFonts w:ascii="Arial Narrow" w:hAnsi="Arial Narrow"/>
                <w:sz w:val="20"/>
              </w:rPr>
            </w:pPr>
            <w:r>
              <w:rPr>
                <w:rFonts w:ascii="Arial Narrow" w:hAnsi="Arial Narrow"/>
                <w:b/>
                <w:sz w:val="20"/>
              </w:rPr>
              <w:t>Author</w:t>
            </w:r>
          </w:p>
        </w:tc>
        <w:tc>
          <w:tcPr>
            <w:tcW w:w="0" w:type="auto"/>
            <w:tcBorders>
              <w:top w:val="single" w:sz="4" w:space="0" w:color="auto"/>
            </w:tcBorders>
            <w:shd w:val="clear" w:color="auto" w:fill="auto"/>
          </w:tcPr>
          <w:p w14:paraId="0DB09D9C" w14:textId="77777777" w:rsidR="003C2E14" w:rsidRPr="008D71E1" w:rsidRDefault="003C2E14" w:rsidP="002D52C6">
            <w:pPr>
              <w:spacing w:before="40" w:after="40"/>
              <w:rPr>
                <w:rFonts w:ascii="Arial Narrow" w:hAnsi="Arial Narrow"/>
                <w:sz w:val="20"/>
              </w:rPr>
            </w:pPr>
            <w:r>
              <w:rPr>
                <w:rFonts w:ascii="Arial Narrow" w:hAnsi="Arial Narrow"/>
                <w:b/>
                <w:sz w:val="20"/>
              </w:rPr>
              <w:t>Design</w:t>
            </w:r>
          </w:p>
        </w:tc>
        <w:tc>
          <w:tcPr>
            <w:tcW w:w="0" w:type="auto"/>
            <w:tcBorders>
              <w:top w:val="single" w:sz="4" w:space="0" w:color="auto"/>
            </w:tcBorders>
            <w:shd w:val="clear" w:color="auto" w:fill="auto"/>
          </w:tcPr>
          <w:p w14:paraId="4B9B2D08" w14:textId="77777777" w:rsidR="003C2E14" w:rsidRPr="008D71E1" w:rsidRDefault="003C2E14" w:rsidP="002D52C6">
            <w:pPr>
              <w:spacing w:before="40" w:after="40"/>
              <w:rPr>
                <w:rFonts w:ascii="Arial Narrow" w:hAnsi="Arial Narrow"/>
                <w:sz w:val="20"/>
              </w:rPr>
            </w:pPr>
            <w:r>
              <w:rPr>
                <w:rFonts w:ascii="Arial Narrow" w:hAnsi="Arial Narrow"/>
                <w:b/>
                <w:sz w:val="20"/>
              </w:rPr>
              <w:t>N</w:t>
            </w:r>
            <w:r>
              <w:rPr>
                <w:rFonts w:ascii="Arial Narrow" w:hAnsi="Arial Narrow"/>
                <w:b/>
                <w:sz w:val="20"/>
                <w:vertAlign w:val="superscript"/>
              </w:rPr>
              <w:t>a</w:t>
            </w:r>
          </w:p>
        </w:tc>
        <w:tc>
          <w:tcPr>
            <w:tcW w:w="3843" w:type="dxa"/>
            <w:tcBorders>
              <w:top w:val="single" w:sz="4" w:space="0" w:color="auto"/>
            </w:tcBorders>
            <w:shd w:val="clear" w:color="auto" w:fill="auto"/>
          </w:tcPr>
          <w:p w14:paraId="1B1B7110" w14:textId="77777777" w:rsidR="003C2E14" w:rsidRPr="008D71E1" w:rsidRDefault="003C2E14" w:rsidP="002D52C6">
            <w:pPr>
              <w:spacing w:before="40" w:after="40"/>
              <w:rPr>
                <w:rFonts w:ascii="Arial Narrow" w:hAnsi="Arial Narrow"/>
                <w:sz w:val="20"/>
              </w:rPr>
            </w:pPr>
            <w:r w:rsidRPr="008D71E1">
              <w:rPr>
                <w:rFonts w:ascii="Arial Narrow" w:hAnsi="Arial Narrow"/>
                <w:b/>
                <w:sz w:val="20"/>
              </w:rPr>
              <w:t>Population</w:t>
            </w:r>
            <w:r>
              <w:rPr>
                <w:rFonts w:ascii="Arial Narrow" w:hAnsi="Arial Narrow"/>
                <w:b/>
                <w:sz w:val="20"/>
              </w:rPr>
              <w:t xml:space="preserve"> detail</w:t>
            </w:r>
          </w:p>
        </w:tc>
        <w:tc>
          <w:tcPr>
            <w:tcW w:w="3601" w:type="dxa"/>
            <w:tcBorders>
              <w:top w:val="single" w:sz="4" w:space="0" w:color="auto"/>
            </w:tcBorders>
            <w:shd w:val="clear" w:color="auto" w:fill="auto"/>
          </w:tcPr>
          <w:p w14:paraId="06CD2E89" w14:textId="77777777" w:rsidR="003C2E14" w:rsidRPr="008D71E1" w:rsidRDefault="003C2E14" w:rsidP="002D52C6">
            <w:pPr>
              <w:spacing w:before="40" w:after="40"/>
              <w:rPr>
                <w:rFonts w:ascii="Arial Narrow" w:hAnsi="Arial Narrow"/>
                <w:sz w:val="20"/>
              </w:rPr>
            </w:pPr>
            <w:r w:rsidRPr="008D71E1">
              <w:rPr>
                <w:rFonts w:ascii="Arial Narrow" w:hAnsi="Arial Narrow"/>
                <w:b/>
                <w:sz w:val="20"/>
              </w:rPr>
              <w:t xml:space="preserve">Intervention </w:t>
            </w:r>
            <w:r>
              <w:rPr>
                <w:rFonts w:ascii="Arial Narrow" w:hAnsi="Arial Narrow"/>
                <w:b/>
                <w:sz w:val="20"/>
              </w:rPr>
              <w:t>g</w:t>
            </w:r>
            <w:r w:rsidRPr="008D71E1">
              <w:rPr>
                <w:rFonts w:ascii="Arial Narrow" w:hAnsi="Arial Narrow"/>
                <w:b/>
                <w:sz w:val="20"/>
              </w:rPr>
              <w:t>roup</w:t>
            </w:r>
          </w:p>
        </w:tc>
        <w:tc>
          <w:tcPr>
            <w:tcW w:w="0" w:type="auto"/>
            <w:tcBorders>
              <w:top w:val="single" w:sz="4" w:space="0" w:color="auto"/>
            </w:tcBorders>
            <w:shd w:val="clear" w:color="auto" w:fill="auto"/>
          </w:tcPr>
          <w:p w14:paraId="087EE855" w14:textId="77777777" w:rsidR="003C2E14" w:rsidRPr="008D71E1" w:rsidRDefault="003C2E14" w:rsidP="002D52C6">
            <w:pPr>
              <w:spacing w:before="40" w:after="40"/>
              <w:rPr>
                <w:rFonts w:ascii="Arial Narrow" w:hAnsi="Arial Narrow"/>
                <w:sz w:val="20"/>
              </w:rPr>
            </w:pPr>
            <w:r w:rsidRPr="008D71E1">
              <w:rPr>
                <w:rFonts w:ascii="Arial Narrow" w:hAnsi="Arial Narrow"/>
                <w:b/>
                <w:sz w:val="20"/>
              </w:rPr>
              <w:t xml:space="preserve">Comparator </w:t>
            </w:r>
            <w:r>
              <w:rPr>
                <w:rFonts w:ascii="Arial Narrow" w:hAnsi="Arial Narrow"/>
                <w:b/>
                <w:sz w:val="20"/>
              </w:rPr>
              <w:t>g</w:t>
            </w:r>
            <w:r w:rsidRPr="008D71E1">
              <w:rPr>
                <w:rFonts w:ascii="Arial Narrow" w:hAnsi="Arial Narrow"/>
                <w:b/>
                <w:sz w:val="20"/>
              </w:rPr>
              <w:t>roup</w:t>
            </w:r>
          </w:p>
        </w:tc>
        <w:tc>
          <w:tcPr>
            <w:tcW w:w="0" w:type="auto"/>
            <w:tcBorders>
              <w:top w:val="single" w:sz="4" w:space="0" w:color="auto"/>
            </w:tcBorders>
            <w:shd w:val="clear" w:color="auto" w:fill="auto"/>
          </w:tcPr>
          <w:p w14:paraId="07A3BEF4" w14:textId="77777777" w:rsidR="003C2E14" w:rsidRPr="008D71E1" w:rsidRDefault="003C2E14" w:rsidP="002D52C6">
            <w:pPr>
              <w:spacing w:before="40" w:after="40"/>
              <w:rPr>
                <w:rFonts w:ascii="Arial Narrow" w:hAnsi="Arial Narrow"/>
                <w:sz w:val="20"/>
              </w:rPr>
            </w:pPr>
            <w:r w:rsidRPr="008D71E1">
              <w:rPr>
                <w:rFonts w:ascii="Arial Narrow" w:hAnsi="Arial Narrow"/>
                <w:b/>
                <w:sz w:val="20"/>
              </w:rPr>
              <w:t>Risk of bias</w:t>
            </w:r>
            <w:r w:rsidRPr="008D71E1">
              <w:rPr>
                <w:rFonts w:ascii="Arial Narrow" w:hAnsi="Arial Narrow"/>
                <w:b/>
                <w:sz w:val="20"/>
                <w:vertAlign w:val="superscript"/>
              </w:rPr>
              <w:t>b</w:t>
            </w:r>
          </w:p>
        </w:tc>
        <w:tc>
          <w:tcPr>
            <w:tcW w:w="1657" w:type="dxa"/>
            <w:tcBorders>
              <w:top w:val="single" w:sz="4" w:space="0" w:color="auto"/>
              <w:bottom w:val="single" w:sz="4" w:space="0" w:color="auto"/>
            </w:tcBorders>
            <w:shd w:val="clear" w:color="auto" w:fill="auto"/>
          </w:tcPr>
          <w:p w14:paraId="2FE1415A" w14:textId="77777777" w:rsidR="003C2E14" w:rsidRPr="008D71E1" w:rsidRDefault="003C2E14" w:rsidP="002D52C6">
            <w:pPr>
              <w:spacing w:before="40" w:after="40"/>
              <w:rPr>
                <w:rFonts w:ascii="Arial Narrow" w:hAnsi="Arial Narrow"/>
                <w:sz w:val="20"/>
              </w:rPr>
            </w:pPr>
            <w:r w:rsidRPr="008D71E1">
              <w:rPr>
                <w:rFonts w:ascii="Arial Narrow" w:hAnsi="Arial Narrow"/>
                <w:b/>
                <w:sz w:val="20"/>
              </w:rPr>
              <w:t>Outcomes</w:t>
            </w:r>
          </w:p>
        </w:tc>
      </w:tr>
      <w:tr w:rsidR="003C2E14" w:rsidRPr="008D71E1" w14:paraId="62E7BC79" w14:textId="77777777" w:rsidTr="002D52C6">
        <w:tc>
          <w:tcPr>
            <w:tcW w:w="0" w:type="auto"/>
            <w:tcBorders>
              <w:top w:val="nil"/>
            </w:tcBorders>
            <w:shd w:val="clear" w:color="auto" w:fill="auto"/>
          </w:tcPr>
          <w:p w14:paraId="3DA37F39" w14:textId="77777777" w:rsidR="003C2E14" w:rsidRPr="008D71E1" w:rsidRDefault="003C2E14" w:rsidP="002D52C6">
            <w:pPr>
              <w:spacing w:before="40" w:after="40"/>
              <w:rPr>
                <w:rFonts w:ascii="Arial Narrow" w:hAnsi="Arial Narrow"/>
                <w:sz w:val="20"/>
              </w:rPr>
            </w:pPr>
            <w:r w:rsidRPr="008D71E1">
              <w:rPr>
                <w:rFonts w:ascii="Arial Narrow" w:hAnsi="Arial Narrow"/>
                <w:sz w:val="20"/>
              </w:rPr>
              <w:t>Brault 2017</w:t>
            </w:r>
          </w:p>
        </w:tc>
        <w:tc>
          <w:tcPr>
            <w:tcW w:w="0" w:type="auto"/>
            <w:tcBorders>
              <w:top w:val="nil"/>
            </w:tcBorders>
            <w:shd w:val="clear" w:color="auto" w:fill="auto"/>
          </w:tcPr>
          <w:p w14:paraId="44547676" w14:textId="77777777" w:rsidR="003C2E14" w:rsidRPr="008D71E1" w:rsidRDefault="003C2E14" w:rsidP="002D52C6">
            <w:pPr>
              <w:spacing w:before="40" w:after="40"/>
              <w:rPr>
                <w:rFonts w:ascii="Arial Narrow" w:hAnsi="Arial Narrow"/>
                <w:sz w:val="20"/>
              </w:rPr>
            </w:pPr>
            <w:r w:rsidRPr="008D71E1">
              <w:rPr>
                <w:rFonts w:ascii="Arial Narrow" w:hAnsi="Arial Narrow"/>
                <w:sz w:val="20"/>
              </w:rPr>
              <w:t>C, NM, R</w:t>
            </w:r>
          </w:p>
        </w:tc>
        <w:tc>
          <w:tcPr>
            <w:tcW w:w="0" w:type="auto"/>
            <w:tcBorders>
              <w:top w:val="nil"/>
            </w:tcBorders>
            <w:shd w:val="clear" w:color="auto" w:fill="auto"/>
          </w:tcPr>
          <w:p w14:paraId="77517504" w14:textId="77777777" w:rsidR="003C2E14" w:rsidRPr="008D71E1" w:rsidRDefault="003C2E14" w:rsidP="002D52C6">
            <w:pPr>
              <w:spacing w:before="40" w:after="40"/>
              <w:rPr>
                <w:rFonts w:ascii="Arial Narrow" w:hAnsi="Arial Narrow"/>
                <w:sz w:val="20"/>
              </w:rPr>
            </w:pPr>
            <w:r>
              <w:rPr>
                <w:rFonts w:ascii="Arial Narrow" w:hAnsi="Arial Narrow"/>
                <w:sz w:val="20"/>
              </w:rPr>
              <w:t xml:space="preserve">37 </w:t>
            </w:r>
            <w:r w:rsidRPr="008D71E1">
              <w:rPr>
                <w:rFonts w:ascii="Arial Narrow" w:hAnsi="Arial Narrow"/>
                <w:sz w:val="20"/>
              </w:rPr>
              <w:t>(63)</w:t>
            </w:r>
          </w:p>
        </w:tc>
        <w:tc>
          <w:tcPr>
            <w:tcW w:w="3843" w:type="dxa"/>
            <w:tcBorders>
              <w:top w:val="nil"/>
            </w:tcBorders>
            <w:shd w:val="clear" w:color="auto" w:fill="auto"/>
          </w:tcPr>
          <w:p w14:paraId="0B0306BA" w14:textId="77777777" w:rsidR="003C2E14" w:rsidRPr="008D71E1" w:rsidRDefault="003C2E14" w:rsidP="002D52C6">
            <w:pPr>
              <w:spacing w:before="40" w:after="40"/>
              <w:rPr>
                <w:rFonts w:ascii="Arial Narrow" w:hAnsi="Arial Narrow"/>
                <w:b/>
                <w:sz w:val="20"/>
              </w:rPr>
            </w:pPr>
            <w:r w:rsidRPr="008D71E1">
              <w:rPr>
                <w:rFonts w:ascii="Arial Narrow" w:hAnsi="Arial Narrow"/>
                <w:sz w:val="20"/>
              </w:rPr>
              <w:t xml:space="preserve">Patients with grade I to III (Groleau scale) tuberous breast deformities, with no associated breast disease (breast cancer or other syndromes) </w:t>
            </w:r>
          </w:p>
        </w:tc>
        <w:tc>
          <w:tcPr>
            <w:tcW w:w="3601" w:type="dxa"/>
            <w:tcBorders>
              <w:top w:val="nil"/>
            </w:tcBorders>
            <w:shd w:val="clear" w:color="auto" w:fill="auto"/>
          </w:tcPr>
          <w:p w14:paraId="0E25D32F" w14:textId="77777777" w:rsidR="003C2E14" w:rsidRPr="008D71E1" w:rsidRDefault="003C2E14" w:rsidP="002D52C6">
            <w:pPr>
              <w:spacing w:before="40" w:after="40"/>
              <w:rPr>
                <w:rFonts w:ascii="Arial Narrow" w:hAnsi="Arial Narrow"/>
                <w:sz w:val="20"/>
              </w:rPr>
            </w:pPr>
            <w:r w:rsidRPr="008D71E1">
              <w:rPr>
                <w:rFonts w:ascii="Arial Narrow" w:hAnsi="Arial Narrow"/>
                <w:sz w:val="20"/>
              </w:rPr>
              <w:t>Exclusively treated with AFG</w:t>
            </w:r>
          </w:p>
        </w:tc>
        <w:tc>
          <w:tcPr>
            <w:tcW w:w="0" w:type="auto"/>
            <w:tcBorders>
              <w:top w:val="nil"/>
            </w:tcBorders>
            <w:shd w:val="clear" w:color="auto" w:fill="auto"/>
          </w:tcPr>
          <w:p w14:paraId="5C235BBC" w14:textId="77777777" w:rsidR="003C2E14" w:rsidRPr="008D71E1" w:rsidRDefault="003C2E14" w:rsidP="002D52C6">
            <w:pPr>
              <w:spacing w:before="40" w:after="40"/>
              <w:rPr>
                <w:rFonts w:ascii="Arial Narrow" w:hAnsi="Arial Narrow"/>
                <w:sz w:val="20"/>
              </w:rPr>
            </w:pPr>
            <w:r w:rsidRPr="008D71E1">
              <w:rPr>
                <w:rFonts w:ascii="Arial Narrow" w:hAnsi="Arial Narrow"/>
                <w:sz w:val="20"/>
              </w:rPr>
              <w:t>Corrective breast surgery (exclusively treated with prostheses)</w:t>
            </w:r>
          </w:p>
        </w:tc>
        <w:tc>
          <w:tcPr>
            <w:tcW w:w="0" w:type="auto"/>
            <w:tcBorders>
              <w:top w:val="nil"/>
              <w:right w:val="single" w:sz="4" w:space="0" w:color="auto"/>
            </w:tcBorders>
            <w:shd w:val="clear" w:color="auto" w:fill="auto"/>
          </w:tcPr>
          <w:p w14:paraId="538314D6" w14:textId="77777777" w:rsidR="003C2E14" w:rsidRPr="008D71E1" w:rsidRDefault="003C2E14" w:rsidP="002D52C6">
            <w:pPr>
              <w:spacing w:before="40" w:after="40"/>
              <w:rPr>
                <w:rFonts w:ascii="Arial Narrow" w:hAnsi="Arial Narrow"/>
                <w:sz w:val="20"/>
              </w:rPr>
            </w:pPr>
            <w:r>
              <w:rPr>
                <w:rFonts w:ascii="Arial Narrow" w:hAnsi="Arial Narrow"/>
                <w:sz w:val="20"/>
              </w:rPr>
              <w:t>High</w:t>
            </w:r>
          </w:p>
        </w:tc>
        <w:tc>
          <w:tcPr>
            <w:tcW w:w="1657" w:type="dxa"/>
            <w:tcBorders>
              <w:top w:val="single" w:sz="4" w:space="0" w:color="auto"/>
              <w:left w:val="single" w:sz="4" w:space="0" w:color="auto"/>
              <w:bottom w:val="nil"/>
              <w:right w:val="single" w:sz="4" w:space="0" w:color="auto"/>
            </w:tcBorders>
            <w:shd w:val="clear" w:color="auto" w:fill="auto"/>
          </w:tcPr>
          <w:p w14:paraId="66C331E7" w14:textId="77777777" w:rsidR="003C2E14" w:rsidRPr="008D71E1" w:rsidRDefault="003C2E14" w:rsidP="002D52C6">
            <w:pPr>
              <w:spacing w:before="40" w:after="40"/>
              <w:rPr>
                <w:rFonts w:ascii="Arial Narrow" w:hAnsi="Arial Narrow"/>
                <w:sz w:val="20"/>
              </w:rPr>
            </w:pPr>
            <w:r w:rsidRPr="008D71E1">
              <w:rPr>
                <w:rFonts w:ascii="Arial Narrow" w:hAnsi="Arial Narrow"/>
                <w:sz w:val="20"/>
              </w:rPr>
              <w:t>Patient satisfaction</w:t>
            </w:r>
            <w:r>
              <w:rPr>
                <w:rFonts w:ascii="Arial Narrow" w:hAnsi="Arial Narrow"/>
                <w:sz w:val="20"/>
              </w:rPr>
              <w:t xml:space="preserve"> BREAST-Q</w:t>
            </w:r>
          </w:p>
          <w:p w14:paraId="695E54CA" w14:textId="77777777" w:rsidR="003C2E14" w:rsidRPr="008D71E1" w:rsidRDefault="003C2E14" w:rsidP="002D52C6">
            <w:pPr>
              <w:spacing w:before="40" w:after="40"/>
              <w:rPr>
                <w:rFonts w:ascii="Arial Narrow" w:hAnsi="Arial Narrow"/>
                <w:sz w:val="20"/>
              </w:rPr>
            </w:pPr>
            <w:r w:rsidRPr="008D71E1">
              <w:rPr>
                <w:rFonts w:ascii="Arial Narrow" w:hAnsi="Arial Narrow"/>
                <w:sz w:val="20"/>
              </w:rPr>
              <w:t>Complications</w:t>
            </w:r>
          </w:p>
        </w:tc>
      </w:tr>
      <w:tr w:rsidR="003C2E14" w:rsidRPr="008D71E1" w14:paraId="4BD78C08" w14:textId="77777777" w:rsidTr="002D52C6">
        <w:tc>
          <w:tcPr>
            <w:tcW w:w="0" w:type="auto"/>
            <w:tcBorders>
              <w:top w:val="nil"/>
            </w:tcBorders>
            <w:shd w:val="clear" w:color="auto" w:fill="auto"/>
          </w:tcPr>
          <w:p w14:paraId="6F3647CB" w14:textId="77777777" w:rsidR="003C2E14" w:rsidRPr="008D71E1" w:rsidRDefault="003C2E14" w:rsidP="002D52C6">
            <w:pPr>
              <w:spacing w:before="40" w:after="40"/>
              <w:rPr>
                <w:rFonts w:ascii="Arial Narrow" w:hAnsi="Arial Narrow"/>
                <w:sz w:val="20"/>
              </w:rPr>
            </w:pPr>
            <w:r w:rsidRPr="008D71E1">
              <w:rPr>
                <w:rFonts w:ascii="Arial Narrow" w:hAnsi="Arial Narrow"/>
                <w:sz w:val="20"/>
              </w:rPr>
              <w:t>Tenna 2017</w:t>
            </w:r>
          </w:p>
        </w:tc>
        <w:tc>
          <w:tcPr>
            <w:tcW w:w="0" w:type="auto"/>
            <w:tcBorders>
              <w:top w:val="nil"/>
            </w:tcBorders>
            <w:shd w:val="clear" w:color="auto" w:fill="auto"/>
          </w:tcPr>
          <w:p w14:paraId="106D2EC9" w14:textId="77777777" w:rsidR="003C2E14" w:rsidRPr="008D71E1" w:rsidRDefault="003C2E14" w:rsidP="002D52C6">
            <w:pPr>
              <w:spacing w:before="40" w:after="40"/>
              <w:rPr>
                <w:rFonts w:ascii="Arial Narrow" w:hAnsi="Arial Narrow"/>
                <w:sz w:val="20"/>
              </w:rPr>
            </w:pPr>
            <w:r w:rsidRPr="008D71E1">
              <w:rPr>
                <w:rFonts w:ascii="Arial Narrow" w:hAnsi="Arial Narrow"/>
                <w:sz w:val="20"/>
              </w:rPr>
              <w:t>C, NM, R</w:t>
            </w:r>
          </w:p>
        </w:tc>
        <w:tc>
          <w:tcPr>
            <w:tcW w:w="0" w:type="auto"/>
            <w:tcBorders>
              <w:top w:val="nil"/>
            </w:tcBorders>
            <w:shd w:val="clear" w:color="auto" w:fill="auto"/>
          </w:tcPr>
          <w:p w14:paraId="47A88832" w14:textId="77777777" w:rsidR="003C2E14" w:rsidRPr="008D71E1" w:rsidRDefault="003C2E14" w:rsidP="002D52C6">
            <w:pPr>
              <w:spacing w:before="40" w:after="40"/>
              <w:rPr>
                <w:rFonts w:ascii="Arial Narrow" w:hAnsi="Arial Narrow"/>
                <w:sz w:val="20"/>
              </w:rPr>
            </w:pPr>
            <w:r w:rsidRPr="008D71E1">
              <w:rPr>
                <w:rFonts w:ascii="Arial Narrow" w:hAnsi="Arial Narrow"/>
                <w:sz w:val="20"/>
              </w:rPr>
              <w:t>46 (88)</w:t>
            </w:r>
          </w:p>
        </w:tc>
        <w:tc>
          <w:tcPr>
            <w:tcW w:w="3843" w:type="dxa"/>
            <w:tcBorders>
              <w:top w:val="nil"/>
            </w:tcBorders>
            <w:shd w:val="clear" w:color="auto" w:fill="auto"/>
          </w:tcPr>
          <w:p w14:paraId="277DC254" w14:textId="77777777" w:rsidR="003C2E14" w:rsidRPr="008D71E1" w:rsidRDefault="003C2E14" w:rsidP="002D52C6">
            <w:pPr>
              <w:spacing w:before="40" w:after="40"/>
              <w:rPr>
                <w:rFonts w:ascii="Arial Narrow" w:hAnsi="Arial Narrow"/>
                <w:b/>
                <w:sz w:val="20"/>
              </w:rPr>
            </w:pPr>
            <w:r w:rsidRPr="008D71E1">
              <w:rPr>
                <w:rFonts w:ascii="Arial Narrow" w:hAnsi="Arial Narrow"/>
                <w:sz w:val="20"/>
              </w:rPr>
              <w:t xml:space="preserve">Patients who underwent correction of a tuberous breast deformity </w:t>
            </w:r>
          </w:p>
        </w:tc>
        <w:tc>
          <w:tcPr>
            <w:tcW w:w="3601" w:type="dxa"/>
            <w:tcBorders>
              <w:top w:val="nil"/>
            </w:tcBorders>
            <w:shd w:val="clear" w:color="auto" w:fill="auto"/>
          </w:tcPr>
          <w:p w14:paraId="1E94D407" w14:textId="77777777" w:rsidR="003C2E14" w:rsidRPr="008D71E1" w:rsidRDefault="003C2E14" w:rsidP="002D52C6">
            <w:pPr>
              <w:spacing w:before="40" w:after="40"/>
              <w:rPr>
                <w:rFonts w:ascii="Arial Narrow" w:hAnsi="Arial Narrow"/>
                <w:sz w:val="20"/>
              </w:rPr>
            </w:pPr>
            <w:r>
              <w:rPr>
                <w:rFonts w:ascii="Arial Narrow" w:hAnsi="Arial Narrow"/>
                <w:sz w:val="20"/>
              </w:rPr>
              <w:t>AFG as a secondary procedure in implant or autologous reconstructions</w:t>
            </w:r>
          </w:p>
        </w:tc>
        <w:tc>
          <w:tcPr>
            <w:tcW w:w="0" w:type="auto"/>
            <w:tcBorders>
              <w:top w:val="nil"/>
            </w:tcBorders>
            <w:shd w:val="clear" w:color="auto" w:fill="auto"/>
          </w:tcPr>
          <w:p w14:paraId="4E96DD45" w14:textId="77777777" w:rsidR="003C2E14" w:rsidRPr="008D71E1" w:rsidRDefault="003C2E14" w:rsidP="002D52C6">
            <w:pPr>
              <w:spacing w:before="40" w:after="40"/>
              <w:rPr>
                <w:rFonts w:ascii="Arial Narrow" w:hAnsi="Arial Narrow"/>
                <w:sz w:val="20"/>
              </w:rPr>
            </w:pPr>
            <w:r>
              <w:rPr>
                <w:rFonts w:ascii="Arial Narrow" w:hAnsi="Arial Narrow"/>
                <w:sz w:val="20"/>
              </w:rPr>
              <w:t>AFG as a primary procedure (in conjunction with rigottomies)</w:t>
            </w:r>
          </w:p>
        </w:tc>
        <w:tc>
          <w:tcPr>
            <w:tcW w:w="0" w:type="auto"/>
            <w:tcBorders>
              <w:top w:val="nil"/>
              <w:right w:val="single" w:sz="4" w:space="0" w:color="auto"/>
            </w:tcBorders>
            <w:shd w:val="clear" w:color="auto" w:fill="auto"/>
          </w:tcPr>
          <w:p w14:paraId="0CB379E9" w14:textId="77777777" w:rsidR="003C2E14" w:rsidRPr="008D71E1" w:rsidRDefault="003C2E14" w:rsidP="002D52C6">
            <w:pPr>
              <w:spacing w:before="40" w:after="40"/>
              <w:rPr>
                <w:rFonts w:ascii="Arial Narrow" w:hAnsi="Arial Narrow"/>
                <w:sz w:val="20"/>
              </w:rPr>
            </w:pPr>
            <w:r>
              <w:rPr>
                <w:rFonts w:ascii="Arial Narrow" w:hAnsi="Arial Narrow"/>
                <w:sz w:val="20"/>
              </w:rPr>
              <w:t>High</w:t>
            </w:r>
          </w:p>
        </w:tc>
        <w:tc>
          <w:tcPr>
            <w:tcW w:w="1657" w:type="dxa"/>
            <w:tcBorders>
              <w:top w:val="nil"/>
              <w:left w:val="single" w:sz="4" w:space="0" w:color="auto"/>
              <w:bottom w:val="single" w:sz="4" w:space="0" w:color="auto"/>
              <w:right w:val="single" w:sz="4" w:space="0" w:color="auto"/>
            </w:tcBorders>
            <w:shd w:val="clear" w:color="auto" w:fill="auto"/>
          </w:tcPr>
          <w:p w14:paraId="5C588AF4" w14:textId="77777777" w:rsidR="003C2E14" w:rsidRPr="008D71E1" w:rsidRDefault="003C2E14" w:rsidP="002D52C6">
            <w:pPr>
              <w:spacing w:before="40" w:after="40"/>
              <w:rPr>
                <w:rFonts w:ascii="Arial Narrow" w:hAnsi="Arial Narrow"/>
                <w:sz w:val="20"/>
              </w:rPr>
            </w:pPr>
          </w:p>
        </w:tc>
      </w:tr>
    </w:tbl>
    <w:p w14:paraId="2723DD22" w14:textId="77777777" w:rsidR="003C2E14" w:rsidRPr="008D71E1" w:rsidRDefault="003C2E14" w:rsidP="003C2E14">
      <w:pPr>
        <w:pStyle w:val="Tablenotes"/>
      </w:pPr>
      <w:r>
        <w:t xml:space="preserve">Abbreviations: AFG = autologous fat graft; </w:t>
      </w:r>
      <w:r w:rsidRPr="008D71E1">
        <w:t xml:space="preserve">C = comparative study; NM = </w:t>
      </w:r>
      <w:r>
        <w:t>not matched; R = retrospective</w:t>
      </w:r>
    </w:p>
    <w:p w14:paraId="25E72D1B" w14:textId="77777777" w:rsidR="003C2E14" w:rsidRPr="008D71E1" w:rsidRDefault="003C2E14" w:rsidP="003C2E14">
      <w:pPr>
        <w:pStyle w:val="Tablenotes"/>
        <w:tabs>
          <w:tab w:val="left" w:pos="284"/>
        </w:tabs>
      </w:pPr>
      <w:r w:rsidRPr="008D71E1">
        <w:rPr>
          <w:vertAlign w:val="superscript"/>
        </w:rPr>
        <w:t>a</w:t>
      </w:r>
      <w:r w:rsidRPr="008D71E1">
        <w:rPr>
          <w:vertAlign w:val="superscript"/>
        </w:rPr>
        <w:tab/>
      </w:r>
      <w:r w:rsidRPr="008D71E1">
        <w:t>number of patients (breasts)</w:t>
      </w:r>
    </w:p>
    <w:p w14:paraId="30BA30CA" w14:textId="77777777" w:rsidR="003C2E14" w:rsidRDefault="003C2E14" w:rsidP="003C2E14">
      <w:pPr>
        <w:pStyle w:val="Tablenotes"/>
        <w:tabs>
          <w:tab w:val="left" w:pos="284"/>
        </w:tabs>
        <w:spacing w:after="240"/>
      </w:pPr>
      <w:r w:rsidRPr="008D71E1">
        <w:rPr>
          <w:vertAlign w:val="superscript"/>
        </w:rPr>
        <w:t>b</w:t>
      </w:r>
      <w:r w:rsidRPr="008D71E1">
        <w:tab/>
        <w:t>RCTs assessed by Cochrane tool for assessing risk of bias of RCTs, comparative studies by ROBINS-I</w:t>
      </w:r>
    </w:p>
    <w:p w14:paraId="71EE6FE6" w14:textId="77777777" w:rsidR="003C2E14" w:rsidRDefault="003C2E14" w:rsidP="003C2E14">
      <w:pPr>
        <w:pStyle w:val="Tablenotes"/>
        <w:sectPr w:rsidR="003C2E14" w:rsidSect="002D52C6">
          <w:pgSz w:w="16838" w:h="11906" w:orient="landscape"/>
          <w:pgMar w:top="1440" w:right="1440" w:bottom="1440" w:left="1440" w:header="720" w:footer="720" w:gutter="0"/>
          <w:paperSrc w:first="2" w:other="2"/>
          <w:cols w:space="720"/>
          <w:docGrid w:linePitch="326"/>
        </w:sectPr>
      </w:pPr>
      <w:r>
        <w:t>Source: Table 41, p130 of the DCAR.</w:t>
      </w:r>
    </w:p>
    <w:p w14:paraId="536E2F54" w14:textId="10769A60" w:rsidR="003C2E14" w:rsidRDefault="003C2E14" w:rsidP="003C2E14">
      <w:r>
        <w:lastRenderedPageBreak/>
        <w:t>The pre-ESC response stated that the literature cited in the DCAR is inadequate in regard to the effect of mastectomy on women and the health benefits of breast reconstruction. The applicant also claimed that the DCAR inappropriately focussed only on post-mastectomy pain syndrome and “aesthetics” as improvable domains for these women. There is no mention of psychosocial or physical benefits of breast reconstruction, for which the applicant claimed there is ample evidence in both the internati</w:t>
      </w:r>
      <w:r w:rsidR="009F3F9E">
        <w:t>onal and Australian literature.</w:t>
      </w:r>
    </w:p>
    <w:p w14:paraId="28B782FF" w14:textId="11887704" w:rsidR="003C2E14" w:rsidRDefault="003C2E14" w:rsidP="009F3F9E">
      <w:pPr>
        <w:spacing w:before="240"/>
      </w:pPr>
      <w:r>
        <w:t>In the rejoinder, the assessment group noted</w:t>
      </w:r>
      <w:r w:rsidRPr="00200BDD">
        <w:t xml:space="preserve"> pain relief was nominated as an outcome for </w:t>
      </w:r>
      <w:r>
        <w:t>Population A</w:t>
      </w:r>
      <w:r w:rsidRPr="00200BDD">
        <w:t>, while neither depression nor self-esteem were mentioned as a separate outcome. Disease-specific quality of life (QoL) was captured with the validated instrument BREAST-Q, which included psychological and physical wellbeing. BREAST-Q outcomes in every study that met the inclusion criteria were duly extracted and reported</w:t>
      </w:r>
      <w:r w:rsidR="009F3F9E">
        <w:t>.</w:t>
      </w:r>
    </w:p>
    <w:p w14:paraId="232929E2" w14:textId="77777777" w:rsidR="003C2E14" w:rsidRPr="00BE21F8" w:rsidRDefault="003C2E14" w:rsidP="009F3F9E">
      <w:pPr>
        <w:pStyle w:val="Heading2"/>
        <w:spacing w:before="240"/>
      </w:pPr>
      <w:r w:rsidRPr="00BE21F8">
        <w:t>Population A</w:t>
      </w:r>
    </w:p>
    <w:p w14:paraId="7D38943F" w14:textId="77777777" w:rsidR="003C2E14" w:rsidRDefault="003C2E14" w:rsidP="003C2E14">
      <w:pPr>
        <w:pStyle w:val="Heading3"/>
      </w:pPr>
      <w:bookmarkStart w:id="19" w:name="_Ref29999860"/>
      <w:bookmarkStart w:id="20" w:name="_Toc37815122"/>
      <w:r>
        <w:t>Post mastectomy pain syndrome (PMPS) subpopulation</w:t>
      </w:r>
    </w:p>
    <w:p w14:paraId="480CB7EE" w14:textId="2ABD886D" w:rsidR="003C2E14" w:rsidRPr="00732A24" w:rsidRDefault="003C2E14" w:rsidP="003C2E14">
      <w:r>
        <w:t>The DCAR stated that o</w:t>
      </w:r>
      <w:r w:rsidRPr="008D71E1">
        <w:t>ther than stating ‘no complications of the fat grafting were observed’ (but no description of what ‘complications’ explicitly included, and no discussion of complications in the comparator arm), Juhl (2016) included no safety outcome data. Caviggioli (2011)</w:t>
      </w:r>
      <w:r>
        <w:rPr>
          <w:rStyle w:val="FootnoteReference"/>
        </w:rPr>
        <w:footnoteReference w:id="7"/>
      </w:r>
      <w:r w:rsidRPr="008D71E1">
        <w:t xml:space="preserve">, Caviggioli </w:t>
      </w:r>
      <w:r>
        <w:t>(</w:t>
      </w:r>
      <w:r w:rsidRPr="008D71E1">
        <w:t>2016)</w:t>
      </w:r>
      <w:r>
        <w:rPr>
          <w:rStyle w:val="FootnoteReference"/>
        </w:rPr>
        <w:footnoteReference w:id="8"/>
      </w:r>
      <w:r w:rsidRPr="008D71E1">
        <w:t xml:space="preserve"> and Maione (2014)</w:t>
      </w:r>
      <w:r>
        <w:rPr>
          <w:rStyle w:val="FootnoteReference"/>
        </w:rPr>
        <w:footnoteReference w:id="9"/>
      </w:r>
      <w:r w:rsidRPr="008D71E1">
        <w:t xml:space="preserve"> reported no safety data.</w:t>
      </w:r>
      <w:bookmarkEnd w:id="19"/>
      <w:bookmarkEnd w:id="20"/>
    </w:p>
    <w:p w14:paraId="2AF8FC9B" w14:textId="77777777" w:rsidR="003C2E14" w:rsidRDefault="003C2E14" w:rsidP="009F3F9E">
      <w:pPr>
        <w:pStyle w:val="Heading3"/>
        <w:spacing w:before="240"/>
      </w:pPr>
      <w:r>
        <w:t>Subpopulation A1: Post mastectomy without reconstruction</w:t>
      </w:r>
    </w:p>
    <w:p w14:paraId="615CF544" w14:textId="3E694F24" w:rsidR="003C2E14" w:rsidRPr="00732A24" w:rsidRDefault="003C2E14" w:rsidP="003C2E14">
      <w:r>
        <w:t xml:space="preserve">The DCAR stated that Calabrese (2018) reported locoregional and systemic recurrence, reporting no statistically significant differences among patients </w:t>
      </w:r>
      <w:r w:rsidRPr="008D71E1">
        <w:t>who underwent nipple sparing mastectomy (NSM) and breast reconstruction with a tissue expander (TE) temporary breast prosthesis</w:t>
      </w:r>
      <w:r>
        <w:t xml:space="preserve"> who were treated with AFG (</w:t>
      </w:r>
      <w:r w:rsidRPr="008D71E1">
        <w:t>stromal vascular fraction (SVF)-enriched</w:t>
      </w:r>
      <w:r>
        <w:t xml:space="preserve"> or standard (Coleman procedure)) </w:t>
      </w:r>
      <w:r w:rsidRPr="005A7985">
        <w:rPr>
          <w:i/>
        </w:rPr>
        <w:t>vs.</w:t>
      </w:r>
      <w:r>
        <w:t xml:space="preserve"> those who were not. Ribuffo (2013)</w:t>
      </w:r>
      <w:r>
        <w:rPr>
          <w:rStyle w:val="FootnoteReference"/>
        </w:rPr>
        <w:footnoteReference w:id="10"/>
      </w:r>
      <w:r>
        <w:t xml:space="preserve"> reported on patients who </w:t>
      </w:r>
      <w:r w:rsidRPr="00FC4F5D">
        <w:t>had undergone a modified radical mastectomy (MRM) with immediate two-stage prosthetic reconstruction using post mastectomy radiation therapy (PMRT) with AFG</w:t>
      </w:r>
      <w:r>
        <w:t xml:space="preserve"> on irradiated breast expanders compared with those who underwent PMRT without AFG; statistically significantly fewer patients treated with AFG exhibited any short- or long-term complication such as infection, extru</w:t>
      </w:r>
      <w:r w:rsidR="009F3F9E">
        <w:t>sion, or radiodermitis sequelae.</w:t>
      </w:r>
    </w:p>
    <w:p w14:paraId="463A18CE" w14:textId="77777777" w:rsidR="003C2E14" w:rsidRDefault="003C2E14" w:rsidP="009F3F9E">
      <w:pPr>
        <w:pStyle w:val="Heading3"/>
        <w:spacing w:before="240"/>
      </w:pPr>
      <w:r>
        <w:t>Subpopulation A2: Post mastectomy with reconstruction</w:t>
      </w:r>
    </w:p>
    <w:p w14:paraId="665172A8" w14:textId="2BD64889" w:rsidR="003C2E14" w:rsidRPr="00C23938" w:rsidRDefault="003C2E14" w:rsidP="003C2E14">
      <w:r>
        <w:t xml:space="preserve">The DCAR stated that four studies reported recurrence among those treated with AFG or not after total mastectomy and delayed </w:t>
      </w:r>
      <w:r w:rsidRPr="006E4212">
        <w:t>deep inferior epigastric perforator</w:t>
      </w:r>
      <w:r>
        <w:t xml:space="preserve"> (DIEP)-flap reconstruction (Fertsch 2017</w:t>
      </w:r>
      <w:r>
        <w:rPr>
          <w:rStyle w:val="FootnoteReference"/>
        </w:rPr>
        <w:footnoteReference w:id="11"/>
      </w:r>
      <w:r>
        <w:t>, Laporta 2015</w:t>
      </w:r>
      <w:r>
        <w:rPr>
          <w:rStyle w:val="FootnoteReference"/>
        </w:rPr>
        <w:footnoteReference w:id="12"/>
      </w:r>
      <w:r>
        <w:t xml:space="preserve">); </w:t>
      </w:r>
      <w:r w:rsidRPr="008D71E1">
        <w:t>secondary revision surgery, after autologous- or prosthesis-based (immediate or delayed) reconstruction</w:t>
      </w:r>
      <w:r>
        <w:t xml:space="preserve"> (Kim 2014</w:t>
      </w:r>
      <w:r>
        <w:rPr>
          <w:rStyle w:val="FootnoteReference"/>
        </w:rPr>
        <w:footnoteReference w:id="13"/>
      </w:r>
      <w:r>
        <w:t>) or reconstruction with free flaps (</w:t>
      </w:r>
      <w:r w:rsidRPr="00EC084B">
        <w:t>DIEP</w:t>
      </w:r>
      <w:r>
        <w:t xml:space="preserve">, </w:t>
      </w:r>
      <w:r w:rsidRPr="00EC084B">
        <w:t>superficial inferior epigastric artery</w:t>
      </w:r>
      <w:r>
        <w:t xml:space="preserve"> [SIEA], </w:t>
      </w:r>
      <w:r w:rsidRPr="00CB31EF">
        <w:t>superior gluteal artery perforator</w:t>
      </w:r>
      <w:r>
        <w:t xml:space="preserve"> [SGAP], </w:t>
      </w:r>
      <w:r w:rsidRPr="00CB31EF">
        <w:t>inferior gluteal artery perforator</w:t>
      </w:r>
      <w:r>
        <w:t xml:space="preserve"> [IGAP] and </w:t>
      </w:r>
      <w:r w:rsidRPr="00CB31EF">
        <w:t>t</w:t>
      </w:r>
      <w:r>
        <w:t>horaco</w:t>
      </w:r>
      <w:r w:rsidRPr="00CB31EF">
        <w:t xml:space="preserve">dorsal </w:t>
      </w:r>
      <w:r w:rsidRPr="00CB31EF">
        <w:lastRenderedPageBreak/>
        <w:t>artery perforator</w:t>
      </w:r>
      <w:r>
        <w:t xml:space="preserve"> [Tap]) (Masia 2015</w:t>
      </w:r>
      <w:r>
        <w:rPr>
          <w:rStyle w:val="FootnoteReference"/>
        </w:rPr>
        <w:footnoteReference w:id="14"/>
      </w:r>
      <w:r>
        <w:t>). No statistically significant differences were observed in those treated with AFG or not; however, Fertsch (2017) reported statistically significantly increased recurrence among those with high-grade neoplasia or positive nodes treated with AFG during</w:t>
      </w:r>
      <w:r w:rsidR="009F3F9E">
        <w:t xml:space="preserve"> exploratory subgroup analyses.</w:t>
      </w:r>
    </w:p>
    <w:p w14:paraId="2471907E" w14:textId="7A0B1821" w:rsidR="003C2E14" w:rsidRDefault="003C2E14" w:rsidP="009F3F9E">
      <w:pPr>
        <w:spacing w:before="240"/>
      </w:pPr>
      <w:r>
        <w:t>The DCAR stated that Panettiere (2009)</w:t>
      </w:r>
      <w:r>
        <w:rPr>
          <w:rStyle w:val="FootnoteReference"/>
        </w:rPr>
        <w:footnoteReference w:id="15"/>
      </w:r>
      <w:r>
        <w:t xml:space="preserve"> reported </w:t>
      </w:r>
      <w:r w:rsidRPr="008D71E1">
        <w:t xml:space="preserve">that </w:t>
      </w:r>
      <w:r>
        <w:t xml:space="preserve">among </w:t>
      </w:r>
      <w:r w:rsidRPr="008D71E1">
        <w:t>irradiated breasts that had undergone prosthetic reconstruction</w:t>
      </w:r>
      <w:r>
        <w:t>,</w:t>
      </w:r>
      <w:r w:rsidRPr="008D71E1">
        <w:t xml:space="preserve"> two cases of severely thinned flaps in the control group resulted in implant exposure and subsequent removal, whereas all four cases of severely thinned flaps in </w:t>
      </w:r>
      <w:r>
        <w:t>those treated with AFG</w:t>
      </w:r>
      <w:r w:rsidRPr="008D71E1">
        <w:t xml:space="preserve"> improved following AFG, with no implant exposure (p=0.067).</w:t>
      </w:r>
    </w:p>
    <w:p w14:paraId="0D6EF429" w14:textId="34997047" w:rsidR="003C2E14" w:rsidRDefault="003C2E14" w:rsidP="009F3F9E">
      <w:pPr>
        <w:spacing w:before="240"/>
      </w:pPr>
      <w:r>
        <w:t>The DCAR stated that Pinell-White (2015)</w:t>
      </w:r>
      <w:r>
        <w:rPr>
          <w:rStyle w:val="FootnoteReference"/>
        </w:rPr>
        <w:footnoteReference w:id="16"/>
      </w:r>
      <w:r>
        <w:t xml:space="preserve"> reported on patients who had undergone AFG as an adjunct to post mastectomy breast reconstruction and who also had imaging conducted at a single centre. Controls were matched for age at initial reconstruction (</w:t>
      </w:r>
      <w:r w:rsidRPr="00DD681D">
        <w:rPr>
          <w:rFonts w:cs="Calibri"/>
        </w:rPr>
        <w:t>±</w:t>
      </w:r>
      <w:r>
        <w:t>5 years), year of initial reconstruction (</w:t>
      </w:r>
      <w:r w:rsidRPr="00DD681D">
        <w:rPr>
          <w:rFonts w:cs="Calibri"/>
        </w:rPr>
        <w:t>±</w:t>
      </w:r>
      <w:r>
        <w:t xml:space="preserve">2 years), and type of reconstruction. Patients treated with AFG had a greater number of mammograms, ultrasounds and magnetic resonance imaging (MRI) scans, whereas the group not treated with AFG had a greater number of chest computed tomography (CT) / </w:t>
      </w:r>
      <w:r w:rsidRPr="00965E83">
        <w:t>positron emission tomography</w:t>
      </w:r>
      <w:r>
        <w:t xml:space="preserve"> (PET) scans; only the number mammograms re</w:t>
      </w:r>
      <w:r w:rsidR="009F3F9E">
        <w:t>ached statistical significance.</w:t>
      </w:r>
    </w:p>
    <w:p w14:paraId="74999432" w14:textId="77777777" w:rsidR="003C2E14" w:rsidRDefault="003C2E14" w:rsidP="009F3F9E">
      <w:pPr>
        <w:pStyle w:val="Heading3"/>
        <w:spacing w:before="240"/>
      </w:pPr>
      <w:bookmarkStart w:id="21" w:name="_Ref29169449"/>
      <w:bookmarkStart w:id="22" w:name="_Toc37815139"/>
      <w:r>
        <w:t>Subpopulation A3: Breast Conserving Surgery (BCS)</w:t>
      </w:r>
    </w:p>
    <w:p w14:paraId="5481DFB2" w14:textId="1142BE53" w:rsidR="003C2E14" w:rsidRDefault="003C2E14" w:rsidP="003C2E14">
      <w:r>
        <w:t>The DCAR stated that all studies reported recurrence (specifically local recurrence in Khan (2017)</w:t>
      </w:r>
      <w:r>
        <w:rPr>
          <w:rStyle w:val="FootnoteReference"/>
        </w:rPr>
        <w:footnoteReference w:id="17"/>
      </w:r>
      <w:r>
        <w:t xml:space="preserve"> and Stumpf (2017)</w:t>
      </w:r>
      <w:r>
        <w:rPr>
          <w:rStyle w:val="FootnoteReference"/>
        </w:rPr>
        <w:footnoteReference w:id="18"/>
      </w:r>
      <w:r>
        <w:t>), and no differences between</w:t>
      </w:r>
      <w:r w:rsidR="009F3F9E">
        <w:t xml:space="preserve"> treatment groups was observed.</w:t>
      </w:r>
    </w:p>
    <w:p w14:paraId="156F81F0" w14:textId="77777777" w:rsidR="003C2E14" w:rsidRDefault="003C2E14" w:rsidP="009F3F9E">
      <w:pPr>
        <w:pStyle w:val="Heading3"/>
        <w:spacing w:before="240"/>
      </w:pPr>
      <w:r>
        <w:t>Extended harms assessment – incidence of locoregional occurrence</w:t>
      </w:r>
    </w:p>
    <w:p w14:paraId="1D62F934" w14:textId="15DC6E9F" w:rsidR="003C2E14" w:rsidRPr="0010568B" w:rsidRDefault="003C2E14" w:rsidP="003C2E14">
      <w:r>
        <w:t>As part of the extended harms safety assessment, the DCAR reviewed a further 11 comparative studies</w:t>
      </w:r>
      <w:r>
        <w:rPr>
          <w:rStyle w:val="FootnoteReference"/>
        </w:rPr>
        <w:footnoteReference w:id="19"/>
      </w:r>
      <w:r>
        <w:t xml:space="preserve"> and one systematic review (Krastev 2018b)</w:t>
      </w:r>
      <w:r>
        <w:rPr>
          <w:rStyle w:val="FootnoteReference"/>
        </w:rPr>
        <w:footnoteReference w:id="20"/>
      </w:r>
      <w:r>
        <w:t xml:space="preserve"> that reported and analysed </w:t>
      </w:r>
      <w:r w:rsidRPr="00E0034A">
        <w:t>the incidence of loco</w:t>
      </w:r>
      <w:r>
        <w:t>regional recurrence in women with breast cancer who received AFG in mult</w:t>
      </w:r>
      <w:r w:rsidR="009F3F9E">
        <w:t>iple subgroups of Population A.</w:t>
      </w:r>
    </w:p>
    <w:p w14:paraId="6BE17FBE" w14:textId="74E88969" w:rsidR="003C2E14" w:rsidRDefault="003C2E14" w:rsidP="009F3F9E">
      <w:pPr>
        <w:spacing w:before="240"/>
      </w:pPr>
      <w:r>
        <w:t>The DCAR stated that m</w:t>
      </w:r>
      <w:r w:rsidRPr="00E0034A">
        <w:t>ost studies and subgroup analyses indicated there were no statistically significant differences between the intervention and control groups for the incidence of locoregional recurrence. An exception to this was Petit (2012)</w:t>
      </w:r>
      <w:r>
        <w:rPr>
          <w:rStyle w:val="FootnoteReference"/>
        </w:rPr>
        <w:footnoteReference w:id="21"/>
      </w:r>
      <w:r>
        <w:t xml:space="preserve"> and Petit (2013)</w:t>
      </w:r>
      <w:r>
        <w:rPr>
          <w:rStyle w:val="FootnoteReference"/>
        </w:rPr>
        <w:footnoteReference w:id="22"/>
      </w:r>
      <w:r>
        <w:t xml:space="preserve"> observed a statistically significantly increased incidence of locoregional recurrence for those treated with AFG in subgroups defined as those: with </w:t>
      </w:r>
      <w:r w:rsidRPr="00E0034A">
        <w:t>of ductal and lobular intra</w:t>
      </w:r>
      <w:r w:rsidRPr="005309DF">
        <w:t>epithelial neoplasia</w:t>
      </w:r>
      <w:r>
        <w:t xml:space="preserve"> (DIN + LIN); age &lt;50 years; Grade 3 cancer; Ki-67 </w:t>
      </w:r>
      <w:r>
        <w:rPr>
          <w:rFonts w:cs="Calibri"/>
        </w:rPr>
        <w:t>≥</w:t>
      </w:r>
      <w:r>
        <w:t xml:space="preserve">14%; or quadrantectomy (BCS). Petit (2013) conceded that their inclusion criteria may have reduced </w:t>
      </w:r>
      <w:r>
        <w:lastRenderedPageBreak/>
        <w:t xml:space="preserve">the expected incidence of locoregional recurrence in the control group. </w:t>
      </w:r>
      <w:r w:rsidRPr="00E0034A">
        <w:t>Kronowitz (2016)</w:t>
      </w:r>
      <w:r>
        <w:rPr>
          <w:rStyle w:val="FootnoteReference"/>
        </w:rPr>
        <w:footnoteReference w:id="23"/>
      </w:r>
      <w:r w:rsidRPr="00E0034A">
        <w:t xml:space="preserve"> also indicated that AFG was associated with an increased risk of locoregional recurrence in patients treated with hormonal therapy, 1.4% and 0.5% for the intervention and control groups, respectively (p=0.038). </w:t>
      </w:r>
      <w:r>
        <w:t>T</w:t>
      </w:r>
      <w:r w:rsidRPr="00E0034A">
        <w:t>his remained significant when adjusted for chemotherapy, radiation therapy, and clinical stage (p=0.031).</w:t>
      </w:r>
    </w:p>
    <w:p w14:paraId="104B3610" w14:textId="5A58C659" w:rsidR="003C2E14" w:rsidRDefault="003C2E14" w:rsidP="009F3F9E">
      <w:pPr>
        <w:spacing w:before="240"/>
      </w:pPr>
      <w:r>
        <w:t>Based on the evidence available, the DCAR considered that there are no signals of a difference in locoregional recurrence among those treated with AFG (</w:t>
      </w:r>
      <w:r w:rsidRPr="00B50295">
        <w:t>with the exception of a small number of subgroups).</w:t>
      </w:r>
      <w:r>
        <w:t xml:space="preserve"> The DCAR acknowledged that this conclusion is heavily reliant on largely retrospective clinical data (with differences in patient populations, length of follow-up and timing of AFG post initial surgery) and contradicts the observation in the literature in </w:t>
      </w:r>
      <w:r w:rsidRPr="00DF1DFC">
        <w:rPr>
          <w:i/>
        </w:rPr>
        <w:t>in vitro</w:t>
      </w:r>
      <w:r w:rsidRPr="003904D0">
        <w:t xml:space="preserve"> </w:t>
      </w:r>
      <w:r>
        <w:t>settings suggesting a role for fat in cancer i</w:t>
      </w:r>
      <w:r w:rsidR="009F3F9E">
        <w:t xml:space="preserve">nitiation and progression. </w:t>
      </w:r>
    </w:p>
    <w:bookmarkEnd w:id="21"/>
    <w:bookmarkEnd w:id="22"/>
    <w:p w14:paraId="3065BE68" w14:textId="77777777" w:rsidR="003C2E14" w:rsidRDefault="003C2E14" w:rsidP="009F3F9E">
      <w:pPr>
        <w:pStyle w:val="Heading2"/>
        <w:spacing w:before="240"/>
      </w:pPr>
      <w:r>
        <w:t>Population B: Developmental breast abnormalities</w:t>
      </w:r>
    </w:p>
    <w:p w14:paraId="4A467745" w14:textId="77777777" w:rsidR="00DB5833" w:rsidRPr="005A4362" w:rsidRDefault="003C2E14" w:rsidP="003C2E14">
      <w:pPr>
        <w:tabs>
          <w:tab w:val="left" w:pos="720"/>
          <w:tab w:val="left" w:pos="1140"/>
        </w:tabs>
        <w:spacing w:after="240"/>
        <w:rPr>
          <w:i/>
          <w:szCs w:val="24"/>
        </w:rPr>
      </w:pPr>
      <w:r>
        <w:t>The DCAR stated that neither Brault (2017)</w:t>
      </w:r>
      <w:r>
        <w:rPr>
          <w:rStyle w:val="FootnoteReference"/>
        </w:rPr>
        <w:footnoteReference w:id="24"/>
      </w:r>
      <w:r>
        <w:t xml:space="preserve"> nor Tenna (2017)</w:t>
      </w:r>
      <w:r>
        <w:rPr>
          <w:rStyle w:val="FootnoteReference"/>
        </w:rPr>
        <w:footnoteReference w:id="25"/>
      </w:r>
      <w:r>
        <w:t xml:space="preserve"> reported on any safety outcomes other than those described for secondary procedures below.</w:t>
      </w:r>
      <w:r w:rsidR="00DB5833" w:rsidRPr="005A4362">
        <w:rPr>
          <w:i/>
          <w:szCs w:val="24"/>
        </w:rPr>
        <w:t xml:space="preserve"> </w:t>
      </w:r>
    </w:p>
    <w:p w14:paraId="0C5A6398" w14:textId="77777777" w:rsidR="00BC1364" w:rsidRPr="00F715D1" w:rsidRDefault="00BC1364" w:rsidP="00F715D1">
      <w:pPr>
        <w:pStyle w:val="Heading1"/>
      </w:pPr>
      <w:r w:rsidRPr="00F715D1">
        <w:t>Comparative effectiveness</w:t>
      </w:r>
    </w:p>
    <w:p w14:paraId="02AB6350" w14:textId="77777777" w:rsidR="003C2E14" w:rsidRDefault="003C2E14" w:rsidP="003C2E14">
      <w:pPr>
        <w:pStyle w:val="Heading2"/>
      </w:pPr>
      <w:r>
        <w:t>Population A</w:t>
      </w:r>
    </w:p>
    <w:p w14:paraId="040DA42C" w14:textId="77777777" w:rsidR="003C2E14" w:rsidRDefault="003C2E14" w:rsidP="003C2E14">
      <w:pPr>
        <w:pStyle w:val="Heading3"/>
      </w:pPr>
      <w:r>
        <w:t>Post mastectomy pain syndrome (PMPS) subpopulation</w:t>
      </w:r>
    </w:p>
    <w:p w14:paraId="68D37423" w14:textId="76B5EFAA" w:rsidR="003C2E14" w:rsidRDefault="003C2E14" w:rsidP="003C2E14">
      <w:r>
        <w:t>The DCAR stated that Juhl (2016) reported s</w:t>
      </w:r>
      <w:r w:rsidRPr="008D71E1">
        <w:t xml:space="preserve">tatistically significant improvements </w:t>
      </w:r>
      <w:r>
        <w:t xml:space="preserve">for pain outcomes </w:t>
      </w:r>
      <w:r w:rsidRPr="008D71E1">
        <w:t>in the AFG-treated group were observed between baseline and 6 months</w:t>
      </w:r>
      <w:r>
        <w:t>.</w:t>
      </w:r>
      <w:r w:rsidRPr="008D71E1">
        <w:t xml:space="preserve"> </w:t>
      </w:r>
      <w:r>
        <w:t xml:space="preserve">Each comparative study similarly reported statistically significant improvements in pain outcomes from baseline to final follow-up in those treated with AFG. Juhl (2016) reported statistically significant differences between groups in </w:t>
      </w:r>
      <w:r w:rsidRPr="00263305">
        <w:rPr>
          <w:i/>
        </w:rPr>
        <w:t>post-hoc</w:t>
      </w:r>
      <w:r>
        <w:t xml:space="preserve"> analyses; Caviggioli (2016) and Maione (2014) also </w:t>
      </w:r>
      <w:r w:rsidRPr="008D71E1">
        <w:t>reported statistically significant differences between cases and controls at follow-up</w:t>
      </w:r>
      <w:r>
        <w:t xml:space="preserve">. </w:t>
      </w:r>
      <w:r w:rsidRPr="008D71E1">
        <w:t>Caviggioli (2011, 2016) additionally reported that 28 of 34 mastectomy patients and Caviggioli (2016) further reported 20 of 25 quadrantectomy patients</w:t>
      </w:r>
      <w:r>
        <w:t xml:space="preserve"> ceased pharmacological therapy; </w:t>
      </w:r>
      <w:r w:rsidRPr="008D71E1">
        <w:t>the mean and median pain reduction scores were higher among those who ceased pharmacological therapy.</w:t>
      </w:r>
    </w:p>
    <w:p w14:paraId="131B547F" w14:textId="77777777" w:rsidR="003C2E14" w:rsidRDefault="003C2E14" w:rsidP="009F3F9E">
      <w:pPr>
        <w:pStyle w:val="Heading3"/>
        <w:spacing w:before="240"/>
      </w:pPr>
      <w:r>
        <w:t>Subpopulation A1: Post mastectomy without reconstruction</w:t>
      </w:r>
    </w:p>
    <w:p w14:paraId="06C0865F" w14:textId="11B5C852" w:rsidR="003C2E14" w:rsidRDefault="003C2E14" w:rsidP="009F3F9E">
      <w:pPr>
        <w:spacing w:after="240"/>
      </w:pPr>
      <w:r>
        <w:t xml:space="preserve">The DCAR stated that Cuomo (2014) compared the use of </w:t>
      </w:r>
      <w:r w:rsidRPr="008D71E1">
        <w:t>AFG in con</w:t>
      </w:r>
      <w:r>
        <w:t xml:space="preserve">junction with prosthesis or </w:t>
      </w:r>
      <w:r w:rsidRPr="008D71E1">
        <w:t xml:space="preserve">prosthesis alone </w:t>
      </w:r>
      <w:r>
        <w:t xml:space="preserve">for reconstruction in patients who underwent </w:t>
      </w:r>
      <w:r w:rsidRPr="008D71E1">
        <w:t>radical mastectomy without axillary dissection for</w:t>
      </w:r>
      <w:r>
        <w:t xml:space="preserve"> the treatment of breast cancer; </w:t>
      </w:r>
      <w:r w:rsidRPr="008D71E1">
        <w:t>indicating that treatment with AFG during prosthetic reconstructio</w:t>
      </w:r>
      <w:r>
        <w:t>n could reduce post-</w:t>
      </w:r>
      <w:r w:rsidRPr="008D71E1">
        <w:t>operative and subsequent pain.</w:t>
      </w:r>
      <w:r>
        <w:t xml:space="preserve"> Ribuffo (2013) further reported that </w:t>
      </w:r>
      <w:r w:rsidRPr="008D71E1">
        <w:t>patients treated with AFG were more likely to ev</w:t>
      </w:r>
      <w:r>
        <w:t>aluate shape/symmetry as ‘good’; although not reported by the authors, this was statistically significantly different between groups (relative risk = 7.00; 95% con</w:t>
      </w:r>
      <w:r w:rsidR="009F3F9E">
        <w:t>fidence interval: 2.35, 25.25).</w:t>
      </w:r>
    </w:p>
    <w:p w14:paraId="22EFA81B" w14:textId="77777777" w:rsidR="003C2E14" w:rsidRDefault="003C2E14" w:rsidP="003C2E14">
      <w:pPr>
        <w:pStyle w:val="Heading3"/>
      </w:pPr>
      <w:r>
        <w:lastRenderedPageBreak/>
        <w:t>Subpopulation A2: Post mastectomy with reconstruction</w:t>
      </w:r>
    </w:p>
    <w:p w14:paraId="238038C3" w14:textId="51848959" w:rsidR="003C2E14" w:rsidRDefault="003C2E14" w:rsidP="003C2E14">
      <w:r>
        <w:t xml:space="preserve">The DCAR stated that Cogliandro (2017) reported on a group of patients who </w:t>
      </w:r>
      <w:r w:rsidRPr="008D71E1">
        <w:t>were admitted to undergo definitive prosthesis-based breast reconstruction</w:t>
      </w:r>
      <w:r>
        <w:t xml:space="preserve"> and developed </w:t>
      </w:r>
      <w:r w:rsidRPr="008D71E1">
        <w:t xml:space="preserve">some asymmetry resulting in </w:t>
      </w:r>
      <w:r>
        <w:t xml:space="preserve">patients’ </w:t>
      </w:r>
      <w:r w:rsidRPr="008D71E1">
        <w:t xml:space="preserve">dissatisfaction </w:t>
      </w:r>
      <w:r>
        <w:t xml:space="preserve">with the </w:t>
      </w:r>
      <w:r w:rsidRPr="008D71E1">
        <w:t>aesthetic</w:t>
      </w:r>
      <w:r>
        <w:t xml:space="preserve"> outcome</w:t>
      </w:r>
      <w:r w:rsidRPr="008D71E1">
        <w:t>; all patients were offered AFG and those who agreed underwent treatment with AFG almost 1 year after surgery</w:t>
      </w:r>
      <w:r>
        <w:t>. The authors</w:t>
      </w:r>
      <w:r w:rsidRPr="008D71E1">
        <w:t xml:space="preserve"> </w:t>
      </w:r>
      <w:r w:rsidRPr="006F2947">
        <w:t xml:space="preserve">reported </w:t>
      </w:r>
      <w:r>
        <w:t>a</w:t>
      </w:r>
      <w:r w:rsidRPr="006F2947">
        <w:t xml:space="preserve"> statistically significant difference in the following states</w:t>
      </w:r>
      <w:r>
        <w:t xml:space="preserve"> of BREAST-Q</w:t>
      </w:r>
      <w:r w:rsidRPr="006F2947">
        <w:t>, favouring the AFG treatment group: ability to wear more fitted clothing; reconstructed breast softness; breasts of equal size relative to one another; reconstructed breast look and touch; amount of implant rippling (wrinkling) perceived by patients; psychosocial well-being and physical well-being, chest, and upper body.</w:t>
      </w:r>
      <w:r>
        <w:t xml:space="preserve"> Similarly, Leuzzi (2019)</w:t>
      </w:r>
      <w:r>
        <w:rPr>
          <w:rStyle w:val="FootnoteReference"/>
        </w:rPr>
        <w:footnoteReference w:id="26"/>
      </w:r>
      <w:r>
        <w:t xml:space="preserve"> reported statistically significantly higher scores for the </w:t>
      </w:r>
      <w:r w:rsidRPr="006F2947">
        <w:rPr>
          <w:color w:val="000000" w:themeColor="text1"/>
        </w:rPr>
        <w:t>‘sexual well-being’ domain</w:t>
      </w:r>
      <w:r>
        <w:t xml:space="preserve"> and a number of specific BREAST-Q questions among those who underwent reconstruction with a </w:t>
      </w:r>
      <w:r w:rsidRPr="00BB2B06">
        <w:t>latissimus dorsi</w:t>
      </w:r>
      <w:r w:rsidRPr="008D71E1">
        <w:t xml:space="preserve"> </w:t>
      </w:r>
      <w:r>
        <w:t>(</w:t>
      </w:r>
      <w:r w:rsidRPr="008D71E1">
        <w:t>LD</w:t>
      </w:r>
      <w:r>
        <w:t>)</w:t>
      </w:r>
      <w:r w:rsidRPr="008D71E1">
        <w:t xml:space="preserve"> flap with AFG </w:t>
      </w:r>
      <w:r>
        <w:t>compared with those with</w:t>
      </w:r>
      <w:r w:rsidRPr="008D71E1">
        <w:t xml:space="preserve"> an LD flap with a prosthesis</w:t>
      </w:r>
      <w:r w:rsidR="009F3F9E">
        <w:t>.</w:t>
      </w:r>
    </w:p>
    <w:p w14:paraId="0376A811" w14:textId="3A4BD5F7" w:rsidR="003C2E14" w:rsidRDefault="003C2E14" w:rsidP="009F3F9E">
      <w:pPr>
        <w:spacing w:before="240"/>
      </w:pPr>
      <w:r>
        <w:t>Lakhiani (2014)</w:t>
      </w:r>
      <w:r>
        <w:rPr>
          <w:rStyle w:val="FootnoteReference"/>
        </w:rPr>
        <w:footnoteReference w:id="27"/>
      </w:r>
      <w:r>
        <w:t xml:space="preserve"> reported on patients who </w:t>
      </w:r>
      <w:r w:rsidRPr="008D71E1">
        <w:t>underwent secondary breast augmentation with AFG or implant insertion following flap reconstruction</w:t>
      </w:r>
      <w:r>
        <w:t>.</w:t>
      </w:r>
      <w:r w:rsidRPr="006F2947">
        <w:t xml:space="preserve"> No statistically significant differences were observed for any category </w:t>
      </w:r>
      <w:r>
        <w:t>(</w:t>
      </w:r>
      <w:r w:rsidRPr="008D71E1">
        <w:t>contour, volume, projection and overall aesthetic appearance</w:t>
      </w:r>
      <w:r>
        <w:t xml:space="preserve">, </w:t>
      </w:r>
      <w:r w:rsidRPr="008D71E1">
        <w:t>conducted by a panel</w:t>
      </w:r>
      <w:r>
        <w:t xml:space="preserve">) </w:t>
      </w:r>
      <w:r w:rsidRPr="006F2947">
        <w:t>between the AFG and implant alone groups; however statistically significantly better aesthetic outcomes were reported for the AFG + implant group with respect to contour, volume and overall appearance, compared with both AFG and implant alone.</w:t>
      </w:r>
    </w:p>
    <w:p w14:paraId="5DF95ACE" w14:textId="141CC5E3" w:rsidR="003C2E14" w:rsidRDefault="003C2E14" w:rsidP="009F3F9E">
      <w:pPr>
        <w:spacing w:before="240"/>
      </w:pPr>
      <w:r w:rsidRPr="008D71E1">
        <w:t xml:space="preserve">Panettiere (2009) reported that superficial irregularities among </w:t>
      </w:r>
      <w:r>
        <w:t>patients</w:t>
      </w:r>
      <w:r w:rsidRPr="008D71E1">
        <w:t xml:space="preserve"> treated with AFG completely resolved in 11 (of 20) cases and significantly improved in the remaining nine. Panettiere (2009) also reported changes in the average aesthetic outcome (rated from 1 (very poor) to 5 (very good)) before AFG (T0) and at about three months after the last (of serial sessions repeated after a minimum of 20 days until the result was stable or the patient was satisfied) session of AFG (T1) in the intervention group. Mean (SD) aesthetic score was similar between the </w:t>
      </w:r>
      <w:r>
        <w:t>AFG</w:t>
      </w:r>
      <w:r w:rsidRPr="008D71E1">
        <w:t xml:space="preserve"> group at T0 (2.7 (0.8)) compared with the </w:t>
      </w:r>
      <w:r>
        <w:t xml:space="preserve">no AFG </w:t>
      </w:r>
      <w:r w:rsidRPr="008D71E1">
        <w:t>group (3.1 (1.6)), p</w:t>
      </w:r>
      <w:r w:rsidRPr="008D71E1">
        <w:rPr>
          <w:rFonts w:cs="Calibri"/>
        </w:rPr>
        <w:t xml:space="preserve">≤0.18; and significantly improved in the intervention arm at T1 (4.3 (0.6)) compared with T0 </w:t>
      </w:r>
      <w:r w:rsidRPr="008D71E1">
        <w:t>(2.7 (0.8))</w:t>
      </w:r>
      <w:r w:rsidRPr="008D71E1">
        <w:rPr>
          <w:rFonts w:cs="Calibri"/>
        </w:rPr>
        <w:t xml:space="preserve">, p≤0.001. </w:t>
      </w:r>
      <w:r>
        <w:rPr>
          <w:rFonts w:cs="Calibri"/>
        </w:rPr>
        <w:t xml:space="preserve">The outcomes for the control group at T1 were not reported, suggesting a possible overestimate of the gain in the </w:t>
      </w:r>
      <w:r>
        <w:t>aesthetic scores in the int</w:t>
      </w:r>
      <w:r w:rsidR="009F3F9E">
        <w:t>ervention group.</w:t>
      </w:r>
    </w:p>
    <w:p w14:paraId="7CFCC73E" w14:textId="0D0E0C30" w:rsidR="003C2E14" w:rsidRDefault="003C2E14" w:rsidP="009F3F9E">
      <w:pPr>
        <w:spacing w:before="240"/>
      </w:pPr>
      <w:r>
        <w:t>Conversely, Laporta (2015) reported no statistically difference between those treated with AFG or not from the results of p</w:t>
      </w:r>
      <w:r w:rsidRPr="008D71E1">
        <w:t>atient and surgeon (two independent observers, blinded to</w:t>
      </w:r>
      <w:r w:rsidR="009F3F9E">
        <w:t xml:space="preserve"> treatment group) surveys.</w:t>
      </w:r>
    </w:p>
    <w:p w14:paraId="08748565" w14:textId="77777777" w:rsidR="003C2E14" w:rsidRDefault="003C2E14" w:rsidP="009F3F9E">
      <w:pPr>
        <w:pStyle w:val="Heading3"/>
        <w:spacing w:before="240"/>
      </w:pPr>
      <w:r>
        <w:t>Subpopulation A3: Breast Conserving Surgery (BCS)</w:t>
      </w:r>
    </w:p>
    <w:p w14:paraId="792E2E82" w14:textId="77777777" w:rsidR="003C2E14" w:rsidRDefault="003C2E14" w:rsidP="003C2E14">
      <w:r>
        <w:t xml:space="preserve">The DCAR stated that Khan (2017) additionally reported results from BREAST-Q, indicating that statistically significant differences, favouring the intervention group, were observed for the following (i) </w:t>
      </w:r>
      <w:r w:rsidRPr="00EF1E2A">
        <w:t>appearance in the mirror clothed</w:t>
      </w:r>
      <w:r>
        <w:t xml:space="preserve"> and unclothed; (ii) shape of breasts in bra; (iii) </w:t>
      </w:r>
      <w:r w:rsidRPr="00EF1E2A">
        <w:t>size of breasts</w:t>
      </w:r>
      <w:r>
        <w:t xml:space="preserve">; (iv) </w:t>
      </w:r>
      <w:r w:rsidRPr="00EF1E2A">
        <w:t>ability to wear fitted clothing</w:t>
      </w:r>
      <w:r>
        <w:t>; (v) equality of size of breasts; and (vi) how closely matched the breasts are to each other. The AFG group was statistically significantly more satisfied with overall cosmetic outcomes compared with the no AFG group.</w:t>
      </w:r>
    </w:p>
    <w:p w14:paraId="550595EB" w14:textId="77777777" w:rsidR="003C2E14" w:rsidRDefault="003C2E14" w:rsidP="009F3F9E">
      <w:pPr>
        <w:pStyle w:val="Heading2"/>
        <w:spacing w:before="240"/>
      </w:pPr>
      <w:r>
        <w:lastRenderedPageBreak/>
        <w:t>Population B: Developmental breast abnormalities</w:t>
      </w:r>
    </w:p>
    <w:p w14:paraId="2D39E7D6" w14:textId="46EF0914" w:rsidR="003C2E14" w:rsidRPr="009F3F9E" w:rsidRDefault="003C2E14" w:rsidP="009F3F9E">
      <w:r>
        <w:t xml:space="preserve">The DCAR stated that for patients undergoing breast augmentation with implant alone in Brault (2017), they were statistically significantly more satisfied with their breasts and their outcome compared with those undergoing augmentation with AFG alone. Brault (2017) provided further results question by question, reporting that statistically significant differences between groups, in favour of implant alone, were observed for most questions (9/13) in the “satisfaction of breast section”. However, patients treated with AFG alone had statistically significant higher scores for “how your scars look”. Similarly, the implant alone group had statistically significantly higher score for six of eight questions in the “satisfaction with outcome” module. Tenna (2017) reported that secondary procedures were required in 28.5% (largely due to dissatisfaction) and 63.5% (largely due to major and minor complications); and the mean number of procedures was 1.28 and 1.96, in the autologous group and implant groups, respectively. Based on BREAST-Q scores in Tenna (2017), patient satisfaction was comparable between the intervention and comparator groups across all </w:t>
      </w:r>
      <w:r w:rsidRPr="008D13E8">
        <w:t>domains (p values were not reported, but what appear to be standard deviations around the mean values</w:t>
      </w:r>
      <w:r>
        <w:t xml:space="preserve"> indicate</w:t>
      </w:r>
      <w:r w:rsidRPr="008D13E8">
        <w:t xml:space="preserve"> statistically significant difference</w:t>
      </w:r>
      <w:r>
        <w:t>s</w:t>
      </w:r>
      <w:r w:rsidRPr="008D13E8">
        <w:t xml:space="preserve"> </w:t>
      </w:r>
      <w:r>
        <w:t>were</w:t>
      </w:r>
      <w:r w:rsidRPr="008D13E8">
        <w:t xml:space="preserve"> unlikely).</w:t>
      </w:r>
    </w:p>
    <w:p w14:paraId="217FD28A" w14:textId="77777777" w:rsidR="003C2E14" w:rsidRDefault="003C2E14" w:rsidP="009F3F9E">
      <w:pPr>
        <w:pStyle w:val="Heading2"/>
        <w:spacing w:before="240"/>
      </w:pPr>
      <w:r>
        <w:t>Summary</w:t>
      </w:r>
    </w:p>
    <w:p w14:paraId="6B1F07A7" w14:textId="2B745795" w:rsidR="009F3F9E" w:rsidRPr="009F3F9E" w:rsidRDefault="003C2E14">
      <w:r>
        <w:t xml:space="preserve">The DCARs resulting clinical conclusions regarding the comparative safety and effectiveness of AFG </w:t>
      </w:r>
      <w:r w:rsidRPr="005A7985">
        <w:rPr>
          <w:i/>
        </w:rPr>
        <w:t>vs.</w:t>
      </w:r>
      <w:r>
        <w:t xml:space="preserve"> no AFG (BSC) and AFG </w:t>
      </w:r>
      <w:r w:rsidRPr="005A7985">
        <w:rPr>
          <w:i/>
        </w:rPr>
        <w:t>vs.</w:t>
      </w:r>
      <w:r>
        <w:t xml:space="preserve"> reconstruction are summarised in </w:t>
      </w:r>
      <w:r w:rsidR="007F011C">
        <w:fldChar w:fldCharType="begin"/>
      </w:r>
      <w:r w:rsidR="007F011C">
        <w:instrText xml:space="preserve"> REF _Ref50012417 \h </w:instrText>
      </w:r>
      <w:r w:rsidR="007F011C">
        <w:fldChar w:fldCharType="separate"/>
      </w:r>
      <w:r w:rsidR="007F011C">
        <w:t xml:space="preserve">Table </w:t>
      </w:r>
      <w:r w:rsidR="007F011C">
        <w:rPr>
          <w:noProof/>
        </w:rPr>
        <w:t>5</w:t>
      </w:r>
      <w:r w:rsidR="007F011C">
        <w:fldChar w:fldCharType="end"/>
      </w:r>
      <w:r>
        <w:t xml:space="preserve"> and </w:t>
      </w:r>
      <w:r w:rsidR="007F011C">
        <w:fldChar w:fldCharType="begin"/>
      </w:r>
      <w:r w:rsidR="007F011C">
        <w:instrText xml:space="preserve"> REF _Ref30069603 \h </w:instrText>
      </w:r>
      <w:r w:rsidR="007F011C">
        <w:fldChar w:fldCharType="separate"/>
      </w:r>
      <w:r w:rsidR="007F011C">
        <w:t>Table </w:t>
      </w:r>
      <w:r w:rsidR="007F011C">
        <w:rPr>
          <w:noProof/>
        </w:rPr>
        <w:t>6</w:t>
      </w:r>
      <w:r w:rsidR="007F011C">
        <w:fldChar w:fldCharType="end"/>
      </w:r>
      <w:r>
        <w:t xml:space="preserve">, respectively. Note, the DCAR did not include </w:t>
      </w:r>
      <w:r w:rsidRPr="00E84BC0">
        <w:t>all</w:t>
      </w:r>
      <w:r>
        <w:t xml:space="preserve"> identified</w:t>
      </w:r>
      <w:r w:rsidRPr="00E84BC0">
        <w:t xml:space="preserve"> studies</w:t>
      </w:r>
      <w:r>
        <w:t xml:space="preserve"> within </w:t>
      </w:r>
      <w:r w:rsidR="007F011C">
        <w:fldChar w:fldCharType="begin"/>
      </w:r>
      <w:r w:rsidR="007F011C">
        <w:instrText xml:space="preserve"> REF _Ref50012417 \h </w:instrText>
      </w:r>
      <w:r w:rsidR="007F011C">
        <w:fldChar w:fldCharType="separate"/>
      </w:r>
      <w:r w:rsidR="007F011C">
        <w:t xml:space="preserve">Table </w:t>
      </w:r>
      <w:r w:rsidR="007F011C">
        <w:rPr>
          <w:noProof/>
        </w:rPr>
        <w:t>5</w:t>
      </w:r>
      <w:r w:rsidR="007F011C">
        <w:fldChar w:fldCharType="end"/>
      </w:r>
      <w:r w:rsidR="007F011C">
        <w:t xml:space="preserve"> </w:t>
      </w:r>
      <w:r>
        <w:t xml:space="preserve">and </w:t>
      </w:r>
      <w:r w:rsidR="007F011C">
        <w:fldChar w:fldCharType="begin"/>
      </w:r>
      <w:r w:rsidR="007F011C">
        <w:instrText xml:space="preserve"> REF _Ref30069603 \h </w:instrText>
      </w:r>
      <w:r w:rsidR="007F011C">
        <w:fldChar w:fldCharType="separate"/>
      </w:r>
      <w:r w:rsidR="007F011C">
        <w:t xml:space="preserve">Table </w:t>
      </w:r>
      <w:r w:rsidR="007F011C">
        <w:rPr>
          <w:noProof/>
        </w:rPr>
        <w:t>6</w:t>
      </w:r>
      <w:r w:rsidR="007F011C">
        <w:fldChar w:fldCharType="end"/>
      </w:r>
      <w:r>
        <w:t xml:space="preserve"> </w:t>
      </w:r>
      <w:r w:rsidRPr="00E84BC0">
        <w:t xml:space="preserve">due to (i) not reporting results for the various outcomes, or (ii) not providing results of a comparison of AFG </w:t>
      </w:r>
      <w:r w:rsidRPr="005A7985">
        <w:rPr>
          <w:i/>
        </w:rPr>
        <w:t>vs.</w:t>
      </w:r>
      <w:r w:rsidRPr="00E84BC0">
        <w:t xml:space="preserve"> no AFG.</w:t>
      </w:r>
      <w:bookmarkStart w:id="23" w:name="_Ref30069531"/>
      <w:bookmarkStart w:id="24" w:name="_Toc37815103"/>
      <w:r w:rsidR="009F3F9E">
        <w:br w:type="page"/>
      </w:r>
    </w:p>
    <w:p w14:paraId="0406E991" w14:textId="3D246708" w:rsidR="003C2E14" w:rsidRPr="002F2AEA" w:rsidRDefault="007F011C" w:rsidP="002F2AEA">
      <w:pPr>
        <w:rPr>
          <w:rFonts w:ascii="Arial Narrow" w:hAnsi="Arial Narrow"/>
          <w:b/>
          <w:sz w:val="20"/>
        </w:rPr>
      </w:pPr>
      <w:bookmarkStart w:id="25" w:name="_Ref50012417"/>
      <w:r w:rsidRPr="002F2AEA">
        <w:rPr>
          <w:rFonts w:ascii="Arial Narrow" w:hAnsi="Arial Narrow"/>
          <w:b/>
          <w:sz w:val="20"/>
        </w:rPr>
        <w:lastRenderedPageBreak/>
        <w:t xml:space="preserve">Table </w:t>
      </w:r>
      <w:r w:rsidR="002E3DBE" w:rsidRPr="002F2AEA">
        <w:rPr>
          <w:rFonts w:ascii="Arial Narrow" w:hAnsi="Arial Narrow"/>
          <w:b/>
          <w:sz w:val="20"/>
        </w:rPr>
        <w:fldChar w:fldCharType="begin"/>
      </w:r>
      <w:r w:rsidR="002E3DBE" w:rsidRPr="002F2AEA">
        <w:rPr>
          <w:rFonts w:ascii="Arial Narrow" w:hAnsi="Arial Narrow"/>
          <w:b/>
          <w:sz w:val="20"/>
        </w:rPr>
        <w:instrText xml:space="preserve"> SEQ Table \* ARABIC </w:instrText>
      </w:r>
      <w:r w:rsidR="002E3DBE" w:rsidRPr="002F2AEA">
        <w:rPr>
          <w:rFonts w:ascii="Arial Narrow" w:hAnsi="Arial Narrow"/>
          <w:b/>
          <w:sz w:val="20"/>
        </w:rPr>
        <w:fldChar w:fldCharType="separate"/>
      </w:r>
      <w:r w:rsidR="00EF74CD" w:rsidRPr="002F2AEA">
        <w:rPr>
          <w:rFonts w:ascii="Arial Narrow" w:hAnsi="Arial Narrow"/>
          <w:b/>
          <w:sz w:val="20"/>
        </w:rPr>
        <w:t>5</w:t>
      </w:r>
      <w:r w:rsidR="002E3DBE" w:rsidRPr="002F2AEA">
        <w:rPr>
          <w:rFonts w:ascii="Arial Narrow" w:hAnsi="Arial Narrow"/>
          <w:b/>
          <w:sz w:val="20"/>
        </w:rPr>
        <w:fldChar w:fldCharType="end"/>
      </w:r>
      <w:bookmarkEnd w:id="23"/>
      <w:bookmarkEnd w:id="25"/>
      <w:r w:rsidRPr="002F2AEA">
        <w:rPr>
          <w:rFonts w:ascii="Arial Narrow" w:hAnsi="Arial Narrow"/>
          <w:b/>
          <w:sz w:val="20"/>
        </w:rPr>
        <w:t xml:space="preserve"> </w:t>
      </w:r>
      <w:r w:rsidR="003C2E14" w:rsidRPr="002F2AEA">
        <w:rPr>
          <w:rFonts w:ascii="Arial Narrow" w:hAnsi="Arial Narrow"/>
          <w:b/>
          <w:sz w:val="20"/>
        </w:rPr>
        <w:t>Summary of the evidence and clinical claims for AFG vs. no AFG (BSC) (number of studies; number of patients)</w:t>
      </w:r>
      <w:bookmarkEnd w:id="24"/>
    </w:p>
    <w:tbl>
      <w:tblPr>
        <w:tblStyle w:val="TableGrid"/>
        <w:tblW w:w="9067" w:type="dxa"/>
        <w:tblCellMar>
          <w:left w:w="28" w:type="dxa"/>
          <w:right w:w="28" w:type="dxa"/>
        </w:tblCellMar>
        <w:tblLook w:val="04A0" w:firstRow="1" w:lastRow="0" w:firstColumn="1" w:lastColumn="0" w:noHBand="0" w:noVBand="1"/>
        <w:tblCaption w:val="Summary of the evidence and clinical claims for AFG versus no AFG (number of studies; number of patients)"/>
        <w:tblDescription w:val="Summary of the evidence and clinical claims for AFG versus no AFG (number of studies; number of patients)"/>
      </w:tblPr>
      <w:tblGrid>
        <w:gridCol w:w="2547"/>
        <w:gridCol w:w="1630"/>
        <w:gridCol w:w="1630"/>
        <w:gridCol w:w="1630"/>
        <w:gridCol w:w="1630"/>
      </w:tblGrid>
      <w:tr w:rsidR="003C2E14" w:rsidRPr="0020351E" w14:paraId="35BC71C2" w14:textId="77777777" w:rsidTr="002D52C6">
        <w:trPr>
          <w:tblHeader/>
        </w:trPr>
        <w:tc>
          <w:tcPr>
            <w:tcW w:w="2547" w:type="dxa"/>
            <w:tcBorders>
              <w:bottom w:val="nil"/>
            </w:tcBorders>
          </w:tcPr>
          <w:p w14:paraId="183B036B" w14:textId="77777777" w:rsidR="003C2E14" w:rsidRPr="0020351E" w:rsidRDefault="003C2E14" w:rsidP="002D52C6">
            <w:pPr>
              <w:spacing w:before="20" w:after="20"/>
              <w:rPr>
                <w:rFonts w:ascii="Arial Narrow" w:hAnsi="Arial Narrow"/>
                <w:sz w:val="20"/>
              </w:rPr>
            </w:pPr>
          </w:p>
        </w:tc>
        <w:tc>
          <w:tcPr>
            <w:tcW w:w="1630" w:type="dxa"/>
            <w:tcBorders>
              <w:right w:val="nil"/>
            </w:tcBorders>
            <w:vAlign w:val="center"/>
          </w:tcPr>
          <w:p w14:paraId="2AFEEC00" w14:textId="77777777" w:rsidR="003C2E14" w:rsidRPr="0020351E" w:rsidRDefault="003C2E14" w:rsidP="002D52C6">
            <w:pPr>
              <w:spacing w:before="20" w:after="20"/>
              <w:jc w:val="center"/>
              <w:rPr>
                <w:rFonts w:ascii="Arial Narrow" w:hAnsi="Arial Narrow"/>
                <w:b/>
                <w:sz w:val="20"/>
              </w:rPr>
            </w:pPr>
          </w:p>
        </w:tc>
        <w:tc>
          <w:tcPr>
            <w:tcW w:w="1630" w:type="dxa"/>
            <w:tcBorders>
              <w:left w:val="nil"/>
              <w:right w:val="nil"/>
            </w:tcBorders>
            <w:vAlign w:val="center"/>
          </w:tcPr>
          <w:p w14:paraId="10B08475" w14:textId="77777777" w:rsidR="003C2E14" w:rsidRPr="0020351E" w:rsidRDefault="003C2E14" w:rsidP="002D52C6">
            <w:pPr>
              <w:spacing w:before="20" w:after="20"/>
              <w:jc w:val="right"/>
              <w:rPr>
                <w:rFonts w:ascii="Arial Narrow" w:hAnsi="Arial Narrow"/>
                <w:b/>
                <w:sz w:val="20"/>
              </w:rPr>
            </w:pPr>
            <w:r w:rsidRPr="0020351E">
              <w:rPr>
                <w:rFonts w:ascii="Arial Narrow" w:hAnsi="Arial Narrow"/>
                <w:b/>
                <w:sz w:val="20"/>
              </w:rPr>
              <w:t>Population</w:t>
            </w:r>
          </w:p>
        </w:tc>
        <w:tc>
          <w:tcPr>
            <w:tcW w:w="1630" w:type="dxa"/>
            <w:tcBorders>
              <w:left w:val="nil"/>
              <w:right w:val="nil"/>
            </w:tcBorders>
            <w:vAlign w:val="center"/>
          </w:tcPr>
          <w:p w14:paraId="5ED648C8" w14:textId="77777777" w:rsidR="003C2E14" w:rsidRPr="0020351E" w:rsidRDefault="003C2E14" w:rsidP="002D52C6">
            <w:pPr>
              <w:spacing w:before="20" w:after="20"/>
              <w:jc w:val="center"/>
              <w:rPr>
                <w:rFonts w:ascii="Arial Narrow" w:hAnsi="Arial Narrow"/>
                <w:b/>
                <w:sz w:val="20"/>
              </w:rPr>
            </w:pPr>
          </w:p>
        </w:tc>
        <w:tc>
          <w:tcPr>
            <w:tcW w:w="1630" w:type="dxa"/>
            <w:tcBorders>
              <w:left w:val="nil"/>
            </w:tcBorders>
            <w:vAlign w:val="center"/>
          </w:tcPr>
          <w:p w14:paraId="5DB2F70C" w14:textId="77777777" w:rsidR="003C2E14" w:rsidRPr="0020351E" w:rsidRDefault="003C2E14" w:rsidP="002D52C6">
            <w:pPr>
              <w:spacing w:before="20" w:after="20"/>
              <w:jc w:val="center"/>
              <w:rPr>
                <w:rFonts w:ascii="Arial Narrow" w:hAnsi="Arial Narrow"/>
                <w:b/>
                <w:sz w:val="20"/>
              </w:rPr>
            </w:pPr>
          </w:p>
        </w:tc>
      </w:tr>
      <w:tr w:rsidR="003C2E14" w:rsidRPr="0020351E" w14:paraId="5E9AD85C" w14:textId="77777777" w:rsidTr="002D52C6">
        <w:trPr>
          <w:tblHeader/>
        </w:trPr>
        <w:tc>
          <w:tcPr>
            <w:tcW w:w="2547" w:type="dxa"/>
            <w:tcBorders>
              <w:top w:val="nil"/>
            </w:tcBorders>
          </w:tcPr>
          <w:p w14:paraId="1964F69F" w14:textId="77777777" w:rsidR="003C2E14" w:rsidRPr="00886F7C" w:rsidRDefault="003C2E14" w:rsidP="002D52C6">
            <w:pPr>
              <w:spacing w:before="20" w:after="20"/>
              <w:rPr>
                <w:rFonts w:ascii="Arial Narrow" w:hAnsi="Arial Narrow"/>
                <w:b/>
                <w:sz w:val="20"/>
              </w:rPr>
            </w:pPr>
            <w:r>
              <w:rPr>
                <w:rFonts w:ascii="Arial Narrow" w:hAnsi="Arial Narrow"/>
                <w:b/>
                <w:sz w:val="20"/>
              </w:rPr>
              <w:t>Outcome</w:t>
            </w:r>
          </w:p>
        </w:tc>
        <w:tc>
          <w:tcPr>
            <w:tcW w:w="1630" w:type="dxa"/>
            <w:vAlign w:val="center"/>
          </w:tcPr>
          <w:p w14:paraId="5155EEC1" w14:textId="77777777" w:rsidR="003C2E14" w:rsidRPr="0020351E" w:rsidRDefault="003C2E14" w:rsidP="002D52C6">
            <w:pPr>
              <w:spacing w:before="20" w:after="20"/>
              <w:jc w:val="center"/>
              <w:rPr>
                <w:rFonts w:ascii="Arial Narrow" w:hAnsi="Arial Narrow"/>
                <w:b/>
                <w:sz w:val="20"/>
              </w:rPr>
            </w:pPr>
            <w:r w:rsidRPr="0020351E">
              <w:rPr>
                <w:rFonts w:ascii="Arial Narrow" w:hAnsi="Arial Narrow"/>
                <w:b/>
                <w:sz w:val="20"/>
              </w:rPr>
              <w:t>A1</w:t>
            </w:r>
          </w:p>
        </w:tc>
        <w:tc>
          <w:tcPr>
            <w:tcW w:w="1630" w:type="dxa"/>
            <w:vAlign w:val="center"/>
          </w:tcPr>
          <w:p w14:paraId="68B53668" w14:textId="77777777" w:rsidR="003C2E14" w:rsidRPr="0020351E" w:rsidRDefault="003C2E14" w:rsidP="002D52C6">
            <w:pPr>
              <w:spacing w:before="20" w:after="20"/>
              <w:jc w:val="center"/>
              <w:rPr>
                <w:rFonts w:ascii="Arial Narrow" w:hAnsi="Arial Narrow"/>
                <w:b/>
                <w:sz w:val="20"/>
              </w:rPr>
            </w:pPr>
            <w:r w:rsidRPr="0020351E">
              <w:rPr>
                <w:rFonts w:ascii="Arial Narrow" w:hAnsi="Arial Narrow"/>
                <w:b/>
                <w:sz w:val="20"/>
              </w:rPr>
              <w:t>A2</w:t>
            </w:r>
          </w:p>
        </w:tc>
        <w:tc>
          <w:tcPr>
            <w:tcW w:w="1630" w:type="dxa"/>
            <w:vAlign w:val="center"/>
          </w:tcPr>
          <w:p w14:paraId="0AF51AE3" w14:textId="77777777" w:rsidR="003C2E14" w:rsidRPr="0020351E" w:rsidRDefault="003C2E14" w:rsidP="002D52C6">
            <w:pPr>
              <w:spacing w:before="20" w:after="20"/>
              <w:jc w:val="center"/>
              <w:rPr>
                <w:rFonts w:ascii="Arial Narrow" w:hAnsi="Arial Narrow"/>
                <w:b/>
                <w:sz w:val="20"/>
              </w:rPr>
            </w:pPr>
            <w:r w:rsidRPr="0020351E">
              <w:rPr>
                <w:rFonts w:ascii="Arial Narrow" w:hAnsi="Arial Narrow"/>
                <w:b/>
                <w:sz w:val="20"/>
              </w:rPr>
              <w:t>A3</w:t>
            </w:r>
          </w:p>
        </w:tc>
        <w:tc>
          <w:tcPr>
            <w:tcW w:w="1630" w:type="dxa"/>
            <w:vAlign w:val="center"/>
          </w:tcPr>
          <w:p w14:paraId="7815278A" w14:textId="77777777" w:rsidR="003C2E14" w:rsidRPr="0020351E" w:rsidRDefault="003C2E14" w:rsidP="002D52C6">
            <w:pPr>
              <w:spacing w:before="20" w:after="20"/>
              <w:jc w:val="center"/>
              <w:rPr>
                <w:rFonts w:ascii="Arial Narrow" w:hAnsi="Arial Narrow"/>
                <w:b/>
                <w:sz w:val="20"/>
              </w:rPr>
            </w:pPr>
            <w:r w:rsidRPr="0020351E">
              <w:rPr>
                <w:rFonts w:ascii="Arial Narrow" w:hAnsi="Arial Narrow"/>
                <w:b/>
                <w:sz w:val="20"/>
              </w:rPr>
              <w:t>B</w:t>
            </w:r>
          </w:p>
        </w:tc>
      </w:tr>
      <w:tr w:rsidR="003C2E14" w:rsidRPr="0020351E" w14:paraId="22B18463" w14:textId="77777777" w:rsidTr="002D52C6">
        <w:tc>
          <w:tcPr>
            <w:tcW w:w="2547" w:type="dxa"/>
            <w:vAlign w:val="center"/>
          </w:tcPr>
          <w:p w14:paraId="756B2BBE" w14:textId="77777777" w:rsidR="003C2E14" w:rsidRPr="0020351E" w:rsidRDefault="003C2E14" w:rsidP="002D52C6">
            <w:pPr>
              <w:spacing w:before="20" w:after="20"/>
              <w:rPr>
                <w:rFonts w:ascii="Arial Narrow" w:hAnsi="Arial Narrow"/>
                <w:sz w:val="20"/>
              </w:rPr>
            </w:pPr>
            <w:r>
              <w:rPr>
                <w:rFonts w:ascii="Arial Narrow" w:hAnsi="Arial Narrow"/>
                <w:sz w:val="20"/>
              </w:rPr>
              <w:t>Locoregional recurrence</w:t>
            </w:r>
          </w:p>
        </w:tc>
        <w:tc>
          <w:tcPr>
            <w:tcW w:w="1630" w:type="dxa"/>
            <w:vAlign w:val="center"/>
          </w:tcPr>
          <w:p w14:paraId="2B7A0E90" w14:textId="77777777" w:rsidR="003C2E14" w:rsidRDefault="003C2E14" w:rsidP="002D52C6">
            <w:pPr>
              <w:pStyle w:val="ListParagraph"/>
              <w:spacing w:before="20" w:after="20"/>
              <w:ind w:left="0"/>
              <w:jc w:val="center"/>
              <w:rPr>
                <w:rFonts w:ascii="Arial Narrow" w:hAnsi="Arial Narrow"/>
                <w:sz w:val="20"/>
                <w:vertAlign w:val="superscript"/>
              </w:rPr>
            </w:pPr>
            <w:r>
              <w:rPr>
                <w:rFonts w:ascii="Arial Narrow" w:hAnsi="Arial Narrow"/>
                <w:sz w:val="20"/>
              </w:rPr>
              <w:t>↔ (1; 169)</w:t>
            </w:r>
            <w:r>
              <w:rPr>
                <w:rFonts w:ascii="Arial Narrow" w:hAnsi="Arial Narrow"/>
                <w:sz w:val="20"/>
                <w:vertAlign w:val="superscript"/>
              </w:rPr>
              <w:t>a</w:t>
            </w:r>
          </w:p>
          <w:p w14:paraId="048D6B94" w14:textId="77777777" w:rsidR="003C2E14" w:rsidRPr="00D109B3" w:rsidRDefault="003C2E14" w:rsidP="002D52C6">
            <w:pPr>
              <w:pStyle w:val="ListParagraph"/>
              <w:spacing w:before="20" w:after="20"/>
              <w:ind w:left="0"/>
              <w:jc w:val="center"/>
              <w:rPr>
                <w:rFonts w:ascii="Arial Narrow" w:hAnsi="Arial Narrow"/>
                <w:sz w:val="20"/>
                <w:vertAlign w:val="superscript"/>
              </w:rPr>
            </w:pPr>
            <w:r w:rsidRPr="00435FA7">
              <w:rPr>
                <w:rFonts w:ascii="Cambria Math" w:hAnsi="Cambria Math"/>
                <w:color w:val="00B050"/>
                <w:sz w:val="20"/>
              </w:rPr>
              <w:t>⨁</w:t>
            </w:r>
            <w:r w:rsidRPr="00435FA7">
              <w:rPr>
                <w:rFonts w:ascii="Cambria Math" w:hAnsi="Cambria Math" w:cs="Cambria Math"/>
                <w:color w:val="C00000"/>
                <w:sz w:val="20"/>
              </w:rPr>
              <w:t>⨀⨀⨀</w:t>
            </w:r>
          </w:p>
        </w:tc>
        <w:tc>
          <w:tcPr>
            <w:tcW w:w="1630" w:type="dxa"/>
            <w:vAlign w:val="center"/>
          </w:tcPr>
          <w:p w14:paraId="4064C842" w14:textId="77777777" w:rsidR="003C2E14" w:rsidRDefault="003C2E14" w:rsidP="002D52C6">
            <w:pPr>
              <w:pStyle w:val="ListParagraph"/>
              <w:spacing w:before="20" w:after="20"/>
              <w:ind w:left="0"/>
              <w:jc w:val="center"/>
              <w:rPr>
                <w:rFonts w:ascii="Arial Narrow" w:hAnsi="Arial Narrow"/>
                <w:sz w:val="20"/>
                <w:vertAlign w:val="superscript"/>
              </w:rPr>
            </w:pPr>
            <w:r>
              <w:rPr>
                <w:rFonts w:ascii="Arial Narrow" w:hAnsi="Arial Narrow"/>
                <w:sz w:val="20"/>
              </w:rPr>
              <w:t>↔</w:t>
            </w:r>
            <w:r>
              <w:rPr>
                <w:rFonts w:ascii="Arial Narrow" w:hAnsi="Arial Narrow"/>
                <w:sz w:val="20"/>
                <w:vertAlign w:val="superscript"/>
              </w:rPr>
              <w:t xml:space="preserve"> </w:t>
            </w:r>
            <w:r>
              <w:rPr>
                <w:rFonts w:ascii="Arial Narrow" w:hAnsi="Arial Narrow"/>
                <w:sz w:val="20"/>
              </w:rPr>
              <w:t>(4; 998)</w:t>
            </w:r>
            <w:r>
              <w:rPr>
                <w:rFonts w:ascii="Arial Narrow" w:hAnsi="Arial Narrow"/>
                <w:sz w:val="20"/>
                <w:vertAlign w:val="superscript"/>
              </w:rPr>
              <w:t>b</w:t>
            </w:r>
          </w:p>
          <w:p w14:paraId="75636E5B" w14:textId="77777777" w:rsidR="003C2E14" w:rsidRPr="00F97680" w:rsidRDefault="003C2E14" w:rsidP="002D52C6">
            <w:pPr>
              <w:pStyle w:val="ListParagraph"/>
              <w:spacing w:before="20" w:after="20"/>
              <w:ind w:left="0"/>
              <w:jc w:val="center"/>
              <w:rPr>
                <w:rFonts w:ascii="Arial Narrow" w:hAnsi="Arial Narrow"/>
                <w:sz w:val="20"/>
              </w:rPr>
            </w:pPr>
            <w:r w:rsidRPr="0092160F">
              <w:rPr>
                <w:rFonts w:ascii="Cambria Math" w:hAnsi="Cambria Math"/>
                <w:color w:val="00B050"/>
                <w:sz w:val="20"/>
                <w:szCs w:val="18"/>
              </w:rPr>
              <w:t>⨁⨁</w:t>
            </w:r>
            <w:r w:rsidRPr="0092160F">
              <w:rPr>
                <w:rFonts w:ascii="Cambria Math" w:hAnsi="Cambria Math" w:cs="Cambria Math"/>
                <w:color w:val="C00000"/>
                <w:sz w:val="20"/>
                <w:szCs w:val="18"/>
              </w:rPr>
              <w:t>⨀⨀</w:t>
            </w:r>
          </w:p>
        </w:tc>
        <w:tc>
          <w:tcPr>
            <w:tcW w:w="1630" w:type="dxa"/>
            <w:vAlign w:val="center"/>
          </w:tcPr>
          <w:p w14:paraId="028D85DC" w14:textId="77777777" w:rsidR="003C2E14" w:rsidRDefault="003C2E14" w:rsidP="002D52C6">
            <w:pPr>
              <w:spacing w:before="20" w:after="20"/>
              <w:jc w:val="center"/>
              <w:rPr>
                <w:rFonts w:ascii="Arial Narrow" w:hAnsi="Arial Narrow"/>
                <w:sz w:val="20"/>
              </w:rPr>
            </w:pPr>
            <w:r>
              <w:rPr>
                <w:rFonts w:ascii="Arial Narrow" w:hAnsi="Arial Narrow"/>
                <w:sz w:val="20"/>
              </w:rPr>
              <w:t>↔ (3; 342)</w:t>
            </w:r>
          </w:p>
          <w:p w14:paraId="0A54F283" w14:textId="77777777" w:rsidR="003C2E14" w:rsidRPr="0020351E" w:rsidRDefault="003C2E14" w:rsidP="002D52C6">
            <w:pPr>
              <w:spacing w:before="20" w:after="20"/>
              <w:jc w:val="center"/>
              <w:rPr>
                <w:rFonts w:ascii="Arial Narrow" w:hAnsi="Arial Narrow"/>
                <w:sz w:val="20"/>
              </w:rPr>
            </w:pPr>
            <w:r w:rsidRPr="0092160F">
              <w:rPr>
                <w:rFonts w:ascii="Cambria Math" w:hAnsi="Cambria Math"/>
                <w:color w:val="00B050"/>
                <w:sz w:val="20"/>
                <w:szCs w:val="18"/>
              </w:rPr>
              <w:t>⨁⨁</w:t>
            </w:r>
            <w:r w:rsidRPr="0092160F">
              <w:rPr>
                <w:rFonts w:ascii="Cambria Math" w:hAnsi="Cambria Math" w:cs="Cambria Math"/>
                <w:color w:val="C00000"/>
                <w:sz w:val="20"/>
                <w:szCs w:val="18"/>
              </w:rPr>
              <w:t>⨀⨀</w:t>
            </w:r>
          </w:p>
        </w:tc>
        <w:tc>
          <w:tcPr>
            <w:tcW w:w="1630" w:type="dxa"/>
            <w:vAlign w:val="center"/>
          </w:tcPr>
          <w:p w14:paraId="77E837CC" w14:textId="77777777" w:rsidR="003C2E14" w:rsidRPr="0020351E" w:rsidRDefault="003C2E14" w:rsidP="002D52C6">
            <w:pPr>
              <w:spacing w:before="20" w:after="20"/>
              <w:jc w:val="center"/>
              <w:rPr>
                <w:rFonts w:ascii="Arial Narrow" w:hAnsi="Arial Narrow"/>
                <w:sz w:val="20"/>
              </w:rPr>
            </w:pPr>
            <w:r>
              <w:rPr>
                <w:rFonts w:ascii="Arial Narrow" w:hAnsi="Arial Narrow"/>
                <w:sz w:val="20"/>
              </w:rPr>
              <w:t>NA</w:t>
            </w:r>
          </w:p>
        </w:tc>
      </w:tr>
      <w:tr w:rsidR="003C2E14" w:rsidRPr="0020351E" w14:paraId="137F2E13" w14:textId="77777777" w:rsidTr="002D52C6">
        <w:tc>
          <w:tcPr>
            <w:tcW w:w="2547" w:type="dxa"/>
            <w:vAlign w:val="center"/>
          </w:tcPr>
          <w:p w14:paraId="0F309B44" w14:textId="77777777" w:rsidR="003C2E14" w:rsidRPr="0020351E" w:rsidRDefault="003C2E14" w:rsidP="002D52C6">
            <w:pPr>
              <w:spacing w:before="20" w:after="20"/>
              <w:rPr>
                <w:rFonts w:ascii="Arial Narrow" w:hAnsi="Arial Narrow"/>
                <w:sz w:val="20"/>
              </w:rPr>
            </w:pPr>
            <w:r w:rsidRPr="0020351E">
              <w:rPr>
                <w:rFonts w:ascii="Arial Narrow" w:hAnsi="Arial Narrow"/>
                <w:sz w:val="20"/>
              </w:rPr>
              <w:t>D</w:t>
            </w:r>
            <w:r>
              <w:rPr>
                <w:rFonts w:ascii="Arial Narrow" w:hAnsi="Arial Narrow"/>
                <w:sz w:val="20"/>
              </w:rPr>
              <w:t>istant or systemic recurrence</w:t>
            </w:r>
          </w:p>
        </w:tc>
        <w:tc>
          <w:tcPr>
            <w:tcW w:w="1630" w:type="dxa"/>
            <w:vAlign w:val="center"/>
          </w:tcPr>
          <w:p w14:paraId="56C13640" w14:textId="77777777" w:rsidR="003C2E14" w:rsidRDefault="003C2E14" w:rsidP="002D52C6">
            <w:pPr>
              <w:spacing w:before="20" w:after="20"/>
              <w:jc w:val="center"/>
              <w:rPr>
                <w:rFonts w:ascii="Arial Narrow" w:hAnsi="Arial Narrow"/>
                <w:sz w:val="20"/>
                <w:vertAlign w:val="superscript"/>
              </w:rPr>
            </w:pPr>
            <w:r>
              <w:rPr>
                <w:rFonts w:ascii="Arial Narrow" w:hAnsi="Arial Narrow"/>
                <w:sz w:val="20"/>
              </w:rPr>
              <w:t>↔ (1; 169)</w:t>
            </w:r>
            <w:r>
              <w:rPr>
                <w:rFonts w:ascii="Arial Narrow" w:hAnsi="Arial Narrow"/>
                <w:sz w:val="20"/>
                <w:vertAlign w:val="superscript"/>
              </w:rPr>
              <w:t>a</w:t>
            </w:r>
          </w:p>
          <w:p w14:paraId="4D4B1814" w14:textId="77777777" w:rsidR="003C2E14" w:rsidRPr="00D109B3" w:rsidRDefault="003C2E14" w:rsidP="002D52C6">
            <w:pPr>
              <w:spacing w:before="20" w:after="20"/>
              <w:jc w:val="center"/>
              <w:rPr>
                <w:rFonts w:ascii="Arial Narrow" w:hAnsi="Arial Narrow"/>
                <w:sz w:val="20"/>
                <w:vertAlign w:val="superscript"/>
              </w:rPr>
            </w:pPr>
            <w:r w:rsidRPr="00435FA7">
              <w:rPr>
                <w:rFonts w:ascii="Cambria Math" w:hAnsi="Cambria Math"/>
                <w:color w:val="00B050"/>
                <w:sz w:val="20"/>
              </w:rPr>
              <w:t>⨁</w:t>
            </w:r>
            <w:r w:rsidRPr="00435FA7">
              <w:rPr>
                <w:rFonts w:ascii="Cambria Math" w:hAnsi="Cambria Math" w:cs="Cambria Math"/>
                <w:color w:val="C00000"/>
                <w:sz w:val="20"/>
              </w:rPr>
              <w:t>⨀⨀⨀</w:t>
            </w:r>
          </w:p>
        </w:tc>
        <w:tc>
          <w:tcPr>
            <w:tcW w:w="1630" w:type="dxa"/>
            <w:vAlign w:val="center"/>
          </w:tcPr>
          <w:p w14:paraId="54E7A782" w14:textId="77777777" w:rsidR="003C2E14" w:rsidRPr="0020351E" w:rsidRDefault="003C2E14" w:rsidP="002D52C6">
            <w:pPr>
              <w:spacing w:before="20" w:after="20"/>
              <w:jc w:val="center"/>
              <w:rPr>
                <w:rFonts w:ascii="Arial Narrow" w:hAnsi="Arial Narrow"/>
                <w:sz w:val="20"/>
              </w:rPr>
            </w:pPr>
            <w:r>
              <w:rPr>
                <w:rFonts w:ascii="Arial Narrow" w:hAnsi="Arial Narrow"/>
                <w:sz w:val="20"/>
              </w:rPr>
              <w:t>NR</w:t>
            </w:r>
          </w:p>
        </w:tc>
        <w:tc>
          <w:tcPr>
            <w:tcW w:w="1630" w:type="dxa"/>
            <w:vAlign w:val="center"/>
          </w:tcPr>
          <w:p w14:paraId="561203D0" w14:textId="77777777" w:rsidR="003C2E14" w:rsidRDefault="003C2E14" w:rsidP="002D52C6">
            <w:pPr>
              <w:spacing w:before="20" w:after="20"/>
              <w:jc w:val="center"/>
              <w:rPr>
                <w:rFonts w:ascii="Arial Narrow" w:hAnsi="Arial Narrow"/>
                <w:sz w:val="20"/>
              </w:rPr>
            </w:pPr>
            <w:r>
              <w:rPr>
                <w:rFonts w:ascii="Arial Narrow" w:hAnsi="Arial Narrow"/>
                <w:sz w:val="20"/>
              </w:rPr>
              <w:t>↔ (1; 194)</w:t>
            </w:r>
          </w:p>
          <w:p w14:paraId="0C291763" w14:textId="77777777" w:rsidR="003C2E14" w:rsidRPr="0020351E" w:rsidRDefault="003C2E14" w:rsidP="002D52C6">
            <w:pPr>
              <w:spacing w:before="20" w:after="20"/>
              <w:jc w:val="center"/>
              <w:rPr>
                <w:rFonts w:ascii="Arial Narrow" w:hAnsi="Arial Narrow"/>
                <w:sz w:val="20"/>
              </w:rPr>
            </w:pPr>
            <w:r w:rsidRPr="00435FA7">
              <w:rPr>
                <w:rFonts w:ascii="Cambria Math" w:hAnsi="Cambria Math"/>
                <w:color w:val="00B050"/>
                <w:sz w:val="20"/>
              </w:rPr>
              <w:t>⨁</w:t>
            </w:r>
            <w:r w:rsidRPr="00435FA7">
              <w:rPr>
                <w:rFonts w:ascii="Cambria Math" w:hAnsi="Cambria Math" w:cs="Cambria Math"/>
                <w:color w:val="C00000"/>
                <w:sz w:val="20"/>
              </w:rPr>
              <w:t>⨀⨀⨀</w:t>
            </w:r>
          </w:p>
        </w:tc>
        <w:tc>
          <w:tcPr>
            <w:tcW w:w="1630" w:type="dxa"/>
            <w:vAlign w:val="center"/>
          </w:tcPr>
          <w:p w14:paraId="1F72D5C2" w14:textId="77777777" w:rsidR="003C2E14" w:rsidRPr="0020351E" w:rsidRDefault="003C2E14" w:rsidP="002D52C6">
            <w:pPr>
              <w:spacing w:before="20" w:after="20"/>
              <w:jc w:val="center"/>
              <w:rPr>
                <w:rFonts w:ascii="Arial Narrow" w:hAnsi="Arial Narrow"/>
                <w:sz w:val="20"/>
              </w:rPr>
            </w:pPr>
            <w:r>
              <w:rPr>
                <w:rFonts w:ascii="Arial Narrow" w:hAnsi="Arial Narrow"/>
                <w:sz w:val="20"/>
              </w:rPr>
              <w:t>NA</w:t>
            </w:r>
          </w:p>
        </w:tc>
      </w:tr>
      <w:tr w:rsidR="003C2E14" w:rsidRPr="0020351E" w14:paraId="1B2D6AAC" w14:textId="77777777" w:rsidTr="002D52C6">
        <w:tc>
          <w:tcPr>
            <w:tcW w:w="2547" w:type="dxa"/>
            <w:vAlign w:val="center"/>
          </w:tcPr>
          <w:p w14:paraId="11174408" w14:textId="77777777" w:rsidR="003C2E14" w:rsidRPr="0020351E" w:rsidRDefault="003C2E14" w:rsidP="002D52C6">
            <w:pPr>
              <w:spacing w:before="20" w:after="20"/>
              <w:rPr>
                <w:rFonts w:ascii="Arial Narrow" w:hAnsi="Arial Narrow"/>
                <w:sz w:val="20"/>
              </w:rPr>
            </w:pPr>
            <w:r>
              <w:rPr>
                <w:rFonts w:ascii="Arial Narrow" w:hAnsi="Arial Narrow"/>
                <w:sz w:val="20"/>
              </w:rPr>
              <w:t>Reconstruction complications</w:t>
            </w:r>
          </w:p>
        </w:tc>
        <w:tc>
          <w:tcPr>
            <w:tcW w:w="1630" w:type="dxa"/>
            <w:vAlign w:val="center"/>
          </w:tcPr>
          <w:p w14:paraId="44999211" w14:textId="77777777" w:rsidR="003C2E14" w:rsidRDefault="003C2E14" w:rsidP="002D52C6">
            <w:pPr>
              <w:spacing w:before="20" w:after="20"/>
              <w:jc w:val="center"/>
              <w:rPr>
                <w:rFonts w:ascii="Arial Narrow" w:hAnsi="Arial Narrow"/>
                <w:sz w:val="20"/>
                <w:vertAlign w:val="superscript"/>
              </w:rPr>
            </w:pPr>
            <w:r w:rsidRPr="00D12460">
              <w:rPr>
                <w:rFonts w:ascii="Arial Narrow" w:hAnsi="Arial Narrow"/>
                <w:sz w:val="20"/>
              </w:rPr>
              <w:t>↓ (1; 32)</w:t>
            </w:r>
            <w:r>
              <w:rPr>
                <w:rFonts w:ascii="Arial Narrow" w:hAnsi="Arial Narrow"/>
                <w:sz w:val="20"/>
                <w:vertAlign w:val="superscript"/>
              </w:rPr>
              <w:t>a</w:t>
            </w:r>
          </w:p>
          <w:p w14:paraId="528561A1" w14:textId="77777777" w:rsidR="003C2E14" w:rsidRPr="00D109B3" w:rsidRDefault="003C2E14" w:rsidP="002D52C6">
            <w:pPr>
              <w:spacing w:before="20" w:after="20"/>
              <w:jc w:val="center"/>
              <w:rPr>
                <w:rFonts w:ascii="Arial Narrow" w:hAnsi="Arial Narrow"/>
                <w:sz w:val="20"/>
                <w:vertAlign w:val="superscript"/>
              </w:rPr>
            </w:pPr>
            <w:r w:rsidRPr="00435FA7">
              <w:rPr>
                <w:rFonts w:ascii="Cambria Math" w:hAnsi="Cambria Math"/>
                <w:color w:val="00B050"/>
                <w:sz w:val="20"/>
              </w:rPr>
              <w:t>⨁</w:t>
            </w:r>
            <w:r w:rsidRPr="00435FA7">
              <w:rPr>
                <w:rFonts w:ascii="Cambria Math" w:hAnsi="Cambria Math" w:cs="Cambria Math"/>
                <w:color w:val="C00000"/>
                <w:sz w:val="20"/>
              </w:rPr>
              <w:t>⨀⨀⨀</w:t>
            </w:r>
          </w:p>
        </w:tc>
        <w:tc>
          <w:tcPr>
            <w:tcW w:w="1630" w:type="dxa"/>
            <w:vAlign w:val="center"/>
          </w:tcPr>
          <w:p w14:paraId="61FF33F4" w14:textId="77777777" w:rsidR="003C2E14" w:rsidRDefault="003C2E14" w:rsidP="002D52C6">
            <w:pPr>
              <w:spacing w:before="20" w:after="20"/>
              <w:jc w:val="center"/>
              <w:rPr>
                <w:rFonts w:ascii="Arial Narrow" w:hAnsi="Arial Narrow"/>
                <w:sz w:val="20"/>
              </w:rPr>
            </w:pPr>
            <w:r w:rsidRPr="00D12460">
              <w:rPr>
                <w:rFonts w:ascii="Arial Narrow" w:hAnsi="Arial Narrow"/>
                <w:sz w:val="20"/>
              </w:rPr>
              <w:t>↓ (</w:t>
            </w:r>
            <w:r>
              <w:rPr>
                <w:rFonts w:ascii="Arial Narrow" w:hAnsi="Arial Narrow"/>
                <w:sz w:val="20"/>
              </w:rPr>
              <w:t>2</w:t>
            </w:r>
            <w:r w:rsidRPr="00D12460">
              <w:rPr>
                <w:rFonts w:ascii="Arial Narrow" w:hAnsi="Arial Narrow"/>
                <w:sz w:val="20"/>
              </w:rPr>
              <w:t xml:space="preserve">; </w:t>
            </w:r>
            <w:r>
              <w:rPr>
                <w:rFonts w:ascii="Arial Narrow" w:hAnsi="Arial Narrow"/>
                <w:sz w:val="20"/>
              </w:rPr>
              <w:t>131</w:t>
            </w:r>
            <w:r w:rsidRPr="00D12460">
              <w:rPr>
                <w:rFonts w:ascii="Arial Narrow" w:hAnsi="Arial Narrow"/>
                <w:sz w:val="20"/>
              </w:rPr>
              <w:t>)</w:t>
            </w:r>
          </w:p>
          <w:p w14:paraId="16790903" w14:textId="77777777" w:rsidR="003C2E14" w:rsidRPr="00D12460" w:rsidRDefault="003C2E14" w:rsidP="002D52C6">
            <w:pPr>
              <w:spacing w:before="20" w:after="20"/>
              <w:jc w:val="center"/>
              <w:rPr>
                <w:rFonts w:ascii="Arial Narrow" w:hAnsi="Arial Narrow"/>
                <w:sz w:val="20"/>
              </w:rPr>
            </w:pPr>
            <w:r w:rsidRPr="00435FA7">
              <w:rPr>
                <w:rFonts w:ascii="Cambria Math" w:hAnsi="Cambria Math"/>
                <w:color w:val="00B050"/>
                <w:sz w:val="20"/>
              </w:rPr>
              <w:t>⨁</w:t>
            </w:r>
            <w:r w:rsidRPr="00435FA7">
              <w:rPr>
                <w:rFonts w:ascii="Cambria Math" w:hAnsi="Cambria Math" w:cs="Cambria Math"/>
                <w:color w:val="C00000"/>
                <w:sz w:val="20"/>
              </w:rPr>
              <w:t>⨀⨀⨀</w:t>
            </w:r>
          </w:p>
        </w:tc>
        <w:tc>
          <w:tcPr>
            <w:tcW w:w="1630" w:type="dxa"/>
            <w:vAlign w:val="center"/>
          </w:tcPr>
          <w:p w14:paraId="3C5B64BF" w14:textId="77777777" w:rsidR="003C2E14" w:rsidRDefault="003C2E14" w:rsidP="002D52C6">
            <w:pPr>
              <w:spacing w:before="20" w:after="20"/>
              <w:jc w:val="center"/>
              <w:rPr>
                <w:rFonts w:ascii="Arial Narrow" w:hAnsi="Arial Narrow"/>
                <w:sz w:val="20"/>
              </w:rPr>
            </w:pPr>
            <w:r>
              <w:rPr>
                <w:rFonts w:ascii="Arial Narrow" w:hAnsi="Arial Narrow"/>
                <w:sz w:val="20"/>
              </w:rPr>
              <w:t>NR</w:t>
            </w:r>
          </w:p>
        </w:tc>
        <w:tc>
          <w:tcPr>
            <w:tcW w:w="1630" w:type="dxa"/>
            <w:vAlign w:val="center"/>
          </w:tcPr>
          <w:p w14:paraId="1934D71E" w14:textId="77777777" w:rsidR="003C2E14" w:rsidRDefault="003C2E14" w:rsidP="002D52C6">
            <w:pPr>
              <w:spacing w:before="20" w:after="20"/>
              <w:jc w:val="center"/>
              <w:rPr>
                <w:rFonts w:ascii="Arial Narrow" w:hAnsi="Arial Narrow"/>
                <w:sz w:val="20"/>
              </w:rPr>
            </w:pPr>
            <w:r>
              <w:rPr>
                <w:rFonts w:ascii="Arial Narrow" w:hAnsi="Arial Narrow"/>
                <w:sz w:val="20"/>
              </w:rPr>
              <w:t>NR</w:t>
            </w:r>
          </w:p>
        </w:tc>
      </w:tr>
      <w:tr w:rsidR="003C2E14" w:rsidRPr="0020351E" w14:paraId="7B1468BF" w14:textId="77777777" w:rsidTr="002D52C6">
        <w:tc>
          <w:tcPr>
            <w:tcW w:w="2547" w:type="dxa"/>
            <w:vAlign w:val="center"/>
          </w:tcPr>
          <w:p w14:paraId="38621AFB" w14:textId="77777777" w:rsidR="003C2E14" w:rsidRDefault="003C2E14" w:rsidP="002D52C6">
            <w:pPr>
              <w:spacing w:before="20" w:after="20"/>
              <w:rPr>
                <w:rFonts w:ascii="Arial Narrow" w:hAnsi="Arial Narrow"/>
                <w:sz w:val="20"/>
              </w:rPr>
            </w:pPr>
            <w:r>
              <w:rPr>
                <w:rFonts w:ascii="Arial Narrow" w:hAnsi="Arial Narrow"/>
                <w:sz w:val="20"/>
              </w:rPr>
              <w:t>Other complications</w:t>
            </w:r>
          </w:p>
        </w:tc>
        <w:tc>
          <w:tcPr>
            <w:tcW w:w="1630" w:type="dxa"/>
            <w:vAlign w:val="center"/>
          </w:tcPr>
          <w:p w14:paraId="26B1E880" w14:textId="77777777" w:rsidR="003C2E14" w:rsidRDefault="003C2E14" w:rsidP="002D52C6">
            <w:pPr>
              <w:spacing w:before="20" w:after="20"/>
              <w:jc w:val="center"/>
              <w:rPr>
                <w:rFonts w:ascii="Arial Narrow" w:hAnsi="Arial Narrow"/>
                <w:sz w:val="20"/>
                <w:vertAlign w:val="superscript"/>
              </w:rPr>
            </w:pPr>
            <w:r>
              <w:rPr>
                <w:rFonts w:ascii="Arial Narrow" w:hAnsi="Arial Narrow"/>
                <w:sz w:val="20"/>
              </w:rPr>
              <w:t>↔ (2; 85)</w:t>
            </w:r>
            <w:r>
              <w:rPr>
                <w:rFonts w:ascii="Arial Narrow" w:hAnsi="Arial Narrow"/>
                <w:sz w:val="20"/>
                <w:vertAlign w:val="superscript"/>
              </w:rPr>
              <w:t>a</w:t>
            </w:r>
          </w:p>
          <w:p w14:paraId="12313DC3" w14:textId="77777777" w:rsidR="003C2E14" w:rsidRPr="00D109B3" w:rsidRDefault="003C2E14" w:rsidP="002D52C6">
            <w:pPr>
              <w:spacing w:before="20" w:after="20"/>
              <w:jc w:val="center"/>
              <w:rPr>
                <w:rFonts w:ascii="Arial Narrow" w:hAnsi="Arial Narrow"/>
                <w:sz w:val="20"/>
                <w:vertAlign w:val="superscript"/>
              </w:rPr>
            </w:pPr>
            <w:r w:rsidRPr="00435FA7">
              <w:rPr>
                <w:rFonts w:ascii="Cambria Math" w:hAnsi="Cambria Math"/>
                <w:color w:val="00B050"/>
                <w:sz w:val="20"/>
              </w:rPr>
              <w:t>⨁</w:t>
            </w:r>
            <w:r w:rsidRPr="00435FA7">
              <w:rPr>
                <w:rFonts w:ascii="Cambria Math" w:hAnsi="Cambria Math" w:cs="Cambria Math"/>
                <w:color w:val="C00000"/>
                <w:sz w:val="20"/>
              </w:rPr>
              <w:t>⨀⨀⨀</w:t>
            </w:r>
          </w:p>
        </w:tc>
        <w:tc>
          <w:tcPr>
            <w:tcW w:w="1630" w:type="dxa"/>
            <w:vAlign w:val="center"/>
          </w:tcPr>
          <w:p w14:paraId="061B0B5B" w14:textId="77777777" w:rsidR="003C2E14" w:rsidRDefault="003C2E14" w:rsidP="002D52C6">
            <w:pPr>
              <w:spacing w:before="20" w:after="20"/>
              <w:jc w:val="center"/>
              <w:rPr>
                <w:rFonts w:ascii="Arial Narrow" w:hAnsi="Arial Narrow"/>
                <w:sz w:val="20"/>
              </w:rPr>
            </w:pPr>
            <w:r w:rsidRPr="00D12460">
              <w:rPr>
                <w:rFonts w:ascii="Arial Narrow" w:hAnsi="Arial Narrow"/>
                <w:sz w:val="20"/>
              </w:rPr>
              <w:t>↔</w:t>
            </w:r>
            <w:r>
              <w:rPr>
                <w:rFonts w:ascii="Arial Narrow" w:hAnsi="Arial Narrow"/>
                <w:sz w:val="20"/>
              </w:rPr>
              <w:t xml:space="preserve"> (1; 70)</w:t>
            </w:r>
          </w:p>
          <w:p w14:paraId="568F474C" w14:textId="77777777" w:rsidR="003C2E14" w:rsidRPr="00D12460" w:rsidRDefault="003C2E14" w:rsidP="002D52C6">
            <w:pPr>
              <w:spacing w:before="20" w:after="20"/>
              <w:jc w:val="center"/>
              <w:rPr>
                <w:rFonts w:ascii="Arial Narrow" w:hAnsi="Arial Narrow"/>
                <w:sz w:val="20"/>
              </w:rPr>
            </w:pPr>
            <w:r w:rsidRPr="00435FA7">
              <w:rPr>
                <w:rFonts w:ascii="Cambria Math" w:hAnsi="Cambria Math"/>
                <w:color w:val="00B050"/>
                <w:sz w:val="20"/>
              </w:rPr>
              <w:t>⨁</w:t>
            </w:r>
            <w:r w:rsidRPr="00435FA7">
              <w:rPr>
                <w:rFonts w:ascii="Cambria Math" w:hAnsi="Cambria Math" w:cs="Cambria Math"/>
                <w:color w:val="C00000"/>
                <w:sz w:val="20"/>
              </w:rPr>
              <w:t>⨀⨀⨀</w:t>
            </w:r>
          </w:p>
        </w:tc>
        <w:tc>
          <w:tcPr>
            <w:tcW w:w="1630" w:type="dxa"/>
            <w:vAlign w:val="center"/>
          </w:tcPr>
          <w:p w14:paraId="51AF1303" w14:textId="77777777" w:rsidR="003C2E14" w:rsidRDefault="003C2E14" w:rsidP="002D52C6">
            <w:pPr>
              <w:spacing w:before="20" w:after="20"/>
              <w:jc w:val="center"/>
              <w:rPr>
                <w:rFonts w:ascii="Arial Narrow" w:hAnsi="Arial Narrow"/>
                <w:sz w:val="20"/>
              </w:rPr>
            </w:pPr>
            <w:r>
              <w:rPr>
                <w:rFonts w:ascii="Arial Narrow" w:hAnsi="Arial Narrow"/>
                <w:sz w:val="20"/>
              </w:rPr>
              <w:t>NR</w:t>
            </w:r>
          </w:p>
        </w:tc>
        <w:tc>
          <w:tcPr>
            <w:tcW w:w="1630" w:type="dxa"/>
            <w:vAlign w:val="center"/>
          </w:tcPr>
          <w:p w14:paraId="44794337" w14:textId="77777777" w:rsidR="003C2E14" w:rsidRDefault="003C2E14" w:rsidP="002D52C6">
            <w:pPr>
              <w:spacing w:before="20" w:after="20"/>
              <w:jc w:val="center"/>
              <w:rPr>
                <w:rFonts w:ascii="Arial Narrow" w:hAnsi="Arial Narrow"/>
                <w:sz w:val="20"/>
              </w:rPr>
            </w:pPr>
            <w:r>
              <w:rPr>
                <w:rFonts w:ascii="Arial Narrow" w:hAnsi="Arial Narrow"/>
                <w:sz w:val="20"/>
              </w:rPr>
              <w:t>NR</w:t>
            </w:r>
          </w:p>
        </w:tc>
      </w:tr>
      <w:tr w:rsidR="003C2E14" w:rsidRPr="0020351E" w14:paraId="54409EC4" w14:textId="77777777" w:rsidTr="002D52C6">
        <w:tc>
          <w:tcPr>
            <w:tcW w:w="2547" w:type="dxa"/>
            <w:vAlign w:val="center"/>
          </w:tcPr>
          <w:p w14:paraId="59036A6F" w14:textId="77777777" w:rsidR="003C2E14" w:rsidRPr="0020351E" w:rsidRDefault="003C2E14" w:rsidP="002D52C6">
            <w:pPr>
              <w:spacing w:before="20" w:after="20"/>
              <w:rPr>
                <w:rFonts w:ascii="Arial Narrow" w:hAnsi="Arial Narrow"/>
                <w:sz w:val="20"/>
              </w:rPr>
            </w:pPr>
            <w:r w:rsidRPr="0020351E">
              <w:rPr>
                <w:rFonts w:ascii="Arial Narrow" w:hAnsi="Arial Narrow"/>
                <w:sz w:val="20"/>
              </w:rPr>
              <w:t>Radiological abnormalities</w:t>
            </w:r>
          </w:p>
        </w:tc>
        <w:tc>
          <w:tcPr>
            <w:tcW w:w="1630" w:type="dxa"/>
            <w:vAlign w:val="center"/>
          </w:tcPr>
          <w:p w14:paraId="731718AF" w14:textId="77777777" w:rsidR="003C2E14" w:rsidRPr="00D12460" w:rsidRDefault="003C2E14" w:rsidP="002D52C6">
            <w:pPr>
              <w:spacing w:before="20" w:after="20"/>
              <w:jc w:val="center"/>
              <w:rPr>
                <w:rFonts w:ascii="Arial Narrow" w:hAnsi="Arial Narrow"/>
                <w:sz w:val="20"/>
              </w:rPr>
            </w:pPr>
            <w:r w:rsidRPr="00D12460">
              <w:rPr>
                <w:rFonts w:ascii="Arial Narrow" w:hAnsi="Arial Narrow"/>
                <w:sz w:val="20"/>
              </w:rPr>
              <w:t>NR</w:t>
            </w:r>
          </w:p>
        </w:tc>
        <w:tc>
          <w:tcPr>
            <w:tcW w:w="1630" w:type="dxa"/>
            <w:vAlign w:val="center"/>
          </w:tcPr>
          <w:p w14:paraId="581AF526" w14:textId="77777777" w:rsidR="003C2E14" w:rsidRDefault="003C2E14" w:rsidP="002D52C6">
            <w:pPr>
              <w:spacing w:before="20" w:after="20"/>
              <w:jc w:val="center"/>
              <w:rPr>
                <w:rFonts w:ascii="Arial Narrow" w:hAnsi="Arial Narrow"/>
                <w:sz w:val="20"/>
              </w:rPr>
            </w:pPr>
            <w:r w:rsidRPr="00D12460">
              <w:rPr>
                <w:rFonts w:ascii="Arial Narrow" w:hAnsi="Arial Narrow"/>
                <w:sz w:val="20"/>
              </w:rPr>
              <w:t>↔ (1</w:t>
            </w:r>
            <w:r>
              <w:rPr>
                <w:rFonts w:ascii="Arial Narrow" w:hAnsi="Arial Narrow"/>
                <w:sz w:val="20"/>
              </w:rPr>
              <w:t>; 97)</w:t>
            </w:r>
          </w:p>
          <w:p w14:paraId="1D3B8B26" w14:textId="77777777" w:rsidR="003C2E14" w:rsidRPr="00D12460" w:rsidRDefault="003C2E14" w:rsidP="002D52C6">
            <w:pPr>
              <w:spacing w:before="20" w:after="20"/>
              <w:jc w:val="center"/>
              <w:rPr>
                <w:rFonts w:ascii="Arial Narrow" w:hAnsi="Arial Narrow"/>
                <w:sz w:val="20"/>
              </w:rPr>
            </w:pPr>
            <w:r w:rsidRPr="0092160F">
              <w:rPr>
                <w:rFonts w:ascii="Cambria Math" w:hAnsi="Cambria Math"/>
                <w:color w:val="00B050"/>
                <w:sz w:val="20"/>
                <w:szCs w:val="18"/>
              </w:rPr>
              <w:t>⨁⨁</w:t>
            </w:r>
            <w:r w:rsidRPr="0092160F">
              <w:rPr>
                <w:rFonts w:ascii="Cambria Math" w:hAnsi="Cambria Math" w:cs="Cambria Math"/>
                <w:color w:val="C00000"/>
                <w:sz w:val="20"/>
                <w:szCs w:val="18"/>
              </w:rPr>
              <w:t>⨀⨀</w:t>
            </w:r>
          </w:p>
        </w:tc>
        <w:tc>
          <w:tcPr>
            <w:tcW w:w="1630" w:type="dxa"/>
            <w:vAlign w:val="center"/>
          </w:tcPr>
          <w:p w14:paraId="1055EA34" w14:textId="77777777" w:rsidR="003C2E14" w:rsidRPr="0020351E" w:rsidRDefault="003C2E14" w:rsidP="002D52C6">
            <w:pPr>
              <w:spacing w:before="20" w:after="20"/>
              <w:jc w:val="center"/>
              <w:rPr>
                <w:rFonts w:ascii="Arial Narrow" w:hAnsi="Arial Narrow"/>
                <w:sz w:val="20"/>
              </w:rPr>
            </w:pPr>
            <w:r>
              <w:rPr>
                <w:rFonts w:ascii="Arial Narrow" w:hAnsi="Arial Narrow"/>
                <w:sz w:val="20"/>
              </w:rPr>
              <w:t>NR</w:t>
            </w:r>
          </w:p>
        </w:tc>
        <w:tc>
          <w:tcPr>
            <w:tcW w:w="1630" w:type="dxa"/>
            <w:vAlign w:val="center"/>
          </w:tcPr>
          <w:p w14:paraId="4B06859C" w14:textId="77777777" w:rsidR="003C2E14" w:rsidRPr="0020351E" w:rsidRDefault="003C2E14" w:rsidP="002D52C6">
            <w:pPr>
              <w:spacing w:before="20" w:after="20"/>
              <w:jc w:val="center"/>
              <w:rPr>
                <w:rFonts w:ascii="Arial Narrow" w:hAnsi="Arial Narrow"/>
                <w:sz w:val="20"/>
              </w:rPr>
            </w:pPr>
            <w:r>
              <w:rPr>
                <w:rFonts w:ascii="Arial Narrow" w:hAnsi="Arial Narrow"/>
                <w:sz w:val="20"/>
              </w:rPr>
              <w:t>NR</w:t>
            </w:r>
          </w:p>
        </w:tc>
      </w:tr>
      <w:tr w:rsidR="003C2E14" w:rsidRPr="0020351E" w14:paraId="34A569A1" w14:textId="77777777" w:rsidTr="002D52C6">
        <w:tc>
          <w:tcPr>
            <w:tcW w:w="2547" w:type="dxa"/>
            <w:tcBorders>
              <w:bottom w:val="double" w:sz="4" w:space="0" w:color="auto"/>
            </w:tcBorders>
          </w:tcPr>
          <w:p w14:paraId="4E17B106" w14:textId="77777777" w:rsidR="003C2E14" w:rsidRPr="004D3E24" w:rsidRDefault="003C2E14" w:rsidP="002D52C6">
            <w:pPr>
              <w:spacing w:before="20" w:after="20"/>
              <w:rPr>
                <w:rFonts w:ascii="Arial Narrow" w:hAnsi="Arial Narrow"/>
                <w:b/>
                <w:sz w:val="20"/>
              </w:rPr>
            </w:pPr>
            <w:r w:rsidRPr="004D3E24">
              <w:rPr>
                <w:rFonts w:ascii="Arial Narrow" w:hAnsi="Arial Narrow"/>
                <w:b/>
                <w:sz w:val="20"/>
              </w:rPr>
              <w:t>Safety</w:t>
            </w:r>
          </w:p>
        </w:tc>
        <w:tc>
          <w:tcPr>
            <w:tcW w:w="1630" w:type="dxa"/>
            <w:tcBorders>
              <w:bottom w:val="double" w:sz="4" w:space="0" w:color="auto"/>
            </w:tcBorders>
            <w:vAlign w:val="center"/>
          </w:tcPr>
          <w:p w14:paraId="7DEF1BA0" w14:textId="77777777" w:rsidR="003C2E14" w:rsidRPr="004D3E24" w:rsidRDefault="003C2E14" w:rsidP="002D52C6">
            <w:pPr>
              <w:spacing w:before="20" w:after="20"/>
              <w:jc w:val="center"/>
              <w:rPr>
                <w:rFonts w:ascii="Arial Narrow" w:hAnsi="Arial Narrow"/>
                <w:b/>
                <w:sz w:val="20"/>
              </w:rPr>
            </w:pPr>
            <w:r>
              <w:rPr>
                <w:rFonts w:ascii="Arial Narrow" w:hAnsi="Arial Narrow"/>
                <w:b/>
                <w:sz w:val="20"/>
              </w:rPr>
              <w:t>Uncertain</w:t>
            </w:r>
          </w:p>
        </w:tc>
        <w:tc>
          <w:tcPr>
            <w:tcW w:w="1630" w:type="dxa"/>
            <w:tcBorders>
              <w:bottom w:val="double" w:sz="4" w:space="0" w:color="auto"/>
            </w:tcBorders>
            <w:vAlign w:val="center"/>
          </w:tcPr>
          <w:p w14:paraId="5903D145" w14:textId="77777777" w:rsidR="003C2E14" w:rsidRPr="004D3E24" w:rsidRDefault="003C2E14" w:rsidP="002D52C6">
            <w:pPr>
              <w:spacing w:before="20" w:after="20"/>
              <w:jc w:val="center"/>
              <w:rPr>
                <w:rFonts w:ascii="Arial Narrow" w:hAnsi="Arial Narrow"/>
                <w:b/>
                <w:sz w:val="20"/>
              </w:rPr>
            </w:pPr>
            <w:r>
              <w:rPr>
                <w:rFonts w:ascii="Arial Narrow" w:hAnsi="Arial Narrow"/>
                <w:b/>
                <w:sz w:val="20"/>
              </w:rPr>
              <w:t>Uncertain</w:t>
            </w:r>
          </w:p>
        </w:tc>
        <w:tc>
          <w:tcPr>
            <w:tcW w:w="1630" w:type="dxa"/>
            <w:tcBorders>
              <w:bottom w:val="double" w:sz="4" w:space="0" w:color="auto"/>
            </w:tcBorders>
            <w:vAlign w:val="center"/>
          </w:tcPr>
          <w:p w14:paraId="02801F8F" w14:textId="77777777" w:rsidR="003C2E14" w:rsidRPr="004D3E24" w:rsidRDefault="003C2E14" w:rsidP="002D52C6">
            <w:pPr>
              <w:spacing w:before="20" w:after="20"/>
              <w:jc w:val="center"/>
              <w:rPr>
                <w:rFonts w:ascii="Arial Narrow" w:hAnsi="Arial Narrow"/>
                <w:b/>
                <w:sz w:val="20"/>
              </w:rPr>
            </w:pPr>
            <w:r>
              <w:rPr>
                <w:rFonts w:ascii="Arial Narrow" w:hAnsi="Arial Narrow"/>
                <w:b/>
                <w:sz w:val="20"/>
              </w:rPr>
              <w:t>Uncertain</w:t>
            </w:r>
          </w:p>
        </w:tc>
        <w:tc>
          <w:tcPr>
            <w:tcW w:w="1630" w:type="dxa"/>
            <w:tcBorders>
              <w:bottom w:val="double" w:sz="4" w:space="0" w:color="auto"/>
            </w:tcBorders>
            <w:vAlign w:val="center"/>
          </w:tcPr>
          <w:p w14:paraId="08475C1D" w14:textId="77777777" w:rsidR="003C2E14" w:rsidRPr="004D3E24" w:rsidRDefault="003C2E14" w:rsidP="002D52C6">
            <w:pPr>
              <w:spacing w:before="20" w:after="20"/>
              <w:jc w:val="center"/>
              <w:rPr>
                <w:rFonts w:ascii="Arial Narrow" w:hAnsi="Arial Narrow"/>
                <w:b/>
                <w:sz w:val="20"/>
              </w:rPr>
            </w:pPr>
            <w:r>
              <w:rPr>
                <w:rFonts w:ascii="Arial Narrow" w:hAnsi="Arial Narrow"/>
                <w:b/>
                <w:sz w:val="20"/>
              </w:rPr>
              <w:t>Not informed</w:t>
            </w:r>
          </w:p>
        </w:tc>
      </w:tr>
      <w:tr w:rsidR="003C2E14" w:rsidRPr="0020351E" w14:paraId="5E016781" w14:textId="77777777" w:rsidTr="002D52C6">
        <w:tc>
          <w:tcPr>
            <w:tcW w:w="2547" w:type="dxa"/>
            <w:tcBorders>
              <w:top w:val="double" w:sz="4" w:space="0" w:color="auto"/>
            </w:tcBorders>
            <w:vAlign w:val="center"/>
          </w:tcPr>
          <w:p w14:paraId="48D20C96" w14:textId="77777777" w:rsidR="003C2E14" w:rsidRPr="0020351E" w:rsidRDefault="003C2E14" w:rsidP="002D52C6">
            <w:pPr>
              <w:spacing w:before="20" w:after="20"/>
              <w:rPr>
                <w:rFonts w:ascii="Arial Narrow" w:hAnsi="Arial Narrow"/>
                <w:sz w:val="20"/>
              </w:rPr>
            </w:pPr>
            <w:r>
              <w:rPr>
                <w:rFonts w:ascii="Arial Narrow" w:hAnsi="Arial Narrow"/>
                <w:sz w:val="20"/>
              </w:rPr>
              <w:t>PMPS</w:t>
            </w:r>
          </w:p>
        </w:tc>
        <w:tc>
          <w:tcPr>
            <w:tcW w:w="1630" w:type="dxa"/>
            <w:tcBorders>
              <w:top w:val="double" w:sz="4" w:space="0" w:color="auto"/>
            </w:tcBorders>
            <w:vAlign w:val="center"/>
          </w:tcPr>
          <w:p w14:paraId="3D39AF8C" w14:textId="77777777" w:rsidR="003C2E14" w:rsidRDefault="003C2E14" w:rsidP="002D52C6">
            <w:pPr>
              <w:spacing w:before="20" w:after="20"/>
              <w:jc w:val="center"/>
              <w:rPr>
                <w:rFonts w:ascii="Arial Narrow" w:hAnsi="Arial Narrow"/>
                <w:sz w:val="20"/>
                <w:vertAlign w:val="superscript"/>
              </w:rPr>
            </w:pPr>
            <w:r w:rsidRPr="00D12460">
              <w:rPr>
                <w:rFonts w:ascii="Arial Narrow" w:hAnsi="Arial Narrow"/>
                <w:sz w:val="20"/>
              </w:rPr>
              <w:t>↓</w:t>
            </w:r>
            <w:r>
              <w:rPr>
                <w:rFonts w:ascii="Arial Narrow" w:hAnsi="Arial Narrow"/>
                <w:sz w:val="20"/>
              </w:rPr>
              <w:t xml:space="preserve"> (1; 15)</w:t>
            </w:r>
            <w:r>
              <w:rPr>
                <w:rFonts w:ascii="Arial Narrow" w:hAnsi="Arial Narrow"/>
                <w:sz w:val="20"/>
                <w:vertAlign w:val="superscript"/>
              </w:rPr>
              <w:t>c</w:t>
            </w:r>
          </w:p>
          <w:p w14:paraId="69104FF2" w14:textId="77777777" w:rsidR="003C2E14" w:rsidRPr="003B0F95" w:rsidRDefault="003C2E14" w:rsidP="002D52C6">
            <w:pPr>
              <w:spacing w:before="20" w:after="20"/>
              <w:jc w:val="center"/>
              <w:rPr>
                <w:rFonts w:ascii="Arial Narrow" w:hAnsi="Arial Narrow"/>
                <w:sz w:val="20"/>
                <w:vertAlign w:val="superscript"/>
              </w:rPr>
            </w:pPr>
            <w:r w:rsidRPr="00435FA7">
              <w:rPr>
                <w:rFonts w:ascii="Cambria Math" w:hAnsi="Cambria Math"/>
                <w:color w:val="00B050"/>
                <w:sz w:val="20"/>
              </w:rPr>
              <w:t>⨁</w:t>
            </w:r>
            <w:r w:rsidRPr="00435FA7">
              <w:rPr>
                <w:rFonts w:ascii="Cambria Math" w:hAnsi="Cambria Math" w:cs="Cambria Math"/>
                <w:color w:val="C00000"/>
                <w:sz w:val="20"/>
              </w:rPr>
              <w:t>⨀⨀⨀</w:t>
            </w:r>
          </w:p>
        </w:tc>
        <w:tc>
          <w:tcPr>
            <w:tcW w:w="1630" w:type="dxa"/>
            <w:tcBorders>
              <w:top w:val="double" w:sz="4" w:space="0" w:color="auto"/>
            </w:tcBorders>
            <w:vAlign w:val="center"/>
          </w:tcPr>
          <w:p w14:paraId="31D7D8B2" w14:textId="77777777" w:rsidR="003C2E14" w:rsidRDefault="003C2E14" w:rsidP="002D52C6">
            <w:pPr>
              <w:spacing w:before="20" w:after="20"/>
              <w:jc w:val="center"/>
              <w:rPr>
                <w:rFonts w:ascii="Arial Narrow" w:hAnsi="Arial Narrow"/>
                <w:sz w:val="20"/>
                <w:vertAlign w:val="superscript"/>
              </w:rPr>
            </w:pPr>
            <w:r>
              <w:rPr>
                <w:rFonts w:ascii="Arial Narrow" w:hAnsi="Arial Narrow"/>
                <w:sz w:val="20"/>
              </w:rPr>
              <w:t>↓ (1; 113</w:t>
            </w:r>
            <w:r w:rsidRPr="00D12460">
              <w:rPr>
                <w:rFonts w:ascii="Arial Narrow" w:hAnsi="Arial Narrow"/>
                <w:sz w:val="20"/>
              </w:rPr>
              <w:t>)</w:t>
            </w:r>
            <w:r>
              <w:rPr>
                <w:rFonts w:ascii="Arial Narrow" w:hAnsi="Arial Narrow"/>
                <w:sz w:val="20"/>
                <w:vertAlign w:val="superscript"/>
              </w:rPr>
              <w:t>d</w:t>
            </w:r>
          </w:p>
          <w:p w14:paraId="40A10014" w14:textId="77777777" w:rsidR="003C2E14" w:rsidRPr="003B0F95" w:rsidRDefault="003C2E14" w:rsidP="002D52C6">
            <w:pPr>
              <w:spacing w:before="20" w:after="20"/>
              <w:jc w:val="center"/>
              <w:rPr>
                <w:rFonts w:ascii="Arial Narrow" w:hAnsi="Arial Narrow"/>
                <w:sz w:val="20"/>
                <w:vertAlign w:val="superscript"/>
              </w:rPr>
            </w:pPr>
            <w:r w:rsidRPr="00435FA7">
              <w:rPr>
                <w:rFonts w:ascii="Cambria Math" w:hAnsi="Cambria Math"/>
                <w:color w:val="00B050"/>
                <w:sz w:val="20"/>
              </w:rPr>
              <w:t>⨁</w:t>
            </w:r>
            <w:r w:rsidRPr="00435FA7">
              <w:rPr>
                <w:rFonts w:ascii="Cambria Math" w:hAnsi="Cambria Math" w:cs="Cambria Math"/>
                <w:color w:val="C00000"/>
                <w:sz w:val="20"/>
              </w:rPr>
              <w:t>⨀⨀⨀</w:t>
            </w:r>
          </w:p>
        </w:tc>
        <w:tc>
          <w:tcPr>
            <w:tcW w:w="1630" w:type="dxa"/>
            <w:tcBorders>
              <w:top w:val="double" w:sz="4" w:space="0" w:color="auto"/>
            </w:tcBorders>
            <w:vAlign w:val="center"/>
          </w:tcPr>
          <w:p w14:paraId="7B8CC9D1" w14:textId="77777777" w:rsidR="003C2E14" w:rsidRDefault="003C2E14" w:rsidP="002D52C6">
            <w:pPr>
              <w:spacing w:before="20" w:after="20"/>
              <w:jc w:val="center"/>
              <w:rPr>
                <w:rFonts w:ascii="Arial Narrow" w:hAnsi="Arial Narrow"/>
                <w:sz w:val="20"/>
                <w:vertAlign w:val="superscript"/>
              </w:rPr>
            </w:pPr>
            <w:r>
              <w:rPr>
                <w:rFonts w:ascii="Arial Narrow" w:hAnsi="Arial Narrow"/>
                <w:sz w:val="20"/>
              </w:rPr>
              <w:t>↓ (1; 96</w:t>
            </w:r>
            <w:r w:rsidRPr="00D12460">
              <w:rPr>
                <w:rFonts w:ascii="Arial Narrow" w:hAnsi="Arial Narrow"/>
                <w:sz w:val="20"/>
              </w:rPr>
              <w:t>)</w:t>
            </w:r>
            <w:r>
              <w:rPr>
                <w:rFonts w:ascii="Arial Narrow" w:hAnsi="Arial Narrow"/>
                <w:sz w:val="20"/>
                <w:vertAlign w:val="superscript"/>
              </w:rPr>
              <w:t>d</w:t>
            </w:r>
          </w:p>
          <w:p w14:paraId="63274CDC" w14:textId="77777777" w:rsidR="003C2E14" w:rsidRPr="003B0F95" w:rsidRDefault="003C2E14" w:rsidP="002D52C6">
            <w:pPr>
              <w:spacing w:before="20" w:after="20"/>
              <w:jc w:val="center"/>
              <w:rPr>
                <w:rFonts w:ascii="Arial Narrow" w:hAnsi="Arial Narrow"/>
                <w:sz w:val="20"/>
                <w:vertAlign w:val="superscript"/>
              </w:rPr>
            </w:pPr>
            <w:r w:rsidRPr="00435FA7">
              <w:rPr>
                <w:rFonts w:ascii="Cambria Math" w:hAnsi="Cambria Math"/>
                <w:color w:val="00B050"/>
                <w:sz w:val="20"/>
              </w:rPr>
              <w:t>⨁</w:t>
            </w:r>
            <w:r w:rsidRPr="00435FA7">
              <w:rPr>
                <w:rFonts w:ascii="Cambria Math" w:hAnsi="Cambria Math" w:cs="Cambria Math"/>
                <w:color w:val="C00000"/>
                <w:sz w:val="20"/>
              </w:rPr>
              <w:t>⨀⨀⨀</w:t>
            </w:r>
          </w:p>
        </w:tc>
        <w:tc>
          <w:tcPr>
            <w:tcW w:w="1630" w:type="dxa"/>
            <w:tcBorders>
              <w:top w:val="double" w:sz="4" w:space="0" w:color="auto"/>
            </w:tcBorders>
            <w:vAlign w:val="center"/>
          </w:tcPr>
          <w:p w14:paraId="75BC9086" w14:textId="77777777" w:rsidR="003C2E14" w:rsidRDefault="003C2E14" w:rsidP="002D52C6">
            <w:pPr>
              <w:spacing w:before="20" w:after="20"/>
              <w:jc w:val="center"/>
              <w:rPr>
                <w:rFonts w:ascii="Arial Narrow" w:hAnsi="Arial Narrow"/>
                <w:sz w:val="20"/>
              </w:rPr>
            </w:pPr>
            <w:r>
              <w:rPr>
                <w:rFonts w:ascii="Arial Narrow" w:hAnsi="Arial Narrow"/>
                <w:sz w:val="20"/>
              </w:rPr>
              <w:t>NA</w:t>
            </w:r>
          </w:p>
        </w:tc>
      </w:tr>
      <w:tr w:rsidR="003C2E14" w:rsidRPr="0020351E" w14:paraId="6B0B5580" w14:textId="77777777" w:rsidTr="002D52C6">
        <w:tc>
          <w:tcPr>
            <w:tcW w:w="2547" w:type="dxa"/>
            <w:tcBorders>
              <w:top w:val="single" w:sz="4" w:space="0" w:color="auto"/>
            </w:tcBorders>
            <w:vAlign w:val="center"/>
          </w:tcPr>
          <w:p w14:paraId="76EC9F65" w14:textId="77777777" w:rsidR="003C2E14" w:rsidRPr="0020351E" w:rsidRDefault="003C2E14" w:rsidP="002D52C6">
            <w:pPr>
              <w:spacing w:before="20" w:after="20"/>
              <w:rPr>
                <w:rFonts w:ascii="Arial Narrow" w:hAnsi="Arial Narrow"/>
                <w:sz w:val="20"/>
              </w:rPr>
            </w:pPr>
            <w:r w:rsidRPr="0020351E">
              <w:rPr>
                <w:rFonts w:ascii="Arial Narrow" w:hAnsi="Arial Narrow"/>
                <w:sz w:val="20"/>
              </w:rPr>
              <w:t xml:space="preserve">Pain </w:t>
            </w:r>
            <w:r>
              <w:rPr>
                <w:rFonts w:ascii="Arial Narrow" w:hAnsi="Arial Narrow"/>
                <w:sz w:val="20"/>
              </w:rPr>
              <w:t>(e.g. post-operative)</w:t>
            </w:r>
          </w:p>
        </w:tc>
        <w:tc>
          <w:tcPr>
            <w:tcW w:w="1630" w:type="dxa"/>
            <w:tcBorders>
              <w:top w:val="single" w:sz="4" w:space="0" w:color="auto"/>
            </w:tcBorders>
            <w:vAlign w:val="center"/>
          </w:tcPr>
          <w:p w14:paraId="6EABD63B" w14:textId="77777777" w:rsidR="003C2E14" w:rsidRDefault="003C2E14" w:rsidP="002D52C6">
            <w:pPr>
              <w:spacing w:before="20" w:after="20"/>
              <w:jc w:val="center"/>
              <w:rPr>
                <w:rFonts w:ascii="Arial Narrow" w:hAnsi="Arial Narrow"/>
                <w:sz w:val="20"/>
                <w:vertAlign w:val="superscript"/>
              </w:rPr>
            </w:pPr>
            <w:r w:rsidRPr="00D12460">
              <w:rPr>
                <w:rFonts w:ascii="Arial Narrow" w:hAnsi="Arial Narrow"/>
                <w:sz w:val="20"/>
              </w:rPr>
              <w:t xml:space="preserve">↓ (1; </w:t>
            </w:r>
            <w:r>
              <w:rPr>
                <w:rFonts w:ascii="Arial Narrow" w:hAnsi="Arial Narrow"/>
                <w:sz w:val="20"/>
              </w:rPr>
              <w:t>5</w:t>
            </w:r>
            <w:r w:rsidRPr="00D12460">
              <w:rPr>
                <w:rFonts w:ascii="Arial Narrow" w:hAnsi="Arial Narrow"/>
                <w:sz w:val="20"/>
              </w:rPr>
              <w:t>5)</w:t>
            </w:r>
            <w:r>
              <w:rPr>
                <w:rFonts w:ascii="Arial Narrow" w:hAnsi="Arial Narrow"/>
                <w:sz w:val="20"/>
                <w:vertAlign w:val="superscript"/>
              </w:rPr>
              <w:t>a</w:t>
            </w:r>
          </w:p>
          <w:p w14:paraId="51468F0B" w14:textId="77777777" w:rsidR="003C2E14" w:rsidRPr="00D109B3" w:rsidRDefault="003C2E14" w:rsidP="002D52C6">
            <w:pPr>
              <w:spacing w:before="20" w:after="20"/>
              <w:jc w:val="center"/>
              <w:rPr>
                <w:rFonts w:ascii="Arial Narrow" w:hAnsi="Arial Narrow"/>
                <w:sz w:val="20"/>
                <w:vertAlign w:val="superscript"/>
              </w:rPr>
            </w:pPr>
            <w:r w:rsidRPr="00435FA7">
              <w:rPr>
                <w:rFonts w:ascii="Cambria Math" w:hAnsi="Cambria Math"/>
                <w:color w:val="00B050"/>
                <w:sz w:val="20"/>
              </w:rPr>
              <w:t>⨁</w:t>
            </w:r>
            <w:r w:rsidRPr="00435FA7">
              <w:rPr>
                <w:rFonts w:ascii="Cambria Math" w:hAnsi="Cambria Math" w:cs="Cambria Math"/>
                <w:color w:val="C00000"/>
                <w:sz w:val="20"/>
              </w:rPr>
              <w:t>⨀⨀⨀</w:t>
            </w:r>
          </w:p>
        </w:tc>
        <w:tc>
          <w:tcPr>
            <w:tcW w:w="1630" w:type="dxa"/>
            <w:tcBorders>
              <w:top w:val="single" w:sz="4" w:space="0" w:color="auto"/>
            </w:tcBorders>
            <w:vAlign w:val="center"/>
          </w:tcPr>
          <w:p w14:paraId="1AEA6B58" w14:textId="77777777" w:rsidR="003C2E14" w:rsidRPr="00D12460" w:rsidRDefault="003C2E14" w:rsidP="002D52C6">
            <w:pPr>
              <w:spacing w:before="20" w:after="20"/>
              <w:jc w:val="center"/>
              <w:rPr>
                <w:rFonts w:ascii="Arial Narrow" w:hAnsi="Arial Narrow"/>
                <w:sz w:val="20"/>
              </w:rPr>
            </w:pPr>
            <w:r w:rsidRPr="00D12460">
              <w:rPr>
                <w:rFonts w:ascii="Arial Narrow" w:hAnsi="Arial Narrow"/>
                <w:sz w:val="20"/>
              </w:rPr>
              <w:t>NR</w:t>
            </w:r>
          </w:p>
        </w:tc>
        <w:tc>
          <w:tcPr>
            <w:tcW w:w="1630" w:type="dxa"/>
            <w:tcBorders>
              <w:top w:val="single" w:sz="4" w:space="0" w:color="auto"/>
            </w:tcBorders>
            <w:vAlign w:val="center"/>
          </w:tcPr>
          <w:p w14:paraId="2E24DA59" w14:textId="77777777" w:rsidR="003C2E14" w:rsidRPr="0020351E" w:rsidRDefault="003C2E14" w:rsidP="002D52C6">
            <w:pPr>
              <w:spacing w:before="20" w:after="20"/>
              <w:jc w:val="center"/>
              <w:rPr>
                <w:rFonts w:ascii="Arial Narrow" w:hAnsi="Arial Narrow"/>
                <w:sz w:val="20"/>
              </w:rPr>
            </w:pPr>
            <w:r>
              <w:rPr>
                <w:rFonts w:ascii="Arial Narrow" w:hAnsi="Arial Narrow"/>
                <w:sz w:val="20"/>
              </w:rPr>
              <w:t>NR</w:t>
            </w:r>
          </w:p>
        </w:tc>
        <w:tc>
          <w:tcPr>
            <w:tcW w:w="1630" w:type="dxa"/>
            <w:tcBorders>
              <w:top w:val="single" w:sz="4" w:space="0" w:color="auto"/>
            </w:tcBorders>
            <w:vAlign w:val="center"/>
          </w:tcPr>
          <w:p w14:paraId="56D957D4" w14:textId="77777777" w:rsidR="003C2E14" w:rsidRPr="0020351E" w:rsidRDefault="003C2E14" w:rsidP="002D52C6">
            <w:pPr>
              <w:spacing w:before="20" w:after="20"/>
              <w:jc w:val="center"/>
              <w:rPr>
                <w:rFonts w:ascii="Arial Narrow" w:hAnsi="Arial Narrow"/>
                <w:sz w:val="20"/>
              </w:rPr>
            </w:pPr>
            <w:r>
              <w:rPr>
                <w:rFonts w:ascii="Arial Narrow" w:hAnsi="Arial Narrow"/>
                <w:sz w:val="20"/>
              </w:rPr>
              <w:t>NA</w:t>
            </w:r>
          </w:p>
        </w:tc>
      </w:tr>
      <w:tr w:rsidR="003C2E14" w:rsidRPr="0020351E" w14:paraId="740A01B5" w14:textId="77777777" w:rsidTr="002D52C6">
        <w:tc>
          <w:tcPr>
            <w:tcW w:w="2547" w:type="dxa"/>
            <w:vAlign w:val="center"/>
          </w:tcPr>
          <w:p w14:paraId="2CDC0883" w14:textId="77777777" w:rsidR="003C2E14" w:rsidRPr="0020351E" w:rsidRDefault="003C2E14" w:rsidP="002D52C6">
            <w:pPr>
              <w:spacing w:before="20" w:after="20"/>
              <w:rPr>
                <w:rFonts w:ascii="Arial Narrow" w:hAnsi="Arial Narrow"/>
                <w:sz w:val="20"/>
              </w:rPr>
            </w:pPr>
            <w:r w:rsidRPr="0020351E">
              <w:rPr>
                <w:rFonts w:ascii="Arial Narrow" w:hAnsi="Arial Narrow"/>
                <w:sz w:val="20"/>
              </w:rPr>
              <w:t>HRQoL</w:t>
            </w:r>
            <w:r>
              <w:rPr>
                <w:rFonts w:ascii="Arial Narrow" w:hAnsi="Arial Narrow"/>
                <w:sz w:val="20"/>
              </w:rPr>
              <w:t xml:space="preserve"> </w:t>
            </w:r>
            <w:r w:rsidRPr="0020351E">
              <w:rPr>
                <w:rFonts w:ascii="Arial Narrow" w:hAnsi="Arial Narrow"/>
                <w:sz w:val="20"/>
              </w:rPr>
              <w:t>(BREAST-Q)</w:t>
            </w:r>
          </w:p>
        </w:tc>
        <w:tc>
          <w:tcPr>
            <w:tcW w:w="1630" w:type="dxa"/>
            <w:vAlign w:val="center"/>
          </w:tcPr>
          <w:p w14:paraId="103F4A8E" w14:textId="77777777" w:rsidR="003C2E14" w:rsidRPr="00D12460" w:rsidRDefault="003C2E14" w:rsidP="002D52C6">
            <w:pPr>
              <w:spacing w:before="20" w:after="20"/>
              <w:jc w:val="center"/>
              <w:rPr>
                <w:rFonts w:ascii="Arial Narrow" w:hAnsi="Arial Narrow"/>
                <w:sz w:val="20"/>
              </w:rPr>
            </w:pPr>
            <w:r w:rsidRPr="00D12460">
              <w:rPr>
                <w:rFonts w:ascii="Arial Narrow" w:hAnsi="Arial Narrow"/>
                <w:sz w:val="20"/>
              </w:rPr>
              <w:t>NR</w:t>
            </w:r>
          </w:p>
        </w:tc>
        <w:tc>
          <w:tcPr>
            <w:tcW w:w="1630" w:type="dxa"/>
            <w:vAlign w:val="center"/>
          </w:tcPr>
          <w:p w14:paraId="671BEF91" w14:textId="77777777" w:rsidR="003C2E14" w:rsidRDefault="003C2E14" w:rsidP="002D52C6">
            <w:pPr>
              <w:spacing w:before="20" w:after="20"/>
              <w:jc w:val="center"/>
              <w:rPr>
                <w:rFonts w:ascii="Arial Narrow" w:hAnsi="Arial Narrow"/>
                <w:sz w:val="20"/>
              </w:rPr>
            </w:pPr>
            <w:r w:rsidRPr="00D12460">
              <w:rPr>
                <w:rFonts w:ascii="Arial Narrow" w:hAnsi="Arial Narrow"/>
                <w:sz w:val="20"/>
              </w:rPr>
              <w:t>↑</w:t>
            </w:r>
            <w:r>
              <w:rPr>
                <w:rFonts w:ascii="Arial Narrow" w:hAnsi="Arial Narrow"/>
                <w:sz w:val="20"/>
              </w:rPr>
              <w:t xml:space="preserve"> (1; 70)</w:t>
            </w:r>
          </w:p>
          <w:p w14:paraId="35C2808B" w14:textId="77777777" w:rsidR="003C2E14" w:rsidRPr="00D12460" w:rsidRDefault="003C2E14" w:rsidP="002D52C6">
            <w:pPr>
              <w:spacing w:before="20" w:after="20"/>
              <w:jc w:val="center"/>
              <w:rPr>
                <w:rFonts w:ascii="Arial Narrow" w:hAnsi="Arial Narrow"/>
                <w:sz w:val="20"/>
              </w:rPr>
            </w:pPr>
            <w:r w:rsidRPr="00435FA7">
              <w:rPr>
                <w:rFonts w:ascii="Cambria Math" w:hAnsi="Cambria Math"/>
                <w:color w:val="00B050"/>
                <w:sz w:val="20"/>
              </w:rPr>
              <w:t>⨁</w:t>
            </w:r>
            <w:r w:rsidRPr="00435FA7">
              <w:rPr>
                <w:rFonts w:ascii="Cambria Math" w:hAnsi="Cambria Math" w:cs="Cambria Math"/>
                <w:color w:val="C00000"/>
                <w:sz w:val="20"/>
              </w:rPr>
              <w:t>⨀⨀⨀</w:t>
            </w:r>
          </w:p>
        </w:tc>
        <w:tc>
          <w:tcPr>
            <w:tcW w:w="1630" w:type="dxa"/>
            <w:vAlign w:val="center"/>
          </w:tcPr>
          <w:p w14:paraId="01CA196F" w14:textId="77777777" w:rsidR="003C2E14" w:rsidRDefault="003C2E14" w:rsidP="002D52C6">
            <w:pPr>
              <w:spacing w:before="20" w:after="20"/>
              <w:jc w:val="center"/>
              <w:rPr>
                <w:rFonts w:ascii="Arial Narrow" w:hAnsi="Arial Narrow"/>
                <w:sz w:val="20"/>
              </w:rPr>
            </w:pPr>
            <w:r>
              <w:rPr>
                <w:rFonts w:ascii="Arial Narrow" w:hAnsi="Arial Narrow"/>
                <w:sz w:val="20"/>
              </w:rPr>
              <w:t>↑ (1; 71)</w:t>
            </w:r>
          </w:p>
          <w:p w14:paraId="413E6EFF" w14:textId="77777777" w:rsidR="003C2E14" w:rsidRPr="0020351E" w:rsidRDefault="003C2E14" w:rsidP="002D52C6">
            <w:pPr>
              <w:spacing w:before="20" w:after="20"/>
              <w:jc w:val="center"/>
              <w:rPr>
                <w:rFonts w:ascii="Arial Narrow" w:hAnsi="Arial Narrow"/>
                <w:sz w:val="20"/>
              </w:rPr>
            </w:pPr>
            <w:r w:rsidRPr="00435FA7">
              <w:rPr>
                <w:rFonts w:ascii="Cambria Math" w:hAnsi="Cambria Math"/>
                <w:color w:val="00B050"/>
                <w:sz w:val="20"/>
              </w:rPr>
              <w:t>⨁</w:t>
            </w:r>
            <w:r w:rsidRPr="00435FA7">
              <w:rPr>
                <w:rFonts w:ascii="Cambria Math" w:hAnsi="Cambria Math" w:cs="Cambria Math"/>
                <w:color w:val="C00000"/>
                <w:sz w:val="20"/>
              </w:rPr>
              <w:t>⨀⨀⨀</w:t>
            </w:r>
          </w:p>
        </w:tc>
        <w:tc>
          <w:tcPr>
            <w:tcW w:w="1630" w:type="dxa"/>
            <w:vAlign w:val="center"/>
          </w:tcPr>
          <w:p w14:paraId="133504E8" w14:textId="77777777" w:rsidR="003C2E14" w:rsidRPr="0020351E" w:rsidRDefault="003C2E14" w:rsidP="002D52C6">
            <w:pPr>
              <w:spacing w:before="20" w:after="20"/>
              <w:jc w:val="center"/>
              <w:rPr>
                <w:rFonts w:ascii="Arial Narrow" w:hAnsi="Arial Narrow"/>
                <w:sz w:val="20"/>
              </w:rPr>
            </w:pPr>
            <w:r>
              <w:rPr>
                <w:rFonts w:ascii="Arial Narrow" w:hAnsi="Arial Narrow"/>
                <w:sz w:val="20"/>
              </w:rPr>
              <w:t>NR</w:t>
            </w:r>
          </w:p>
        </w:tc>
      </w:tr>
      <w:tr w:rsidR="003C2E14" w:rsidRPr="0020351E" w14:paraId="12D88FC6" w14:textId="77777777" w:rsidTr="002D52C6">
        <w:tc>
          <w:tcPr>
            <w:tcW w:w="2547" w:type="dxa"/>
            <w:vAlign w:val="center"/>
          </w:tcPr>
          <w:p w14:paraId="3EF07D42" w14:textId="77777777" w:rsidR="003C2E14" w:rsidRPr="0020351E" w:rsidRDefault="003C2E14" w:rsidP="002D52C6">
            <w:pPr>
              <w:spacing w:before="20" w:after="20"/>
              <w:rPr>
                <w:rFonts w:ascii="Arial Narrow" w:hAnsi="Arial Narrow"/>
                <w:sz w:val="20"/>
              </w:rPr>
            </w:pPr>
            <w:r w:rsidRPr="0020351E">
              <w:rPr>
                <w:rFonts w:ascii="Arial Narrow" w:hAnsi="Arial Narrow"/>
                <w:sz w:val="20"/>
              </w:rPr>
              <w:t>Patient and surgeon satisfaction</w:t>
            </w:r>
          </w:p>
        </w:tc>
        <w:tc>
          <w:tcPr>
            <w:tcW w:w="1630" w:type="dxa"/>
            <w:vAlign w:val="center"/>
          </w:tcPr>
          <w:p w14:paraId="2B02143C" w14:textId="77777777" w:rsidR="003C2E14" w:rsidRPr="00D12460" w:rsidRDefault="003C2E14" w:rsidP="002D52C6">
            <w:pPr>
              <w:spacing w:before="20" w:after="20"/>
              <w:jc w:val="center"/>
              <w:rPr>
                <w:rFonts w:ascii="Arial Narrow" w:hAnsi="Arial Narrow"/>
                <w:sz w:val="20"/>
              </w:rPr>
            </w:pPr>
            <w:r w:rsidRPr="00D12460">
              <w:rPr>
                <w:rFonts w:ascii="Arial Narrow" w:hAnsi="Arial Narrow"/>
                <w:sz w:val="20"/>
              </w:rPr>
              <w:t>NR</w:t>
            </w:r>
          </w:p>
        </w:tc>
        <w:tc>
          <w:tcPr>
            <w:tcW w:w="1630" w:type="dxa"/>
            <w:vAlign w:val="center"/>
          </w:tcPr>
          <w:p w14:paraId="09CF11AD" w14:textId="77777777" w:rsidR="003C2E14" w:rsidRDefault="003C2E14" w:rsidP="002D52C6">
            <w:pPr>
              <w:spacing w:before="20" w:after="20"/>
              <w:jc w:val="center"/>
              <w:rPr>
                <w:rFonts w:ascii="Arial Narrow" w:hAnsi="Arial Narrow"/>
                <w:sz w:val="20"/>
              </w:rPr>
            </w:pPr>
            <w:r w:rsidRPr="00D12460">
              <w:rPr>
                <w:rFonts w:ascii="Arial Narrow" w:hAnsi="Arial Narrow"/>
                <w:sz w:val="20"/>
              </w:rPr>
              <w:t>↔</w:t>
            </w:r>
            <w:r>
              <w:rPr>
                <w:rFonts w:ascii="Arial Narrow" w:hAnsi="Arial Narrow"/>
                <w:sz w:val="20"/>
              </w:rPr>
              <w:t xml:space="preserve"> (1; 40)</w:t>
            </w:r>
          </w:p>
          <w:p w14:paraId="67E5BF16" w14:textId="77777777" w:rsidR="003C2E14" w:rsidRPr="00D12460" w:rsidRDefault="003C2E14" w:rsidP="002D52C6">
            <w:pPr>
              <w:spacing w:before="20" w:after="20"/>
              <w:jc w:val="center"/>
              <w:rPr>
                <w:rFonts w:ascii="Arial Narrow" w:hAnsi="Arial Narrow"/>
                <w:sz w:val="20"/>
              </w:rPr>
            </w:pPr>
            <w:r w:rsidRPr="00435FA7">
              <w:rPr>
                <w:rFonts w:ascii="Cambria Math" w:hAnsi="Cambria Math"/>
                <w:color w:val="00B050"/>
                <w:sz w:val="20"/>
              </w:rPr>
              <w:t>⨁</w:t>
            </w:r>
            <w:r w:rsidRPr="00435FA7">
              <w:rPr>
                <w:rFonts w:ascii="Cambria Math" w:hAnsi="Cambria Math" w:cs="Cambria Math"/>
                <w:color w:val="C00000"/>
                <w:sz w:val="20"/>
              </w:rPr>
              <w:t>⨀⨀⨀</w:t>
            </w:r>
          </w:p>
        </w:tc>
        <w:tc>
          <w:tcPr>
            <w:tcW w:w="1630" w:type="dxa"/>
            <w:vAlign w:val="center"/>
          </w:tcPr>
          <w:p w14:paraId="73E09365" w14:textId="77777777" w:rsidR="003C2E14" w:rsidRPr="0020351E" w:rsidRDefault="003C2E14" w:rsidP="002D52C6">
            <w:pPr>
              <w:spacing w:before="20" w:after="20"/>
              <w:jc w:val="center"/>
              <w:rPr>
                <w:rFonts w:ascii="Arial Narrow" w:hAnsi="Arial Narrow"/>
                <w:sz w:val="20"/>
              </w:rPr>
            </w:pPr>
            <w:r>
              <w:rPr>
                <w:rFonts w:ascii="Arial Narrow" w:hAnsi="Arial Narrow"/>
                <w:sz w:val="20"/>
              </w:rPr>
              <w:t>NR</w:t>
            </w:r>
          </w:p>
        </w:tc>
        <w:tc>
          <w:tcPr>
            <w:tcW w:w="1630" w:type="dxa"/>
            <w:vAlign w:val="center"/>
          </w:tcPr>
          <w:p w14:paraId="098372D2" w14:textId="77777777" w:rsidR="003C2E14" w:rsidRPr="0020351E" w:rsidRDefault="003C2E14" w:rsidP="002D52C6">
            <w:pPr>
              <w:spacing w:before="20" w:after="20"/>
              <w:jc w:val="center"/>
              <w:rPr>
                <w:rFonts w:ascii="Arial Narrow" w:hAnsi="Arial Narrow"/>
                <w:sz w:val="20"/>
              </w:rPr>
            </w:pPr>
            <w:r>
              <w:rPr>
                <w:rFonts w:ascii="Arial Narrow" w:hAnsi="Arial Narrow"/>
                <w:sz w:val="20"/>
              </w:rPr>
              <w:t>NR</w:t>
            </w:r>
          </w:p>
        </w:tc>
      </w:tr>
      <w:tr w:rsidR="003C2E14" w:rsidRPr="0020351E" w14:paraId="752B814B" w14:textId="77777777" w:rsidTr="002D52C6">
        <w:tc>
          <w:tcPr>
            <w:tcW w:w="2547" w:type="dxa"/>
            <w:vAlign w:val="center"/>
          </w:tcPr>
          <w:p w14:paraId="19105C39" w14:textId="77777777" w:rsidR="003C2E14" w:rsidRPr="0020351E" w:rsidRDefault="003C2E14" w:rsidP="002D52C6">
            <w:pPr>
              <w:spacing w:before="20" w:after="20"/>
              <w:rPr>
                <w:rFonts w:ascii="Arial Narrow" w:hAnsi="Arial Narrow"/>
                <w:sz w:val="20"/>
              </w:rPr>
            </w:pPr>
            <w:r>
              <w:rPr>
                <w:rFonts w:ascii="Arial Narrow" w:hAnsi="Arial Narrow"/>
                <w:sz w:val="20"/>
              </w:rPr>
              <w:t>Aesthetics</w:t>
            </w:r>
          </w:p>
        </w:tc>
        <w:tc>
          <w:tcPr>
            <w:tcW w:w="1630" w:type="dxa"/>
            <w:vAlign w:val="center"/>
          </w:tcPr>
          <w:p w14:paraId="23AEC083" w14:textId="77777777" w:rsidR="003C2E14" w:rsidRDefault="003C2E14" w:rsidP="002D52C6">
            <w:pPr>
              <w:spacing w:before="20" w:after="20"/>
              <w:jc w:val="center"/>
              <w:rPr>
                <w:rFonts w:ascii="Arial Narrow" w:hAnsi="Arial Narrow"/>
                <w:sz w:val="20"/>
                <w:vertAlign w:val="superscript"/>
              </w:rPr>
            </w:pPr>
            <w:r w:rsidRPr="00D12460">
              <w:rPr>
                <w:rFonts w:ascii="Arial Narrow" w:hAnsi="Arial Narrow"/>
                <w:sz w:val="20"/>
              </w:rPr>
              <w:t>↑ (1; 32)</w:t>
            </w:r>
            <w:r>
              <w:rPr>
                <w:rFonts w:ascii="Arial Narrow" w:hAnsi="Arial Narrow"/>
                <w:sz w:val="20"/>
                <w:vertAlign w:val="superscript"/>
              </w:rPr>
              <w:t>a</w:t>
            </w:r>
          </w:p>
          <w:p w14:paraId="021C3836" w14:textId="77777777" w:rsidR="003C2E14" w:rsidRPr="00D109B3" w:rsidRDefault="003C2E14" w:rsidP="002D52C6">
            <w:pPr>
              <w:spacing w:before="20" w:after="20"/>
              <w:jc w:val="center"/>
              <w:rPr>
                <w:rFonts w:ascii="Arial Narrow" w:hAnsi="Arial Narrow"/>
                <w:sz w:val="20"/>
                <w:vertAlign w:val="superscript"/>
              </w:rPr>
            </w:pPr>
            <w:r w:rsidRPr="00435FA7">
              <w:rPr>
                <w:rFonts w:ascii="Cambria Math" w:hAnsi="Cambria Math"/>
                <w:color w:val="00B050"/>
                <w:sz w:val="20"/>
              </w:rPr>
              <w:t>⨁</w:t>
            </w:r>
            <w:r w:rsidRPr="00435FA7">
              <w:rPr>
                <w:rFonts w:ascii="Cambria Math" w:hAnsi="Cambria Math" w:cs="Cambria Math"/>
                <w:color w:val="C00000"/>
                <w:sz w:val="20"/>
              </w:rPr>
              <w:t>⨀⨀⨀</w:t>
            </w:r>
          </w:p>
        </w:tc>
        <w:tc>
          <w:tcPr>
            <w:tcW w:w="1630" w:type="dxa"/>
            <w:vAlign w:val="center"/>
          </w:tcPr>
          <w:p w14:paraId="0FA52232" w14:textId="77777777" w:rsidR="003C2E14" w:rsidRDefault="003C2E14" w:rsidP="002D52C6">
            <w:pPr>
              <w:spacing w:before="20" w:after="20"/>
              <w:jc w:val="center"/>
              <w:rPr>
                <w:rFonts w:ascii="Arial Narrow" w:hAnsi="Arial Narrow"/>
                <w:sz w:val="20"/>
                <w:vertAlign w:val="superscript"/>
              </w:rPr>
            </w:pPr>
            <w:r w:rsidRPr="00D12460">
              <w:rPr>
                <w:rFonts w:ascii="Arial Narrow" w:hAnsi="Arial Narrow"/>
                <w:sz w:val="20"/>
              </w:rPr>
              <w:t>↑</w:t>
            </w:r>
            <w:r>
              <w:rPr>
                <w:rFonts w:ascii="Arial Narrow" w:hAnsi="Arial Narrow"/>
                <w:sz w:val="20"/>
              </w:rPr>
              <w:t xml:space="preserve"> (1; 7)</w:t>
            </w:r>
            <w:r>
              <w:rPr>
                <w:rFonts w:ascii="Arial Narrow" w:hAnsi="Arial Narrow"/>
                <w:sz w:val="20"/>
                <w:vertAlign w:val="superscript"/>
              </w:rPr>
              <w:t>e</w:t>
            </w:r>
          </w:p>
          <w:p w14:paraId="4D1DA2F2" w14:textId="77777777" w:rsidR="003C2E14" w:rsidRPr="00D109B3" w:rsidRDefault="003C2E14" w:rsidP="002D52C6">
            <w:pPr>
              <w:spacing w:before="20" w:after="20"/>
              <w:jc w:val="center"/>
              <w:rPr>
                <w:rFonts w:ascii="Arial Narrow" w:hAnsi="Arial Narrow"/>
                <w:sz w:val="20"/>
                <w:vertAlign w:val="superscript"/>
              </w:rPr>
            </w:pPr>
            <w:r w:rsidRPr="00435FA7">
              <w:rPr>
                <w:rFonts w:ascii="Cambria Math" w:hAnsi="Cambria Math"/>
                <w:color w:val="00B050"/>
                <w:sz w:val="20"/>
              </w:rPr>
              <w:t>⨁</w:t>
            </w:r>
            <w:r w:rsidRPr="00435FA7">
              <w:rPr>
                <w:rFonts w:ascii="Cambria Math" w:hAnsi="Cambria Math" w:cs="Cambria Math"/>
                <w:color w:val="C00000"/>
                <w:sz w:val="20"/>
              </w:rPr>
              <w:t>⨀⨀⨀</w:t>
            </w:r>
          </w:p>
        </w:tc>
        <w:tc>
          <w:tcPr>
            <w:tcW w:w="1630" w:type="dxa"/>
            <w:vAlign w:val="center"/>
          </w:tcPr>
          <w:p w14:paraId="0500F309" w14:textId="77777777" w:rsidR="003C2E14" w:rsidRPr="0020351E" w:rsidRDefault="003C2E14" w:rsidP="002D52C6">
            <w:pPr>
              <w:spacing w:before="20" w:after="20"/>
              <w:jc w:val="center"/>
              <w:rPr>
                <w:rFonts w:ascii="Arial Narrow" w:hAnsi="Arial Narrow"/>
                <w:sz w:val="20"/>
              </w:rPr>
            </w:pPr>
            <w:r>
              <w:rPr>
                <w:rFonts w:ascii="Arial Narrow" w:hAnsi="Arial Narrow"/>
                <w:sz w:val="20"/>
              </w:rPr>
              <w:t>NR</w:t>
            </w:r>
          </w:p>
        </w:tc>
        <w:tc>
          <w:tcPr>
            <w:tcW w:w="1630" w:type="dxa"/>
            <w:vAlign w:val="center"/>
          </w:tcPr>
          <w:p w14:paraId="107860F0" w14:textId="77777777" w:rsidR="003C2E14" w:rsidRPr="0020351E" w:rsidRDefault="003C2E14" w:rsidP="002D52C6">
            <w:pPr>
              <w:spacing w:before="20" w:after="20"/>
              <w:jc w:val="center"/>
              <w:rPr>
                <w:rFonts w:ascii="Arial Narrow" w:hAnsi="Arial Narrow"/>
                <w:sz w:val="20"/>
              </w:rPr>
            </w:pPr>
            <w:r>
              <w:rPr>
                <w:rFonts w:ascii="Arial Narrow" w:hAnsi="Arial Narrow"/>
                <w:sz w:val="20"/>
              </w:rPr>
              <w:t>NR</w:t>
            </w:r>
          </w:p>
        </w:tc>
      </w:tr>
      <w:tr w:rsidR="003C2E14" w:rsidRPr="0020351E" w14:paraId="6D8EB6E8" w14:textId="77777777" w:rsidTr="002D52C6">
        <w:tc>
          <w:tcPr>
            <w:tcW w:w="2547" w:type="dxa"/>
          </w:tcPr>
          <w:p w14:paraId="210C1D99" w14:textId="77777777" w:rsidR="003C2E14" w:rsidRPr="004D3E24" w:rsidRDefault="003C2E14" w:rsidP="002D52C6">
            <w:pPr>
              <w:keepNext/>
              <w:spacing w:before="20" w:after="20"/>
              <w:rPr>
                <w:rFonts w:ascii="Arial Narrow" w:hAnsi="Arial Narrow"/>
                <w:b/>
                <w:sz w:val="20"/>
              </w:rPr>
            </w:pPr>
            <w:r w:rsidRPr="004D3E24">
              <w:rPr>
                <w:rFonts w:ascii="Arial Narrow" w:hAnsi="Arial Narrow"/>
                <w:b/>
                <w:sz w:val="20"/>
              </w:rPr>
              <w:t>Effect</w:t>
            </w:r>
          </w:p>
        </w:tc>
        <w:tc>
          <w:tcPr>
            <w:tcW w:w="1630" w:type="dxa"/>
            <w:vAlign w:val="center"/>
          </w:tcPr>
          <w:p w14:paraId="68D83A17" w14:textId="77777777" w:rsidR="003C2E14" w:rsidRPr="004D3E24" w:rsidRDefault="003C2E14" w:rsidP="002D52C6">
            <w:pPr>
              <w:keepNext/>
              <w:spacing w:before="20" w:after="20"/>
              <w:jc w:val="center"/>
              <w:rPr>
                <w:rFonts w:ascii="Arial Narrow" w:hAnsi="Arial Narrow"/>
                <w:b/>
                <w:sz w:val="20"/>
              </w:rPr>
            </w:pPr>
            <w:r w:rsidRPr="004D3E24">
              <w:rPr>
                <w:rFonts w:ascii="Arial Narrow" w:hAnsi="Arial Narrow"/>
                <w:b/>
                <w:sz w:val="20"/>
              </w:rPr>
              <w:t>Superior</w:t>
            </w:r>
          </w:p>
        </w:tc>
        <w:tc>
          <w:tcPr>
            <w:tcW w:w="1630" w:type="dxa"/>
            <w:vAlign w:val="center"/>
          </w:tcPr>
          <w:p w14:paraId="4A397772" w14:textId="77777777" w:rsidR="003C2E14" w:rsidRPr="004D3E24" w:rsidRDefault="003C2E14" w:rsidP="002D52C6">
            <w:pPr>
              <w:keepNext/>
              <w:spacing w:before="20" w:after="20"/>
              <w:jc w:val="center"/>
              <w:rPr>
                <w:rFonts w:ascii="Arial Narrow" w:hAnsi="Arial Narrow"/>
                <w:b/>
                <w:sz w:val="20"/>
              </w:rPr>
            </w:pPr>
            <w:r w:rsidRPr="004D3E24">
              <w:rPr>
                <w:rFonts w:ascii="Arial Narrow" w:hAnsi="Arial Narrow"/>
                <w:b/>
                <w:sz w:val="20"/>
              </w:rPr>
              <w:t>Superior</w:t>
            </w:r>
          </w:p>
        </w:tc>
        <w:tc>
          <w:tcPr>
            <w:tcW w:w="1630" w:type="dxa"/>
            <w:vAlign w:val="center"/>
          </w:tcPr>
          <w:p w14:paraId="19A82A41" w14:textId="77777777" w:rsidR="003C2E14" w:rsidRPr="004D3E24" w:rsidRDefault="003C2E14" w:rsidP="002D52C6">
            <w:pPr>
              <w:keepNext/>
              <w:spacing w:before="20" w:after="20"/>
              <w:jc w:val="center"/>
              <w:rPr>
                <w:rFonts w:ascii="Arial Narrow" w:hAnsi="Arial Narrow"/>
                <w:b/>
                <w:sz w:val="20"/>
              </w:rPr>
            </w:pPr>
            <w:r w:rsidRPr="004D3E24">
              <w:rPr>
                <w:rFonts w:ascii="Arial Narrow" w:hAnsi="Arial Narrow"/>
                <w:b/>
                <w:sz w:val="20"/>
              </w:rPr>
              <w:t>Superior</w:t>
            </w:r>
          </w:p>
        </w:tc>
        <w:tc>
          <w:tcPr>
            <w:tcW w:w="1630" w:type="dxa"/>
            <w:vAlign w:val="center"/>
          </w:tcPr>
          <w:p w14:paraId="6369D149" w14:textId="77777777" w:rsidR="003C2E14" w:rsidRPr="004D3E24" w:rsidRDefault="003C2E14" w:rsidP="002D52C6">
            <w:pPr>
              <w:keepNext/>
              <w:spacing w:before="20" w:after="20"/>
              <w:jc w:val="center"/>
              <w:rPr>
                <w:rFonts w:ascii="Arial Narrow" w:hAnsi="Arial Narrow"/>
                <w:b/>
                <w:sz w:val="20"/>
              </w:rPr>
            </w:pPr>
            <w:r w:rsidRPr="004D3E24">
              <w:rPr>
                <w:rFonts w:ascii="Arial Narrow" w:hAnsi="Arial Narrow"/>
                <w:b/>
                <w:sz w:val="20"/>
              </w:rPr>
              <w:t>Not informed</w:t>
            </w:r>
          </w:p>
        </w:tc>
      </w:tr>
    </w:tbl>
    <w:p w14:paraId="170BD6DF" w14:textId="77777777" w:rsidR="003C2E14" w:rsidRPr="00886F7C" w:rsidRDefault="003C2E14" w:rsidP="003C2E14">
      <w:pPr>
        <w:keepNext/>
        <w:tabs>
          <w:tab w:val="left" w:pos="284"/>
        </w:tabs>
        <w:rPr>
          <w:rFonts w:ascii="Arial Narrow" w:hAnsi="Arial Narrow"/>
          <w:sz w:val="18"/>
        </w:rPr>
      </w:pPr>
      <w:r>
        <w:rPr>
          <w:rFonts w:ascii="Arial Narrow" w:hAnsi="Arial Narrow"/>
          <w:sz w:val="18"/>
        </w:rPr>
        <w:t>AFG = autologous fat graft; BSC = best supportive care; HRQoL = health-related quality of life; NA = not applicable; NR = not reported; PMPS = post mastectomy pain syndrome</w:t>
      </w:r>
    </w:p>
    <w:p w14:paraId="3C3EF4C4" w14:textId="77777777" w:rsidR="003C2E14" w:rsidRPr="00AA2FCC" w:rsidRDefault="003C2E14" w:rsidP="003C2E14">
      <w:pPr>
        <w:keepNext/>
        <w:tabs>
          <w:tab w:val="left" w:pos="284"/>
        </w:tabs>
        <w:rPr>
          <w:rFonts w:ascii="Arial Narrow" w:hAnsi="Arial Narrow"/>
          <w:sz w:val="18"/>
        </w:rPr>
      </w:pPr>
      <w:r>
        <w:rPr>
          <w:rFonts w:ascii="Arial Narrow" w:hAnsi="Arial Narrow"/>
          <w:sz w:val="20"/>
        </w:rPr>
        <w:t>↔</w:t>
      </w:r>
      <w:r w:rsidRPr="00AA2FCC">
        <w:rPr>
          <w:rFonts w:ascii="Arial Narrow" w:hAnsi="Arial Narrow" w:cstheme="minorHAnsi"/>
          <w:sz w:val="18"/>
        </w:rPr>
        <w:tab/>
        <w:t>no statistically significantly differences between treatment groups</w:t>
      </w:r>
      <w:r>
        <w:rPr>
          <w:rFonts w:ascii="Arial Narrow" w:hAnsi="Arial Narrow" w:cstheme="minorHAnsi"/>
          <w:sz w:val="18"/>
        </w:rPr>
        <w:t xml:space="preserve"> </w:t>
      </w:r>
    </w:p>
    <w:p w14:paraId="5640CF2E" w14:textId="77777777" w:rsidR="003C2E14" w:rsidRPr="00AA2FCC" w:rsidRDefault="003C2E14" w:rsidP="003C2E14">
      <w:pPr>
        <w:keepNext/>
        <w:tabs>
          <w:tab w:val="left" w:pos="284"/>
        </w:tabs>
        <w:rPr>
          <w:rFonts w:ascii="Arial Narrow" w:hAnsi="Arial Narrow"/>
          <w:sz w:val="18"/>
        </w:rPr>
      </w:pPr>
      <w:r w:rsidRPr="00AA2FCC">
        <w:rPr>
          <w:rFonts w:ascii="Arial Narrow" w:hAnsi="Arial Narrow" w:cstheme="minorHAnsi"/>
          <w:sz w:val="18"/>
        </w:rPr>
        <w:t>↓</w:t>
      </w:r>
      <w:r w:rsidRPr="00AA2FCC">
        <w:rPr>
          <w:rFonts w:ascii="Arial Narrow" w:hAnsi="Arial Narrow" w:cstheme="minorHAnsi"/>
          <w:sz w:val="18"/>
        </w:rPr>
        <w:tab/>
        <w:t>statistically significantly reduced in those treated with AFG</w:t>
      </w:r>
    </w:p>
    <w:p w14:paraId="0F58F899" w14:textId="77777777" w:rsidR="003C2E14" w:rsidRDefault="003C2E14" w:rsidP="003C2E14">
      <w:pPr>
        <w:keepNext/>
        <w:tabs>
          <w:tab w:val="left" w:pos="284"/>
        </w:tabs>
        <w:rPr>
          <w:rFonts w:ascii="Arial Narrow" w:hAnsi="Arial Narrow" w:cstheme="minorHAnsi"/>
          <w:sz w:val="18"/>
        </w:rPr>
      </w:pPr>
      <w:r w:rsidRPr="00AA2FCC">
        <w:rPr>
          <w:rFonts w:ascii="Arial Narrow" w:hAnsi="Arial Narrow" w:cstheme="minorHAnsi"/>
          <w:sz w:val="18"/>
        </w:rPr>
        <w:t>↑</w:t>
      </w:r>
      <w:r w:rsidRPr="00AA2FCC">
        <w:rPr>
          <w:rFonts w:ascii="Arial Narrow" w:hAnsi="Arial Narrow" w:cstheme="minorHAnsi"/>
          <w:sz w:val="18"/>
        </w:rPr>
        <w:tab/>
        <w:t>statistically significantly increase</w:t>
      </w:r>
      <w:r>
        <w:rPr>
          <w:rFonts w:ascii="Arial Narrow" w:hAnsi="Arial Narrow" w:cstheme="minorHAnsi"/>
          <w:sz w:val="18"/>
        </w:rPr>
        <w:t>d</w:t>
      </w:r>
      <w:r w:rsidRPr="00AA2FCC">
        <w:rPr>
          <w:rFonts w:ascii="Arial Narrow" w:hAnsi="Arial Narrow" w:cstheme="minorHAnsi"/>
          <w:sz w:val="18"/>
        </w:rPr>
        <w:t xml:space="preserve"> in those treated with AFG</w:t>
      </w:r>
    </w:p>
    <w:p w14:paraId="6345B3BC" w14:textId="77777777" w:rsidR="003C2E14" w:rsidRDefault="003C2E14" w:rsidP="003C2E14">
      <w:pPr>
        <w:keepNext/>
        <w:tabs>
          <w:tab w:val="left" w:pos="284"/>
        </w:tabs>
        <w:rPr>
          <w:rFonts w:ascii="Arial Narrow" w:hAnsi="Arial Narrow"/>
          <w:sz w:val="18"/>
        </w:rPr>
      </w:pPr>
      <w:r w:rsidRPr="00AA2FCC">
        <w:rPr>
          <w:rFonts w:ascii="Arial Narrow" w:hAnsi="Arial Narrow"/>
          <w:sz w:val="18"/>
          <w:vertAlign w:val="superscript"/>
        </w:rPr>
        <w:t>a</w:t>
      </w:r>
      <w:r w:rsidRPr="00AA2FCC">
        <w:rPr>
          <w:rFonts w:ascii="Arial Narrow" w:hAnsi="Arial Narrow"/>
          <w:sz w:val="18"/>
        </w:rPr>
        <w:tab/>
      </w:r>
      <w:r>
        <w:rPr>
          <w:rFonts w:ascii="Arial Narrow" w:hAnsi="Arial Narrow"/>
          <w:sz w:val="18"/>
        </w:rPr>
        <w:t>not in a strictly “no reconstruction” population; but use of AFG during (rather than after) the reconstruction process</w:t>
      </w:r>
    </w:p>
    <w:p w14:paraId="040D2F4F" w14:textId="77777777" w:rsidR="003C2E14" w:rsidRDefault="003C2E14" w:rsidP="003C2E14">
      <w:pPr>
        <w:keepNext/>
        <w:tabs>
          <w:tab w:val="left" w:pos="284"/>
        </w:tabs>
        <w:rPr>
          <w:rFonts w:ascii="Arial Narrow" w:hAnsi="Arial Narrow"/>
          <w:sz w:val="18"/>
        </w:rPr>
      </w:pPr>
      <w:r>
        <w:rPr>
          <w:rFonts w:ascii="Arial Narrow" w:hAnsi="Arial Narrow"/>
          <w:sz w:val="18"/>
          <w:vertAlign w:val="superscript"/>
        </w:rPr>
        <w:t>b</w:t>
      </w:r>
      <w:r>
        <w:rPr>
          <w:rFonts w:ascii="Arial Narrow" w:hAnsi="Arial Narrow"/>
          <w:sz w:val="18"/>
        </w:rPr>
        <w:tab/>
      </w:r>
      <w:r w:rsidRPr="00AA2FCC">
        <w:rPr>
          <w:rFonts w:ascii="Arial Narrow" w:hAnsi="Arial Narrow"/>
          <w:sz w:val="18"/>
        </w:rPr>
        <w:t>statistically significant differences, favouring control, for some subgroups</w:t>
      </w:r>
      <w:r>
        <w:rPr>
          <w:rFonts w:ascii="Arial Narrow" w:hAnsi="Arial Narrow"/>
          <w:sz w:val="18"/>
        </w:rPr>
        <w:t xml:space="preserve"> </w:t>
      </w:r>
    </w:p>
    <w:p w14:paraId="08DC8E6B" w14:textId="77777777" w:rsidR="003C2E14" w:rsidRDefault="003C2E14" w:rsidP="003C2E14">
      <w:pPr>
        <w:keepNext/>
        <w:tabs>
          <w:tab w:val="left" w:pos="284"/>
        </w:tabs>
        <w:rPr>
          <w:rFonts w:ascii="Arial Narrow" w:hAnsi="Arial Narrow"/>
          <w:sz w:val="18"/>
        </w:rPr>
      </w:pPr>
      <w:r>
        <w:rPr>
          <w:rFonts w:ascii="Arial Narrow" w:hAnsi="Arial Narrow"/>
          <w:sz w:val="18"/>
          <w:vertAlign w:val="superscript"/>
        </w:rPr>
        <w:t>c</w:t>
      </w:r>
      <w:r>
        <w:rPr>
          <w:rFonts w:ascii="Arial Narrow" w:hAnsi="Arial Narrow"/>
          <w:sz w:val="18"/>
        </w:rPr>
        <w:tab/>
        <w:t xml:space="preserve">based on </w:t>
      </w:r>
      <w:r>
        <w:rPr>
          <w:rFonts w:ascii="Arial Narrow" w:hAnsi="Arial Narrow"/>
          <w:i/>
          <w:sz w:val="18"/>
        </w:rPr>
        <w:t xml:space="preserve">post hoc </w:t>
      </w:r>
      <w:r>
        <w:rPr>
          <w:rFonts w:ascii="Arial Narrow" w:hAnsi="Arial Narrow"/>
          <w:sz w:val="18"/>
        </w:rPr>
        <w:t>subgroup analyses across groups for DoloTest outcomes</w:t>
      </w:r>
    </w:p>
    <w:p w14:paraId="10505280" w14:textId="77777777" w:rsidR="003C2E14" w:rsidRPr="00E0297D" w:rsidRDefault="003C2E14" w:rsidP="003C2E14">
      <w:pPr>
        <w:keepNext/>
        <w:tabs>
          <w:tab w:val="left" w:pos="284"/>
        </w:tabs>
        <w:rPr>
          <w:rFonts w:ascii="Arial Narrow" w:hAnsi="Arial Narrow"/>
          <w:sz w:val="18"/>
        </w:rPr>
      </w:pPr>
      <w:r>
        <w:rPr>
          <w:rFonts w:ascii="Arial Narrow" w:hAnsi="Arial Narrow"/>
          <w:sz w:val="18"/>
          <w:vertAlign w:val="superscript"/>
        </w:rPr>
        <w:t>d</w:t>
      </w:r>
      <w:r>
        <w:rPr>
          <w:rFonts w:ascii="Arial Narrow" w:hAnsi="Arial Narrow"/>
          <w:sz w:val="18"/>
          <w:vertAlign w:val="superscript"/>
        </w:rPr>
        <w:tab/>
      </w:r>
      <w:r>
        <w:rPr>
          <w:rFonts w:ascii="Arial Narrow" w:hAnsi="Arial Narrow"/>
          <w:sz w:val="18"/>
        </w:rPr>
        <w:t>reduced VAS scores and analgesic use among those treated with AFG</w:t>
      </w:r>
    </w:p>
    <w:p w14:paraId="7479B1BE" w14:textId="77777777" w:rsidR="003C2E14" w:rsidRDefault="003C2E14" w:rsidP="003C2E14">
      <w:pPr>
        <w:keepNext/>
        <w:tabs>
          <w:tab w:val="left" w:pos="284"/>
        </w:tabs>
        <w:rPr>
          <w:rFonts w:ascii="Arial Narrow" w:hAnsi="Arial Narrow"/>
          <w:sz w:val="18"/>
        </w:rPr>
      </w:pPr>
      <w:r>
        <w:rPr>
          <w:rFonts w:ascii="Arial Narrow" w:hAnsi="Arial Narrow"/>
          <w:sz w:val="18"/>
          <w:vertAlign w:val="superscript"/>
        </w:rPr>
        <w:t>e</w:t>
      </w:r>
      <w:r>
        <w:rPr>
          <w:rFonts w:ascii="Arial Narrow" w:hAnsi="Arial Narrow"/>
          <w:sz w:val="18"/>
          <w:vertAlign w:val="superscript"/>
        </w:rPr>
        <w:tab/>
      </w:r>
      <w:r>
        <w:rPr>
          <w:rFonts w:ascii="Arial Narrow" w:hAnsi="Arial Narrow"/>
          <w:sz w:val="18"/>
        </w:rPr>
        <w:t>includes only 4 (AFG + implant) and 3 (implant alone) patients, respectively, from Lakhiani 2014</w:t>
      </w:r>
    </w:p>
    <w:p w14:paraId="7BA4BD88" w14:textId="77777777" w:rsidR="003C2E14" w:rsidRDefault="003C2E14" w:rsidP="003C2E14">
      <w:pPr>
        <w:keepNext/>
        <w:tabs>
          <w:tab w:val="left" w:pos="284"/>
        </w:tabs>
        <w:rPr>
          <w:rFonts w:ascii="Arial Narrow" w:hAnsi="Arial Narrow" w:cs="Arial"/>
          <w:sz w:val="18"/>
          <w:szCs w:val="18"/>
        </w:rPr>
      </w:pPr>
      <w:r w:rsidRPr="00435FA7">
        <w:rPr>
          <w:rFonts w:ascii="Cambria Math" w:hAnsi="Cambria Math"/>
          <w:color w:val="00B050"/>
          <w:sz w:val="18"/>
        </w:rPr>
        <w:t>⨁⨁⨁⨁</w:t>
      </w:r>
      <w:r>
        <w:rPr>
          <w:rFonts w:ascii="Cambria Math" w:hAnsi="Cambria Math"/>
          <w:color w:val="00B050"/>
        </w:rPr>
        <w:t xml:space="preserve"> </w:t>
      </w:r>
      <w:r w:rsidRPr="00E10B76">
        <w:rPr>
          <w:rFonts w:ascii="Arial Narrow" w:hAnsi="Arial Narrow" w:cs="Arial"/>
          <w:b/>
          <w:bCs/>
          <w:sz w:val="18"/>
          <w:szCs w:val="18"/>
        </w:rPr>
        <w:t>High quality:</w:t>
      </w:r>
      <w:r w:rsidRPr="00E10B76">
        <w:rPr>
          <w:rFonts w:ascii="Arial Narrow" w:hAnsi="Arial Narrow" w:cs="Arial"/>
          <w:sz w:val="18"/>
          <w:szCs w:val="18"/>
        </w:rPr>
        <w:t xml:space="preserve"> </w:t>
      </w:r>
      <w:r>
        <w:rPr>
          <w:rFonts w:ascii="Arial Narrow" w:hAnsi="Arial Narrow" w:cs="Arial"/>
          <w:sz w:val="18"/>
          <w:szCs w:val="18"/>
        </w:rPr>
        <w:t>We are very confident that the true effect lies close to that of the estimate of effect.</w:t>
      </w:r>
      <w:r w:rsidRPr="00E10B76">
        <w:rPr>
          <w:rFonts w:ascii="Arial Narrow" w:hAnsi="Arial Narrow" w:cs="Arial"/>
          <w:sz w:val="18"/>
          <w:szCs w:val="18"/>
        </w:rPr>
        <w:t xml:space="preserve"> </w:t>
      </w:r>
      <w:r w:rsidRPr="00435FA7">
        <w:rPr>
          <w:rFonts w:ascii="Cambria Math" w:hAnsi="Cambria Math"/>
          <w:color w:val="00B050"/>
          <w:sz w:val="18"/>
          <w:szCs w:val="18"/>
        </w:rPr>
        <w:t>⨁⨁⨁</w:t>
      </w:r>
      <w:r w:rsidRPr="00435FA7">
        <w:rPr>
          <w:rFonts w:ascii="Cambria Math" w:hAnsi="Cambria Math" w:cs="Cambria Math"/>
          <w:color w:val="C00000"/>
          <w:sz w:val="18"/>
          <w:szCs w:val="18"/>
        </w:rPr>
        <w:t>⨀</w:t>
      </w:r>
      <w:r>
        <w:rPr>
          <w:rFonts w:ascii="Cambria Math" w:hAnsi="Cambria Math" w:cs="Cambria Math"/>
          <w:color w:val="C00000"/>
        </w:rPr>
        <w:t xml:space="preserve"> </w:t>
      </w:r>
      <w:r w:rsidRPr="00E10B76">
        <w:rPr>
          <w:rFonts w:ascii="Arial Narrow" w:hAnsi="Arial Narrow" w:cs="Arial"/>
          <w:b/>
          <w:bCs/>
          <w:sz w:val="18"/>
          <w:szCs w:val="18"/>
        </w:rPr>
        <w:t>Moderate quality:</w:t>
      </w:r>
      <w:r w:rsidRPr="00E10B76">
        <w:rPr>
          <w:rFonts w:ascii="Arial Narrow" w:hAnsi="Arial Narrow" w:cs="Arial"/>
          <w:sz w:val="18"/>
          <w:szCs w:val="18"/>
        </w:rPr>
        <w:t xml:space="preserve"> </w:t>
      </w:r>
      <w:r>
        <w:rPr>
          <w:rFonts w:ascii="Arial Narrow" w:hAnsi="Arial Narrow" w:cs="Arial"/>
          <w:sz w:val="18"/>
          <w:szCs w:val="18"/>
        </w:rPr>
        <w:t xml:space="preserve">We are moderately confident in the effect estimate: The true effect is likely to be close to the estimate of the effect, but there is a possibility that it is substantially different. </w:t>
      </w:r>
      <w:r w:rsidRPr="00435FA7">
        <w:rPr>
          <w:rFonts w:ascii="Cambria Math" w:hAnsi="Cambria Math"/>
          <w:color w:val="00B050"/>
          <w:sz w:val="18"/>
          <w:szCs w:val="18"/>
        </w:rPr>
        <w:t>⨁⨁</w:t>
      </w:r>
      <w:r w:rsidRPr="00435FA7">
        <w:rPr>
          <w:rFonts w:ascii="Cambria Math" w:hAnsi="Cambria Math" w:cs="Cambria Math"/>
          <w:color w:val="C00000"/>
          <w:sz w:val="18"/>
          <w:szCs w:val="18"/>
        </w:rPr>
        <w:t>⨀⨀</w:t>
      </w:r>
      <w:r>
        <w:rPr>
          <w:rFonts w:ascii="Cambria Math" w:hAnsi="Cambria Math" w:cs="Cambria Math"/>
          <w:color w:val="C00000"/>
        </w:rPr>
        <w:t xml:space="preserve"> </w:t>
      </w:r>
      <w:r w:rsidRPr="00E10B76">
        <w:rPr>
          <w:rFonts w:ascii="Arial Narrow" w:hAnsi="Arial Narrow" w:cs="Arial"/>
          <w:b/>
          <w:bCs/>
          <w:sz w:val="18"/>
          <w:szCs w:val="18"/>
        </w:rPr>
        <w:t>Low quality:</w:t>
      </w:r>
      <w:r w:rsidRPr="00E10B76">
        <w:rPr>
          <w:rFonts w:ascii="Arial Narrow" w:hAnsi="Arial Narrow" w:cs="Arial"/>
          <w:sz w:val="18"/>
          <w:szCs w:val="18"/>
        </w:rPr>
        <w:t xml:space="preserve"> </w:t>
      </w:r>
      <w:r>
        <w:rPr>
          <w:rFonts w:ascii="Arial Narrow" w:hAnsi="Arial Narrow" w:cs="Arial"/>
          <w:sz w:val="18"/>
          <w:szCs w:val="18"/>
        </w:rPr>
        <w:t xml:space="preserve">Our confidence in the effect estimate is limited: The true effect may be substantially different from the estimate of the effect. </w:t>
      </w:r>
      <w:r w:rsidRPr="00435FA7">
        <w:rPr>
          <w:rFonts w:ascii="Cambria Math" w:hAnsi="Cambria Math"/>
          <w:color w:val="00B050"/>
          <w:sz w:val="18"/>
          <w:szCs w:val="18"/>
        </w:rPr>
        <w:t>⨁</w:t>
      </w:r>
      <w:r w:rsidRPr="00435FA7">
        <w:rPr>
          <w:rFonts w:ascii="Cambria Math" w:hAnsi="Cambria Math" w:cs="Cambria Math"/>
          <w:color w:val="C00000"/>
          <w:sz w:val="18"/>
          <w:szCs w:val="18"/>
        </w:rPr>
        <w:t>⨀⨀⨀</w:t>
      </w:r>
      <w:r>
        <w:rPr>
          <w:rFonts w:ascii="Cambria Math" w:hAnsi="Cambria Math" w:cs="Cambria Math"/>
          <w:color w:val="C00000"/>
        </w:rPr>
        <w:t xml:space="preserve"> </w:t>
      </w:r>
      <w:r w:rsidRPr="00E10B76">
        <w:rPr>
          <w:rFonts w:ascii="Arial Narrow" w:hAnsi="Arial Narrow" w:cs="Arial"/>
          <w:b/>
          <w:bCs/>
          <w:sz w:val="18"/>
          <w:szCs w:val="18"/>
        </w:rPr>
        <w:t>Very low quality:</w:t>
      </w:r>
      <w:r w:rsidRPr="00E10B76">
        <w:rPr>
          <w:rFonts w:ascii="Arial Narrow" w:hAnsi="Arial Narrow" w:cs="Arial"/>
          <w:sz w:val="18"/>
          <w:szCs w:val="18"/>
        </w:rPr>
        <w:t xml:space="preserve"> </w:t>
      </w:r>
      <w:r>
        <w:rPr>
          <w:rFonts w:ascii="Arial Narrow" w:hAnsi="Arial Narrow" w:cs="Arial"/>
          <w:sz w:val="18"/>
          <w:szCs w:val="18"/>
        </w:rPr>
        <w:t>We have very little confidence in the effect estimate: The true effect is likely to be substantially different from the estimate of effect.</w:t>
      </w:r>
    </w:p>
    <w:p w14:paraId="1FEDE70B" w14:textId="105EBDCF" w:rsidR="003C2E14" w:rsidRPr="00CD3AD3" w:rsidRDefault="003C2E14" w:rsidP="00CD3AD3">
      <w:pPr>
        <w:rPr>
          <w:rFonts w:ascii="Arial Narrow" w:hAnsi="Arial Narrow" w:cs="Arial"/>
          <w:sz w:val="18"/>
          <w:szCs w:val="18"/>
        </w:rPr>
      </w:pPr>
      <w:r w:rsidRPr="00CD3AD3">
        <w:rPr>
          <w:rFonts w:ascii="Arial Narrow" w:hAnsi="Arial Narrow" w:cs="Arial"/>
          <w:sz w:val="18"/>
          <w:szCs w:val="18"/>
        </w:rPr>
        <w:t>So</w:t>
      </w:r>
      <w:r w:rsidR="00CD3AD3" w:rsidRPr="00CD3AD3">
        <w:rPr>
          <w:rFonts w:ascii="Arial Narrow" w:hAnsi="Arial Narrow" w:cs="Arial"/>
          <w:sz w:val="18"/>
          <w:szCs w:val="18"/>
        </w:rPr>
        <w:t>urce: Table 3, p37 of the DCAR.</w:t>
      </w:r>
    </w:p>
    <w:p w14:paraId="04C55D0D" w14:textId="1AC3387D" w:rsidR="003C2E14" w:rsidRPr="002F2AEA" w:rsidRDefault="007F011C" w:rsidP="002F2AEA">
      <w:pPr>
        <w:keepNext/>
        <w:keepLines/>
        <w:rPr>
          <w:rFonts w:ascii="Arial Narrow" w:hAnsi="Arial Narrow"/>
          <w:b/>
          <w:sz w:val="20"/>
        </w:rPr>
      </w:pPr>
      <w:bookmarkStart w:id="26" w:name="_Ref30069603"/>
      <w:bookmarkStart w:id="27" w:name="_Toc37815104"/>
      <w:r w:rsidRPr="002F2AEA">
        <w:rPr>
          <w:rFonts w:ascii="Arial Narrow" w:hAnsi="Arial Narrow"/>
          <w:b/>
          <w:sz w:val="20"/>
        </w:rPr>
        <w:lastRenderedPageBreak/>
        <w:t xml:space="preserve">Table </w:t>
      </w:r>
      <w:r w:rsidR="002E3DBE" w:rsidRPr="002F2AEA">
        <w:rPr>
          <w:rFonts w:ascii="Arial Narrow" w:hAnsi="Arial Narrow"/>
          <w:b/>
          <w:sz w:val="20"/>
        </w:rPr>
        <w:fldChar w:fldCharType="begin"/>
      </w:r>
      <w:r w:rsidR="002E3DBE" w:rsidRPr="002F2AEA">
        <w:rPr>
          <w:rFonts w:ascii="Arial Narrow" w:hAnsi="Arial Narrow"/>
          <w:b/>
          <w:sz w:val="20"/>
        </w:rPr>
        <w:instrText xml:space="preserve"> SEQ Table \* ARABIC </w:instrText>
      </w:r>
      <w:r w:rsidR="002E3DBE" w:rsidRPr="002F2AEA">
        <w:rPr>
          <w:rFonts w:ascii="Arial Narrow" w:hAnsi="Arial Narrow"/>
          <w:b/>
          <w:sz w:val="20"/>
        </w:rPr>
        <w:fldChar w:fldCharType="separate"/>
      </w:r>
      <w:r w:rsidR="00EF74CD" w:rsidRPr="002F2AEA">
        <w:rPr>
          <w:rFonts w:ascii="Arial Narrow" w:hAnsi="Arial Narrow"/>
          <w:b/>
          <w:sz w:val="20"/>
        </w:rPr>
        <w:t>6</w:t>
      </w:r>
      <w:r w:rsidR="002E3DBE" w:rsidRPr="002F2AEA">
        <w:rPr>
          <w:rFonts w:ascii="Arial Narrow" w:hAnsi="Arial Narrow"/>
          <w:b/>
          <w:sz w:val="20"/>
        </w:rPr>
        <w:fldChar w:fldCharType="end"/>
      </w:r>
      <w:bookmarkEnd w:id="26"/>
      <w:r w:rsidR="003C2E14" w:rsidRPr="002F2AEA">
        <w:rPr>
          <w:rFonts w:ascii="Arial Narrow" w:hAnsi="Arial Narrow"/>
          <w:b/>
          <w:sz w:val="20"/>
        </w:rPr>
        <w:tab/>
        <w:t>Summary of the evidence and clinical claims for AFG vs. reconstruction alone (number of studies; number of patients)</w:t>
      </w:r>
      <w:bookmarkEnd w:id="27"/>
    </w:p>
    <w:tbl>
      <w:tblPr>
        <w:tblStyle w:val="TableGrid"/>
        <w:tblW w:w="9067" w:type="dxa"/>
        <w:tblCellMar>
          <w:left w:w="28" w:type="dxa"/>
          <w:right w:w="28" w:type="dxa"/>
        </w:tblCellMar>
        <w:tblLook w:val="04A0" w:firstRow="1" w:lastRow="0" w:firstColumn="1" w:lastColumn="0" w:noHBand="0" w:noVBand="1"/>
        <w:tblCaption w:val="Summary of the evidence and clinical claims for AFG versus reconstruction alone (number of studies; number of patients)"/>
        <w:tblDescription w:val="Summary of the evidence and clinical claims for AFG versus reconstruction alone (number of studies; number of patients)"/>
      </w:tblPr>
      <w:tblGrid>
        <w:gridCol w:w="2547"/>
        <w:gridCol w:w="1630"/>
        <w:gridCol w:w="1630"/>
        <w:gridCol w:w="1630"/>
        <w:gridCol w:w="1630"/>
      </w:tblGrid>
      <w:tr w:rsidR="003C2E14" w:rsidRPr="0020351E" w14:paraId="1C2C3ABA" w14:textId="77777777" w:rsidTr="002D52C6">
        <w:trPr>
          <w:tblHeader/>
        </w:trPr>
        <w:tc>
          <w:tcPr>
            <w:tcW w:w="2547" w:type="dxa"/>
            <w:tcBorders>
              <w:bottom w:val="nil"/>
            </w:tcBorders>
          </w:tcPr>
          <w:p w14:paraId="228F7D36" w14:textId="77777777" w:rsidR="003C2E14" w:rsidRPr="0020351E" w:rsidRDefault="003C2E14" w:rsidP="002F2AEA">
            <w:pPr>
              <w:keepNext/>
              <w:keepLines/>
              <w:spacing w:before="20" w:after="20"/>
              <w:rPr>
                <w:rFonts w:ascii="Arial Narrow" w:hAnsi="Arial Narrow"/>
                <w:sz w:val="20"/>
              </w:rPr>
            </w:pPr>
          </w:p>
        </w:tc>
        <w:tc>
          <w:tcPr>
            <w:tcW w:w="1630" w:type="dxa"/>
            <w:tcBorders>
              <w:right w:val="nil"/>
            </w:tcBorders>
            <w:vAlign w:val="center"/>
          </w:tcPr>
          <w:p w14:paraId="75C35103" w14:textId="77777777" w:rsidR="003C2E14" w:rsidRPr="0020351E" w:rsidRDefault="003C2E14" w:rsidP="002F2AEA">
            <w:pPr>
              <w:keepNext/>
              <w:keepLines/>
              <w:spacing w:before="20" w:after="20"/>
              <w:jc w:val="center"/>
              <w:rPr>
                <w:rFonts w:ascii="Arial Narrow" w:hAnsi="Arial Narrow"/>
                <w:b/>
                <w:sz w:val="20"/>
              </w:rPr>
            </w:pPr>
          </w:p>
        </w:tc>
        <w:tc>
          <w:tcPr>
            <w:tcW w:w="1630" w:type="dxa"/>
            <w:tcBorders>
              <w:left w:val="nil"/>
              <w:right w:val="nil"/>
            </w:tcBorders>
            <w:vAlign w:val="center"/>
          </w:tcPr>
          <w:p w14:paraId="6107DC78" w14:textId="77777777" w:rsidR="003C2E14" w:rsidRPr="0020351E" w:rsidRDefault="003C2E14" w:rsidP="002F2AEA">
            <w:pPr>
              <w:keepNext/>
              <w:keepLines/>
              <w:spacing w:before="20" w:after="20"/>
              <w:jc w:val="right"/>
              <w:rPr>
                <w:rFonts w:ascii="Arial Narrow" w:hAnsi="Arial Narrow"/>
                <w:b/>
                <w:sz w:val="20"/>
              </w:rPr>
            </w:pPr>
            <w:r w:rsidRPr="0020351E">
              <w:rPr>
                <w:rFonts w:ascii="Arial Narrow" w:hAnsi="Arial Narrow"/>
                <w:b/>
                <w:sz w:val="20"/>
              </w:rPr>
              <w:t>Population</w:t>
            </w:r>
          </w:p>
        </w:tc>
        <w:tc>
          <w:tcPr>
            <w:tcW w:w="1630" w:type="dxa"/>
            <w:tcBorders>
              <w:left w:val="nil"/>
              <w:right w:val="nil"/>
            </w:tcBorders>
            <w:vAlign w:val="center"/>
          </w:tcPr>
          <w:p w14:paraId="05A1D584" w14:textId="77777777" w:rsidR="003C2E14" w:rsidRPr="0020351E" w:rsidRDefault="003C2E14" w:rsidP="002F2AEA">
            <w:pPr>
              <w:keepNext/>
              <w:keepLines/>
              <w:spacing w:before="20" w:after="20"/>
              <w:jc w:val="center"/>
              <w:rPr>
                <w:rFonts w:ascii="Arial Narrow" w:hAnsi="Arial Narrow"/>
                <w:b/>
                <w:sz w:val="20"/>
              </w:rPr>
            </w:pPr>
          </w:p>
        </w:tc>
        <w:tc>
          <w:tcPr>
            <w:tcW w:w="1630" w:type="dxa"/>
            <w:tcBorders>
              <w:left w:val="nil"/>
            </w:tcBorders>
            <w:vAlign w:val="center"/>
          </w:tcPr>
          <w:p w14:paraId="2C88EE57" w14:textId="77777777" w:rsidR="003C2E14" w:rsidRPr="0020351E" w:rsidRDefault="003C2E14" w:rsidP="002F2AEA">
            <w:pPr>
              <w:keepNext/>
              <w:keepLines/>
              <w:spacing w:before="20" w:after="20"/>
              <w:jc w:val="center"/>
              <w:rPr>
                <w:rFonts w:ascii="Arial Narrow" w:hAnsi="Arial Narrow"/>
                <w:b/>
                <w:sz w:val="20"/>
              </w:rPr>
            </w:pPr>
          </w:p>
        </w:tc>
      </w:tr>
      <w:tr w:rsidR="003C2E14" w:rsidRPr="0020351E" w14:paraId="25D2A50E" w14:textId="77777777" w:rsidTr="002D52C6">
        <w:trPr>
          <w:tblHeader/>
        </w:trPr>
        <w:tc>
          <w:tcPr>
            <w:tcW w:w="2547" w:type="dxa"/>
            <w:tcBorders>
              <w:top w:val="nil"/>
            </w:tcBorders>
          </w:tcPr>
          <w:p w14:paraId="67D5B11B" w14:textId="77777777" w:rsidR="003C2E14" w:rsidRPr="00886F7C" w:rsidRDefault="003C2E14" w:rsidP="00CD3AD3">
            <w:pPr>
              <w:keepNext/>
              <w:keepLines/>
              <w:spacing w:before="20" w:after="20"/>
              <w:rPr>
                <w:rFonts w:ascii="Arial Narrow" w:hAnsi="Arial Narrow"/>
                <w:b/>
                <w:sz w:val="20"/>
              </w:rPr>
            </w:pPr>
            <w:r>
              <w:rPr>
                <w:rFonts w:ascii="Arial Narrow" w:hAnsi="Arial Narrow"/>
                <w:b/>
                <w:sz w:val="20"/>
              </w:rPr>
              <w:t>Outcome</w:t>
            </w:r>
          </w:p>
        </w:tc>
        <w:tc>
          <w:tcPr>
            <w:tcW w:w="1630" w:type="dxa"/>
            <w:vAlign w:val="center"/>
          </w:tcPr>
          <w:p w14:paraId="0BF85A37" w14:textId="77777777" w:rsidR="003C2E14" w:rsidRPr="0020351E" w:rsidRDefault="003C2E14" w:rsidP="00CD3AD3">
            <w:pPr>
              <w:keepNext/>
              <w:keepLines/>
              <w:spacing w:before="20" w:after="20"/>
              <w:jc w:val="center"/>
              <w:rPr>
                <w:rFonts w:ascii="Arial Narrow" w:hAnsi="Arial Narrow"/>
                <w:b/>
                <w:sz w:val="20"/>
              </w:rPr>
            </w:pPr>
            <w:r w:rsidRPr="0020351E">
              <w:rPr>
                <w:rFonts w:ascii="Arial Narrow" w:hAnsi="Arial Narrow"/>
                <w:b/>
                <w:sz w:val="20"/>
              </w:rPr>
              <w:t>A1</w:t>
            </w:r>
          </w:p>
        </w:tc>
        <w:tc>
          <w:tcPr>
            <w:tcW w:w="1630" w:type="dxa"/>
            <w:vAlign w:val="center"/>
          </w:tcPr>
          <w:p w14:paraId="51A997B1" w14:textId="77777777" w:rsidR="003C2E14" w:rsidRPr="0020351E" w:rsidRDefault="003C2E14" w:rsidP="00CD3AD3">
            <w:pPr>
              <w:keepNext/>
              <w:keepLines/>
              <w:spacing w:before="20" w:after="20"/>
              <w:jc w:val="center"/>
              <w:rPr>
                <w:rFonts w:ascii="Arial Narrow" w:hAnsi="Arial Narrow"/>
                <w:b/>
                <w:sz w:val="20"/>
              </w:rPr>
            </w:pPr>
            <w:r w:rsidRPr="0020351E">
              <w:rPr>
                <w:rFonts w:ascii="Arial Narrow" w:hAnsi="Arial Narrow"/>
                <w:b/>
                <w:sz w:val="20"/>
              </w:rPr>
              <w:t>A2</w:t>
            </w:r>
          </w:p>
        </w:tc>
        <w:tc>
          <w:tcPr>
            <w:tcW w:w="1630" w:type="dxa"/>
            <w:vAlign w:val="center"/>
          </w:tcPr>
          <w:p w14:paraId="722D457A" w14:textId="77777777" w:rsidR="003C2E14" w:rsidRPr="0020351E" w:rsidRDefault="003C2E14" w:rsidP="00CD3AD3">
            <w:pPr>
              <w:keepNext/>
              <w:keepLines/>
              <w:spacing w:before="20" w:after="20"/>
              <w:jc w:val="center"/>
              <w:rPr>
                <w:rFonts w:ascii="Arial Narrow" w:hAnsi="Arial Narrow"/>
                <w:b/>
                <w:sz w:val="20"/>
              </w:rPr>
            </w:pPr>
            <w:r w:rsidRPr="0020351E">
              <w:rPr>
                <w:rFonts w:ascii="Arial Narrow" w:hAnsi="Arial Narrow"/>
                <w:b/>
                <w:sz w:val="20"/>
              </w:rPr>
              <w:t>A3</w:t>
            </w:r>
          </w:p>
        </w:tc>
        <w:tc>
          <w:tcPr>
            <w:tcW w:w="1630" w:type="dxa"/>
            <w:vAlign w:val="center"/>
          </w:tcPr>
          <w:p w14:paraId="4DCF53E7" w14:textId="77777777" w:rsidR="003C2E14" w:rsidRPr="0020351E" w:rsidRDefault="003C2E14" w:rsidP="00CD3AD3">
            <w:pPr>
              <w:keepNext/>
              <w:keepLines/>
              <w:spacing w:before="20" w:after="20"/>
              <w:jc w:val="center"/>
              <w:rPr>
                <w:rFonts w:ascii="Arial Narrow" w:hAnsi="Arial Narrow"/>
                <w:b/>
                <w:sz w:val="20"/>
              </w:rPr>
            </w:pPr>
            <w:r w:rsidRPr="0020351E">
              <w:rPr>
                <w:rFonts w:ascii="Arial Narrow" w:hAnsi="Arial Narrow"/>
                <w:b/>
                <w:sz w:val="20"/>
              </w:rPr>
              <w:t>B</w:t>
            </w:r>
          </w:p>
        </w:tc>
      </w:tr>
      <w:tr w:rsidR="003C2E14" w:rsidRPr="0020351E" w14:paraId="73FB362A" w14:textId="77777777" w:rsidTr="002D52C6">
        <w:trPr>
          <w:trHeight w:val="177"/>
        </w:trPr>
        <w:tc>
          <w:tcPr>
            <w:tcW w:w="2547" w:type="dxa"/>
          </w:tcPr>
          <w:p w14:paraId="1D12BF4A" w14:textId="77777777" w:rsidR="003C2E14" w:rsidRPr="0020351E" w:rsidRDefault="003C2E14" w:rsidP="002D52C6">
            <w:pPr>
              <w:keepNext/>
              <w:spacing w:before="20" w:after="20"/>
              <w:rPr>
                <w:rFonts w:ascii="Arial Narrow" w:hAnsi="Arial Narrow"/>
                <w:sz w:val="20"/>
              </w:rPr>
            </w:pPr>
            <w:r>
              <w:rPr>
                <w:rFonts w:ascii="Arial Narrow" w:hAnsi="Arial Narrow"/>
                <w:sz w:val="20"/>
              </w:rPr>
              <w:t>Locoregional recurrence</w:t>
            </w:r>
          </w:p>
        </w:tc>
        <w:tc>
          <w:tcPr>
            <w:tcW w:w="1630" w:type="dxa"/>
            <w:vAlign w:val="center"/>
          </w:tcPr>
          <w:p w14:paraId="73412C02" w14:textId="77777777" w:rsidR="003C2E14" w:rsidRPr="0020351E" w:rsidRDefault="003C2E14" w:rsidP="002D52C6">
            <w:pPr>
              <w:keepNext/>
              <w:spacing w:before="20" w:after="20"/>
              <w:jc w:val="center"/>
              <w:rPr>
                <w:rFonts w:ascii="Arial Narrow" w:hAnsi="Arial Narrow"/>
                <w:sz w:val="20"/>
              </w:rPr>
            </w:pPr>
            <w:r>
              <w:rPr>
                <w:rFonts w:ascii="Arial Narrow" w:hAnsi="Arial Narrow"/>
                <w:sz w:val="20"/>
              </w:rPr>
              <w:t>NR</w:t>
            </w:r>
          </w:p>
        </w:tc>
        <w:tc>
          <w:tcPr>
            <w:tcW w:w="1630" w:type="dxa"/>
            <w:vAlign w:val="center"/>
          </w:tcPr>
          <w:p w14:paraId="2642366C" w14:textId="77777777" w:rsidR="003C2E14" w:rsidRPr="009E19F7" w:rsidRDefault="003C2E14" w:rsidP="002D52C6">
            <w:pPr>
              <w:keepNext/>
              <w:spacing w:before="20" w:after="20"/>
              <w:jc w:val="center"/>
              <w:rPr>
                <w:rFonts w:ascii="Arial Narrow" w:hAnsi="Arial Narrow"/>
                <w:sz w:val="20"/>
              </w:rPr>
            </w:pPr>
            <w:r w:rsidRPr="009E19F7">
              <w:rPr>
                <w:rFonts w:ascii="Arial Narrow" w:hAnsi="Arial Narrow"/>
                <w:sz w:val="20"/>
              </w:rPr>
              <w:t>NR</w:t>
            </w:r>
          </w:p>
        </w:tc>
        <w:tc>
          <w:tcPr>
            <w:tcW w:w="1630" w:type="dxa"/>
            <w:vAlign w:val="center"/>
          </w:tcPr>
          <w:p w14:paraId="552EA413" w14:textId="77777777" w:rsidR="003C2E14" w:rsidRPr="0020351E" w:rsidRDefault="003C2E14" w:rsidP="002D52C6">
            <w:pPr>
              <w:keepNext/>
              <w:spacing w:before="20" w:after="20"/>
              <w:jc w:val="center"/>
              <w:rPr>
                <w:rFonts w:ascii="Arial Narrow" w:hAnsi="Arial Narrow"/>
                <w:sz w:val="20"/>
              </w:rPr>
            </w:pPr>
            <w:r>
              <w:rPr>
                <w:rFonts w:ascii="Arial Narrow" w:hAnsi="Arial Narrow"/>
                <w:sz w:val="20"/>
              </w:rPr>
              <w:t>NR</w:t>
            </w:r>
          </w:p>
        </w:tc>
        <w:tc>
          <w:tcPr>
            <w:tcW w:w="1630" w:type="dxa"/>
            <w:vAlign w:val="center"/>
          </w:tcPr>
          <w:p w14:paraId="79595ABE" w14:textId="77777777" w:rsidR="003C2E14" w:rsidRPr="0020351E" w:rsidRDefault="003C2E14" w:rsidP="002D52C6">
            <w:pPr>
              <w:keepNext/>
              <w:spacing w:before="20" w:after="20"/>
              <w:jc w:val="center"/>
              <w:rPr>
                <w:rFonts w:ascii="Arial Narrow" w:hAnsi="Arial Narrow"/>
                <w:sz w:val="20"/>
              </w:rPr>
            </w:pPr>
            <w:r>
              <w:rPr>
                <w:rFonts w:ascii="Arial Narrow" w:hAnsi="Arial Narrow"/>
                <w:sz w:val="20"/>
              </w:rPr>
              <w:t>NA</w:t>
            </w:r>
          </w:p>
        </w:tc>
      </w:tr>
      <w:tr w:rsidR="003C2E14" w:rsidRPr="0020351E" w14:paraId="407AF19B" w14:textId="77777777" w:rsidTr="002D52C6">
        <w:tc>
          <w:tcPr>
            <w:tcW w:w="2547" w:type="dxa"/>
          </w:tcPr>
          <w:p w14:paraId="0759CEF0" w14:textId="77777777" w:rsidR="003C2E14" w:rsidRPr="0020351E" w:rsidRDefault="003C2E14" w:rsidP="002D52C6">
            <w:pPr>
              <w:keepNext/>
              <w:spacing w:before="20" w:after="20"/>
              <w:rPr>
                <w:rFonts w:ascii="Arial Narrow" w:hAnsi="Arial Narrow"/>
                <w:sz w:val="20"/>
              </w:rPr>
            </w:pPr>
            <w:r w:rsidRPr="0020351E">
              <w:rPr>
                <w:rFonts w:ascii="Arial Narrow" w:hAnsi="Arial Narrow"/>
                <w:sz w:val="20"/>
              </w:rPr>
              <w:t>D</w:t>
            </w:r>
            <w:r>
              <w:rPr>
                <w:rFonts w:ascii="Arial Narrow" w:hAnsi="Arial Narrow"/>
                <w:sz w:val="20"/>
              </w:rPr>
              <w:t>istant or systemic recurrence</w:t>
            </w:r>
          </w:p>
        </w:tc>
        <w:tc>
          <w:tcPr>
            <w:tcW w:w="1630" w:type="dxa"/>
            <w:vAlign w:val="center"/>
          </w:tcPr>
          <w:p w14:paraId="1B649366" w14:textId="77777777" w:rsidR="003C2E14" w:rsidRPr="0020351E" w:rsidRDefault="003C2E14" w:rsidP="002D52C6">
            <w:pPr>
              <w:keepNext/>
              <w:spacing w:before="20" w:after="20"/>
              <w:jc w:val="center"/>
              <w:rPr>
                <w:rFonts w:ascii="Arial Narrow" w:hAnsi="Arial Narrow"/>
                <w:sz w:val="20"/>
              </w:rPr>
            </w:pPr>
            <w:r>
              <w:rPr>
                <w:rFonts w:ascii="Arial Narrow" w:hAnsi="Arial Narrow"/>
                <w:sz w:val="20"/>
              </w:rPr>
              <w:t>NR</w:t>
            </w:r>
          </w:p>
        </w:tc>
        <w:tc>
          <w:tcPr>
            <w:tcW w:w="1630" w:type="dxa"/>
            <w:vAlign w:val="center"/>
          </w:tcPr>
          <w:p w14:paraId="7C776B18" w14:textId="77777777" w:rsidR="003C2E14" w:rsidRDefault="003C2E14" w:rsidP="002D52C6">
            <w:pPr>
              <w:keepNext/>
              <w:spacing w:before="20" w:after="20"/>
              <w:jc w:val="center"/>
            </w:pPr>
            <w:r w:rsidRPr="00C90BD9">
              <w:rPr>
                <w:rFonts w:ascii="Arial Narrow" w:hAnsi="Arial Narrow"/>
                <w:sz w:val="20"/>
              </w:rPr>
              <w:t>NR</w:t>
            </w:r>
          </w:p>
        </w:tc>
        <w:tc>
          <w:tcPr>
            <w:tcW w:w="1630" w:type="dxa"/>
            <w:vAlign w:val="center"/>
          </w:tcPr>
          <w:p w14:paraId="0C547D05" w14:textId="77777777" w:rsidR="003C2E14" w:rsidRPr="0020351E" w:rsidRDefault="003C2E14" w:rsidP="002D52C6">
            <w:pPr>
              <w:keepNext/>
              <w:spacing w:before="20" w:after="20"/>
              <w:jc w:val="center"/>
              <w:rPr>
                <w:rFonts w:ascii="Arial Narrow" w:hAnsi="Arial Narrow"/>
                <w:sz w:val="20"/>
              </w:rPr>
            </w:pPr>
            <w:r>
              <w:rPr>
                <w:rFonts w:ascii="Arial Narrow" w:hAnsi="Arial Narrow"/>
                <w:sz w:val="20"/>
              </w:rPr>
              <w:t>NR</w:t>
            </w:r>
          </w:p>
        </w:tc>
        <w:tc>
          <w:tcPr>
            <w:tcW w:w="1630" w:type="dxa"/>
            <w:vAlign w:val="center"/>
          </w:tcPr>
          <w:p w14:paraId="204CE1B0" w14:textId="77777777" w:rsidR="003C2E14" w:rsidRPr="0020351E" w:rsidRDefault="003C2E14" w:rsidP="002D52C6">
            <w:pPr>
              <w:keepNext/>
              <w:spacing w:before="20" w:after="20"/>
              <w:jc w:val="center"/>
              <w:rPr>
                <w:rFonts w:ascii="Arial Narrow" w:hAnsi="Arial Narrow"/>
                <w:sz w:val="20"/>
              </w:rPr>
            </w:pPr>
            <w:r>
              <w:rPr>
                <w:rFonts w:ascii="Arial Narrow" w:hAnsi="Arial Narrow"/>
                <w:sz w:val="20"/>
              </w:rPr>
              <w:t>NA</w:t>
            </w:r>
          </w:p>
        </w:tc>
      </w:tr>
      <w:tr w:rsidR="003C2E14" w:rsidRPr="0020351E" w14:paraId="0E826DBA" w14:textId="77777777" w:rsidTr="002D52C6">
        <w:tc>
          <w:tcPr>
            <w:tcW w:w="2547" w:type="dxa"/>
            <w:vAlign w:val="center"/>
          </w:tcPr>
          <w:p w14:paraId="4793AAE3" w14:textId="77777777" w:rsidR="003C2E14" w:rsidRPr="0020351E" w:rsidRDefault="003C2E14" w:rsidP="002D52C6">
            <w:pPr>
              <w:keepNext/>
              <w:spacing w:before="20" w:after="20"/>
              <w:rPr>
                <w:rFonts w:ascii="Arial Narrow" w:hAnsi="Arial Narrow"/>
                <w:sz w:val="20"/>
              </w:rPr>
            </w:pPr>
            <w:r>
              <w:rPr>
                <w:rFonts w:ascii="Arial Narrow" w:hAnsi="Arial Narrow"/>
                <w:sz w:val="20"/>
              </w:rPr>
              <w:t>Reconstruction complications</w:t>
            </w:r>
          </w:p>
        </w:tc>
        <w:tc>
          <w:tcPr>
            <w:tcW w:w="1630" w:type="dxa"/>
            <w:vAlign w:val="center"/>
          </w:tcPr>
          <w:p w14:paraId="070FAFAB" w14:textId="77777777" w:rsidR="003C2E14" w:rsidRDefault="003C2E14" w:rsidP="002D52C6">
            <w:pPr>
              <w:keepNext/>
              <w:spacing w:before="20" w:after="20"/>
              <w:jc w:val="center"/>
              <w:rPr>
                <w:rFonts w:ascii="Arial Narrow" w:hAnsi="Arial Narrow"/>
                <w:sz w:val="20"/>
              </w:rPr>
            </w:pPr>
            <w:r>
              <w:rPr>
                <w:rFonts w:ascii="Arial Narrow" w:hAnsi="Arial Narrow"/>
                <w:sz w:val="20"/>
              </w:rPr>
              <w:t>NR</w:t>
            </w:r>
          </w:p>
        </w:tc>
        <w:tc>
          <w:tcPr>
            <w:tcW w:w="1630" w:type="dxa"/>
            <w:vAlign w:val="center"/>
          </w:tcPr>
          <w:p w14:paraId="7FD2E77E" w14:textId="77777777" w:rsidR="003C2E14" w:rsidRDefault="003C2E14" w:rsidP="002D52C6">
            <w:pPr>
              <w:keepNext/>
              <w:spacing w:before="20" w:after="20"/>
              <w:jc w:val="center"/>
              <w:rPr>
                <w:rFonts w:ascii="Arial Narrow" w:hAnsi="Arial Narrow"/>
                <w:sz w:val="20"/>
              </w:rPr>
            </w:pPr>
            <w:r>
              <w:rPr>
                <w:rFonts w:ascii="Arial Narrow" w:hAnsi="Arial Narrow"/>
                <w:sz w:val="20"/>
              </w:rPr>
              <w:t>↔ (1; 90)</w:t>
            </w:r>
          </w:p>
          <w:p w14:paraId="5907CBB3" w14:textId="77777777" w:rsidR="003C2E14" w:rsidRPr="00C90BD9" w:rsidRDefault="003C2E14" w:rsidP="002D52C6">
            <w:pPr>
              <w:keepNext/>
              <w:spacing w:before="20" w:after="20"/>
              <w:jc w:val="center"/>
              <w:rPr>
                <w:rFonts w:ascii="Arial Narrow" w:hAnsi="Arial Narrow"/>
                <w:sz w:val="20"/>
              </w:rPr>
            </w:pPr>
            <w:r w:rsidRPr="00435FA7">
              <w:rPr>
                <w:rFonts w:ascii="Cambria Math" w:hAnsi="Cambria Math"/>
                <w:color w:val="00B050"/>
                <w:sz w:val="20"/>
              </w:rPr>
              <w:t>⨁</w:t>
            </w:r>
            <w:r w:rsidRPr="00435FA7">
              <w:rPr>
                <w:rFonts w:ascii="Cambria Math" w:hAnsi="Cambria Math" w:cs="Cambria Math"/>
                <w:color w:val="C00000"/>
                <w:sz w:val="20"/>
              </w:rPr>
              <w:t>⨀⨀⨀</w:t>
            </w:r>
          </w:p>
        </w:tc>
        <w:tc>
          <w:tcPr>
            <w:tcW w:w="1630" w:type="dxa"/>
            <w:vAlign w:val="center"/>
          </w:tcPr>
          <w:p w14:paraId="1B1E86D8" w14:textId="77777777" w:rsidR="003C2E14" w:rsidRPr="005D0114" w:rsidRDefault="003C2E14" w:rsidP="002D52C6">
            <w:pPr>
              <w:keepNext/>
              <w:spacing w:before="20" w:after="20"/>
              <w:jc w:val="center"/>
              <w:rPr>
                <w:rFonts w:ascii="Arial Narrow" w:hAnsi="Arial Narrow"/>
                <w:sz w:val="20"/>
              </w:rPr>
            </w:pPr>
            <w:r>
              <w:rPr>
                <w:rFonts w:ascii="Arial Narrow" w:hAnsi="Arial Narrow"/>
                <w:sz w:val="20"/>
              </w:rPr>
              <w:t>NR</w:t>
            </w:r>
          </w:p>
        </w:tc>
        <w:tc>
          <w:tcPr>
            <w:tcW w:w="1630" w:type="dxa"/>
            <w:vAlign w:val="center"/>
          </w:tcPr>
          <w:p w14:paraId="7D27C6C2" w14:textId="77777777" w:rsidR="003C2E14" w:rsidRPr="00D109B3" w:rsidRDefault="003C2E14" w:rsidP="002D52C6">
            <w:pPr>
              <w:keepNext/>
              <w:spacing w:before="20" w:after="20"/>
              <w:jc w:val="center"/>
              <w:rPr>
                <w:rFonts w:ascii="Arial Narrow" w:hAnsi="Arial Narrow"/>
                <w:sz w:val="20"/>
                <w:vertAlign w:val="superscript"/>
              </w:rPr>
            </w:pPr>
            <w:r>
              <w:rPr>
                <w:rFonts w:ascii="Arial Narrow" w:hAnsi="Arial Narrow"/>
                <w:sz w:val="20"/>
              </w:rPr>
              <w:t>↔ (1; 63 breasts)</w:t>
            </w:r>
            <w:r>
              <w:rPr>
                <w:rFonts w:ascii="Arial Narrow" w:hAnsi="Arial Narrow"/>
                <w:sz w:val="20"/>
                <w:vertAlign w:val="superscript"/>
              </w:rPr>
              <w:t>b</w:t>
            </w:r>
          </w:p>
          <w:p w14:paraId="7A010CD0" w14:textId="77777777" w:rsidR="003C2E14" w:rsidRDefault="003C2E14" w:rsidP="002D52C6">
            <w:pPr>
              <w:keepNext/>
              <w:spacing w:before="20" w:after="20"/>
              <w:jc w:val="center"/>
              <w:rPr>
                <w:rFonts w:ascii="Arial Narrow" w:hAnsi="Arial Narrow"/>
                <w:sz w:val="20"/>
                <w:vertAlign w:val="superscript"/>
              </w:rPr>
            </w:pPr>
            <w:r>
              <w:rPr>
                <w:rFonts w:ascii="Arial Narrow" w:hAnsi="Arial Narrow"/>
                <w:sz w:val="20"/>
              </w:rPr>
              <w:t>↓ (1; 46)</w:t>
            </w:r>
            <w:r>
              <w:rPr>
                <w:rFonts w:ascii="Arial Narrow" w:hAnsi="Arial Narrow"/>
                <w:sz w:val="20"/>
                <w:vertAlign w:val="superscript"/>
              </w:rPr>
              <w:t>c</w:t>
            </w:r>
          </w:p>
          <w:p w14:paraId="15559003" w14:textId="77777777" w:rsidR="003C2E14" w:rsidRPr="00D109B3" w:rsidRDefault="003C2E14" w:rsidP="002D52C6">
            <w:pPr>
              <w:keepNext/>
              <w:spacing w:before="20" w:after="20"/>
              <w:jc w:val="center"/>
              <w:rPr>
                <w:rFonts w:ascii="Arial Narrow" w:hAnsi="Arial Narrow"/>
                <w:sz w:val="20"/>
                <w:vertAlign w:val="superscript"/>
              </w:rPr>
            </w:pPr>
            <w:r w:rsidRPr="00435FA7">
              <w:rPr>
                <w:rFonts w:ascii="Cambria Math" w:hAnsi="Cambria Math"/>
                <w:color w:val="00B050"/>
                <w:sz w:val="20"/>
              </w:rPr>
              <w:t>⨁</w:t>
            </w:r>
            <w:r w:rsidRPr="00435FA7">
              <w:rPr>
                <w:rFonts w:ascii="Cambria Math" w:hAnsi="Cambria Math" w:cs="Cambria Math"/>
                <w:color w:val="C00000"/>
                <w:sz w:val="20"/>
              </w:rPr>
              <w:t>⨀⨀⨀</w:t>
            </w:r>
          </w:p>
        </w:tc>
      </w:tr>
      <w:tr w:rsidR="003C2E14" w:rsidRPr="0020351E" w14:paraId="66297C8E" w14:textId="77777777" w:rsidTr="002D52C6">
        <w:tc>
          <w:tcPr>
            <w:tcW w:w="2547" w:type="dxa"/>
            <w:vAlign w:val="center"/>
          </w:tcPr>
          <w:p w14:paraId="3CB8399C" w14:textId="77777777" w:rsidR="003C2E14" w:rsidRDefault="003C2E14" w:rsidP="002D52C6">
            <w:pPr>
              <w:keepNext/>
              <w:spacing w:before="20" w:after="20"/>
              <w:ind w:left="-33" w:firstLine="33"/>
              <w:rPr>
                <w:rFonts w:ascii="Arial Narrow" w:hAnsi="Arial Narrow"/>
                <w:sz w:val="20"/>
              </w:rPr>
            </w:pPr>
            <w:r>
              <w:rPr>
                <w:rFonts w:ascii="Arial Narrow" w:hAnsi="Arial Narrow"/>
                <w:sz w:val="20"/>
              </w:rPr>
              <w:t>Other complications</w:t>
            </w:r>
          </w:p>
        </w:tc>
        <w:tc>
          <w:tcPr>
            <w:tcW w:w="1630" w:type="dxa"/>
            <w:vAlign w:val="center"/>
          </w:tcPr>
          <w:p w14:paraId="0286E2A1" w14:textId="77777777" w:rsidR="003C2E14" w:rsidRDefault="003C2E14" w:rsidP="002D52C6">
            <w:pPr>
              <w:keepNext/>
              <w:spacing w:before="20" w:after="20"/>
              <w:ind w:left="-33" w:firstLine="33"/>
              <w:jc w:val="center"/>
              <w:rPr>
                <w:rFonts w:ascii="Arial Narrow" w:hAnsi="Arial Narrow"/>
                <w:sz w:val="20"/>
              </w:rPr>
            </w:pPr>
            <w:r>
              <w:rPr>
                <w:rFonts w:ascii="Arial Narrow" w:hAnsi="Arial Narrow"/>
                <w:sz w:val="20"/>
              </w:rPr>
              <w:t>NR</w:t>
            </w:r>
          </w:p>
        </w:tc>
        <w:tc>
          <w:tcPr>
            <w:tcW w:w="1630" w:type="dxa"/>
            <w:vAlign w:val="center"/>
          </w:tcPr>
          <w:p w14:paraId="0BB0DC82" w14:textId="77777777" w:rsidR="003C2E14" w:rsidRDefault="003C2E14" w:rsidP="002D52C6">
            <w:pPr>
              <w:keepNext/>
              <w:spacing w:before="20" w:after="20"/>
              <w:ind w:left="-33" w:firstLine="33"/>
              <w:jc w:val="center"/>
              <w:rPr>
                <w:rFonts w:ascii="Arial Narrow" w:hAnsi="Arial Narrow"/>
                <w:sz w:val="20"/>
                <w:vertAlign w:val="superscript"/>
              </w:rPr>
            </w:pPr>
            <w:r w:rsidRPr="00D12460">
              <w:rPr>
                <w:rFonts w:ascii="Arial Narrow" w:hAnsi="Arial Narrow"/>
                <w:sz w:val="20"/>
              </w:rPr>
              <w:t>↔</w:t>
            </w:r>
            <w:r>
              <w:rPr>
                <w:rFonts w:ascii="Arial Narrow" w:hAnsi="Arial Narrow"/>
                <w:sz w:val="20"/>
              </w:rPr>
              <w:t xml:space="preserve"> (2; 109)</w:t>
            </w:r>
            <w:r>
              <w:rPr>
                <w:rFonts w:ascii="Arial Narrow" w:hAnsi="Arial Narrow"/>
                <w:sz w:val="20"/>
                <w:vertAlign w:val="superscript"/>
              </w:rPr>
              <w:t>a</w:t>
            </w:r>
          </w:p>
          <w:p w14:paraId="1B082C8A" w14:textId="77777777" w:rsidR="003C2E14" w:rsidRPr="00D109B3" w:rsidRDefault="003C2E14" w:rsidP="002D52C6">
            <w:pPr>
              <w:keepNext/>
              <w:spacing w:before="20" w:after="20"/>
              <w:ind w:left="-33" w:firstLine="33"/>
              <w:jc w:val="center"/>
              <w:rPr>
                <w:rFonts w:ascii="Arial Narrow" w:hAnsi="Arial Narrow"/>
                <w:sz w:val="20"/>
                <w:vertAlign w:val="superscript"/>
              </w:rPr>
            </w:pPr>
            <w:r w:rsidRPr="00435FA7">
              <w:rPr>
                <w:rFonts w:ascii="Cambria Math" w:hAnsi="Cambria Math"/>
                <w:color w:val="00B050"/>
                <w:sz w:val="20"/>
              </w:rPr>
              <w:t>⨁</w:t>
            </w:r>
            <w:r w:rsidRPr="00435FA7">
              <w:rPr>
                <w:rFonts w:ascii="Cambria Math" w:hAnsi="Cambria Math" w:cs="Cambria Math"/>
                <w:color w:val="C00000"/>
                <w:sz w:val="20"/>
              </w:rPr>
              <w:t>⨀⨀⨀</w:t>
            </w:r>
          </w:p>
        </w:tc>
        <w:tc>
          <w:tcPr>
            <w:tcW w:w="1630" w:type="dxa"/>
            <w:vAlign w:val="center"/>
          </w:tcPr>
          <w:p w14:paraId="23A17547" w14:textId="77777777" w:rsidR="003C2E14" w:rsidRDefault="003C2E14" w:rsidP="002D52C6">
            <w:pPr>
              <w:keepNext/>
              <w:spacing w:before="20" w:after="20"/>
              <w:ind w:left="-33" w:firstLine="33"/>
              <w:jc w:val="center"/>
              <w:rPr>
                <w:rFonts w:ascii="Arial Narrow" w:hAnsi="Arial Narrow"/>
                <w:sz w:val="20"/>
              </w:rPr>
            </w:pPr>
            <w:r>
              <w:rPr>
                <w:rFonts w:ascii="Arial Narrow" w:hAnsi="Arial Narrow"/>
                <w:sz w:val="20"/>
              </w:rPr>
              <w:t>NR</w:t>
            </w:r>
          </w:p>
        </w:tc>
        <w:tc>
          <w:tcPr>
            <w:tcW w:w="1630" w:type="dxa"/>
            <w:vAlign w:val="center"/>
          </w:tcPr>
          <w:p w14:paraId="041CF682" w14:textId="77777777" w:rsidR="003C2E14" w:rsidRDefault="003C2E14" w:rsidP="002D52C6">
            <w:pPr>
              <w:keepNext/>
              <w:spacing w:before="20" w:after="20"/>
              <w:ind w:left="-33" w:firstLine="33"/>
              <w:jc w:val="center"/>
              <w:rPr>
                <w:rFonts w:ascii="Arial Narrow" w:hAnsi="Arial Narrow"/>
                <w:sz w:val="20"/>
              </w:rPr>
            </w:pPr>
            <w:r>
              <w:rPr>
                <w:rFonts w:ascii="Arial Narrow" w:hAnsi="Arial Narrow"/>
                <w:sz w:val="20"/>
              </w:rPr>
              <w:t>NR</w:t>
            </w:r>
          </w:p>
        </w:tc>
      </w:tr>
      <w:tr w:rsidR="003C2E14" w:rsidRPr="0020351E" w14:paraId="5910B039" w14:textId="77777777" w:rsidTr="002D52C6">
        <w:tc>
          <w:tcPr>
            <w:tcW w:w="2547" w:type="dxa"/>
          </w:tcPr>
          <w:p w14:paraId="609C32EE" w14:textId="77777777" w:rsidR="003C2E14" w:rsidRPr="0020351E" w:rsidRDefault="003C2E14" w:rsidP="002D52C6">
            <w:pPr>
              <w:keepNext/>
              <w:spacing w:before="20" w:after="20"/>
              <w:rPr>
                <w:rFonts w:ascii="Arial Narrow" w:hAnsi="Arial Narrow"/>
                <w:sz w:val="20"/>
              </w:rPr>
            </w:pPr>
            <w:r w:rsidRPr="0020351E">
              <w:rPr>
                <w:rFonts w:ascii="Arial Narrow" w:hAnsi="Arial Narrow"/>
                <w:sz w:val="20"/>
              </w:rPr>
              <w:t>Radiological abnormalities</w:t>
            </w:r>
          </w:p>
        </w:tc>
        <w:tc>
          <w:tcPr>
            <w:tcW w:w="1630" w:type="dxa"/>
            <w:vAlign w:val="center"/>
          </w:tcPr>
          <w:p w14:paraId="635AC6CD" w14:textId="77777777" w:rsidR="003C2E14" w:rsidRPr="0020351E" w:rsidRDefault="003C2E14" w:rsidP="002D52C6">
            <w:pPr>
              <w:keepNext/>
              <w:spacing w:before="20" w:after="20"/>
              <w:jc w:val="center"/>
              <w:rPr>
                <w:rFonts w:ascii="Arial Narrow" w:hAnsi="Arial Narrow"/>
                <w:sz w:val="20"/>
              </w:rPr>
            </w:pPr>
            <w:r>
              <w:rPr>
                <w:rFonts w:ascii="Arial Narrow" w:hAnsi="Arial Narrow"/>
                <w:sz w:val="20"/>
              </w:rPr>
              <w:t>NR</w:t>
            </w:r>
          </w:p>
        </w:tc>
        <w:tc>
          <w:tcPr>
            <w:tcW w:w="1630" w:type="dxa"/>
            <w:vAlign w:val="center"/>
          </w:tcPr>
          <w:p w14:paraId="2C89875B" w14:textId="77777777" w:rsidR="003C2E14" w:rsidRDefault="003C2E14" w:rsidP="002D52C6">
            <w:pPr>
              <w:keepNext/>
              <w:spacing w:before="20" w:after="20"/>
              <w:jc w:val="center"/>
            </w:pPr>
            <w:r w:rsidRPr="00C90BD9">
              <w:rPr>
                <w:rFonts w:ascii="Arial Narrow" w:hAnsi="Arial Narrow"/>
                <w:sz w:val="20"/>
              </w:rPr>
              <w:t>NR</w:t>
            </w:r>
          </w:p>
        </w:tc>
        <w:tc>
          <w:tcPr>
            <w:tcW w:w="1630" w:type="dxa"/>
            <w:vAlign w:val="center"/>
          </w:tcPr>
          <w:p w14:paraId="331A8294" w14:textId="77777777" w:rsidR="003C2E14" w:rsidRDefault="003C2E14" w:rsidP="002D52C6">
            <w:pPr>
              <w:keepNext/>
              <w:spacing w:before="20" w:after="20"/>
              <w:jc w:val="center"/>
            </w:pPr>
            <w:r w:rsidRPr="005D0114">
              <w:rPr>
                <w:rFonts w:ascii="Arial Narrow" w:hAnsi="Arial Narrow"/>
                <w:sz w:val="20"/>
              </w:rPr>
              <w:t>NR</w:t>
            </w:r>
          </w:p>
        </w:tc>
        <w:tc>
          <w:tcPr>
            <w:tcW w:w="1630" w:type="dxa"/>
            <w:vAlign w:val="center"/>
          </w:tcPr>
          <w:p w14:paraId="1B103D69" w14:textId="77777777" w:rsidR="003C2E14" w:rsidRPr="0020351E" w:rsidRDefault="003C2E14" w:rsidP="002D52C6">
            <w:pPr>
              <w:keepNext/>
              <w:spacing w:before="20" w:after="20"/>
              <w:jc w:val="center"/>
              <w:rPr>
                <w:rFonts w:ascii="Arial Narrow" w:hAnsi="Arial Narrow"/>
                <w:sz w:val="20"/>
              </w:rPr>
            </w:pPr>
            <w:r>
              <w:rPr>
                <w:rFonts w:ascii="Arial Narrow" w:hAnsi="Arial Narrow"/>
                <w:sz w:val="20"/>
              </w:rPr>
              <w:t>NR</w:t>
            </w:r>
          </w:p>
        </w:tc>
      </w:tr>
      <w:tr w:rsidR="003C2E14" w:rsidRPr="0020351E" w14:paraId="4B969080" w14:textId="77777777" w:rsidTr="002D52C6">
        <w:tc>
          <w:tcPr>
            <w:tcW w:w="2547" w:type="dxa"/>
            <w:tcBorders>
              <w:bottom w:val="double" w:sz="4" w:space="0" w:color="auto"/>
            </w:tcBorders>
          </w:tcPr>
          <w:p w14:paraId="704554B1" w14:textId="77777777" w:rsidR="003C2E14" w:rsidRPr="00B472C3" w:rsidRDefault="003C2E14" w:rsidP="002D52C6">
            <w:pPr>
              <w:keepNext/>
              <w:spacing w:before="20" w:after="20"/>
              <w:rPr>
                <w:rFonts w:ascii="Arial Narrow" w:hAnsi="Arial Narrow"/>
                <w:b/>
                <w:sz w:val="20"/>
              </w:rPr>
            </w:pPr>
            <w:r w:rsidRPr="00B472C3">
              <w:rPr>
                <w:rFonts w:ascii="Arial Narrow" w:hAnsi="Arial Narrow"/>
                <w:b/>
                <w:sz w:val="20"/>
              </w:rPr>
              <w:t>Safety</w:t>
            </w:r>
          </w:p>
        </w:tc>
        <w:tc>
          <w:tcPr>
            <w:tcW w:w="1630" w:type="dxa"/>
            <w:tcBorders>
              <w:bottom w:val="double" w:sz="4" w:space="0" w:color="auto"/>
            </w:tcBorders>
            <w:vAlign w:val="center"/>
          </w:tcPr>
          <w:p w14:paraId="2ECF1046" w14:textId="77777777" w:rsidR="003C2E14" w:rsidRPr="00B472C3" w:rsidRDefault="003C2E14" w:rsidP="002D52C6">
            <w:pPr>
              <w:keepNext/>
              <w:spacing w:before="20" w:after="20"/>
              <w:jc w:val="center"/>
              <w:rPr>
                <w:b/>
              </w:rPr>
            </w:pPr>
            <w:r>
              <w:rPr>
                <w:rFonts w:ascii="Arial Narrow" w:hAnsi="Arial Narrow"/>
                <w:b/>
                <w:sz w:val="20"/>
              </w:rPr>
              <w:t>Not informed</w:t>
            </w:r>
          </w:p>
        </w:tc>
        <w:tc>
          <w:tcPr>
            <w:tcW w:w="1630" w:type="dxa"/>
            <w:tcBorders>
              <w:bottom w:val="double" w:sz="4" w:space="0" w:color="auto"/>
            </w:tcBorders>
            <w:vAlign w:val="center"/>
          </w:tcPr>
          <w:p w14:paraId="58B01E93" w14:textId="77777777" w:rsidR="003C2E14" w:rsidRPr="00B472C3" w:rsidRDefault="003C2E14" w:rsidP="002D52C6">
            <w:pPr>
              <w:keepNext/>
              <w:spacing w:before="20" w:after="20"/>
              <w:jc w:val="center"/>
              <w:rPr>
                <w:b/>
              </w:rPr>
            </w:pPr>
            <w:r>
              <w:rPr>
                <w:rFonts w:ascii="Arial Narrow" w:hAnsi="Arial Narrow"/>
                <w:b/>
                <w:sz w:val="20"/>
              </w:rPr>
              <w:t>Uncertain</w:t>
            </w:r>
          </w:p>
        </w:tc>
        <w:tc>
          <w:tcPr>
            <w:tcW w:w="1630" w:type="dxa"/>
            <w:tcBorders>
              <w:bottom w:val="double" w:sz="4" w:space="0" w:color="auto"/>
            </w:tcBorders>
            <w:vAlign w:val="center"/>
          </w:tcPr>
          <w:p w14:paraId="7791E2BD" w14:textId="77777777" w:rsidR="003C2E14" w:rsidRPr="00B472C3" w:rsidRDefault="003C2E14" w:rsidP="002D52C6">
            <w:pPr>
              <w:keepNext/>
              <w:spacing w:before="20" w:after="20"/>
              <w:jc w:val="center"/>
              <w:rPr>
                <w:b/>
              </w:rPr>
            </w:pPr>
            <w:r w:rsidRPr="00B472C3">
              <w:rPr>
                <w:rFonts w:ascii="Arial Narrow" w:hAnsi="Arial Narrow"/>
                <w:b/>
                <w:sz w:val="20"/>
              </w:rPr>
              <w:t>No</w:t>
            </w:r>
            <w:r>
              <w:rPr>
                <w:rFonts w:ascii="Arial Narrow" w:hAnsi="Arial Narrow"/>
                <w:b/>
                <w:sz w:val="20"/>
              </w:rPr>
              <w:t>t informed</w:t>
            </w:r>
          </w:p>
        </w:tc>
        <w:tc>
          <w:tcPr>
            <w:tcW w:w="1630" w:type="dxa"/>
            <w:tcBorders>
              <w:bottom w:val="double" w:sz="4" w:space="0" w:color="auto"/>
            </w:tcBorders>
            <w:vAlign w:val="center"/>
          </w:tcPr>
          <w:p w14:paraId="32B457BC" w14:textId="77777777" w:rsidR="003C2E14" w:rsidRPr="00B472C3" w:rsidRDefault="003C2E14" w:rsidP="002D52C6">
            <w:pPr>
              <w:keepNext/>
              <w:spacing w:before="20" w:after="20"/>
              <w:jc w:val="center"/>
              <w:rPr>
                <w:b/>
              </w:rPr>
            </w:pPr>
            <w:r>
              <w:rPr>
                <w:rFonts w:ascii="Arial Narrow" w:hAnsi="Arial Narrow"/>
                <w:b/>
                <w:sz w:val="20"/>
              </w:rPr>
              <w:t>Uncertain</w:t>
            </w:r>
          </w:p>
        </w:tc>
      </w:tr>
      <w:tr w:rsidR="003C2E14" w:rsidRPr="0020351E" w14:paraId="4FA59260" w14:textId="77777777" w:rsidTr="002D52C6">
        <w:tc>
          <w:tcPr>
            <w:tcW w:w="2547" w:type="dxa"/>
            <w:tcBorders>
              <w:top w:val="double" w:sz="4" w:space="0" w:color="auto"/>
            </w:tcBorders>
          </w:tcPr>
          <w:p w14:paraId="6A326A18" w14:textId="77777777" w:rsidR="003C2E14" w:rsidRPr="0020351E" w:rsidRDefault="003C2E14" w:rsidP="002D52C6">
            <w:pPr>
              <w:keepNext/>
              <w:spacing w:before="20" w:after="20"/>
              <w:rPr>
                <w:rFonts w:ascii="Arial Narrow" w:hAnsi="Arial Narrow"/>
                <w:sz w:val="20"/>
              </w:rPr>
            </w:pPr>
            <w:r w:rsidRPr="0020351E">
              <w:rPr>
                <w:rFonts w:ascii="Arial Narrow" w:hAnsi="Arial Narrow"/>
                <w:sz w:val="20"/>
              </w:rPr>
              <w:t xml:space="preserve">Pain </w:t>
            </w:r>
          </w:p>
        </w:tc>
        <w:tc>
          <w:tcPr>
            <w:tcW w:w="1630" w:type="dxa"/>
            <w:tcBorders>
              <w:top w:val="double" w:sz="4" w:space="0" w:color="auto"/>
            </w:tcBorders>
            <w:vAlign w:val="center"/>
          </w:tcPr>
          <w:p w14:paraId="2B1D14A1" w14:textId="77777777" w:rsidR="003C2E14" w:rsidRPr="0020351E" w:rsidRDefault="003C2E14" w:rsidP="002D52C6">
            <w:pPr>
              <w:keepNext/>
              <w:spacing w:before="20" w:after="20"/>
              <w:jc w:val="center"/>
              <w:rPr>
                <w:rFonts w:ascii="Arial Narrow" w:hAnsi="Arial Narrow"/>
                <w:sz w:val="20"/>
              </w:rPr>
            </w:pPr>
            <w:r>
              <w:rPr>
                <w:rFonts w:ascii="Arial Narrow" w:hAnsi="Arial Narrow"/>
                <w:sz w:val="20"/>
              </w:rPr>
              <w:t>NR</w:t>
            </w:r>
          </w:p>
        </w:tc>
        <w:tc>
          <w:tcPr>
            <w:tcW w:w="1630" w:type="dxa"/>
            <w:tcBorders>
              <w:top w:val="double" w:sz="4" w:space="0" w:color="auto"/>
            </w:tcBorders>
            <w:vAlign w:val="center"/>
          </w:tcPr>
          <w:p w14:paraId="15AD2C46" w14:textId="77777777" w:rsidR="003C2E14" w:rsidRPr="0020351E" w:rsidRDefault="003C2E14" w:rsidP="002D52C6">
            <w:pPr>
              <w:keepNext/>
              <w:spacing w:before="20" w:after="20"/>
              <w:jc w:val="center"/>
              <w:rPr>
                <w:rFonts w:ascii="Arial Narrow" w:hAnsi="Arial Narrow"/>
                <w:sz w:val="20"/>
              </w:rPr>
            </w:pPr>
            <w:r>
              <w:rPr>
                <w:rFonts w:ascii="Arial Narrow" w:hAnsi="Arial Narrow"/>
                <w:sz w:val="20"/>
              </w:rPr>
              <w:t>NR</w:t>
            </w:r>
          </w:p>
        </w:tc>
        <w:tc>
          <w:tcPr>
            <w:tcW w:w="1630" w:type="dxa"/>
            <w:tcBorders>
              <w:top w:val="double" w:sz="4" w:space="0" w:color="auto"/>
            </w:tcBorders>
            <w:vAlign w:val="center"/>
          </w:tcPr>
          <w:p w14:paraId="2F882D5B" w14:textId="77777777" w:rsidR="003C2E14" w:rsidRDefault="003C2E14" w:rsidP="002D52C6">
            <w:pPr>
              <w:keepNext/>
              <w:spacing w:before="20" w:after="20"/>
              <w:jc w:val="center"/>
            </w:pPr>
            <w:r w:rsidRPr="005D0114">
              <w:rPr>
                <w:rFonts w:ascii="Arial Narrow" w:hAnsi="Arial Narrow"/>
                <w:sz w:val="20"/>
              </w:rPr>
              <w:t>NR</w:t>
            </w:r>
          </w:p>
        </w:tc>
        <w:tc>
          <w:tcPr>
            <w:tcW w:w="1630" w:type="dxa"/>
            <w:tcBorders>
              <w:top w:val="double" w:sz="4" w:space="0" w:color="auto"/>
            </w:tcBorders>
            <w:vAlign w:val="center"/>
          </w:tcPr>
          <w:p w14:paraId="1640D12E" w14:textId="77777777" w:rsidR="003C2E14" w:rsidRPr="0020351E" w:rsidRDefault="003C2E14" w:rsidP="002D52C6">
            <w:pPr>
              <w:keepNext/>
              <w:spacing w:before="20" w:after="20"/>
              <w:jc w:val="center"/>
              <w:rPr>
                <w:rFonts w:ascii="Arial Narrow" w:hAnsi="Arial Narrow"/>
                <w:sz w:val="20"/>
              </w:rPr>
            </w:pPr>
            <w:r>
              <w:rPr>
                <w:rFonts w:ascii="Arial Narrow" w:hAnsi="Arial Narrow"/>
                <w:sz w:val="20"/>
              </w:rPr>
              <w:t>NA</w:t>
            </w:r>
          </w:p>
        </w:tc>
      </w:tr>
      <w:tr w:rsidR="003C2E14" w:rsidRPr="0020351E" w14:paraId="53D52806" w14:textId="77777777" w:rsidTr="002D52C6">
        <w:tc>
          <w:tcPr>
            <w:tcW w:w="2547" w:type="dxa"/>
            <w:vAlign w:val="center"/>
          </w:tcPr>
          <w:p w14:paraId="1DED3D5A" w14:textId="77777777" w:rsidR="003C2E14" w:rsidRPr="0020351E" w:rsidRDefault="003C2E14" w:rsidP="002D52C6">
            <w:pPr>
              <w:keepNext/>
              <w:spacing w:before="20" w:after="20"/>
              <w:rPr>
                <w:rFonts w:ascii="Arial Narrow" w:hAnsi="Arial Narrow"/>
                <w:sz w:val="20"/>
              </w:rPr>
            </w:pPr>
            <w:r w:rsidRPr="0020351E">
              <w:rPr>
                <w:rFonts w:ascii="Arial Narrow" w:hAnsi="Arial Narrow"/>
                <w:sz w:val="20"/>
              </w:rPr>
              <w:t>HRQoL</w:t>
            </w:r>
            <w:r>
              <w:rPr>
                <w:rFonts w:ascii="Arial Narrow" w:hAnsi="Arial Narrow"/>
                <w:sz w:val="20"/>
              </w:rPr>
              <w:t xml:space="preserve"> </w:t>
            </w:r>
            <w:r w:rsidRPr="0020351E">
              <w:rPr>
                <w:rFonts w:ascii="Arial Narrow" w:hAnsi="Arial Narrow"/>
                <w:sz w:val="20"/>
              </w:rPr>
              <w:t>(BREAST-Q)</w:t>
            </w:r>
          </w:p>
        </w:tc>
        <w:tc>
          <w:tcPr>
            <w:tcW w:w="1630" w:type="dxa"/>
            <w:vAlign w:val="center"/>
          </w:tcPr>
          <w:p w14:paraId="31575C52" w14:textId="77777777" w:rsidR="003C2E14" w:rsidRPr="0020351E" w:rsidRDefault="003C2E14" w:rsidP="002D52C6">
            <w:pPr>
              <w:keepNext/>
              <w:spacing w:before="20" w:after="20"/>
              <w:jc w:val="center"/>
              <w:rPr>
                <w:rFonts w:ascii="Arial Narrow" w:hAnsi="Arial Narrow"/>
                <w:sz w:val="20"/>
              </w:rPr>
            </w:pPr>
            <w:r>
              <w:rPr>
                <w:rFonts w:ascii="Arial Narrow" w:hAnsi="Arial Narrow"/>
                <w:sz w:val="20"/>
              </w:rPr>
              <w:t>NR</w:t>
            </w:r>
          </w:p>
        </w:tc>
        <w:tc>
          <w:tcPr>
            <w:tcW w:w="1630" w:type="dxa"/>
            <w:vAlign w:val="center"/>
          </w:tcPr>
          <w:p w14:paraId="7F7D7939" w14:textId="77777777" w:rsidR="003C2E14" w:rsidRDefault="003C2E14" w:rsidP="002D52C6">
            <w:pPr>
              <w:keepNext/>
              <w:spacing w:before="20" w:after="20"/>
              <w:jc w:val="center"/>
              <w:rPr>
                <w:rFonts w:ascii="Arial Narrow" w:hAnsi="Arial Narrow"/>
                <w:sz w:val="20"/>
              </w:rPr>
            </w:pPr>
            <w:r>
              <w:rPr>
                <w:rFonts w:ascii="Arial Narrow" w:hAnsi="Arial Narrow"/>
                <w:sz w:val="20"/>
              </w:rPr>
              <w:t>↑ (1; 90)</w:t>
            </w:r>
          </w:p>
          <w:p w14:paraId="0BA06BD5" w14:textId="77777777" w:rsidR="003C2E14" w:rsidRPr="0020351E" w:rsidRDefault="003C2E14" w:rsidP="002D52C6">
            <w:pPr>
              <w:keepNext/>
              <w:spacing w:before="20" w:after="20"/>
              <w:jc w:val="center"/>
              <w:rPr>
                <w:rFonts w:ascii="Arial Narrow" w:hAnsi="Arial Narrow"/>
                <w:sz w:val="20"/>
              </w:rPr>
            </w:pPr>
            <w:r w:rsidRPr="00435FA7">
              <w:rPr>
                <w:rFonts w:ascii="Cambria Math" w:hAnsi="Cambria Math"/>
                <w:color w:val="00B050"/>
                <w:sz w:val="20"/>
              </w:rPr>
              <w:t>⨁</w:t>
            </w:r>
            <w:r w:rsidRPr="00435FA7">
              <w:rPr>
                <w:rFonts w:ascii="Cambria Math" w:hAnsi="Cambria Math" w:cs="Cambria Math"/>
                <w:color w:val="C00000"/>
                <w:sz w:val="20"/>
              </w:rPr>
              <w:t>⨀⨀⨀</w:t>
            </w:r>
          </w:p>
        </w:tc>
        <w:tc>
          <w:tcPr>
            <w:tcW w:w="1630" w:type="dxa"/>
            <w:vAlign w:val="center"/>
          </w:tcPr>
          <w:p w14:paraId="2455820D" w14:textId="77777777" w:rsidR="003C2E14" w:rsidRDefault="003C2E14" w:rsidP="002D52C6">
            <w:pPr>
              <w:keepNext/>
              <w:spacing w:before="20" w:after="20"/>
              <w:jc w:val="center"/>
            </w:pPr>
            <w:r w:rsidRPr="005D0114">
              <w:rPr>
                <w:rFonts w:ascii="Arial Narrow" w:hAnsi="Arial Narrow"/>
                <w:sz w:val="20"/>
              </w:rPr>
              <w:t>NR</w:t>
            </w:r>
          </w:p>
        </w:tc>
        <w:tc>
          <w:tcPr>
            <w:tcW w:w="1630" w:type="dxa"/>
            <w:vAlign w:val="center"/>
          </w:tcPr>
          <w:p w14:paraId="7F6B04FC" w14:textId="77777777" w:rsidR="003C2E14" w:rsidRPr="00D109B3" w:rsidRDefault="003C2E14" w:rsidP="002D52C6">
            <w:pPr>
              <w:keepNext/>
              <w:spacing w:before="20" w:after="20"/>
              <w:jc w:val="center"/>
              <w:rPr>
                <w:rFonts w:ascii="Arial Narrow" w:hAnsi="Arial Narrow"/>
                <w:sz w:val="20"/>
                <w:vertAlign w:val="superscript"/>
              </w:rPr>
            </w:pPr>
            <w:r>
              <w:rPr>
                <w:rFonts w:ascii="Arial Narrow" w:hAnsi="Arial Narrow"/>
                <w:sz w:val="20"/>
              </w:rPr>
              <w:t>↓ (1; 63 breasts)</w:t>
            </w:r>
            <w:r>
              <w:rPr>
                <w:rFonts w:ascii="Arial Narrow" w:hAnsi="Arial Narrow"/>
                <w:sz w:val="20"/>
                <w:vertAlign w:val="superscript"/>
              </w:rPr>
              <w:t>b</w:t>
            </w:r>
          </w:p>
          <w:p w14:paraId="47AB36B3" w14:textId="77777777" w:rsidR="003C2E14" w:rsidRDefault="003C2E14" w:rsidP="002D52C6">
            <w:pPr>
              <w:keepNext/>
              <w:spacing w:before="20" w:after="20"/>
              <w:jc w:val="center"/>
              <w:rPr>
                <w:rFonts w:ascii="Arial Narrow" w:hAnsi="Arial Narrow"/>
                <w:sz w:val="20"/>
                <w:vertAlign w:val="superscript"/>
              </w:rPr>
            </w:pPr>
            <w:r>
              <w:rPr>
                <w:rFonts w:ascii="Arial Narrow" w:hAnsi="Arial Narrow"/>
                <w:sz w:val="20"/>
              </w:rPr>
              <w:t>↔ (1; 46)</w:t>
            </w:r>
            <w:r>
              <w:rPr>
                <w:rFonts w:ascii="Arial Narrow" w:hAnsi="Arial Narrow"/>
                <w:sz w:val="20"/>
                <w:vertAlign w:val="superscript"/>
              </w:rPr>
              <w:t>c</w:t>
            </w:r>
          </w:p>
          <w:p w14:paraId="0E5E5450" w14:textId="77777777" w:rsidR="003C2E14" w:rsidRPr="00D109B3" w:rsidRDefault="003C2E14" w:rsidP="002D52C6">
            <w:pPr>
              <w:keepNext/>
              <w:spacing w:before="20" w:after="20"/>
              <w:jc w:val="center"/>
              <w:rPr>
                <w:rFonts w:ascii="Arial Narrow" w:hAnsi="Arial Narrow"/>
                <w:sz w:val="20"/>
                <w:vertAlign w:val="superscript"/>
              </w:rPr>
            </w:pPr>
            <w:r w:rsidRPr="00435FA7">
              <w:rPr>
                <w:rFonts w:ascii="Cambria Math" w:hAnsi="Cambria Math"/>
                <w:color w:val="00B050"/>
                <w:sz w:val="20"/>
              </w:rPr>
              <w:t>⨁</w:t>
            </w:r>
            <w:r w:rsidRPr="00435FA7">
              <w:rPr>
                <w:rFonts w:ascii="Cambria Math" w:hAnsi="Cambria Math" w:cs="Cambria Math"/>
                <w:color w:val="C00000"/>
                <w:sz w:val="20"/>
              </w:rPr>
              <w:t>⨀⨀⨀</w:t>
            </w:r>
          </w:p>
        </w:tc>
      </w:tr>
      <w:tr w:rsidR="003C2E14" w:rsidRPr="0020351E" w14:paraId="0F7DEFEE" w14:textId="77777777" w:rsidTr="002D52C6">
        <w:tc>
          <w:tcPr>
            <w:tcW w:w="2547" w:type="dxa"/>
          </w:tcPr>
          <w:p w14:paraId="336D5967" w14:textId="77777777" w:rsidR="003C2E14" w:rsidRPr="0020351E" w:rsidRDefault="003C2E14" w:rsidP="002D52C6">
            <w:pPr>
              <w:keepNext/>
              <w:spacing w:before="20" w:after="20"/>
              <w:rPr>
                <w:rFonts w:ascii="Arial Narrow" w:hAnsi="Arial Narrow"/>
                <w:sz w:val="20"/>
              </w:rPr>
            </w:pPr>
            <w:r w:rsidRPr="0020351E">
              <w:rPr>
                <w:rFonts w:ascii="Arial Narrow" w:hAnsi="Arial Narrow"/>
                <w:sz w:val="20"/>
              </w:rPr>
              <w:t>Patient and surgeon satisfaction</w:t>
            </w:r>
          </w:p>
        </w:tc>
        <w:tc>
          <w:tcPr>
            <w:tcW w:w="1630" w:type="dxa"/>
            <w:vAlign w:val="center"/>
          </w:tcPr>
          <w:p w14:paraId="050B9B7D" w14:textId="77777777" w:rsidR="003C2E14" w:rsidRPr="0020351E" w:rsidRDefault="003C2E14" w:rsidP="002D52C6">
            <w:pPr>
              <w:keepNext/>
              <w:spacing w:before="20" w:after="20"/>
              <w:jc w:val="center"/>
              <w:rPr>
                <w:rFonts w:ascii="Arial Narrow" w:hAnsi="Arial Narrow"/>
                <w:sz w:val="20"/>
              </w:rPr>
            </w:pPr>
            <w:r>
              <w:rPr>
                <w:rFonts w:ascii="Arial Narrow" w:hAnsi="Arial Narrow"/>
                <w:sz w:val="20"/>
              </w:rPr>
              <w:t>NR</w:t>
            </w:r>
          </w:p>
        </w:tc>
        <w:tc>
          <w:tcPr>
            <w:tcW w:w="1630" w:type="dxa"/>
            <w:vAlign w:val="center"/>
          </w:tcPr>
          <w:p w14:paraId="2958C06F" w14:textId="77777777" w:rsidR="003C2E14" w:rsidRPr="0020351E" w:rsidRDefault="003C2E14" w:rsidP="002D52C6">
            <w:pPr>
              <w:keepNext/>
              <w:spacing w:before="20" w:after="20"/>
              <w:jc w:val="center"/>
              <w:rPr>
                <w:rFonts w:ascii="Arial Narrow" w:hAnsi="Arial Narrow"/>
                <w:sz w:val="20"/>
              </w:rPr>
            </w:pPr>
            <w:r>
              <w:rPr>
                <w:rFonts w:ascii="Arial Narrow" w:hAnsi="Arial Narrow"/>
                <w:sz w:val="20"/>
              </w:rPr>
              <w:t>NR</w:t>
            </w:r>
          </w:p>
        </w:tc>
        <w:tc>
          <w:tcPr>
            <w:tcW w:w="1630" w:type="dxa"/>
            <w:vAlign w:val="center"/>
          </w:tcPr>
          <w:p w14:paraId="4CDB3ABD" w14:textId="77777777" w:rsidR="003C2E14" w:rsidRDefault="003C2E14" w:rsidP="002D52C6">
            <w:pPr>
              <w:keepNext/>
              <w:spacing w:before="20" w:after="20"/>
              <w:jc w:val="center"/>
            </w:pPr>
            <w:r w:rsidRPr="005D0114">
              <w:rPr>
                <w:rFonts w:ascii="Arial Narrow" w:hAnsi="Arial Narrow"/>
                <w:sz w:val="20"/>
              </w:rPr>
              <w:t>NR</w:t>
            </w:r>
          </w:p>
        </w:tc>
        <w:tc>
          <w:tcPr>
            <w:tcW w:w="1630" w:type="dxa"/>
            <w:vAlign w:val="center"/>
          </w:tcPr>
          <w:p w14:paraId="11694B64" w14:textId="77777777" w:rsidR="003C2E14" w:rsidRPr="0020351E" w:rsidRDefault="003C2E14" w:rsidP="002D52C6">
            <w:pPr>
              <w:keepNext/>
              <w:spacing w:before="20" w:after="20"/>
              <w:jc w:val="center"/>
              <w:rPr>
                <w:rFonts w:ascii="Arial Narrow" w:hAnsi="Arial Narrow"/>
                <w:sz w:val="20"/>
              </w:rPr>
            </w:pPr>
            <w:r>
              <w:rPr>
                <w:rFonts w:ascii="Arial Narrow" w:hAnsi="Arial Narrow"/>
                <w:sz w:val="20"/>
              </w:rPr>
              <w:t>NR</w:t>
            </w:r>
          </w:p>
        </w:tc>
      </w:tr>
      <w:tr w:rsidR="003C2E14" w:rsidRPr="0020351E" w14:paraId="46E17827" w14:textId="77777777" w:rsidTr="002D52C6">
        <w:tc>
          <w:tcPr>
            <w:tcW w:w="2547" w:type="dxa"/>
            <w:vAlign w:val="center"/>
          </w:tcPr>
          <w:p w14:paraId="6D6A4491" w14:textId="77777777" w:rsidR="003C2E14" w:rsidRPr="0020351E" w:rsidRDefault="003C2E14" w:rsidP="002D52C6">
            <w:pPr>
              <w:keepNext/>
              <w:spacing w:before="20" w:after="20"/>
              <w:rPr>
                <w:rFonts w:ascii="Arial Narrow" w:hAnsi="Arial Narrow"/>
                <w:sz w:val="20"/>
              </w:rPr>
            </w:pPr>
            <w:r>
              <w:rPr>
                <w:rFonts w:ascii="Arial Narrow" w:hAnsi="Arial Narrow"/>
                <w:sz w:val="20"/>
              </w:rPr>
              <w:t>Aesthetics</w:t>
            </w:r>
          </w:p>
        </w:tc>
        <w:tc>
          <w:tcPr>
            <w:tcW w:w="1630" w:type="dxa"/>
            <w:vAlign w:val="center"/>
          </w:tcPr>
          <w:p w14:paraId="20D556FA" w14:textId="77777777" w:rsidR="003C2E14" w:rsidRPr="0020351E" w:rsidRDefault="003C2E14" w:rsidP="002D52C6">
            <w:pPr>
              <w:keepNext/>
              <w:spacing w:before="20" w:after="20"/>
              <w:jc w:val="center"/>
              <w:rPr>
                <w:rFonts w:ascii="Arial Narrow" w:hAnsi="Arial Narrow"/>
                <w:sz w:val="20"/>
              </w:rPr>
            </w:pPr>
            <w:r>
              <w:rPr>
                <w:rFonts w:ascii="Arial Narrow" w:hAnsi="Arial Narrow"/>
                <w:sz w:val="20"/>
              </w:rPr>
              <w:t>NR</w:t>
            </w:r>
          </w:p>
        </w:tc>
        <w:tc>
          <w:tcPr>
            <w:tcW w:w="1630" w:type="dxa"/>
            <w:vAlign w:val="center"/>
          </w:tcPr>
          <w:p w14:paraId="337688AB" w14:textId="77777777" w:rsidR="003C2E14" w:rsidRDefault="003C2E14" w:rsidP="002D52C6">
            <w:pPr>
              <w:keepNext/>
              <w:spacing w:before="20" w:after="20"/>
              <w:jc w:val="center"/>
              <w:rPr>
                <w:rFonts w:ascii="Arial Narrow" w:hAnsi="Arial Narrow"/>
                <w:sz w:val="20"/>
                <w:vertAlign w:val="superscript"/>
              </w:rPr>
            </w:pPr>
            <w:r>
              <w:rPr>
                <w:rFonts w:ascii="Arial Narrow" w:hAnsi="Arial Narrow"/>
                <w:sz w:val="20"/>
              </w:rPr>
              <w:t>↔ (1; 19)</w:t>
            </w:r>
            <w:r>
              <w:rPr>
                <w:rFonts w:ascii="Arial Narrow" w:hAnsi="Arial Narrow"/>
                <w:sz w:val="20"/>
                <w:vertAlign w:val="superscript"/>
              </w:rPr>
              <w:t>a</w:t>
            </w:r>
          </w:p>
          <w:p w14:paraId="6565C569" w14:textId="77777777" w:rsidR="003C2E14" w:rsidRPr="00D109B3" w:rsidRDefault="003C2E14" w:rsidP="002D52C6">
            <w:pPr>
              <w:keepNext/>
              <w:spacing w:before="20" w:after="20"/>
              <w:jc w:val="center"/>
              <w:rPr>
                <w:rFonts w:ascii="Arial Narrow" w:hAnsi="Arial Narrow"/>
                <w:sz w:val="20"/>
                <w:vertAlign w:val="superscript"/>
              </w:rPr>
            </w:pPr>
            <w:r w:rsidRPr="00435FA7">
              <w:rPr>
                <w:rFonts w:ascii="Cambria Math" w:hAnsi="Cambria Math"/>
                <w:color w:val="00B050"/>
                <w:sz w:val="20"/>
              </w:rPr>
              <w:t>⨁</w:t>
            </w:r>
            <w:r w:rsidRPr="00435FA7">
              <w:rPr>
                <w:rFonts w:ascii="Cambria Math" w:hAnsi="Cambria Math" w:cs="Cambria Math"/>
                <w:color w:val="C00000"/>
                <w:sz w:val="20"/>
              </w:rPr>
              <w:t>⨀⨀⨀</w:t>
            </w:r>
          </w:p>
        </w:tc>
        <w:tc>
          <w:tcPr>
            <w:tcW w:w="1630" w:type="dxa"/>
            <w:vAlign w:val="center"/>
          </w:tcPr>
          <w:p w14:paraId="0C533D51" w14:textId="77777777" w:rsidR="003C2E14" w:rsidRDefault="003C2E14" w:rsidP="002D52C6">
            <w:pPr>
              <w:keepNext/>
              <w:spacing w:before="20" w:after="20"/>
              <w:jc w:val="center"/>
            </w:pPr>
            <w:r w:rsidRPr="005D0114">
              <w:rPr>
                <w:rFonts w:ascii="Arial Narrow" w:hAnsi="Arial Narrow"/>
                <w:sz w:val="20"/>
              </w:rPr>
              <w:t>NR</w:t>
            </w:r>
          </w:p>
        </w:tc>
        <w:tc>
          <w:tcPr>
            <w:tcW w:w="1630" w:type="dxa"/>
            <w:vAlign w:val="center"/>
          </w:tcPr>
          <w:p w14:paraId="7063FCAD" w14:textId="77777777" w:rsidR="003C2E14" w:rsidRPr="0020351E" w:rsidRDefault="003C2E14" w:rsidP="002D52C6">
            <w:pPr>
              <w:keepNext/>
              <w:spacing w:before="20" w:after="20"/>
              <w:jc w:val="center"/>
              <w:rPr>
                <w:rFonts w:ascii="Arial Narrow" w:hAnsi="Arial Narrow"/>
                <w:sz w:val="20"/>
              </w:rPr>
            </w:pPr>
            <w:r>
              <w:rPr>
                <w:rFonts w:ascii="Arial Narrow" w:hAnsi="Arial Narrow"/>
                <w:sz w:val="20"/>
              </w:rPr>
              <w:t>NR</w:t>
            </w:r>
          </w:p>
        </w:tc>
      </w:tr>
      <w:tr w:rsidR="003C2E14" w:rsidRPr="0020351E" w14:paraId="0D60AB92" w14:textId="77777777" w:rsidTr="002D52C6">
        <w:tc>
          <w:tcPr>
            <w:tcW w:w="2547" w:type="dxa"/>
          </w:tcPr>
          <w:p w14:paraId="52CB3B05" w14:textId="77777777" w:rsidR="003C2E14" w:rsidRPr="00B472C3" w:rsidRDefault="003C2E14" w:rsidP="002D52C6">
            <w:pPr>
              <w:keepNext/>
              <w:spacing w:before="20" w:after="20"/>
              <w:rPr>
                <w:rFonts w:ascii="Arial Narrow" w:hAnsi="Arial Narrow"/>
                <w:b/>
                <w:sz w:val="20"/>
              </w:rPr>
            </w:pPr>
            <w:r w:rsidRPr="00B472C3">
              <w:rPr>
                <w:rFonts w:ascii="Arial Narrow" w:hAnsi="Arial Narrow"/>
                <w:b/>
                <w:sz w:val="20"/>
              </w:rPr>
              <w:t>Effect</w:t>
            </w:r>
          </w:p>
        </w:tc>
        <w:tc>
          <w:tcPr>
            <w:tcW w:w="1630" w:type="dxa"/>
            <w:vAlign w:val="center"/>
          </w:tcPr>
          <w:p w14:paraId="59A41A43" w14:textId="77777777" w:rsidR="003C2E14" w:rsidRPr="00B472C3" w:rsidRDefault="003C2E14" w:rsidP="002D52C6">
            <w:pPr>
              <w:keepNext/>
              <w:spacing w:before="20" w:after="20"/>
              <w:jc w:val="center"/>
              <w:rPr>
                <w:rFonts w:ascii="Arial Narrow" w:hAnsi="Arial Narrow"/>
                <w:b/>
                <w:sz w:val="20"/>
              </w:rPr>
            </w:pPr>
            <w:r w:rsidRPr="00B472C3">
              <w:rPr>
                <w:rFonts w:ascii="Arial Narrow" w:hAnsi="Arial Narrow"/>
                <w:b/>
                <w:sz w:val="20"/>
              </w:rPr>
              <w:t>Not informed</w:t>
            </w:r>
          </w:p>
        </w:tc>
        <w:tc>
          <w:tcPr>
            <w:tcW w:w="1630" w:type="dxa"/>
            <w:vAlign w:val="center"/>
          </w:tcPr>
          <w:p w14:paraId="07906851" w14:textId="77777777" w:rsidR="003C2E14" w:rsidRPr="00B472C3" w:rsidRDefault="003C2E14" w:rsidP="002D52C6">
            <w:pPr>
              <w:keepNext/>
              <w:spacing w:before="20" w:after="20"/>
              <w:jc w:val="center"/>
              <w:rPr>
                <w:rFonts w:ascii="Arial Narrow" w:hAnsi="Arial Narrow"/>
                <w:b/>
                <w:sz w:val="20"/>
              </w:rPr>
            </w:pPr>
            <w:r w:rsidRPr="00B472C3">
              <w:rPr>
                <w:rFonts w:ascii="Arial Narrow" w:hAnsi="Arial Narrow"/>
                <w:b/>
                <w:sz w:val="20"/>
              </w:rPr>
              <w:t xml:space="preserve">Superior </w:t>
            </w:r>
          </w:p>
        </w:tc>
        <w:tc>
          <w:tcPr>
            <w:tcW w:w="1630" w:type="dxa"/>
            <w:vAlign w:val="center"/>
          </w:tcPr>
          <w:p w14:paraId="49FE9516" w14:textId="77777777" w:rsidR="003C2E14" w:rsidRPr="00B472C3" w:rsidRDefault="003C2E14" w:rsidP="002D52C6">
            <w:pPr>
              <w:keepNext/>
              <w:spacing w:before="20" w:after="20"/>
              <w:jc w:val="center"/>
              <w:rPr>
                <w:rFonts w:ascii="Arial Narrow" w:hAnsi="Arial Narrow"/>
                <w:b/>
                <w:sz w:val="20"/>
              </w:rPr>
            </w:pPr>
            <w:r w:rsidRPr="00B472C3">
              <w:rPr>
                <w:rFonts w:ascii="Arial Narrow" w:hAnsi="Arial Narrow"/>
                <w:b/>
                <w:sz w:val="20"/>
              </w:rPr>
              <w:t>Not informed</w:t>
            </w:r>
          </w:p>
        </w:tc>
        <w:tc>
          <w:tcPr>
            <w:tcW w:w="1630" w:type="dxa"/>
            <w:vAlign w:val="center"/>
          </w:tcPr>
          <w:p w14:paraId="46AA4688" w14:textId="77777777" w:rsidR="003C2E14" w:rsidRPr="00B472C3" w:rsidRDefault="003C2E14" w:rsidP="002D52C6">
            <w:pPr>
              <w:keepNext/>
              <w:spacing w:before="20" w:after="20"/>
              <w:jc w:val="center"/>
              <w:rPr>
                <w:rFonts w:ascii="Arial Narrow" w:hAnsi="Arial Narrow"/>
                <w:b/>
                <w:sz w:val="20"/>
              </w:rPr>
            </w:pPr>
            <w:r>
              <w:rPr>
                <w:rFonts w:ascii="Arial Narrow" w:hAnsi="Arial Narrow"/>
                <w:b/>
                <w:sz w:val="20"/>
              </w:rPr>
              <w:t>Uncertain</w:t>
            </w:r>
            <w:r w:rsidRPr="00B472C3">
              <w:rPr>
                <w:rFonts w:ascii="Arial Narrow" w:hAnsi="Arial Narrow"/>
                <w:b/>
                <w:sz w:val="20"/>
              </w:rPr>
              <w:t xml:space="preserve"> </w:t>
            </w:r>
          </w:p>
        </w:tc>
      </w:tr>
    </w:tbl>
    <w:p w14:paraId="50A2C38C" w14:textId="77777777" w:rsidR="003C2E14" w:rsidRPr="00886F7C" w:rsidRDefault="003C2E14" w:rsidP="003C2E14">
      <w:pPr>
        <w:keepNext/>
        <w:tabs>
          <w:tab w:val="left" w:pos="284"/>
        </w:tabs>
        <w:rPr>
          <w:rFonts w:ascii="Arial Narrow" w:hAnsi="Arial Narrow"/>
          <w:sz w:val="18"/>
        </w:rPr>
      </w:pPr>
      <w:r>
        <w:rPr>
          <w:rFonts w:ascii="Arial Narrow" w:hAnsi="Arial Narrow"/>
          <w:sz w:val="18"/>
        </w:rPr>
        <w:t>HRQoL = health-related quality of life; NA = not applicable; NR = not reported</w:t>
      </w:r>
    </w:p>
    <w:p w14:paraId="0F34C4F4" w14:textId="77777777" w:rsidR="003C2E14" w:rsidRPr="00AA2FCC" w:rsidRDefault="003C2E14" w:rsidP="003C2E14">
      <w:pPr>
        <w:keepNext/>
        <w:tabs>
          <w:tab w:val="left" w:pos="284"/>
        </w:tabs>
        <w:rPr>
          <w:rFonts w:ascii="Arial Narrow" w:hAnsi="Arial Narrow"/>
          <w:sz w:val="18"/>
        </w:rPr>
      </w:pPr>
      <w:r>
        <w:rPr>
          <w:rFonts w:ascii="Arial Narrow" w:hAnsi="Arial Narrow"/>
          <w:sz w:val="20"/>
        </w:rPr>
        <w:t>↔</w:t>
      </w:r>
      <w:r w:rsidRPr="00AA2FCC">
        <w:rPr>
          <w:rFonts w:ascii="Arial Narrow" w:hAnsi="Arial Narrow" w:cstheme="minorHAnsi"/>
          <w:sz w:val="18"/>
        </w:rPr>
        <w:tab/>
        <w:t>no statistically significantly differences between treatment groups</w:t>
      </w:r>
    </w:p>
    <w:p w14:paraId="7674781D" w14:textId="77777777" w:rsidR="003C2E14" w:rsidRPr="00AA2FCC" w:rsidRDefault="003C2E14" w:rsidP="003C2E14">
      <w:pPr>
        <w:keepNext/>
        <w:tabs>
          <w:tab w:val="left" w:pos="284"/>
        </w:tabs>
        <w:rPr>
          <w:rFonts w:ascii="Arial Narrow" w:hAnsi="Arial Narrow"/>
          <w:sz w:val="18"/>
        </w:rPr>
      </w:pPr>
      <w:r w:rsidRPr="00AA2FCC">
        <w:rPr>
          <w:rFonts w:ascii="Arial Narrow" w:hAnsi="Arial Narrow" w:cstheme="minorHAnsi"/>
          <w:sz w:val="18"/>
        </w:rPr>
        <w:t>↓</w:t>
      </w:r>
      <w:r w:rsidRPr="00AA2FCC">
        <w:rPr>
          <w:rFonts w:ascii="Arial Narrow" w:hAnsi="Arial Narrow" w:cstheme="minorHAnsi"/>
          <w:sz w:val="18"/>
        </w:rPr>
        <w:tab/>
        <w:t>statistically significantly reduced in those treated with AFG</w:t>
      </w:r>
    </w:p>
    <w:p w14:paraId="6D30E891" w14:textId="77777777" w:rsidR="003C2E14" w:rsidRDefault="003C2E14" w:rsidP="003C2E14">
      <w:pPr>
        <w:keepNext/>
        <w:tabs>
          <w:tab w:val="left" w:pos="284"/>
        </w:tabs>
        <w:rPr>
          <w:rFonts w:ascii="Arial Narrow" w:hAnsi="Arial Narrow" w:cstheme="minorHAnsi"/>
          <w:sz w:val="18"/>
        </w:rPr>
      </w:pPr>
      <w:r w:rsidRPr="00AA2FCC">
        <w:rPr>
          <w:rFonts w:ascii="Arial Narrow" w:hAnsi="Arial Narrow" w:cstheme="minorHAnsi"/>
          <w:sz w:val="18"/>
        </w:rPr>
        <w:t>↑</w:t>
      </w:r>
      <w:r w:rsidRPr="00AA2FCC">
        <w:rPr>
          <w:rFonts w:ascii="Arial Narrow" w:hAnsi="Arial Narrow" w:cstheme="minorHAnsi"/>
          <w:sz w:val="18"/>
        </w:rPr>
        <w:tab/>
        <w:t>statistically significantly increase</w:t>
      </w:r>
      <w:r>
        <w:rPr>
          <w:rFonts w:ascii="Arial Narrow" w:hAnsi="Arial Narrow" w:cstheme="minorHAnsi"/>
          <w:sz w:val="18"/>
        </w:rPr>
        <w:t>d</w:t>
      </w:r>
      <w:r w:rsidRPr="00AA2FCC">
        <w:rPr>
          <w:rFonts w:ascii="Arial Narrow" w:hAnsi="Arial Narrow" w:cstheme="minorHAnsi"/>
          <w:sz w:val="18"/>
        </w:rPr>
        <w:t xml:space="preserve"> in those treated with AFG</w:t>
      </w:r>
    </w:p>
    <w:p w14:paraId="08570295" w14:textId="77777777" w:rsidR="003C2E14" w:rsidRDefault="003C2E14" w:rsidP="003C2E14">
      <w:pPr>
        <w:keepNext/>
        <w:tabs>
          <w:tab w:val="left" w:pos="284"/>
        </w:tabs>
        <w:ind w:left="284" w:hanging="284"/>
        <w:rPr>
          <w:rFonts w:ascii="Arial Narrow" w:hAnsi="Arial Narrow"/>
          <w:sz w:val="18"/>
          <w:vertAlign w:val="superscript"/>
        </w:rPr>
      </w:pPr>
      <w:r>
        <w:rPr>
          <w:rFonts w:ascii="Arial Narrow" w:hAnsi="Arial Narrow" w:cstheme="minorHAnsi"/>
          <w:sz w:val="18"/>
          <w:vertAlign w:val="superscript"/>
        </w:rPr>
        <w:t>a</w:t>
      </w:r>
      <w:r>
        <w:rPr>
          <w:rFonts w:ascii="Arial Narrow" w:hAnsi="Arial Narrow" w:cstheme="minorHAnsi"/>
          <w:sz w:val="18"/>
          <w:vertAlign w:val="superscript"/>
        </w:rPr>
        <w:tab/>
      </w:r>
      <w:r>
        <w:rPr>
          <w:rFonts w:ascii="Arial Narrow" w:hAnsi="Arial Narrow"/>
          <w:sz w:val="18"/>
        </w:rPr>
        <w:t>includes only 16 (AFG alone) and 3 (implant alone) patients, respectively, from Lakhiani 2014</w:t>
      </w:r>
      <w:r w:rsidRPr="00D97437">
        <w:rPr>
          <w:rFonts w:ascii="Arial Narrow" w:hAnsi="Arial Narrow"/>
          <w:sz w:val="18"/>
          <w:vertAlign w:val="superscript"/>
        </w:rPr>
        <w:t xml:space="preserve"> </w:t>
      </w:r>
    </w:p>
    <w:p w14:paraId="0D0AC401" w14:textId="77777777" w:rsidR="003C2E14" w:rsidRPr="000E446C" w:rsidRDefault="003C2E14" w:rsidP="003C2E14">
      <w:pPr>
        <w:keepNext/>
        <w:tabs>
          <w:tab w:val="left" w:pos="284"/>
        </w:tabs>
        <w:ind w:left="284" w:hanging="284"/>
        <w:rPr>
          <w:rFonts w:ascii="Arial Narrow" w:hAnsi="Arial Narrow" w:cstheme="minorHAnsi"/>
          <w:sz w:val="18"/>
        </w:rPr>
      </w:pPr>
      <w:r>
        <w:rPr>
          <w:rFonts w:ascii="Arial Narrow" w:hAnsi="Arial Narrow"/>
          <w:sz w:val="18"/>
          <w:vertAlign w:val="superscript"/>
        </w:rPr>
        <w:t>b</w:t>
      </w:r>
      <w:r>
        <w:rPr>
          <w:rFonts w:ascii="Arial Narrow" w:hAnsi="Arial Narrow"/>
          <w:sz w:val="18"/>
        </w:rPr>
        <w:tab/>
      </w:r>
      <w:r w:rsidRPr="00A23BD8">
        <w:rPr>
          <w:rFonts w:ascii="Arial Narrow" w:hAnsi="Arial Narrow"/>
          <w:sz w:val="18"/>
        </w:rPr>
        <w:t xml:space="preserve">uncertainty in the validity of this conclusion given a higher degree of deformity observed in the AFG group </w:t>
      </w:r>
      <w:r w:rsidRPr="005A7985">
        <w:rPr>
          <w:rFonts w:ascii="Arial Narrow" w:hAnsi="Arial Narrow"/>
          <w:i/>
          <w:sz w:val="18"/>
        </w:rPr>
        <w:t>vs.</w:t>
      </w:r>
      <w:r w:rsidRPr="00A23BD8">
        <w:rPr>
          <w:rFonts w:ascii="Arial Narrow" w:hAnsi="Arial Narrow"/>
          <w:sz w:val="18"/>
        </w:rPr>
        <w:t xml:space="preserve"> implant group</w:t>
      </w:r>
    </w:p>
    <w:p w14:paraId="710E24D7" w14:textId="77777777" w:rsidR="003C2E14" w:rsidRDefault="003C2E14" w:rsidP="003C2E14">
      <w:pPr>
        <w:keepNext/>
        <w:tabs>
          <w:tab w:val="left" w:pos="284"/>
        </w:tabs>
        <w:ind w:left="284" w:hanging="284"/>
        <w:rPr>
          <w:rFonts w:ascii="Arial Narrow" w:hAnsi="Arial Narrow"/>
          <w:sz w:val="18"/>
        </w:rPr>
      </w:pPr>
      <w:r>
        <w:rPr>
          <w:rFonts w:ascii="Arial Narrow" w:hAnsi="Arial Narrow"/>
          <w:sz w:val="18"/>
          <w:vertAlign w:val="superscript"/>
        </w:rPr>
        <w:t>c</w:t>
      </w:r>
      <w:r>
        <w:rPr>
          <w:rFonts w:ascii="Arial Narrow" w:hAnsi="Arial Narrow"/>
          <w:sz w:val="18"/>
          <w:vertAlign w:val="superscript"/>
        </w:rPr>
        <w:tab/>
      </w:r>
      <w:r>
        <w:rPr>
          <w:rFonts w:ascii="Arial Narrow" w:hAnsi="Arial Narrow"/>
          <w:sz w:val="18"/>
        </w:rPr>
        <w:t xml:space="preserve">limited applicability to an AFG-treated Subpopulation As only </w:t>
      </w:r>
      <w:r w:rsidRPr="006224BD">
        <w:rPr>
          <w:rFonts w:ascii="Arial Narrow" w:hAnsi="Arial Narrow"/>
          <w:sz w:val="18"/>
        </w:rPr>
        <w:t>five of 16 patients (5 breasts) had autologous reconstruction that included AFG</w:t>
      </w:r>
      <w:r>
        <w:rPr>
          <w:rFonts w:ascii="Arial Narrow" w:hAnsi="Arial Narrow"/>
          <w:sz w:val="18"/>
        </w:rPr>
        <w:t xml:space="preserve">. Additionally, </w:t>
      </w:r>
      <w:r w:rsidRPr="00D97437">
        <w:rPr>
          <w:rFonts w:ascii="Arial Narrow" w:hAnsi="Arial Narrow"/>
          <w:sz w:val="18"/>
        </w:rPr>
        <w:t xml:space="preserve">the implant group was characterised by the higher degree of deformity with 74% of breasts belonging to type III, </w:t>
      </w:r>
      <w:r w:rsidRPr="005A7985">
        <w:rPr>
          <w:rFonts w:ascii="Arial Narrow" w:hAnsi="Arial Narrow"/>
          <w:i/>
          <w:sz w:val="18"/>
        </w:rPr>
        <w:t>vs</w:t>
      </w:r>
      <w:r>
        <w:rPr>
          <w:rFonts w:ascii="Arial Narrow" w:hAnsi="Arial Narrow"/>
          <w:sz w:val="18"/>
        </w:rPr>
        <w:t>.</w:t>
      </w:r>
      <w:r w:rsidRPr="00D97437">
        <w:rPr>
          <w:rFonts w:ascii="Arial Narrow" w:hAnsi="Arial Narrow"/>
          <w:sz w:val="18"/>
        </w:rPr>
        <w:t xml:space="preserve"> 26% in the autologous group</w:t>
      </w:r>
    </w:p>
    <w:p w14:paraId="46A83B13" w14:textId="77777777" w:rsidR="003C2E14" w:rsidRDefault="003C2E14" w:rsidP="003C2E14">
      <w:pPr>
        <w:tabs>
          <w:tab w:val="left" w:pos="284"/>
        </w:tabs>
        <w:rPr>
          <w:rFonts w:ascii="Arial Narrow" w:hAnsi="Arial Narrow"/>
          <w:sz w:val="18"/>
        </w:rPr>
      </w:pPr>
      <w:r w:rsidRPr="00435FA7">
        <w:rPr>
          <w:rFonts w:ascii="Cambria Math" w:hAnsi="Cambria Math"/>
          <w:color w:val="00B050"/>
          <w:sz w:val="18"/>
        </w:rPr>
        <w:t>⨁⨁⨁⨁</w:t>
      </w:r>
      <w:r>
        <w:rPr>
          <w:rFonts w:ascii="Cambria Math" w:hAnsi="Cambria Math"/>
          <w:color w:val="00B050"/>
        </w:rPr>
        <w:t xml:space="preserve"> </w:t>
      </w:r>
      <w:r w:rsidRPr="00E10B76">
        <w:rPr>
          <w:rFonts w:ascii="Arial Narrow" w:hAnsi="Arial Narrow" w:cs="Arial"/>
          <w:b/>
          <w:bCs/>
          <w:sz w:val="18"/>
          <w:szCs w:val="18"/>
        </w:rPr>
        <w:t>High quality:</w:t>
      </w:r>
      <w:r w:rsidRPr="00E10B76">
        <w:rPr>
          <w:rFonts w:ascii="Arial Narrow" w:hAnsi="Arial Narrow" w:cs="Arial"/>
          <w:sz w:val="18"/>
          <w:szCs w:val="18"/>
        </w:rPr>
        <w:t xml:space="preserve"> </w:t>
      </w:r>
      <w:r>
        <w:rPr>
          <w:rFonts w:ascii="Arial Narrow" w:hAnsi="Arial Narrow" w:cs="Arial"/>
          <w:sz w:val="18"/>
          <w:szCs w:val="18"/>
        </w:rPr>
        <w:t>We are very confident that the true effect lies close to that of the estimate of effect.</w:t>
      </w:r>
      <w:r w:rsidRPr="00E10B76">
        <w:rPr>
          <w:rFonts w:ascii="Arial Narrow" w:hAnsi="Arial Narrow" w:cs="Arial"/>
          <w:sz w:val="18"/>
          <w:szCs w:val="18"/>
        </w:rPr>
        <w:t xml:space="preserve"> </w:t>
      </w:r>
      <w:r w:rsidRPr="00435FA7">
        <w:rPr>
          <w:rFonts w:ascii="Cambria Math" w:hAnsi="Cambria Math"/>
          <w:color w:val="00B050"/>
          <w:sz w:val="18"/>
          <w:szCs w:val="18"/>
        </w:rPr>
        <w:t>⨁⨁⨁</w:t>
      </w:r>
      <w:r w:rsidRPr="00435FA7">
        <w:rPr>
          <w:rFonts w:ascii="Cambria Math" w:hAnsi="Cambria Math" w:cs="Cambria Math"/>
          <w:color w:val="C00000"/>
          <w:sz w:val="18"/>
          <w:szCs w:val="18"/>
        </w:rPr>
        <w:t>⨀</w:t>
      </w:r>
      <w:r>
        <w:rPr>
          <w:rFonts w:ascii="Cambria Math" w:hAnsi="Cambria Math" w:cs="Cambria Math"/>
          <w:color w:val="C00000"/>
        </w:rPr>
        <w:t xml:space="preserve"> </w:t>
      </w:r>
      <w:r w:rsidRPr="00E10B76">
        <w:rPr>
          <w:rFonts w:ascii="Arial Narrow" w:hAnsi="Arial Narrow" w:cs="Arial"/>
          <w:b/>
          <w:bCs/>
          <w:sz w:val="18"/>
          <w:szCs w:val="18"/>
        </w:rPr>
        <w:t>Moderate quality:</w:t>
      </w:r>
      <w:r w:rsidRPr="00E10B76">
        <w:rPr>
          <w:rFonts w:ascii="Arial Narrow" w:hAnsi="Arial Narrow" w:cs="Arial"/>
          <w:sz w:val="18"/>
          <w:szCs w:val="18"/>
        </w:rPr>
        <w:t xml:space="preserve"> </w:t>
      </w:r>
      <w:r>
        <w:rPr>
          <w:rFonts w:ascii="Arial Narrow" w:hAnsi="Arial Narrow" w:cs="Arial"/>
          <w:sz w:val="18"/>
          <w:szCs w:val="18"/>
        </w:rPr>
        <w:t xml:space="preserve">We are moderately confident in the effect estimate: The true effect is likely to be close to the estimate of the effect, but there is a possibility that it is substantially different. </w:t>
      </w:r>
      <w:r w:rsidRPr="00435FA7">
        <w:rPr>
          <w:rFonts w:ascii="Cambria Math" w:hAnsi="Cambria Math"/>
          <w:color w:val="00B050"/>
          <w:sz w:val="18"/>
          <w:szCs w:val="18"/>
        </w:rPr>
        <w:t>⨁⨁</w:t>
      </w:r>
      <w:r w:rsidRPr="00435FA7">
        <w:rPr>
          <w:rFonts w:ascii="Cambria Math" w:hAnsi="Cambria Math" w:cs="Cambria Math"/>
          <w:color w:val="C00000"/>
          <w:sz w:val="18"/>
          <w:szCs w:val="18"/>
        </w:rPr>
        <w:t>⨀⨀</w:t>
      </w:r>
      <w:r>
        <w:rPr>
          <w:rFonts w:ascii="Cambria Math" w:hAnsi="Cambria Math" w:cs="Cambria Math"/>
          <w:color w:val="C00000"/>
        </w:rPr>
        <w:t xml:space="preserve"> </w:t>
      </w:r>
      <w:r w:rsidRPr="00E10B76">
        <w:rPr>
          <w:rFonts w:ascii="Arial Narrow" w:hAnsi="Arial Narrow" w:cs="Arial"/>
          <w:b/>
          <w:bCs/>
          <w:sz w:val="18"/>
          <w:szCs w:val="18"/>
        </w:rPr>
        <w:t>Low quality:</w:t>
      </w:r>
      <w:r w:rsidRPr="00E10B76">
        <w:rPr>
          <w:rFonts w:ascii="Arial Narrow" w:hAnsi="Arial Narrow" w:cs="Arial"/>
          <w:sz w:val="18"/>
          <w:szCs w:val="18"/>
        </w:rPr>
        <w:t xml:space="preserve"> </w:t>
      </w:r>
      <w:r>
        <w:rPr>
          <w:rFonts w:ascii="Arial Narrow" w:hAnsi="Arial Narrow" w:cs="Arial"/>
          <w:sz w:val="18"/>
          <w:szCs w:val="18"/>
        </w:rPr>
        <w:t xml:space="preserve">Our confidence in the effect estimate is limited: The true effect may be substantially different from the estimate of the effect. </w:t>
      </w:r>
      <w:r w:rsidRPr="00435FA7">
        <w:rPr>
          <w:rFonts w:ascii="Cambria Math" w:hAnsi="Cambria Math"/>
          <w:color w:val="00B050"/>
          <w:sz w:val="18"/>
          <w:szCs w:val="18"/>
        </w:rPr>
        <w:t>⨁</w:t>
      </w:r>
      <w:r w:rsidRPr="00435FA7">
        <w:rPr>
          <w:rFonts w:ascii="Cambria Math" w:hAnsi="Cambria Math" w:cs="Cambria Math"/>
          <w:color w:val="C00000"/>
          <w:sz w:val="18"/>
          <w:szCs w:val="18"/>
        </w:rPr>
        <w:t>⨀⨀⨀</w:t>
      </w:r>
      <w:r>
        <w:rPr>
          <w:rFonts w:ascii="Cambria Math" w:hAnsi="Cambria Math" w:cs="Cambria Math"/>
          <w:color w:val="C00000"/>
        </w:rPr>
        <w:t xml:space="preserve"> </w:t>
      </w:r>
      <w:r w:rsidRPr="00E10B76">
        <w:rPr>
          <w:rFonts w:ascii="Arial Narrow" w:hAnsi="Arial Narrow" w:cs="Arial"/>
          <w:b/>
          <w:bCs/>
          <w:sz w:val="18"/>
          <w:szCs w:val="18"/>
        </w:rPr>
        <w:t>Very low quality:</w:t>
      </w:r>
      <w:r w:rsidRPr="00E10B76">
        <w:rPr>
          <w:rFonts w:ascii="Arial Narrow" w:hAnsi="Arial Narrow" w:cs="Arial"/>
          <w:sz w:val="18"/>
          <w:szCs w:val="18"/>
        </w:rPr>
        <w:t xml:space="preserve"> </w:t>
      </w:r>
      <w:r>
        <w:rPr>
          <w:rFonts w:ascii="Arial Narrow" w:hAnsi="Arial Narrow" w:cs="Arial"/>
          <w:sz w:val="18"/>
          <w:szCs w:val="18"/>
        </w:rPr>
        <w:t>We have very little confidence in the effect estimate: The true effect is likely to be substantially different from the estimate of effect.</w:t>
      </w:r>
    </w:p>
    <w:p w14:paraId="76FF86EB" w14:textId="16CE905C" w:rsidR="003C2E14" w:rsidRPr="00CD3AD3" w:rsidRDefault="003C2E14" w:rsidP="00CD3AD3">
      <w:pPr>
        <w:keepNext/>
        <w:tabs>
          <w:tab w:val="left" w:pos="284"/>
        </w:tabs>
        <w:rPr>
          <w:rFonts w:ascii="Arial Narrow" w:hAnsi="Arial Narrow"/>
          <w:sz w:val="18"/>
        </w:rPr>
      </w:pPr>
      <w:r>
        <w:rPr>
          <w:rFonts w:ascii="Arial Narrow" w:hAnsi="Arial Narrow"/>
          <w:sz w:val="18"/>
        </w:rPr>
        <w:t>So</w:t>
      </w:r>
      <w:r w:rsidR="00CD3AD3">
        <w:rPr>
          <w:rFonts w:ascii="Arial Narrow" w:hAnsi="Arial Narrow"/>
          <w:sz w:val="18"/>
        </w:rPr>
        <w:t>urce: Table 4, p39 of the DCAR.</w:t>
      </w:r>
    </w:p>
    <w:p w14:paraId="43E7CC66" w14:textId="77777777" w:rsidR="003C2E14" w:rsidRDefault="003C2E14" w:rsidP="00CD3AD3">
      <w:pPr>
        <w:pStyle w:val="Heading2"/>
        <w:spacing w:before="240"/>
      </w:pPr>
      <w:r>
        <w:t>Clinical claim</w:t>
      </w:r>
    </w:p>
    <w:p w14:paraId="46AA38E6" w14:textId="647C5B40" w:rsidR="003C2E14" w:rsidRDefault="003C2E14" w:rsidP="003C2E14">
      <w:r>
        <w:t>The Ratified PICO Confirmation indicated that i</w:t>
      </w:r>
      <w:r w:rsidRPr="00E06B99">
        <w:t>n each of the populations, where the comparator is best supportive care (i.e. no specific intervention and the patient lives with abnormality they otherwise would like treated), the appropriate clinical claim for AFG is likely to be one of superior effectiveness</w:t>
      </w:r>
      <w:r>
        <w:t xml:space="preserve"> and that w</w:t>
      </w:r>
      <w:r w:rsidRPr="00E06B99">
        <w:t>here AFG is to be compared to alternative surgeries or repeat/revisional</w:t>
      </w:r>
      <w:r>
        <w:t xml:space="preserve"> surgeries it wa</w:t>
      </w:r>
      <w:r w:rsidRPr="00E06B99">
        <w:t>s not yet possible to determine an appropriate clinical claim</w:t>
      </w:r>
      <w:r>
        <w:t>.</w:t>
      </w:r>
    </w:p>
    <w:p w14:paraId="0B55B53C" w14:textId="3B687F06" w:rsidR="003C2E14" w:rsidRDefault="003C2E14" w:rsidP="00CD3AD3">
      <w:pPr>
        <w:spacing w:before="240"/>
      </w:pPr>
      <w:r>
        <w:t xml:space="preserve">On the basis of the evidence reviewed and summarised above in </w:t>
      </w:r>
      <w:r w:rsidR="007F011C">
        <w:fldChar w:fldCharType="begin"/>
      </w:r>
      <w:r w:rsidR="007F011C">
        <w:instrText xml:space="preserve"> REF _Ref50012417 \h </w:instrText>
      </w:r>
      <w:r w:rsidR="007F011C">
        <w:fldChar w:fldCharType="separate"/>
      </w:r>
      <w:r w:rsidR="007F011C">
        <w:t xml:space="preserve">Table </w:t>
      </w:r>
      <w:r w:rsidR="007F011C">
        <w:rPr>
          <w:noProof/>
        </w:rPr>
        <w:t>5</w:t>
      </w:r>
      <w:r w:rsidR="007F011C">
        <w:fldChar w:fldCharType="end"/>
      </w:r>
      <w:r>
        <w:t xml:space="preserve"> and </w:t>
      </w:r>
      <w:r w:rsidR="007F011C">
        <w:fldChar w:fldCharType="begin"/>
      </w:r>
      <w:r w:rsidR="007F011C">
        <w:instrText xml:space="preserve"> REF _Ref30069603 \h </w:instrText>
      </w:r>
      <w:r w:rsidR="007F011C">
        <w:fldChar w:fldCharType="separate"/>
      </w:r>
      <w:r w:rsidR="007F011C">
        <w:t xml:space="preserve">Table </w:t>
      </w:r>
      <w:r w:rsidR="007F011C">
        <w:rPr>
          <w:noProof/>
        </w:rPr>
        <w:t>6</w:t>
      </w:r>
      <w:r w:rsidR="007F011C">
        <w:fldChar w:fldCharType="end"/>
      </w:r>
      <w:r>
        <w:t xml:space="preserve"> the DCAR suggested that for:</w:t>
      </w:r>
    </w:p>
    <w:p w14:paraId="721684ED" w14:textId="77777777" w:rsidR="003C2E14" w:rsidRDefault="003C2E14" w:rsidP="003C2E14">
      <w:pPr>
        <w:pStyle w:val="ListParagraph"/>
        <w:numPr>
          <w:ilvl w:val="0"/>
          <w:numId w:val="41"/>
        </w:numPr>
      </w:pPr>
      <w:r>
        <w:t>Population A</w:t>
      </w:r>
    </w:p>
    <w:p w14:paraId="64F678E6" w14:textId="77777777" w:rsidR="003C2E14" w:rsidRDefault="003C2E14" w:rsidP="003C2E14">
      <w:pPr>
        <w:pStyle w:val="ListParagraph"/>
        <w:numPr>
          <w:ilvl w:val="1"/>
          <w:numId w:val="41"/>
        </w:numPr>
      </w:pPr>
      <w:r>
        <w:t>relative to BSC (no AFG), AFG has uncertain safety and superior effectiveness in the treatment of PMPS in Subpopulations A1, A2 and A3</w:t>
      </w:r>
    </w:p>
    <w:p w14:paraId="5E88F2AF" w14:textId="77777777" w:rsidR="003C2E14" w:rsidRDefault="003C2E14" w:rsidP="003C2E14">
      <w:pPr>
        <w:pStyle w:val="ListParagraph"/>
        <w:numPr>
          <w:ilvl w:val="1"/>
          <w:numId w:val="41"/>
        </w:numPr>
      </w:pPr>
      <w:r>
        <w:t>relative to BSC (no AFG), AFG has uncertain overall safety and superior effectiveness in Subpopulations A1, A2 and A3</w:t>
      </w:r>
    </w:p>
    <w:p w14:paraId="2919A89E" w14:textId="76AB3F23" w:rsidR="003C2E14" w:rsidRDefault="003C2E14" w:rsidP="00CD3AD3">
      <w:pPr>
        <w:pStyle w:val="ListParagraph"/>
        <w:numPr>
          <w:ilvl w:val="1"/>
          <w:numId w:val="41"/>
        </w:numPr>
      </w:pPr>
      <w:r>
        <w:t>relative to reconstruction alone, AFG has uncertain safety and superior effectiveness in Subpopulation A2.</w:t>
      </w:r>
    </w:p>
    <w:p w14:paraId="58668BB7" w14:textId="77777777" w:rsidR="003C2E14" w:rsidRDefault="003C2E14" w:rsidP="003C2E14">
      <w:pPr>
        <w:pStyle w:val="ListParagraph"/>
        <w:numPr>
          <w:ilvl w:val="0"/>
          <w:numId w:val="40"/>
        </w:numPr>
        <w:ind w:hanging="357"/>
      </w:pPr>
      <w:r>
        <w:lastRenderedPageBreak/>
        <w:t>Population B</w:t>
      </w:r>
    </w:p>
    <w:p w14:paraId="710ACEE8" w14:textId="77777777" w:rsidR="003C2E14" w:rsidRDefault="003C2E14" w:rsidP="003C2E14">
      <w:pPr>
        <w:pStyle w:val="ListParagraph"/>
        <w:numPr>
          <w:ilvl w:val="1"/>
          <w:numId w:val="40"/>
        </w:numPr>
      </w:pPr>
      <w:r>
        <w:t xml:space="preserve"> </w:t>
      </w:r>
      <w:r w:rsidRPr="000E446C">
        <w:t xml:space="preserve">relative to </w:t>
      </w:r>
      <w:r>
        <w:t>reconstruction alone</w:t>
      </w:r>
      <w:r w:rsidRPr="000E446C">
        <w:t xml:space="preserve">, AFG has </w:t>
      </w:r>
      <w:r>
        <w:t>uncertain</w:t>
      </w:r>
      <w:r w:rsidRPr="00E969D6">
        <w:t xml:space="preserve"> </w:t>
      </w:r>
      <w:r>
        <w:t xml:space="preserve">comparative </w:t>
      </w:r>
      <w:r w:rsidRPr="00E969D6">
        <w:t xml:space="preserve">safety and </w:t>
      </w:r>
      <w:r w:rsidRPr="009929BE">
        <w:t>effectiveness</w:t>
      </w:r>
      <w:r>
        <w:t xml:space="preserve">. </w:t>
      </w:r>
    </w:p>
    <w:p w14:paraId="46B09BE8" w14:textId="77777777" w:rsidR="003C2E14" w:rsidRDefault="003C2E14" w:rsidP="003C2E14">
      <w:pPr>
        <w:pStyle w:val="ListParagraph"/>
        <w:ind w:left="1440"/>
      </w:pPr>
    </w:p>
    <w:p w14:paraId="0059F66A" w14:textId="77777777" w:rsidR="003C2E14" w:rsidRDefault="003C2E14" w:rsidP="003C2E14">
      <w:r>
        <w:t>The DCAR stated that due to the absence of comparative study data, a claim could not be informed for the comparisons:</w:t>
      </w:r>
    </w:p>
    <w:p w14:paraId="164EFFE6" w14:textId="77777777" w:rsidR="003C2E14" w:rsidRDefault="003C2E14" w:rsidP="003C2E14">
      <w:pPr>
        <w:pStyle w:val="ListParagraph"/>
        <w:numPr>
          <w:ilvl w:val="0"/>
          <w:numId w:val="40"/>
        </w:numPr>
        <w:ind w:left="714" w:hanging="357"/>
        <w:contextualSpacing w:val="0"/>
      </w:pPr>
      <w:r>
        <w:t xml:space="preserve">AFG compared to reconstruction for Subpopulation A1 and A3 </w:t>
      </w:r>
    </w:p>
    <w:p w14:paraId="16B2FCB8" w14:textId="59418D5F" w:rsidR="003C2E14" w:rsidRDefault="003C2E14" w:rsidP="003C2E14">
      <w:pPr>
        <w:pStyle w:val="ListParagraph"/>
        <w:numPr>
          <w:ilvl w:val="0"/>
          <w:numId w:val="40"/>
        </w:numPr>
        <w:ind w:left="714" w:hanging="357"/>
        <w:contextualSpacing w:val="0"/>
      </w:pPr>
      <w:r>
        <w:t>AFG compared to no AFG (BSC) for Population B.</w:t>
      </w:r>
    </w:p>
    <w:p w14:paraId="6B95DF0E" w14:textId="77777777" w:rsidR="003C2E14" w:rsidRDefault="003C2E14" w:rsidP="00CD3AD3">
      <w:pPr>
        <w:pStyle w:val="Heading2"/>
        <w:spacing w:before="240"/>
      </w:pPr>
      <w:r>
        <w:t>Translation issues</w:t>
      </w:r>
    </w:p>
    <w:p w14:paraId="2AAD8AAC" w14:textId="749FBA5B" w:rsidR="003C2E14" w:rsidRDefault="003C2E14" w:rsidP="003C2E14">
      <w:r>
        <w:t xml:space="preserve">The DCAR stated that the targeted literature search did not identify an economic evaluation of AFG. No utility estimates associated with AFG-relevant health states in the nominated populations were found. In most cases the clinical evidence did not provide outcomes suitable for a meaningful economic evaluation. In many instances the aesthetic outcomes were expressed in point (or standardised point) differences in BREAST-Q or some other </w:t>
      </w:r>
      <w:r>
        <w:rPr>
          <w:i/>
        </w:rPr>
        <w:t xml:space="preserve">ad hoc </w:t>
      </w:r>
      <w:r>
        <w:t xml:space="preserve">scale that was not validated, which were not sufficiently informative for decision making. In other instances it was possible to construct the outcome that could be utilised in an economic evaluation, although this required transformations and, in some cases, arbitrary interpretations, which limited the usefulness of these outcomes (see subheading </w:t>
      </w:r>
      <w:r>
        <w:rPr>
          <w:i/>
        </w:rPr>
        <w:t>C</w:t>
      </w:r>
      <w:r w:rsidRPr="00F93D48">
        <w:rPr>
          <w:i/>
        </w:rPr>
        <w:t>ost-effectiveness exercises</w:t>
      </w:r>
      <w:r>
        <w:rPr>
          <w:i/>
        </w:rPr>
        <w:t>: CEA</w:t>
      </w:r>
      <w:r>
        <w:t>).</w:t>
      </w:r>
    </w:p>
    <w:p w14:paraId="5EADA9BF" w14:textId="77777777" w:rsidR="00BC1364" w:rsidRDefault="003C2E14" w:rsidP="00CD3AD3">
      <w:pPr>
        <w:tabs>
          <w:tab w:val="left" w:pos="720"/>
          <w:tab w:val="left" w:pos="1140"/>
        </w:tabs>
        <w:spacing w:before="240" w:after="240"/>
        <w:rPr>
          <w:i/>
          <w:szCs w:val="24"/>
        </w:rPr>
      </w:pPr>
      <w:r>
        <w:t xml:space="preserve">The DCAR indicated that the only outcome for which a conventional outcome of a “proportion of responders” was available, was reduction in pain and analgesic use among patients with PMPS in Subpopulations A2 and A3. This outcome enabled a modelled economic evaluation and a number of sensitivity analyses. The relevant translation issues were (i) estimates of overall survival (general population mortality was used in the base case and breast cancer specific mortality was used in sensitivity analysis, real estimate likely to lie somewhere between) and (ii) the </w:t>
      </w:r>
      <w:r w:rsidRPr="00B20D3F">
        <w:t xml:space="preserve">intermediate outcome defined as “response” to AFG and assessed as the proportion of patients who no longer required analgesics (the benefit that was assumed to last a lifetime) was transformed into </w:t>
      </w:r>
      <w:r>
        <w:t>l</w:t>
      </w:r>
      <w:r w:rsidRPr="00B20D3F">
        <w:t>ife-</w:t>
      </w:r>
      <w:r>
        <w:t>y</w:t>
      </w:r>
      <w:r w:rsidRPr="00B20D3F">
        <w:t xml:space="preserve">ears </w:t>
      </w:r>
      <w:r>
        <w:t>f</w:t>
      </w:r>
      <w:r w:rsidRPr="00B20D3F">
        <w:t xml:space="preserve">ree of </w:t>
      </w:r>
      <w:r>
        <w:t>p</w:t>
      </w:r>
      <w:r w:rsidRPr="00B20D3F">
        <w:t>ain (LYFP)</w:t>
      </w:r>
      <w:r>
        <w:t>.</w:t>
      </w:r>
      <w:r w:rsidR="00DB5833" w:rsidRPr="005A4362">
        <w:rPr>
          <w:i/>
          <w:szCs w:val="24"/>
        </w:rPr>
        <w:t xml:space="preserve"> </w:t>
      </w:r>
    </w:p>
    <w:p w14:paraId="4755E63E" w14:textId="77777777" w:rsidR="00BC1364" w:rsidRPr="00F715D1" w:rsidRDefault="00BC1364" w:rsidP="00F715D1">
      <w:pPr>
        <w:pStyle w:val="Heading1"/>
      </w:pPr>
      <w:r w:rsidRPr="00F715D1">
        <w:t>Economic evaluation</w:t>
      </w:r>
    </w:p>
    <w:p w14:paraId="456EBAE7" w14:textId="77777777" w:rsidR="003C2E14" w:rsidRDefault="003C2E14" w:rsidP="003C2E14">
      <w:r>
        <w:t>Based on the clinical evaluation, the DCAR performed:</w:t>
      </w:r>
    </w:p>
    <w:p w14:paraId="44051CB7" w14:textId="77777777" w:rsidR="003C2E14" w:rsidRDefault="003C2E14" w:rsidP="003C2E14">
      <w:pPr>
        <w:pStyle w:val="ListParagraph"/>
        <w:numPr>
          <w:ilvl w:val="0"/>
          <w:numId w:val="45"/>
        </w:numPr>
      </w:pPr>
      <w:r>
        <w:t>a trial-based and modelled economic evaluation (CEA) for the use of AFG in the treatment of PMPS in Subpopulations A2 and A3</w:t>
      </w:r>
    </w:p>
    <w:p w14:paraId="132B686F" w14:textId="77777777" w:rsidR="003C2E14" w:rsidRDefault="003C2E14" w:rsidP="003C2E14">
      <w:pPr>
        <w:pStyle w:val="ListParagraph"/>
        <w:numPr>
          <w:ilvl w:val="0"/>
          <w:numId w:val="45"/>
        </w:numPr>
      </w:pPr>
      <w:r>
        <w:t>a series of cost-effectiveness exercises</w:t>
      </w:r>
      <w:r>
        <w:rPr>
          <w:rStyle w:val="FootnoteReference"/>
        </w:rPr>
        <w:footnoteReference w:id="28"/>
      </w:r>
      <w:r>
        <w:t>:</w:t>
      </w:r>
    </w:p>
    <w:p w14:paraId="03521689" w14:textId="77777777" w:rsidR="003C2E14" w:rsidRDefault="003C2E14" w:rsidP="003C2E14">
      <w:pPr>
        <w:pStyle w:val="ListParagraph"/>
        <w:numPr>
          <w:ilvl w:val="1"/>
          <w:numId w:val="45"/>
        </w:numPr>
      </w:pPr>
      <w:r>
        <w:t xml:space="preserve">trial based analyses (CEA) for a reduction in reconstruction complications for Subpopulations A1 and A2 (AFG </w:t>
      </w:r>
      <w:r w:rsidRPr="005A7985">
        <w:rPr>
          <w:i/>
        </w:rPr>
        <w:t>vs.</w:t>
      </w:r>
      <w:r>
        <w:t xml:space="preserve"> no AFG)</w:t>
      </w:r>
    </w:p>
    <w:p w14:paraId="7F373FB0" w14:textId="77777777" w:rsidR="003C2E14" w:rsidRDefault="003C2E14" w:rsidP="003C2E14">
      <w:pPr>
        <w:pStyle w:val="ListParagraph"/>
        <w:numPr>
          <w:ilvl w:val="1"/>
          <w:numId w:val="45"/>
        </w:numPr>
      </w:pPr>
      <w:r>
        <w:t xml:space="preserve">trial based analyses (CEA) for increased satisfaction with outcome assessed by various measures in Subpopulations A2 (AFG </w:t>
      </w:r>
      <w:r w:rsidRPr="005A7985">
        <w:rPr>
          <w:i/>
        </w:rPr>
        <w:t>vs.</w:t>
      </w:r>
      <w:r>
        <w:t xml:space="preserve"> no AFG and AFG </w:t>
      </w:r>
      <w:r w:rsidRPr="005A7985">
        <w:rPr>
          <w:i/>
        </w:rPr>
        <w:t>vs.</w:t>
      </w:r>
      <w:r>
        <w:t xml:space="preserve"> implant) and Subpopulation A3 (AFG </w:t>
      </w:r>
      <w:r w:rsidRPr="005A7985">
        <w:rPr>
          <w:i/>
        </w:rPr>
        <w:t xml:space="preserve">vs. </w:t>
      </w:r>
      <w:r>
        <w:t>no AFG)</w:t>
      </w:r>
    </w:p>
    <w:p w14:paraId="05932C71" w14:textId="77777777" w:rsidR="003C2E14" w:rsidRDefault="003C2E14" w:rsidP="003C2E14">
      <w:pPr>
        <w:pStyle w:val="ListParagraph"/>
        <w:numPr>
          <w:ilvl w:val="1"/>
          <w:numId w:val="45"/>
        </w:numPr>
      </w:pPr>
      <w:r>
        <w:lastRenderedPageBreak/>
        <w:t xml:space="preserve">a cost-minimisation analysis (CMA) was conducted for AFG </w:t>
      </w:r>
      <w:r w:rsidRPr="005A7985">
        <w:rPr>
          <w:i/>
        </w:rPr>
        <w:t>vs.</w:t>
      </w:r>
      <w:r>
        <w:t xml:space="preserve"> reconstruction alone in Population B.</w:t>
      </w:r>
    </w:p>
    <w:p w14:paraId="7A1CAC03" w14:textId="77777777" w:rsidR="003C2E14" w:rsidRDefault="003C2E14" w:rsidP="003C2E14">
      <w:pPr>
        <w:pStyle w:val="Heading2"/>
      </w:pPr>
      <w:r>
        <w:t>Population A</w:t>
      </w:r>
    </w:p>
    <w:p w14:paraId="38FFDB70" w14:textId="77777777" w:rsidR="003C2E14" w:rsidRPr="004B69F5" w:rsidRDefault="003C2E14" w:rsidP="003C2E14">
      <w:pPr>
        <w:pStyle w:val="Heading3"/>
      </w:pPr>
      <w:r>
        <w:t>Trial-based economic evaluation - PMPS</w:t>
      </w:r>
    </w:p>
    <w:p w14:paraId="6388F079" w14:textId="5C47A2A7" w:rsidR="003C2E14" w:rsidRPr="00C6646D" w:rsidRDefault="003C2E14" w:rsidP="003C2E14">
      <w:r>
        <w:t>The DCAR conducted a trial-based economic evaluation over 12 months (</w:t>
      </w:r>
      <w:r w:rsidR="007F011C">
        <w:fldChar w:fldCharType="begin"/>
      </w:r>
      <w:r w:rsidR="007F011C">
        <w:instrText xml:space="preserve"> REF _Ref37795961 \h </w:instrText>
      </w:r>
      <w:r w:rsidR="007F011C">
        <w:fldChar w:fldCharType="separate"/>
      </w:r>
      <w:r w:rsidR="007F011C">
        <w:t xml:space="preserve">Table </w:t>
      </w:r>
      <w:r w:rsidR="007F011C">
        <w:rPr>
          <w:noProof/>
        </w:rPr>
        <w:t>7</w:t>
      </w:r>
      <w:r w:rsidR="007F011C">
        <w:fldChar w:fldCharType="end"/>
      </w:r>
      <w:r>
        <w:t xml:space="preserve">) using the comparative studies by Caviggioli (2011, 2016), which were conducted in a small cohort of </w:t>
      </w:r>
      <w:r w:rsidRPr="00E64878">
        <w:t>irradiated</w:t>
      </w:r>
      <w:r w:rsidRPr="008D71E1">
        <w:t xml:space="preserve"> </w:t>
      </w:r>
      <w:r>
        <w:t>post mastectomy and post lumpectomy populations who met the criteria for PMPS. The DCAR noted that demographic and other patient characteristics were not repor</w:t>
      </w:r>
      <w:r w:rsidR="00CD3AD3">
        <w:t>ted in Caviggioli (2011, 2016).</w:t>
      </w:r>
    </w:p>
    <w:p w14:paraId="177E4E1E" w14:textId="0AEF7FD8" w:rsidR="003C2E14" w:rsidRPr="002F2AEA" w:rsidRDefault="007F011C" w:rsidP="002F2AEA">
      <w:pPr>
        <w:spacing w:before="240"/>
        <w:rPr>
          <w:rFonts w:ascii="Arial Narrow" w:hAnsi="Arial Narrow"/>
          <w:b/>
          <w:sz w:val="20"/>
        </w:rPr>
      </w:pPr>
      <w:bookmarkStart w:id="28" w:name="_Ref37795961"/>
      <w:bookmarkStart w:id="29" w:name="_Toc37815156"/>
      <w:r w:rsidRPr="002F2AEA">
        <w:rPr>
          <w:rFonts w:ascii="Arial Narrow" w:hAnsi="Arial Narrow"/>
          <w:b/>
          <w:sz w:val="20"/>
        </w:rPr>
        <w:t xml:space="preserve">Table </w:t>
      </w:r>
      <w:r w:rsidR="002E3DBE" w:rsidRPr="002F2AEA">
        <w:rPr>
          <w:rFonts w:ascii="Arial Narrow" w:hAnsi="Arial Narrow"/>
          <w:b/>
          <w:sz w:val="20"/>
        </w:rPr>
        <w:fldChar w:fldCharType="begin"/>
      </w:r>
      <w:r w:rsidR="002E3DBE" w:rsidRPr="002F2AEA">
        <w:rPr>
          <w:rFonts w:ascii="Arial Narrow" w:hAnsi="Arial Narrow"/>
          <w:b/>
          <w:sz w:val="20"/>
        </w:rPr>
        <w:instrText xml:space="preserve"> SEQ Table \* ARABIC </w:instrText>
      </w:r>
      <w:r w:rsidR="002E3DBE" w:rsidRPr="002F2AEA">
        <w:rPr>
          <w:rFonts w:ascii="Arial Narrow" w:hAnsi="Arial Narrow"/>
          <w:b/>
          <w:sz w:val="20"/>
        </w:rPr>
        <w:fldChar w:fldCharType="separate"/>
      </w:r>
      <w:r w:rsidR="00EF74CD" w:rsidRPr="002F2AEA">
        <w:rPr>
          <w:rFonts w:ascii="Arial Narrow" w:hAnsi="Arial Narrow"/>
          <w:b/>
          <w:sz w:val="20"/>
        </w:rPr>
        <w:t>7</w:t>
      </w:r>
      <w:r w:rsidR="002E3DBE" w:rsidRPr="002F2AEA">
        <w:rPr>
          <w:rFonts w:ascii="Arial Narrow" w:hAnsi="Arial Narrow"/>
          <w:b/>
          <w:sz w:val="20"/>
        </w:rPr>
        <w:fldChar w:fldCharType="end"/>
      </w:r>
      <w:bookmarkEnd w:id="28"/>
      <w:r w:rsidR="003C2E14" w:rsidRPr="002F2AEA">
        <w:rPr>
          <w:rFonts w:ascii="Arial Narrow" w:hAnsi="Arial Narrow"/>
          <w:b/>
          <w:sz w:val="20"/>
        </w:rPr>
        <w:t xml:space="preserve"> Summary of the trial-based economic evaluation for PMPS (Subpopulations A2 and A3)</w:t>
      </w:r>
      <w:bookmarkEnd w:id="29"/>
    </w:p>
    <w:tbl>
      <w:tblPr>
        <w:tblStyle w:val="TableGrid1"/>
        <w:tblW w:w="0" w:type="auto"/>
        <w:tblLook w:val="01E0" w:firstRow="1" w:lastRow="1" w:firstColumn="1" w:lastColumn="1" w:noHBand="0" w:noVBand="0"/>
        <w:tblCaption w:val="Summary of the economic evaluation for pain (Population A4)"/>
        <w:tblDescription w:val="Summary of the economic evaluation for pain (Population A4)"/>
      </w:tblPr>
      <w:tblGrid>
        <w:gridCol w:w="2834"/>
        <w:gridCol w:w="6182"/>
      </w:tblGrid>
      <w:tr w:rsidR="003C2E14" w:rsidRPr="00183E4D" w14:paraId="6D86F373" w14:textId="77777777" w:rsidTr="00B72DF9">
        <w:trPr>
          <w:cnfStyle w:val="100000000000" w:firstRow="1" w:lastRow="0" w:firstColumn="0" w:lastColumn="0" w:oddVBand="0" w:evenVBand="0" w:oddHBand="0" w:evenHBand="0" w:firstRowFirstColumn="0" w:firstRowLastColumn="0" w:lastRowFirstColumn="0" w:lastRowLastColumn="0"/>
          <w:trHeight w:val="20"/>
          <w:tblHeader/>
        </w:trPr>
        <w:tc>
          <w:tcPr>
            <w:tcW w:w="2835" w:type="dxa"/>
          </w:tcPr>
          <w:p w14:paraId="6387878C" w14:textId="77777777" w:rsidR="003C2E14" w:rsidRPr="00183E4D" w:rsidRDefault="003C2E14" w:rsidP="002D52C6">
            <w:pPr>
              <w:pStyle w:val="Tabletext"/>
              <w:keepNext/>
              <w:rPr>
                <w:b/>
              </w:rPr>
            </w:pPr>
            <w:r w:rsidRPr="00183E4D">
              <w:rPr>
                <w:b/>
              </w:rPr>
              <w:t>Perspective</w:t>
            </w:r>
          </w:p>
        </w:tc>
        <w:tc>
          <w:tcPr>
            <w:tcW w:w="6186" w:type="dxa"/>
          </w:tcPr>
          <w:p w14:paraId="6167FDF8" w14:textId="77777777" w:rsidR="003C2E14" w:rsidRPr="00D61F4F" w:rsidRDefault="003C2E14" w:rsidP="002D52C6">
            <w:pPr>
              <w:pStyle w:val="Tabletext"/>
              <w:keepNext/>
            </w:pPr>
            <w:r w:rsidRPr="00D61F4F">
              <w:t>Australian Health Care System</w:t>
            </w:r>
          </w:p>
        </w:tc>
      </w:tr>
      <w:tr w:rsidR="003C2E14" w:rsidRPr="00183E4D" w14:paraId="7ED9B5DA" w14:textId="77777777" w:rsidTr="00B72DF9">
        <w:trPr>
          <w:trHeight w:val="70"/>
        </w:trPr>
        <w:tc>
          <w:tcPr>
            <w:tcW w:w="2835" w:type="dxa"/>
          </w:tcPr>
          <w:p w14:paraId="6D36733E" w14:textId="77777777" w:rsidR="003C2E14" w:rsidRPr="00183E4D" w:rsidRDefault="003C2E14" w:rsidP="002D52C6">
            <w:pPr>
              <w:pStyle w:val="Tabletext"/>
              <w:keepNext/>
              <w:rPr>
                <w:b/>
              </w:rPr>
            </w:pPr>
            <w:r w:rsidRPr="00183E4D">
              <w:rPr>
                <w:b/>
              </w:rPr>
              <w:t>Comparator</w:t>
            </w:r>
          </w:p>
        </w:tc>
        <w:tc>
          <w:tcPr>
            <w:tcW w:w="6186" w:type="dxa"/>
          </w:tcPr>
          <w:p w14:paraId="5CF00416" w14:textId="77777777" w:rsidR="003C2E14" w:rsidRPr="00D61F4F" w:rsidRDefault="003C2E14" w:rsidP="002D52C6">
            <w:pPr>
              <w:pStyle w:val="Tabletext"/>
              <w:keepNext/>
            </w:pPr>
            <w:r w:rsidRPr="00D61F4F">
              <w:t xml:space="preserve">Best </w:t>
            </w:r>
            <w:r>
              <w:t>s</w:t>
            </w:r>
            <w:r w:rsidRPr="00D61F4F">
              <w:t>upportive care</w:t>
            </w:r>
            <w:r>
              <w:t xml:space="preserve"> (p</w:t>
            </w:r>
            <w:r w:rsidRPr="002C20B6">
              <w:t>regabalin</w:t>
            </w:r>
            <w:r>
              <w:t xml:space="preserve"> 300mg daily)</w:t>
            </w:r>
          </w:p>
        </w:tc>
      </w:tr>
      <w:tr w:rsidR="003C2E14" w:rsidRPr="00183E4D" w14:paraId="68A7D098" w14:textId="77777777" w:rsidTr="00B72DF9">
        <w:trPr>
          <w:trHeight w:val="20"/>
        </w:trPr>
        <w:tc>
          <w:tcPr>
            <w:tcW w:w="2835" w:type="dxa"/>
          </w:tcPr>
          <w:p w14:paraId="012261B0" w14:textId="77777777" w:rsidR="003C2E14" w:rsidRPr="00183E4D" w:rsidRDefault="003C2E14" w:rsidP="002D52C6">
            <w:pPr>
              <w:pStyle w:val="Tabletext"/>
              <w:keepNext/>
              <w:rPr>
                <w:b/>
              </w:rPr>
            </w:pPr>
            <w:r w:rsidRPr="00183E4D">
              <w:rPr>
                <w:b/>
              </w:rPr>
              <w:t>Type of economic evaluation</w:t>
            </w:r>
          </w:p>
        </w:tc>
        <w:tc>
          <w:tcPr>
            <w:tcW w:w="6186" w:type="dxa"/>
          </w:tcPr>
          <w:p w14:paraId="1F0A4939" w14:textId="77777777" w:rsidR="003C2E14" w:rsidRPr="00D61F4F" w:rsidRDefault="003C2E14" w:rsidP="002D52C6">
            <w:pPr>
              <w:pStyle w:val="Tabletext"/>
              <w:keepNext/>
            </w:pPr>
            <w:r w:rsidRPr="00D61F4F">
              <w:t xml:space="preserve">Cost-effectiveness </w:t>
            </w:r>
          </w:p>
        </w:tc>
      </w:tr>
      <w:tr w:rsidR="003C2E14" w:rsidRPr="00183E4D" w14:paraId="7343C5F6" w14:textId="77777777" w:rsidTr="00B72DF9">
        <w:trPr>
          <w:trHeight w:val="20"/>
        </w:trPr>
        <w:tc>
          <w:tcPr>
            <w:tcW w:w="2835" w:type="dxa"/>
          </w:tcPr>
          <w:p w14:paraId="08FA481A" w14:textId="77777777" w:rsidR="003C2E14" w:rsidRPr="00183E4D" w:rsidRDefault="003C2E14" w:rsidP="002D52C6">
            <w:pPr>
              <w:pStyle w:val="Tabletext"/>
              <w:keepNext/>
              <w:rPr>
                <w:b/>
              </w:rPr>
            </w:pPr>
            <w:r w:rsidRPr="00183E4D">
              <w:rPr>
                <w:b/>
              </w:rPr>
              <w:t>Sources of evidence</w:t>
            </w:r>
          </w:p>
        </w:tc>
        <w:tc>
          <w:tcPr>
            <w:tcW w:w="6186" w:type="dxa"/>
          </w:tcPr>
          <w:p w14:paraId="04ACC665" w14:textId="77777777" w:rsidR="003C2E14" w:rsidRPr="00D61F4F" w:rsidRDefault="003C2E14" w:rsidP="002D52C6">
            <w:pPr>
              <w:pStyle w:val="Tabletext"/>
              <w:keepNext/>
            </w:pPr>
            <w:r w:rsidRPr="00D61F4F">
              <w:t xml:space="preserve">Systematic </w:t>
            </w:r>
            <w:r w:rsidRPr="008D71E1">
              <w:t>review</w:t>
            </w:r>
            <w:r>
              <w:t xml:space="preserve"> (Section B-PMPS); Comparative studies </w:t>
            </w:r>
            <w:r w:rsidRPr="00D61F4F">
              <w:t>(</w:t>
            </w:r>
            <w:r>
              <w:t xml:space="preserve">Caviggioli </w:t>
            </w:r>
            <w:r w:rsidRPr="00D61F4F">
              <w:t xml:space="preserve">2011, 2016)  </w:t>
            </w:r>
          </w:p>
        </w:tc>
      </w:tr>
      <w:tr w:rsidR="003C2E14" w:rsidRPr="00183E4D" w14:paraId="0A5FED0D" w14:textId="77777777" w:rsidTr="00B72DF9">
        <w:trPr>
          <w:trHeight w:val="20"/>
        </w:trPr>
        <w:tc>
          <w:tcPr>
            <w:tcW w:w="2835" w:type="dxa"/>
            <w:hideMark/>
          </w:tcPr>
          <w:p w14:paraId="0A0E7431" w14:textId="77777777" w:rsidR="003C2E14" w:rsidRPr="00183E4D" w:rsidRDefault="003C2E14" w:rsidP="002D52C6">
            <w:pPr>
              <w:pStyle w:val="Tabletext"/>
              <w:keepNext/>
              <w:rPr>
                <w:b/>
              </w:rPr>
            </w:pPr>
            <w:r w:rsidRPr="00183E4D">
              <w:rPr>
                <w:b/>
              </w:rPr>
              <w:t>Time horizon</w:t>
            </w:r>
          </w:p>
        </w:tc>
        <w:tc>
          <w:tcPr>
            <w:tcW w:w="6186" w:type="dxa"/>
            <w:hideMark/>
          </w:tcPr>
          <w:p w14:paraId="678C3F29" w14:textId="77777777" w:rsidR="003C2E14" w:rsidRPr="00D61F4F" w:rsidRDefault="003C2E14" w:rsidP="002D52C6">
            <w:pPr>
              <w:pStyle w:val="Tabletext"/>
              <w:keepNext/>
            </w:pPr>
            <w:r>
              <w:t>12 months</w:t>
            </w:r>
          </w:p>
        </w:tc>
      </w:tr>
      <w:tr w:rsidR="003C2E14" w:rsidRPr="00183E4D" w14:paraId="425ED2E4" w14:textId="77777777" w:rsidTr="00B72DF9">
        <w:trPr>
          <w:trHeight w:val="20"/>
        </w:trPr>
        <w:tc>
          <w:tcPr>
            <w:tcW w:w="2835" w:type="dxa"/>
            <w:hideMark/>
          </w:tcPr>
          <w:p w14:paraId="1D15C771" w14:textId="77777777" w:rsidR="003C2E14" w:rsidRPr="00183E4D" w:rsidRDefault="003C2E14" w:rsidP="002D52C6">
            <w:pPr>
              <w:pStyle w:val="Tabletext"/>
              <w:keepNext/>
              <w:rPr>
                <w:b/>
              </w:rPr>
            </w:pPr>
            <w:r w:rsidRPr="00183E4D">
              <w:rPr>
                <w:b/>
              </w:rPr>
              <w:t>Outcomes</w:t>
            </w:r>
          </w:p>
        </w:tc>
        <w:tc>
          <w:tcPr>
            <w:tcW w:w="6186" w:type="dxa"/>
          </w:tcPr>
          <w:p w14:paraId="67910AF9" w14:textId="77777777" w:rsidR="003C2E14" w:rsidRPr="00D61F4F" w:rsidRDefault="003C2E14" w:rsidP="002D52C6">
            <w:pPr>
              <w:pStyle w:val="Tabletext"/>
              <w:keepNext/>
            </w:pPr>
            <w:r>
              <w:t xml:space="preserve">Proportion of responders </w:t>
            </w:r>
          </w:p>
        </w:tc>
      </w:tr>
      <w:tr w:rsidR="003C2E14" w:rsidRPr="00183E4D" w14:paraId="46822AEE" w14:textId="77777777" w:rsidTr="00B72DF9">
        <w:trPr>
          <w:trHeight w:val="20"/>
        </w:trPr>
        <w:tc>
          <w:tcPr>
            <w:tcW w:w="2835" w:type="dxa"/>
            <w:hideMark/>
          </w:tcPr>
          <w:p w14:paraId="4ACD45E6" w14:textId="77777777" w:rsidR="003C2E14" w:rsidRPr="00183E4D" w:rsidRDefault="003C2E14" w:rsidP="002D52C6">
            <w:pPr>
              <w:pStyle w:val="Tabletext"/>
              <w:keepNext/>
              <w:rPr>
                <w:b/>
              </w:rPr>
            </w:pPr>
            <w:r w:rsidRPr="00183E4D">
              <w:rPr>
                <w:b/>
              </w:rPr>
              <w:t>Methods used to generate results</w:t>
            </w:r>
          </w:p>
        </w:tc>
        <w:tc>
          <w:tcPr>
            <w:tcW w:w="6186" w:type="dxa"/>
          </w:tcPr>
          <w:p w14:paraId="3FFF76ED" w14:textId="77777777" w:rsidR="003C2E14" w:rsidRPr="00D61F4F" w:rsidRDefault="003C2E14" w:rsidP="002D52C6">
            <w:pPr>
              <w:pStyle w:val="Tabletext"/>
              <w:keepNext/>
            </w:pPr>
            <w:r>
              <w:t xml:space="preserve">Comparative studies </w:t>
            </w:r>
            <w:r w:rsidRPr="00D61F4F">
              <w:t>(</w:t>
            </w:r>
            <w:r>
              <w:t xml:space="preserve">Caviggioli </w:t>
            </w:r>
            <w:r w:rsidRPr="00D61F4F">
              <w:t xml:space="preserve">2011, 2016)  </w:t>
            </w:r>
          </w:p>
        </w:tc>
      </w:tr>
      <w:tr w:rsidR="003C2E14" w:rsidRPr="00183E4D" w14:paraId="2FB0C943" w14:textId="77777777" w:rsidTr="00B72DF9">
        <w:trPr>
          <w:trHeight w:val="20"/>
        </w:trPr>
        <w:tc>
          <w:tcPr>
            <w:tcW w:w="2835" w:type="dxa"/>
          </w:tcPr>
          <w:p w14:paraId="0AB5B538" w14:textId="77777777" w:rsidR="003C2E14" w:rsidRPr="003C1802" w:rsidRDefault="003C2E14" w:rsidP="002D52C6">
            <w:pPr>
              <w:pStyle w:val="Tabletext"/>
              <w:keepNext/>
              <w:rPr>
                <w:b/>
              </w:rPr>
            </w:pPr>
            <w:r>
              <w:rPr>
                <w:b/>
              </w:rPr>
              <w:t>Health states</w:t>
            </w:r>
          </w:p>
        </w:tc>
        <w:tc>
          <w:tcPr>
            <w:tcW w:w="6186" w:type="dxa"/>
          </w:tcPr>
          <w:p w14:paraId="77F5E721" w14:textId="77777777" w:rsidR="003C2E14" w:rsidRPr="003C1802" w:rsidRDefault="003C2E14" w:rsidP="002D52C6">
            <w:pPr>
              <w:pStyle w:val="Tabletext"/>
              <w:keepNext/>
            </w:pPr>
            <w:r>
              <w:t>Not applicable</w:t>
            </w:r>
          </w:p>
        </w:tc>
      </w:tr>
      <w:tr w:rsidR="003C2E14" w:rsidRPr="00183E4D" w14:paraId="0DCDE984" w14:textId="77777777" w:rsidTr="00B72DF9">
        <w:trPr>
          <w:trHeight w:val="20"/>
        </w:trPr>
        <w:tc>
          <w:tcPr>
            <w:tcW w:w="2835" w:type="dxa"/>
            <w:hideMark/>
          </w:tcPr>
          <w:p w14:paraId="2C25D4F3" w14:textId="77777777" w:rsidR="003C2E14" w:rsidRPr="003C1802" w:rsidRDefault="003C2E14" w:rsidP="002D52C6">
            <w:pPr>
              <w:pStyle w:val="Tabletext"/>
              <w:keepNext/>
              <w:rPr>
                <w:b/>
              </w:rPr>
            </w:pPr>
            <w:r>
              <w:rPr>
                <w:b/>
              </w:rPr>
              <w:t>Cycle length</w:t>
            </w:r>
          </w:p>
        </w:tc>
        <w:tc>
          <w:tcPr>
            <w:tcW w:w="6186" w:type="dxa"/>
          </w:tcPr>
          <w:p w14:paraId="42673E4D" w14:textId="77777777" w:rsidR="003C2E14" w:rsidRPr="003C1802" w:rsidRDefault="003C2E14" w:rsidP="002D52C6">
            <w:pPr>
              <w:pStyle w:val="Tabletext"/>
              <w:keepNext/>
            </w:pPr>
            <w:r>
              <w:t>Not applicable</w:t>
            </w:r>
          </w:p>
        </w:tc>
      </w:tr>
      <w:tr w:rsidR="003C2E14" w:rsidRPr="00183E4D" w14:paraId="631C0BDA" w14:textId="77777777" w:rsidTr="00B72DF9">
        <w:trPr>
          <w:trHeight w:val="20"/>
        </w:trPr>
        <w:tc>
          <w:tcPr>
            <w:tcW w:w="2835" w:type="dxa"/>
            <w:hideMark/>
          </w:tcPr>
          <w:p w14:paraId="2F8422C1" w14:textId="77777777" w:rsidR="003C2E14" w:rsidRPr="00183E4D" w:rsidRDefault="003C2E14" w:rsidP="002D52C6">
            <w:pPr>
              <w:pStyle w:val="Tabletext"/>
              <w:keepNext/>
              <w:rPr>
                <w:b/>
              </w:rPr>
            </w:pPr>
            <w:r w:rsidRPr="00183E4D">
              <w:rPr>
                <w:b/>
              </w:rPr>
              <w:t>Discount rate</w:t>
            </w:r>
          </w:p>
        </w:tc>
        <w:tc>
          <w:tcPr>
            <w:tcW w:w="6186" w:type="dxa"/>
          </w:tcPr>
          <w:p w14:paraId="7B36099F" w14:textId="77777777" w:rsidR="003C2E14" w:rsidRPr="00D61F4F" w:rsidRDefault="003C2E14" w:rsidP="002D52C6">
            <w:pPr>
              <w:pStyle w:val="Tabletext"/>
              <w:keepNext/>
            </w:pPr>
            <w:r>
              <w:t>Not applicable</w:t>
            </w:r>
          </w:p>
        </w:tc>
      </w:tr>
      <w:tr w:rsidR="003C2E14" w:rsidRPr="00183E4D" w14:paraId="1FA4DCF1" w14:textId="77777777" w:rsidTr="00B72DF9">
        <w:trPr>
          <w:trHeight w:val="20"/>
        </w:trPr>
        <w:tc>
          <w:tcPr>
            <w:tcW w:w="2835" w:type="dxa"/>
            <w:hideMark/>
          </w:tcPr>
          <w:p w14:paraId="45FF8409" w14:textId="77777777" w:rsidR="003C2E14" w:rsidRPr="00183E4D" w:rsidRDefault="003C2E14" w:rsidP="002D52C6">
            <w:pPr>
              <w:pStyle w:val="Tabletext"/>
              <w:keepNext/>
              <w:rPr>
                <w:b/>
              </w:rPr>
            </w:pPr>
            <w:r w:rsidRPr="00183E4D">
              <w:rPr>
                <w:b/>
              </w:rPr>
              <w:t>Software packages used</w:t>
            </w:r>
          </w:p>
        </w:tc>
        <w:tc>
          <w:tcPr>
            <w:tcW w:w="6186" w:type="dxa"/>
          </w:tcPr>
          <w:p w14:paraId="76791EF0" w14:textId="77777777" w:rsidR="003C2E14" w:rsidRPr="00D61F4F" w:rsidRDefault="003C2E14" w:rsidP="002D52C6">
            <w:pPr>
              <w:pStyle w:val="Tabletext"/>
              <w:keepNext/>
            </w:pPr>
            <w:r>
              <w:t>Not applicable (simple arithmetical calculation)</w:t>
            </w:r>
          </w:p>
        </w:tc>
      </w:tr>
    </w:tbl>
    <w:p w14:paraId="12BCD7DB" w14:textId="77777777" w:rsidR="003C2E14" w:rsidRDefault="003C2E14" w:rsidP="003C2E14">
      <w:pPr>
        <w:pStyle w:val="Tablenotes"/>
        <w:keepNext/>
        <w:spacing w:after="240"/>
        <w:rPr>
          <w:szCs w:val="18"/>
        </w:rPr>
      </w:pPr>
      <w:r>
        <w:rPr>
          <w:szCs w:val="18"/>
        </w:rPr>
        <w:t xml:space="preserve">Abbreviations: </w:t>
      </w:r>
      <w:r w:rsidRPr="003C1802">
        <w:rPr>
          <w:szCs w:val="18"/>
        </w:rPr>
        <w:t xml:space="preserve">PMPS </w:t>
      </w:r>
      <w:r>
        <w:rPr>
          <w:szCs w:val="18"/>
        </w:rPr>
        <w:t>= post mastectomy pain syndrome</w:t>
      </w:r>
    </w:p>
    <w:p w14:paraId="71B198EA" w14:textId="77777777" w:rsidR="003C2E14" w:rsidRDefault="003C2E14" w:rsidP="003C2E14">
      <w:pPr>
        <w:pStyle w:val="Tablenotes"/>
        <w:keepNext/>
        <w:spacing w:after="240"/>
        <w:rPr>
          <w:szCs w:val="18"/>
        </w:rPr>
      </w:pPr>
      <w:r>
        <w:rPr>
          <w:szCs w:val="18"/>
        </w:rPr>
        <w:t>Source: Table 56, p156 of the DCAR.</w:t>
      </w:r>
    </w:p>
    <w:p w14:paraId="65078D66" w14:textId="75F768B2" w:rsidR="003C2E14" w:rsidRDefault="003C2E14" w:rsidP="003C2E14">
      <w:r>
        <w:t>A</w:t>
      </w:r>
      <w:r w:rsidRPr="008D71E1">
        <w:t xml:space="preserve"> cost per responder </w:t>
      </w:r>
      <w:r>
        <w:t xml:space="preserve">(defined as the proportion who ceased analgesics) </w:t>
      </w:r>
      <w:r w:rsidRPr="008D71E1">
        <w:t>of $</w:t>
      </w:r>
      <w:r>
        <w:t>1,</w:t>
      </w:r>
      <w:r w:rsidR="00CD3AD3">
        <w:t>076.82 was estimated (</w:t>
      </w:r>
      <w:r w:rsidR="007F011C">
        <w:fldChar w:fldCharType="begin"/>
      </w:r>
      <w:r w:rsidR="007F011C">
        <w:instrText xml:space="preserve"> REF _Ref50012536 \h </w:instrText>
      </w:r>
      <w:r w:rsidR="007F011C">
        <w:fldChar w:fldCharType="separate"/>
      </w:r>
      <w:r w:rsidR="007F011C">
        <w:t xml:space="preserve">Table </w:t>
      </w:r>
      <w:r w:rsidR="007F011C">
        <w:rPr>
          <w:noProof/>
        </w:rPr>
        <w:t>8</w:t>
      </w:r>
      <w:r w:rsidR="007F011C">
        <w:fldChar w:fldCharType="end"/>
      </w:r>
      <w:r w:rsidR="00CD3AD3">
        <w:t>).</w:t>
      </w:r>
    </w:p>
    <w:p w14:paraId="6DC88062" w14:textId="518C6B09" w:rsidR="003C2E14" w:rsidRPr="002F2AEA" w:rsidRDefault="007F011C" w:rsidP="002F2AEA">
      <w:pPr>
        <w:spacing w:before="240"/>
        <w:rPr>
          <w:rFonts w:ascii="Arial Narrow" w:hAnsi="Arial Narrow"/>
          <w:b/>
          <w:sz w:val="20"/>
        </w:rPr>
      </w:pPr>
      <w:bookmarkStart w:id="30" w:name="_Ref50012536"/>
      <w:r w:rsidRPr="002F2AEA">
        <w:rPr>
          <w:rFonts w:ascii="Arial Narrow" w:hAnsi="Arial Narrow"/>
          <w:b/>
          <w:sz w:val="20"/>
        </w:rPr>
        <w:t xml:space="preserve">Table </w:t>
      </w:r>
      <w:r w:rsidR="002E3DBE" w:rsidRPr="002F2AEA">
        <w:rPr>
          <w:rFonts w:ascii="Arial Narrow" w:hAnsi="Arial Narrow"/>
          <w:b/>
          <w:sz w:val="20"/>
        </w:rPr>
        <w:fldChar w:fldCharType="begin"/>
      </w:r>
      <w:r w:rsidR="002E3DBE" w:rsidRPr="002F2AEA">
        <w:rPr>
          <w:rFonts w:ascii="Arial Narrow" w:hAnsi="Arial Narrow"/>
          <w:b/>
          <w:sz w:val="20"/>
        </w:rPr>
        <w:instrText xml:space="preserve"> SEQ Table \* ARABIC </w:instrText>
      </w:r>
      <w:r w:rsidR="002E3DBE" w:rsidRPr="002F2AEA">
        <w:rPr>
          <w:rFonts w:ascii="Arial Narrow" w:hAnsi="Arial Narrow"/>
          <w:b/>
          <w:sz w:val="20"/>
        </w:rPr>
        <w:fldChar w:fldCharType="separate"/>
      </w:r>
      <w:r w:rsidR="00EF74CD" w:rsidRPr="002F2AEA">
        <w:rPr>
          <w:rFonts w:ascii="Arial Narrow" w:hAnsi="Arial Narrow"/>
          <w:b/>
          <w:sz w:val="20"/>
        </w:rPr>
        <w:t>8</w:t>
      </w:r>
      <w:r w:rsidR="002E3DBE" w:rsidRPr="002F2AEA">
        <w:rPr>
          <w:rFonts w:ascii="Arial Narrow" w:hAnsi="Arial Narrow"/>
          <w:b/>
          <w:sz w:val="20"/>
        </w:rPr>
        <w:fldChar w:fldCharType="end"/>
      </w:r>
      <w:bookmarkEnd w:id="30"/>
      <w:r w:rsidR="003C2E14" w:rsidRPr="002F2AEA">
        <w:rPr>
          <w:rFonts w:ascii="Arial Narrow" w:hAnsi="Arial Narrow"/>
          <w:b/>
          <w:sz w:val="20"/>
        </w:rPr>
        <w:tab/>
        <w:t>Summary of trial-based economic evaluation for PMPS</w:t>
      </w:r>
    </w:p>
    <w:tbl>
      <w:tblPr>
        <w:tblStyle w:val="TableGrid2"/>
        <w:tblW w:w="5000" w:type="pct"/>
        <w:tblCellMar>
          <w:left w:w="28" w:type="dxa"/>
          <w:right w:w="28" w:type="dxa"/>
        </w:tblCellMar>
        <w:tblLook w:val="04A0" w:firstRow="1" w:lastRow="0" w:firstColumn="1" w:lastColumn="0" w:noHBand="0" w:noVBand="1"/>
        <w:tblCaption w:val="Table XX"/>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469"/>
        <w:gridCol w:w="1294"/>
        <w:gridCol w:w="1294"/>
        <w:gridCol w:w="1325"/>
        <w:gridCol w:w="1304"/>
        <w:gridCol w:w="1330"/>
      </w:tblGrid>
      <w:tr w:rsidR="003C2E14" w:rsidRPr="004B279F" w14:paraId="62739AB9" w14:textId="77777777" w:rsidTr="002D52C6">
        <w:trPr>
          <w:cnfStyle w:val="100000000000" w:firstRow="1" w:lastRow="0" w:firstColumn="0" w:lastColumn="0" w:oddVBand="0" w:evenVBand="0" w:oddHBand="0" w:evenHBand="0" w:firstRowFirstColumn="0" w:firstRowLastColumn="0" w:lastRowFirstColumn="0" w:lastRowLastColumn="0"/>
          <w:tblHeader/>
        </w:trPr>
        <w:tc>
          <w:tcPr>
            <w:tcW w:w="1373" w:type="pct"/>
            <w:tcBorders>
              <w:bottom w:val="single" w:sz="4" w:space="0" w:color="auto"/>
            </w:tcBorders>
            <w:vAlign w:val="center"/>
          </w:tcPr>
          <w:p w14:paraId="3FF212E2" w14:textId="77777777" w:rsidR="003C2E14" w:rsidRPr="004B279F" w:rsidRDefault="003C2E14" w:rsidP="002D52C6">
            <w:pPr>
              <w:widowControl w:val="0"/>
              <w:rPr>
                <w:rFonts w:ascii="Arial Narrow" w:hAnsi="Arial Narrow"/>
                <w:b/>
              </w:rPr>
            </w:pPr>
            <w:r w:rsidRPr="004B279F">
              <w:rPr>
                <w:rFonts w:ascii="Arial Narrow" w:hAnsi="Arial Narrow"/>
                <w:b/>
              </w:rPr>
              <w:t>Alternative strategies</w:t>
            </w:r>
          </w:p>
        </w:tc>
        <w:tc>
          <w:tcPr>
            <w:tcW w:w="721" w:type="pct"/>
            <w:tcBorders>
              <w:bottom w:val="single" w:sz="4" w:space="0" w:color="auto"/>
            </w:tcBorders>
            <w:vAlign w:val="center"/>
          </w:tcPr>
          <w:p w14:paraId="44CB3581" w14:textId="77777777" w:rsidR="003C2E14" w:rsidRPr="004B279F" w:rsidRDefault="003C2E14" w:rsidP="002D52C6">
            <w:pPr>
              <w:widowControl w:val="0"/>
              <w:jc w:val="center"/>
              <w:rPr>
                <w:rFonts w:ascii="Arial Narrow" w:hAnsi="Arial Narrow"/>
                <w:b/>
              </w:rPr>
            </w:pPr>
            <w:r w:rsidRPr="004B279F">
              <w:rPr>
                <w:rFonts w:ascii="Arial Narrow" w:hAnsi="Arial Narrow"/>
                <w:b/>
              </w:rPr>
              <w:t>Cost</w:t>
            </w:r>
          </w:p>
        </w:tc>
        <w:tc>
          <w:tcPr>
            <w:tcW w:w="721" w:type="pct"/>
            <w:tcBorders>
              <w:bottom w:val="single" w:sz="4" w:space="0" w:color="auto"/>
            </w:tcBorders>
            <w:vAlign w:val="center"/>
          </w:tcPr>
          <w:p w14:paraId="42D061B1" w14:textId="77777777" w:rsidR="003C2E14" w:rsidRPr="004B279F" w:rsidRDefault="003C2E14" w:rsidP="002D52C6">
            <w:pPr>
              <w:widowControl w:val="0"/>
              <w:jc w:val="center"/>
              <w:rPr>
                <w:rFonts w:ascii="Arial Narrow" w:hAnsi="Arial Narrow"/>
                <w:b/>
              </w:rPr>
            </w:pPr>
            <w:r w:rsidRPr="004B279F">
              <w:rPr>
                <w:rFonts w:ascii="Arial Narrow" w:hAnsi="Arial Narrow"/>
                <w:b/>
              </w:rPr>
              <w:t>Incremental cost</w:t>
            </w:r>
          </w:p>
        </w:tc>
        <w:tc>
          <w:tcPr>
            <w:tcW w:w="721" w:type="pct"/>
            <w:tcBorders>
              <w:bottom w:val="single" w:sz="4" w:space="0" w:color="auto"/>
            </w:tcBorders>
            <w:vAlign w:val="center"/>
          </w:tcPr>
          <w:p w14:paraId="4F40963F" w14:textId="77777777" w:rsidR="003C2E14" w:rsidRPr="004B279F" w:rsidRDefault="003C2E14" w:rsidP="002D52C6">
            <w:pPr>
              <w:widowControl w:val="0"/>
              <w:jc w:val="center"/>
              <w:rPr>
                <w:rFonts w:ascii="Arial Narrow" w:hAnsi="Arial Narrow"/>
                <w:b/>
              </w:rPr>
            </w:pPr>
            <w:r>
              <w:rPr>
                <w:rFonts w:ascii="Arial Narrow" w:hAnsi="Arial Narrow"/>
                <w:b/>
              </w:rPr>
              <w:t>Effectiveness (response)</w:t>
            </w:r>
          </w:p>
        </w:tc>
        <w:tc>
          <w:tcPr>
            <w:tcW w:w="722" w:type="pct"/>
            <w:tcBorders>
              <w:bottom w:val="single" w:sz="4" w:space="0" w:color="auto"/>
            </w:tcBorders>
            <w:vAlign w:val="center"/>
          </w:tcPr>
          <w:p w14:paraId="7BD0CBA5" w14:textId="77777777" w:rsidR="003C2E14" w:rsidRPr="004B279F" w:rsidRDefault="003C2E14" w:rsidP="002D52C6">
            <w:pPr>
              <w:widowControl w:val="0"/>
              <w:jc w:val="center"/>
              <w:rPr>
                <w:rFonts w:ascii="Arial Narrow" w:hAnsi="Arial Narrow"/>
                <w:b/>
              </w:rPr>
            </w:pPr>
            <w:r w:rsidRPr="004B279F">
              <w:rPr>
                <w:rFonts w:ascii="Arial Narrow" w:hAnsi="Arial Narrow"/>
                <w:b/>
              </w:rPr>
              <w:t>Incremental effectiveness</w:t>
            </w:r>
          </w:p>
        </w:tc>
        <w:tc>
          <w:tcPr>
            <w:tcW w:w="741" w:type="pct"/>
            <w:tcBorders>
              <w:bottom w:val="single" w:sz="4" w:space="0" w:color="auto"/>
            </w:tcBorders>
            <w:vAlign w:val="center"/>
          </w:tcPr>
          <w:p w14:paraId="14217434" w14:textId="77777777" w:rsidR="003C2E14" w:rsidRPr="004B279F" w:rsidRDefault="003C2E14" w:rsidP="002D52C6">
            <w:pPr>
              <w:widowControl w:val="0"/>
              <w:jc w:val="center"/>
              <w:rPr>
                <w:rFonts w:ascii="Arial Narrow" w:hAnsi="Arial Narrow"/>
                <w:b/>
              </w:rPr>
            </w:pPr>
            <w:r w:rsidRPr="004B279F">
              <w:rPr>
                <w:rFonts w:ascii="Arial Narrow" w:hAnsi="Arial Narrow"/>
                <w:b/>
              </w:rPr>
              <w:t>ICER</w:t>
            </w:r>
          </w:p>
        </w:tc>
      </w:tr>
      <w:tr w:rsidR="003C2E14" w:rsidRPr="004B279F" w14:paraId="71489AF5" w14:textId="77777777" w:rsidTr="002D52C6">
        <w:tc>
          <w:tcPr>
            <w:tcW w:w="1373" w:type="pct"/>
          </w:tcPr>
          <w:p w14:paraId="08038F04" w14:textId="77777777" w:rsidR="003C2E14" w:rsidRPr="004B279F" w:rsidRDefault="003C2E14" w:rsidP="002D52C6">
            <w:pPr>
              <w:widowControl w:val="0"/>
            </w:pPr>
            <w:r w:rsidRPr="004B279F">
              <w:t>AFG</w:t>
            </w:r>
          </w:p>
        </w:tc>
        <w:tc>
          <w:tcPr>
            <w:tcW w:w="721" w:type="pct"/>
            <w:vAlign w:val="center"/>
          </w:tcPr>
          <w:p w14:paraId="0B923DD6" w14:textId="77777777" w:rsidR="003C2E14" w:rsidRPr="00F36926" w:rsidRDefault="003C2E14" w:rsidP="002D52C6">
            <w:pPr>
              <w:widowControl w:val="0"/>
              <w:jc w:val="center"/>
            </w:pPr>
            <w:r>
              <w:t>$1,049</w:t>
            </w:r>
          </w:p>
        </w:tc>
        <w:tc>
          <w:tcPr>
            <w:tcW w:w="721" w:type="pct"/>
            <w:tcBorders>
              <w:bottom w:val="nil"/>
            </w:tcBorders>
            <w:vAlign w:val="center"/>
          </w:tcPr>
          <w:p w14:paraId="045AE2C2" w14:textId="77777777" w:rsidR="003C2E14" w:rsidRPr="00F36926" w:rsidRDefault="003C2E14" w:rsidP="002D52C6">
            <w:pPr>
              <w:widowControl w:val="0"/>
              <w:jc w:val="center"/>
            </w:pPr>
            <w:r>
              <w:t>$872</w:t>
            </w:r>
          </w:p>
        </w:tc>
        <w:tc>
          <w:tcPr>
            <w:tcW w:w="721" w:type="pct"/>
            <w:vAlign w:val="center"/>
          </w:tcPr>
          <w:p w14:paraId="2DB9DFCE" w14:textId="77777777" w:rsidR="003C2E14" w:rsidRPr="00F36926" w:rsidRDefault="003C2E14" w:rsidP="002D52C6">
            <w:pPr>
              <w:widowControl w:val="0"/>
              <w:jc w:val="center"/>
            </w:pPr>
            <w:r>
              <w:t>81%</w:t>
            </w:r>
          </w:p>
        </w:tc>
        <w:tc>
          <w:tcPr>
            <w:tcW w:w="722" w:type="pct"/>
            <w:tcBorders>
              <w:bottom w:val="nil"/>
            </w:tcBorders>
            <w:vAlign w:val="center"/>
          </w:tcPr>
          <w:p w14:paraId="4ECBA592" w14:textId="77777777" w:rsidR="003C2E14" w:rsidRPr="00F36926" w:rsidRDefault="003C2E14" w:rsidP="002D52C6">
            <w:pPr>
              <w:widowControl w:val="0"/>
              <w:jc w:val="center"/>
            </w:pPr>
            <w:r>
              <w:t>81%</w:t>
            </w:r>
          </w:p>
        </w:tc>
        <w:tc>
          <w:tcPr>
            <w:tcW w:w="741" w:type="pct"/>
            <w:tcBorders>
              <w:bottom w:val="nil"/>
            </w:tcBorders>
            <w:vAlign w:val="center"/>
          </w:tcPr>
          <w:p w14:paraId="759BB3AB" w14:textId="77777777" w:rsidR="003C2E14" w:rsidRPr="004B279F" w:rsidRDefault="003C2E14" w:rsidP="002D52C6">
            <w:pPr>
              <w:widowControl w:val="0"/>
              <w:jc w:val="center"/>
            </w:pPr>
            <w:r>
              <w:t>$1,076</w:t>
            </w:r>
          </w:p>
        </w:tc>
      </w:tr>
      <w:tr w:rsidR="003C2E14" w:rsidRPr="004B279F" w14:paraId="627DD31E" w14:textId="77777777" w:rsidTr="002D52C6">
        <w:tc>
          <w:tcPr>
            <w:tcW w:w="1373" w:type="pct"/>
          </w:tcPr>
          <w:p w14:paraId="096DA251" w14:textId="77777777" w:rsidR="003C2E14" w:rsidRPr="004B279F" w:rsidRDefault="003C2E14" w:rsidP="002D52C6">
            <w:pPr>
              <w:widowControl w:val="0"/>
            </w:pPr>
            <w:r w:rsidRPr="004B279F">
              <w:t>Best supportive care</w:t>
            </w:r>
          </w:p>
        </w:tc>
        <w:tc>
          <w:tcPr>
            <w:tcW w:w="721" w:type="pct"/>
            <w:vAlign w:val="center"/>
          </w:tcPr>
          <w:p w14:paraId="4DF8B3E6" w14:textId="77777777" w:rsidR="003C2E14" w:rsidRPr="00F36926" w:rsidRDefault="003C2E14" w:rsidP="002D52C6">
            <w:pPr>
              <w:widowControl w:val="0"/>
              <w:jc w:val="center"/>
            </w:pPr>
            <w:r>
              <w:t>$177</w:t>
            </w:r>
          </w:p>
        </w:tc>
        <w:tc>
          <w:tcPr>
            <w:tcW w:w="721" w:type="pct"/>
            <w:tcBorders>
              <w:top w:val="nil"/>
            </w:tcBorders>
          </w:tcPr>
          <w:p w14:paraId="591A5A6A" w14:textId="77777777" w:rsidR="003C2E14" w:rsidRPr="00F36926" w:rsidRDefault="003C2E14" w:rsidP="002D52C6">
            <w:pPr>
              <w:widowControl w:val="0"/>
            </w:pPr>
          </w:p>
        </w:tc>
        <w:tc>
          <w:tcPr>
            <w:tcW w:w="721" w:type="pct"/>
            <w:vAlign w:val="center"/>
          </w:tcPr>
          <w:p w14:paraId="630B88DF" w14:textId="77777777" w:rsidR="003C2E14" w:rsidRPr="00F36926" w:rsidRDefault="003C2E14" w:rsidP="002D52C6">
            <w:pPr>
              <w:widowControl w:val="0"/>
              <w:jc w:val="center"/>
            </w:pPr>
            <w:r>
              <w:t>0</w:t>
            </w:r>
          </w:p>
        </w:tc>
        <w:tc>
          <w:tcPr>
            <w:tcW w:w="722" w:type="pct"/>
            <w:tcBorders>
              <w:top w:val="nil"/>
            </w:tcBorders>
          </w:tcPr>
          <w:p w14:paraId="4C8EB039" w14:textId="77777777" w:rsidR="003C2E14" w:rsidRPr="00F36926" w:rsidRDefault="003C2E14" w:rsidP="002D52C6">
            <w:pPr>
              <w:widowControl w:val="0"/>
            </w:pPr>
          </w:p>
        </w:tc>
        <w:tc>
          <w:tcPr>
            <w:tcW w:w="741" w:type="pct"/>
            <w:tcBorders>
              <w:top w:val="nil"/>
            </w:tcBorders>
          </w:tcPr>
          <w:p w14:paraId="190B530D" w14:textId="77777777" w:rsidR="003C2E14" w:rsidRPr="004B279F" w:rsidRDefault="003C2E14" w:rsidP="002D52C6">
            <w:pPr>
              <w:widowControl w:val="0"/>
              <w:jc w:val="center"/>
            </w:pPr>
            <w:r>
              <w:t>per responder</w:t>
            </w:r>
          </w:p>
        </w:tc>
      </w:tr>
    </w:tbl>
    <w:p w14:paraId="101904FC" w14:textId="77777777" w:rsidR="003C2E14" w:rsidRPr="00EE5E5A" w:rsidRDefault="003C2E14" w:rsidP="003C2E14">
      <w:pPr>
        <w:rPr>
          <w:szCs w:val="18"/>
        </w:rPr>
      </w:pPr>
      <w:r>
        <w:rPr>
          <w:rFonts w:ascii="Arial Narrow" w:hAnsi="Arial Narrow"/>
          <w:sz w:val="18"/>
        </w:rPr>
        <w:t>Abbreviations: AFG=autologous fat grafting</w:t>
      </w:r>
      <w:r w:rsidRPr="006148BC">
        <w:rPr>
          <w:rFonts w:ascii="Arial Narrow" w:hAnsi="Arial Narrow"/>
          <w:sz w:val="18"/>
        </w:rPr>
        <w:t xml:space="preserve">; ICER = </w:t>
      </w:r>
      <w:r>
        <w:rPr>
          <w:rFonts w:ascii="Arial Narrow" w:hAnsi="Arial Narrow"/>
          <w:sz w:val="18"/>
        </w:rPr>
        <w:t>i</w:t>
      </w:r>
      <w:r w:rsidRPr="006148BC">
        <w:rPr>
          <w:rFonts w:ascii="Arial Narrow" w:hAnsi="Arial Narrow"/>
          <w:sz w:val="18"/>
        </w:rPr>
        <w:t xml:space="preserve">ncremental </w:t>
      </w:r>
      <w:r>
        <w:rPr>
          <w:rFonts w:ascii="Arial Narrow" w:hAnsi="Arial Narrow"/>
          <w:sz w:val="18"/>
        </w:rPr>
        <w:t>c</w:t>
      </w:r>
      <w:r w:rsidRPr="006148BC">
        <w:rPr>
          <w:rFonts w:ascii="Arial Narrow" w:hAnsi="Arial Narrow"/>
          <w:sz w:val="18"/>
        </w:rPr>
        <w:t xml:space="preserve">ost </w:t>
      </w:r>
      <w:r>
        <w:rPr>
          <w:rFonts w:ascii="Arial Narrow" w:hAnsi="Arial Narrow"/>
          <w:sz w:val="18"/>
        </w:rPr>
        <w:t>e</w:t>
      </w:r>
      <w:r w:rsidRPr="006148BC">
        <w:rPr>
          <w:rFonts w:ascii="Arial Narrow" w:hAnsi="Arial Narrow"/>
          <w:sz w:val="18"/>
        </w:rPr>
        <w:t xml:space="preserve">ffectiveness </w:t>
      </w:r>
      <w:r>
        <w:rPr>
          <w:rFonts w:ascii="Arial Narrow" w:hAnsi="Arial Narrow"/>
          <w:sz w:val="18"/>
        </w:rPr>
        <w:t>r</w:t>
      </w:r>
      <w:r w:rsidRPr="006148BC">
        <w:rPr>
          <w:rFonts w:ascii="Arial Narrow" w:hAnsi="Arial Narrow"/>
          <w:sz w:val="18"/>
        </w:rPr>
        <w:t>atio; PMPS=</w:t>
      </w:r>
      <w:r>
        <w:rPr>
          <w:rFonts w:ascii="Arial Narrow" w:hAnsi="Arial Narrow"/>
          <w:sz w:val="18"/>
        </w:rPr>
        <w:t xml:space="preserve"> post mastectomy pain syndrome</w:t>
      </w:r>
    </w:p>
    <w:p w14:paraId="2AE0FE48" w14:textId="77777777" w:rsidR="003C2E14" w:rsidRDefault="003C2E14" w:rsidP="003C2E14">
      <w:pPr>
        <w:pStyle w:val="Heading3"/>
      </w:pPr>
      <w:r>
        <w:t>Modelled economic evaluation – PMPS</w:t>
      </w:r>
    </w:p>
    <w:p w14:paraId="2DEE1514" w14:textId="21DC26C0" w:rsidR="00CD3AD3" w:rsidRPr="00CD3AD3" w:rsidRDefault="003C2E14" w:rsidP="002F2AEA">
      <w:pPr>
        <w:spacing w:before="240"/>
      </w:pPr>
      <w:r>
        <w:t>In addition, the DCAR presented a modelled CEA, which extends the model to a lif</w:t>
      </w:r>
      <w:r w:rsidR="00CD3AD3">
        <w:t xml:space="preserve">etime is summarised in </w:t>
      </w:r>
      <w:r w:rsidR="007F011C">
        <w:fldChar w:fldCharType="begin"/>
      </w:r>
      <w:r w:rsidR="007F011C">
        <w:instrText xml:space="preserve"> REF _Ref50012555 \h </w:instrText>
      </w:r>
      <w:r w:rsidR="007F011C">
        <w:fldChar w:fldCharType="separate"/>
      </w:r>
      <w:r w:rsidR="007F011C">
        <w:t xml:space="preserve">Table </w:t>
      </w:r>
      <w:r w:rsidR="007F011C">
        <w:rPr>
          <w:noProof/>
        </w:rPr>
        <w:t>9</w:t>
      </w:r>
      <w:r w:rsidR="007F011C">
        <w:fldChar w:fldCharType="end"/>
      </w:r>
      <w:r w:rsidR="00CD3AD3">
        <w:t>.</w:t>
      </w:r>
      <w:bookmarkStart w:id="31" w:name="_Ref30069878"/>
      <w:bookmarkStart w:id="32" w:name="_Toc37815105"/>
      <w:r w:rsidR="00CD3AD3">
        <w:br w:type="page"/>
      </w:r>
    </w:p>
    <w:p w14:paraId="31BD06D4" w14:textId="29CEDAA6" w:rsidR="003C2E14" w:rsidRPr="002F2AEA" w:rsidRDefault="007F011C" w:rsidP="002F2AEA">
      <w:pPr>
        <w:rPr>
          <w:rFonts w:ascii="Arial Narrow" w:hAnsi="Arial Narrow"/>
          <w:b/>
          <w:sz w:val="20"/>
        </w:rPr>
      </w:pPr>
      <w:bookmarkStart w:id="33" w:name="_Ref50012555"/>
      <w:r w:rsidRPr="002F2AEA">
        <w:rPr>
          <w:rFonts w:ascii="Arial Narrow" w:hAnsi="Arial Narrow"/>
          <w:b/>
          <w:sz w:val="20"/>
        </w:rPr>
        <w:lastRenderedPageBreak/>
        <w:t xml:space="preserve">Table </w:t>
      </w:r>
      <w:r w:rsidR="002E3DBE" w:rsidRPr="002F2AEA">
        <w:rPr>
          <w:rFonts w:ascii="Arial Narrow" w:hAnsi="Arial Narrow"/>
          <w:b/>
          <w:sz w:val="20"/>
        </w:rPr>
        <w:fldChar w:fldCharType="begin"/>
      </w:r>
      <w:r w:rsidR="002E3DBE" w:rsidRPr="002F2AEA">
        <w:rPr>
          <w:rFonts w:ascii="Arial Narrow" w:hAnsi="Arial Narrow"/>
          <w:b/>
          <w:sz w:val="20"/>
        </w:rPr>
        <w:instrText xml:space="preserve"> SEQ Table \* ARABIC </w:instrText>
      </w:r>
      <w:r w:rsidR="002E3DBE" w:rsidRPr="002F2AEA">
        <w:rPr>
          <w:rFonts w:ascii="Arial Narrow" w:hAnsi="Arial Narrow"/>
          <w:b/>
          <w:sz w:val="20"/>
        </w:rPr>
        <w:fldChar w:fldCharType="separate"/>
      </w:r>
      <w:r w:rsidR="00EF74CD" w:rsidRPr="002F2AEA">
        <w:rPr>
          <w:rFonts w:ascii="Arial Narrow" w:hAnsi="Arial Narrow"/>
          <w:b/>
          <w:sz w:val="20"/>
        </w:rPr>
        <w:t>9</w:t>
      </w:r>
      <w:r w:rsidR="002E3DBE" w:rsidRPr="002F2AEA">
        <w:rPr>
          <w:rFonts w:ascii="Arial Narrow" w:hAnsi="Arial Narrow"/>
          <w:b/>
          <w:sz w:val="20"/>
        </w:rPr>
        <w:fldChar w:fldCharType="end"/>
      </w:r>
      <w:bookmarkEnd w:id="33"/>
      <w:r w:rsidR="003C2E14" w:rsidRPr="002F2AEA">
        <w:rPr>
          <w:rFonts w:ascii="Arial Narrow" w:hAnsi="Arial Narrow"/>
          <w:b/>
          <w:sz w:val="20"/>
        </w:rPr>
        <w:tab/>
      </w:r>
      <w:bookmarkEnd w:id="31"/>
      <w:r w:rsidR="003C2E14" w:rsidRPr="002F2AEA">
        <w:rPr>
          <w:rFonts w:ascii="Arial Narrow" w:hAnsi="Arial Narrow"/>
          <w:b/>
          <w:sz w:val="20"/>
        </w:rPr>
        <w:t xml:space="preserve"> Summary of the economic evaluation for PMPS (Subpopulations A2 and A3)</w:t>
      </w:r>
      <w:bookmarkEnd w:id="32"/>
    </w:p>
    <w:tbl>
      <w:tblPr>
        <w:tblStyle w:val="TableGrid1"/>
        <w:tblW w:w="0" w:type="auto"/>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2834"/>
        <w:gridCol w:w="6182"/>
      </w:tblGrid>
      <w:tr w:rsidR="003C2E14" w:rsidRPr="00183E4D" w14:paraId="0CB1C388" w14:textId="77777777" w:rsidTr="00B72DF9">
        <w:trPr>
          <w:cnfStyle w:val="100000000000" w:firstRow="1" w:lastRow="0" w:firstColumn="0" w:lastColumn="0" w:oddVBand="0" w:evenVBand="0" w:oddHBand="0" w:evenHBand="0" w:firstRowFirstColumn="0" w:firstRowLastColumn="0" w:lastRowFirstColumn="0" w:lastRowLastColumn="0"/>
          <w:trHeight w:val="20"/>
          <w:tblHeader/>
        </w:trPr>
        <w:tc>
          <w:tcPr>
            <w:tcW w:w="2835" w:type="dxa"/>
          </w:tcPr>
          <w:p w14:paraId="3BBBCE6E" w14:textId="77777777" w:rsidR="003C2E14" w:rsidRPr="00183E4D" w:rsidRDefault="003C2E14" w:rsidP="002D52C6">
            <w:pPr>
              <w:pStyle w:val="Tabletext"/>
              <w:rPr>
                <w:b/>
              </w:rPr>
            </w:pPr>
            <w:r w:rsidRPr="00183E4D">
              <w:rPr>
                <w:b/>
              </w:rPr>
              <w:t>Perspective</w:t>
            </w:r>
          </w:p>
        </w:tc>
        <w:tc>
          <w:tcPr>
            <w:tcW w:w="6186" w:type="dxa"/>
          </w:tcPr>
          <w:p w14:paraId="2EEB1C84" w14:textId="77777777" w:rsidR="003C2E14" w:rsidRPr="00D61F4F" w:rsidRDefault="003C2E14" w:rsidP="002D52C6">
            <w:pPr>
              <w:pStyle w:val="Tabletext"/>
            </w:pPr>
            <w:r w:rsidRPr="00D61F4F">
              <w:t>Australian Health Care System</w:t>
            </w:r>
          </w:p>
        </w:tc>
      </w:tr>
      <w:tr w:rsidR="003C2E14" w:rsidRPr="00183E4D" w14:paraId="5CE6ECC9" w14:textId="77777777" w:rsidTr="00B72DF9">
        <w:trPr>
          <w:trHeight w:val="20"/>
        </w:trPr>
        <w:tc>
          <w:tcPr>
            <w:tcW w:w="2835" w:type="dxa"/>
          </w:tcPr>
          <w:p w14:paraId="1AA6E823" w14:textId="77777777" w:rsidR="003C2E14" w:rsidRPr="00183E4D" w:rsidRDefault="003C2E14" w:rsidP="002D52C6">
            <w:pPr>
              <w:pStyle w:val="Tabletext"/>
              <w:rPr>
                <w:b/>
              </w:rPr>
            </w:pPr>
            <w:r w:rsidRPr="00183E4D">
              <w:rPr>
                <w:b/>
              </w:rPr>
              <w:t>Comparator</w:t>
            </w:r>
          </w:p>
        </w:tc>
        <w:tc>
          <w:tcPr>
            <w:tcW w:w="6186" w:type="dxa"/>
          </w:tcPr>
          <w:p w14:paraId="1024553E" w14:textId="77777777" w:rsidR="003C2E14" w:rsidRPr="00D61F4F" w:rsidRDefault="003C2E14" w:rsidP="002D52C6">
            <w:pPr>
              <w:pStyle w:val="Tabletext"/>
            </w:pPr>
            <w:r w:rsidRPr="00D61F4F">
              <w:t xml:space="preserve">Best </w:t>
            </w:r>
            <w:r>
              <w:t>s</w:t>
            </w:r>
            <w:r w:rsidRPr="00D61F4F">
              <w:t>upportive care</w:t>
            </w:r>
            <w:r>
              <w:t xml:space="preserve"> (p</w:t>
            </w:r>
            <w:r w:rsidRPr="002C20B6">
              <w:t>regabalin</w:t>
            </w:r>
            <w:r>
              <w:t xml:space="preserve"> 300mg daily)</w:t>
            </w:r>
          </w:p>
        </w:tc>
      </w:tr>
      <w:tr w:rsidR="003C2E14" w:rsidRPr="00183E4D" w14:paraId="30C13BE9" w14:textId="77777777" w:rsidTr="00B72DF9">
        <w:trPr>
          <w:trHeight w:val="20"/>
        </w:trPr>
        <w:tc>
          <w:tcPr>
            <w:tcW w:w="2835" w:type="dxa"/>
          </w:tcPr>
          <w:p w14:paraId="2216BCE1" w14:textId="77777777" w:rsidR="003C2E14" w:rsidRPr="00183E4D" w:rsidRDefault="003C2E14" w:rsidP="002D52C6">
            <w:pPr>
              <w:pStyle w:val="Tabletext"/>
              <w:rPr>
                <w:b/>
              </w:rPr>
            </w:pPr>
            <w:r w:rsidRPr="00183E4D">
              <w:rPr>
                <w:b/>
              </w:rPr>
              <w:t>Type of economic evaluation</w:t>
            </w:r>
          </w:p>
        </w:tc>
        <w:tc>
          <w:tcPr>
            <w:tcW w:w="6186" w:type="dxa"/>
          </w:tcPr>
          <w:p w14:paraId="5D58BFC1" w14:textId="77777777" w:rsidR="003C2E14" w:rsidRPr="00D61F4F" w:rsidRDefault="003C2E14" w:rsidP="002D52C6">
            <w:pPr>
              <w:pStyle w:val="Tabletext"/>
            </w:pPr>
            <w:r w:rsidRPr="00D61F4F">
              <w:t xml:space="preserve">Cost-effectiveness </w:t>
            </w:r>
          </w:p>
        </w:tc>
      </w:tr>
      <w:tr w:rsidR="003C2E14" w:rsidRPr="00183E4D" w14:paraId="2578EBAB" w14:textId="77777777" w:rsidTr="00B72DF9">
        <w:trPr>
          <w:trHeight w:val="20"/>
        </w:trPr>
        <w:tc>
          <w:tcPr>
            <w:tcW w:w="2835" w:type="dxa"/>
          </w:tcPr>
          <w:p w14:paraId="00242999" w14:textId="77777777" w:rsidR="003C2E14" w:rsidRPr="00183E4D" w:rsidRDefault="003C2E14" w:rsidP="002D52C6">
            <w:pPr>
              <w:pStyle w:val="Tabletext"/>
              <w:rPr>
                <w:b/>
              </w:rPr>
            </w:pPr>
            <w:r w:rsidRPr="00183E4D">
              <w:rPr>
                <w:b/>
              </w:rPr>
              <w:t>Sources of evidence</w:t>
            </w:r>
          </w:p>
        </w:tc>
        <w:tc>
          <w:tcPr>
            <w:tcW w:w="6186" w:type="dxa"/>
          </w:tcPr>
          <w:p w14:paraId="065C7ECB" w14:textId="77777777" w:rsidR="003C2E14" w:rsidRPr="00D61F4F" w:rsidRDefault="003C2E14" w:rsidP="002D52C6">
            <w:pPr>
              <w:pStyle w:val="Tabletext"/>
            </w:pPr>
            <w:r w:rsidRPr="00D61F4F">
              <w:t xml:space="preserve">Systematic </w:t>
            </w:r>
            <w:r w:rsidRPr="008D71E1">
              <w:t>review</w:t>
            </w:r>
            <w:r>
              <w:t xml:space="preserve"> (Section B-PMPS); Comparative studies </w:t>
            </w:r>
            <w:r w:rsidRPr="00D61F4F">
              <w:t>(</w:t>
            </w:r>
            <w:r>
              <w:t xml:space="preserve">Caviggioli </w:t>
            </w:r>
            <w:r w:rsidRPr="00D61F4F">
              <w:t xml:space="preserve">2011, 2016)  </w:t>
            </w:r>
          </w:p>
        </w:tc>
      </w:tr>
      <w:tr w:rsidR="003C2E14" w:rsidRPr="00183E4D" w14:paraId="5A5E3850" w14:textId="77777777" w:rsidTr="00B72DF9">
        <w:trPr>
          <w:trHeight w:val="20"/>
        </w:trPr>
        <w:tc>
          <w:tcPr>
            <w:tcW w:w="2835" w:type="dxa"/>
            <w:hideMark/>
          </w:tcPr>
          <w:p w14:paraId="2AF5D0A1" w14:textId="77777777" w:rsidR="003C2E14" w:rsidRPr="00183E4D" w:rsidRDefault="003C2E14" w:rsidP="002D52C6">
            <w:pPr>
              <w:pStyle w:val="Tabletext"/>
              <w:rPr>
                <w:b/>
              </w:rPr>
            </w:pPr>
            <w:r w:rsidRPr="00183E4D">
              <w:rPr>
                <w:b/>
              </w:rPr>
              <w:t>Time horizon</w:t>
            </w:r>
          </w:p>
        </w:tc>
        <w:tc>
          <w:tcPr>
            <w:tcW w:w="6186" w:type="dxa"/>
            <w:hideMark/>
          </w:tcPr>
          <w:p w14:paraId="33518B6A" w14:textId="77777777" w:rsidR="003C2E14" w:rsidRPr="00D61F4F" w:rsidRDefault="003C2E14" w:rsidP="002D52C6">
            <w:pPr>
              <w:pStyle w:val="Tabletext"/>
            </w:pPr>
            <w:r>
              <w:t>Lifetime (40 years from the starting age of 60 years)</w:t>
            </w:r>
          </w:p>
        </w:tc>
      </w:tr>
      <w:tr w:rsidR="003C2E14" w:rsidRPr="00183E4D" w14:paraId="0928CC32" w14:textId="77777777" w:rsidTr="00B72DF9">
        <w:trPr>
          <w:trHeight w:val="20"/>
        </w:trPr>
        <w:tc>
          <w:tcPr>
            <w:tcW w:w="2835" w:type="dxa"/>
            <w:hideMark/>
          </w:tcPr>
          <w:p w14:paraId="6BA32C3D" w14:textId="77777777" w:rsidR="003C2E14" w:rsidRPr="00183E4D" w:rsidRDefault="003C2E14" w:rsidP="002D52C6">
            <w:pPr>
              <w:pStyle w:val="Tabletext"/>
              <w:rPr>
                <w:b/>
              </w:rPr>
            </w:pPr>
            <w:r w:rsidRPr="00183E4D">
              <w:rPr>
                <w:b/>
              </w:rPr>
              <w:t>Outcomes</w:t>
            </w:r>
          </w:p>
        </w:tc>
        <w:tc>
          <w:tcPr>
            <w:tcW w:w="6186" w:type="dxa"/>
          </w:tcPr>
          <w:p w14:paraId="6DE51A24" w14:textId="77777777" w:rsidR="003C2E14" w:rsidRPr="00D61F4F" w:rsidRDefault="003C2E14" w:rsidP="002D52C6">
            <w:pPr>
              <w:pStyle w:val="Tabletext"/>
            </w:pPr>
            <w:r>
              <w:t xml:space="preserve">Life-year free of PMPS </w:t>
            </w:r>
          </w:p>
        </w:tc>
      </w:tr>
      <w:tr w:rsidR="003C2E14" w:rsidRPr="00183E4D" w14:paraId="42A9BC0A" w14:textId="77777777" w:rsidTr="00B72DF9">
        <w:trPr>
          <w:trHeight w:val="20"/>
        </w:trPr>
        <w:tc>
          <w:tcPr>
            <w:tcW w:w="2835" w:type="dxa"/>
            <w:hideMark/>
          </w:tcPr>
          <w:p w14:paraId="7D2E4A0A" w14:textId="77777777" w:rsidR="003C2E14" w:rsidRPr="00183E4D" w:rsidRDefault="003C2E14" w:rsidP="002D52C6">
            <w:pPr>
              <w:pStyle w:val="Tabletext"/>
              <w:rPr>
                <w:b/>
              </w:rPr>
            </w:pPr>
            <w:r w:rsidRPr="00183E4D">
              <w:rPr>
                <w:b/>
              </w:rPr>
              <w:t>Methods used to generate results</w:t>
            </w:r>
          </w:p>
        </w:tc>
        <w:tc>
          <w:tcPr>
            <w:tcW w:w="6186" w:type="dxa"/>
          </w:tcPr>
          <w:p w14:paraId="73DB6474" w14:textId="77777777" w:rsidR="003C2E14" w:rsidRPr="00D61F4F" w:rsidRDefault="003C2E14" w:rsidP="002D52C6">
            <w:pPr>
              <w:pStyle w:val="Tabletext"/>
            </w:pPr>
            <w:r>
              <w:t xml:space="preserve">Comparative studies </w:t>
            </w:r>
            <w:r w:rsidRPr="00D61F4F">
              <w:t>(</w:t>
            </w:r>
            <w:r>
              <w:t xml:space="preserve">Caviggioli </w:t>
            </w:r>
            <w:r w:rsidRPr="00D61F4F">
              <w:t xml:space="preserve">2011, 2016)  </w:t>
            </w:r>
          </w:p>
        </w:tc>
      </w:tr>
      <w:tr w:rsidR="003C2E14" w:rsidRPr="00183E4D" w14:paraId="0D68C4A0" w14:textId="77777777" w:rsidTr="00B72DF9">
        <w:trPr>
          <w:trHeight w:val="20"/>
        </w:trPr>
        <w:tc>
          <w:tcPr>
            <w:tcW w:w="2835" w:type="dxa"/>
          </w:tcPr>
          <w:p w14:paraId="049F95E4" w14:textId="77777777" w:rsidR="003C2E14" w:rsidRPr="003C1802" w:rsidRDefault="003C2E14" w:rsidP="002D52C6">
            <w:pPr>
              <w:pStyle w:val="Tabletext"/>
              <w:rPr>
                <w:b/>
              </w:rPr>
            </w:pPr>
            <w:r>
              <w:rPr>
                <w:b/>
              </w:rPr>
              <w:t>Health states</w:t>
            </w:r>
          </w:p>
        </w:tc>
        <w:tc>
          <w:tcPr>
            <w:tcW w:w="6186" w:type="dxa"/>
          </w:tcPr>
          <w:p w14:paraId="7945FF87" w14:textId="77777777" w:rsidR="003C2E14" w:rsidRPr="003C1802" w:rsidRDefault="003C2E14" w:rsidP="002D52C6">
            <w:pPr>
              <w:pStyle w:val="Tabletext"/>
            </w:pPr>
            <w:r>
              <w:t>“responder”; “non-responder”; alive - free of pain; alive with PMPS; dead</w:t>
            </w:r>
          </w:p>
        </w:tc>
      </w:tr>
      <w:tr w:rsidR="003C2E14" w:rsidRPr="00183E4D" w14:paraId="2F1B0F60" w14:textId="77777777" w:rsidTr="00B72DF9">
        <w:trPr>
          <w:trHeight w:val="20"/>
        </w:trPr>
        <w:tc>
          <w:tcPr>
            <w:tcW w:w="2835" w:type="dxa"/>
            <w:hideMark/>
          </w:tcPr>
          <w:p w14:paraId="074BD4DE" w14:textId="77777777" w:rsidR="003C2E14" w:rsidRPr="003C1802" w:rsidRDefault="003C2E14" w:rsidP="002D52C6">
            <w:pPr>
              <w:pStyle w:val="Tabletext"/>
              <w:rPr>
                <w:b/>
              </w:rPr>
            </w:pPr>
            <w:r>
              <w:rPr>
                <w:b/>
              </w:rPr>
              <w:t>Cycle length</w:t>
            </w:r>
          </w:p>
        </w:tc>
        <w:tc>
          <w:tcPr>
            <w:tcW w:w="6186" w:type="dxa"/>
          </w:tcPr>
          <w:p w14:paraId="0331F89B" w14:textId="77777777" w:rsidR="003C2E14" w:rsidRPr="003C1802" w:rsidRDefault="003C2E14" w:rsidP="002D52C6">
            <w:pPr>
              <w:pStyle w:val="Tabletext"/>
            </w:pPr>
            <w:r>
              <w:t>A year</w:t>
            </w:r>
          </w:p>
        </w:tc>
      </w:tr>
      <w:tr w:rsidR="003C2E14" w:rsidRPr="00183E4D" w14:paraId="387EF2C7" w14:textId="77777777" w:rsidTr="00B72DF9">
        <w:trPr>
          <w:trHeight w:val="20"/>
        </w:trPr>
        <w:tc>
          <w:tcPr>
            <w:tcW w:w="2835" w:type="dxa"/>
            <w:hideMark/>
          </w:tcPr>
          <w:p w14:paraId="3C29B124" w14:textId="77777777" w:rsidR="003C2E14" w:rsidRPr="00183E4D" w:rsidRDefault="003C2E14" w:rsidP="002D52C6">
            <w:pPr>
              <w:pStyle w:val="Tabletext"/>
              <w:rPr>
                <w:b/>
              </w:rPr>
            </w:pPr>
            <w:r w:rsidRPr="00183E4D">
              <w:rPr>
                <w:b/>
              </w:rPr>
              <w:t>Discount rate</w:t>
            </w:r>
          </w:p>
        </w:tc>
        <w:tc>
          <w:tcPr>
            <w:tcW w:w="6186" w:type="dxa"/>
          </w:tcPr>
          <w:p w14:paraId="267D85B3" w14:textId="77777777" w:rsidR="003C2E14" w:rsidRPr="00D61F4F" w:rsidRDefault="003C2E14" w:rsidP="002D52C6">
            <w:pPr>
              <w:pStyle w:val="Tabletext"/>
            </w:pPr>
            <w:r>
              <w:t>5%</w:t>
            </w:r>
          </w:p>
        </w:tc>
      </w:tr>
      <w:tr w:rsidR="003C2E14" w:rsidRPr="00183E4D" w14:paraId="64D94300" w14:textId="77777777" w:rsidTr="00B72DF9">
        <w:trPr>
          <w:trHeight w:val="20"/>
        </w:trPr>
        <w:tc>
          <w:tcPr>
            <w:tcW w:w="2835" w:type="dxa"/>
            <w:hideMark/>
          </w:tcPr>
          <w:p w14:paraId="79349275" w14:textId="77777777" w:rsidR="003C2E14" w:rsidRPr="00183E4D" w:rsidRDefault="003C2E14" w:rsidP="002D52C6">
            <w:pPr>
              <w:pStyle w:val="Tabletext"/>
              <w:rPr>
                <w:b/>
              </w:rPr>
            </w:pPr>
            <w:r w:rsidRPr="00183E4D">
              <w:rPr>
                <w:b/>
              </w:rPr>
              <w:t>Software packages used</w:t>
            </w:r>
          </w:p>
        </w:tc>
        <w:tc>
          <w:tcPr>
            <w:tcW w:w="6186" w:type="dxa"/>
          </w:tcPr>
          <w:p w14:paraId="70E38E5C" w14:textId="77777777" w:rsidR="003C2E14" w:rsidRPr="00D61F4F" w:rsidRDefault="003C2E14" w:rsidP="002D52C6">
            <w:pPr>
              <w:pStyle w:val="Tabletext"/>
            </w:pPr>
            <w:r>
              <w:t>TreeAge Pro 2019 R2.1</w:t>
            </w:r>
          </w:p>
        </w:tc>
      </w:tr>
    </w:tbl>
    <w:p w14:paraId="7DEC4045" w14:textId="77777777" w:rsidR="003C2E14" w:rsidRDefault="003C2E14" w:rsidP="003C2E14">
      <w:pPr>
        <w:pStyle w:val="Tablenotes"/>
        <w:widowControl/>
        <w:spacing w:after="240"/>
        <w:rPr>
          <w:szCs w:val="18"/>
        </w:rPr>
      </w:pPr>
      <w:r>
        <w:rPr>
          <w:szCs w:val="18"/>
        </w:rPr>
        <w:t xml:space="preserve">Abbreviation: </w:t>
      </w:r>
      <w:r w:rsidRPr="003C1802">
        <w:rPr>
          <w:szCs w:val="18"/>
        </w:rPr>
        <w:t xml:space="preserve">PMPS </w:t>
      </w:r>
      <w:r>
        <w:rPr>
          <w:szCs w:val="18"/>
        </w:rPr>
        <w:t>= post mastectomy pain syndrome</w:t>
      </w:r>
    </w:p>
    <w:p w14:paraId="6B6A9F22" w14:textId="77777777" w:rsidR="003C2E14" w:rsidRPr="004928CD" w:rsidRDefault="003C2E14" w:rsidP="003C2E14">
      <w:pPr>
        <w:pStyle w:val="Tablenotes"/>
        <w:widowControl/>
        <w:spacing w:after="240"/>
        <w:rPr>
          <w:szCs w:val="18"/>
        </w:rPr>
      </w:pPr>
      <w:r>
        <w:rPr>
          <w:szCs w:val="18"/>
        </w:rPr>
        <w:t>Source: Table 5, p40 of the DCAR.</w:t>
      </w:r>
    </w:p>
    <w:p w14:paraId="4E8FB1A5" w14:textId="4ADC6604" w:rsidR="003C2E14" w:rsidRDefault="003C2E14" w:rsidP="003C2E14">
      <w:r>
        <w:t>The key structural assumption of the model was that a response rate (81%</w:t>
      </w:r>
      <w:r>
        <w:rPr>
          <w:rStyle w:val="FootnoteReference"/>
        </w:rPr>
        <w:footnoteReference w:id="29"/>
      </w:r>
      <w:r>
        <w:t xml:space="preserve"> of patients who no longer took analgesics; applicable to both Subpopulations A2 and A3) observed in the subgroup of patients who took analgesics at baseline was applied to the rest of the cohort. In the base case analysis, the age of PMPS patients receiving AFG treatment was conservatively assumed at 60 years old, consistent with the population in the RCT (Juhl 2016). The health gain associated with a reduction in pain (i.e. becoming a “responder”) was assumed to last a </w:t>
      </w:r>
      <w:r w:rsidRPr="008D71E1">
        <w:t>lifetime</w:t>
      </w:r>
      <w:r>
        <w:t xml:space="preserve"> until a patient reached 100 years of age. Benefits, expressed in terms of life-year free of pain (LYFP), were accumulated over 40 years until most of the cohort (96.5</w:t>
      </w:r>
      <w:r w:rsidR="00CD3AD3">
        <w:t xml:space="preserve">%) are dead of natural causes. </w:t>
      </w:r>
    </w:p>
    <w:p w14:paraId="5E983089" w14:textId="096A3DE3" w:rsidR="003C2E14" w:rsidRDefault="007F011C" w:rsidP="00CD3AD3">
      <w:pPr>
        <w:spacing w:before="240"/>
      </w:pPr>
      <w:r>
        <w:fldChar w:fldCharType="begin"/>
      </w:r>
      <w:r>
        <w:instrText xml:space="preserve"> REF _Ref30069977 \h </w:instrText>
      </w:r>
      <w:r>
        <w:fldChar w:fldCharType="separate"/>
      </w:r>
      <w:r>
        <w:t xml:space="preserve">Table </w:t>
      </w:r>
      <w:r>
        <w:rPr>
          <w:noProof/>
        </w:rPr>
        <w:t>10</w:t>
      </w:r>
      <w:r>
        <w:fldChar w:fldCharType="end"/>
      </w:r>
      <w:r w:rsidR="003C2E14">
        <w:t xml:space="preserve"> shows the base case analysis results for use of AFG for treatment of PMPS in Subpop</w:t>
      </w:r>
      <w:r w:rsidR="00CD3AD3">
        <w:t>ulations A2 and A3.</w:t>
      </w:r>
    </w:p>
    <w:p w14:paraId="0F8AD74E" w14:textId="3B82A39A" w:rsidR="003C2E14" w:rsidRPr="002F2AEA" w:rsidRDefault="007F011C" w:rsidP="002F2AEA">
      <w:pPr>
        <w:spacing w:before="240"/>
        <w:rPr>
          <w:rFonts w:ascii="Arial Narrow" w:hAnsi="Arial Narrow"/>
          <w:b/>
          <w:sz w:val="20"/>
        </w:rPr>
      </w:pPr>
      <w:bookmarkStart w:id="34" w:name="_Ref30069977"/>
      <w:bookmarkStart w:id="35" w:name="_Toc37815106"/>
      <w:r w:rsidRPr="002F2AEA">
        <w:rPr>
          <w:rFonts w:ascii="Arial Narrow" w:hAnsi="Arial Narrow"/>
          <w:b/>
          <w:sz w:val="20"/>
        </w:rPr>
        <w:t xml:space="preserve">Table </w:t>
      </w:r>
      <w:r w:rsidR="002E3DBE" w:rsidRPr="002F2AEA">
        <w:rPr>
          <w:rFonts w:ascii="Arial Narrow" w:hAnsi="Arial Narrow"/>
          <w:b/>
          <w:sz w:val="20"/>
        </w:rPr>
        <w:fldChar w:fldCharType="begin"/>
      </w:r>
      <w:r w:rsidR="002E3DBE" w:rsidRPr="002F2AEA">
        <w:rPr>
          <w:rFonts w:ascii="Arial Narrow" w:hAnsi="Arial Narrow"/>
          <w:b/>
          <w:sz w:val="20"/>
        </w:rPr>
        <w:instrText xml:space="preserve"> SEQ Table \* ARABIC </w:instrText>
      </w:r>
      <w:r w:rsidR="002E3DBE" w:rsidRPr="002F2AEA">
        <w:rPr>
          <w:rFonts w:ascii="Arial Narrow" w:hAnsi="Arial Narrow"/>
          <w:b/>
          <w:sz w:val="20"/>
        </w:rPr>
        <w:fldChar w:fldCharType="separate"/>
      </w:r>
      <w:r w:rsidR="00EF74CD" w:rsidRPr="002F2AEA">
        <w:rPr>
          <w:rFonts w:ascii="Arial Narrow" w:hAnsi="Arial Narrow"/>
          <w:b/>
          <w:sz w:val="20"/>
        </w:rPr>
        <w:t>10</w:t>
      </w:r>
      <w:r w:rsidR="002E3DBE" w:rsidRPr="002F2AEA">
        <w:rPr>
          <w:rFonts w:ascii="Arial Narrow" w:hAnsi="Arial Narrow"/>
          <w:b/>
          <w:sz w:val="20"/>
        </w:rPr>
        <w:fldChar w:fldCharType="end"/>
      </w:r>
      <w:bookmarkEnd w:id="34"/>
      <w:r w:rsidR="003C2E14" w:rsidRPr="002F2AEA">
        <w:rPr>
          <w:rFonts w:ascii="Arial Narrow" w:hAnsi="Arial Narrow"/>
          <w:b/>
          <w:sz w:val="20"/>
        </w:rPr>
        <w:t xml:space="preserve"> Base case analysis results of the economic evaluation in the irradiated post mastectomy and post lumpectomy population with PMPS</w:t>
      </w:r>
      <w:bookmarkEnd w:id="35"/>
    </w:p>
    <w:tbl>
      <w:tblPr>
        <w:tblStyle w:val="TableGrid2"/>
        <w:tblW w:w="9185" w:type="dxa"/>
        <w:tblInd w:w="-5" w:type="dxa"/>
        <w:tblLayout w:type="fixed"/>
        <w:tblCellMar>
          <w:left w:w="28" w:type="dxa"/>
          <w:right w:w="28" w:type="dxa"/>
        </w:tblCellMar>
        <w:tblLook w:val="04A0" w:firstRow="1" w:lastRow="0" w:firstColumn="1" w:lastColumn="0" w:noHBand="0" w:noVBand="1"/>
        <w:tblCaption w:val="Table XX"/>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523"/>
        <w:gridCol w:w="1325"/>
        <w:gridCol w:w="1325"/>
        <w:gridCol w:w="1325"/>
        <w:gridCol w:w="1326"/>
        <w:gridCol w:w="1361"/>
      </w:tblGrid>
      <w:tr w:rsidR="003C2E14" w:rsidRPr="004B279F" w14:paraId="09A9D95D" w14:textId="77777777" w:rsidTr="002D52C6">
        <w:trPr>
          <w:cnfStyle w:val="100000000000" w:firstRow="1" w:lastRow="0" w:firstColumn="0" w:lastColumn="0" w:oddVBand="0" w:evenVBand="0" w:oddHBand="0" w:evenHBand="0" w:firstRowFirstColumn="0" w:firstRowLastColumn="0" w:lastRowFirstColumn="0" w:lastRowLastColumn="0"/>
          <w:tblHeader/>
        </w:trPr>
        <w:tc>
          <w:tcPr>
            <w:tcW w:w="2523" w:type="dxa"/>
            <w:tcBorders>
              <w:bottom w:val="single" w:sz="4" w:space="0" w:color="auto"/>
            </w:tcBorders>
            <w:vAlign w:val="center"/>
          </w:tcPr>
          <w:p w14:paraId="5C729583" w14:textId="77777777" w:rsidR="003C2E14" w:rsidRPr="004B279F" w:rsidRDefault="003C2E14" w:rsidP="002D52C6">
            <w:pPr>
              <w:keepNext/>
              <w:rPr>
                <w:rFonts w:ascii="Arial Narrow" w:hAnsi="Arial Narrow"/>
                <w:b/>
              </w:rPr>
            </w:pPr>
            <w:r w:rsidRPr="004B279F">
              <w:rPr>
                <w:rFonts w:ascii="Arial Narrow" w:hAnsi="Arial Narrow"/>
                <w:b/>
              </w:rPr>
              <w:t>Alternative strategies</w:t>
            </w:r>
          </w:p>
        </w:tc>
        <w:tc>
          <w:tcPr>
            <w:tcW w:w="1325" w:type="dxa"/>
            <w:tcBorders>
              <w:bottom w:val="single" w:sz="4" w:space="0" w:color="auto"/>
            </w:tcBorders>
            <w:vAlign w:val="center"/>
          </w:tcPr>
          <w:p w14:paraId="32DEBC0D" w14:textId="77777777" w:rsidR="003C2E14" w:rsidRPr="004B279F" w:rsidRDefault="003C2E14" w:rsidP="002D52C6">
            <w:pPr>
              <w:keepNext/>
              <w:jc w:val="center"/>
              <w:rPr>
                <w:rFonts w:ascii="Arial Narrow" w:hAnsi="Arial Narrow"/>
                <w:b/>
              </w:rPr>
            </w:pPr>
            <w:r w:rsidRPr="004B279F">
              <w:rPr>
                <w:rFonts w:ascii="Arial Narrow" w:hAnsi="Arial Narrow"/>
                <w:b/>
              </w:rPr>
              <w:t>Cost</w:t>
            </w:r>
          </w:p>
        </w:tc>
        <w:tc>
          <w:tcPr>
            <w:tcW w:w="1325" w:type="dxa"/>
            <w:tcBorders>
              <w:bottom w:val="single" w:sz="4" w:space="0" w:color="auto"/>
            </w:tcBorders>
            <w:vAlign w:val="center"/>
          </w:tcPr>
          <w:p w14:paraId="25E1030F" w14:textId="77777777" w:rsidR="003C2E14" w:rsidRPr="004B279F" w:rsidRDefault="003C2E14" w:rsidP="002D52C6">
            <w:pPr>
              <w:keepNext/>
              <w:jc w:val="center"/>
              <w:rPr>
                <w:rFonts w:ascii="Arial Narrow" w:hAnsi="Arial Narrow"/>
                <w:b/>
              </w:rPr>
            </w:pPr>
            <w:r w:rsidRPr="004B279F">
              <w:rPr>
                <w:rFonts w:ascii="Arial Narrow" w:hAnsi="Arial Narrow"/>
                <w:b/>
              </w:rPr>
              <w:t>Incremental cost</w:t>
            </w:r>
          </w:p>
        </w:tc>
        <w:tc>
          <w:tcPr>
            <w:tcW w:w="1325" w:type="dxa"/>
            <w:tcBorders>
              <w:bottom w:val="single" w:sz="4" w:space="0" w:color="auto"/>
            </w:tcBorders>
            <w:vAlign w:val="center"/>
          </w:tcPr>
          <w:p w14:paraId="443F231A" w14:textId="77777777" w:rsidR="003C2E14" w:rsidRPr="004B279F" w:rsidRDefault="003C2E14" w:rsidP="002D52C6">
            <w:pPr>
              <w:keepNext/>
              <w:jc w:val="center"/>
              <w:rPr>
                <w:rFonts w:ascii="Arial Narrow" w:hAnsi="Arial Narrow"/>
                <w:b/>
              </w:rPr>
            </w:pPr>
            <w:r w:rsidRPr="004B279F">
              <w:rPr>
                <w:rFonts w:ascii="Arial Narrow" w:hAnsi="Arial Narrow"/>
                <w:b/>
              </w:rPr>
              <w:t>Effectiveness (LYFP)</w:t>
            </w:r>
          </w:p>
        </w:tc>
        <w:tc>
          <w:tcPr>
            <w:tcW w:w="1326" w:type="dxa"/>
            <w:tcBorders>
              <w:bottom w:val="single" w:sz="4" w:space="0" w:color="auto"/>
            </w:tcBorders>
            <w:vAlign w:val="center"/>
          </w:tcPr>
          <w:p w14:paraId="45326F51" w14:textId="77777777" w:rsidR="003C2E14" w:rsidRPr="004B279F" w:rsidRDefault="003C2E14" w:rsidP="002D52C6">
            <w:pPr>
              <w:keepNext/>
              <w:jc w:val="center"/>
              <w:rPr>
                <w:rFonts w:ascii="Arial Narrow" w:hAnsi="Arial Narrow"/>
                <w:b/>
              </w:rPr>
            </w:pPr>
            <w:r w:rsidRPr="004B279F">
              <w:rPr>
                <w:rFonts w:ascii="Arial Narrow" w:hAnsi="Arial Narrow"/>
                <w:b/>
              </w:rPr>
              <w:t>Incremental effectiveness</w:t>
            </w:r>
          </w:p>
        </w:tc>
        <w:tc>
          <w:tcPr>
            <w:tcW w:w="1361" w:type="dxa"/>
            <w:tcBorders>
              <w:bottom w:val="single" w:sz="4" w:space="0" w:color="auto"/>
            </w:tcBorders>
            <w:vAlign w:val="center"/>
          </w:tcPr>
          <w:p w14:paraId="3AE54C38" w14:textId="77777777" w:rsidR="003C2E14" w:rsidRPr="004B279F" w:rsidRDefault="003C2E14" w:rsidP="002D52C6">
            <w:pPr>
              <w:keepNext/>
              <w:jc w:val="center"/>
              <w:rPr>
                <w:rFonts w:ascii="Arial Narrow" w:hAnsi="Arial Narrow"/>
                <w:b/>
              </w:rPr>
            </w:pPr>
            <w:r w:rsidRPr="004B279F">
              <w:rPr>
                <w:rFonts w:ascii="Arial Narrow" w:hAnsi="Arial Narrow"/>
                <w:b/>
              </w:rPr>
              <w:t>ICER</w:t>
            </w:r>
          </w:p>
        </w:tc>
      </w:tr>
      <w:tr w:rsidR="003C2E14" w:rsidRPr="004B279F" w14:paraId="7407261B" w14:textId="77777777" w:rsidTr="002D52C6">
        <w:tc>
          <w:tcPr>
            <w:tcW w:w="2523" w:type="dxa"/>
          </w:tcPr>
          <w:p w14:paraId="5404702B" w14:textId="77777777" w:rsidR="003C2E14" w:rsidRPr="004B279F" w:rsidRDefault="003C2E14" w:rsidP="002D52C6">
            <w:pPr>
              <w:keepNext/>
            </w:pPr>
            <w:r w:rsidRPr="004B279F">
              <w:t>AFG</w:t>
            </w:r>
          </w:p>
        </w:tc>
        <w:tc>
          <w:tcPr>
            <w:tcW w:w="1325" w:type="dxa"/>
            <w:vAlign w:val="center"/>
          </w:tcPr>
          <w:p w14:paraId="495001FB" w14:textId="77777777" w:rsidR="003C2E14" w:rsidRPr="00F36926" w:rsidRDefault="003C2E14" w:rsidP="002D52C6">
            <w:pPr>
              <w:keepNext/>
              <w:jc w:val="center"/>
            </w:pPr>
            <w:r>
              <w:t>$1,482.35</w:t>
            </w:r>
            <w:r>
              <w:rPr>
                <w:vertAlign w:val="superscript"/>
              </w:rPr>
              <w:t>a</w:t>
            </w:r>
          </w:p>
        </w:tc>
        <w:tc>
          <w:tcPr>
            <w:tcW w:w="1325" w:type="dxa"/>
            <w:tcBorders>
              <w:bottom w:val="nil"/>
            </w:tcBorders>
            <w:vAlign w:val="center"/>
          </w:tcPr>
          <w:p w14:paraId="1D68C44A" w14:textId="77777777" w:rsidR="003C2E14" w:rsidRPr="00F36926" w:rsidRDefault="003C2E14" w:rsidP="002D52C6">
            <w:pPr>
              <w:keepNext/>
              <w:jc w:val="center"/>
            </w:pPr>
            <w:r>
              <w:t>-$1,062.48</w:t>
            </w:r>
          </w:p>
        </w:tc>
        <w:tc>
          <w:tcPr>
            <w:tcW w:w="1325" w:type="dxa"/>
            <w:vAlign w:val="center"/>
          </w:tcPr>
          <w:p w14:paraId="573F1702" w14:textId="77777777" w:rsidR="003C2E14" w:rsidRPr="00F36926" w:rsidRDefault="003C2E14" w:rsidP="002D52C6">
            <w:pPr>
              <w:keepNext/>
              <w:jc w:val="center"/>
            </w:pPr>
            <w:r>
              <w:t>22.17</w:t>
            </w:r>
          </w:p>
        </w:tc>
        <w:tc>
          <w:tcPr>
            <w:tcW w:w="1326" w:type="dxa"/>
            <w:tcBorders>
              <w:bottom w:val="nil"/>
            </w:tcBorders>
            <w:vAlign w:val="center"/>
          </w:tcPr>
          <w:p w14:paraId="2A62968C" w14:textId="77777777" w:rsidR="003C2E14" w:rsidRPr="00F36926" w:rsidRDefault="003C2E14" w:rsidP="002D52C6">
            <w:pPr>
              <w:keepNext/>
              <w:jc w:val="center"/>
            </w:pPr>
            <w:r>
              <w:t>22.17</w:t>
            </w:r>
          </w:p>
        </w:tc>
        <w:tc>
          <w:tcPr>
            <w:tcW w:w="1361" w:type="dxa"/>
            <w:tcBorders>
              <w:bottom w:val="nil"/>
            </w:tcBorders>
            <w:vAlign w:val="center"/>
          </w:tcPr>
          <w:p w14:paraId="23364523" w14:textId="77777777" w:rsidR="003C2E14" w:rsidRPr="004B279F" w:rsidRDefault="003C2E14" w:rsidP="002D52C6">
            <w:pPr>
              <w:keepNext/>
              <w:jc w:val="center"/>
            </w:pPr>
            <w:r>
              <w:t>AFG dominates</w:t>
            </w:r>
          </w:p>
        </w:tc>
      </w:tr>
      <w:tr w:rsidR="003C2E14" w:rsidRPr="004B279F" w14:paraId="1FFACDE4" w14:textId="77777777" w:rsidTr="002D52C6">
        <w:tc>
          <w:tcPr>
            <w:tcW w:w="2523" w:type="dxa"/>
          </w:tcPr>
          <w:p w14:paraId="514DC435" w14:textId="77777777" w:rsidR="003C2E14" w:rsidRPr="004B279F" w:rsidRDefault="003C2E14" w:rsidP="002D52C6">
            <w:pPr>
              <w:keepNext/>
            </w:pPr>
            <w:r w:rsidRPr="004B279F">
              <w:t>Best supportive care</w:t>
            </w:r>
          </w:p>
        </w:tc>
        <w:tc>
          <w:tcPr>
            <w:tcW w:w="1325" w:type="dxa"/>
            <w:vAlign w:val="center"/>
          </w:tcPr>
          <w:p w14:paraId="2F6CFC66" w14:textId="77777777" w:rsidR="003C2E14" w:rsidRPr="00F36926" w:rsidRDefault="003C2E14" w:rsidP="002D52C6">
            <w:pPr>
              <w:keepNext/>
              <w:jc w:val="center"/>
            </w:pPr>
            <w:r>
              <w:t>$2,544.82</w:t>
            </w:r>
            <w:r>
              <w:rPr>
                <w:vertAlign w:val="superscript"/>
              </w:rPr>
              <w:t>a</w:t>
            </w:r>
          </w:p>
        </w:tc>
        <w:tc>
          <w:tcPr>
            <w:tcW w:w="1325" w:type="dxa"/>
            <w:tcBorders>
              <w:top w:val="nil"/>
            </w:tcBorders>
          </w:tcPr>
          <w:p w14:paraId="031B920D" w14:textId="77777777" w:rsidR="003C2E14" w:rsidRPr="00F36926" w:rsidRDefault="003C2E14" w:rsidP="002D52C6">
            <w:pPr>
              <w:keepNext/>
            </w:pPr>
          </w:p>
        </w:tc>
        <w:tc>
          <w:tcPr>
            <w:tcW w:w="1325" w:type="dxa"/>
            <w:vAlign w:val="center"/>
          </w:tcPr>
          <w:p w14:paraId="53BEAAA7" w14:textId="77777777" w:rsidR="003C2E14" w:rsidRPr="00F36926" w:rsidRDefault="003C2E14" w:rsidP="002D52C6">
            <w:pPr>
              <w:keepNext/>
              <w:jc w:val="center"/>
            </w:pPr>
            <w:r>
              <w:t>0</w:t>
            </w:r>
          </w:p>
        </w:tc>
        <w:tc>
          <w:tcPr>
            <w:tcW w:w="1326" w:type="dxa"/>
            <w:tcBorders>
              <w:top w:val="nil"/>
            </w:tcBorders>
          </w:tcPr>
          <w:p w14:paraId="54A5AFC5" w14:textId="77777777" w:rsidR="003C2E14" w:rsidRPr="00F36926" w:rsidRDefault="003C2E14" w:rsidP="002D52C6">
            <w:pPr>
              <w:keepNext/>
            </w:pPr>
          </w:p>
        </w:tc>
        <w:tc>
          <w:tcPr>
            <w:tcW w:w="1361" w:type="dxa"/>
            <w:tcBorders>
              <w:top w:val="nil"/>
            </w:tcBorders>
          </w:tcPr>
          <w:p w14:paraId="73550702" w14:textId="77777777" w:rsidR="003C2E14" w:rsidRPr="004B279F" w:rsidRDefault="003C2E14" w:rsidP="002D52C6">
            <w:pPr>
              <w:keepNext/>
            </w:pPr>
          </w:p>
        </w:tc>
      </w:tr>
    </w:tbl>
    <w:p w14:paraId="73B96889" w14:textId="77777777" w:rsidR="003C2E14" w:rsidRDefault="003C2E14" w:rsidP="003C2E14">
      <w:pPr>
        <w:keepNext/>
        <w:rPr>
          <w:rFonts w:ascii="Arial Narrow" w:hAnsi="Arial Narrow"/>
          <w:sz w:val="18"/>
        </w:rPr>
      </w:pPr>
      <w:r>
        <w:rPr>
          <w:rFonts w:ascii="Arial Narrow" w:hAnsi="Arial Narrow"/>
          <w:sz w:val="18"/>
        </w:rPr>
        <w:t xml:space="preserve">Abbreviations: </w:t>
      </w:r>
      <w:r w:rsidRPr="006148BC">
        <w:rPr>
          <w:rFonts w:ascii="Arial Narrow" w:hAnsi="Arial Narrow"/>
          <w:sz w:val="18"/>
        </w:rPr>
        <w:t xml:space="preserve">AFG=autologous fat grafting; LYFP = </w:t>
      </w:r>
      <w:r>
        <w:rPr>
          <w:rFonts w:ascii="Arial Narrow" w:hAnsi="Arial Narrow"/>
          <w:sz w:val="18"/>
        </w:rPr>
        <w:t>l</w:t>
      </w:r>
      <w:r w:rsidRPr="006148BC">
        <w:rPr>
          <w:rFonts w:ascii="Arial Narrow" w:hAnsi="Arial Narrow"/>
          <w:sz w:val="18"/>
        </w:rPr>
        <w:t xml:space="preserve">ife </w:t>
      </w:r>
      <w:r>
        <w:rPr>
          <w:rFonts w:ascii="Arial Narrow" w:hAnsi="Arial Narrow"/>
          <w:sz w:val="18"/>
        </w:rPr>
        <w:t>y</w:t>
      </w:r>
      <w:r w:rsidRPr="006148BC">
        <w:rPr>
          <w:rFonts w:ascii="Arial Narrow" w:hAnsi="Arial Narrow"/>
          <w:sz w:val="18"/>
        </w:rPr>
        <w:t xml:space="preserve">ear </w:t>
      </w:r>
      <w:r>
        <w:rPr>
          <w:rFonts w:ascii="Arial Narrow" w:hAnsi="Arial Narrow"/>
          <w:sz w:val="18"/>
        </w:rPr>
        <w:t>f</w:t>
      </w:r>
      <w:r w:rsidRPr="006148BC">
        <w:rPr>
          <w:rFonts w:ascii="Arial Narrow" w:hAnsi="Arial Narrow"/>
          <w:sz w:val="18"/>
        </w:rPr>
        <w:t xml:space="preserve">ree of </w:t>
      </w:r>
      <w:r>
        <w:rPr>
          <w:rFonts w:ascii="Arial Narrow" w:hAnsi="Arial Narrow"/>
          <w:sz w:val="18"/>
        </w:rPr>
        <w:t>p</w:t>
      </w:r>
      <w:r w:rsidRPr="006148BC">
        <w:rPr>
          <w:rFonts w:ascii="Arial Narrow" w:hAnsi="Arial Narrow"/>
          <w:sz w:val="18"/>
        </w:rPr>
        <w:t xml:space="preserve">ain; ICER = </w:t>
      </w:r>
      <w:r>
        <w:rPr>
          <w:rFonts w:ascii="Arial Narrow" w:hAnsi="Arial Narrow"/>
          <w:sz w:val="18"/>
        </w:rPr>
        <w:t>i</w:t>
      </w:r>
      <w:r w:rsidRPr="006148BC">
        <w:rPr>
          <w:rFonts w:ascii="Arial Narrow" w:hAnsi="Arial Narrow"/>
          <w:sz w:val="18"/>
        </w:rPr>
        <w:t xml:space="preserve">ncremental </w:t>
      </w:r>
      <w:r>
        <w:rPr>
          <w:rFonts w:ascii="Arial Narrow" w:hAnsi="Arial Narrow"/>
          <w:sz w:val="18"/>
        </w:rPr>
        <w:t>c</w:t>
      </w:r>
      <w:r w:rsidRPr="006148BC">
        <w:rPr>
          <w:rFonts w:ascii="Arial Narrow" w:hAnsi="Arial Narrow"/>
          <w:sz w:val="18"/>
        </w:rPr>
        <w:t xml:space="preserve">ost </w:t>
      </w:r>
      <w:r>
        <w:rPr>
          <w:rFonts w:ascii="Arial Narrow" w:hAnsi="Arial Narrow"/>
          <w:sz w:val="18"/>
        </w:rPr>
        <w:t>e</w:t>
      </w:r>
      <w:r w:rsidRPr="006148BC">
        <w:rPr>
          <w:rFonts w:ascii="Arial Narrow" w:hAnsi="Arial Narrow"/>
          <w:sz w:val="18"/>
        </w:rPr>
        <w:t xml:space="preserve">ffectiveness </w:t>
      </w:r>
      <w:r>
        <w:rPr>
          <w:rFonts w:ascii="Arial Narrow" w:hAnsi="Arial Narrow"/>
          <w:sz w:val="18"/>
        </w:rPr>
        <w:t>r</w:t>
      </w:r>
      <w:r w:rsidRPr="006148BC">
        <w:rPr>
          <w:rFonts w:ascii="Arial Narrow" w:hAnsi="Arial Narrow"/>
          <w:sz w:val="18"/>
        </w:rPr>
        <w:t>atio; PMPS=</w:t>
      </w:r>
      <w:r>
        <w:rPr>
          <w:rFonts w:ascii="Arial Narrow" w:hAnsi="Arial Narrow"/>
          <w:sz w:val="18"/>
        </w:rPr>
        <w:t xml:space="preserve"> post mastectomy pain syndrome</w:t>
      </w:r>
    </w:p>
    <w:p w14:paraId="2AEC3F44" w14:textId="77777777" w:rsidR="003C2E14" w:rsidRDefault="003C2E14" w:rsidP="003C2E14">
      <w:pPr>
        <w:keepNext/>
        <w:tabs>
          <w:tab w:val="left" w:pos="284"/>
        </w:tabs>
        <w:ind w:left="284" w:hanging="284"/>
        <w:rPr>
          <w:rFonts w:ascii="Arial Narrow" w:hAnsi="Arial Narrow"/>
          <w:sz w:val="18"/>
        </w:rPr>
      </w:pPr>
      <w:r>
        <w:rPr>
          <w:rFonts w:ascii="Arial Narrow" w:hAnsi="Arial Narrow"/>
          <w:sz w:val="18"/>
          <w:vertAlign w:val="superscript"/>
        </w:rPr>
        <w:t>a</w:t>
      </w:r>
      <w:r>
        <w:rPr>
          <w:rFonts w:ascii="Arial Narrow" w:hAnsi="Arial Narrow"/>
          <w:sz w:val="18"/>
        </w:rPr>
        <w:tab/>
      </w:r>
      <w:r w:rsidRPr="006148BC">
        <w:rPr>
          <w:rFonts w:ascii="Arial Narrow" w:hAnsi="Arial Narrow"/>
          <w:sz w:val="18"/>
        </w:rPr>
        <w:t>The cost results are expressed in terms of the accumulated cost per patient in each arm over 40 years and therefore are not the same as the cost of a single AFG procedure or the annual (weighted) cost of analgesics</w:t>
      </w:r>
    </w:p>
    <w:p w14:paraId="78DAEEC2" w14:textId="22E1214C" w:rsidR="003C2E14" w:rsidRDefault="003C2E14" w:rsidP="00CD3AD3">
      <w:pPr>
        <w:keepNext/>
        <w:tabs>
          <w:tab w:val="left" w:pos="284"/>
        </w:tabs>
        <w:ind w:left="284" w:hanging="284"/>
        <w:rPr>
          <w:rFonts w:ascii="Arial Narrow" w:hAnsi="Arial Narrow"/>
          <w:sz w:val="18"/>
        </w:rPr>
      </w:pPr>
      <w:r>
        <w:rPr>
          <w:rFonts w:ascii="Arial Narrow" w:hAnsi="Arial Narrow"/>
          <w:sz w:val="18"/>
        </w:rPr>
        <w:t>So</w:t>
      </w:r>
      <w:r w:rsidR="00CD3AD3">
        <w:rPr>
          <w:rFonts w:ascii="Arial Narrow" w:hAnsi="Arial Narrow"/>
          <w:sz w:val="18"/>
        </w:rPr>
        <w:t>urce: Table 6, p42 of the DCAR.</w:t>
      </w:r>
    </w:p>
    <w:p w14:paraId="4CF32CC5" w14:textId="0B149248" w:rsidR="003C2E14" w:rsidRDefault="003C2E14" w:rsidP="00CD3AD3">
      <w:pPr>
        <w:spacing w:before="240"/>
      </w:pPr>
      <w:r w:rsidRPr="006A2B1B">
        <w:t>The</w:t>
      </w:r>
      <w:r>
        <w:t xml:space="preserve"> DCAR stated that the</w:t>
      </w:r>
      <w:r w:rsidRPr="006A2B1B">
        <w:t xml:space="preserve"> 12 month </w:t>
      </w:r>
      <w:r>
        <w:t xml:space="preserve">incremental </w:t>
      </w:r>
      <w:r w:rsidRPr="006A2B1B">
        <w:t>cost of $1,</w:t>
      </w:r>
      <w:r>
        <w:t>076.82</w:t>
      </w:r>
      <w:r w:rsidRPr="006A2B1B">
        <w:t xml:space="preserve"> per additional responder was </w:t>
      </w:r>
      <w:r>
        <w:t xml:space="preserve">more than </w:t>
      </w:r>
      <w:r w:rsidRPr="006A2B1B">
        <w:t>offset by the ongoing cost of analgesic</w:t>
      </w:r>
      <w:r>
        <w:t xml:space="preserve"> use</w:t>
      </w:r>
      <w:r w:rsidRPr="006A2B1B">
        <w:t xml:space="preserve"> </w:t>
      </w:r>
      <w:r>
        <w:t>(p</w:t>
      </w:r>
      <w:r w:rsidRPr="006148BC">
        <w:t>regabalin, 300</w:t>
      </w:r>
      <w:r>
        <w:t> </w:t>
      </w:r>
      <w:r w:rsidRPr="006148BC">
        <w:t>mg</w:t>
      </w:r>
      <w:r>
        <w:t xml:space="preserve">/day) by 100% of patients in the comparator (BSC) arm </w:t>
      </w:r>
      <w:r w:rsidRPr="005A7985">
        <w:rPr>
          <w:i/>
        </w:rPr>
        <w:t>vs.</w:t>
      </w:r>
      <w:r>
        <w:t xml:space="preserve"> 19% of patients in the AFG arm (of the 44% assumed to have been taking analgesics at baseline in each arm).</w:t>
      </w:r>
      <w:r w:rsidRPr="006148BC">
        <w:t xml:space="preserve"> </w:t>
      </w:r>
      <w:r>
        <w:t xml:space="preserve">The incremental lifetime gain was estimated at 22.17 LYFP; the lifetime (40 years in the base case) savings were </w:t>
      </w:r>
      <w:r>
        <w:lastRenderedPageBreak/>
        <w:t>$1,062.48. AFG was found to dominate the comparator, BSC. However, the DCAR stated that this conclusion is conditional on multiple assumptions made for the model, notably the lifetime duration of benefit, which together with the high risk of bias in the two small-size comparative studies (Caviggioli 2011, 2016) produced highly uncertain results.</w:t>
      </w:r>
      <w:r w:rsidRPr="009079C5">
        <w:t xml:space="preserve"> </w:t>
      </w:r>
      <w:r w:rsidRPr="00A7515E">
        <w:t>The</w:t>
      </w:r>
      <w:r>
        <w:t xml:space="preserve"> DCAR stated that the</w:t>
      </w:r>
      <w:r w:rsidRPr="00A7515E">
        <w:t xml:space="preserve"> results of the model were most sensitive to the variation in mortality rates, starting age of patients, proportion of responders and the cost of analgesics, however AFG remained dominant in all sens</w:t>
      </w:r>
      <w:r w:rsidR="00CD3AD3">
        <w:t>itivity analyses.</w:t>
      </w:r>
    </w:p>
    <w:p w14:paraId="0D714604" w14:textId="5AA3A43A" w:rsidR="003C2E14" w:rsidRDefault="003C2E14" w:rsidP="00CD3AD3">
      <w:pPr>
        <w:spacing w:before="240"/>
      </w:pPr>
      <w:r>
        <w:t xml:space="preserve">The DCAR stated that on the basis of the limited data, there are no reliable estimates of the benefit in terms of LYFP and the potential cost-savings to the health system. In particular, there was no evidence to assess how bilateral </w:t>
      </w:r>
      <w:r w:rsidRPr="005A7985">
        <w:rPr>
          <w:i/>
        </w:rPr>
        <w:t>vs.</w:t>
      </w:r>
      <w:r>
        <w:t xml:space="preserve"> unilateral AFG would affect the costs and estimates of LYFP. Also</w:t>
      </w:r>
      <w:r w:rsidRPr="00F8265A">
        <w:t xml:space="preserve">, </w:t>
      </w:r>
      <w:r>
        <w:t>in</w:t>
      </w:r>
      <w:r w:rsidRPr="00F8265A">
        <w:t xml:space="preserve"> the absence of long-term data o</w:t>
      </w:r>
      <w:r>
        <w:t xml:space="preserve">n </w:t>
      </w:r>
      <w:r w:rsidRPr="00F8265A">
        <w:t>the longevity of the AFG effect on PMPS pain,</w:t>
      </w:r>
      <w:r>
        <w:t xml:space="preserve"> the results may favour AFG over BSC. Therefore, results of the modelled economic evaluation should be interpreted with caution.</w:t>
      </w:r>
    </w:p>
    <w:p w14:paraId="4D97BA7B" w14:textId="77777777" w:rsidR="003C2E14" w:rsidRDefault="003C2E14" w:rsidP="00CD3AD3">
      <w:pPr>
        <w:pStyle w:val="Heading3"/>
        <w:spacing w:before="240"/>
      </w:pPr>
      <w:r>
        <w:t>Cost-effectiveness exercises: CEA</w:t>
      </w:r>
    </w:p>
    <w:p w14:paraId="50D9CEE8" w14:textId="51C28DC7" w:rsidR="003C2E14" w:rsidRDefault="003C2E14" w:rsidP="003C2E14">
      <w:r>
        <w:t xml:space="preserve">A series of trial-based cost-effectiveness exercises (see </w:t>
      </w:r>
      <w:r w:rsidR="007F011C">
        <w:fldChar w:fldCharType="begin"/>
      </w:r>
      <w:r w:rsidR="007F011C">
        <w:instrText xml:space="preserve"> REF _Ref29707823 \h </w:instrText>
      </w:r>
      <w:r w:rsidR="007F011C">
        <w:fldChar w:fldCharType="separate"/>
      </w:r>
      <w:r w:rsidR="007F011C">
        <w:t xml:space="preserve">Table </w:t>
      </w:r>
      <w:r w:rsidR="007F011C">
        <w:rPr>
          <w:noProof/>
        </w:rPr>
        <w:t>11</w:t>
      </w:r>
      <w:r w:rsidR="007F011C">
        <w:fldChar w:fldCharType="end"/>
      </w:r>
      <w:r>
        <w:t xml:space="preserve"> below) were conducted by the DCAR on the following outcomes and in the following populations: (i) reduction in reconstruction complications (Subpopulations A1 and A2); and (ii) increased satisfaction (Subpopulations A2 and A3).</w:t>
      </w:r>
    </w:p>
    <w:p w14:paraId="4EE38C65" w14:textId="77777777" w:rsidR="003C2E14" w:rsidRPr="00CD3AD3" w:rsidRDefault="003C2E14" w:rsidP="00CD3AD3">
      <w:pPr>
        <w:pStyle w:val="Heading4"/>
        <w:spacing w:before="240"/>
        <w:rPr>
          <w:color w:val="auto"/>
        </w:rPr>
      </w:pPr>
      <w:bookmarkStart w:id="36" w:name="_Ref379404328"/>
      <w:r w:rsidRPr="00CD3AD3">
        <w:rPr>
          <w:color w:val="auto"/>
        </w:rPr>
        <w:t>Reduction in reconstruction complications</w:t>
      </w:r>
    </w:p>
    <w:p w14:paraId="0A8DF109" w14:textId="77777777" w:rsidR="003C2E14" w:rsidRDefault="003C2E14" w:rsidP="003C2E14">
      <w:r>
        <w:t xml:space="preserve">The DCAR compared AFG (as an adjuvant procedure) in post mastectomy populations with irradiated skin developed after radiotherapy either on the implant (Population A2; </w:t>
      </w:r>
      <w:r w:rsidRPr="00BD254F">
        <w:t>Panettiere 2009</w:t>
      </w:r>
      <w:r>
        <w:t xml:space="preserve">) or on the expander (Population A1; Ribuffo 2013) </w:t>
      </w:r>
      <w:r w:rsidRPr="004D69D4">
        <w:rPr>
          <w:i/>
        </w:rPr>
        <w:t>vs.</w:t>
      </w:r>
      <w:r>
        <w:t xml:space="preserve"> no AFG. The DCAR noted that</w:t>
      </w:r>
      <w:r w:rsidRPr="005A7713">
        <w:t xml:space="preserve"> the cost-offsets of the AFG sessions in Ribuffo (2013) were more expensive as</w:t>
      </w:r>
      <w:r>
        <w:t>, u</w:t>
      </w:r>
      <w:r w:rsidRPr="005A7713">
        <w:t>nlike in the study by Panettiere (2009)</w:t>
      </w:r>
      <w:r>
        <w:t>,</w:t>
      </w:r>
      <w:r w:rsidRPr="005A7713">
        <w:t xml:space="preserve"> they were not limited to avoiding removal and replacement of a prosthesis. </w:t>
      </w:r>
      <w:r>
        <w:t>In addition</w:t>
      </w:r>
      <w:r w:rsidRPr="005A7713">
        <w:t xml:space="preserve">, with the difference in the mean number of AFG sessions (1.4 </w:t>
      </w:r>
      <w:r w:rsidRPr="001A2BDE">
        <w:rPr>
          <w:i/>
        </w:rPr>
        <w:t>vs.</w:t>
      </w:r>
      <w:r w:rsidRPr="005A7713">
        <w:t xml:space="preserve"> 3.4 in Ribuffo 2013 and Panettiere 2009, respectively), the </w:t>
      </w:r>
      <w:r>
        <w:t>incremental cost-effectiveness ratio (</w:t>
      </w:r>
      <w:r w:rsidRPr="005A7713">
        <w:t>ICER</w:t>
      </w:r>
      <w:r>
        <w:t>)</w:t>
      </w:r>
      <w:r w:rsidRPr="005A7713">
        <w:t xml:space="preserve"> of $776 for one additional reconstruction failure avoided in Ribuffo (2013) was significantly lower than $30,469 in Panettiere (2009).</w:t>
      </w:r>
    </w:p>
    <w:p w14:paraId="0264A0CB" w14:textId="77777777" w:rsidR="003C2E14" w:rsidRPr="00CD3AD3" w:rsidRDefault="003C2E14" w:rsidP="00CD3AD3">
      <w:pPr>
        <w:pStyle w:val="Heading4"/>
        <w:spacing w:before="240"/>
        <w:rPr>
          <w:color w:val="auto"/>
        </w:rPr>
      </w:pPr>
      <w:r w:rsidRPr="00CD3AD3">
        <w:rPr>
          <w:color w:val="auto"/>
        </w:rPr>
        <w:t>Increased satisfaction</w:t>
      </w:r>
    </w:p>
    <w:p w14:paraId="6AAF2890" w14:textId="3B1A5049" w:rsidR="003C2E14" w:rsidRDefault="003C2E14" w:rsidP="003C2E14">
      <w:r>
        <w:t xml:space="preserve">Based on </w:t>
      </w:r>
      <w:r w:rsidRPr="00FA6D5C">
        <w:t xml:space="preserve">Lakhiani </w:t>
      </w:r>
      <w:r>
        <w:t>(</w:t>
      </w:r>
      <w:r w:rsidRPr="00FA6D5C">
        <w:t>2014</w:t>
      </w:r>
      <w:r>
        <w:t xml:space="preserve">), AFG alone was less costly and more effective and AFG plus implant was more expensive and more effective, than implant alone. However, the DCAR did not provide ICER for the outcomes based on </w:t>
      </w:r>
      <w:r w:rsidRPr="00867D79">
        <w:t>aesthetic</w:t>
      </w:r>
      <w:r>
        <w:t xml:space="preserve"> outcomes expressed in points on a scale of unknown validity. Based on </w:t>
      </w:r>
      <w:r w:rsidRPr="00FA6D5C">
        <w:t xml:space="preserve">Leuzzi </w:t>
      </w:r>
      <w:r>
        <w:t>(</w:t>
      </w:r>
      <w:r w:rsidRPr="00FA6D5C">
        <w:t>2019</w:t>
      </w:r>
      <w:r>
        <w:t xml:space="preserve">), AFG alone </w:t>
      </w:r>
      <w:r w:rsidRPr="00963896">
        <w:t xml:space="preserve">is a dominant strategy in comparison to implant </w:t>
      </w:r>
      <w:r>
        <w:rPr>
          <w:rFonts w:cs="Calibri"/>
        </w:rPr>
        <w:t>±</w:t>
      </w:r>
      <w:r>
        <w:t xml:space="preserve"> AFG </w:t>
      </w:r>
      <w:r w:rsidRPr="00963896">
        <w:t>as an adjuvant procedure</w:t>
      </w:r>
      <w:r w:rsidR="00CD3AD3">
        <w:t>.</w:t>
      </w:r>
    </w:p>
    <w:p w14:paraId="5CB3FE64" w14:textId="77777777" w:rsidR="003C2E14" w:rsidRPr="005A7713" w:rsidRDefault="003C2E14" w:rsidP="00CD3AD3">
      <w:pPr>
        <w:spacing w:before="240"/>
        <w:sectPr w:rsidR="003C2E14" w:rsidRPr="005A7713" w:rsidSect="002D52C6">
          <w:pgSz w:w="11906" w:h="16838"/>
          <w:pgMar w:top="1440" w:right="1440" w:bottom="1440" w:left="1440" w:header="720" w:footer="720" w:gutter="0"/>
          <w:paperSrc w:first="2" w:other="2"/>
          <w:cols w:space="720"/>
        </w:sectPr>
      </w:pPr>
      <w:r>
        <w:t xml:space="preserve">Based on Khan (2017), which assessed the degree of satisfaction with AFG as a secondary surgery using the BREAST-Q instrument, the indicative </w:t>
      </w:r>
      <w:r w:rsidRPr="00517F6E">
        <w:t>ICER was $1,106 to $2,140 per very satisfied patient</w:t>
      </w:r>
      <w:r>
        <w:t xml:space="preserve"> (relative to no AFG)</w:t>
      </w:r>
      <w:r w:rsidRPr="00517F6E">
        <w:t xml:space="preserve">. </w:t>
      </w:r>
      <w:r>
        <w:t>The DCAR considered that</w:t>
      </w:r>
      <w:r w:rsidRPr="00517F6E">
        <w:t xml:space="preserve"> </w:t>
      </w:r>
      <w:r>
        <w:t>n</w:t>
      </w:r>
      <w:r w:rsidRPr="00517F6E">
        <w:t>otwithstanding the limitations of the sample size and the reporting</w:t>
      </w:r>
      <w:r>
        <w:t xml:space="preserve"> of outcomes</w:t>
      </w:r>
      <w:r w:rsidRPr="00517F6E">
        <w:t>, it appears that there is potential for AFG to eliminate a range of breast pain and tenderness symptoms in patients who had a combination of BSC and AFG. The indicative ICER estimate is $6,739 per additional patient free from symptoms.</w:t>
      </w:r>
      <w:r>
        <w:t xml:space="preserve"> However, it was noted that </w:t>
      </w:r>
      <w:r w:rsidRPr="00AA59AA">
        <w:t>AFG intervention</w:t>
      </w:r>
      <w:r>
        <w:t xml:space="preserve"> in (Khan 2017) was used immediately (rather than delayed AFG as per proposed intervention), and thus would have applicability concerns.</w:t>
      </w:r>
    </w:p>
    <w:p w14:paraId="0033399E" w14:textId="31E17852" w:rsidR="003C2E14" w:rsidRPr="002F2AEA" w:rsidRDefault="007F011C" w:rsidP="002F2AEA">
      <w:pPr>
        <w:rPr>
          <w:rFonts w:ascii="Arial Narrow" w:hAnsi="Arial Narrow"/>
          <w:b/>
          <w:sz w:val="20"/>
        </w:rPr>
      </w:pPr>
      <w:bookmarkStart w:id="37" w:name="_Ref29707823"/>
      <w:bookmarkStart w:id="38" w:name="_Toc37815107"/>
      <w:r w:rsidRPr="002F2AEA">
        <w:rPr>
          <w:rFonts w:ascii="Arial Narrow" w:hAnsi="Arial Narrow"/>
          <w:b/>
          <w:sz w:val="20"/>
        </w:rPr>
        <w:lastRenderedPageBreak/>
        <w:t xml:space="preserve">Table </w:t>
      </w:r>
      <w:r w:rsidR="002E3DBE" w:rsidRPr="002F2AEA">
        <w:rPr>
          <w:rFonts w:ascii="Arial Narrow" w:hAnsi="Arial Narrow"/>
          <w:b/>
          <w:sz w:val="20"/>
        </w:rPr>
        <w:fldChar w:fldCharType="begin"/>
      </w:r>
      <w:r w:rsidR="002E3DBE" w:rsidRPr="002F2AEA">
        <w:rPr>
          <w:rFonts w:ascii="Arial Narrow" w:hAnsi="Arial Narrow"/>
          <w:b/>
          <w:sz w:val="20"/>
        </w:rPr>
        <w:instrText xml:space="preserve"> SEQ Table \* ARABIC </w:instrText>
      </w:r>
      <w:r w:rsidR="002E3DBE" w:rsidRPr="002F2AEA">
        <w:rPr>
          <w:rFonts w:ascii="Arial Narrow" w:hAnsi="Arial Narrow"/>
          <w:b/>
          <w:sz w:val="20"/>
        </w:rPr>
        <w:fldChar w:fldCharType="separate"/>
      </w:r>
      <w:r w:rsidR="00EF74CD" w:rsidRPr="002F2AEA">
        <w:rPr>
          <w:rFonts w:ascii="Arial Narrow" w:hAnsi="Arial Narrow"/>
          <w:b/>
          <w:sz w:val="20"/>
        </w:rPr>
        <w:t>11</w:t>
      </w:r>
      <w:r w:rsidR="002E3DBE" w:rsidRPr="002F2AEA">
        <w:rPr>
          <w:rFonts w:ascii="Arial Narrow" w:hAnsi="Arial Narrow"/>
          <w:b/>
          <w:sz w:val="20"/>
        </w:rPr>
        <w:fldChar w:fldCharType="end"/>
      </w:r>
      <w:bookmarkEnd w:id="37"/>
      <w:r w:rsidR="003C2E14" w:rsidRPr="002F2AEA">
        <w:rPr>
          <w:rFonts w:ascii="Arial Narrow" w:hAnsi="Arial Narrow"/>
          <w:b/>
          <w:sz w:val="20"/>
        </w:rPr>
        <w:t xml:space="preserve"> Summary of results of cost-effectiveness exercises in Subpopulations A1/A2, A2 and A3</w:t>
      </w:r>
      <w:bookmarkEnd w:id="38"/>
    </w:p>
    <w:tbl>
      <w:tblPr>
        <w:tblStyle w:val="TableGrid"/>
        <w:tblW w:w="14029" w:type="dxa"/>
        <w:tblCellMar>
          <w:left w:w="28" w:type="dxa"/>
          <w:right w:w="28" w:type="dxa"/>
        </w:tblCellMar>
        <w:tblLook w:val="04A0" w:firstRow="1" w:lastRow="0" w:firstColumn="1" w:lastColumn="0" w:noHBand="0" w:noVBand="1"/>
        <w:tblCaption w:val="Summary of results of cost-effectiveness exercises in Populations A1/A2, A2 and A3"/>
        <w:tblDescription w:val="Summary of results of cost-effectiveness exercises in Populations A1/A2, A2 and A3"/>
      </w:tblPr>
      <w:tblGrid>
        <w:gridCol w:w="1832"/>
        <w:gridCol w:w="1565"/>
        <w:gridCol w:w="1276"/>
        <w:gridCol w:w="1418"/>
        <w:gridCol w:w="1842"/>
        <w:gridCol w:w="1276"/>
        <w:gridCol w:w="1276"/>
        <w:gridCol w:w="1276"/>
        <w:gridCol w:w="2268"/>
      </w:tblGrid>
      <w:tr w:rsidR="003C2E14" w:rsidRPr="00BF1408" w14:paraId="6C0C9E87" w14:textId="77777777" w:rsidTr="002D52C6">
        <w:trPr>
          <w:tblHeader/>
        </w:trPr>
        <w:tc>
          <w:tcPr>
            <w:tcW w:w="1832" w:type="dxa"/>
            <w:vAlign w:val="center"/>
          </w:tcPr>
          <w:p w14:paraId="48361C78" w14:textId="77777777" w:rsidR="003C2E14" w:rsidRPr="00BF1408" w:rsidRDefault="003C2E14" w:rsidP="002D52C6">
            <w:pPr>
              <w:rPr>
                <w:rFonts w:ascii="Arial Narrow" w:hAnsi="Arial Narrow"/>
                <w:b/>
                <w:sz w:val="20"/>
              </w:rPr>
            </w:pPr>
            <w:r w:rsidRPr="00BF1408">
              <w:rPr>
                <w:rFonts w:ascii="Arial Narrow" w:hAnsi="Arial Narrow"/>
                <w:b/>
                <w:sz w:val="20"/>
              </w:rPr>
              <w:t>Population</w:t>
            </w:r>
          </w:p>
        </w:tc>
        <w:tc>
          <w:tcPr>
            <w:tcW w:w="1565" w:type="dxa"/>
            <w:vAlign w:val="center"/>
          </w:tcPr>
          <w:p w14:paraId="5EEEF8AB" w14:textId="77777777" w:rsidR="003C2E14" w:rsidRPr="00BF1408" w:rsidRDefault="003C2E14" w:rsidP="002D52C6">
            <w:pPr>
              <w:jc w:val="center"/>
              <w:rPr>
                <w:rFonts w:ascii="Arial Narrow" w:hAnsi="Arial Narrow"/>
                <w:b/>
                <w:sz w:val="20"/>
              </w:rPr>
            </w:pPr>
            <w:r w:rsidRPr="00BF1408">
              <w:rPr>
                <w:rFonts w:ascii="Arial Narrow" w:hAnsi="Arial Narrow"/>
                <w:b/>
                <w:sz w:val="20"/>
              </w:rPr>
              <w:t>Intervention</w:t>
            </w:r>
          </w:p>
        </w:tc>
        <w:tc>
          <w:tcPr>
            <w:tcW w:w="1276" w:type="dxa"/>
            <w:vAlign w:val="center"/>
          </w:tcPr>
          <w:p w14:paraId="10C68E84" w14:textId="77777777" w:rsidR="003C2E14" w:rsidRPr="00BF1408" w:rsidRDefault="003C2E14" w:rsidP="002D52C6">
            <w:pPr>
              <w:jc w:val="center"/>
              <w:rPr>
                <w:rFonts w:ascii="Arial Narrow" w:hAnsi="Arial Narrow"/>
                <w:b/>
                <w:sz w:val="20"/>
              </w:rPr>
            </w:pPr>
            <w:r w:rsidRPr="00BF1408">
              <w:rPr>
                <w:rFonts w:ascii="Arial Narrow" w:hAnsi="Arial Narrow"/>
                <w:b/>
                <w:sz w:val="20"/>
              </w:rPr>
              <w:t>Comparator</w:t>
            </w:r>
          </w:p>
        </w:tc>
        <w:tc>
          <w:tcPr>
            <w:tcW w:w="1418" w:type="dxa"/>
            <w:vAlign w:val="center"/>
          </w:tcPr>
          <w:p w14:paraId="2C5621FD" w14:textId="77777777" w:rsidR="003C2E14" w:rsidRPr="00BF1408" w:rsidRDefault="003C2E14" w:rsidP="002D52C6">
            <w:pPr>
              <w:jc w:val="center"/>
              <w:rPr>
                <w:rFonts w:ascii="Arial Narrow" w:hAnsi="Arial Narrow"/>
                <w:b/>
                <w:sz w:val="20"/>
              </w:rPr>
            </w:pPr>
            <w:r w:rsidRPr="00BF1408">
              <w:rPr>
                <w:rFonts w:ascii="Arial Narrow" w:hAnsi="Arial Narrow"/>
                <w:b/>
                <w:sz w:val="20"/>
              </w:rPr>
              <w:t>Source of evidence</w:t>
            </w:r>
          </w:p>
        </w:tc>
        <w:tc>
          <w:tcPr>
            <w:tcW w:w="1842" w:type="dxa"/>
            <w:vAlign w:val="center"/>
          </w:tcPr>
          <w:p w14:paraId="7F62BE0C" w14:textId="77777777" w:rsidR="003C2E14" w:rsidRPr="00BF1408" w:rsidRDefault="003C2E14" w:rsidP="002D52C6">
            <w:pPr>
              <w:jc w:val="center"/>
              <w:rPr>
                <w:rFonts w:ascii="Arial Narrow" w:hAnsi="Arial Narrow"/>
                <w:b/>
                <w:sz w:val="20"/>
              </w:rPr>
            </w:pPr>
            <w:r w:rsidRPr="00BF1408">
              <w:rPr>
                <w:rFonts w:ascii="Arial Narrow" w:hAnsi="Arial Narrow"/>
                <w:b/>
                <w:sz w:val="20"/>
              </w:rPr>
              <w:t>Assessment method</w:t>
            </w:r>
          </w:p>
        </w:tc>
        <w:tc>
          <w:tcPr>
            <w:tcW w:w="1276" w:type="dxa"/>
            <w:vAlign w:val="center"/>
          </w:tcPr>
          <w:p w14:paraId="0A21DC15" w14:textId="77777777" w:rsidR="003C2E14" w:rsidRPr="00BF1408" w:rsidRDefault="003C2E14" w:rsidP="002D52C6">
            <w:pPr>
              <w:jc w:val="center"/>
              <w:rPr>
                <w:rFonts w:ascii="Arial Narrow" w:hAnsi="Arial Narrow"/>
                <w:b/>
                <w:sz w:val="20"/>
              </w:rPr>
            </w:pPr>
            <w:r w:rsidRPr="00BF1408">
              <w:rPr>
                <w:rFonts w:ascii="Arial Narrow" w:hAnsi="Arial Narrow"/>
                <w:b/>
                <w:sz w:val="20"/>
              </w:rPr>
              <w:t xml:space="preserve">Incremental </w:t>
            </w:r>
            <w:r>
              <w:rPr>
                <w:rFonts w:ascii="Arial Narrow" w:hAnsi="Arial Narrow"/>
                <w:b/>
                <w:sz w:val="20"/>
              </w:rPr>
              <w:t>c</w:t>
            </w:r>
            <w:r w:rsidRPr="00BF1408">
              <w:rPr>
                <w:rFonts w:ascii="Arial Narrow" w:hAnsi="Arial Narrow"/>
                <w:b/>
                <w:sz w:val="20"/>
              </w:rPr>
              <w:t>ost ($)</w:t>
            </w:r>
          </w:p>
        </w:tc>
        <w:tc>
          <w:tcPr>
            <w:tcW w:w="1276" w:type="dxa"/>
            <w:vAlign w:val="center"/>
          </w:tcPr>
          <w:p w14:paraId="5004BFB6" w14:textId="77777777" w:rsidR="003C2E14" w:rsidRPr="00BF1408" w:rsidRDefault="003C2E14" w:rsidP="002D52C6">
            <w:pPr>
              <w:jc w:val="center"/>
              <w:rPr>
                <w:rFonts w:ascii="Arial Narrow" w:hAnsi="Arial Narrow"/>
                <w:b/>
                <w:sz w:val="20"/>
              </w:rPr>
            </w:pPr>
            <w:r w:rsidRPr="00BF1408">
              <w:rPr>
                <w:rFonts w:ascii="Arial Narrow" w:hAnsi="Arial Narrow"/>
                <w:b/>
                <w:sz w:val="20"/>
              </w:rPr>
              <w:t>Incremental effectiveness</w:t>
            </w:r>
          </w:p>
        </w:tc>
        <w:tc>
          <w:tcPr>
            <w:tcW w:w="1276" w:type="dxa"/>
            <w:vAlign w:val="center"/>
          </w:tcPr>
          <w:p w14:paraId="613B77CA" w14:textId="77777777" w:rsidR="003C2E14" w:rsidRPr="00BF1408" w:rsidRDefault="003C2E14" w:rsidP="002D52C6">
            <w:pPr>
              <w:jc w:val="center"/>
              <w:rPr>
                <w:rFonts w:ascii="Arial Narrow" w:hAnsi="Arial Narrow"/>
                <w:b/>
                <w:sz w:val="20"/>
              </w:rPr>
            </w:pPr>
            <w:r w:rsidRPr="00BF1408">
              <w:rPr>
                <w:rFonts w:ascii="Arial Narrow" w:hAnsi="Arial Narrow"/>
                <w:b/>
                <w:sz w:val="20"/>
              </w:rPr>
              <w:t>ICER</w:t>
            </w:r>
            <w:r>
              <w:rPr>
                <w:rFonts w:ascii="Arial Narrow" w:hAnsi="Arial Narrow"/>
                <w:b/>
                <w:sz w:val="20"/>
              </w:rPr>
              <w:t xml:space="preserve"> </w:t>
            </w:r>
          </w:p>
        </w:tc>
        <w:tc>
          <w:tcPr>
            <w:tcW w:w="2268" w:type="dxa"/>
            <w:vAlign w:val="center"/>
          </w:tcPr>
          <w:p w14:paraId="416F75F2" w14:textId="77777777" w:rsidR="003C2E14" w:rsidRPr="00BF1408" w:rsidRDefault="003C2E14" w:rsidP="002D52C6">
            <w:pPr>
              <w:jc w:val="center"/>
              <w:rPr>
                <w:rFonts w:ascii="Arial Narrow" w:hAnsi="Arial Narrow"/>
                <w:b/>
                <w:sz w:val="20"/>
              </w:rPr>
            </w:pPr>
            <w:r w:rsidRPr="00BF1408">
              <w:rPr>
                <w:rFonts w:ascii="Arial Narrow" w:hAnsi="Arial Narrow"/>
                <w:b/>
                <w:sz w:val="20"/>
              </w:rPr>
              <w:t>Comments</w:t>
            </w:r>
          </w:p>
        </w:tc>
      </w:tr>
      <w:tr w:rsidR="003C2E14" w:rsidRPr="00BF1408" w14:paraId="3E5506BE" w14:textId="77777777" w:rsidTr="002D52C6">
        <w:tc>
          <w:tcPr>
            <w:tcW w:w="1832" w:type="dxa"/>
          </w:tcPr>
          <w:p w14:paraId="3B2A842C" w14:textId="77777777" w:rsidR="003C2E14" w:rsidRPr="00BF1408" w:rsidRDefault="003C2E14" w:rsidP="002D52C6">
            <w:pPr>
              <w:rPr>
                <w:rFonts w:ascii="Arial Narrow" w:hAnsi="Arial Narrow"/>
                <w:sz w:val="20"/>
              </w:rPr>
            </w:pPr>
            <w:r>
              <w:rPr>
                <w:rFonts w:ascii="Arial Narrow" w:hAnsi="Arial Narrow"/>
                <w:sz w:val="20"/>
              </w:rPr>
              <w:t xml:space="preserve">A1/A2 Post mastectomy, post RT, post </w:t>
            </w:r>
            <w:r w:rsidRPr="00BF1408">
              <w:rPr>
                <w:rFonts w:ascii="Arial Narrow" w:hAnsi="Arial Narrow"/>
                <w:sz w:val="20"/>
              </w:rPr>
              <w:t>expander/implant</w:t>
            </w:r>
          </w:p>
          <w:p w14:paraId="691D71CF" w14:textId="77777777" w:rsidR="003C2E14" w:rsidRPr="00BF1408" w:rsidRDefault="003C2E14" w:rsidP="002D52C6">
            <w:pPr>
              <w:rPr>
                <w:rFonts w:ascii="Arial Narrow" w:hAnsi="Arial Narrow"/>
                <w:sz w:val="20"/>
              </w:rPr>
            </w:pPr>
            <w:r w:rsidRPr="00BF1408">
              <w:rPr>
                <w:rFonts w:ascii="Arial Narrow" w:hAnsi="Arial Narrow"/>
                <w:sz w:val="20"/>
              </w:rPr>
              <w:t>with irradiated skin</w:t>
            </w:r>
          </w:p>
        </w:tc>
        <w:tc>
          <w:tcPr>
            <w:tcW w:w="1565" w:type="dxa"/>
          </w:tcPr>
          <w:p w14:paraId="29A40CA2" w14:textId="77777777" w:rsidR="003C2E14" w:rsidRPr="00BF1408" w:rsidRDefault="003C2E14" w:rsidP="002D52C6">
            <w:pPr>
              <w:rPr>
                <w:rFonts w:ascii="Arial Narrow" w:hAnsi="Arial Narrow"/>
                <w:sz w:val="20"/>
              </w:rPr>
            </w:pPr>
            <w:r w:rsidRPr="00BF1408">
              <w:rPr>
                <w:rFonts w:ascii="Arial Narrow" w:hAnsi="Arial Narrow"/>
                <w:sz w:val="20"/>
              </w:rPr>
              <w:t>AFG as an adjuvant procedure after expander/implant to prevent reconstruction failure</w:t>
            </w:r>
          </w:p>
        </w:tc>
        <w:tc>
          <w:tcPr>
            <w:tcW w:w="1276" w:type="dxa"/>
          </w:tcPr>
          <w:p w14:paraId="1585750D" w14:textId="77777777" w:rsidR="003C2E14" w:rsidRPr="00BF1408" w:rsidRDefault="003C2E14" w:rsidP="002D52C6">
            <w:pPr>
              <w:rPr>
                <w:rFonts w:ascii="Arial Narrow" w:hAnsi="Arial Narrow"/>
                <w:sz w:val="20"/>
              </w:rPr>
            </w:pPr>
            <w:r w:rsidRPr="00BF1408">
              <w:rPr>
                <w:rFonts w:ascii="Arial Narrow" w:hAnsi="Arial Narrow"/>
                <w:sz w:val="20"/>
              </w:rPr>
              <w:t>No AFG</w:t>
            </w:r>
          </w:p>
        </w:tc>
        <w:tc>
          <w:tcPr>
            <w:tcW w:w="1418" w:type="dxa"/>
          </w:tcPr>
          <w:p w14:paraId="3BE8312A" w14:textId="77777777" w:rsidR="003C2E14" w:rsidRPr="00BF1408" w:rsidRDefault="003C2E14" w:rsidP="002D52C6">
            <w:pPr>
              <w:rPr>
                <w:rFonts w:ascii="Arial Narrow" w:hAnsi="Arial Narrow"/>
                <w:sz w:val="20"/>
              </w:rPr>
            </w:pPr>
            <w:r w:rsidRPr="00BF1408">
              <w:rPr>
                <w:rFonts w:ascii="Arial Narrow" w:hAnsi="Arial Narrow"/>
                <w:sz w:val="20"/>
              </w:rPr>
              <w:t>Panettiere 2009</w:t>
            </w:r>
            <w:r>
              <w:rPr>
                <w:rFonts w:ascii="Arial Narrow" w:hAnsi="Arial Narrow"/>
                <w:sz w:val="20"/>
              </w:rPr>
              <w:t xml:space="preserve"> (A2)</w:t>
            </w:r>
          </w:p>
          <w:p w14:paraId="55B2EFFF" w14:textId="77777777" w:rsidR="003C2E14" w:rsidRPr="00BF1408" w:rsidRDefault="003C2E14" w:rsidP="002D52C6">
            <w:pPr>
              <w:rPr>
                <w:rFonts w:ascii="Arial Narrow" w:hAnsi="Arial Narrow"/>
                <w:sz w:val="20"/>
              </w:rPr>
            </w:pPr>
            <w:r w:rsidRPr="00BF1408">
              <w:rPr>
                <w:rFonts w:ascii="Arial Narrow" w:hAnsi="Arial Narrow"/>
                <w:sz w:val="20"/>
              </w:rPr>
              <w:t>Ribuffo 2013</w:t>
            </w:r>
            <w:r>
              <w:rPr>
                <w:rFonts w:ascii="Arial Narrow" w:hAnsi="Arial Narrow"/>
                <w:sz w:val="20"/>
              </w:rPr>
              <w:t xml:space="preserve"> (A1)</w:t>
            </w:r>
          </w:p>
        </w:tc>
        <w:tc>
          <w:tcPr>
            <w:tcW w:w="1842" w:type="dxa"/>
          </w:tcPr>
          <w:p w14:paraId="4CADFE60" w14:textId="77777777" w:rsidR="003C2E14" w:rsidRPr="00BF1408" w:rsidRDefault="003C2E14" w:rsidP="002D52C6">
            <w:pPr>
              <w:rPr>
                <w:rFonts w:ascii="Arial Narrow" w:hAnsi="Arial Narrow"/>
                <w:sz w:val="20"/>
              </w:rPr>
            </w:pPr>
            <w:r w:rsidRPr="00BF1408">
              <w:rPr>
                <w:rFonts w:ascii="Arial Narrow" w:hAnsi="Arial Narrow"/>
                <w:sz w:val="20"/>
              </w:rPr>
              <w:t>Events. Reduction in risk of radiation</w:t>
            </w:r>
            <w:r>
              <w:rPr>
                <w:rFonts w:ascii="Arial Narrow" w:hAnsi="Arial Narrow"/>
                <w:sz w:val="20"/>
              </w:rPr>
              <w:t>-</w:t>
            </w:r>
            <w:r w:rsidRPr="00BF1408">
              <w:rPr>
                <w:rFonts w:ascii="Arial Narrow" w:hAnsi="Arial Narrow"/>
                <w:sz w:val="20"/>
              </w:rPr>
              <w:t>induced complications: implant exposure, ulcerations and capsular contracture</w:t>
            </w:r>
          </w:p>
        </w:tc>
        <w:tc>
          <w:tcPr>
            <w:tcW w:w="1276" w:type="dxa"/>
          </w:tcPr>
          <w:p w14:paraId="4A048290" w14:textId="77777777" w:rsidR="003C2E14" w:rsidRPr="00BF1408" w:rsidRDefault="003C2E14" w:rsidP="002D52C6">
            <w:pPr>
              <w:jc w:val="center"/>
              <w:rPr>
                <w:rFonts w:ascii="Arial Narrow" w:hAnsi="Arial Narrow"/>
                <w:sz w:val="20"/>
              </w:rPr>
            </w:pPr>
            <w:r>
              <w:rPr>
                <w:rFonts w:ascii="Arial Narrow" w:hAnsi="Arial Narrow"/>
                <w:sz w:val="20"/>
              </w:rPr>
              <w:t>2,132</w:t>
            </w:r>
          </w:p>
          <w:p w14:paraId="2A11B86A" w14:textId="77777777" w:rsidR="003C2E14" w:rsidRPr="00BF1408" w:rsidRDefault="003C2E14" w:rsidP="002D52C6">
            <w:pPr>
              <w:jc w:val="center"/>
              <w:rPr>
                <w:rFonts w:ascii="Arial Narrow" w:hAnsi="Arial Narrow"/>
                <w:sz w:val="20"/>
              </w:rPr>
            </w:pPr>
          </w:p>
          <w:p w14:paraId="04DC75C8" w14:textId="77777777" w:rsidR="003C2E14" w:rsidRPr="00BF1408" w:rsidRDefault="003C2E14" w:rsidP="002D52C6">
            <w:pPr>
              <w:jc w:val="center"/>
              <w:rPr>
                <w:rFonts w:ascii="Arial Narrow" w:hAnsi="Arial Narrow"/>
                <w:sz w:val="20"/>
              </w:rPr>
            </w:pPr>
            <w:r>
              <w:rPr>
                <w:rFonts w:ascii="Arial Narrow" w:hAnsi="Arial Narrow"/>
                <w:sz w:val="20"/>
              </w:rPr>
              <w:t>335</w:t>
            </w:r>
          </w:p>
        </w:tc>
        <w:tc>
          <w:tcPr>
            <w:tcW w:w="1276" w:type="dxa"/>
          </w:tcPr>
          <w:p w14:paraId="189F20C6" w14:textId="77777777" w:rsidR="003C2E14" w:rsidRPr="00BF1408" w:rsidRDefault="003C2E14" w:rsidP="002D52C6">
            <w:pPr>
              <w:jc w:val="center"/>
              <w:rPr>
                <w:rFonts w:ascii="Arial Narrow" w:hAnsi="Arial Narrow"/>
                <w:sz w:val="20"/>
              </w:rPr>
            </w:pPr>
            <w:r w:rsidRPr="00BF1408">
              <w:rPr>
                <w:rFonts w:ascii="Arial Narrow" w:hAnsi="Arial Narrow"/>
                <w:sz w:val="20"/>
              </w:rPr>
              <w:t>-0.07</w:t>
            </w:r>
          </w:p>
          <w:p w14:paraId="2BB8F85D" w14:textId="77777777" w:rsidR="003C2E14" w:rsidRPr="00BF1408" w:rsidRDefault="003C2E14" w:rsidP="002D52C6">
            <w:pPr>
              <w:jc w:val="center"/>
              <w:rPr>
                <w:rFonts w:ascii="Arial Narrow" w:hAnsi="Arial Narrow"/>
                <w:sz w:val="20"/>
              </w:rPr>
            </w:pPr>
          </w:p>
          <w:p w14:paraId="721CD69B" w14:textId="77777777" w:rsidR="003C2E14" w:rsidRPr="00BF1408" w:rsidRDefault="003C2E14" w:rsidP="002D52C6">
            <w:pPr>
              <w:jc w:val="center"/>
              <w:rPr>
                <w:rFonts w:ascii="Arial Narrow" w:hAnsi="Arial Narrow"/>
                <w:sz w:val="20"/>
              </w:rPr>
            </w:pPr>
            <w:r w:rsidRPr="00BF1408">
              <w:rPr>
                <w:rFonts w:ascii="Arial Narrow" w:hAnsi="Arial Narrow"/>
                <w:sz w:val="20"/>
              </w:rPr>
              <w:t>-0.44</w:t>
            </w:r>
          </w:p>
        </w:tc>
        <w:tc>
          <w:tcPr>
            <w:tcW w:w="1276" w:type="dxa"/>
          </w:tcPr>
          <w:p w14:paraId="5761FBCF" w14:textId="77777777" w:rsidR="003C2E14" w:rsidRPr="00BF1408" w:rsidRDefault="003C2E14" w:rsidP="002D52C6">
            <w:pPr>
              <w:jc w:val="center"/>
              <w:rPr>
                <w:rFonts w:ascii="Arial Narrow" w:hAnsi="Arial Narrow"/>
                <w:sz w:val="20"/>
              </w:rPr>
            </w:pPr>
            <w:r>
              <w:rPr>
                <w:rFonts w:ascii="Arial Narrow" w:hAnsi="Arial Narrow"/>
                <w:sz w:val="20"/>
              </w:rPr>
              <w:t>$30,469</w:t>
            </w:r>
          </w:p>
          <w:p w14:paraId="650605A5" w14:textId="77777777" w:rsidR="003C2E14" w:rsidRPr="00BF1408" w:rsidRDefault="003C2E14" w:rsidP="002D52C6">
            <w:pPr>
              <w:jc w:val="center"/>
              <w:rPr>
                <w:rFonts w:ascii="Arial Narrow" w:hAnsi="Arial Narrow"/>
                <w:sz w:val="20"/>
              </w:rPr>
            </w:pPr>
          </w:p>
          <w:p w14:paraId="331375CA" w14:textId="77777777" w:rsidR="003C2E14" w:rsidRDefault="003C2E14" w:rsidP="002D52C6">
            <w:pPr>
              <w:jc w:val="center"/>
              <w:rPr>
                <w:rFonts w:ascii="Arial Narrow" w:hAnsi="Arial Narrow"/>
                <w:sz w:val="20"/>
              </w:rPr>
            </w:pPr>
            <w:r>
              <w:rPr>
                <w:rFonts w:ascii="Arial Narrow" w:hAnsi="Arial Narrow"/>
                <w:sz w:val="20"/>
              </w:rPr>
              <w:t>$776</w:t>
            </w:r>
          </w:p>
          <w:p w14:paraId="0C9AA0F9" w14:textId="77777777" w:rsidR="003C2E14" w:rsidRDefault="003C2E14" w:rsidP="002D52C6">
            <w:pPr>
              <w:jc w:val="center"/>
              <w:rPr>
                <w:rFonts w:ascii="Arial Narrow" w:hAnsi="Arial Narrow"/>
                <w:sz w:val="20"/>
              </w:rPr>
            </w:pPr>
          </w:p>
          <w:p w14:paraId="231E3B16" w14:textId="77777777" w:rsidR="003C2E14" w:rsidRPr="00BF1408" w:rsidRDefault="003C2E14" w:rsidP="002D52C6">
            <w:pPr>
              <w:jc w:val="center"/>
              <w:rPr>
                <w:rFonts w:ascii="Arial Narrow" w:hAnsi="Arial Narrow"/>
                <w:sz w:val="20"/>
              </w:rPr>
            </w:pPr>
            <w:r w:rsidRPr="00BF1408">
              <w:rPr>
                <w:rFonts w:ascii="Arial Narrow" w:hAnsi="Arial Narrow"/>
                <w:sz w:val="20"/>
              </w:rPr>
              <w:t xml:space="preserve">per </w:t>
            </w:r>
            <w:r>
              <w:rPr>
                <w:rFonts w:ascii="Arial Narrow" w:hAnsi="Arial Narrow"/>
                <w:sz w:val="20"/>
              </w:rPr>
              <w:t>reconstruction failure avoided</w:t>
            </w:r>
          </w:p>
        </w:tc>
        <w:tc>
          <w:tcPr>
            <w:tcW w:w="2268" w:type="dxa"/>
          </w:tcPr>
          <w:p w14:paraId="59CD9188" w14:textId="77777777" w:rsidR="003C2E14" w:rsidRPr="00BF1408" w:rsidRDefault="003C2E14" w:rsidP="002D52C6">
            <w:pPr>
              <w:rPr>
                <w:rFonts w:ascii="Arial Narrow" w:hAnsi="Arial Narrow"/>
                <w:sz w:val="20"/>
              </w:rPr>
            </w:pPr>
            <w:r w:rsidRPr="00BF1408">
              <w:rPr>
                <w:rFonts w:ascii="Arial Narrow" w:hAnsi="Arial Narrow"/>
                <w:sz w:val="20"/>
              </w:rPr>
              <w:t>Particularly poor reporting. Small samples in both studies. The ICER estimates the incremental cost per “reconstruction failure avoided”. Unclear how the control group was selected in Ribuffo (2013)</w:t>
            </w:r>
          </w:p>
        </w:tc>
      </w:tr>
      <w:tr w:rsidR="003C2E14" w:rsidRPr="00BF1408" w14:paraId="5F4020B6" w14:textId="77777777" w:rsidTr="002D52C6">
        <w:tc>
          <w:tcPr>
            <w:tcW w:w="1832" w:type="dxa"/>
          </w:tcPr>
          <w:p w14:paraId="5EF075EC" w14:textId="77777777" w:rsidR="003C2E14" w:rsidRPr="00BF1408" w:rsidRDefault="003C2E14" w:rsidP="002D52C6">
            <w:pPr>
              <w:rPr>
                <w:rFonts w:ascii="Arial Narrow" w:hAnsi="Arial Narrow"/>
                <w:sz w:val="20"/>
              </w:rPr>
            </w:pPr>
            <w:r>
              <w:rPr>
                <w:rFonts w:ascii="Arial Narrow" w:hAnsi="Arial Narrow"/>
                <w:sz w:val="20"/>
              </w:rPr>
              <w:t xml:space="preserve">A2 Post </w:t>
            </w:r>
            <w:r w:rsidRPr="00BF1408">
              <w:rPr>
                <w:rFonts w:ascii="Arial Narrow" w:hAnsi="Arial Narrow"/>
                <w:sz w:val="20"/>
              </w:rPr>
              <w:t>mastectomy, post reconstruction with</w:t>
            </w:r>
            <w:r>
              <w:rPr>
                <w:rFonts w:ascii="Arial Narrow" w:hAnsi="Arial Narrow"/>
                <w:sz w:val="20"/>
              </w:rPr>
              <w:t>:</w:t>
            </w:r>
            <w:r w:rsidRPr="00BF1408">
              <w:rPr>
                <w:rFonts w:ascii="Arial Narrow" w:hAnsi="Arial Narrow"/>
                <w:sz w:val="20"/>
              </w:rPr>
              <w:t xml:space="preserve"> </w:t>
            </w:r>
          </w:p>
          <w:p w14:paraId="49E8C2D7" w14:textId="77777777" w:rsidR="003C2E14" w:rsidRPr="00BF1408" w:rsidRDefault="003C2E14" w:rsidP="002D52C6">
            <w:pPr>
              <w:rPr>
                <w:rFonts w:ascii="Arial Narrow" w:hAnsi="Arial Narrow"/>
                <w:sz w:val="20"/>
              </w:rPr>
            </w:pPr>
          </w:p>
          <w:p w14:paraId="01877F5C" w14:textId="77777777" w:rsidR="003C2E14" w:rsidRPr="00BF1408" w:rsidRDefault="003C2E14" w:rsidP="002D52C6">
            <w:pPr>
              <w:rPr>
                <w:rFonts w:ascii="Arial Narrow" w:hAnsi="Arial Narrow"/>
                <w:sz w:val="20"/>
              </w:rPr>
            </w:pPr>
            <w:r w:rsidRPr="00BF1408">
              <w:rPr>
                <w:rFonts w:ascii="Arial Narrow" w:hAnsi="Arial Narrow"/>
                <w:sz w:val="20"/>
              </w:rPr>
              <w:t>a) autologous flap;</w:t>
            </w:r>
          </w:p>
          <w:p w14:paraId="462DAA50" w14:textId="77777777" w:rsidR="003C2E14" w:rsidRPr="00BF1408" w:rsidRDefault="003C2E14" w:rsidP="002D52C6">
            <w:pPr>
              <w:rPr>
                <w:rFonts w:ascii="Arial Narrow" w:hAnsi="Arial Narrow"/>
                <w:sz w:val="20"/>
              </w:rPr>
            </w:pPr>
          </w:p>
          <w:p w14:paraId="60EB9A40" w14:textId="77777777" w:rsidR="003C2E14" w:rsidRPr="00BF1408" w:rsidRDefault="003C2E14" w:rsidP="002D52C6">
            <w:pPr>
              <w:rPr>
                <w:rFonts w:ascii="Arial Narrow" w:hAnsi="Arial Narrow"/>
                <w:sz w:val="20"/>
              </w:rPr>
            </w:pPr>
          </w:p>
          <w:p w14:paraId="498970BA" w14:textId="77777777" w:rsidR="003C2E14" w:rsidRPr="00BF1408" w:rsidRDefault="003C2E14" w:rsidP="002D52C6">
            <w:pPr>
              <w:rPr>
                <w:rFonts w:ascii="Arial Narrow" w:hAnsi="Arial Narrow"/>
                <w:sz w:val="20"/>
              </w:rPr>
            </w:pPr>
            <w:r w:rsidRPr="00BF1408">
              <w:rPr>
                <w:rFonts w:ascii="Arial Narrow" w:hAnsi="Arial Narrow"/>
                <w:sz w:val="20"/>
              </w:rPr>
              <w:t>b) LD</w:t>
            </w:r>
          </w:p>
        </w:tc>
        <w:tc>
          <w:tcPr>
            <w:tcW w:w="1565" w:type="dxa"/>
          </w:tcPr>
          <w:p w14:paraId="38B6637E" w14:textId="77777777" w:rsidR="003C2E14" w:rsidRDefault="003C2E14" w:rsidP="002D52C6">
            <w:pPr>
              <w:rPr>
                <w:rFonts w:ascii="Arial Narrow" w:hAnsi="Arial Narrow"/>
                <w:sz w:val="20"/>
              </w:rPr>
            </w:pPr>
          </w:p>
          <w:p w14:paraId="48139D08" w14:textId="77777777" w:rsidR="003C2E14" w:rsidRDefault="003C2E14" w:rsidP="002D52C6">
            <w:pPr>
              <w:rPr>
                <w:rFonts w:ascii="Arial Narrow" w:hAnsi="Arial Narrow"/>
                <w:sz w:val="20"/>
              </w:rPr>
            </w:pPr>
          </w:p>
          <w:p w14:paraId="337C27F4" w14:textId="77777777" w:rsidR="003C2E14" w:rsidRDefault="003C2E14" w:rsidP="002D52C6">
            <w:pPr>
              <w:rPr>
                <w:rFonts w:ascii="Arial Narrow" w:hAnsi="Arial Narrow"/>
                <w:sz w:val="20"/>
              </w:rPr>
            </w:pPr>
          </w:p>
          <w:p w14:paraId="3D1592A2" w14:textId="77777777" w:rsidR="003C2E14" w:rsidRDefault="003C2E14" w:rsidP="002D52C6">
            <w:pPr>
              <w:pStyle w:val="ListParagraph"/>
              <w:numPr>
                <w:ilvl w:val="0"/>
                <w:numId w:val="42"/>
              </w:numPr>
              <w:ind w:left="262" w:hanging="262"/>
              <w:contextualSpacing w:val="0"/>
              <w:rPr>
                <w:rFonts w:ascii="Arial Narrow" w:hAnsi="Arial Narrow"/>
                <w:sz w:val="20"/>
              </w:rPr>
            </w:pPr>
            <w:r>
              <w:rPr>
                <w:rFonts w:ascii="Arial Narrow" w:hAnsi="Arial Narrow"/>
                <w:sz w:val="20"/>
              </w:rPr>
              <w:t xml:space="preserve">AFG </w:t>
            </w:r>
            <w:r w:rsidRPr="00CB1B24">
              <w:rPr>
                <w:rFonts w:ascii="Arial Narrow" w:hAnsi="Arial Narrow"/>
                <w:sz w:val="20"/>
              </w:rPr>
              <w:t xml:space="preserve">alone </w:t>
            </w:r>
          </w:p>
          <w:p w14:paraId="7FA72644" w14:textId="77777777" w:rsidR="003C2E14" w:rsidRDefault="003C2E14" w:rsidP="002D52C6">
            <w:pPr>
              <w:pStyle w:val="ListParagraph"/>
              <w:numPr>
                <w:ilvl w:val="0"/>
                <w:numId w:val="42"/>
              </w:numPr>
              <w:ind w:left="262" w:hanging="262"/>
              <w:contextualSpacing w:val="0"/>
              <w:rPr>
                <w:rFonts w:ascii="Arial Narrow" w:hAnsi="Arial Narrow"/>
                <w:sz w:val="20"/>
              </w:rPr>
            </w:pPr>
            <w:r>
              <w:rPr>
                <w:rFonts w:ascii="Arial Narrow" w:hAnsi="Arial Narrow"/>
                <w:sz w:val="20"/>
              </w:rPr>
              <w:t>AFG + implant</w:t>
            </w:r>
          </w:p>
          <w:p w14:paraId="4A74019A" w14:textId="77777777" w:rsidR="003C2E14" w:rsidRDefault="003C2E14" w:rsidP="002D52C6">
            <w:pPr>
              <w:rPr>
                <w:rFonts w:ascii="Arial Narrow" w:hAnsi="Arial Narrow"/>
                <w:sz w:val="20"/>
              </w:rPr>
            </w:pPr>
          </w:p>
          <w:p w14:paraId="5F6E575F" w14:textId="77777777" w:rsidR="003C2E14" w:rsidRPr="00CB1B24" w:rsidRDefault="003C2E14" w:rsidP="002D52C6">
            <w:pPr>
              <w:rPr>
                <w:rFonts w:ascii="Arial Narrow" w:hAnsi="Arial Narrow"/>
                <w:sz w:val="20"/>
              </w:rPr>
            </w:pPr>
            <w:r>
              <w:rPr>
                <w:rFonts w:ascii="Arial Narrow" w:hAnsi="Arial Narrow"/>
                <w:sz w:val="20"/>
              </w:rPr>
              <w:t>AFG alone</w:t>
            </w:r>
          </w:p>
        </w:tc>
        <w:tc>
          <w:tcPr>
            <w:tcW w:w="1276" w:type="dxa"/>
          </w:tcPr>
          <w:p w14:paraId="271ABCF7" w14:textId="77777777" w:rsidR="003C2E14" w:rsidRDefault="003C2E14" w:rsidP="002D52C6">
            <w:pPr>
              <w:rPr>
                <w:rFonts w:ascii="Arial Narrow" w:hAnsi="Arial Narrow"/>
                <w:sz w:val="20"/>
              </w:rPr>
            </w:pPr>
          </w:p>
          <w:p w14:paraId="47D02752" w14:textId="77777777" w:rsidR="003C2E14" w:rsidRDefault="003C2E14" w:rsidP="002D52C6">
            <w:pPr>
              <w:rPr>
                <w:rFonts w:ascii="Arial Narrow" w:hAnsi="Arial Narrow"/>
                <w:sz w:val="20"/>
              </w:rPr>
            </w:pPr>
          </w:p>
          <w:p w14:paraId="17815B98" w14:textId="77777777" w:rsidR="003C2E14" w:rsidRDefault="003C2E14" w:rsidP="002D52C6">
            <w:pPr>
              <w:rPr>
                <w:rFonts w:ascii="Arial Narrow" w:hAnsi="Arial Narrow"/>
                <w:sz w:val="20"/>
              </w:rPr>
            </w:pPr>
          </w:p>
          <w:p w14:paraId="58A391C9" w14:textId="77777777" w:rsidR="003C2E14" w:rsidRPr="00BF1408" w:rsidRDefault="003C2E14" w:rsidP="00B72DF9">
            <w:pPr>
              <w:spacing w:after="480"/>
              <w:rPr>
                <w:rFonts w:ascii="Arial Narrow" w:hAnsi="Arial Narrow"/>
                <w:sz w:val="20"/>
              </w:rPr>
            </w:pPr>
            <w:r w:rsidRPr="00BF1408">
              <w:rPr>
                <w:rFonts w:ascii="Arial Narrow" w:hAnsi="Arial Narrow"/>
                <w:sz w:val="20"/>
              </w:rPr>
              <w:t xml:space="preserve">a) Implant alone </w:t>
            </w:r>
          </w:p>
          <w:p w14:paraId="0ED9D1FB" w14:textId="5E8F0C93" w:rsidR="003C2E14" w:rsidRPr="00BF1408" w:rsidRDefault="003C2E14" w:rsidP="002D52C6">
            <w:pPr>
              <w:rPr>
                <w:rFonts w:ascii="Arial Narrow" w:hAnsi="Arial Narrow"/>
                <w:sz w:val="20"/>
              </w:rPr>
            </w:pPr>
            <w:r w:rsidRPr="00BF1408">
              <w:rPr>
                <w:rFonts w:ascii="Arial Narrow" w:hAnsi="Arial Narrow"/>
                <w:sz w:val="20"/>
              </w:rPr>
              <w:t>Implant</w:t>
            </w:r>
            <w:r>
              <w:rPr>
                <w:rFonts w:ascii="Arial Narrow" w:hAnsi="Arial Narrow"/>
                <w:sz w:val="20"/>
              </w:rPr>
              <w:t xml:space="preserve"> ± AFG</w:t>
            </w:r>
          </w:p>
        </w:tc>
        <w:tc>
          <w:tcPr>
            <w:tcW w:w="1418" w:type="dxa"/>
          </w:tcPr>
          <w:p w14:paraId="555932DE" w14:textId="77777777" w:rsidR="003C2E14" w:rsidRDefault="003C2E14" w:rsidP="002D52C6">
            <w:pPr>
              <w:rPr>
                <w:rFonts w:ascii="Arial Narrow" w:hAnsi="Arial Narrow"/>
                <w:sz w:val="20"/>
              </w:rPr>
            </w:pPr>
          </w:p>
          <w:p w14:paraId="5A0160B0" w14:textId="77777777" w:rsidR="003C2E14" w:rsidRDefault="003C2E14" w:rsidP="002D52C6">
            <w:pPr>
              <w:rPr>
                <w:rFonts w:ascii="Arial Narrow" w:hAnsi="Arial Narrow"/>
                <w:sz w:val="20"/>
              </w:rPr>
            </w:pPr>
          </w:p>
          <w:p w14:paraId="01E72B50" w14:textId="77777777" w:rsidR="003C2E14" w:rsidRPr="00BF1408" w:rsidRDefault="003C2E14" w:rsidP="002D52C6">
            <w:pPr>
              <w:rPr>
                <w:rFonts w:ascii="Arial Narrow" w:hAnsi="Arial Narrow"/>
                <w:sz w:val="20"/>
              </w:rPr>
            </w:pPr>
          </w:p>
          <w:p w14:paraId="1C755AB4" w14:textId="7BEA9E27" w:rsidR="003C2E14" w:rsidRPr="00BF1408" w:rsidRDefault="003C2E14" w:rsidP="002D52C6">
            <w:pPr>
              <w:rPr>
                <w:rFonts w:ascii="Arial Narrow" w:hAnsi="Arial Narrow"/>
                <w:sz w:val="20"/>
              </w:rPr>
            </w:pPr>
            <w:r w:rsidRPr="00BF1408">
              <w:rPr>
                <w:rFonts w:ascii="Arial Narrow" w:hAnsi="Arial Narrow"/>
                <w:sz w:val="20"/>
              </w:rPr>
              <w:t>Lakhiani 2014;</w:t>
            </w:r>
          </w:p>
          <w:p w14:paraId="5D257F89" w14:textId="77777777" w:rsidR="003C2E14" w:rsidRPr="00BF1408" w:rsidRDefault="003C2E14" w:rsidP="002D52C6">
            <w:pPr>
              <w:rPr>
                <w:rFonts w:ascii="Arial Narrow" w:hAnsi="Arial Narrow"/>
                <w:sz w:val="20"/>
              </w:rPr>
            </w:pPr>
          </w:p>
          <w:p w14:paraId="029A9AF1" w14:textId="77777777" w:rsidR="003C2E14" w:rsidRPr="00BF1408" w:rsidRDefault="003C2E14" w:rsidP="002D52C6">
            <w:pPr>
              <w:rPr>
                <w:rFonts w:ascii="Arial Narrow" w:hAnsi="Arial Narrow"/>
                <w:sz w:val="20"/>
              </w:rPr>
            </w:pPr>
          </w:p>
          <w:p w14:paraId="0036BFCF" w14:textId="77777777" w:rsidR="003C2E14" w:rsidRPr="00BF1408" w:rsidRDefault="003C2E14" w:rsidP="002D52C6">
            <w:pPr>
              <w:rPr>
                <w:rFonts w:ascii="Arial Narrow" w:hAnsi="Arial Narrow"/>
                <w:sz w:val="20"/>
              </w:rPr>
            </w:pPr>
            <w:r w:rsidRPr="00BF1408">
              <w:rPr>
                <w:rFonts w:ascii="Arial Narrow" w:hAnsi="Arial Narrow"/>
                <w:sz w:val="20"/>
              </w:rPr>
              <w:t>Leuzzi 2019</w:t>
            </w:r>
          </w:p>
        </w:tc>
        <w:tc>
          <w:tcPr>
            <w:tcW w:w="1842" w:type="dxa"/>
          </w:tcPr>
          <w:p w14:paraId="4F691AC7" w14:textId="77777777" w:rsidR="003C2E14" w:rsidRPr="00BF1408" w:rsidRDefault="003C2E14" w:rsidP="002D52C6">
            <w:pPr>
              <w:rPr>
                <w:rFonts w:ascii="Arial Narrow" w:hAnsi="Arial Narrow"/>
                <w:sz w:val="20"/>
              </w:rPr>
            </w:pPr>
            <w:r w:rsidRPr="00BF1408">
              <w:rPr>
                <w:rFonts w:ascii="Arial Narrow" w:hAnsi="Arial Narrow"/>
                <w:sz w:val="20"/>
              </w:rPr>
              <w:t>5-point aesthetic assessment by surgeons using photographs</w:t>
            </w:r>
          </w:p>
          <w:p w14:paraId="0E352612" w14:textId="77777777" w:rsidR="003C2E14" w:rsidRPr="00BF1408" w:rsidRDefault="003C2E14" w:rsidP="002D52C6">
            <w:pPr>
              <w:rPr>
                <w:rFonts w:ascii="Arial Narrow" w:hAnsi="Arial Narrow"/>
                <w:sz w:val="20"/>
              </w:rPr>
            </w:pPr>
          </w:p>
          <w:p w14:paraId="28024BB2" w14:textId="77777777" w:rsidR="003C2E14" w:rsidRPr="00BF1408" w:rsidRDefault="003C2E14" w:rsidP="002D52C6">
            <w:pPr>
              <w:rPr>
                <w:rFonts w:ascii="Arial Narrow" w:hAnsi="Arial Narrow"/>
                <w:sz w:val="20"/>
              </w:rPr>
            </w:pPr>
          </w:p>
          <w:p w14:paraId="7B1EA641" w14:textId="77777777" w:rsidR="003C2E14" w:rsidRPr="00BF1408" w:rsidRDefault="003C2E14" w:rsidP="002D52C6">
            <w:pPr>
              <w:rPr>
                <w:rFonts w:ascii="Arial Narrow" w:hAnsi="Arial Narrow"/>
                <w:sz w:val="20"/>
              </w:rPr>
            </w:pPr>
            <w:r w:rsidRPr="00BF1408">
              <w:rPr>
                <w:rFonts w:ascii="Arial Narrow" w:hAnsi="Arial Narrow"/>
                <w:sz w:val="20"/>
              </w:rPr>
              <w:t>BRE</w:t>
            </w:r>
            <w:r>
              <w:rPr>
                <w:rFonts w:ascii="Arial Narrow" w:hAnsi="Arial Narrow"/>
                <w:sz w:val="20"/>
              </w:rPr>
              <w:t>A</w:t>
            </w:r>
            <w:r w:rsidRPr="00BF1408">
              <w:rPr>
                <w:rFonts w:ascii="Arial Narrow" w:hAnsi="Arial Narrow"/>
                <w:sz w:val="20"/>
              </w:rPr>
              <w:t xml:space="preserve">ST-Q points (in SD)  </w:t>
            </w:r>
          </w:p>
        </w:tc>
        <w:tc>
          <w:tcPr>
            <w:tcW w:w="1276" w:type="dxa"/>
          </w:tcPr>
          <w:p w14:paraId="61DD0D76" w14:textId="77777777" w:rsidR="003C2E14" w:rsidRDefault="003C2E14" w:rsidP="002D52C6">
            <w:pPr>
              <w:jc w:val="center"/>
              <w:rPr>
                <w:rFonts w:ascii="Arial Narrow" w:hAnsi="Arial Narrow"/>
                <w:sz w:val="20"/>
              </w:rPr>
            </w:pPr>
          </w:p>
          <w:p w14:paraId="785A5FD3" w14:textId="77777777" w:rsidR="003C2E14" w:rsidRDefault="003C2E14" w:rsidP="002D52C6">
            <w:pPr>
              <w:jc w:val="center"/>
              <w:rPr>
                <w:rFonts w:ascii="Arial Narrow" w:hAnsi="Arial Narrow"/>
                <w:sz w:val="20"/>
              </w:rPr>
            </w:pPr>
          </w:p>
          <w:p w14:paraId="3E1B1A70" w14:textId="77777777" w:rsidR="003C2E14" w:rsidRDefault="003C2E14" w:rsidP="002D52C6">
            <w:pPr>
              <w:jc w:val="center"/>
              <w:rPr>
                <w:rFonts w:ascii="Arial Narrow" w:hAnsi="Arial Narrow"/>
                <w:sz w:val="20"/>
              </w:rPr>
            </w:pPr>
          </w:p>
          <w:p w14:paraId="30D20D09" w14:textId="77777777" w:rsidR="003C2E14" w:rsidRPr="00BF1408" w:rsidRDefault="003C2E14" w:rsidP="002D52C6">
            <w:pPr>
              <w:jc w:val="center"/>
              <w:rPr>
                <w:rFonts w:ascii="Arial Narrow" w:hAnsi="Arial Narrow"/>
                <w:sz w:val="20"/>
              </w:rPr>
            </w:pPr>
            <w:r>
              <w:rPr>
                <w:rFonts w:ascii="Arial Narrow" w:hAnsi="Arial Narrow"/>
                <w:sz w:val="20"/>
              </w:rPr>
              <w:t>-315</w:t>
            </w:r>
          </w:p>
          <w:p w14:paraId="054ADDA7" w14:textId="77777777" w:rsidR="003C2E14" w:rsidRPr="00BF1408" w:rsidRDefault="003C2E14" w:rsidP="002D52C6">
            <w:pPr>
              <w:jc w:val="center"/>
              <w:rPr>
                <w:rFonts w:ascii="Arial Narrow" w:hAnsi="Arial Narrow"/>
                <w:sz w:val="20"/>
              </w:rPr>
            </w:pPr>
            <w:r>
              <w:rPr>
                <w:rFonts w:ascii="Arial Narrow" w:hAnsi="Arial Narrow"/>
                <w:sz w:val="20"/>
              </w:rPr>
              <w:t>752</w:t>
            </w:r>
          </w:p>
          <w:p w14:paraId="2425F8CE" w14:textId="77777777" w:rsidR="003C2E14" w:rsidRPr="00BF1408" w:rsidRDefault="003C2E14" w:rsidP="002D52C6">
            <w:pPr>
              <w:jc w:val="center"/>
              <w:rPr>
                <w:rFonts w:ascii="Arial Narrow" w:hAnsi="Arial Narrow"/>
                <w:sz w:val="20"/>
              </w:rPr>
            </w:pPr>
          </w:p>
          <w:p w14:paraId="5FC6C5F5" w14:textId="77777777" w:rsidR="003C2E14" w:rsidRPr="00BF1408" w:rsidRDefault="003C2E14" w:rsidP="002D52C6">
            <w:pPr>
              <w:jc w:val="center"/>
              <w:rPr>
                <w:rFonts w:ascii="Arial Narrow" w:hAnsi="Arial Narrow"/>
                <w:sz w:val="20"/>
              </w:rPr>
            </w:pPr>
            <w:r w:rsidRPr="00BF1408">
              <w:rPr>
                <w:rFonts w:ascii="Arial Narrow" w:hAnsi="Arial Narrow"/>
                <w:sz w:val="20"/>
              </w:rPr>
              <w:t>-</w:t>
            </w:r>
            <w:r>
              <w:rPr>
                <w:rFonts w:ascii="Arial Narrow" w:hAnsi="Arial Narrow"/>
                <w:sz w:val="20"/>
              </w:rPr>
              <w:t>1,481</w:t>
            </w:r>
          </w:p>
        </w:tc>
        <w:tc>
          <w:tcPr>
            <w:tcW w:w="1276" w:type="dxa"/>
          </w:tcPr>
          <w:p w14:paraId="67A54103" w14:textId="77777777" w:rsidR="003C2E14" w:rsidRDefault="003C2E14" w:rsidP="002D52C6">
            <w:pPr>
              <w:jc w:val="center"/>
              <w:rPr>
                <w:rFonts w:ascii="Arial Narrow" w:hAnsi="Arial Narrow"/>
                <w:sz w:val="20"/>
              </w:rPr>
            </w:pPr>
          </w:p>
          <w:p w14:paraId="49BBF757" w14:textId="77777777" w:rsidR="003C2E14" w:rsidRDefault="003C2E14" w:rsidP="002D52C6">
            <w:pPr>
              <w:jc w:val="center"/>
              <w:rPr>
                <w:rFonts w:ascii="Arial Narrow" w:hAnsi="Arial Narrow"/>
                <w:sz w:val="20"/>
              </w:rPr>
            </w:pPr>
          </w:p>
          <w:p w14:paraId="4B0CA9FC" w14:textId="77777777" w:rsidR="003C2E14" w:rsidRDefault="003C2E14" w:rsidP="002D52C6">
            <w:pPr>
              <w:jc w:val="center"/>
              <w:rPr>
                <w:rFonts w:ascii="Arial Narrow" w:hAnsi="Arial Narrow"/>
                <w:sz w:val="20"/>
              </w:rPr>
            </w:pPr>
          </w:p>
          <w:p w14:paraId="3FE1F92C" w14:textId="77777777" w:rsidR="003C2E14" w:rsidRDefault="003C2E14" w:rsidP="002D52C6">
            <w:pPr>
              <w:jc w:val="center"/>
              <w:rPr>
                <w:rFonts w:ascii="Arial Narrow" w:hAnsi="Arial Narrow"/>
                <w:sz w:val="20"/>
              </w:rPr>
            </w:pPr>
            <w:r w:rsidRPr="00BF1408">
              <w:rPr>
                <w:rFonts w:ascii="Arial Narrow" w:hAnsi="Arial Narrow"/>
                <w:sz w:val="20"/>
              </w:rPr>
              <w:t xml:space="preserve">0.2 </w:t>
            </w:r>
            <w:r>
              <w:rPr>
                <w:rFonts w:ascii="Arial Narrow" w:hAnsi="Arial Narrow"/>
                <w:sz w:val="20"/>
              </w:rPr>
              <w:t>points</w:t>
            </w:r>
          </w:p>
          <w:p w14:paraId="5B20D18B" w14:textId="77777777" w:rsidR="003C2E14" w:rsidRPr="00BF1408" w:rsidRDefault="003C2E14" w:rsidP="002D52C6">
            <w:pPr>
              <w:jc w:val="center"/>
              <w:rPr>
                <w:rFonts w:ascii="Arial Narrow" w:hAnsi="Arial Narrow"/>
                <w:sz w:val="20"/>
              </w:rPr>
            </w:pPr>
            <w:r>
              <w:rPr>
                <w:rFonts w:ascii="Arial Narrow" w:hAnsi="Arial Narrow"/>
                <w:sz w:val="20"/>
              </w:rPr>
              <w:t>0.9</w:t>
            </w:r>
            <w:r w:rsidRPr="00BF1408">
              <w:rPr>
                <w:rFonts w:ascii="Arial Narrow" w:hAnsi="Arial Narrow"/>
                <w:sz w:val="20"/>
              </w:rPr>
              <w:t xml:space="preserve"> points</w:t>
            </w:r>
          </w:p>
          <w:p w14:paraId="1513A30E" w14:textId="77777777" w:rsidR="003C2E14" w:rsidRPr="00BF1408" w:rsidRDefault="003C2E14" w:rsidP="002D52C6">
            <w:pPr>
              <w:jc w:val="center"/>
              <w:rPr>
                <w:rFonts w:ascii="Arial Narrow" w:hAnsi="Arial Narrow"/>
                <w:sz w:val="20"/>
              </w:rPr>
            </w:pPr>
          </w:p>
          <w:p w14:paraId="2D631698" w14:textId="77777777" w:rsidR="003C2E14" w:rsidRPr="00BF1408" w:rsidRDefault="003C2E14" w:rsidP="002D52C6">
            <w:pPr>
              <w:jc w:val="center"/>
              <w:rPr>
                <w:rFonts w:ascii="Arial Narrow" w:hAnsi="Arial Narrow"/>
                <w:sz w:val="20"/>
              </w:rPr>
            </w:pPr>
            <w:r w:rsidRPr="00BF1408">
              <w:rPr>
                <w:rFonts w:ascii="Arial Narrow" w:hAnsi="Arial Narrow"/>
                <w:sz w:val="20"/>
              </w:rPr>
              <w:t>13 SD</w:t>
            </w:r>
            <w:r>
              <w:rPr>
                <w:rFonts w:ascii="Arial Narrow" w:hAnsi="Arial Narrow"/>
                <w:sz w:val="20"/>
                <w:vertAlign w:val="superscript"/>
              </w:rPr>
              <w:t>a</w:t>
            </w:r>
            <w:r w:rsidRPr="00BF1408">
              <w:rPr>
                <w:rFonts w:ascii="Arial Narrow" w:hAnsi="Arial Narrow"/>
                <w:sz w:val="20"/>
              </w:rPr>
              <w:t xml:space="preserve"> (standardised point difference)</w:t>
            </w:r>
          </w:p>
        </w:tc>
        <w:tc>
          <w:tcPr>
            <w:tcW w:w="1276" w:type="dxa"/>
          </w:tcPr>
          <w:p w14:paraId="4D669C23" w14:textId="77777777" w:rsidR="003C2E14" w:rsidRDefault="003C2E14" w:rsidP="002D52C6">
            <w:pPr>
              <w:jc w:val="center"/>
              <w:rPr>
                <w:rFonts w:ascii="Arial Narrow" w:hAnsi="Arial Narrow"/>
                <w:sz w:val="20"/>
              </w:rPr>
            </w:pPr>
          </w:p>
          <w:p w14:paraId="7480B929" w14:textId="77777777" w:rsidR="003C2E14" w:rsidRDefault="003C2E14" w:rsidP="002D52C6">
            <w:pPr>
              <w:jc w:val="center"/>
              <w:rPr>
                <w:rFonts w:ascii="Arial Narrow" w:hAnsi="Arial Narrow"/>
                <w:sz w:val="20"/>
              </w:rPr>
            </w:pPr>
          </w:p>
          <w:p w14:paraId="094C60EB" w14:textId="77777777" w:rsidR="003C2E14" w:rsidRDefault="003C2E14" w:rsidP="002D52C6">
            <w:pPr>
              <w:jc w:val="center"/>
              <w:rPr>
                <w:rFonts w:ascii="Arial Narrow" w:hAnsi="Arial Narrow"/>
                <w:sz w:val="20"/>
              </w:rPr>
            </w:pPr>
          </w:p>
          <w:p w14:paraId="522ED722" w14:textId="77777777" w:rsidR="003C2E14" w:rsidRPr="00BF1408" w:rsidRDefault="003C2E14" w:rsidP="002D52C6">
            <w:pPr>
              <w:jc w:val="center"/>
              <w:rPr>
                <w:rFonts w:ascii="Arial Narrow" w:hAnsi="Arial Narrow"/>
                <w:sz w:val="20"/>
              </w:rPr>
            </w:pPr>
            <w:r w:rsidRPr="00BF1408">
              <w:rPr>
                <w:rFonts w:ascii="Arial Narrow" w:hAnsi="Arial Narrow"/>
                <w:sz w:val="20"/>
              </w:rPr>
              <w:t>Not calculated</w:t>
            </w:r>
          </w:p>
          <w:p w14:paraId="6A00234B" w14:textId="77777777" w:rsidR="003C2E14" w:rsidRPr="00BF1408" w:rsidRDefault="003C2E14" w:rsidP="002D52C6">
            <w:pPr>
              <w:jc w:val="center"/>
              <w:rPr>
                <w:rFonts w:ascii="Arial Narrow" w:hAnsi="Arial Narrow"/>
                <w:sz w:val="20"/>
              </w:rPr>
            </w:pPr>
          </w:p>
          <w:p w14:paraId="2256DC53" w14:textId="77777777" w:rsidR="003C2E14" w:rsidRPr="00BF1408" w:rsidRDefault="003C2E14" w:rsidP="002D52C6">
            <w:pPr>
              <w:jc w:val="center"/>
              <w:rPr>
                <w:rFonts w:ascii="Arial Narrow" w:hAnsi="Arial Narrow"/>
                <w:sz w:val="20"/>
              </w:rPr>
            </w:pPr>
          </w:p>
          <w:p w14:paraId="794F1B17" w14:textId="77777777" w:rsidR="003C2E14" w:rsidRPr="00BF1408" w:rsidRDefault="003C2E14" w:rsidP="002D52C6">
            <w:pPr>
              <w:jc w:val="center"/>
              <w:rPr>
                <w:rFonts w:ascii="Arial Narrow" w:hAnsi="Arial Narrow"/>
                <w:sz w:val="20"/>
              </w:rPr>
            </w:pPr>
            <w:r w:rsidRPr="00BF1408">
              <w:rPr>
                <w:rFonts w:ascii="Arial Narrow" w:hAnsi="Arial Narrow"/>
                <w:sz w:val="20"/>
              </w:rPr>
              <w:t>AFG alone dominates Implant</w:t>
            </w:r>
            <w:r>
              <w:rPr>
                <w:rFonts w:ascii="Arial Narrow" w:hAnsi="Arial Narrow"/>
                <w:sz w:val="20"/>
              </w:rPr>
              <w:t xml:space="preserve"> ± AFG</w:t>
            </w:r>
          </w:p>
        </w:tc>
        <w:tc>
          <w:tcPr>
            <w:tcW w:w="2268" w:type="dxa"/>
          </w:tcPr>
          <w:p w14:paraId="6ACF315F" w14:textId="77777777" w:rsidR="003C2E14" w:rsidRPr="00BF1408" w:rsidRDefault="003C2E14" w:rsidP="002D52C6">
            <w:pPr>
              <w:rPr>
                <w:rFonts w:ascii="Arial Narrow" w:hAnsi="Arial Narrow"/>
                <w:sz w:val="20"/>
              </w:rPr>
            </w:pPr>
            <w:r w:rsidRPr="00BF1408">
              <w:rPr>
                <w:rFonts w:ascii="Arial Narrow" w:hAnsi="Arial Narrow"/>
                <w:sz w:val="20"/>
              </w:rPr>
              <w:t xml:space="preserve">Small size implant groups (5 breasts in AFG + implant; 8 breasts in implant only arm), no patient-reported outcomes. Difference of a fraction of a point is not informative for the ICER estimate. </w:t>
            </w:r>
          </w:p>
          <w:p w14:paraId="29A5F8A2" w14:textId="77777777" w:rsidR="003C2E14" w:rsidRPr="00BF1408" w:rsidRDefault="003C2E14" w:rsidP="002D52C6">
            <w:pPr>
              <w:rPr>
                <w:rFonts w:ascii="Arial Narrow" w:hAnsi="Arial Narrow"/>
                <w:sz w:val="20"/>
              </w:rPr>
            </w:pPr>
            <w:r w:rsidRPr="00BF1408">
              <w:rPr>
                <w:rFonts w:ascii="Arial Narrow" w:hAnsi="Arial Narrow"/>
                <w:sz w:val="20"/>
              </w:rPr>
              <w:t>Not clear if the unit of reporting was a breast or a patient. Results for AFG + implant arm were not reported separately from AFG only</w:t>
            </w:r>
          </w:p>
        </w:tc>
      </w:tr>
      <w:tr w:rsidR="003C2E14" w:rsidRPr="00BF1408" w14:paraId="705FB3E1" w14:textId="77777777" w:rsidTr="002D52C6">
        <w:tc>
          <w:tcPr>
            <w:tcW w:w="1832" w:type="dxa"/>
          </w:tcPr>
          <w:p w14:paraId="3A33D95C" w14:textId="77777777" w:rsidR="003C2E14" w:rsidRPr="00BF1408" w:rsidRDefault="003C2E14" w:rsidP="002D52C6">
            <w:pPr>
              <w:rPr>
                <w:rFonts w:ascii="Arial Narrow" w:hAnsi="Arial Narrow"/>
                <w:sz w:val="20"/>
              </w:rPr>
            </w:pPr>
            <w:r w:rsidRPr="00BF1408">
              <w:rPr>
                <w:rFonts w:ascii="Arial Narrow" w:hAnsi="Arial Narrow"/>
                <w:sz w:val="20"/>
              </w:rPr>
              <w:t xml:space="preserve">A3 </w:t>
            </w:r>
            <w:r>
              <w:rPr>
                <w:rFonts w:ascii="Arial Narrow" w:hAnsi="Arial Narrow"/>
                <w:sz w:val="20"/>
              </w:rPr>
              <w:t>sub</w:t>
            </w:r>
            <w:r w:rsidRPr="00BF1408">
              <w:rPr>
                <w:rFonts w:ascii="Arial Narrow" w:hAnsi="Arial Narrow"/>
                <w:sz w:val="20"/>
              </w:rPr>
              <w:t>population with BCS</w:t>
            </w:r>
          </w:p>
        </w:tc>
        <w:tc>
          <w:tcPr>
            <w:tcW w:w="1565" w:type="dxa"/>
          </w:tcPr>
          <w:p w14:paraId="72265FD5" w14:textId="77777777" w:rsidR="003C2E14" w:rsidRPr="00BF1408" w:rsidRDefault="003C2E14" w:rsidP="002D52C6">
            <w:pPr>
              <w:rPr>
                <w:rFonts w:ascii="Arial Narrow" w:hAnsi="Arial Narrow"/>
                <w:sz w:val="20"/>
              </w:rPr>
            </w:pPr>
            <w:r w:rsidRPr="00BF1408">
              <w:rPr>
                <w:rFonts w:ascii="Arial Narrow" w:hAnsi="Arial Narrow"/>
                <w:sz w:val="20"/>
              </w:rPr>
              <w:t>AFG as a part of the primary BCS surgery</w:t>
            </w:r>
          </w:p>
        </w:tc>
        <w:tc>
          <w:tcPr>
            <w:tcW w:w="1276" w:type="dxa"/>
          </w:tcPr>
          <w:p w14:paraId="45375E2C" w14:textId="77777777" w:rsidR="003C2E14" w:rsidRPr="00BF1408" w:rsidRDefault="003C2E14" w:rsidP="002D52C6">
            <w:pPr>
              <w:rPr>
                <w:rFonts w:ascii="Arial Narrow" w:hAnsi="Arial Narrow"/>
                <w:sz w:val="20"/>
              </w:rPr>
            </w:pPr>
            <w:r w:rsidRPr="00BF1408">
              <w:rPr>
                <w:rFonts w:ascii="Arial Narrow" w:hAnsi="Arial Narrow"/>
                <w:sz w:val="20"/>
              </w:rPr>
              <w:t>No AFG, BCS alone</w:t>
            </w:r>
          </w:p>
        </w:tc>
        <w:tc>
          <w:tcPr>
            <w:tcW w:w="1418" w:type="dxa"/>
          </w:tcPr>
          <w:p w14:paraId="7824981F" w14:textId="77777777" w:rsidR="003C2E14" w:rsidRPr="00BF1408" w:rsidRDefault="003C2E14" w:rsidP="002D52C6">
            <w:pPr>
              <w:rPr>
                <w:rFonts w:ascii="Arial Narrow" w:hAnsi="Arial Narrow"/>
                <w:sz w:val="20"/>
              </w:rPr>
            </w:pPr>
            <w:r w:rsidRPr="00BF1408">
              <w:rPr>
                <w:rFonts w:ascii="Arial Narrow" w:hAnsi="Arial Narrow"/>
                <w:sz w:val="20"/>
              </w:rPr>
              <w:t>Khan 2017</w:t>
            </w:r>
          </w:p>
        </w:tc>
        <w:tc>
          <w:tcPr>
            <w:tcW w:w="1842" w:type="dxa"/>
          </w:tcPr>
          <w:p w14:paraId="2EECCACF" w14:textId="77777777" w:rsidR="003C2E14" w:rsidRDefault="003C2E14" w:rsidP="002D52C6">
            <w:pPr>
              <w:rPr>
                <w:rFonts w:ascii="Arial Narrow" w:hAnsi="Arial Narrow"/>
                <w:sz w:val="20"/>
              </w:rPr>
            </w:pPr>
            <w:r w:rsidRPr="00BF1408">
              <w:rPr>
                <w:rFonts w:ascii="Arial Narrow" w:hAnsi="Arial Narrow"/>
                <w:sz w:val="20"/>
              </w:rPr>
              <w:t xml:space="preserve">Percentage of patients who are </w:t>
            </w:r>
          </w:p>
          <w:p w14:paraId="4D2D3041" w14:textId="77777777" w:rsidR="003C2E14" w:rsidRPr="00BF1408" w:rsidRDefault="003C2E14" w:rsidP="002D52C6">
            <w:pPr>
              <w:rPr>
                <w:rFonts w:ascii="Arial Narrow" w:hAnsi="Arial Narrow"/>
                <w:sz w:val="20"/>
              </w:rPr>
            </w:pPr>
            <w:r w:rsidRPr="00BF1408">
              <w:rPr>
                <w:rFonts w:ascii="Arial Narrow" w:hAnsi="Arial Narrow"/>
                <w:sz w:val="20"/>
              </w:rPr>
              <w:t>a)“very satisfied” with BRE</w:t>
            </w:r>
            <w:r>
              <w:rPr>
                <w:rFonts w:ascii="Arial Narrow" w:hAnsi="Arial Narrow"/>
                <w:sz w:val="20"/>
              </w:rPr>
              <w:t>A</w:t>
            </w:r>
            <w:r w:rsidRPr="00BF1408">
              <w:rPr>
                <w:rFonts w:ascii="Arial Narrow" w:hAnsi="Arial Narrow"/>
                <w:sz w:val="20"/>
              </w:rPr>
              <w:t>ST-Q appearance items (cosmetic outcomes);</w:t>
            </w:r>
          </w:p>
          <w:p w14:paraId="59A10B46" w14:textId="77777777" w:rsidR="003C2E14" w:rsidRPr="00BF1408" w:rsidRDefault="003C2E14" w:rsidP="002D52C6">
            <w:pPr>
              <w:rPr>
                <w:rFonts w:ascii="Arial Narrow" w:hAnsi="Arial Narrow"/>
                <w:sz w:val="20"/>
              </w:rPr>
            </w:pPr>
            <w:r w:rsidRPr="00BF1408">
              <w:rPr>
                <w:rFonts w:ascii="Arial Narrow" w:hAnsi="Arial Narrow"/>
                <w:sz w:val="20"/>
              </w:rPr>
              <w:t>b) patients who experienced at least one of the symptoms (pain, tenderness etc.)</w:t>
            </w:r>
          </w:p>
        </w:tc>
        <w:tc>
          <w:tcPr>
            <w:tcW w:w="1276" w:type="dxa"/>
          </w:tcPr>
          <w:p w14:paraId="123A5838" w14:textId="77777777" w:rsidR="003C2E14" w:rsidRPr="00BF1408" w:rsidRDefault="003C2E14" w:rsidP="002D52C6">
            <w:pPr>
              <w:jc w:val="center"/>
              <w:rPr>
                <w:rFonts w:ascii="Arial Narrow" w:hAnsi="Arial Narrow"/>
                <w:sz w:val="20"/>
              </w:rPr>
            </w:pPr>
            <w:r>
              <w:rPr>
                <w:rFonts w:ascii="Arial Narrow" w:hAnsi="Arial Narrow"/>
                <w:sz w:val="20"/>
              </w:rPr>
              <w:t>321</w:t>
            </w:r>
          </w:p>
        </w:tc>
        <w:tc>
          <w:tcPr>
            <w:tcW w:w="1276" w:type="dxa"/>
          </w:tcPr>
          <w:p w14:paraId="63572360" w14:textId="77777777" w:rsidR="003C2E14" w:rsidRDefault="003C2E14" w:rsidP="002D52C6">
            <w:pPr>
              <w:rPr>
                <w:rFonts w:ascii="Arial Narrow" w:hAnsi="Arial Narrow"/>
                <w:sz w:val="20"/>
              </w:rPr>
            </w:pPr>
          </w:p>
          <w:p w14:paraId="20F4FB36" w14:textId="77777777" w:rsidR="003C2E14" w:rsidRDefault="003C2E14" w:rsidP="002D52C6">
            <w:pPr>
              <w:rPr>
                <w:rFonts w:ascii="Arial Narrow" w:hAnsi="Arial Narrow"/>
                <w:sz w:val="20"/>
              </w:rPr>
            </w:pPr>
          </w:p>
          <w:p w14:paraId="7155F838" w14:textId="77777777" w:rsidR="003C2E14" w:rsidRDefault="003C2E14" w:rsidP="002D52C6">
            <w:pPr>
              <w:pStyle w:val="ListParagraph"/>
              <w:numPr>
                <w:ilvl w:val="0"/>
                <w:numId w:val="43"/>
              </w:numPr>
              <w:ind w:left="219" w:hanging="219"/>
              <w:contextualSpacing w:val="0"/>
              <w:rPr>
                <w:rFonts w:ascii="Arial Narrow" w:hAnsi="Arial Narrow"/>
                <w:sz w:val="20"/>
              </w:rPr>
            </w:pPr>
            <w:r w:rsidRPr="004B3D00">
              <w:rPr>
                <w:rFonts w:ascii="Arial Narrow" w:hAnsi="Arial Narrow"/>
                <w:sz w:val="20"/>
              </w:rPr>
              <w:t xml:space="preserve">15% to 29% </w:t>
            </w:r>
          </w:p>
          <w:p w14:paraId="733DE4C3" w14:textId="77777777" w:rsidR="003C2E14" w:rsidRPr="00BF1408" w:rsidRDefault="003C2E14" w:rsidP="00B72DF9">
            <w:pPr>
              <w:pStyle w:val="ListParagraph"/>
              <w:numPr>
                <w:ilvl w:val="0"/>
                <w:numId w:val="43"/>
              </w:numPr>
              <w:spacing w:before="840"/>
              <w:ind w:left="221" w:hanging="221"/>
              <w:contextualSpacing w:val="0"/>
              <w:rPr>
                <w:rFonts w:ascii="Arial Narrow" w:hAnsi="Arial Narrow"/>
                <w:sz w:val="20"/>
              </w:rPr>
            </w:pPr>
            <w:r>
              <w:rPr>
                <w:rFonts w:ascii="Arial Narrow" w:hAnsi="Arial Narrow"/>
                <w:sz w:val="20"/>
              </w:rPr>
              <w:t>-</w:t>
            </w:r>
            <w:r w:rsidRPr="00BF1408">
              <w:rPr>
                <w:rFonts w:ascii="Arial Narrow" w:hAnsi="Arial Narrow"/>
                <w:sz w:val="20"/>
              </w:rPr>
              <w:t>4.7%</w:t>
            </w:r>
          </w:p>
        </w:tc>
        <w:tc>
          <w:tcPr>
            <w:tcW w:w="1276" w:type="dxa"/>
          </w:tcPr>
          <w:p w14:paraId="287E0819" w14:textId="77777777" w:rsidR="003C2E14" w:rsidRDefault="003C2E14" w:rsidP="002D52C6">
            <w:pPr>
              <w:rPr>
                <w:rFonts w:ascii="Arial Narrow" w:hAnsi="Arial Narrow"/>
                <w:sz w:val="20"/>
              </w:rPr>
            </w:pPr>
          </w:p>
          <w:p w14:paraId="06097948" w14:textId="77777777" w:rsidR="003C2E14" w:rsidRDefault="003C2E14" w:rsidP="002D52C6">
            <w:pPr>
              <w:rPr>
                <w:rFonts w:ascii="Arial Narrow" w:hAnsi="Arial Narrow"/>
                <w:sz w:val="20"/>
              </w:rPr>
            </w:pPr>
          </w:p>
          <w:p w14:paraId="347E7C99" w14:textId="77777777" w:rsidR="003C2E14" w:rsidRDefault="003C2E14" w:rsidP="002D52C6">
            <w:pPr>
              <w:pStyle w:val="ListParagraph"/>
              <w:numPr>
                <w:ilvl w:val="0"/>
                <w:numId w:val="44"/>
              </w:numPr>
              <w:ind w:left="260" w:hanging="260"/>
              <w:contextualSpacing w:val="0"/>
              <w:rPr>
                <w:rFonts w:ascii="Arial Narrow" w:hAnsi="Arial Narrow"/>
                <w:sz w:val="20"/>
              </w:rPr>
            </w:pPr>
            <w:r w:rsidRPr="004B3D00">
              <w:rPr>
                <w:rFonts w:ascii="Arial Narrow" w:hAnsi="Arial Narrow"/>
                <w:sz w:val="20"/>
              </w:rPr>
              <w:t>$</w:t>
            </w:r>
            <w:r>
              <w:rPr>
                <w:rFonts w:ascii="Arial Narrow" w:hAnsi="Arial Narrow"/>
                <w:sz w:val="20"/>
              </w:rPr>
              <w:t>1,106</w:t>
            </w:r>
            <w:r w:rsidRPr="004B3D00">
              <w:rPr>
                <w:rFonts w:ascii="Arial Narrow" w:hAnsi="Arial Narrow"/>
                <w:sz w:val="20"/>
              </w:rPr>
              <w:t xml:space="preserve"> to $</w:t>
            </w:r>
            <w:r>
              <w:rPr>
                <w:rFonts w:ascii="Arial Narrow" w:hAnsi="Arial Narrow"/>
                <w:sz w:val="20"/>
              </w:rPr>
              <w:t>2,140</w:t>
            </w:r>
            <w:r w:rsidRPr="004B3D00">
              <w:rPr>
                <w:rFonts w:ascii="Arial Narrow" w:hAnsi="Arial Narrow"/>
                <w:sz w:val="20"/>
              </w:rPr>
              <w:t xml:space="preserve"> per </w:t>
            </w:r>
            <w:r>
              <w:rPr>
                <w:rFonts w:ascii="Arial Narrow" w:hAnsi="Arial Narrow"/>
                <w:sz w:val="20"/>
              </w:rPr>
              <w:t>%</w:t>
            </w:r>
            <w:r w:rsidRPr="004B3D00">
              <w:rPr>
                <w:rFonts w:ascii="Arial Narrow" w:hAnsi="Arial Narrow"/>
                <w:sz w:val="20"/>
              </w:rPr>
              <w:t xml:space="preserve"> very satisfied patients.</w:t>
            </w:r>
          </w:p>
          <w:p w14:paraId="737ED152" w14:textId="77777777" w:rsidR="003C2E14" w:rsidRPr="004B3D00" w:rsidRDefault="003C2E14" w:rsidP="002D52C6">
            <w:pPr>
              <w:pStyle w:val="ListParagraph"/>
              <w:numPr>
                <w:ilvl w:val="0"/>
                <w:numId w:val="44"/>
              </w:numPr>
              <w:ind w:left="260" w:hanging="260"/>
              <w:contextualSpacing w:val="0"/>
              <w:rPr>
                <w:rFonts w:ascii="Arial Narrow" w:hAnsi="Arial Narrow"/>
                <w:sz w:val="20"/>
              </w:rPr>
            </w:pPr>
            <w:r>
              <w:rPr>
                <w:rFonts w:ascii="Arial Narrow" w:hAnsi="Arial Narrow"/>
                <w:sz w:val="20"/>
              </w:rPr>
              <w:t>$6,739</w:t>
            </w:r>
          </w:p>
        </w:tc>
        <w:tc>
          <w:tcPr>
            <w:tcW w:w="2268" w:type="dxa"/>
          </w:tcPr>
          <w:p w14:paraId="63312B87" w14:textId="77777777" w:rsidR="003C2E14" w:rsidRPr="00BF1408" w:rsidRDefault="003C2E14" w:rsidP="002D52C6">
            <w:pPr>
              <w:rPr>
                <w:rFonts w:ascii="Arial Narrow" w:hAnsi="Arial Narrow"/>
                <w:sz w:val="20"/>
              </w:rPr>
            </w:pPr>
            <w:r w:rsidRPr="00BF1408">
              <w:rPr>
                <w:rFonts w:ascii="Arial Narrow" w:hAnsi="Arial Narrow"/>
                <w:sz w:val="20"/>
              </w:rPr>
              <w:t>The AFG intervention is outside the DCAR scope</w:t>
            </w:r>
            <w:r>
              <w:rPr>
                <w:rFonts w:ascii="Arial Narrow" w:hAnsi="Arial Narrow"/>
                <w:sz w:val="20"/>
              </w:rPr>
              <w:t xml:space="preserve"> (immediate rather than delayed AFG)</w:t>
            </w:r>
            <w:r w:rsidRPr="00BF1408">
              <w:rPr>
                <w:rFonts w:ascii="Arial Narrow" w:hAnsi="Arial Narrow"/>
                <w:sz w:val="20"/>
              </w:rPr>
              <w:t>. Specifically targeted a subgroup of patients who had large cancers or limited breast volumes. Control group was not meant to match the intervention group</w:t>
            </w:r>
          </w:p>
        </w:tc>
      </w:tr>
    </w:tbl>
    <w:p w14:paraId="2284B6C7" w14:textId="77777777" w:rsidR="003C2E14" w:rsidRDefault="003C2E14" w:rsidP="003C2E14">
      <w:pPr>
        <w:rPr>
          <w:rFonts w:ascii="Arial Narrow" w:hAnsi="Arial Narrow"/>
          <w:sz w:val="18"/>
        </w:rPr>
      </w:pPr>
      <w:r>
        <w:rPr>
          <w:rFonts w:ascii="Arial Narrow" w:hAnsi="Arial Narrow"/>
          <w:sz w:val="18"/>
        </w:rPr>
        <w:t xml:space="preserve">Abbreviations: AFG = autologous fat graft; BCS = breast conserving surgery; ICER = incremental cost-effectiveness ratio; LD = </w:t>
      </w:r>
      <w:r w:rsidRPr="00926BA1">
        <w:rPr>
          <w:rFonts w:ascii="Arial Narrow" w:hAnsi="Arial Narrow"/>
          <w:sz w:val="18"/>
        </w:rPr>
        <w:t>latissimus dorsi</w:t>
      </w:r>
      <w:r>
        <w:rPr>
          <w:rFonts w:ascii="Arial Narrow" w:hAnsi="Arial Narrow"/>
          <w:sz w:val="18"/>
        </w:rPr>
        <w:t>; RT = radiotherapy; SD = standard deviation</w:t>
      </w:r>
    </w:p>
    <w:p w14:paraId="5864A378" w14:textId="77777777" w:rsidR="003C2E14" w:rsidRPr="0073064F" w:rsidRDefault="003C2E14" w:rsidP="003C2E14">
      <w:pPr>
        <w:tabs>
          <w:tab w:val="left" w:pos="284"/>
        </w:tabs>
        <w:ind w:left="284" w:hanging="284"/>
        <w:rPr>
          <w:rFonts w:ascii="Arial Narrow" w:hAnsi="Arial Narrow"/>
          <w:sz w:val="18"/>
        </w:rPr>
      </w:pPr>
      <w:r>
        <w:rPr>
          <w:rFonts w:ascii="Arial Narrow" w:hAnsi="Arial Narrow"/>
          <w:sz w:val="18"/>
          <w:vertAlign w:val="superscript"/>
        </w:rPr>
        <w:t>a</w:t>
      </w:r>
      <w:r>
        <w:rPr>
          <w:rFonts w:ascii="Arial Narrow" w:hAnsi="Arial Narrow"/>
          <w:sz w:val="18"/>
          <w:vertAlign w:val="superscript"/>
        </w:rPr>
        <w:tab/>
      </w:r>
      <w:r w:rsidRPr="002719A1">
        <w:rPr>
          <w:rFonts w:ascii="Arial Narrow" w:hAnsi="Arial Narrow"/>
          <w:sz w:val="18"/>
        </w:rPr>
        <w:t>difference is expressed in SD units rather than in original measurement points. The SD unit directly depicts the degree of normality or abnormality of a value because it expresses the deviation of an individual value from the mean of the underlying populat</w:t>
      </w:r>
      <w:r>
        <w:rPr>
          <w:rFonts w:ascii="Arial Narrow" w:hAnsi="Arial Narrow"/>
          <w:sz w:val="18"/>
        </w:rPr>
        <w:t>ion distribution. It standardise</w:t>
      </w:r>
      <w:r w:rsidRPr="002719A1">
        <w:rPr>
          <w:rFonts w:ascii="Arial Narrow" w:hAnsi="Arial Narrow"/>
          <w:sz w:val="18"/>
        </w:rPr>
        <w:t>s reporting by establishing a single scale for all subscales of the BREAST-Q.</w:t>
      </w:r>
      <w:r>
        <w:rPr>
          <w:rFonts w:ascii="Arial Narrow" w:hAnsi="Arial Narrow"/>
          <w:sz w:val="18"/>
        </w:rPr>
        <w:t xml:space="preserve"> </w:t>
      </w:r>
    </w:p>
    <w:p w14:paraId="27E00EC2" w14:textId="77777777" w:rsidR="003C2E14" w:rsidRPr="00950470" w:rsidRDefault="003C2E14" w:rsidP="003C2E14">
      <w:pPr>
        <w:pStyle w:val="Tablenotes"/>
        <w:sectPr w:rsidR="003C2E14" w:rsidRPr="00950470" w:rsidSect="002D52C6">
          <w:pgSz w:w="16838" w:h="11906" w:orient="landscape"/>
          <w:pgMar w:top="1440" w:right="1440" w:bottom="1440" w:left="1440" w:header="720" w:footer="720" w:gutter="0"/>
          <w:paperSrc w:first="2" w:other="2"/>
          <w:cols w:space="720"/>
          <w:docGrid w:linePitch="299"/>
        </w:sectPr>
      </w:pPr>
      <w:r>
        <w:t>Source: Table 7, p44 of the DCAR.</w:t>
      </w:r>
    </w:p>
    <w:p w14:paraId="5A4415A3" w14:textId="6A27BA67" w:rsidR="003C2E14" w:rsidRDefault="003C2E14" w:rsidP="003C2E14">
      <w:pPr>
        <w:pStyle w:val="Heading2"/>
      </w:pPr>
      <w:r>
        <w:lastRenderedPageBreak/>
        <w:t>Population B</w:t>
      </w:r>
    </w:p>
    <w:p w14:paraId="00FEE80F" w14:textId="77777777" w:rsidR="003C2E14" w:rsidRDefault="003C2E14" w:rsidP="003C2E14">
      <w:pPr>
        <w:pStyle w:val="Heading3"/>
      </w:pPr>
      <w:r>
        <w:t>Cost-effectiveness exercise: CMA</w:t>
      </w:r>
    </w:p>
    <w:p w14:paraId="37BD15DE" w14:textId="3A39593A" w:rsidR="003C2E14" w:rsidRPr="00B20D3F" w:rsidRDefault="003C2E14" w:rsidP="003C2E14">
      <w:r>
        <w:t>The r</w:t>
      </w:r>
      <w:r w:rsidRPr="004D7542">
        <w:t xml:space="preserve">esults </w:t>
      </w:r>
      <w:r>
        <w:t xml:space="preserve">of the DCARs cost-minimisation analyses for Population B are shown in </w:t>
      </w:r>
      <w:r w:rsidR="007F011C">
        <w:fldChar w:fldCharType="begin"/>
      </w:r>
      <w:r w:rsidR="007F011C">
        <w:instrText xml:space="preserve"> REF _Ref29713098 \h </w:instrText>
      </w:r>
      <w:r w:rsidR="007F011C">
        <w:fldChar w:fldCharType="separate"/>
      </w:r>
      <w:r w:rsidR="007F011C">
        <w:t xml:space="preserve">Table </w:t>
      </w:r>
      <w:r w:rsidR="007F011C">
        <w:rPr>
          <w:noProof/>
        </w:rPr>
        <w:t>12</w:t>
      </w:r>
      <w:r w:rsidR="007F011C">
        <w:fldChar w:fldCharType="end"/>
      </w:r>
      <w:r>
        <w:t xml:space="preserve"> (based on Tenna 2017) and </w:t>
      </w:r>
      <w:r w:rsidR="00EF74CD">
        <w:fldChar w:fldCharType="begin"/>
      </w:r>
      <w:r w:rsidR="00EF74CD">
        <w:instrText xml:space="preserve"> REF _Ref29713123 \h </w:instrText>
      </w:r>
      <w:r w:rsidR="00EF74CD">
        <w:fldChar w:fldCharType="separate"/>
      </w:r>
      <w:r w:rsidR="00EF74CD" w:rsidRPr="00EF74CD">
        <w:t xml:space="preserve">Table </w:t>
      </w:r>
      <w:r w:rsidR="00EF74CD" w:rsidRPr="00EF74CD">
        <w:rPr>
          <w:noProof/>
        </w:rPr>
        <w:t>13</w:t>
      </w:r>
      <w:r w:rsidR="00EF74CD">
        <w:fldChar w:fldCharType="end"/>
      </w:r>
      <w:r>
        <w:t xml:space="preserve"> (based on Brault 2017). The DCAR noted that the included studies consisted of a</w:t>
      </w:r>
      <w:r w:rsidRPr="004D7542">
        <w:t xml:space="preserve"> small sample of </w:t>
      </w:r>
      <w:r>
        <w:t>patients with tuberous breast deformity (TBD) c</w:t>
      </w:r>
      <w:r w:rsidRPr="004D7542">
        <w:t xml:space="preserve">orrected with </w:t>
      </w:r>
      <w:r w:rsidR="00CD3AD3">
        <w:t>AFG as a primary procedure.</w:t>
      </w:r>
    </w:p>
    <w:p w14:paraId="6BFCBF56" w14:textId="342623FA" w:rsidR="003C2E14" w:rsidRPr="002F2AEA" w:rsidRDefault="007F011C" w:rsidP="002F2AEA">
      <w:pPr>
        <w:spacing w:before="240"/>
        <w:rPr>
          <w:rFonts w:ascii="Arial Narrow" w:hAnsi="Arial Narrow"/>
          <w:b/>
          <w:sz w:val="20"/>
        </w:rPr>
      </w:pPr>
      <w:bookmarkStart w:id="39" w:name="_Ref29713098"/>
      <w:bookmarkStart w:id="40" w:name="_Toc37815108"/>
      <w:bookmarkEnd w:id="36"/>
      <w:r w:rsidRPr="002F2AEA">
        <w:rPr>
          <w:rFonts w:ascii="Arial Narrow" w:hAnsi="Arial Narrow"/>
          <w:b/>
          <w:sz w:val="20"/>
        </w:rPr>
        <w:t xml:space="preserve">Table </w:t>
      </w:r>
      <w:r w:rsidR="002E3DBE" w:rsidRPr="002F2AEA">
        <w:rPr>
          <w:rFonts w:ascii="Arial Narrow" w:hAnsi="Arial Narrow"/>
          <w:b/>
          <w:sz w:val="20"/>
        </w:rPr>
        <w:fldChar w:fldCharType="begin"/>
      </w:r>
      <w:r w:rsidR="002E3DBE" w:rsidRPr="002F2AEA">
        <w:rPr>
          <w:rFonts w:ascii="Arial Narrow" w:hAnsi="Arial Narrow"/>
          <w:b/>
          <w:sz w:val="20"/>
        </w:rPr>
        <w:instrText xml:space="preserve"> SEQ Table \* ARABIC </w:instrText>
      </w:r>
      <w:r w:rsidR="002E3DBE" w:rsidRPr="002F2AEA">
        <w:rPr>
          <w:rFonts w:ascii="Arial Narrow" w:hAnsi="Arial Narrow"/>
          <w:b/>
          <w:sz w:val="20"/>
        </w:rPr>
        <w:fldChar w:fldCharType="separate"/>
      </w:r>
      <w:r w:rsidR="00EF74CD" w:rsidRPr="002F2AEA">
        <w:rPr>
          <w:rFonts w:ascii="Arial Narrow" w:hAnsi="Arial Narrow"/>
          <w:b/>
          <w:sz w:val="20"/>
        </w:rPr>
        <w:t>12</w:t>
      </w:r>
      <w:r w:rsidR="002E3DBE" w:rsidRPr="002F2AEA">
        <w:rPr>
          <w:rFonts w:ascii="Arial Narrow" w:hAnsi="Arial Narrow"/>
          <w:b/>
          <w:sz w:val="20"/>
        </w:rPr>
        <w:fldChar w:fldCharType="end"/>
      </w:r>
      <w:bookmarkEnd w:id="39"/>
      <w:r w:rsidR="003C2E14" w:rsidRPr="002F2AEA">
        <w:rPr>
          <w:rFonts w:ascii="Arial Narrow" w:hAnsi="Arial Narrow"/>
          <w:b/>
          <w:sz w:val="20"/>
        </w:rPr>
        <w:t xml:space="preserve"> Results of the cost-minimisation analysis of the alternative strategies after Tenna (2017)</w:t>
      </w:r>
      <w:bookmarkEnd w:id="40"/>
      <w:r w:rsidR="003C2E14" w:rsidRPr="002F2AEA">
        <w:rPr>
          <w:rFonts w:ascii="Arial Narrow" w:hAnsi="Arial Narrow"/>
          <w:b/>
          <w:sz w:val="20"/>
        </w:rPr>
        <w:t xml:space="preserve">  </w:t>
      </w:r>
    </w:p>
    <w:tbl>
      <w:tblPr>
        <w:tblStyle w:val="TableGrid2"/>
        <w:tblW w:w="9121" w:type="dxa"/>
        <w:tblInd w:w="-5" w:type="dxa"/>
        <w:tblLayout w:type="fixed"/>
        <w:tblCellMar>
          <w:left w:w="28" w:type="dxa"/>
          <w:right w:w="28" w:type="dxa"/>
        </w:tblCellMar>
        <w:tblLook w:val="04A0" w:firstRow="1" w:lastRow="0" w:firstColumn="1" w:lastColumn="0" w:noHBand="0" w:noVBand="1"/>
        <w:tblCaption w:val="Table XX"/>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098"/>
        <w:gridCol w:w="1701"/>
        <w:gridCol w:w="1701"/>
        <w:gridCol w:w="1984"/>
        <w:gridCol w:w="1637"/>
      </w:tblGrid>
      <w:tr w:rsidR="003C2E14" w:rsidRPr="00CD3AD3" w14:paraId="34DECB25" w14:textId="77777777" w:rsidTr="002D52C6">
        <w:trPr>
          <w:cnfStyle w:val="100000000000" w:firstRow="1" w:lastRow="0" w:firstColumn="0" w:lastColumn="0" w:oddVBand="0" w:evenVBand="0" w:oddHBand="0" w:evenHBand="0" w:firstRowFirstColumn="0" w:firstRowLastColumn="0" w:lastRowFirstColumn="0" w:lastRowLastColumn="0"/>
          <w:tblHeader/>
        </w:trPr>
        <w:tc>
          <w:tcPr>
            <w:tcW w:w="2098" w:type="dxa"/>
            <w:tcBorders>
              <w:bottom w:val="single" w:sz="4" w:space="0" w:color="auto"/>
            </w:tcBorders>
            <w:vAlign w:val="center"/>
          </w:tcPr>
          <w:p w14:paraId="5A453057" w14:textId="77777777" w:rsidR="003C2E14" w:rsidRPr="00CD3AD3" w:rsidRDefault="003C2E14" w:rsidP="002D52C6">
            <w:pPr>
              <w:keepNext/>
              <w:rPr>
                <w:rFonts w:ascii="Arial Narrow" w:hAnsi="Arial Narrow"/>
                <w:b/>
                <w:sz w:val="20"/>
              </w:rPr>
            </w:pPr>
            <w:r w:rsidRPr="00CD3AD3">
              <w:rPr>
                <w:rFonts w:ascii="Arial Narrow" w:hAnsi="Arial Narrow"/>
                <w:b/>
                <w:sz w:val="20"/>
              </w:rPr>
              <w:t>Primary surgical procedure</w:t>
            </w:r>
          </w:p>
        </w:tc>
        <w:tc>
          <w:tcPr>
            <w:tcW w:w="1701" w:type="dxa"/>
            <w:tcBorders>
              <w:bottom w:val="single" w:sz="4" w:space="0" w:color="auto"/>
            </w:tcBorders>
            <w:vAlign w:val="center"/>
          </w:tcPr>
          <w:p w14:paraId="2B5C5B3D" w14:textId="77777777" w:rsidR="003C2E14" w:rsidRPr="00CD3AD3" w:rsidRDefault="003C2E14" w:rsidP="002D52C6">
            <w:pPr>
              <w:keepNext/>
              <w:jc w:val="center"/>
              <w:rPr>
                <w:rFonts w:ascii="Arial Narrow" w:hAnsi="Arial Narrow"/>
                <w:b/>
                <w:sz w:val="20"/>
              </w:rPr>
            </w:pPr>
            <w:r w:rsidRPr="00CD3AD3">
              <w:rPr>
                <w:rFonts w:ascii="Arial Narrow" w:hAnsi="Arial Narrow"/>
                <w:b/>
                <w:sz w:val="20"/>
              </w:rPr>
              <w:t>Cost per TBD breast (primary surgery)</w:t>
            </w:r>
          </w:p>
        </w:tc>
        <w:tc>
          <w:tcPr>
            <w:tcW w:w="1701" w:type="dxa"/>
            <w:tcBorders>
              <w:bottom w:val="single" w:sz="4" w:space="0" w:color="auto"/>
            </w:tcBorders>
            <w:vAlign w:val="center"/>
          </w:tcPr>
          <w:p w14:paraId="112500A4" w14:textId="77777777" w:rsidR="003C2E14" w:rsidRPr="00CD3AD3" w:rsidRDefault="003C2E14" w:rsidP="002D52C6">
            <w:pPr>
              <w:keepNext/>
              <w:jc w:val="center"/>
              <w:rPr>
                <w:rFonts w:ascii="Arial Narrow" w:hAnsi="Arial Narrow"/>
                <w:b/>
                <w:sz w:val="20"/>
              </w:rPr>
            </w:pPr>
            <w:r w:rsidRPr="00CD3AD3">
              <w:rPr>
                <w:rFonts w:ascii="Arial Narrow" w:hAnsi="Arial Narrow"/>
                <w:b/>
                <w:sz w:val="20"/>
              </w:rPr>
              <w:t>Cost per TBD breast (secondary surgery)</w:t>
            </w:r>
          </w:p>
        </w:tc>
        <w:tc>
          <w:tcPr>
            <w:tcW w:w="1984" w:type="dxa"/>
            <w:tcBorders>
              <w:bottom w:val="single" w:sz="4" w:space="0" w:color="auto"/>
            </w:tcBorders>
            <w:vAlign w:val="center"/>
          </w:tcPr>
          <w:p w14:paraId="53964002" w14:textId="77777777" w:rsidR="003C2E14" w:rsidRPr="00CD3AD3" w:rsidRDefault="003C2E14" w:rsidP="002D52C6">
            <w:pPr>
              <w:keepNext/>
              <w:jc w:val="center"/>
              <w:rPr>
                <w:rFonts w:ascii="Arial Narrow" w:hAnsi="Arial Narrow"/>
                <w:b/>
                <w:sz w:val="20"/>
              </w:rPr>
            </w:pPr>
            <w:r w:rsidRPr="00CD3AD3">
              <w:rPr>
                <w:rFonts w:ascii="Arial Narrow" w:hAnsi="Arial Narrow"/>
                <w:b/>
                <w:sz w:val="20"/>
              </w:rPr>
              <w:t>Cost per TBD breast (primary and secondary surgeries)</w:t>
            </w:r>
          </w:p>
        </w:tc>
        <w:tc>
          <w:tcPr>
            <w:tcW w:w="1637" w:type="dxa"/>
            <w:tcBorders>
              <w:bottom w:val="single" w:sz="4" w:space="0" w:color="auto"/>
            </w:tcBorders>
            <w:vAlign w:val="center"/>
          </w:tcPr>
          <w:p w14:paraId="462281EA" w14:textId="77777777" w:rsidR="003C2E14" w:rsidRPr="00CD3AD3" w:rsidRDefault="003C2E14" w:rsidP="002D52C6">
            <w:pPr>
              <w:keepNext/>
              <w:jc w:val="center"/>
              <w:rPr>
                <w:rFonts w:ascii="Arial Narrow" w:hAnsi="Arial Narrow"/>
                <w:b/>
                <w:sz w:val="20"/>
              </w:rPr>
            </w:pPr>
            <w:r w:rsidRPr="00CD3AD3">
              <w:rPr>
                <w:rFonts w:ascii="Arial Narrow" w:hAnsi="Arial Narrow"/>
                <w:b/>
                <w:sz w:val="20"/>
              </w:rPr>
              <w:t xml:space="preserve">Incremental cost per TBD breast </w:t>
            </w:r>
            <w:r w:rsidRPr="00CD3AD3">
              <w:rPr>
                <w:rFonts w:ascii="Arial Narrow" w:hAnsi="Arial Narrow"/>
                <w:b/>
                <w:i/>
                <w:sz w:val="20"/>
              </w:rPr>
              <w:t>vs</w:t>
            </w:r>
            <w:r w:rsidRPr="00CD3AD3">
              <w:rPr>
                <w:rFonts w:ascii="Arial Narrow" w:hAnsi="Arial Narrow"/>
                <w:b/>
                <w:sz w:val="20"/>
              </w:rPr>
              <w:t>. AFG</w:t>
            </w:r>
          </w:p>
        </w:tc>
      </w:tr>
      <w:tr w:rsidR="003C2E14" w:rsidRPr="00CD3AD3" w14:paraId="3F42E33C" w14:textId="77777777" w:rsidTr="002D52C6">
        <w:tc>
          <w:tcPr>
            <w:tcW w:w="2098" w:type="dxa"/>
          </w:tcPr>
          <w:p w14:paraId="62241BD0" w14:textId="77777777" w:rsidR="003C2E14" w:rsidRPr="00CD3AD3" w:rsidRDefault="003C2E14" w:rsidP="002D52C6">
            <w:pPr>
              <w:rPr>
                <w:sz w:val="20"/>
              </w:rPr>
            </w:pPr>
            <w:r w:rsidRPr="00CD3AD3">
              <w:rPr>
                <w:sz w:val="20"/>
              </w:rPr>
              <w:t>AFG</w:t>
            </w:r>
          </w:p>
        </w:tc>
        <w:tc>
          <w:tcPr>
            <w:tcW w:w="1701" w:type="dxa"/>
            <w:vAlign w:val="center"/>
          </w:tcPr>
          <w:p w14:paraId="1E4BDE72" w14:textId="77777777" w:rsidR="003C2E14" w:rsidRPr="00CD3AD3" w:rsidRDefault="003C2E14" w:rsidP="002D52C6">
            <w:pPr>
              <w:jc w:val="center"/>
              <w:rPr>
                <w:sz w:val="20"/>
              </w:rPr>
            </w:pPr>
            <w:r w:rsidRPr="00CD3AD3">
              <w:rPr>
                <w:sz w:val="20"/>
              </w:rPr>
              <w:t>$642</w:t>
            </w:r>
          </w:p>
        </w:tc>
        <w:tc>
          <w:tcPr>
            <w:tcW w:w="1701" w:type="dxa"/>
            <w:vAlign w:val="center"/>
          </w:tcPr>
          <w:p w14:paraId="5FA173C2" w14:textId="77777777" w:rsidR="003C2E14" w:rsidRPr="00CD3AD3" w:rsidRDefault="003C2E14" w:rsidP="002D52C6">
            <w:pPr>
              <w:jc w:val="center"/>
              <w:rPr>
                <w:sz w:val="20"/>
              </w:rPr>
            </w:pPr>
            <w:r w:rsidRPr="00CD3AD3">
              <w:rPr>
                <w:sz w:val="20"/>
              </w:rPr>
              <w:t>$233</w:t>
            </w:r>
          </w:p>
        </w:tc>
        <w:tc>
          <w:tcPr>
            <w:tcW w:w="1984" w:type="dxa"/>
            <w:vAlign w:val="center"/>
          </w:tcPr>
          <w:p w14:paraId="4FE2CA18" w14:textId="77777777" w:rsidR="003C2E14" w:rsidRPr="00CD3AD3" w:rsidRDefault="003C2E14" w:rsidP="002D52C6">
            <w:pPr>
              <w:jc w:val="center"/>
              <w:rPr>
                <w:sz w:val="20"/>
              </w:rPr>
            </w:pPr>
            <w:r w:rsidRPr="00CD3AD3">
              <w:rPr>
                <w:sz w:val="20"/>
              </w:rPr>
              <w:t>$875</w:t>
            </w:r>
          </w:p>
        </w:tc>
        <w:tc>
          <w:tcPr>
            <w:tcW w:w="1637" w:type="dxa"/>
            <w:vAlign w:val="center"/>
          </w:tcPr>
          <w:p w14:paraId="4A6FD4C8" w14:textId="77777777" w:rsidR="003C2E14" w:rsidRPr="00CD3AD3" w:rsidRDefault="003C2E14" w:rsidP="002D52C6">
            <w:pPr>
              <w:jc w:val="center"/>
              <w:rPr>
                <w:sz w:val="20"/>
              </w:rPr>
            </w:pPr>
            <w:r w:rsidRPr="00CD3AD3">
              <w:rPr>
                <w:sz w:val="20"/>
              </w:rPr>
              <w:t>-</w:t>
            </w:r>
          </w:p>
        </w:tc>
      </w:tr>
      <w:tr w:rsidR="003C2E14" w:rsidRPr="00CD3AD3" w14:paraId="0763C4E9" w14:textId="77777777" w:rsidTr="002D52C6">
        <w:tc>
          <w:tcPr>
            <w:tcW w:w="2098" w:type="dxa"/>
          </w:tcPr>
          <w:p w14:paraId="041441D4" w14:textId="77777777" w:rsidR="003C2E14" w:rsidRPr="00CD3AD3" w:rsidRDefault="003C2E14" w:rsidP="002D52C6">
            <w:pPr>
              <w:rPr>
                <w:sz w:val="20"/>
              </w:rPr>
            </w:pPr>
            <w:r w:rsidRPr="00CD3AD3">
              <w:rPr>
                <w:sz w:val="20"/>
              </w:rPr>
              <w:t xml:space="preserve">Autologous </w:t>
            </w:r>
          </w:p>
        </w:tc>
        <w:tc>
          <w:tcPr>
            <w:tcW w:w="1701" w:type="dxa"/>
            <w:vAlign w:val="center"/>
          </w:tcPr>
          <w:p w14:paraId="182E0B01" w14:textId="77777777" w:rsidR="003C2E14" w:rsidRPr="00CD3AD3" w:rsidRDefault="003C2E14" w:rsidP="002D52C6">
            <w:pPr>
              <w:jc w:val="center"/>
              <w:rPr>
                <w:sz w:val="20"/>
              </w:rPr>
            </w:pPr>
            <w:r w:rsidRPr="00CD3AD3">
              <w:rPr>
                <w:sz w:val="20"/>
              </w:rPr>
              <w:t>$994</w:t>
            </w:r>
          </w:p>
        </w:tc>
        <w:tc>
          <w:tcPr>
            <w:tcW w:w="1701" w:type="dxa"/>
            <w:vAlign w:val="center"/>
          </w:tcPr>
          <w:p w14:paraId="3968E68D" w14:textId="77777777" w:rsidR="003C2E14" w:rsidRPr="00CD3AD3" w:rsidRDefault="003C2E14" w:rsidP="002D52C6">
            <w:pPr>
              <w:jc w:val="center"/>
              <w:rPr>
                <w:sz w:val="20"/>
              </w:rPr>
            </w:pPr>
            <w:r w:rsidRPr="00CD3AD3">
              <w:rPr>
                <w:sz w:val="20"/>
              </w:rPr>
              <w:t>$233</w:t>
            </w:r>
          </w:p>
        </w:tc>
        <w:tc>
          <w:tcPr>
            <w:tcW w:w="1984" w:type="dxa"/>
            <w:vAlign w:val="center"/>
          </w:tcPr>
          <w:p w14:paraId="08618A1D" w14:textId="77777777" w:rsidR="003C2E14" w:rsidRPr="00CD3AD3" w:rsidRDefault="003C2E14" w:rsidP="002D52C6">
            <w:pPr>
              <w:jc w:val="center"/>
              <w:rPr>
                <w:sz w:val="20"/>
              </w:rPr>
            </w:pPr>
            <w:r w:rsidRPr="00CD3AD3">
              <w:rPr>
                <w:sz w:val="20"/>
              </w:rPr>
              <w:t>$1,227</w:t>
            </w:r>
          </w:p>
        </w:tc>
        <w:tc>
          <w:tcPr>
            <w:tcW w:w="1637" w:type="dxa"/>
            <w:vAlign w:val="center"/>
          </w:tcPr>
          <w:p w14:paraId="20FC3AAD" w14:textId="77777777" w:rsidR="003C2E14" w:rsidRPr="00CD3AD3" w:rsidRDefault="003C2E14" w:rsidP="002D52C6">
            <w:pPr>
              <w:jc w:val="center"/>
              <w:rPr>
                <w:sz w:val="20"/>
              </w:rPr>
            </w:pPr>
            <w:r w:rsidRPr="00CD3AD3">
              <w:rPr>
                <w:sz w:val="20"/>
              </w:rPr>
              <w:t>-$352</w:t>
            </w:r>
          </w:p>
        </w:tc>
      </w:tr>
      <w:tr w:rsidR="003C2E14" w:rsidRPr="00CD3AD3" w14:paraId="6AAEE89A" w14:textId="77777777" w:rsidTr="002D52C6">
        <w:tc>
          <w:tcPr>
            <w:tcW w:w="2098" w:type="dxa"/>
          </w:tcPr>
          <w:p w14:paraId="1985CBC1" w14:textId="77777777" w:rsidR="003C2E14" w:rsidRPr="00CD3AD3" w:rsidRDefault="003C2E14" w:rsidP="002D52C6">
            <w:pPr>
              <w:rPr>
                <w:sz w:val="20"/>
              </w:rPr>
            </w:pPr>
            <w:r w:rsidRPr="00CD3AD3">
              <w:rPr>
                <w:sz w:val="20"/>
              </w:rPr>
              <w:t>Implant</w:t>
            </w:r>
          </w:p>
        </w:tc>
        <w:tc>
          <w:tcPr>
            <w:tcW w:w="1701" w:type="dxa"/>
            <w:vAlign w:val="center"/>
          </w:tcPr>
          <w:p w14:paraId="3CE66BED" w14:textId="77777777" w:rsidR="003C2E14" w:rsidRPr="00CD3AD3" w:rsidRDefault="003C2E14" w:rsidP="002D52C6">
            <w:pPr>
              <w:jc w:val="center"/>
              <w:rPr>
                <w:sz w:val="20"/>
              </w:rPr>
            </w:pPr>
            <w:r w:rsidRPr="00CD3AD3">
              <w:rPr>
                <w:sz w:val="20"/>
              </w:rPr>
              <w:t>$1,295</w:t>
            </w:r>
          </w:p>
        </w:tc>
        <w:tc>
          <w:tcPr>
            <w:tcW w:w="1701" w:type="dxa"/>
            <w:vAlign w:val="center"/>
          </w:tcPr>
          <w:p w14:paraId="6EC74181" w14:textId="77777777" w:rsidR="003C2E14" w:rsidRPr="00CD3AD3" w:rsidRDefault="003C2E14" w:rsidP="002D52C6">
            <w:pPr>
              <w:jc w:val="center"/>
              <w:rPr>
                <w:sz w:val="20"/>
              </w:rPr>
            </w:pPr>
            <w:r w:rsidRPr="00CD3AD3">
              <w:rPr>
                <w:sz w:val="20"/>
              </w:rPr>
              <w:t>$542</w:t>
            </w:r>
          </w:p>
        </w:tc>
        <w:tc>
          <w:tcPr>
            <w:tcW w:w="1984" w:type="dxa"/>
            <w:vAlign w:val="center"/>
          </w:tcPr>
          <w:p w14:paraId="6D28ECF8" w14:textId="77777777" w:rsidR="003C2E14" w:rsidRPr="00CD3AD3" w:rsidRDefault="003C2E14" w:rsidP="002D52C6">
            <w:pPr>
              <w:jc w:val="center"/>
              <w:rPr>
                <w:sz w:val="20"/>
              </w:rPr>
            </w:pPr>
            <w:r w:rsidRPr="00CD3AD3">
              <w:rPr>
                <w:sz w:val="20"/>
              </w:rPr>
              <w:t>$1,837</w:t>
            </w:r>
          </w:p>
        </w:tc>
        <w:tc>
          <w:tcPr>
            <w:tcW w:w="1637" w:type="dxa"/>
            <w:vAlign w:val="center"/>
          </w:tcPr>
          <w:p w14:paraId="5617D0B7" w14:textId="77777777" w:rsidR="003C2E14" w:rsidRPr="00CD3AD3" w:rsidRDefault="003C2E14" w:rsidP="002D52C6">
            <w:pPr>
              <w:jc w:val="center"/>
              <w:rPr>
                <w:sz w:val="20"/>
              </w:rPr>
            </w:pPr>
            <w:r w:rsidRPr="00CD3AD3">
              <w:rPr>
                <w:sz w:val="20"/>
              </w:rPr>
              <w:t>-$962</w:t>
            </w:r>
          </w:p>
        </w:tc>
      </w:tr>
    </w:tbl>
    <w:p w14:paraId="531E39E8" w14:textId="77777777" w:rsidR="003C2E14" w:rsidRDefault="003C2E14" w:rsidP="003C2E14">
      <w:pPr>
        <w:rPr>
          <w:rFonts w:ascii="Arial Narrow" w:hAnsi="Arial Narrow"/>
          <w:sz w:val="18"/>
        </w:rPr>
      </w:pPr>
      <w:r>
        <w:rPr>
          <w:rFonts w:ascii="Arial Narrow" w:hAnsi="Arial Narrow"/>
          <w:sz w:val="18"/>
        </w:rPr>
        <w:t>Abbreviations: TBD = tuberous breast deformity</w:t>
      </w:r>
    </w:p>
    <w:p w14:paraId="2559ECAE" w14:textId="2E2B34B0" w:rsidR="003C2E14" w:rsidRPr="00774393" w:rsidRDefault="003C2E14" w:rsidP="003C2E14">
      <w:pPr>
        <w:rPr>
          <w:rFonts w:ascii="Arial Narrow" w:hAnsi="Arial Narrow"/>
          <w:sz w:val="18"/>
        </w:rPr>
      </w:pPr>
      <w:r>
        <w:rPr>
          <w:rFonts w:ascii="Arial Narrow" w:hAnsi="Arial Narrow"/>
          <w:sz w:val="18"/>
        </w:rPr>
        <w:t>Source: T</w:t>
      </w:r>
      <w:r w:rsidR="00CD3AD3">
        <w:rPr>
          <w:rFonts w:ascii="Arial Narrow" w:hAnsi="Arial Narrow"/>
          <w:sz w:val="18"/>
        </w:rPr>
        <w:t>able 76, p 186 of the DCAR.</w:t>
      </w:r>
    </w:p>
    <w:p w14:paraId="05D05C18" w14:textId="73F256E1" w:rsidR="003C2E14" w:rsidRDefault="003C2E14" w:rsidP="00CD3AD3">
      <w:pPr>
        <w:spacing w:before="240"/>
      </w:pPr>
      <w:r>
        <w:t>B</w:t>
      </w:r>
      <w:r w:rsidRPr="00E2375A">
        <w:t xml:space="preserve">ased </w:t>
      </w:r>
      <w:r>
        <w:t>on the data reported in Tenna (2017), AFG is the least costly option when compared with autologous procedures and im</w:t>
      </w:r>
      <w:r w:rsidR="00CD3AD3">
        <w:t>plant-based corrections of TBD.</w:t>
      </w:r>
    </w:p>
    <w:p w14:paraId="2569BBF1" w14:textId="5BEE1A74" w:rsidR="003C2E14" w:rsidRPr="002F2AEA" w:rsidRDefault="00EF74CD" w:rsidP="002F2AEA">
      <w:pPr>
        <w:spacing w:before="240"/>
        <w:rPr>
          <w:rFonts w:ascii="Arial Narrow" w:hAnsi="Arial Narrow"/>
          <w:b/>
          <w:sz w:val="20"/>
        </w:rPr>
      </w:pPr>
      <w:bookmarkStart w:id="41" w:name="_Ref29713123"/>
      <w:bookmarkStart w:id="42" w:name="_Toc37815109"/>
      <w:r w:rsidRPr="002F2AEA">
        <w:rPr>
          <w:rFonts w:ascii="Arial Narrow" w:hAnsi="Arial Narrow"/>
          <w:b/>
          <w:sz w:val="20"/>
        </w:rPr>
        <w:t xml:space="preserve">Table </w:t>
      </w:r>
      <w:r w:rsidR="002E3DBE" w:rsidRPr="002F2AEA">
        <w:rPr>
          <w:rFonts w:ascii="Arial Narrow" w:hAnsi="Arial Narrow"/>
          <w:b/>
          <w:sz w:val="20"/>
        </w:rPr>
        <w:fldChar w:fldCharType="begin"/>
      </w:r>
      <w:r w:rsidR="002E3DBE" w:rsidRPr="002F2AEA">
        <w:rPr>
          <w:rFonts w:ascii="Arial Narrow" w:hAnsi="Arial Narrow"/>
          <w:b/>
          <w:sz w:val="20"/>
        </w:rPr>
        <w:instrText xml:space="preserve"> SEQ Table \* ARABIC </w:instrText>
      </w:r>
      <w:r w:rsidR="002E3DBE" w:rsidRPr="002F2AEA">
        <w:rPr>
          <w:rFonts w:ascii="Arial Narrow" w:hAnsi="Arial Narrow"/>
          <w:b/>
          <w:sz w:val="20"/>
        </w:rPr>
        <w:fldChar w:fldCharType="separate"/>
      </w:r>
      <w:r w:rsidRPr="002F2AEA">
        <w:rPr>
          <w:rFonts w:ascii="Arial Narrow" w:hAnsi="Arial Narrow"/>
          <w:b/>
          <w:sz w:val="20"/>
        </w:rPr>
        <w:t>13</w:t>
      </w:r>
      <w:r w:rsidR="002E3DBE" w:rsidRPr="002F2AEA">
        <w:rPr>
          <w:rFonts w:ascii="Arial Narrow" w:hAnsi="Arial Narrow"/>
          <w:b/>
          <w:sz w:val="20"/>
        </w:rPr>
        <w:fldChar w:fldCharType="end"/>
      </w:r>
      <w:bookmarkEnd w:id="41"/>
      <w:r w:rsidR="003C2E14" w:rsidRPr="002F2AEA">
        <w:rPr>
          <w:rFonts w:ascii="Arial Narrow" w:hAnsi="Arial Narrow"/>
          <w:b/>
          <w:sz w:val="20"/>
        </w:rPr>
        <w:t xml:space="preserve"> Results of the illustrative cost-minimisation analysis of the alternative strategies after Brault (2017)</w:t>
      </w:r>
      <w:bookmarkEnd w:id="42"/>
      <w:r w:rsidR="003C2E14" w:rsidRPr="002F2AEA">
        <w:rPr>
          <w:rFonts w:ascii="Arial Narrow" w:hAnsi="Arial Narrow"/>
          <w:b/>
          <w:sz w:val="20"/>
        </w:rPr>
        <w:t xml:space="preserve">  </w:t>
      </w:r>
    </w:p>
    <w:tbl>
      <w:tblPr>
        <w:tblStyle w:val="TableGrid2"/>
        <w:tblW w:w="9121" w:type="dxa"/>
        <w:tblInd w:w="-5" w:type="dxa"/>
        <w:tblLayout w:type="fixed"/>
        <w:tblCellMar>
          <w:left w:w="28" w:type="dxa"/>
          <w:right w:w="28" w:type="dxa"/>
        </w:tblCellMar>
        <w:tblLook w:val="04A0" w:firstRow="1" w:lastRow="0" w:firstColumn="1" w:lastColumn="0" w:noHBand="0" w:noVBand="1"/>
        <w:tblCaption w:val="Table XX"/>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098"/>
        <w:gridCol w:w="1701"/>
        <w:gridCol w:w="1701"/>
        <w:gridCol w:w="1984"/>
        <w:gridCol w:w="1637"/>
      </w:tblGrid>
      <w:tr w:rsidR="003C2E14" w:rsidRPr="00CD3AD3" w14:paraId="4CD90CB9" w14:textId="77777777" w:rsidTr="002D52C6">
        <w:trPr>
          <w:cnfStyle w:val="100000000000" w:firstRow="1" w:lastRow="0" w:firstColumn="0" w:lastColumn="0" w:oddVBand="0" w:evenVBand="0" w:oddHBand="0" w:evenHBand="0" w:firstRowFirstColumn="0" w:firstRowLastColumn="0" w:lastRowFirstColumn="0" w:lastRowLastColumn="0"/>
          <w:tblHeader/>
        </w:trPr>
        <w:tc>
          <w:tcPr>
            <w:tcW w:w="2098" w:type="dxa"/>
            <w:tcBorders>
              <w:bottom w:val="single" w:sz="4" w:space="0" w:color="auto"/>
            </w:tcBorders>
            <w:vAlign w:val="center"/>
          </w:tcPr>
          <w:p w14:paraId="645BE15E" w14:textId="77777777" w:rsidR="003C2E14" w:rsidRPr="00CD3AD3" w:rsidRDefault="003C2E14" w:rsidP="002D52C6">
            <w:pPr>
              <w:keepNext/>
              <w:rPr>
                <w:rFonts w:ascii="Arial Narrow" w:hAnsi="Arial Narrow"/>
                <w:b/>
                <w:sz w:val="20"/>
              </w:rPr>
            </w:pPr>
            <w:r w:rsidRPr="00CD3AD3">
              <w:rPr>
                <w:rFonts w:ascii="Arial Narrow" w:hAnsi="Arial Narrow"/>
                <w:b/>
                <w:sz w:val="20"/>
              </w:rPr>
              <w:t>Primary surgical procedure</w:t>
            </w:r>
          </w:p>
        </w:tc>
        <w:tc>
          <w:tcPr>
            <w:tcW w:w="1701" w:type="dxa"/>
            <w:tcBorders>
              <w:bottom w:val="single" w:sz="4" w:space="0" w:color="auto"/>
            </w:tcBorders>
            <w:vAlign w:val="center"/>
          </w:tcPr>
          <w:p w14:paraId="33E1C4AA" w14:textId="77777777" w:rsidR="003C2E14" w:rsidRPr="00CD3AD3" w:rsidRDefault="003C2E14" w:rsidP="002D52C6">
            <w:pPr>
              <w:keepNext/>
              <w:jc w:val="center"/>
              <w:rPr>
                <w:rFonts w:ascii="Arial Narrow" w:hAnsi="Arial Narrow"/>
                <w:b/>
                <w:sz w:val="20"/>
              </w:rPr>
            </w:pPr>
            <w:r w:rsidRPr="00CD3AD3">
              <w:rPr>
                <w:rFonts w:ascii="Arial Narrow" w:hAnsi="Arial Narrow"/>
                <w:b/>
                <w:sz w:val="20"/>
              </w:rPr>
              <w:t>Cost per TBD breast (primary surgery)</w:t>
            </w:r>
          </w:p>
        </w:tc>
        <w:tc>
          <w:tcPr>
            <w:tcW w:w="1701" w:type="dxa"/>
            <w:tcBorders>
              <w:bottom w:val="single" w:sz="4" w:space="0" w:color="auto"/>
            </w:tcBorders>
            <w:vAlign w:val="center"/>
          </w:tcPr>
          <w:p w14:paraId="77428EB6" w14:textId="77777777" w:rsidR="003C2E14" w:rsidRPr="00CD3AD3" w:rsidRDefault="003C2E14" w:rsidP="002D52C6">
            <w:pPr>
              <w:keepNext/>
              <w:jc w:val="center"/>
              <w:rPr>
                <w:rFonts w:ascii="Arial Narrow" w:hAnsi="Arial Narrow"/>
                <w:b/>
                <w:sz w:val="20"/>
              </w:rPr>
            </w:pPr>
            <w:r w:rsidRPr="00CD3AD3">
              <w:rPr>
                <w:rFonts w:ascii="Arial Narrow" w:hAnsi="Arial Narrow"/>
                <w:b/>
                <w:sz w:val="20"/>
              </w:rPr>
              <w:t>Cost per TBD breast (secondary surgery)</w:t>
            </w:r>
          </w:p>
        </w:tc>
        <w:tc>
          <w:tcPr>
            <w:tcW w:w="1984" w:type="dxa"/>
            <w:tcBorders>
              <w:bottom w:val="single" w:sz="4" w:space="0" w:color="auto"/>
            </w:tcBorders>
            <w:vAlign w:val="center"/>
          </w:tcPr>
          <w:p w14:paraId="4F69DDF8" w14:textId="77777777" w:rsidR="003C2E14" w:rsidRPr="00CD3AD3" w:rsidRDefault="003C2E14" w:rsidP="002D52C6">
            <w:pPr>
              <w:keepNext/>
              <w:jc w:val="center"/>
              <w:rPr>
                <w:rFonts w:ascii="Arial Narrow" w:hAnsi="Arial Narrow"/>
                <w:b/>
                <w:sz w:val="20"/>
              </w:rPr>
            </w:pPr>
            <w:r w:rsidRPr="00CD3AD3">
              <w:rPr>
                <w:rFonts w:ascii="Arial Narrow" w:hAnsi="Arial Narrow"/>
                <w:b/>
                <w:sz w:val="20"/>
              </w:rPr>
              <w:t>Cost per TBD breast (primary and secondary surgeries)</w:t>
            </w:r>
          </w:p>
        </w:tc>
        <w:tc>
          <w:tcPr>
            <w:tcW w:w="1637" w:type="dxa"/>
            <w:tcBorders>
              <w:bottom w:val="single" w:sz="4" w:space="0" w:color="auto"/>
            </w:tcBorders>
            <w:vAlign w:val="center"/>
          </w:tcPr>
          <w:p w14:paraId="2B7544B1" w14:textId="77777777" w:rsidR="003C2E14" w:rsidRPr="00CD3AD3" w:rsidRDefault="003C2E14" w:rsidP="002D52C6">
            <w:pPr>
              <w:keepNext/>
              <w:jc w:val="center"/>
              <w:rPr>
                <w:rFonts w:ascii="Arial Narrow" w:hAnsi="Arial Narrow"/>
                <w:b/>
                <w:sz w:val="20"/>
              </w:rPr>
            </w:pPr>
            <w:r w:rsidRPr="00CD3AD3">
              <w:rPr>
                <w:rFonts w:ascii="Arial Narrow" w:hAnsi="Arial Narrow"/>
                <w:b/>
                <w:sz w:val="20"/>
              </w:rPr>
              <w:t xml:space="preserve">Incremental cost per TBD breast </w:t>
            </w:r>
            <w:r w:rsidRPr="00CD3AD3">
              <w:rPr>
                <w:rFonts w:ascii="Arial Narrow" w:hAnsi="Arial Narrow"/>
                <w:b/>
                <w:i/>
                <w:sz w:val="20"/>
              </w:rPr>
              <w:t>vs</w:t>
            </w:r>
            <w:r w:rsidRPr="00CD3AD3">
              <w:rPr>
                <w:rFonts w:ascii="Arial Narrow" w:hAnsi="Arial Narrow"/>
                <w:b/>
                <w:sz w:val="20"/>
              </w:rPr>
              <w:t>. AFG</w:t>
            </w:r>
          </w:p>
        </w:tc>
      </w:tr>
      <w:tr w:rsidR="003C2E14" w:rsidRPr="00CD3AD3" w14:paraId="1B10F079" w14:textId="77777777" w:rsidTr="002D52C6">
        <w:tc>
          <w:tcPr>
            <w:tcW w:w="2098" w:type="dxa"/>
          </w:tcPr>
          <w:p w14:paraId="3DC9E78E" w14:textId="77777777" w:rsidR="003C2E14" w:rsidRPr="00CD3AD3" w:rsidRDefault="003C2E14" w:rsidP="002D52C6">
            <w:pPr>
              <w:keepNext/>
              <w:rPr>
                <w:sz w:val="20"/>
              </w:rPr>
            </w:pPr>
            <w:r w:rsidRPr="00CD3AD3">
              <w:rPr>
                <w:sz w:val="20"/>
              </w:rPr>
              <w:t>AFG</w:t>
            </w:r>
          </w:p>
        </w:tc>
        <w:tc>
          <w:tcPr>
            <w:tcW w:w="1701" w:type="dxa"/>
            <w:vAlign w:val="center"/>
          </w:tcPr>
          <w:p w14:paraId="05C4FDF8" w14:textId="77777777" w:rsidR="003C2E14" w:rsidRPr="00CD3AD3" w:rsidRDefault="003C2E14" w:rsidP="002D52C6">
            <w:pPr>
              <w:keepNext/>
              <w:jc w:val="center"/>
              <w:rPr>
                <w:sz w:val="20"/>
              </w:rPr>
            </w:pPr>
            <w:r w:rsidRPr="00CD3AD3">
              <w:rPr>
                <w:sz w:val="20"/>
              </w:rPr>
              <w:t>$547</w:t>
            </w:r>
          </w:p>
        </w:tc>
        <w:tc>
          <w:tcPr>
            <w:tcW w:w="1701" w:type="dxa"/>
            <w:vAlign w:val="center"/>
          </w:tcPr>
          <w:p w14:paraId="714FBC3A" w14:textId="77777777" w:rsidR="003C2E14" w:rsidRPr="00CD3AD3" w:rsidRDefault="003C2E14" w:rsidP="002D52C6">
            <w:pPr>
              <w:keepNext/>
              <w:jc w:val="center"/>
              <w:rPr>
                <w:sz w:val="20"/>
              </w:rPr>
            </w:pPr>
            <w:r w:rsidRPr="00CD3AD3">
              <w:rPr>
                <w:sz w:val="20"/>
              </w:rPr>
              <w:t>$1,108</w:t>
            </w:r>
          </w:p>
        </w:tc>
        <w:tc>
          <w:tcPr>
            <w:tcW w:w="1984" w:type="dxa"/>
            <w:vAlign w:val="center"/>
          </w:tcPr>
          <w:p w14:paraId="1AF4F28F" w14:textId="77777777" w:rsidR="003C2E14" w:rsidRPr="00CD3AD3" w:rsidRDefault="003C2E14" w:rsidP="002D52C6">
            <w:pPr>
              <w:keepNext/>
              <w:jc w:val="center"/>
              <w:rPr>
                <w:sz w:val="20"/>
              </w:rPr>
            </w:pPr>
            <w:r w:rsidRPr="00CD3AD3">
              <w:rPr>
                <w:sz w:val="20"/>
              </w:rPr>
              <w:t>$1,654</w:t>
            </w:r>
          </w:p>
        </w:tc>
        <w:tc>
          <w:tcPr>
            <w:tcW w:w="1637" w:type="dxa"/>
            <w:vAlign w:val="center"/>
          </w:tcPr>
          <w:p w14:paraId="420A2A98" w14:textId="77777777" w:rsidR="003C2E14" w:rsidRPr="00CD3AD3" w:rsidRDefault="003C2E14" w:rsidP="002D52C6">
            <w:pPr>
              <w:keepNext/>
              <w:jc w:val="center"/>
              <w:rPr>
                <w:sz w:val="20"/>
              </w:rPr>
            </w:pPr>
            <w:r w:rsidRPr="00CD3AD3">
              <w:rPr>
                <w:sz w:val="20"/>
              </w:rPr>
              <w:t>-</w:t>
            </w:r>
          </w:p>
        </w:tc>
      </w:tr>
      <w:tr w:rsidR="003C2E14" w:rsidRPr="00CD3AD3" w14:paraId="0342C070" w14:textId="77777777" w:rsidTr="002D52C6">
        <w:tc>
          <w:tcPr>
            <w:tcW w:w="2098" w:type="dxa"/>
          </w:tcPr>
          <w:p w14:paraId="73E610F8" w14:textId="77777777" w:rsidR="003C2E14" w:rsidRPr="00CD3AD3" w:rsidRDefault="003C2E14" w:rsidP="002D52C6">
            <w:pPr>
              <w:keepNext/>
              <w:rPr>
                <w:sz w:val="20"/>
              </w:rPr>
            </w:pPr>
            <w:r w:rsidRPr="00CD3AD3">
              <w:rPr>
                <w:sz w:val="20"/>
              </w:rPr>
              <w:t>Implant</w:t>
            </w:r>
          </w:p>
        </w:tc>
        <w:tc>
          <w:tcPr>
            <w:tcW w:w="1701" w:type="dxa"/>
            <w:vAlign w:val="center"/>
          </w:tcPr>
          <w:p w14:paraId="5C25F114" w14:textId="77777777" w:rsidR="003C2E14" w:rsidRPr="00CD3AD3" w:rsidRDefault="003C2E14" w:rsidP="002D52C6">
            <w:pPr>
              <w:keepNext/>
              <w:jc w:val="center"/>
              <w:rPr>
                <w:sz w:val="20"/>
              </w:rPr>
            </w:pPr>
            <w:r w:rsidRPr="00CD3AD3">
              <w:rPr>
                <w:sz w:val="20"/>
              </w:rPr>
              <w:t>$977</w:t>
            </w:r>
          </w:p>
        </w:tc>
        <w:tc>
          <w:tcPr>
            <w:tcW w:w="1701" w:type="dxa"/>
            <w:vAlign w:val="center"/>
          </w:tcPr>
          <w:p w14:paraId="369E7730" w14:textId="77777777" w:rsidR="003C2E14" w:rsidRPr="00CD3AD3" w:rsidRDefault="003C2E14" w:rsidP="002D52C6">
            <w:pPr>
              <w:keepNext/>
              <w:jc w:val="center"/>
              <w:rPr>
                <w:sz w:val="20"/>
              </w:rPr>
            </w:pPr>
            <w:r w:rsidRPr="00CD3AD3">
              <w:rPr>
                <w:sz w:val="20"/>
              </w:rPr>
              <w:t>$1,093</w:t>
            </w:r>
          </w:p>
        </w:tc>
        <w:tc>
          <w:tcPr>
            <w:tcW w:w="1984" w:type="dxa"/>
            <w:vAlign w:val="center"/>
          </w:tcPr>
          <w:p w14:paraId="784F4DFE" w14:textId="77777777" w:rsidR="003C2E14" w:rsidRPr="00CD3AD3" w:rsidRDefault="003C2E14" w:rsidP="002D52C6">
            <w:pPr>
              <w:keepNext/>
              <w:jc w:val="center"/>
              <w:rPr>
                <w:sz w:val="20"/>
              </w:rPr>
            </w:pPr>
            <w:r w:rsidRPr="00CD3AD3">
              <w:rPr>
                <w:sz w:val="20"/>
              </w:rPr>
              <w:t>$2,070</w:t>
            </w:r>
          </w:p>
        </w:tc>
        <w:tc>
          <w:tcPr>
            <w:tcW w:w="1637" w:type="dxa"/>
            <w:vAlign w:val="center"/>
          </w:tcPr>
          <w:p w14:paraId="156FF626" w14:textId="77777777" w:rsidR="003C2E14" w:rsidRPr="00CD3AD3" w:rsidRDefault="003C2E14" w:rsidP="002D52C6">
            <w:pPr>
              <w:keepNext/>
              <w:jc w:val="center"/>
              <w:rPr>
                <w:sz w:val="20"/>
              </w:rPr>
            </w:pPr>
            <w:r w:rsidRPr="00CD3AD3">
              <w:rPr>
                <w:sz w:val="20"/>
              </w:rPr>
              <w:t>-$416</w:t>
            </w:r>
          </w:p>
        </w:tc>
      </w:tr>
    </w:tbl>
    <w:p w14:paraId="32DD37BE" w14:textId="77777777" w:rsidR="003C2E14" w:rsidRDefault="003C2E14" w:rsidP="003C2E14">
      <w:pPr>
        <w:keepNext/>
        <w:rPr>
          <w:rFonts w:ascii="Arial Narrow" w:hAnsi="Arial Narrow"/>
          <w:sz w:val="18"/>
        </w:rPr>
      </w:pPr>
      <w:r>
        <w:rPr>
          <w:rFonts w:ascii="Arial Narrow" w:hAnsi="Arial Narrow"/>
          <w:sz w:val="18"/>
        </w:rPr>
        <w:t>Abbreviations: TBD = tuberous breast deformity</w:t>
      </w:r>
    </w:p>
    <w:p w14:paraId="660F7B4D" w14:textId="08BB2570" w:rsidR="003C2E14" w:rsidRPr="00774393" w:rsidRDefault="003C2E14" w:rsidP="003C2E14">
      <w:pPr>
        <w:keepNext/>
        <w:rPr>
          <w:rFonts w:ascii="Arial Narrow" w:hAnsi="Arial Narrow"/>
          <w:sz w:val="18"/>
        </w:rPr>
      </w:pPr>
      <w:r>
        <w:rPr>
          <w:rFonts w:ascii="Arial Narrow" w:hAnsi="Arial Narrow"/>
          <w:sz w:val="18"/>
        </w:rPr>
        <w:t>Sour</w:t>
      </w:r>
      <w:r w:rsidR="00CD3AD3">
        <w:rPr>
          <w:rFonts w:ascii="Arial Narrow" w:hAnsi="Arial Narrow"/>
          <w:sz w:val="18"/>
        </w:rPr>
        <w:t>ce: Table 77, p186 of the DCAR.</w:t>
      </w:r>
    </w:p>
    <w:p w14:paraId="7AFA34D3" w14:textId="77777777" w:rsidR="00BC1364" w:rsidRDefault="003C2E14" w:rsidP="00CD3AD3">
      <w:pPr>
        <w:tabs>
          <w:tab w:val="left" w:pos="720"/>
          <w:tab w:val="left" w:pos="1140"/>
        </w:tabs>
        <w:spacing w:before="240" w:after="240"/>
        <w:rPr>
          <w:i/>
          <w:szCs w:val="24"/>
        </w:rPr>
      </w:pPr>
      <w:r>
        <w:t>Consistent with Tenna (2017), a comparison based on Brault (2017) indicated that AFG as a primary surgery is cost-minimising when compared with implant-based correction of TBD. However, the DCAR considered that r</w:t>
      </w:r>
      <w:r w:rsidRPr="004D7542">
        <w:t>esults should be interpreted with caution as they are based on</w:t>
      </w:r>
      <w:r>
        <w:t xml:space="preserve"> a small sample of patients with TBD breasts, incomplete reporting (e.g. the absence of detail</w:t>
      </w:r>
      <w:r w:rsidRPr="004D7542">
        <w:t xml:space="preserve"> about </w:t>
      </w:r>
      <w:r>
        <w:t>the secondary procedures</w:t>
      </w:r>
      <w:r w:rsidRPr="004D7542">
        <w:t xml:space="preserve"> in T</w:t>
      </w:r>
      <w:r>
        <w:t xml:space="preserve">enna 2017 and the </w:t>
      </w:r>
      <w:r w:rsidRPr="004D7542">
        <w:t>lack of clarity</w:t>
      </w:r>
      <w:r>
        <w:t xml:space="preserve"> about the unit of measurement [</w:t>
      </w:r>
      <w:r w:rsidRPr="004D7542">
        <w:t xml:space="preserve">per person </w:t>
      </w:r>
      <w:r w:rsidRPr="005A7985">
        <w:rPr>
          <w:i/>
        </w:rPr>
        <w:t>vs.</w:t>
      </w:r>
      <w:r>
        <w:t xml:space="preserve"> per breast] in Brault 2017)</w:t>
      </w:r>
      <w:r w:rsidRPr="004D7542">
        <w:t xml:space="preserve"> </w:t>
      </w:r>
      <w:r>
        <w:t xml:space="preserve">and the assumption that MBS items would sufficiently represent the total cost from healthcare system perspective, which </w:t>
      </w:r>
      <w:r w:rsidRPr="004D7542">
        <w:t>may bias the result</w:t>
      </w:r>
      <w:r>
        <w:t>s with unknown direction.</w:t>
      </w:r>
      <w:r w:rsidR="00DB5833" w:rsidRPr="005A4362">
        <w:rPr>
          <w:i/>
          <w:szCs w:val="24"/>
        </w:rPr>
        <w:t xml:space="preserve"> </w:t>
      </w:r>
    </w:p>
    <w:p w14:paraId="2E20AC8C" w14:textId="77777777" w:rsidR="00BC1364" w:rsidRPr="00F715D1" w:rsidRDefault="00BC1364" w:rsidP="00F715D1">
      <w:pPr>
        <w:pStyle w:val="Heading1"/>
      </w:pPr>
      <w:r w:rsidRPr="00F715D1">
        <w:t>Financial/budgetary impacts</w:t>
      </w:r>
    </w:p>
    <w:p w14:paraId="27502BE8" w14:textId="4507F61F" w:rsidR="003C2E14" w:rsidRDefault="003C2E14" w:rsidP="003C2E14">
      <w:r>
        <w:t>The DCAR used a</w:t>
      </w:r>
      <w:r w:rsidRPr="008D71E1">
        <w:t>n ep</w:t>
      </w:r>
      <w:r>
        <w:t xml:space="preserve">idemiological approach </w:t>
      </w:r>
      <w:r w:rsidRPr="008D71E1">
        <w:t xml:space="preserve">to estimate the financial implications of the introduction of </w:t>
      </w:r>
      <w:r>
        <w:t>AFG (</w:t>
      </w:r>
      <w:r w:rsidR="00EF74CD">
        <w:fldChar w:fldCharType="begin"/>
      </w:r>
      <w:r w:rsidR="00EF74CD">
        <w:instrText xml:space="preserve"> REF _Ref29775698 \h </w:instrText>
      </w:r>
      <w:r w:rsidR="00EF74CD">
        <w:fldChar w:fldCharType="separate"/>
      </w:r>
      <w:r w:rsidR="00EF74CD" w:rsidRPr="00EF74CD">
        <w:t xml:space="preserve">Table </w:t>
      </w:r>
      <w:r w:rsidR="00EF74CD" w:rsidRPr="00EF74CD">
        <w:rPr>
          <w:noProof/>
        </w:rPr>
        <w:t>14</w:t>
      </w:r>
      <w:r w:rsidR="00EF74CD">
        <w:fldChar w:fldCharType="end"/>
      </w:r>
      <w:r>
        <w:t>)</w:t>
      </w:r>
      <w:r w:rsidRPr="008D71E1">
        <w:t xml:space="preserve">. </w:t>
      </w:r>
      <w:r>
        <w:t xml:space="preserve">The DCAR stated that estimates for the PMPS subpopulation include those who may or may not proceed to reconstruction. Estimates for Subpopulations A1-A3 are assumed to </w:t>
      </w:r>
      <w:r w:rsidR="00CD3AD3">
        <w:t>not include patients with PMPS.</w:t>
      </w:r>
    </w:p>
    <w:p w14:paraId="2DB0F4E3" w14:textId="6654666E" w:rsidR="003C2E14" w:rsidRPr="008D71E1" w:rsidRDefault="003C2E14" w:rsidP="00CD3AD3">
      <w:pPr>
        <w:spacing w:before="240"/>
      </w:pPr>
      <w:r>
        <w:t xml:space="preserve">The DCAR estimated that the listing of AFG may result in 6,004 MBS-funded AFG services in Year 1, increasing to 7,557 in Year 5. The cost to the MBS, after co-payments have been accounted for is estimated to be $3.6M in Year 1 </w:t>
      </w:r>
      <w:r w:rsidR="00CD3AD3">
        <w:t>increasing to $4.4M in Year 5.</w:t>
      </w:r>
    </w:p>
    <w:p w14:paraId="78AF6AEC" w14:textId="09A4E544" w:rsidR="003C2E14" w:rsidRPr="002F2AEA" w:rsidRDefault="00EF74CD" w:rsidP="002F2AEA">
      <w:pPr>
        <w:keepNext/>
        <w:keepLines/>
        <w:rPr>
          <w:rFonts w:ascii="Arial Narrow" w:hAnsi="Arial Narrow"/>
          <w:b/>
          <w:sz w:val="20"/>
        </w:rPr>
      </w:pPr>
      <w:bookmarkStart w:id="43" w:name="_Ref29775698"/>
      <w:bookmarkStart w:id="44" w:name="_Toc37815110"/>
      <w:r w:rsidRPr="002F2AEA">
        <w:rPr>
          <w:rFonts w:ascii="Arial Narrow" w:hAnsi="Arial Narrow"/>
          <w:b/>
          <w:sz w:val="20"/>
        </w:rPr>
        <w:lastRenderedPageBreak/>
        <w:t xml:space="preserve">Table </w:t>
      </w:r>
      <w:r w:rsidR="002E3DBE" w:rsidRPr="002F2AEA">
        <w:rPr>
          <w:rFonts w:ascii="Arial Narrow" w:hAnsi="Arial Narrow"/>
          <w:b/>
          <w:sz w:val="20"/>
        </w:rPr>
        <w:fldChar w:fldCharType="begin"/>
      </w:r>
      <w:r w:rsidR="002E3DBE" w:rsidRPr="002F2AEA">
        <w:rPr>
          <w:rFonts w:ascii="Arial Narrow" w:hAnsi="Arial Narrow"/>
          <w:b/>
          <w:sz w:val="20"/>
        </w:rPr>
        <w:instrText xml:space="preserve"> SEQ Table \* ARABIC </w:instrText>
      </w:r>
      <w:r w:rsidR="002E3DBE" w:rsidRPr="002F2AEA">
        <w:rPr>
          <w:rFonts w:ascii="Arial Narrow" w:hAnsi="Arial Narrow"/>
          <w:b/>
          <w:sz w:val="20"/>
        </w:rPr>
        <w:fldChar w:fldCharType="separate"/>
      </w:r>
      <w:r w:rsidRPr="002F2AEA">
        <w:rPr>
          <w:rFonts w:ascii="Arial Narrow" w:hAnsi="Arial Narrow"/>
          <w:b/>
          <w:sz w:val="20"/>
        </w:rPr>
        <w:t>14</w:t>
      </w:r>
      <w:r w:rsidR="002E3DBE" w:rsidRPr="002F2AEA">
        <w:rPr>
          <w:rFonts w:ascii="Arial Narrow" w:hAnsi="Arial Narrow"/>
          <w:b/>
          <w:sz w:val="20"/>
        </w:rPr>
        <w:fldChar w:fldCharType="end"/>
      </w:r>
      <w:bookmarkEnd w:id="43"/>
      <w:r w:rsidR="003C2E14" w:rsidRPr="002F2AEA">
        <w:rPr>
          <w:rFonts w:ascii="Arial Narrow" w:hAnsi="Arial Narrow"/>
          <w:b/>
          <w:sz w:val="20"/>
        </w:rPr>
        <w:t xml:space="preserve"> Total services and costs to the MBS associated with AFG (after co-payments)</w:t>
      </w:r>
      <w:bookmarkEnd w:id="44"/>
    </w:p>
    <w:tbl>
      <w:tblPr>
        <w:tblStyle w:val="TableGrid1"/>
        <w:tblW w:w="9069" w:type="dxa"/>
        <w:tblInd w:w="-2" w:type="dxa"/>
        <w:tblCellMar>
          <w:left w:w="28" w:type="dxa"/>
          <w:right w:w="28" w:type="dxa"/>
        </w:tblCellMar>
        <w:tblLook w:val="04A0" w:firstRow="1" w:lastRow="0" w:firstColumn="1" w:lastColumn="0" w:noHBand="0" w:noVBand="1"/>
        <w:tblCaption w:val="Table 25 Total costs to the MBS associated with XXX"/>
        <w:tblDescription w:val="This table provides a summary of the financial impact of the proposed new medical service over the next five years."/>
      </w:tblPr>
      <w:tblGrid>
        <w:gridCol w:w="2406"/>
        <w:gridCol w:w="1331"/>
        <w:gridCol w:w="1331"/>
        <w:gridCol w:w="1332"/>
        <w:gridCol w:w="1331"/>
        <w:gridCol w:w="1338"/>
      </w:tblGrid>
      <w:tr w:rsidR="003C2E14" w:rsidRPr="00A00972" w14:paraId="34550B60" w14:textId="77777777" w:rsidTr="002D52C6">
        <w:trPr>
          <w:cnfStyle w:val="100000000000" w:firstRow="1" w:lastRow="0" w:firstColumn="0" w:lastColumn="0" w:oddVBand="0" w:evenVBand="0" w:oddHBand="0" w:evenHBand="0" w:firstRowFirstColumn="0" w:firstRowLastColumn="0" w:lastRowFirstColumn="0" w:lastRowLastColumn="0"/>
          <w:tblHeader/>
        </w:trPr>
        <w:tc>
          <w:tcPr>
            <w:tcW w:w="2406" w:type="dxa"/>
            <w:vAlign w:val="bottom"/>
          </w:tcPr>
          <w:p w14:paraId="7CA5E45B" w14:textId="77777777" w:rsidR="003C2E14" w:rsidRPr="00A00972" w:rsidRDefault="003C2E14" w:rsidP="002F2AEA">
            <w:pPr>
              <w:pStyle w:val="Tabletext"/>
              <w:keepNext/>
              <w:keepLines/>
              <w:rPr>
                <w:b/>
              </w:rPr>
            </w:pPr>
            <w:r w:rsidRPr="00A00972">
              <w:rPr>
                <w:b/>
              </w:rPr>
              <w:t xml:space="preserve">Variable </w:t>
            </w:r>
          </w:p>
        </w:tc>
        <w:tc>
          <w:tcPr>
            <w:tcW w:w="1331" w:type="dxa"/>
          </w:tcPr>
          <w:p w14:paraId="03366462" w14:textId="77777777" w:rsidR="003C2E14" w:rsidRPr="00A00972" w:rsidRDefault="003C2E14" w:rsidP="002F2AEA">
            <w:pPr>
              <w:pStyle w:val="Tabletext"/>
              <w:keepNext/>
              <w:keepLines/>
              <w:jc w:val="center"/>
              <w:rPr>
                <w:b/>
              </w:rPr>
            </w:pPr>
            <w:r w:rsidRPr="00A00972">
              <w:rPr>
                <w:b/>
              </w:rPr>
              <w:t>2020-21</w:t>
            </w:r>
          </w:p>
          <w:p w14:paraId="58B5B7AD" w14:textId="77777777" w:rsidR="003C2E14" w:rsidRPr="00A00972" w:rsidRDefault="003C2E14" w:rsidP="002F2AEA">
            <w:pPr>
              <w:pStyle w:val="Tabletext"/>
              <w:keepNext/>
              <w:keepLines/>
              <w:jc w:val="center"/>
              <w:rPr>
                <w:b/>
              </w:rPr>
            </w:pPr>
            <w:r w:rsidRPr="00A00972">
              <w:rPr>
                <w:b/>
              </w:rPr>
              <w:t>Year 1</w:t>
            </w:r>
          </w:p>
        </w:tc>
        <w:tc>
          <w:tcPr>
            <w:tcW w:w="1331" w:type="dxa"/>
          </w:tcPr>
          <w:p w14:paraId="4E544AE8" w14:textId="77777777" w:rsidR="003C2E14" w:rsidRPr="00A00972" w:rsidRDefault="003C2E14" w:rsidP="002F2AEA">
            <w:pPr>
              <w:pStyle w:val="Tabletext"/>
              <w:keepNext/>
              <w:keepLines/>
              <w:jc w:val="center"/>
              <w:rPr>
                <w:b/>
              </w:rPr>
            </w:pPr>
            <w:r w:rsidRPr="00A00972">
              <w:rPr>
                <w:b/>
              </w:rPr>
              <w:t>2021-22</w:t>
            </w:r>
          </w:p>
          <w:p w14:paraId="12CA75B5" w14:textId="77777777" w:rsidR="003C2E14" w:rsidRPr="00A00972" w:rsidRDefault="003C2E14" w:rsidP="002F2AEA">
            <w:pPr>
              <w:pStyle w:val="Tabletext"/>
              <w:keepNext/>
              <w:keepLines/>
              <w:jc w:val="center"/>
              <w:rPr>
                <w:b/>
              </w:rPr>
            </w:pPr>
            <w:r w:rsidRPr="00A00972">
              <w:rPr>
                <w:b/>
              </w:rPr>
              <w:t>Year 2</w:t>
            </w:r>
          </w:p>
        </w:tc>
        <w:tc>
          <w:tcPr>
            <w:tcW w:w="1332" w:type="dxa"/>
          </w:tcPr>
          <w:p w14:paraId="7C1268E8" w14:textId="77777777" w:rsidR="003C2E14" w:rsidRPr="00A00972" w:rsidRDefault="003C2E14" w:rsidP="002F2AEA">
            <w:pPr>
              <w:pStyle w:val="Tabletext"/>
              <w:keepNext/>
              <w:keepLines/>
              <w:jc w:val="center"/>
              <w:rPr>
                <w:b/>
              </w:rPr>
            </w:pPr>
            <w:r w:rsidRPr="00A00972">
              <w:rPr>
                <w:b/>
              </w:rPr>
              <w:t>2022-23</w:t>
            </w:r>
          </w:p>
          <w:p w14:paraId="694F8969" w14:textId="77777777" w:rsidR="003C2E14" w:rsidRPr="00A00972" w:rsidRDefault="003C2E14" w:rsidP="002F2AEA">
            <w:pPr>
              <w:pStyle w:val="Tabletext"/>
              <w:keepNext/>
              <w:keepLines/>
              <w:jc w:val="center"/>
              <w:rPr>
                <w:b/>
              </w:rPr>
            </w:pPr>
            <w:r w:rsidRPr="00A00972">
              <w:rPr>
                <w:b/>
              </w:rPr>
              <w:t>Year 3</w:t>
            </w:r>
          </w:p>
        </w:tc>
        <w:tc>
          <w:tcPr>
            <w:tcW w:w="1331" w:type="dxa"/>
          </w:tcPr>
          <w:p w14:paraId="2B57682C" w14:textId="77777777" w:rsidR="003C2E14" w:rsidRPr="00A00972" w:rsidRDefault="003C2E14" w:rsidP="002F2AEA">
            <w:pPr>
              <w:pStyle w:val="Tabletext"/>
              <w:keepNext/>
              <w:keepLines/>
              <w:jc w:val="center"/>
              <w:rPr>
                <w:b/>
              </w:rPr>
            </w:pPr>
            <w:r w:rsidRPr="00A00972">
              <w:rPr>
                <w:b/>
              </w:rPr>
              <w:t>2023-24</w:t>
            </w:r>
          </w:p>
          <w:p w14:paraId="53443075" w14:textId="77777777" w:rsidR="003C2E14" w:rsidRPr="00A00972" w:rsidRDefault="003C2E14" w:rsidP="002F2AEA">
            <w:pPr>
              <w:pStyle w:val="Tabletext"/>
              <w:keepNext/>
              <w:keepLines/>
              <w:jc w:val="center"/>
              <w:rPr>
                <w:b/>
              </w:rPr>
            </w:pPr>
            <w:r w:rsidRPr="00A00972">
              <w:rPr>
                <w:b/>
              </w:rPr>
              <w:t>Year 4</w:t>
            </w:r>
          </w:p>
        </w:tc>
        <w:tc>
          <w:tcPr>
            <w:tcW w:w="1338" w:type="dxa"/>
          </w:tcPr>
          <w:p w14:paraId="7A03D57D" w14:textId="77777777" w:rsidR="003C2E14" w:rsidRPr="00A00972" w:rsidRDefault="003C2E14" w:rsidP="002F2AEA">
            <w:pPr>
              <w:pStyle w:val="Tabletext"/>
              <w:keepNext/>
              <w:keepLines/>
              <w:jc w:val="center"/>
              <w:rPr>
                <w:b/>
              </w:rPr>
            </w:pPr>
            <w:r w:rsidRPr="00A00972">
              <w:rPr>
                <w:b/>
              </w:rPr>
              <w:t>2024-25</w:t>
            </w:r>
          </w:p>
          <w:p w14:paraId="00220637" w14:textId="77777777" w:rsidR="003C2E14" w:rsidRPr="00A00972" w:rsidRDefault="003C2E14" w:rsidP="002F2AEA">
            <w:pPr>
              <w:pStyle w:val="Tabletext"/>
              <w:keepNext/>
              <w:keepLines/>
              <w:jc w:val="center"/>
              <w:rPr>
                <w:b/>
              </w:rPr>
            </w:pPr>
            <w:r w:rsidRPr="00A00972">
              <w:rPr>
                <w:b/>
              </w:rPr>
              <w:t>Year 5</w:t>
            </w:r>
          </w:p>
        </w:tc>
      </w:tr>
      <w:tr w:rsidR="003C2E14" w:rsidRPr="00A00972" w14:paraId="196FC364" w14:textId="77777777" w:rsidTr="002D52C6">
        <w:tc>
          <w:tcPr>
            <w:tcW w:w="2406" w:type="dxa"/>
            <w:tcBorders>
              <w:right w:val="nil"/>
            </w:tcBorders>
          </w:tcPr>
          <w:p w14:paraId="3DA23FD6" w14:textId="77777777" w:rsidR="003C2E14" w:rsidRPr="00A00972" w:rsidRDefault="003C2E14" w:rsidP="00B72DF9">
            <w:pPr>
              <w:pStyle w:val="Tabletext"/>
              <w:keepNext/>
              <w:keepLines/>
              <w:rPr>
                <w:b/>
              </w:rPr>
            </w:pPr>
            <w:r>
              <w:rPr>
                <w:b/>
              </w:rPr>
              <w:t>Population A</w:t>
            </w:r>
          </w:p>
        </w:tc>
        <w:tc>
          <w:tcPr>
            <w:tcW w:w="1331" w:type="dxa"/>
            <w:tcBorders>
              <w:left w:val="nil"/>
              <w:right w:val="nil"/>
            </w:tcBorders>
          </w:tcPr>
          <w:p w14:paraId="1477D46E" w14:textId="77777777" w:rsidR="003C2E14" w:rsidRPr="00A00972" w:rsidRDefault="003C2E14" w:rsidP="00B72DF9">
            <w:pPr>
              <w:pStyle w:val="Tabletext"/>
              <w:keepNext/>
              <w:keepLines/>
              <w:jc w:val="center"/>
              <w:rPr>
                <w:b/>
              </w:rPr>
            </w:pPr>
          </w:p>
        </w:tc>
        <w:tc>
          <w:tcPr>
            <w:tcW w:w="1331" w:type="dxa"/>
            <w:tcBorders>
              <w:left w:val="nil"/>
              <w:right w:val="nil"/>
            </w:tcBorders>
          </w:tcPr>
          <w:p w14:paraId="541D31B6" w14:textId="77777777" w:rsidR="003C2E14" w:rsidRPr="00A00972" w:rsidRDefault="003C2E14" w:rsidP="00B72DF9">
            <w:pPr>
              <w:pStyle w:val="Tabletext"/>
              <w:keepNext/>
              <w:keepLines/>
              <w:jc w:val="center"/>
              <w:rPr>
                <w:b/>
              </w:rPr>
            </w:pPr>
          </w:p>
        </w:tc>
        <w:tc>
          <w:tcPr>
            <w:tcW w:w="1332" w:type="dxa"/>
            <w:tcBorders>
              <w:left w:val="nil"/>
              <w:right w:val="nil"/>
            </w:tcBorders>
          </w:tcPr>
          <w:p w14:paraId="7F090455" w14:textId="77777777" w:rsidR="003C2E14" w:rsidRPr="00A00972" w:rsidRDefault="003C2E14" w:rsidP="00B72DF9">
            <w:pPr>
              <w:pStyle w:val="Tabletext"/>
              <w:keepNext/>
              <w:keepLines/>
              <w:jc w:val="center"/>
              <w:rPr>
                <w:b/>
              </w:rPr>
            </w:pPr>
          </w:p>
        </w:tc>
        <w:tc>
          <w:tcPr>
            <w:tcW w:w="1331" w:type="dxa"/>
            <w:tcBorders>
              <w:left w:val="nil"/>
              <w:right w:val="nil"/>
            </w:tcBorders>
          </w:tcPr>
          <w:p w14:paraId="17F81C54" w14:textId="77777777" w:rsidR="003C2E14" w:rsidRPr="00A00972" w:rsidRDefault="003C2E14" w:rsidP="00B72DF9">
            <w:pPr>
              <w:pStyle w:val="Tabletext"/>
              <w:keepNext/>
              <w:keepLines/>
              <w:jc w:val="center"/>
              <w:rPr>
                <w:b/>
              </w:rPr>
            </w:pPr>
          </w:p>
        </w:tc>
        <w:tc>
          <w:tcPr>
            <w:tcW w:w="1338" w:type="dxa"/>
            <w:tcBorders>
              <w:left w:val="nil"/>
            </w:tcBorders>
          </w:tcPr>
          <w:p w14:paraId="24638847" w14:textId="77777777" w:rsidR="003C2E14" w:rsidRPr="00A00972" w:rsidRDefault="003C2E14" w:rsidP="00B72DF9">
            <w:pPr>
              <w:pStyle w:val="Tabletext"/>
              <w:keepNext/>
              <w:keepLines/>
              <w:jc w:val="center"/>
              <w:rPr>
                <w:b/>
              </w:rPr>
            </w:pPr>
          </w:p>
        </w:tc>
      </w:tr>
      <w:tr w:rsidR="003C2E14" w:rsidRPr="00A00972" w14:paraId="3BFF4FD6" w14:textId="77777777" w:rsidTr="002D52C6">
        <w:tc>
          <w:tcPr>
            <w:tcW w:w="2406" w:type="dxa"/>
            <w:tcBorders>
              <w:bottom w:val="single" w:sz="4" w:space="0" w:color="auto"/>
              <w:right w:val="nil"/>
            </w:tcBorders>
          </w:tcPr>
          <w:p w14:paraId="6FA7A49F" w14:textId="77777777" w:rsidR="003C2E14" w:rsidRDefault="003C2E14" w:rsidP="00B72DF9">
            <w:pPr>
              <w:pStyle w:val="Tabletext"/>
              <w:keepNext/>
              <w:keepLines/>
              <w:rPr>
                <w:b/>
              </w:rPr>
            </w:pPr>
            <w:r>
              <w:rPr>
                <w:b/>
              </w:rPr>
              <w:t>PMPS subpopulation</w:t>
            </w:r>
          </w:p>
        </w:tc>
        <w:tc>
          <w:tcPr>
            <w:tcW w:w="1331" w:type="dxa"/>
            <w:tcBorders>
              <w:left w:val="nil"/>
              <w:bottom w:val="single" w:sz="4" w:space="0" w:color="auto"/>
              <w:right w:val="nil"/>
            </w:tcBorders>
          </w:tcPr>
          <w:p w14:paraId="0D636B0A" w14:textId="77777777" w:rsidR="003C2E14" w:rsidRPr="00A00972" w:rsidRDefault="003C2E14" w:rsidP="00B72DF9">
            <w:pPr>
              <w:pStyle w:val="Tabletext"/>
              <w:keepNext/>
              <w:keepLines/>
              <w:jc w:val="center"/>
              <w:rPr>
                <w:b/>
              </w:rPr>
            </w:pPr>
          </w:p>
        </w:tc>
        <w:tc>
          <w:tcPr>
            <w:tcW w:w="1331" w:type="dxa"/>
            <w:tcBorders>
              <w:left w:val="nil"/>
              <w:bottom w:val="single" w:sz="4" w:space="0" w:color="auto"/>
              <w:right w:val="nil"/>
            </w:tcBorders>
          </w:tcPr>
          <w:p w14:paraId="3A0E1B1A" w14:textId="77777777" w:rsidR="003C2E14" w:rsidRPr="00A00972" w:rsidRDefault="003C2E14" w:rsidP="00B72DF9">
            <w:pPr>
              <w:pStyle w:val="Tabletext"/>
              <w:keepNext/>
              <w:keepLines/>
              <w:jc w:val="center"/>
              <w:rPr>
                <w:b/>
              </w:rPr>
            </w:pPr>
          </w:p>
        </w:tc>
        <w:tc>
          <w:tcPr>
            <w:tcW w:w="1332" w:type="dxa"/>
            <w:tcBorders>
              <w:left w:val="nil"/>
              <w:bottom w:val="single" w:sz="4" w:space="0" w:color="auto"/>
              <w:right w:val="nil"/>
            </w:tcBorders>
          </w:tcPr>
          <w:p w14:paraId="4A327E53" w14:textId="77777777" w:rsidR="003C2E14" w:rsidRPr="00A00972" w:rsidRDefault="003C2E14" w:rsidP="00B72DF9">
            <w:pPr>
              <w:pStyle w:val="Tabletext"/>
              <w:keepNext/>
              <w:keepLines/>
              <w:jc w:val="center"/>
              <w:rPr>
                <w:b/>
              </w:rPr>
            </w:pPr>
          </w:p>
        </w:tc>
        <w:tc>
          <w:tcPr>
            <w:tcW w:w="1331" w:type="dxa"/>
            <w:tcBorders>
              <w:left w:val="nil"/>
              <w:bottom w:val="single" w:sz="4" w:space="0" w:color="auto"/>
              <w:right w:val="nil"/>
            </w:tcBorders>
          </w:tcPr>
          <w:p w14:paraId="0E2513BE" w14:textId="77777777" w:rsidR="003C2E14" w:rsidRPr="00A00972" w:rsidRDefault="003C2E14" w:rsidP="00B72DF9">
            <w:pPr>
              <w:pStyle w:val="Tabletext"/>
              <w:keepNext/>
              <w:keepLines/>
              <w:jc w:val="center"/>
              <w:rPr>
                <w:b/>
              </w:rPr>
            </w:pPr>
          </w:p>
        </w:tc>
        <w:tc>
          <w:tcPr>
            <w:tcW w:w="1338" w:type="dxa"/>
            <w:tcBorders>
              <w:left w:val="nil"/>
              <w:bottom w:val="single" w:sz="4" w:space="0" w:color="auto"/>
            </w:tcBorders>
          </w:tcPr>
          <w:p w14:paraId="3F730E7B" w14:textId="77777777" w:rsidR="003C2E14" w:rsidRPr="00A00972" w:rsidRDefault="003C2E14" w:rsidP="00B72DF9">
            <w:pPr>
              <w:pStyle w:val="Tabletext"/>
              <w:keepNext/>
              <w:keepLines/>
              <w:jc w:val="center"/>
              <w:rPr>
                <w:b/>
              </w:rPr>
            </w:pPr>
          </w:p>
        </w:tc>
      </w:tr>
      <w:tr w:rsidR="003C2E14" w:rsidRPr="00A00972" w14:paraId="5513A336" w14:textId="77777777" w:rsidTr="002D52C6">
        <w:tc>
          <w:tcPr>
            <w:tcW w:w="2406" w:type="dxa"/>
            <w:tcBorders>
              <w:right w:val="single" w:sz="4" w:space="0" w:color="auto"/>
            </w:tcBorders>
          </w:tcPr>
          <w:p w14:paraId="4CA6A5B3" w14:textId="77777777" w:rsidR="003C2E14" w:rsidRDefault="003C2E14" w:rsidP="002D52C6">
            <w:pPr>
              <w:pStyle w:val="Tabletext"/>
              <w:keepNext/>
              <w:rPr>
                <w:b/>
              </w:rPr>
            </w:pPr>
            <w:r>
              <w:t>Number of services</w:t>
            </w:r>
          </w:p>
        </w:tc>
        <w:tc>
          <w:tcPr>
            <w:tcW w:w="1331" w:type="dxa"/>
            <w:tcBorders>
              <w:left w:val="single" w:sz="4" w:space="0" w:color="auto"/>
              <w:right w:val="single" w:sz="4" w:space="0" w:color="auto"/>
            </w:tcBorders>
          </w:tcPr>
          <w:p w14:paraId="302F9F84" w14:textId="77777777" w:rsidR="003C2E14" w:rsidRPr="00A00972" w:rsidRDefault="003C2E14" w:rsidP="002D52C6">
            <w:pPr>
              <w:pStyle w:val="Tabletext"/>
              <w:keepNext/>
              <w:jc w:val="center"/>
              <w:rPr>
                <w:b/>
              </w:rPr>
            </w:pPr>
            <w:r>
              <w:t>1585</w:t>
            </w:r>
          </w:p>
        </w:tc>
        <w:tc>
          <w:tcPr>
            <w:tcW w:w="1331" w:type="dxa"/>
            <w:tcBorders>
              <w:left w:val="single" w:sz="4" w:space="0" w:color="auto"/>
              <w:right w:val="single" w:sz="4" w:space="0" w:color="auto"/>
            </w:tcBorders>
          </w:tcPr>
          <w:p w14:paraId="2E075C7A" w14:textId="77777777" w:rsidR="003C2E14" w:rsidRPr="00A00972" w:rsidRDefault="003C2E14" w:rsidP="002D52C6">
            <w:pPr>
              <w:pStyle w:val="Tabletext"/>
              <w:keepNext/>
              <w:jc w:val="center"/>
              <w:rPr>
                <w:b/>
              </w:rPr>
            </w:pPr>
            <w:r>
              <w:t>1939</w:t>
            </w:r>
          </w:p>
        </w:tc>
        <w:tc>
          <w:tcPr>
            <w:tcW w:w="1332" w:type="dxa"/>
            <w:tcBorders>
              <w:left w:val="single" w:sz="4" w:space="0" w:color="auto"/>
              <w:right w:val="single" w:sz="4" w:space="0" w:color="auto"/>
            </w:tcBorders>
          </w:tcPr>
          <w:p w14:paraId="6B737FC5" w14:textId="77777777" w:rsidR="003C2E14" w:rsidRPr="00A00972" w:rsidRDefault="003C2E14" w:rsidP="002D52C6">
            <w:pPr>
              <w:pStyle w:val="Tabletext"/>
              <w:keepNext/>
              <w:jc w:val="center"/>
              <w:rPr>
                <w:b/>
              </w:rPr>
            </w:pPr>
            <w:r>
              <w:t>2138</w:t>
            </w:r>
          </w:p>
        </w:tc>
        <w:tc>
          <w:tcPr>
            <w:tcW w:w="1331" w:type="dxa"/>
            <w:tcBorders>
              <w:left w:val="single" w:sz="4" w:space="0" w:color="auto"/>
              <w:right w:val="single" w:sz="4" w:space="0" w:color="auto"/>
            </w:tcBorders>
          </w:tcPr>
          <w:p w14:paraId="48F9A566" w14:textId="77777777" w:rsidR="003C2E14" w:rsidRPr="00A00972" w:rsidRDefault="003C2E14" w:rsidP="002D52C6">
            <w:pPr>
              <w:pStyle w:val="Tabletext"/>
              <w:keepNext/>
              <w:jc w:val="center"/>
              <w:rPr>
                <w:b/>
              </w:rPr>
            </w:pPr>
            <w:r>
              <w:t>2364</w:t>
            </w:r>
          </w:p>
        </w:tc>
        <w:tc>
          <w:tcPr>
            <w:tcW w:w="1338" w:type="dxa"/>
            <w:tcBorders>
              <w:left w:val="single" w:sz="4" w:space="0" w:color="auto"/>
            </w:tcBorders>
          </w:tcPr>
          <w:p w14:paraId="2C4B0536" w14:textId="77777777" w:rsidR="003C2E14" w:rsidRPr="00A00972" w:rsidRDefault="003C2E14" w:rsidP="002D52C6">
            <w:pPr>
              <w:pStyle w:val="Tabletext"/>
              <w:keepNext/>
              <w:jc w:val="center"/>
              <w:rPr>
                <w:b/>
              </w:rPr>
            </w:pPr>
            <w:r>
              <w:t>2842</w:t>
            </w:r>
          </w:p>
        </w:tc>
      </w:tr>
      <w:tr w:rsidR="003C2E14" w:rsidRPr="00A00972" w14:paraId="23D4DF46" w14:textId="77777777" w:rsidTr="002D52C6">
        <w:tc>
          <w:tcPr>
            <w:tcW w:w="2406" w:type="dxa"/>
            <w:tcBorders>
              <w:right w:val="single" w:sz="4" w:space="0" w:color="auto"/>
            </w:tcBorders>
          </w:tcPr>
          <w:p w14:paraId="6D692A1A" w14:textId="77777777" w:rsidR="003C2E14" w:rsidRDefault="003C2E14" w:rsidP="002D52C6">
            <w:pPr>
              <w:pStyle w:val="Tabletext"/>
              <w:keepNext/>
              <w:rPr>
                <w:b/>
              </w:rPr>
            </w:pPr>
            <w:r w:rsidRPr="005A6D5F">
              <w:t>Total Cost to MBS</w:t>
            </w:r>
          </w:p>
        </w:tc>
        <w:tc>
          <w:tcPr>
            <w:tcW w:w="1331" w:type="dxa"/>
            <w:tcBorders>
              <w:left w:val="single" w:sz="4" w:space="0" w:color="auto"/>
              <w:right w:val="single" w:sz="4" w:space="0" w:color="auto"/>
            </w:tcBorders>
          </w:tcPr>
          <w:p w14:paraId="76811F54" w14:textId="77777777" w:rsidR="003C2E14" w:rsidRPr="00A00972" w:rsidRDefault="003C2E14" w:rsidP="002D52C6">
            <w:pPr>
              <w:pStyle w:val="Tabletext"/>
              <w:keepNext/>
              <w:jc w:val="center"/>
              <w:rPr>
                <w:b/>
              </w:rPr>
            </w:pPr>
            <w:r w:rsidRPr="005A6D5F">
              <w:t>$983,055</w:t>
            </w:r>
          </w:p>
        </w:tc>
        <w:tc>
          <w:tcPr>
            <w:tcW w:w="1331" w:type="dxa"/>
            <w:tcBorders>
              <w:left w:val="single" w:sz="4" w:space="0" w:color="auto"/>
              <w:right w:val="single" w:sz="4" w:space="0" w:color="auto"/>
            </w:tcBorders>
          </w:tcPr>
          <w:p w14:paraId="529BCB55" w14:textId="77777777" w:rsidR="003C2E14" w:rsidRPr="00A00972" w:rsidRDefault="003C2E14" w:rsidP="002D52C6">
            <w:pPr>
              <w:pStyle w:val="Tabletext"/>
              <w:keepNext/>
              <w:jc w:val="center"/>
              <w:rPr>
                <w:b/>
              </w:rPr>
            </w:pPr>
            <w:r w:rsidRPr="005A6D5F">
              <w:t>$1,153,284</w:t>
            </w:r>
          </w:p>
        </w:tc>
        <w:tc>
          <w:tcPr>
            <w:tcW w:w="1332" w:type="dxa"/>
            <w:tcBorders>
              <w:left w:val="single" w:sz="4" w:space="0" w:color="auto"/>
              <w:right w:val="single" w:sz="4" w:space="0" w:color="auto"/>
            </w:tcBorders>
          </w:tcPr>
          <w:p w14:paraId="3DD4526C" w14:textId="77777777" w:rsidR="003C2E14" w:rsidRPr="00A00972" w:rsidRDefault="003C2E14" w:rsidP="002D52C6">
            <w:pPr>
              <w:pStyle w:val="Tabletext"/>
              <w:keepNext/>
              <w:jc w:val="center"/>
              <w:rPr>
                <w:b/>
              </w:rPr>
            </w:pPr>
            <w:r w:rsidRPr="005A6D5F">
              <w:t>$1,249,252</w:t>
            </w:r>
          </w:p>
        </w:tc>
        <w:tc>
          <w:tcPr>
            <w:tcW w:w="1331" w:type="dxa"/>
            <w:tcBorders>
              <w:left w:val="single" w:sz="4" w:space="0" w:color="auto"/>
              <w:right w:val="single" w:sz="4" w:space="0" w:color="auto"/>
            </w:tcBorders>
          </w:tcPr>
          <w:p w14:paraId="156ACB35" w14:textId="77777777" w:rsidR="003C2E14" w:rsidRPr="00A00972" w:rsidRDefault="003C2E14" w:rsidP="002D52C6">
            <w:pPr>
              <w:pStyle w:val="Tabletext"/>
              <w:keepNext/>
              <w:jc w:val="center"/>
              <w:rPr>
                <w:b/>
              </w:rPr>
            </w:pPr>
            <w:r w:rsidRPr="005A6D5F">
              <w:t>$1,357,902</w:t>
            </w:r>
          </w:p>
        </w:tc>
        <w:tc>
          <w:tcPr>
            <w:tcW w:w="1338" w:type="dxa"/>
            <w:tcBorders>
              <w:left w:val="single" w:sz="4" w:space="0" w:color="auto"/>
            </w:tcBorders>
          </w:tcPr>
          <w:p w14:paraId="3D027F27" w14:textId="77777777" w:rsidR="003C2E14" w:rsidRPr="00A00972" w:rsidRDefault="003C2E14" w:rsidP="002D52C6">
            <w:pPr>
              <w:pStyle w:val="Tabletext"/>
              <w:keepNext/>
              <w:jc w:val="center"/>
              <w:rPr>
                <w:b/>
              </w:rPr>
            </w:pPr>
            <w:r w:rsidRPr="005A6D5F">
              <w:t>$1,588,054</w:t>
            </w:r>
          </w:p>
        </w:tc>
      </w:tr>
      <w:tr w:rsidR="003C2E14" w:rsidRPr="00A00972" w14:paraId="7684CF08" w14:textId="77777777" w:rsidTr="002D52C6">
        <w:tc>
          <w:tcPr>
            <w:tcW w:w="2406" w:type="dxa"/>
            <w:tcBorders>
              <w:right w:val="nil"/>
            </w:tcBorders>
          </w:tcPr>
          <w:p w14:paraId="38864DAE" w14:textId="77777777" w:rsidR="003C2E14" w:rsidRPr="00A00972" w:rsidRDefault="003C2E14" w:rsidP="002D52C6">
            <w:pPr>
              <w:pStyle w:val="Tabletext"/>
              <w:keepNext/>
              <w:rPr>
                <w:b/>
              </w:rPr>
            </w:pPr>
            <w:r>
              <w:rPr>
                <w:b/>
              </w:rPr>
              <w:t>Subpopulation A1</w:t>
            </w:r>
          </w:p>
        </w:tc>
        <w:tc>
          <w:tcPr>
            <w:tcW w:w="1331" w:type="dxa"/>
            <w:tcBorders>
              <w:left w:val="nil"/>
              <w:right w:val="nil"/>
            </w:tcBorders>
          </w:tcPr>
          <w:p w14:paraId="135EF078" w14:textId="77777777" w:rsidR="003C2E14" w:rsidRPr="00A00972" w:rsidRDefault="003C2E14" w:rsidP="002D52C6">
            <w:pPr>
              <w:pStyle w:val="Tabletext"/>
              <w:keepNext/>
              <w:jc w:val="center"/>
              <w:rPr>
                <w:b/>
              </w:rPr>
            </w:pPr>
          </w:p>
        </w:tc>
        <w:tc>
          <w:tcPr>
            <w:tcW w:w="1331" w:type="dxa"/>
            <w:tcBorders>
              <w:left w:val="nil"/>
              <w:right w:val="nil"/>
            </w:tcBorders>
          </w:tcPr>
          <w:p w14:paraId="3C3BE06B" w14:textId="77777777" w:rsidR="003C2E14" w:rsidRPr="00A00972" w:rsidRDefault="003C2E14" w:rsidP="002D52C6">
            <w:pPr>
              <w:pStyle w:val="Tabletext"/>
              <w:keepNext/>
              <w:jc w:val="center"/>
              <w:rPr>
                <w:b/>
              </w:rPr>
            </w:pPr>
          </w:p>
        </w:tc>
        <w:tc>
          <w:tcPr>
            <w:tcW w:w="1332" w:type="dxa"/>
            <w:tcBorders>
              <w:left w:val="nil"/>
              <w:right w:val="nil"/>
            </w:tcBorders>
          </w:tcPr>
          <w:p w14:paraId="601D44E2" w14:textId="77777777" w:rsidR="003C2E14" w:rsidRPr="00A00972" w:rsidRDefault="003C2E14" w:rsidP="002D52C6">
            <w:pPr>
              <w:pStyle w:val="Tabletext"/>
              <w:keepNext/>
              <w:jc w:val="center"/>
              <w:rPr>
                <w:b/>
              </w:rPr>
            </w:pPr>
          </w:p>
        </w:tc>
        <w:tc>
          <w:tcPr>
            <w:tcW w:w="1331" w:type="dxa"/>
            <w:tcBorders>
              <w:left w:val="nil"/>
              <w:right w:val="nil"/>
            </w:tcBorders>
          </w:tcPr>
          <w:p w14:paraId="5DE86E09" w14:textId="77777777" w:rsidR="003C2E14" w:rsidRPr="00A00972" w:rsidRDefault="003C2E14" w:rsidP="002D52C6">
            <w:pPr>
              <w:pStyle w:val="Tabletext"/>
              <w:keepNext/>
              <w:jc w:val="center"/>
              <w:rPr>
                <w:b/>
              </w:rPr>
            </w:pPr>
          </w:p>
        </w:tc>
        <w:tc>
          <w:tcPr>
            <w:tcW w:w="1338" w:type="dxa"/>
            <w:tcBorders>
              <w:left w:val="nil"/>
            </w:tcBorders>
          </w:tcPr>
          <w:p w14:paraId="38D24A9A" w14:textId="77777777" w:rsidR="003C2E14" w:rsidRPr="00A00972" w:rsidRDefault="003C2E14" w:rsidP="002D52C6">
            <w:pPr>
              <w:pStyle w:val="Tabletext"/>
              <w:keepNext/>
              <w:jc w:val="center"/>
              <w:rPr>
                <w:b/>
              </w:rPr>
            </w:pPr>
          </w:p>
        </w:tc>
      </w:tr>
      <w:tr w:rsidR="003C2E14" w:rsidRPr="00E61EBA" w14:paraId="241DE88E" w14:textId="77777777" w:rsidTr="002D52C6">
        <w:tc>
          <w:tcPr>
            <w:tcW w:w="2406" w:type="dxa"/>
          </w:tcPr>
          <w:p w14:paraId="600764FC" w14:textId="77777777" w:rsidR="003C2E14" w:rsidRDefault="003C2E14" w:rsidP="002D52C6">
            <w:pPr>
              <w:pStyle w:val="Tabletext"/>
              <w:keepNext/>
            </w:pPr>
            <w:r>
              <w:t xml:space="preserve">Total services </w:t>
            </w:r>
          </w:p>
        </w:tc>
        <w:tc>
          <w:tcPr>
            <w:tcW w:w="1331" w:type="dxa"/>
          </w:tcPr>
          <w:p w14:paraId="16B9F3C9" w14:textId="77777777" w:rsidR="003C2E14" w:rsidRDefault="003C2E14" w:rsidP="002D52C6">
            <w:pPr>
              <w:pStyle w:val="Tabletext"/>
              <w:keepNext/>
              <w:jc w:val="center"/>
            </w:pPr>
            <w:r>
              <w:t>1093</w:t>
            </w:r>
          </w:p>
        </w:tc>
        <w:tc>
          <w:tcPr>
            <w:tcW w:w="1331" w:type="dxa"/>
          </w:tcPr>
          <w:p w14:paraId="76CA307F" w14:textId="77777777" w:rsidR="003C2E14" w:rsidRDefault="003C2E14" w:rsidP="002D52C6">
            <w:pPr>
              <w:pStyle w:val="Tabletext"/>
              <w:keepNext/>
              <w:jc w:val="center"/>
            </w:pPr>
            <w:r>
              <w:t>1093</w:t>
            </w:r>
          </w:p>
        </w:tc>
        <w:tc>
          <w:tcPr>
            <w:tcW w:w="1332" w:type="dxa"/>
          </w:tcPr>
          <w:p w14:paraId="45B3671B" w14:textId="77777777" w:rsidR="003C2E14" w:rsidRDefault="003C2E14" w:rsidP="002D52C6">
            <w:pPr>
              <w:pStyle w:val="Tabletext"/>
              <w:keepNext/>
              <w:jc w:val="center"/>
            </w:pPr>
            <w:r>
              <w:t>1093</w:t>
            </w:r>
          </w:p>
        </w:tc>
        <w:tc>
          <w:tcPr>
            <w:tcW w:w="1331" w:type="dxa"/>
          </w:tcPr>
          <w:p w14:paraId="0E87511A" w14:textId="77777777" w:rsidR="003C2E14" w:rsidRDefault="003C2E14" w:rsidP="002D52C6">
            <w:pPr>
              <w:pStyle w:val="Tabletext"/>
              <w:keepNext/>
              <w:jc w:val="center"/>
            </w:pPr>
            <w:r>
              <w:t>1093</w:t>
            </w:r>
          </w:p>
        </w:tc>
        <w:tc>
          <w:tcPr>
            <w:tcW w:w="1338" w:type="dxa"/>
          </w:tcPr>
          <w:p w14:paraId="783F0133" w14:textId="77777777" w:rsidR="003C2E14" w:rsidRDefault="003C2E14" w:rsidP="002D52C6">
            <w:pPr>
              <w:pStyle w:val="Tabletext"/>
              <w:keepNext/>
              <w:jc w:val="center"/>
            </w:pPr>
            <w:r>
              <w:t>1093</w:t>
            </w:r>
          </w:p>
        </w:tc>
      </w:tr>
      <w:tr w:rsidR="003C2E14" w:rsidRPr="003758DC" w14:paraId="59F0D0E3" w14:textId="77777777" w:rsidTr="002D52C6">
        <w:tc>
          <w:tcPr>
            <w:tcW w:w="2406" w:type="dxa"/>
          </w:tcPr>
          <w:p w14:paraId="2A6F6023" w14:textId="77777777" w:rsidR="003C2E14" w:rsidRPr="003758DC" w:rsidRDefault="003C2E14" w:rsidP="002D52C6">
            <w:pPr>
              <w:pStyle w:val="Tabletext"/>
              <w:keepNext/>
            </w:pPr>
            <w:r w:rsidRPr="003758DC">
              <w:t xml:space="preserve">Total cost to MBS </w:t>
            </w:r>
          </w:p>
        </w:tc>
        <w:tc>
          <w:tcPr>
            <w:tcW w:w="1331" w:type="dxa"/>
          </w:tcPr>
          <w:p w14:paraId="0DC7DC4F" w14:textId="77777777" w:rsidR="003C2E14" w:rsidRPr="003758DC" w:rsidRDefault="003C2E14" w:rsidP="002D52C6">
            <w:pPr>
              <w:pStyle w:val="Tabletext"/>
              <w:keepNext/>
              <w:jc w:val="center"/>
            </w:pPr>
            <w:r w:rsidRPr="003758DC">
              <w:t>$685,642</w:t>
            </w:r>
          </w:p>
        </w:tc>
        <w:tc>
          <w:tcPr>
            <w:tcW w:w="1331" w:type="dxa"/>
          </w:tcPr>
          <w:p w14:paraId="475B8203" w14:textId="77777777" w:rsidR="003C2E14" w:rsidRPr="003758DC" w:rsidRDefault="003C2E14" w:rsidP="002D52C6">
            <w:pPr>
              <w:pStyle w:val="Tabletext"/>
              <w:keepNext/>
              <w:jc w:val="center"/>
            </w:pPr>
            <w:r w:rsidRPr="003758DC">
              <w:t>$685,642</w:t>
            </w:r>
          </w:p>
        </w:tc>
        <w:tc>
          <w:tcPr>
            <w:tcW w:w="1332" w:type="dxa"/>
          </w:tcPr>
          <w:p w14:paraId="1C979997" w14:textId="77777777" w:rsidR="003C2E14" w:rsidRPr="003758DC" w:rsidRDefault="003C2E14" w:rsidP="002D52C6">
            <w:pPr>
              <w:pStyle w:val="Tabletext"/>
              <w:keepNext/>
              <w:jc w:val="center"/>
            </w:pPr>
            <w:r w:rsidRPr="003758DC">
              <w:t>$685,642</w:t>
            </w:r>
          </w:p>
        </w:tc>
        <w:tc>
          <w:tcPr>
            <w:tcW w:w="1331" w:type="dxa"/>
          </w:tcPr>
          <w:p w14:paraId="7EEBE9ED" w14:textId="77777777" w:rsidR="003C2E14" w:rsidRPr="003758DC" w:rsidRDefault="003C2E14" w:rsidP="002D52C6">
            <w:pPr>
              <w:pStyle w:val="Tabletext"/>
              <w:keepNext/>
              <w:jc w:val="center"/>
            </w:pPr>
            <w:r w:rsidRPr="003758DC">
              <w:t>$685,642</w:t>
            </w:r>
          </w:p>
        </w:tc>
        <w:tc>
          <w:tcPr>
            <w:tcW w:w="1338" w:type="dxa"/>
          </w:tcPr>
          <w:p w14:paraId="3B7A3284" w14:textId="77777777" w:rsidR="003C2E14" w:rsidRPr="003758DC" w:rsidRDefault="003C2E14" w:rsidP="002D52C6">
            <w:pPr>
              <w:pStyle w:val="Tabletext"/>
              <w:keepNext/>
              <w:jc w:val="center"/>
            </w:pPr>
            <w:r w:rsidRPr="003758DC">
              <w:t>$685,642</w:t>
            </w:r>
          </w:p>
        </w:tc>
      </w:tr>
      <w:tr w:rsidR="003C2E14" w:rsidRPr="003758DC" w14:paraId="623E78D4" w14:textId="77777777" w:rsidTr="002D52C6">
        <w:tc>
          <w:tcPr>
            <w:tcW w:w="2406" w:type="dxa"/>
            <w:tcBorders>
              <w:right w:val="nil"/>
            </w:tcBorders>
          </w:tcPr>
          <w:p w14:paraId="068A73A1" w14:textId="77777777" w:rsidR="003C2E14" w:rsidRPr="003758DC" w:rsidRDefault="003C2E14" w:rsidP="002D52C6">
            <w:pPr>
              <w:pStyle w:val="Tabletext"/>
              <w:keepNext/>
              <w:rPr>
                <w:b/>
              </w:rPr>
            </w:pPr>
            <w:r>
              <w:rPr>
                <w:b/>
              </w:rPr>
              <w:t>Subpopulation A</w:t>
            </w:r>
            <w:r w:rsidRPr="003758DC">
              <w:rPr>
                <w:b/>
              </w:rPr>
              <w:t>2</w:t>
            </w:r>
          </w:p>
        </w:tc>
        <w:tc>
          <w:tcPr>
            <w:tcW w:w="1331" w:type="dxa"/>
            <w:tcBorders>
              <w:left w:val="nil"/>
              <w:right w:val="nil"/>
            </w:tcBorders>
          </w:tcPr>
          <w:p w14:paraId="08828ED4" w14:textId="77777777" w:rsidR="003C2E14" w:rsidRPr="003758DC" w:rsidRDefault="003C2E14" w:rsidP="002D52C6">
            <w:pPr>
              <w:pStyle w:val="Tabletext"/>
              <w:keepNext/>
              <w:jc w:val="center"/>
              <w:rPr>
                <w:b/>
              </w:rPr>
            </w:pPr>
          </w:p>
        </w:tc>
        <w:tc>
          <w:tcPr>
            <w:tcW w:w="1331" w:type="dxa"/>
            <w:tcBorders>
              <w:left w:val="nil"/>
              <w:right w:val="nil"/>
            </w:tcBorders>
          </w:tcPr>
          <w:p w14:paraId="13AE1C5B" w14:textId="77777777" w:rsidR="003C2E14" w:rsidRPr="003758DC" w:rsidRDefault="003C2E14" w:rsidP="002D52C6">
            <w:pPr>
              <w:pStyle w:val="Tabletext"/>
              <w:keepNext/>
              <w:jc w:val="center"/>
              <w:rPr>
                <w:b/>
              </w:rPr>
            </w:pPr>
          </w:p>
        </w:tc>
        <w:tc>
          <w:tcPr>
            <w:tcW w:w="1332" w:type="dxa"/>
            <w:tcBorders>
              <w:left w:val="nil"/>
              <w:right w:val="nil"/>
            </w:tcBorders>
          </w:tcPr>
          <w:p w14:paraId="19829186" w14:textId="77777777" w:rsidR="003C2E14" w:rsidRPr="003758DC" w:rsidRDefault="003C2E14" w:rsidP="002D52C6">
            <w:pPr>
              <w:pStyle w:val="Tabletext"/>
              <w:keepNext/>
              <w:jc w:val="center"/>
              <w:rPr>
                <w:b/>
              </w:rPr>
            </w:pPr>
          </w:p>
        </w:tc>
        <w:tc>
          <w:tcPr>
            <w:tcW w:w="1331" w:type="dxa"/>
            <w:tcBorders>
              <w:left w:val="nil"/>
              <w:right w:val="nil"/>
            </w:tcBorders>
          </w:tcPr>
          <w:p w14:paraId="41157994" w14:textId="77777777" w:rsidR="003C2E14" w:rsidRPr="003758DC" w:rsidRDefault="003C2E14" w:rsidP="002D52C6">
            <w:pPr>
              <w:pStyle w:val="Tabletext"/>
              <w:keepNext/>
              <w:jc w:val="center"/>
              <w:rPr>
                <w:b/>
              </w:rPr>
            </w:pPr>
          </w:p>
        </w:tc>
        <w:tc>
          <w:tcPr>
            <w:tcW w:w="1338" w:type="dxa"/>
            <w:tcBorders>
              <w:left w:val="nil"/>
            </w:tcBorders>
          </w:tcPr>
          <w:p w14:paraId="6FE5E992" w14:textId="77777777" w:rsidR="003C2E14" w:rsidRPr="003758DC" w:rsidRDefault="003C2E14" w:rsidP="002D52C6">
            <w:pPr>
              <w:pStyle w:val="Tabletext"/>
              <w:keepNext/>
              <w:jc w:val="center"/>
              <w:rPr>
                <w:b/>
              </w:rPr>
            </w:pPr>
          </w:p>
        </w:tc>
      </w:tr>
      <w:tr w:rsidR="003C2E14" w:rsidRPr="00E61EBA" w14:paraId="45886942" w14:textId="77777777" w:rsidTr="002D52C6">
        <w:tc>
          <w:tcPr>
            <w:tcW w:w="2406" w:type="dxa"/>
          </w:tcPr>
          <w:p w14:paraId="11AE4159" w14:textId="77777777" w:rsidR="003C2E14" w:rsidRDefault="003C2E14" w:rsidP="002D52C6">
            <w:pPr>
              <w:pStyle w:val="Tabletext"/>
              <w:keepNext/>
            </w:pPr>
            <w:r>
              <w:t xml:space="preserve">Number of services </w:t>
            </w:r>
          </w:p>
        </w:tc>
        <w:tc>
          <w:tcPr>
            <w:tcW w:w="1331" w:type="dxa"/>
          </w:tcPr>
          <w:p w14:paraId="650DAF1F" w14:textId="77777777" w:rsidR="003C2E14" w:rsidRDefault="003C2E14" w:rsidP="002D52C6">
            <w:pPr>
              <w:pStyle w:val="Tabletext"/>
              <w:keepNext/>
              <w:jc w:val="center"/>
            </w:pPr>
            <w:r w:rsidRPr="00797CFE">
              <w:t>967</w:t>
            </w:r>
          </w:p>
        </w:tc>
        <w:tc>
          <w:tcPr>
            <w:tcW w:w="1331" w:type="dxa"/>
          </w:tcPr>
          <w:p w14:paraId="59043684" w14:textId="77777777" w:rsidR="003C2E14" w:rsidRDefault="003C2E14" w:rsidP="002D52C6">
            <w:pPr>
              <w:pStyle w:val="Tabletext"/>
              <w:keepNext/>
              <w:jc w:val="center"/>
            </w:pPr>
            <w:r w:rsidRPr="00797CFE">
              <w:t>967</w:t>
            </w:r>
          </w:p>
        </w:tc>
        <w:tc>
          <w:tcPr>
            <w:tcW w:w="1332" w:type="dxa"/>
          </w:tcPr>
          <w:p w14:paraId="11AC4245" w14:textId="77777777" w:rsidR="003C2E14" w:rsidRDefault="003C2E14" w:rsidP="002D52C6">
            <w:pPr>
              <w:pStyle w:val="Tabletext"/>
              <w:keepNext/>
              <w:jc w:val="center"/>
            </w:pPr>
            <w:r w:rsidRPr="00797CFE">
              <w:t>967</w:t>
            </w:r>
          </w:p>
        </w:tc>
        <w:tc>
          <w:tcPr>
            <w:tcW w:w="1331" w:type="dxa"/>
          </w:tcPr>
          <w:p w14:paraId="1876FC27" w14:textId="77777777" w:rsidR="003C2E14" w:rsidRDefault="003C2E14" w:rsidP="002D52C6">
            <w:pPr>
              <w:pStyle w:val="Tabletext"/>
              <w:keepNext/>
              <w:jc w:val="center"/>
            </w:pPr>
            <w:r w:rsidRPr="00797CFE">
              <w:t>967</w:t>
            </w:r>
          </w:p>
        </w:tc>
        <w:tc>
          <w:tcPr>
            <w:tcW w:w="1338" w:type="dxa"/>
          </w:tcPr>
          <w:p w14:paraId="27B428A7" w14:textId="77777777" w:rsidR="003C2E14" w:rsidRDefault="003C2E14" w:rsidP="002D52C6">
            <w:pPr>
              <w:pStyle w:val="Tabletext"/>
              <w:keepNext/>
              <w:jc w:val="center"/>
            </w:pPr>
            <w:r w:rsidRPr="00797CFE">
              <w:t>967</w:t>
            </w:r>
          </w:p>
        </w:tc>
      </w:tr>
      <w:tr w:rsidR="003C2E14" w:rsidRPr="003758DC" w14:paraId="2E963FB5" w14:textId="77777777" w:rsidTr="002D52C6">
        <w:tc>
          <w:tcPr>
            <w:tcW w:w="2406" w:type="dxa"/>
          </w:tcPr>
          <w:p w14:paraId="1D3AD39C" w14:textId="77777777" w:rsidR="003C2E14" w:rsidRPr="003758DC" w:rsidRDefault="003C2E14" w:rsidP="002D52C6">
            <w:pPr>
              <w:pStyle w:val="Tabletext"/>
              <w:keepNext/>
            </w:pPr>
            <w:r w:rsidRPr="003758DC">
              <w:t>Total cost to MBS after co-pay</w:t>
            </w:r>
          </w:p>
        </w:tc>
        <w:tc>
          <w:tcPr>
            <w:tcW w:w="1331" w:type="dxa"/>
          </w:tcPr>
          <w:p w14:paraId="74D4B7D9" w14:textId="77777777" w:rsidR="003C2E14" w:rsidRPr="003758DC" w:rsidRDefault="003C2E14" w:rsidP="002D52C6">
            <w:pPr>
              <w:pStyle w:val="Tabletext"/>
              <w:keepNext/>
              <w:jc w:val="center"/>
            </w:pPr>
            <w:r w:rsidRPr="003758DC">
              <w:t>$607,649</w:t>
            </w:r>
          </w:p>
        </w:tc>
        <w:tc>
          <w:tcPr>
            <w:tcW w:w="1331" w:type="dxa"/>
          </w:tcPr>
          <w:p w14:paraId="1F9DF82B" w14:textId="77777777" w:rsidR="003C2E14" w:rsidRPr="003758DC" w:rsidRDefault="003C2E14" w:rsidP="002D52C6">
            <w:pPr>
              <w:pStyle w:val="Tabletext"/>
              <w:keepNext/>
              <w:jc w:val="center"/>
            </w:pPr>
            <w:r w:rsidRPr="003758DC">
              <w:t>$607,649</w:t>
            </w:r>
          </w:p>
        </w:tc>
        <w:tc>
          <w:tcPr>
            <w:tcW w:w="1332" w:type="dxa"/>
          </w:tcPr>
          <w:p w14:paraId="0A4658AD" w14:textId="77777777" w:rsidR="003C2E14" w:rsidRPr="003758DC" w:rsidRDefault="003C2E14" w:rsidP="002D52C6">
            <w:pPr>
              <w:pStyle w:val="Tabletext"/>
              <w:keepNext/>
              <w:jc w:val="center"/>
            </w:pPr>
            <w:r w:rsidRPr="003758DC">
              <w:t>$607,649</w:t>
            </w:r>
          </w:p>
        </w:tc>
        <w:tc>
          <w:tcPr>
            <w:tcW w:w="1331" w:type="dxa"/>
          </w:tcPr>
          <w:p w14:paraId="47C48A29" w14:textId="77777777" w:rsidR="003C2E14" w:rsidRPr="003758DC" w:rsidRDefault="003C2E14" w:rsidP="002D52C6">
            <w:pPr>
              <w:pStyle w:val="Tabletext"/>
              <w:keepNext/>
              <w:jc w:val="center"/>
            </w:pPr>
            <w:r w:rsidRPr="003758DC">
              <w:t>$607,649</w:t>
            </w:r>
          </w:p>
        </w:tc>
        <w:tc>
          <w:tcPr>
            <w:tcW w:w="1338" w:type="dxa"/>
          </w:tcPr>
          <w:p w14:paraId="59F53244" w14:textId="77777777" w:rsidR="003C2E14" w:rsidRPr="003758DC" w:rsidRDefault="003C2E14" w:rsidP="002D52C6">
            <w:pPr>
              <w:pStyle w:val="Tabletext"/>
              <w:keepNext/>
              <w:jc w:val="center"/>
            </w:pPr>
            <w:r w:rsidRPr="003758DC">
              <w:t>$607,649</w:t>
            </w:r>
          </w:p>
        </w:tc>
      </w:tr>
      <w:tr w:rsidR="003C2E14" w:rsidRPr="00A00972" w14:paraId="3F190780" w14:textId="77777777" w:rsidTr="002D52C6">
        <w:tc>
          <w:tcPr>
            <w:tcW w:w="2406" w:type="dxa"/>
            <w:tcBorders>
              <w:right w:val="nil"/>
            </w:tcBorders>
          </w:tcPr>
          <w:p w14:paraId="5516D6E6" w14:textId="77777777" w:rsidR="003C2E14" w:rsidRPr="00A00972" w:rsidRDefault="003C2E14" w:rsidP="002D52C6">
            <w:pPr>
              <w:pStyle w:val="Tabletext"/>
              <w:keepNext/>
              <w:rPr>
                <w:b/>
              </w:rPr>
            </w:pPr>
            <w:r>
              <w:rPr>
                <w:b/>
              </w:rPr>
              <w:t>Subpopulation A3</w:t>
            </w:r>
          </w:p>
        </w:tc>
        <w:tc>
          <w:tcPr>
            <w:tcW w:w="1331" w:type="dxa"/>
            <w:tcBorders>
              <w:left w:val="nil"/>
              <w:right w:val="nil"/>
            </w:tcBorders>
          </w:tcPr>
          <w:p w14:paraId="683F0EB8" w14:textId="77777777" w:rsidR="003C2E14" w:rsidRPr="00A00972" w:rsidRDefault="003C2E14" w:rsidP="002D52C6">
            <w:pPr>
              <w:pStyle w:val="Tabletext"/>
              <w:keepNext/>
              <w:jc w:val="center"/>
              <w:rPr>
                <w:b/>
              </w:rPr>
            </w:pPr>
          </w:p>
        </w:tc>
        <w:tc>
          <w:tcPr>
            <w:tcW w:w="1331" w:type="dxa"/>
            <w:tcBorders>
              <w:left w:val="nil"/>
              <w:right w:val="nil"/>
            </w:tcBorders>
          </w:tcPr>
          <w:p w14:paraId="56248887" w14:textId="77777777" w:rsidR="003C2E14" w:rsidRPr="00A00972" w:rsidRDefault="003C2E14" w:rsidP="002D52C6">
            <w:pPr>
              <w:pStyle w:val="Tabletext"/>
              <w:keepNext/>
              <w:jc w:val="center"/>
              <w:rPr>
                <w:b/>
              </w:rPr>
            </w:pPr>
          </w:p>
        </w:tc>
        <w:tc>
          <w:tcPr>
            <w:tcW w:w="1332" w:type="dxa"/>
            <w:tcBorders>
              <w:left w:val="nil"/>
              <w:right w:val="nil"/>
            </w:tcBorders>
          </w:tcPr>
          <w:p w14:paraId="52967B28" w14:textId="77777777" w:rsidR="003C2E14" w:rsidRPr="00A00972" w:rsidRDefault="003C2E14" w:rsidP="002D52C6">
            <w:pPr>
              <w:pStyle w:val="Tabletext"/>
              <w:keepNext/>
              <w:jc w:val="center"/>
              <w:rPr>
                <w:b/>
              </w:rPr>
            </w:pPr>
          </w:p>
        </w:tc>
        <w:tc>
          <w:tcPr>
            <w:tcW w:w="1331" w:type="dxa"/>
            <w:tcBorders>
              <w:left w:val="nil"/>
              <w:right w:val="nil"/>
            </w:tcBorders>
          </w:tcPr>
          <w:p w14:paraId="71FF9EBF" w14:textId="77777777" w:rsidR="003C2E14" w:rsidRPr="00A00972" w:rsidRDefault="003C2E14" w:rsidP="002D52C6">
            <w:pPr>
              <w:pStyle w:val="Tabletext"/>
              <w:keepNext/>
              <w:jc w:val="center"/>
              <w:rPr>
                <w:b/>
              </w:rPr>
            </w:pPr>
          </w:p>
        </w:tc>
        <w:tc>
          <w:tcPr>
            <w:tcW w:w="1338" w:type="dxa"/>
            <w:tcBorders>
              <w:left w:val="nil"/>
            </w:tcBorders>
          </w:tcPr>
          <w:p w14:paraId="7679F0D5" w14:textId="77777777" w:rsidR="003C2E14" w:rsidRPr="00A00972" w:rsidRDefault="003C2E14" w:rsidP="002D52C6">
            <w:pPr>
              <w:pStyle w:val="Tabletext"/>
              <w:keepNext/>
              <w:jc w:val="center"/>
              <w:rPr>
                <w:b/>
              </w:rPr>
            </w:pPr>
          </w:p>
        </w:tc>
      </w:tr>
      <w:tr w:rsidR="003C2E14" w:rsidRPr="00273D4F" w14:paraId="57FA7498" w14:textId="77777777" w:rsidTr="002D52C6">
        <w:tc>
          <w:tcPr>
            <w:tcW w:w="2406" w:type="dxa"/>
          </w:tcPr>
          <w:p w14:paraId="3E419789" w14:textId="77777777" w:rsidR="003C2E14" w:rsidRPr="00273D4F" w:rsidRDefault="003C2E14" w:rsidP="002D52C6">
            <w:pPr>
              <w:pStyle w:val="Tabletext"/>
              <w:keepNext/>
            </w:pPr>
            <w:r>
              <w:t>Number of services</w:t>
            </w:r>
          </w:p>
        </w:tc>
        <w:tc>
          <w:tcPr>
            <w:tcW w:w="1331" w:type="dxa"/>
          </w:tcPr>
          <w:p w14:paraId="755F3B08" w14:textId="77777777" w:rsidR="003C2E14" w:rsidRPr="00273D4F" w:rsidRDefault="003C2E14" w:rsidP="002D52C6">
            <w:pPr>
              <w:pStyle w:val="Tabletext"/>
              <w:keepNext/>
              <w:jc w:val="center"/>
            </w:pPr>
            <w:r>
              <w:t>2150</w:t>
            </w:r>
          </w:p>
        </w:tc>
        <w:tc>
          <w:tcPr>
            <w:tcW w:w="1331" w:type="dxa"/>
          </w:tcPr>
          <w:p w14:paraId="6168A10F" w14:textId="77777777" w:rsidR="003C2E14" w:rsidRPr="00273D4F" w:rsidRDefault="003C2E14" w:rsidP="002D52C6">
            <w:pPr>
              <w:pStyle w:val="Tabletext"/>
              <w:keepNext/>
              <w:jc w:val="center"/>
            </w:pPr>
            <w:r>
              <w:t>2215</w:t>
            </w:r>
          </w:p>
        </w:tc>
        <w:tc>
          <w:tcPr>
            <w:tcW w:w="1332" w:type="dxa"/>
          </w:tcPr>
          <w:p w14:paraId="05F79FBC" w14:textId="77777777" w:rsidR="003C2E14" w:rsidRPr="00273D4F" w:rsidRDefault="003C2E14" w:rsidP="002D52C6">
            <w:pPr>
              <w:pStyle w:val="Tabletext"/>
              <w:keepNext/>
              <w:jc w:val="center"/>
            </w:pPr>
            <w:r>
              <w:t>2281</w:t>
            </w:r>
          </w:p>
        </w:tc>
        <w:tc>
          <w:tcPr>
            <w:tcW w:w="1331" w:type="dxa"/>
          </w:tcPr>
          <w:p w14:paraId="07B79643" w14:textId="77777777" w:rsidR="003C2E14" w:rsidRPr="00273D4F" w:rsidRDefault="003C2E14" w:rsidP="002D52C6">
            <w:pPr>
              <w:pStyle w:val="Tabletext"/>
              <w:keepNext/>
              <w:jc w:val="center"/>
            </w:pPr>
            <w:r>
              <w:t>2349</w:t>
            </w:r>
          </w:p>
        </w:tc>
        <w:tc>
          <w:tcPr>
            <w:tcW w:w="1338" w:type="dxa"/>
          </w:tcPr>
          <w:p w14:paraId="290C4D33" w14:textId="77777777" w:rsidR="003C2E14" w:rsidRPr="00273D4F" w:rsidRDefault="003C2E14" w:rsidP="002D52C6">
            <w:pPr>
              <w:pStyle w:val="Tabletext"/>
              <w:keepNext/>
              <w:jc w:val="center"/>
            </w:pPr>
            <w:r>
              <w:t>2420</w:t>
            </w:r>
          </w:p>
        </w:tc>
      </w:tr>
      <w:tr w:rsidR="003C2E14" w:rsidRPr="00FF5EDB" w14:paraId="400DFBF6" w14:textId="77777777" w:rsidTr="002D52C6">
        <w:tc>
          <w:tcPr>
            <w:tcW w:w="2406" w:type="dxa"/>
          </w:tcPr>
          <w:p w14:paraId="3E57C79B" w14:textId="77777777" w:rsidR="003C2E14" w:rsidRPr="005A6D5F" w:rsidRDefault="003C2E14" w:rsidP="002D52C6">
            <w:pPr>
              <w:pStyle w:val="Tabletext"/>
              <w:keepNext/>
            </w:pPr>
            <w:r w:rsidRPr="005A6D5F">
              <w:t>Total cost to MBS after co-pay</w:t>
            </w:r>
          </w:p>
        </w:tc>
        <w:tc>
          <w:tcPr>
            <w:tcW w:w="1331" w:type="dxa"/>
          </w:tcPr>
          <w:p w14:paraId="48915DB9" w14:textId="77777777" w:rsidR="003C2E14" w:rsidRPr="005A6D5F" w:rsidRDefault="003C2E14" w:rsidP="002D52C6">
            <w:pPr>
              <w:pStyle w:val="Tabletext"/>
              <w:keepNext/>
              <w:jc w:val="center"/>
            </w:pPr>
            <w:r w:rsidRPr="005A6D5F">
              <w:t>$1,333,416</w:t>
            </w:r>
          </w:p>
        </w:tc>
        <w:tc>
          <w:tcPr>
            <w:tcW w:w="1331" w:type="dxa"/>
          </w:tcPr>
          <w:p w14:paraId="0BC568F0" w14:textId="77777777" w:rsidR="003C2E14" w:rsidRPr="005A6D5F" w:rsidRDefault="003C2E14" w:rsidP="002D52C6">
            <w:pPr>
              <w:pStyle w:val="Tabletext"/>
              <w:keepNext/>
              <w:jc w:val="center"/>
            </w:pPr>
            <w:r w:rsidRPr="005A6D5F">
              <w:t>$1,373,418</w:t>
            </w:r>
          </w:p>
        </w:tc>
        <w:tc>
          <w:tcPr>
            <w:tcW w:w="1332" w:type="dxa"/>
          </w:tcPr>
          <w:p w14:paraId="2F5773CA" w14:textId="77777777" w:rsidR="003C2E14" w:rsidRPr="005A6D5F" w:rsidRDefault="003C2E14" w:rsidP="002D52C6">
            <w:pPr>
              <w:pStyle w:val="Tabletext"/>
              <w:keepNext/>
              <w:jc w:val="center"/>
            </w:pPr>
            <w:r w:rsidRPr="005A6D5F">
              <w:t>$1,414,621</w:t>
            </w:r>
          </w:p>
        </w:tc>
        <w:tc>
          <w:tcPr>
            <w:tcW w:w="1331" w:type="dxa"/>
          </w:tcPr>
          <w:p w14:paraId="4901D37D" w14:textId="77777777" w:rsidR="003C2E14" w:rsidRPr="005A6D5F" w:rsidRDefault="003C2E14" w:rsidP="002D52C6">
            <w:pPr>
              <w:pStyle w:val="Tabletext"/>
              <w:keepNext/>
              <w:jc w:val="center"/>
            </w:pPr>
            <w:r w:rsidRPr="005A6D5F">
              <w:t>$1,457,059</w:t>
            </w:r>
          </w:p>
        </w:tc>
        <w:tc>
          <w:tcPr>
            <w:tcW w:w="1338" w:type="dxa"/>
          </w:tcPr>
          <w:p w14:paraId="661B4AB5" w14:textId="77777777" w:rsidR="003C2E14" w:rsidRPr="005A6D5F" w:rsidRDefault="003C2E14" w:rsidP="002D52C6">
            <w:pPr>
              <w:pStyle w:val="Tabletext"/>
              <w:keepNext/>
              <w:jc w:val="center"/>
            </w:pPr>
            <w:r w:rsidRPr="005A6D5F">
              <w:t>$1,500,771</w:t>
            </w:r>
          </w:p>
        </w:tc>
      </w:tr>
      <w:tr w:rsidR="003C2E14" w:rsidRPr="00187A44" w14:paraId="36EBBF06" w14:textId="77777777" w:rsidTr="002D52C6">
        <w:tc>
          <w:tcPr>
            <w:tcW w:w="2406" w:type="dxa"/>
            <w:vAlign w:val="center"/>
          </w:tcPr>
          <w:p w14:paraId="7387F005" w14:textId="77777777" w:rsidR="003C2E14" w:rsidRPr="00094232" w:rsidRDefault="003C2E14" w:rsidP="002D52C6">
            <w:pPr>
              <w:pStyle w:val="Tabletext"/>
              <w:keepNext/>
            </w:pPr>
            <w:r w:rsidRPr="00094232">
              <w:t xml:space="preserve">Total services – </w:t>
            </w:r>
            <w:r w:rsidRPr="001A418B">
              <w:t>Population A</w:t>
            </w:r>
          </w:p>
        </w:tc>
        <w:tc>
          <w:tcPr>
            <w:tcW w:w="1331" w:type="dxa"/>
          </w:tcPr>
          <w:p w14:paraId="410FDFFC" w14:textId="77777777" w:rsidR="003C2E14" w:rsidRPr="00187A44" w:rsidRDefault="003C2E14" w:rsidP="002D52C6">
            <w:pPr>
              <w:pStyle w:val="Tabletext"/>
              <w:keepNext/>
              <w:jc w:val="center"/>
            </w:pPr>
            <w:r w:rsidRPr="00187A44">
              <w:t>5795</w:t>
            </w:r>
          </w:p>
        </w:tc>
        <w:tc>
          <w:tcPr>
            <w:tcW w:w="1331" w:type="dxa"/>
          </w:tcPr>
          <w:p w14:paraId="19109D3E" w14:textId="77777777" w:rsidR="003C2E14" w:rsidRPr="00187A44" w:rsidRDefault="003C2E14" w:rsidP="002D52C6">
            <w:pPr>
              <w:pStyle w:val="Tabletext"/>
              <w:keepNext/>
              <w:jc w:val="center"/>
            </w:pPr>
            <w:r w:rsidRPr="00187A44">
              <w:t>6214</w:t>
            </w:r>
          </w:p>
        </w:tc>
        <w:tc>
          <w:tcPr>
            <w:tcW w:w="1332" w:type="dxa"/>
          </w:tcPr>
          <w:p w14:paraId="2D6D0D12" w14:textId="77777777" w:rsidR="003C2E14" w:rsidRPr="00187A44" w:rsidRDefault="003C2E14" w:rsidP="002D52C6">
            <w:pPr>
              <w:pStyle w:val="Tabletext"/>
              <w:keepNext/>
              <w:jc w:val="center"/>
            </w:pPr>
            <w:r w:rsidRPr="00187A44">
              <w:t>6479</w:t>
            </w:r>
          </w:p>
        </w:tc>
        <w:tc>
          <w:tcPr>
            <w:tcW w:w="1331" w:type="dxa"/>
          </w:tcPr>
          <w:p w14:paraId="4B9B3232" w14:textId="77777777" w:rsidR="003C2E14" w:rsidRPr="00187A44" w:rsidRDefault="003C2E14" w:rsidP="002D52C6">
            <w:pPr>
              <w:pStyle w:val="Tabletext"/>
              <w:keepNext/>
              <w:jc w:val="center"/>
            </w:pPr>
            <w:r w:rsidRPr="00187A44">
              <w:t>6773</w:t>
            </w:r>
          </w:p>
        </w:tc>
        <w:tc>
          <w:tcPr>
            <w:tcW w:w="1338" w:type="dxa"/>
          </w:tcPr>
          <w:p w14:paraId="1BE18D05" w14:textId="77777777" w:rsidR="003C2E14" w:rsidRPr="00187A44" w:rsidRDefault="003C2E14" w:rsidP="002D52C6">
            <w:pPr>
              <w:pStyle w:val="Tabletext"/>
              <w:keepNext/>
              <w:jc w:val="center"/>
            </w:pPr>
            <w:r w:rsidRPr="00187A44">
              <w:t>7322</w:t>
            </w:r>
          </w:p>
        </w:tc>
      </w:tr>
      <w:tr w:rsidR="003C2E14" w:rsidRPr="008A00ED" w14:paraId="0B3F5356" w14:textId="77777777" w:rsidTr="002D52C6">
        <w:tc>
          <w:tcPr>
            <w:tcW w:w="2406" w:type="dxa"/>
            <w:vAlign w:val="center"/>
          </w:tcPr>
          <w:p w14:paraId="0D0C2A97" w14:textId="77777777" w:rsidR="003C2E14" w:rsidRPr="00094232" w:rsidRDefault="003C2E14" w:rsidP="002D52C6">
            <w:pPr>
              <w:pStyle w:val="Tabletext"/>
              <w:keepNext/>
            </w:pPr>
            <w:r w:rsidRPr="00094232">
              <w:t xml:space="preserve">Total cost to MBS  - </w:t>
            </w:r>
            <w:r>
              <w:t>Population A</w:t>
            </w:r>
          </w:p>
        </w:tc>
        <w:tc>
          <w:tcPr>
            <w:tcW w:w="1331" w:type="dxa"/>
            <w:vAlign w:val="center"/>
          </w:tcPr>
          <w:p w14:paraId="26CA9B6E" w14:textId="77777777" w:rsidR="003C2E14" w:rsidRPr="00187A44" w:rsidRDefault="003C2E14" w:rsidP="002D52C6">
            <w:pPr>
              <w:pStyle w:val="Tabletext"/>
              <w:keepNext/>
              <w:jc w:val="center"/>
            </w:pPr>
            <w:r w:rsidRPr="00187A44">
              <w:t>$3,609,762</w:t>
            </w:r>
          </w:p>
        </w:tc>
        <w:tc>
          <w:tcPr>
            <w:tcW w:w="1331" w:type="dxa"/>
            <w:vAlign w:val="center"/>
          </w:tcPr>
          <w:p w14:paraId="45B983C2" w14:textId="77777777" w:rsidR="003C2E14" w:rsidRPr="00187A44" w:rsidRDefault="003C2E14" w:rsidP="002D52C6">
            <w:pPr>
              <w:pStyle w:val="Tabletext"/>
              <w:keepNext/>
              <w:jc w:val="center"/>
            </w:pPr>
            <w:r w:rsidRPr="00187A44">
              <w:t>$3,819,993</w:t>
            </w:r>
          </w:p>
        </w:tc>
        <w:tc>
          <w:tcPr>
            <w:tcW w:w="1332" w:type="dxa"/>
            <w:vAlign w:val="center"/>
          </w:tcPr>
          <w:p w14:paraId="7900772D" w14:textId="77777777" w:rsidR="003C2E14" w:rsidRPr="00187A44" w:rsidRDefault="003C2E14" w:rsidP="002D52C6">
            <w:pPr>
              <w:pStyle w:val="Tabletext"/>
              <w:keepNext/>
              <w:jc w:val="center"/>
            </w:pPr>
            <w:r w:rsidRPr="00187A44">
              <w:t>$3,957,164</w:t>
            </w:r>
          </w:p>
        </w:tc>
        <w:tc>
          <w:tcPr>
            <w:tcW w:w="1331" w:type="dxa"/>
            <w:vAlign w:val="center"/>
          </w:tcPr>
          <w:p w14:paraId="21E8E10D" w14:textId="77777777" w:rsidR="003C2E14" w:rsidRPr="00187A44" w:rsidRDefault="003C2E14" w:rsidP="002D52C6">
            <w:pPr>
              <w:pStyle w:val="Tabletext"/>
              <w:keepNext/>
              <w:jc w:val="center"/>
            </w:pPr>
            <w:r w:rsidRPr="00187A44">
              <w:t>$4,108,252</w:t>
            </w:r>
          </w:p>
        </w:tc>
        <w:tc>
          <w:tcPr>
            <w:tcW w:w="1338" w:type="dxa"/>
            <w:vAlign w:val="center"/>
          </w:tcPr>
          <w:p w14:paraId="7E0E722E" w14:textId="77777777" w:rsidR="003C2E14" w:rsidRPr="00187A44" w:rsidRDefault="003C2E14" w:rsidP="002D52C6">
            <w:pPr>
              <w:pStyle w:val="Tabletext"/>
              <w:keepNext/>
              <w:jc w:val="center"/>
            </w:pPr>
            <w:r w:rsidRPr="00187A44">
              <w:t>$4,382,116</w:t>
            </w:r>
          </w:p>
        </w:tc>
      </w:tr>
      <w:tr w:rsidR="003C2E14" w:rsidRPr="00332231" w14:paraId="01423761" w14:textId="77777777" w:rsidTr="002D52C6">
        <w:tc>
          <w:tcPr>
            <w:tcW w:w="2406" w:type="dxa"/>
            <w:tcBorders>
              <w:right w:val="nil"/>
            </w:tcBorders>
          </w:tcPr>
          <w:p w14:paraId="176CD134" w14:textId="77777777" w:rsidR="003C2E14" w:rsidRPr="00332231" w:rsidRDefault="003C2E14" w:rsidP="002D52C6">
            <w:pPr>
              <w:pStyle w:val="Tabletext"/>
              <w:keepNext/>
              <w:rPr>
                <w:b/>
              </w:rPr>
            </w:pPr>
            <w:r>
              <w:rPr>
                <w:b/>
              </w:rPr>
              <w:t>Population B</w:t>
            </w:r>
          </w:p>
        </w:tc>
        <w:tc>
          <w:tcPr>
            <w:tcW w:w="1331" w:type="dxa"/>
            <w:tcBorders>
              <w:left w:val="nil"/>
              <w:right w:val="nil"/>
            </w:tcBorders>
          </w:tcPr>
          <w:p w14:paraId="44A26BE4" w14:textId="77777777" w:rsidR="003C2E14" w:rsidRPr="00332231" w:rsidRDefault="003C2E14" w:rsidP="002D52C6">
            <w:pPr>
              <w:pStyle w:val="Tabletext"/>
              <w:keepNext/>
              <w:jc w:val="center"/>
              <w:rPr>
                <w:b/>
              </w:rPr>
            </w:pPr>
          </w:p>
        </w:tc>
        <w:tc>
          <w:tcPr>
            <w:tcW w:w="1331" w:type="dxa"/>
            <w:tcBorders>
              <w:left w:val="nil"/>
              <w:right w:val="nil"/>
            </w:tcBorders>
          </w:tcPr>
          <w:p w14:paraId="2611E5EB" w14:textId="77777777" w:rsidR="003C2E14" w:rsidRPr="00332231" w:rsidRDefault="003C2E14" w:rsidP="002D52C6">
            <w:pPr>
              <w:pStyle w:val="Tabletext"/>
              <w:keepNext/>
              <w:jc w:val="center"/>
              <w:rPr>
                <w:b/>
              </w:rPr>
            </w:pPr>
          </w:p>
        </w:tc>
        <w:tc>
          <w:tcPr>
            <w:tcW w:w="1332" w:type="dxa"/>
            <w:tcBorders>
              <w:left w:val="nil"/>
              <w:right w:val="nil"/>
            </w:tcBorders>
          </w:tcPr>
          <w:p w14:paraId="17AE24EA" w14:textId="77777777" w:rsidR="003C2E14" w:rsidRPr="00332231" w:rsidRDefault="003C2E14" w:rsidP="002D52C6">
            <w:pPr>
              <w:pStyle w:val="Tabletext"/>
              <w:keepNext/>
              <w:jc w:val="center"/>
              <w:rPr>
                <w:b/>
              </w:rPr>
            </w:pPr>
          </w:p>
        </w:tc>
        <w:tc>
          <w:tcPr>
            <w:tcW w:w="1331" w:type="dxa"/>
            <w:tcBorders>
              <w:left w:val="nil"/>
              <w:right w:val="nil"/>
            </w:tcBorders>
          </w:tcPr>
          <w:p w14:paraId="0ECAF5DC" w14:textId="77777777" w:rsidR="003C2E14" w:rsidRPr="00332231" w:rsidRDefault="003C2E14" w:rsidP="002D52C6">
            <w:pPr>
              <w:pStyle w:val="Tabletext"/>
              <w:keepNext/>
              <w:jc w:val="center"/>
              <w:rPr>
                <w:b/>
              </w:rPr>
            </w:pPr>
          </w:p>
        </w:tc>
        <w:tc>
          <w:tcPr>
            <w:tcW w:w="1338" w:type="dxa"/>
            <w:tcBorders>
              <w:left w:val="nil"/>
            </w:tcBorders>
          </w:tcPr>
          <w:p w14:paraId="1B46AC07" w14:textId="77777777" w:rsidR="003C2E14" w:rsidRPr="00332231" w:rsidRDefault="003C2E14" w:rsidP="002D52C6">
            <w:pPr>
              <w:pStyle w:val="Tabletext"/>
              <w:keepNext/>
              <w:jc w:val="center"/>
              <w:rPr>
                <w:b/>
              </w:rPr>
            </w:pPr>
          </w:p>
        </w:tc>
      </w:tr>
      <w:tr w:rsidR="003C2E14" w:rsidRPr="009F7DC2" w14:paraId="002BF357" w14:textId="77777777" w:rsidTr="002D52C6">
        <w:tc>
          <w:tcPr>
            <w:tcW w:w="2406" w:type="dxa"/>
          </w:tcPr>
          <w:p w14:paraId="64532581" w14:textId="77777777" w:rsidR="003C2E14" w:rsidRPr="00572927" w:rsidRDefault="003C2E14" w:rsidP="002D52C6">
            <w:pPr>
              <w:pStyle w:val="Tabletext"/>
              <w:keepNext/>
            </w:pPr>
            <w:r w:rsidRPr="00572927">
              <w:t xml:space="preserve">Number of services </w:t>
            </w:r>
          </w:p>
        </w:tc>
        <w:tc>
          <w:tcPr>
            <w:tcW w:w="1331" w:type="dxa"/>
          </w:tcPr>
          <w:p w14:paraId="64D2B894" w14:textId="77777777" w:rsidR="003C2E14" w:rsidRPr="00D057D0" w:rsidRDefault="003C2E14" w:rsidP="002D52C6">
            <w:pPr>
              <w:pStyle w:val="Tabletext"/>
              <w:keepNext/>
              <w:jc w:val="center"/>
            </w:pPr>
            <w:r w:rsidRPr="00D057D0">
              <w:t>209</w:t>
            </w:r>
          </w:p>
        </w:tc>
        <w:tc>
          <w:tcPr>
            <w:tcW w:w="1331" w:type="dxa"/>
          </w:tcPr>
          <w:p w14:paraId="02FFEE98" w14:textId="77777777" w:rsidR="003C2E14" w:rsidRPr="00D057D0" w:rsidRDefault="003C2E14" w:rsidP="002D52C6">
            <w:pPr>
              <w:pStyle w:val="Tabletext"/>
              <w:keepNext/>
              <w:jc w:val="center"/>
            </w:pPr>
            <w:r w:rsidRPr="00D057D0">
              <w:t>215</w:t>
            </w:r>
          </w:p>
        </w:tc>
        <w:tc>
          <w:tcPr>
            <w:tcW w:w="1332" w:type="dxa"/>
          </w:tcPr>
          <w:p w14:paraId="2F70F51E" w14:textId="77777777" w:rsidR="003C2E14" w:rsidRPr="00D057D0" w:rsidRDefault="003C2E14" w:rsidP="002D52C6">
            <w:pPr>
              <w:pStyle w:val="Tabletext"/>
              <w:keepNext/>
              <w:jc w:val="center"/>
            </w:pPr>
            <w:r w:rsidRPr="00D057D0">
              <w:t>222</w:t>
            </w:r>
          </w:p>
        </w:tc>
        <w:tc>
          <w:tcPr>
            <w:tcW w:w="1331" w:type="dxa"/>
          </w:tcPr>
          <w:p w14:paraId="1B7846B6" w14:textId="77777777" w:rsidR="003C2E14" w:rsidRPr="00D057D0" w:rsidRDefault="003C2E14" w:rsidP="002D52C6">
            <w:pPr>
              <w:pStyle w:val="Tabletext"/>
              <w:keepNext/>
              <w:jc w:val="center"/>
            </w:pPr>
            <w:r w:rsidRPr="00D057D0">
              <w:t>228</w:t>
            </w:r>
          </w:p>
        </w:tc>
        <w:tc>
          <w:tcPr>
            <w:tcW w:w="1338" w:type="dxa"/>
          </w:tcPr>
          <w:p w14:paraId="703D712E" w14:textId="77777777" w:rsidR="003C2E14" w:rsidRPr="00D057D0" w:rsidRDefault="003C2E14" w:rsidP="002D52C6">
            <w:pPr>
              <w:pStyle w:val="Tabletext"/>
              <w:keepNext/>
              <w:jc w:val="center"/>
            </w:pPr>
            <w:r w:rsidRPr="00D057D0">
              <w:t>235</w:t>
            </w:r>
          </w:p>
        </w:tc>
      </w:tr>
      <w:tr w:rsidR="003C2E14" w:rsidRPr="00332231" w14:paraId="5D27184B" w14:textId="77777777" w:rsidTr="002D52C6">
        <w:tc>
          <w:tcPr>
            <w:tcW w:w="2406" w:type="dxa"/>
          </w:tcPr>
          <w:p w14:paraId="31230D60" w14:textId="77777777" w:rsidR="003C2E14" w:rsidRPr="00094232" w:rsidRDefault="003C2E14" w:rsidP="002D52C6">
            <w:pPr>
              <w:pStyle w:val="Tabletext"/>
              <w:keepNext/>
            </w:pPr>
            <w:r w:rsidRPr="00094232">
              <w:t>Total cost to MBS</w:t>
            </w:r>
          </w:p>
        </w:tc>
        <w:tc>
          <w:tcPr>
            <w:tcW w:w="1331" w:type="dxa"/>
          </w:tcPr>
          <w:p w14:paraId="28C4DB44" w14:textId="77777777" w:rsidR="003C2E14" w:rsidRPr="00187A44" w:rsidRDefault="003C2E14" w:rsidP="002D52C6">
            <w:pPr>
              <w:pStyle w:val="Tabletext"/>
              <w:keepNext/>
              <w:jc w:val="center"/>
            </w:pPr>
            <w:r w:rsidRPr="00187A44">
              <w:t>$24,819</w:t>
            </w:r>
          </w:p>
        </w:tc>
        <w:tc>
          <w:tcPr>
            <w:tcW w:w="1331" w:type="dxa"/>
          </w:tcPr>
          <w:p w14:paraId="231C9B31" w14:textId="77777777" w:rsidR="003C2E14" w:rsidRPr="00187A44" w:rsidRDefault="003C2E14" w:rsidP="002D52C6">
            <w:pPr>
              <w:pStyle w:val="Tabletext"/>
              <w:keepNext/>
              <w:jc w:val="center"/>
            </w:pPr>
            <w:r w:rsidRPr="00187A44">
              <w:t>$25,564</w:t>
            </w:r>
          </w:p>
        </w:tc>
        <w:tc>
          <w:tcPr>
            <w:tcW w:w="1332" w:type="dxa"/>
          </w:tcPr>
          <w:p w14:paraId="1B7A7853" w14:textId="77777777" w:rsidR="003C2E14" w:rsidRPr="00187A44" w:rsidRDefault="003C2E14" w:rsidP="002D52C6">
            <w:pPr>
              <w:pStyle w:val="Tabletext"/>
              <w:keepNext/>
              <w:jc w:val="center"/>
            </w:pPr>
            <w:r w:rsidRPr="00187A44">
              <w:t>$26,331</w:t>
            </w:r>
          </w:p>
        </w:tc>
        <w:tc>
          <w:tcPr>
            <w:tcW w:w="1331" w:type="dxa"/>
          </w:tcPr>
          <w:p w14:paraId="4466D39B" w14:textId="77777777" w:rsidR="003C2E14" w:rsidRPr="00187A44" w:rsidRDefault="003C2E14" w:rsidP="002D52C6">
            <w:pPr>
              <w:pStyle w:val="Tabletext"/>
              <w:keepNext/>
              <w:jc w:val="center"/>
            </w:pPr>
            <w:r w:rsidRPr="00187A44">
              <w:t>$27,120</w:t>
            </w:r>
          </w:p>
        </w:tc>
        <w:tc>
          <w:tcPr>
            <w:tcW w:w="1338" w:type="dxa"/>
          </w:tcPr>
          <w:p w14:paraId="37D0B7C7" w14:textId="77777777" w:rsidR="003C2E14" w:rsidRPr="00187A44" w:rsidRDefault="003C2E14" w:rsidP="002D52C6">
            <w:pPr>
              <w:pStyle w:val="Tabletext"/>
              <w:keepNext/>
              <w:jc w:val="center"/>
            </w:pPr>
            <w:r w:rsidRPr="00187A44">
              <w:t>$27,934</w:t>
            </w:r>
          </w:p>
        </w:tc>
      </w:tr>
      <w:tr w:rsidR="003C2E14" w:rsidRPr="00332231" w14:paraId="0EB88292" w14:textId="77777777" w:rsidTr="002D52C6">
        <w:tc>
          <w:tcPr>
            <w:tcW w:w="2406" w:type="dxa"/>
            <w:tcBorders>
              <w:right w:val="nil"/>
            </w:tcBorders>
          </w:tcPr>
          <w:p w14:paraId="3FDBEEA1" w14:textId="77777777" w:rsidR="003C2E14" w:rsidRDefault="003C2E14" w:rsidP="002D52C6">
            <w:pPr>
              <w:pStyle w:val="Tabletext"/>
              <w:keepNext/>
              <w:rPr>
                <w:b/>
              </w:rPr>
            </w:pPr>
            <w:r>
              <w:rPr>
                <w:b/>
              </w:rPr>
              <w:t>Totals for Population A+B</w:t>
            </w:r>
          </w:p>
        </w:tc>
        <w:tc>
          <w:tcPr>
            <w:tcW w:w="1331" w:type="dxa"/>
            <w:tcBorders>
              <w:left w:val="nil"/>
              <w:right w:val="nil"/>
            </w:tcBorders>
          </w:tcPr>
          <w:p w14:paraId="735E7A37" w14:textId="77777777" w:rsidR="003C2E14" w:rsidRPr="009F7DC2" w:rsidRDefault="003C2E14" w:rsidP="002D52C6">
            <w:pPr>
              <w:pStyle w:val="Tabletext"/>
              <w:keepNext/>
              <w:jc w:val="center"/>
              <w:rPr>
                <w:b/>
              </w:rPr>
            </w:pPr>
          </w:p>
        </w:tc>
        <w:tc>
          <w:tcPr>
            <w:tcW w:w="1331" w:type="dxa"/>
            <w:tcBorders>
              <w:left w:val="nil"/>
              <w:right w:val="nil"/>
            </w:tcBorders>
          </w:tcPr>
          <w:p w14:paraId="0A83871F" w14:textId="77777777" w:rsidR="003C2E14" w:rsidRPr="009F7DC2" w:rsidRDefault="003C2E14" w:rsidP="002D52C6">
            <w:pPr>
              <w:pStyle w:val="Tabletext"/>
              <w:keepNext/>
              <w:jc w:val="center"/>
              <w:rPr>
                <w:b/>
              </w:rPr>
            </w:pPr>
          </w:p>
        </w:tc>
        <w:tc>
          <w:tcPr>
            <w:tcW w:w="1332" w:type="dxa"/>
            <w:tcBorders>
              <w:left w:val="nil"/>
              <w:right w:val="nil"/>
            </w:tcBorders>
          </w:tcPr>
          <w:p w14:paraId="72E35C8B" w14:textId="77777777" w:rsidR="003C2E14" w:rsidRPr="009F7DC2" w:rsidRDefault="003C2E14" w:rsidP="002D52C6">
            <w:pPr>
              <w:pStyle w:val="Tabletext"/>
              <w:keepNext/>
              <w:jc w:val="center"/>
              <w:rPr>
                <w:b/>
              </w:rPr>
            </w:pPr>
          </w:p>
        </w:tc>
        <w:tc>
          <w:tcPr>
            <w:tcW w:w="1331" w:type="dxa"/>
            <w:tcBorders>
              <w:left w:val="nil"/>
              <w:right w:val="nil"/>
            </w:tcBorders>
          </w:tcPr>
          <w:p w14:paraId="176227C0" w14:textId="77777777" w:rsidR="003C2E14" w:rsidRPr="009F7DC2" w:rsidRDefault="003C2E14" w:rsidP="002D52C6">
            <w:pPr>
              <w:pStyle w:val="Tabletext"/>
              <w:keepNext/>
              <w:jc w:val="center"/>
              <w:rPr>
                <w:b/>
              </w:rPr>
            </w:pPr>
          </w:p>
        </w:tc>
        <w:tc>
          <w:tcPr>
            <w:tcW w:w="1338" w:type="dxa"/>
            <w:tcBorders>
              <w:left w:val="nil"/>
            </w:tcBorders>
          </w:tcPr>
          <w:p w14:paraId="2B9BAFEB" w14:textId="77777777" w:rsidR="003C2E14" w:rsidRPr="009F7DC2" w:rsidRDefault="003C2E14" w:rsidP="002D52C6">
            <w:pPr>
              <w:pStyle w:val="Tabletext"/>
              <w:keepNext/>
              <w:jc w:val="center"/>
              <w:rPr>
                <w:b/>
              </w:rPr>
            </w:pPr>
          </w:p>
        </w:tc>
      </w:tr>
      <w:tr w:rsidR="003C2E14" w:rsidRPr="00332231" w14:paraId="00D0E4B0" w14:textId="77777777" w:rsidTr="002D52C6">
        <w:tc>
          <w:tcPr>
            <w:tcW w:w="2406" w:type="dxa"/>
          </w:tcPr>
          <w:p w14:paraId="5775D75B" w14:textId="77777777" w:rsidR="003C2E14" w:rsidRDefault="003C2E14" w:rsidP="002D52C6">
            <w:pPr>
              <w:pStyle w:val="Tabletext"/>
              <w:keepNext/>
              <w:rPr>
                <w:b/>
              </w:rPr>
            </w:pPr>
            <w:r>
              <w:rPr>
                <w:b/>
              </w:rPr>
              <w:t xml:space="preserve">Total services </w:t>
            </w:r>
          </w:p>
        </w:tc>
        <w:tc>
          <w:tcPr>
            <w:tcW w:w="1331" w:type="dxa"/>
          </w:tcPr>
          <w:p w14:paraId="5ED3A05D" w14:textId="77777777" w:rsidR="003C2E14" w:rsidRPr="00D057D0" w:rsidRDefault="003C2E14" w:rsidP="002D52C6">
            <w:pPr>
              <w:pStyle w:val="Tabletext"/>
              <w:keepNext/>
              <w:jc w:val="center"/>
              <w:rPr>
                <w:b/>
              </w:rPr>
            </w:pPr>
            <w:r w:rsidRPr="00D057D0">
              <w:rPr>
                <w:b/>
              </w:rPr>
              <w:t>6004</w:t>
            </w:r>
          </w:p>
        </w:tc>
        <w:tc>
          <w:tcPr>
            <w:tcW w:w="1331" w:type="dxa"/>
          </w:tcPr>
          <w:p w14:paraId="77BBF59C" w14:textId="77777777" w:rsidR="003C2E14" w:rsidRPr="00D057D0" w:rsidRDefault="003C2E14" w:rsidP="002D52C6">
            <w:pPr>
              <w:pStyle w:val="Tabletext"/>
              <w:keepNext/>
              <w:jc w:val="center"/>
              <w:rPr>
                <w:b/>
              </w:rPr>
            </w:pPr>
            <w:r w:rsidRPr="00D057D0">
              <w:rPr>
                <w:b/>
              </w:rPr>
              <w:t>6429</w:t>
            </w:r>
          </w:p>
        </w:tc>
        <w:tc>
          <w:tcPr>
            <w:tcW w:w="1332" w:type="dxa"/>
          </w:tcPr>
          <w:p w14:paraId="00CA5C1C" w14:textId="77777777" w:rsidR="003C2E14" w:rsidRPr="00D057D0" w:rsidRDefault="003C2E14" w:rsidP="002D52C6">
            <w:pPr>
              <w:pStyle w:val="Tabletext"/>
              <w:keepNext/>
              <w:jc w:val="center"/>
              <w:rPr>
                <w:b/>
              </w:rPr>
            </w:pPr>
            <w:r w:rsidRPr="00D057D0">
              <w:rPr>
                <w:b/>
              </w:rPr>
              <w:t>6701</w:t>
            </w:r>
          </w:p>
        </w:tc>
        <w:tc>
          <w:tcPr>
            <w:tcW w:w="1331" w:type="dxa"/>
          </w:tcPr>
          <w:p w14:paraId="6E3C4A27" w14:textId="77777777" w:rsidR="003C2E14" w:rsidRPr="00D057D0" w:rsidRDefault="003C2E14" w:rsidP="002D52C6">
            <w:pPr>
              <w:pStyle w:val="Tabletext"/>
              <w:keepNext/>
              <w:jc w:val="center"/>
              <w:rPr>
                <w:b/>
              </w:rPr>
            </w:pPr>
            <w:r w:rsidRPr="00D057D0">
              <w:rPr>
                <w:b/>
              </w:rPr>
              <w:t>7001</w:t>
            </w:r>
          </w:p>
        </w:tc>
        <w:tc>
          <w:tcPr>
            <w:tcW w:w="1338" w:type="dxa"/>
          </w:tcPr>
          <w:p w14:paraId="19F5ABEA" w14:textId="77777777" w:rsidR="003C2E14" w:rsidRPr="00D057D0" w:rsidRDefault="003C2E14" w:rsidP="002D52C6">
            <w:pPr>
              <w:pStyle w:val="Tabletext"/>
              <w:keepNext/>
              <w:jc w:val="center"/>
              <w:rPr>
                <w:b/>
              </w:rPr>
            </w:pPr>
            <w:r w:rsidRPr="00D057D0">
              <w:rPr>
                <w:b/>
              </w:rPr>
              <w:t>7557</w:t>
            </w:r>
          </w:p>
        </w:tc>
      </w:tr>
      <w:tr w:rsidR="003C2E14" w:rsidRPr="00332231" w14:paraId="2261A0CE" w14:textId="77777777" w:rsidTr="002D52C6">
        <w:tc>
          <w:tcPr>
            <w:tcW w:w="2406" w:type="dxa"/>
          </w:tcPr>
          <w:p w14:paraId="68E1DBA6" w14:textId="77777777" w:rsidR="003C2E14" w:rsidRDefault="003C2E14" w:rsidP="002D52C6">
            <w:pPr>
              <w:pStyle w:val="Tabletext"/>
              <w:keepNext/>
              <w:rPr>
                <w:b/>
              </w:rPr>
            </w:pPr>
            <w:r>
              <w:rPr>
                <w:b/>
              </w:rPr>
              <w:t xml:space="preserve">Total costs </w:t>
            </w:r>
          </w:p>
        </w:tc>
        <w:tc>
          <w:tcPr>
            <w:tcW w:w="1331" w:type="dxa"/>
          </w:tcPr>
          <w:p w14:paraId="3BB4537C" w14:textId="77777777" w:rsidR="003C2E14" w:rsidRPr="00D057D0" w:rsidRDefault="003C2E14" w:rsidP="002D52C6">
            <w:pPr>
              <w:pStyle w:val="Tabletext"/>
              <w:keepNext/>
              <w:jc w:val="center"/>
              <w:rPr>
                <w:b/>
              </w:rPr>
            </w:pPr>
            <w:r w:rsidRPr="00D057D0">
              <w:rPr>
                <w:b/>
              </w:rPr>
              <w:t>$3,634,581</w:t>
            </w:r>
          </w:p>
        </w:tc>
        <w:tc>
          <w:tcPr>
            <w:tcW w:w="1331" w:type="dxa"/>
          </w:tcPr>
          <w:p w14:paraId="0FF39BBC" w14:textId="77777777" w:rsidR="003C2E14" w:rsidRPr="00D057D0" w:rsidRDefault="003C2E14" w:rsidP="002D52C6">
            <w:pPr>
              <w:pStyle w:val="Tabletext"/>
              <w:keepNext/>
              <w:jc w:val="center"/>
              <w:rPr>
                <w:b/>
              </w:rPr>
            </w:pPr>
            <w:r w:rsidRPr="00D057D0">
              <w:rPr>
                <w:b/>
              </w:rPr>
              <w:t>$3,845,557</w:t>
            </w:r>
          </w:p>
        </w:tc>
        <w:tc>
          <w:tcPr>
            <w:tcW w:w="1332" w:type="dxa"/>
          </w:tcPr>
          <w:p w14:paraId="0FAA2D0D" w14:textId="77777777" w:rsidR="003C2E14" w:rsidRPr="00D057D0" w:rsidRDefault="003C2E14" w:rsidP="002D52C6">
            <w:pPr>
              <w:pStyle w:val="Tabletext"/>
              <w:keepNext/>
              <w:jc w:val="center"/>
              <w:rPr>
                <w:b/>
              </w:rPr>
            </w:pPr>
            <w:r w:rsidRPr="00D057D0">
              <w:rPr>
                <w:b/>
              </w:rPr>
              <w:t>$3,983,495</w:t>
            </w:r>
          </w:p>
        </w:tc>
        <w:tc>
          <w:tcPr>
            <w:tcW w:w="1331" w:type="dxa"/>
          </w:tcPr>
          <w:p w14:paraId="0E8F1694" w14:textId="77777777" w:rsidR="003C2E14" w:rsidRPr="00D057D0" w:rsidRDefault="003C2E14" w:rsidP="002D52C6">
            <w:pPr>
              <w:pStyle w:val="Tabletext"/>
              <w:keepNext/>
              <w:jc w:val="center"/>
              <w:rPr>
                <w:b/>
              </w:rPr>
            </w:pPr>
            <w:r w:rsidRPr="00D057D0">
              <w:rPr>
                <w:b/>
              </w:rPr>
              <w:t>$4,135,372</w:t>
            </w:r>
          </w:p>
        </w:tc>
        <w:tc>
          <w:tcPr>
            <w:tcW w:w="1338" w:type="dxa"/>
          </w:tcPr>
          <w:p w14:paraId="2261F0DA" w14:textId="77777777" w:rsidR="003C2E14" w:rsidRPr="00D057D0" w:rsidRDefault="003C2E14" w:rsidP="002D52C6">
            <w:pPr>
              <w:pStyle w:val="Tabletext"/>
              <w:keepNext/>
              <w:jc w:val="center"/>
              <w:rPr>
                <w:b/>
              </w:rPr>
            </w:pPr>
            <w:r w:rsidRPr="00D057D0">
              <w:rPr>
                <w:b/>
              </w:rPr>
              <w:t>$4,410,050</w:t>
            </w:r>
          </w:p>
        </w:tc>
      </w:tr>
    </w:tbl>
    <w:p w14:paraId="1662CEDD" w14:textId="77777777" w:rsidR="003C2E14" w:rsidRDefault="003C2E14" w:rsidP="003C2E14">
      <w:pPr>
        <w:pStyle w:val="Tablenotes1"/>
      </w:pPr>
      <w:r>
        <w:t>Source: Table 98, p216 of the DCAR.</w:t>
      </w:r>
    </w:p>
    <w:p w14:paraId="723B7A29" w14:textId="10267B26" w:rsidR="00CD3AD3" w:rsidRPr="00CD3AD3" w:rsidRDefault="003C2E14">
      <w:r>
        <w:t xml:space="preserve">For implications to other Government Budgets, the DCAR estimated that there are likely to be cost savings to the PBS from the reduction in the use of analgesia for long-term chronic pain specific to the PMPS subpopulation. The DCAR assumed pregabalin 300 mg/day would be </w:t>
      </w:r>
      <w:r w:rsidRPr="003173DE">
        <w:t>the recom</w:t>
      </w:r>
      <w:r>
        <w:t>mended pain treatment regimen (first-</w:t>
      </w:r>
      <w:r w:rsidRPr="003173DE">
        <w:t>line)</w:t>
      </w:r>
      <w:r>
        <w:t xml:space="preserve"> as it was the predominate use analgesic in the</w:t>
      </w:r>
      <w:r w:rsidRPr="003173DE">
        <w:t xml:space="preserve"> </w:t>
      </w:r>
      <w:r>
        <w:t>systematic review and meta-analyses by</w:t>
      </w:r>
      <w:r w:rsidRPr="003173DE">
        <w:t xml:space="preserve"> Finnerup </w:t>
      </w:r>
      <w:r>
        <w:t>(</w:t>
      </w:r>
      <w:r w:rsidRPr="003173DE">
        <w:t>2015</w:t>
      </w:r>
      <w:r>
        <w:t>)</w:t>
      </w:r>
      <w:r w:rsidRPr="003173DE">
        <w:t xml:space="preserve"> and Tait</w:t>
      </w:r>
      <w:r>
        <w:t xml:space="preserve"> (</w:t>
      </w:r>
      <w:r w:rsidRPr="003173DE">
        <w:t>2018</w:t>
      </w:r>
      <w:r>
        <w:t>)</w:t>
      </w:r>
      <w:r w:rsidRPr="003173DE">
        <w:t xml:space="preserve">. </w:t>
      </w:r>
      <w:r>
        <w:t>However, the DACR noted combination therapies</w:t>
      </w:r>
      <w:r w:rsidRPr="003173DE">
        <w:t xml:space="preserve"> (i</w:t>
      </w:r>
      <w:r>
        <w:t>.</w:t>
      </w:r>
      <w:r w:rsidRPr="003173DE">
        <w:t>e. other anti-depressants, opioids)</w:t>
      </w:r>
      <w:r>
        <w:t xml:space="preserve"> were also used and excluding</w:t>
      </w:r>
      <w:r w:rsidRPr="003173DE">
        <w:t xml:space="preserve"> these costs may underestimate the substitution of AFG for analgesia</w:t>
      </w:r>
      <w:r>
        <w:t xml:space="preserve">. The DCAR noted assuming </w:t>
      </w:r>
      <w:r w:rsidRPr="004D69D4">
        <w:t>300</w:t>
      </w:r>
      <w:r>
        <w:t> </w:t>
      </w:r>
      <w:r w:rsidRPr="004D69D4">
        <w:t>mg</w:t>
      </w:r>
      <w:r>
        <w:t xml:space="preserve"> of pregabalin a day, savings to the PBS were assessed as $525K in Year 1 increasing to $942K in Year 5 after co-payment</w:t>
      </w:r>
      <w:r w:rsidR="00CD3AD3">
        <w:t>s are accounted for (</w:t>
      </w:r>
      <w:r w:rsidR="00EF74CD">
        <w:fldChar w:fldCharType="begin"/>
      </w:r>
      <w:r w:rsidR="00EF74CD">
        <w:instrText xml:space="preserve"> REF _Ref50012847 \h </w:instrText>
      </w:r>
      <w:r w:rsidR="00EF74CD">
        <w:fldChar w:fldCharType="separate"/>
      </w:r>
      <w:r w:rsidR="00EF74CD" w:rsidRPr="00EF74CD">
        <w:t>Table</w:t>
      </w:r>
      <w:r w:rsidR="00EF74CD">
        <w:t> </w:t>
      </w:r>
      <w:r w:rsidR="00EF74CD" w:rsidRPr="00EF74CD">
        <w:rPr>
          <w:noProof/>
        </w:rPr>
        <w:t>15</w:t>
      </w:r>
      <w:r w:rsidR="00EF74CD">
        <w:fldChar w:fldCharType="end"/>
      </w:r>
      <w:r w:rsidR="00CD3AD3">
        <w:t>).</w:t>
      </w:r>
      <w:bookmarkStart w:id="45" w:name="_Ref37742404"/>
      <w:bookmarkStart w:id="46" w:name="_Toc37815183"/>
      <w:r w:rsidR="00CD3AD3">
        <w:br w:type="page"/>
      </w:r>
    </w:p>
    <w:p w14:paraId="01EC946C" w14:textId="55A6D8B1" w:rsidR="003C2E14" w:rsidRPr="002F2AEA" w:rsidRDefault="00EF74CD" w:rsidP="002F2AEA">
      <w:pPr>
        <w:rPr>
          <w:rFonts w:ascii="Arial Narrow" w:hAnsi="Arial Narrow"/>
          <w:b/>
          <w:sz w:val="20"/>
        </w:rPr>
      </w:pPr>
      <w:bookmarkStart w:id="47" w:name="_Ref50012847"/>
      <w:r w:rsidRPr="002F2AEA">
        <w:rPr>
          <w:rFonts w:ascii="Arial Narrow" w:hAnsi="Arial Narrow"/>
          <w:b/>
          <w:sz w:val="20"/>
        </w:rPr>
        <w:lastRenderedPageBreak/>
        <w:t xml:space="preserve">Table </w:t>
      </w:r>
      <w:r w:rsidR="002E3DBE" w:rsidRPr="002F2AEA">
        <w:rPr>
          <w:rFonts w:ascii="Arial Narrow" w:hAnsi="Arial Narrow"/>
          <w:b/>
          <w:sz w:val="20"/>
        </w:rPr>
        <w:fldChar w:fldCharType="begin"/>
      </w:r>
      <w:r w:rsidR="002E3DBE" w:rsidRPr="002F2AEA">
        <w:rPr>
          <w:rFonts w:ascii="Arial Narrow" w:hAnsi="Arial Narrow"/>
          <w:b/>
          <w:sz w:val="20"/>
        </w:rPr>
        <w:instrText xml:space="preserve"> SEQ Table \* ARABIC </w:instrText>
      </w:r>
      <w:r w:rsidR="002E3DBE" w:rsidRPr="002F2AEA">
        <w:rPr>
          <w:rFonts w:ascii="Arial Narrow" w:hAnsi="Arial Narrow"/>
          <w:b/>
          <w:sz w:val="20"/>
        </w:rPr>
        <w:fldChar w:fldCharType="separate"/>
      </w:r>
      <w:r w:rsidRPr="002F2AEA">
        <w:rPr>
          <w:rFonts w:ascii="Arial Narrow" w:hAnsi="Arial Narrow"/>
          <w:b/>
          <w:sz w:val="20"/>
        </w:rPr>
        <w:t>15</w:t>
      </w:r>
      <w:r w:rsidR="002E3DBE" w:rsidRPr="002F2AEA">
        <w:rPr>
          <w:rFonts w:ascii="Arial Narrow" w:hAnsi="Arial Narrow"/>
          <w:b/>
          <w:sz w:val="20"/>
        </w:rPr>
        <w:fldChar w:fldCharType="end"/>
      </w:r>
      <w:bookmarkEnd w:id="45"/>
      <w:bookmarkEnd w:id="47"/>
      <w:r w:rsidR="003C2E14" w:rsidRPr="002F2AEA">
        <w:rPr>
          <w:rFonts w:ascii="Arial Narrow" w:hAnsi="Arial Narrow"/>
          <w:b/>
          <w:sz w:val="20"/>
        </w:rPr>
        <w:tab/>
        <w:t>Implications for other government budgets (PBS) for PMPS</w:t>
      </w:r>
      <w:bookmarkEnd w:id="46"/>
      <w:r w:rsidR="003C2E14" w:rsidRPr="002F2AEA">
        <w:rPr>
          <w:rFonts w:ascii="Arial Narrow" w:hAnsi="Arial Narrow"/>
          <w:b/>
          <w:sz w:val="20"/>
        </w:rPr>
        <w:t xml:space="preserve"> subpopulation</w:t>
      </w:r>
    </w:p>
    <w:tbl>
      <w:tblPr>
        <w:tblStyle w:val="TableGrid1"/>
        <w:tblW w:w="8926" w:type="dxa"/>
        <w:tblLayout w:type="fixed"/>
        <w:tblCellMar>
          <w:left w:w="28" w:type="dxa"/>
          <w:right w:w="28" w:type="dxa"/>
        </w:tblCellMar>
        <w:tblLook w:val="04A0" w:firstRow="1" w:lastRow="0" w:firstColumn="1" w:lastColumn="0" w:noHBand="0" w:noVBand="1"/>
        <w:tblCaption w:val="Implications for other government budgets (PBS) for Population A4"/>
        <w:tblDescription w:val="Implications for other government budgets (PBS) for Population A4"/>
      </w:tblPr>
      <w:tblGrid>
        <w:gridCol w:w="2122"/>
        <w:gridCol w:w="992"/>
        <w:gridCol w:w="1162"/>
        <w:gridCol w:w="1162"/>
        <w:gridCol w:w="1163"/>
        <w:gridCol w:w="1162"/>
        <w:gridCol w:w="1163"/>
      </w:tblGrid>
      <w:tr w:rsidR="003C2E14" w:rsidRPr="00A00972" w14:paraId="7FA761BE" w14:textId="77777777" w:rsidTr="002D52C6">
        <w:trPr>
          <w:cnfStyle w:val="100000000000" w:firstRow="1" w:lastRow="0" w:firstColumn="0" w:lastColumn="0" w:oddVBand="0" w:evenVBand="0" w:oddHBand="0" w:evenHBand="0" w:firstRowFirstColumn="0" w:firstRowLastColumn="0" w:lastRowFirstColumn="0" w:lastRowLastColumn="0"/>
          <w:tblHeader/>
        </w:trPr>
        <w:tc>
          <w:tcPr>
            <w:tcW w:w="2122" w:type="dxa"/>
            <w:vAlign w:val="bottom"/>
          </w:tcPr>
          <w:p w14:paraId="6C0699AC" w14:textId="77777777" w:rsidR="003C2E14" w:rsidRPr="00A00972" w:rsidRDefault="003C2E14" w:rsidP="002D52C6">
            <w:pPr>
              <w:pStyle w:val="Tabletext"/>
              <w:rPr>
                <w:b/>
              </w:rPr>
            </w:pPr>
            <w:r w:rsidRPr="00A00972">
              <w:rPr>
                <w:b/>
              </w:rPr>
              <w:t xml:space="preserve">Variable </w:t>
            </w:r>
          </w:p>
        </w:tc>
        <w:tc>
          <w:tcPr>
            <w:tcW w:w="992" w:type="dxa"/>
            <w:vAlign w:val="center"/>
          </w:tcPr>
          <w:p w14:paraId="54423C4B" w14:textId="77777777" w:rsidR="003C2E14" w:rsidRPr="00A00972" w:rsidRDefault="003C2E14" w:rsidP="002D52C6">
            <w:pPr>
              <w:pStyle w:val="Tabletext"/>
              <w:jc w:val="center"/>
              <w:rPr>
                <w:b/>
              </w:rPr>
            </w:pPr>
          </w:p>
        </w:tc>
        <w:tc>
          <w:tcPr>
            <w:tcW w:w="1162" w:type="dxa"/>
            <w:vAlign w:val="center"/>
          </w:tcPr>
          <w:p w14:paraId="0C0FEDE1" w14:textId="77777777" w:rsidR="003C2E14" w:rsidRPr="00A00972" w:rsidRDefault="003C2E14" w:rsidP="002D52C6">
            <w:pPr>
              <w:pStyle w:val="Tabletext"/>
              <w:jc w:val="center"/>
              <w:rPr>
                <w:b/>
              </w:rPr>
            </w:pPr>
            <w:r w:rsidRPr="00A00972">
              <w:rPr>
                <w:b/>
              </w:rPr>
              <w:t>2020-21</w:t>
            </w:r>
          </w:p>
          <w:p w14:paraId="5A25820A" w14:textId="77777777" w:rsidR="003C2E14" w:rsidRPr="00A00972" w:rsidRDefault="003C2E14" w:rsidP="002D52C6">
            <w:pPr>
              <w:pStyle w:val="Tabletext"/>
              <w:jc w:val="center"/>
              <w:rPr>
                <w:b/>
              </w:rPr>
            </w:pPr>
            <w:r w:rsidRPr="00A00972">
              <w:rPr>
                <w:b/>
              </w:rPr>
              <w:t>Year 1</w:t>
            </w:r>
          </w:p>
        </w:tc>
        <w:tc>
          <w:tcPr>
            <w:tcW w:w="1162" w:type="dxa"/>
            <w:vAlign w:val="center"/>
          </w:tcPr>
          <w:p w14:paraId="6BFAA767" w14:textId="77777777" w:rsidR="003C2E14" w:rsidRPr="00A00972" w:rsidRDefault="003C2E14" w:rsidP="002D52C6">
            <w:pPr>
              <w:pStyle w:val="Tabletext"/>
              <w:jc w:val="center"/>
              <w:rPr>
                <w:b/>
              </w:rPr>
            </w:pPr>
            <w:r w:rsidRPr="00A00972">
              <w:rPr>
                <w:b/>
              </w:rPr>
              <w:t>2021-22</w:t>
            </w:r>
          </w:p>
          <w:p w14:paraId="09F4F83B" w14:textId="77777777" w:rsidR="003C2E14" w:rsidRPr="00A00972" w:rsidRDefault="003C2E14" w:rsidP="002D52C6">
            <w:pPr>
              <w:pStyle w:val="Tabletext"/>
              <w:jc w:val="center"/>
              <w:rPr>
                <w:b/>
              </w:rPr>
            </w:pPr>
            <w:r w:rsidRPr="00A00972">
              <w:rPr>
                <w:b/>
              </w:rPr>
              <w:t>Year 2</w:t>
            </w:r>
          </w:p>
        </w:tc>
        <w:tc>
          <w:tcPr>
            <w:tcW w:w="1163" w:type="dxa"/>
            <w:vAlign w:val="center"/>
          </w:tcPr>
          <w:p w14:paraId="15E3B2CC" w14:textId="77777777" w:rsidR="003C2E14" w:rsidRPr="00A00972" w:rsidRDefault="003C2E14" w:rsidP="002D52C6">
            <w:pPr>
              <w:pStyle w:val="Tabletext"/>
              <w:jc w:val="center"/>
              <w:rPr>
                <w:b/>
              </w:rPr>
            </w:pPr>
            <w:r w:rsidRPr="00A00972">
              <w:rPr>
                <w:b/>
              </w:rPr>
              <w:t>2022-23</w:t>
            </w:r>
          </w:p>
          <w:p w14:paraId="5B4EFAE6" w14:textId="77777777" w:rsidR="003C2E14" w:rsidRPr="00A00972" w:rsidRDefault="003C2E14" w:rsidP="002D52C6">
            <w:pPr>
              <w:pStyle w:val="Tabletext"/>
              <w:jc w:val="center"/>
              <w:rPr>
                <w:b/>
              </w:rPr>
            </w:pPr>
            <w:r w:rsidRPr="00A00972">
              <w:rPr>
                <w:b/>
              </w:rPr>
              <w:t>Year 3</w:t>
            </w:r>
          </w:p>
        </w:tc>
        <w:tc>
          <w:tcPr>
            <w:tcW w:w="1162" w:type="dxa"/>
            <w:vAlign w:val="center"/>
          </w:tcPr>
          <w:p w14:paraId="7FFC2BA2" w14:textId="77777777" w:rsidR="003C2E14" w:rsidRPr="00A00972" w:rsidRDefault="003C2E14" w:rsidP="002D52C6">
            <w:pPr>
              <w:pStyle w:val="Tabletext"/>
              <w:jc w:val="center"/>
              <w:rPr>
                <w:b/>
              </w:rPr>
            </w:pPr>
            <w:r w:rsidRPr="00A00972">
              <w:rPr>
                <w:b/>
              </w:rPr>
              <w:t>2023-24</w:t>
            </w:r>
          </w:p>
          <w:p w14:paraId="0822DD24" w14:textId="77777777" w:rsidR="003C2E14" w:rsidRPr="00A00972" w:rsidRDefault="003C2E14" w:rsidP="002D52C6">
            <w:pPr>
              <w:pStyle w:val="Tabletext"/>
              <w:jc w:val="center"/>
              <w:rPr>
                <w:b/>
              </w:rPr>
            </w:pPr>
            <w:r w:rsidRPr="00A00972">
              <w:rPr>
                <w:b/>
              </w:rPr>
              <w:t>Year 4</w:t>
            </w:r>
          </w:p>
        </w:tc>
        <w:tc>
          <w:tcPr>
            <w:tcW w:w="1163" w:type="dxa"/>
            <w:vAlign w:val="center"/>
          </w:tcPr>
          <w:p w14:paraId="3C8A6826" w14:textId="77777777" w:rsidR="003C2E14" w:rsidRPr="00A00972" w:rsidRDefault="003C2E14" w:rsidP="002D52C6">
            <w:pPr>
              <w:pStyle w:val="Tabletext"/>
              <w:jc w:val="center"/>
              <w:rPr>
                <w:b/>
              </w:rPr>
            </w:pPr>
            <w:r w:rsidRPr="00A00972">
              <w:rPr>
                <w:b/>
              </w:rPr>
              <w:t>2024-25</w:t>
            </w:r>
          </w:p>
          <w:p w14:paraId="24CA4AE1" w14:textId="77777777" w:rsidR="003C2E14" w:rsidRPr="00A00972" w:rsidRDefault="003C2E14" w:rsidP="002D52C6">
            <w:pPr>
              <w:pStyle w:val="Tabletext"/>
              <w:jc w:val="center"/>
              <w:rPr>
                <w:b/>
              </w:rPr>
            </w:pPr>
            <w:r w:rsidRPr="00A00972">
              <w:rPr>
                <w:b/>
              </w:rPr>
              <w:t>Year 5</w:t>
            </w:r>
          </w:p>
        </w:tc>
      </w:tr>
      <w:tr w:rsidR="003C2E14" w14:paraId="73F5B09E" w14:textId="77777777" w:rsidTr="002D52C6">
        <w:tc>
          <w:tcPr>
            <w:tcW w:w="2122" w:type="dxa"/>
            <w:vAlign w:val="center"/>
          </w:tcPr>
          <w:p w14:paraId="535DA537" w14:textId="77777777" w:rsidR="003C2E14" w:rsidRDefault="003C2E14" w:rsidP="002D52C6">
            <w:pPr>
              <w:pStyle w:val="Tabletext"/>
            </w:pPr>
            <w:r>
              <w:t xml:space="preserve">Prevalence </w:t>
            </w:r>
          </w:p>
        </w:tc>
        <w:tc>
          <w:tcPr>
            <w:tcW w:w="992" w:type="dxa"/>
            <w:vAlign w:val="center"/>
          </w:tcPr>
          <w:p w14:paraId="4A981E19" w14:textId="77777777" w:rsidR="003C2E14" w:rsidRDefault="003C2E14" w:rsidP="002D52C6">
            <w:pPr>
              <w:pStyle w:val="Tabletext"/>
              <w:jc w:val="center"/>
            </w:pPr>
            <w:r>
              <w:t>A</w:t>
            </w:r>
          </w:p>
        </w:tc>
        <w:tc>
          <w:tcPr>
            <w:tcW w:w="1162" w:type="dxa"/>
            <w:vAlign w:val="center"/>
          </w:tcPr>
          <w:p w14:paraId="48C78D3B" w14:textId="77777777" w:rsidR="003C2E14" w:rsidRDefault="003C2E14" w:rsidP="002D52C6">
            <w:pPr>
              <w:pStyle w:val="Tabletext"/>
              <w:jc w:val="center"/>
            </w:pPr>
            <w:r>
              <w:t>71,943</w:t>
            </w:r>
          </w:p>
        </w:tc>
        <w:tc>
          <w:tcPr>
            <w:tcW w:w="1162" w:type="dxa"/>
            <w:vAlign w:val="center"/>
          </w:tcPr>
          <w:p w14:paraId="2A81FCB5" w14:textId="77777777" w:rsidR="003C2E14" w:rsidRDefault="003C2E14" w:rsidP="002D52C6">
            <w:pPr>
              <w:pStyle w:val="Tabletext"/>
              <w:jc w:val="center"/>
            </w:pPr>
            <w:r>
              <w:t>71,943</w:t>
            </w:r>
          </w:p>
        </w:tc>
        <w:tc>
          <w:tcPr>
            <w:tcW w:w="1163" w:type="dxa"/>
            <w:vAlign w:val="center"/>
          </w:tcPr>
          <w:p w14:paraId="57C87149" w14:textId="77777777" w:rsidR="003C2E14" w:rsidRDefault="003C2E14" w:rsidP="002D52C6">
            <w:pPr>
              <w:pStyle w:val="Tabletext"/>
              <w:jc w:val="center"/>
            </w:pPr>
            <w:r>
              <w:t>71,943</w:t>
            </w:r>
          </w:p>
        </w:tc>
        <w:tc>
          <w:tcPr>
            <w:tcW w:w="1162" w:type="dxa"/>
            <w:vAlign w:val="center"/>
          </w:tcPr>
          <w:p w14:paraId="3FAEECF0" w14:textId="77777777" w:rsidR="003C2E14" w:rsidRDefault="003C2E14" w:rsidP="002D52C6">
            <w:pPr>
              <w:pStyle w:val="Tabletext"/>
              <w:jc w:val="center"/>
            </w:pPr>
            <w:r>
              <w:t>71,943</w:t>
            </w:r>
          </w:p>
        </w:tc>
        <w:tc>
          <w:tcPr>
            <w:tcW w:w="1163" w:type="dxa"/>
            <w:vAlign w:val="center"/>
          </w:tcPr>
          <w:p w14:paraId="34C490D9" w14:textId="77777777" w:rsidR="003C2E14" w:rsidRDefault="003C2E14" w:rsidP="002D52C6">
            <w:pPr>
              <w:pStyle w:val="Tabletext"/>
              <w:jc w:val="center"/>
            </w:pPr>
            <w:r>
              <w:t>71,943</w:t>
            </w:r>
          </w:p>
        </w:tc>
      </w:tr>
      <w:tr w:rsidR="003C2E14" w14:paraId="2E2A157E" w14:textId="77777777" w:rsidTr="002D52C6">
        <w:tc>
          <w:tcPr>
            <w:tcW w:w="2122" w:type="dxa"/>
            <w:vAlign w:val="center"/>
          </w:tcPr>
          <w:p w14:paraId="33858ACB" w14:textId="77777777" w:rsidR="003C2E14" w:rsidRDefault="003C2E14" w:rsidP="002D52C6">
            <w:pPr>
              <w:pStyle w:val="Tabletext"/>
            </w:pPr>
            <w:r>
              <w:t xml:space="preserve">Incidence </w:t>
            </w:r>
          </w:p>
        </w:tc>
        <w:tc>
          <w:tcPr>
            <w:tcW w:w="992" w:type="dxa"/>
            <w:vAlign w:val="center"/>
          </w:tcPr>
          <w:p w14:paraId="252A6F14" w14:textId="77777777" w:rsidR="003C2E14" w:rsidRDefault="003C2E14" w:rsidP="002D52C6">
            <w:pPr>
              <w:pStyle w:val="Tabletext"/>
              <w:jc w:val="center"/>
            </w:pPr>
            <w:r>
              <w:t>B</w:t>
            </w:r>
          </w:p>
        </w:tc>
        <w:tc>
          <w:tcPr>
            <w:tcW w:w="1162" w:type="dxa"/>
            <w:vAlign w:val="center"/>
          </w:tcPr>
          <w:p w14:paraId="67F42A3B" w14:textId="77777777" w:rsidR="003C2E14" w:rsidRDefault="003C2E14" w:rsidP="002D52C6">
            <w:pPr>
              <w:pStyle w:val="Tabletext"/>
              <w:jc w:val="center"/>
            </w:pPr>
            <w:r>
              <w:t>19,371</w:t>
            </w:r>
          </w:p>
        </w:tc>
        <w:tc>
          <w:tcPr>
            <w:tcW w:w="1162" w:type="dxa"/>
            <w:vAlign w:val="center"/>
          </w:tcPr>
          <w:p w14:paraId="1D04FCB7" w14:textId="77777777" w:rsidR="003C2E14" w:rsidRDefault="003C2E14" w:rsidP="002D52C6">
            <w:pPr>
              <w:pStyle w:val="Tabletext"/>
              <w:jc w:val="center"/>
            </w:pPr>
            <w:r>
              <w:t>19,371</w:t>
            </w:r>
          </w:p>
        </w:tc>
        <w:tc>
          <w:tcPr>
            <w:tcW w:w="1163" w:type="dxa"/>
            <w:vAlign w:val="center"/>
          </w:tcPr>
          <w:p w14:paraId="635FC5CE" w14:textId="77777777" w:rsidR="003C2E14" w:rsidRDefault="003C2E14" w:rsidP="002D52C6">
            <w:pPr>
              <w:pStyle w:val="Tabletext"/>
              <w:jc w:val="center"/>
            </w:pPr>
            <w:r>
              <w:t>19,371</w:t>
            </w:r>
          </w:p>
        </w:tc>
        <w:tc>
          <w:tcPr>
            <w:tcW w:w="1162" w:type="dxa"/>
            <w:vAlign w:val="center"/>
          </w:tcPr>
          <w:p w14:paraId="6C345B0E" w14:textId="77777777" w:rsidR="003C2E14" w:rsidRDefault="003C2E14" w:rsidP="002D52C6">
            <w:pPr>
              <w:pStyle w:val="Tabletext"/>
              <w:jc w:val="center"/>
            </w:pPr>
            <w:r>
              <w:t>19,371</w:t>
            </w:r>
          </w:p>
        </w:tc>
        <w:tc>
          <w:tcPr>
            <w:tcW w:w="1163" w:type="dxa"/>
            <w:vAlign w:val="center"/>
          </w:tcPr>
          <w:p w14:paraId="2F962584" w14:textId="77777777" w:rsidR="003C2E14" w:rsidRDefault="003C2E14" w:rsidP="002D52C6">
            <w:pPr>
              <w:pStyle w:val="Tabletext"/>
              <w:jc w:val="center"/>
            </w:pPr>
            <w:r>
              <w:t>19,371</w:t>
            </w:r>
          </w:p>
        </w:tc>
      </w:tr>
      <w:tr w:rsidR="003C2E14" w14:paraId="5D8EE277" w14:textId="77777777" w:rsidTr="002D52C6">
        <w:tc>
          <w:tcPr>
            <w:tcW w:w="2122" w:type="dxa"/>
            <w:vAlign w:val="center"/>
          </w:tcPr>
          <w:p w14:paraId="1F8742C4" w14:textId="77777777" w:rsidR="003C2E14" w:rsidRDefault="003C2E14" w:rsidP="002D52C6">
            <w:pPr>
              <w:pStyle w:val="Tabletext"/>
            </w:pPr>
            <w:r>
              <w:t>% who have BCS</w:t>
            </w:r>
          </w:p>
        </w:tc>
        <w:tc>
          <w:tcPr>
            <w:tcW w:w="992" w:type="dxa"/>
            <w:vAlign w:val="center"/>
          </w:tcPr>
          <w:p w14:paraId="23191154" w14:textId="77777777" w:rsidR="003C2E14" w:rsidRDefault="003C2E14" w:rsidP="002D52C6">
            <w:pPr>
              <w:pStyle w:val="Tabletext"/>
              <w:jc w:val="center"/>
            </w:pPr>
            <w:r>
              <w:t>C</w:t>
            </w:r>
          </w:p>
        </w:tc>
        <w:tc>
          <w:tcPr>
            <w:tcW w:w="1162" w:type="dxa"/>
            <w:tcBorders>
              <w:right w:val="nil"/>
            </w:tcBorders>
            <w:vAlign w:val="center"/>
          </w:tcPr>
          <w:p w14:paraId="13BA78DE" w14:textId="77777777" w:rsidR="003C2E14" w:rsidRDefault="003C2E14" w:rsidP="002D52C6">
            <w:pPr>
              <w:pStyle w:val="Tabletext"/>
              <w:jc w:val="center"/>
            </w:pPr>
          </w:p>
        </w:tc>
        <w:tc>
          <w:tcPr>
            <w:tcW w:w="1162" w:type="dxa"/>
            <w:tcBorders>
              <w:left w:val="nil"/>
              <w:right w:val="nil"/>
            </w:tcBorders>
            <w:vAlign w:val="center"/>
          </w:tcPr>
          <w:p w14:paraId="73BB9CB6" w14:textId="77777777" w:rsidR="003C2E14" w:rsidRDefault="003C2E14" w:rsidP="002D52C6">
            <w:pPr>
              <w:pStyle w:val="Tabletext"/>
              <w:jc w:val="center"/>
            </w:pPr>
          </w:p>
        </w:tc>
        <w:tc>
          <w:tcPr>
            <w:tcW w:w="1163" w:type="dxa"/>
            <w:tcBorders>
              <w:left w:val="nil"/>
              <w:right w:val="nil"/>
            </w:tcBorders>
            <w:vAlign w:val="center"/>
          </w:tcPr>
          <w:p w14:paraId="7F77D791" w14:textId="77777777" w:rsidR="003C2E14" w:rsidRDefault="003C2E14" w:rsidP="002D52C6">
            <w:pPr>
              <w:pStyle w:val="Tabletext"/>
              <w:jc w:val="center"/>
            </w:pPr>
            <w:r>
              <w:t>45%</w:t>
            </w:r>
          </w:p>
        </w:tc>
        <w:tc>
          <w:tcPr>
            <w:tcW w:w="1162" w:type="dxa"/>
            <w:tcBorders>
              <w:left w:val="nil"/>
              <w:right w:val="nil"/>
            </w:tcBorders>
            <w:vAlign w:val="center"/>
          </w:tcPr>
          <w:p w14:paraId="3395D3C8" w14:textId="77777777" w:rsidR="003C2E14" w:rsidRDefault="003C2E14" w:rsidP="002D52C6">
            <w:pPr>
              <w:pStyle w:val="Tabletext"/>
              <w:jc w:val="center"/>
            </w:pPr>
          </w:p>
        </w:tc>
        <w:tc>
          <w:tcPr>
            <w:tcW w:w="1163" w:type="dxa"/>
            <w:tcBorders>
              <w:left w:val="nil"/>
            </w:tcBorders>
            <w:vAlign w:val="center"/>
          </w:tcPr>
          <w:p w14:paraId="15EA6E1C" w14:textId="77777777" w:rsidR="003C2E14" w:rsidRDefault="003C2E14" w:rsidP="002D52C6">
            <w:pPr>
              <w:pStyle w:val="Tabletext"/>
              <w:jc w:val="center"/>
            </w:pPr>
          </w:p>
        </w:tc>
      </w:tr>
      <w:tr w:rsidR="003C2E14" w14:paraId="6DF2A76C" w14:textId="77777777" w:rsidTr="002D52C6">
        <w:tc>
          <w:tcPr>
            <w:tcW w:w="2122" w:type="dxa"/>
            <w:vAlign w:val="center"/>
          </w:tcPr>
          <w:p w14:paraId="4D92D535" w14:textId="77777777" w:rsidR="003C2E14" w:rsidRDefault="003C2E14" w:rsidP="002D52C6">
            <w:pPr>
              <w:pStyle w:val="Tabletext"/>
            </w:pPr>
            <w:r>
              <w:t>% who have total mastectomy</w:t>
            </w:r>
          </w:p>
        </w:tc>
        <w:tc>
          <w:tcPr>
            <w:tcW w:w="992" w:type="dxa"/>
            <w:vAlign w:val="center"/>
          </w:tcPr>
          <w:p w14:paraId="150A3443" w14:textId="77777777" w:rsidR="003C2E14" w:rsidRDefault="003C2E14" w:rsidP="002D52C6">
            <w:pPr>
              <w:pStyle w:val="Tabletext"/>
              <w:jc w:val="center"/>
            </w:pPr>
            <w:r>
              <w:t>D</w:t>
            </w:r>
          </w:p>
        </w:tc>
        <w:tc>
          <w:tcPr>
            <w:tcW w:w="1162" w:type="dxa"/>
            <w:tcBorders>
              <w:right w:val="nil"/>
            </w:tcBorders>
            <w:vAlign w:val="center"/>
          </w:tcPr>
          <w:p w14:paraId="4383B84B" w14:textId="77777777" w:rsidR="003C2E14" w:rsidRDefault="003C2E14" w:rsidP="002D52C6">
            <w:pPr>
              <w:pStyle w:val="Tabletext"/>
              <w:jc w:val="center"/>
            </w:pPr>
          </w:p>
        </w:tc>
        <w:tc>
          <w:tcPr>
            <w:tcW w:w="1162" w:type="dxa"/>
            <w:tcBorders>
              <w:left w:val="nil"/>
              <w:right w:val="nil"/>
            </w:tcBorders>
            <w:vAlign w:val="center"/>
          </w:tcPr>
          <w:p w14:paraId="2F41F9CD" w14:textId="77777777" w:rsidR="003C2E14" w:rsidRDefault="003C2E14" w:rsidP="002D52C6">
            <w:pPr>
              <w:pStyle w:val="Tabletext"/>
              <w:jc w:val="center"/>
            </w:pPr>
          </w:p>
        </w:tc>
        <w:tc>
          <w:tcPr>
            <w:tcW w:w="1163" w:type="dxa"/>
            <w:tcBorders>
              <w:left w:val="nil"/>
              <w:right w:val="nil"/>
            </w:tcBorders>
            <w:vAlign w:val="center"/>
          </w:tcPr>
          <w:p w14:paraId="1118FE2C" w14:textId="77777777" w:rsidR="003C2E14" w:rsidRDefault="003C2E14" w:rsidP="002D52C6">
            <w:pPr>
              <w:pStyle w:val="Tabletext"/>
              <w:jc w:val="center"/>
            </w:pPr>
            <w:r>
              <w:t>55%</w:t>
            </w:r>
          </w:p>
        </w:tc>
        <w:tc>
          <w:tcPr>
            <w:tcW w:w="1162" w:type="dxa"/>
            <w:tcBorders>
              <w:left w:val="nil"/>
              <w:right w:val="nil"/>
            </w:tcBorders>
            <w:vAlign w:val="center"/>
          </w:tcPr>
          <w:p w14:paraId="06DBA984" w14:textId="77777777" w:rsidR="003C2E14" w:rsidRDefault="003C2E14" w:rsidP="002D52C6">
            <w:pPr>
              <w:pStyle w:val="Tabletext"/>
              <w:jc w:val="center"/>
            </w:pPr>
          </w:p>
        </w:tc>
        <w:tc>
          <w:tcPr>
            <w:tcW w:w="1163" w:type="dxa"/>
            <w:tcBorders>
              <w:left w:val="nil"/>
            </w:tcBorders>
            <w:vAlign w:val="center"/>
          </w:tcPr>
          <w:p w14:paraId="3402E407" w14:textId="77777777" w:rsidR="003C2E14" w:rsidRDefault="003C2E14" w:rsidP="002D52C6">
            <w:pPr>
              <w:pStyle w:val="Tabletext"/>
              <w:jc w:val="center"/>
            </w:pPr>
          </w:p>
        </w:tc>
      </w:tr>
      <w:tr w:rsidR="003C2E14" w:rsidRPr="002A3050" w14:paraId="724F314E" w14:textId="77777777" w:rsidTr="002D52C6">
        <w:tc>
          <w:tcPr>
            <w:tcW w:w="2122" w:type="dxa"/>
            <w:vAlign w:val="center"/>
          </w:tcPr>
          <w:p w14:paraId="110DD3FF" w14:textId="77777777" w:rsidR="003C2E14" w:rsidRPr="002A3050" w:rsidRDefault="003C2E14" w:rsidP="002D52C6">
            <w:pPr>
              <w:pStyle w:val="Tabletext"/>
            </w:pPr>
            <w:r w:rsidRPr="002A3050">
              <w:t xml:space="preserve">Number treated with AFG </w:t>
            </w:r>
          </w:p>
        </w:tc>
        <w:tc>
          <w:tcPr>
            <w:tcW w:w="992" w:type="dxa"/>
            <w:vAlign w:val="center"/>
          </w:tcPr>
          <w:p w14:paraId="5A8A978E" w14:textId="77777777" w:rsidR="003C2E14" w:rsidRPr="002A3050" w:rsidRDefault="003C2E14" w:rsidP="002D52C6">
            <w:pPr>
              <w:pStyle w:val="Tabletext"/>
              <w:jc w:val="center"/>
            </w:pPr>
            <w:r>
              <w:t>E</w:t>
            </w:r>
          </w:p>
        </w:tc>
        <w:tc>
          <w:tcPr>
            <w:tcW w:w="1162" w:type="dxa"/>
            <w:vAlign w:val="center"/>
          </w:tcPr>
          <w:p w14:paraId="11E50C17" w14:textId="77777777" w:rsidR="003C2E14" w:rsidRPr="002A3050" w:rsidRDefault="003C2E14" w:rsidP="002D52C6">
            <w:pPr>
              <w:pStyle w:val="Tabletext"/>
              <w:jc w:val="center"/>
            </w:pPr>
            <w:r w:rsidRPr="002A3050">
              <w:t>1585</w:t>
            </w:r>
          </w:p>
        </w:tc>
        <w:tc>
          <w:tcPr>
            <w:tcW w:w="1162" w:type="dxa"/>
            <w:vAlign w:val="center"/>
          </w:tcPr>
          <w:p w14:paraId="1B0D783E" w14:textId="77777777" w:rsidR="003C2E14" w:rsidRPr="002A3050" w:rsidRDefault="003C2E14" w:rsidP="002D52C6">
            <w:pPr>
              <w:pStyle w:val="Tabletext"/>
              <w:jc w:val="center"/>
            </w:pPr>
            <w:r w:rsidRPr="002A3050">
              <w:t>1939</w:t>
            </w:r>
          </w:p>
        </w:tc>
        <w:tc>
          <w:tcPr>
            <w:tcW w:w="1163" w:type="dxa"/>
            <w:vAlign w:val="center"/>
          </w:tcPr>
          <w:p w14:paraId="6ECAAA9A" w14:textId="77777777" w:rsidR="003C2E14" w:rsidRPr="002A3050" w:rsidRDefault="003C2E14" w:rsidP="002D52C6">
            <w:pPr>
              <w:pStyle w:val="Tabletext"/>
              <w:jc w:val="center"/>
            </w:pPr>
            <w:r w:rsidRPr="002A3050">
              <w:t>2138</w:t>
            </w:r>
          </w:p>
        </w:tc>
        <w:tc>
          <w:tcPr>
            <w:tcW w:w="1162" w:type="dxa"/>
            <w:vAlign w:val="center"/>
          </w:tcPr>
          <w:p w14:paraId="6FFFCC1B" w14:textId="77777777" w:rsidR="003C2E14" w:rsidRPr="002A3050" w:rsidRDefault="003C2E14" w:rsidP="002D52C6">
            <w:pPr>
              <w:pStyle w:val="Tabletext"/>
              <w:jc w:val="center"/>
            </w:pPr>
            <w:r w:rsidRPr="002A3050">
              <w:t>2364</w:t>
            </w:r>
          </w:p>
        </w:tc>
        <w:tc>
          <w:tcPr>
            <w:tcW w:w="1163" w:type="dxa"/>
            <w:vAlign w:val="center"/>
          </w:tcPr>
          <w:p w14:paraId="434612E2" w14:textId="77777777" w:rsidR="003C2E14" w:rsidRPr="002A3050" w:rsidRDefault="003C2E14" w:rsidP="002D52C6">
            <w:pPr>
              <w:pStyle w:val="Tabletext"/>
              <w:jc w:val="center"/>
            </w:pPr>
            <w:r w:rsidRPr="002A3050">
              <w:t>2842</w:t>
            </w:r>
          </w:p>
        </w:tc>
      </w:tr>
      <w:tr w:rsidR="003C2E14" w14:paraId="2CC04DE0" w14:textId="77777777" w:rsidTr="002D52C6">
        <w:tc>
          <w:tcPr>
            <w:tcW w:w="2122" w:type="dxa"/>
            <w:vAlign w:val="center"/>
          </w:tcPr>
          <w:p w14:paraId="632368EE" w14:textId="77777777" w:rsidR="003C2E14" w:rsidRDefault="003C2E14" w:rsidP="002D52C6">
            <w:pPr>
              <w:pStyle w:val="Tabletext"/>
            </w:pPr>
            <w:r>
              <w:t xml:space="preserve">Yearly costs for pregabalin 300mg </w:t>
            </w:r>
          </w:p>
        </w:tc>
        <w:tc>
          <w:tcPr>
            <w:tcW w:w="992" w:type="dxa"/>
            <w:vAlign w:val="center"/>
          </w:tcPr>
          <w:p w14:paraId="607D6C5E" w14:textId="77777777" w:rsidR="003C2E14" w:rsidRDefault="003C2E14" w:rsidP="002D52C6">
            <w:pPr>
              <w:pStyle w:val="Tabletext"/>
              <w:jc w:val="center"/>
            </w:pPr>
            <w:r>
              <w:t>F; $0.89/day</w:t>
            </w:r>
          </w:p>
        </w:tc>
        <w:tc>
          <w:tcPr>
            <w:tcW w:w="1162" w:type="dxa"/>
            <w:vAlign w:val="center"/>
          </w:tcPr>
          <w:p w14:paraId="46B3404B" w14:textId="77777777" w:rsidR="003C2E14" w:rsidRDefault="003C2E14" w:rsidP="002D52C6">
            <w:pPr>
              <w:pStyle w:val="Tabletext"/>
              <w:jc w:val="center"/>
            </w:pPr>
            <w:r>
              <w:t>$326.02</w:t>
            </w:r>
          </w:p>
        </w:tc>
        <w:tc>
          <w:tcPr>
            <w:tcW w:w="1162" w:type="dxa"/>
            <w:vAlign w:val="center"/>
          </w:tcPr>
          <w:p w14:paraId="65B65788" w14:textId="77777777" w:rsidR="003C2E14" w:rsidRDefault="003C2E14" w:rsidP="002D52C6">
            <w:pPr>
              <w:pStyle w:val="Tabletext"/>
              <w:jc w:val="center"/>
            </w:pPr>
            <w:r>
              <w:t>$326.02</w:t>
            </w:r>
          </w:p>
        </w:tc>
        <w:tc>
          <w:tcPr>
            <w:tcW w:w="1163" w:type="dxa"/>
            <w:vAlign w:val="center"/>
          </w:tcPr>
          <w:p w14:paraId="1F48F7E4" w14:textId="77777777" w:rsidR="003C2E14" w:rsidRDefault="003C2E14" w:rsidP="002D52C6">
            <w:pPr>
              <w:pStyle w:val="Tabletext"/>
              <w:jc w:val="center"/>
            </w:pPr>
            <w:r>
              <w:t>$326.02</w:t>
            </w:r>
          </w:p>
        </w:tc>
        <w:tc>
          <w:tcPr>
            <w:tcW w:w="1162" w:type="dxa"/>
            <w:vAlign w:val="center"/>
          </w:tcPr>
          <w:p w14:paraId="4D5AA67E" w14:textId="77777777" w:rsidR="003C2E14" w:rsidRDefault="003C2E14" w:rsidP="002D52C6">
            <w:pPr>
              <w:pStyle w:val="Tabletext"/>
              <w:jc w:val="center"/>
            </w:pPr>
            <w:r>
              <w:t>$326.02</w:t>
            </w:r>
          </w:p>
        </w:tc>
        <w:tc>
          <w:tcPr>
            <w:tcW w:w="1163" w:type="dxa"/>
            <w:vAlign w:val="center"/>
          </w:tcPr>
          <w:p w14:paraId="29B20040" w14:textId="77777777" w:rsidR="003C2E14" w:rsidRDefault="003C2E14" w:rsidP="002D52C6">
            <w:pPr>
              <w:pStyle w:val="Tabletext"/>
              <w:jc w:val="center"/>
            </w:pPr>
            <w:r>
              <w:t>$326.02</w:t>
            </w:r>
          </w:p>
        </w:tc>
      </w:tr>
      <w:tr w:rsidR="003C2E14" w14:paraId="51EE66E9" w14:textId="77777777" w:rsidTr="002D52C6">
        <w:tc>
          <w:tcPr>
            <w:tcW w:w="2122" w:type="dxa"/>
            <w:vAlign w:val="center"/>
          </w:tcPr>
          <w:p w14:paraId="68784DCF" w14:textId="77777777" w:rsidR="003C2E14" w:rsidRDefault="003C2E14" w:rsidP="002D52C6">
            <w:pPr>
              <w:pStyle w:val="Tabletext"/>
            </w:pPr>
            <w:r>
              <w:t>Proportion both pops cease analgesia after AFG</w:t>
            </w:r>
          </w:p>
        </w:tc>
        <w:tc>
          <w:tcPr>
            <w:tcW w:w="992" w:type="dxa"/>
            <w:vAlign w:val="center"/>
          </w:tcPr>
          <w:p w14:paraId="6A4DEA52" w14:textId="77777777" w:rsidR="003C2E14" w:rsidRDefault="003C2E14" w:rsidP="002D52C6">
            <w:pPr>
              <w:pStyle w:val="Tabletext"/>
              <w:jc w:val="center"/>
            </w:pPr>
            <w:r>
              <w:t>G</w:t>
            </w:r>
          </w:p>
        </w:tc>
        <w:tc>
          <w:tcPr>
            <w:tcW w:w="1162" w:type="dxa"/>
            <w:tcBorders>
              <w:right w:val="nil"/>
            </w:tcBorders>
            <w:vAlign w:val="center"/>
          </w:tcPr>
          <w:p w14:paraId="4A2329C0" w14:textId="77777777" w:rsidR="003C2E14" w:rsidRDefault="003C2E14" w:rsidP="002D52C6">
            <w:pPr>
              <w:pStyle w:val="Tabletext"/>
              <w:jc w:val="center"/>
            </w:pPr>
          </w:p>
        </w:tc>
        <w:tc>
          <w:tcPr>
            <w:tcW w:w="1162" w:type="dxa"/>
            <w:tcBorders>
              <w:left w:val="nil"/>
              <w:right w:val="nil"/>
            </w:tcBorders>
            <w:vAlign w:val="center"/>
          </w:tcPr>
          <w:p w14:paraId="42057C0C" w14:textId="77777777" w:rsidR="003C2E14" w:rsidRDefault="003C2E14" w:rsidP="002D52C6">
            <w:pPr>
              <w:pStyle w:val="Tabletext"/>
              <w:jc w:val="center"/>
            </w:pPr>
          </w:p>
        </w:tc>
        <w:tc>
          <w:tcPr>
            <w:tcW w:w="1163" w:type="dxa"/>
            <w:tcBorders>
              <w:left w:val="nil"/>
              <w:right w:val="nil"/>
            </w:tcBorders>
            <w:vAlign w:val="center"/>
          </w:tcPr>
          <w:p w14:paraId="6774B545" w14:textId="77777777" w:rsidR="003C2E14" w:rsidRDefault="003C2E14" w:rsidP="002D52C6">
            <w:pPr>
              <w:pStyle w:val="Tabletext"/>
              <w:jc w:val="center"/>
            </w:pPr>
            <w:r>
              <w:t>81%</w:t>
            </w:r>
          </w:p>
        </w:tc>
        <w:tc>
          <w:tcPr>
            <w:tcW w:w="1162" w:type="dxa"/>
            <w:tcBorders>
              <w:left w:val="nil"/>
              <w:right w:val="nil"/>
            </w:tcBorders>
            <w:vAlign w:val="center"/>
          </w:tcPr>
          <w:p w14:paraId="035AFAE7" w14:textId="77777777" w:rsidR="003C2E14" w:rsidRDefault="003C2E14" w:rsidP="002D52C6">
            <w:pPr>
              <w:pStyle w:val="Tabletext"/>
              <w:jc w:val="center"/>
            </w:pPr>
          </w:p>
        </w:tc>
        <w:tc>
          <w:tcPr>
            <w:tcW w:w="1163" w:type="dxa"/>
            <w:tcBorders>
              <w:left w:val="nil"/>
            </w:tcBorders>
            <w:vAlign w:val="center"/>
          </w:tcPr>
          <w:p w14:paraId="5458136F" w14:textId="77777777" w:rsidR="003C2E14" w:rsidRDefault="003C2E14" w:rsidP="002D52C6">
            <w:pPr>
              <w:pStyle w:val="Tabletext"/>
              <w:jc w:val="center"/>
            </w:pPr>
          </w:p>
        </w:tc>
      </w:tr>
      <w:tr w:rsidR="003C2E14" w14:paraId="27C5E1CC" w14:textId="77777777" w:rsidTr="002D52C6">
        <w:tc>
          <w:tcPr>
            <w:tcW w:w="2122" w:type="dxa"/>
            <w:vAlign w:val="center"/>
          </w:tcPr>
          <w:p w14:paraId="41EECD77" w14:textId="77777777" w:rsidR="003C2E14" w:rsidRDefault="003C2E14" w:rsidP="002D52C6">
            <w:pPr>
              <w:pStyle w:val="Tabletext"/>
            </w:pPr>
            <w:r>
              <w:t xml:space="preserve">Number cease analgesia </w:t>
            </w:r>
          </w:p>
        </w:tc>
        <w:tc>
          <w:tcPr>
            <w:tcW w:w="992" w:type="dxa"/>
            <w:vAlign w:val="center"/>
          </w:tcPr>
          <w:p w14:paraId="014D1963" w14:textId="77777777" w:rsidR="003C2E14" w:rsidRDefault="003C2E14" w:rsidP="002D52C6">
            <w:pPr>
              <w:pStyle w:val="Tabletext"/>
              <w:jc w:val="center"/>
            </w:pPr>
            <w:r>
              <w:t>H=E*G</w:t>
            </w:r>
          </w:p>
        </w:tc>
        <w:tc>
          <w:tcPr>
            <w:tcW w:w="1162" w:type="dxa"/>
            <w:vAlign w:val="center"/>
          </w:tcPr>
          <w:p w14:paraId="05D3A590" w14:textId="77777777" w:rsidR="003C2E14" w:rsidRDefault="003C2E14" w:rsidP="002D52C6">
            <w:pPr>
              <w:pStyle w:val="Tabletext"/>
              <w:jc w:val="center"/>
            </w:pPr>
            <w:r>
              <w:t>1284</w:t>
            </w:r>
          </w:p>
        </w:tc>
        <w:tc>
          <w:tcPr>
            <w:tcW w:w="1162" w:type="dxa"/>
            <w:vAlign w:val="center"/>
          </w:tcPr>
          <w:p w14:paraId="23833A71" w14:textId="77777777" w:rsidR="003C2E14" w:rsidRDefault="003C2E14" w:rsidP="002D52C6">
            <w:pPr>
              <w:pStyle w:val="Tabletext"/>
              <w:jc w:val="center"/>
            </w:pPr>
            <w:r w:rsidRPr="002A3050">
              <w:t>1570</w:t>
            </w:r>
          </w:p>
        </w:tc>
        <w:tc>
          <w:tcPr>
            <w:tcW w:w="1163" w:type="dxa"/>
            <w:vAlign w:val="center"/>
          </w:tcPr>
          <w:p w14:paraId="7C65B7B4" w14:textId="77777777" w:rsidR="003C2E14" w:rsidRDefault="003C2E14" w:rsidP="002D52C6">
            <w:pPr>
              <w:pStyle w:val="Tabletext"/>
              <w:jc w:val="center"/>
            </w:pPr>
            <w:r w:rsidRPr="002A3050">
              <w:t>1732</w:t>
            </w:r>
          </w:p>
        </w:tc>
        <w:tc>
          <w:tcPr>
            <w:tcW w:w="1162" w:type="dxa"/>
            <w:vAlign w:val="center"/>
          </w:tcPr>
          <w:p w14:paraId="65456D36" w14:textId="77777777" w:rsidR="003C2E14" w:rsidRDefault="003C2E14" w:rsidP="002D52C6">
            <w:pPr>
              <w:pStyle w:val="Tabletext"/>
              <w:jc w:val="center"/>
            </w:pPr>
            <w:r w:rsidRPr="002A3050">
              <w:t>1915</w:t>
            </w:r>
          </w:p>
        </w:tc>
        <w:tc>
          <w:tcPr>
            <w:tcW w:w="1163" w:type="dxa"/>
            <w:vAlign w:val="center"/>
          </w:tcPr>
          <w:p w14:paraId="337B99BE" w14:textId="77777777" w:rsidR="003C2E14" w:rsidRDefault="003C2E14" w:rsidP="002D52C6">
            <w:pPr>
              <w:pStyle w:val="Tabletext"/>
              <w:jc w:val="center"/>
            </w:pPr>
            <w:r w:rsidRPr="002A3050">
              <w:t>2302</w:t>
            </w:r>
          </w:p>
        </w:tc>
      </w:tr>
      <w:tr w:rsidR="003C2E14" w14:paraId="169458DE" w14:textId="77777777" w:rsidTr="002D52C6">
        <w:tc>
          <w:tcPr>
            <w:tcW w:w="2122" w:type="dxa"/>
            <w:vAlign w:val="center"/>
          </w:tcPr>
          <w:p w14:paraId="6D74056E" w14:textId="77777777" w:rsidR="003C2E14" w:rsidRDefault="003C2E14" w:rsidP="002D52C6">
            <w:pPr>
              <w:pStyle w:val="Tabletext"/>
            </w:pPr>
            <w:r>
              <w:t>Drug savings 300mg</w:t>
            </w:r>
          </w:p>
        </w:tc>
        <w:tc>
          <w:tcPr>
            <w:tcW w:w="992" w:type="dxa"/>
            <w:vAlign w:val="center"/>
          </w:tcPr>
          <w:p w14:paraId="17014141" w14:textId="77777777" w:rsidR="003C2E14" w:rsidRDefault="003C2E14" w:rsidP="002D52C6">
            <w:pPr>
              <w:pStyle w:val="Tabletext"/>
              <w:jc w:val="center"/>
            </w:pPr>
            <w:r>
              <w:t>I=F*H</w:t>
            </w:r>
          </w:p>
        </w:tc>
        <w:tc>
          <w:tcPr>
            <w:tcW w:w="1162" w:type="dxa"/>
            <w:vAlign w:val="center"/>
          </w:tcPr>
          <w:p w14:paraId="26310A7F" w14:textId="77777777" w:rsidR="003C2E14" w:rsidRPr="00A37444" w:rsidRDefault="003C2E14" w:rsidP="002D52C6">
            <w:pPr>
              <w:pStyle w:val="Tabletext"/>
              <w:jc w:val="center"/>
              <w:rPr>
                <w:color w:val="FF0000"/>
              </w:rPr>
            </w:pPr>
            <w:r>
              <w:rPr>
                <w:color w:val="FF0000"/>
              </w:rPr>
              <w:t>(</w:t>
            </w:r>
            <w:r w:rsidRPr="00A37444">
              <w:rPr>
                <w:color w:val="FF0000"/>
              </w:rPr>
              <w:t>$418,598</w:t>
            </w:r>
            <w:r>
              <w:rPr>
                <w:color w:val="FF0000"/>
              </w:rPr>
              <w:t>)</w:t>
            </w:r>
          </w:p>
        </w:tc>
        <w:tc>
          <w:tcPr>
            <w:tcW w:w="1162" w:type="dxa"/>
            <w:vAlign w:val="center"/>
          </w:tcPr>
          <w:p w14:paraId="426C603C" w14:textId="77777777" w:rsidR="003C2E14" w:rsidRPr="00A37444" w:rsidRDefault="003C2E14" w:rsidP="002D52C6">
            <w:pPr>
              <w:pStyle w:val="Tabletext"/>
              <w:jc w:val="center"/>
              <w:rPr>
                <w:color w:val="FF0000"/>
              </w:rPr>
            </w:pPr>
            <w:r>
              <w:rPr>
                <w:color w:val="FF0000"/>
              </w:rPr>
              <w:t>(</w:t>
            </w:r>
            <w:r w:rsidRPr="00A37444">
              <w:rPr>
                <w:color w:val="FF0000"/>
              </w:rPr>
              <w:t>$511,982</w:t>
            </w:r>
            <w:r>
              <w:rPr>
                <w:color w:val="FF0000"/>
              </w:rPr>
              <w:t>)</w:t>
            </w:r>
          </w:p>
        </w:tc>
        <w:tc>
          <w:tcPr>
            <w:tcW w:w="1163" w:type="dxa"/>
            <w:vAlign w:val="center"/>
          </w:tcPr>
          <w:p w14:paraId="52B4BD2E" w14:textId="77777777" w:rsidR="003C2E14" w:rsidRPr="00A37444" w:rsidRDefault="003C2E14" w:rsidP="002D52C6">
            <w:pPr>
              <w:pStyle w:val="Tabletext"/>
              <w:jc w:val="center"/>
              <w:rPr>
                <w:color w:val="FF0000"/>
              </w:rPr>
            </w:pPr>
            <w:r>
              <w:rPr>
                <w:color w:val="FF0000"/>
              </w:rPr>
              <w:t>(</w:t>
            </w:r>
            <w:r w:rsidRPr="00A37444">
              <w:rPr>
                <w:color w:val="FF0000"/>
              </w:rPr>
              <w:t>$564,628</w:t>
            </w:r>
            <w:r>
              <w:rPr>
                <w:color w:val="FF0000"/>
              </w:rPr>
              <w:t>)</w:t>
            </w:r>
          </w:p>
        </w:tc>
        <w:tc>
          <w:tcPr>
            <w:tcW w:w="1162" w:type="dxa"/>
            <w:vAlign w:val="center"/>
          </w:tcPr>
          <w:p w14:paraId="7ACA7050" w14:textId="77777777" w:rsidR="003C2E14" w:rsidRPr="00A37444" w:rsidRDefault="003C2E14" w:rsidP="002D52C6">
            <w:pPr>
              <w:pStyle w:val="Tabletext"/>
              <w:jc w:val="center"/>
              <w:rPr>
                <w:color w:val="FF0000"/>
              </w:rPr>
            </w:pPr>
            <w:r>
              <w:rPr>
                <w:color w:val="FF0000"/>
              </w:rPr>
              <w:t>(</w:t>
            </w:r>
            <w:r w:rsidRPr="00A37444">
              <w:rPr>
                <w:color w:val="FF0000"/>
              </w:rPr>
              <w:t>$624,231</w:t>
            </w:r>
            <w:r>
              <w:rPr>
                <w:color w:val="FF0000"/>
              </w:rPr>
              <w:t>)</w:t>
            </w:r>
          </w:p>
        </w:tc>
        <w:tc>
          <w:tcPr>
            <w:tcW w:w="1163" w:type="dxa"/>
            <w:vAlign w:val="center"/>
          </w:tcPr>
          <w:p w14:paraId="4343AEC3" w14:textId="77777777" w:rsidR="003C2E14" w:rsidRPr="00A37444" w:rsidRDefault="003C2E14" w:rsidP="002D52C6">
            <w:pPr>
              <w:pStyle w:val="Tabletext"/>
              <w:jc w:val="center"/>
              <w:rPr>
                <w:color w:val="FF0000"/>
              </w:rPr>
            </w:pPr>
            <w:r>
              <w:rPr>
                <w:color w:val="FF0000"/>
              </w:rPr>
              <w:t>(</w:t>
            </w:r>
            <w:r w:rsidRPr="00A37444">
              <w:rPr>
                <w:color w:val="FF0000"/>
              </w:rPr>
              <w:t>$750,487</w:t>
            </w:r>
            <w:r>
              <w:rPr>
                <w:color w:val="FF0000"/>
              </w:rPr>
              <w:t>)</w:t>
            </w:r>
          </w:p>
        </w:tc>
      </w:tr>
      <w:tr w:rsidR="003C2E14" w:rsidRPr="00AB2439" w14:paraId="26CB7E64" w14:textId="77777777" w:rsidTr="002D52C6">
        <w:tc>
          <w:tcPr>
            <w:tcW w:w="2122" w:type="dxa"/>
            <w:vAlign w:val="center"/>
          </w:tcPr>
          <w:p w14:paraId="5421F0F3" w14:textId="77777777" w:rsidR="003C2E14" w:rsidRPr="00D109B3" w:rsidRDefault="003C2E14" w:rsidP="002D52C6">
            <w:pPr>
              <w:pStyle w:val="Tabletext"/>
            </w:pPr>
            <w:r w:rsidRPr="00D109B3">
              <w:t xml:space="preserve">Saving after co-pay 300mg </w:t>
            </w:r>
          </w:p>
        </w:tc>
        <w:tc>
          <w:tcPr>
            <w:tcW w:w="992" w:type="dxa"/>
            <w:vAlign w:val="center"/>
          </w:tcPr>
          <w:p w14:paraId="35256BE0" w14:textId="77777777" w:rsidR="003C2E14" w:rsidRPr="00D109B3" w:rsidRDefault="003C2E14" w:rsidP="002D52C6">
            <w:pPr>
              <w:pStyle w:val="Tabletext"/>
              <w:jc w:val="center"/>
            </w:pPr>
            <w:r w:rsidRPr="00D109B3">
              <w:t>$0.17/day</w:t>
            </w:r>
          </w:p>
        </w:tc>
        <w:tc>
          <w:tcPr>
            <w:tcW w:w="1162" w:type="dxa"/>
            <w:vAlign w:val="center"/>
          </w:tcPr>
          <w:p w14:paraId="77A842CB" w14:textId="77777777" w:rsidR="003C2E14" w:rsidRPr="00D109B3" w:rsidRDefault="003C2E14" w:rsidP="002D52C6">
            <w:pPr>
              <w:pStyle w:val="Tabletext"/>
              <w:jc w:val="center"/>
              <w:rPr>
                <w:color w:val="FF0000"/>
              </w:rPr>
            </w:pPr>
            <w:r w:rsidRPr="00D109B3">
              <w:rPr>
                <w:color w:val="FF0000"/>
              </w:rPr>
              <w:t>($355,808)</w:t>
            </w:r>
          </w:p>
        </w:tc>
        <w:tc>
          <w:tcPr>
            <w:tcW w:w="1162" w:type="dxa"/>
            <w:vAlign w:val="center"/>
          </w:tcPr>
          <w:p w14:paraId="0D175E76" w14:textId="77777777" w:rsidR="003C2E14" w:rsidRPr="00D109B3" w:rsidRDefault="003C2E14" w:rsidP="002D52C6">
            <w:pPr>
              <w:pStyle w:val="Tabletext"/>
              <w:jc w:val="center"/>
              <w:rPr>
                <w:color w:val="FF0000"/>
              </w:rPr>
            </w:pPr>
            <w:r w:rsidRPr="00D109B3">
              <w:rPr>
                <w:color w:val="FF0000"/>
              </w:rPr>
              <w:t>($435,185)</w:t>
            </w:r>
          </w:p>
        </w:tc>
        <w:tc>
          <w:tcPr>
            <w:tcW w:w="1163" w:type="dxa"/>
            <w:vAlign w:val="center"/>
          </w:tcPr>
          <w:p w14:paraId="548F79F5" w14:textId="77777777" w:rsidR="003C2E14" w:rsidRPr="00D109B3" w:rsidRDefault="003C2E14" w:rsidP="002D52C6">
            <w:pPr>
              <w:pStyle w:val="Tabletext"/>
              <w:jc w:val="center"/>
              <w:rPr>
                <w:color w:val="FF0000"/>
              </w:rPr>
            </w:pPr>
            <w:r w:rsidRPr="00D109B3">
              <w:rPr>
                <w:color w:val="FF0000"/>
              </w:rPr>
              <w:t>($479,934)</w:t>
            </w:r>
          </w:p>
        </w:tc>
        <w:tc>
          <w:tcPr>
            <w:tcW w:w="1162" w:type="dxa"/>
            <w:vAlign w:val="center"/>
          </w:tcPr>
          <w:p w14:paraId="1F468279" w14:textId="77777777" w:rsidR="003C2E14" w:rsidRPr="00D109B3" w:rsidRDefault="003C2E14" w:rsidP="002D52C6">
            <w:pPr>
              <w:pStyle w:val="Tabletext"/>
              <w:jc w:val="center"/>
              <w:rPr>
                <w:color w:val="FF0000"/>
              </w:rPr>
            </w:pPr>
            <w:r w:rsidRPr="00D109B3">
              <w:rPr>
                <w:color w:val="FF0000"/>
              </w:rPr>
              <w:t>($530,596)</w:t>
            </w:r>
          </w:p>
        </w:tc>
        <w:tc>
          <w:tcPr>
            <w:tcW w:w="1163" w:type="dxa"/>
            <w:vAlign w:val="center"/>
          </w:tcPr>
          <w:p w14:paraId="6F0826F5" w14:textId="77777777" w:rsidR="003C2E14" w:rsidRPr="00D109B3" w:rsidRDefault="003C2E14" w:rsidP="002D52C6">
            <w:pPr>
              <w:pStyle w:val="Tabletext"/>
              <w:jc w:val="center"/>
              <w:rPr>
                <w:color w:val="FF0000"/>
              </w:rPr>
            </w:pPr>
            <w:r w:rsidRPr="00D109B3">
              <w:rPr>
                <w:color w:val="FF0000"/>
              </w:rPr>
              <w:t>($637,914)</w:t>
            </w:r>
          </w:p>
        </w:tc>
      </w:tr>
      <w:tr w:rsidR="003C2E14" w:rsidRPr="00AB2439" w14:paraId="2458AA8A" w14:textId="77777777" w:rsidTr="002D52C6">
        <w:tc>
          <w:tcPr>
            <w:tcW w:w="2122" w:type="dxa"/>
            <w:vAlign w:val="center"/>
          </w:tcPr>
          <w:p w14:paraId="67BC7FB1" w14:textId="77777777" w:rsidR="003C2E14" w:rsidRPr="00D109B3" w:rsidRDefault="003C2E14" w:rsidP="002D52C6">
            <w:pPr>
              <w:pStyle w:val="Tabletext"/>
            </w:pPr>
            <w:r w:rsidRPr="00D109B3">
              <w:t>Pain specialist</w:t>
            </w:r>
          </w:p>
          <w:p w14:paraId="457BA070" w14:textId="77777777" w:rsidR="003C2E14" w:rsidRPr="00D109B3" w:rsidRDefault="003C2E14" w:rsidP="002D52C6">
            <w:pPr>
              <w:pStyle w:val="Tabletext"/>
            </w:pPr>
            <w:r w:rsidRPr="00D109B3">
              <w:t>MBS item 2801</w:t>
            </w:r>
          </w:p>
        </w:tc>
        <w:tc>
          <w:tcPr>
            <w:tcW w:w="992" w:type="dxa"/>
            <w:vAlign w:val="center"/>
          </w:tcPr>
          <w:p w14:paraId="32C6BB2F" w14:textId="77777777" w:rsidR="003C2E14" w:rsidRPr="00D109B3" w:rsidRDefault="003C2E14" w:rsidP="002D52C6">
            <w:pPr>
              <w:pStyle w:val="Tabletext"/>
              <w:jc w:val="center"/>
            </w:pPr>
            <w:r w:rsidRPr="00D109B3">
              <w:t>155.60</w:t>
            </w:r>
          </w:p>
          <w:p w14:paraId="0D07D364" w14:textId="77777777" w:rsidR="003C2E14" w:rsidRPr="00D109B3" w:rsidRDefault="003C2E14" w:rsidP="002D52C6">
            <w:pPr>
              <w:pStyle w:val="Tabletext"/>
              <w:jc w:val="center"/>
            </w:pPr>
            <w:r w:rsidRPr="00D109B3">
              <w:t>($132.30)</w:t>
            </w:r>
          </w:p>
        </w:tc>
        <w:tc>
          <w:tcPr>
            <w:tcW w:w="1162" w:type="dxa"/>
            <w:vAlign w:val="center"/>
          </w:tcPr>
          <w:p w14:paraId="00456A97" w14:textId="77777777" w:rsidR="003C2E14" w:rsidRPr="00D109B3" w:rsidRDefault="003C2E14" w:rsidP="002D52C6">
            <w:pPr>
              <w:pStyle w:val="Tabletext"/>
              <w:jc w:val="center"/>
              <w:rPr>
                <w:color w:val="FF0000"/>
              </w:rPr>
            </w:pPr>
            <w:r w:rsidRPr="00D109B3">
              <w:rPr>
                <w:color w:val="FF0000"/>
              </w:rPr>
              <w:t>($169,815)</w:t>
            </w:r>
          </w:p>
        </w:tc>
        <w:tc>
          <w:tcPr>
            <w:tcW w:w="1162" w:type="dxa"/>
            <w:vAlign w:val="center"/>
          </w:tcPr>
          <w:p w14:paraId="0216CC5F" w14:textId="77777777" w:rsidR="003C2E14" w:rsidRPr="00D109B3" w:rsidRDefault="003C2E14" w:rsidP="002D52C6">
            <w:pPr>
              <w:pStyle w:val="Tabletext"/>
              <w:jc w:val="center"/>
              <w:rPr>
                <w:color w:val="FF0000"/>
              </w:rPr>
            </w:pPr>
            <w:r w:rsidRPr="00D109B3">
              <w:rPr>
                <w:color w:val="FF0000"/>
              </w:rPr>
              <w:t>($207,699)</w:t>
            </w:r>
          </w:p>
        </w:tc>
        <w:tc>
          <w:tcPr>
            <w:tcW w:w="1163" w:type="dxa"/>
            <w:vAlign w:val="center"/>
          </w:tcPr>
          <w:p w14:paraId="3FAAFDC1" w14:textId="77777777" w:rsidR="003C2E14" w:rsidRPr="00D109B3" w:rsidRDefault="003C2E14" w:rsidP="002D52C6">
            <w:pPr>
              <w:pStyle w:val="Tabletext"/>
              <w:jc w:val="center"/>
              <w:rPr>
                <w:color w:val="FF0000"/>
              </w:rPr>
            </w:pPr>
            <w:r w:rsidRPr="00D109B3">
              <w:rPr>
                <w:color w:val="FF0000"/>
              </w:rPr>
              <w:t>($229,056)</w:t>
            </w:r>
          </w:p>
        </w:tc>
        <w:tc>
          <w:tcPr>
            <w:tcW w:w="1162" w:type="dxa"/>
            <w:vAlign w:val="center"/>
          </w:tcPr>
          <w:p w14:paraId="1DD5A188" w14:textId="77777777" w:rsidR="003C2E14" w:rsidRPr="00D109B3" w:rsidRDefault="003C2E14" w:rsidP="002D52C6">
            <w:pPr>
              <w:pStyle w:val="Tabletext"/>
              <w:jc w:val="center"/>
              <w:rPr>
                <w:color w:val="FF0000"/>
              </w:rPr>
            </w:pPr>
            <w:r w:rsidRPr="00D109B3">
              <w:rPr>
                <w:color w:val="FF0000"/>
              </w:rPr>
              <w:t>($253,236)</w:t>
            </w:r>
          </w:p>
        </w:tc>
        <w:tc>
          <w:tcPr>
            <w:tcW w:w="1163" w:type="dxa"/>
            <w:vAlign w:val="center"/>
          </w:tcPr>
          <w:p w14:paraId="27A29C73" w14:textId="77777777" w:rsidR="003C2E14" w:rsidRPr="00D109B3" w:rsidRDefault="003C2E14" w:rsidP="002D52C6">
            <w:pPr>
              <w:pStyle w:val="Tabletext"/>
              <w:jc w:val="center"/>
              <w:rPr>
                <w:color w:val="FF0000"/>
              </w:rPr>
            </w:pPr>
            <w:r w:rsidRPr="00D109B3">
              <w:rPr>
                <w:color w:val="FF0000"/>
              </w:rPr>
              <w:t>($304,455)</w:t>
            </w:r>
          </w:p>
        </w:tc>
      </w:tr>
      <w:tr w:rsidR="003C2E14" w:rsidRPr="00AB2439" w14:paraId="17C9A1F8" w14:textId="77777777" w:rsidTr="002D52C6">
        <w:tc>
          <w:tcPr>
            <w:tcW w:w="2122" w:type="dxa"/>
            <w:vAlign w:val="center"/>
          </w:tcPr>
          <w:p w14:paraId="789343E6" w14:textId="77777777" w:rsidR="003C2E14" w:rsidRDefault="003C2E14" w:rsidP="002D52C6">
            <w:pPr>
              <w:pStyle w:val="Tabletext"/>
              <w:rPr>
                <w:b/>
              </w:rPr>
            </w:pPr>
            <w:r>
              <w:rPr>
                <w:b/>
              </w:rPr>
              <w:t xml:space="preserve">Total savings </w:t>
            </w:r>
          </w:p>
        </w:tc>
        <w:tc>
          <w:tcPr>
            <w:tcW w:w="992" w:type="dxa"/>
            <w:vAlign w:val="center"/>
          </w:tcPr>
          <w:p w14:paraId="44A0D19B" w14:textId="77777777" w:rsidR="003C2E14" w:rsidRDefault="003C2E14" w:rsidP="002D52C6">
            <w:pPr>
              <w:pStyle w:val="Tabletext"/>
              <w:jc w:val="center"/>
              <w:rPr>
                <w:b/>
              </w:rPr>
            </w:pPr>
          </w:p>
        </w:tc>
        <w:tc>
          <w:tcPr>
            <w:tcW w:w="1162" w:type="dxa"/>
            <w:vAlign w:val="center"/>
          </w:tcPr>
          <w:p w14:paraId="6895F54F" w14:textId="77777777" w:rsidR="003C2E14" w:rsidRPr="00A37444" w:rsidRDefault="003C2E14" w:rsidP="002D52C6">
            <w:pPr>
              <w:pStyle w:val="Tabletext"/>
              <w:jc w:val="center"/>
              <w:rPr>
                <w:b/>
                <w:color w:val="FF0000"/>
              </w:rPr>
            </w:pPr>
            <w:r>
              <w:rPr>
                <w:b/>
                <w:color w:val="FF0000"/>
              </w:rPr>
              <w:t>(</w:t>
            </w:r>
            <w:r w:rsidRPr="00A37444">
              <w:rPr>
                <w:b/>
                <w:color w:val="FF0000"/>
              </w:rPr>
              <w:t>$525,624</w:t>
            </w:r>
            <w:r>
              <w:rPr>
                <w:b/>
                <w:color w:val="FF0000"/>
              </w:rPr>
              <w:t>)</w:t>
            </w:r>
          </w:p>
        </w:tc>
        <w:tc>
          <w:tcPr>
            <w:tcW w:w="1162" w:type="dxa"/>
            <w:vAlign w:val="center"/>
          </w:tcPr>
          <w:p w14:paraId="5BF0B4E9" w14:textId="77777777" w:rsidR="003C2E14" w:rsidRPr="00A37444" w:rsidRDefault="003C2E14" w:rsidP="002D52C6">
            <w:pPr>
              <w:pStyle w:val="Tabletext"/>
              <w:jc w:val="center"/>
              <w:rPr>
                <w:b/>
                <w:color w:val="FF0000"/>
              </w:rPr>
            </w:pPr>
            <w:r>
              <w:rPr>
                <w:b/>
                <w:color w:val="FF0000"/>
              </w:rPr>
              <w:t>(</w:t>
            </w:r>
            <w:r w:rsidRPr="00A37444">
              <w:rPr>
                <w:b/>
                <w:color w:val="FF0000"/>
              </w:rPr>
              <w:t>$642,884</w:t>
            </w:r>
            <w:r>
              <w:rPr>
                <w:b/>
                <w:color w:val="FF0000"/>
              </w:rPr>
              <w:t>)</w:t>
            </w:r>
          </w:p>
        </w:tc>
        <w:tc>
          <w:tcPr>
            <w:tcW w:w="1163" w:type="dxa"/>
            <w:vAlign w:val="center"/>
          </w:tcPr>
          <w:p w14:paraId="3C5926FC" w14:textId="77777777" w:rsidR="003C2E14" w:rsidRPr="00A37444" w:rsidRDefault="003C2E14" w:rsidP="002D52C6">
            <w:pPr>
              <w:pStyle w:val="Tabletext"/>
              <w:jc w:val="center"/>
              <w:rPr>
                <w:b/>
                <w:color w:val="FF0000"/>
              </w:rPr>
            </w:pPr>
            <w:r>
              <w:rPr>
                <w:b/>
                <w:color w:val="FF0000"/>
              </w:rPr>
              <w:t>(</w:t>
            </w:r>
            <w:r w:rsidRPr="00A37444">
              <w:rPr>
                <w:b/>
                <w:color w:val="FF0000"/>
              </w:rPr>
              <w:t>$708,990</w:t>
            </w:r>
            <w:r>
              <w:rPr>
                <w:b/>
                <w:color w:val="FF0000"/>
              </w:rPr>
              <w:t>)</w:t>
            </w:r>
          </w:p>
        </w:tc>
        <w:tc>
          <w:tcPr>
            <w:tcW w:w="1162" w:type="dxa"/>
            <w:vAlign w:val="center"/>
          </w:tcPr>
          <w:p w14:paraId="4339714E" w14:textId="77777777" w:rsidR="003C2E14" w:rsidRPr="00A37444" w:rsidRDefault="003C2E14" w:rsidP="002D52C6">
            <w:pPr>
              <w:pStyle w:val="Tabletext"/>
              <w:tabs>
                <w:tab w:val="left" w:pos="630"/>
              </w:tabs>
              <w:jc w:val="center"/>
              <w:rPr>
                <w:b/>
                <w:color w:val="FF0000"/>
              </w:rPr>
            </w:pPr>
            <w:r>
              <w:rPr>
                <w:b/>
                <w:color w:val="FF0000"/>
              </w:rPr>
              <w:t>(</w:t>
            </w:r>
            <w:r w:rsidRPr="00A37444">
              <w:rPr>
                <w:b/>
                <w:color w:val="FF0000"/>
              </w:rPr>
              <w:t>$783,832</w:t>
            </w:r>
            <w:r>
              <w:rPr>
                <w:b/>
                <w:color w:val="FF0000"/>
              </w:rPr>
              <w:t>)</w:t>
            </w:r>
          </w:p>
        </w:tc>
        <w:tc>
          <w:tcPr>
            <w:tcW w:w="1163" w:type="dxa"/>
            <w:vAlign w:val="center"/>
          </w:tcPr>
          <w:p w14:paraId="0DBC9C6C" w14:textId="77777777" w:rsidR="003C2E14" w:rsidRPr="00A37444" w:rsidRDefault="003C2E14" w:rsidP="002D52C6">
            <w:pPr>
              <w:pStyle w:val="Tabletext"/>
              <w:jc w:val="center"/>
              <w:rPr>
                <w:b/>
                <w:color w:val="FF0000"/>
              </w:rPr>
            </w:pPr>
            <w:r>
              <w:rPr>
                <w:b/>
                <w:color w:val="FF0000"/>
              </w:rPr>
              <w:t>(</w:t>
            </w:r>
            <w:r w:rsidRPr="00A37444">
              <w:rPr>
                <w:b/>
                <w:color w:val="FF0000"/>
              </w:rPr>
              <w:t>$942,369</w:t>
            </w:r>
            <w:r>
              <w:rPr>
                <w:b/>
                <w:color w:val="FF0000"/>
              </w:rPr>
              <w:t>)</w:t>
            </w:r>
          </w:p>
        </w:tc>
      </w:tr>
    </w:tbl>
    <w:p w14:paraId="2D576C8E" w14:textId="77777777" w:rsidR="003C2E14" w:rsidRDefault="003C2E14" w:rsidP="003C2E14">
      <w:pPr>
        <w:rPr>
          <w:rFonts w:ascii="Arial Narrow" w:hAnsi="Arial Narrow"/>
          <w:sz w:val="18"/>
          <w:szCs w:val="18"/>
        </w:rPr>
      </w:pPr>
      <w:r>
        <w:rPr>
          <w:rFonts w:ascii="Arial Narrow" w:hAnsi="Arial Narrow"/>
          <w:sz w:val="18"/>
          <w:szCs w:val="18"/>
        </w:rPr>
        <w:t>AFG = autologous fat graft; BCS = breast conserving surgery</w:t>
      </w:r>
    </w:p>
    <w:p w14:paraId="3C39B944" w14:textId="521A6552" w:rsidR="003C2E14" w:rsidRPr="00CD3AD3" w:rsidRDefault="003C2E14" w:rsidP="003C2E14">
      <w:pPr>
        <w:rPr>
          <w:rFonts w:ascii="Arial Narrow" w:hAnsi="Arial Narrow"/>
          <w:sz w:val="18"/>
          <w:szCs w:val="18"/>
        </w:rPr>
      </w:pPr>
      <w:r>
        <w:rPr>
          <w:rFonts w:ascii="Arial Narrow" w:hAnsi="Arial Narrow"/>
          <w:sz w:val="18"/>
          <w:szCs w:val="18"/>
        </w:rPr>
        <w:t>Values in brackets</w:t>
      </w:r>
      <w:r w:rsidR="00CD3AD3">
        <w:rPr>
          <w:rFonts w:ascii="Arial Narrow" w:hAnsi="Arial Narrow"/>
          <w:sz w:val="18"/>
          <w:szCs w:val="18"/>
        </w:rPr>
        <w:t xml:space="preserve"> and red text represent savings</w:t>
      </w:r>
    </w:p>
    <w:p w14:paraId="4C1FE674" w14:textId="08FBB45A" w:rsidR="003C2E14" w:rsidRDefault="003C2E14" w:rsidP="00CD3AD3">
      <w:pPr>
        <w:spacing w:before="240"/>
      </w:pPr>
      <w:r>
        <w:t xml:space="preserve">For all other AFG subpopulations (A1, A2, A3) and Population B, the DCAR assumed there is not </w:t>
      </w:r>
      <w:r w:rsidRPr="00F6232F">
        <w:t>to be any implications for government hea</w:t>
      </w:r>
      <w:r w:rsidR="00CD3AD3">
        <w:t>lth budgets if AFG is listed.</w:t>
      </w:r>
    </w:p>
    <w:p w14:paraId="7ED8BFB6" w14:textId="77777777" w:rsidR="003C2E14" w:rsidRDefault="003C2E14" w:rsidP="00CD3AD3">
      <w:pPr>
        <w:keepNext/>
        <w:spacing w:before="240"/>
      </w:pPr>
      <w:r>
        <w:t>Overall, the DCAR considered there is considerable uncertainty in the financial estimates:</w:t>
      </w:r>
    </w:p>
    <w:p w14:paraId="5C3FA592" w14:textId="77777777" w:rsidR="003C2E14" w:rsidRDefault="003C2E14" w:rsidP="003C2E14">
      <w:pPr>
        <w:pStyle w:val="ListParagraph"/>
        <w:numPr>
          <w:ilvl w:val="0"/>
          <w:numId w:val="46"/>
        </w:numPr>
      </w:pPr>
      <w:r>
        <w:t>The DCAR was unable to identify studies, with the exception of pain studies, that provided clinical evidence of the substitution of AFG for current procedures. Most studies that had a current surgical option as a comparator also included AFG for secondary usage. It was unclear whether utilisation and costs would be over or underestimated.</w:t>
      </w:r>
    </w:p>
    <w:p w14:paraId="10BFC701" w14:textId="77777777" w:rsidR="003C2E14" w:rsidRDefault="003C2E14" w:rsidP="003C2E14">
      <w:pPr>
        <w:pStyle w:val="ListParagraph"/>
        <w:numPr>
          <w:ilvl w:val="0"/>
          <w:numId w:val="46"/>
        </w:numPr>
      </w:pPr>
      <w:r>
        <w:t>In estimating the usage of AFG, the number of procedures used to calculate the cost of AFG has mainly been from clinical studies where available. The number of AFG procedures is conservative when compared to the requested number of sessions in the ratified PICO Confirmation and may not reflect likely usage in Australia, which might result in the utilisation and costs to be underestimated.</w:t>
      </w:r>
    </w:p>
    <w:p w14:paraId="28423999" w14:textId="77777777" w:rsidR="003C2E14" w:rsidRDefault="003C2E14" w:rsidP="003C2E14">
      <w:pPr>
        <w:pStyle w:val="ListParagraph"/>
        <w:numPr>
          <w:ilvl w:val="0"/>
          <w:numId w:val="46"/>
        </w:numPr>
      </w:pPr>
      <w:r>
        <w:t>For most of the populations, it was not possible to estimate a prevalent population. There is potentially a large pool of patients who are post mastectomy or have had a reconstruction for which AFG may provide a service. Consequently, the utilisation and costs may have been underestimated.</w:t>
      </w:r>
    </w:p>
    <w:p w14:paraId="488FC865" w14:textId="6F070E85" w:rsidR="003C2E14" w:rsidRDefault="003C2E14" w:rsidP="003C2E14">
      <w:pPr>
        <w:pStyle w:val="ListParagraph"/>
        <w:numPr>
          <w:ilvl w:val="0"/>
          <w:numId w:val="46"/>
        </w:numPr>
      </w:pPr>
      <w:r>
        <w:t>The ability of AFG to substitute or be an adjunct for current services will be individual to each patient. The type and extensiveness of the breast reconstruction will be determined by the surgeon based on the extensiveness of the surgical and radiological treatment for the breast cancer, time between treatment for breast cancer and breast reconstruction, the presence and extensiveness of any prior breast reconstruction, the type of poor outcomes or the severity of the developmental breast condition. In addition, other factors such as age and any co-morbid conditions (such as diabetes) will impact on the surgical choices made. These individual characteristics could not be captured in the population and service estimates.</w:t>
      </w:r>
    </w:p>
    <w:p w14:paraId="758FEC6F" w14:textId="151D1931" w:rsidR="003C2E14" w:rsidRDefault="003C2E14" w:rsidP="003C2E14">
      <w:r>
        <w:lastRenderedPageBreak/>
        <w:t xml:space="preserve">The pre-ESC response claimed the </w:t>
      </w:r>
      <w:r w:rsidRPr="00ED4A2A">
        <w:t>estimated number of AFG services</w:t>
      </w:r>
      <w:r>
        <w:t xml:space="preserve"> (</w:t>
      </w:r>
      <w:r w:rsidRPr="00ED4A2A">
        <w:t xml:space="preserve">6,004 in Year </w:t>
      </w:r>
      <w:r>
        <w:t xml:space="preserve">1 increasing to 7,557 in Year 5) </w:t>
      </w:r>
      <w:r w:rsidRPr="004D69D4">
        <w:rPr>
          <w:i/>
        </w:rPr>
        <w:t>“seems greatly overexaggerated. I would estimate a small fraction of this service volume, and recommend further discussion on this critical point</w:t>
      </w:r>
      <w:r>
        <w:t>”</w:t>
      </w:r>
      <w:r w:rsidR="00CD3AD3">
        <w:t>.</w:t>
      </w:r>
    </w:p>
    <w:p w14:paraId="7D5E3C19" w14:textId="5D0ABFC2" w:rsidR="00BC1364" w:rsidRPr="005A4362" w:rsidRDefault="003C2E14" w:rsidP="00CD3AD3">
      <w:pPr>
        <w:pStyle w:val="Default"/>
        <w:spacing w:before="240" w:after="240"/>
        <w:rPr>
          <w:i/>
          <w:color w:val="auto"/>
        </w:rPr>
      </w:pPr>
      <w:r>
        <w:t xml:space="preserve">In the Rejoinder, the assessment group acknowledged that due to </w:t>
      </w:r>
      <w:r w:rsidRPr="00961E63">
        <w:t>issues with coding of breast reconstruction procedures for both MBS and AIHW data cubes</w:t>
      </w:r>
      <w:r>
        <w:t>,</w:t>
      </w:r>
      <w:r w:rsidRPr="00961E63">
        <w:t xml:space="preserve"> and the failure of the codes to reflect current surgical practice</w:t>
      </w:r>
      <w:r>
        <w:t>,</w:t>
      </w:r>
      <w:r w:rsidRPr="00961E63">
        <w:t xml:space="preserve"> the estimates </w:t>
      </w:r>
      <w:r>
        <w:t>were</w:t>
      </w:r>
      <w:r w:rsidRPr="00961E63">
        <w:t xml:space="preserve"> uncertain.</w:t>
      </w:r>
    </w:p>
    <w:p w14:paraId="2334879D" w14:textId="77777777" w:rsidR="006A0D97" w:rsidRPr="00F715D1" w:rsidRDefault="006A0D97" w:rsidP="00F715D1">
      <w:pPr>
        <w:pStyle w:val="Heading1"/>
      </w:pPr>
      <w:r w:rsidRPr="00F715D1">
        <w:t>Key issues from ESC for MSAC</w:t>
      </w:r>
    </w:p>
    <w:tbl>
      <w:tblPr>
        <w:tblStyle w:val="TableGrid3"/>
        <w:tblW w:w="0" w:type="auto"/>
        <w:tblLook w:val="04A0" w:firstRow="1" w:lastRow="0" w:firstColumn="1" w:lastColumn="0" w:noHBand="0" w:noVBand="1"/>
        <w:tblDescription w:val="Summary of key issues raised by ESC for MSAC consideration"/>
      </w:tblPr>
      <w:tblGrid>
        <w:gridCol w:w="2689"/>
        <w:gridCol w:w="6327"/>
      </w:tblGrid>
      <w:tr w:rsidR="00687501" w:rsidRPr="00C30260" w14:paraId="072175E0" w14:textId="77777777" w:rsidTr="002D52C6">
        <w:trPr>
          <w:tblHeader/>
        </w:trPr>
        <w:tc>
          <w:tcPr>
            <w:tcW w:w="2689" w:type="dxa"/>
          </w:tcPr>
          <w:p w14:paraId="314367AE" w14:textId="77777777" w:rsidR="00687501" w:rsidRPr="00C30260" w:rsidRDefault="00687501" w:rsidP="002D52C6">
            <w:pPr>
              <w:widowControl w:val="0"/>
              <w:spacing w:before="60" w:after="60"/>
              <w:rPr>
                <w:b/>
                <w:bCs/>
                <w:color w:val="000000"/>
                <w:sz w:val="21"/>
                <w:szCs w:val="21"/>
              </w:rPr>
            </w:pPr>
            <w:r w:rsidRPr="00C30260">
              <w:rPr>
                <w:b/>
                <w:bCs/>
                <w:color w:val="000000"/>
                <w:sz w:val="21"/>
                <w:szCs w:val="21"/>
              </w:rPr>
              <w:t>ESC key issue</w:t>
            </w:r>
          </w:p>
        </w:tc>
        <w:tc>
          <w:tcPr>
            <w:tcW w:w="6327" w:type="dxa"/>
          </w:tcPr>
          <w:p w14:paraId="01ED494B" w14:textId="77777777" w:rsidR="00687501" w:rsidRPr="00C30260" w:rsidRDefault="00687501" w:rsidP="002D52C6">
            <w:pPr>
              <w:widowControl w:val="0"/>
              <w:spacing w:before="60" w:after="60"/>
              <w:rPr>
                <w:b/>
                <w:bCs/>
                <w:color w:val="000000"/>
                <w:sz w:val="21"/>
                <w:szCs w:val="21"/>
              </w:rPr>
            </w:pPr>
            <w:r w:rsidRPr="00C30260">
              <w:rPr>
                <w:b/>
                <w:bCs/>
                <w:color w:val="000000"/>
                <w:sz w:val="21"/>
                <w:szCs w:val="21"/>
              </w:rPr>
              <w:t>ESC advice to MSAC</w:t>
            </w:r>
          </w:p>
        </w:tc>
      </w:tr>
      <w:tr w:rsidR="00687501" w:rsidRPr="00C30260" w14:paraId="5B52CCF1" w14:textId="77777777" w:rsidTr="002D52C6">
        <w:tc>
          <w:tcPr>
            <w:tcW w:w="2689" w:type="dxa"/>
          </w:tcPr>
          <w:p w14:paraId="29B3CBA0" w14:textId="77777777" w:rsidR="00687501" w:rsidRPr="00C30260" w:rsidRDefault="00687501" w:rsidP="002D52C6">
            <w:pPr>
              <w:widowControl w:val="0"/>
              <w:spacing w:before="60" w:after="60"/>
              <w:rPr>
                <w:color w:val="000000"/>
                <w:sz w:val="21"/>
                <w:szCs w:val="21"/>
              </w:rPr>
            </w:pPr>
            <w:r>
              <w:rPr>
                <w:color w:val="000000"/>
                <w:sz w:val="21"/>
                <w:szCs w:val="21"/>
              </w:rPr>
              <w:t xml:space="preserve">Low quality evidence </w:t>
            </w:r>
          </w:p>
        </w:tc>
        <w:tc>
          <w:tcPr>
            <w:tcW w:w="6327" w:type="dxa"/>
          </w:tcPr>
          <w:p w14:paraId="71977AE6" w14:textId="77777777" w:rsidR="00687501" w:rsidRPr="00C30260" w:rsidRDefault="00687501" w:rsidP="002D52C6">
            <w:pPr>
              <w:widowControl w:val="0"/>
              <w:spacing w:before="60" w:after="60"/>
              <w:rPr>
                <w:color w:val="000000"/>
                <w:sz w:val="21"/>
                <w:szCs w:val="21"/>
              </w:rPr>
            </w:pPr>
            <w:r>
              <w:rPr>
                <w:color w:val="000000"/>
                <w:sz w:val="21"/>
                <w:szCs w:val="21"/>
              </w:rPr>
              <w:t>M</w:t>
            </w:r>
            <w:r w:rsidRPr="00573AEE">
              <w:rPr>
                <w:color w:val="000000"/>
                <w:sz w:val="21"/>
                <w:szCs w:val="21"/>
              </w:rPr>
              <w:t xml:space="preserve">ost studies were low quality and had a high risk of bias, but </w:t>
            </w:r>
            <w:r>
              <w:rPr>
                <w:color w:val="000000"/>
                <w:sz w:val="21"/>
                <w:szCs w:val="21"/>
              </w:rPr>
              <w:t xml:space="preserve">ESC </w:t>
            </w:r>
            <w:r w:rsidRPr="00573AEE">
              <w:rPr>
                <w:color w:val="000000"/>
                <w:sz w:val="21"/>
                <w:szCs w:val="21"/>
              </w:rPr>
              <w:t>acknowledged the difficulty in conducting a study in this patient group without a risk of bias.</w:t>
            </w:r>
            <w:r>
              <w:rPr>
                <w:color w:val="000000"/>
                <w:sz w:val="21"/>
                <w:szCs w:val="21"/>
              </w:rPr>
              <w:t xml:space="preserve"> The overall low quality evidence had flow on effects to the consideration of the economics and financials.</w:t>
            </w:r>
          </w:p>
        </w:tc>
      </w:tr>
      <w:tr w:rsidR="00687501" w:rsidRPr="00C30260" w14:paraId="22B1FD5E" w14:textId="77777777" w:rsidTr="002D52C6">
        <w:tc>
          <w:tcPr>
            <w:tcW w:w="2689" w:type="dxa"/>
          </w:tcPr>
          <w:p w14:paraId="128D13B1" w14:textId="77777777" w:rsidR="00687501" w:rsidRPr="00C30260" w:rsidRDefault="00687501" w:rsidP="002D52C6">
            <w:pPr>
              <w:widowControl w:val="0"/>
              <w:spacing w:before="60" w:after="60"/>
              <w:rPr>
                <w:color w:val="000000"/>
                <w:sz w:val="21"/>
                <w:szCs w:val="21"/>
              </w:rPr>
            </w:pPr>
            <w:r>
              <w:rPr>
                <w:color w:val="000000"/>
                <w:sz w:val="21"/>
                <w:szCs w:val="21"/>
              </w:rPr>
              <w:t>Uncertainty regarding clinical claims</w:t>
            </w:r>
          </w:p>
        </w:tc>
        <w:tc>
          <w:tcPr>
            <w:tcW w:w="6327" w:type="dxa"/>
          </w:tcPr>
          <w:p w14:paraId="4939347C" w14:textId="77777777" w:rsidR="00687501" w:rsidRDefault="00687501" w:rsidP="002D52C6">
            <w:pPr>
              <w:widowControl w:val="0"/>
              <w:spacing w:before="60" w:after="60"/>
              <w:rPr>
                <w:color w:val="000000"/>
                <w:sz w:val="21"/>
                <w:szCs w:val="21"/>
              </w:rPr>
            </w:pPr>
            <w:r>
              <w:rPr>
                <w:color w:val="000000"/>
                <w:sz w:val="21"/>
                <w:szCs w:val="21"/>
              </w:rPr>
              <w:t>AFG has uncertain safety in most population groups; however, noting no signal for difference in locoregional recurrence of breast cancer in Population A.</w:t>
            </w:r>
          </w:p>
          <w:p w14:paraId="329F41F4" w14:textId="77777777" w:rsidR="00687501" w:rsidRPr="00C30260" w:rsidRDefault="00687501" w:rsidP="002D52C6">
            <w:pPr>
              <w:widowControl w:val="0"/>
              <w:spacing w:before="60" w:after="60"/>
              <w:rPr>
                <w:color w:val="000000"/>
                <w:sz w:val="21"/>
                <w:szCs w:val="21"/>
              </w:rPr>
            </w:pPr>
            <w:r>
              <w:rPr>
                <w:color w:val="000000"/>
                <w:sz w:val="21"/>
                <w:szCs w:val="21"/>
              </w:rPr>
              <w:t xml:space="preserve">AFG has superior effectiveness in most subgroups of Population A, noting most convincing evidence for </w:t>
            </w:r>
            <w:r w:rsidRPr="00C30260">
              <w:rPr>
                <w:color w:val="000000"/>
              </w:rPr>
              <w:t>post-</w:t>
            </w:r>
            <w:r>
              <w:rPr>
                <w:color w:val="000000"/>
              </w:rPr>
              <w:t>mastectomy pain syndrome (</w:t>
            </w:r>
            <w:r>
              <w:rPr>
                <w:color w:val="000000"/>
                <w:sz w:val="21"/>
                <w:szCs w:val="21"/>
              </w:rPr>
              <w:t xml:space="preserve">PMPS) subpopulation, but much less evidence and less convincing evidence for Population B. ESC queried if different levels of evidence and outcomes in subpopulations may provide basis for restricting down this item. </w:t>
            </w:r>
          </w:p>
        </w:tc>
      </w:tr>
      <w:tr w:rsidR="00687501" w:rsidRPr="00C30260" w14:paraId="4AA22DA1" w14:textId="77777777" w:rsidTr="002D52C6">
        <w:tc>
          <w:tcPr>
            <w:tcW w:w="2689" w:type="dxa"/>
          </w:tcPr>
          <w:p w14:paraId="2151BCD1" w14:textId="77777777" w:rsidR="00687501" w:rsidRPr="00C30260" w:rsidRDefault="00687501" w:rsidP="002D52C6">
            <w:pPr>
              <w:widowControl w:val="0"/>
              <w:spacing w:before="60" w:after="60"/>
              <w:rPr>
                <w:color w:val="000000"/>
                <w:sz w:val="21"/>
                <w:szCs w:val="21"/>
              </w:rPr>
            </w:pPr>
            <w:r w:rsidRPr="00C30260">
              <w:rPr>
                <w:color w:val="000000"/>
                <w:sz w:val="21"/>
                <w:szCs w:val="21"/>
              </w:rPr>
              <w:t>Psychological benefits</w:t>
            </w:r>
            <w:r>
              <w:rPr>
                <w:color w:val="000000"/>
                <w:sz w:val="21"/>
                <w:szCs w:val="21"/>
              </w:rPr>
              <w:t xml:space="preserve"> of AFG</w:t>
            </w:r>
            <w:r w:rsidRPr="00C30260">
              <w:rPr>
                <w:color w:val="000000"/>
                <w:sz w:val="21"/>
                <w:szCs w:val="21"/>
              </w:rPr>
              <w:t xml:space="preserve"> for women</w:t>
            </w:r>
          </w:p>
        </w:tc>
        <w:tc>
          <w:tcPr>
            <w:tcW w:w="6327" w:type="dxa"/>
          </w:tcPr>
          <w:p w14:paraId="57C56435" w14:textId="77777777" w:rsidR="00687501" w:rsidRPr="00C30260" w:rsidRDefault="00687501" w:rsidP="002D52C6">
            <w:pPr>
              <w:widowControl w:val="0"/>
              <w:spacing w:before="60" w:after="60"/>
              <w:rPr>
                <w:color w:val="000000"/>
                <w:sz w:val="21"/>
                <w:szCs w:val="21"/>
              </w:rPr>
            </w:pPr>
            <w:r w:rsidRPr="00C30260">
              <w:rPr>
                <w:color w:val="000000"/>
                <w:sz w:val="21"/>
                <w:szCs w:val="21"/>
              </w:rPr>
              <w:t xml:space="preserve">ESC </w:t>
            </w:r>
            <w:r>
              <w:rPr>
                <w:color w:val="000000"/>
                <w:sz w:val="21"/>
                <w:szCs w:val="21"/>
              </w:rPr>
              <w:t>noted</w:t>
            </w:r>
            <w:r w:rsidRPr="00C30260">
              <w:rPr>
                <w:color w:val="000000"/>
                <w:sz w:val="21"/>
                <w:szCs w:val="21"/>
              </w:rPr>
              <w:t xml:space="preserve"> the applicant’s pre-ESC response, which argued that the </w:t>
            </w:r>
            <w:r>
              <w:rPr>
                <w:color w:val="000000"/>
                <w:sz w:val="21"/>
                <w:szCs w:val="21"/>
              </w:rPr>
              <w:t>DCAR</w:t>
            </w:r>
            <w:r w:rsidRPr="00C30260">
              <w:rPr>
                <w:color w:val="000000"/>
                <w:sz w:val="21"/>
                <w:szCs w:val="21"/>
              </w:rPr>
              <w:t xml:space="preserve"> does not adequately consider the psychological benefits of AFG for women. ESC considered </w:t>
            </w:r>
            <w:r>
              <w:rPr>
                <w:color w:val="000000"/>
                <w:sz w:val="21"/>
                <w:szCs w:val="21"/>
              </w:rPr>
              <w:t>that long-term implications for a person’s wellbeing might not be fully reflected in the available outcome measures</w:t>
            </w:r>
            <w:r w:rsidRPr="00C30260">
              <w:rPr>
                <w:color w:val="000000"/>
                <w:sz w:val="21"/>
                <w:szCs w:val="21"/>
              </w:rPr>
              <w:t>.</w:t>
            </w:r>
          </w:p>
        </w:tc>
      </w:tr>
      <w:tr w:rsidR="00687501" w:rsidRPr="00C30260" w14:paraId="343F5E68" w14:textId="77777777" w:rsidTr="002D52C6">
        <w:tc>
          <w:tcPr>
            <w:tcW w:w="2689" w:type="dxa"/>
          </w:tcPr>
          <w:p w14:paraId="4ABD544D" w14:textId="77777777" w:rsidR="00687501" w:rsidRPr="00C30260" w:rsidRDefault="00687501" w:rsidP="002D52C6">
            <w:pPr>
              <w:widowControl w:val="0"/>
              <w:spacing w:before="60" w:after="60"/>
              <w:rPr>
                <w:color w:val="000000"/>
                <w:sz w:val="21"/>
                <w:szCs w:val="21"/>
              </w:rPr>
            </w:pPr>
            <w:r w:rsidRPr="00C30260">
              <w:rPr>
                <w:color w:val="000000"/>
                <w:sz w:val="21"/>
                <w:szCs w:val="21"/>
              </w:rPr>
              <w:t>Duration of treatment effect</w:t>
            </w:r>
            <w:r>
              <w:rPr>
                <w:color w:val="000000"/>
                <w:sz w:val="21"/>
                <w:szCs w:val="21"/>
              </w:rPr>
              <w:t xml:space="preserve"> of AFG</w:t>
            </w:r>
          </w:p>
        </w:tc>
        <w:tc>
          <w:tcPr>
            <w:tcW w:w="6327" w:type="dxa"/>
          </w:tcPr>
          <w:p w14:paraId="5C57ED81" w14:textId="77777777" w:rsidR="00687501" w:rsidRPr="00C30260" w:rsidRDefault="00687501" w:rsidP="002D52C6">
            <w:pPr>
              <w:widowControl w:val="0"/>
              <w:spacing w:before="60" w:after="60"/>
              <w:rPr>
                <w:color w:val="000000"/>
                <w:sz w:val="21"/>
                <w:szCs w:val="21"/>
              </w:rPr>
            </w:pPr>
            <w:r>
              <w:rPr>
                <w:color w:val="000000"/>
                <w:sz w:val="21"/>
                <w:szCs w:val="21"/>
              </w:rPr>
              <w:t>Overall, this remained uncertain due to the limited evidence provided in the DCAR. ESC considered that more</w:t>
            </w:r>
            <w:r w:rsidRPr="00C30260">
              <w:rPr>
                <w:color w:val="000000"/>
                <w:sz w:val="21"/>
                <w:szCs w:val="21"/>
              </w:rPr>
              <w:t xml:space="preserve"> </w:t>
            </w:r>
            <w:r>
              <w:rPr>
                <w:color w:val="000000"/>
                <w:sz w:val="21"/>
                <w:szCs w:val="21"/>
              </w:rPr>
              <w:t>information for this could be useful for when this application is considered by MSAC.</w:t>
            </w:r>
          </w:p>
        </w:tc>
      </w:tr>
      <w:tr w:rsidR="00687501" w:rsidRPr="00C30260" w14:paraId="3C1D2F8E" w14:textId="77777777" w:rsidTr="002D52C6">
        <w:tc>
          <w:tcPr>
            <w:tcW w:w="2689" w:type="dxa"/>
          </w:tcPr>
          <w:p w14:paraId="7E158EE0" w14:textId="77777777" w:rsidR="00687501" w:rsidRPr="00C30260" w:rsidRDefault="00687501" w:rsidP="002D52C6">
            <w:pPr>
              <w:widowControl w:val="0"/>
              <w:spacing w:before="60" w:after="60"/>
              <w:rPr>
                <w:color w:val="000000"/>
                <w:sz w:val="21"/>
                <w:szCs w:val="21"/>
              </w:rPr>
            </w:pPr>
            <w:r>
              <w:rPr>
                <w:color w:val="000000"/>
                <w:sz w:val="21"/>
                <w:szCs w:val="21"/>
              </w:rPr>
              <w:t>Economic outcomes uncertain and rely heavily on assumptions</w:t>
            </w:r>
          </w:p>
        </w:tc>
        <w:tc>
          <w:tcPr>
            <w:tcW w:w="6327" w:type="dxa"/>
          </w:tcPr>
          <w:p w14:paraId="1C171213" w14:textId="77777777" w:rsidR="00687501" w:rsidRDefault="00687501" w:rsidP="002D52C6">
            <w:pPr>
              <w:widowControl w:val="0"/>
              <w:spacing w:before="60" w:after="60"/>
              <w:rPr>
                <w:color w:val="000000"/>
                <w:sz w:val="21"/>
                <w:szCs w:val="21"/>
              </w:rPr>
            </w:pPr>
            <w:r>
              <w:rPr>
                <w:color w:val="000000"/>
                <w:sz w:val="21"/>
                <w:szCs w:val="21"/>
              </w:rPr>
              <w:t>In the absence of sufficient evidence, ESC considered if a cost-consequence approach could provide a way of simplifying the problem and increasing transparency of decision making.</w:t>
            </w:r>
          </w:p>
        </w:tc>
      </w:tr>
      <w:tr w:rsidR="00687501" w:rsidRPr="00C30260" w14:paraId="0E56B7A1" w14:textId="77777777" w:rsidTr="002D52C6">
        <w:tc>
          <w:tcPr>
            <w:tcW w:w="2689" w:type="dxa"/>
          </w:tcPr>
          <w:p w14:paraId="46B62D75" w14:textId="77777777" w:rsidR="00687501" w:rsidRDefault="00687501" w:rsidP="002D52C6">
            <w:pPr>
              <w:widowControl w:val="0"/>
              <w:spacing w:before="60" w:after="60"/>
              <w:rPr>
                <w:color w:val="000000"/>
                <w:sz w:val="21"/>
                <w:szCs w:val="21"/>
              </w:rPr>
            </w:pPr>
            <w:r>
              <w:rPr>
                <w:color w:val="000000"/>
                <w:sz w:val="21"/>
                <w:szCs w:val="21"/>
              </w:rPr>
              <w:t>Financial estimates</w:t>
            </w:r>
          </w:p>
        </w:tc>
        <w:tc>
          <w:tcPr>
            <w:tcW w:w="6327" w:type="dxa"/>
          </w:tcPr>
          <w:p w14:paraId="55FAB74C" w14:textId="77777777" w:rsidR="00687501" w:rsidRDefault="00687501" w:rsidP="002D52C6">
            <w:pPr>
              <w:widowControl w:val="0"/>
              <w:spacing w:before="60" w:after="60"/>
              <w:rPr>
                <w:color w:val="000000"/>
                <w:sz w:val="21"/>
                <w:szCs w:val="21"/>
              </w:rPr>
            </w:pPr>
            <w:r>
              <w:rPr>
                <w:color w:val="000000"/>
                <w:sz w:val="21"/>
                <w:szCs w:val="21"/>
              </w:rPr>
              <w:t xml:space="preserve">Population A contributes most to the financial impact. ESC </w:t>
            </w:r>
            <w:r w:rsidRPr="00BC0356">
              <w:rPr>
                <w:color w:val="000000"/>
                <w:sz w:val="21"/>
                <w:szCs w:val="21"/>
              </w:rPr>
              <w:t>noted considerable uncertainties in the estimates, including issues around how breast surgery is coded through Australian Institute of Health and Welfare (AIHW) data and MBS data, uncertain extent of AFG use, and the reliance on clinical studies to inform the financial estimates. Overall, ESC considered that usage may be underestimated (as only the incident population is included, not the prevalent population) or overestimated (</w:t>
            </w:r>
            <w:r>
              <w:rPr>
                <w:color w:val="000000"/>
                <w:sz w:val="21"/>
                <w:szCs w:val="21"/>
              </w:rPr>
              <w:t>population estimates, and cost offsets</w:t>
            </w:r>
            <w:r w:rsidRPr="00BC0356">
              <w:rPr>
                <w:color w:val="000000"/>
                <w:sz w:val="21"/>
                <w:szCs w:val="21"/>
              </w:rPr>
              <w:t xml:space="preserve"> </w:t>
            </w:r>
            <w:r>
              <w:rPr>
                <w:color w:val="000000"/>
                <w:sz w:val="21"/>
                <w:szCs w:val="21"/>
              </w:rPr>
              <w:t>related to</w:t>
            </w:r>
            <w:r w:rsidRPr="00BC0356">
              <w:rPr>
                <w:color w:val="000000"/>
                <w:sz w:val="21"/>
                <w:szCs w:val="21"/>
              </w:rPr>
              <w:t xml:space="preserve"> analgesics from PBS).</w:t>
            </w:r>
          </w:p>
        </w:tc>
      </w:tr>
      <w:tr w:rsidR="00687501" w:rsidRPr="00C30260" w14:paraId="247A3B9E" w14:textId="77777777" w:rsidTr="002D52C6">
        <w:tc>
          <w:tcPr>
            <w:tcW w:w="2689" w:type="dxa"/>
          </w:tcPr>
          <w:p w14:paraId="2FCF46E0" w14:textId="77777777" w:rsidR="00687501" w:rsidRPr="00C30260" w:rsidRDefault="00687501" w:rsidP="002D52C6">
            <w:pPr>
              <w:widowControl w:val="0"/>
              <w:spacing w:before="60" w:after="60"/>
              <w:rPr>
                <w:color w:val="000000"/>
                <w:sz w:val="21"/>
                <w:szCs w:val="21"/>
              </w:rPr>
            </w:pPr>
            <w:r>
              <w:rPr>
                <w:color w:val="000000"/>
                <w:sz w:val="21"/>
                <w:szCs w:val="21"/>
              </w:rPr>
              <w:t xml:space="preserve">Item descriptor - </w:t>
            </w:r>
            <w:r w:rsidRPr="00C30260">
              <w:rPr>
                <w:color w:val="000000"/>
                <w:sz w:val="21"/>
                <w:szCs w:val="21"/>
              </w:rPr>
              <w:t>Risk of leakage</w:t>
            </w:r>
          </w:p>
        </w:tc>
        <w:tc>
          <w:tcPr>
            <w:tcW w:w="6327" w:type="dxa"/>
          </w:tcPr>
          <w:p w14:paraId="3DDEB95F" w14:textId="77777777" w:rsidR="00687501" w:rsidRPr="00C30260" w:rsidRDefault="00687501" w:rsidP="002D52C6">
            <w:pPr>
              <w:widowControl w:val="0"/>
              <w:spacing w:before="60" w:after="60"/>
              <w:rPr>
                <w:color w:val="000000"/>
                <w:sz w:val="21"/>
                <w:szCs w:val="21"/>
              </w:rPr>
            </w:pPr>
            <w:r w:rsidRPr="00C30260">
              <w:rPr>
                <w:color w:val="000000"/>
                <w:sz w:val="21"/>
                <w:szCs w:val="21"/>
              </w:rPr>
              <w:t xml:space="preserve">ESC </w:t>
            </w:r>
            <w:r>
              <w:rPr>
                <w:color w:val="000000"/>
                <w:sz w:val="21"/>
                <w:szCs w:val="21"/>
              </w:rPr>
              <w:t>noted</w:t>
            </w:r>
            <w:r w:rsidRPr="00C30260">
              <w:rPr>
                <w:color w:val="000000"/>
                <w:sz w:val="21"/>
                <w:szCs w:val="21"/>
              </w:rPr>
              <w:t xml:space="preserve"> that the risk of leakage for cosmetic purposes was greatest for </w:t>
            </w:r>
            <w:r>
              <w:rPr>
                <w:color w:val="000000"/>
                <w:sz w:val="21"/>
                <w:szCs w:val="21"/>
              </w:rPr>
              <w:t>P</w:t>
            </w:r>
            <w:r w:rsidRPr="00C30260">
              <w:rPr>
                <w:color w:val="000000"/>
                <w:sz w:val="21"/>
                <w:szCs w:val="21"/>
              </w:rPr>
              <w:t xml:space="preserve">opulation B. ESC considered that the developmental disorders in the item descriptor should be defined (e.g. patients with congenital tuberous breasts or unilateral hypomastia causing asymmetry with a &gt;20% difference to the contralateral side) to minimise risk of leakage. </w:t>
            </w:r>
          </w:p>
        </w:tc>
      </w:tr>
      <w:tr w:rsidR="00687501" w:rsidRPr="00C30260" w14:paraId="360339C8" w14:textId="77777777" w:rsidTr="002D52C6">
        <w:tc>
          <w:tcPr>
            <w:tcW w:w="2689" w:type="dxa"/>
          </w:tcPr>
          <w:p w14:paraId="004DE888" w14:textId="77777777" w:rsidR="00687501" w:rsidRPr="00C30260" w:rsidRDefault="00687501" w:rsidP="002D52C6">
            <w:pPr>
              <w:widowControl w:val="0"/>
              <w:spacing w:before="60" w:after="60"/>
              <w:rPr>
                <w:color w:val="000000"/>
                <w:sz w:val="21"/>
                <w:szCs w:val="21"/>
              </w:rPr>
            </w:pPr>
            <w:r>
              <w:rPr>
                <w:color w:val="000000"/>
                <w:sz w:val="21"/>
                <w:szCs w:val="21"/>
              </w:rPr>
              <w:t xml:space="preserve">Item descriptor - </w:t>
            </w:r>
            <w:r w:rsidRPr="00C30260">
              <w:rPr>
                <w:color w:val="000000"/>
                <w:sz w:val="21"/>
                <w:szCs w:val="21"/>
              </w:rPr>
              <w:t>Bilateral item number</w:t>
            </w:r>
          </w:p>
        </w:tc>
        <w:tc>
          <w:tcPr>
            <w:tcW w:w="6327" w:type="dxa"/>
          </w:tcPr>
          <w:p w14:paraId="47DE4B80" w14:textId="77777777" w:rsidR="00687501" w:rsidRPr="00C30260" w:rsidRDefault="00687501" w:rsidP="002D52C6">
            <w:pPr>
              <w:widowControl w:val="0"/>
              <w:spacing w:before="60" w:after="60"/>
              <w:rPr>
                <w:color w:val="000000"/>
                <w:sz w:val="21"/>
                <w:szCs w:val="21"/>
              </w:rPr>
            </w:pPr>
            <w:r w:rsidRPr="00C30260">
              <w:rPr>
                <w:color w:val="000000"/>
                <w:sz w:val="21"/>
                <w:szCs w:val="21"/>
              </w:rPr>
              <w:t xml:space="preserve">ESC </w:t>
            </w:r>
            <w:r>
              <w:rPr>
                <w:color w:val="000000"/>
                <w:sz w:val="21"/>
                <w:szCs w:val="21"/>
              </w:rPr>
              <w:t xml:space="preserve">advised </w:t>
            </w:r>
            <w:r w:rsidRPr="00C30260">
              <w:rPr>
                <w:color w:val="000000"/>
                <w:sz w:val="21"/>
                <w:szCs w:val="21"/>
              </w:rPr>
              <w:t>that an item for bilateral services should also be developed to align with other MBS items.</w:t>
            </w:r>
          </w:p>
        </w:tc>
      </w:tr>
      <w:tr w:rsidR="00687501" w:rsidRPr="00C30260" w14:paraId="475501D2" w14:textId="77777777" w:rsidTr="002D52C6">
        <w:tc>
          <w:tcPr>
            <w:tcW w:w="2689" w:type="dxa"/>
          </w:tcPr>
          <w:p w14:paraId="34CC6C13" w14:textId="77777777" w:rsidR="00687501" w:rsidRPr="00C30260" w:rsidRDefault="00687501" w:rsidP="002D52C6">
            <w:pPr>
              <w:widowControl w:val="0"/>
              <w:spacing w:before="60" w:after="60"/>
              <w:rPr>
                <w:color w:val="000000"/>
                <w:sz w:val="21"/>
                <w:szCs w:val="21"/>
              </w:rPr>
            </w:pPr>
            <w:r>
              <w:rPr>
                <w:color w:val="000000"/>
                <w:sz w:val="21"/>
                <w:szCs w:val="21"/>
              </w:rPr>
              <w:t xml:space="preserve">Item descriptor - </w:t>
            </w:r>
            <w:r w:rsidRPr="00C30260">
              <w:rPr>
                <w:color w:val="000000"/>
                <w:sz w:val="21"/>
                <w:szCs w:val="21"/>
              </w:rPr>
              <w:t xml:space="preserve">Alignment with application 1577 (AFG for the treatment of burn </w:t>
            </w:r>
            <w:r w:rsidRPr="00C30260">
              <w:rPr>
                <w:color w:val="000000"/>
                <w:sz w:val="21"/>
                <w:szCs w:val="21"/>
              </w:rPr>
              <w:lastRenderedPageBreak/>
              <w:t>scars, and facial defects due to craniofacial abnormalities)</w:t>
            </w:r>
          </w:p>
        </w:tc>
        <w:tc>
          <w:tcPr>
            <w:tcW w:w="6327" w:type="dxa"/>
          </w:tcPr>
          <w:p w14:paraId="215AD425" w14:textId="77777777" w:rsidR="00687501" w:rsidRPr="00C30260" w:rsidRDefault="00687501" w:rsidP="002D52C6">
            <w:pPr>
              <w:widowControl w:val="0"/>
              <w:spacing w:before="60" w:after="60"/>
              <w:rPr>
                <w:color w:val="000000"/>
                <w:sz w:val="21"/>
                <w:szCs w:val="21"/>
              </w:rPr>
            </w:pPr>
            <w:r w:rsidRPr="00C30260">
              <w:rPr>
                <w:color w:val="000000"/>
                <w:sz w:val="21"/>
                <w:szCs w:val="21"/>
              </w:rPr>
              <w:lastRenderedPageBreak/>
              <w:t xml:space="preserve">ESC </w:t>
            </w:r>
            <w:r>
              <w:rPr>
                <w:color w:val="000000"/>
                <w:sz w:val="21"/>
                <w:szCs w:val="21"/>
              </w:rPr>
              <w:t>advised</w:t>
            </w:r>
            <w:r w:rsidRPr="00C30260">
              <w:rPr>
                <w:color w:val="000000"/>
                <w:sz w:val="21"/>
                <w:szCs w:val="21"/>
              </w:rPr>
              <w:t xml:space="preserve"> that MSAC consider aligning item descriptors for Applications 1575 and 1577; specifically, whether:</w:t>
            </w:r>
          </w:p>
          <w:p w14:paraId="34894E9B" w14:textId="77777777" w:rsidR="00687501" w:rsidRPr="00406CD1" w:rsidRDefault="00687501" w:rsidP="00687501">
            <w:pPr>
              <w:pStyle w:val="ListParagraph"/>
              <w:widowControl w:val="0"/>
              <w:numPr>
                <w:ilvl w:val="0"/>
                <w:numId w:val="26"/>
              </w:numPr>
              <w:tabs>
                <w:tab w:val="left" w:pos="216"/>
              </w:tabs>
              <w:spacing w:before="60" w:after="60"/>
              <w:rPr>
                <w:color w:val="000000"/>
                <w:sz w:val="21"/>
                <w:szCs w:val="21"/>
              </w:rPr>
            </w:pPr>
            <w:r w:rsidRPr="00406CD1">
              <w:rPr>
                <w:color w:val="000000"/>
                <w:sz w:val="21"/>
                <w:szCs w:val="21"/>
              </w:rPr>
              <w:lastRenderedPageBreak/>
              <w:t>there should be a 3-month wait between multiple services</w:t>
            </w:r>
          </w:p>
          <w:p w14:paraId="12996EDF" w14:textId="77777777" w:rsidR="00687501" w:rsidRPr="00406CD1" w:rsidRDefault="00687501" w:rsidP="00687501">
            <w:pPr>
              <w:pStyle w:val="ListParagraph"/>
              <w:widowControl w:val="0"/>
              <w:numPr>
                <w:ilvl w:val="0"/>
                <w:numId w:val="26"/>
              </w:numPr>
              <w:tabs>
                <w:tab w:val="left" w:pos="216"/>
              </w:tabs>
              <w:spacing w:before="60" w:after="60"/>
              <w:rPr>
                <w:color w:val="000000"/>
                <w:sz w:val="21"/>
                <w:szCs w:val="21"/>
              </w:rPr>
            </w:pPr>
            <w:r w:rsidRPr="00406CD1">
              <w:rPr>
                <w:color w:val="000000"/>
                <w:sz w:val="21"/>
                <w:szCs w:val="21"/>
              </w:rPr>
              <w:t>the number of services per side should be limited to 3 or 5</w:t>
            </w:r>
          </w:p>
          <w:p w14:paraId="233F1D55" w14:textId="77777777" w:rsidR="00687501" w:rsidRPr="0030708D" w:rsidRDefault="00687501" w:rsidP="00687501">
            <w:pPr>
              <w:pStyle w:val="ListParagraph"/>
              <w:widowControl w:val="0"/>
              <w:numPr>
                <w:ilvl w:val="0"/>
                <w:numId w:val="26"/>
              </w:numPr>
              <w:tabs>
                <w:tab w:val="left" w:pos="216"/>
              </w:tabs>
              <w:spacing w:before="60" w:after="60"/>
              <w:rPr>
                <w:color w:val="000000"/>
                <w:sz w:val="21"/>
                <w:szCs w:val="21"/>
              </w:rPr>
            </w:pPr>
            <w:r w:rsidRPr="00406CD1">
              <w:rPr>
                <w:color w:val="000000"/>
                <w:sz w:val="21"/>
                <w:szCs w:val="21"/>
              </w:rPr>
              <w:t>there should be a maximum lifetime limit on services</w:t>
            </w:r>
            <w:r w:rsidRPr="0030708D">
              <w:rPr>
                <w:color w:val="000000"/>
                <w:sz w:val="21"/>
                <w:szCs w:val="21"/>
              </w:rPr>
              <w:t>.</w:t>
            </w:r>
          </w:p>
        </w:tc>
      </w:tr>
    </w:tbl>
    <w:p w14:paraId="129E41F9" w14:textId="77777777" w:rsidR="006A0D97" w:rsidRDefault="00F56D7F" w:rsidP="00CD3AD3">
      <w:pPr>
        <w:spacing w:before="240" w:after="240"/>
        <w:rPr>
          <w:b/>
        </w:rPr>
      </w:pPr>
      <w:r w:rsidRPr="00F56D7F">
        <w:rPr>
          <w:b/>
        </w:rPr>
        <w:lastRenderedPageBreak/>
        <w:t>ESC discussion</w:t>
      </w:r>
    </w:p>
    <w:p w14:paraId="5C55994A" w14:textId="77777777" w:rsidR="00687501" w:rsidRPr="00C30260" w:rsidRDefault="00687501" w:rsidP="00687501">
      <w:pPr>
        <w:spacing w:after="240"/>
        <w:rPr>
          <w:color w:val="000000"/>
        </w:rPr>
      </w:pPr>
      <w:r w:rsidRPr="00C30260">
        <w:rPr>
          <w:color w:val="000000"/>
        </w:rPr>
        <w:t>ESC noted the application</w:t>
      </w:r>
      <w:r>
        <w:rPr>
          <w:color w:val="000000"/>
        </w:rPr>
        <w:t xml:space="preserve"> was</w:t>
      </w:r>
      <w:r w:rsidRPr="00C30260">
        <w:rPr>
          <w:color w:val="000000"/>
        </w:rPr>
        <w:t xml:space="preserve"> requesting Medicare Benefits Schedule (MBS) listing for autologous fat grafting (AFG) injection for the management of defects arising from breast surgery, breast cancer treatment/prevention</w:t>
      </w:r>
      <w:r>
        <w:rPr>
          <w:color w:val="000000"/>
        </w:rPr>
        <w:t xml:space="preserve"> (Population A, 3 subpopulations)</w:t>
      </w:r>
      <w:r w:rsidRPr="00C30260">
        <w:rPr>
          <w:color w:val="000000"/>
        </w:rPr>
        <w:t xml:space="preserve"> and congenital breast deformity</w:t>
      </w:r>
      <w:r>
        <w:rPr>
          <w:color w:val="000000"/>
        </w:rPr>
        <w:t xml:space="preserve"> (Population B)</w:t>
      </w:r>
      <w:r w:rsidRPr="00C30260">
        <w:rPr>
          <w:color w:val="000000"/>
        </w:rPr>
        <w:t>.</w:t>
      </w:r>
    </w:p>
    <w:p w14:paraId="5AE68FB0" w14:textId="77777777" w:rsidR="00687501" w:rsidRPr="00C30260" w:rsidRDefault="00687501" w:rsidP="00687501">
      <w:pPr>
        <w:spacing w:after="240"/>
        <w:rPr>
          <w:color w:val="000000"/>
        </w:rPr>
      </w:pPr>
      <w:r w:rsidRPr="00C30260">
        <w:rPr>
          <w:color w:val="000000"/>
        </w:rPr>
        <w:t xml:space="preserve">ESC </w:t>
      </w:r>
      <w:r>
        <w:rPr>
          <w:color w:val="000000"/>
        </w:rPr>
        <w:t>noted this application arose from a MBS Review Taskforce recommendation and initially covered a broader population which was split into MSAC Application 1575 and 1577. The linked MSAC</w:t>
      </w:r>
      <w:r w:rsidRPr="00C30260">
        <w:rPr>
          <w:color w:val="000000"/>
        </w:rPr>
        <w:t xml:space="preserve"> Application 1577</w:t>
      </w:r>
      <w:r>
        <w:rPr>
          <w:color w:val="000000"/>
        </w:rPr>
        <w:t xml:space="preserve"> is</w:t>
      </w:r>
      <w:r w:rsidRPr="00C30260">
        <w:rPr>
          <w:color w:val="000000"/>
        </w:rPr>
        <w:t xml:space="preserve"> requesting MBS listing for AFG for the treatment of burn scars, and facial defects due to craniofacial abnormalities.</w:t>
      </w:r>
    </w:p>
    <w:p w14:paraId="5A232AAD" w14:textId="77777777" w:rsidR="00687501" w:rsidRDefault="00687501" w:rsidP="00687501">
      <w:pPr>
        <w:spacing w:after="240"/>
        <w:rPr>
          <w:color w:val="000000"/>
        </w:rPr>
      </w:pPr>
      <w:r w:rsidRPr="00C30260">
        <w:rPr>
          <w:color w:val="000000"/>
        </w:rPr>
        <w:t xml:space="preserve">In Application 1575, ESC noted that </w:t>
      </w:r>
      <w:r>
        <w:rPr>
          <w:color w:val="000000"/>
        </w:rPr>
        <w:t>P</w:t>
      </w:r>
      <w:r w:rsidRPr="00C30260">
        <w:rPr>
          <w:color w:val="000000"/>
        </w:rPr>
        <w:t>opulation A is complex and heterogeneous; it includes patients who are post-mastectomy without reconstruction (A1), patients who are post-mastectomy with suboptimal outcomes following reconstruction (A2), and patients with suboptimal outcomes following breast-conserving surgery (A3). Patients can move between subgroups</w:t>
      </w:r>
      <w:r>
        <w:rPr>
          <w:color w:val="000000"/>
        </w:rPr>
        <w:t>.</w:t>
      </w:r>
      <w:r w:rsidRPr="00C30260">
        <w:rPr>
          <w:color w:val="000000"/>
        </w:rPr>
        <w:t xml:space="preserve"> </w:t>
      </w:r>
      <w:r>
        <w:rPr>
          <w:color w:val="000000"/>
        </w:rPr>
        <w:t xml:space="preserve">ESC noted the options for </w:t>
      </w:r>
      <w:r w:rsidRPr="00C30260">
        <w:rPr>
          <w:color w:val="000000"/>
        </w:rPr>
        <w:t xml:space="preserve">management </w:t>
      </w:r>
      <w:r>
        <w:rPr>
          <w:color w:val="000000"/>
        </w:rPr>
        <w:t xml:space="preserve">are vast and must be </w:t>
      </w:r>
      <w:r w:rsidRPr="00C30260">
        <w:rPr>
          <w:color w:val="000000"/>
        </w:rPr>
        <w:t xml:space="preserve">individualised </w:t>
      </w:r>
      <w:r>
        <w:rPr>
          <w:color w:val="000000"/>
        </w:rPr>
        <w:t>according to</w:t>
      </w:r>
      <w:r w:rsidRPr="00C30260">
        <w:rPr>
          <w:color w:val="000000"/>
        </w:rPr>
        <w:t xml:space="preserve"> patient choice</w:t>
      </w:r>
      <w:r>
        <w:rPr>
          <w:color w:val="000000"/>
        </w:rPr>
        <w:t xml:space="preserve">, complexity of the condition </w:t>
      </w:r>
      <w:r w:rsidRPr="00C30260">
        <w:rPr>
          <w:color w:val="000000"/>
        </w:rPr>
        <w:t xml:space="preserve">and surgeon </w:t>
      </w:r>
      <w:r>
        <w:rPr>
          <w:color w:val="000000"/>
        </w:rPr>
        <w:t>expertise</w:t>
      </w:r>
      <w:r w:rsidRPr="00C30260">
        <w:rPr>
          <w:color w:val="000000"/>
        </w:rPr>
        <w:t xml:space="preserve">. These issues make it difficult to define a true comparator for each subgroup. </w:t>
      </w:r>
      <w:r>
        <w:rPr>
          <w:color w:val="000000"/>
        </w:rPr>
        <w:t>ESC noted in the pre-ESC response,</w:t>
      </w:r>
      <w:r w:rsidRPr="00E13E10">
        <w:rPr>
          <w:color w:val="000000"/>
        </w:rPr>
        <w:t xml:space="preserve"> </w:t>
      </w:r>
      <w:r w:rsidRPr="00C30260">
        <w:rPr>
          <w:color w:val="000000"/>
        </w:rPr>
        <w:t>the applicant’s concern about using best supportive care</w:t>
      </w:r>
      <w:r>
        <w:rPr>
          <w:color w:val="000000"/>
        </w:rPr>
        <w:t xml:space="preserve"> (BSC)</w:t>
      </w:r>
      <w:r w:rsidRPr="00C30260">
        <w:rPr>
          <w:color w:val="000000"/>
        </w:rPr>
        <w:t xml:space="preserve"> as a comparator</w:t>
      </w:r>
      <w:r>
        <w:rPr>
          <w:color w:val="000000"/>
        </w:rPr>
        <w:t>, and in particular in Subpopulation A2 where the majority of patients would receive revisionary surgery</w:t>
      </w:r>
      <w:r w:rsidRPr="00C30260">
        <w:rPr>
          <w:color w:val="000000"/>
        </w:rPr>
        <w:t xml:space="preserve">. </w:t>
      </w:r>
      <w:r>
        <w:rPr>
          <w:color w:val="000000"/>
        </w:rPr>
        <w:t xml:space="preserve">ESC acknowledged that BSC might not be the predominant comparator in Subpopulation A2 as advised by the applicant, but overall </w:t>
      </w:r>
      <w:r w:rsidRPr="00C30260">
        <w:rPr>
          <w:color w:val="000000"/>
        </w:rPr>
        <w:t xml:space="preserve">considered that </w:t>
      </w:r>
      <w:r>
        <w:rPr>
          <w:color w:val="000000"/>
        </w:rPr>
        <w:t>BSC</w:t>
      </w:r>
      <w:r w:rsidRPr="00C30260">
        <w:rPr>
          <w:color w:val="000000"/>
        </w:rPr>
        <w:t xml:space="preserve"> is </w:t>
      </w:r>
      <w:r>
        <w:rPr>
          <w:color w:val="000000"/>
        </w:rPr>
        <w:t>an</w:t>
      </w:r>
      <w:r w:rsidRPr="00C30260">
        <w:rPr>
          <w:color w:val="000000"/>
        </w:rPr>
        <w:t xml:space="preserve"> appropriate comparator</w:t>
      </w:r>
      <w:r>
        <w:rPr>
          <w:color w:val="000000"/>
        </w:rPr>
        <w:t xml:space="preserve"> as it was included as an option in all PICO ratified populations.</w:t>
      </w:r>
      <w:r w:rsidRPr="00C30260">
        <w:rPr>
          <w:color w:val="000000"/>
        </w:rPr>
        <w:t xml:space="preserve"> </w:t>
      </w:r>
      <w:r>
        <w:rPr>
          <w:color w:val="000000"/>
        </w:rPr>
        <w:t xml:space="preserve">In addition, ESC noted the role of </w:t>
      </w:r>
      <w:r w:rsidRPr="00C30260">
        <w:rPr>
          <w:color w:val="000000"/>
        </w:rPr>
        <w:t xml:space="preserve">patient’s choice </w:t>
      </w:r>
      <w:r>
        <w:rPr>
          <w:color w:val="000000"/>
        </w:rPr>
        <w:t xml:space="preserve">in deciding </w:t>
      </w:r>
      <w:r w:rsidRPr="00C30260">
        <w:rPr>
          <w:color w:val="000000"/>
        </w:rPr>
        <w:t>whether they h</w:t>
      </w:r>
      <w:r>
        <w:rPr>
          <w:color w:val="000000"/>
        </w:rPr>
        <w:t>ave surgery or pursue non-surgical options, but BSC may be more appropriately termed ‘non-surgical treatment’.</w:t>
      </w:r>
    </w:p>
    <w:p w14:paraId="12292397" w14:textId="77777777" w:rsidR="00687501" w:rsidRPr="00C30260" w:rsidRDefault="00687501" w:rsidP="00687501">
      <w:pPr>
        <w:spacing w:after="240"/>
        <w:rPr>
          <w:color w:val="000000"/>
        </w:rPr>
      </w:pPr>
      <w:r>
        <w:rPr>
          <w:color w:val="000000"/>
        </w:rPr>
        <w:t>Regarding</w:t>
      </w:r>
      <w:r w:rsidRPr="00C30260">
        <w:rPr>
          <w:color w:val="000000"/>
        </w:rPr>
        <w:t xml:space="preserve"> </w:t>
      </w:r>
      <w:r>
        <w:rPr>
          <w:color w:val="000000"/>
        </w:rPr>
        <w:t>P</w:t>
      </w:r>
      <w:r w:rsidRPr="00C30260">
        <w:rPr>
          <w:color w:val="000000"/>
        </w:rPr>
        <w:t>opulation B</w:t>
      </w:r>
      <w:r>
        <w:rPr>
          <w:color w:val="000000"/>
        </w:rPr>
        <w:t>, comprising</w:t>
      </w:r>
      <w:r w:rsidRPr="00C30260">
        <w:rPr>
          <w:color w:val="000000"/>
        </w:rPr>
        <w:t xml:space="preserve"> patients with developmental breast abnormalities</w:t>
      </w:r>
      <w:r>
        <w:rPr>
          <w:color w:val="000000"/>
        </w:rPr>
        <w:t>,</w:t>
      </w:r>
      <w:r w:rsidRPr="00C30260">
        <w:rPr>
          <w:color w:val="000000"/>
        </w:rPr>
        <w:t xml:space="preserve"> ESC considered that the developmental disorders should be defined in the item descriptor (i.e. patients with congenital tuberous breasts or unilateral hypomastia causing asymmetry with a &gt;20% difference to the contralateral side) to minimise the risk of leakage for cosmetic purposes.</w:t>
      </w:r>
    </w:p>
    <w:p w14:paraId="4F470B2E" w14:textId="77777777" w:rsidR="00687501" w:rsidRPr="00C30260" w:rsidRDefault="00687501" w:rsidP="00687501">
      <w:pPr>
        <w:spacing w:after="240"/>
        <w:rPr>
          <w:color w:val="000000"/>
        </w:rPr>
      </w:pPr>
      <w:r w:rsidRPr="00C30260">
        <w:rPr>
          <w:color w:val="000000"/>
        </w:rPr>
        <w:t xml:space="preserve">ESC noted the proposed MBS item descriptor, which includes unilateral services only. ESC considered that an item for bilateral services should also be developed to align with other similar MBS items. </w:t>
      </w:r>
      <w:r>
        <w:rPr>
          <w:color w:val="000000"/>
        </w:rPr>
        <w:t xml:space="preserve">ESC considered that the item descriptor should be aligned with the proposed item descriptor for MSAC Application 1577, with regards to the limit on the number of services per side (i.e. 3 or 5) and whether there should be a restriction on the time between claiming subsequent services (e.g. 3 months). </w:t>
      </w:r>
      <w:r w:rsidRPr="00C30260">
        <w:rPr>
          <w:color w:val="000000"/>
        </w:rPr>
        <w:t>ESC also noted that the item does not describe the lifetime number of sessions a patient may have, and considered this was important given that patients can have multiple indications over time.</w:t>
      </w:r>
    </w:p>
    <w:p w14:paraId="7384CDCE" w14:textId="77777777" w:rsidR="00687501" w:rsidRPr="00C30260" w:rsidRDefault="00687501" w:rsidP="00687501">
      <w:pPr>
        <w:spacing w:after="240"/>
        <w:rPr>
          <w:color w:val="000000"/>
        </w:rPr>
      </w:pPr>
      <w:r w:rsidRPr="00C30260">
        <w:rPr>
          <w:color w:val="000000"/>
        </w:rPr>
        <w:t xml:space="preserve">ESC noted several safety and quality issues from a consumer perspective, including adverse events, </w:t>
      </w:r>
      <w:r>
        <w:rPr>
          <w:color w:val="000000"/>
        </w:rPr>
        <w:t xml:space="preserve">complications with </w:t>
      </w:r>
      <w:r w:rsidRPr="00C30260">
        <w:rPr>
          <w:color w:val="000000"/>
        </w:rPr>
        <w:t xml:space="preserve">donor sites, harvesting techniques and the likelihood of the need for repeat grafts. ESC considered that these issues </w:t>
      </w:r>
      <w:r>
        <w:rPr>
          <w:color w:val="000000"/>
        </w:rPr>
        <w:t>could</w:t>
      </w:r>
      <w:r w:rsidRPr="00C30260">
        <w:rPr>
          <w:color w:val="000000"/>
        </w:rPr>
        <w:t xml:space="preserve"> be further explored.</w:t>
      </w:r>
    </w:p>
    <w:p w14:paraId="48D85FD5" w14:textId="77777777" w:rsidR="00687501" w:rsidRDefault="00687501" w:rsidP="00687501">
      <w:pPr>
        <w:spacing w:after="240"/>
        <w:rPr>
          <w:color w:val="000000"/>
        </w:rPr>
      </w:pPr>
      <w:r w:rsidRPr="00C30260">
        <w:rPr>
          <w:color w:val="000000"/>
        </w:rPr>
        <w:lastRenderedPageBreak/>
        <w:t>ESC reviewed the clinical trial data, which included 35 comparative studies and 5 systematic reviews. ESC noted that most studies were low quality and had a high risk of bias</w:t>
      </w:r>
      <w:r>
        <w:rPr>
          <w:color w:val="000000"/>
        </w:rPr>
        <w:t xml:space="preserve"> (e.g. many retrospective studies, most non-matched comparative studies)</w:t>
      </w:r>
      <w:r w:rsidRPr="00C30260">
        <w:rPr>
          <w:color w:val="000000"/>
        </w:rPr>
        <w:t xml:space="preserve">, but acknowledged the difficulty in conducting a study in this patient group without a risk of bias. </w:t>
      </w:r>
      <w:r>
        <w:rPr>
          <w:color w:val="000000"/>
        </w:rPr>
        <w:t xml:space="preserve">ESC noted that the majority of the Department Contracted Assessment Report (DCAR) included evidence comparing AFG with no AFG (i.e. BSC) in Population A, but also some evidence comparing AFG with reconstruction alone in Subpopulation A2 and Population B. ESC also noted that the highest level of evidence was a single open labelled randomised controlled trial (RCT) (Juhl 2016) assessing the use of AFG in patients who were post mastectomy without reconstruction and reported on the treatment of post-mastectomy pain, which the DCAR included as an additional subpopulation of A: </w:t>
      </w:r>
      <w:r w:rsidRPr="00C30260">
        <w:rPr>
          <w:color w:val="000000"/>
        </w:rPr>
        <w:t>post-</w:t>
      </w:r>
      <w:r>
        <w:rPr>
          <w:color w:val="000000"/>
        </w:rPr>
        <w:t>mastectomy pain syndrome (PMPS). The DCAR’s rationale for this was because the comparator (BSC) is the same, regardless of where a patient may be in their reconstruction journey (defined as Subpopulations A1-A3). ESC considered this was reasonable in light of otherwise limited evidence.</w:t>
      </w:r>
    </w:p>
    <w:p w14:paraId="2FE13BEE" w14:textId="77777777" w:rsidR="00687501" w:rsidRDefault="00687501" w:rsidP="00687501">
      <w:pPr>
        <w:spacing w:after="240"/>
        <w:rPr>
          <w:color w:val="000000"/>
        </w:rPr>
      </w:pPr>
      <w:r w:rsidRPr="00C30260">
        <w:rPr>
          <w:color w:val="000000"/>
        </w:rPr>
        <w:t>Regarding comparative safety, ESC noted that there were few studies</w:t>
      </w:r>
      <w:r>
        <w:rPr>
          <w:color w:val="000000"/>
        </w:rPr>
        <w:t xml:space="preserve"> and limited reporting of safety outcomes (in particular in Population B)</w:t>
      </w:r>
      <w:r w:rsidRPr="00C30260">
        <w:rPr>
          <w:color w:val="000000"/>
        </w:rPr>
        <w:t xml:space="preserve"> to inform the assessment</w:t>
      </w:r>
      <w:r>
        <w:rPr>
          <w:color w:val="000000"/>
        </w:rPr>
        <w:t>,</w:t>
      </w:r>
      <w:r w:rsidRPr="00C30260">
        <w:rPr>
          <w:color w:val="000000"/>
        </w:rPr>
        <w:t xml:space="preserve"> and many of those included</w:t>
      </w:r>
      <w:r>
        <w:rPr>
          <w:color w:val="000000"/>
        </w:rPr>
        <w:t xml:space="preserve"> </w:t>
      </w:r>
      <w:r w:rsidRPr="00C30260">
        <w:rPr>
          <w:color w:val="000000"/>
        </w:rPr>
        <w:t>showed no difference in outcomes</w:t>
      </w:r>
      <w:r>
        <w:rPr>
          <w:color w:val="000000"/>
        </w:rPr>
        <w:t xml:space="preserve">, including rates of locoregional recurrence of breast cancer. Although </w:t>
      </w:r>
      <w:r>
        <w:t xml:space="preserve">exploratory subgroup analyses in </w:t>
      </w:r>
      <w:r>
        <w:rPr>
          <w:color w:val="000000"/>
        </w:rPr>
        <w:t xml:space="preserve">one study (Fertsch 2017) showed an increase in recurrence with AFG amongst those with high grade neoplasia or positive nodes in Subpopulation A2. Overall, ESC agreed with the DCAR’s clinical claim of uncertain safety of AFG </w:t>
      </w:r>
      <w:r w:rsidRPr="00A41E39">
        <w:rPr>
          <w:i/>
          <w:color w:val="000000"/>
        </w:rPr>
        <w:t>vs.</w:t>
      </w:r>
      <w:r>
        <w:rPr>
          <w:color w:val="000000"/>
        </w:rPr>
        <w:t xml:space="preserve"> BSC or reconstruction alone in most population groups, noting that there was no conclusion for AFG </w:t>
      </w:r>
      <w:r w:rsidRPr="0030708D">
        <w:rPr>
          <w:i/>
          <w:color w:val="000000"/>
        </w:rPr>
        <w:t>vs.</w:t>
      </w:r>
      <w:r>
        <w:rPr>
          <w:color w:val="000000"/>
        </w:rPr>
        <w:t xml:space="preserve"> BSC in Population B, nor for AFG </w:t>
      </w:r>
      <w:r w:rsidRPr="0030708D">
        <w:rPr>
          <w:i/>
          <w:color w:val="000000"/>
        </w:rPr>
        <w:t>vs.</w:t>
      </w:r>
      <w:r>
        <w:rPr>
          <w:color w:val="000000"/>
        </w:rPr>
        <w:t xml:space="preserve"> reconstruction alone in Subpopulations A1 and A3.</w:t>
      </w:r>
    </w:p>
    <w:p w14:paraId="6EC4F339" w14:textId="77777777" w:rsidR="00687501" w:rsidRDefault="00687501" w:rsidP="00687501">
      <w:pPr>
        <w:spacing w:after="240"/>
        <w:rPr>
          <w:color w:val="000000"/>
        </w:rPr>
      </w:pPr>
      <w:r w:rsidRPr="00C30260">
        <w:rPr>
          <w:color w:val="000000"/>
        </w:rPr>
        <w:t xml:space="preserve">Regarding comparative effectiveness, ESC noted </w:t>
      </w:r>
      <w:r>
        <w:rPr>
          <w:color w:val="000000"/>
        </w:rPr>
        <w:t xml:space="preserve">that there were consistent signals that compared with the comparator, </w:t>
      </w:r>
      <w:r w:rsidRPr="00C30260">
        <w:rPr>
          <w:color w:val="000000"/>
        </w:rPr>
        <w:t xml:space="preserve">AFG </w:t>
      </w:r>
      <w:r>
        <w:rPr>
          <w:color w:val="000000"/>
        </w:rPr>
        <w:t xml:space="preserve">resulted in </w:t>
      </w:r>
      <w:r w:rsidRPr="00C30260">
        <w:rPr>
          <w:color w:val="000000"/>
        </w:rPr>
        <w:t>reduction in pain (including PMPS</w:t>
      </w:r>
      <w:r>
        <w:rPr>
          <w:color w:val="000000"/>
        </w:rPr>
        <w:t xml:space="preserve"> assessed only in Population A</w:t>
      </w:r>
      <w:r w:rsidRPr="00C30260">
        <w:rPr>
          <w:color w:val="000000"/>
        </w:rPr>
        <w:t>)</w:t>
      </w:r>
      <w:r>
        <w:rPr>
          <w:color w:val="000000"/>
        </w:rPr>
        <w:t>, largely improved BREAST-Q scores (including up to 1 year after initial surgery; Cogliandro 2017),</w:t>
      </w:r>
      <w:r w:rsidRPr="00C30260">
        <w:rPr>
          <w:color w:val="000000"/>
        </w:rPr>
        <w:t xml:space="preserve"> and improved patient satisfaction in all </w:t>
      </w:r>
      <w:r>
        <w:rPr>
          <w:color w:val="000000"/>
        </w:rPr>
        <w:t>subgroups of Population A, where these outcomes were reported</w:t>
      </w:r>
      <w:r w:rsidRPr="00C30260">
        <w:rPr>
          <w:color w:val="000000"/>
        </w:rPr>
        <w:t>.</w:t>
      </w:r>
      <w:r>
        <w:rPr>
          <w:color w:val="000000"/>
        </w:rPr>
        <w:t xml:space="preserve"> For Population B, ESC noted there was limited and less convincing evidence that AFG improved outcomes, and that there were mixed results when assessing BREAST-Q scores for AFG </w:t>
      </w:r>
      <w:r w:rsidRPr="0030708D">
        <w:rPr>
          <w:i/>
          <w:color w:val="000000"/>
        </w:rPr>
        <w:t>vs.</w:t>
      </w:r>
      <w:r>
        <w:rPr>
          <w:color w:val="000000"/>
        </w:rPr>
        <w:t xml:space="preserve"> reconstruction alone. O</w:t>
      </w:r>
      <w:r w:rsidRPr="00C30260">
        <w:rPr>
          <w:color w:val="000000"/>
        </w:rPr>
        <w:t>verall</w:t>
      </w:r>
      <w:r>
        <w:rPr>
          <w:color w:val="000000"/>
        </w:rPr>
        <w:t>, ESC agreed with the DCAR’s</w:t>
      </w:r>
      <w:r w:rsidRPr="00C30260">
        <w:rPr>
          <w:color w:val="000000"/>
        </w:rPr>
        <w:t xml:space="preserve"> clinical claim </w:t>
      </w:r>
      <w:r>
        <w:rPr>
          <w:color w:val="000000"/>
        </w:rPr>
        <w:t xml:space="preserve">of superior effectiveness of AFG </w:t>
      </w:r>
      <w:r w:rsidRPr="0030708D">
        <w:rPr>
          <w:i/>
          <w:color w:val="000000"/>
        </w:rPr>
        <w:t>vs.</w:t>
      </w:r>
      <w:r>
        <w:rPr>
          <w:color w:val="000000"/>
        </w:rPr>
        <w:t xml:space="preserve"> BSC or reconstruction alone in most subpopulations</w:t>
      </w:r>
      <w:r w:rsidRPr="00C30260">
        <w:rPr>
          <w:color w:val="000000"/>
        </w:rPr>
        <w:t xml:space="preserve"> </w:t>
      </w:r>
      <w:r>
        <w:rPr>
          <w:color w:val="000000"/>
        </w:rPr>
        <w:t>of</w:t>
      </w:r>
      <w:r w:rsidRPr="00C30260">
        <w:rPr>
          <w:color w:val="000000"/>
        </w:rPr>
        <w:t xml:space="preserve"> </w:t>
      </w:r>
      <w:r>
        <w:rPr>
          <w:color w:val="000000"/>
        </w:rPr>
        <w:t>P</w:t>
      </w:r>
      <w:r w:rsidRPr="00C30260">
        <w:rPr>
          <w:color w:val="000000"/>
        </w:rPr>
        <w:t xml:space="preserve">opulation A, </w:t>
      </w:r>
      <w:r>
        <w:rPr>
          <w:color w:val="000000"/>
        </w:rPr>
        <w:t xml:space="preserve">and uncertain effectiveness of AFG </w:t>
      </w:r>
      <w:r w:rsidRPr="0030708D">
        <w:rPr>
          <w:i/>
          <w:color w:val="000000"/>
        </w:rPr>
        <w:t>vs.</w:t>
      </w:r>
      <w:r>
        <w:rPr>
          <w:color w:val="000000"/>
        </w:rPr>
        <w:t xml:space="preserve"> reconstruction alone in Population B. ESC considered overall, the DCAR’s evidence was strongest for showing that AFG improved PMPS in Population A. However, ESC considered that the evidence tables (see Tables 5-6) highlight the inherent bias in assessing most outcomes, further compounded by the complex patient subgroups.</w:t>
      </w:r>
    </w:p>
    <w:p w14:paraId="14B3C2C7" w14:textId="77777777" w:rsidR="00687501" w:rsidRDefault="00687501" w:rsidP="00687501">
      <w:pPr>
        <w:spacing w:after="240"/>
        <w:rPr>
          <w:color w:val="000000"/>
        </w:rPr>
      </w:pPr>
      <w:r w:rsidRPr="00C30260">
        <w:rPr>
          <w:color w:val="000000"/>
        </w:rPr>
        <w:t>ESC</w:t>
      </w:r>
      <w:r>
        <w:rPr>
          <w:color w:val="000000"/>
        </w:rPr>
        <w:t xml:space="preserve"> noted</w:t>
      </w:r>
      <w:r w:rsidRPr="00C30260">
        <w:rPr>
          <w:color w:val="000000"/>
        </w:rPr>
        <w:t xml:space="preserve"> the </w:t>
      </w:r>
      <w:r>
        <w:rPr>
          <w:color w:val="000000"/>
        </w:rPr>
        <w:t xml:space="preserve">applicant’s </w:t>
      </w:r>
      <w:r w:rsidRPr="00C30260">
        <w:rPr>
          <w:color w:val="000000"/>
        </w:rPr>
        <w:t>pre-ESC response, which</w:t>
      </w:r>
      <w:r>
        <w:rPr>
          <w:color w:val="000000"/>
        </w:rPr>
        <w:t xml:space="preserve"> </w:t>
      </w:r>
      <w:r w:rsidRPr="00C30260">
        <w:rPr>
          <w:color w:val="000000"/>
        </w:rPr>
        <w:t xml:space="preserve">suggested the evidence presented in the </w:t>
      </w:r>
      <w:r>
        <w:rPr>
          <w:color w:val="000000"/>
        </w:rPr>
        <w:t xml:space="preserve">DCAR </w:t>
      </w:r>
      <w:r w:rsidRPr="00C30260">
        <w:rPr>
          <w:color w:val="000000"/>
        </w:rPr>
        <w:t>did not adequately capture the psychological benefits for women.</w:t>
      </w:r>
      <w:r>
        <w:rPr>
          <w:color w:val="000000"/>
        </w:rPr>
        <w:t xml:space="preserve"> ESC noted that the DCAR’s Rejoinder argued that </w:t>
      </w:r>
      <w:r>
        <w:t>d</w:t>
      </w:r>
      <w:r w:rsidRPr="00200BDD">
        <w:t>isease-specific quality of life (QoL) was captured</w:t>
      </w:r>
      <w:r>
        <w:t xml:space="preserve"> in the included studies that used</w:t>
      </w:r>
      <w:r w:rsidRPr="00200BDD">
        <w:t xml:space="preserve"> the</w:t>
      </w:r>
      <w:r>
        <w:t xml:space="preserve"> validated instrument BREAST-Q, </w:t>
      </w:r>
      <w:r w:rsidRPr="00200BDD">
        <w:t>which included psychological and physical wellbeing</w:t>
      </w:r>
      <w:r>
        <w:t xml:space="preserve">. </w:t>
      </w:r>
      <w:r w:rsidRPr="00C30260">
        <w:rPr>
          <w:color w:val="000000"/>
        </w:rPr>
        <w:t>ESC considered that psychological benefits are a key cons</w:t>
      </w:r>
      <w:r>
        <w:rPr>
          <w:color w:val="000000"/>
        </w:rPr>
        <w:t>ideration for this application.</w:t>
      </w:r>
    </w:p>
    <w:p w14:paraId="4F440384" w14:textId="77777777" w:rsidR="00687501" w:rsidRPr="00C30260" w:rsidRDefault="00687501" w:rsidP="00687501">
      <w:pPr>
        <w:spacing w:after="240"/>
        <w:rPr>
          <w:color w:val="000000"/>
        </w:rPr>
      </w:pPr>
      <w:r>
        <w:rPr>
          <w:color w:val="000000"/>
        </w:rPr>
        <w:t xml:space="preserve">In addition, </w:t>
      </w:r>
      <w:r w:rsidRPr="00C30260">
        <w:rPr>
          <w:color w:val="000000"/>
        </w:rPr>
        <w:t>ESC queried whether data were available on the duration of effect of AFG in this context. The assessment group confirmed that fat can be resorbed over time, but there was little information about this in the included studies</w:t>
      </w:r>
      <w:r>
        <w:rPr>
          <w:color w:val="000000"/>
        </w:rPr>
        <w:t>, nor sufficiently long enough evidence to assess the durability of AFG effect</w:t>
      </w:r>
      <w:r w:rsidRPr="00C30260">
        <w:rPr>
          <w:color w:val="000000"/>
        </w:rPr>
        <w:t>.</w:t>
      </w:r>
      <w:r>
        <w:rPr>
          <w:color w:val="000000"/>
        </w:rPr>
        <w:t xml:space="preserve"> </w:t>
      </w:r>
      <w:r w:rsidRPr="00C30260">
        <w:rPr>
          <w:color w:val="000000"/>
        </w:rPr>
        <w:t>ESC considered that duration of effect was an important issue and should be further explored if possible.</w:t>
      </w:r>
      <w:r>
        <w:rPr>
          <w:color w:val="000000"/>
        </w:rPr>
        <w:t xml:space="preserve"> Following the meeting, the assessment group clarified there was one relevant reference (Juhl 2016) included in the treatment of PMPS </w:t>
      </w:r>
      <w:r>
        <w:rPr>
          <w:color w:val="000000"/>
        </w:rPr>
        <w:lastRenderedPageBreak/>
        <w:t xml:space="preserve">subpopulation within the DCAR reporting 1/8 patients (12.5%) required a second treatment (outcome not reported). The DCAR had also noted that in a study by de Gast 2016, </w:t>
      </w:r>
      <w:r w:rsidRPr="00A6101B">
        <w:rPr>
          <w:color w:val="000000"/>
        </w:rPr>
        <w:t>patients with neuropathic scars after cosmetic procedures, showed a peak improvement at 3 month</w:t>
      </w:r>
      <w:r>
        <w:rPr>
          <w:color w:val="000000"/>
        </w:rPr>
        <w:t>s that was sustained at 4 years</w:t>
      </w:r>
      <w:r w:rsidRPr="00A6101B">
        <w:rPr>
          <w:color w:val="000000"/>
        </w:rPr>
        <w:t>.</w:t>
      </w:r>
      <w:r>
        <w:rPr>
          <w:color w:val="000000"/>
        </w:rPr>
        <w:t xml:space="preserve"> Based on the above, the DCAR had </w:t>
      </w:r>
      <w:r w:rsidRPr="00A6101B">
        <w:rPr>
          <w:color w:val="000000"/>
        </w:rPr>
        <w:t>assumed that the benefit of one-off AFG intervention in responders</w:t>
      </w:r>
      <w:r>
        <w:rPr>
          <w:color w:val="000000"/>
        </w:rPr>
        <w:t xml:space="preserve"> in the economic model</w:t>
      </w:r>
      <w:r w:rsidRPr="00A6101B">
        <w:rPr>
          <w:color w:val="000000"/>
        </w:rPr>
        <w:t xml:space="preserve"> would last a lifetime</w:t>
      </w:r>
      <w:r>
        <w:rPr>
          <w:color w:val="000000"/>
        </w:rPr>
        <w:t>, which was also tested through sensitivity analysis by applying 12.5% retreatment at 6 months post-initial AFG procedure</w:t>
      </w:r>
      <w:r w:rsidRPr="00A6101B">
        <w:rPr>
          <w:color w:val="000000"/>
        </w:rPr>
        <w:t>.</w:t>
      </w:r>
      <w:r>
        <w:rPr>
          <w:color w:val="000000"/>
        </w:rPr>
        <w:t xml:space="preserve"> The Department noted the DCAR also cited </w:t>
      </w:r>
      <w:r>
        <w:t>Kim (2014)</w:t>
      </w:r>
      <w:r w:rsidRPr="008D71E1">
        <w:t xml:space="preserve"> </w:t>
      </w:r>
      <w:r>
        <w:t>which reported a</w:t>
      </w:r>
      <w:r w:rsidRPr="008D71E1">
        <w:t xml:space="preserve"> fat reabsorption rate </w:t>
      </w:r>
      <w:r>
        <w:t xml:space="preserve">of </w:t>
      </w:r>
      <w:r w:rsidRPr="008D71E1">
        <w:t>32.9% [range: 25-52%]</w:t>
      </w:r>
      <w:r>
        <w:t xml:space="preserve"> </w:t>
      </w:r>
      <w:r w:rsidRPr="008D71E1">
        <w:t xml:space="preserve">among 38 </w:t>
      </w:r>
      <w:r>
        <w:t xml:space="preserve">post-mastectomy </w:t>
      </w:r>
      <w:r w:rsidRPr="008D71E1">
        <w:t xml:space="preserve">patients </w:t>
      </w:r>
      <w:r>
        <w:t>(Subpopulation A2; pg 119 of the DCAR)</w:t>
      </w:r>
      <w:r w:rsidRPr="008D71E1">
        <w:t>.</w:t>
      </w:r>
      <w:r>
        <w:t xml:space="preserve"> The Department also noted that while there appears to be limited evidence on the duration of effect of AFG in the patient populations included in MSAC Application 1575, there is published literature on the reabsorption of AFG in a broader patient population which report a reabsorption rate that can range widely from 25 to 83% (Moustakie 2017</w:t>
      </w:r>
      <w:r>
        <w:rPr>
          <w:rStyle w:val="FootnoteReference"/>
        </w:rPr>
        <w:footnoteReference w:id="30"/>
      </w:r>
      <w:r>
        <w:t>; Yu 2015</w:t>
      </w:r>
      <w:r>
        <w:rPr>
          <w:rStyle w:val="FootnoteReference"/>
        </w:rPr>
        <w:footnoteReference w:id="31"/>
      </w:r>
      <w:r>
        <w:t>).</w:t>
      </w:r>
    </w:p>
    <w:p w14:paraId="7F47B3C5" w14:textId="77777777" w:rsidR="00687501" w:rsidRPr="00C30260" w:rsidRDefault="00687501" w:rsidP="00687501">
      <w:pPr>
        <w:spacing w:after="240"/>
        <w:rPr>
          <w:color w:val="000000"/>
        </w:rPr>
      </w:pPr>
      <w:r w:rsidRPr="00C30260">
        <w:rPr>
          <w:color w:val="000000"/>
        </w:rPr>
        <w:t xml:space="preserve">ESC </w:t>
      </w:r>
      <w:r>
        <w:rPr>
          <w:color w:val="000000"/>
        </w:rPr>
        <w:t xml:space="preserve">considered </w:t>
      </w:r>
      <w:r w:rsidRPr="00C30260">
        <w:rPr>
          <w:color w:val="000000"/>
        </w:rPr>
        <w:t>the economic evaluation</w:t>
      </w:r>
      <w:r>
        <w:rPr>
          <w:color w:val="000000"/>
        </w:rPr>
        <w:t>,</w:t>
      </w:r>
      <w:r w:rsidRPr="00C30260">
        <w:rPr>
          <w:color w:val="000000"/>
        </w:rPr>
        <w:t xml:space="preserve"> compris</w:t>
      </w:r>
      <w:r>
        <w:rPr>
          <w:color w:val="000000"/>
        </w:rPr>
        <w:t>ing</w:t>
      </w:r>
      <w:r w:rsidRPr="00C30260">
        <w:rPr>
          <w:color w:val="000000"/>
        </w:rPr>
        <w:t xml:space="preserve"> a </w:t>
      </w:r>
      <w:r>
        <w:rPr>
          <w:color w:val="000000"/>
        </w:rPr>
        <w:t xml:space="preserve">trial-based and modelled </w:t>
      </w:r>
      <w:r w:rsidRPr="00C30260">
        <w:rPr>
          <w:color w:val="000000"/>
        </w:rPr>
        <w:t>cost-effectiveness analys</w:t>
      </w:r>
      <w:r>
        <w:rPr>
          <w:color w:val="000000"/>
        </w:rPr>
        <w:t>e</w:t>
      </w:r>
      <w:r w:rsidRPr="00C30260">
        <w:rPr>
          <w:color w:val="000000"/>
        </w:rPr>
        <w:t>s</w:t>
      </w:r>
      <w:r>
        <w:rPr>
          <w:color w:val="000000"/>
        </w:rPr>
        <w:t xml:space="preserve"> (CEA)</w:t>
      </w:r>
      <w:r w:rsidRPr="00C30260">
        <w:rPr>
          <w:color w:val="000000"/>
        </w:rPr>
        <w:t xml:space="preserve"> for </w:t>
      </w:r>
      <w:r>
        <w:rPr>
          <w:color w:val="000000"/>
        </w:rPr>
        <w:t>PMPS in P</w:t>
      </w:r>
      <w:r w:rsidRPr="00C30260">
        <w:rPr>
          <w:color w:val="000000"/>
        </w:rPr>
        <w:t>opulation A</w:t>
      </w:r>
      <w:r>
        <w:rPr>
          <w:color w:val="000000"/>
        </w:rPr>
        <w:t>2+A3</w:t>
      </w:r>
      <w:r w:rsidRPr="00C30260">
        <w:rPr>
          <w:color w:val="000000"/>
        </w:rPr>
        <w:t xml:space="preserve"> and a series of ‘cost-effectiveness exercises’</w:t>
      </w:r>
      <w:r>
        <w:rPr>
          <w:color w:val="000000"/>
        </w:rPr>
        <w:t xml:space="preserve"> that included trial-based CEA for Population A subpopulations</w:t>
      </w:r>
      <w:r w:rsidRPr="00C30260">
        <w:rPr>
          <w:color w:val="000000"/>
        </w:rPr>
        <w:t xml:space="preserve"> and a cost-minimisation analysis for </w:t>
      </w:r>
      <w:r>
        <w:rPr>
          <w:color w:val="000000"/>
        </w:rPr>
        <w:t>P</w:t>
      </w:r>
      <w:r w:rsidRPr="00C30260">
        <w:rPr>
          <w:color w:val="000000"/>
        </w:rPr>
        <w:t xml:space="preserve">opulation B. </w:t>
      </w:r>
      <w:r>
        <w:rPr>
          <w:color w:val="000000"/>
        </w:rPr>
        <w:t xml:space="preserve">With regards to the CEA for PMPS, ESC noted that for AFG an incremental cost-effectiveness ratio (ICER) of </w:t>
      </w:r>
      <w:r w:rsidRPr="00471E4C">
        <w:rPr>
          <w:color w:val="000000"/>
        </w:rPr>
        <w:t>$1,076 per responder</w:t>
      </w:r>
      <w:r>
        <w:rPr>
          <w:color w:val="000000"/>
        </w:rPr>
        <w:t xml:space="preserve"> (trial-based CEA) was derived and AFG was dominant over BSC (modelled CEA using life-years free from PMPS). </w:t>
      </w:r>
      <w:r w:rsidRPr="00C30260">
        <w:rPr>
          <w:color w:val="000000"/>
        </w:rPr>
        <w:t>ESC noted that key driver</w:t>
      </w:r>
      <w:r>
        <w:rPr>
          <w:color w:val="000000"/>
        </w:rPr>
        <w:t>s</w:t>
      </w:r>
      <w:r w:rsidRPr="00C30260">
        <w:rPr>
          <w:color w:val="000000"/>
        </w:rPr>
        <w:t xml:space="preserve"> of the modelled evaluation w</w:t>
      </w:r>
      <w:r>
        <w:rPr>
          <w:color w:val="000000"/>
        </w:rPr>
        <w:t>ere</w:t>
      </w:r>
      <w:r w:rsidRPr="00C30260">
        <w:rPr>
          <w:color w:val="000000"/>
        </w:rPr>
        <w:t xml:space="preserve"> the extrapolation of response and lifetime analgesic use</w:t>
      </w:r>
      <w:r>
        <w:rPr>
          <w:color w:val="000000"/>
        </w:rPr>
        <w:t>, and that the underlying clinical evidence was assessed to have high risk of bias</w:t>
      </w:r>
      <w:r w:rsidRPr="00C30260">
        <w:rPr>
          <w:color w:val="000000"/>
        </w:rPr>
        <w:t xml:space="preserve">. ESC </w:t>
      </w:r>
      <w:r>
        <w:rPr>
          <w:color w:val="000000"/>
        </w:rPr>
        <w:t xml:space="preserve">considered the ‘cost-effectiveness exercises’ were highly hypothetical and uncertain as they were based on limited clinical evidence with a high risk of bias which necessitated a number of assumptions that added further uncertainty to the underlying weak clinical evidence base. ESC noted that it was unclear how the available results would translate into incremental cost per QALY gained, and </w:t>
      </w:r>
      <w:r w:rsidRPr="00C30260">
        <w:rPr>
          <w:color w:val="000000"/>
        </w:rPr>
        <w:t>queried whether a cost–</w:t>
      </w:r>
      <w:r>
        <w:rPr>
          <w:color w:val="000000"/>
        </w:rPr>
        <w:t>consequence</w:t>
      </w:r>
      <w:r w:rsidRPr="00C30260">
        <w:rPr>
          <w:color w:val="000000"/>
        </w:rPr>
        <w:t xml:space="preserve"> analysis may be more appropriate. Overall, ESC considered that the limitations of the evidence base and the fragmentation of subpopulations present challenges in making a funding decision for a single MBS item.</w:t>
      </w:r>
    </w:p>
    <w:p w14:paraId="7CC87E14" w14:textId="77777777" w:rsidR="00687501" w:rsidRPr="00C30260" w:rsidRDefault="00687501" w:rsidP="00687501">
      <w:pPr>
        <w:spacing w:after="240"/>
        <w:rPr>
          <w:color w:val="000000"/>
        </w:rPr>
      </w:pPr>
      <w:r w:rsidRPr="00C30260">
        <w:rPr>
          <w:color w:val="000000"/>
        </w:rPr>
        <w:t>ESC noted that</w:t>
      </w:r>
      <w:r>
        <w:rPr>
          <w:color w:val="000000"/>
        </w:rPr>
        <w:t xml:space="preserve"> Population A contributed most to the total cost in the budget impact</w:t>
      </w:r>
      <w:r w:rsidRPr="00C30260">
        <w:rPr>
          <w:color w:val="000000"/>
        </w:rPr>
        <w:t>. ESC also noted considerable uncertainties in the estimates, including</w:t>
      </w:r>
      <w:r>
        <w:rPr>
          <w:color w:val="000000"/>
        </w:rPr>
        <w:t xml:space="preserve"> issues around how breast surgery is coded through Australian Institute of Health and Welfare (AIHW) data and MBS data, uncertain extent of AFG use, and the reliance on clinical studies to inform the financial estimates (e.g. to estimate the number of AFG sessions). Overall, ESC considered </w:t>
      </w:r>
      <w:r w:rsidRPr="00C30260">
        <w:rPr>
          <w:color w:val="000000"/>
        </w:rPr>
        <w:t xml:space="preserve">that usage may be underestimated (as only the incident population is included, not the prevalent population) or overestimated </w:t>
      </w:r>
      <w:r w:rsidRPr="001163BB">
        <w:rPr>
          <w:color w:val="000000"/>
        </w:rPr>
        <w:t>(population estimates, and potential conservative estimation of cost offsets related to analgesics from PBS).</w:t>
      </w:r>
      <w:r w:rsidRPr="001163BB" w:rsidDel="001163BB">
        <w:rPr>
          <w:color w:val="000000"/>
        </w:rPr>
        <w:t xml:space="preserve"> </w:t>
      </w:r>
      <w:r w:rsidRPr="00C30260">
        <w:rPr>
          <w:color w:val="000000"/>
        </w:rPr>
        <w:t xml:space="preserve">ESC also </w:t>
      </w:r>
      <w:r>
        <w:rPr>
          <w:color w:val="000000"/>
        </w:rPr>
        <w:t>recalled</w:t>
      </w:r>
      <w:r w:rsidRPr="00C30260">
        <w:rPr>
          <w:color w:val="000000"/>
        </w:rPr>
        <w:t xml:space="preserve"> the concern raised by PASC that the incident population is estimated at around 3,000 patients per year, but the prevalent population would be much larger.</w:t>
      </w:r>
    </w:p>
    <w:p w14:paraId="3299CCAA" w14:textId="77777777" w:rsidR="00D90A38" w:rsidRPr="00F715D1" w:rsidRDefault="00BC1364" w:rsidP="00F715D1">
      <w:pPr>
        <w:pStyle w:val="Heading1"/>
      </w:pPr>
      <w:r w:rsidRPr="00F715D1">
        <w:t>Other significant factors</w:t>
      </w:r>
    </w:p>
    <w:p w14:paraId="514D51ED" w14:textId="5A60BD93" w:rsidR="00BC1364" w:rsidRPr="005A4362" w:rsidRDefault="00C516F0" w:rsidP="00C516F0">
      <w:r>
        <w:t>Nil.</w:t>
      </w:r>
    </w:p>
    <w:p w14:paraId="1E4CC578" w14:textId="77777777" w:rsidR="00BC1364" w:rsidRPr="00F715D1" w:rsidRDefault="00C06B0B" w:rsidP="00F715D1">
      <w:pPr>
        <w:pStyle w:val="Heading1"/>
      </w:pPr>
      <w:r>
        <w:lastRenderedPageBreak/>
        <w:t>Applicant</w:t>
      </w:r>
      <w:r w:rsidR="00BC1364" w:rsidRPr="00F715D1">
        <w:t xml:space="preserve"> comments on MSAC’s </w:t>
      </w:r>
      <w:r w:rsidR="00DA56AA" w:rsidRPr="00F715D1">
        <w:t>Public Summary Document</w:t>
      </w:r>
    </w:p>
    <w:p w14:paraId="16DD6E2A" w14:textId="77777777" w:rsidR="005C3D91" w:rsidRPr="00ED328C" w:rsidRDefault="005C3D91" w:rsidP="005C3D91">
      <w:pPr>
        <w:spacing w:after="240"/>
        <w:rPr>
          <w:szCs w:val="24"/>
        </w:rPr>
      </w:pPr>
      <w:r w:rsidRPr="00ED328C">
        <w:rPr>
          <w:szCs w:val="24"/>
        </w:rPr>
        <w:t>The applicant had no comment.</w:t>
      </w:r>
    </w:p>
    <w:p w14:paraId="78EEE14A" w14:textId="77777777" w:rsidR="00BC1364" w:rsidRPr="00F715D1" w:rsidRDefault="00271F18" w:rsidP="00F715D1">
      <w:pPr>
        <w:pStyle w:val="Heading1"/>
      </w:pPr>
      <w:r w:rsidRPr="00F715D1">
        <w:t>Further information on MSAC</w:t>
      </w:r>
    </w:p>
    <w:p w14:paraId="7F45D37C"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27"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28"/>
      <w:pgSz w:w="11906" w:h="16838"/>
      <w:pgMar w:top="1134" w:right="1440" w:bottom="42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33BC" w16cex:dateUtc="2020-08-18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4F4899" w16cid:durableId="22E633BC"/>
  <w16cid:commentId w16cid:paraId="177FA9C8" w16cid:durableId="22E633B1"/>
  <w16cid:commentId w16cid:paraId="316000D7" w16cid:durableId="22E633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8B203" w14:textId="77777777" w:rsidR="007F011C" w:rsidRDefault="007F011C" w:rsidP="00065623">
      <w:r>
        <w:separator/>
      </w:r>
    </w:p>
  </w:endnote>
  <w:endnote w:type="continuationSeparator" w:id="0">
    <w:p w14:paraId="5069FC55" w14:textId="77777777" w:rsidR="007F011C" w:rsidRDefault="007F011C"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UI Semibold">
    <w:charset w:val="80"/>
    <w:family w:val="swiss"/>
    <w:pitch w:val="variable"/>
    <w:sig w:usb0="E00002FF" w:usb1="2AC7FDFF" w:usb2="00000016" w:usb3="00000000" w:csb0="0002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EB496" w14:textId="77777777" w:rsidR="002E3DBE" w:rsidRDefault="002E3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414008"/>
      <w:docPartObj>
        <w:docPartGallery w:val="Page Numbers (Bottom of Page)"/>
        <w:docPartUnique/>
      </w:docPartObj>
    </w:sdtPr>
    <w:sdtEndPr>
      <w:rPr>
        <w:noProof/>
      </w:rPr>
    </w:sdtEndPr>
    <w:sdtContent>
      <w:p w14:paraId="4CC73AA4" w14:textId="5BFE1662" w:rsidR="007F011C" w:rsidRDefault="007F011C">
        <w:pPr>
          <w:pStyle w:val="Footer"/>
          <w:jc w:val="right"/>
        </w:pPr>
        <w:r>
          <w:fldChar w:fldCharType="begin"/>
        </w:r>
        <w:r>
          <w:instrText xml:space="preserve"> PAGE   \* MERGEFORMAT </w:instrText>
        </w:r>
        <w:r>
          <w:fldChar w:fldCharType="separate"/>
        </w:r>
        <w:r w:rsidR="003B1995">
          <w:rPr>
            <w:noProof/>
          </w:rPr>
          <w:t>1</w:t>
        </w:r>
        <w:r>
          <w:rPr>
            <w:noProof/>
          </w:rPr>
          <w:fldChar w:fldCharType="end"/>
        </w:r>
      </w:p>
    </w:sdtContent>
  </w:sdt>
  <w:p w14:paraId="12218736" w14:textId="77777777" w:rsidR="007F011C" w:rsidRDefault="007F01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266D5" w14:textId="77777777" w:rsidR="002E3DBE" w:rsidRDefault="002E3D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41A39B84" w14:textId="7746CCEF" w:rsidR="007F011C" w:rsidRDefault="007F011C">
        <w:pPr>
          <w:pStyle w:val="Footer"/>
          <w:jc w:val="right"/>
        </w:pPr>
        <w:r>
          <w:fldChar w:fldCharType="begin"/>
        </w:r>
        <w:r>
          <w:instrText xml:space="preserve"> PAGE   \* MERGEFORMAT </w:instrText>
        </w:r>
        <w:r>
          <w:fldChar w:fldCharType="separate"/>
        </w:r>
        <w:r w:rsidR="003B1995">
          <w:rPr>
            <w:noProof/>
          </w:rPr>
          <w:t>37</w:t>
        </w:r>
        <w:r>
          <w:rPr>
            <w:noProof/>
          </w:rPr>
          <w:fldChar w:fldCharType="end"/>
        </w:r>
      </w:p>
    </w:sdtContent>
  </w:sdt>
  <w:p w14:paraId="3C91E5C7" w14:textId="77777777" w:rsidR="007F011C" w:rsidRDefault="007F0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868F4" w14:textId="77777777" w:rsidR="007F011C" w:rsidRDefault="007F011C" w:rsidP="00065623">
      <w:r>
        <w:separator/>
      </w:r>
    </w:p>
  </w:footnote>
  <w:footnote w:type="continuationSeparator" w:id="0">
    <w:p w14:paraId="602A1347" w14:textId="77777777" w:rsidR="007F011C" w:rsidRDefault="007F011C" w:rsidP="00065623">
      <w:r>
        <w:continuationSeparator/>
      </w:r>
    </w:p>
  </w:footnote>
  <w:footnote w:id="1">
    <w:p w14:paraId="1FA479C3" w14:textId="77777777" w:rsidR="007F011C" w:rsidRDefault="007F011C" w:rsidP="00687501">
      <w:pPr>
        <w:pStyle w:val="FootnoteText"/>
      </w:pPr>
      <w:r>
        <w:rPr>
          <w:rStyle w:val="FootnoteReference"/>
        </w:rPr>
        <w:footnoteRef/>
      </w:r>
      <w:r>
        <w:t xml:space="preserve"> Population, Intervention, Comparator, Outcome</w:t>
      </w:r>
    </w:p>
  </w:footnote>
  <w:footnote w:id="2">
    <w:p w14:paraId="03DFE644" w14:textId="77777777" w:rsidR="007F011C" w:rsidRDefault="007F011C" w:rsidP="003C2E14">
      <w:pPr>
        <w:pStyle w:val="FootnoteText"/>
      </w:pPr>
      <w:r>
        <w:rPr>
          <w:rStyle w:val="FootnoteReference"/>
        </w:rPr>
        <w:footnoteRef/>
      </w:r>
      <w:r>
        <w:t xml:space="preserve"> </w:t>
      </w:r>
      <w:r w:rsidRPr="002D341C">
        <w:t>Juh</w:t>
      </w:r>
      <w:r>
        <w:t xml:space="preserve">l AA, Karlsson P, Damsgaard TE (2016) </w:t>
      </w:r>
      <w:r w:rsidRPr="002D341C">
        <w:t>Journal of Plastic, Recon</w:t>
      </w:r>
      <w:r>
        <w:t xml:space="preserve">structive and Aesthetic Surgery. </w:t>
      </w:r>
      <w:r w:rsidRPr="002D341C">
        <w:t>69(9):1192-202.</w:t>
      </w:r>
    </w:p>
  </w:footnote>
  <w:footnote w:id="3">
    <w:p w14:paraId="3F916990" w14:textId="77777777" w:rsidR="007F011C" w:rsidRDefault="007F011C" w:rsidP="003C2E14">
      <w:pPr>
        <w:pStyle w:val="FootnoteText"/>
      </w:pPr>
      <w:r>
        <w:rPr>
          <w:rStyle w:val="FootnoteReference"/>
        </w:rPr>
        <w:footnoteRef/>
      </w:r>
      <w:r>
        <w:t xml:space="preserve"> </w:t>
      </w:r>
      <w:r w:rsidRPr="002D341C">
        <w:t xml:space="preserve">Calabrese C, Kothari A, Badylak S, Di Taranto G, Marcasciano M, Sordi S, et al. </w:t>
      </w:r>
      <w:r>
        <w:t>(2018)</w:t>
      </w:r>
      <w:r w:rsidRPr="002D341C">
        <w:t xml:space="preserve"> European Review for Medical and Pharmacological Sciences. 22(15):4768-77.</w:t>
      </w:r>
    </w:p>
  </w:footnote>
  <w:footnote w:id="4">
    <w:p w14:paraId="488B8F41" w14:textId="77777777" w:rsidR="007F011C" w:rsidRDefault="007F011C" w:rsidP="003C2E14">
      <w:pPr>
        <w:pStyle w:val="FootnoteText"/>
      </w:pPr>
      <w:r>
        <w:rPr>
          <w:rStyle w:val="FootnoteReference"/>
        </w:rPr>
        <w:footnoteRef/>
      </w:r>
      <w:r>
        <w:t xml:space="preserve"> </w:t>
      </w:r>
      <w:r w:rsidRPr="002D341C">
        <w:t>Cuomo R, Zerini I, Botteri G, Barberi L, Nisi G, D'Aniello C</w:t>
      </w:r>
      <w:r>
        <w:t xml:space="preserve"> (2014)</w:t>
      </w:r>
      <w:r w:rsidRPr="002D341C">
        <w:t xml:space="preserve"> In Vivo. 28(5):993-6.</w:t>
      </w:r>
    </w:p>
  </w:footnote>
  <w:footnote w:id="5">
    <w:p w14:paraId="2D039791" w14:textId="77777777" w:rsidR="007F011C" w:rsidRDefault="007F011C" w:rsidP="003C2E14">
      <w:pPr>
        <w:pStyle w:val="FootnoteText"/>
      </w:pPr>
      <w:r>
        <w:rPr>
          <w:rStyle w:val="FootnoteReference"/>
        </w:rPr>
        <w:footnoteRef/>
      </w:r>
      <w:r>
        <w:t xml:space="preserve"> </w:t>
      </w:r>
      <w:r w:rsidRPr="002D341C">
        <w:t>Ribuffo D, Atzeni M, Guerra M, Bucher S, Politi C, Deidda M, et al</w:t>
      </w:r>
      <w:r>
        <w:t xml:space="preserve"> (2013)</w:t>
      </w:r>
      <w:r w:rsidRPr="002D341C">
        <w:t xml:space="preserve"> Aesthetic Plastic Surgery. 37(6):1146-52.</w:t>
      </w:r>
    </w:p>
  </w:footnote>
  <w:footnote w:id="6">
    <w:p w14:paraId="7DDA5F2D" w14:textId="77777777" w:rsidR="007F011C" w:rsidRDefault="007F011C" w:rsidP="003C2E14">
      <w:pPr>
        <w:pStyle w:val="FootnoteText"/>
      </w:pPr>
      <w:r>
        <w:rPr>
          <w:rStyle w:val="FootnoteReference"/>
        </w:rPr>
        <w:footnoteRef/>
      </w:r>
      <w:r>
        <w:t xml:space="preserve"> </w:t>
      </w:r>
      <w:r w:rsidRPr="002D341C">
        <w:t>Vaia N, Lo Torto F, Marcasciano M, Casella</w:t>
      </w:r>
      <w:r>
        <w:t xml:space="preserve"> D, Cacace C, De Masi C, et al. (2018) </w:t>
      </w:r>
      <w:r w:rsidRPr="002D341C">
        <w:t>Aesthetic plastic surgery. 42(4):986-94.</w:t>
      </w:r>
    </w:p>
  </w:footnote>
  <w:footnote w:id="7">
    <w:p w14:paraId="3D8248D2" w14:textId="77777777" w:rsidR="007F011C" w:rsidRDefault="007F011C" w:rsidP="003C2E14">
      <w:pPr>
        <w:pStyle w:val="FootnoteText"/>
      </w:pPr>
      <w:r>
        <w:rPr>
          <w:rStyle w:val="FootnoteReference"/>
        </w:rPr>
        <w:footnoteRef/>
      </w:r>
      <w:r>
        <w:t xml:space="preserve"> </w:t>
      </w:r>
      <w:r w:rsidRPr="002D341C">
        <w:t>Caviggioli F, Maione L, Forcellini D, Klinger F, Klinger M</w:t>
      </w:r>
      <w:r>
        <w:t xml:space="preserve"> (2011)</w:t>
      </w:r>
      <w:r w:rsidRPr="002D341C">
        <w:t xml:space="preserve"> Plastic and reconstructive surgery. 128(2):349-52.</w:t>
      </w:r>
    </w:p>
  </w:footnote>
  <w:footnote w:id="8">
    <w:p w14:paraId="4A306359" w14:textId="77777777" w:rsidR="007F011C" w:rsidRDefault="007F011C" w:rsidP="003C2E14">
      <w:pPr>
        <w:pStyle w:val="FootnoteText"/>
      </w:pPr>
      <w:r>
        <w:rPr>
          <w:rStyle w:val="FootnoteReference"/>
        </w:rPr>
        <w:footnoteRef/>
      </w:r>
      <w:r>
        <w:t xml:space="preserve"> </w:t>
      </w:r>
      <w:r w:rsidRPr="002D341C">
        <w:t>Caviggioli F, Maione L, Klinger F, Lisa A, Klinger M</w:t>
      </w:r>
      <w:r>
        <w:t xml:space="preserve"> (2016)</w:t>
      </w:r>
      <w:r w:rsidRPr="002D341C">
        <w:t xml:space="preserve"> Stem Cells International. </w:t>
      </w:r>
    </w:p>
  </w:footnote>
  <w:footnote w:id="9">
    <w:p w14:paraId="3D603CFA" w14:textId="77777777" w:rsidR="007F011C" w:rsidRDefault="007F011C" w:rsidP="003C2E14">
      <w:pPr>
        <w:pStyle w:val="FootnoteText"/>
      </w:pPr>
      <w:r>
        <w:rPr>
          <w:rStyle w:val="FootnoteReference"/>
        </w:rPr>
        <w:footnoteRef/>
      </w:r>
      <w:r>
        <w:t xml:space="preserve"> </w:t>
      </w:r>
      <w:r w:rsidRPr="00730B8C">
        <w:t>Maione L, Vinci V, Caviggioli F, Klinger F, Banzatti B, Catania B, et al.</w:t>
      </w:r>
      <w:r>
        <w:t xml:space="preserve"> (2014)</w:t>
      </w:r>
      <w:r w:rsidRPr="00730B8C">
        <w:t xml:space="preserve"> Aesthetic plastic surgery. 38(3):528-32.</w:t>
      </w:r>
    </w:p>
  </w:footnote>
  <w:footnote w:id="10">
    <w:p w14:paraId="30100F06" w14:textId="77777777" w:rsidR="007F011C" w:rsidRDefault="007F011C" w:rsidP="003C2E14">
      <w:pPr>
        <w:pStyle w:val="FootnoteText"/>
      </w:pPr>
      <w:r>
        <w:rPr>
          <w:rStyle w:val="FootnoteReference"/>
        </w:rPr>
        <w:footnoteRef/>
      </w:r>
      <w:r>
        <w:t xml:space="preserve"> </w:t>
      </w:r>
      <w:r w:rsidRPr="00730B8C">
        <w:t xml:space="preserve">Ribuffo D, Atzeni M, Guerra M, Bucher S, Politi C, Deidda M, et al. </w:t>
      </w:r>
      <w:r>
        <w:t>(2013)</w:t>
      </w:r>
      <w:r w:rsidRPr="00730B8C">
        <w:t xml:space="preserve"> Aesthetic Plastic Surgery. 37(6):1146-52.</w:t>
      </w:r>
    </w:p>
  </w:footnote>
  <w:footnote w:id="11">
    <w:p w14:paraId="731D289A" w14:textId="77777777" w:rsidR="007F011C" w:rsidRDefault="007F011C" w:rsidP="003C2E14">
      <w:pPr>
        <w:pStyle w:val="FootnoteText"/>
      </w:pPr>
      <w:r>
        <w:rPr>
          <w:rStyle w:val="FootnoteReference"/>
        </w:rPr>
        <w:footnoteRef/>
      </w:r>
      <w:r>
        <w:t xml:space="preserve"> </w:t>
      </w:r>
      <w:r w:rsidRPr="00730B8C">
        <w:t>Fertsch S, Hagouan M, Munder B, Schulz T, Abu-Ghazaleh A, Schaberick J, et al</w:t>
      </w:r>
      <w:r>
        <w:t xml:space="preserve">. (2017) Gland Surgery. </w:t>
      </w:r>
      <w:r w:rsidRPr="00730B8C">
        <w:t>6(4):315-23.</w:t>
      </w:r>
    </w:p>
  </w:footnote>
  <w:footnote w:id="12">
    <w:p w14:paraId="40AB8A77" w14:textId="77777777" w:rsidR="007F011C" w:rsidRDefault="007F011C" w:rsidP="003C2E14">
      <w:pPr>
        <w:pStyle w:val="FootnoteText"/>
      </w:pPr>
      <w:r>
        <w:rPr>
          <w:rStyle w:val="FootnoteReference"/>
        </w:rPr>
        <w:footnoteRef/>
      </w:r>
      <w:r>
        <w:t xml:space="preserve"> </w:t>
      </w:r>
      <w:r w:rsidRPr="00730B8C">
        <w:t>Laporta R, Longo B, Sorotos M, Pagnoni M, Santanelli di Pompeo F</w:t>
      </w:r>
      <w:r>
        <w:t xml:space="preserve"> (2015) </w:t>
      </w:r>
      <w:r w:rsidRPr="00730B8C">
        <w:t>Aesthetic plastic surgery. 39(3):339-49.</w:t>
      </w:r>
    </w:p>
  </w:footnote>
  <w:footnote w:id="13">
    <w:p w14:paraId="0FEBCE13" w14:textId="77777777" w:rsidR="007F011C" w:rsidRDefault="007F011C" w:rsidP="003C2E14">
      <w:pPr>
        <w:pStyle w:val="FootnoteText"/>
      </w:pPr>
      <w:r>
        <w:rPr>
          <w:rStyle w:val="FootnoteReference"/>
        </w:rPr>
        <w:footnoteRef/>
      </w:r>
      <w:r>
        <w:t xml:space="preserve"> </w:t>
      </w:r>
      <w:r w:rsidRPr="00730B8C">
        <w:t>K</w:t>
      </w:r>
      <w:r>
        <w:t xml:space="preserve">im HY, Jung BK, Lew DH, Lee DW (2014) </w:t>
      </w:r>
      <w:r w:rsidRPr="00730B8C">
        <w:t>Archives of Plastic Surgery. 41(6):740-7.</w:t>
      </w:r>
    </w:p>
  </w:footnote>
  <w:footnote w:id="14">
    <w:p w14:paraId="644D7662" w14:textId="77777777" w:rsidR="007F011C" w:rsidRDefault="007F011C" w:rsidP="003C2E14">
      <w:pPr>
        <w:pStyle w:val="FootnoteText"/>
      </w:pPr>
      <w:r>
        <w:rPr>
          <w:rStyle w:val="FootnoteReference"/>
        </w:rPr>
        <w:footnoteRef/>
      </w:r>
      <w:r>
        <w:t xml:space="preserve"> </w:t>
      </w:r>
      <w:r w:rsidRPr="00730B8C">
        <w:t>Masia J, Bordoni D, Pons G, Li</w:t>
      </w:r>
      <w:r>
        <w:t xml:space="preserve">uzza C, Castagnetti F, Falco G (2015) </w:t>
      </w:r>
      <w:r w:rsidRPr="00730B8C">
        <w:t>European journal of surgical oncology</w:t>
      </w:r>
      <w:r>
        <w:t>.</w:t>
      </w:r>
      <w:r w:rsidRPr="00730B8C">
        <w:t xml:space="preserve"> 41(5):612-6.</w:t>
      </w:r>
    </w:p>
  </w:footnote>
  <w:footnote w:id="15">
    <w:p w14:paraId="0AC37262" w14:textId="77777777" w:rsidR="007F011C" w:rsidRDefault="007F011C" w:rsidP="003C2E14">
      <w:pPr>
        <w:pStyle w:val="FootnoteText"/>
      </w:pPr>
      <w:r>
        <w:rPr>
          <w:rStyle w:val="FootnoteReference"/>
        </w:rPr>
        <w:footnoteRef/>
      </w:r>
      <w:r>
        <w:t xml:space="preserve"> </w:t>
      </w:r>
      <w:r w:rsidRPr="00730B8C">
        <w:t>Panett</w:t>
      </w:r>
      <w:r>
        <w:t xml:space="preserve">iere P, Marchetti L, Accorsi D (2009) </w:t>
      </w:r>
      <w:r w:rsidRPr="00730B8C">
        <w:t>Aesthetic Plastic Surgery</w:t>
      </w:r>
      <w:r>
        <w:t>.</w:t>
      </w:r>
      <w:r w:rsidRPr="00730B8C">
        <w:t xml:space="preserve"> 33(5):695-700.</w:t>
      </w:r>
    </w:p>
  </w:footnote>
  <w:footnote w:id="16">
    <w:p w14:paraId="0707D8D8" w14:textId="77777777" w:rsidR="007F011C" w:rsidRDefault="007F011C" w:rsidP="003C2E14">
      <w:pPr>
        <w:pStyle w:val="FootnoteText"/>
      </w:pPr>
      <w:r>
        <w:rPr>
          <w:rStyle w:val="FootnoteReference"/>
        </w:rPr>
        <w:footnoteRef/>
      </w:r>
      <w:r>
        <w:t xml:space="preserve"> </w:t>
      </w:r>
      <w:r w:rsidRPr="00730B8C">
        <w:t>Pinell-White XA, Etra J, Newell M, Tuscano D, Shin K, Losken A</w:t>
      </w:r>
      <w:r>
        <w:t xml:space="preserve"> (2015) Breast Journal. </w:t>
      </w:r>
      <w:r w:rsidRPr="00730B8C">
        <w:t>21(5):520-5.</w:t>
      </w:r>
    </w:p>
  </w:footnote>
  <w:footnote w:id="17">
    <w:p w14:paraId="531695A2" w14:textId="77777777" w:rsidR="007F011C" w:rsidRDefault="007F011C" w:rsidP="003C2E14">
      <w:pPr>
        <w:pStyle w:val="FootnoteText"/>
      </w:pPr>
      <w:r>
        <w:rPr>
          <w:rStyle w:val="FootnoteReference"/>
        </w:rPr>
        <w:footnoteRef/>
      </w:r>
      <w:r>
        <w:t xml:space="preserve"> </w:t>
      </w:r>
      <w:r w:rsidRPr="00730B8C">
        <w:t>Khan LR, Raine CR, Dixon JM</w:t>
      </w:r>
      <w:r>
        <w:t xml:space="preserve"> (2017)</w:t>
      </w:r>
      <w:r w:rsidRPr="00730B8C">
        <w:t xml:space="preserve"> European Journal of Surgical Oncology. 43(8):1402-8.</w:t>
      </w:r>
    </w:p>
  </w:footnote>
  <w:footnote w:id="18">
    <w:p w14:paraId="2477466A" w14:textId="77777777" w:rsidR="007F011C" w:rsidRDefault="007F011C" w:rsidP="003C2E14">
      <w:pPr>
        <w:pStyle w:val="FootnoteText"/>
      </w:pPr>
      <w:r>
        <w:rPr>
          <w:rStyle w:val="FootnoteReference"/>
        </w:rPr>
        <w:footnoteRef/>
      </w:r>
      <w:r>
        <w:t xml:space="preserve"> </w:t>
      </w:r>
      <w:r w:rsidRPr="00730B8C">
        <w:t xml:space="preserve">Stumpf CC, Biazus JV, Zucatto F, Cericatto R, Cavalheiro JAC, Damin APS, et al. </w:t>
      </w:r>
      <w:r>
        <w:t xml:space="preserve">(2017) </w:t>
      </w:r>
      <w:r w:rsidRPr="00730B8C">
        <w:t>Revista do Colegio Brasileiro de Cirurgioes. 44(2):179-86.</w:t>
      </w:r>
    </w:p>
  </w:footnote>
  <w:footnote w:id="19">
    <w:p w14:paraId="0ED50CD4" w14:textId="77777777" w:rsidR="007F011C" w:rsidRDefault="007F011C" w:rsidP="003C2E14">
      <w:pPr>
        <w:pStyle w:val="FootnoteText"/>
      </w:pPr>
      <w:r>
        <w:rPr>
          <w:rStyle w:val="FootnoteReference"/>
        </w:rPr>
        <w:footnoteRef/>
      </w:r>
      <w:r>
        <w:t xml:space="preserve"> Cohen 2017, Gale 2015, Krastev 2018, Kronowitz 2016, Mazur 2018, Petit 2012, 2013 and 2017, Seth 2012, Silva-Vergara 2017, Sorrentino 2019</w:t>
      </w:r>
    </w:p>
  </w:footnote>
  <w:footnote w:id="20">
    <w:p w14:paraId="1E59DCF6" w14:textId="77777777" w:rsidR="007F011C" w:rsidRDefault="007F011C" w:rsidP="003C2E14">
      <w:pPr>
        <w:pStyle w:val="FootnoteText"/>
      </w:pPr>
      <w:r>
        <w:rPr>
          <w:rStyle w:val="FootnoteReference"/>
        </w:rPr>
        <w:footnoteRef/>
      </w:r>
      <w:r>
        <w:t xml:space="preserve"> </w:t>
      </w:r>
      <w:r w:rsidRPr="00C75927">
        <w:t>Krastev TK, Schop SJ, Hommes J, Piatkowski AA</w:t>
      </w:r>
      <w:r>
        <w:t xml:space="preserve">, Heuts EM, van der Hulst RRWJ (2018b) </w:t>
      </w:r>
      <w:r w:rsidRPr="00C75927">
        <w:t>The British Journal of Surgery. 105(9):1082-97.</w:t>
      </w:r>
    </w:p>
  </w:footnote>
  <w:footnote w:id="21">
    <w:p w14:paraId="787E88D4" w14:textId="77777777" w:rsidR="007F011C" w:rsidRDefault="007F011C" w:rsidP="003C2E14">
      <w:pPr>
        <w:pStyle w:val="FootnoteText"/>
      </w:pPr>
      <w:r>
        <w:rPr>
          <w:rStyle w:val="FootnoteReference"/>
        </w:rPr>
        <w:footnoteRef/>
      </w:r>
      <w:r>
        <w:t xml:space="preserve"> </w:t>
      </w:r>
      <w:r w:rsidRPr="00C75927">
        <w:t xml:space="preserve">Petit JY, Botteri E, Lohsiriwat V, Rietjens M, De lorenzi F, Garusi C, et al. </w:t>
      </w:r>
      <w:r>
        <w:t xml:space="preserve">(2012) </w:t>
      </w:r>
      <w:r w:rsidRPr="00C75927">
        <w:t>Annals of Oncology. 23(3):582-8.</w:t>
      </w:r>
    </w:p>
  </w:footnote>
  <w:footnote w:id="22">
    <w:p w14:paraId="29542773" w14:textId="77777777" w:rsidR="007F011C" w:rsidRDefault="007F011C" w:rsidP="003C2E14">
      <w:pPr>
        <w:pStyle w:val="FootnoteText"/>
      </w:pPr>
      <w:r>
        <w:rPr>
          <w:rStyle w:val="FootnoteReference"/>
        </w:rPr>
        <w:footnoteRef/>
      </w:r>
      <w:r>
        <w:t xml:space="preserve"> </w:t>
      </w:r>
      <w:r w:rsidRPr="00C75927">
        <w:t xml:space="preserve">Petit JY, Rietjens M, Botteri E, Rotmensz N, Bertolini F, Curigliano G, et al. </w:t>
      </w:r>
      <w:r>
        <w:t>(2013)</w:t>
      </w:r>
      <w:r w:rsidRPr="00C75927">
        <w:t xml:space="preserve"> Annals of Oncology. 24(6):1479-84.</w:t>
      </w:r>
    </w:p>
  </w:footnote>
  <w:footnote w:id="23">
    <w:p w14:paraId="1C7A3920" w14:textId="77777777" w:rsidR="007F011C" w:rsidRDefault="007F011C" w:rsidP="003C2E14">
      <w:pPr>
        <w:pStyle w:val="FootnoteText"/>
      </w:pPr>
      <w:r>
        <w:rPr>
          <w:rStyle w:val="FootnoteReference"/>
        </w:rPr>
        <w:footnoteRef/>
      </w:r>
      <w:r>
        <w:t xml:space="preserve"> </w:t>
      </w:r>
      <w:r w:rsidRPr="00C75927">
        <w:t>Kronowitz SJ, Mandujano CC, Liu J, Kuerer HM, Smith B, Garvey P, et al. Plastic and reconstructive surgery. 137(2):385-93.</w:t>
      </w:r>
    </w:p>
  </w:footnote>
  <w:footnote w:id="24">
    <w:p w14:paraId="17EE4C01" w14:textId="77777777" w:rsidR="007F011C" w:rsidRDefault="007F011C" w:rsidP="003C2E14">
      <w:pPr>
        <w:pStyle w:val="FootnoteText"/>
      </w:pPr>
      <w:r>
        <w:rPr>
          <w:rStyle w:val="FootnoteReference"/>
        </w:rPr>
        <w:footnoteRef/>
      </w:r>
      <w:r>
        <w:t xml:space="preserve"> </w:t>
      </w:r>
      <w:r w:rsidRPr="00C75927">
        <w:t xml:space="preserve">Brault N, Stivala A, Guillier D, Moris V, Revol M, Francois C, et al. </w:t>
      </w:r>
      <w:r>
        <w:t>(2017)</w:t>
      </w:r>
      <w:r w:rsidRPr="00C75927">
        <w:t xml:space="preserve"> Journal of Plastic, Reconstructive &amp; Aesthetic Surgery</w:t>
      </w:r>
      <w:r>
        <w:t>.</w:t>
      </w:r>
      <w:r w:rsidRPr="00C75927">
        <w:t xml:space="preserve"> 70(5):585-95.</w:t>
      </w:r>
    </w:p>
  </w:footnote>
  <w:footnote w:id="25">
    <w:p w14:paraId="2BE691DD" w14:textId="77777777" w:rsidR="007F011C" w:rsidRDefault="007F011C" w:rsidP="003C2E14">
      <w:pPr>
        <w:pStyle w:val="FootnoteText"/>
      </w:pPr>
      <w:r>
        <w:rPr>
          <w:rStyle w:val="FootnoteReference"/>
        </w:rPr>
        <w:footnoteRef/>
      </w:r>
      <w:r>
        <w:t xml:space="preserve"> </w:t>
      </w:r>
      <w:r w:rsidRPr="00C75927">
        <w:t>Tenna S, Cagli B, Brune</w:t>
      </w:r>
      <w:r>
        <w:t xml:space="preserve">tti B, Barone M, Persichetti P (2017) </w:t>
      </w:r>
      <w:r w:rsidRPr="00C75927">
        <w:t>Aesthetic Plast Surg. 41(6):1249-58.</w:t>
      </w:r>
    </w:p>
  </w:footnote>
  <w:footnote w:id="26">
    <w:p w14:paraId="47769A69" w14:textId="77777777" w:rsidR="007F011C" w:rsidRDefault="007F011C" w:rsidP="003C2E14">
      <w:pPr>
        <w:pStyle w:val="FootnoteText"/>
      </w:pPr>
      <w:r>
        <w:rPr>
          <w:rStyle w:val="FootnoteReference"/>
        </w:rPr>
        <w:footnoteRef/>
      </w:r>
      <w:r>
        <w:t xml:space="preserve"> </w:t>
      </w:r>
      <w:r w:rsidRPr="00C75927">
        <w:t>Leuzzi S, Stivala A, Shaff JB, Maroccia A, Rausky J, Revol M, et al</w:t>
      </w:r>
      <w:r>
        <w:t xml:space="preserve">. (2019) </w:t>
      </w:r>
      <w:r w:rsidRPr="00C75927">
        <w:t>Journal of Plastic, Reconstructive and Aesthetic Surgery. 72(3):381-93.</w:t>
      </w:r>
    </w:p>
  </w:footnote>
  <w:footnote w:id="27">
    <w:p w14:paraId="2C0E80CB" w14:textId="77777777" w:rsidR="007F011C" w:rsidRDefault="007F011C" w:rsidP="003C2E14">
      <w:pPr>
        <w:pStyle w:val="FootnoteText"/>
      </w:pPr>
      <w:r>
        <w:rPr>
          <w:rStyle w:val="FootnoteReference"/>
        </w:rPr>
        <w:footnoteRef/>
      </w:r>
      <w:r>
        <w:t xml:space="preserve"> </w:t>
      </w:r>
      <w:r w:rsidRPr="00C75927">
        <w:t xml:space="preserve">Lakhiani C, Hammoudeh ZS, Aho JM, Lee M, Rasko Y, Cheng A, et al. </w:t>
      </w:r>
      <w:r>
        <w:t xml:space="preserve">(2014) </w:t>
      </w:r>
      <w:r w:rsidRPr="00C75927">
        <w:t>European Journal of Plastic Surgery. 37(11):609-18.</w:t>
      </w:r>
    </w:p>
  </w:footnote>
  <w:footnote w:id="28">
    <w:p w14:paraId="436FACA2" w14:textId="77777777" w:rsidR="007F011C" w:rsidRDefault="007F011C" w:rsidP="003C2E14">
      <w:pPr>
        <w:pStyle w:val="FootnoteText"/>
      </w:pPr>
      <w:r>
        <w:rPr>
          <w:rStyle w:val="FootnoteReference"/>
        </w:rPr>
        <w:footnoteRef/>
      </w:r>
      <w:r>
        <w:t xml:space="preserve"> </w:t>
      </w:r>
      <w:r w:rsidRPr="00996CD8">
        <w:t>The</w:t>
      </w:r>
      <w:r>
        <w:t xml:space="preserve"> DCAR stated that the</w:t>
      </w:r>
      <w:r w:rsidRPr="00996CD8">
        <w:t xml:space="preserve"> term “exercise” is used here in order not to confuse the following with the full-scale economic evaluations. All analyses were conducted from the Australian Health Care System perspective. In many instances in order to derive a result (incremental cost-effectiveness ratio; ICER) a number of assumptions had to be made, that are likely to compromise the validity of results. In these populations, poor quality and inadequate reporting of the limited evidence made it impossible to assess the degree and the direction of bias of the results. The results should be interpreted with caution.  </w:t>
      </w:r>
    </w:p>
  </w:footnote>
  <w:footnote w:id="29">
    <w:p w14:paraId="2E3EA83B" w14:textId="77777777" w:rsidR="007F011C" w:rsidRDefault="007F011C" w:rsidP="003C2E14">
      <w:pPr>
        <w:pStyle w:val="FootnoteText"/>
      </w:pPr>
      <w:r>
        <w:rPr>
          <w:rStyle w:val="FootnoteReference"/>
        </w:rPr>
        <w:footnoteRef/>
      </w:r>
      <w:r>
        <w:t xml:space="preserve"> T</w:t>
      </w:r>
      <w:r w:rsidRPr="003F74DB">
        <w:t xml:space="preserve">he average of the </w:t>
      </w:r>
      <w:r>
        <w:t>proportions in 28/34 (</w:t>
      </w:r>
      <w:r w:rsidRPr="003F74DB">
        <w:t>82%</w:t>
      </w:r>
      <w:r>
        <w:t>)</w:t>
      </w:r>
      <w:r w:rsidRPr="003F74DB">
        <w:t xml:space="preserve"> </w:t>
      </w:r>
      <w:r>
        <w:t xml:space="preserve">patients who no longer took analgesics in Caviggioli (2011) and </w:t>
      </w:r>
      <w:r w:rsidRPr="003F74DB">
        <w:t>20/25 (80%)</w:t>
      </w:r>
      <w:r>
        <w:t xml:space="preserve"> patients</w:t>
      </w:r>
      <w:r w:rsidRPr="003F74DB">
        <w:t xml:space="preserve"> in Caviggioli</w:t>
      </w:r>
      <w:r>
        <w:t xml:space="preserve"> (2016)</w:t>
      </w:r>
    </w:p>
  </w:footnote>
  <w:footnote w:id="30">
    <w:p w14:paraId="34C8B00F" w14:textId="77777777" w:rsidR="007F011C" w:rsidRDefault="007F011C" w:rsidP="00687501">
      <w:pPr>
        <w:pStyle w:val="FootnoteText"/>
      </w:pPr>
      <w:r>
        <w:rPr>
          <w:rStyle w:val="FootnoteReference"/>
        </w:rPr>
        <w:footnoteRef/>
      </w:r>
      <w:r>
        <w:t xml:space="preserve"> </w:t>
      </w:r>
      <w:r w:rsidRPr="0012362E">
        <w:t>Moustakie</w:t>
      </w:r>
      <w:r>
        <w:rPr>
          <w:color w:val="0070C0"/>
        </w:rPr>
        <w:t xml:space="preserve"> </w:t>
      </w:r>
      <w:r w:rsidRPr="006D3A6E">
        <w:t xml:space="preserve">M, Papadopoulos O, Verikokos C, et al. (2017) Application of adipose-derived stromal cells in fat grafting: Basic science and literature review. Exp Ther Med. 14(3):2415-2423. </w:t>
      </w:r>
      <w:hyperlink r:id="rId1" w:history="1">
        <w:r w:rsidRPr="0012362E">
          <w:rPr>
            <w:rStyle w:val="Hyperlink"/>
          </w:rPr>
          <w:t>doi:10.3892/etm.2017.4811</w:t>
        </w:r>
      </w:hyperlink>
    </w:p>
  </w:footnote>
  <w:footnote w:id="31">
    <w:p w14:paraId="1216F403" w14:textId="77777777" w:rsidR="007F011C" w:rsidRDefault="007F011C" w:rsidP="00687501">
      <w:pPr>
        <w:pStyle w:val="FootnoteText"/>
      </w:pPr>
      <w:r>
        <w:rPr>
          <w:rStyle w:val="FootnoteReference"/>
        </w:rPr>
        <w:footnoteRef/>
      </w:r>
      <w:r>
        <w:t xml:space="preserve"> </w:t>
      </w:r>
      <w:r w:rsidRPr="0012362E">
        <w:t xml:space="preserve">Yu NZ, Huang JZ, Zhang H, et al. </w:t>
      </w:r>
      <w:r>
        <w:t xml:space="preserve">(2015) </w:t>
      </w:r>
      <w:r w:rsidRPr="0012362E">
        <w:t xml:space="preserve">A systemic review of autologous fat grafting survival rate and related severe complications. Chin Med J (Engl). 128(9):1245-1251. </w:t>
      </w:r>
      <w:hyperlink r:id="rId2" w:history="1">
        <w:r w:rsidRPr="0012362E">
          <w:rPr>
            <w:rStyle w:val="Hyperlink"/>
          </w:rPr>
          <w:t>doi:10.4103/0366-6999.156142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FF35B" w14:textId="77777777" w:rsidR="002E3DBE" w:rsidRDefault="002E3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4F044" w14:textId="77777777" w:rsidR="007F011C" w:rsidRDefault="007F011C" w:rsidP="002D52C6">
    <w:pPr>
      <w:pStyle w:val="Header"/>
      <w:tabs>
        <w:tab w:val="right" w:pos="893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A0D84" w14:textId="77777777" w:rsidR="002E3DBE" w:rsidRDefault="002E3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E00"/>
    <w:multiLevelType w:val="hybridMultilevel"/>
    <w:tmpl w:val="3312A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81F94"/>
    <w:multiLevelType w:val="hybridMultilevel"/>
    <w:tmpl w:val="42587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D2B"/>
    <w:multiLevelType w:val="hybridMultilevel"/>
    <w:tmpl w:val="A4E0A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08611E"/>
    <w:multiLevelType w:val="hybridMultilevel"/>
    <w:tmpl w:val="12F46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30095E"/>
    <w:multiLevelType w:val="hybridMultilevel"/>
    <w:tmpl w:val="DD7EA418"/>
    <w:lvl w:ilvl="0" w:tplc="AA6ED8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8E5880"/>
    <w:multiLevelType w:val="hybridMultilevel"/>
    <w:tmpl w:val="19BA65F8"/>
    <w:lvl w:ilvl="0" w:tplc="AA6ED8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711632"/>
    <w:multiLevelType w:val="hybridMultilevel"/>
    <w:tmpl w:val="813AF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80C8A"/>
    <w:multiLevelType w:val="hybridMultilevel"/>
    <w:tmpl w:val="93E2BE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2A6E7C"/>
    <w:multiLevelType w:val="hybridMultilevel"/>
    <w:tmpl w:val="BE766DCC"/>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46393D"/>
    <w:multiLevelType w:val="hybridMultilevel"/>
    <w:tmpl w:val="18526AA8"/>
    <w:lvl w:ilvl="0" w:tplc="5C360D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2E70DC6"/>
    <w:multiLevelType w:val="hybridMultilevel"/>
    <w:tmpl w:val="3F3ADD76"/>
    <w:lvl w:ilvl="0" w:tplc="0C090011">
      <w:start w:val="1"/>
      <w:numFmt w:val="decimal"/>
      <w:lvlText w:val="%1)"/>
      <w:lvlJc w:val="left"/>
      <w:pPr>
        <w:ind w:left="720" w:hanging="360"/>
      </w:pPr>
      <w:rPr>
        <w:rFonts w:hint="default"/>
      </w:rPr>
    </w:lvl>
    <w:lvl w:ilvl="1" w:tplc="1A5EF81E">
      <w:start w:val="5"/>
      <w:numFmt w:val="bullet"/>
      <w:lvlText w:val="-"/>
      <w:lvlJc w:val="left"/>
      <w:pPr>
        <w:ind w:left="1440" w:hanging="360"/>
      </w:pPr>
      <w:rPr>
        <w:rFonts w:ascii="Arial Narrow" w:eastAsia="Times New Roman" w:hAnsi="Arial Narrow" w:cs="Tahoma" w:hint="default"/>
      </w:rPr>
    </w:lvl>
    <w:lvl w:ilvl="2" w:tplc="6A584DA8">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2B1125"/>
    <w:multiLevelType w:val="hybridMultilevel"/>
    <w:tmpl w:val="B7105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557ABF"/>
    <w:multiLevelType w:val="hybridMultilevel"/>
    <w:tmpl w:val="87204304"/>
    <w:lvl w:ilvl="0" w:tplc="5C360D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913291"/>
    <w:multiLevelType w:val="hybridMultilevel"/>
    <w:tmpl w:val="430694C8"/>
    <w:lvl w:ilvl="0" w:tplc="1A5EF81E">
      <w:start w:val="5"/>
      <w:numFmt w:val="bullet"/>
      <w:lvlText w:val="-"/>
      <w:lvlJc w:val="left"/>
      <w:pPr>
        <w:ind w:left="360" w:hanging="360"/>
      </w:pPr>
      <w:rPr>
        <w:rFonts w:ascii="Arial Narrow" w:eastAsia="Times New Roman" w:hAnsi="Arial Narrow"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526E39"/>
    <w:multiLevelType w:val="hybridMultilevel"/>
    <w:tmpl w:val="11903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4C53A2"/>
    <w:multiLevelType w:val="hybridMultilevel"/>
    <w:tmpl w:val="4AB8C6DA"/>
    <w:lvl w:ilvl="0" w:tplc="5C360D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C7324C"/>
    <w:multiLevelType w:val="hybridMultilevel"/>
    <w:tmpl w:val="C3762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0086017"/>
    <w:multiLevelType w:val="hybridMultilevel"/>
    <w:tmpl w:val="A8E29464"/>
    <w:lvl w:ilvl="0" w:tplc="AA6ED8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4707BDA"/>
    <w:multiLevelType w:val="hybridMultilevel"/>
    <w:tmpl w:val="644E5C5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671D1CBC"/>
    <w:multiLevelType w:val="hybridMultilevel"/>
    <w:tmpl w:val="2086FC26"/>
    <w:lvl w:ilvl="0" w:tplc="CA98CD20">
      <w:start w:val="2"/>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15:restartNumberingAfterBreak="0">
    <w:nsid w:val="687C2F0F"/>
    <w:multiLevelType w:val="hybridMultilevel"/>
    <w:tmpl w:val="23AA780C"/>
    <w:lvl w:ilvl="0" w:tplc="5C360D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295F7D"/>
    <w:multiLevelType w:val="hybridMultilevel"/>
    <w:tmpl w:val="01A8DAB8"/>
    <w:lvl w:ilvl="0" w:tplc="5C360D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6E1A3537"/>
    <w:multiLevelType w:val="hybridMultilevel"/>
    <w:tmpl w:val="5C50C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ED40EB1"/>
    <w:multiLevelType w:val="hybridMultilevel"/>
    <w:tmpl w:val="78EA2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205125"/>
    <w:multiLevelType w:val="hybridMultilevel"/>
    <w:tmpl w:val="938281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9"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7"/>
  </w:num>
  <w:num w:numId="3">
    <w:abstractNumId w:val="4"/>
  </w:num>
  <w:num w:numId="4">
    <w:abstractNumId w:val="30"/>
  </w:num>
  <w:num w:numId="5">
    <w:abstractNumId w:val="20"/>
  </w:num>
  <w:num w:numId="6">
    <w:abstractNumId w:val="28"/>
  </w:num>
  <w:num w:numId="7">
    <w:abstractNumId w:val="36"/>
  </w:num>
  <w:num w:numId="8">
    <w:abstractNumId w:val="24"/>
  </w:num>
  <w:num w:numId="9">
    <w:abstractNumId w:val="49"/>
  </w:num>
  <w:num w:numId="10">
    <w:abstractNumId w:val="2"/>
  </w:num>
  <w:num w:numId="11">
    <w:abstractNumId w:val="34"/>
  </w:num>
  <w:num w:numId="12">
    <w:abstractNumId w:val="37"/>
  </w:num>
  <w:num w:numId="13">
    <w:abstractNumId w:val="8"/>
  </w:num>
  <w:num w:numId="14">
    <w:abstractNumId w:val="45"/>
  </w:num>
  <w:num w:numId="15">
    <w:abstractNumId w:val="31"/>
  </w:num>
  <w:num w:numId="16">
    <w:abstractNumId w:val="39"/>
  </w:num>
  <w:num w:numId="17">
    <w:abstractNumId w:val="25"/>
  </w:num>
  <w:num w:numId="18">
    <w:abstractNumId w:val="26"/>
  </w:num>
  <w:num w:numId="19">
    <w:abstractNumId w:val="43"/>
  </w:num>
  <w:num w:numId="20">
    <w:abstractNumId w:val="41"/>
  </w:num>
  <w:num w:numId="21">
    <w:abstractNumId w:val="7"/>
  </w:num>
  <w:num w:numId="22">
    <w:abstractNumId w:val="19"/>
  </w:num>
  <w:num w:numId="23">
    <w:abstractNumId w:val="6"/>
  </w:num>
  <w:num w:numId="24">
    <w:abstractNumId w:val="17"/>
  </w:num>
  <w:num w:numId="25">
    <w:abstractNumId w:val="10"/>
  </w:num>
  <w:num w:numId="26">
    <w:abstractNumId w:val="23"/>
  </w:num>
  <w:num w:numId="27">
    <w:abstractNumId w:val="15"/>
  </w:num>
  <w:num w:numId="28">
    <w:abstractNumId w:val="3"/>
  </w:num>
  <w:num w:numId="29">
    <w:abstractNumId w:val="46"/>
  </w:num>
  <w:num w:numId="30">
    <w:abstractNumId w:val="33"/>
  </w:num>
  <w:num w:numId="31">
    <w:abstractNumId w:val="18"/>
  </w:num>
  <w:num w:numId="32">
    <w:abstractNumId w:val="1"/>
  </w:num>
  <w:num w:numId="33">
    <w:abstractNumId w:val="16"/>
  </w:num>
  <w:num w:numId="34">
    <w:abstractNumId w:val="32"/>
  </w:num>
  <w:num w:numId="35">
    <w:abstractNumId w:val="44"/>
  </w:num>
  <w:num w:numId="36">
    <w:abstractNumId w:val="22"/>
  </w:num>
  <w:num w:numId="37">
    <w:abstractNumId w:val="42"/>
  </w:num>
  <w:num w:numId="38">
    <w:abstractNumId w:val="40"/>
  </w:num>
  <w:num w:numId="39">
    <w:abstractNumId w:val="48"/>
  </w:num>
  <w:num w:numId="40">
    <w:abstractNumId w:val="29"/>
  </w:num>
  <w:num w:numId="41">
    <w:abstractNumId w:val="14"/>
  </w:num>
  <w:num w:numId="42">
    <w:abstractNumId w:val="35"/>
  </w:num>
  <w:num w:numId="43">
    <w:abstractNumId w:val="9"/>
  </w:num>
  <w:num w:numId="44">
    <w:abstractNumId w:val="11"/>
  </w:num>
  <w:num w:numId="45">
    <w:abstractNumId w:val="38"/>
  </w:num>
  <w:num w:numId="46">
    <w:abstractNumId w:val="21"/>
  </w:num>
  <w:num w:numId="47">
    <w:abstractNumId w:val="13"/>
  </w:num>
  <w:num w:numId="48">
    <w:abstractNumId w:val="5"/>
  </w:num>
  <w:num w:numId="49">
    <w:abstractNumId w:val="0"/>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1311B"/>
    <w:rsid w:val="0002441A"/>
    <w:rsid w:val="000317F2"/>
    <w:rsid w:val="00040CA2"/>
    <w:rsid w:val="00047606"/>
    <w:rsid w:val="00065623"/>
    <w:rsid w:val="000756B9"/>
    <w:rsid w:val="000808FA"/>
    <w:rsid w:val="000911BB"/>
    <w:rsid w:val="00096B67"/>
    <w:rsid w:val="00096DAF"/>
    <w:rsid w:val="000C2F47"/>
    <w:rsid w:val="000D2B9A"/>
    <w:rsid w:val="000D6C00"/>
    <w:rsid w:val="000E4E04"/>
    <w:rsid w:val="000F14B4"/>
    <w:rsid w:val="000F75DF"/>
    <w:rsid w:val="001023DC"/>
    <w:rsid w:val="001160A1"/>
    <w:rsid w:val="00121A26"/>
    <w:rsid w:val="001328FA"/>
    <w:rsid w:val="00132A52"/>
    <w:rsid w:val="00147AAF"/>
    <w:rsid w:val="001552C0"/>
    <w:rsid w:val="001604EF"/>
    <w:rsid w:val="001640B1"/>
    <w:rsid w:val="0018435E"/>
    <w:rsid w:val="001916CF"/>
    <w:rsid w:val="002041A1"/>
    <w:rsid w:val="002054F0"/>
    <w:rsid w:val="00230D6B"/>
    <w:rsid w:val="00232068"/>
    <w:rsid w:val="002330F2"/>
    <w:rsid w:val="00243D9E"/>
    <w:rsid w:val="00253B66"/>
    <w:rsid w:val="00261DF1"/>
    <w:rsid w:val="00271F18"/>
    <w:rsid w:val="0028237B"/>
    <w:rsid w:val="00282779"/>
    <w:rsid w:val="0028334D"/>
    <w:rsid w:val="002A4754"/>
    <w:rsid w:val="002B7FFA"/>
    <w:rsid w:val="002C2BCF"/>
    <w:rsid w:val="002D52C6"/>
    <w:rsid w:val="002D7DB0"/>
    <w:rsid w:val="002E3DBE"/>
    <w:rsid w:val="002F279D"/>
    <w:rsid w:val="002F2AEA"/>
    <w:rsid w:val="002F43B8"/>
    <w:rsid w:val="00307064"/>
    <w:rsid w:val="00311893"/>
    <w:rsid w:val="00336856"/>
    <w:rsid w:val="00336FDB"/>
    <w:rsid w:val="003412C1"/>
    <w:rsid w:val="00341EFA"/>
    <w:rsid w:val="0034554D"/>
    <w:rsid w:val="00352224"/>
    <w:rsid w:val="003671E6"/>
    <w:rsid w:val="003756B1"/>
    <w:rsid w:val="00384272"/>
    <w:rsid w:val="00386D67"/>
    <w:rsid w:val="003945B8"/>
    <w:rsid w:val="003A0C34"/>
    <w:rsid w:val="003A1063"/>
    <w:rsid w:val="003B1995"/>
    <w:rsid w:val="003C2E14"/>
    <w:rsid w:val="003D7F29"/>
    <w:rsid w:val="003E70F4"/>
    <w:rsid w:val="003E7D34"/>
    <w:rsid w:val="003F0FEB"/>
    <w:rsid w:val="00405A6B"/>
    <w:rsid w:val="00407B1F"/>
    <w:rsid w:val="0041184F"/>
    <w:rsid w:val="00414BD8"/>
    <w:rsid w:val="00414C57"/>
    <w:rsid w:val="0041758C"/>
    <w:rsid w:val="00424678"/>
    <w:rsid w:val="00443226"/>
    <w:rsid w:val="004539DE"/>
    <w:rsid w:val="00493D8F"/>
    <w:rsid w:val="004A2CF1"/>
    <w:rsid w:val="004A37A2"/>
    <w:rsid w:val="004C3035"/>
    <w:rsid w:val="004C307F"/>
    <w:rsid w:val="004D0B5B"/>
    <w:rsid w:val="004E4BA8"/>
    <w:rsid w:val="004F340F"/>
    <w:rsid w:val="004F7B7C"/>
    <w:rsid w:val="005163E8"/>
    <w:rsid w:val="0052243D"/>
    <w:rsid w:val="005239B3"/>
    <w:rsid w:val="00524D97"/>
    <w:rsid w:val="00532435"/>
    <w:rsid w:val="00546600"/>
    <w:rsid w:val="00550354"/>
    <w:rsid w:val="00571236"/>
    <w:rsid w:val="00585DDA"/>
    <w:rsid w:val="00594FA6"/>
    <w:rsid w:val="005953A1"/>
    <w:rsid w:val="005A4362"/>
    <w:rsid w:val="005B5434"/>
    <w:rsid w:val="005C3D91"/>
    <w:rsid w:val="005D0332"/>
    <w:rsid w:val="005D0D8C"/>
    <w:rsid w:val="005E2803"/>
    <w:rsid w:val="00637438"/>
    <w:rsid w:val="0066172E"/>
    <w:rsid w:val="006776AE"/>
    <w:rsid w:val="00687501"/>
    <w:rsid w:val="006A0D97"/>
    <w:rsid w:val="006B1F86"/>
    <w:rsid w:val="006C0A91"/>
    <w:rsid w:val="006F1E85"/>
    <w:rsid w:val="006F3473"/>
    <w:rsid w:val="007054BB"/>
    <w:rsid w:val="00707064"/>
    <w:rsid w:val="00724C12"/>
    <w:rsid w:val="00730683"/>
    <w:rsid w:val="0075261F"/>
    <w:rsid w:val="0075468E"/>
    <w:rsid w:val="00757328"/>
    <w:rsid w:val="007665D8"/>
    <w:rsid w:val="00766734"/>
    <w:rsid w:val="00766E36"/>
    <w:rsid w:val="007765F4"/>
    <w:rsid w:val="00776633"/>
    <w:rsid w:val="00784D53"/>
    <w:rsid w:val="00796C6F"/>
    <w:rsid w:val="00797797"/>
    <w:rsid w:val="007A63C9"/>
    <w:rsid w:val="007B32D1"/>
    <w:rsid w:val="007B7095"/>
    <w:rsid w:val="007D018A"/>
    <w:rsid w:val="007D24E1"/>
    <w:rsid w:val="007D6288"/>
    <w:rsid w:val="007D63F2"/>
    <w:rsid w:val="007F011C"/>
    <w:rsid w:val="007F468C"/>
    <w:rsid w:val="007F47DB"/>
    <w:rsid w:val="007F4CE9"/>
    <w:rsid w:val="007F4E20"/>
    <w:rsid w:val="0081552B"/>
    <w:rsid w:val="00822C7E"/>
    <w:rsid w:val="008234A6"/>
    <w:rsid w:val="00847060"/>
    <w:rsid w:val="00847A36"/>
    <w:rsid w:val="00856A33"/>
    <w:rsid w:val="0087527B"/>
    <w:rsid w:val="0088053C"/>
    <w:rsid w:val="00892620"/>
    <w:rsid w:val="008C298A"/>
    <w:rsid w:val="008C778E"/>
    <w:rsid w:val="008C7D37"/>
    <w:rsid w:val="008D5885"/>
    <w:rsid w:val="00923FA2"/>
    <w:rsid w:val="00934783"/>
    <w:rsid w:val="0096060D"/>
    <w:rsid w:val="00974A50"/>
    <w:rsid w:val="0097585A"/>
    <w:rsid w:val="009924B0"/>
    <w:rsid w:val="009942C9"/>
    <w:rsid w:val="00995C09"/>
    <w:rsid w:val="009B35C4"/>
    <w:rsid w:val="009B5F55"/>
    <w:rsid w:val="009C1766"/>
    <w:rsid w:val="009C596F"/>
    <w:rsid w:val="009C630A"/>
    <w:rsid w:val="009D7710"/>
    <w:rsid w:val="009E0D98"/>
    <w:rsid w:val="009E5615"/>
    <w:rsid w:val="009F3F9E"/>
    <w:rsid w:val="009F4A74"/>
    <w:rsid w:val="00A068A1"/>
    <w:rsid w:val="00A1207D"/>
    <w:rsid w:val="00A12FD8"/>
    <w:rsid w:val="00A346FC"/>
    <w:rsid w:val="00A46D77"/>
    <w:rsid w:val="00A6376C"/>
    <w:rsid w:val="00A846F2"/>
    <w:rsid w:val="00A84F93"/>
    <w:rsid w:val="00AB1AC5"/>
    <w:rsid w:val="00AB3BFC"/>
    <w:rsid w:val="00AC4F2E"/>
    <w:rsid w:val="00AD0C37"/>
    <w:rsid w:val="00AD385F"/>
    <w:rsid w:val="00AD7646"/>
    <w:rsid w:val="00AE6E2A"/>
    <w:rsid w:val="00AF2A12"/>
    <w:rsid w:val="00B03EAB"/>
    <w:rsid w:val="00B11137"/>
    <w:rsid w:val="00B31E9C"/>
    <w:rsid w:val="00B35595"/>
    <w:rsid w:val="00B51C6D"/>
    <w:rsid w:val="00B5755A"/>
    <w:rsid w:val="00B72DF9"/>
    <w:rsid w:val="00B83DD2"/>
    <w:rsid w:val="00B86D64"/>
    <w:rsid w:val="00BA4AC5"/>
    <w:rsid w:val="00BB621B"/>
    <w:rsid w:val="00BC1364"/>
    <w:rsid w:val="00BC2667"/>
    <w:rsid w:val="00BC7DE9"/>
    <w:rsid w:val="00BD4A2B"/>
    <w:rsid w:val="00BD4AEE"/>
    <w:rsid w:val="00BF479B"/>
    <w:rsid w:val="00C02577"/>
    <w:rsid w:val="00C06B0B"/>
    <w:rsid w:val="00C204FB"/>
    <w:rsid w:val="00C20BEE"/>
    <w:rsid w:val="00C2158D"/>
    <w:rsid w:val="00C45375"/>
    <w:rsid w:val="00C516F0"/>
    <w:rsid w:val="00C65D70"/>
    <w:rsid w:val="00C66641"/>
    <w:rsid w:val="00C67DD2"/>
    <w:rsid w:val="00C725CB"/>
    <w:rsid w:val="00C76F5C"/>
    <w:rsid w:val="00C87DA0"/>
    <w:rsid w:val="00C96BAD"/>
    <w:rsid w:val="00CA5D03"/>
    <w:rsid w:val="00CA6944"/>
    <w:rsid w:val="00CA77E2"/>
    <w:rsid w:val="00CB0F8E"/>
    <w:rsid w:val="00CB7E7D"/>
    <w:rsid w:val="00CC2911"/>
    <w:rsid w:val="00CD3AD3"/>
    <w:rsid w:val="00CD7633"/>
    <w:rsid w:val="00CE59B6"/>
    <w:rsid w:val="00CF0C6D"/>
    <w:rsid w:val="00CF4E81"/>
    <w:rsid w:val="00CF7307"/>
    <w:rsid w:val="00CF7C68"/>
    <w:rsid w:val="00D124FA"/>
    <w:rsid w:val="00D340DE"/>
    <w:rsid w:val="00D34C55"/>
    <w:rsid w:val="00D5387D"/>
    <w:rsid w:val="00D55723"/>
    <w:rsid w:val="00D62548"/>
    <w:rsid w:val="00D62FAD"/>
    <w:rsid w:val="00D64355"/>
    <w:rsid w:val="00D70450"/>
    <w:rsid w:val="00D83BFD"/>
    <w:rsid w:val="00D90A38"/>
    <w:rsid w:val="00D95739"/>
    <w:rsid w:val="00DA0515"/>
    <w:rsid w:val="00DA0902"/>
    <w:rsid w:val="00DA171E"/>
    <w:rsid w:val="00DA56AA"/>
    <w:rsid w:val="00DB5833"/>
    <w:rsid w:val="00DD2858"/>
    <w:rsid w:val="00DE2BB2"/>
    <w:rsid w:val="00DF489D"/>
    <w:rsid w:val="00E03E33"/>
    <w:rsid w:val="00E059E0"/>
    <w:rsid w:val="00E11EC8"/>
    <w:rsid w:val="00E120CD"/>
    <w:rsid w:val="00E3642A"/>
    <w:rsid w:val="00E410FC"/>
    <w:rsid w:val="00E415C4"/>
    <w:rsid w:val="00E50016"/>
    <w:rsid w:val="00E50EAA"/>
    <w:rsid w:val="00E656D6"/>
    <w:rsid w:val="00E86C20"/>
    <w:rsid w:val="00E977EE"/>
    <w:rsid w:val="00EA2F24"/>
    <w:rsid w:val="00EA5C0E"/>
    <w:rsid w:val="00EA67A2"/>
    <w:rsid w:val="00EB630F"/>
    <w:rsid w:val="00EB6B6F"/>
    <w:rsid w:val="00EC23B8"/>
    <w:rsid w:val="00EC4F98"/>
    <w:rsid w:val="00EF74CD"/>
    <w:rsid w:val="00F04AF1"/>
    <w:rsid w:val="00F12F02"/>
    <w:rsid w:val="00F32E0D"/>
    <w:rsid w:val="00F35134"/>
    <w:rsid w:val="00F37B9C"/>
    <w:rsid w:val="00F415FE"/>
    <w:rsid w:val="00F41812"/>
    <w:rsid w:val="00F56D7F"/>
    <w:rsid w:val="00F62FB8"/>
    <w:rsid w:val="00F715D1"/>
    <w:rsid w:val="00F72715"/>
    <w:rsid w:val="00F73333"/>
    <w:rsid w:val="00F73B0A"/>
    <w:rsid w:val="00F76BF9"/>
    <w:rsid w:val="00F878CB"/>
    <w:rsid w:val="00F904D4"/>
    <w:rsid w:val="00F95D8F"/>
    <w:rsid w:val="00FB07A4"/>
    <w:rsid w:val="00FB350A"/>
    <w:rsid w:val="00FB4C5D"/>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FD8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3C2E14"/>
    <w:pPr>
      <w:spacing w:after="240"/>
      <w:outlineLvl w:val="1"/>
    </w:pPr>
    <w:rPr>
      <w:b/>
      <w:szCs w:val="24"/>
    </w:rPr>
  </w:style>
  <w:style w:type="paragraph" w:styleId="Heading3">
    <w:name w:val="heading 3"/>
    <w:basedOn w:val="Normal"/>
    <w:next w:val="Normal"/>
    <w:link w:val="Heading3Char"/>
    <w:unhideWhenUsed/>
    <w:qFormat/>
    <w:locked/>
    <w:rsid w:val="003C2E14"/>
    <w:pPr>
      <w:keepNext/>
      <w:keepLines/>
      <w:spacing w:before="40"/>
      <w:outlineLvl w:val="2"/>
    </w:pPr>
    <w:rPr>
      <w:rFonts w:eastAsiaTheme="majorEastAsia"/>
      <w:i/>
      <w:szCs w:val="24"/>
    </w:rPr>
  </w:style>
  <w:style w:type="paragraph" w:styleId="Heading4">
    <w:name w:val="heading 4"/>
    <w:basedOn w:val="Normal"/>
    <w:next w:val="Normal"/>
    <w:link w:val="Heading4Char"/>
    <w:semiHidden/>
    <w:unhideWhenUsed/>
    <w:qFormat/>
    <w:locked/>
    <w:rsid w:val="003C2E1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rsid w:val="00707064"/>
    <w:pPr>
      <w:tabs>
        <w:tab w:val="center" w:pos="4513"/>
        <w:tab w:val="right" w:pos="9026"/>
      </w:tabs>
    </w:pPr>
  </w:style>
  <w:style w:type="character" w:customStyle="1" w:styleId="HeaderChar">
    <w:name w:val="Header Char"/>
    <w:basedOn w:val="DefaultParagraphFont"/>
    <w:link w:val="Header"/>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3C2E14"/>
    <w:rPr>
      <w:rFonts w:eastAsia="Times New Roman"/>
      <w:b/>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3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
    <w:link w:val="ListParagraph"/>
    <w:uiPriority w:val="34"/>
    <w:rsid w:val="00687501"/>
    <w:rPr>
      <w:rFonts w:eastAsia="Times New Roman"/>
      <w:sz w:val="24"/>
      <w:szCs w:val="20"/>
    </w:rPr>
  </w:style>
  <w:style w:type="table" w:customStyle="1" w:styleId="TableGrid3">
    <w:name w:val="Table Grid3"/>
    <w:basedOn w:val="TableNormal"/>
    <w:next w:val="TableGrid"/>
    <w:uiPriority w:val="59"/>
    <w:rsid w:val="0068750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uiPriority w:val="11"/>
    <w:qFormat/>
    <w:rsid w:val="00687501"/>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uiPriority w:val="11"/>
    <w:rsid w:val="00687501"/>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687501"/>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687501"/>
    <w:rPr>
      <w:rFonts w:ascii="Arial Narrow" w:eastAsia="Times New Roman" w:hAnsi="Arial Narrow" w:cs="Arial"/>
      <w:b/>
      <w:bCs/>
      <w:iCs/>
      <w:sz w:val="20"/>
      <w:szCs w:val="20"/>
      <w:lang w:eastAsia="en-US"/>
    </w:rPr>
  </w:style>
  <w:style w:type="character" w:customStyle="1" w:styleId="Heading3Char">
    <w:name w:val="Heading 3 Char"/>
    <w:basedOn w:val="DefaultParagraphFont"/>
    <w:link w:val="Heading3"/>
    <w:rsid w:val="003C2E14"/>
    <w:rPr>
      <w:rFonts w:eastAsiaTheme="majorEastAsia"/>
      <w:i/>
      <w:sz w:val="24"/>
      <w:szCs w:val="24"/>
    </w:rPr>
  </w:style>
  <w:style w:type="paragraph" w:customStyle="1" w:styleId="Tablenotes">
    <w:name w:val="Tablenotes"/>
    <w:basedOn w:val="Normal"/>
    <w:link w:val="TablenotesChar"/>
    <w:autoRedefine/>
    <w:qFormat/>
    <w:rsid w:val="003C2E14"/>
    <w:pPr>
      <w:widowControl w:val="0"/>
      <w:spacing w:before="6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3C2E14"/>
    <w:rPr>
      <w:rFonts w:ascii="Arial Narrow" w:eastAsia="Times New Roman" w:hAnsi="Arial Narrow" w:cs="Arial"/>
      <w:snapToGrid w:val="0"/>
      <w:sz w:val="18"/>
      <w:szCs w:val="20"/>
      <w:lang w:eastAsia="en-US"/>
    </w:rPr>
  </w:style>
  <w:style w:type="paragraph" w:customStyle="1" w:styleId="Tablenotes1">
    <w:name w:val="Tablenotes 1"/>
    <w:basedOn w:val="Normal"/>
    <w:link w:val="Tablenotes1Char"/>
    <w:qFormat/>
    <w:rsid w:val="003C2E14"/>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3C2E14"/>
    <w:rPr>
      <w:rFonts w:ascii="Arial Narrow" w:eastAsia="Times New Roman" w:hAnsi="Arial Narrow" w:cs="Arial"/>
      <w:snapToGrid w:val="0"/>
      <w:sz w:val="18"/>
      <w:szCs w:val="20"/>
      <w:lang w:eastAsia="en-US"/>
    </w:rPr>
  </w:style>
  <w:style w:type="table" w:customStyle="1" w:styleId="TableGrid1">
    <w:name w:val="Table Grid1"/>
    <w:basedOn w:val="TableNormal"/>
    <w:next w:val="TableGrid"/>
    <w:rsid w:val="003C2E14"/>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Semibold" w:hAnsi="@Yu Gothic UI Semibold"/>
        <w:b w:val="0"/>
        <w:sz w:val="20"/>
      </w:rPr>
    </w:tblStylePr>
  </w:style>
  <w:style w:type="character" w:customStyle="1" w:styleId="Heading4Char">
    <w:name w:val="Heading 4 Char"/>
    <w:basedOn w:val="DefaultParagraphFont"/>
    <w:link w:val="Heading4"/>
    <w:semiHidden/>
    <w:rsid w:val="003C2E14"/>
    <w:rPr>
      <w:rFonts w:asciiTheme="majorHAnsi" w:eastAsiaTheme="majorEastAsia" w:hAnsiTheme="majorHAnsi" w:cstheme="majorBidi"/>
      <w:i/>
      <w:iCs/>
      <w:color w:val="365F91" w:themeColor="accent1" w:themeShade="BF"/>
      <w:sz w:val="24"/>
      <w:szCs w:val="20"/>
    </w:rPr>
  </w:style>
  <w:style w:type="table" w:customStyle="1" w:styleId="TableGrid2">
    <w:name w:val="Table Grid2"/>
    <w:basedOn w:val="TableNormal"/>
    <w:next w:val="TableGrid"/>
    <w:rsid w:val="003C2E14"/>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paragraph" w:customStyle="1" w:styleId="tableheading">
    <w:name w:val="tableheading"/>
    <w:basedOn w:val="Normal"/>
    <w:link w:val="tableheadingChar"/>
    <w:qFormat/>
    <w:rsid w:val="00AD7646"/>
    <w:rPr>
      <w:b/>
      <w:szCs w:val="24"/>
    </w:rPr>
  </w:style>
  <w:style w:type="character" w:customStyle="1" w:styleId="tableheadingChar">
    <w:name w:val="tableheading Char"/>
    <w:basedOn w:val="DefaultParagraphFont"/>
    <w:link w:val="tableheading"/>
    <w:rsid w:val="00AD7646"/>
    <w:rPr>
      <w:rFonts w:eastAsia="Times New Roman"/>
      <w:b/>
      <w:sz w:val="24"/>
      <w:szCs w:val="24"/>
    </w:rPr>
  </w:style>
  <w:style w:type="paragraph" w:customStyle="1" w:styleId="BoxText">
    <w:name w:val="BoxText"/>
    <w:basedOn w:val="Normal"/>
    <w:qFormat/>
    <w:rsid w:val="00C65D70"/>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C65D70"/>
    <w:pPr>
      <w:keepNext/>
      <w:spacing w:before="180"/>
      <w:ind w:left="1080" w:hanging="1080"/>
    </w:pPr>
    <w:rPr>
      <w:b/>
      <w:bCs/>
    </w:rPr>
  </w:style>
  <w:style w:type="paragraph" w:customStyle="1" w:styleId="BoxHeading">
    <w:name w:val="BoxHeading"/>
    <w:basedOn w:val="BoxText"/>
    <w:rsid w:val="00C65D70"/>
    <w:pPr>
      <w:keepNext/>
      <w:spacing w:before="120" w:after="60"/>
    </w:pPr>
    <w:rPr>
      <w:b/>
      <w:bCs/>
    </w:rPr>
  </w:style>
  <w:style w:type="paragraph" w:styleId="Revision">
    <w:name w:val="Revision"/>
    <w:hidden/>
    <w:uiPriority w:val="99"/>
    <w:semiHidden/>
    <w:rsid w:val="00FB07A4"/>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763050">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37326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ga.gov.au/excluded-autologous-human-cells-and-tissues" TargetMode="Externa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sac.gov.au/internet/msac/publishing.nsf/Content/1577-public" TargetMode="Externa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health.gov.au/internet/main/publishing.nsf/Content/MBSR-outcomes-14-15May2019" TargetMode="External"/><Relationship Id="rId24" Type="http://schemas.openxmlformats.org/officeDocument/2006/relationships/footer" Target="footer2.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bcna.org.au/about-us/advocacy/submissions-and-reviews/2018-submissions-and-reviews/"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s://www.google.com/url?sa=t&amp;rct=j&amp;q=&amp;esrc=s&amp;source=web&amp;cd=2&amp;cad=rja&amp;uact=8&amp;ved=2ahUKEwitmMnEyu7mAhW2ILcAHWZzA-sQFjABegQIARAC&amp;url=https%3A%2F%2Fwww1.health.gov.au%2Finternet%2Fmain%2Fpublishing.nsf%2FContent%2Fmbs-review-2018-taskforce-reports-cp%2F%24File%2FPlastic-and-Reconstructive-Surgery-Clinical-Committee.pdf&amp;usg=AOvVaw03MxsxtRf8Lw6IRfJIA-lO" TargetMode="External"/><Relationship Id="rId19" Type="http://schemas.openxmlformats.org/officeDocument/2006/relationships/image" Target="media/image5.png"/><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internet/msac/publishing.nsf/Content/20B6BA63DA4869A3CA258391007D0A8F/$File/1575_RATIFIED_PICO.pdf" TargetMode="External"/><Relationship Id="rId22" Type="http://schemas.openxmlformats.org/officeDocument/2006/relationships/header" Target="header2.xml"/><Relationship Id="rId27" Type="http://schemas.openxmlformats.org/officeDocument/2006/relationships/hyperlink" Target="http://www.msac.gov.au/"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cbi.nlm.nih.gov/pmc/articles/PMC4831554/" TargetMode="External"/><Relationship Id="rId1" Type="http://schemas.openxmlformats.org/officeDocument/2006/relationships/hyperlink" Target="https://www.ncbi.nlm.nih.gov/pmc/articles/PMC5609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C6C89-E926-4C21-95BD-E85763D1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15018</Words>
  <Characters>86528</Characters>
  <Application>Microsoft Office Word</Application>
  <DocSecurity>0</DocSecurity>
  <Lines>721</Lines>
  <Paragraphs>202</Paragraphs>
  <ScaleCrop>false</ScaleCrop>
  <Company/>
  <LinksUpToDate>false</LinksUpToDate>
  <CharactersWithSpaces>101344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1575 - final PSD_Jul2020</dc:title>
  <dc:creator/>
  <cp:lastModifiedBy/>
  <cp:revision>1</cp:revision>
  <dcterms:created xsi:type="dcterms:W3CDTF">2020-10-06T04:02:00Z</dcterms:created>
  <dcterms:modified xsi:type="dcterms:W3CDTF">2020-10-06T04:02:00Z</dcterms:modified>
</cp:coreProperties>
</file>