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C14DB" w14:textId="77777777" w:rsidR="00A516FD" w:rsidRPr="00323092" w:rsidRDefault="00A516FD" w:rsidP="00A516FD">
      <w:pPr>
        <w:spacing w:before="120" w:after="120" w:line="312" w:lineRule="auto"/>
        <w:jc w:val="center"/>
      </w:pPr>
      <w:bookmarkStart w:id="0" w:name="_Toc403747457"/>
      <w:bookmarkStart w:id="1" w:name="_Toc412039297"/>
      <w:bookmarkStart w:id="2" w:name="_GoBack"/>
      <w:bookmarkEnd w:id="2"/>
      <w:r w:rsidRPr="008D5584">
        <w:rPr>
          <w:b/>
          <w:noProof/>
          <w:lang w:eastAsia="en-AU"/>
        </w:rPr>
        <w:drawing>
          <wp:inline distT="0" distB="0" distL="0" distR="0" wp14:anchorId="32C23FE2" wp14:editId="611989C8">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50E8F28B" w14:textId="77777777" w:rsidR="00A516FD" w:rsidRPr="00F4622B" w:rsidRDefault="00A516FD" w:rsidP="00A516FD">
      <w:pPr>
        <w:pStyle w:val="Heading10"/>
        <w:jc w:val="center"/>
        <w:rPr>
          <w:sz w:val="120"/>
          <w:szCs w:val="120"/>
        </w:rPr>
      </w:pPr>
    </w:p>
    <w:p w14:paraId="13ADA84C" w14:textId="77777777" w:rsidR="00A516FD" w:rsidRDefault="00A516FD" w:rsidP="00A516FD">
      <w:pPr>
        <w:pStyle w:val="Heading10"/>
        <w:jc w:val="center"/>
        <w:rPr>
          <w:sz w:val="48"/>
          <w:szCs w:val="48"/>
        </w:rPr>
      </w:pPr>
      <w:r>
        <w:rPr>
          <w:sz w:val="48"/>
          <w:szCs w:val="48"/>
        </w:rPr>
        <w:t>Application 1592:</w:t>
      </w:r>
    </w:p>
    <w:p w14:paraId="549BF75E" w14:textId="77777777" w:rsidR="00AF6AFC" w:rsidRDefault="00AF6AFC" w:rsidP="00A516FD">
      <w:pPr>
        <w:pStyle w:val="Heading10"/>
        <w:jc w:val="center"/>
        <w:rPr>
          <w:color w:val="548DD4" w:themeColor="text2" w:themeTint="99"/>
          <w:sz w:val="48"/>
          <w:szCs w:val="48"/>
        </w:rPr>
      </w:pPr>
      <w:r>
        <w:rPr>
          <w:color w:val="548DD4" w:themeColor="text2" w:themeTint="99"/>
          <w:sz w:val="48"/>
          <w:szCs w:val="48"/>
        </w:rPr>
        <w:t xml:space="preserve">Review of immunoglobulin use for </w:t>
      </w:r>
    </w:p>
    <w:p w14:paraId="081E315F" w14:textId="2F43BC4F" w:rsidR="00A516FD" w:rsidRPr="00303C94" w:rsidRDefault="00A516FD" w:rsidP="00A516FD">
      <w:pPr>
        <w:pStyle w:val="Heading10"/>
        <w:jc w:val="center"/>
        <w:rPr>
          <w:sz w:val="48"/>
          <w:szCs w:val="48"/>
        </w:rPr>
      </w:pPr>
      <w:r w:rsidRPr="002967AE">
        <w:rPr>
          <w:color w:val="548DD4" w:themeColor="text2" w:themeTint="99"/>
          <w:sz w:val="48"/>
          <w:szCs w:val="48"/>
        </w:rPr>
        <w:t>PID – Primary Immunodeficiency Diseases with antibody deficiency</w:t>
      </w:r>
    </w:p>
    <w:p w14:paraId="0958C11D" w14:textId="77777777" w:rsidR="00A516FD" w:rsidRPr="00C701A5" w:rsidRDefault="00A516FD" w:rsidP="00A516FD">
      <w:pPr>
        <w:pStyle w:val="Heading10"/>
        <w:tabs>
          <w:tab w:val="left" w:pos="5613"/>
        </w:tabs>
        <w:jc w:val="center"/>
        <w:rPr>
          <w:sz w:val="56"/>
          <w:szCs w:val="56"/>
        </w:rPr>
      </w:pPr>
    </w:p>
    <w:p w14:paraId="2CF52078" w14:textId="77777777" w:rsidR="00A516FD" w:rsidRDefault="00A516FD" w:rsidP="00A516FD">
      <w:pPr>
        <w:pStyle w:val="Heading10"/>
        <w:jc w:val="center"/>
        <w:rPr>
          <w:sz w:val="72"/>
          <w:szCs w:val="72"/>
        </w:rPr>
      </w:pPr>
      <w:r>
        <w:rPr>
          <w:sz w:val="72"/>
          <w:szCs w:val="72"/>
        </w:rPr>
        <w:t>PICO Confirmation</w:t>
      </w:r>
    </w:p>
    <w:p w14:paraId="52EB7881" w14:textId="77777777" w:rsidR="00A516FD" w:rsidRDefault="00A516FD" w:rsidP="00A516FD">
      <w:pPr>
        <w:spacing w:before="180"/>
        <w:jc w:val="center"/>
        <w:rPr>
          <w:rFonts w:ascii="Arial" w:hAnsi="Arial" w:cs="Arial"/>
          <w:b/>
          <w:sz w:val="32"/>
          <w:szCs w:val="32"/>
        </w:rPr>
      </w:pPr>
      <w:r w:rsidRPr="00606857">
        <w:rPr>
          <w:rFonts w:ascii="Arial" w:hAnsi="Arial" w:cs="Arial"/>
          <w:b/>
          <w:sz w:val="32"/>
          <w:szCs w:val="32"/>
        </w:rPr>
        <w:t>(</w:t>
      </w:r>
      <w:r>
        <w:rPr>
          <w:rFonts w:ascii="Arial" w:hAnsi="Arial" w:cs="Arial"/>
          <w:b/>
          <w:sz w:val="32"/>
          <w:szCs w:val="32"/>
        </w:rPr>
        <w:t>to guide a new application to MSAC</w:t>
      </w:r>
      <w:r w:rsidRPr="00606857">
        <w:rPr>
          <w:rFonts w:ascii="Arial" w:hAnsi="Arial" w:cs="Arial"/>
          <w:b/>
          <w:sz w:val="32"/>
          <w:szCs w:val="32"/>
        </w:rPr>
        <w:t>)</w:t>
      </w:r>
    </w:p>
    <w:p w14:paraId="2E7ACFB2" w14:textId="17F34C70" w:rsidR="00A516FD" w:rsidRPr="00EE7A1F" w:rsidRDefault="00A516FD" w:rsidP="00A516FD">
      <w:pPr>
        <w:spacing w:before="180"/>
        <w:jc w:val="center"/>
        <w:rPr>
          <w:rFonts w:ascii="Arial" w:hAnsi="Arial" w:cs="Arial"/>
          <w:b/>
          <w:sz w:val="32"/>
          <w:szCs w:val="32"/>
        </w:rPr>
      </w:pPr>
    </w:p>
    <w:p w14:paraId="387EA98B" w14:textId="77777777" w:rsidR="00A516FD" w:rsidRPr="00606857" w:rsidRDefault="00A516FD" w:rsidP="00A516FD">
      <w:pPr>
        <w:spacing w:before="180"/>
        <w:jc w:val="center"/>
        <w:rPr>
          <w:rFonts w:ascii="Arial" w:hAnsi="Arial" w:cs="Arial"/>
          <w:b/>
          <w:sz w:val="32"/>
          <w:szCs w:val="32"/>
        </w:rPr>
      </w:pPr>
    </w:p>
    <w:p w14:paraId="52F6580C" w14:textId="44C99999" w:rsidR="00A516FD" w:rsidRPr="00895BCC" w:rsidRDefault="00A516FD" w:rsidP="00CC60E7">
      <w:pPr>
        <w:spacing w:after="0"/>
        <w:jc w:val="both"/>
        <w:rPr>
          <w:color w:val="FF0000"/>
          <w:u w:val="dotted" w:color="FF0000"/>
        </w:rPr>
      </w:pPr>
      <w:r>
        <w:rPr>
          <w:sz w:val="20"/>
          <w:szCs w:val="20"/>
        </w:rPr>
        <w:br w:type="page"/>
      </w:r>
    </w:p>
    <w:p w14:paraId="4F9CA58A" w14:textId="77777777" w:rsidR="00A516FD" w:rsidRPr="005C1782" w:rsidRDefault="00A516FD" w:rsidP="00CC60E7">
      <w:pPr>
        <w:pStyle w:val="Heading2"/>
        <w:spacing w:before="0" w:after="0"/>
      </w:pPr>
      <w:r w:rsidRPr="005C1782">
        <w:lastRenderedPageBreak/>
        <w:t>Summary of PICO/PPICO criteria</w:t>
      </w:r>
      <w:bookmarkEnd w:id="0"/>
      <w:bookmarkEnd w:id="1"/>
      <w:r w:rsidRPr="005C1782">
        <w:t xml:space="preserve"> to define the question(s) to be addressed in an Assessment Report to the Medical Services Advisory Committee (MSAC)</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11"/>
        <w:gridCol w:w="7200"/>
      </w:tblGrid>
      <w:tr w:rsidR="00A516FD" w:rsidRPr="00084393" w14:paraId="4B13DE78" w14:textId="77777777" w:rsidTr="00C30DA5">
        <w:trPr>
          <w:tblHeader/>
        </w:trPr>
        <w:tc>
          <w:tcPr>
            <w:tcW w:w="1005" w:type="pct"/>
            <w:tcBorders>
              <w:top w:val="single" w:sz="8" w:space="0" w:color="auto"/>
              <w:bottom w:val="single" w:sz="8" w:space="0" w:color="auto"/>
              <w:right w:val="single" w:sz="4" w:space="0" w:color="auto"/>
            </w:tcBorders>
            <w:shd w:val="clear" w:color="auto" w:fill="D9D9D9"/>
          </w:tcPr>
          <w:p w14:paraId="47878F86" w14:textId="77777777" w:rsidR="00A516FD" w:rsidRPr="00084393" w:rsidRDefault="00A516FD" w:rsidP="00C30DA5">
            <w:pPr>
              <w:spacing w:before="20" w:after="20" w:line="240" w:lineRule="auto"/>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14:paraId="3699F334" w14:textId="77777777" w:rsidR="00A516FD" w:rsidRPr="00084393" w:rsidRDefault="00A516FD" w:rsidP="00C30DA5">
            <w:pPr>
              <w:spacing w:before="20" w:after="20" w:line="240" w:lineRule="auto"/>
              <w:jc w:val="both"/>
              <w:rPr>
                <w:b/>
              </w:rPr>
            </w:pPr>
            <w:r>
              <w:rPr>
                <w:b/>
              </w:rPr>
              <w:t>Description</w:t>
            </w:r>
          </w:p>
        </w:tc>
      </w:tr>
      <w:tr w:rsidR="00A516FD" w:rsidRPr="00084393" w14:paraId="25187A5D" w14:textId="77777777" w:rsidTr="00C30DA5">
        <w:tc>
          <w:tcPr>
            <w:tcW w:w="1005" w:type="pct"/>
            <w:tcBorders>
              <w:top w:val="single" w:sz="8" w:space="0" w:color="auto"/>
              <w:right w:val="single" w:sz="4" w:space="0" w:color="auto"/>
            </w:tcBorders>
          </w:tcPr>
          <w:p w14:paraId="544A6D7F" w14:textId="77777777" w:rsidR="00A516FD" w:rsidRPr="00084393" w:rsidRDefault="00A516FD" w:rsidP="00C30DA5">
            <w:pPr>
              <w:spacing w:before="20" w:after="2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14:paraId="46577B0D" w14:textId="77777777" w:rsidR="00A516FD" w:rsidRPr="00DD456A" w:rsidRDefault="00A516FD" w:rsidP="00C30DA5">
            <w:r>
              <w:t xml:space="preserve">Patients with Primary Immunodeficiency Diseases (PID) with antibody deficiency who are currently eligible for immunoglobulin (Ig) treatment in Australia according to version 3.1 of the </w:t>
            </w:r>
            <w:r w:rsidRPr="0053208C">
              <w:rPr>
                <w:i/>
              </w:rPr>
              <w:t>Criteria for Clinical Use of Immunoglobulin in Australia</w:t>
            </w:r>
            <w:r>
              <w:t xml:space="preserve">. </w:t>
            </w:r>
          </w:p>
        </w:tc>
      </w:tr>
      <w:tr w:rsidR="00A516FD" w:rsidRPr="00084393" w14:paraId="353FEAD1" w14:textId="77777777" w:rsidTr="00C30DA5">
        <w:tc>
          <w:tcPr>
            <w:tcW w:w="1005" w:type="pct"/>
            <w:tcBorders>
              <w:right w:val="single" w:sz="4" w:space="0" w:color="auto"/>
            </w:tcBorders>
          </w:tcPr>
          <w:p w14:paraId="371B170E" w14:textId="77777777" w:rsidR="00A516FD" w:rsidRPr="00084393" w:rsidRDefault="00A516FD" w:rsidP="00C30DA5">
            <w:pPr>
              <w:spacing w:before="20" w:after="2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14:paraId="255042B0" w14:textId="77777777" w:rsidR="00A516FD" w:rsidRDefault="00A516FD" w:rsidP="00C30DA5">
            <w:r>
              <w:t>The intervention to be investigated is immunoglobulin (Ig). This may be delivered in one of two forms:</w:t>
            </w:r>
          </w:p>
          <w:p w14:paraId="131B222C" w14:textId="77777777" w:rsidR="00A516FD" w:rsidRDefault="00A516FD" w:rsidP="00C30DA5">
            <w:pPr>
              <w:pStyle w:val="ListParagraph"/>
              <w:numPr>
                <w:ilvl w:val="0"/>
                <w:numId w:val="12"/>
              </w:numPr>
            </w:pPr>
            <w:r>
              <w:t>Intravenous (IVIg)</w:t>
            </w:r>
          </w:p>
          <w:p w14:paraId="12FAA95C" w14:textId="77777777" w:rsidR="00A516FD" w:rsidRPr="00DD456A" w:rsidRDefault="00A516FD" w:rsidP="00C30DA5">
            <w:pPr>
              <w:pStyle w:val="ListParagraph"/>
              <w:numPr>
                <w:ilvl w:val="0"/>
                <w:numId w:val="12"/>
              </w:numPr>
            </w:pPr>
            <w:r>
              <w:t>Subcutaneous (SCIg)</w:t>
            </w:r>
          </w:p>
        </w:tc>
      </w:tr>
      <w:tr w:rsidR="00A516FD" w:rsidRPr="00084393" w14:paraId="49F39D39" w14:textId="77777777" w:rsidTr="00C30DA5">
        <w:tc>
          <w:tcPr>
            <w:tcW w:w="1005" w:type="pct"/>
            <w:tcBorders>
              <w:right w:val="single" w:sz="4" w:space="0" w:color="auto"/>
            </w:tcBorders>
          </w:tcPr>
          <w:p w14:paraId="702016D6" w14:textId="77777777" w:rsidR="00A516FD" w:rsidRPr="00084393" w:rsidRDefault="00A516FD" w:rsidP="00C30DA5">
            <w:r w:rsidRPr="00084393">
              <w:t>Comparator</w:t>
            </w:r>
          </w:p>
        </w:tc>
        <w:tc>
          <w:tcPr>
            <w:tcW w:w="3995" w:type="pct"/>
            <w:tcBorders>
              <w:top w:val="single" w:sz="4" w:space="0" w:color="auto"/>
              <w:left w:val="single" w:sz="4" w:space="0" w:color="auto"/>
              <w:bottom w:val="single" w:sz="4" w:space="0" w:color="auto"/>
              <w:right w:val="single" w:sz="4" w:space="0" w:color="auto"/>
            </w:tcBorders>
          </w:tcPr>
          <w:p w14:paraId="1A18F174" w14:textId="120F697D" w:rsidR="00A516FD" w:rsidRPr="00DD456A" w:rsidRDefault="00526B26" w:rsidP="00C30DA5">
            <w:r>
              <w:t>No Ig</w:t>
            </w:r>
          </w:p>
        </w:tc>
      </w:tr>
      <w:tr w:rsidR="00A516FD" w:rsidRPr="00084393" w14:paraId="53DD7BC6" w14:textId="77777777" w:rsidTr="00C30DA5">
        <w:tc>
          <w:tcPr>
            <w:tcW w:w="1005" w:type="pct"/>
            <w:tcBorders>
              <w:right w:val="single" w:sz="4" w:space="0" w:color="auto"/>
            </w:tcBorders>
          </w:tcPr>
          <w:p w14:paraId="21E36262" w14:textId="77777777" w:rsidR="00A516FD" w:rsidRPr="00084393" w:rsidRDefault="00A516FD" w:rsidP="00C30DA5">
            <w:pPr>
              <w:spacing w:before="20" w:after="2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14:paraId="2B4218CD" w14:textId="77777777" w:rsidR="00A516FD" w:rsidRPr="006F06AA" w:rsidRDefault="00A516FD" w:rsidP="00C30DA5">
            <w:pPr>
              <w:pStyle w:val="Tablecontents"/>
              <w:rPr>
                <w:rFonts w:asciiTheme="minorHAnsi" w:hAnsiTheme="minorHAnsi"/>
                <w:i/>
                <w:sz w:val="22"/>
                <w:szCs w:val="22"/>
              </w:rPr>
            </w:pPr>
            <w:r w:rsidRPr="006F06AA">
              <w:rPr>
                <w:rFonts w:asciiTheme="minorHAnsi" w:hAnsiTheme="minorHAnsi"/>
                <w:i/>
                <w:sz w:val="22"/>
                <w:szCs w:val="22"/>
              </w:rPr>
              <w:t>Safety Outcomes:</w:t>
            </w:r>
          </w:p>
          <w:p w14:paraId="21BE4A17" w14:textId="77777777" w:rsidR="00A516FD" w:rsidRPr="007148BC" w:rsidRDefault="00A516FD" w:rsidP="00C30DA5">
            <w:pPr>
              <w:pStyle w:val="Tablecontents"/>
              <w:numPr>
                <w:ilvl w:val="0"/>
                <w:numId w:val="10"/>
              </w:numPr>
              <w:rPr>
                <w:rFonts w:asciiTheme="minorHAnsi" w:hAnsiTheme="minorHAnsi"/>
                <w:sz w:val="22"/>
                <w:szCs w:val="22"/>
              </w:rPr>
            </w:pPr>
            <w:r w:rsidRPr="007148BC">
              <w:rPr>
                <w:rFonts w:asciiTheme="minorHAnsi" w:hAnsiTheme="minorHAnsi"/>
                <w:sz w:val="22"/>
                <w:szCs w:val="22"/>
              </w:rPr>
              <w:t xml:space="preserve">Serious adverse events (e.g. antibiotic allergy, anaphylaxis, veno-occlusive events, risk of blood-borne infections) </w:t>
            </w:r>
          </w:p>
          <w:p w14:paraId="1C2D1120" w14:textId="77777777" w:rsidR="00A516FD" w:rsidRPr="007148BC" w:rsidRDefault="00A516FD" w:rsidP="00C30DA5">
            <w:pPr>
              <w:pStyle w:val="Tablecontents"/>
              <w:numPr>
                <w:ilvl w:val="0"/>
                <w:numId w:val="10"/>
              </w:numPr>
              <w:rPr>
                <w:rFonts w:asciiTheme="minorHAnsi" w:hAnsiTheme="minorHAnsi"/>
                <w:i/>
                <w:sz w:val="22"/>
                <w:szCs w:val="22"/>
              </w:rPr>
            </w:pPr>
            <w:r w:rsidRPr="007148BC">
              <w:rPr>
                <w:rFonts w:asciiTheme="minorHAnsi" w:hAnsiTheme="minorHAnsi"/>
                <w:sz w:val="22"/>
                <w:szCs w:val="22"/>
              </w:rPr>
              <w:t>Antibiotic resistance</w:t>
            </w:r>
          </w:p>
          <w:p w14:paraId="07F6B805" w14:textId="77777777" w:rsidR="00A516FD" w:rsidRPr="007148BC" w:rsidRDefault="00A516FD" w:rsidP="00C30DA5">
            <w:pPr>
              <w:pStyle w:val="Tablecontents"/>
              <w:numPr>
                <w:ilvl w:val="0"/>
                <w:numId w:val="10"/>
              </w:numPr>
              <w:rPr>
                <w:rFonts w:asciiTheme="minorHAnsi" w:hAnsiTheme="minorHAnsi"/>
                <w:i/>
                <w:sz w:val="22"/>
                <w:szCs w:val="22"/>
              </w:rPr>
            </w:pPr>
            <w:r w:rsidRPr="007148BC">
              <w:rPr>
                <w:rFonts w:asciiTheme="minorHAnsi" w:hAnsiTheme="minorHAnsi"/>
                <w:sz w:val="22"/>
                <w:szCs w:val="22"/>
              </w:rPr>
              <w:t>Fevers</w:t>
            </w:r>
          </w:p>
          <w:p w14:paraId="1EFE3E8F" w14:textId="77777777" w:rsidR="00A516FD" w:rsidRPr="007148BC" w:rsidRDefault="00A516FD" w:rsidP="00C30DA5">
            <w:pPr>
              <w:pStyle w:val="Tablecontents"/>
              <w:numPr>
                <w:ilvl w:val="0"/>
                <w:numId w:val="10"/>
              </w:numPr>
              <w:rPr>
                <w:rFonts w:asciiTheme="minorHAnsi" w:hAnsiTheme="minorHAnsi"/>
                <w:i/>
                <w:sz w:val="22"/>
                <w:szCs w:val="22"/>
              </w:rPr>
            </w:pPr>
            <w:r w:rsidRPr="007148BC">
              <w:rPr>
                <w:rFonts w:asciiTheme="minorHAnsi" w:hAnsiTheme="minorHAnsi"/>
                <w:sz w:val="22"/>
                <w:szCs w:val="22"/>
              </w:rPr>
              <w:t>Headaches</w:t>
            </w:r>
          </w:p>
          <w:p w14:paraId="1AB2A3E8" w14:textId="77777777" w:rsidR="00A516FD" w:rsidRPr="007148BC" w:rsidRDefault="00A516FD" w:rsidP="00C30DA5">
            <w:pPr>
              <w:pStyle w:val="Tablecontents"/>
              <w:numPr>
                <w:ilvl w:val="0"/>
                <w:numId w:val="10"/>
              </w:numPr>
              <w:rPr>
                <w:rFonts w:asciiTheme="minorHAnsi" w:hAnsiTheme="minorHAnsi"/>
                <w:i/>
                <w:sz w:val="22"/>
                <w:szCs w:val="22"/>
              </w:rPr>
            </w:pPr>
            <w:r w:rsidRPr="007148BC">
              <w:rPr>
                <w:rFonts w:asciiTheme="minorHAnsi" w:hAnsiTheme="minorHAnsi"/>
                <w:sz w:val="22"/>
                <w:szCs w:val="22"/>
              </w:rPr>
              <w:t>Allergic reactions</w:t>
            </w:r>
          </w:p>
          <w:p w14:paraId="5246B859" w14:textId="77777777" w:rsidR="00A516FD" w:rsidRPr="007148BC" w:rsidRDefault="00A516FD" w:rsidP="00C30DA5">
            <w:pPr>
              <w:pStyle w:val="Tablecontents"/>
              <w:numPr>
                <w:ilvl w:val="0"/>
                <w:numId w:val="10"/>
              </w:numPr>
              <w:rPr>
                <w:rFonts w:asciiTheme="minorHAnsi" w:hAnsiTheme="minorHAnsi"/>
                <w:i/>
                <w:sz w:val="22"/>
                <w:szCs w:val="22"/>
              </w:rPr>
            </w:pPr>
            <w:r>
              <w:rPr>
                <w:rFonts w:asciiTheme="minorHAnsi" w:hAnsiTheme="minorHAnsi"/>
                <w:sz w:val="22"/>
                <w:szCs w:val="22"/>
              </w:rPr>
              <w:t>H</w:t>
            </w:r>
            <w:r w:rsidRPr="007148BC">
              <w:rPr>
                <w:rFonts w:asciiTheme="minorHAnsi" w:hAnsiTheme="minorHAnsi"/>
                <w:sz w:val="22"/>
                <w:szCs w:val="22"/>
              </w:rPr>
              <w:t>ives</w:t>
            </w:r>
          </w:p>
          <w:p w14:paraId="7E1B0997" w14:textId="77777777" w:rsidR="00A516FD" w:rsidRPr="007148BC" w:rsidRDefault="00A516FD" w:rsidP="00C30DA5">
            <w:pPr>
              <w:pStyle w:val="Tablecontents"/>
              <w:rPr>
                <w:rFonts w:asciiTheme="minorHAnsi" w:hAnsiTheme="minorHAnsi"/>
                <w:i/>
                <w:sz w:val="22"/>
                <w:szCs w:val="22"/>
              </w:rPr>
            </w:pPr>
            <w:r w:rsidRPr="007148BC">
              <w:rPr>
                <w:rFonts w:asciiTheme="minorHAnsi" w:hAnsiTheme="minorHAnsi"/>
                <w:i/>
                <w:sz w:val="22"/>
                <w:szCs w:val="22"/>
              </w:rPr>
              <w:t>Clinical effectiveness outcomes:</w:t>
            </w:r>
          </w:p>
          <w:p w14:paraId="6E4BEF32" w14:textId="77777777" w:rsidR="00A516FD" w:rsidRPr="007148BC" w:rsidRDefault="00A516FD" w:rsidP="00C30DA5">
            <w:pPr>
              <w:pStyle w:val="Tablecontents"/>
              <w:numPr>
                <w:ilvl w:val="0"/>
                <w:numId w:val="11"/>
              </w:numPr>
              <w:rPr>
                <w:rFonts w:asciiTheme="minorHAnsi" w:hAnsiTheme="minorHAnsi"/>
                <w:sz w:val="22"/>
                <w:szCs w:val="22"/>
              </w:rPr>
            </w:pPr>
            <w:r w:rsidRPr="007148BC">
              <w:rPr>
                <w:rFonts w:asciiTheme="minorHAnsi" w:hAnsiTheme="minorHAnsi"/>
                <w:sz w:val="22"/>
                <w:szCs w:val="22"/>
              </w:rPr>
              <w:t>Number of infections</w:t>
            </w:r>
          </w:p>
          <w:p w14:paraId="72244F6A" w14:textId="77777777" w:rsidR="00A516FD" w:rsidRPr="007148BC" w:rsidRDefault="00A516FD" w:rsidP="00C30DA5">
            <w:pPr>
              <w:pStyle w:val="Tablecontents"/>
              <w:numPr>
                <w:ilvl w:val="0"/>
                <w:numId w:val="11"/>
              </w:numPr>
              <w:rPr>
                <w:rFonts w:asciiTheme="minorHAnsi" w:hAnsiTheme="minorHAnsi"/>
                <w:sz w:val="22"/>
                <w:szCs w:val="22"/>
              </w:rPr>
            </w:pPr>
            <w:r w:rsidRPr="007148BC">
              <w:rPr>
                <w:rFonts w:asciiTheme="minorHAnsi" w:hAnsiTheme="minorHAnsi"/>
                <w:sz w:val="22"/>
                <w:szCs w:val="22"/>
              </w:rPr>
              <w:t>Number of antibiotic treatments</w:t>
            </w:r>
          </w:p>
          <w:p w14:paraId="76079841" w14:textId="77777777" w:rsidR="00A516FD" w:rsidRPr="007148BC" w:rsidRDefault="00A516FD" w:rsidP="00C30DA5">
            <w:pPr>
              <w:pStyle w:val="Tablecontents"/>
              <w:numPr>
                <w:ilvl w:val="0"/>
                <w:numId w:val="11"/>
              </w:numPr>
              <w:rPr>
                <w:rFonts w:asciiTheme="minorHAnsi" w:hAnsiTheme="minorHAnsi"/>
                <w:sz w:val="22"/>
                <w:szCs w:val="22"/>
              </w:rPr>
            </w:pPr>
            <w:r w:rsidRPr="007148BC">
              <w:rPr>
                <w:rFonts w:asciiTheme="minorHAnsi" w:hAnsiTheme="minorHAnsi"/>
                <w:sz w:val="22"/>
                <w:szCs w:val="22"/>
              </w:rPr>
              <w:t>Morbidity</w:t>
            </w:r>
          </w:p>
          <w:p w14:paraId="1C68F478" w14:textId="77777777" w:rsidR="00A516FD" w:rsidRPr="007148BC" w:rsidRDefault="00A516FD" w:rsidP="00C30DA5">
            <w:pPr>
              <w:pStyle w:val="Tablecontents"/>
              <w:numPr>
                <w:ilvl w:val="0"/>
                <w:numId w:val="11"/>
              </w:numPr>
              <w:rPr>
                <w:rFonts w:asciiTheme="minorHAnsi" w:hAnsiTheme="minorHAnsi"/>
                <w:i/>
                <w:sz w:val="22"/>
                <w:szCs w:val="22"/>
              </w:rPr>
            </w:pPr>
            <w:r w:rsidRPr="007148BC">
              <w:rPr>
                <w:rFonts w:asciiTheme="minorHAnsi" w:hAnsiTheme="minorHAnsi"/>
                <w:sz w:val="22"/>
                <w:szCs w:val="22"/>
              </w:rPr>
              <w:t>Change in quality of life</w:t>
            </w:r>
          </w:p>
          <w:p w14:paraId="01776701" w14:textId="77777777" w:rsidR="00A516FD" w:rsidRDefault="00A516FD" w:rsidP="00C30DA5">
            <w:pPr>
              <w:pStyle w:val="Tablecontents"/>
              <w:numPr>
                <w:ilvl w:val="0"/>
                <w:numId w:val="11"/>
              </w:numPr>
              <w:rPr>
                <w:rFonts w:asciiTheme="minorHAnsi" w:hAnsiTheme="minorHAnsi"/>
                <w:sz w:val="22"/>
                <w:szCs w:val="22"/>
              </w:rPr>
            </w:pPr>
            <w:r w:rsidRPr="007148BC">
              <w:rPr>
                <w:rFonts w:asciiTheme="minorHAnsi" w:hAnsiTheme="minorHAnsi"/>
                <w:sz w:val="22"/>
                <w:szCs w:val="22"/>
              </w:rPr>
              <w:t xml:space="preserve">Mortality </w:t>
            </w:r>
          </w:p>
          <w:p w14:paraId="5CB748CF" w14:textId="171E084E" w:rsidR="00A516FD" w:rsidRDefault="00A516FD" w:rsidP="00C30DA5">
            <w:pPr>
              <w:pStyle w:val="Tablecontents"/>
              <w:numPr>
                <w:ilvl w:val="0"/>
                <w:numId w:val="11"/>
              </w:numPr>
              <w:rPr>
                <w:rFonts w:asciiTheme="minorHAnsi" w:hAnsiTheme="minorHAnsi"/>
                <w:sz w:val="22"/>
                <w:szCs w:val="22"/>
              </w:rPr>
            </w:pPr>
            <w:r w:rsidRPr="007148BC">
              <w:rPr>
                <w:rFonts w:asciiTheme="minorHAnsi" w:hAnsiTheme="minorHAnsi"/>
                <w:sz w:val="22"/>
                <w:szCs w:val="22"/>
              </w:rPr>
              <w:t>IgG trough levels</w:t>
            </w:r>
          </w:p>
          <w:p w14:paraId="76316223" w14:textId="3F184022" w:rsidR="00595224" w:rsidRPr="00F91509" w:rsidRDefault="00595224" w:rsidP="00C30DA5">
            <w:pPr>
              <w:pStyle w:val="Tablecontents"/>
              <w:numPr>
                <w:ilvl w:val="0"/>
                <w:numId w:val="11"/>
              </w:numPr>
              <w:rPr>
                <w:rFonts w:asciiTheme="minorHAnsi" w:hAnsiTheme="minorHAnsi"/>
                <w:sz w:val="22"/>
                <w:szCs w:val="22"/>
              </w:rPr>
            </w:pPr>
            <w:r>
              <w:rPr>
                <w:rFonts w:asciiTheme="minorHAnsi" w:hAnsiTheme="minorHAnsi"/>
                <w:sz w:val="22"/>
                <w:szCs w:val="22"/>
              </w:rPr>
              <w:t>Bronchiectasis</w:t>
            </w:r>
          </w:p>
          <w:p w14:paraId="7E7116EC" w14:textId="77777777" w:rsidR="00A516FD" w:rsidRPr="007148BC" w:rsidRDefault="00A516FD" w:rsidP="00C30DA5">
            <w:pPr>
              <w:pStyle w:val="Tablecontents"/>
              <w:rPr>
                <w:rFonts w:asciiTheme="minorHAnsi" w:hAnsiTheme="minorHAnsi"/>
                <w:sz w:val="22"/>
                <w:szCs w:val="22"/>
              </w:rPr>
            </w:pPr>
            <w:r w:rsidRPr="007148BC">
              <w:rPr>
                <w:rFonts w:asciiTheme="minorHAnsi" w:hAnsiTheme="minorHAnsi"/>
                <w:i/>
                <w:sz w:val="22"/>
                <w:szCs w:val="22"/>
              </w:rPr>
              <w:t>Healthcare system resources utilisation</w:t>
            </w:r>
            <w:r w:rsidRPr="007148BC">
              <w:rPr>
                <w:rFonts w:asciiTheme="minorHAnsi" w:hAnsiTheme="minorHAnsi"/>
                <w:sz w:val="22"/>
                <w:szCs w:val="22"/>
              </w:rPr>
              <w:t>:</w:t>
            </w:r>
          </w:p>
          <w:p w14:paraId="53894C5A" w14:textId="77777777" w:rsidR="00A516FD" w:rsidRPr="007148BC" w:rsidRDefault="00A516FD" w:rsidP="00C30DA5">
            <w:pPr>
              <w:pStyle w:val="Tablecontents"/>
              <w:numPr>
                <w:ilvl w:val="0"/>
                <w:numId w:val="13"/>
              </w:numPr>
              <w:rPr>
                <w:rFonts w:asciiTheme="minorHAnsi" w:hAnsiTheme="minorHAnsi"/>
                <w:sz w:val="22"/>
                <w:szCs w:val="22"/>
              </w:rPr>
            </w:pPr>
            <w:r w:rsidRPr="007148BC">
              <w:rPr>
                <w:rFonts w:asciiTheme="minorHAnsi" w:hAnsiTheme="minorHAnsi"/>
                <w:sz w:val="22"/>
                <w:szCs w:val="22"/>
              </w:rPr>
              <w:t>Ig products</w:t>
            </w:r>
          </w:p>
          <w:p w14:paraId="5542F2D5" w14:textId="77777777" w:rsidR="00A516FD" w:rsidRPr="007148BC" w:rsidRDefault="00A516FD" w:rsidP="00C30DA5">
            <w:pPr>
              <w:pStyle w:val="Tablecontents"/>
              <w:numPr>
                <w:ilvl w:val="0"/>
                <w:numId w:val="13"/>
              </w:numPr>
              <w:rPr>
                <w:rFonts w:asciiTheme="minorHAnsi" w:hAnsiTheme="minorHAnsi"/>
                <w:sz w:val="22"/>
                <w:szCs w:val="22"/>
              </w:rPr>
            </w:pPr>
            <w:r w:rsidRPr="007148BC">
              <w:rPr>
                <w:rFonts w:asciiTheme="minorHAnsi" w:hAnsiTheme="minorHAnsi"/>
                <w:sz w:val="22"/>
                <w:szCs w:val="22"/>
              </w:rPr>
              <w:t>Infusion equipment</w:t>
            </w:r>
          </w:p>
          <w:p w14:paraId="046AC2EE" w14:textId="77777777" w:rsidR="00A516FD" w:rsidRPr="007B1694" w:rsidRDefault="00A516FD" w:rsidP="00C30DA5">
            <w:pPr>
              <w:pStyle w:val="Tablecontents"/>
              <w:numPr>
                <w:ilvl w:val="0"/>
                <w:numId w:val="13"/>
              </w:numPr>
              <w:rPr>
                <w:rFonts w:asciiTheme="minorHAnsi" w:hAnsiTheme="minorHAnsi"/>
                <w:sz w:val="22"/>
                <w:szCs w:val="22"/>
              </w:rPr>
            </w:pPr>
            <w:r w:rsidRPr="007148BC">
              <w:rPr>
                <w:rFonts w:asciiTheme="minorHAnsi" w:hAnsiTheme="minorHAnsi"/>
                <w:sz w:val="22"/>
                <w:szCs w:val="22"/>
              </w:rPr>
              <w:t>Administrative and clinician time (e.g. resources associated with requesting and authorising</w:t>
            </w:r>
            <w:r w:rsidRPr="007B1694">
              <w:rPr>
                <w:rFonts w:asciiTheme="minorHAnsi" w:hAnsiTheme="minorHAnsi"/>
                <w:sz w:val="22"/>
                <w:szCs w:val="22"/>
              </w:rPr>
              <w:t xml:space="preserve"> access to Ig)</w:t>
            </w:r>
          </w:p>
          <w:p w14:paraId="0EC4C702" w14:textId="77777777" w:rsidR="00A516FD" w:rsidRPr="007B1694" w:rsidRDefault="00A516FD" w:rsidP="00C30DA5">
            <w:pPr>
              <w:pStyle w:val="Tablecontents"/>
              <w:numPr>
                <w:ilvl w:val="0"/>
                <w:numId w:val="13"/>
              </w:numPr>
              <w:rPr>
                <w:rFonts w:asciiTheme="minorHAnsi" w:hAnsiTheme="minorHAnsi"/>
                <w:sz w:val="22"/>
                <w:szCs w:val="22"/>
              </w:rPr>
            </w:pPr>
            <w:r w:rsidRPr="007B1694">
              <w:rPr>
                <w:rFonts w:asciiTheme="minorHAnsi" w:hAnsiTheme="minorHAnsi"/>
                <w:sz w:val="22"/>
                <w:szCs w:val="22"/>
              </w:rPr>
              <w:t>Nursing time (for initiation and monitoring IVIg)</w:t>
            </w:r>
          </w:p>
          <w:p w14:paraId="2E134117" w14:textId="77777777" w:rsidR="00A516FD" w:rsidRPr="007B1694" w:rsidRDefault="00A516FD" w:rsidP="00C30DA5">
            <w:pPr>
              <w:pStyle w:val="Tablecontents"/>
              <w:numPr>
                <w:ilvl w:val="0"/>
                <w:numId w:val="13"/>
              </w:numPr>
              <w:rPr>
                <w:rFonts w:asciiTheme="minorHAnsi" w:hAnsiTheme="minorHAnsi"/>
                <w:sz w:val="22"/>
                <w:szCs w:val="22"/>
              </w:rPr>
            </w:pPr>
            <w:bookmarkStart w:id="3" w:name="_Hlk20815332"/>
            <w:r w:rsidRPr="007B1694">
              <w:rPr>
                <w:rFonts w:asciiTheme="minorHAnsi" w:hAnsiTheme="minorHAnsi"/>
                <w:sz w:val="22"/>
                <w:szCs w:val="22"/>
              </w:rPr>
              <w:t>For SCIg users, nursing time for education of users on how to administer SCIg at home</w:t>
            </w:r>
          </w:p>
          <w:bookmarkEnd w:id="3"/>
          <w:p w14:paraId="33B4CD06" w14:textId="77777777" w:rsidR="00A516FD" w:rsidRPr="007B1694" w:rsidRDefault="00A516FD" w:rsidP="00C30DA5">
            <w:pPr>
              <w:pStyle w:val="Tablecontents"/>
              <w:numPr>
                <w:ilvl w:val="0"/>
                <w:numId w:val="13"/>
              </w:numPr>
              <w:rPr>
                <w:rFonts w:asciiTheme="minorHAnsi" w:hAnsiTheme="minorHAnsi"/>
                <w:sz w:val="22"/>
                <w:szCs w:val="22"/>
              </w:rPr>
            </w:pPr>
            <w:r w:rsidRPr="007B1694">
              <w:rPr>
                <w:rFonts w:asciiTheme="minorHAnsi" w:hAnsiTheme="minorHAnsi"/>
                <w:sz w:val="22"/>
                <w:szCs w:val="22"/>
              </w:rPr>
              <w:t>Hospitalisation (including use of hospital resources)</w:t>
            </w:r>
          </w:p>
          <w:p w14:paraId="3A2A2577" w14:textId="77777777" w:rsidR="00A516FD" w:rsidRPr="007B1694" w:rsidRDefault="00A516FD" w:rsidP="00C30DA5">
            <w:pPr>
              <w:pStyle w:val="Tablecontents"/>
              <w:numPr>
                <w:ilvl w:val="0"/>
                <w:numId w:val="13"/>
              </w:numPr>
              <w:rPr>
                <w:rFonts w:asciiTheme="minorHAnsi" w:hAnsiTheme="minorHAnsi"/>
                <w:sz w:val="22"/>
                <w:szCs w:val="22"/>
              </w:rPr>
            </w:pPr>
            <w:r w:rsidRPr="007B1694">
              <w:rPr>
                <w:rFonts w:asciiTheme="minorHAnsi" w:hAnsiTheme="minorHAnsi"/>
                <w:sz w:val="22"/>
                <w:szCs w:val="22"/>
              </w:rPr>
              <w:t>Medication to treat adverse events (e.g. analgesia or antihistamines)</w:t>
            </w:r>
          </w:p>
          <w:p w14:paraId="7DEC083D" w14:textId="77777777" w:rsidR="00A516FD" w:rsidRPr="007B1694" w:rsidRDefault="00A516FD" w:rsidP="00C30DA5">
            <w:pPr>
              <w:pStyle w:val="Tablecontents"/>
              <w:numPr>
                <w:ilvl w:val="0"/>
                <w:numId w:val="13"/>
              </w:numPr>
              <w:rPr>
                <w:rFonts w:asciiTheme="minorHAnsi" w:hAnsiTheme="minorHAnsi"/>
                <w:sz w:val="22"/>
                <w:szCs w:val="22"/>
              </w:rPr>
            </w:pPr>
            <w:r w:rsidRPr="007B1694">
              <w:rPr>
                <w:rFonts w:asciiTheme="minorHAnsi" w:hAnsiTheme="minorHAnsi"/>
                <w:sz w:val="22"/>
                <w:szCs w:val="22"/>
              </w:rPr>
              <w:t>Product dispensing and disposal o</w:t>
            </w:r>
            <w:r>
              <w:rPr>
                <w:rFonts w:asciiTheme="minorHAnsi" w:hAnsiTheme="minorHAnsi"/>
                <w:sz w:val="22"/>
                <w:szCs w:val="22"/>
              </w:rPr>
              <w:t>f</w:t>
            </w:r>
            <w:r w:rsidRPr="007B1694">
              <w:rPr>
                <w:rFonts w:asciiTheme="minorHAnsi" w:hAnsiTheme="minorHAnsi"/>
                <w:sz w:val="22"/>
                <w:szCs w:val="22"/>
              </w:rPr>
              <w:t xml:space="preserve"> any unused product</w:t>
            </w:r>
          </w:p>
          <w:p w14:paraId="63050D56" w14:textId="77777777" w:rsidR="00A516FD" w:rsidRPr="00023B28" w:rsidRDefault="00A516FD" w:rsidP="00C30DA5">
            <w:pPr>
              <w:pStyle w:val="Tablecontents"/>
              <w:numPr>
                <w:ilvl w:val="0"/>
                <w:numId w:val="13"/>
              </w:numPr>
              <w:rPr>
                <w:rFonts w:asciiTheme="minorHAnsi" w:hAnsiTheme="minorHAnsi"/>
                <w:sz w:val="22"/>
                <w:szCs w:val="22"/>
              </w:rPr>
            </w:pPr>
            <w:r w:rsidRPr="007B1694">
              <w:rPr>
                <w:rFonts w:asciiTheme="minorHAnsi" w:hAnsiTheme="minorHAnsi"/>
                <w:sz w:val="22"/>
                <w:szCs w:val="22"/>
              </w:rPr>
              <w:t>Follow-up and/or monitoring visits, including regular immunologist visits</w:t>
            </w:r>
          </w:p>
        </w:tc>
      </w:tr>
    </w:tbl>
    <w:p w14:paraId="72E24B78" w14:textId="77777777" w:rsidR="00A516FD" w:rsidRDefault="00A516FD" w:rsidP="00A516FD">
      <w:pPr>
        <w:rPr>
          <w:rFonts w:eastAsia="MS Gothic"/>
          <w:b/>
          <w:bCs/>
          <w:i/>
          <w:color w:val="548DD4"/>
          <w:szCs w:val="26"/>
          <w:u w:val="single"/>
        </w:rPr>
      </w:pPr>
      <w:r>
        <w:rPr>
          <w:rFonts w:eastAsia="MS Gothic"/>
          <w:b/>
          <w:bCs/>
          <w:i/>
          <w:color w:val="548DD4"/>
          <w:szCs w:val="26"/>
          <w:u w:val="single"/>
        </w:rPr>
        <w:br w:type="page"/>
      </w:r>
    </w:p>
    <w:p w14:paraId="6E76340D" w14:textId="77777777" w:rsidR="00A516FD" w:rsidRPr="00E364F7" w:rsidRDefault="00A516FD" w:rsidP="005C1782">
      <w:pPr>
        <w:pStyle w:val="Heading2"/>
      </w:pPr>
      <w:r w:rsidRPr="00E364F7">
        <w:t>PICO</w:t>
      </w:r>
      <w:r>
        <w:t xml:space="preserve"> </w:t>
      </w:r>
      <w:r w:rsidRPr="00E364F7">
        <w:t>rationale</w:t>
      </w:r>
    </w:p>
    <w:p w14:paraId="47B7C17F" w14:textId="77777777" w:rsidR="00A516FD" w:rsidRPr="005C1782" w:rsidRDefault="00A516FD" w:rsidP="005C1782">
      <w:pPr>
        <w:pStyle w:val="Heading3"/>
      </w:pPr>
      <w:r w:rsidRPr="005C1782">
        <w:t>Population</w:t>
      </w:r>
    </w:p>
    <w:p w14:paraId="6F86F8D4" w14:textId="77777777" w:rsidR="00A516FD" w:rsidRDefault="00A516FD" w:rsidP="00A516FD">
      <w:r>
        <w:t>Patients with Primary Immunodeficiency Diseases (PID) with antibody deficiency who are currently eligible for immunoglobulin treatment in Australia according to the ‘Criteria for Clinical Use of Immunoglobulin in Australia Version 3.1’</w:t>
      </w:r>
      <w:r>
        <w:fldChar w:fldCharType="begin"/>
      </w:r>
      <w:r>
        <w:instrText xml:space="preserve"> ADDIN EN.CITE &lt;EndNote&gt;&lt;Cite&gt;&lt;Author&gt;National Blood Authority&lt;/Author&gt;&lt;Year&gt;2018&lt;/Year&gt;&lt;RecNum&gt;1&lt;/RecNum&gt;&lt;DisplayText&gt;&lt;style face="superscript"&gt;1&lt;/style&gt;&lt;/DisplayText&gt;&lt;record&gt;&lt;rec-number&gt;1&lt;/rec-number&gt;&lt;foreign-keys&gt;&lt;key app="EN" db-id="pzpr9fpzq5dfrrefpetx2pfn5fz5e2r0vtdf" timestamp="1569200090"&gt;1&lt;/key&gt;&lt;/foreign-keys&gt;&lt;ref-type name="Web Page"&gt;12&lt;/ref-type&gt;&lt;contributors&gt;&lt;authors&gt;&lt;author&gt;National Blood Authority,&lt;/author&gt;&lt;/authors&gt;&lt;/contributors&gt;&lt;titles&gt;&lt;title&gt;Criteria for clinical use of immunoglobulin in Australia, Version 3.1&lt;/title&gt;&lt;/titles&gt;&lt;volume&gt;2019&lt;/volume&gt;&lt;number&gt;23rd September&lt;/number&gt;&lt;dates&gt;&lt;year&gt;2018&lt;/year&gt;&lt;/dates&gt;&lt;publisher&gt;National Blood Authority&lt;/publisher&gt;&lt;urls&gt;&lt;related-urls&gt;&lt;url&gt;&lt;style face="underline" font="default" size="100%"&gt;https://www.criteria.blood.gov.au/&lt;/style&gt;&lt;/url&gt;&lt;/related-urls&gt;&lt;/urls&gt;&lt;/record&gt;&lt;/Cite&gt;&lt;/EndNote&gt;</w:instrText>
      </w:r>
      <w:r>
        <w:fldChar w:fldCharType="separate"/>
      </w:r>
      <w:r w:rsidRPr="00A516FD">
        <w:rPr>
          <w:noProof/>
          <w:vertAlign w:val="superscript"/>
        </w:rPr>
        <w:t>1</w:t>
      </w:r>
      <w:r>
        <w:fldChar w:fldCharType="end"/>
      </w:r>
      <w:r>
        <w:t xml:space="preserve"> are the proposed population in this PICO Confirmation.</w:t>
      </w:r>
    </w:p>
    <w:p w14:paraId="2804D919" w14:textId="78473FB9" w:rsidR="00A516FD" w:rsidRDefault="00A516FD" w:rsidP="00A516FD">
      <w:r>
        <w:t>The Criteria for the Clinical Use of Immunoglobulin in Australia (her</w:t>
      </w:r>
      <w:r w:rsidR="0031327F">
        <w:t>ein</w:t>
      </w:r>
      <w:r>
        <w:t xml:space="preserve"> referred to as ‘</w:t>
      </w:r>
      <w:r w:rsidRPr="00B72B74">
        <w:rPr>
          <w:i/>
        </w:rPr>
        <w:t>the Criteria’</w:t>
      </w:r>
      <w:r>
        <w:t>)</w:t>
      </w:r>
      <w:r>
        <w:rPr>
          <w:i/>
        </w:rPr>
        <w:t xml:space="preserve"> </w:t>
      </w:r>
      <w:r>
        <w:t>is a framework describing the medical conditions and specific circumstances for which the use of immunoglobulin (Ig) is considered clinically appropriate and for which public funding is available.</w:t>
      </w:r>
      <w:r>
        <w:fldChar w:fldCharType="begin"/>
      </w:r>
      <w:r>
        <w:instrText xml:space="preserve"> ADDIN EN.CITE &lt;EndNote&gt;&lt;Cite&gt;&lt;Author&gt;National Blood Authority&lt;/Author&gt;&lt;Year&gt;2018&lt;/Year&gt;&lt;RecNum&gt;1&lt;/RecNum&gt;&lt;DisplayText&gt;&lt;style face="superscript"&gt;1&lt;/style&gt;&lt;/DisplayText&gt;&lt;record&gt;&lt;rec-number&gt;1&lt;/rec-number&gt;&lt;foreign-keys&gt;&lt;key app="EN" db-id="pzpr9fpzq5dfrrefpetx2pfn5fz5e2r0vtdf" timestamp="1569200090"&gt;1&lt;/key&gt;&lt;/foreign-keys&gt;&lt;ref-type name="Web Page"&gt;12&lt;/ref-type&gt;&lt;contributors&gt;&lt;authors&gt;&lt;author&gt;National Blood Authority,&lt;/author&gt;&lt;/authors&gt;&lt;/contributors&gt;&lt;titles&gt;&lt;title&gt;Criteria for clinical use of immunoglobulin in Australia, Version 3.1&lt;/title&gt;&lt;/titles&gt;&lt;volume&gt;2019&lt;/volume&gt;&lt;number&gt;23rd September&lt;/number&gt;&lt;dates&gt;&lt;year&gt;2018&lt;/year&gt;&lt;/dates&gt;&lt;publisher&gt;National Blood Authority&lt;/publisher&gt;&lt;urls&gt;&lt;related-urls&gt;&lt;url&gt;&lt;style face="underline" font="default" size="100%"&gt;https://www.criteria.blood.gov.au/&lt;/style&gt;&lt;/url&gt;&lt;/related-urls&gt;&lt;/urls&gt;&lt;/record&gt;&lt;/Cite&gt;&lt;/EndNote&gt;</w:instrText>
      </w:r>
      <w:r>
        <w:fldChar w:fldCharType="separate"/>
      </w:r>
      <w:r w:rsidRPr="00A516FD">
        <w:rPr>
          <w:noProof/>
          <w:vertAlign w:val="superscript"/>
        </w:rPr>
        <w:t>1</w:t>
      </w:r>
      <w:r>
        <w:fldChar w:fldCharType="end"/>
      </w:r>
      <w:r>
        <w:t xml:space="preserve"> Th</w:t>
      </w:r>
      <w:r w:rsidR="00C73616">
        <w:t>is review is based on</w:t>
      </w:r>
      <w:r>
        <w:t xml:space="preserve"> </w:t>
      </w:r>
      <w:r w:rsidR="00C73616">
        <w:t>Version</w:t>
      </w:r>
      <w:r>
        <w:t xml:space="preserve"> 3 </w:t>
      </w:r>
      <w:r w:rsidR="00C73616">
        <w:t xml:space="preserve">which </w:t>
      </w:r>
      <w:r>
        <w:t xml:space="preserve">was published </w:t>
      </w:r>
      <w:r w:rsidR="0031327F">
        <w:t>o</w:t>
      </w:r>
      <w:r>
        <w:t>n 2</w:t>
      </w:r>
      <w:r w:rsidR="00542F69">
        <w:t>2</w:t>
      </w:r>
      <w:r>
        <w:t xml:space="preserve"> October 2018 and is available online. </w:t>
      </w:r>
    </w:p>
    <w:p w14:paraId="5D096621" w14:textId="77777777" w:rsidR="00A516FD" w:rsidRDefault="00A516FD" w:rsidP="00A516FD">
      <w:r>
        <w:t>According to ‘</w:t>
      </w:r>
      <w:r>
        <w:rPr>
          <w:i/>
        </w:rPr>
        <w:t xml:space="preserve">the Criteria’ </w:t>
      </w:r>
      <w:r>
        <w:t>patients with PID with antibody deficiency who are eligible for publicly funded treatment with Ig are those with the following specific conditions, as diagnosed by an immunologist:</w:t>
      </w:r>
    </w:p>
    <w:p w14:paraId="4C9FD5DB" w14:textId="77777777" w:rsidR="00A516FD" w:rsidRDefault="00A516FD" w:rsidP="00A516FD">
      <w:pPr>
        <w:pStyle w:val="ListParagraph"/>
        <w:numPr>
          <w:ilvl w:val="0"/>
          <w:numId w:val="16"/>
        </w:numPr>
      </w:pPr>
      <w:r>
        <w:t>Common Variable Immune Deficiency (CVID) - below normal serum IgG and IgA levels with or without below normal serum IgM levels</w:t>
      </w:r>
    </w:p>
    <w:p w14:paraId="2ADC128B" w14:textId="77777777" w:rsidR="00A516FD" w:rsidRPr="002D4893" w:rsidRDefault="00A516FD" w:rsidP="00A516FD">
      <w:pPr>
        <w:pStyle w:val="ListParagraph"/>
        <w:numPr>
          <w:ilvl w:val="0"/>
          <w:numId w:val="16"/>
        </w:numPr>
      </w:pPr>
      <w:r w:rsidRPr="002D4893">
        <w:t>Possible CVID - below normal serum IgG but normal serum IgA level with or without below normal serum IgM levels</w:t>
      </w:r>
    </w:p>
    <w:p w14:paraId="57C02C1F" w14:textId="77777777" w:rsidR="00A516FD" w:rsidRDefault="00A516FD" w:rsidP="00A516FD">
      <w:pPr>
        <w:pStyle w:val="ListParagraph"/>
        <w:numPr>
          <w:ilvl w:val="0"/>
          <w:numId w:val="16"/>
        </w:numPr>
      </w:pPr>
      <w:r>
        <w:t>Transient hypogammaglobulinaemia of infancy</w:t>
      </w:r>
    </w:p>
    <w:p w14:paraId="02698200" w14:textId="77777777" w:rsidR="00A516FD" w:rsidRDefault="00A516FD" w:rsidP="00A516FD">
      <w:pPr>
        <w:pStyle w:val="ListParagraph"/>
        <w:numPr>
          <w:ilvl w:val="0"/>
          <w:numId w:val="16"/>
        </w:numPr>
      </w:pPr>
      <w:r>
        <w:t>Severe combined immunodeficiency (SCID)</w:t>
      </w:r>
    </w:p>
    <w:p w14:paraId="24ACDA39" w14:textId="77777777" w:rsidR="00A516FD" w:rsidRDefault="00A516FD" w:rsidP="00A516FD">
      <w:pPr>
        <w:pStyle w:val="ListParagraph"/>
        <w:numPr>
          <w:ilvl w:val="0"/>
          <w:numId w:val="16"/>
        </w:numPr>
      </w:pPr>
      <w:r>
        <w:t>Combined immunodeficiency generally less profound than SCID (e.g. thymoma)</w:t>
      </w:r>
    </w:p>
    <w:p w14:paraId="163C743C" w14:textId="77777777" w:rsidR="00A516FD" w:rsidRDefault="00A516FD" w:rsidP="00A516FD">
      <w:pPr>
        <w:pStyle w:val="ListParagraph"/>
        <w:numPr>
          <w:ilvl w:val="0"/>
          <w:numId w:val="16"/>
        </w:numPr>
      </w:pPr>
      <w:r>
        <w:t>Combined immunodeficiency with associated or syndromal features (e.g. Wiskott-Aldrich syndrome; ataxia telangiectasia)</w:t>
      </w:r>
    </w:p>
    <w:p w14:paraId="2843DCC4" w14:textId="77777777" w:rsidR="00A516FD" w:rsidRDefault="00A516FD" w:rsidP="00A516FD">
      <w:pPr>
        <w:pStyle w:val="ListParagraph"/>
        <w:numPr>
          <w:ilvl w:val="0"/>
          <w:numId w:val="16"/>
        </w:numPr>
      </w:pPr>
      <w:r>
        <w:t xml:space="preserve">Severe reduction in all Ig isotypes with decreased or absent B-cells (e.g. </w:t>
      </w:r>
      <w:r w:rsidR="00C30DA5" w:rsidRPr="00C30DA5">
        <w:t>X-linked agammaglobulinemia</w:t>
      </w:r>
      <w:r>
        <w:t>)</w:t>
      </w:r>
    </w:p>
    <w:p w14:paraId="4E79232B" w14:textId="77777777" w:rsidR="00A516FD" w:rsidRDefault="00A516FD" w:rsidP="00A516FD">
      <w:pPr>
        <w:pStyle w:val="ListParagraph"/>
        <w:numPr>
          <w:ilvl w:val="0"/>
          <w:numId w:val="16"/>
        </w:numPr>
      </w:pPr>
      <w:r>
        <w:t>Severe reduction in at least two Ig isotypes with low/normal B-cells (e.g. CVID)</w:t>
      </w:r>
    </w:p>
    <w:p w14:paraId="18470BE7" w14:textId="77777777" w:rsidR="00A516FD" w:rsidRDefault="00A516FD" w:rsidP="00A516FD">
      <w:pPr>
        <w:pStyle w:val="ListParagraph"/>
        <w:numPr>
          <w:ilvl w:val="0"/>
          <w:numId w:val="16"/>
        </w:numPr>
      </w:pPr>
      <w:r>
        <w:t xml:space="preserve">Severe reduction in serum IgG and IgA with normal/elevated IgM (e.g. </w:t>
      </w:r>
      <w:r w:rsidR="00C30DA5" w:rsidRPr="00C30DA5">
        <w:t xml:space="preserve">CD40 ligand </w:t>
      </w:r>
      <w:r>
        <w:t>def</w:t>
      </w:r>
      <w:r w:rsidR="002B1260">
        <w:t>iciency</w:t>
      </w:r>
      <w:r>
        <w:t>)</w:t>
      </w:r>
    </w:p>
    <w:p w14:paraId="78A06A3E" w14:textId="79BF9380" w:rsidR="00A516FD" w:rsidRDefault="00A516FD" w:rsidP="00A516FD">
      <w:pPr>
        <w:pStyle w:val="ListParagraph"/>
        <w:numPr>
          <w:ilvl w:val="0"/>
          <w:numId w:val="16"/>
        </w:numPr>
      </w:pPr>
      <w:r>
        <w:t xml:space="preserve">Lymphoproliferative syndromes (e.g. XLP1, XLP2, </w:t>
      </w:r>
      <w:r w:rsidR="002B1260" w:rsidRPr="002B1260">
        <w:t>CD27 deficiency</w:t>
      </w:r>
      <w:r w:rsidR="0031327F">
        <w:t>).</w:t>
      </w:r>
    </w:p>
    <w:p w14:paraId="3D18B7BF" w14:textId="77777777" w:rsidR="00A516FD" w:rsidRDefault="00A516FD" w:rsidP="00A516FD">
      <w:r>
        <w:t>The indications for Ig use for patients with PID with antibody deficiency, as defined in ‘</w:t>
      </w:r>
      <w:r w:rsidRPr="00897DB0">
        <w:rPr>
          <w:i/>
        </w:rPr>
        <w:t>the Criteria</w:t>
      </w:r>
      <w:r>
        <w:t>’ are:</w:t>
      </w:r>
    </w:p>
    <w:p w14:paraId="784DF186" w14:textId="77777777" w:rsidR="00A516FD" w:rsidRDefault="00A516FD" w:rsidP="00A516FD">
      <w:pPr>
        <w:pStyle w:val="ListParagraph"/>
        <w:numPr>
          <w:ilvl w:val="0"/>
          <w:numId w:val="17"/>
        </w:numPr>
      </w:pPr>
      <w:r>
        <w:t>Replacement therapy in CVID – European Society for Immunodeficiency Diseases (ESID) diagnostic criteria met</w:t>
      </w:r>
    </w:p>
    <w:p w14:paraId="6137AB65" w14:textId="77777777" w:rsidR="00A516FD" w:rsidRDefault="00A516FD" w:rsidP="00A516FD">
      <w:pPr>
        <w:pStyle w:val="ListParagraph"/>
        <w:numPr>
          <w:ilvl w:val="0"/>
          <w:numId w:val="17"/>
        </w:numPr>
      </w:pPr>
      <w:r>
        <w:t>Replacement therapy in possible CVID – (below normal serum IgG but normal serum IgA level)</w:t>
      </w:r>
    </w:p>
    <w:p w14:paraId="2FB73C80" w14:textId="77777777" w:rsidR="00A516FD" w:rsidRDefault="00A516FD" w:rsidP="00A516FD">
      <w:pPr>
        <w:pStyle w:val="ListParagraph"/>
        <w:numPr>
          <w:ilvl w:val="0"/>
          <w:numId w:val="17"/>
        </w:numPr>
      </w:pPr>
      <w:r>
        <w:t>Replacement therapy in transient hypogammaglobulinaemia of infancy (children aged less than 4 years)</w:t>
      </w:r>
    </w:p>
    <w:p w14:paraId="2398C92D" w14:textId="5DBAD58D" w:rsidR="00A516FD" w:rsidRDefault="00A516FD" w:rsidP="00A516FD">
      <w:pPr>
        <w:pStyle w:val="ListParagraph"/>
        <w:numPr>
          <w:ilvl w:val="0"/>
          <w:numId w:val="17"/>
        </w:numPr>
      </w:pPr>
      <w:r>
        <w:t>Replacement therapy in recognised primary immunodeficiencies for which immunoglobulin replacement is universally indicated (e.g. SCID, Wiskott-Aldrich syndrome, etc.)</w:t>
      </w:r>
      <w:r w:rsidR="00D3091D">
        <w:t>.</w:t>
      </w:r>
    </w:p>
    <w:p w14:paraId="376A928C" w14:textId="579A75A1" w:rsidR="00A516FD" w:rsidRPr="00E8258F" w:rsidRDefault="00A516FD" w:rsidP="00A516FD">
      <w:r>
        <w:t>The qualifying criteria for the above four indications that must be met for Ig therapy, as defined in ‘</w:t>
      </w:r>
      <w:r w:rsidRPr="009B4C87">
        <w:rPr>
          <w:i/>
        </w:rPr>
        <w:t>the Criteria’</w:t>
      </w:r>
      <w:r>
        <w:t xml:space="preserve">, are outlined in </w:t>
      </w:r>
      <w:r>
        <w:fldChar w:fldCharType="begin"/>
      </w:r>
      <w:r>
        <w:instrText xml:space="preserve"> REF _Ref20209252 \h </w:instrText>
      </w:r>
      <w:r>
        <w:fldChar w:fldCharType="separate"/>
      </w:r>
      <w:r w:rsidR="008D6208" w:rsidRPr="00F35237">
        <w:rPr>
          <w:rFonts w:ascii="Arial Narrow" w:hAnsi="Arial Narrow"/>
        </w:rPr>
        <w:t xml:space="preserve">Table </w:t>
      </w:r>
      <w:r w:rsidR="008D6208">
        <w:rPr>
          <w:rFonts w:ascii="Arial Narrow" w:hAnsi="Arial Narrow"/>
          <w:noProof/>
        </w:rPr>
        <w:t>1</w:t>
      </w:r>
      <w:r>
        <w:fldChar w:fldCharType="end"/>
      </w:r>
      <w:r w:rsidRPr="00E8258F">
        <w:t>.</w:t>
      </w:r>
    </w:p>
    <w:p w14:paraId="0E84DE7A" w14:textId="3EDA31CE" w:rsidR="00A516FD" w:rsidRDefault="00A516FD" w:rsidP="00A516FD">
      <w:pPr>
        <w:pStyle w:val="Caption"/>
      </w:pPr>
    </w:p>
    <w:tbl>
      <w:tblPr>
        <w:tblStyle w:val="TableGrid"/>
        <w:tblW w:w="0" w:type="auto"/>
        <w:tblLook w:val="04A0" w:firstRow="1" w:lastRow="0" w:firstColumn="1" w:lastColumn="0" w:noHBand="0" w:noVBand="1"/>
        <w:tblCaption w:val="Table 1  Current qualifying criteria for the use of Ig in patients with PID with antibody deficiency according to the Criteria for Clinical Use of Immunoglobulin in Australia"/>
        <w:tblDescription w:val="This is a table displaying the qualifying criteria for use of Ig patients with PID: CVID ESID diagnostic criteria met, CVID below serum IgG but normal serum IgA level, transient hypogammaglobulinaemia of infancy (children aged less than 4 years) and in recognised primary immunodeficiencies for which immunoglobulin replacement is universally indicated."/>
      </w:tblPr>
      <w:tblGrid>
        <w:gridCol w:w="9016"/>
      </w:tblGrid>
      <w:tr w:rsidR="00A516FD" w:rsidRPr="00BE7779" w14:paraId="304B50BF" w14:textId="77777777" w:rsidTr="00F35237">
        <w:trPr>
          <w:tblHeader/>
        </w:trPr>
        <w:tc>
          <w:tcPr>
            <w:tcW w:w="9016" w:type="dxa"/>
            <w:tcBorders>
              <w:top w:val="nil"/>
              <w:left w:val="nil"/>
              <w:right w:val="nil"/>
            </w:tcBorders>
            <w:shd w:val="clear" w:color="auto" w:fill="auto"/>
          </w:tcPr>
          <w:p w14:paraId="1A57AB17" w14:textId="25C59583" w:rsidR="00A516FD" w:rsidRPr="00F35237" w:rsidRDefault="00F35237" w:rsidP="00C30DA5">
            <w:pPr>
              <w:rPr>
                <w:rFonts w:ascii="Arial Narrow" w:hAnsi="Arial Narrow"/>
                <w:b/>
                <w:sz w:val="18"/>
                <w:szCs w:val="18"/>
              </w:rPr>
            </w:pPr>
            <w:bookmarkStart w:id="4" w:name="_Ref20209252"/>
            <w:r w:rsidRPr="00F35237">
              <w:rPr>
                <w:rFonts w:ascii="Arial Narrow" w:hAnsi="Arial Narrow"/>
              </w:rPr>
              <w:t xml:space="preserve">Table </w:t>
            </w:r>
            <w:r w:rsidRPr="00F35237">
              <w:rPr>
                <w:rFonts w:ascii="Arial Narrow" w:hAnsi="Arial Narrow"/>
              </w:rPr>
              <w:fldChar w:fldCharType="begin"/>
            </w:r>
            <w:r w:rsidRPr="00F35237">
              <w:rPr>
                <w:rFonts w:ascii="Arial Narrow" w:hAnsi="Arial Narrow"/>
              </w:rPr>
              <w:instrText xml:space="preserve"> SEQ Table \* ARABIC </w:instrText>
            </w:r>
            <w:r w:rsidRPr="00F35237">
              <w:rPr>
                <w:rFonts w:ascii="Arial Narrow" w:hAnsi="Arial Narrow"/>
              </w:rPr>
              <w:fldChar w:fldCharType="separate"/>
            </w:r>
            <w:r w:rsidR="008D6208">
              <w:rPr>
                <w:rFonts w:ascii="Arial Narrow" w:hAnsi="Arial Narrow"/>
                <w:noProof/>
              </w:rPr>
              <w:t>1</w:t>
            </w:r>
            <w:r w:rsidRPr="00F35237">
              <w:rPr>
                <w:rFonts w:ascii="Arial Narrow" w:hAnsi="Arial Narrow"/>
              </w:rPr>
              <w:fldChar w:fldCharType="end"/>
            </w:r>
            <w:bookmarkEnd w:id="4"/>
            <w:r w:rsidRPr="00F35237">
              <w:rPr>
                <w:rFonts w:ascii="Arial Narrow" w:hAnsi="Arial Narrow"/>
              </w:rPr>
              <w:t xml:space="preserve"> </w:t>
            </w:r>
            <w:r w:rsidRPr="00F35237">
              <w:rPr>
                <w:rFonts w:ascii="Arial Narrow" w:hAnsi="Arial Narrow"/>
              </w:rPr>
              <w:tab/>
              <w:t>Current qualifying criteria for the use of Ig in patients with PID with antibody deficiency according to the Criteria for Clinical Use of Immunoglobulin in Australia</w:t>
            </w:r>
            <w:r w:rsidRPr="00F35237">
              <w:rPr>
                <w:rFonts w:ascii="Arial Narrow" w:hAnsi="Arial Narrow"/>
              </w:rPr>
              <w:fldChar w:fldCharType="begin"/>
            </w:r>
            <w:r w:rsidRPr="00F35237">
              <w:rPr>
                <w:rFonts w:ascii="Arial Narrow" w:hAnsi="Arial Narrow"/>
              </w:rPr>
              <w:instrText xml:space="preserve"> ADDIN EN.CITE &lt;EndNote&gt;&lt;Cite&gt;&lt;Author&gt;National Blood Authority&lt;/Author&gt;&lt;Year&gt;2018&lt;/Year&gt;&lt;RecNum&gt;1&lt;/RecNum&gt;&lt;DisplayText&gt;&lt;style face="superscript"&gt;1&lt;/style&gt;&lt;/DisplayText&gt;&lt;record&gt;&lt;rec-number&gt;1&lt;/rec-number&gt;&lt;foreign-keys&gt;&lt;key app="EN" db-id="pzpr9fpzq5dfrrefpetx2pfn5fz5e2r0vtdf" timestamp="1569200090"&gt;1&lt;/key&gt;&lt;/foreign-keys&gt;&lt;ref-type name="Web Page"&gt;12&lt;/ref-type&gt;&lt;contributors&gt;&lt;authors&gt;&lt;author&gt;National Blood Authority,&lt;/author&gt;&lt;/authors&gt;&lt;/contributors&gt;&lt;titles&gt;&lt;title&gt;Criteria for clinical use of immunoglobulin in Australia, Version 3.1&lt;/title&gt;&lt;/titles&gt;&lt;volume&gt;2019&lt;/volume&gt;&lt;number&gt;23rd September&lt;/number&gt;&lt;dates&gt;&lt;year&gt;2018&lt;/year&gt;&lt;/dates&gt;&lt;publisher&gt;National Blood Authority&lt;/publisher&gt;&lt;urls&gt;&lt;related-urls&gt;&lt;url&gt;&lt;style face="underline" font="default" size="100%"&gt;https://www.criteria.blood.gov.au/&lt;/style&gt;&lt;/url&gt;&lt;/related-urls&gt;&lt;/urls&gt;&lt;/record&gt;&lt;/Cite&gt;&lt;/EndNote&gt;</w:instrText>
            </w:r>
            <w:r w:rsidRPr="00F35237">
              <w:rPr>
                <w:rFonts w:ascii="Arial Narrow" w:hAnsi="Arial Narrow"/>
              </w:rPr>
              <w:fldChar w:fldCharType="separate"/>
            </w:r>
            <w:r w:rsidRPr="00F35237">
              <w:rPr>
                <w:rFonts w:ascii="Arial Narrow" w:hAnsi="Arial Narrow"/>
                <w:noProof/>
                <w:vertAlign w:val="superscript"/>
              </w:rPr>
              <w:t>1</w:t>
            </w:r>
            <w:r w:rsidRPr="00F35237">
              <w:rPr>
                <w:rFonts w:ascii="Arial Narrow" w:hAnsi="Arial Narrow"/>
              </w:rPr>
              <w:fldChar w:fldCharType="end"/>
            </w:r>
          </w:p>
        </w:tc>
      </w:tr>
      <w:tr w:rsidR="00F35237" w:rsidRPr="00BE7779" w14:paraId="2D6DB14C" w14:textId="77777777" w:rsidTr="00F35237">
        <w:tc>
          <w:tcPr>
            <w:tcW w:w="9016" w:type="dxa"/>
            <w:shd w:val="clear" w:color="auto" w:fill="D9D9D9" w:themeFill="background1" w:themeFillShade="D9"/>
          </w:tcPr>
          <w:p w14:paraId="3BB51830" w14:textId="1DE3776C" w:rsidR="00F35237" w:rsidRPr="00BE7779" w:rsidRDefault="00F35237" w:rsidP="00C30DA5">
            <w:pPr>
              <w:rPr>
                <w:rFonts w:ascii="Arial Narrow" w:hAnsi="Arial Narrow"/>
                <w:b/>
                <w:sz w:val="18"/>
                <w:szCs w:val="18"/>
              </w:rPr>
            </w:pPr>
            <w:r w:rsidRPr="00BE7779">
              <w:rPr>
                <w:rFonts w:ascii="Arial Narrow" w:hAnsi="Arial Narrow"/>
                <w:b/>
                <w:sz w:val="18"/>
                <w:szCs w:val="18"/>
              </w:rPr>
              <w:t xml:space="preserve">Indication: Replacement therapy in </w:t>
            </w:r>
            <w:r>
              <w:rPr>
                <w:rFonts w:ascii="Arial Narrow" w:hAnsi="Arial Narrow"/>
                <w:b/>
                <w:sz w:val="18"/>
                <w:szCs w:val="18"/>
              </w:rPr>
              <w:t>common variable immune deficiency (CVID)</w:t>
            </w:r>
            <w:r w:rsidRPr="00BE7779">
              <w:rPr>
                <w:rFonts w:ascii="Arial Narrow" w:hAnsi="Arial Narrow"/>
                <w:b/>
                <w:sz w:val="18"/>
                <w:szCs w:val="18"/>
              </w:rPr>
              <w:t xml:space="preserve"> -</w:t>
            </w:r>
            <w:r>
              <w:rPr>
                <w:rFonts w:ascii="Arial Narrow" w:hAnsi="Arial Narrow"/>
                <w:b/>
                <w:sz w:val="18"/>
                <w:szCs w:val="18"/>
              </w:rPr>
              <w:t xml:space="preserve"> </w:t>
            </w:r>
            <w:r w:rsidRPr="00BE7779">
              <w:rPr>
                <w:rFonts w:ascii="Arial Narrow" w:hAnsi="Arial Narrow"/>
                <w:b/>
                <w:sz w:val="18"/>
                <w:szCs w:val="18"/>
              </w:rPr>
              <w:t>ESID diagnostic criteria met</w:t>
            </w:r>
          </w:p>
        </w:tc>
      </w:tr>
      <w:tr w:rsidR="00A516FD" w:rsidRPr="00BE7779" w14:paraId="782DE2AF" w14:textId="77777777" w:rsidTr="00F35237">
        <w:tc>
          <w:tcPr>
            <w:tcW w:w="9016" w:type="dxa"/>
            <w:tcBorders>
              <w:bottom w:val="single" w:sz="4" w:space="0" w:color="auto"/>
            </w:tcBorders>
          </w:tcPr>
          <w:p w14:paraId="54657C7D" w14:textId="77777777" w:rsidR="00A516FD" w:rsidRDefault="00A516FD" w:rsidP="00C30DA5">
            <w:pPr>
              <w:rPr>
                <w:rFonts w:ascii="Arial Narrow" w:hAnsi="Arial Narrow"/>
                <w:sz w:val="18"/>
                <w:szCs w:val="18"/>
              </w:rPr>
            </w:pPr>
            <w:r>
              <w:rPr>
                <w:rFonts w:ascii="Arial Narrow" w:hAnsi="Arial Narrow"/>
                <w:sz w:val="18"/>
                <w:szCs w:val="18"/>
              </w:rPr>
              <w:t>Note: if less than four years the request must be under the indication Transient hypogammaglobulinaemia of infancy (children aged less than four years)</w:t>
            </w:r>
          </w:p>
          <w:p w14:paraId="54659DBA" w14:textId="77777777" w:rsidR="00A516FD" w:rsidRDefault="00A516FD" w:rsidP="00C30DA5">
            <w:pPr>
              <w:rPr>
                <w:rFonts w:ascii="Arial Narrow" w:hAnsi="Arial Narrow"/>
                <w:sz w:val="18"/>
                <w:szCs w:val="18"/>
              </w:rPr>
            </w:pPr>
          </w:p>
          <w:p w14:paraId="5960CC00" w14:textId="77777777" w:rsidR="00A516FD" w:rsidRPr="00FE12C9" w:rsidRDefault="00A516FD" w:rsidP="00A516FD">
            <w:pPr>
              <w:pStyle w:val="ListParagraph"/>
              <w:numPr>
                <w:ilvl w:val="0"/>
                <w:numId w:val="18"/>
              </w:numPr>
              <w:rPr>
                <w:rFonts w:ascii="Arial Narrow" w:hAnsi="Arial Narrow"/>
                <w:sz w:val="18"/>
                <w:szCs w:val="18"/>
              </w:rPr>
            </w:pPr>
            <w:r w:rsidRPr="00FE12C9">
              <w:rPr>
                <w:rFonts w:ascii="Arial Narrow" w:hAnsi="Arial Narrow"/>
                <w:sz w:val="18"/>
                <w:szCs w:val="18"/>
              </w:rPr>
              <w:t>The patient is older than four years of age</w:t>
            </w:r>
          </w:p>
          <w:p w14:paraId="717EF743" w14:textId="77777777" w:rsidR="00A516FD" w:rsidRPr="00FE12C9" w:rsidRDefault="00A516FD" w:rsidP="00C30DA5">
            <w:pPr>
              <w:rPr>
                <w:rFonts w:ascii="Arial Narrow" w:hAnsi="Arial Narrow"/>
                <w:b/>
                <w:sz w:val="18"/>
                <w:szCs w:val="18"/>
              </w:rPr>
            </w:pPr>
            <w:r w:rsidRPr="00FE12C9">
              <w:rPr>
                <w:rFonts w:ascii="Arial Narrow" w:hAnsi="Arial Narrow"/>
                <w:b/>
                <w:sz w:val="18"/>
                <w:szCs w:val="18"/>
              </w:rPr>
              <w:t>AND</w:t>
            </w:r>
          </w:p>
          <w:p w14:paraId="7BA629AD" w14:textId="21281EF4" w:rsidR="00A516FD" w:rsidRDefault="00A516FD" w:rsidP="00C30DA5">
            <w:pPr>
              <w:rPr>
                <w:rFonts w:ascii="Arial Narrow" w:hAnsi="Arial Narrow"/>
                <w:sz w:val="18"/>
                <w:szCs w:val="18"/>
              </w:rPr>
            </w:pPr>
            <w:r w:rsidRPr="00FE12C9">
              <w:rPr>
                <w:rFonts w:ascii="Arial Narrow" w:hAnsi="Arial Narrow"/>
                <w:sz w:val="18"/>
                <w:szCs w:val="18"/>
              </w:rPr>
              <w:t>Blood samples for IgG and IgA testing should be taken on two occasions, at least one hour apart and at least one sample taken when the patient does not have an infection</w:t>
            </w:r>
          </w:p>
          <w:p w14:paraId="1B38425C" w14:textId="77777777" w:rsidR="00CA2304" w:rsidRPr="00FE12C9" w:rsidRDefault="00CA2304" w:rsidP="00C30DA5">
            <w:pPr>
              <w:rPr>
                <w:rFonts w:ascii="Arial Narrow" w:hAnsi="Arial Narrow"/>
                <w:sz w:val="18"/>
                <w:szCs w:val="18"/>
              </w:rPr>
            </w:pPr>
          </w:p>
          <w:p w14:paraId="3099D486" w14:textId="77777777" w:rsidR="00A516FD" w:rsidRPr="00FE12C9" w:rsidRDefault="00A516FD" w:rsidP="00A516FD">
            <w:pPr>
              <w:pStyle w:val="ListParagraph"/>
              <w:numPr>
                <w:ilvl w:val="0"/>
                <w:numId w:val="18"/>
              </w:numPr>
              <w:rPr>
                <w:rFonts w:ascii="Arial Narrow" w:hAnsi="Arial Narrow"/>
                <w:sz w:val="18"/>
                <w:szCs w:val="18"/>
              </w:rPr>
            </w:pPr>
            <w:r w:rsidRPr="00FE12C9">
              <w:rPr>
                <w:rFonts w:ascii="Arial Narrow" w:hAnsi="Arial Narrow"/>
                <w:sz w:val="18"/>
                <w:szCs w:val="18"/>
              </w:rPr>
              <w:t>Evidence of a marked decrease of IgG and a marked decrease of IgA with or without low IgM levels and causes of secondary hypogammaglobulinaemia have been excluded</w:t>
            </w:r>
          </w:p>
          <w:p w14:paraId="187AEA21" w14:textId="77777777" w:rsidR="00A516FD" w:rsidRDefault="00A516FD" w:rsidP="00C30DA5">
            <w:pPr>
              <w:rPr>
                <w:rFonts w:ascii="Arial Narrow" w:hAnsi="Arial Narrow"/>
                <w:b/>
                <w:sz w:val="18"/>
                <w:szCs w:val="18"/>
              </w:rPr>
            </w:pPr>
            <w:r w:rsidRPr="00FE12C9">
              <w:rPr>
                <w:rFonts w:ascii="Arial Narrow" w:hAnsi="Arial Narrow"/>
                <w:b/>
                <w:sz w:val="18"/>
                <w:szCs w:val="18"/>
              </w:rPr>
              <w:t>AND</w:t>
            </w:r>
          </w:p>
          <w:p w14:paraId="3E74B879" w14:textId="77777777" w:rsidR="00A516FD" w:rsidRPr="00FE12C9" w:rsidRDefault="00A516FD" w:rsidP="00A516FD">
            <w:pPr>
              <w:pStyle w:val="ListParagraph"/>
              <w:numPr>
                <w:ilvl w:val="0"/>
                <w:numId w:val="18"/>
              </w:numPr>
              <w:rPr>
                <w:rFonts w:ascii="Arial Narrow" w:hAnsi="Arial Narrow"/>
                <w:sz w:val="18"/>
                <w:szCs w:val="18"/>
              </w:rPr>
            </w:pPr>
            <w:r w:rsidRPr="00FE12C9">
              <w:rPr>
                <w:rFonts w:ascii="Arial Narrow" w:hAnsi="Arial Narrow"/>
                <w:sz w:val="18"/>
                <w:szCs w:val="18"/>
              </w:rPr>
              <w:t>Documented failure of serum antibody response after vaccination with conjugated or unconjugated pneumococcal vaccine or following protein vaccine challenge</w:t>
            </w:r>
          </w:p>
          <w:p w14:paraId="1ED5D48C" w14:textId="77777777" w:rsidR="00A516FD" w:rsidRDefault="00A516FD" w:rsidP="001628D8">
            <w:pPr>
              <w:ind w:left="567"/>
              <w:rPr>
                <w:rFonts w:ascii="Arial Narrow" w:hAnsi="Arial Narrow"/>
                <w:b/>
                <w:sz w:val="18"/>
                <w:szCs w:val="18"/>
              </w:rPr>
            </w:pPr>
            <w:r w:rsidRPr="00FE12C9">
              <w:rPr>
                <w:rFonts w:ascii="Arial Narrow" w:hAnsi="Arial Narrow"/>
                <w:b/>
                <w:sz w:val="18"/>
                <w:szCs w:val="18"/>
              </w:rPr>
              <w:t>OR</w:t>
            </w:r>
          </w:p>
          <w:p w14:paraId="0C47C97E" w14:textId="77777777" w:rsidR="00A516FD" w:rsidRPr="00FE12C9" w:rsidRDefault="00A516FD" w:rsidP="00A516FD">
            <w:pPr>
              <w:pStyle w:val="ListParagraph"/>
              <w:numPr>
                <w:ilvl w:val="0"/>
                <w:numId w:val="18"/>
              </w:numPr>
              <w:rPr>
                <w:rFonts w:ascii="Arial Narrow" w:hAnsi="Arial Narrow"/>
                <w:sz w:val="18"/>
                <w:szCs w:val="18"/>
              </w:rPr>
            </w:pPr>
            <w:r w:rsidRPr="00FE12C9">
              <w:rPr>
                <w:rFonts w:ascii="Arial Narrow" w:hAnsi="Arial Narrow"/>
                <w:sz w:val="18"/>
                <w:szCs w:val="18"/>
              </w:rPr>
              <w:t>The patient’s serum IgG is less than 2 g/L and a delay to providing Ig replacement (e.g. following an invasive bacterial infection) would present significant risk</w:t>
            </w:r>
          </w:p>
          <w:p w14:paraId="390996F4" w14:textId="77777777" w:rsidR="00A516FD" w:rsidRPr="00FE12C9" w:rsidRDefault="00A516FD" w:rsidP="001628D8">
            <w:pPr>
              <w:ind w:left="567"/>
              <w:rPr>
                <w:rFonts w:ascii="Arial Narrow" w:hAnsi="Arial Narrow"/>
                <w:b/>
                <w:sz w:val="18"/>
                <w:szCs w:val="18"/>
              </w:rPr>
            </w:pPr>
            <w:r w:rsidRPr="00FE12C9">
              <w:rPr>
                <w:rFonts w:ascii="Arial Narrow" w:hAnsi="Arial Narrow"/>
                <w:b/>
                <w:sz w:val="18"/>
                <w:szCs w:val="18"/>
              </w:rPr>
              <w:t>OR</w:t>
            </w:r>
          </w:p>
          <w:p w14:paraId="3FF0E09D" w14:textId="77777777" w:rsidR="00A516FD" w:rsidRPr="00FE12C9" w:rsidRDefault="00A516FD" w:rsidP="00A516FD">
            <w:pPr>
              <w:pStyle w:val="ListParagraph"/>
              <w:numPr>
                <w:ilvl w:val="0"/>
                <w:numId w:val="18"/>
              </w:numPr>
              <w:rPr>
                <w:rFonts w:ascii="Arial Narrow" w:hAnsi="Arial Narrow"/>
                <w:sz w:val="18"/>
                <w:szCs w:val="18"/>
              </w:rPr>
            </w:pPr>
            <w:r w:rsidRPr="00FE12C9">
              <w:rPr>
                <w:rFonts w:ascii="Arial Narrow" w:hAnsi="Arial Narrow"/>
                <w:sz w:val="18"/>
                <w:szCs w:val="18"/>
              </w:rPr>
              <w:t>The patient has absent haemagglutinins (if not blood group AB)</w:t>
            </w:r>
          </w:p>
          <w:p w14:paraId="16E5B5F0" w14:textId="77777777" w:rsidR="00A516FD" w:rsidRPr="00FE12C9" w:rsidRDefault="00A516FD" w:rsidP="001628D8">
            <w:pPr>
              <w:ind w:left="567"/>
              <w:rPr>
                <w:rFonts w:ascii="Arial Narrow" w:hAnsi="Arial Narrow"/>
                <w:b/>
                <w:sz w:val="18"/>
                <w:szCs w:val="18"/>
              </w:rPr>
            </w:pPr>
            <w:r w:rsidRPr="00FE12C9">
              <w:rPr>
                <w:rFonts w:ascii="Arial Narrow" w:hAnsi="Arial Narrow"/>
                <w:b/>
                <w:sz w:val="18"/>
                <w:szCs w:val="18"/>
              </w:rPr>
              <w:t>OR</w:t>
            </w:r>
          </w:p>
          <w:p w14:paraId="058175EF" w14:textId="77777777" w:rsidR="00A516FD" w:rsidRPr="00FE12C9" w:rsidRDefault="00A516FD" w:rsidP="00A516FD">
            <w:pPr>
              <w:pStyle w:val="ListParagraph"/>
              <w:numPr>
                <w:ilvl w:val="0"/>
                <w:numId w:val="18"/>
              </w:numPr>
              <w:rPr>
                <w:rFonts w:ascii="Arial Narrow" w:hAnsi="Arial Narrow"/>
                <w:sz w:val="18"/>
                <w:szCs w:val="18"/>
              </w:rPr>
            </w:pPr>
            <w:r w:rsidRPr="00FE12C9">
              <w:rPr>
                <w:rFonts w:ascii="Arial Narrow" w:hAnsi="Arial Narrow"/>
                <w:sz w:val="18"/>
                <w:szCs w:val="18"/>
              </w:rPr>
              <w:t>The patient has low switched memory B-cells (less than 70 percent of age-related normal value)</w:t>
            </w:r>
          </w:p>
          <w:p w14:paraId="5295F8B6" w14:textId="77777777" w:rsidR="00A516FD" w:rsidRPr="00FE12C9" w:rsidRDefault="00A516FD" w:rsidP="00C30DA5">
            <w:pPr>
              <w:rPr>
                <w:rFonts w:ascii="Arial Narrow" w:hAnsi="Arial Narrow"/>
                <w:b/>
                <w:sz w:val="18"/>
                <w:szCs w:val="18"/>
              </w:rPr>
            </w:pPr>
            <w:r w:rsidRPr="00FE12C9">
              <w:rPr>
                <w:rFonts w:ascii="Arial Narrow" w:hAnsi="Arial Narrow"/>
                <w:b/>
                <w:sz w:val="18"/>
                <w:szCs w:val="18"/>
              </w:rPr>
              <w:t>AND</w:t>
            </w:r>
          </w:p>
          <w:p w14:paraId="5E73425F" w14:textId="77777777" w:rsidR="00A516FD" w:rsidRPr="00FE12C9" w:rsidRDefault="00A516FD" w:rsidP="00A516FD">
            <w:pPr>
              <w:pStyle w:val="ListParagraph"/>
              <w:numPr>
                <w:ilvl w:val="0"/>
                <w:numId w:val="18"/>
              </w:numPr>
              <w:rPr>
                <w:rFonts w:ascii="Arial Narrow" w:hAnsi="Arial Narrow"/>
                <w:sz w:val="18"/>
                <w:szCs w:val="18"/>
              </w:rPr>
            </w:pPr>
            <w:r w:rsidRPr="00FE12C9">
              <w:rPr>
                <w:rFonts w:ascii="Arial Narrow" w:hAnsi="Arial Narrow"/>
                <w:sz w:val="18"/>
                <w:szCs w:val="18"/>
              </w:rPr>
              <w:t>The patient has demonstrated an increased susceptibility to infection</w:t>
            </w:r>
          </w:p>
          <w:p w14:paraId="06C611B4" w14:textId="77777777" w:rsidR="00A516FD" w:rsidRPr="00FE12C9" w:rsidRDefault="00A516FD" w:rsidP="001628D8">
            <w:pPr>
              <w:ind w:left="567"/>
              <w:rPr>
                <w:rFonts w:ascii="Arial Narrow" w:hAnsi="Arial Narrow"/>
                <w:b/>
                <w:sz w:val="18"/>
                <w:szCs w:val="18"/>
              </w:rPr>
            </w:pPr>
            <w:r w:rsidRPr="00FE12C9">
              <w:rPr>
                <w:rFonts w:ascii="Arial Narrow" w:hAnsi="Arial Narrow"/>
                <w:b/>
                <w:sz w:val="18"/>
                <w:szCs w:val="18"/>
              </w:rPr>
              <w:t>OR</w:t>
            </w:r>
          </w:p>
          <w:p w14:paraId="77A1DC09" w14:textId="77777777" w:rsidR="00A516FD" w:rsidRPr="00FE12C9" w:rsidRDefault="00A516FD" w:rsidP="00A516FD">
            <w:pPr>
              <w:pStyle w:val="ListParagraph"/>
              <w:numPr>
                <w:ilvl w:val="0"/>
                <w:numId w:val="18"/>
              </w:numPr>
              <w:rPr>
                <w:rFonts w:ascii="Arial Narrow" w:hAnsi="Arial Narrow"/>
                <w:sz w:val="18"/>
                <w:szCs w:val="18"/>
              </w:rPr>
            </w:pPr>
            <w:r w:rsidRPr="00FE12C9">
              <w:rPr>
                <w:rFonts w:ascii="Arial Narrow" w:hAnsi="Arial Narrow"/>
                <w:sz w:val="18"/>
                <w:szCs w:val="18"/>
              </w:rPr>
              <w:t>The patient has autoimmune manifestations, granulomatous disease, unexplained polyclonal lymphoproliferation or an affected family member with antibody deficiency</w:t>
            </w:r>
          </w:p>
          <w:p w14:paraId="17834793" w14:textId="77777777" w:rsidR="00A516FD" w:rsidRDefault="00A516FD" w:rsidP="00C30DA5">
            <w:pPr>
              <w:rPr>
                <w:rFonts w:ascii="Arial Narrow" w:hAnsi="Arial Narrow"/>
                <w:sz w:val="18"/>
                <w:szCs w:val="18"/>
              </w:rPr>
            </w:pPr>
          </w:p>
          <w:p w14:paraId="225D8116" w14:textId="77777777" w:rsidR="00A516FD" w:rsidRPr="00BE7779" w:rsidRDefault="00A516FD" w:rsidP="00C30DA5">
            <w:pPr>
              <w:rPr>
                <w:rFonts w:ascii="Arial Narrow" w:hAnsi="Arial Narrow"/>
                <w:sz w:val="18"/>
                <w:szCs w:val="18"/>
              </w:rPr>
            </w:pPr>
            <w:r w:rsidRPr="0091033A">
              <w:rPr>
                <w:rFonts w:ascii="Arial Narrow" w:hAnsi="Arial Narrow"/>
                <w:sz w:val="18"/>
                <w:szCs w:val="18"/>
              </w:rPr>
              <w:t>Initial review by an immunologist is required at six months and annually thereafter. Documentation of clinical effectiveness is necessary for continuation of Ig therapy.</w:t>
            </w:r>
            <w:r w:rsidRPr="00FE12C9">
              <w:rPr>
                <w:rFonts w:ascii="Arial Narrow" w:hAnsi="Arial Narrow"/>
                <w:sz w:val="18"/>
                <w:szCs w:val="18"/>
              </w:rPr>
              <w:t xml:space="preserve"> </w:t>
            </w:r>
          </w:p>
        </w:tc>
      </w:tr>
      <w:tr w:rsidR="00A516FD" w:rsidRPr="00BE7779" w14:paraId="23F79418" w14:textId="77777777" w:rsidTr="00F35237">
        <w:tc>
          <w:tcPr>
            <w:tcW w:w="9016" w:type="dxa"/>
            <w:shd w:val="clear" w:color="auto" w:fill="D9D9D9" w:themeFill="background1" w:themeFillShade="D9"/>
          </w:tcPr>
          <w:p w14:paraId="135E4E89" w14:textId="77777777" w:rsidR="00A516FD" w:rsidRPr="002B7ED2" w:rsidRDefault="00A516FD" w:rsidP="00C30DA5">
            <w:pPr>
              <w:rPr>
                <w:rFonts w:ascii="Arial Narrow" w:hAnsi="Arial Narrow"/>
                <w:b/>
                <w:sz w:val="18"/>
                <w:szCs w:val="18"/>
              </w:rPr>
            </w:pPr>
            <w:r w:rsidRPr="002B7ED2">
              <w:rPr>
                <w:rFonts w:ascii="Arial Narrow" w:hAnsi="Arial Narrow"/>
                <w:b/>
                <w:sz w:val="18"/>
                <w:szCs w:val="18"/>
              </w:rPr>
              <w:t>Indication: Replacement therapy in possible common variable immune deficiency (CVID)</w:t>
            </w:r>
            <w:r>
              <w:rPr>
                <w:rFonts w:ascii="Arial Narrow" w:hAnsi="Arial Narrow"/>
                <w:b/>
                <w:sz w:val="18"/>
                <w:szCs w:val="18"/>
              </w:rPr>
              <w:t xml:space="preserve"> – (below normal serum IgG but normal serum IgA level)</w:t>
            </w:r>
          </w:p>
        </w:tc>
      </w:tr>
      <w:tr w:rsidR="00A516FD" w:rsidRPr="00BE7779" w14:paraId="5C27EB8A" w14:textId="77777777" w:rsidTr="00F35237">
        <w:tc>
          <w:tcPr>
            <w:tcW w:w="9016" w:type="dxa"/>
            <w:tcBorders>
              <w:bottom w:val="single" w:sz="4" w:space="0" w:color="auto"/>
            </w:tcBorders>
          </w:tcPr>
          <w:p w14:paraId="6BF92AA4" w14:textId="7DB90CFA" w:rsidR="00A516FD" w:rsidRPr="00E8258F" w:rsidRDefault="00542F69" w:rsidP="00C30DA5">
            <w:pPr>
              <w:rPr>
                <w:rFonts w:ascii="Arial Narrow" w:hAnsi="Arial Narrow"/>
                <w:sz w:val="18"/>
                <w:szCs w:val="18"/>
              </w:rPr>
            </w:pPr>
            <w:r>
              <w:rPr>
                <w:rFonts w:ascii="Arial Narrow" w:hAnsi="Arial Narrow"/>
                <w:sz w:val="18"/>
                <w:szCs w:val="18"/>
              </w:rPr>
              <w:t xml:space="preserve">A </w:t>
            </w:r>
            <w:r w:rsidR="00A516FD" w:rsidRPr="00E8258F">
              <w:rPr>
                <w:rFonts w:ascii="Arial Narrow" w:hAnsi="Arial Narrow"/>
                <w:sz w:val="18"/>
                <w:szCs w:val="18"/>
              </w:rPr>
              <w:t>low IgG (normal IgA with or without a low IgM) alone is not a sufficient indication for immunoglobulin replacement therapy. Many patients will be well despite the finding of a serum IgG below the normal range for age.</w:t>
            </w:r>
          </w:p>
          <w:p w14:paraId="50E5D22F" w14:textId="7A1BE86C" w:rsidR="00A516FD" w:rsidRPr="00E8258F" w:rsidRDefault="00A516FD" w:rsidP="00C30DA5">
            <w:pPr>
              <w:rPr>
                <w:rFonts w:ascii="Arial Narrow" w:hAnsi="Arial Narrow"/>
                <w:sz w:val="18"/>
                <w:szCs w:val="18"/>
              </w:rPr>
            </w:pPr>
          </w:p>
          <w:p w14:paraId="1BBD319D" w14:textId="77777777" w:rsidR="00A516FD" w:rsidRPr="00E8258F" w:rsidRDefault="00A516FD" w:rsidP="00A516FD">
            <w:pPr>
              <w:pStyle w:val="ListParagraph"/>
              <w:numPr>
                <w:ilvl w:val="0"/>
                <w:numId w:val="18"/>
              </w:numPr>
              <w:rPr>
                <w:rFonts w:ascii="Arial Narrow" w:hAnsi="Arial Narrow"/>
                <w:sz w:val="18"/>
                <w:szCs w:val="18"/>
              </w:rPr>
            </w:pPr>
            <w:r w:rsidRPr="00E8258F">
              <w:rPr>
                <w:rFonts w:ascii="Arial Narrow" w:hAnsi="Arial Narrow"/>
                <w:sz w:val="18"/>
                <w:szCs w:val="18"/>
              </w:rPr>
              <w:t>The patient is older than four years of age</w:t>
            </w:r>
          </w:p>
          <w:p w14:paraId="44251406" w14:textId="77777777" w:rsidR="00A516FD" w:rsidRPr="00E8258F" w:rsidRDefault="00A516FD" w:rsidP="00C30DA5">
            <w:pPr>
              <w:rPr>
                <w:rFonts w:ascii="Arial Narrow" w:hAnsi="Arial Narrow"/>
                <w:b/>
                <w:sz w:val="18"/>
                <w:szCs w:val="18"/>
              </w:rPr>
            </w:pPr>
            <w:r w:rsidRPr="00E8258F">
              <w:rPr>
                <w:rFonts w:ascii="Arial Narrow" w:hAnsi="Arial Narrow"/>
                <w:b/>
                <w:sz w:val="18"/>
                <w:szCs w:val="18"/>
              </w:rPr>
              <w:t>AND</w:t>
            </w:r>
          </w:p>
          <w:p w14:paraId="5D7E08AA" w14:textId="77777777" w:rsidR="00A516FD" w:rsidRPr="00E8258F" w:rsidRDefault="00A516FD" w:rsidP="00C30DA5">
            <w:pPr>
              <w:rPr>
                <w:rFonts w:ascii="Arial Narrow" w:hAnsi="Arial Narrow"/>
                <w:sz w:val="18"/>
                <w:szCs w:val="18"/>
              </w:rPr>
            </w:pPr>
            <w:r w:rsidRPr="00E8258F">
              <w:rPr>
                <w:rFonts w:ascii="Arial Narrow" w:hAnsi="Arial Narrow"/>
                <w:sz w:val="18"/>
                <w:szCs w:val="18"/>
              </w:rPr>
              <w:t>Blood samples for IgG testing should be taken on two occasions, at least one hour apart and at least one sample taken when the patient does not have an infection</w:t>
            </w:r>
          </w:p>
          <w:p w14:paraId="471F3D78" w14:textId="71B74CB0" w:rsidR="00A516FD" w:rsidRPr="00E8258F" w:rsidRDefault="00A516FD" w:rsidP="00C30DA5">
            <w:pPr>
              <w:rPr>
                <w:rFonts w:ascii="Arial Narrow" w:hAnsi="Arial Narrow"/>
                <w:sz w:val="18"/>
                <w:szCs w:val="18"/>
              </w:rPr>
            </w:pPr>
          </w:p>
          <w:p w14:paraId="14860B06" w14:textId="77777777" w:rsidR="00A516FD" w:rsidRPr="00E8258F" w:rsidRDefault="00A516FD" w:rsidP="00A516FD">
            <w:pPr>
              <w:pStyle w:val="ListParagraph"/>
              <w:numPr>
                <w:ilvl w:val="0"/>
                <w:numId w:val="18"/>
              </w:numPr>
              <w:rPr>
                <w:rFonts w:ascii="Arial Narrow" w:hAnsi="Arial Narrow"/>
                <w:sz w:val="18"/>
                <w:szCs w:val="18"/>
              </w:rPr>
            </w:pPr>
            <w:r w:rsidRPr="00E8258F">
              <w:rPr>
                <w:rFonts w:ascii="Arial Narrow" w:hAnsi="Arial Narrow"/>
                <w:sz w:val="18"/>
                <w:szCs w:val="18"/>
              </w:rPr>
              <w:t>Evidence of a marked decrease of IgG with normal IgA (with or without low IgM) levels and causes of secondary hypogammaglobulinaemia have been excluded</w:t>
            </w:r>
          </w:p>
          <w:p w14:paraId="7561A444" w14:textId="77777777" w:rsidR="00A516FD" w:rsidRPr="00E8258F" w:rsidRDefault="00A516FD" w:rsidP="00C30DA5">
            <w:pPr>
              <w:rPr>
                <w:rFonts w:ascii="Arial Narrow" w:hAnsi="Arial Narrow"/>
                <w:b/>
                <w:sz w:val="18"/>
                <w:szCs w:val="18"/>
              </w:rPr>
            </w:pPr>
            <w:r w:rsidRPr="00E8258F">
              <w:rPr>
                <w:rFonts w:ascii="Arial Narrow" w:hAnsi="Arial Narrow"/>
                <w:b/>
                <w:sz w:val="18"/>
                <w:szCs w:val="18"/>
              </w:rPr>
              <w:t>AND</w:t>
            </w:r>
          </w:p>
          <w:p w14:paraId="3DE7C2A8" w14:textId="77777777" w:rsidR="00A516FD" w:rsidRPr="00E8258F" w:rsidRDefault="00A516FD" w:rsidP="00A516FD">
            <w:pPr>
              <w:pStyle w:val="ListParagraph"/>
              <w:numPr>
                <w:ilvl w:val="0"/>
                <w:numId w:val="18"/>
              </w:numPr>
              <w:rPr>
                <w:rFonts w:ascii="Arial Narrow" w:hAnsi="Arial Narrow"/>
                <w:sz w:val="18"/>
                <w:szCs w:val="18"/>
              </w:rPr>
            </w:pPr>
            <w:r w:rsidRPr="00E8258F">
              <w:rPr>
                <w:rFonts w:ascii="Arial Narrow" w:hAnsi="Arial Narrow"/>
                <w:sz w:val="18"/>
                <w:szCs w:val="18"/>
              </w:rPr>
              <w:t>Documented failure of serum antibody response after vaccination with conjugated or unconjugated pneumococcal vaccine or following protein vaccine challenge</w:t>
            </w:r>
          </w:p>
          <w:p w14:paraId="7F238DE7" w14:textId="77777777" w:rsidR="00A516FD" w:rsidRPr="00E8258F" w:rsidRDefault="00A516FD" w:rsidP="00540EFA">
            <w:pPr>
              <w:ind w:left="567"/>
              <w:rPr>
                <w:rFonts w:ascii="Arial Narrow" w:hAnsi="Arial Narrow"/>
                <w:b/>
                <w:sz w:val="18"/>
                <w:szCs w:val="18"/>
              </w:rPr>
            </w:pPr>
            <w:r w:rsidRPr="00E8258F">
              <w:rPr>
                <w:rFonts w:ascii="Arial Narrow" w:hAnsi="Arial Narrow"/>
                <w:b/>
                <w:sz w:val="18"/>
                <w:szCs w:val="18"/>
              </w:rPr>
              <w:t>OR</w:t>
            </w:r>
          </w:p>
          <w:p w14:paraId="1207E62F" w14:textId="77777777" w:rsidR="00A516FD" w:rsidRPr="00E8258F" w:rsidRDefault="00A516FD" w:rsidP="00A516FD">
            <w:pPr>
              <w:pStyle w:val="ListParagraph"/>
              <w:numPr>
                <w:ilvl w:val="0"/>
                <w:numId w:val="18"/>
              </w:numPr>
              <w:rPr>
                <w:rFonts w:ascii="Arial Narrow" w:hAnsi="Arial Narrow"/>
                <w:sz w:val="18"/>
                <w:szCs w:val="18"/>
              </w:rPr>
            </w:pPr>
            <w:r w:rsidRPr="00E8258F">
              <w:rPr>
                <w:rFonts w:ascii="Arial Narrow" w:hAnsi="Arial Narrow"/>
                <w:sz w:val="18"/>
                <w:szCs w:val="18"/>
              </w:rPr>
              <w:t>The patient’s serum IgG less than 2 g/L and a delay to providing Ig replacement (e.g. following an invasive bacterial infection) would present significant risk</w:t>
            </w:r>
          </w:p>
          <w:p w14:paraId="541657F0" w14:textId="77777777" w:rsidR="00A516FD" w:rsidRPr="00E8258F" w:rsidRDefault="00A516FD" w:rsidP="00540EFA">
            <w:pPr>
              <w:ind w:left="567"/>
              <w:rPr>
                <w:rFonts w:ascii="Arial Narrow" w:hAnsi="Arial Narrow"/>
                <w:b/>
                <w:sz w:val="18"/>
                <w:szCs w:val="18"/>
              </w:rPr>
            </w:pPr>
            <w:r w:rsidRPr="00E8258F">
              <w:rPr>
                <w:rFonts w:ascii="Arial Narrow" w:hAnsi="Arial Narrow"/>
                <w:b/>
                <w:sz w:val="18"/>
                <w:szCs w:val="18"/>
              </w:rPr>
              <w:t>OR</w:t>
            </w:r>
          </w:p>
          <w:p w14:paraId="78387B3C" w14:textId="77777777" w:rsidR="00A516FD" w:rsidRPr="00E8258F" w:rsidRDefault="00A516FD" w:rsidP="00A516FD">
            <w:pPr>
              <w:pStyle w:val="ListParagraph"/>
              <w:numPr>
                <w:ilvl w:val="0"/>
                <w:numId w:val="18"/>
              </w:numPr>
              <w:rPr>
                <w:rFonts w:ascii="Arial Narrow" w:hAnsi="Arial Narrow"/>
                <w:sz w:val="18"/>
                <w:szCs w:val="18"/>
              </w:rPr>
            </w:pPr>
            <w:r w:rsidRPr="00E8258F">
              <w:rPr>
                <w:rFonts w:ascii="Arial Narrow" w:hAnsi="Arial Narrow"/>
                <w:sz w:val="18"/>
                <w:szCs w:val="18"/>
              </w:rPr>
              <w:t>The patient has absent haemagglutinins (if not blood group AB)</w:t>
            </w:r>
          </w:p>
          <w:p w14:paraId="29DC9FF7" w14:textId="77777777" w:rsidR="00A516FD" w:rsidRPr="00E8258F" w:rsidRDefault="00A516FD" w:rsidP="00540EFA">
            <w:pPr>
              <w:ind w:left="567"/>
              <w:rPr>
                <w:rFonts w:ascii="Arial Narrow" w:hAnsi="Arial Narrow"/>
                <w:b/>
                <w:sz w:val="18"/>
                <w:szCs w:val="18"/>
              </w:rPr>
            </w:pPr>
            <w:r w:rsidRPr="00E8258F">
              <w:rPr>
                <w:rFonts w:ascii="Arial Narrow" w:hAnsi="Arial Narrow"/>
                <w:b/>
                <w:sz w:val="18"/>
                <w:szCs w:val="18"/>
              </w:rPr>
              <w:t>OR</w:t>
            </w:r>
          </w:p>
          <w:p w14:paraId="0FF18141" w14:textId="77777777" w:rsidR="00A516FD" w:rsidRPr="00E8258F" w:rsidRDefault="00A516FD" w:rsidP="00A516FD">
            <w:pPr>
              <w:pStyle w:val="ListParagraph"/>
              <w:numPr>
                <w:ilvl w:val="0"/>
                <w:numId w:val="18"/>
              </w:numPr>
              <w:rPr>
                <w:rFonts w:ascii="Arial Narrow" w:hAnsi="Arial Narrow"/>
                <w:sz w:val="18"/>
                <w:szCs w:val="18"/>
              </w:rPr>
            </w:pPr>
            <w:r w:rsidRPr="00E8258F">
              <w:rPr>
                <w:rFonts w:ascii="Arial Narrow" w:hAnsi="Arial Narrow"/>
                <w:sz w:val="18"/>
                <w:szCs w:val="18"/>
              </w:rPr>
              <w:t>The patient has low switched memory B-cells (less than 70 percent of age-related normal value)</w:t>
            </w:r>
          </w:p>
          <w:p w14:paraId="3EF848C5" w14:textId="77777777" w:rsidR="00A516FD" w:rsidRPr="00E8258F" w:rsidRDefault="00A516FD" w:rsidP="00C30DA5">
            <w:pPr>
              <w:rPr>
                <w:rFonts w:ascii="Arial Narrow" w:hAnsi="Arial Narrow"/>
                <w:sz w:val="18"/>
                <w:szCs w:val="18"/>
              </w:rPr>
            </w:pPr>
          </w:p>
          <w:p w14:paraId="560C8335" w14:textId="77777777" w:rsidR="00A516FD" w:rsidRPr="00E8258F" w:rsidRDefault="00A516FD" w:rsidP="00C30DA5">
            <w:pPr>
              <w:rPr>
                <w:rFonts w:ascii="Arial Narrow" w:hAnsi="Arial Narrow"/>
                <w:b/>
                <w:sz w:val="18"/>
                <w:szCs w:val="18"/>
              </w:rPr>
            </w:pPr>
            <w:r w:rsidRPr="00E8258F">
              <w:rPr>
                <w:rFonts w:ascii="Arial Narrow" w:hAnsi="Arial Narrow"/>
                <w:b/>
                <w:sz w:val="18"/>
                <w:szCs w:val="18"/>
              </w:rPr>
              <w:t>AND</w:t>
            </w:r>
          </w:p>
          <w:p w14:paraId="391279B2" w14:textId="77777777" w:rsidR="00A516FD" w:rsidRPr="00E8258F" w:rsidRDefault="00A516FD" w:rsidP="00A516FD">
            <w:pPr>
              <w:pStyle w:val="ListParagraph"/>
              <w:numPr>
                <w:ilvl w:val="0"/>
                <w:numId w:val="18"/>
              </w:numPr>
              <w:rPr>
                <w:rFonts w:ascii="Arial Narrow" w:hAnsi="Arial Narrow"/>
                <w:sz w:val="18"/>
                <w:szCs w:val="18"/>
              </w:rPr>
            </w:pPr>
            <w:r w:rsidRPr="00E8258F">
              <w:rPr>
                <w:rFonts w:ascii="Arial Narrow" w:hAnsi="Arial Narrow"/>
                <w:sz w:val="18"/>
                <w:szCs w:val="18"/>
              </w:rPr>
              <w:t>The patient has demonstrated an increased susceptibility to infection</w:t>
            </w:r>
          </w:p>
          <w:p w14:paraId="14D37BA8" w14:textId="77777777" w:rsidR="00A516FD" w:rsidRPr="00E8258F" w:rsidRDefault="00A516FD" w:rsidP="00540EFA">
            <w:pPr>
              <w:ind w:left="567"/>
              <w:rPr>
                <w:rFonts w:ascii="Arial Narrow" w:hAnsi="Arial Narrow"/>
                <w:b/>
                <w:sz w:val="18"/>
                <w:szCs w:val="18"/>
              </w:rPr>
            </w:pPr>
            <w:r w:rsidRPr="00E8258F">
              <w:rPr>
                <w:rFonts w:ascii="Arial Narrow" w:hAnsi="Arial Narrow"/>
                <w:b/>
                <w:sz w:val="18"/>
                <w:szCs w:val="18"/>
              </w:rPr>
              <w:t>OR</w:t>
            </w:r>
          </w:p>
          <w:p w14:paraId="103B9548" w14:textId="77777777" w:rsidR="00A516FD" w:rsidRPr="00E8258F" w:rsidRDefault="00A516FD" w:rsidP="00A516FD">
            <w:pPr>
              <w:pStyle w:val="ListParagraph"/>
              <w:numPr>
                <w:ilvl w:val="0"/>
                <w:numId w:val="18"/>
              </w:numPr>
              <w:rPr>
                <w:rFonts w:ascii="Arial Narrow" w:hAnsi="Arial Narrow"/>
                <w:sz w:val="18"/>
                <w:szCs w:val="18"/>
              </w:rPr>
            </w:pPr>
            <w:r w:rsidRPr="00E8258F">
              <w:rPr>
                <w:rFonts w:ascii="Arial Narrow" w:hAnsi="Arial Narrow"/>
                <w:sz w:val="18"/>
                <w:szCs w:val="18"/>
              </w:rPr>
              <w:t>The patient has autoimmune manifestations, granulomatous disease, unexplained polyclonal lymphoproliferation or an affected family member with antibody deficiency</w:t>
            </w:r>
          </w:p>
          <w:p w14:paraId="58DA95F0" w14:textId="77777777" w:rsidR="00A516FD" w:rsidRDefault="00A516FD" w:rsidP="00C30DA5">
            <w:pPr>
              <w:rPr>
                <w:rFonts w:ascii="Arial Narrow" w:hAnsi="Arial Narrow"/>
                <w:sz w:val="18"/>
                <w:szCs w:val="18"/>
              </w:rPr>
            </w:pPr>
          </w:p>
          <w:p w14:paraId="54B70D86" w14:textId="77777777" w:rsidR="00A516FD" w:rsidRPr="00E8258F" w:rsidRDefault="00A516FD" w:rsidP="00C30DA5">
            <w:pPr>
              <w:rPr>
                <w:rFonts w:ascii="Arial Narrow" w:hAnsi="Arial Narrow"/>
                <w:sz w:val="18"/>
                <w:szCs w:val="18"/>
              </w:rPr>
            </w:pPr>
            <w:r w:rsidRPr="00E8258F">
              <w:rPr>
                <w:rFonts w:ascii="Arial Narrow" w:hAnsi="Arial Narrow"/>
                <w:sz w:val="18"/>
                <w:szCs w:val="18"/>
              </w:rPr>
              <w:t>Initial review is required by an Immunologist at six months and ongoing reviews at least annually to assess clinical benefit. Documentation of clinical effectiveness is necessary for continuation of Ig therapy.</w:t>
            </w:r>
          </w:p>
          <w:p w14:paraId="0D8EB8C1" w14:textId="0A977DCB" w:rsidR="00A516FD" w:rsidRPr="00E8258F" w:rsidRDefault="00A516FD" w:rsidP="00C30DA5">
            <w:pPr>
              <w:rPr>
                <w:rFonts w:ascii="Arial Narrow" w:hAnsi="Arial Narrow"/>
                <w:sz w:val="18"/>
                <w:szCs w:val="18"/>
              </w:rPr>
            </w:pPr>
          </w:p>
          <w:p w14:paraId="37528D3F" w14:textId="7D198451" w:rsidR="00A516FD" w:rsidRPr="00E8258F" w:rsidRDefault="00A516FD" w:rsidP="00C30DA5">
            <w:pPr>
              <w:rPr>
                <w:rFonts w:ascii="Arial Narrow" w:hAnsi="Arial Narrow"/>
                <w:sz w:val="18"/>
                <w:szCs w:val="18"/>
              </w:rPr>
            </w:pPr>
            <w:r w:rsidRPr="00E8258F">
              <w:rPr>
                <w:rFonts w:ascii="Arial Narrow" w:hAnsi="Arial Narrow"/>
                <w:sz w:val="18"/>
                <w:szCs w:val="18"/>
              </w:rPr>
              <w:t>Cessation of Ig therapy should be considered at least after each 12 months of treatment. If serum IgM and IgA levels are trending upwards and near normal, this may suggest recovery of the immune system and a trial might be considered if the patient is well. Once the patient has normal IgA and IgM levels, the IgG is also likely to be normal and a trial off therapy may be undertaken.</w:t>
            </w:r>
          </w:p>
          <w:p w14:paraId="75016826" w14:textId="4BA192A0" w:rsidR="00A516FD" w:rsidRPr="00E8258F" w:rsidRDefault="00A516FD" w:rsidP="00C30DA5">
            <w:pPr>
              <w:rPr>
                <w:rFonts w:ascii="Arial Narrow" w:hAnsi="Arial Narrow"/>
                <w:sz w:val="18"/>
                <w:szCs w:val="18"/>
              </w:rPr>
            </w:pPr>
          </w:p>
          <w:p w14:paraId="520577D5" w14:textId="77777777" w:rsidR="00A516FD" w:rsidRPr="00E8258F" w:rsidRDefault="00A516FD" w:rsidP="00C30DA5">
            <w:pPr>
              <w:rPr>
                <w:rFonts w:ascii="Arial Narrow" w:hAnsi="Arial Narrow"/>
                <w:sz w:val="18"/>
                <w:szCs w:val="18"/>
              </w:rPr>
            </w:pPr>
            <w:r w:rsidRPr="00E8258F">
              <w:rPr>
                <w:rFonts w:ascii="Arial Narrow" w:hAnsi="Arial Narrow"/>
                <w:sz w:val="18"/>
                <w:szCs w:val="18"/>
              </w:rPr>
              <w:t>Ig therapy should be extended as required to enable cessation of therapy in September/October, with repeat clinical and/or immunological evaluation before re-commencement of therapy.</w:t>
            </w:r>
          </w:p>
          <w:p w14:paraId="36D3144D" w14:textId="3D49C9DB" w:rsidR="00A516FD" w:rsidRPr="00E8258F" w:rsidRDefault="00A516FD" w:rsidP="00C30DA5">
            <w:pPr>
              <w:rPr>
                <w:rFonts w:ascii="Arial Narrow" w:hAnsi="Arial Narrow"/>
                <w:sz w:val="18"/>
                <w:szCs w:val="18"/>
              </w:rPr>
            </w:pPr>
          </w:p>
          <w:p w14:paraId="5ABE935B" w14:textId="77777777" w:rsidR="00A516FD" w:rsidRPr="00BE7779" w:rsidRDefault="00A516FD" w:rsidP="00C30DA5">
            <w:pPr>
              <w:rPr>
                <w:rFonts w:ascii="Arial Narrow" w:hAnsi="Arial Narrow"/>
                <w:sz w:val="18"/>
                <w:szCs w:val="18"/>
              </w:rPr>
            </w:pPr>
            <w:r w:rsidRPr="00E8258F">
              <w:rPr>
                <w:rFonts w:ascii="Arial Narrow" w:hAnsi="Arial Narrow"/>
                <w:sz w:val="18"/>
                <w:szCs w:val="18"/>
              </w:rPr>
              <w:t>This should particularly be considered in patients who do not have active bronchiectasis and/or suppurative lung disease. An immunoglobulin washout period of four to six months is necessary to enable an accurate assessment. Prophylactic antibiotics may be considered to cover the period of cessation of immunoglobulin therapy.</w:t>
            </w:r>
          </w:p>
        </w:tc>
      </w:tr>
      <w:tr w:rsidR="00F35237" w:rsidRPr="008D04EA" w14:paraId="79848FB3" w14:textId="77777777" w:rsidTr="00F35237">
        <w:tc>
          <w:tcPr>
            <w:tcW w:w="9016" w:type="dxa"/>
            <w:shd w:val="clear" w:color="auto" w:fill="D9D9D9" w:themeFill="background1" w:themeFillShade="D9"/>
          </w:tcPr>
          <w:p w14:paraId="5EE45B04" w14:textId="77777777" w:rsidR="00F35237" w:rsidRPr="008D04EA" w:rsidRDefault="00F35237" w:rsidP="00EF0026">
            <w:pPr>
              <w:rPr>
                <w:rFonts w:ascii="Arial Narrow" w:hAnsi="Arial Narrow"/>
                <w:b/>
                <w:sz w:val="18"/>
                <w:szCs w:val="18"/>
              </w:rPr>
            </w:pPr>
            <w:r w:rsidRPr="008D04EA">
              <w:rPr>
                <w:rFonts w:ascii="Arial Narrow" w:hAnsi="Arial Narrow"/>
                <w:b/>
                <w:sz w:val="18"/>
                <w:szCs w:val="18"/>
              </w:rPr>
              <w:t>Replacement therapy in transient hypogammaglobulinaemia of infancy (children aged less than 4 years)</w:t>
            </w:r>
          </w:p>
        </w:tc>
      </w:tr>
      <w:tr w:rsidR="00F35237" w:rsidRPr="00BE7779" w14:paraId="3DF2883D" w14:textId="77777777" w:rsidTr="00F35237">
        <w:tc>
          <w:tcPr>
            <w:tcW w:w="9016" w:type="dxa"/>
          </w:tcPr>
          <w:p w14:paraId="6D89D1C4" w14:textId="77777777" w:rsidR="00F35237" w:rsidRPr="008D04EA" w:rsidRDefault="00F35237" w:rsidP="00EF0026">
            <w:pPr>
              <w:rPr>
                <w:rFonts w:ascii="Arial Narrow" w:hAnsi="Arial Narrow"/>
                <w:sz w:val="18"/>
                <w:szCs w:val="18"/>
              </w:rPr>
            </w:pPr>
            <w:r w:rsidRPr="008D04EA">
              <w:rPr>
                <w:rFonts w:ascii="Arial Narrow" w:hAnsi="Arial Narrow"/>
                <w:sz w:val="18"/>
                <w:szCs w:val="18"/>
              </w:rPr>
              <w:t>The majority of young children with transient hypogammaglobulinaemia do not require immunoglobulin (Ig) therapy. However, if the patient has had recurrent suppurative infections that threaten organ function, review by an immunologist is recommended for consideration of Ig therapy. Some patients may require treatment during the winter months only and others will benefit from more prolonged treatment.</w:t>
            </w:r>
          </w:p>
          <w:p w14:paraId="5B414343" w14:textId="1610FB7B" w:rsidR="00F35237" w:rsidRPr="008D04EA" w:rsidRDefault="00F35237" w:rsidP="00EF0026">
            <w:pPr>
              <w:rPr>
                <w:rFonts w:ascii="Arial Narrow" w:hAnsi="Arial Narrow"/>
                <w:sz w:val="18"/>
                <w:szCs w:val="18"/>
              </w:rPr>
            </w:pPr>
          </w:p>
          <w:p w14:paraId="71BE534E" w14:textId="77777777" w:rsidR="00F35237" w:rsidRPr="008D04EA" w:rsidRDefault="00F35237" w:rsidP="00EF0026">
            <w:pPr>
              <w:rPr>
                <w:rFonts w:ascii="Arial Narrow" w:hAnsi="Arial Narrow"/>
                <w:sz w:val="18"/>
                <w:szCs w:val="18"/>
              </w:rPr>
            </w:pPr>
            <w:r w:rsidRPr="008D04EA">
              <w:rPr>
                <w:rFonts w:ascii="Arial Narrow" w:hAnsi="Arial Narrow"/>
                <w:sz w:val="18"/>
                <w:szCs w:val="18"/>
              </w:rPr>
              <w:t>Blood samples for IgG testing should be taken on two occasions, at least one hour apart and at least one sample taken when the patient does not have an infection.</w:t>
            </w:r>
          </w:p>
          <w:p w14:paraId="2D8EBBBE" w14:textId="6EC09DCA" w:rsidR="00F35237" w:rsidRPr="008D04EA" w:rsidRDefault="00F35237" w:rsidP="00EF0026">
            <w:pPr>
              <w:rPr>
                <w:rFonts w:ascii="Arial Narrow" w:hAnsi="Arial Narrow"/>
                <w:sz w:val="18"/>
                <w:szCs w:val="18"/>
              </w:rPr>
            </w:pPr>
          </w:p>
          <w:p w14:paraId="57C52AC9" w14:textId="77777777" w:rsidR="00F35237" w:rsidRPr="008D04EA" w:rsidRDefault="00F35237" w:rsidP="00EF0026">
            <w:pPr>
              <w:pStyle w:val="ListParagraph"/>
              <w:numPr>
                <w:ilvl w:val="0"/>
                <w:numId w:val="18"/>
              </w:numPr>
              <w:rPr>
                <w:rFonts w:ascii="Arial Narrow" w:hAnsi="Arial Narrow"/>
                <w:sz w:val="18"/>
                <w:szCs w:val="18"/>
              </w:rPr>
            </w:pPr>
            <w:r w:rsidRPr="008D04EA">
              <w:rPr>
                <w:rFonts w:ascii="Arial Narrow" w:hAnsi="Arial Narrow"/>
                <w:sz w:val="18"/>
                <w:szCs w:val="18"/>
              </w:rPr>
              <w:t>Younger than four years of age at diagnosis</w:t>
            </w:r>
          </w:p>
          <w:p w14:paraId="420734CA" w14:textId="77777777" w:rsidR="00F35237" w:rsidRPr="008D04EA" w:rsidRDefault="00F35237" w:rsidP="00EF0026">
            <w:pPr>
              <w:rPr>
                <w:rFonts w:ascii="Arial Narrow" w:hAnsi="Arial Narrow"/>
                <w:b/>
                <w:sz w:val="18"/>
                <w:szCs w:val="18"/>
              </w:rPr>
            </w:pPr>
            <w:r w:rsidRPr="008D04EA">
              <w:rPr>
                <w:rFonts w:ascii="Arial Narrow" w:hAnsi="Arial Narrow"/>
                <w:b/>
                <w:sz w:val="18"/>
                <w:szCs w:val="18"/>
              </w:rPr>
              <w:t>AND</w:t>
            </w:r>
          </w:p>
          <w:p w14:paraId="29810612" w14:textId="77777777" w:rsidR="00F35237" w:rsidRPr="008D04EA" w:rsidRDefault="00F35237" w:rsidP="00EF0026">
            <w:pPr>
              <w:pStyle w:val="ListParagraph"/>
              <w:numPr>
                <w:ilvl w:val="0"/>
                <w:numId w:val="18"/>
              </w:numPr>
              <w:rPr>
                <w:rFonts w:ascii="Arial Narrow" w:hAnsi="Arial Narrow"/>
                <w:sz w:val="18"/>
                <w:szCs w:val="18"/>
              </w:rPr>
            </w:pPr>
            <w:r w:rsidRPr="008D04EA">
              <w:rPr>
                <w:rFonts w:ascii="Arial Narrow" w:hAnsi="Arial Narrow"/>
                <w:sz w:val="18"/>
                <w:szCs w:val="18"/>
              </w:rPr>
              <w:t>Evidence of a marked decrease of IgG and causes of secondary hypogammaglobulinemia have been excluded</w:t>
            </w:r>
          </w:p>
          <w:p w14:paraId="55D2AE77" w14:textId="77777777" w:rsidR="00F35237" w:rsidRPr="008D04EA" w:rsidRDefault="00F35237" w:rsidP="00EF0026">
            <w:pPr>
              <w:rPr>
                <w:rFonts w:ascii="Arial Narrow" w:hAnsi="Arial Narrow"/>
                <w:sz w:val="18"/>
                <w:szCs w:val="18"/>
              </w:rPr>
            </w:pPr>
          </w:p>
          <w:p w14:paraId="0E7BE17A" w14:textId="77777777" w:rsidR="00F35237" w:rsidRPr="008D04EA" w:rsidRDefault="00F35237" w:rsidP="00EF0026">
            <w:pPr>
              <w:rPr>
                <w:rFonts w:ascii="Arial Narrow" w:hAnsi="Arial Narrow"/>
                <w:b/>
                <w:sz w:val="18"/>
                <w:szCs w:val="18"/>
              </w:rPr>
            </w:pPr>
            <w:r w:rsidRPr="008D04EA">
              <w:rPr>
                <w:rFonts w:ascii="Arial Narrow" w:hAnsi="Arial Narrow"/>
                <w:b/>
                <w:sz w:val="18"/>
                <w:szCs w:val="18"/>
              </w:rPr>
              <w:t>AND</w:t>
            </w:r>
          </w:p>
          <w:p w14:paraId="4185BB6B" w14:textId="77777777" w:rsidR="00F35237" w:rsidRPr="008D04EA" w:rsidRDefault="00F35237" w:rsidP="00EF0026">
            <w:pPr>
              <w:pStyle w:val="ListParagraph"/>
              <w:numPr>
                <w:ilvl w:val="0"/>
                <w:numId w:val="18"/>
              </w:numPr>
              <w:rPr>
                <w:rFonts w:ascii="Arial Narrow" w:hAnsi="Arial Narrow"/>
                <w:sz w:val="18"/>
                <w:szCs w:val="18"/>
              </w:rPr>
            </w:pPr>
            <w:r w:rsidRPr="008D04EA">
              <w:rPr>
                <w:rFonts w:ascii="Arial Narrow" w:hAnsi="Arial Narrow"/>
                <w:sz w:val="18"/>
                <w:szCs w:val="18"/>
              </w:rPr>
              <w:t>The patient has demonstrated an increased susceptibility to infection</w:t>
            </w:r>
          </w:p>
          <w:p w14:paraId="4273D741" w14:textId="77777777" w:rsidR="00F35237" w:rsidRDefault="00F35237" w:rsidP="00EF0026">
            <w:pPr>
              <w:rPr>
                <w:rFonts w:ascii="Arial Narrow" w:hAnsi="Arial Narrow"/>
                <w:sz w:val="18"/>
                <w:szCs w:val="18"/>
              </w:rPr>
            </w:pPr>
          </w:p>
          <w:p w14:paraId="7115BB37" w14:textId="77777777" w:rsidR="00F35237" w:rsidRPr="008D04EA" w:rsidRDefault="00F35237" w:rsidP="00EF0026">
            <w:pPr>
              <w:rPr>
                <w:rFonts w:ascii="Arial Narrow" w:hAnsi="Arial Narrow"/>
                <w:sz w:val="18"/>
                <w:szCs w:val="18"/>
              </w:rPr>
            </w:pPr>
            <w:r w:rsidRPr="008D04EA">
              <w:rPr>
                <w:rFonts w:ascii="Arial Narrow" w:hAnsi="Arial Narrow"/>
                <w:sz w:val="18"/>
                <w:szCs w:val="18"/>
              </w:rPr>
              <w:t>Initial review is required by an Immunologist, at six months, and ongoing reviews at least annually to assess clinical benefit. Documentation of clinical effectiveness is necessary for continuation of Ig therapy.</w:t>
            </w:r>
          </w:p>
          <w:p w14:paraId="69BC2EAE" w14:textId="0E5E5596" w:rsidR="00F35237" w:rsidRPr="008D04EA" w:rsidRDefault="00F35237" w:rsidP="00EF0026">
            <w:pPr>
              <w:rPr>
                <w:rFonts w:ascii="Arial Narrow" w:hAnsi="Arial Narrow"/>
                <w:sz w:val="18"/>
                <w:szCs w:val="18"/>
              </w:rPr>
            </w:pPr>
          </w:p>
          <w:p w14:paraId="7357B33B" w14:textId="77777777" w:rsidR="00F35237" w:rsidRPr="008D04EA" w:rsidRDefault="00F35237" w:rsidP="00EF0026">
            <w:pPr>
              <w:rPr>
                <w:rFonts w:ascii="Arial Narrow" w:hAnsi="Arial Narrow"/>
                <w:sz w:val="18"/>
                <w:szCs w:val="18"/>
              </w:rPr>
            </w:pPr>
            <w:r w:rsidRPr="008D04EA">
              <w:rPr>
                <w:rFonts w:ascii="Arial Narrow" w:hAnsi="Arial Narrow"/>
                <w:sz w:val="18"/>
                <w:szCs w:val="18"/>
              </w:rPr>
              <w:t>Cessation of Ig therapy should be considered at least after 24 months of treatment.</w:t>
            </w:r>
            <w:r w:rsidRPr="00C71573">
              <w:rPr>
                <w:rFonts w:ascii="Arial Narrow" w:hAnsi="Arial Narrow"/>
                <w:sz w:val="18"/>
                <w:szCs w:val="18"/>
                <w:vertAlign w:val="superscript"/>
              </w:rPr>
              <w:t xml:space="preserve"> a</w:t>
            </w:r>
            <w:r w:rsidRPr="008D04EA">
              <w:rPr>
                <w:rFonts w:ascii="Arial Narrow" w:hAnsi="Arial Narrow"/>
                <w:sz w:val="18"/>
                <w:szCs w:val="18"/>
              </w:rPr>
              <w:t xml:space="preserve"> If serum IgM and IgA levels are trending upwards and close to normal, this may suggest recovery of the immune system and a trial might be considered if the patient is well. Once the patient has normal IgA and IgM levels, the IgG is also likely to be normal and a trial off therapy should be undertaken.</w:t>
            </w:r>
          </w:p>
          <w:p w14:paraId="0683DF77" w14:textId="5630C850" w:rsidR="00F35237" w:rsidRPr="008D04EA" w:rsidRDefault="00F35237" w:rsidP="00EF0026">
            <w:pPr>
              <w:rPr>
                <w:rFonts w:ascii="Arial Narrow" w:hAnsi="Arial Narrow"/>
                <w:sz w:val="18"/>
                <w:szCs w:val="18"/>
              </w:rPr>
            </w:pPr>
          </w:p>
          <w:p w14:paraId="0C20839E" w14:textId="77777777" w:rsidR="00F35237" w:rsidRPr="008D04EA" w:rsidRDefault="00F35237" w:rsidP="00EF0026">
            <w:pPr>
              <w:rPr>
                <w:rFonts w:ascii="Arial Narrow" w:hAnsi="Arial Narrow"/>
                <w:sz w:val="18"/>
                <w:szCs w:val="18"/>
              </w:rPr>
            </w:pPr>
            <w:r w:rsidRPr="008D04EA">
              <w:rPr>
                <w:rFonts w:ascii="Arial Narrow" w:hAnsi="Arial Narrow"/>
                <w:sz w:val="18"/>
                <w:szCs w:val="18"/>
              </w:rPr>
              <w:t>Ig therapy should be extended as required to enable cessation of therapy in September/October, with repeat clinical and/or immunological evaluation before re-commencement of therapy.</w:t>
            </w:r>
          </w:p>
          <w:p w14:paraId="5665FE64" w14:textId="43AB583C" w:rsidR="00F35237" w:rsidRPr="008D04EA" w:rsidRDefault="00F35237" w:rsidP="00EF0026">
            <w:pPr>
              <w:rPr>
                <w:rFonts w:ascii="Arial Narrow" w:hAnsi="Arial Narrow"/>
                <w:sz w:val="18"/>
                <w:szCs w:val="18"/>
              </w:rPr>
            </w:pPr>
          </w:p>
          <w:p w14:paraId="21DD32CC" w14:textId="77777777" w:rsidR="00F35237" w:rsidRPr="00BE7779" w:rsidRDefault="00F35237" w:rsidP="00EF0026">
            <w:pPr>
              <w:rPr>
                <w:rFonts w:ascii="Arial Narrow" w:hAnsi="Arial Narrow"/>
                <w:sz w:val="18"/>
                <w:szCs w:val="18"/>
              </w:rPr>
            </w:pPr>
            <w:r w:rsidRPr="008D04EA">
              <w:rPr>
                <w:rFonts w:ascii="Arial Narrow" w:hAnsi="Arial Narrow"/>
                <w:sz w:val="18"/>
                <w:szCs w:val="18"/>
              </w:rPr>
              <w:t>When the child is four years old, a decision must be made regarding a trial off treatment or qualification may be appropriate under a different indication such as possible or confirmed CVID.</w:t>
            </w:r>
          </w:p>
        </w:tc>
      </w:tr>
      <w:tr w:rsidR="00F35237" w:rsidRPr="00B03421" w14:paraId="5CF7FDAD" w14:textId="77777777" w:rsidTr="00F35237">
        <w:tc>
          <w:tcPr>
            <w:tcW w:w="9016" w:type="dxa"/>
            <w:shd w:val="clear" w:color="auto" w:fill="D9D9D9" w:themeFill="background1" w:themeFillShade="D9"/>
          </w:tcPr>
          <w:p w14:paraId="1C61549E" w14:textId="77777777" w:rsidR="00F35237" w:rsidRPr="00B03421" w:rsidRDefault="00F35237" w:rsidP="00EF0026">
            <w:pPr>
              <w:rPr>
                <w:rFonts w:ascii="Arial Narrow" w:hAnsi="Arial Narrow"/>
                <w:b/>
                <w:sz w:val="18"/>
                <w:szCs w:val="18"/>
              </w:rPr>
            </w:pPr>
            <w:r w:rsidRPr="00B03421">
              <w:rPr>
                <w:rFonts w:ascii="Arial Narrow" w:hAnsi="Arial Narrow"/>
                <w:b/>
                <w:sz w:val="18"/>
                <w:szCs w:val="18"/>
              </w:rPr>
              <w:t>Replacement therapy in recognised primary immunodeficiencies for which immunoglobulin replacement is universally indicated (e.g. SCID, Wiskott-Aldrich syndrome, etc.)</w:t>
            </w:r>
          </w:p>
        </w:tc>
      </w:tr>
      <w:tr w:rsidR="00F35237" w:rsidRPr="00BE7779" w14:paraId="00F4DFC0" w14:textId="77777777" w:rsidTr="00F35237">
        <w:tc>
          <w:tcPr>
            <w:tcW w:w="9016" w:type="dxa"/>
          </w:tcPr>
          <w:p w14:paraId="30CBAC3E" w14:textId="77777777" w:rsidR="00F35237" w:rsidRPr="00B03421" w:rsidRDefault="00F35237" w:rsidP="00EF0026">
            <w:pPr>
              <w:rPr>
                <w:rFonts w:ascii="Arial Narrow" w:hAnsi="Arial Narrow"/>
                <w:sz w:val="18"/>
                <w:szCs w:val="18"/>
              </w:rPr>
            </w:pPr>
            <w:r w:rsidRPr="00B03421">
              <w:rPr>
                <w:rFonts w:ascii="Arial Narrow" w:hAnsi="Arial Narrow"/>
                <w:sz w:val="18"/>
                <w:szCs w:val="18"/>
              </w:rPr>
              <w:t>Blood samples for IgG testing should be taken on two occasions, at least one hour apart and at least one sample taken when the patient does not have an infection.</w:t>
            </w:r>
          </w:p>
          <w:p w14:paraId="109B8A90" w14:textId="58FF864A" w:rsidR="00F35237" w:rsidRPr="00B03421" w:rsidRDefault="00F35237" w:rsidP="00EF0026">
            <w:pPr>
              <w:rPr>
                <w:rFonts w:ascii="Arial Narrow" w:hAnsi="Arial Narrow"/>
                <w:sz w:val="18"/>
                <w:szCs w:val="18"/>
              </w:rPr>
            </w:pPr>
          </w:p>
          <w:p w14:paraId="3A1F6717" w14:textId="77777777" w:rsidR="00F35237" w:rsidRPr="00B03421" w:rsidRDefault="00F35237" w:rsidP="00EF0026">
            <w:pPr>
              <w:pStyle w:val="ListParagraph"/>
              <w:numPr>
                <w:ilvl w:val="0"/>
                <w:numId w:val="18"/>
              </w:numPr>
              <w:rPr>
                <w:rFonts w:ascii="Arial Narrow" w:hAnsi="Arial Narrow"/>
                <w:sz w:val="18"/>
                <w:szCs w:val="18"/>
              </w:rPr>
            </w:pPr>
            <w:r w:rsidRPr="00B03421">
              <w:rPr>
                <w:rFonts w:ascii="Arial Narrow" w:hAnsi="Arial Narrow"/>
                <w:sz w:val="18"/>
                <w:szCs w:val="18"/>
              </w:rPr>
              <w:t>Confirmed or suspected diagnosis of primary immunodeficiency</w:t>
            </w:r>
          </w:p>
          <w:p w14:paraId="61C2C0B5" w14:textId="77777777" w:rsidR="00F35237" w:rsidRPr="00B03421" w:rsidRDefault="00F35237" w:rsidP="00EF0026">
            <w:pPr>
              <w:rPr>
                <w:rFonts w:ascii="Arial Narrow" w:hAnsi="Arial Narrow"/>
                <w:b/>
                <w:sz w:val="18"/>
                <w:szCs w:val="18"/>
              </w:rPr>
            </w:pPr>
            <w:r w:rsidRPr="00B03421">
              <w:rPr>
                <w:rFonts w:ascii="Arial Narrow" w:hAnsi="Arial Narrow"/>
                <w:b/>
                <w:sz w:val="18"/>
                <w:szCs w:val="18"/>
              </w:rPr>
              <w:t>AND</w:t>
            </w:r>
          </w:p>
          <w:p w14:paraId="0767DA6A" w14:textId="77777777" w:rsidR="00F35237" w:rsidRPr="00B03421" w:rsidRDefault="00F35237" w:rsidP="00EF0026">
            <w:pPr>
              <w:pStyle w:val="ListParagraph"/>
              <w:numPr>
                <w:ilvl w:val="0"/>
                <w:numId w:val="18"/>
              </w:numPr>
              <w:rPr>
                <w:rFonts w:ascii="Arial Narrow" w:hAnsi="Arial Narrow"/>
                <w:sz w:val="18"/>
                <w:szCs w:val="18"/>
              </w:rPr>
            </w:pPr>
            <w:r w:rsidRPr="00B03421">
              <w:rPr>
                <w:rFonts w:ascii="Arial Narrow" w:hAnsi="Arial Narrow"/>
                <w:sz w:val="18"/>
                <w:szCs w:val="18"/>
              </w:rPr>
              <w:t>Evidence of hypogammaglobulinaemia</w:t>
            </w:r>
            <w:r w:rsidRPr="00DD3EBE">
              <w:rPr>
                <w:rFonts w:ascii="Arial Narrow" w:hAnsi="Arial Narrow"/>
                <w:sz w:val="18"/>
                <w:szCs w:val="18"/>
                <w:vertAlign w:val="superscript"/>
              </w:rPr>
              <w:t>b</w:t>
            </w:r>
          </w:p>
          <w:p w14:paraId="3632D53F" w14:textId="77777777" w:rsidR="00F35237" w:rsidRDefault="00F35237" w:rsidP="00EF0026">
            <w:pPr>
              <w:rPr>
                <w:rFonts w:ascii="Arial Narrow" w:hAnsi="Arial Narrow"/>
                <w:sz w:val="18"/>
                <w:szCs w:val="18"/>
              </w:rPr>
            </w:pPr>
          </w:p>
          <w:p w14:paraId="572BA954" w14:textId="77777777" w:rsidR="00F35237" w:rsidRPr="00B03421" w:rsidRDefault="00F35237" w:rsidP="00EF0026">
            <w:pPr>
              <w:rPr>
                <w:rFonts w:ascii="Arial Narrow" w:hAnsi="Arial Narrow"/>
                <w:sz w:val="18"/>
                <w:szCs w:val="18"/>
              </w:rPr>
            </w:pPr>
            <w:r w:rsidRPr="00B03421">
              <w:rPr>
                <w:rFonts w:ascii="Arial Narrow" w:hAnsi="Arial Narrow"/>
                <w:sz w:val="18"/>
                <w:szCs w:val="18"/>
              </w:rPr>
              <w:t>Initial review by an Immunologist is required at six months, with reviews annually thereafter. Documentation of clinical effectiveness is necessary for continuation of IVIg therapy.</w:t>
            </w:r>
          </w:p>
          <w:p w14:paraId="410BD461" w14:textId="77777777" w:rsidR="00F35237" w:rsidRPr="00B03421" w:rsidRDefault="00F35237" w:rsidP="00EF0026">
            <w:pPr>
              <w:rPr>
                <w:rFonts w:ascii="Arial Narrow" w:hAnsi="Arial Narrow"/>
                <w:sz w:val="18"/>
                <w:szCs w:val="18"/>
              </w:rPr>
            </w:pPr>
          </w:p>
          <w:p w14:paraId="7DDF7769" w14:textId="77777777" w:rsidR="00F35237" w:rsidRPr="00BE7779" w:rsidRDefault="00F35237" w:rsidP="00EF0026">
            <w:pPr>
              <w:rPr>
                <w:rFonts w:ascii="Arial Narrow" w:hAnsi="Arial Narrow"/>
                <w:sz w:val="18"/>
                <w:szCs w:val="18"/>
              </w:rPr>
            </w:pPr>
            <w:r w:rsidRPr="00B03421">
              <w:rPr>
                <w:rFonts w:ascii="Arial Narrow" w:hAnsi="Arial Narrow"/>
                <w:sz w:val="18"/>
                <w:szCs w:val="18"/>
              </w:rPr>
              <w:t xml:space="preserve"> Where a diagnosis has initially been suspected, confirmation will be required for access to continuing Ig therapy.</w:t>
            </w:r>
          </w:p>
        </w:tc>
      </w:tr>
    </w:tbl>
    <w:p w14:paraId="65DF7A98" w14:textId="3682D288" w:rsidR="00A516FD" w:rsidRPr="002B7ED2" w:rsidRDefault="00A516FD" w:rsidP="00A516FD">
      <w:pPr>
        <w:spacing w:after="0"/>
        <w:rPr>
          <w:rFonts w:ascii="Arial Narrow" w:hAnsi="Arial Narrow"/>
          <w:sz w:val="18"/>
          <w:szCs w:val="18"/>
        </w:rPr>
      </w:pPr>
      <w:r>
        <w:rPr>
          <w:rFonts w:ascii="Arial Narrow" w:hAnsi="Arial Narrow"/>
          <w:b/>
          <w:sz w:val="18"/>
          <w:szCs w:val="18"/>
        </w:rPr>
        <w:t xml:space="preserve">Source: </w:t>
      </w:r>
      <w:r>
        <w:rPr>
          <w:rFonts w:ascii="Arial Narrow" w:hAnsi="Arial Narrow"/>
          <w:sz w:val="18"/>
          <w:szCs w:val="18"/>
        </w:rPr>
        <w:t>The Criteria for Clinical Use of Immunoglobulin in Australia (version 3.1)</w:t>
      </w:r>
      <w:r>
        <w:rPr>
          <w:rFonts w:ascii="Arial Narrow" w:hAnsi="Arial Narrow"/>
          <w:sz w:val="18"/>
          <w:szCs w:val="18"/>
        </w:rPr>
        <w:fldChar w:fldCharType="begin"/>
      </w:r>
      <w:r>
        <w:rPr>
          <w:rFonts w:ascii="Arial Narrow" w:hAnsi="Arial Narrow"/>
          <w:sz w:val="18"/>
          <w:szCs w:val="18"/>
        </w:rPr>
        <w:instrText xml:space="preserve"> ADDIN EN.CITE &lt;EndNote&gt;&lt;Cite&gt;&lt;Author&gt;National Blood Authority&lt;/Author&gt;&lt;Year&gt;2018&lt;/Year&gt;&lt;RecNum&gt;1&lt;/RecNum&gt;&lt;DisplayText&gt;&lt;style face="superscript"&gt;1&lt;/style&gt;&lt;/DisplayText&gt;&lt;record&gt;&lt;rec-number&gt;1&lt;/rec-number&gt;&lt;foreign-keys&gt;&lt;key app="EN" db-id="pzpr9fpzq5dfrrefpetx2pfn5fz5e2r0vtdf" timestamp="1569200090"&gt;1&lt;/key&gt;&lt;/foreign-keys&gt;&lt;ref-type name="Web Page"&gt;12&lt;/ref-type&gt;&lt;contributors&gt;&lt;authors&gt;&lt;author&gt;National Blood Authority,&lt;/author&gt;&lt;/authors&gt;&lt;/contributors&gt;&lt;titles&gt;&lt;title&gt;Criteria for clinical use of immunoglobulin in Australia, Version 3.1&lt;/title&gt;&lt;/titles&gt;&lt;volume&gt;2019&lt;/volume&gt;&lt;number&gt;23rd September&lt;/number&gt;&lt;dates&gt;&lt;year&gt;2018&lt;/year&gt;&lt;/dates&gt;&lt;publisher&gt;National Blood Authority&lt;/publisher&gt;&lt;urls&gt;&lt;related-urls&gt;&lt;url&gt;&lt;style face="underline" font="default" size="100%"&gt;https://www.criteria.blood.gov.au/&lt;/style&gt;&lt;/url&gt;&lt;/related-urls&gt;&lt;/urls&gt;&lt;/record&gt;&lt;/Cite&gt;&lt;/EndNote&gt;</w:instrText>
      </w:r>
      <w:r>
        <w:rPr>
          <w:rFonts w:ascii="Arial Narrow" w:hAnsi="Arial Narrow"/>
          <w:sz w:val="18"/>
          <w:szCs w:val="18"/>
        </w:rPr>
        <w:fldChar w:fldCharType="separate"/>
      </w:r>
      <w:r w:rsidRPr="00A516FD">
        <w:rPr>
          <w:rFonts w:ascii="Arial Narrow" w:hAnsi="Arial Narrow"/>
          <w:noProof/>
          <w:sz w:val="18"/>
          <w:szCs w:val="18"/>
          <w:vertAlign w:val="superscript"/>
        </w:rPr>
        <w:t>1</w:t>
      </w:r>
      <w:r>
        <w:rPr>
          <w:rFonts w:ascii="Arial Narrow" w:hAnsi="Arial Narrow"/>
          <w:sz w:val="18"/>
          <w:szCs w:val="18"/>
        </w:rPr>
        <w:fldChar w:fldCharType="end"/>
      </w:r>
    </w:p>
    <w:p w14:paraId="20D8EC49" w14:textId="77777777" w:rsidR="00057AD3" w:rsidRDefault="00A516FD" w:rsidP="00DD3EBE">
      <w:pPr>
        <w:spacing w:after="0"/>
        <w:rPr>
          <w:rFonts w:ascii="Arial Narrow" w:hAnsi="Arial Narrow"/>
          <w:sz w:val="18"/>
          <w:szCs w:val="18"/>
        </w:rPr>
      </w:pPr>
      <w:r w:rsidRPr="002B7ED2">
        <w:rPr>
          <w:rFonts w:ascii="Arial Narrow" w:hAnsi="Arial Narrow"/>
          <w:b/>
          <w:sz w:val="18"/>
          <w:szCs w:val="18"/>
        </w:rPr>
        <w:t>Abbreviations</w:t>
      </w:r>
      <w:r>
        <w:rPr>
          <w:rFonts w:ascii="Arial Narrow" w:hAnsi="Arial Narrow"/>
          <w:sz w:val="18"/>
          <w:szCs w:val="18"/>
        </w:rPr>
        <w:t xml:space="preserve">: CVID: Common Variable Immune Deficiency; </w:t>
      </w:r>
      <w:r w:rsidRPr="002B7ED2">
        <w:rPr>
          <w:rFonts w:ascii="Arial Narrow" w:hAnsi="Arial Narrow"/>
          <w:sz w:val="18"/>
          <w:szCs w:val="18"/>
        </w:rPr>
        <w:t>ESID</w:t>
      </w:r>
      <w:r>
        <w:rPr>
          <w:rFonts w:ascii="Arial Narrow" w:hAnsi="Arial Narrow"/>
          <w:sz w:val="18"/>
          <w:szCs w:val="18"/>
        </w:rPr>
        <w:t>: European Society for Immunodeficiencies; PID: Primary Immunodeficiency Diseases; SCID: Severe Combined Immunodeficiency</w:t>
      </w:r>
    </w:p>
    <w:p w14:paraId="738CD164" w14:textId="57728631" w:rsidR="00057AD3" w:rsidRPr="00DD3EBE" w:rsidRDefault="00057AD3">
      <w:pPr>
        <w:rPr>
          <w:rFonts w:ascii="Arial Narrow" w:hAnsi="Arial Narrow"/>
          <w:b/>
          <w:sz w:val="18"/>
          <w:szCs w:val="18"/>
        </w:rPr>
      </w:pPr>
      <w:r w:rsidRPr="00DD3EBE">
        <w:rPr>
          <w:rFonts w:ascii="Arial Narrow" w:hAnsi="Arial Narrow"/>
          <w:b/>
          <w:sz w:val="18"/>
          <w:szCs w:val="18"/>
        </w:rPr>
        <w:t xml:space="preserve">Notes: </w:t>
      </w:r>
      <w:r w:rsidRPr="00953D96">
        <w:rPr>
          <w:rFonts w:ascii="Arial Narrow" w:hAnsi="Arial Narrow"/>
          <w:sz w:val="18"/>
          <w:szCs w:val="18"/>
          <w:vertAlign w:val="superscript"/>
        </w:rPr>
        <w:t>a</w:t>
      </w:r>
      <w:r>
        <w:rPr>
          <w:rFonts w:ascii="Arial Narrow" w:hAnsi="Arial Narrow"/>
          <w:sz w:val="18"/>
          <w:szCs w:val="18"/>
          <w:vertAlign w:val="superscript"/>
        </w:rPr>
        <w:t xml:space="preserve"> </w:t>
      </w:r>
      <w:r>
        <w:rPr>
          <w:rFonts w:ascii="Arial Narrow" w:hAnsi="Arial Narrow"/>
          <w:sz w:val="18"/>
          <w:szCs w:val="18"/>
        </w:rPr>
        <w:t xml:space="preserve">This sentence </w:t>
      </w:r>
      <w:r w:rsidR="00DD3EBE">
        <w:rPr>
          <w:rFonts w:ascii="Arial Narrow" w:hAnsi="Arial Narrow"/>
          <w:sz w:val="18"/>
          <w:szCs w:val="18"/>
        </w:rPr>
        <w:t>should be</w:t>
      </w:r>
      <w:r>
        <w:rPr>
          <w:rFonts w:ascii="Arial Narrow" w:hAnsi="Arial Narrow"/>
          <w:sz w:val="18"/>
          <w:szCs w:val="18"/>
        </w:rPr>
        <w:t xml:space="preserve"> interpreted </w:t>
      </w:r>
      <w:r w:rsidR="00DD3EBE">
        <w:rPr>
          <w:rFonts w:ascii="Arial Narrow" w:hAnsi="Arial Narrow"/>
          <w:sz w:val="18"/>
          <w:szCs w:val="18"/>
        </w:rPr>
        <w:t>as ‘</w:t>
      </w:r>
      <w:r>
        <w:rPr>
          <w:rFonts w:ascii="Arial Narrow" w:hAnsi="Arial Narrow"/>
          <w:sz w:val="18"/>
          <w:szCs w:val="18"/>
        </w:rPr>
        <w:t>after 24 months of treatment, a trial of cessation</w:t>
      </w:r>
      <w:r w:rsidR="00DD3EBE">
        <w:rPr>
          <w:rFonts w:ascii="Arial Narrow" w:hAnsi="Arial Narrow"/>
          <w:sz w:val="18"/>
          <w:szCs w:val="18"/>
        </w:rPr>
        <w:t xml:space="preserve"> could be considered’</w:t>
      </w:r>
      <w:r>
        <w:rPr>
          <w:rFonts w:ascii="Arial Narrow" w:hAnsi="Arial Narrow"/>
          <w:sz w:val="18"/>
          <w:szCs w:val="18"/>
        </w:rPr>
        <w:t xml:space="preserve">, not that a trial </w:t>
      </w:r>
      <w:r w:rsidR="00DD3EBE">
        <w:rPr>
          <w:rFonts w:ascii="Arial Narrow" w:hAnsi="Arial Narrow"/>
          <w:sz w:val="18"/>
          <w:szCs w:val="18"/>
        </w:rPr>
        <w:t xml:space="preserve">of </w:t>
      </w:r>
      <w:r>
        <w:rPr>
          <w:rFonts w:ascii="Arial Narrow" w:hAnsi="Arial Narrow"/>
          <w:sz w:val="18"/>
          <w:szCs w:val="18"/>
        </w:rPr>
        <w:t>cessation is required.</w:t>
      </w:r>
      <w:r w:rsidR="005960BD">
        <w:rPr>
          <w:rFonts w:ascii="Arial Narrow" w:hAnsi="Arial Narrow"/>
          <w:sz w:val="18"/>
          <w:szCs w:val="18"/>
        </w:rPr>
        <w:t xml:space="preserve"> </w:t>
      </w:r>
      <w:r w:rsidR="005960BD" w:rsidRPr="00953D96">
        <w:rPr>
          <w:rFonts w:ascii="Arial Narrow" w:hAnsi="Arial Narrow"/>
          <w:sz w:val="18"/>
          <w:szCs w:val="18"/>
          <w:vertAlign w:val="superscript"/>
        </w:rPr>
        <w:t>b</w:t>
      </w:r>
      <w:r w:rsidR="005960BD">
        <w:rPr>
          <w:rFonts w:ascii="Arial Narrow" w:hAnsi="Arial Narrow"/>
          <w:sz w:val="18"/>
          <w:szCs w:val="18"/>
          <w:vertAlign w:val="superscript"/>
        </w:rPr>
        <w:t xml:space="preserve"> </w:t>
      </w:r>
      <w:r w:rsidR="005960BD" w:rsidRPr="00DD3EBE">
        <w:rPr>
          <w:rFonts w:ascii="Arial Narrow" w:hAnsi="Arial Narrow"/>
          <w:sz w:val="18"/>
          <w:szCs w:val="18"/>
        </w:rPr>
        <w:t xml:space="preserve">Not all patients with recognised primary immunodeficiencies </w:t>
      </w:r>
      <w:r w:rsidR="00DD3EBE">
        <w:rPr>
          <w:rFonts w:ascii="Arial Narrow" w:hAnsi="Arial Narrow"/>
          <w:sz w:val="18"/>
          <w:szCs w:val="18"/>
        </w:rPr>
        <w:t>who are eligible</w:t>
      </w:r>
      <w:r w:rsidR="00540EFA">
        <w:rPr>
          <w:rFonts w:ascii="Arial Narrow" w:hAnsi="Arial Narrow"/>
          <w:sz w:val="18"/>
          <w:szCs w:val="18"/>
        </w:rPr>
        <w:t xml:space="preserve"> for IVIg </w:t>
      </w:r>
      <w:r w:rsidR="005960BD" w:rsidRPr="00DD3EBE">
        <w:rPr>
          <w:rFonts w:ascii="Arial Narrow" w:hAnsi="Arial Narrow"/>
          <w:sz w:val="18"/>
          <w:szCs w:val="18"/>
        </w:rPr>
        <w:t>will</w:t>
      </w:r>
      <w:r w:rsidR="005960BD">
        <w:rPr>
          <w:rFonts w:ascii="Arial Narrow" w:hAnsi="Arial Narrow"/>
          <w:sz w:val="18"/>
          <w:szCs w:val="18"/>
          <w:vertAlign w:val="superscript"/>
        </w:rPr>
        <w:t xml:space="preserve"> </w:t>
      </w:r>
      <w:r w:rsidR="005960BD" w:rsidRPr="00DD3EBE">
        <w:rPr>
          <w:rFonts w:ascii="Arial Narrow" w:hAnsi="Arial Narrow"/>
          <w:sz w:val="18"/>
          <w:szCs w:val="18"/>
        </w:rPr>
        <w:t>have hypogammaglobulinaemia</w:t>
      </w:r>
      <w:r w:rsidR="00540EFA">
        <w:rPr>
          <w:rFonts w:ascii="Arial Narrow" w:hAnsi="Arial Narrow"/>
          <w:sz w:val="18"/>
          <w:szCs w:val="18"/>
        </w:rPr>
        <w:t xml:space="preserve"> (e.g. patient’s with Wiskott Aldrich syndrome)</w:t>
      </w:r>
      <w:r w:rsidR="005960BD" w:rsidRPr="00DD3EBE">
        <w:rPr>
          <w:rFonts w:ascii="Arial Narrow" w:hAnsi="Arial Narrow"/>
          <w:sz w:val="18"/>
          <w:szCs w:val="18"/>
        </w:rPr>
        <w:t>.</w:t>
      </w:r>
    </w:p>
    <w:p w14:paraId="45E73924" w14:textId="1484FCDE" w:rsidR="00A516FD" w:rsidRDefault="00A516FD" w:rsidP="00A516FD">
      <w:r>
        <w:t>Also outlined in ‘</w:t>
      </w:r>
      <w:r w:rsidRPr="00B03421">
        <w:rPr>
          <w:i/>
        </w:rPr>
        <w:t>the Criteria’</w:t>
      </w:r>
      <w:r>
        <w:rPr>
          <w:i/>
        </w:rPr>
        <w:t xml:space="preserve"> </w:t>
      </w:r>
      <w:r>
        <w:t>are factors which would exclude a person from receiving Ig therapy</w:t>
      </w:r>
      <w:r w:rsidR="00542F69">
        <w:t xml:space="preserve"> under this condition</w:t>
      </w:r>
      <w:r>
        <w:t>.</w:t>
      </w:r>
      <w:r>
        <w:fldChar w:fldCharType="begin"/>
      </w:r>
      <w:r>
        <w:instrText xml:space="preserve"> ADDIN EN.CITE &lt;EndNote&gt;&lt;Cite&gt;&lt;Author&gt;National Blood Authority&lt;/Author&gt;&lt;Year&gt;2018&lt;/Year&gt;&lt;RecNum&gt;1&lt;/RecNum&gt;&lt;DisplayText&gt;&lt;style face="superscript"&gt;1&lt;/style&gt;&lt;/DisplayText&gt;&lt;record&gt;&lt;rec-number&gt;1&lt;/rec-number&gt;&lt;foreign-keys&gt;&lt;key app="EN" db-id="pzpr9fpzq5dfrrefpetx2pfn5fz5e2r0vtdf" timestamp="1569200090"&gt;1&lt;/key&gt;&lt;/foreign-keys&gt;&lt;ref-type name="Web Page"&gt;12&lt;/ref-type&gt;&lt;contributors&gt;&lt;authors&gt;&lt;author&gt;National Blood Authority,&lt;/author&gt;&lt;/authors&gt;&lt;/contributors&gt;&lt;titles&gt;&lt;title&gt;Criteria for clinical use of immunoglobulin in Australia, Version 3.1&lt;/title&gt;&lt;/titles&gt;&lt;volume&gt;2019&lt;/volume&gt;&lt;number&gt;23rd September&lt;/number&gt;&lt;dates&gt;&lt;year&gt;2018&lt;/year&gt;&lt;/dates&gt;&lt;publisher&gt;National Blood Authority&lt;/publisher&gt;&lt;urls&gt;&lt;related-urls&gt;&lt;url&gt;&lt;style face="underline" font="default" size="100%"&gt;https://www.criteria.blood.gov.au/&lt;/style&gt;&lt;/url&gt;&lt;/related-urls&gt;&lt;/urls&gt;&lt;/record&gt;&lt;/Cite&gt;&lt;/EndNote&gt;</w:instrText>
      </w:r>
      <w:r>
        <w:fldChar w:fldCharType="separate"/>
      </w:r>
      <w:r w:rsidRPr="00A516FD">
        <w:rPr>
          <w:noProof/>
          <w:vertAlign w:val="superscript"/>
        </w:rPr>
        <w:t>1</w:t>
      </w:r>
      <w:r>
        <w:fldChar w:fldCharType="end"/>
      </w:r>
      <w:r>
        <w:t xml:space="preserve"> These are:</w:t>
      </w:r>
    </w:p>
    <w:p w14:paraId="5287E767" w14:textId="77777777" w:rsidR="00A516FD" w:rsidRPr="002D4893" w:rsidRDefault="00A516FD" w:rsidP="00A516FD">
      <w:pPr>
        <w:pStyle w:val="ListParagraph"/>
        <w:numPr>
          <w:ilvl w:val="0"/>
          <w:numId w:val="18"/>
        </w:numPr>
      </w:pPr>
      <w:r>
        <w:t xml:space="preserve">Acquired hypogammaglobulinaemia secondary to haematological malignancy or post </w:t>
      </w:r>
      <w:r w:rsidRPr="002D4893">
        <w:t>haematopoietic stem cell transplantation (HSCT)</w:t>
      </w:r>
    </w:p>
    <w:p w14:paraId="42C545A4" w14:textId="77777777" w:rsidR="00A516FD" w:rsidRPr="002D4893" w:rsidRDefault="00A516FD" w:rsidP="00A516FD">
      <w:pPr>
        <w:pStyle w:val="ListParagraph"/>
        <w:numPr>
          <w:ilvl w:val="0"/>
          <w:numId w:val="18"/>
        </w:numPr>
      </w:pPr>
      <w:r w:rsidRPr="002D4893">
        <w:t xml:space="preserve">Specific antibody deficiency </w:t>
      </w:r>
    </w:p>
    <w:p w14:paraId="250D7BA6" w14:textId="77777777" w:rsidR="00A516FD" w:rsidRPr="002D4893" w:rsidRDefault="00A516FD" w:rsidP="00A516FD">
      <w:pPr>
        <w:pStyle w:val="ListParagraph"/>
        <w:numPr>
          <w:ilvl w:val="0"/>
          <w:numId w:val="18"/>
        </w:numPr>
      </w:pPr>
      <w:r w:rsidRPr="002D4893">
        <w:t xml:space="preserve">IgG subclass deficiency </w:t>
      </w:r>
    </w:p>
    <w:p w14:paraId="114D4555" w14:textId="0775E810" w:rsidR="00A516FD" w:rsidRDefault="00A516FD" w:rsidP="00A516FD">
      <w:pPr>
        <w:pStyle w:val="ListParagraph"/>
        <w:numPr>
          <w:ilvl w:val="0"/>
          <w:numId w:val="18"/>
        </w:numPr>
      </w:pPr>
      <w:r>
        <w:t xml:space="preserve">Secondary hypogammaglobulinaemia unrelated to haematological malignancy or </w:t>
      </w:r>
      <w:r w:rsidR="002542BB">
        <w:t>HSCT.</w:t>
      </w:r>
    </w:p>
    <w:p w14:paraId="51546F73" w14:textId="3D848A0F" w:rsidR="00B00FC5" w:rsidRPr="00B03421" w:rsidRDefault="00B00FC5" w:rsidP="002D4893">
      <w:r>
        <w:t>Note: these patients may be eligible to receive Ig under a separate medical condition.</w:t>
      </w:r>
    </w:p>
    <w:p w14:paraId="5C697FEE" w14:textId="77777777" w:rsidR="00A516FD" w:rsidRPr="005C1782" w:rsidRDefault="00A516FD" w:rsidP="005C1782">
      <w:pPr>
        <w:pStyle w:val="Heading4"/>
      </w:pPr>
      <w:r w:rsidRPr="005C1782">
        <w:t>Background</w:t>
      </w:r>
    </w:p>
    <w:p w14:paraId="565DB430" w14:textId="77777777" w:rsidR="00A516FD" w:rsidRPr="00003129" w:rsidRDefault="00A516FD" w:rsidP="00A516FD">
      <w:r>
        <w:t xml:space="preserve">Immunodeficiencies are a group of disorders characterised by a defect in the immune system. They are classified into two types; </w:t>
      </w:r>
      <w:r w:rsidR="005C1782">
        <w:t>PID</w:t>
      </w:r>
      <w:r>
        <w:t xml:space="preserve"> and secondary immunodeficiencies. Secondary immunodeficiencies are usually caused as a result of another disease or illness or due to certain medications or infections, whilst PID, those of relevance to this PICO, are mostly caused by inherited defects of genes that control the immune system.</w:t>
      </w:r>
      <w:r>
        <w:fldChar w:fldCharType="begin"/>
      </w:r>
      <w:r>
        <w:instrText xml:space="preserve"> ADDIN EN.CITE &lt;EndNote&gt;&lt;Cite&gt;&lt;Author&gt;Australasian Society of Clinical Immunology and Allergy&lt;/Author&gt;&lt;Year&gt;2017&lt;/Year&gt;&lt;RecNum&gt;3&lt;/RecNum&gt;&lt;DisplayText&gt;&lt;style face="superscript"&gt;2&lt;/style&gt;&lt;/DisplayText&gt;&lt;record&gt;&lt;rec-number&gt;3&lt;/rec-number&gt;&lt;foreign-keys&gt;&lt;key app="EN" db-id="pzpr9fpzq5dfrrefpetx2pfn5fz5e2r0vtdf" timestamp="1569297104"&gt;3&lt;/key&gt;&lt;/foreign-keys&gt;&lt;ref-type name="Web Page"&gt;12&lt;/ref-type&gt;&lt;contributors&gt;&lt;authors&gt;&lt;author&gt;Australasian Society of Clinical Immunology and Allergy,&lt;/author&gt;&lt;/authors&gt;&lt;/contributors&gt;&lt;titles&gt;&lt;title&gt;Primary immunodeficiencies (PID) Clinical Update&lt;/title&gt;&lt;/titles&gt;&lt;volume&gt;2019&lt;/volume&gt;&lt;number&gt;24th September&lt;/number&gt;&lt;dates&gt;&lt;year&gt;2017&lt;/year&gt;&lt;/dates&gt;&lt;publisher&gt;Australasian Society of Clinical Immunology and Allergy&lt;/publisher&gt;&lt;urls&gt;&lt;related-urls&gt;&lt;url&gt;&lt;style face="underline" font="default" size="100%"&gt;https://www.allergy.org.au/hp/papers/pid&lt;/style&gt;&lt;/url&gt;&lt;/related-urls&gt;&lt;/urls&gt;&lt;/record&gt;&lt;/Cite&gt;&lt;/EndNote&gt;</w:instrText>
      </w:r>
      <w:r>
        <w:fldChar w:fldCharType="separate"/>
      </w:r>
      <w:r w:rsidRPr="00A516FD">
        <w:rPr>
          <w:noProof/>
          <w:vertAlign w:val="superscript"/>
        </w:rPr>
        <w:t>2</w:t>
      </w:r>
      <w:r>
        <w:fldChar w:fldCharType="end"/>
      </w:r>
    </w:p>
    <w:p w14:paraId="63D67066" w14:textId="77777777" w:rsidR="00A516FD" w:rsidRPr="0039724D" w:rsidRDefault="005C1782" w:rsidP="00A516FD">
      <w:r>
        <w:t xml:space="preserve">The term </w:t>
      </w:r>
      <w:r w:rsidR="00A516FD">
        <w:t xml:space="preserve">PID </w:t>
      </w:r>
      <w:r>
        <w:t>encompasses</w:t>
      </w:r>
      <w:r w:rsidR="00A516FD">
        <w:t xml:space="preserve"> a group of more than 400 disorders. They</w:t>
      </w:r>
      <w:r w:rsidR="00A516FD" w:rsidRPr="0039724D">
        <w:t xml:space="preserve"> may present at any age; however, more severe forms, such as </w:t>
      </w:r>
      <w:r w:rsidR="00A516FD">
        <w:t>severe combined immunodeficiency (SCID),</w:t>
      </w:r>
      <w:r w:rsidR="00A516FD" w:rsidRPr="0039724D">
        <w:t xml:space="preserve"> generally become apparent early in life whilst other PID, such as </w:t>
      </w:r>
      <w:r w:rsidR="00A516FD">
        <w:t>CVID</w:t>
      </w:r>
      <w:r w:rsidR="00A516FD" w:rsidRPr="0039724D">
        <w:t>, are more commonly diagnosed in adults.</w:t>
      </w:r>
      <w:r w:rsidR="00A516FD" w:rsidRPr="0039724D">
        <w:fldChar w:fldCharType="begin"/>
      </w:r>
      <w:r w:rsidR="00A516FD">
        <w:instrText xml:space="preserve"> ADDIN EN.CITE &lt;EndNote&gt;&lt;Cite&gt;&lt;Author&gt;Australasian Society of Clinical Immunology and Allergy&lt;/Author&gt;&lt;Year&gt;2017&lt;/Year&gt;&lt;RecNum&gt;3&lt;/RecNum&gt;&lt;DisplayText&gt;&lt;style face="superscript"&gt;2&lt;/style&gt;&lt;/DisplayText&gt;&lt;record&gt;&lt;rec-number&gt;3&lt;/rec-number&gt;&lt;foreign-keys&gt;&lt;key app="EN" db-id="pzpr9fpzq5dfrrefpetx2pfn5fz5e2r0vtdf" timestamp="1569297104"&gt;3&lt;/key&gt;&lt;/foreign-keys&gt;&lt;ref-type name="Web Page"&gt;12&lt;/ref-type&gt;&lt;contributors&gt;&lt;authors&gt;&lt;author&gt;Australasian Society of Clinical Immunology and Allergy,&lt;/author&gt;&lt;/authors&gt;&lt;/contributors&gt;&lt;titles&gt;&lt;title&gt;Primary immunodeficiencies (PID) Clinical Update&lt;/title&gt;&lt;/titles&gt;&lt;volume&gt;2019&lt;/volume&gt;&lt;number&gt;24th September&lt;/number&gt;&lt;dates&gt;&lt;year&gt;2017&lt;/year&gt;&lt;/dates&gt;&lt;publisher&gt;Australasian Society of Clinical Immunology and Allergy&lt;/publisher&gt;&lt;urls&gt;&lt;related-urls&gt;&lt;url&gt;&lt;style face="underline" font="default" size="100%"&gt;https://www.allergy.org.au/hp/papers/pid&lt;/style&gt;&lt;/url&gt;&lt;/related-urls&gt;&lt;/urls&gt;&lt;/record&gt;&lt;/Cite&gt;&lt;/EndNote&gt;</w:instrText>
      </w:r>
      <w:r w:rsidR="00A516FD" w:rsidRPr="0039724D">
        <w:fldChar w:fldCharType="separate"/>
      </w:r>
      <w:r w:rsidR="00A516FD" w:rsidRPr="00A516FD">
        <w:rPr>
          <w:noProof/>
          <w:vertAlign w:val="superscript"/>
        </w:rPr>
        <w:t>2</w:t>
      </w:r>
      <w:r w:rsidR="00A516FD" w:rsidRPr="0039724D">
        <w:fldChar w:fldCharType="end"/>
      </w:r>
      <w:r w:rsidR="00A516FD" w:rsidRPr="0039724D">
        <w:t xml:space="preserve"> </w:t>
      </w:r>
    </w:p>
    <w:p w14:paraId="34A2E687" w14:textId="77777777" w:rsidR="00A516FD" w:rsidRDefault="00A516FD" w:rsidP="00A516FD">
      <w:r>
        <w:t>People with PID have an increased susceptibility to infection. Whilst anyone is susceptible to infection, in people with PID the infections are unusually persistent, recurrent or resistant to treatment, very severe, or due to unusual germs.</w:t>
      </w:r>
      <w:r>
        <w:fldChar w:fldCharType="begin"/>
      </w:r>
      <w:r>
        <w:instrText xml:space="preserve"> ADDIN EN.CITE &lt;EndNote&gt;&lt;Cite&gt;&lt;Author&gt;Australasian Society of Clinical Immunology and Allergy&lt;/Author&gt;&lt;Year&gt;2019&lt;/Year&gt;&lt;RecNum&gt;5&lt;/RecNum&gt;&lt;DisplayText&gt;&lt;style face="superscript"&gt;3&lt;/style&gt;&lt;/DisplayText&gt;&lt;record&gt;&lt;rec-number&gt;5&lt;/rec-number&gt;&lt;foreign-keys&gt;&lt;key app="EN" db-id="pzpr9fpzq5dfrrefpetx2pfn5fz5e2r0vtdf" timestamp="1569369292"&gt;5&lt;/key&gt;&lt;/foreign-keys&gt;&lt;ref-type name="Web Page"&gt;12&lt;/ref-type&gt;&lt;contributors&gt;&lt;authors&gt;&lt;author&gt;Australasian Society of Clinical Immunology and Allergy,&lt;/author&gt;&lt;/authors&gt;&lt;/contributors&gt;&lt;titles&gt;&lt;title&gt;Primary Immunodeficiency (PIDs)&lt;/title&gt;&lt;/titles&gt;&lt;volume&gt;2019&lt;/volume&gt;&lt;number&gt;25 September&lt;/number&gt;&lt;dates&gt;&lt;year&gt;2019&lt;/year&gt;&lt;/dates&gt;&lt;pub-location&gt;Australia&lt;/pub-location&gt;&lt;publisher&gt;Australasian Society of Clinical Immunology and Allergy&lt;/publisher&gt;&lt;urls&gt;&lt;related-urls&gt;&lt;url&gt;&lt;style face="underline" font="default" size="100%"&gt;https://www.allergy.org.au/patients/immunodeficiencies&lt;/style&gt;&lt;/url&gt;&lt;/related-urls&gt;&lt;/urls&gt;&lt;/record&gt;&lt;/Cite&gt;&lt;/EndNote&gt;</w:instrText>
      </w:r>
      <w:r>
        <w:fldChar w:fldCharType="separate"/>
      </w:r>
      <w:r w:rsidRPr="00A70E6A">
        <w:rPr>
          <w:noProof/>
          <w:vertAlign w:val="superscript"/>
        </w:rPr>
        <w:t>3</w:t>
      </w:r>
      <w:r>
        <w:fldChar w:fldCharType="end"/>
      </w:r>
      <w:r>
        <w:t xml:space="preserve"> The Australasian Society of Clinical Immunology and Allergy (ASCIA) describes the early warning signs of PID as:</w:t>
      </w:r>
      <w:r>
        <w:fldChar w:fldCharType="begin"/>
      </w:r>
      <w:r>
        <w:instrText xml:space="preserve"> ADDIN EN.CITE &lt;EndNote&gt;&lt;Cite&gt;&lt;Author&gt;Australasian Society of Clinical Immunology and Allergy&lt;/Author&gt;&lt;Year&gt;2017&lt;/Year&gt;&lt;RecNum&gt;3&lt;/RecNum&gt;&lt;DisplayText&gt;&lt;style face="superscript"&gt;2&lt;/style&gt;&lt;/DisplayText&gt;&lt;record&gt;&lt;rec-number&gt;3&lt;/rec-number&gt;&lt;foreign-keys&gt;&lt;key app="EN" db-id="pzpr9fpzq5dfrrefpetx2pfn5fz5e2r0vtdf" timestamp="1569297104"&gt;3&lt;/key&gt;&lt;/foreign-keys&gt;&lt;ref-type name="Web Page"&gt;12&lt;/ref-type&gt;&lt;contributors&gt;&lt;authors&gt;&lt;author&gt;Australasian Society of Clinical Immunology and Allergy,&lt;/author&gt;&lt;/authors&gt;&lt;/contributors&gt;&lt;titles&gt;&lt;title&gt;Primary immunodeficiencies (PID) Clinical Update&lt;/title&gt;&lt;/titles&gt;&lt;volume&gt;2019&lt;/volume&gt;&lt;number&gt;24th September&lt;/number&gt;&lt;dates&gt;&lt;year&gt;2017&lt;/year&gt;&lt;/dates&gt;&lt;publisher&gt;Australasian Society of Clinical Immunology and Allergy&lt;/publisher&gt;&lt;urls&gt;&lt;related-urls&gt;&lt;url&gt;&lt;style face="underline" font="default" size="100%"&gt;https://www.allergy.org.au/hp/papers/pid&lt;/style&gt;&lt;/url&gt;&lt;/related-urls&gt;&lt;/urls&gt;&lt;/record&gt;&lt;/Cite&gt;&lt;/EndNote&gt;</w:instrText>
      </w:r>
      <w:r>
        <w:fldChar w:fldCharType="separate"/>
      </w:r>
      <w:r w:rsidRPr="00A516FD">
        <w:rPr>
          <w:noProof/>
          <w:vertAlign w:val="superscript"/>
        </w:rPr>
        <w:t>2</w:t>
      </w:r>
      <w:r>
        <w:fldChar w:fldCharType="end"/>
      </w:r>
    </w:p>
    <w:p w14:paraId="68728AFA" w14:textId="77777777" w:rsidR="00A516FD" w:rsidRDefault="00A516FD" w:rsidP="00A516FD">
      <w:pPr>
        <w:pStyle w:val="ListParagraph"/>
        <w:numPr>
          <w:ilvl w:val="0"/>
          <w:numId w:val="21"/>
        </w:numPr>
      </w:pPr>
      <w:r>
        <w:t xml:space="preserve">An unusually large number of infections requiring treatment (e.g. infections of the middle ear, sinus, pneumonia, chronic suppurative sinus or lung disease in adults) </w:t>
      </w:r>
    </w:p>
    <w:p w14:paraId="0D4A9308" w14:textId="77777777" w:rsidR="00A516FD" w:rsidRDefault="00A516FD" w:rsidP="00A516FD">
      <w:pPr>
        <w:pStyle w:val="ListParagraph"/>
        <w:numPr>
          <w:ilvl w:val="0"/>
          <w:numId w:val="21"/>
        </w:numPr>
      </w:pPr>
      <w:r>
        <w:t>Infections caused by unusual or opportunistic types of organisms</w:t>
      </w:r>
    </w:p>
    <w:p w14:paraId="00F75734" w14:textId="77777777" w:rsidR="00A516FD" w:rsidRDefault="00A516FD" w:rsidP="00A516FD">
      <w:pPr>
        <w:pStyle w:val="ListParagraph"/>
        <w:numPr>
          <w:ilvl w:val="0"/>
          <w:numId w:val="21"/>
        </w:numPr>
      </w:pPr>
      <w:r>
        <w:t>Infections in unusual places (e.g. perianal or organ abscesses)</w:t>
      </w:r>
    </w:p>
    <w:p w14:paraId="2BD90955" w14:textId="77777777" w:rsidR="00A516FD" w:rsidRDefault="00A516FD" w:rsidP="00A516FD">
      <w:pPr>
        <w:pStyle w:val="ListParagraph"/>
        <w:numPr>
          <w:ilvl w:val="0"/>
          <w:numId w:val="21"/>
        </w:numPr>
      </w:pPr>
      <w:r>
        <w:t>Infections that do not respond to treatment as normally expected</w:t>
      </w:r>
    </w:p>
    <w:p w14:paraId="4047D87F" w14:textId="77777777" w:rsidR="00A516FD" w:rsidRDefault="00A516FD" w:rsidP="00A516FD">
      <w:pPr>
        <w:pStyle w:val="ListParagraph"/>
        <w:numPr>
          <w:ilvl w:val="0"/>
          <w:numId w:val="21"/>
        </w:numPr>
      </w:pPr>
      <w:r>
        <w:t>A child that does not respond to treatment as normally expected or weight loss in adults</w:t>
      </w:r>
    </w:p>
    <w:p w14:paraId="1F496495" w14:textId="77777777" w:rsidR="00A516FD" w:rsidRDefault="00A516FD" w:rsidP="00A516FD">
      <w:pPr>
        <w:pStyle w:val="ListParagraph"/>
        <w:numPr>
          <w:ilvl w:val="0"/>
          <w:numId w:val="21"/>
        </w:numPr>
      </w:pPr>
      <w:r>
        <w:t>A family history of immunodeficiency or abnormal infections</w:t>
      </w:r>
    </w:p>
    <w:p w14:paraId="5DA45B3B" w14:textId="77777777" w:rsidR="00A516FD" w:rsidRDefault="00A516FD" w:rsidP="00A516FD">
      <w:pPr>
        <w:pStyle w:val="ListParagraph"/>
        <w:numPr>
          <w:ilvl w:val="0"/>
          <w:numId w:val="21"/>
        </w:numPr>
      </w:pPr>
      <w:r>
        <w:t>Any other unusual symptoms related to infection (e.g. persistent diarrhoea)</w:t>
      </w:r>
    </w:p>
    <w:p w14:paraId="054CBBA2" w14:textId="70F9F396" w:rsidR="00A516FD" w:rsidRDefault="00A516FD" w:rsidP="00A516FD">
      <w:pPr>
        <w:pStyle w:val="ListParagraph"/>
        <w:numPr>
          <w:ilvl w:val="0"/>
          <w:numId w:val="21"/>
        </w:numPr>
      </w:pPr>
      <w:r>
        <w:t>Other features of PID (autoimmune cytopenias, granuloma formation at any site, chronic enteropathy unresponsive to gluten withdrawal from diet, unexplained hepatomegaly, unexplained splenomegaly, lymphoid pneumonitis)</w:t>
      </w:r>
      <w:r w:rsidR="00D3091D">
        <w:t>.</w:t>
      </w:r>
    </w:p>
    <w:p w14:paraId="6BC6D71E" w14:textId="77777777" w:rsidR="00A516FD" w:rsidRDefault="00A516FD" w:rsidP="00A516FD">
      <w:r>
        <w:t>PID are generally classified according to the part of the immune system that is primarily affected and include: antibody deficiencies, combined immunodeficiencies, phagocytic cell deficiencies, immune dysregulation and complement deficiencies.</w:t>
      </w:r>
      <w:r>
        <w:fldChar w:fldCharType="begin"/>
      </w:r>
      <w:r>
        <w:instrText xml:space="preserve"> ADDIN EN.CITE &lt;EndNote&gt;&lt;Cite&gt;&lt;Author&gt;McCusker&lt;/Author&gt;&lt;Year&gt;2018&lt;/Year&gt;&lt;RecNum&gt;6&lt;/RecNum&gt;&lt;DisplayText&gt;&lt;style face="superscript"&gt;4&lt;/style&gt;&lt;/DisplayText&gt;&lt;record&gt;&lt;rec-number&gt;6&lt;/rec-number&gt;&lt;foreign-keys&gt;&lt;key app="EN" db-id="pzpr9fpzq5dfrrefpetx2pfn5fz5e2r0vtdf" timestamp="1569369914"&gt;6&lt;/key&gt;&lt;/foreign-keys&gt;&lt;ref-type name="Journal Article"&gt;17&lt;/ref-type&gt;&lt;contributors&gt;&lt;authors&gt;&lt;author&gt;McCusker, Christine&lt;/author&gt;&lt;author&gt;Upton, Julia&lt;/author&gt;&lt;author&gt;Warrington, Richard&lt;/author&gt;&lt;/authors&gt;&lt;/contributors&gt;&lt;titles&gt;&lt;title&gt;Primary immunodeficiency&lt;/title&gt;&lt;secondary-title&gt;Allergy, asthma, and clinical immunology : official journal of the Canadian Society of Allergy and Clinical Immunology&lt;/secondary-title&gt;&lt;alt-title&gt;Allergy Asthma Clin Immunol&lt;/alt-title&gt;&lt;/titles&gt;&lt;periodical&gt;&lt;full-title&gt;Allergy, asthma, and clinical immunology : official journal of the Canadian Society of Allergy and Clinical Immunology&lt;/full-title&gt;&lt;abbr-1&gt;Allergy Asthma Clin Immunol&lt;/abbr-1&gt;&lt;/periodical&gt;&lt;alt-periodical&gt;&lt;full-title&gt;Allergy, asthma, and clinical immunology : official journal of the Canadian Society of Allergy and Clinical Immunology&lt;/full-title&gt;&lt;abbr-1&gt;Allergy Asthma Clin Immunol&lt;/abbr-1&gt;&lt;/alt-periodical&gt;&lt;pages&gt;61-61&lt;/pages&gt;&lt;volume&gt;14&lt;/volume&gt;&lt;number&gt;Suppl 2&lt;/number&gt;&lt;dates&gt;&lt;year&gt;2018&lt;/year&gt;&lt;/dates&gt;&lt;publisher&gt;BioMed Central&lt;/publisher&gt;&lt;isbn&gt;1710-1484&amp;#xD;1710-1492&lt;/isbn&gt;&lt;accession-num&gt;30275850&lt;/accession-num&gt;&lt;urls&gt;&lt;related-urls&gt;&lt;url&gt;https://www.ncbi.nlm.nih.gov/pubmed/30275850&lt;/url&gt;&lt;url&gt;https://www.ncbi.nlm.nih.gov/pmc/articles/PMC6157160/&lt;/url&gt;&lt;/related-urls&gt;&lt;/urls&gt;&lt;electronic-resource-num&gt;10.1186/s13223-018-0290-5&lt;/electronic-resource-num&gt;&lt;remote-database-name&gt;PubMed&lt;/remote-database-name&gt;&lt;language&gt;eng&lt;/language&gt;&lt;/record&gt;&lt;/Cite&gt;&lt;/EndNote&gt;</w:instrText>
      </w:r>
      <w:r>
        <w:fldChar w:fldCharType="separate"/>
      </w:r>
      <w:r w:rsidRPr="00A516FD">
        <w:rPr>
          <w:noProof/>
          <w:vertAlign w:val="superscript"/>
        </w:rPr>
        <w:t>4</w:t>
      </w:r>
      <w:r>
        <w:fldChar w:fldCharType="end"/>
      </w:r>
      <w:r>
        <w:t xml:space="preserve"> Those PID that are relevant to this PICO (listed in ‘</w:t>
      </w:r>
      <w:r w:rsidRPr="0031715A">
        <w:rPr>
          <w:i/>
        </w:rPr>
        <w:t>the Criteria</w:t>
      </w:r>
      <w:r>
        <w:t>’ and thus publicly funded for treatment with Ig) are described below.</w:t>
      </w:r>
    </w:p>
    <w:p w14:paraId="46378C9D" w14:textId="77777777" w:rsidR="00A516FD" w:rsidRDefault="00A516FD" w:rsidP="005C1782">
      <w:pPr>
        <w:pStyle w:val="Heading4"/>
      </w:pPr>
      <w:r>
        <w:t>Antibody deficiencies</w:t>
      </w:r>
    </w:p>
    <w:p w14:paraId="5C1A4078" w14:textId="77777777" w:rsidR="00A516FD" w:rsidRPr="005C1782" w:rsidRDefault="00A516FD" w:rsidP="005C1782">
      <w:pPr>
        <w:pStyle w:val="Heading5"/>
      </w:pPr>
      <w:r w:rsidRPr="005C1782">
        <w:t>Common Variable Immunodeficiency (CVID)</w:t>
      </w:r>
    </w:p>
    <w:p w14:paraId="762828D6" w14:textId="77777777" w:rsidR="00A516FD" w:rsidRDefault="00A516FD" w:rsidP="00A516FD">
      <w:r>
        <w:t>Common Variable Immunodeficiency (CVID) is one of the most common PID. It can occur at any age; however, many people are not diagnosed until they are adults.</w:t>
      </w:r>
      <w:r>
        <w:fldChar w:fldCharType="begin"/>
      </w:r>
      <w:r>
        <w:instrText xml:space="preserve"> ADDIN EN.CITE &lt;EndNote&gt;&lt;Cite&gt;&lt;Author&gt;Australasian Society of Clinical Immunology and Allergy&lt;/Author&gt;&lt;Year&gt;2019&lt;/Year&gt;&lt;RecNum&gt;12&lt;/RecNum&gt;&lt;DisplayText&gt;&lt;style face="superscript"&gt;5&lt;/style&gt;&lt;/DisplayText&gt;&lt;record&gt;&lt;rec-number&gt;12&lt;/rec-number&gt;&lt;foreign-keys&gt;&lt;key app="EN" db-id="pzpr9fpzq5dfrrefpetx2pfn5fz5e2r0vtdf" timestamp="1569804719"&gt;12&lt;/key&gt;&lt;/foreign-keys&gt;&lt;ref-type name="Web Page"&gt;12&lt;/ref-type&gt;&lt;contributors&gt;&lt;authors&gt;&lt;author&gt;Australasian Society of Clinical Immunology and Allergy,&lt;/author&gt;&lt;/authors&gt;&lt;/contributors&gt;&lt;titles&gt;&lt;title&gt;Common Variable Immunodeficiency (CVID)&lt;/title&gt;&lt;/titles&gt;&lt;volume&gt;2019&lt;/volume&gt;&lt;number&gt;30th September&lt;/number&gt;&lt;dates&gt;&lt;year&gt;2019&lt;/year&gt;&lt;/dates&gt;&lt;pub-location&gt;Australi&lt;/pub-location&gt;&lt;publisher&gt;Australasian Society of Clinical Immunology and Allergy&lt;/publisher&gt;&lt;urls&gt;&lt;related-urls&gt;&lt;url&gt;&lt;style face="underline" font="default" size="100%"&gt;https://www.allergy.org.au/images/pcc/ASCIA_PCC_PID_CVID_2019.pdf&lt;/style&gt;&lt;/url&gt;&lt;/related-urls&gt;&lt;/urls&gt;&lt;/record&gt;&lt;/Cite&gt;&lt;/EndNote&gt;</w:instrText>
      </w:r>
      <w:r>
        <w:fldChar w:fldCharType="separate"/>
      </w:r>
      <w:r w:rsidRPr="00A516FD">
        <w:rPr>
          <w:noProof/>
          <w:vertAlign w:val="superscript"/>
        </w:rPr>
        <w:t>5</w:t>
      </w:r>
      <w:r>
        <w:fldChar w:fldCharType="end"/>
      </w:r>
      <w:r>
        <w:t xml:space="preserve">  It results from hypogammaglobulinemia; an inability of the body’s B-cells to produce a sufficient number of functional circulating antibodies (immunoglobulins).</w:t>
      </w:r>
      <w:r>
        <w:fldChar w:fldCharType="begin"/>
      </w:r>
      <w:r>
        <w:instrText xml:space="preserve"> ADDIN EN.CITE &lt;EndNote&gt;&lt;Cite&gt;&lt;Author&gt;Gerber&lt;/Author&gt;&lt;Year&gt;2019&lt;/Year&gt;&lt;RecNum&gt;19&lt;/RecNum&gt;&lt;DisplayText&gt;&lt;style face="superscript"&gt;6&lt;/style&gt;&lt;/DisplayText&gt;&lt;record&gt;&lt;rec-number&gt;19&lt;/rec-number&gt;&lt;foreign-keys&gt;&lt;key app="EN" db-id="pzpr9fpzq5dfrrefpetx2pfn5fz5e2r0vtdf" timestamp="1569983242"&gt;19&lt;/key&gt;&lt;/foreign-keys&gt;&lt;ref-type name="Journal Article"&gt;17&lt;/ref-type&gt;&lt;contributors&gt;&lt;authors&gt;&lt;author&gt;Gerber, William A.&lt;/author&gt;&lt;/authors&gt;&lt;/contributors&gt;&lt;titles&gt;&lt;title&gt;Focus on Chronic Variable Immunodeficiency for Primary Care Practitioners, the Gatekeepers to Optimal Health Outcomes for Primary Immunodeficiency Syndromes&lt;/title&gt;&lt;secondary-title&gt;Current Pediatrics Reports&lt;/secondary-title&gt;&lt;/titles&gt;&lt;periodical&gt;&lt;full-title&gt;Current Pediatrics Reports&lt;/full-title&gt;&lt;/periodical&gt;&lt;dates&gt;&lt;year&gt;2019&lt;/year&gt;&lt;pub-dates&gt;&lt;date&gt;2019/09/16&lt;/date&gt;&lt;/pub-dates&gt;&lt;/dates&gt;&lt;isbn&gt;2167-4841&lt;/isbn&gt;&lt;urls&gt;&lt;related-urls&gt;&lt;url&gt;https://doi.org/10.1007/s40124-019-00202-8&lt;/url&gt;&lt;/related-urls&gt;&lt;/urls&gt;&lt;electronic-resource-num&gt;10.1007/s40124-019-00202-8&lt;/electronic-resource-num&gt;&lt;/record&gt;&lt;/Cite&gt;&lt;/EndNote&gt;</w:instrText>
      </w:r>
      <w:r>
        <w:fldChar w:fldCharType="separate"/>
      </w:r>
      <w:r w:rsidRPr="00A516FD">
        <w:rPr>
          <w:noProof/>
          <w:vertAlign w:val="superscript"/>
        </w:rPr>
        <w:t>6</w:t>
      </w:r>
      <w:r>
        <w:fldChar w:fldCharType="end"/>
      </w:r>
      <w:r>
        <w:t xml:space="preserve"> People with CVID may have decreased levels of:</w:t>
      </w:r>
    </w:p>
    <w:p w14:paraId="7DB3937F" w14:textId="77777777" w:rsidR="00A516FD" w:rsidRDefault="00A516FD" w:rsidP="00A516FD">
      <w:pPr>
        <w:pStyle w:val="ListParagraph"/>
        <w:numPr>
          <w:ilvl w:val="0"/>
          <w:numId w:val="24"/>
        </w:numPr>
      </w:pPr>
      <w:r>
        <w:t>All three major types of Ig (IgG, IgA and IgM)</w:t>
      </w:r>
    </w:p>
    <w:p w14:paraId="6D2E75C8" w14:textId="77777777" w:rsidR="00A516FD" w:rsidRDefault="00A516FD" w:rsidP="00A516FD">
      <w:pPr>
        <w:pStyle w:val="ListParagraph"/>
        <w:numPr>
          <w:ilvl w:val="0"/>
          <w:numId w:val="24"/>
        </w:numPr>
      </w:pPr>
      <w:r>
        <w:t>IgG and IgA, or</w:t>
      </w:r>
    </w:p>
    <w:p w14:paraId="2A69633B" w14:textId="77777777" w:rsidR="00A516FD" w:rsidRDefault="00A516FD" w:rsidP="00A516FD">
      <w:pPr>
        <w:pStyle w:val="ListParagraph"/>
        <w:numPr>
          <w:ilvl w:val="0"/>
          <w:numId w:val="24"/>
        </w:numPr>
      </w:pPr>
      <w:r>
        <w:t>Only IgG</w:t>
      </w:r>
      <w:r>
        <w:fldChar w:fldCharType="begin"/>
      </w:r>
      <w:r>
        <w:instrText xml:space="preserve"> ADDIN EN.CITE &lt;EndNote&gt;&lt;Cite&gt;&lt;Author&gt;Australasian Society of Clinical Immunology and Allergy&lt;/Author&gt;&lt;Year&gt;2019&lt;/Year&gt;&lt;RecNum&gt;12&lt;/RecNum&gt;&lt;DisplayText&gt;&lt;style face="superscript"&gt;5&lt;/style&gt;&lt;/DisplayText&gt;&lt;record&gt;&lt;rec-number&gt;12&lt;/rec-number&gt;&lt;foreign-keys&gt;&lt;key app="EN" db-id="pzpr9fpzq5dfrrefpetx2pfn5fz5e2r0vtdf" timestamp="1569804719"&gt;12&lt;/key&gt;&lt;/foreign-keys&gt;&lt;ref-type name="Web Page"&gt;12&lt;/ref-type&gt;&lt;contributors&gt;&lt;authors&gt;&lt;author&gt;Australasian Society of Clinical Immunology and Allergy,&lt;/author&gt;&lt;/authors&gt;&lt;/contributors&gt;&lt;titles&gt;&lt;title&gt;Common Variable Immunodeficiency (CVID)&lt;/title&gt;&lt;/titles&gt;&lt;volume&gt;2019&lt;/volume&gt;&lt;number&gt;30th September&lt;/number&gt;&lt;dates&gt;&lt;year&gt;2019&lt;/year&gt;&lt;/dates&gt;&lt;pub-location&gt;Australi&lt;/pub-location&gt;&lt;publisher&gt;Australasian Society of Clinical Immunology and Allergy&lt;/publisher&gt;&lt;urls&gt;&lt;related-urls&gt;&lt;url&gt;&lt;style face="underline" font="default" size="100%"&gt;https://www.allergy.org.au/images/pcc/ASCIA_PCC_PID_CVID_2019.pdf&lt;/style&gt;&lt;/url&gt;&lt;/related-urls&gt;&lt;/urls&gt;&lt;/record&gt;&lt;/Cite&gt;&lt;/EndNote&gt;</w:instrText>
      </w:r>
      <w:r>
        <w:fldChar w:fldCharType="separate"/>
      </w:r>
      <w:r w:rsidRPr="00A516FD">
        <w:rPr>
          <w:noProof/>
          <w:vertAlign w:val="superscript"/>
        </w:rPr>
        <w:t>5</w:t>
      </w:r>
      <w:r>
        <w:fldChar w:fldCharType="end"/>
      </w:r>
    </w:p>
    <w:p w14:paraId="2810A5BA" w14:textId="77777777" w:rsidR="00A516FD" w:rsidRPr="002D44DE" w:rsidRDefault="00A516FD" w:rsidP="00A516FD">
      <w:r>
        <w:t>People with CVID have frequent infections of the ears, sinuses, nose and/or lungs due to their reduced antibody responses. They may also experience conjunctivitis and persistent diarrhoea.</w:t>
      </w:r>
      <w:r>
        <w:fldChar w:fldCharType="begin"/>
      </w:r>
      <w:r>
        <w:instrText xml:space="preserve"> ADDIN EN.CITE &lt;EndNote&gt;&lt;Cite&gt;&lt;Author&gt;Australasian Society of Clinical Immunology and Allergy&lt;/Author&gt;&lt;Year&gt;2019&lt;/Year&gt;&lt;RecNum&gt;12&lt;/RecNum&gt;&lt;DisplayText&gt;&lt;style face="superscript"&gt;5&lt;/style&gt;&lt;/DisplayText&gt;&lt;record&gt;&lt;rec-number&gt;12&lt;/rec-number&gt;&lt;foreign-keys&gt;&lt;key app="EN" db-id="pzpr9fpzq5dfrrefpetx2pfn5fz5e2r0vtdf" timestamp="1569804719"&gt;12&lt;/key&gt;&lt;/foreign-keys&gt;&lt;ref-type name="Web Page"&gt;12&lt;/ref-type&gt;&lt;contributors&gt;&lt;authors&gt;&lt;author&gt;Australasian Society of Clinical Immunology and Allergy,&lt;/author&gt;&lt;/authors&gt;&lt;/contributors&gt;&lt;titles&gt;&lt;title&gt;Common Variable Immunodeficiency (CVID)&lt;/title&gt;&lt;/titles&gt;&lt;volume&gt;2019&lt;/volume&gt;&lt;number&gt;30th September&lt;/number&gt;&lt;dates&gt;&lt;year&gt;2019&lt;/year&gt;&lt;/dates&gt;&lt;pub-location&gt;Australi&lt;/pub-location&gt;&lt;publisher&gt;Australasian Society of Clinical Immunology and Allergy&lt;/publisher&gt;&lt;urls&gt;&lt;related-urls&gt;&lt;url&gt;&lt;style face="underline" font="default" size="100%"&gt;https://www.allergy.org.au/images/pcc/ASCIA_PCC_PID_CVID_2019.pdf&lt;/style&gt;&lt;/url&gt;&lt;/related-urls&gt;&lt;/urls&gt;&lt;/record&gt;&lt;/Cite&gt;&lt;/EndNote&gt;</w:instrText>
      </w:r>
      <w:r>
        <w:fldChar w:fldCharType="separate"/>
      </w:r>
      <w:r w:rsidRPr="00A516FD">
        <w:rPr>
          <w:noProof/>
          <w:vertAlign w:val="superscript"/>
        </w:rPr>
        <w:t>5</w:t>
      </w:r>
      <w:r>
        <w:fldChar w:fldCharType="end"/>
      </w:r>
      <w:r>
        <w:t xml:space="preserve">  If left untreated these infections can result in organ damage such as sinusitis and bronchiectasis.</w:t>
      </w:r>
      <w:r>
        <w:fldChar w:fldCharType="begin"/>
      </w:r>
      <w:r>
        <w:instrText xml:space="preserve"> ADDIN EN.CITE &lt;EndNote&gt;&lt;Cite&gt;&lt;Author&gt;Australasian Society of Clinical Immunology and Allergy&lt;/Author&gt;&lt;Year&gt;2019&lt;/Year&gt;&lt;RecNum&gt;12&lt;/RecNum&gt;&lt;DisplayText&gt;&lt;style face="superscript"&gt;5&lt;/style&gt;&lt;/DisplayText&gt;&lt;record&gt;&lt;rec-number&gt;12&lt;/rec-number&gt;&lt;foreign-keys&gt;&lt;key app="EN" db-id="pzpr9fpzq5dfrrefpetx2pfn5fz5e2r0vtdf" timestamp="1569804719"&gt;12&lt;/key&gt;&lt;/foreign-keys&gt;&lt;ref-type name="Web Page"&gt;12&lt;/ref-type&gt;&lt;contributors&gt;&lt;authors&gt;&lt;author&gt;Australasian Society of Clinical Immunology and Allergy,&lt;/author&gt;&lt;/authors&gt;&lt;/contributors&gt;&lt;titles&gt;&lt;title&gt;Common Variable Immunodeficiency (CVID)&lt;/title&gt;&lt;/titles&gt;&lt;volume&gt;2019&lt;/volume&gt;&lt;number&gt;30th September&lt;/number&gt;&lt;dates&gt;&lt;year&gt;2019&lt;/year&gt;&lt;/dates&gt;&lt;pub-location&gt;Australi&lt;/pub-location&gt;&lt;publisher&gt;Australasian Society of Clinical Immunology and Allergy&lt;/publisher&gt;&lt;urls&gt;&lt;related-urls&gt;&lt;url&gt;&lt;style face="underline" font="default" size="100%"&gt;https://www.allergy.org.au/images/pcc/ASCIA_PCC_PID_CVID_2019.pdf&lt;/style&gt;&lt;/url&gt;&lt;/related-urls&gt;&lt;/urls&gt;&lt;/record&gt;&lt;/Cite&gt;&lt;/EndNote&gt;</w:instrText>
      </w:r>
      <w:r>
        <w:fldChar w:fldCharType="separate"/>
      </w:r>
      <w:r w:rsidRPr="00A516FD">
        <w:rPr>
          <w:noProof/>
          <w:vertAlign w:val="superscript"/>
        </w:rPr>
        <w:t>5</w:t>
      </w:r>
      <w:r>
        <w:fldChar w:fldCharType="end"/>
      </w:r>
      <w:r>
        <w:t xml:space="preserve"> </w:t>
      </w:r>
    </w:p>
    <w:p w14:paraId="21B29B80" w14:textId="030D5064" w:rsidR="00A516FD" w:rsidRPr="00272C12" w:rsidRDefault="00A516FD" w:rsidP="00A516FD">
      <w:r>
        <w:t>It should be noted that ‘</w:t>
      </w:r>
      <w:r>
        <w:rPr>
          <w:i/>
        </w:rPr>
        <w:t>t</w:t>
      </w:r>
      <w:r w:rsidRPr="00272C12">
        <w:rPr>
          <w:i/>
        </w:rPr>
        <w:t>he Criteria’</w:t>
      </w:r>
      <w:r>
        <w:rPr>
          <w:i/>
        </w:rPr>
        <w:t xml:space="preserve"> </w:t>
      </w:r>
      <w:r>
        <w:t xml:space="preserve">specifies that IVIg is indicated for use in CVID in which the European Society for Immunodeficiencies </w:t>
      </w:r>
      <w:r w:rsidR="00373370">
        <w:t xml:space="preserve">(ESID) </w:t>
      </w:r>
      <w:r>
        <w:t>diagnostic criteria have been met and also in possible CVID (below normal serum IgG but normal serum IgA level).</w:t>
      </w:r>
    </w:p>
    <w:p w14:paraId="5C04498D" w14:textId="77777777" w:rsidR="00A516FD" w:rsidRDefault="00A516FD" w:rsidP="005C1782">
      <w:pPr>
        <w:pStyle w:val="Heading4"/>
      </w:pPr>
      <w:r>
        <w:t>Transient hypogammaglobulinaemia of infancy</w:t>
      </w:r>
    </w:p>
    <w:p w14:paraId="2B868E13" w14:textId="77777777" w:rsidR="00A516FD" w:rsidRPr="00666507" w:rsidRDefault="00A516FD" w:rsidP="00A516FD">
      <w:r>
        <w:t>Development of immunoglobulins follows a predictable pattern in infancy and early childhood. With transient hypogammaglobulinaemia (THI) production of immunoglobulins in infants and young children is delayed.</w:t>
      </w:r>
      <w:r>
        <w:fldChar w:fldCharType="begin"/>
      </w:r>
      <w:r>
        <w:instrText xml:space="preserve"> ADDIN EN.CITE &lt;EndNote&gt;&lt;Cite&gt;&lt;Author&gt;Australasian Society of Clinical Immunology and Allergy&lt;/Author&gt;&lt;Year&gt;2017&lt;/Year&gt;&lt;RecNum&gt;3&lt;/RecNum&gt;&lt;DisplayText&gt;&lt;style face="superscript"&gt;2&lt;/style&gt;&lt;/DisplayText&gt;&lt;record&gt;&lt;rec-number&gt;3&lt;/rec-number&gt;&lt;foreign-keys&gt;&lt;key app="EN" db-id="pzpr9fpzq5dfrrefpetx2pfn5fz5e2r0vtdf" timestamp="1569297104"&gt;3&lt;/key&gt;&lt;/foreign-keys&gt;&lt;ref-type name="Web Page"&gt;12&lt;/ref-type&gt;&lt;contributors&gt;&lt;authors&gt;&lt;author&gt;Australasian Society of Clinical Immunology and Allergy,&lt;/author&gt;&lt;/authors&gt;&lt;/contributors&gt;&lt;titles&gt;&lt;title&gt;Primary immunodeficiencies (PID) Clinical Update&lt;/title&gt;&lt;/titles&gt;&lt;volume&gt;2019&lt;/volume&gt;&lt;number&gt;24th September&lt;/number&gt;&lt;dates&gt;&lt;year&gt;2017&lt;/year&gt;&lt;/dates&gt;&lt;publisher&gt;Australasian Society of Clinical Immunology and Allergy&lt;/publisher&gt;&lt;urls&gt;&lt;related-urls&gt;&lt;url&gt;&lt;style face="underline" font="default" size="100%"&gt;https://www.allergy.org.au/hp/papers/pid&lt;/style&gt;&lt;/url&gt;&lt;/related-urls&gt;&lt;/urls&gt;&lt;/record&gt;&lt;/Cite&gt;&lt;/EndNote&gt;</w:instrText>
      </w:r>
      <w:r>
        <w:fldChar w:fldCharType="separate"/>
      </w:r>
      <w:r w:rsidRPr="00A516FD">
        <w:rPr>
          <w:noProof/>
          <w:vertAlign w:val="superscript"/>
        </w:rPr>
        <w:t>2</w:t>
      </w:r>
      <w:r>
        <w:fldChar w:fldCharType="end"/>
      </w:r>
      <w:r>
        <w:t xml:space="preserve"> The most common symptoms of children with THI include upper and lower respiratory tract infections, allergic disorders and gastrointestinal problems.</w:t>
      </w:r>
      <w:r>
        <w:fldChar w:fldCharType="begin"/>
      </w:r>
      <w:r>
        <w:instrText xml:space="preserve"> ADDIN EN.CITE &lt;EndNote&gt;&lt;Cite&gt;&lt;Author&gt;Immune Deficiency Foundation&lt;/Author&gt;&lt;Year&gt;2019&lt;/Year&gt;&lt;RecNum&gt;13&lt;/RecNum&gt;&lt;DisplayText&gt;&lt;style face="superscript"&gt;7&lt;/style&gt;&lt;/DisplayText&gt;&lt;record&gt;&lt;rec-number&gt;13&lt;/rec-number&gt;&lt;foreign-keys&gt;&lt;key app="EN" db-id="pzpr9fpzq5dfrrefpetx2pfn5fz5e2r0vtdf" timestamp="1569814495"&gt;13&lt;/key&gt;&lt;/foreign-keys&gt;&lt;ref-type name="Web Page"&gt;12&lt;/ref-type&gt;&lt;contributors&gt;&lt;authors&gt;&lt;author&gt;Immune Deficiency Foundation,&lt;/author&gt;&lt;/authors&gt;&lt;/contributors&gt;&lt;titles&gt;&lt;title&gt;Transient Hypogammaglobulinemia of Infancy&lt;/title&gt;&lt;/titles&gt;&lt;volume&gt;2019&lt;/volume&gt;&lt;number&gt;30th September&lt;/number&gt;&lt;dates&gt;&lt;year&gt;2019&lt;/year&gt;&lt;/dates&gt;&lt;publisher&gt;Immune Deficiency Foundation&lt;/publisher&gt;&lt;urls&gt;&lt;related-urls&gt;&lt;url&gt;&lt;style face="underline" font="default" size="100%"&gt;https://primaryimmune.org/about-primary-immunodeficiencies/specific-disease-types/transient-hypogammaglobulinemia-of-infancy&lt;/style&gt;&lt;/url&gt;&lt;/related-urls&gt;&lt;/urls&gt;&lt;/record&gt;&lt;/Cite&gt;&lt;/EndNote&gt;</w:instrText>
      </w:r>
      <w:r>
        <w:fldChar w:fldCharType="separate"/>
      </w:r>
      <w:r w:rsidRPr="00A516FD">
        <w:rPr>
          <w:noProof/>
          <w:vertAlign w:val="superscript"/>
        </w:rPr>
        <w:t>7</w:t>
      </w:r>
      <w:r>
        <w:fldChar w:fldCharType="end"/>
      </w:r>
      <w:r>
        <w:t xml:space="preserve"> </w:t>
      </w:r>
    </w:p>
    <w:p w14:paraId="64053F4C" w14:textId="77777777" w:rsidR="00A516FD" w:rsidRPr="000574EF" w:rsidRDefault="00A516FD" w:rsidP="005C1782">
      <w:pPr>
        <w:pStyle w:val="Heading4"/>
      </w:pPr>
      <w:r w:rsidRPr="000574EF">
        <w:t>Combined immunodeficiencies</w:t>
      </w:r>
    </w:p>
    <w:p w14:paraId="385A42FE" w14:textId="77777777" w:rsidR="00A516FD" w:rsidRPr="0039724D" w:rsidRDefault="00A516FD" w:rsidP="00A516FD">
      <w:r>
        <w:t>In people with combined immunodeficiencies, both B and T-cell function are affected.</w:t>
      </w:r>
      <w:r>
        <w:fldChar w:fldCharType="begin"/>
      </w:r>
      <w:r>
        <w:instrText xml:space="preserve"> ADDIN EN.CITE &lt;EndNote&gt;&lt;Cite&gt;&lt;Author&gt;Australasian Society of Clinical Immunology and Allergy&lt;/Author&gt;&lt;Year&gt;2019&lt;/Year&gt;&lt;RecNum&gt;5&lt;/RecNum&gt;&lt;DisplayText&gt;&lt;style face="superscript"&gt;3&lt;/style&gt;&lt;/DisplayText&gt;&lt;record&gt;&lt;rec-number&gt;5&lt;/rec-number&gt;&lt;foreign-keys&gt;&lt;key app="EN" db-id="pzpr9fpzq5dfrrefpetx2pfn5fz5e2r0vtdf" timestamp="1569369292"&gt;5&lt;/key&gt;&lt;/foreign-keys&gt;&lt;ref-type name="Web Page"&gt;12&lt;/ref-type&gt;&lt;contributors&gt;&lt;authors&gt;&lt;author&gt;Australasian Society of Clinical Immunology and Allergy,&lt;/author&gt;&lt;/authors&gt;&lt;/contributors&gt;&lt;titles&gt;&lt;title&gt;Primary Immunodeficiency (PIDs)&lt;/title&gt;&lt;/titles&gt;&lt;volume&gt;2019&lt;/volume&gt;&lt;number&gt;25 September&lt;/number&gt;&lt;dates&gt;&lt;year&gt;2019&lt;/year&gt;&lt;/dates&gt;&lt;pub-location&gt;Australia&lt;/pub-location&gt;&lt;publisher&gt;Australasian Society of Clinical Immunology and Allergy&lt;/publisher&gt;&lt;urls&gt;&lt;related-urls&gt;&lt;url&gt;&lt;style face="underline" font="default" size="100%"&gt;https://www.allergy.org.au/patients/immunodeficiencies&lt;/style&gt;&lt;/url&gt;&lt;/related-urls&gt;&lt;/urls&gt;&lt;/record&gt;&lt;/Cite&gt;&lt;/EndNote&gt;</w:instrText>
      </w:r>
      <w:r>
        <w:fldChar w:fldCharType="separate"/>
      </w:r>
      <w:r w:rsidRPr="00C35731">
        <w:rPr>
          <w:noProof/>
          <w:vertAlign w:val="superscript"/>
        </w:rPr>
        <w:t>3</w:t>
      </w:r>
      <w:r>
        <w:fldChar w:fldCharType="end"/>
      </w:r>
      <w:r>
        <w:t xml:space="preserve"> </w:t>
      </w:r>
    </w:p>
    <w:p w14:paraId="79C8D1D4" w14:textId="77777777" w:rsidR="00A516FD" w:rsidRPr="000574EF" w:rsidRDefault="00A516FD" w:rsidP="005C1782">
      <w:pPr>
        <w:pStyle w:val="Heading5"/>
      </w:pPr>
      <w:r w:rsidRPr="000574EF">
        <w:t>Severe Combined Immunodeficiency (SCID)</w:t>
      </w:r>
    </w:p>
    <w:p w14:paraId="28269DC4" w14:textId="77777777" w:rsidR="00A516FD" w:rsidRDefault="00A516FD" w:rsidP="00A516FD">
      <w:r>
        <w:t>SCID is the most serious form of combined immunodeficiency which has a high mortality if diagnosis is delayed.</w:t>
      </w:r>
      <w:r>
        <w:fldChar w:fldCharType="begin"/>
      </w:r>
      <w:r>
        <w:instrText xml:space="preserve"> ADDIN EN.CITE &lt;EndNote&gt;&lt;Cite&gt;&lt;Author&gt;Australasian Society of Clinical Immunology and Allergy&lt;/Author&gt;&lt;Year&gt;2017&lt;/Year&gt;&lt;RecNum&gt;3&lt;/RecNum&gt;&lt;DisplayText&gt;&lt;style face="superscript"&gt;2&lt;/style&gt;&lt;/DisplayText&gt;&lt;record&gt;&lt;rec-number&gt;3&lt;/rec-number&gt;&lt;foreign-keys&gt;&lt;key app="EN" db-id="pzpr9fpzq5dfrrefpetx2pfn5fz5e2r0vtdf" timestamp="1569297104"&gt;3&lt;/key&gt;&lt;/foreign-keys&gt;&lt;ref-type name="Web Page"&gt;12&lt;/ref-type&gt;&lt;contributors&gt;&lt;authors&gt;&lt;author&gt;Australasian Society of Clinical Immunology and Allergy,&lt;/author&gt;&lt;/authors&gt;&lt;/contributors&gt;&lt;titles&gt;&lt;title&gt;Primary immunodeficiencies (PID) Clinical Update&lt;/title&gt;&lt;/titles&gt;&lt;volume&gt;2019&lt;/volume&gt;&lt;number&gt;24th September&lt;/number&gt;&lt;dates&gt;&lt;year&gt;2017&lt;/year&gt;&lt;/dates&gt;&lt;publisher&gt;Australasian Society of Clinical Immunology and Allergy&lt;/publisher&gt;&lt;urls&gt;&lt;related-urls&gt;&lt;url&gt;&lt;style face="underline" font="default" size="100%"&gt;https://www.allergy.org.au/hp/papers/pid&lt;/style&gt;&lt;/url&gt;&lt;/related-urls&gt;&lt;/urls&gt;&lt;/record&gt;&lt;/Cite&gt;&lt;/EndNote&gt;</w:instrText>
      </w:r>
      <w:r>
        <w:fldChar w:fldCharType="separate"/>
      </w:r>
      <w:r w:rsidRPr="00A516FD">
        <w:rPr>
          <w:noProof/>
          <w:vertAlign w:val="superscript"/>
        </w:rPr>
        <w:t>2</w:t>
      </w:r>
      <w:r>
        <w:fldChar w:fldCharType="end"/>
      </w:r>
      <w:r>
        <w:t xml:space="preserve"> Without treatment it is usually fatal within the first two years of life, requiring a haematopoietic stem cell transplant to survive.</w:t>
      </w:r>
      <w:r>
        <w:fldChar w:fldCharType="begin"/>
      </w:r>
      <w:r>
        <w:instrText xml:space="preserve"> ADDIN EN.CITE &lt;EndNote&gt;&lt;Cite&gt;&lt;Author&gt;Australasian Society of Clinical Immunology and Allergy&lt;/Author&gt;&lt;Year&gt;2017&lt;/Year&gt;&lt;RecNum&gt;3&lt;/RecNum&gt;&lt;DisplayText&gt;&lt;style face="superscript"&gt;2&lt;/style&gt;&lt;/DisplayText&gt;&lt;record&gt;&lt;rec-number&gt;3&lt;/rec-number&gt;&lt;foreign-keys&gt;&lt;key app="EN" db-id="pzpr9fpzq5dfrrefpetx2pfn5fz5e2r0vtdf" timestamp="1569297104"&gt;3&lt;/key&gt;&lt;/foreign-keys&gt;&lt;ref-type name="Web Page"&gt;12&lt;/ref-type&gt;&lt;contributors&gt;&lt;authors&gt;&lt;author&gt;Australasian Society of Clinical Immunology and Allergy,&lt;/author&gt;&lt;/authors&gt;&lt;/contributors&gt;&lt;titles&gt;&lt;title&gt;Primary immunodeficiencies (PID) Clinical Update&lt;/title&gt;&lt;/titles&gt;&lt;volume&gt;2019&lt;/volume&gt;&lt;number&gt;24th September&lt;/number&gt;&lt;dates&gt;&lt;year&gt;2017&lt;/year&gt;&lt;/dates&gt;&lt;publisher&gt;Australasian Society of Clinical Immunology and Allergy&lt;/publisher&gt;&lt;urls&gt;&lt;related-urls&gt;&lt;url&gt;&lt;style face="underline" font="default" size="100%"&gt;https://www.allergy.org.au/hp/papers/pid&lt;/style&gt;&lt;/url&gt;&lt;/related-urls&gt;&lt;/urls&gt;&lt;/record&gt;&lt;/Cite&gt;&lt;/EndNote&gt;</w:instrText>
      </w:r>
      <w:r>
        <w:fldChar w:fldCharType="separate"/>
      </w:r>
      <w:r w:rsidRPr="00A516FD">
        <w:rPr>
          <w:noProof/>
          <w:vertAlign w:val="superscript"/>
        </w:rPr>
        <w:t>2</w:t>
      </w:r>
      <w:r>
        <w:fldChar w:fldCharType="end"/>
      </w:r>
      <w:r>
        <w:t xml:space="preserve"> Infants affected by SCID generally appear well at birth but generally become symptomatic within the first few months of life. Symptoms, as defined by the ASCIA</w:t>
      </w:r>
      <w:r>
        <w:fldChar w:fldCharType="begin"/>
      </w:r>
      <w:r>
        <w:instrText xml:space="preserve"> ADDIN EN.CITE &lt;EndNote&gt;&lt;Cite&gt;&lt;Author&gt;Australasian Society of Clinical Immunology and Allergy&lt;/Author&gt;&lt;Year&gt;2017&lt;/Year&gt;&lt;RecNum&gt;3&lt;/RecNum&gt;&lt;DisplayText&gt;&lt;style face="superscript"&gt;2&lt;/style&gt;&lt;/DisplayText&gt;&lt;record&gt;&lt;rec-number&gt;3&lt;/rec-number&gt;&lt;foreign-keys&gt;&lt;key app="EN" db-id="pzpr9fpzq5dfrrefpetx2pfn5fz5e2r0vtdf" timestamp="1569297104"&gt;3&lt;/key&gt;&lt;/foreign-keys&gt;&lt;ref-type name="Web Page"&gt;12&lt;/ref-type&gt;&lt;contributors&gt;&lt;authors&gt;&lt;author&gt;Australasian Society of Clinical Immunology and Allergy,&lt;/author&gt;&lt;/authors&gt;&lt;/contributors&gt;&lt;titles&gt;&lt;title&gt;Primary immunodeficiencies (PID) Clinical Update&lt;/title&gt;&lt;/titles&gt;&lt;volume&gt;2019&lt;/volume&gt;&lt;number&gt;24th September&lt;/number&gt;&lt;dates&gt;&lt;year&gt;2017&lt;/year&gt;&lt;/dates&gt;&lt;publisher&gt;Australasian Society of Clinical Immunology and Allergy&lt;/publisher&gt;&lt;urls&gt;&lt;related-urls&gt;&lt;url&gt;&lt;style face="underline" font="default" size="100%"&gt;https://www.allergy.org.au/hp/papers/pid&lt;/style&gt;&lt;/url&gt;&lt;/related-urls&gt;&lt;/urls&gt;&lt;/record&gt;&lt;/Cite&gt;&lt;/EndNote&gt;</w:instrText>
      </w:r>
      <w:r>
        <w:fldChar w:fldCharType="separate"/>
      </w:r>
      <w:r w:rsidRPr="00A516FD">
        <w:rPr>
          <w:noProof/>
          <w:vertAlign w:val="superscript"/>
        </w:rPr>
        <w:t>2</w:t>
      </w:r>
      <w:r>
        <w:fldChar w:fldCharType="end"/>
      </w:r>
      <w:r>
        <w:t>, include:</w:t>
      </w:r>
    </w:p>
    <w:p w14:paraId="6C7F2378" w14:textId="77777777" w:rsidR="00A516FD" w:rsidRDefault="00A516FD" w:rsidP="00A516FD">
      <w:pPr>
        <w:pStyle w:val="ListParagraph"/>
        <w:numPr>
          <w:ilvl w:val="0"/>
          <w:numId w:val="22"/>
        </w:numPr>
      </w:pPr>
      <w:r>
        <w:t>Recurrent severe infections</w:t>
      </w:r>
    </w:p>
    <w:p w14:paraId="6480A66E" w14:textId="77777777" w:rsidR="00A516FD" w:rsidRDefault="00A516FD" w:rsidP="00A516FD">
      <w:pPr>
        <w:pStyle w:val="ListParagraph"/>
        <w:numPr>
          <w:ilvl w:val="0"/>
          <w:numId w:val="22"/>
        </w:numPr>
      </w:pPr>
      <w:r>
        <w:t>Chronic diarrhoea</w:t>
      </w:r>
    </w:p>
    <w:p w14:paraId="367DC345" w14:textId="77777777" w:rsidR="00A516FD" w:rsidRDefault="00A516FD" w:rsidP="00A516FD">
      <w:pPr>
        <w:pStyle w:val="ListParagraph"/>
        <w:numPr>
          <w:ilvl w:val="0"/>
          <w:numId w:val="22"/>
        </w:numPr>
      </w:pPr>
      <w:r>
        <w:t>Poor growth and failure to thrive</w:t>
      </w:r>
    </w:p>
    <w:p w14:paraId="11B90AD5" w14:textId="77777777" w:rsidR="00A516FD" w:rsidRDefault="00A516FD" w:rsidP="00A516FD">
      <w:pPr>
        <w:pStyle w:val="ListParagraph"/>
        <w:numPr>
          <w:ilvl w:val="0"/>
          <w:numId w:val="22"/>
        </w:numPr>
      </w:pPr>
      <w:r>
        <w:t>Recurrent or persistent oral thrush, viral respiratory and gastrointestinal infections</w:t>
      </w:r>
    </w:p>
    <w:p w14:paraId="02E13BEA" w14:textId="6EA34150" w:rsidR="00A516FD" w:rsidRDefault="00A516FD" w:rsidP="00A516FD">
      <w:pPr>
        <w:pStyle w:val="ListParagraph"/>
        <w:numPr>
          <w:ilvl w:val="0"/>
          <w:numId w:val="22"/>
        </w:numPr>
      </w:pPr>
      <w:r>
        <w:t xml:space="preserve">Opportunistic infections, particularly </w:t>
      </w:r>
      <w:r w:rsidR="00373370" w:rsidRPr="00CB1B4D">
        <w:rPr>
          <w:i/>
        </w:rPr>
        <w:t>P</w:t>
      </w:r>
      <w:r w:rsidRPr="00CB1B4D">
        <w:rPr>
          <w:i/>
        </w:rPr>
        <w:t>neumocystis jiroveci</w:t>
      </w:r>
      <w:r w:rsidRPr="002B2E69">
        <w:t xml:space="preserve"> pneumonia </w:t>
      </w:r>
      <w:r>
        <w:t xml:space="preserve">(PJP) or disseminated </w:t>
      </w:r>
      <w:r w:rsidRPr="002B2E69">
        <w:t xml:space="preserve">Bacillus Calmette-Guérin </w:t>
      </w:r>
      <w:r>
        <w:t>(BCG)</w:t>
      </w:r>
    </w:p>
    <w:p w14:paraId="15C42BC5" w14:textId="77777777" w:rsidR="00A516FD" w:rsidRDefault="00A516FD" w:rsidP="00A516FD">
      <w:pPr>
        <w:pStyle w:val="ListParagraph"/>
        <w:numPr>
          <w:ilvl w:val="0"/>
          <w:numId w:val="22"/>
        </w:numPr>
      </w:pPr>
      <w:r>
        <w:t>Extensive skin rashes such as erythroderma or eczema</w:t>
      </w:r>
    </w:p>
    <w:p w14:paraId="21CFDB0B" w14:textId="1E292E70" w:rsidR="00A516FD" w:rsidRDefault="00A516FD" w:rsidP="00A516FD">
      <w:pPr>
        <w:pStyle w:val="ListParagraph"/>
        <w:numPr>
          <w:ilvl w:val="0"/>
          <w:numId w:val="22"/>
        </w:numPr>
      </w:pPr>
      <w:r>
        <w:t>Absent lymphoid tissue</w:t>
      </w:r>
      <w:r w:rsidR="00373370">
        <w:t>.</w:t>
      </w:r>
    </w:p>
    <w:p w14:paraId="3E130180" w14:textId="77777777" w:rsidR="00A516FD" w:rsidRDefault="00A516FD" w:rsidP="005C1782">
      <w:pPr>
        <w:pStyle w:val="Heading5"/>
      </w:pPr>
      <w:r w:rsidRPr="00FD66B4">
        <w:t>Combined immunodeficiency with associated or syndromal features</w:t>
      </w:r>
    </w:p>
    <w:p w14:paraId="7A2D506E" w14:textId="77777777" w:rsidR="00A516FD" w:rsidRDefault="00A516FD" w:rsidP="00A516FD">
      <w:r>
        <w:t>Combined immunodeficiencies with associated or syndromal features are a group of over 30 conditions that have a characteristic group of phenotypic or laboratory abnormalities (e.g. Wiskott-Aldrich syndrome, Ataxia telangiectasia (Louis-Bar’s syndrome), DiGeorge Syndrome).</w:t>
      </w:r>
      <w:r>
        <w:fldChar w:fldCharType="begin">
          <w:fldData xml:space="preserve">PEVuZE5vdGU+PENpdGU+PEF1dGhvcj5QZXJlejwvQXV0aG9yPjxZZWFyPjIwMTc8L1llYXI+PFJl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</w:fldData>
        </w:fldChar>
      </w:r>
      <w:r>
        <w:instrText xml:space="preserve"> ADDIN EN.CITE </w:instrText>
      </w:r>
      <w:r>
        <w:fldChar w:fldCharType="begin">
          <w:fldData xml:space="preserve">PEVuZE5vdGU+PENpdGU+PEF1dGhvcj5QZXJlejwvQXV0aG9yPjxZZWFyPjIwMTc8L1llYXI+PFJl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</w:fldData>
        </w:fldChar>
      </w:r>
      <w:r>
        <w:instrText xml:space="preserve"> ADDIN EN.CITE.DATA </w:instrText>
      </w:r>
      <w:r>
        <w:fldChar w:fldCharType="end"/>
      </w:r>
      <w:r>
        <w:fldChar w:fldCharType="separate"/>
      </w:r>
      <w:r w:rsidRPr="00A516FD">
        <w:rPr>
          <w:noProof/>
          <w:vertAlign w:val="superscript"/>
        </w:rPr>
        <w:t>8, 9</w:t>
      </w:r>
      <w:r>
        <w:fldChar w:fldCharType="end"/>
      </w:r>
      <w:r>
        <w:t xml:space="preserve"> </w:t>
      </w:r>
    </w:p>
    <w:p w14:paraId="3773905C" w14:textId="77777777" w:rsidR="00A516FD" w:rsidRDefault="00A516FD" w:rsidP="005C1782">
      <w:pPr>
        <w:pStyle w:val="Heading4"/>
      </w:pPr>
      <w:r>
        <w:t>Immune dysregulation</w:t>
      </w:r>
    </w:p>
    <w:p w14:paraId="6775F1C3" w14:textId="77777777" w:rsidR="00A516FD" w:rsidRDefault="00A516FD" w:rsidP="005C1782">
      <w:pPr>
        <w:pStyle w:val="Heading5"/>
      </w:pPr>
      <w:r w:rsidRPr="00FD66B4">
        <w:t>Lymphoproliferative syndromes</w:t>
      </w:r>
    </w:p>
    <w:p w14:paraId="32C8A599" w14:textId="77777777" w:rsidR="00A516FD" w:rsidRPr="004A3305" w:rsidRDefault="00A516FD" w:rsidP="00A516FD">
      <w:r>
        <w:t>Disorders of immune dysregulation are PID associated with autoimmune disease, whereby the body’s immune system reacts against its own cells.</w:t>
      </w:r>
      <w:r>
        <w:fldChar w:fldCharType="begin"/>
      </w:r>
      <w:r>
        <w:instrText xml:space="preserve"> ADDIN EN.CITE &lt;EndNote&gt;&lt;Cite&gt;&lt;Author&gt;McCusker&lt;/Author&gt;&lt;Year&gt;2018&lt;/Year&gt;&lt;RecNum&gt;6&lt;/RecNum&gt;&lt;DisplayText&gt;&lt;style face="superscript"&gt;4&lt;/style&gt;&lt;/DisplayText&gt;&lt;record&gt;&lt;rec-number&gt;6&lt;/rec-number&gt;&lt;foreign-keys&gt;&lt;key app="EN" db-id="pzpr9fpzq5dfrrefpetx2pfn5fz5e2r0vtdf" timestamp="1569369914"&gt;6&lt;/key&gt;&lt;/foreign-keys&gt;&lt;ref-type name="Journal Article"&gt;17&lt;/ref-type&gt;&lt;contributors&gt;&lt;authors&gt;&lt;author&gt;McCusker, Christine&lt;/author&gt;&lt;author&gt;Upton, Julia&lt;/author&gt;&lt;author&gt;Warrington, Richard&lt;/author&gt;&lt;/authors&gt;&lt;/contributors&gt;&lt;titles&gt;&lt;title&gt;Primary immunodeficiency&lt;/title&gt;&lt;secondary-title&gt;Allergy, asthma, and clinical immunology : official journal of the Canadian Society of Allergy and Clinical Immunology&lt;/secondary-title&gt;&lt;alt-title&gt;Allergy Asthma Clin Immunol&lt;/alt-title&gt;&lt;/titles&gt;&lt;periodical&gt;&lt;full-title&gt;Allergy, asthma, and clinical immunology : official journal of the Canadian Society of Allergy and Clinical Immunology&lt;/full-title&gt;&lt;abbr-1&gt;Allergy Asthma Clin Immunol&lt;/abbr-1&gt;&lt;/periodical&gt;&lt;alt-periodical&gt;&lt;full-title&gt;Allergy, asthma, and clinical immunology : official journal of the Canadian Society of Allergy and Clinical Immunology&lt;/full-title&gt;&lt;abbr-1&gt;Allergy Asthma Clin Immunol&lt;/abbr-1&gt;&lt;/alt-periodical&gt;&lt;pages&gt;61-61&lt;/pages&gt;&lt;volume&gt;14&lt;/volume&gt;&lt;number&gt;Suppl 2&lt;/number&gt;&lt;dates&gt;&lt;year&gt;2018&lt;/year&gt;&lt;/dates&gt;&lt;publisher&gt;BioMed Central&lt;/publisher&gt;&lt;isbn&gt;1710-1484&amp;#xD;1710-1492&lt;/isbn&gt;&lt;accession-num&gt;30275850&lt;/accession-num&gt;&lt;urls&gt;&lt;related-urls&gt;&lt;url&gt;https://www.ncbi.nlm.nih.gov/pubmed/30275850&lt;/url&gt;&lt;url&gt;https://www.ncbi.nlm.nih.gov/pmc/articles/PMC6157160/&lt;/url&gt;&lt;/related-urls&gt;&lt;/urls&gt;&lt;electronic-resource-num&gt;10.1186/s13223-018-0290-5&lt;/electronic-resource-num&gt;&lt;remote-database-name&gt;PubMed&lt;/remote-database-name&gt;&lt;language&gt;eng&lt;/language&gt;&lt;/record&gt;&lt;/Cite&gt;&lt;/EndNote&gt;</w:instrText>
      </w:r>
      <w:r>
        <w:fldChar w:fldCharType="separate"/>
      </w:r>
      <w:r w:rsidRPr="00A516FD">
        <w:rPr>
          <w:noProof/>
          <w:vertAlign w:val="superscript"/>
        </w:rPr>
        <w:t>4</w:t>
      </w:r>
      <w:r>
        <w:fldChar w:fldCharType="end"/>
      </w:r>
      <w:r>
        <w:t xml:space="preserve"> In many of these disorders lymphocytes may be present but dysfunctional.</w:t>
      </w:r>
      <w:r>
        <w:fldChar w:fldCharType="begin"/>
      </w:r>
      <w:r>
        <w:instrText xml:space="preserve"> ADDIN EN.CITE &lt;EndNote&gt;&lt;Cite&gt;&lt;Author&gt;McCusker&lt;/Author&gt;&lt;Year&gt;2018&lt;/Year&gt;&lt;RecNum&gt;6&lt;/RecNum&gt;&lt;DisplayText&gt;&lt;style face="superscript"&gt;4&lt;/style&gt;&lt;/DisplayText&gt;&lt;record&gt;&lt;rec-number&gt;6&lt;/rec-number&gt;&lt;foreign-keys&gt;&lt;key app="EN" db-id="pzpr9fpzq5dfrrefpetx2pfn5fz5e2r0vtdf" timestamp="1569369914"&gt;6&lt;/key&gt;&lt;/foreign-keys&gt;&lt;ref-type name="Journal Article"&gt;17&lt;/ref-type&gt;&lt;contributors&gt;&lt;authors&gt;&lt;author&gt;McCusker, Christine&lt;/author&gt;&lt;author&gt;Upton, Julia&lt;/author&gt;&lt;author&gt;Warrington, Richard&lt;/author&gt;&lt;/authors&gt;&lt;/contributors&gt;&lt;titles&gt;&lt;title&gt;Primary immunodeficiency&lt;/title&gt;&lt;secondary-title&gt;Allergy, asthma, and clinical immunology : official journal of the Canadian Society of Allergy and Clinical Immunology&lt;/secondary-title&gt;&lt;alt-title&gt;Allergy Asthma Clin Immunol&lt;/alt-title&gt;&lt;/titles&gt;&lt;periodical&gt;&lt;full-title&gt;Allergy, asthma, and clinical immunology : official journal of the Canadian Society of Allergy and Clinical Immunology&lt;/full-title&gt;&lt;abbr-1&gt;Allergy Asthma Clin Immunol&lt;/abbr-1&gt;&lt;/periodical&gt;&lt;alt-periodical&gt;&lt;full-title&gt;Allergy, asthma, and clinical immunology : official journal of the Canadian Society of Allergy and Clinical Immunology&lt;/full-title&gt;&lt;abbr-1&gt;Allergy Asthma Clin Immunol&lt;/abbr-1&gt;&lt;/alt-periodical&gt;&lt;pages&gt;61-61&lt;/pages&gt;&lt;volume&gt;14&lt;/volume&gt;&lt;number&gt;Suppl 2&lt;/number&gt;&lt;dates&gt;&lt;year&gt;2018&lt;/year&gt;&lt;/dates&gt;&lt;publisher&gt;BioMed Central&lt;/publisher&gt;&lt;isbn&gt;1710-1484&amp;#xD;1710-1492&lt;/isbn&gt;&lt;accession-num&gt;30275850&lt;/accession-num&gt;&lt;urls&gt;&lt;related-urls&gt;&lt;url&gt;https://www.ncbi.nlm.nih.gov/pubmed/30275850&lt;/url&gt;&lt;url&gt;https://www.ncbi.nlm.nih.gov/pmc/articles/PMC6157160/&lt;/url&gt;&lt;/related-urls&gt;&lt;/urls&gt;&lt;electronic-resource-num&gt;10.1186/s13223-018-0290-5&lt;/electronic-resource-num&gt;&lt;remote-database-name&gt;PubMed&lt;/remote-database-name&gt;&lt;language&gt;eng&lt;/language&gt;&lt;/record&gt;&lt;/Cite&gt;&lt;/EndNote&gt;</w:instrText>
      </w:r>
      <w:r>
        <w:fldChar w:fldCharType="separate"/>
      </w:r>
      <w:r w:rsidRPr="00A516FD">
        <w:rPr>
          <w:noProof/>
          <w:vertAlign w:val="superscript"/>
        </w:rPr>
        <w:t>4</w:t>
      </w:r>
      <w:r>
        <w:fldChar w:fldCharType="end"/>
      </w:r>
      <w:r>
        <w:t xml:space="preserve"> One type of immune dysregulation, characterised by an abnormal increase in lymphocytes, is autoimmune lymphoproliferative syndrome.</w:t>
      </w:r>
      <w:r>
        <w:fldChar w:fldCharType="begin"/>
      </w:r>
      <w:r>
        <w:instrText xml:space="preserve"> ADDIN EN.CITE &lt;EndNote&gt;&lt;Cite&gt;&lt;Author&gt;C.S. Mott Children&amp;apos;s Hospital&lt;/Author&gt;&lt;Year&gt;?&lt;/Year&gt;&lt;RecNum&gt;14&lt;/RecNum&gt;&lt;DisplayText&gt;&lt;style face="superscript"&gt;10&lt;/style&gt;&lt;/DisplayText&gt;&lt;record&gt;&lt;rec-number&gt;14&lt;/rec-number&gt;&lt;foreign-keys&gt;&lt;key app="EN" db-id="pzpr9fpzq5dfrrefpetx2pfn5fz5e2r0vtdf" timestamp="1569816389"&gt;14&lt;/key&gt;&lt;/foreign-keys&gt;&lt;ref-type name="Web Page"&gt;12&lt;/ref-type&gt;&lt;contributors&gt;&lt;authors&gt;&lt;author&gt;C.S. Mott Children&amp;apos;s Hospital,&lt;/author&gt;&lt;/authors&gt;&lt;/contributors&gt;&lt;titles&gt;&lt;title&gt;Lymphoproliferative Diseases&lt;/title&gt;&lt;/titles&gt;&lt;volume&gt;2019&lt;/volume&gt;&lt;number&gt;30th September&lt;/number&gt;&lt;dates&gt;&lt;year&gt;?&lt;/year&gt;&lt;/dates&gt;&lt;pub-location&gt;USA&lt;/pub-location&gt;&lt;publisher&gt;C.S. Mott Children&amp;apos;s Hospital&lt;/publisher&gt;&lt;urls&gt;&lt;related-urls&gt;&lt;url&gt;&lt;style face="underline" font="default" size="100%"&gt;https://www.mottchildren.org/peds-lymphoproliferative-diseases&lt;/style&gt;&lt;/url&gt;&lt;/related-urls&gt;&lt;/urls&gt;&lt;/record&gt;&lt;/Cite&gt;&lt;/EndNote&gt;</w:instrText>
      </w:r>
      <w:r>
        <w:fldChar w:fldCharType="separate"/>
      </w:r>
      <w:r w:rsidRPr="00A516FD">
        <w:rPr>
          <w:noProof/>
          <w:vertAlign w:val="superscript"/>
        </w:rPr>
        <w:t>10</w:t>
      </w:r>
      <w:r>
        <w:fldChar w:fldCharType="end"/>
      </w:r>
      <w:r>
        <w:t xml:space="preserve"> There are a range of lymphoproliferative diseases, classified according to their genetic defect and presumed pathogenesis.</w:t>
      </w:r>
      <w:r>
        <w:fldChar w:fldCharType="begin">
          <w:fldData xml:space="preserve">PEVuZE5vdGU+PENpdGU+PEF1dGhvcj5QaWNhcmQ8L0F1dGhvcj48WWVhcj4yMDE1PC9ZZWFyPjxS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</w:fldData>
        </w:fldChar>
      </w:r>
      <w:r>
        <w:instrText xml:space="preserve"> ADDIN EN.CITE </w:instrText>
      </w:r>
      <w:r>
        <w:fldChar w:fldCharType="begin">
          <w:fldData xml:space="preserve">PEVuZE5vdGU+PENpdGU+PEF1dGhvcj5QaWNhcmQ8L0F1dGhvcj48WWVhcj4yMDE1PC9ZZWFyPjxS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</w:fldData>
        </w:fldChar>
      </w:r>
      <w:r>
        <w:instrText xml:space="preserve"> ADDIN EN.CITE.DATA </w:instrText>
      </w:r>
      <w:r>
        <w:fldChar w:fldCharType="end"/>
      </w:r>
      <w:r>
        <w:fldChar w:fldCharType="separate"/>
      </w:r>
      <w:r w:rsidRPr="00A516FD">
        <w:rPr>
          <w:noProof/>
          <w:vertAlign w:val="superscript"/>
        </w:rPr>
        <w:t>9</w:t>
      </w:r>
      <w:r>
        <w:fldChar w:fldCharType="end"/>
      </w:r>
      <w:r>
        <w:t xml:space="preserve"> They vary in their clinical presentation, severity, timing of onset and treatment.</w:t>
      </w:r>
      <w:r>
        <w:fldChar w:fldCharType="begin"/>
      </w:r>
      <w:r>
        <w:instrText xml:space="preserve"> ADDIN EN.CITE &lt;EndNote&gt;&lt;Cite&gt;&lt;Author&gt;C.S. Mott Children&amp;apos;s Hospital&lt;/Author&gt;&lt;Year&gt;?&lt;/Year&gt;&lt;RecNum&gt;14&lt;/RecNum&gt;&lt;DisplayText&gt;&lt;style face="superscript"&gt;10&lt;/style&gt;&lt;/DisplayText&gt;&lt;record&gt;&lt;rec-number&gt;14&lt;/rec-number&gt;&lt;foreign-keys&gt;&lt;key app="EN" db-id="pzpr9fpzq5dfrrefpetx2pfn5fz5e2r0vtdf" timestamp="1569816389"&gt;14&lt;/key&gt;&lt;/foreign-keys&gt;&lt;ref-type name="Web Page"&gt;12&lt;/ref-type&gt;&lt;contributors&gt;&lt;authors&gt;&lt;author&gt;C.S. Mott Children&amp;apos;s Hospital,&lt;/author&gt;&lt;/authors&gt;&lt;/contributors&gt;&lt;titles&gt;&lt;title&gt;Lymphoproliferative Diseases&lt;/title&gt;&lt;/titles&gt;&lt;volume&gt;2019&lt;/volume&gt;&lt;number&gt;30th September&lt;/number&gt;&lt;dates&gt;&lt;year&gt;?&lt;/year&gt;&lt;/dates&gt;&lt;pub-location&gt;USA&lt;/pub-location&gt;&lt;publisher&gt;C.S. Mott Children&amp;apos;s Hospital&lt;/publisher&gt;&lt;urls&gt;&lt;related-urls&gt;&lt;url&gt;&lt;style face="underline" font="default" size="100%"&gt;https://www.mottchildren.org/peds-lymphoproliferative-diseases&lt;/style&gt;&lt;/url&gt;&lt;/related-urls&gt;&lt;/urls&gt;&lt;/record&gt;&lt;/Cite&gt;&lt;/EndNote&gt;</w:instrText>
      </w:r>
      <w:r>
        <w:fldChar w:fldCharType="separate"/>
      </w:r>
      <w:r w:rsidRPr="00A516FD">
        <w:rPr>
          <w:noProof/>
          <w:vertAlign w:val="superscript"/>
        </w:rPr>
        <w:t>10</w:t>
      </w:r>
      <w:r>
        <w:fldChar w:fldCharType="end"/>
      </w:r>
      <w:r>
        <w:t xml:space="preserve"> </w:t>
      </w:r>
    </w:p>
    <w:p w14:paraId="5685BDAA" w14:textId="77777777" w:rsidR="00A516FD" w:rsidRDefault="00A516FD" w:rsidP="005C1782">
      <w:pPr>
        <w:pStyle w:val="Heading4"/>
      </w:pPr>
      <w:r w:rsidRPr="00B03421">
        <w:t>Diagnosis</w:t>
      </w:r>
    </w:p>
    <w:p w14:paraId="63CA0FDA" w14:textId="0CC17601" w:rsidR="00A516FD" w:rsidRDefault="00B476E8" w:rsidP="00A516FD">
      <w:r>
        <w:t>The investigation, management and referral of patients with PID</w:t>
      </w:r>
      <w:r w:rsidR="00A516FD">
        <w:t xml:space="preserve"> within the Australian healthcare system </w:t>
      </w:r>
      <w:r>
        <w:t xml:space="preserve">is </w:t>
      </w:r>
      <w:r w:rsidR="00A516FD">
        <w:t>complicated owing to the wide range of rare conditions and both paediatric and adult patients (Referral Form, page 13). Patients</w:t>
      </w:r>
      <w:r>
        <w:t xml:space="preserve"> may </w:t>
      </w:r>
      <w:r w:rsidR="00A516FD">
        <w:t>present with atypical features</w:t>
      </w:r>
      <w:r>
        <w:t xml:space="preserve"> or require </w:t>
      </w:r>
      <w:r w:rsidR="00A516FD">
        <w:t>multiple therapies</w:t>
      </w:r>
      <w:r w:rsidR="00373370">
        <w:t>. D</w:t>
      </w:r>
      <w:r w:rsidR="00A516FD">
        <w:t xml:space="preserve">iagnosis may include measures of antibody levels, vaccine challenge tests and Ig therapy tests, </w:t>
      </w:r>
      <w:r>
        <w:t xml:space="preserve">with wide variation </w:t>
      </w:r>
      <w:r w:rsidR="00A516FD">
        <w:t xml:space="preserve">owing to the heterogenous nature of the patient group (Referral Form, page 14). </w:t>
      </w:r>
    </w:p>
    <w:p w14:paraId="59CF0A04" w14:textId="16081296" w:rsidR="00A516FD" w:rsidRDefault="00A516FD" w:rsidP="00A516FD">
      <w:r>
        <w:t>The Central Adelaide Local Health Network (CALHN) and Southern Adelaide Local Health Network (SALHN) have published outpatient GP referral guidelines, outlining the criteria and investigations required for referral of a patient to their allergy/clinical immunology service if PID is suspected.</w:t>
      </w:r>
      <w:r>
        <w:fldChar w:fldCharType="begin"/>
      </w:r>
      <w:r>
        <w:instrText xml:space="preserve"> ADDIN EN.CITE &lt;EndNote&gt;&lt;Cite&gt;&lt;Author&gt;SA Health&lt;/Author&gt;&lt;Year&gt;2018&lt;/Year&gt;&lt;RecNum&gt;7&lt;/RecNum&gt;&lt;DisplayText&gt;&lt;style face="superscript"&gt;11, 12&lt;/style&gt;&lt;/DisplayText&gt;&lt;record&gt;&lt;rec-number&gt;7&lt;/rec-number&gt;&lt;foreign-keys&gt;&lt;key app="EN" db-id="pzpr9fpzq5dfrrefpetx2pfn5fz5e2r0vtdf" timestamp="1569378539"&gt;7&lt;/key&gt;&lt;/foreign-keys&gt;&lt;ref-type name="Web Page"&gt;12&lt;/ref-type&gt;&lt;contributors&gt;&lt;authors&gt;&lt;author&gt;SA Health,&lt;/author&gt;&lt;/authors&gt;&lt;/contributors&gt;&lt;titles&gt;&lt;title&gt;Outpatient GP Referral Guidelines Allergy Clinical Immunology Service Primary Immunodeficiency SALHN&lt;/title&gt;&lt;/titles&gt;&lt;volume&gt;2019&lt;/volume&gt;&lt;number&gt;25th September&lt;/number&gt;&lt;dates&gt;&lt;year&gt;2018&lt;/year&gt;&lt;/dates&gt;&lt;pub-location&gt;South Australia&lt;/pub-location&gt;&lt;publisher&gt;SA Health&lt;/publisher&gt;&lt;urls&gt;&lt;related-urls&gt;&lt;url&gt;&lt;style face="underline" font="default" size="100%"&gt;https://www.sahealth.sa.gov.au/wps/wcm/connect/Public+Content/SA+Health+Internet/Search/Search+results/#/query=primary+immunodeficiency+disorders&amp;amp;s=0&lt;/style&gt;&lt;/url&gt;&lt;/related-urls&gt;&lt;/urls&gt;&lt;/record&gt;&lt;/Cite&gt;&lt;Cite&gt;&lt;Author&gt;SA Health&lt;/Author&gt;&lt;Year&gt;2018&lt;/Year&gt;&lt;RecNum&gt;8&lt;/RecNum&gt;&lt;record&gt;&lt;rec-number&gt;8&lt;/rec-number&gt;&lt;foreign-keys&gt;&lt;key app="EN" db-id="pzpr9fpzq5dfrrefpetx2pfn5fz5e2r0vtdf" timestamp="1569378629"&gt;8&lt;/key&gt;&lt;/foreign-keys&gt;&lt;ref-type name="Web Page"&gt;12&lt;/ref-type&gt;&lt;contributors&gt;&lt;authors&gt;&lt;author&gt;SA Health,&lt;/author&gt;&lt;/authors&gt;&lt;/contributors&gt;&lt;titles&gt;&lt;title&gt;OPD GP Referral Guidelines Allergy Immunology Service Primary Immunodeficiency CALHN&lt;/title&gt;&lt;/titles&gt;&lt;volume&gt;2019&lt;/volume&gt;&lt;number&gt;25th September&lt;/number&gt;&lt;dates&gt;&lt;year&gt;2018&lt;/year&gt;&lt;/dates&gt;&lt;pub-location&gt;South Australia&lt;/pub-location&gt;&lt;publisher&gt;SA Health&lt;/publisher&gt;&lt;urls&gt;&lt;related-urls&gt;&lt;url&gt;&lt;style face="underline" font="default" size="100%"&gt;https://www.sahealth.sa.gov.au/wps/wcm/connect/Public+Content/SA+Health+Internet/Search/Search+results/#/query=primary+immunodeficiency+disorders&amp;amp;s=0&lt;/style&gt;&lt;/url&gt;&lt;/related-urls&gt;&lt;/urls&gt;&lt;/record&gt;&lt;/Cite&gt;&lt;/EndNote&gt;</w:instrText>
      </w:r>
      <w:r>
        <w:fldChar w:fldCharType="separate"/>
      </w:r>
      <w:r w:rsidRPr="00A516FD">
        <w:rPr>
          <w:noProof/>
          <w:vertAlign w:val="superscript"/>
        </w:rPr>
        <w:t>11, 12</w:t>
      </w:r>
      <w:r>
        <w:fldChar w:fldCharType="end"/>
      </w:r>
      <w:r>
        <w:t xml:space="preserve"> Details are provided of the SALHN guidelines in </w:t>
      </w:r>
      <w:r>
        <w:fldChar w:fldCharType="begin"/>
      </w:r>
      <w:r>
        <w:instrText xml:space="preserve"> REF _Ref20304965 \h </w:instrText>
      </w:r>
      <w:r>
        <w:fldChar w:fldCharType="separate"/>
      </w:r>
      <w:r w:rsidR="008D6208">
        <w:t xml:space="preserve">Table </w:t>
      </w:r>
      <w:r w:rsidR="008D6208">
        <w:rPr>
          <w:noProof/>
        </w:rPr>
        <w:t>2</w:t>
      </w:r>
      <w:r>
        <w:fldChar w:fldCharType="end"/>
      </w:r>
      <w:r>
        <w:t xml:space="preserve">. </w:t>
      </w:r>
    </w:p>
    <w:p w14:paraId="76C023E6" w14:textId="18CDBF83" w:rsidR="00A516FD" w:rsidRDefault="00A516FD" w:rsidP="00A516FD">
      <w:pPr>
        <w:pStyle w:val="Caption"/>
      </w:pPr>
      <w:bookmarkStart w:id="5" w:name="_Ref20304965"/>
      <w:r>
        <w:t xml:space="preserve">Table </w:t>
      </w:r>
      <w:r>
        <w:fldChar w:fldCharType="begin"/>
      </w:r>
      <w:r>
        <w:instrText xml:space="preserve"> SEQ Table \* ARABIC </w:instrText>
      </w:r>
      <w:r>
        <w:fldChar w:fldCharType="separate"/>
      </w:r>
      <w:r w:rsidR="008D6208">
        <w:rPr>
          <w:noProof/>
        </w:rPr>
        <w:t>2</w:t>
      </w:r>
      <w:r>
        <w:fldChar w:fldCharType="end"/>
      </w:r>
      <w:bookmarkEnd w:id="5"/>
      <w:r>
        <w:t xml:space="preserve"> </w:t>
      </w:r>
      <w:r>
        <w:tab/>
        <w:t>SALHN outpatient GP referral guidelines for referring a patient to an allergy/immunology service for suspected PID</w:t>
      </w:r>
      <w:r>
        <w:fldChar w:fldCharType="begin"/>
      </w:r>
      <w:r>
        <w:instrText xml:space="preserve"> ADDIN EN.CITE &lt;EndNote&gt;&lt;Cite&gt;&lt;Author&gt;SA Health&lt;/Author&gt;&lt;Year&gt;2018&lt;/Year&gt;&lt;RecNum&gt;7&lt;/RecNum&gt;&lt;DisplayText&gt;&lt;style face="superscript"&gt;11&lt;/style&gt;&lt;/DisplayText&gt;&lt;record&gt;&lt;rec-number&gt;7&lt;/rec-number&gt;&lt;foreign-keys&gt;&lt;key app="EN" db-id="pzpr9fpzq5dfrrefpetx2pfn5fz5e2r0vtdf" timestamp="1569378539"&gt;7&lt;/key&gt;&lt;/foreign-keys&gt;&lt;ref-type name="Web Page"&gt;12&lt;/ref-type&gt;&lt;contributors&gt;&lt;authors&gt;&lt;author&gt;SA Health,&lt;/author&gt;&lt;/authors&gt;&lt;/contributors&gt;&lt;titles&gt;&lt;title&gt;Outpatient GP Referral Guidelines Allergy Clinical Immunology Service Primary Immunodeficiency SALHN&lt;/title&gt;&lt;/titles&gt;&lt;volume&gt;2019&lt;/volume&gt;&lt;number&gt;25th September&lt;/number&gt;&lt;dates&gt;&lt;year&gt;2018&lt;/year&gt;&lt;/dates&gt;&lt;pub-location&gt;South Australia&lt;/pub-location&gt;&lt;publisher&gt;SA Health&lt;/publisher&gt;&lt;urls&gt;&lt;related-urls&gt;&lt;url&gt;&lt;style face="underline" font="default" size="100%"&gt;https://www.sahealth.sa.gov.au/wps/wcm/connect/Public+Content/SA+Health+Internet/Search/Search+results/#/query=primary+immunodeficiency+disorders&amp;amp;s=0&lt;/style&gt;&lt;/url&gt;&lt;/related-urls&gt;&lt;/urls&gt;&lt;/record&gt;&lt;/Cite&gt;&lt;/EndNote&gt;</w:instrText>
      </w:r>
      <w:r>
        <w:fldChar w:fldCharType="separate"/>
      </w:r>
      <w:r w:rsidRPr="00A516FD">
        <w:rPr>
          <w:noProof/>
          <w:vertAlign w:val="superscript"/>
        </w:rPr>
        <w:t>11</w:t>
      </w:r>
      <w:r>
        <w:fldChar w:fldCharType="end"/>
      </w:r>
    </w:p>
    <w:tbl>
      <w:tblPr>
        <w:tblStyle w:val="TableGrid"/>
        <w:tblW w:w="0" w:type="auto"/>
        <w:tblLook w:val="04A0" w:firstRow="1" w:lastRow="0" w:firstColumn="1" w:lastColumn="0" w:noHBand="0" w:noVBand="1"/>
        <w:tblCaption w:val="Table 2  SALHN outpatient GP referral guidelines for referring a patient to an allergy/immunology service for suspected PID"/>
        <w:tblDescription w:val="This is a table displaying the SALHN referral criteria and the investigations required."/>
      </w:tblPr>
      <w:tblGrid>
        <w:gridCol w:w="4503"/>
        <w:gridCol w:w="4513"/>
      </w:tblGrid>
      <w:tr w:rsidR="00A516FD" w:rsidRPr="00A32D0F" w14:paraId="2D6154C6" w14:textId="77777777" w:rsidTr="005D10B0">
        <w:trPr>
          <w:tblHeader/>
        </w:trPr>
        <w:tc>
          <w:tcPr>
            <w:tcW w:w="4621" w:type="dxa"/>
          </w:tcPr>
          <w:p w14:paraId="442E36B3" w14:textId="77777777" w:rsidR="00A516FD" w:rsidRPr="00A32D0F" w:rsidRDefault="00A516FD" w:rsidP="00C30DA5">
            <w:pPr>
              <w:rPr>
                <w:rFonts w:ascii="Arial Narrow" w:hAnsi="Arial Narrow"/>
                <w:b/>
                <w:sz w:val="18"/>
                <w:szCs w:val="18"/>
              </w:rPr>
            </w:pPr>
            <w:r w:rsidRPr="00A32D0F">
              <w:rPr>
                <w:rFonts w:ascii="Arial Narrow" w:hAnsi="Arial Narrow"/>
                <w:b/>
                <w:sz w:val="18"/>
                <w:szCs w:val="18"/>
              </w:rPr>
              <w:t xml:space="preserve">Referral </w:t>
            </w:r>
            <w:r>
              <w:rPr>
                <w:rFonts w:ascii="Arial Narrow" w:hAnsi="Arial Narrow"/>
                <w:b/>
                <w:sz w:val="18"/>
                <w:szCs w:val="18"/>
              </w:rPr>
              <w:t>c</w:t>
            </w:r>
            <w:r w:rsidRPr="00A32D0F">
              <w:rPr>
                <w:rFonts w:ascii="Arial Narrow" w:hAnsi="Arial Narrow"/>
                <w:b/>
                <w:sz w:val="18"/>
                <w:szCs w:val="18"/>
              </w:rPr>
              <w:t>riteria</w:t>
            </w:r>
            <w:r>
              <w:rPr>
                <w:rFonts w:ascii="Arial Narrow" w:hAnsi="Arial Narrow"/>
                <w:b/>
                <w:sz w:val="18"/>
                <w:szCs w:val="18"/>
              </w:rPr>
              <w:t>*</w:t>
            </w:r>
            <w:r w:rsidRPr="00A32D0F">
              <w:rPr>
                <w:rFonts w:ascii="Arial Narrow" w:hAnsi="Arial Narrow"/>
                <w:b/>
                <w:sz w:val="18"/>
                <w:szCs w:val="18"/>
              </w:rPr>
              <w:t xml:space="preserve"> </w:t>
            </w:r>
          </w:p>
          <w:p w14:paraId="3BF54C84" w14:textId="77777777" w:rsidR="00A516FD" w:rsidRPr="00A32D0F" w:rsidRDefault="00A516FD" w:rsidP="00C30DA5">
            <w:pPr>
              <w:rPr>
                <w:rFonts w:ascii="Arial Narrow" w:hAnsi="Arial Narrow"/>
                <w:b/>
                <w:sz w:val="18"/>
                <w:szCs w:val="18"/>
              </w:rPr>
            </w:pPr>
            <w:r w:rsidRPr="00A32D0F">
              <w:rPr>
                <w:rFonts w:ascii="Arial Narrow" w:hAnsi="Arial Narrow"/>
                <w:b/>
                <w:sz w:val="18"/>
                <w:szCs w:val="18"/>
              </w:rPr>
              <w:t>1 or more of the following:</w:t>
            </w:r>
          </w:p>
        </w:tc>
        <w:tc>
          <w:tcPr>
            <w:tcW w:w="4621" w:type="dxa"/>
          </w:tcPr>
          <w:p w14:paraId="4C85357A" w14:textId="77777777" w:rsidR="00A516FD" w:rsidRPr="00A32D0F" w:rsidRDefault="00A516FD" w:rsidP="00C30DA5">
            <w:pPr>
              <w:rPr>
                <w:rFonts w:ascii="Arial Narrow" w:hAnsi="Arial Narrow"/>
                <w:b/>
                <w:sz w:val="18"/>
                <w:szCs w:val="18"/>
              </w:rPr>
            </w:pPr>
            <w:r w:rsidRPr="00A32D0F">
              <w:rPr>
                <w:rFonts w:ascii="Arial Narrow" w:hAnsi="Arial Narrow"/>
                <w:b/>
                <w:sz w:val="18"/>
                <w:szCs w:val="18"/>
              </w:rPr>
              <w:t>Investigations required</w:t>
            </w:r>
            <w:r w:rsidRPr="00DE2F2B">
              <w:rPr>
                <w:rFonts w:ascii="Arial Narrow" w:hAnsi="Arial Narrow"/>
                <w:b/>
                <w:sz w:val="18"/>
                <w:szCs w:val="18"/>
                <w:vertAlign w:val="superscript"/>
              </w:rPr>
              <w:t>†</w:t>
            </w:r>
          </w:p>
        </w:tc>
      </w:tr>
      <w:tr w:rsidR="00A516FD" w:rsidRPr="00A32D0F" w14:paraId="7C1B0C77" w14:textId="77777777" w:rsidTr="00C30DA5">
        <w:tc>
          <w:tcPr>
            <w:tcW w:w="4621" w:type="dxa"/>
          </w:tcPr>
          <w:p w14:paraId="09FE0667" w14:textId="77777777" w:rsidR="00A516FD" w:rsidRPr="00A32D0F" w:rsidRDefault="00A516FD" w:rsidP="00C30DA5">
            <w:pPr>
              <w:rPr>
                <w:rFonts w:ascii="Arial Narrow" w:hAnsi="Arial Narrow"/>
                <w:sz w:val="18"/>
                <w:szCs w:val="18"/>
              </w:rPr>
            </w:pPr>
            <w:r>
              <w:rPr>
                <w:rFonts w:ascii="Arial Narrow" w:hAnsi="Arial Narrow"/>
                <w:sz w:val="18"/>
                <w:szCs w:val="18"/>
              </w:rPr>
              <w:t>4 or more new ear infections within the 1 year</w:t>
            </w:r>
          </w:p>
        </w:tc>
        <w:tc>
          <w:tcPr>
            <w:tcW w:w="4621" w:type="dxa"/>
          </w:tcPr>
          <w:p w14:paraId="7148420E" w14:textId="77777777" w:rsidR="00A516FD" w:rsidRPr="00A32D0F" w:rsidRDefault="00A516FD" w:rsidP="00C30DA5">
            <w:pPr>
              <w:rPr>
                <w:rFonts w:ascii="Arial Narrow" w:hAnsi="Arial Narrow"/>
                <w:sz w:val="18"/>
                <w:szCs w:val="18"/>
              </w:rPr>
            </w:pPr>
            <w:r>
              <w:rPr>
                <w:rFonts w:ascii="Arial Narrow" w:hAnsi="Arial Narrow"/>
                <w:sz w:val="18"/>
                <w:szCs w:val="18"/>
              </w:rPr>
              <w:t>Full blood count (with differentials)</w:t>
            </w:r>
          </w:p>
        </w:tc>
      </w:tr>
      <w:tr w:rsidR="00A516FD" w:rsidRPr="00A32D0F" w14:paraId="1BA6C978" w14:textId="77777777" w:rsidTr="00C30DA5">
        <w:tc>
          <w:tcPr>
            <w:tcW w:w="4621" w:type="dxa"/>
          </w:tcPr>
          <w:p w14:paraId="34BA3B53" w14:textId="77777777" w:rsidR="00A516FD" w:rsidRPr="00A32D0F" w:rsidRDefault="00A516FD" w:rsidP="00C30DA5">
            <w:pPr>
              <w:rPr>
                <w:rFonts w:ascii="Arial Narrow" w:hAnsi="Arial Narrow"/>
                <w:sz w:val="18"/>
                <w:szCs w:val="18"/>
              </w:rPr>
            </w:pPr>
            <w:r>
              <w:rPr>
                <w:rFonts w:ascii="Arial Narrow" w:hAnsi="Arial Narrow"/>
                <w:sz w:val="18"/>
                <w:szCs w:val="18"/>
              </w:rPr>
              <w:t>2 or more serious sinus infections within the 1 year</w:t>
            </w:r>
          </w:p>
        </w:tc>
        <w:tc>
          <w:tcPr>
            <w:tcW w:w="4621" w:type="dxa"/>
          </w:tcPr>
          <w:p w14:paraId="6782AFFF" w14:textId="77777777" w:rsidR="00A516FD" w:rsidRPr="00A32D0F" w:rsidRDefault="00A516FD" w:rsidP="00C30DA5">
            <w:pPr>
              <w:rPr>
                <w:rFonts w:ascii="Arial Narrow" w:hAnsi="Arial Narrow"/>
                <w:sz w:val="18"/>
                <w:szCs w:val="18"/>
              </w:rPr>
            </w:pPr>
            <w:r>
              <w:rPr>
                <w:rFonts w:ascii="Arial Narrow" w:hAnsi="Arial Narrow"/>
                <w:sz w:val="18"/>
                <w:szCs w:val="18"/>
              </w:rPr>
              <w:t>Liver function tests including albumin/protein</w:t>
            </w:r>
          </w:p>
        </w:tc>
      </w:tr>
      <w:tr w:rsidR="00A516FD" w:rsidRPr="00A32D0F" w14:paraId="0DD693CA" w14:textId="77777777" w:rsidTr="00C30DA5">
        <w:tc>
          <w:tcPr>
            <w:tcW w:w="4621" w:type="dxa"/>
          </w:tcPr>
          <w:p w14:paraId="688BAF6C" w14:textId="77777777" w:rsidR="00A516FD" w:rsidRPr="00A32D0F" w:rsidRDefault="00A516FD" w:rsidP="00C30DA5">
            <w:pPr>
              <w:rPr>
                <w:rFonts w:ascii="Arial Narrow" w:hAnsi="Arial Narrow"/>
                <w:sz w:val="18"/>
                <w:szCs w:val="18"/>
              </w:rPr>
            </w:pPr>
            <w:r>
              <w:rPr>
                <w:rFonts w:ascii="Arial Narrow" w:hAnsi="Arial Narrow"/>
                <w:sz w:val="18"/>
                <w:szCs w:val="18"/>
              </w:rPr>
              <w:t>2 or more months of antibiotics with little effect</w:t>
            </w:r>
          </w:p>
        </w:tc>
        <w:tc>
          <w:tcPr>
            <w:tcW w:w="4621" w:type="dxa"/>
          </w:tcPr>
          <w:p w14:paraId="51D5B03A" w14:textId="77777777" w:rsidR="00A516FD" w:rsidRPr="00A32D0F" w:rsidRDefault="00A516FD" w:rsidP="00C30DA5">
            <w:pPr>
              <w:rPr>
                <w:rFonts w:ascii="Arial Narrow" w:hAnsi="Arial Narrow"/>
                <w:sz w:val="18"/>
                <w:szCs w:val="18"/>
              </w:rPr>
            </w:pPr>
            <w:r>
              <w:rPr>
                <w:rFonts w:ascii="Arial Narrow" w:hAnsi="Arial Narrow"/>
                <w:sz w:val="18"/>
                <w:szCs w:val="18"/>
              </w:rPr>
              <w:t>Immunoglobulins (IgG, IgA and IgM)</w:t>
            </w:r>
          </w:p>
        </w:tc>
      </w:tr>
      <w:tr w:rsidR="00A516FD" w:rsidRPr="00A32D0F" w14:paraId="2C66AD8C" w14:textId="77777777" w:rsidTr="00C30DA5">
        <w:tc>
          <w:tcPr>
            <w:tcW w:w="4621" w:type="dxa"/>
          </w:tcPr>
          <w:p w14:paraId="7BF06360" w14:textId="77777777" w:rsidR="00A516FD" w:rsidRPr="00A32D0F" w:rsidRDefault="00A516FD" w:rsidP="00C30DA5">
            <w:pPr>
              <w:rPr>
                <w:rFonts w:ascii="Arial Narrow" w:hAnsi="Arial Narrow"/>
                <w:sz w:val="18"/>
                <w:szCs w:val="18"/>
              </w:rPr>
            </w:pPr>
            <w:r>
              <w:rPr>
                <w:rFonts w:ascii="Arial Narrow" w:hAnsi="Arial Narrow"/>
                <w:sz w:val="18"/>
                <w:szCs w:val="18"/>
              </w:rPr>
              <w:t>Failure of an infant to gain weight or grow normally</w:t>
            </w:r>
          </w:p>
        </w:tc>
        <w:tc>
          <w:tcPr>
            <w:tcW w:w="4621" w:type="dxa"/>
          </w:tcPr>
          <w:p w14:paraId="50216684" w14:textId="77777777" w:rsidR="00A516FD" w:rsidRPr="00A32D0F" w:rsidRDefault="00A516FD" w:rsidP="00C30DA5">
            <w:pPr>
              <w:rPr>
                <w:rFonts w:ascii="Arial Narrow" w:hAnsi="Arial Narrow"/>
                <w:sz w:val="18"/>
                <w:szCs w:val="18"/>
              </w:rPr>
            </w:pPr>
            <w:r>
              <w:rPr>
                <w:rFonts w:ascii="Arial Narrow" w:hAnsi="Arial Narrow"/>
                <w:sz w:val="18"/>
                <w:szCs w:val="18"/>
              </w:rPr>
              <w:t>Lymphocyte surface markers</w:t>
            </w:r>
          </w:p>
        </w:tc>
      </w:tr>
      <w:tr w:rsidR="00A516FD" w:rsidRPr="00A32D0F" w14:paraId="72E4DC8E" w14:textId="77777777" w:rsidTr="00C30DA5">
        <w:tc>
          <w:tcPr>
            <w:tcW w:w="4621" w:type="dxa"/>
          </w:tcPr>
          <w:p w14:paraId="7A1C944B" w14:textId="77777777" w:rsidR="00A516FD" w:rsidRDefault="00A516FD" w:rsidP="00C30DA5">
            <w:pPr>
              <w:rPr>
                <w:rFonts w:ascii="Arial Narrow" w:hAnsi="Arial Narrow"/>
                <w:sz w:val="18"/>
                <w:szCs w:val="18"/>
              </w:rPr>
            </w:pPr>
            <w:r>
              <w:rPr>
                <w:rFonts w:ascii="Arial Narrow" w:hAnsi="Arial Narrow"/>
                <w:sz w:val="18"/>
                <w:szCs w:val="18"/>
              </w:rPr>
              <w:t>Recurrent, deep skin or organ abscesses</w:t>
            </w:r>
          </w:p>
        </w:tc>
        <w:tc>
          <w:tcPr>
            <w:tcW w:w="4621" w:type="dxa"/>
          </w:tcPr>
          <w:p w14:paraId="3572098B" w14:textId="77777777" w:rsidR="00A516FD" w:rsidRPr="00A32D0F" w:rsidRDefault="00A516FD" w:rsidP="00C30DA5">
            <w:pPr>
              <w:rPr>
                <w:rFonts w:ascii="Arial Narrow" w:hAnsi="Arial Narrow"/>
                <w:sz w:val="18"/>
                <w:szCs w:val="18"/>
              </w:rPr>
            </w:pPr>
            <w:r>
              <w:rPr>
                <w:rFonts w:ascii="Arial Narrow" w:hAnsi="Arial Narrow"/>
                <w:sz w:val="18"/>
                <w:szCs w:val="18"/>
              </w:rPr>
              <w:t>C4</w:t>
            </w:r>
          </w:p>
        </w:tc>
      </w:tr>
      <w:tr w:rsidR="00A516FD" w:rsidRPr="00A32D0F" w14:paraId="2009AE62" w14:textId="77777777" w:rsidTr="00C30DA5">
        <w:tc>
          <w:tcPr>
            <w:tcW w:w="4621" w:type="dxa"/>
          </w:tcPr>
          <w:p w14:paraId="50EE233A" w14:textId="77777777" w:rsidR="00A516FD" w:rsidRDefault="00A516FD" w:rsidP="00C30DA5">
            <w:pPr>
              <w:rPr>
                <w:rFonts w:ascii="Arial Narrow" w:hAnsi="Arial Narrow"/>
                <w:sz w:val="18"/>
                <w:szCs w:val="18"/>
              </w:rPr>
            </w:pPr>
            <w:r>
              <w:rPr>
                <w:rFonts w:ascii="Arial Narrow" w:hAnsi="Arial Narrow"/>
                <w:sz w:val="18"/>
                <w:szCs w:val="18"/>
              </w:rPr>
              <w:t>Persistent thrush in mouth or fungal infection on skin</w:t>
            </w:r>
          </w:p>
        </w:tc>
        <w:tc>
          <w:tcPr>
            <w:tcW w:w="4621" w:type="dxa"/>
          </w:tcPr>
          <w:p w14:paraId="5ACA5AC9" w14:textId="77777777" w:rsidR="00A516FD" w:rsidRPr="00A32D0F" w:rsidRDefault="00A516FD" w:rsidP="00C30DA5">
            <w:pPr>
              <w:rPr>
                <w:rFonts w:ascii="Arial Narrow" w:hAnsi="Arial Narrow"/>
                <w:sz w:val="18"/>
                <w:szCs w:val="18"/>
              </w:rPr>
            </w:pPr>
            <w:r>
              <w:rPr>
                <w:rFonts w:ascii="Arial Narrow" w:hAnsi="Arial Narrow"/>
                <w:sz w:val="18"/>
                <w:szCs w:val="18"/>
              </w:rPr>
              <w:t>Chest X-ray (if history of chest infections)</w:t>
            </w:r>
          </w:p>
        </w:tc>
      </w:tr>
      <w:tr w:rsidR="00A516FD" w:rsidRPr="00A32D0F" w14:paraId="42302B6D" w14:textId="77777777" w:rsidTr="00C30DA5">
        <w:tc>
          <w:tcPr>
            <w:tcW w:w="4621" w:type="dxa"/>
          </w:tcPr>
          <w:p w14:paraId="2E73A584" w14:textId="77777777" w:rsidR="00A516FD" w:rsidRDefault="00A516FD" w:rsidP="00C30DA5">
            <w:pPr>
              <w:rPr>
                <w:rFonts w:ascii="Arial Narrow" w:hAnsi="Arial Narrow"/>
                <w:sz w:val="18"/>
                <w:szCs w:val="18"/>
              </w:rPr>
            </w:pPr>
            <w:r>
              <w:rPr>
                <w:rFonts w:ascii="Arial Narrow" w:hAnsi="Arial Narrow"/>
                <w:sz w:val="18"/>
                <w:szCs w:val="18"/>
              </w:rPr>
              <w:t>Need for intravenous antibiotics to clear infection</w:t>
            </w:r>
          </w:p>
        </w:tc>
        <w:tc>
          <w:tcPr>
            <w:tcW w:w="4621" w:type="dxa"/>
          </w:tcPr>
          <w:p w14:paraId="25A19079" w14:textId="77777777" w:rsidR="00A516FD" w:rsidRPr="00A32D0F" w:rsidRDefault="00A516FD" w:rsidP="00C30DA5">
            <w:pPr>
              <w:rPr>
                <w:rFonts w:ascii="Arial Narrow" w:hAnsi="Arial Narrow"/>
                <w:sz w:val="18"/>
                <w:szCs w:val="18"/>
              </w:rPr>
            </w:pPr>
          </w:p>
        </w:tc>
      </w:tr>
      <w:tr w:rsidR="00A516FD" w:rsidRPr="00A32D0F" w14:paraId="54B2BEFD" w14:textId="77777777" w:rsidTr="00C30DA5">
        <w:tc>
          <w:tcPr>
            <w:tcW w:w="4621" w:type="dxa"/>
          </w:tcPr>
          <w:p w14:paraId="4CFEDAA6" w14:textId="77777777" w:rsidR="00A516FD" w:rsidRDefault="00A516FD" w:rsidP="00C30DA5">
            <w:pPr>
              <w:rPr>
                <w:rFonts w:ascii="Arial Narrow" w:hAnsi="Arial Narrow"/>
                <w:sz w:val="18"/>
                <w:szCs w:val="18"/>
              </w:rPr>
            </w:pPr>
            <w:r>
              <w:rPr>
                <w:rFonts w:ascii="Arial Narrow" w:hAnsi="Arial Narrow"/>
                <w:sz w:val="18"/>
                <w:szCs w:val="18"/>
              </w:rPr>
              <w:t>2 or more deep-seated infections including septicaemia</w:t>
            </w:r>
          </w:p>
        </w:tc>
        <w:tc>
          <w:tcPr>
            <w:tcW w:w="4621" w:type="dxa"/>
          </w:tcPr>
          <w:p w14:paraId="6816FB47" w14:textId="77777777" w:rsidR="00A516FD" w:rsidRPr="00A32D0F" w:rsidRDefault="00A516FD" w:rsidP="00C30DA5">
            <w:pPr>
              <w:rPr>
                <w:rFonts w:ascii="Arial Narrow" w:hAnsi="Arial Narrow"/>
                <w:sz w:val="18"/>
                <w:szCs w:val="18"/>
              </w:rPr>
            </w:pPr>
          </w:p>
        </w:tc>
      </w:tr>
      <w:tr w:rsidR="00A516FD" w:rsidRPr="00A32D0F" w14:paraId="1E17EC72" w14:textId="77777777" w:rsidTr="00C30DA5">
        <w:tc>
          <w:tcPr>
            <w:tcW w:w="4621" w:type="dxa"/>
          </w:tcPr>
          <w:p w14:paraId="6855D4D6" w14:textId="77777777" w:rsidR="00A516FD" w:rsidRDefault="00A516FD" w:rsidP="00C30DA5">
            <w:pPr>
              <w:rPr>
                <w:rFonts w:ascii="Arial Narrow" w:hAnsi="Arial Narrow"/>
                <w:sz w:val="18"/>
                <w:szCs w:val="18"/>
              </w:rPr>
            </w:pPr>
            <w:r>
              <w:rPr>
                <w:rFonts w:ascii="Arial Narrow" w:hAnsi="Arial Narrow"/>
                <w:sz w:val="18"/>
                <w:szCs w:val="18"/>
              </w:rPr>
              <w:t>A family history of primary immune deficiency</w:t>
            </w:r>
          </w:p>
        </w:tc>
        <w:tc>
          <w:tcPr>
            <w:tcW w:w="4621" w:type="dxa"/>
          </w:tcPr>
          <w:p w14:paraId="3FD30948" w14:textId="77777777" w:rsidR="00A516FD" w:rsidRPr="00A32D0F" w:rsidRDefault="00A516FD" w:rsidP="00C30DA5">
            <w:pPr>
              <w:rPr>
                <w:rFonts w:ascii="Arial Narrow" w:hAnsi="Arial Narrow"/>
                <w:sz w:val="18"/>
                <w:szCs w:val="18"/>
              </w:rPr>
            </w:pPr>
          </w:p>
        </w:tc>
      </w:tr>
    </w:tbl>
    <w:p w14:paraId="16D68A5D" w14:textId="77777777" w:rsidR="00A516FD" w:rsidRDefault="00A516FD" w:rsidP="00A516FD">
      <w:pPr>
        <w:spacing w:after="0"/>
        <w:rPr>
          <w:rFonts w:ascii="Arial Narrow" w:hAnsi="Arial Narrow"/>
          <w:sz w:val="18"/>
          <w:szCs w:val="18"/>
        </w:rPr>
      </w:pPr>
      <w:r>
        <w:rPr>
          <w:rFonts w:ascii="Arial Narrow" w:hAnsi="Arial Narrow"/>
          <w:sz w:val="18"/>
          <w:szCs w:val="18"/>
        </w:rPr>
        <w:t>*The CALHN referral criteria are slightly different</w:t>
      </w:r>
    </w:p>
    <w:p w14:paraId="3F86C70F" w14:textId="77777777" w:rsidR="00A516FD" w:rsidRDefault="00A516FD" w:rsidP="00A516FD">
      <w:pPr>
        <w:spacing w:after="0"/>
        <w:rPr>
          <w:rFonts w:ascii="Arial Narrow" w:hAnsi="Arial Narrow"/>
          <w:sz w:val="18"/>
          <w:szCs w:val="18"/>
        </w:rPr>
      </w:pPr>
      <w:r>
        <w:rPr>
          <w:rFonts w:ascii="Arial Narrow" w:hAnsi="Arial Narrow"/>
          <w:sz w:val="18"/>
          <w:szCs w:val="18"/>
        </w:rPr>
        <w:t>†The CALHN guidelines differ in that they do not stipulate liver function test, lymphocyte surface markers or C4 but require IgE immunoglobulins in addition to IgG, IgA and IgM</w:t>
      </w:r>
    </w:p>
    <w:p w14:paraId="308F69E9" w14:textId="77777777" w:rsidR="00A516FD" w:rsidRPr="0052034B" w:rsidRDefault="00A516FD" w:rsidP="00A516FD">
      <w:pPr>
        <w:rPr>
          <w:rFonts w:ascii="Arial Narrow" w:hAnsi="Arial Narrow"/>
          <w:sz w:val="18"/>
          <w:szCs w:val="18"/>
        </w:rPr>
      </w:pPr>
      <w:r w:rsidRPr="0052034B">
        <w:rPr>
          <w:rFonts w:ascii="Arial Narrow" w:hAnsi="Arial Narrow"/>
          <w:sz w:val="18"/>
          <w:szCs w:val="18"/>
        </w:rPr>
        <w:t>GP: general practitioner</w:t>
      </w:r>
      <w:r>
        <w:rPr>
          <w:rFonts w:ascii="Arial Narrow" w:hAnsi="Arial Narrow"/>
          <w:sz w:val="18"/>
          <w:szCs w:val="18"/>
        </w:rPr>
        <w:t>; PID: primary immunodeficiency disease; SALHN: Southern Adelaide Local Health Network</w:t>
      </w:r>
    </w:p>
    <w:p w14:paraId="08DED2DC" w14:textId="0EA58C7E" w:rsidR="00A516FD" w:rsidRDefault="00433664" w:rsidP="00A516FD">
      <w:r>
        <w:rPr>
          <w:i/>
        </w:rPr>
        <w:t>‘</w:t>
      </w:r>
      <w:r w:rsidR="00A516FD" w:rsidRPr="00D0765A">
        <w:rPr>
          <w:i/>
        </w:rPr>
        <w:t>The Criteria</w:t>
      </w:r>
      <w:r>
        <w:rPr>
          <w:i/>
        </w:rPr>
        <w:t>’</w:t>
      </w:r>
      <w:r w:rsidR="00A516FD">
        <w:rPr>
          <w:i/>
        </w:rPr>
        <w:t xml:space="preserve"> </w:t>
      </w:r>
      <w:r w:rsidR="00A516FD">
        <w:t>stipulate that a diagnosis of PID with antibody deficiency must be made by an immunologist and outlines the diagnostic criteria for determining eligibility of PID patients for publicly funded Ig treatment.</w:t>
      </w:r>
      <w:r w:rsidR="00A516FD">
        <w:fldChar w:fldCharType="begin"/>
      </w:r>
      <w:r w:rsidR="00A516FD">
        <w:instrText xml:space="preserve"> ADDIN EN.CITE &lt;EndNote&gt;&lt;Cite&gt;&lt;Author&gt;National Blood Authority&lt;/Author&gt;&lt;Year&gt;2018&lt;/Year&gt;&lt;RecNum&gt;1&lt;/RecNum&gt;&lt;DisplayText&gt;&lt;style face="superscript"&gt;1&lt;/style&gt;&lt;/DisplayText&gt;&lt;record&gt;&lt;rec-number&gt;1&lt;/rec-number&gt;&lt;foreign-keys&gt;&lt;key app="EN" db-id="pzpr9fpzq5dfrrefpetx2pfn5fz5e2r0vtdf" timestamp="1569200090"&gt;1&lt;/key&gt;&lt;/foreign-keys&gt;&lt;ref-type name="Web Page"&gt;12&lt;/ref-type&gt;&lt;contributors&gt;&lt;authors&gt;&lt;author&gt;National Blood Authority,&lt;/author&gt;&lt;/authors&gt;&lt;/contributors&gt;&lt;titles&gt;&lt;title&gt;Criteria for clinical use of immunoglobulin in Australia, Version 3.1&lt;/title&gt;&lt;/titles&gt;&lt;volume&gt;2019&lt;/volume&gt;&lt;number&gt;23rd September&lt;/number&gt;&lt;dates&gt;&lt;year&gt;2018&lt;/year&gt;&lt;/dates&gt;&lt;publisher&gt;National Blood Authority&lt;/publisher&gt;&lt;urls&gt;&lt;related-urls&gt;&lt;url&gt;&lt;style face="underline" font="default" size="100%"&gt;https://www.criteria.blood.gov.au/&lt;/style&gt;&lt;/url&gt;&lt;/related-urls&gt;&lt;/urls&gt;&lt;/record&gt;&lt;/Cite&gt;&lt;/EndNote&gt;</w:instrText>
      </w:r>
      <w:r w:rsidR="00A516FD">
        <w:fldChar w:fldCharType="separate"/>
      </w:r>
      <w:r w:rsidR="00A516FD" w:rsidRPr="00A516FD">
        <w:rPr>
          <w:noProof/>
          <w:vertAlign w:val="superscript"/>
        </w:rPr>
        <w:t>1</w:t>
      </w:r>
      <w:r w:rsidR="00A516FD">
        <w:fldChar w:fldCharType="end"/>
      </w:r>
      <w:r w:rsidR="00A516FD">
        <w:t xml:space="preserve">  It notes that the revised </w:t>
      </w:r>
      <w:r w:rsidR="00A516FD" w:rsidRPr="00D0765A">
        <w:t>E</w:t>
      </w:r>
      <w:r w:rsidR="00A516FD">
        <w:t>SID</w:t>
      </w:r>
      <w:r w:rsidR="00A516FD" w:rsidRPr="00D0765A">
        <w:t xml:space="preserve"> (2014) </w:t>
      </w:r>
      <w:r w:rsidR="00A516FD">
        <w:t>diagnostic criteria</w:t>
      </w:r>
      <w:r w:rsidR="00DE5712">
        <w:rPr>
          <w:rStyle w:val="FootnoteReference"/>
        </w:rPr>
        <w:footnoteReference w:id="1"/>
      </w:r>
      <w:r w:rsidR="00A516FD">
        <w:t xml:space="preserve"> were</w:t>
      </w:r>
      <w:r w:rsidR="00A516FD" w:rsidRPr="00D0765A">
        <w:t xml:space="preserve"> used as a guide in the development of the qualifying criteria for Ig therapy in Australia</w:t>
      </w:r>
      <w:r w:rsidR="00A516FD">
        <w:t xml:space="preserve"> and that</w:t>
      </w:r>
      <w:r w:rsidR="00A516FD" w:rsidRPr="00D0765A">
        <w:t xml:space="preserve"> a low IgG alone is not a sufficient indication for </w:t>
      </w:r>
      <w:r w:rsidR="00A516FD">
        <w:t>Ig</w:t>
      </w:r>
      <w:r w:rsidR="00A516FD" w:rsidRPr="00D0765A">
        <w:t xml:space="preserve"> replacement.</w:t>
      </w:r>
      <w:r w:rsidR="00A516FD">
        <w:t xml:space="preserve"> </w:t>
      </w:r>
    </w:p>
    <w:p w14:paraId="674BF2C6" w14:textId="373CFF2C" w:rsidR="00A516FD" w:rsidRDefault="00A516FD" w:rsidP="00A516FD">
      <w:r>
        <w:t xml:space="preserve">For CVID, the most common PID, the revised ESID diagnostic criteria require the diagnosis to be established after the fourth year of life (but symptoms may be present before) and at least one of the following: </w:t>
      </w:r>
    </w:p>
    <w:p w14:paraId="67AD8040" w14:textId="77777777" w:rsidR="00A516FD" w:rsidRDefault="00A516FD" w:rsidP="00A516FD">
      <w:pPr>
        <w:pStyle w:val="ListParagraph"/>
        <w:numPr>
          <w:ilvl w:val="0"/>
          <w:numId w:val="19"/>
        </w:numPr>
      </w:pPr>
      <w:r>
        <w:t>increased susceptibility to infection</w:t>
      </w:r>
    </w:p>
    <w:p w14:paraId="061E0DCA" w14:textId="77777777" w:rsidR="00A516FD" w:rsidRDefault="00A516FD" w:rsidP="00A516FD">
      <w:pPr>
        <w:pStyle w:val="ListParagraph"/>
        <w:numPr>
          <w:ilvl w:val="0"/>
          <w:numId w:val="19"/>
        </w:numPr>
      </w:pPr>
      <w:r>
        <w:t>autoimmune manifestations</w:t>
      </w:r>
    </w:p>
    <w:p w14:paraId="4A03BF7F" w14:textId="77777777" w:rsidR="00A516FD" w:rsidRDefault="00A516FD" w:rsidP="00A516FD">
      <w:pPr>
        <w:pStyle w:val="ListParagraph"/>
        <w:numPr>
          <w:ilvl w:val="0"/>
          <w:numId w:val="19"/>
        </w:numPr>
      </w:pPr>
      <w:r>
        <w:t>granulomatous disease</w:t>
      </w:r>
    </w:p>
    <w:p w14:paraId="0CD63F0F" w14:textId="77777777" w:rsidR="00A516FD" w:rsidRDefault="00A516FD" w:rsidP="00A516FD">
      <w:pPr>
        <w:pStyle w:val="ListParagraph"/>
        <w:numPr>
          <w:ilvl w:val="0"/>
          <w:numId w:val="19"/>
        </w:numPr>
      </w:pPr>
      <w:r>
        <w:t>unexplained polyclonal lymphoproliferation</w:t>
      </w:r>
    </w:p>
    <w:p w14:paraId="123DE6B6" w14:textId="77777777" w:rsidR="00A516FD" w:rsidRDefault="00A516FD" w:rsidP="00A516FD">
      <w:pPr>
        <w:pStyle w:val="ListParagraph"/>
        <w:numPr>
          <w:ilvl w:val="0"/>
          <w:numId w:val="19"/>
        </w:numPr>
      </w:pPr>
      <w:r>
        <w:t>affected family member with antibody deficiency</w:t>
      </w:r>
    </w:p>
    <w:p w14:paraId="6BC899CC" w14:textId="77777777" w:rsidR="00A516FD" w:rsidRPr="00E867A0" w:rsidRDefault="00A516FD" w:rsidP="00A516FD">
      <w:pPr>
        <w:rPr>
          <w:b/>
        </w:rPr>
      </w:pPr>
      <w:r w:rsidRPr="00E867A0">
        <w:rPr>
          <w:b/>
        </w:rPr>
        <w:t>AND</w:t>
      </w:r>
    </w:p>
    <w:p w14:paraId="09C12478" w14:textId="77777777" w:rsidR="00A516FD" w:rsidRDefault="00A516FD" w:rsidP="00A516FD">
      <w:r>
        <w:t xml:space="preserve">A marked decrease of </w:t>
      </w:r>
      <w:r w:rsidR="007320B3">
        <w:t>IgG</w:t>
      </w:r>
      <w:r>
        <w:t xml:space="preserve"> and marked decrease of IgA with or without low IgM levels (measured at least twice; less than the normal reference range for their age)</w:t>
      </w:r>
    </w:p>
    <w:p w14:paraId="51A0BEB9" w14:textId="77777777" w:rsidR="00A516FD" w:rsidRPr="00E867A0" w:rsidRDefault="00A516FD" w:rsidP="00A516FD">
      <w:pPr>
        <w:rPr>
          <w:b/>
        </w:rPr>
      </w:pPr>
      <w:r w:rsidRPr="00E867A0">
        <w:rPr>
          <w:b/>
        </w:rPr>
        <w:t>AND</w:t>
      </w:r>
    </w:p>
    <w:p w14:paraId="1EC1A2B7" w14:textId="77777777" w:rsidR="00A516FD" w:rsidRDefault="00A516FD" w:rsidP="00A516FD">
      <w:r>
        <w:t xml:space="preserve">At least one of the following: </w:t>
      </w:r>
    </w:p>
    <w:p w14:paraId="058C025A" w14:textId="77777777" w:rsidR="00A516FD" w:rsidRDefault="00A516FD" w:rsidP="00A516FD">
      <w:pPr>
        <w:pStyle w:val="ListParagraph"/>
        <w:numPr>
          <w:ilvl w:val="0"/>
          <w:numId w:val="20"/>
        </w:numPr>
      </w:pPr>
      <w:r>
        <w:t>poor antibody response to vaccines (and/or absent isohaemagglutinins); i.e. absence of protective levels despite vaccination where defined</w:t>
      </w:r>
    </w:p>
    <w:p w14:paraId="6742EF30" w14:textId="77777777" w:rsidR="00A516FD" w:rsidRDefault="00A516FD" w:rsidP="00A516FD">
      <w:pPr>
        <w:pStyle w:val="ListParagraph"/>
        <w:numPr>
          <w:ilvl w:val="0"/>
          <w:numId w:val="20"/>
        </w:numPr>
      </w:pPr>
      <w:r>
        <w:t>low switched memory B-cells (less than 70 percent of age-related normal value)</w:t>
      </w:r>
    </w:p>
    <w:p w14:paraId="0DDF02FF" w14:textId="77777777" w:rsidR="00A516FD" w:rsidRPr="00E867A0" w:rsidRDefault="00A516FD" w:rsidP="00A516FD">
      <w:pPr>
        <w:rPr>
          <w:b/>
        </w:rPr>
      </w:pPr>
      <w:r w:rsidRPr="00E867A0">
        <w:rPr>
          <w:b/>
        </w:rPr>
        <w:t>AND</w:t>
      </w:r>
    </w:p>
    <w:p w14:paraId="3F829C18" w14:textId="77777777" w:rsidR="00A516FD" w:rsidRDefault="00A516FD" w:rsidP="00A516FD">
      <w:r>
        <w:t>Secondary causes of hypogammaglobulinemia have been excluded.</w:t>
      </w:r>
    </w:p>
    <w:p w14:paraId="10AB2C0C" w14:textId="77777777" w:rsidR="00A516FD" w:rsidRPr="00815850" w:rsidRDefault="00A516FD" w:rsidP="00A516FD">
      <w:r w:rsidRPr="00815850">
        <w:t xml:space="preserve">The </w:t>
      </w:r>
      <w:r>
        <w:t xml:space="preserve">latest version </w:t>
      </w:r>
      <w:r w:rsidRPr="00815850">
        <w:t>(</w:t>
      </w:r>
      <w:r>
        <w:t xml:space="preserve">published </w:t>
      </w:r>
      <w:r w:rsidRPr="00815850">
        <w:t>January 22, 2019</w:t>
      </w:r>
      <w:r>
        <w:t>) of the ESID r</w:t>
      </w:r>
      <w:r w:rsidRPr="00815850">
        <w:t xml:space="preserve">egistry of </w:t>
      </w:r>
      <w:r>
        <w:t>‘</w:t>
      </w:r>
      <w:r w:rsidRPr="00815850">
        <w:t>Working Definitions for Clinical Diagnosis of PID</w:t>
      </w:r>
      <w:r>
        <w:t xml:space="preserve">’ is available online. This version contains criteria for clinical diagnosis of all other </w:t>
      </w:r>
      <w:r w:rsidR="005C1782">
        <w:t xml:space="preserve">forms of </w:t>
      </w:r>
      <w:r>
        <w:t>PID with antibody deficiency conditions listed in ‘</w:t>
      </w:r>
      <w:r w:rsidRPr="00815850">
        <w:rPr>
          <w:i/>
        </w:rPr>
        <w:t>the Criteria’</w:t>
      </w:r>
      <w:r>
        <w:t>.</w:t>
      </w:r>
      <w:r>
        <w:fldChar w:fldCharType="begin"/>
      </w:r>
      <w:r>
        <w:instrText xml:space="preserve"> ADDIN EN.CITE &lt;EndNote&gt;&lt;Cite&gt;&lt;Author&gt;European Society for Immunodeficiencies&lt;/Author&gt;&lt;Year&gt;2019&lt;/Year&gt;&lt;RecNum&gt;2&lt;/RecNum&gt;&lt;DisplayText&gt;&lt;style face="superscript"&gt;13&lt;/style&gt;&lt;/DisplayText&gt;&lt;record&gt;&lt;rec-number&gt;2&lt;/rec-number&gt;&lt;foreign-keys&gt;&lt;key app="EN" db-id="pzpr9fpzq5dfrrefpetx2pfn5fz5e2r0vtdf" timestamp="1569287745"&gt;2&lt;/key&gt;&lt;/foreign-keys&gt;&lt;ref-type name="Web Page"&gt;12&lt;/ref-type&gt;&lt;contributors&gt;&lt;authors&gt;&lt;author&gt;European Society for Immunodeficiencies,&lt;/author&gt;&lt;/authors&gt;&lt;/contributors&gt;&lt;titles&gt;&lt;title&gt;ESID Registry - Working definintions for clinical diagnosis of PID&lt;/title&gt;&lt;/titles&gt;&lt;volume&gt;2019&lt;/volume&gt;&lt;number&gt;September 24&lt;/number&gt;&lt;dates&gt;&lt;year&gt;2019&lt;/year&gt;&lt;/dates&gt;&lt;publisher&gt;European Society for Immunodeficiencies&lt;/publisher&gt;&lt;urls&gt;&lt;related-urls&gt;&lt;url&gt;&lt;style face="underline" font="default" size="100%"&gt;https://esid.org/Working-Parties/Registry-Working-Party/Diagnosis-criteria&lt;/style&gt;&lt;/url&gt;&lt;/related-urls&gt;&lt;/urls&gt;&lt;/record&gt;&lt;/Cite&gt;&lt;/EndNote&gt;</w:instrText>
      </w:r>
      <w:r>
        <w:fldChar w:fldCharType="separate"/>
      </w:r>
      <w:r w:rsidRPr="00A516FD">
        <w:rPr>
          <w:noProof/>
          <w:vertAlign w:val="superscript"/>
        </w:rPr>
        <w:t>13</w:t>
      </w:r>
      <w:r>
        <w:fldChar w:fldCharType="end"/>
      </w:r>
      <w:r>
        <w:t xml:space="preserve"> </w:t>
      </w:r>
    </w:p>
    <w:p w14:paraId="11C58E58" w14:textId="77777777" w:rsidR="00A516FD" w:rsidRDefault="00A516FD" w:rsidP="005C1782">
      <w:pPr>
        <w:pStyle w:val="Heading4"/>
      </w:pPr>
      <w:r>
        <w:t>Prevalence of PID with antibody deficiency</w:t>
      </w:r>
    </w:p>
    <w:p w14:paraId="62F29278" w14:textId="77777777" w:rsidR="00A516FD" w:rsidRDefault="00A516FD" w:rsidP="00A516FD">
      <w:r>
        <w:t>The prevalence of PID</w:t>
      </w:r>
      <w:r w:rsidR="005C1782">
        <w:t xml:space="preserve"> </w:t>
      </w:r>
      <w:r>
        <w:t>is variable and depends on the specific disorder. ASCIA state that the overall prevalence of PID is 1 in 1200; however, IgA deficiency, the most common PID, is estimated to occur in 1 in 500 people, whilst other rarer PID occur in 1 in 10,000 to 1 in 1,000,000 people.</w:t>
      </w:r>
      <w:r>
        <w:fldChar w:fldCharType="begin"/>
      </w:r>
      <w:r>
        <w:instrText xml:space="preserve"> ADDIN EN.CITE &lt;EndNote&gt;&lt;Cite&gt;&lt;Author&gt;Australasian Society of Clinical Immunology and Allergy&lt;/Author&gt;&lt;Year&gt;2017&lt;/Year&gt;&lt;RecNum&gt;3&lt;/RecNum&gt;&lt;DisplayText&gt;&lt;style face="superscript"&gt;2&lt;/style&gt;&lt;/DisplayText&gt;&lt;record&gt;&lt;rec-number&gt;3&lt;/rec-number&gt;&lt;foreign-keys&gt;&lt;key app="EN" db-id="pzpr9fpzq5dfrrefpetx2pfn5fz5e2r0vtdf" timestamp="1569297104"&gt;3&lt;/key&gt;&lt;/foreign-keys&gt;&lt;ref-type name="Web Page"&gt;12&lt;/ref-type&gt;&lt;contributors&gt;&lt;authors&gt;&lt;author&gt;Australasian Society of Clinical Immunology and Allergy,&lt;/author&gt;&lt;/authors&gt;&lt;/contributors&gt;&lt;titles&gt;&lt;title&gt;Primary immunodeficiencies (PID) Clinical Update&lt;/title&gt;&lt;/titles&gt;&lt;volume&gt;2019&lt;/volume&gt;&lt;number&gt;24th September&lt;/number&gt;&lt;dates&gt;&lt;year&gt;2017&lt;/year&gt;&lt;/dates&gt;&lt;publisher&gt;Australasian Society of Clinical Immunology and Allergy&lt;/publisher&gt;&lt;urls&gt;&lt;related-urls&gt;&lt;url&gt;&lt;style face="underline" font="default" size="100%"&gt;https://www.allergy.org.au/hp/papers/pid&lt;/style&gt;&lt;/url&gt;&lt;/related-urls&gt;&lt;/urls&gt;&lt;/record&gt;&lt;/Cite&gt;&lt;/EndNote&gt;</w:instrText>
      </w:r>
      <w:r>
        <w:fldChar w:fldCharType="separate"/>
      </w:r>
      <w:r w:rsidRPr="00A516FD">
        <w:rPr>
          <w:noProof/>
          <w:vertAlign w:val="superscript"/>
        </w:rPr>
        <w:t>2</w:t>
      </w:r>
      <w:r>
        <w:fldChar w:fldCharType="end"/>
      </w:r>
      <w:r>
        <w:t xml:space="preserve"> </w:t>
      </w:r>
    </w:p>
    <w:p w14:paraId="0EE9F0E5" w14:textId="6F325A12" w:rsidR="00A516FD" w:rsidRDefault="00A516FD" w:rsidP="00A516FD">
      <w:r>
        <w:t xml:space="preserve">As Ig is already funded in Australia, robust figures about the use of Ig to treat PID with antibody deficiency, for those conditions that are eligible to receive it, are available. Information relevant to this PICO Confirmation has been published in the </w:t>
      </w:r>
      <w:r w:rsidR="00433664">
        <w:t>‘</w:t>
      </w:r>
      <w:r>
        <w:t>National Report on the Issue and Use of Immunoglobulin (Ig) Annual Report 2015-16</w:t>
      </w:r>
      <w:r w:rsidR="00433664">
        <w:t>'</w:t>
      </w:r>
      <w:r>
        <w:t xml:space="preserve"> released by the National Blood Authority.</w:t>
      </w:r>
      <w:r>
        <w:fldChar w:fldCharType="begin"/>
      </w:r>
      <w:r>
        <w:instrText xml:space="preserve"> ADDIN EN.CITE &lt;EndNote&gt;&lt;Cite&gt;&lt;Author&gt;National Blood Authority Australia&lt;/Author&gt;&lt;Year&gt;?&lt;/Year&gt;&lt;RecNum&gt;4&lt;/RecNum&gt;&lt;DisplayText&gt;&lt;style face="superscript"&gt;14&lt;/style&gt;&lt;/DisplayText&gt;&lt;record&gt;&lt;rec-number&gt;4&lt;/rec-number&gt;&lt;foreign-keys&gt;&lt;key app="EN" db-id="pzpr9fpzq5dfrrefpetx2pfn5fz5e2r0vtdf" timestamp="1569297361"&gt;4&lt;/key&gt;&lt;/foreign-keys&gt;&lt;ref-type name="Report"&gt;27&lt;/ref-type&gt;&lt;contributors&gt;&lt;authors&gt;&lt;author&gt;National Blood Authority Australia,&lt;/author&gt;&lt;/authors&gt;&lt;/contributors&gt;&lt;titles&gt;&lt;title&gt;National report on the issue and use of immunoglobulin (Ig). Annual Report 2015-16.&lt;/title&gt;&lt;/titles&gt;&lt;pages&gt;74 p.&lt;/pages&gt;&lt;dates&gt;&lt;year&gt;?&lt;/year&gt;&lt;/dates&gt;&lt;pub-location&gt;Australia&lt;/pub-location&gt;&lt;urls&gt;&lt;related-urls&gt;&lt;url&gt;&lt;style face="underline" font="default" size="100%"&gt;https://www.blood.gov.au/data-analysis-reporting&lt;/style&gt;&lt;/url&gt;&lt;/related-urls&gt;&lt;/urls&gt;&lt;/record&gt;&lt;/Cite&gt;&lt;/EndNote&gt;</w:instrText>
      </w:r>
      <w:r>
        <w:fldChar w:fldCharType="separate"/>
      </w:r>
      <w:r w:rsidRPr="00A516FD">
        <w:rPr>
          <w:noProof/>
          <w:vertAlign w:val="superscript"/>
        </w:rPr>
        <w:t>14</w:t>
      </w:r>
      <w:r>
        <w:fldChar w:fldCharType="end"/>
      </w:r>
      <w:r>
        <w:t xml:space="preserve"> This report provides an overview of the number of PID patients receiving Ig therapy in Australia. The report states that per diagnostic group, PID accounted for 13.3 per cent of the total Ig use, making it the third highest Ig using diagnostic group behind Acquired Hypogammaglobulinaemia secondary to haematological malignancies (highest user) and Chronic Inflammatory Demyelinating Polyneuropathy (second highest user). Data on the number of patients and usage of Ig for 2015-2016 for some of the </w:t>
      </w:r>
      <w:r w:rsidR="005C1782">
        <w:t>PID</w:t>
      </w:r>
      <w:r>
        <w:t xml:space="preserve"> with antibody deficiency conditions listed in ‘</w:t>
      </w:r>
      <w:r w:rsidRPr="00CE4267">
        <w:rPr>
          <w:i/>
        </w:rPr>
        <w:t>the Criteria’</w:t>
      </w:r>
      <w:r>
        <w:rPr>
          <w:i/>
        </w:rPr>
        <w:t xml:space="preserve"> </w:t>
      </w:r>
      <w:r>
        <w:t xml:space="preserve">are provided in </w:t>
      </w:r>
      <w:r>
        <w:fldChar w:fldCharType="begin"/>
      </w:r>
      <w:r>
        <w:instrText xml:space="preserve"> REF _Ref20228314 \h </w:instrText>
      </w:r>
      <w:r>
        <w:fldChar w:fldCharType="separate"/>
      </w:r>
      <w:r w:rsidR="008D6208">
        <w:t xml:space="preserve">Table </w:t>
      </w:r>
      <w:r w:rsidR="008D6208">
        <w:rPr>
          <w:noProof/>
        </w:rPr>
        <w:t>3</w:t>
      </w:r>
      <w:r>
        <w:fldChar w:fldCharType="end"/>
      </w:r>
      <w:r>
        <w:t xml:space="preserve">. Based on Ig usage data, ASCIA estimate the prevalence of CVID </w:t>
      </w:r>
      <w:r w:rsidR="009137BC">
        <w:t>D</w:t>
      </w:r>
      <w:r>
        <w:t>isease is 7.2 per 100,000 population, ranging from 3.7 to 16.0 per 100,000 population across Australian states and territories.</w:t>
      </w:r>
      <w:r>
        <w:fldChar w:fldCharType="begin"/>
      </w:r>
      <w:r>
        <w:instrText xml:space="preserve"> ADDIN EN.CITE &lt;EndNote&gt;&lt;Cite&gt;&lt;Author&gt;National Blood Authority Australia&lt;/Author&gt;&lt;Year&gt;?&lt;/Year&gt;&lt;RecNum&gt;4&lt;/RecNum&gt;&lt;DisplayText&gt;&lt;style face="superscript"&gt;14&lt;/style&gt;&lt;/DisplayText&gt;&lt;record&gt;&lt;rec-number&gt;4&lt;/rec-number&gt;&lt;foreign-keys&gt;&lt;key app="EN" db-id="pzpr9fpzq5dfrrefpetx2pfn5fz5e2r0vtdf" timestamp="1569297361"&gt;4&lt;/key&gt;&lt;/foreign-keys&gt;&lt;ref-type name="Report"&gt;27&lt;/ref-type&gt;&lt;contributors&gt;&lt;authors&gt;&lt;author&gt;National Blood Authority Australia,&lt;/author&gt;&lt;/authors&gt;&lt;/contributors&gt;&lt;titles&gt;&lt;title&gt;National report on the issue and use of immunoglobulin (Ig). Annual Report 2015-16.&lt;/title&gt;&lt;/titles&gt;&lt;pages&gt;74 p.&lt;/pages&gt;&lt;dates&gt;&lt;year&gt;?&lt;/year&gt;&lt;/dates&gt;&lt;pub-location&gt;Australia&lt;/pub-location&gt;&lt;urls&gt;&lt;related-urls&gt;&lt;url&gt;&lt;style face="underline" font="default" size="100%"&gt;https://www.blood.gov.au/data-analysis-reporting&lt;/style&gt;&lt;/url&gt;&lt;/related-urls&gt;&lt;/urls&gt;&lt;/record&gt;&lt;/Cite&gt;&lt;/EndNote&gt;</w:instrText>
      </w:r>
      <w:r>
        <w:fldChar w:fldCharType="separate"/>
      </w:r>
      <w:r w:rsidRPr="00A516FD">
        <w:rPr>
          <w:noProof/>
          <w:vertAlign w:val="superscript"/>
        </w:rPr>
        <w:t>14</w:t>
      </w:r>
      <w:r>
        <w:fldChar w:fldCharType="end"/>
      </w:r>
    </w:p>
    <w:p w14:paraId="3FCB38DD" w14:textId="4BB97EA4" w:rsidR="00A516FD" w:rsidRDefault="00A516FD" w:rsidP="00A516FD">
      <w:pPr>
        <w:pStyle w:val="Caption"/>
      </w:pPr>
      <w:bookmarkStart w:id="6" w:name="_Ref20228314"/>
      <w:r>
        <w:t xml:space="preserve">Table </w:t>
      </w:r>
      <w:r>
        <w:fldChar w:fldCharType="begin"/>
      </w:r>
      <w:r>
        <w:instrText xml:space="preserve"> SEQ Table \* ARABIC </w:instrText>
      </w:r>
      <w:r>
        <w:fldChar w:fldCharType="separate"/>
      </w:r>
      <w:r w:rsidR="008D6208">
        <w:rPr>
          <w:noProof/>
        </w:rPr>
        <w:t>3</w:t>
      </w:r>
      <w:r>
        <w:fldChar w:fldCharType="end"/>
      </w:r>
      <w:bookmarkEnd w:id="6"/>
      <w:r>
        <w:t xml:space="preserve"> </w:t>
      </w:r>
      <w:r>
        <w:tab/>
        <w:t>National Ig supply figures and number of patients with different PID antibody deficiency conditions</w:t>
      </w:r>
      <w:r>
        <w:rPr>
          <w:noProof/>
        </w:rPr>
        <w:t xml:space="preserve"> between 2015 to 2016</w:t>
      </w:r>
      <w:r>
        <w:rPr>
          <w:noProof/>
        </w:rPr>
        <w:fldChar w:fldCharType="begin"/>
      </w:r>
      <w:r>
        <w:rPr>
          <w:noProof/>
        </w:rPr>
        <w:instrText xml:space="preserve"> ADDIN EN.CITE &lt;EndNote&gt;&lt;Cite&gt;&lt;Author&gt;National Blood Authority Australia&lt;/Author&gt;&lt;Year&gt;?&lt;/Year&gt;&lt;RecNum&gt;4&lt;/RecNum&gt;&lt;DisplayText&gt;&lt;style face="superscript"&gt;14&lt;/style&gt;&lt;/DisplayText&gt;&lt;record&gt;&lt;rec-number&gt;4&lt;/rec-number&gt;&lt;foreign-keys&gt;&lt;key app="EN" db-id="pzpr9fpzq5dfrrefpetx2pfn5fz5e2r0vtdf" timestamp="1569297361"&gt;4&lt;/key&gt;&lt;/foreign-keys&gt;&lt;ref-type name="Report"&gt;27&lt;/ref-type&gt;&lt;contributors&gt;&lt;authors&gt;&lt;author&gt;National Blood Authority Australia,&lt;/author&gt;&lt;/authors&gt;&lt;/contributors&gt;&lt;titles&gt;&lt;title&gt;National report on the issue and use of immunoglobulin (Ig). Annual Report 2015-16.&lt;/title&gt;&lt;/titles&gt;&lt;pages&gt;74 p.&lt;/pages&gt;&lt;dates&gt;&lt;year&gt;?&lt;/year&gt;&lt;/dates&gt;&lt;pub-location&gt;Australia&lt;/pub-location&gt;&lt;urls&gt;&lt;related-urls&gt;&lt;url&gt;&lt;style face="underline" font="default" size="100%"&gt;https://www.blood.gov.au/data-analysis-reporting&lt;/style&gt;&lt;/url&gt;&lt;/related-urls&gt;&lt;/urls&gt;&lt;/record&gt;&lt;/Cite&gt;&lt;/EndNote&gt;</w:instrText>
      </w:r>
      <w:r>
        <w:rPr>
          <w:noProof/>
        </w:rPr>
        <w:fldChar w:fldCharType="separate"/>
      </w:r>
      <w:r w:rsidRPr="00A516FD">
        <w:rPr>
          <w:noProof/>
          <w:vertAlign w:val="superscript"/>
        </w:rPr>
        <w:t>14</w:t>
      </w:r>
      <w:r>
        <w:rPr>
          <w:noProof/>
        </w:rPr>
        <w:fldChar w:fldCharType="end"/>
      </w:r>
    </w:p>
    <w:tbl>
      <w:tblPr>
        <w:tblStyle w:val="TableGrid"/>
        <w:tblW w:w="0" w:type="auto"/>
        <w:tblLook w:val="04A0" w:firstRow="1" w:lastRow="0" w:firstColumn="1" w:lastColumn="0" w:noHBand="0" w:noVBand="1"/>
        <w:tblCaption w:val="Table 3  National Ig supply figures and number of patients with different PID antibody deficiency conditions between 2015 to 2016"/>
        <w:tblDescription w:val="This is a table displaying the national Ig supply figures according to condition, number of patients, grams of Ig, grams of Ig per episode and grams of Ig per 1000 patients."/>
      </w:tblPr>
      <w:tblGrid>
        <w:gridCol w:w="3218"/>
        <w:gridCol w:w="1414"/>
        <w:gridCol w:w="1132"/>
        <w:gridCol w:w="1697"/>
        <w:gridCol w:w="1555"/>
      </w:tblGrid>
      <w:tr w:rsidR="00A516FD" w:rsidRPr="003A1FF4" w14:paraId="122375CD" w14:textId="77777777" w:rsidTr="005D10B0">
        <w:trPr>
          <w:tblHeader/>
        </w:trPr>
        <w:tc>
          <w:tcPr>
            <w:tcW w:w="3227" w:type="dxa"/>
          </w:tcPr>
          <w:p w14:paraId="72514E8C" w14:textId="77777777" w:rsidR="00A516FD" w:rsidRPr="003A1FF4" w:rsidRDefault="00A516FD" w:rsidP="00C30DA5">
            <w:pPr>
              <w:rPr>
                <w:rFonts w:ascii="Arial Narrow" w:hAnsi="Arial Narrow"/>
                <w:b/>
                <w:sz w:val="18"/>
                <w:szCs w:val="18"/>
              </w:rPr>
            </w:pPr>
            <w:r w:rsidRPr="003A1FF4">
              <w:rPr>
                <w:rFonts w:ascii="Arial Narrow" w:hAnsi="Arial Narrow"/>
                <w:b/>
                <w:sz w:val="18"/>
                <w:szCs w:val="18"/>
              </w:rPr>
              <w:t>Condition</w:t>
            </w:r>
          </w:p>
        </w:tc>
        <w:tc>
          <w:tcPr>
            <w:tcW w:w="1417" w:type="dxa"/>
          </w:tcPr>
          <w:p w14:paraId="343F5004" w14:textId="77777777" w:rsidR="00A516FD" w:rsidRPr="003A1FF4" w:rsidRDefault="00A516FD" w:rsidP="00C30DA5">
            <w:pPr>
              <w:rPr>
                <w:rFonts w:ascii="Arial Narrow" w:hAnsi="Arial Narrow"/>
                <w:b/>
                <w:sz w:val="18"/>
                <w:szCs w:val="18"/>
              </w:rPr>
            </w:pPr>
            <w:r w:rsidRPr="003A1FF4">
              <w:rPr>
                <w:rFonts w:ascii="Arial Narrow" w:hAnsi="Arial Narrow"/>
                <w:b/>
                <w:sz w:val="18"/>
                <w:szCs w:val="18"/>
              </w:rPr>
              <w:t>Patients</w:t>
            </w:r>
            <w:r>
              <w:rPr>
                <w:rFonts w:ascii="Arial Narrow" w:hAnsi="Arial Narrow"/>
                <w:b/>
                <w:sz w:val="18"/>
                <w:szCs w:val="18"/>
              </w:rPr>
              <w:t xml:space="preserve"> (n)</w:t>
            </w:r>
          </w:p>
        </w:tc>
        <w:tc>
          <w:tcPr>
            <w:tcW w:w="1134" w:type="dxa"/>
          </w:tcPr>
          <w:p w14:paraId="7BED665E" w14:textId="77777777" w:rsidR="00A516FD" w:rsidRPr="003A1FF4" w:rsidRDefault="00A516FD" w:rsidP="00C30DA5">
            <w:pPr>
              <w:rPr>
                <w:rFonts w:ascii="Arial Narrow" w:hAnsi="Arial Narrow"/>
                <w:b/>
                <w:sz w:val="18"/>
                <w:szCs w:val="18"/>
              </w:rPr>
            </w:pPr>
            <w:r w:rsidRPr="003A1FF4">
              <w:rPr>
                <w:rFonts w:ascii="Arial Narrow" w:hAnsi="Arial Narrow"/>
                <w:b/>
                <w:sz w:val="18"/>
                <w:szCs w:val="18"/>
              </w:rPr>
              <w:t>Grams</w:t>
            </w:r>
            <w:r>
              <w:rPr>
                <w:rFonts w:ascii="Arial Narrow" w:hAnsi="Arial Narrow"/>
                <w:b/>
                <w:sz w:val="18"/>
                <w:szCs w:val="18"/>
              </w:rPr>
              <w:t xml:space="preserve"> Ig</w:t>
            </w:r>
          </w:p>
        </w:tc>
        <w:tc>
          <w:tcPr>
            <w:tcW w:w="1701" w:type="dxa"/>
          </w:tcPr>
          <w:p w14:paraId="5D7D17D6" w14:textId="77777777" w:rsidR="00A516FD" w:rsidRPr="003A1FF4" w:rsidRDefault="00A516FD" w:rsidP="00C30DA5">
            <w:pPr>
              <w:rPr>
                <w:rFonts w:ascii="Arial Narrow" w:hAnsi="Arial Narrow"/>
                <w:b/>
                <w:sz w:val="18"/>
                <w:szCs w:val="18"/>
              </w:rPr>
            </w:pPr>
            <w:r w:rsidRPr="003A1FF4">
              <w:rPr>
                <w:rFonts w:ascii="Arial Narrow" w:hAnsi="Arial Narrow"/>
                <w:b/>
                <w:sz w:val="18"/>
                <w:szCs w:val="18"/>
              </w:rPr>
              <w:t>Grams</w:t>
            </w:r>
            <w:r>
              <w:rPr>
                <w:rFonts w:ascii="Arial Narrow" w:hAnsi="Arial Narrow"/>
                <w:b/>
                <w:sz w:val="18"/>
                <w:szCs w:val="18"/>
              </w:rPr>
              <w:t xml:space="preserve"> Ig</w:t>
            </w:r>
            <w:r w:rsidRPr="003A1FF4">
              <w:rPr>
                <w:rFonts w:ascii="Arial Narrow" w:hAnsi="Arial Narrow"/>
                <w:b/>
                <w:sz w:val="18"/>
                <w:szCs w:val="18"/>
              </w:rPr>
              <w:t>/Episode</w:t>
            </w:r>
          </w:p>
        </w:tc>
        <w:tc>
          <w:tcPr>
            <w:tcW w:w="1560" w:type="dxa"/>
          </w:tcPr>
          <w:p w14:paraId="230857F7" w14:textId="77777777" w:rsidR="00A516FD" w:rsidRPr="003A1FF4" w:rsidRDefault="00A516FD" w:rsidP="00C30DA5">
            <w:pPr>
              <w:rPr>
                <w:rFonts w:ascii="Arial Narrow" w:hAnsi="Arial Narrow"/>
                <w:b/>
                <w:sz w:val="18"/>
                <w:szCs w:val="18"/>
              </w:rPr>
            </w:pPr>
            <w:r w:rsidRPr="003A1FF4">
              <w:rPr>
                <w:rFonts w:ascii="Arial Narrow" w:hAnsi="Arial Narrow"/>
                <w:b/>
                <w:sz w:val="18"/>
                <w:szCs w:val="18"/>
              </w:rPr>
              <w:t xml:space="preserve">Grams </w:t>
            </w:r>
            <w:r>
              <w:rPr>
                <w:rFonts w:ascii="Arial Narrow" w:hAnsi="Arial Narrow"/>
                <w:b/>
                <w:sz w:val="18"/>
                <w:szCs w:val="18"/>
              </w:rPr>
              <w:t xml:space="preserve">Ig </w:t>
            </w:r>
            <w:r w:rsidRPr="003A1FF4">
              <w:rPr>
                <w:rFonts w:ascii="Arial Narrow" w:hAnsi="Arial Narrow"/>
                <w:b/>
                <w:sz w:val="18"/>
                <w:szCs w:val="18"/>
              </w:rPr>
              <w:t>per 1,000</w:t>
            </w:r>
          </w:p>
        </w:tc>
      </w:tr>
      <w:tr w:rsidR="00A516FD" w:rsidRPr="003A1FF4" w14:paraId="751AA8C9" w14:textId="77777777" w:rsidTr="007320B3">
        <w:tc>
          <w:tcPr>
            <w:tcW w:w="3227" w:type="dxa"/>
          </w:tcPr>
          <w:p w14:paraId="756AEF7E" w14:textId="77777777" w:rsidR="00A516FD" w:rsidRPr="003A1FF4" w:rsidRDefault="00A516FD" w:rsidP="00C30DA5">
            <w:pPr>
              <w:rPr>
                <w:rFonts w:ascii="Arial Narrow" w:hAnsi="Arial Narrow"/>
                <w:sz w:val="18"/>
                <w:szCs w:val="18"/>
              </w:rPr>
            </w:pPr>
            <w:r w:rsidRPr="003A1FF4">
              <w:rPr>
                <w:rFonts w:ascii="Arial Narrow" w:hAnsi="Arial Narrow"/>
                <w:sz w:val="18"/>
                <w:szCs w:val="18"/>
              </w:rPr>
              <w:t>Common Variable Immunodeficiency Disease</w:t>
            </w:r>
          </w:p>
        </w:tc>
        <w:tc>
          <w:tcPr>
            <w:tcW w:w="1417" w:type="dxa"/>
          </w:tcPr>
          <w:p w14:paraId="2272B38E" w14:textId="77777777" w:rsidR="00A516FD" w:rsidRPr="003A1FF4" w:rsidRDefault="00A516FD" w:rsidP="00C30DA5">
            <w:pPr>
              <w:rPr>
                <w:rFonts w:ascii="Arial Narrow" w:hAnsi="Arial Narrow"/>
                <w:sz w:val="18"/>
                <w:szCs w:val="18"/>
              </w:rPr>
            </w:pPr>
            <w:r>
              <w:rPr>
                <w:rFonts w:ascii="Arial Narrow" w:hAnsi="Arial Narrow"/>
                <w:sz w:val="18"/>
                <w:szCs w:val="18"/>
              </w:rPr>
              <w:t>1,724</w:t>
            </w:r>
          </w:p>
        </w:tc>
        <w:tc>
          <w:tcPr>
            <w:tcW w:w="1134" w:type="dxa"/>
          </w:tcPr>
          <w:p w14:paraId="255F0EF4" w14:textId="77777777" w:rsidR="00A516FD" w:rsidRPr="003A1FF4" w:rsidRDefault="00A516FD" w:rsidP="00C30DA5">
            <w:pPr>
              <w:rPr>
                <w:rFonts w:ascii="Arial Narrow" w:hAnsi="Arial Narrow"/>
                <w:sz w:val="18"/>
                <w:szCs w:val="18"/>
              </w:rPr>
            </w:pPr>
            <w:r>
              <w:rPr>
                <w:rFonts w:ascii="Arial Narrow" w:hAnsi="Arial Narrow"/>
                <w:sz w:val="18"/>
                <w:szCs w:val="18"/>
              </w:rPr>
              <w:t>580,964</w:t>
            </w:r>
          </w:p>
        </w:tc>
        <w:tc>
          <w:tcPr>
            <w:tcW w:w="1701" w:type="dxa"/>
          </w:tcPr>
          <w:p w14:paraId="4ACD5B3D" w14:textId="77777777" w:rsidR="00A516FD" w:rsidRPr="003A1FF4" w:rsidRDefault="00A516FD" w:rsidP="00C30DA5">
            <w:pPr>
              <w:rPr>
                <w:rFonts w:ascii="Arial Narrow" w:hAnsi="Arial Narrow"/>
                <w:sz w:val="18"/>
                <w:szCs w:val="18"/>
              </w:rPr>
            </w:pPr>
            <w:r>
              <w:rPr>
                <w:rFonts w:ascii="Arial Narrow" w:hAnsi="Arial Narrow"/>
                <w:sz w:val="18"/>
                <w:szCs w:val="18"/>
              </w:rPr>
              <w:t>21</w:t>
            </w:r>
          </w:p>
        </w:tc>
        <w:tc>
          <w:tcPr>
            <w:tcW w:w="1560" w:type="dxa"/>
          </w:tcPr>
          <w:p w14:paraId="433220A1" w14:textId="77777777" w:rsidR="00A516FD" w:rsidRPr="003A1FF4" w:rsidRDefault="00A516FD" w:rsidP="00C30DA5">
            <w:pPr>
              <w:rPr>
                <w:rFonts w:ascii="Arial Narrow" w:hAnsi="Arial Narrow"/>
                <w:sz w:val="18"/>
                <w:szCs w:val="18"/>
              </w:rPr>
            </w:pPr>
            <w:r>
              <w:rPr>
                <w:rFonts w:ascii="Arial Narrow" w:hAnsi="Arial Narrow"/>
                <w:sz w:val="18"/>
                <w:szCs w:val="18"/>
              </w:rPr>
              <w:t>24</w:t>
            </w:r>
          </w:p>
        </w:tc>
      </w:tr>
      <w:tr w:rsidR="00A516FD" w:rsidRPr="003A1FF4" w14:paraId="27BA0FA1" w14:textId="77777777" w:rsidTr="007320B3">
        <w:tc>
          <w:tcPr>
            <w:tcW w:w="3227" w:type="dxa"/>
          </w:tcPr>
          <w:p w14:paraId="1ACA213B" w14:textId="77777777" w:rsidR="00A516FD" w:rsidRPr="003A1FF4" w:rsidRDefault="00A516FD" w:rsidP="00C30DA5">
            <w:pPr>
              <w:rPr>
                <w:rFonts w:ascii="Arial Narrow" w:hAnsi="Arial Narrow"/>
                <w:sz w:val="18"/>
                <w:szCs w:val="18"/>
              </w:rPr>
            </w:pPr>
            <w:r>
              <w:rPr>
                <w:rFonts w:ascii="Arial Narrow" w:hAnsi="Arial Narrow"/>
                <w:sz w:val="18"/>
                <w:szCs w:val="18"/>
              </w:rPr>
              <w:t>Other Primary Immunodeficiency</w:t>
            </w:r>
          </w:p>
        </w:tc>
        <w:tc>
          <w:tcPr>
            <w:tcW w:w="1417" w:type="dxa"/>
          </w:tcPr>
          <w:p w14:paraId="576991CC" w14:textId="77777777" w:rsidR="00A516FD" w:rsidRPr="003A1FF4" w:rsidRDefault="00A516FD" w:rsidP="00C30DA5">
            <w:pPr>
              <w:rPr>
                <w:rFonts w:ascii="Arial Narrow" w:hAnsi="Arial Narrow"/>
                <w:sz w:val="18"/>
                <w:szCs w:val="18"/>
              </w:rPr>
            </w:pPr>
            <w:r>
              <w:rPr>
                <w:rFonts w:ascii="Arial Narrow" w:hAnsi="Arial Narrow"/>
                <w:sz w:val="18"/>
                <w:szCs w:val="18"/>
              </w:rPr>
              <w:t>121</w:t>
            </w:r>
          </w:p>
        </w:tc>
        <w:tc>
          <w:tcPr>
            <w:tcW w:w="1134" w:type="dxa"/>
          </w:tcPr>
          <w:p w14:paraId="080B3640" w14:textId="77777777" w:rsidR="00A516FD" w:rsidRPr="003A1FF4" w:rsidRDefault="00A516FD" w:rsidP="00C30DA5">
            <w:pPr>
              <w:rPr>
                <w:rFonts w:ascii="Arial Narrow" w:hAnsi="Arial Narrow"/>
                <w:sz w:val="18"/>
                <w:szCs w:val="18"/>
              </w:rPr>
            </w:pPr>
            <w:r>
              <w:rPr>
                <w:rFonts w:ascii="Arial Narrow" w:hAnsi="Arial Narrow"/>
                <w:sz w:val="18"/>
                <w:szCs w:val="18"/>
              </w:rPr>
              <w:t>32,072</w:t>
            </w:r>
          </w:p>
        </w:tc>
        <w:tc>
          <w:tcPr>
            <w:tcW w:w="1701" w:type="dxa"/>
          </w:tcPr>
          <w:p w14:paraId="312CE162" w14:textId="77777777" w:rsidR="00A516FD" w:rsidRPr="003A1FF4" w:rsidRDefault="00A516FD" w:rsidP="00C30DA5">
            <w:pPr>
              <w:rPr>
                <w:rFonts w:ascii="Arial Narrow" w:hAnsi="Arial Narrow"/>
                <w:sz w:val="18"/>
                <w:szCs w:val="18"/>
              </w:rPr>
            </w:pPr>
            <w:r>
              <w:rPr>
                <w:rFonts w:ascii="Arial Narrow" w:hAnsi="Arial Narrow"/>
                <w:sz w:val="18"/>
                <w:szCs w:val="18"/>
              </w:rPr>
              <w:t>13</w:t>
            </w:r>
          </w:p>
        </w:tc>
        <w:tc>
          <w:tcPr>
            <w:tcW w:w="1560" w:type="dxa"/>
          </w:tcPr>
          <w:p w14:paraId="21CF45EB" w14:textId="77777777" w:rsidR="00A516FD" w:rsidRPr="003A1FF4" w:rsidRDefault="00A516FD" w:rsidP="00C30DA5">
            <w:pPr>
              <w:rPr>
                <w:rFonts w:ascii="Arial Narrow" w:hAnsi="Arial Narrow"/>
                <w:sz w:val="18"/>
                <w:szCs w:val="18"/>
              </w:rPr>
            </w:pPr>
            <w:r>
              <w:rPr>
                <w:rFonts w:ascii="Arial Narrow" w:hAnsi="Arial Narrow"/>
                <w:sz w:val="18"/>
                <w:szCs w:val="18"/>
              </w:rPr>
              <w:t>1</w:t>
            </w:r>
          </w:p>
        </w:tc>
      </w:tr>
      <w:tr w:rsidR="00A516FD" w:rsidRPr="003A1FF4" w14:paraId="5AC0195D" w14:textId="77777777" w:rsidTr="007320B3">
        <w:tc>
          <w:tcPr>
            <w:tcW w:w="3227" w:type="dxa"/>
          </w:tcPr>
          <w:p w14:paraId="27F6635D" w14:textId="77777777" w:rsidR="00A516FD" w:rsidRPr="003A1FF4" w:rsidRDefault="00A516FD" w:rsidP="00C30DA5">
            <w:pPr>
              <w:rPr>
                <w:rFonts w:ascii="Arial Narrow" w:hAnsi="Arial Narrow"/>
                <w:sz w:val="18"/>
                <w:szCs w:val="18"/>
              </w:rPr>
            </w:pPr>
            <w:r>
              <w:rPr>
                <w:rFonts w:ascii="Arial Narrow" w:hAnsi="Arial Narrow"/>
                <w:sz w:val="18"/>
                <w:szCs w:val="18"/>
              </w:rPr>
              <w:t>Severe Combined Immunodeficiency</w:t>
            </w:r>
          </w:p>
        </w:tc>
        <w:tc>
          <w:tcPr>
            <w:tcW w:w="1417" w:type="dxa"/>
          </w:tcPr>
          <w:p w14:paraId="324EB264" w14:textId="77777777" w:rsidR="00A516FD" w:rsidRPr="003A1FF4" w:rsidRDefault="00A516FD" w:rsidP="00C30DA5">
            <w:pPr>
              <w:rPr>
                <w:rFonts w:ascii="Arial Narrow" w:hAnsi="Arial Narrow"/>
                <w:sz w:val="18"/>
                <w:szCs w:val="18"/>
              </w:rPr>
            </w:pPr>
            <w:r>
              <w:rPr>
                <w:rFonts w:ascii="Arial Narrow" w:hAnsi="Arial Narrow"/>
                <w:sz w:val="18"/>
                <w:szCs w:val="18"/>
              </w:rPr>
              <w:t>39</w:t>
            </w:r>
          </w:p>
        </w:tc>
        <w:tc>
          <w:tcPr>
            <w:tcW w:w="1134" w:type="dxa"/>
          </w:tcPr>
          <w:p w14:paraId="101E645F" w14:textId="77777777" w:rsidR="00A516FD" w:rsidRPr="003A1FF4" w:rsidRDefault="00A516FD" w:rsidP="00C30DA5">
            <w:pPr>
              <w:rPr>
                <w:rFonts w:ascii="Arial Narrow" w:hAnsi="Arial Narrow"/>
                <w:sz w:val="18"/>
                <w:szCs w:val="18"/>
              </w:rPr>
            </w:pPr>
            <w:r>
              <w:rPr>
                <w:rFonts w:ascii="Arial Narrow" w:hAnsi="Arial Narrow"/>
                <w:sz w:val="18"/>
                <w:szCs w:val="18"/>
              </w:rPr>
              <w:t>8,636</w:t>
            </w:r>
          </w:p>
        </w:tc>
        <w:tc>
          <w:tcPr>
            <w:tcW w:w="1701" w:type="dxa"/>
          </w:tcPr>
          <w:p w14:paraId="78FD5345" w14:textId="77777777" w:rsidR="00A516FD" w:rsidRPr="003A1FF4" w:rsidRDefault="00A516FD" w:rsidP="00C30DA5">
            <w:pPr>
              <w:rPr>
                <w:rFonts w:ascii="Arial Narrow" w:hAnsi="Arial Narrow"/>
                <w:sz w:val="18"/>
                <w:szCs w:val="18"/>
              </w:rPr>
            </w:pPr>
            <w:r>
              <w:rPr>
                <w:rFonts w:ascii="Arial Narrow" w:hAnsi="Arial Narrow"/>
                <w:sz w:val="18"/>
                <w:szCs w:val="18"/>
              </w:rPr>
              <w:t>13</w:t>
            </w:r>
          </w:p>
        </w:tc>
        <w:tc>
          <w:tcPr>
            <w:tcW w:w="1560" w:type="dxa"/>
          </w:tcPr>
          <w:p w14:paraId="29707834" w14:textId="77777777" w:rsidR="00A516FD" w:rsidRPr="003A1FF4" w:rsidRDefault="00A516FD" w:rsidP="00C30DA5">
            <w:pPr>
              <w:rPr>
                <w:rFonts w:ascii="Arial Narrow" w:hAnsi="Arial Narrow"/>
                <w:sz w:val="18"/>
                <w:szCs w:val="18"/>
              </w:rPr>
            </w:pPr>
            <w:r>
              <w:rPr>
                <w:rFonts w:ascii="Arial Narrow" w:hAnsi="Arial Narrow"/>
                <w:sz w:val="18"/>
                <w:szCs w:val="18"/>
              </w:rPr>
              <w:t>&lt;1</w:t>
            </w:r>
          </w:p>
        </w:tc>
      </w:tr>
      <w:tr w:rsidR="00A516FD" w:rsidRPr="003A1FF4" w14:paraId="5CD59D9A" w14:textId="77777777" w:rsidTr="007320B3">
        <w:tc>
          <w:tcPr>
            <w:tcW w:w="3227" w:type="dxa"/>
          </w:tcPr>
          <w:p w14:paraId="1699E0A6" w14:textId="77777777" w:rsidR="00A516FD" w:rsidRPr="003A1FF4" w:rsidRDefault="00A516FD" w:rsidP="00C30DA5">
            <w:pPr>
              <w:rPr>
                <w:rFonts w:ascii="Arial Narrow" w:hAnsi="Arial Narrow"/>
                <w:sz w:val="18"/>
                <w:szCs w:val="18"/>
              </w:rPr>
            </w:pPr>
            <w:r>
              <w:rPr>
                <w:rFonts w:ascii="Arial Narrow" w:hAnsi="Arial Narrow"/>
                <w:sz w:val="18"/>
                <w:szCs w:val="18"/>
              </w:rPr>
              <w:t>Wiskott-Aldrich Syndrome</w:t>
            </w:r>
          </w:p>
        </w:tc>
        <w:tc>
          <w:tcPr>
            <w:tcW w:w="1417" w:type="dxa"/>
          </w:tcPr>
          <w:p w14:paraId="284C0E4F" w14:textId="77777777" w:rsidR="00A516FD" w:rsidRPr="003A1FF4" w:rsidRDefault="00A516FD" w:rsidP="00C30DA5">
            <w:pPr>
              <w:rPr>
                <w:rFonts w:ascii="Arial Narrow" w:hAnsi="Arial Narrow"/>
                <w:sz w:val="18"/>
                <w:szCs w:val="18"/>
              </w:rPr>
            </w:pPr>
            <w:r>
              <w:rPr>
                <w:rFonts w:ascii="Arial Narrow" w:hAnsi="Arial Narrow"/>
                <w:sz w:val="18"/>
                <w:szCs w:val="18"/>
              </w:rPr>
              <w:t>5</w:t>
            </w:r>
          </w:p>
        </w:tc>
        <w:tc>
          <w:tcPr>
            <w:tcW w:w="1134" w:type="dxa"/>
          </w:tcPr>
          <w:p w14:paraId="08CDA38D" w14:textId="77777777" w:rsidR="00A516FD" w:rsidRPr="003A1FF4" w:rsidRDefault="00A516FD" w:rsidP="00C30DA5">
            <w:pPr>
              <w:rPr>
                <w:rFonts w:ascii="Arial Narrow" w:hAnsi="Arial Narrow"/>
                <w:sz w:val="18"/>
                <w:szCs w:val="18"/>
              </w:rPr>
            </w:pPr>
            <w:r>
              <w:rPr>
                <w:rFonts w:ascii="Arial Narrow" w:hAnsi="Arial Narrow"/>
                <w:sz w:val="18"/>
                <w:szCs w:val="18"/>
              </w:rPr>
              <w:t>1,176</w:t>
            </w:r>
          </w:p>
        </w:tc>
        <w:tc>
          <w:tcPr>
            <w:tcW w:w="1701" w:type="dxa"/>
          </w:tcPr>
          <w:p w14:paraId="54080A33" w14:textId="77777777" w:rsidR="00A516FD" w:rsidRPr="003A1FF4" w:rsidRDefault="00A516FD" w:rsidP="00C30DA5">
            <w:pPr>
              <w:rPr>
                <w:rFonts w:ascii="Arial Narrow" w:hAnsi="Arial Narrow"/>
                <w:sz w:val="18"/>
                <w:szCs w:val="18"/>
              </w:rPr>
            </w:pPr>
            <w:r>
              <w:rPr>
                <w:rFonts w:ascii="Arial Narrow" w:hAnsi="Arial Narrow"/>
                <w:sz w:val="18"/>
                <w:szCs w:val="18"/>
              </w:rPr>
              <w:t>11</w:t>
            </w:r>
          </w:p>
        </w:tc>
        <w:tc>
          <w:tcPr>
            <w:tcW w:w="1560" w:type="dxa"/>
          </w:tcPr>
          <w:p w14:paraId="537C2649" w14:textId="77777777" w:rsidR="00A516FD" w:rsidRPr="003A1FF4" w:rsidRDefault="00A516FD" w:rsidP="00C30DA5">
            <w:pPr>
              <w:rPr>
                <w:rFonts w:ascii="Arial Narrow" w:hAnsi="Arial Narrow"/>
                <w:sz w:val="18"/>
                <w:szCs w:val="18"/>
              </w:rPr>
            </w:pPr>
            <w:r>
              <w:rPr>
                <w:rFonts w:ascii="Arial Narrow" w:hAnsi="Arial Narrow"/>
                <w:sz w:val="18"/>
                <w:szCs w:val="18"/>
              </w:rPr>
              <w:t>&lt;1</w:t>
            </w:r>
          </w:p>
        </w:tc>
      </w:tr>
    </w:tbl>
    <w:p w14:paraId="0A0C0A0B" w14:textId="77777777" w:rsidR="00A516FD" w:rsidRDefault="001D00C0" w:rsidP="001D00C0">
      <w:pPr>
        <w:pStyle w:val="Tablenotes"/>
      </w:pPr>
      <w:r>
        <w:t xml:space="preserve">Source: </w:t>
      </w:r>
      <w:r w:rsidR="003C7EE0">
        <w:t>N</w:t>
      </w:r>
      <w:r w:rsidR="003C7EE0" w:rsidRPr="003C7EE0">
        <w:t>ational report on the issue and use of immunoglobulin (</w:t>
      </w:r>
      <w:r w:rsidR="003C7EE0">
        <w:t>Ig</w:t>
      </w:r>
      <w:r w:rsidR="003C7EE0" w:rsidRPr="003C7EE0">
        <w:t>)</w:t>
      </w:r>
      <w:r w:rsidR="003C7EE0">
        <w:t>, Annual Report 2015-16</w:t>
      </w:r>
      <w:r w:rsidR="00CF4CCE">
        <w:t>.</w:t>
      </w:r>
      <w:r w:rsidR="00CF4CCE">
        <w:fldChar w:fldCharType="begin"/>
      </w:r>
      <w:r w:rsidR="00CF4CCE">
        <w:instrText xml:space="preserve"> ADDIN EN.CITE &lt;EndNote&gt;&lt;Cite&gt;&lt;Author&gt;National Blood Authority Australia&lt;/Author&gt;&lt;Year&gt;?&lt;/Year&gt;&lt;RecNum&gt;4&lt;/RecNum&gt;&lt;DisplayText&gt;&lt;style face="superscript"&gt;14&lt;/style&gt;&lt;/DisplayText&gt;&lt;record&gt;&lt;rec-number&gt;4&lt;/rec-number&gt;&lt;foreign-keys&gt;&lt;key app="EN" db-id="pzpr9fpzq5dfrrefpetx2pfn5fz5e2r0vtdf" timestamp="1569297361"&gt;4&lt;/key&gt;&lt;/foreign-keys&gt;&lt;ref-type name="Report"&gt;27&lt;/ref-type&gt;&lt;contributors&gt;&lt;authors&gt;&lt;author&gt;National Blood Authority Australia,&lt;/author&gt;&lt;/authors&gt;&lt;/contributors&gt;&lt;titles&gt;&lt;title&gt;National report on the issue and use of immunoglobulin (Ig). Annual Report 2015-16.&lt;/title&gt;&lt;/titles&gt;&lt;pages&gt;74 p.&lt;/pages&gt;&lt;dates&gt;&lt;year&gt;?&lt;/year&gt;&lt;/dates&gt;&lt;pub-location&gt;Australia&lt;/pub-location&gt;&lt;urls&gt;&lt;related-urls&gt;&lt;url&gt;&lt;style face="underline" font="default" size="100%"&gt;https://www.blood.gov.au/data-analysis-reporting&lt;/style&gt;&lt;/url&gt;&lt;/related-urls&gt;&lt;/urls&gt;&lt;/record&gt;&lt;/Cite&gt;&lt;/EndNote&gt;</w:instrText>
      </w:r>
      <w:r w:rsidR="00CF4CCE">
        <w:fldChar w:fldCharType="separate"/>
      </w:r>
      <w:r w:rsidR="00CF4CCE" w:rsidRPr="00A516FD">
        <w:rPr>
          <w:noProof/>
          <w:vertAlign w:val="superscript"/>
        </w:rPr>
        <w:t>14</w:t>
      </w:r>
      <w:r w:rsidR="00CF4CCE">
        <w:fldChar w:fldCharType="end"/>
      </w:r>
    </w:p>
    <w:p w14:paraId="0AEA0D75" w14:textId="7D9A4E90" w:rsidR="00A516FD" w:rsidRDefault="00A516FD" w:rsidP="00A516FD">
      <w:r w:rsidRPr="002B6A39">
        <w:t>More</w:t>
      </w:r>
      <w:r>
        <w:t xml:space="preserve"> recent data on Ig use per episode provided by the </w:t>
      </w:r>
      <w:r w:rsidR="00DE5712">
        <w:t>Applicant</w:t>
      </w:r>
      <w:r w:rsidR="007320B3">
        <w:t xml:space="preserve"> is detailed in </w:t>
      </w:r>
      <w:r w:rsidR="007320B3">
        <w:fldChar w:fldCharType="begin"/>
      </w:r>
      <w:r w:rsidR="007320B3">
        <w:instrText xml:space="preserve"> REF _Ref21419407 \h </w:instrText>
      </w:r>
      <w:r w:rsidR="007320B3">
        <w:fldChar w:fldCharType="separate"/>
      </w:r>
      <w:r w:rsidR="008D6208">
        <w:t xml:space="preserve">Table </w:t>
      </w:r>
      <w:r w:rsidR="008D6208">
        <w:rPr>
          <w:noProof/>
        </w:rPr>
        <w:t>4</w:t>
      </w:r>
      <w:r w:rsidR="007320B3">
        <w:fldChar w:fldCharType="end"/>
      </w:r>
      <w:r>
        <w:t xml:space="preserve"> (Referral Form, page 29)</w:t>
      </w:r>
      <w:r w:rsidR="007320B3">
        <w:t xml:space="preserve">. </w:t>
      </w:r>
      <w:r>
        <w:t xml:space="preserve">The </w:t>
      </w:r>
      <w:r w:rsidR="00DE5712">
        <w:t>Applicant</w:t>
      </w:r>
      <w:r>
        <w:t xml:space="preserve"> notes that when considering the data, the meaning of the term ‘episode’ has evolved over the development of the dataset, with the definition more closely related to a dispensing episode or event. They also state that “As there may be more than one ‘dispense episode or event’ in a single course of treatment, the true number of courses of treatment during any period is highly likely to be fewer than the number of ‘episodes’ recorded in BloodSTAR and STARS”. </w:t>
      </w:r>
    </w:p>
    <w:p w14:paraId="50130397" w14:textId="5FC6E85E" w:rsidR="00A516FD" w:rsidRDefault="00A516FD" w:rsidP="00A516FD">
      <w:pPr>
        <w:pStyle w:val="Caption"/>
      </w:pPr>
      <w:bookmarkStart w:id="7" w:name="_Ref21419407"/>
      <w:r>
        <w:t xml:space="preserve">Table </w:t>
      </w:r>
      <w:r>
        <w:fldChar w:fldCharType="begin"/>
      </w:r>
      <w:r>
        <w:instrText xml:space="preserve"> SEQ Table \* ARABIC </w:instrText>
      </w:r>
      <w:r>
        <w:fldChar w:fldCharType="separate"/>
      </w:r>
      <w:r w:rsidR="008D6208">
        <w:rPr>
          <w:noProof/>
        </w:rPr>
        <w:t>4</w:t>
      </w:r>
      <w:r>
        <w:fldChar w:fldCharType="end"/>
      </w:r>
      <w:bookmarkEnd w:id="7"/>
      <w:r>
        <w:t xml:space="preserve"> </w:t>
      </w:r>
      <w:r>
        <w:tab/>
        <w:t>Ig dosing and frequency between 2016-2017 and 2017-2018</w:t>
      </w:r>
      <w:r w:rsidR="00841CF6">
        <w:t xml:space="preserve"> for PID and CVID</w:t>
      </w:r>
    </w:p>
    <w:tbl>
      <w:tblPr>
        <w:tblStyle w:val="TableGrid"/>
        <w:tblW w:w="0" w:type="auto"/>
        <w:tblLook w:val="04A0" w:firstRow="1" w:lastRow="0" w:firstColumn="1" w:lastColumn="0" w:noHBand="0" w:noVBand="1"/>
        <w:tblCaption w:val="Table 4  Ig dosing and frequency between 2016-2017 and 2017-2018 for PID and CVID"/>
        <w:tblDescription w:val="This is a table displaying the Ig dosing and frequency for PID and CVID for 2016-2017 and 2017-2018 according to treatment episodes, average treatment episodes per year and average Ig grams per kilogram per episode."/>
      </w:tblPr>
      <w:tblGrid>
        <w:gridCol w:w="1822"/>
        <w:gridCol w:w="1798"/>
        <w:gridCol w:w="1798"/>
        <w:gridCol w:w="1799"/>
        <w:gridCol w:w="1799"/>
      </w:tblGrid>
      <w:tr w:rsidR="00A516FD" w:rsidRPr="001E7BC1" w14:paraId="6FEE42E0" w14:textId="77777777" w:rsidTr="005D10B0">
        <w:trPr>
          <w:tblHeader/>
        </w:trPr>
        <w:tc>
          <w:tcPr>
            <w:tcW w:w="1848" w:type="dxa"/>
          </w:tcPr>
          <w:p w14:paraId="047D99A4" w14:textId="77777777" w:rsidR="00A516FD" w:rsidRPr="001E7BC1" w:rsidRDefault="00A516FD" w:rsidP="00C30DA5">
            <w:pPr>
              <w:rPr>
                <w:rFonts w:ascii="Arial Narrow" w:hAnsi="Arial Narrow"/>
                <w:sz w:val="18"/>
                <w:szCs w:val="18"/>
              </w:rPr>
            </w:pPr>
          </w:p>
        </w:tc>
        <w:tc>
          <w:tcPr>
            <w:tcW w:w="1848" w:type="dxa"/>
            <w:shd w:val="clear" w:color="auto" w:fill="D9D9D9" w:themeFill="background1" w:themeFillShade="D9"/>
          </w:tcPr>
          <w:p w14:paraId="617BDDA0" w14:textId="77777777" w:rsidR="00A516FD" w:rsidRPr="004F2D4E" w:rsidRDefault="00A516FD" w:rsidP="00C30DA5">
            <w:pPr>
              <w:rPr>
                <w:rFonts w:ascii="Arial Narrow" w:hAnsi="Arial Narrow"/>
                <w:b/>
                <w:sz w:val="18"/>
                <w:szCs w:val="18"/>
              </w:rPr>
            </w:pPr>
            <w:r w:rsidRPr="004F2D4E">
              <w:rPr>
                <w:rFonts w:ascii="Arial Narrow" w:hAnsi="Arial Narrow"/>
                <w:b/>
                <w:sz w:val="18"/>
                <w:szCs w:val="18"/>
              </w:rPr>
              <w:t>PID Total</w:t>
            </w:r>
          </w:p>
        </w:tc>
        <w:tc>
          <w:tcPr>
            <w:tcW w:w="1848" w:type="dxa"/>
            <w:shd w:val="clear" w:color="auto" w:fill="D9D9D9" w:themeFill="background1" w:themeFillShade="D9"/>
          </w:tcPr>
          <w:p w14:paraId="67F2340A" w14:textId="77777777" w:rsidR="00A516FD" w:rsidRPr="004F2D4E" w:rsidRDefault="00A516FD" w:rsidP="00C30DA5">
            <w:pPr>
              <w:rPr>
                <w:rFonts w:ascii="Arial Narrow" w:hAnsi="Arial Narrow"/>
                <w:b/>
                <w:sz w:val="18"/>
                <w:szCs w:val="18"/>
              </w:rPr>
            </w:pPr>
          </w:p>
        </w:tc>
        <w:tc>
          <w:tcPr>
            <w:tcW w:w="1849" w:type="dxa"/>
            <w:shd w:val="clear" w:color="auto" w:fill="D9D9D9" w:themeFill="background1" w:themeFillShade="D9"/>
          </w:tcPr>
          <w:p w14:paraId="51C35992" w14:textId="77777777" w:rsidR="00A516FD" w:rsidRPr="004F2D4E" w:rsidRDefault="00A516FD" w:rsidP="00C30DA5">
            <w:pPr>
              <w:rPr>
                <w:rFonts w:ascii="Arial Narrow" w:hAnsi="Arial Narrow"/>
                <w:b/>
                <w:sz w:val="18"/>
                <w:szCs w:val="18"/>
              </w:rPr>
            </w:pPr>
            <w:r w:rsidRPr="004F2D4E">
              <w:rPr>
                <w:rFonts w:ascii="Arial Narrow" w:hAnsi="Arial Narrow"/>
                <w:b/>
                <w:sz w:val="18"/>
                <w:szCs w:val="18"/>
              </w:rPr>
              <w:t>CVID</w:t>
            </w:r>
          </w:p>
        </w:tc>
        <w:tc>
          <w:tcPr>
            <w:tcW w:w="1849" w:type="dxa"/>
            <w:shd w:val="clear" w:color="auto" w:fill="D9D9D9" w:themeFill="background1" w:themeFillShade="D9"/>
          </w:tcPr>
          <w:p w14:paraId="4E500C22" w14:textId="77777777" w:rsidR="00A516FD" w:rsidRPr="004F2D4E" w:rsidRDefault="00A516FD" w:rsidP="00C30DA5">
            <w:pPr>
              <w:rPr>
                <w:rFonts w:ascii="Arial Narrow" w:hAnsi="Arial Narrow"/>
                <w:b/>
                <w:sz w:val="18"/>
                <w:szCs w:val="18"/>
              </w:rPr>
            </w:pPr>
          </w:p>
        </w:tc>
      </w:tr>
      <w:tr w:rsidR="00A516FD" w:rsidRPr="001E7BC1" w14:paraId="527BDAF2" w14:textId="77777777" w:rsidTr="00C30DA5">
        <w:tc>
          <w:tcPr>
            <w:tcW w:w="1848" w:type="dxa"/>
          </w:tcPr>
          <w:p w14:paraId="22887301" w14:textId="77777777" w:rsidR="00A516FD" w:rsidRPr="001E7BC1" w:rsidRDefault="00A516FD" w:rsidP="00C30DA5">
            <w:pPr>
              <w:rPr>
                <w:rFonts w:ascii="Arial Narrow" w:hAnsi="Arial Narrow"/>
                <w:sz w:val="18"/>
                <w:szCs w:val="18"/>
              </w:rPr>
            </w:pPr>
          </w:p>
        </w:tc>
        <w:tc>
          <w:tcPr>
            <w:tcW w:w="1848" w:type="dxa"/>
            <w:shd w:val="clear" w:color="auto" w:fill="D9D9D9" w:themeFill="background1" w:themeFillShade="D9"/>
          </w:tcPr>
          <w:p w14:paraId="67B0A8EE" w14:textId="77777777" w:rsidR="00A516FD" w:rsidRPr="004F2D4E" w:rsidRDefault="00A516FD" w:rsidP="00C30DA5">
            <w:pPr>
              <w:rPr>
                <w:rFonts w:ascii="Arial Narrow" w:hAnsi="Arial Narrow"/>
                <w:b/>
                <w:sz w:val="18"/>
                <w:szCs w:val="18"/>
              </w:rPr>
            </w:pPr>
            <w:r w:rsidRPr="004F2D4E">
              <w:rPr>
                <w:rFonts w:ascii="Arial Narrow" w:hAnsi="Arial Narrow"/>
                <w:b/>
                <w:sz w:val="18"/>
                <w:szCs w:val="18"/>
              </w:rPr>
              <w:t>2016-17</w:t>
            </w:r>
          </w:p>
        </w:tc>
        <w:tc>
          <w:tcPr>
            <w:tcW w:w="1848" w:type="dxa"/>
            <w:shd w:val="clear" w:color="auto" w:fill="D9D9D9" w:themeFill="background1" w:themeFillShade="D9"/>
          </w:tcPr>
          <w:p w14:paraId="7F4D9BCE" w14:textId="77777777" w:rsidR="00A516FD" w:rsidRPr="004F2D4E" w:rsidRDefault="00A516FD" w:rsidP="00C30DA5">
            <w:pPr>
              <w:rPr>
                <w:rFonts w:ascii="Arial Narrow" w:hAnsi="Arial Narrow"/>
                <w:b/>
                <w:sz w:val="18"/>
                <w:szCs w:val="18"/>
              </w:rPr>
            </w:pPr>
            <w:r w:rsidRPr="004F2D4E">
              <w:rPr>
                <w:rFonts w:ascii="Arial Narrow" w:hAnsi="Arial Narrow"/>
                <w:b/>
                <w:sz w:val="18"/>
                <w:szCs w:val="18"/>
              </w:rPr>
              <w:t>2017-2018</w:t>
            </w:r>
          </w:p>
        </w:tc>
        <w:tc>
          <w:tcPr>
            <w:tcW w:w="1849" w:type="dxa"/>
            <w:shd w:val="clear" w:color="auto" w:fill="D9D9D9" w:themeFill="background1" w:themeFillShade="D9"/>
          </w:tcPr>
          <w:p w14:paraId="5F5F3CDF" w14:textId="77777777" w:rsidR="00A516FD" w:rsidRPr="004F2D4E" w:rsidRDefault="00A516FD" w:rsidP="00C30DA5">
            <w:pPr>
              <w:rPr>
                <w:rFonts w:ascii="Arial Narrow" w:hAnsi="Arial Narrow"/>
                <w:b/>
                <w:sz w:val="18"/>
                <w:szCs w:val="18"/>
              </w:rPr>
            </w:pPr>
            <w:r w:rsidRPr="004F2D4E">
              <w:rPr>
                <w:rFonts w:ascii="Arial Narrow" w:hAnsi="Arial Narrow"/>
                <w:b/>
                <w:sz w:val="18"/>
                <w:szCs w:val="18"/>
              </w:rPr>
              <w:t>2016-17</w:t>
            </w:r>
          </w:p>
        </w:tc>
        <w:tc>
          <w:tcPr>
            <w:tcW w:w="1849" w:type="dxa"/>
            <w:shd w:val="clear" w:color="auto" w:fill="D9D9D9" w:themeFill="background1" w:themeFillShade="D9"/>
          </w:tcPr>
          <w:p w14:paraId="63AF2DC5" w14:textId="77777777" w:rsidR="00A516FD" w:rsidRPr="004F2D4E" w:rsidRDefault="00A516FD" w:rsidP="00C30DA5">
            <w:pPr>
              <w:rPr>
                <w:rFonts w:ascii="Arial Narrow" w:hAnsi="Arial Narrow"/>
                <w:b/>
                <w:sz w:val="18"/>
                <w:szCs w:val="18"/>
              </w:rPr>
            </w:pPr>
            <w:r w:rsidRPr="004F2D4E">
              <w:rPr>
                <w:rFonts w:ascii="Arial Narrow" w:hAnsi="Arial Narrow"/>
                <w:b/>
                <w:sz w:val="18"/>
                <w:szCs w:val="18"/>
              </w:rPr>
              <w:t>2017-2018</w:t>
            </w:r>
          </w:p>
        </w:tc>
      </w:tr>
      <w:tr w:rsidR="00A516FD" w:rsidRPr="001E7BC1" w14:paraId="18BB3204" w14:textId="77777777" w:rsidTr="00C30DA5">
        <w:tc>
          <w:tcPr>
            <w:tcW w:w="1848" w:type="dxa"/>
          </w:tcPr>
          <w:p w14:paraId="748B63D5" w14:textId="77777777" w:rsidR="00A516FD" w:rsidRPr="001E7BC1" w:rsidRDefault="00A516FD" w:rsidP="00C30DA5">
            <w:pPr>
              <w:rPr>
                <w:rFonts w:ascii="Arial Narrow" w:hAnsi="Arial Narrow"/>
                <w:sz w:val="18"/>
                <w:szCs w:val="18"/>
              </w:rPr>
            </w:pPr>
            <w:r>
              <w:rPr>
                <w:rFonts w:ascii="Arial Narrow" w:hAnsi="Arial Narrow"/>
                <w:sz w:val="18"/>
                <w:szCs w:val="18"/>
              </w:rPr>
              <w:t>Treatment episodes</w:t>
            </w:r>
          </w:p>
        </w:tc>
        <w:tc>
          <w:tcPr>
            <w:tcW w:w="1848" w:type="dxa"/>
          </w:tcPr>
          <w:p w14:paraId="2281CE21" w14:textId="77777777" w:rsidR="00A516FD" w:rsidRPr="001E7BC1" w:rsidRDefault="00A516FD" w:rsidP="00C30DA5">
            <w:pPr>
              <w:rPr>
                <w:rFonts w:ascii="Arial Narrow" w:hAnsi="Arial Narrow"/>
                <w:sz w:val="18"/>
                <w:szCs w:val="18"/>
              </w:rPr>
            </w:pPr>
            <w:r>
              <w:rPr>
                <w:rFonts w:ascii="Arial Narrow" w:hAnsi="Arial Narrow"/>
                <w:sz w:val="18"/>
                <w:szCs w:val="18"/>
              </w:rPr>
              <w:t>32,207</w:t>
            </w:r>
          </w:p>
        </w:tc>
        <w:tc>
          <w:tcPr>
            <w:tcW w:w="1848" w:type="dxa"/>
          </w:tcPr>
          <w:p w14:paraId="68CD8341" w14:textId="77777777" w:rsidR="00A516FD" w:rsidRPr="001E7BC1" w:rsidRDefault="00A516FD" w:rsidP="00C30DA5">
            <w:pPr>
              <w:rPr>
                <w:rFonts w:ascii="Arial Narrow" w:hAnsi="Arial Narrow"/>
                <w:sz w:val="18"/>
                <w:szCs w:val="18"/>
              </w:rPr>
            </w:pPr>
            <w:r>
              <w:rPr>
                <w:rFonts w:ascii="Arial Narrow" w:hAnsi="Arial Narrow"/>
                <w:sz w:val="18"/>
                <w:szCs w:val="18"/>
              </w:rPr>
              <w:t>33,108</w:t>
            </w:r>
          </w:p>
        </w:tc>
        <w:tc>
          <w:tcPr>
            <w:tcW w:w="1849" w:type="dxa"/>
          </w:tcPr>
          <w:p w14:paraId="2F314874" w14:textId="77777777" w:rsidR="00A516FD" w:rsidRPr="001E7BC1" w:rsidRDefault="00A516FD" w:rsidP="00C30DA5">
            <w:pPr>
              <w:rPr>
                <w:rFonts w:ascii="Arial Narrow" w:hAnsi="Arial Narrow"/>
                <w:sz w:val="18"/>
                <w:szCs w:val="18"/>
              </w:rPr>
            </w:pPr>
            <w:r>
              <w:rPr>
                <w:rFonts w:ascii="Arial Narrow" w:hAnsi="Arial Narrow"/>
                <w:sz w:val="18"/>
                <w:szCs w:val="18"/>
              </w:rPr>
              <w:t>27,680</w:t>
            </w:r>
          </w:p>
        </w:tc>
        <w:tc>
          <w:tcPr>
            <w:tcW w:w="1849" w:type="dxa"/>
          </w:tcPr>
          <w:p w14:paraId="10B55CF1" w14:textId="77777777" w:rsidR="00A516FD" w:rsidRPr="001E7BC1" w:rsidRDefault="00A516FD" w:rsidP="00C30DA5">
            <w:pPr>
              <w:rPr>
                <w:rFonts w:ascii="Arial Narrow" w:hAnsi="Arial Narrow"/>
                <w:sz w:val="18"/>
                <w:szCs w:val="18"/>
              </w:rPr>
            </w:pPr>
            <w:r>
              <w:rPr>
                <w:rFonts w:ascii="Arial Narrow" w:hAnsi="Arial Narrow"/>
                <w:sz w:val="18"/>
                <w:szCs w:val="18"/>
              </w:rPr>
              <w:t>28,872</w:t>
            </w:r>
          </w:p>
        </w:tc>
      </w:tr>
      <w:tr w:rsidR="00A516FD" w:rsidRPr="001E7BC1" w14:paraId="536A5739" w14:textId="77777777" w:rsidTr="00C30DA5">
        <w:tc>
          <w:tcPr>
            <w:tcW w:w="1848" w:type="dxa"/>
          </w:tcPr>
          <w:p w14:paraId="607A7A39" w14:textId="77777777" w:rsidR="00A516FD" w:rsidRPr="001E7BC1" w:rsidRDefault="00A516FD" w:rsidP="00C30DA5">
            <w:pPr>
              <w:rPr>
                <w:rFonts w:ascii="Arial Narrow" w:hAnsi="Arial Narrow"/>
                <w:sz w:val="18"/>
                <w:szCs w:val="18"/>
              </w:rPr>
            </w:pPr>
            <w:r>
              <w:rPr>
                <w:rFonts w:ascii="Arial Narrow" w:hAnsi="Arial Narrow"/>
                <w:sz w:val="18"/>
                <w:szCs w:val="18"/>
              </w:rPr>
              <w:t>Average treatment episodes per year</w:t>
            </w:r>
          </w:p>
        </w:tc>
        <w:tc>
          <w:tcPr>
            <w:tcW w:w="1848" w:type="dxa"/>
          </w:tcPr>
          <w:p w14:paraId="55AFD471" w14:textId="77777777" w:rsidR="00A516FD" w:rsidRPr="001E7BC1" w:rsidRDefault="00A516FD" w:rsidP="00C30DA5">
            <w:pPr>
              <w:rPr>
                <w:rFonts w:ascii="Arial Narrow" w:hAnsi="Arial Narrow"/>
                <w:sz w:val="18"/>
                <w:szCs w:val="18"/>
              </w:rPr>
            </w:pPr>
            <w:r>
              <w:rPr>
                <w:rFonts w:ascii="Arial Narrow" w:hAnsi="Arial Narrow"/>
                <w:sz w:val="18"/>
                <w:szCs w:val="18"/>
              </w:rPr>
              <w:t>15</w:t>
            </w:r>
          </w:p>
        </w:tc>
        <w:tc>
          <w:tcPr>
            <w:tcW w:w="1848" w:type="dxa"/>
          </w:tcPr>
          <w:p w14:paraId="5575D6EE" w14:textId="77777777" w:rsidR="00A516FD" w:rsidRPr="001E7BC1" w:rsidRDefault="00A516FD" w:rsidP="00C30DA5">
            <w:pPr>
              <w:rPr>
                <w:rFonts w:ascii="Arial Narrow" w:hAnsi="Arial Narrow"/>
                <w:sz w:val="18"/>
                <w:szCs w:val="18"/>
              </w:rPr>
            </w:pPr>
            <w:r>
              <w:rPr>
                <w:rFonts w:ascii="Arial Narrow" w:hAnsi="Arial Narrow"/>
                <w:sz w:val="18"/>
                <w:szCs w:val="18"/>
              </w:rPr>
              <w:t>14</w:t>
            </w:r>
          </w:p>
        </w:tc>
        <w:tc>
          <w:tcPr>
            <w:tcW w:w="1849" w:type="dxa"/>
          </w:tcPr>
          <w:p w14:paraId="24C3472C" w14:textId="77777777" w:rsidR="00A516FD" w:rsidRPr="001E7BC1" w:rsidRDefault="00A516FD" w:rsidP="00C30DA5">
            <w:pPr>
              <w:rPr>
                <w:rFonts w:ascii="Arial Narrow" w:hAnsi="Arial Narrow"/>
                <w:sz w:val="18"/>
                <w:szCs w:val="18"/>
              </w:rPr>
            </w:pPr>
            <w:r>
              <w:rPr>
                <w:rFonts w:ascii="Arial Narrow" w:hAnsi="Arial Narrow"/>
                <w:sz w:val="18"/>
                <w:szCs w:val="18"/>
              </w:rPr>
              <w:t>15</w:t>
            </w:r>
          </w:p>
        </w:tc>
        <w:tc>
          <w:tcPr>
            <w:tcW w:w="1849" w:type="dxa"/>
          </w:tcPr>
          <w:p w14:paraId="728E2D3C" w14:textId="77777777" w:rsidR="00A516FD" w:rsidRPr="001E7BC1" w:rsidRDefault="00A516FD" w:rsidP="00C30DA5">
            <w:pPr>
              <w:rPr>
                <w:rFonts w:ascii="Arial Narrow" w:hAnsi="Arial Narrow"/>
                <w:sz w:val="18"/>
                <w:szCs w:val="18"/>
              </w:rPr>
            </w:pPr>
            <w:r>
              <w:rPr>
                <w:rFonts w:ascii="Arial Narrow" w:hAnsi="Arial Narrow"/>
                <w:sz w:val="18"/>
                <w:szCs w:val="18"/>
              </w:rPr>
              <w:t>15</w:t>
            </w:r>
          </w:p>
        </w:tc>
      </w:tr>
      <w:tr w:rsidR="00A516FD" w:rsidRPr="001E7BC1" w14:paraId="6CF04D98" w14:textId="77777777" w:rsidTr="00C30DA5">
        <w:tc>
          <w:tcPr>
            <w:tcW w:w="1848" w:type="dxa"/>
          </w:tcPr>
          <w:p w14:paraId="31A10C6F" w14:textId="77777777" w:rsidR="00A516FD" w:rsidRPr="001E7BC1" w:rsidRDefault="00A516FD" w:rsidP="00C30DA5">
            <w:pPr>
              <w:rPr>
                <w:rFonts w:ascii="Arial Narrow" w:hAnsi="Arial Narrow"/>
                <w:sz w:val="18"/>
                <w:szCs w:val="18"/>
              </w:rPr>
            </w:pPr>
            <w:r>
              <w:rPr>
                <w:rFonts w:ascii="Arial Narrow" w:hAnsi="Arial Narrow"/>
                <w:sz w:val="18"/>
                <w:szCs w:val="18"/>
              </w:rPr>
              <w:t>Average Ig gms/kg/episode</w:t>
            </w:r>
          </w:p>
        </w:tc>
        <w:tc>
          <w:tcPr>
            <w:tcW w:w="1848" w:type="dxa"/>
          </w:tcPr>
          <w:p w14:paraId="0A66D94A" w14:textId="77777777" w:rsidR="00A516FD" w:rsidRPr="001E7BC1" w:rsidRDefault="00A516FD" w:rsidP="00C30DA5">
            <w:pPr>
              <w:rPr>
                <w:rFonts w:ascii="Arial Narrow" w:hAnsi="Arial Narrow"/>
                <w:sz w:val="18"/>
                <w:szCs w:val="18"/>
              </w:rPr>
            </w:pPr>
            <w:r>
              <w:rPr>
                <w:rFonts w:ascii="Arial Narrow" w:hAnsi="Arial Narrow"/>
                <w:sz w:val="18"/>
                <w:szCs w:val="18"/>
              </w:rPr>
              <w:t>0.48</w:t>
            </w:r>
          </w:p>
        </w:tc>
        <w:tc>
          <w:tcPr>
            <w:tcW w:w="1848" w:type="dxa"/>
          </w:tcPr>
          <w:p w14:paraId="26AAB2FE" w14:textId="77777777" w:rsidR="00A516FD" w:rsidRPr="001E7BC1" w:rsidRDefault="00A516FD" w:rsidP="00C30DA5">
            <w:pPr>
              <w:rPr>
                <w:rFonts w:ascii="Arial Narrow" w:hAnsi="Arial Narrow"/>
                <w:sz w:val="18"/>
                <w:szCs w:val="18"/>
              </w:rPr>
            </w:pPr>
            <w:r>
              <w:rPr>
                <w:rFonts w:ascii="Arial Narrow" w:hAnsi="Arial Narrow"/>
                <w:sz w:val="18"/>
                <w:szCs w:val="18"/>
              </w:rPr>
              <w:t>0.47</w:t>
            </w:r>
          </w:p>
        </w:tc>
        <w:tc>
          <w:tcPr>
            <w:tcW w:w="1849" w:type="dxa"/>
          </w:tcPr>
          <w:p w14:paraId="7DA17C35" w14:textId="77777777" w:rsidR="00A516FD" w:rsidRPr="001E7BC1" w:rsidRDefault="00A516FD" w:rsidP="00C30DA5">
            <w:pPr>
              <w:rPr>
                <w:rFonts w:ascii="Arial Narrow" w:hAnsi="Arial Narrow"/>
                <w:sz w:val="18"/>
                <w:szCs w:val="18"/>
              </w:rPr>
            </w:pPr>
            <w:r>
              <w:rPr>
                <w:rFonts w:ascii="Arial Narrow" w:hAnsi="Arial Narrow"/>
                <w:sz w:val="18"/>
                <w:szCs w:val="18"/>
              </w:rPr>
              <w:t>0.47</w:t>
            </w:r>
          </w:p>
        </w:tc>
        <w:tc>
          <w:tcPr>
            <w:tcW w:w="1849" w:type="dxa"/>
          </w:tcPr>
          <w:p w14:paraId="3726F776" w14:textId="77777777" w:rsidR="00A516FD" w:rsidRPr="001E7BC1" w:rsidRDefault="00A516FD" w:rsidP="00C30DA5">
            <w:pPr>
              <w:rPr>
                <w:rFonts w:ascii="Arial Narrow" w:hAnsi="Arial Narrow"/>
                <w:sz w:val="18"/>
                <w:szCs w:val="18"/>
              </w:rPr>
            </w:pPr>
            <w:r>
              <w:rPr>
                <w:rFonts w:ascii="Arial Narrow" w:hAnsi="Arial Narrow"/>
                <w:sz w:val="18"/>
                <w:szCs w:val="18"/>
              </w:rPr>
              <w:t>0.44</w:t>
            </w:r>
          </w:p>
        </w:tc>
      </w:tr>
    </w:tbl>
    <w:p w14:paraId="59DDB75A" w14:textId="77777777" w:rsidR="00A516FD" w:rsidRPr="004F2D4E" w:rsidRDefault="00A516FD" w:rsidP="00A516FD">
      <w:pPr>
        <w:spacing w:after="0"/>
        <w:rPr>
          <w:rFonts w:ascii="Arial Narrow" w:hAnsi="Arial Narrow"/>
          <w:sz w:val="18"/>
          <w:szCs w:val="18"/>
        </w:rPr>
      </w:pPr>
      <w:r>
        <w:rPr>
          <w:rFonts w:ascii="Arial Narrow" w:hAnsi="Arial Narrow"/>
          <w:b/>
          <w:sz w:val="18"/>
          <w:szCs w:val="18"/>
        </w:rPr>
        <w:t xml:space="preserve">Source: </w:t>
      </w:r>
      <w:r>
        <w:rPr>
          <w:rFonts w:ascii="Arial Narrow" w:hAnsi="Arial Narrow"/>
          <w:sz w:val="18"/>
          <w:szCs w:val="18"/>
        </w:rPr>
        <w:t>Referral Form page 29. Produced from internal National Blood Authority Data.</w:t>
      </w:r>
    </w:p>
    <w:p w14:paraId="29CFF0B5" w14:textId="77777777" w:rsidR="00A516FD" w:rsidRPr="001E7BC1" w:rsidRDefault="00A516FD" w:rsidP="00A516FD">
      <w:pPr>
        <w:rPr>
          <w:rFonts w:ascii="Arial Narrow" w:hAnsi="Arial Narrow"/>
          <w:sz w:val="18"/>
          <w:szCs w:val="18"/>
        </w:rPr>
      </w:pPr>
      <w:r w:rsidRPr="004F2D4E">
        <w:rPr>
          <w:rFonts w:ascii="Arial Narrow" w:hAnsi="Arial Narrow"/>
          <w:b/>
          <w:sz w:val="18"/>
          <w:szCs w:val="18"/>
        </w:rPr>
        <w:t>Abbreviations</w:t>
      </w:r>
      <w:r>
        <w:rPr>
          <w:rFonts w:ascii="Arial Narrow" w:hAnsi="Arial Narrow"/>
          <w:sz w:val="18"/>
          <w:szCs w:val="18"/>
        </w:rPr>
        <w:t>: CVID: Combined Variable Immunodeficiency Disease; PID: primary immunodeficiency disease</w:t>
      </w:r>
    </w:p>
    <w:p w14:paraId="295210A5" w14:textId="77777777" w:rsidR="00A516FD" w:rsidRDefault="00A516FD" w:rsidP="005C1782">
      <w:pPr>
        <w:pStyle w:val="Heading4"/>
      </w:pPr>
      <w:r>
        <w:t>Rationale</w:t>
      </w:r>
    </w:p>
    <w:p w14:paraId="4C5548F5" w14:textId="63600805" w:rsidR="00A516FD" w:rsidRPr="00540EFA" w:rsidRDefault="00A516FD" w:rsidP="00A516FD">
      <w:r w:rsidRPr="00540EFA">
        <w:t xml:space="preserve">The population as stated in the Referral Form is broad and encompasses </w:t>
      </w:r>
      <w:r w:rsidR="007738F1" w:rsidRPr="00540EFA">
        <w:t>several</w:t>
      </w:r>
      <w:r w:rsidRPr="00540EFA">
        <w:t xml:space="preserve"> subpopulations, which have a unique natural history, burden of disease and management strategy. </w:t>
      </w:r>
    </w:p>
    <w:p w14:paraId="7EDCAFA0" w14:textId="0F832397" w:rsidR="00A516FD" w:rsidRDefault="00A516FD" w:rsidP="00A516FD">
      <w:r w:rsidRPr="00540EFA">
        <w:t>CVID is the most common of the PIDs included in the population for this PICO and it is also associated with the highest Ig usage (</w:t>
      </w:r>
      <w:r w:rsidRPr="00540EFA">
        <w:fldChar w:fldCharType="begin"/>
      </w:r>
      <w:r w:rsidRPr="00540EFA">
        <w:instrText xml:space="preserve"> REF _Ref20228314 \h  \* MERGEFORMAT </w:instrText>
      </w:r>
      <w:r w:rsidRPr="00540EFA">
        <w:fldChar w:fldCharType="separate"/>
      </w:r>
      <w:r w:rsidR="008D6208">
        <w:t xml:space="preserve">Table </w:t>
      </w:r>
      <w:r w:rsidR="008D6208">
        <w:rPr>
          <w:noProof/>
        </w:rPr>
        <w:t>3</w:t>
      </w:r>
      <w:r w:rsidRPr="00540EFA">
        <w:fldChar w:fldCharType="end"/>
      </w:r>
      <w:r w:rsidRPr="00540EFA">
        <w:t xml:space="preserve">). </w:t>
      </w:r>
    </w:p>
    <w:p w14:paraId="14D30F06" w14:textId="1EF3F832" w:rsidR="00784594" w:rsidRDefault="00CA62EE" w:rsidP="00A516FD">
      <w:r>
        <w:t xml:space="preserve">Noting the likely paucity of comparative evidence and very heterogeneous population of patients with PID with antibody deficiency, the Ig Review Reference Group advised that the most appropriate approach to the evidence collection would be to consider the comparative evidence </w:t>
      </w:r>
      <w:r w:rsidR="00784594">
        <w:t xml:space="preserve">on safety and effectiveness </w:t>
      </w:r>
      <w:r>
        <w:t>for all PIDs</w:t>
      </w:r>
      <w:r w:rsidR="00784594">
        <w:t xml:space="preserve"> for patients </w:t>
      </w:r>
      <w:r w:rsidR="00784594" w:rsidRPr="00953D96">
        <w:t>eligible for Ig therapy in Australia under Version 3 of the Criteria</w:t>
      </w:r>
      <w:r>
        <w:t xml:space="preserve">, but limit identification of observational studies to CVID. The Reference Group advised that the systematic literature search should also seek data on the natural history of CVID, noting that a naïve comparison may </w:t>
      </w:r>
      <w:r w:rsidR="00784594">
        <w:t xml:space="preserve">need to be made. The Reference Group further noted that a full critical appraisal of the literature may not be required, but instead a narrative review focusing on the most informative studies may be more appropriate. </w:t>
      </w:r>
    </w:p>
    <w:p w14:paraId="10854B84" w14:textId="6169AE85" w:rsidR="002D4893" w:rsidRDefault="002D4893" w:rsidP="00A516FD">
      <w:r>
        <w:rPr>
          <w:szCs w:val="20"/>
        </w:rPr>
        <w:t>The Reference Group suggested that the HTA evaluators also search for more recent evidence to support when it is clinically appropriate to trial off or discontinue Ig therapy. The detailed Criteria attached to the Referral provides recommendations to guide clinicians as to when a trial off may be considered.</w:t>
      </w:r>
    </w:p>
    <w:p w14:paraId="2D805B86" w14:textId="767DC822" w:rsidR="00CA62EE" w:rsidRPr="002D4893" w:rsidRDefault="007B3067" w:rsidP="00A516FD">
      <w:r>
        <w:t>The Reference G</w:t>
      </w:r>
      <w:r w:rsidR="00784594">
        <w:t>roup advised that a staged approach to the development of the assessment report was required, so that the available evidence could be considered before a decision was made on the approach to be taken for development of the economic model or cost analysis. The Reference Group noted that if an economic model were developed for CVID, it would not be equitable or appropriate to extrapolate from t</w:t>
      </w:r>
      <w:r w:rsidR="004F4C26">
        <w:t>his model to other PID</w:t>
      </w:r>
      <w:r w:rsidR="00784594">
        <w:t>s given their different natural</w:t>
      </w:r>
      <w:r w:rsidR="004F4C26">
        <w:t xml:space="preserve"> histories</w:t>
      </w:r>
      <w:r w:rsidR="00784594">
        <w:t>.</w:t>
      </w:r>
    </w:p>
    <w:p w14:paraId="0AB24994" w14:textId="77777777" w:rsidR="00A516FD" w:rsidRPr="00E364F7" w:rsidRDefault="00A516FD" w:rsidP="005C1782">
      <w:pPr>
        <w:pStyle w:val="Heading3"/>
      </w:pPr>
      <w:r w:rsidRPr="00E364F7">
        <w:t>Intervention</w:t>
      </w:r>
    </w:p>
    <w:p w14:paraId="74BD69E9" w14:textId="74904AE7" w:rsidR="00A516FD" w:rsidRDefault="00A516FD" w:rsidP="00A516FD">
      <w:r>
        <w:t xml:space="preserve">The intervention under review is Ig for immunoreplacement therapy in people with PID with antibody deficiency (Referral Form, page 5). It should be noted that Ig can be delivered intravenously (IVIg) or subcutaneously (SCIg). The </w:t>
      </w:r>
      <w:r w:rsidR="00DE5712">
        <w:t>Applicant</w:t>
      </w:r>
      <w:r>
        <w:t xml:space="preserve"> recommends that for this PICO, Ig should be the intervention and IVIg and SCIg considered as different routes of administration (Referral Form, page 6). Ig replacement therapy is used in people with PID with antibody deficiency to treat new infections, prevent new infections from occurring and prevent long-term damage from chronic infections.</w:t>
      </w:r>
      <w:r>
        <w:fldChar w:fldCharType="begin"/>
      </w:r>
      <w:r>
        <w:instrText xml:space="preserve"> ADDIN EN.CITE &lt;EndNote&gt;&lt;Cite&gt;&lt;Author&gt;Australasian Society of Clinical Immunology and Allergy&lt;/Author&gt;&lt;Year&gt;2019&lt;/Year&gt;&lt;RecNum&gt;16&lt;/RecNum&gt;&lt;DisplayText&gt;&lt;style face="superscript"&gt;15&lt;/style&gt;&lt;/DisplayText&gt;&lt;record&gt;&lt;rec-number&gt;16&lt;/rec-number&gt;&lt;foreign-keys&gt;&lt;key app="EN" db-id="pzpr9fpzq5dfrrefpetx2pfn5fz5e2r0vtdf" timestamp="1569900994"&gt;16&lt;/key&gt;&lt;/foreign-keys&gt;&lt;ref-type name="Web Page"&gt;12&lt;/ref-type&gt;&lt;contributors&gt;&lt;authors&gt;&lt;author&gt;Australasian Society of Clinical Immunology and Allergy,&lt;/author&gt;&lt;/authors&gt;&lt;/contributors&gt;&lt;titles&gt;&lt;title&gt;Immunoglobulin Replacement Therapy in Primary Immunodeficiencies&lt;/title&gt;&lt;/titles&gt;&lt;volume&gt;2019&lt;/volume&gt;&lt;number&gt;1st October&lt;/number&gt;&lt;dates&gt;&lt;year&gt;2019&lt;/year&gt;&lt;/dates&gt;&lt;pub-location&gt;Australia&lt;/pub-location&gt;&lt;publisher&gt;Australasian Society of Clinical Immunology and Allergy&lt;/publisher&gt;&lt;urls&gt;&lt;related-urls&gt;&lt;url&gt;&lt;style face="underline" font="default" size="100%"&gt;https://www.allergy.org.au/patients/immunodeficiencies/immunoglobulin-replacement-therapy&lt;/style&gt;&lt;/url&gt;&lt;/related-urls&gt;&lt;/urls&gt;&lt;/record&gt;&lt;/Cite&gt;&lt;/EndNote&gt;</w:instrText>
      </w:r>
      <w:r>
        <w:fldChar w:fldCharType="separate"/>
      </w:r>
      <w:r w:rsidRPr="00A516FD">
        <w:rPr>
          <w:noProof/>
          <w:vertAlign w:val="superscript"/>
        </w:rPr>
        <w:t>15</w:t>
      </w:r>
      <w:r>
        <w:fldChar w:fldCharType="end"/>
      </w:r>
      <w:r>
        <w:t xml:space="preserve"> Ig therapy does not cure the antibody deficiency or reverse long-term organ damage from chronic infections.</w:t>
      </w:r>
      <w:r>
        <w:fldChar w:fldCharType="begin"/>
      </w:r>
      <w:r>
        <w:instrText xml:space="preserve"> ADDIN EN.CITE &lt;EndNote&gt;&lt;Cite&gt;&lt;Author&gt;Australasian Society of Clinical Immunology and Allergy&lt;/Author&gt;&lt;Year&gt;2019&lt;/Year&gt;&lt;RecNum&gt;16&lt;/RecNum&gt;&lt;DisplayText&gt;&lt;style face="superscript"&gt;15&lt;/style&gt;&lt;/DisplayText&gt;&lt;record&gt;&lt;rec-number&gt;16&lt;/rec-number&gt;&lt;foreign-keys&gt;&lt;key app="EN" db-id="pzpr9fpzq5dfrrefpetx2pfn5fz5e2r0vtdf" timestamp="1569900994"&gt;16&lt;/key&gt;&lt;/foreign-keys&gt;&lt;ref-type name="Web Page"&gt;12&lt;/ref-type&gt;&lt;contributors&gt;&lt;authors&gt;&lt;author&gt;Australasian Society of Clinical Immunology and Allergy,&lt;/author&gt;&lt;/authors&gt;&lt;/contributors&gt;&lt;titles&gt;&lt;title&gt;Immunoglobulin Replacement Therapy in Primary Immunodeficiencies&lt;/title&gt;&lt;/titles&gt;&lt;volume&gt;2019&lt;/volume&gt;&lt;number&gt;1st October&lt;/number&gt;&lt;dates&gt;&lt;year&gt;2019&lt;/year&gt;&lt;/dates&gt;&lt;pub-location&gt;Australia&lt;/pub-location&gt;&lt;publisher&gt;Australasian Society of Clinical Immunology and Allergy&lt;/publisher&gt;&lt;urls&gt;&lt;related-urls&gt;&lt;url&gt;&lt;style face="underline" font="default" size="100%"&gt;https://www.allergy.org.au/patients/immunodeficiencies/immunoglobulin-replacement-therapy&lt;/style&gt;&lt;/url&gt;&lt;/related-urls&gt;&lt;/urls&gt;&lt;/record&gt;&lt;/Cite&gt;&lt;/EndNote&gt;</w:instrText>
      </w:r>
      <w:r>
        <w:fldChar w:fldCharType="separate"/>
      </w:r>
      <w:r w:rsidRPr="00A516FD">
        <w:rPr>
          <w:noProof/>
          <w:vertAlign w:val="superscript"/>
        </w:rPr>
        <w:t>15</w:t>
      </w:r>
      <w:r>
        <w:fldChar w:fldCharType="end"/>
      </w:r>
    </w:p>
    <w:p w14:paraId="219503DC" w14:textId="21919722" w:rsidR="00A516FD" w:rsidRDefault="00A516FD" w:rsidP="00A516FD">
      <w:pPr>
        <w:rPr>
          <w:i/>
        </w:rPr>
      </w:pPr>
      <w:r>
        <w:t>In Australia</w:t>
      </w:r>
      <w:r w:rsidR="00595A3B">
        <w:t>,</w:t>
      </w:r>
      <w:r>
        <w:t xml:space="preserve"> ‘</w:t>
      </w:r>
      <w:r w:rsidRPr="00C52C64">
        <w:rPr>
          <w:i/>
        </w:rPr>
        <w:t>the Criteria</w:t>
      </w:r>
      <w:r>
        <w:t>’ specifies which PID with antibody deficiency conditions IVIg has an established therapeutic role, and IVIg use is currently publicly funded for under the National Blood Arrangements. Currently a range of PID with antibody deficiency conditions are listed in ‘</w:t>
      </w:r>
      <w:r>
        <w:rPr>
          <w:i/>
        </w:rPr>
        <w:t>t</w:t>
      </w:r>
      <w:r w:rsidRPr="00121774">
        <w:rPr>
          <w:i/>
        </w:rPr>
        <w:t>he</w:t>
      </w:r>
      <w:r>
        <w:t xml:space="preserve"> </w:t>
      </w:r>
      <w:r w:rsidRPr="00121774">
        <w:rPr>
          <w:i/>
        </w:rPr>
        <w:t>Criteria</w:t>
      </w:r>
      <w:r>
        <w:rPr>
          <w:i/>
        </w:rPr>
        <w:t xml:space="preserve">’ </w:t>
      </w:r>
      <w:r>
        <w:t>(see Population section above).</w:t>
      </w:r>
      <w:r>
        <w:rPr>
          <w:i/>
        </w:rPr>
        <w:t xml:space="preserve">  </w:t>
      </w:r>
      <w:r>
        <w:t>It is reported in the Referral Form (page 4) that “where an Ig product is not funded and supplied under the National Blood Arrangements, access to Ig for particular cases may still be available as a decision of a hospital drug committee or similar, or otherwise through direct order arrangements supported by some other source of funding.” Only imported IVIg is available for purchase for indications not listed in ‘</w:t>
      </w:r>
      <w:r w:rsidRPr="00F80520">
        <w:rPr>
          <w:i/>
        </w:rPr>
        <w:t>the Criteria</w:t>
      </w:r>
      <w:r>
        <w:t>’. It can be accessed directly from the supplier at the same price negotiated by the National Blood Authority and must be paid in full by the recipient (health service or individual patient).</w:t>
      </w:r>
      <w:r>
        <w:fldChar w:fldCharType="begin"/>
      </w:r>
      <w:r>
        <w:instrText xml:space="preserve"> ADDIN EN.CITE &lt;EndNote&gt;&lt;Cite&gt;&lt;Author&gt;Department of Health and Human Services&lt;/Author&gt;&lt;Year&gt;2018&lt;/Year&gt;&lt;RecNum&gt;21&lt;/RecNum&gt;&lt;DisplayText&gt;&lt;style face="superscript"&gt;16&lt;/style&gt;&lt;/DisplayText&gt;&lt;record&gt;&lt;rec-number&gt;21&lt;/rec-number&gt;&lt;foreign-keys&gt;&lt;key app="EN" db-id="pzpr9fpzq5dfrrefpetx2pfn5fz5e2r0vtdf" timestamp="1569985036"&gt;21&lt;/key&gt;&lt;/foreign-keys&gt;&lt;ref-type name="Web Page"&gt;12&lt;/ref-type&gt;&lt;contributors&gt;&lt;authors&gt;&lt;author&gt;Department of Health and Human Services, State Government of Victoria,&lt;/author&gt;&lt;/authors&gt;&lt;/contributors&gt;&lt;titles&gt;&lt;title&gt;Intravenous Immunoglobulin - Changes to supply and governance (November 2018)&lt;/title&gt;&lt;/titles&gt;&lt;volume&gt;2019&lt;/volume&gt;&lt;number&gt;3rd October&lt;/number&gt;&lt;dates&gt;&lt;year&gt;2018&lt;/year&gt;&lt;/dates&gt;&lt;pub-location&gt;Australia&lt;/pub-location&gt;&lt;publisher&gt;Department of Health and Human Services, State Government of Victoria&lt;/publisher&gt;&lt;urls&gt;&lt;related-urls&gt;&lt;url&gt;&lt;style face="underline" font="default" size="100%"&gt;https://www2.health.vic.gov.au/hospitals-and-health-services/patient-care/speciality-diagnostics-therapeutics/blood-matters/ivig-changes-to-supply&lt;/style&gt;&lt;/url&gt;&lt;/related-urls&gt;&lt;/urls&gt;&lt;/record&gt;&lt;/Cite&gt;&lt;/EndNote&gt;</w:instrText>
      </w:r>
      <w:r>
        <w:fldChar w:fldCharType="separate"/>
      </w:r>
      <w:r w:rsidRPr="00A516FD">
        <w:rPr>
          <w:noProof/>
          <w:vertAlign w:val="superscript"/>
        </w:rPr>
        <w:t>16</w:t>
      </w:r>
      <w:r>
        <w:fldChar w:fldCharType="end"/>
      </w:r>
      <w:r>
        <w:t xml:space="preserve"> In addition to PID with antibody deficiency, Ig use in Australia is currently publicly funded for a range of other medical conditions. These are all described in ‘</w:t>
      </w:r>
      <w:r w:rsidRPr="008F4CE7">
        <w:rPr>
          <w:i/>
        </w:rPr>
        <w:t>the Criteria’</w:t>
      </w:r>
      <w:r>
        <w:rPr>
          <w:i/>
        </w:rPr>
        <w:t>.</w:t>
      </w:r>
      <w:r>
        <w:rPr>
          <w:i/>
        </w:rPr>
        <w:fldChar w:fldCharType="begin"/>
      </w:r>
      <w:r>
        <w:rPr>
          <w:i/>
        </w:rPr>
        <w:instrText xml:space="preserve"> ADDIN EN.CITE &lt;EndNote&gt;&lt;Cite&gt;&lt;Author&gt;National Blood Authority&lt;/Author&gt;&lt;Year&gt;2018&lt;/Year&gt;&lt;RecNum&gt;1&lt;/RecNum&gt;&lt;DisplayText&gt;&lt;style face="superscript"&gt;1&lt;/style&gt;&lt;/DisplayText&gt;&lt;record&gt;&lt;rec-number&gt;1&lt;/rec-number&gt;&lt;foreign-keys&gt;&lt;key app="EN" db-id="pzpr9fpzq5dfrrefpetx2pfn5fz5e2r0vtdf" timestamp="1569200090"&gt;1&lt;/key&gt;&lt;/foreign-keys&gt;&lt;ref-type name="Web Page"&gt;12&lt;/ref-type&gt;&lt;contributors&gt;&lt;authors&gt;&lt;author&gt;National Blood Authority,&lt;/author&gt;&lt;/authors&gt;&lt;/contributors&gt;&lt;titles&gt;&lt;title&gt;Criteria for clinical use of immunoglobulin in Australia, Version 3.1&lt;/title&gt;&lt;/titles&gt;&lt;volume&gt;2019&lt;/volume&gt;&lt;number&gt;23rd September&lt;/number&gt;&lt;dates&gt;&lt;year&gt;2018&lt;/year&gt;&lt;/dates&gt;&lt;publisher&gt;National Blood Authority&lt;/publisher&gt;&lt;urls&gt;&lt;related-urls&gt;&lt;url&gt;&lt;style face="underline" font="default" size="100%"&gt;https://www.criteria.blood.gov.au/&lt;/style&gt;&lt;/url&gt;&lt;/related-urls&gt;&lt;/urls&gt;&lt;/record&gt;&lt;/Cite&gt;&lt;/EndNote&gt;</w:instrText>
      </w:r>
      <w:r>
        <w:rPr>
          <w:i/>
        </w:rPr>
        <w:fldChar w:fldCharType="separate"/>
      </w:r>
      <w:r w:rsidRPr="00A516FD">
        <w:rPr>
          <w:i/>
          <w:noProof/>
          <w:vertAlign w:val="superscript"/>
        </w:rPr>
        <w:t>1</w:t>
      </w:r>
      <w:r>
        <w:rPr>
          <w:i/>
        </w:rPr>
        <w:fldChar w:fldCharType="end"/>
      </w:r>
      <w:r>
        <w:rPr>
          <w:i/>
        </w:rPr>
        <w:t xml:space="preserve"> </w:t>
      </w:r>
    </w:p>
    <w:p w14:paraId="6CC1DE45" w14:textId="724D7717" w:rsidR="00A516FD" w:rsidRDefault="00A516FD" w:rsidP="00A516FD">
      <w:r>
        <w:t>In the Referral Form (page 22) it is reported that long-term antibiotic therapy might be required in addition to Ig replacement for preventing infection in antibody-deficient patients. It is noted</w:t>
      </w:r>
      <w:r w:rsidRPr="00155423">
        <w:t xml:space="preserve"> </w:t>
      </w:r>
      <w:r>
        <w:t xml:space="preserve">by the </w:t>
      </w:r>
      <w:r w:rsidR="00DE5712">
        <w:t>Applicant</w:t>
      </w:r>
      <w:r>
        <w:t>; however, that “</w:t>
      </w:r>
      <w:r w:rsidR="00595A3B">
        <w:t>…</w:t>
      </w:r>
      <w:r>
        <w:t xml:space="preserve">the Thoracic Society of Australia and New Zealand Clinical Practice Guideline suggested that long-term oral antibiotics should not be prescribed routinely for patients with chronic suppurative lung disease and bronchiectasis” (Referral Form, page 22). </w:t>
      </w:r>
    </w:p>
    <w:p w14:paraId="6478E49E" w14:textId="77777777" w:rsidR="00A516FD" w:rsidRPr="00B24503" w:rsidRDefault="00A516FD" w:rsidP="005C1782">
      <w:pPr>
        <w:pStyle w:val="Heading4"/>
      </w:pPr>
      <w:r w:rsidRPr="00B24503">
        <w:t xml:space="preserve">Immunoglobulin products approved </w:t>
      </w:r>
      <w:r>
        <w:t xml:space="preserve">for </w:t>
      </w:r>
      <w:r w:rsidRPr="00B24503">
        <w:t>the treatment of PID with antibody deficiency</w:t>
      </w:r>
    </w:p>
    <w:p w14:paraId="0CE75C71" w14:textId="7623ACE6" w:rsidR="00A516FD" w:rsidRDefault="00A516FD" w:rsidP="00A516FD">
      <w:r>
        <w:t>In Australia</w:t>
      </w:r>
      <w:r w:rsidR="00645EE8">
        <w:t>,</w:t>
      </w:r>
      <w:r>
        <w:t xml:space="preserve"> Ig products are funded and supplied under the National Blood Arrangement</w:t>
      </w:r>
      <w:r w:rsidR="00645EE8">
        <w:t>s</w:t>
      </w:r>
      <w:r>
        <w:t xml:space="preserve">. The Ig products are sourced domestically, from plasma collected by the Australian Red Cross Blood Service and plasma fractionation by CSL Behring Pty Ltd, and through imported product arrangements from a range of possible suppliers (Referral Form, page 5). </w:t>
      </w:r>
    </w:p>
    <w:p w14:paraId="22D202C4" w14:textId="77E6221D" w:rsidR="00A516FD" w:rsidRDefault="00A516FD" w:rsidP="00A516FD">
      <w:r>
        <w:t xml:space="preserve">A range of Ig products are listed on the Australian Register of Therapeutic Goods (ARTG). However, not all Ig products registered in Australia </w:t>
      </w:r>
      <w:r w:rsidR="00645EE8">
        <w:t>are funded for use under the Arrangements</w:t>
      </w:r>
      <w:r>
        <w:t>. A competitive tendering process is used for imported products to ensure good contract performance, value for money and supply security (Referral Form, page 5). Those Ig product</w:t>
      </w:r>
      <w:r w:rsidR="00645EE8">
        <w:t>s currently funded under the Arrangements</w:t>
      </w:r>
      <w:r>
        <w:t xml:space="preserve"> are listed on the </w:t>
      </w:r>
      <w:hyperlink r:id="rId9" w:history="1">
        <w:r w:rsidRPr="00DE5712">
          <w:rPr>
            <w:rStyle w:val="Hyperlink"/>
          </w:rPr>
          <w:t>National Product List</w:t>
        </w:r>
      </w:hyperlink>
      <w:r w:rsidR="00DE5712">
        <w:t>.</w:t>
      </w:r>
    </w:p>
    <w:p w14:paraId="6DC0D704" w14:textId="14B8A5EC" w:rsidR="00A516FD" w:rsidRDefault="00A516FD" w:rsidP="00A516FD">
      <w:r>
        <w:t>Not all Ig products listed on the ARTG or National Product list are indicated for PID with antibody deficiency. Based on Table 1 from the Referral Form (page 6) there are currently 13 Ig products on the ARTG that are indicate</w:t>
      </w:r>
      <w:r w:rsidR="00645EE8">
        <w:t>d for PID and of these 6</w:t>
      </w:r>
      <w:r>
        <w:t xml:space="preserve"> funded for PID </w:t>
      </w:r>
      <w:r w:rsidR="00645EE8">
        <w:t xml:space="preserve">under the National Blood Arrangements </w:t>
      </w:r>
      <w:r>
        <w:t>(</w:t>
      </w:r>
      <w:r>
        <w:fldChar w:fldCharType="begin"/>
      </w:r>
      <w:r>
        <w:instrText xml:space="preserve"> REF _Ref20831808 \h </w:instrText>
      </w:r>
      <w:r>
        <w:fldChar w:fldCharType="separate"/>
      </w:r>
      <w:r w:rsidR="008D6208">
        <w:t xml:space="preserve">Table </w:t>
      </w:r>
      <w:r w:rsidR="008D6208">
        <w:rPr>
          <w:noProof/>
        </w:rPr>
        <w:t>5</w:t>
      </w:r>
      <w:r>
        <w:fldChar w:fldCharType="end"/>
      </w:r>
      <w:r>
        <w:t xml:space="preserve">). </w:t>
      </w:r>
    </w:p>
    <w:p w14:paraId="1A05AF0A" w14:textId="16D359D0" w:rsidR="00A516FD" w:rsidRDefault="00A516FD" w:rsidP="00A516FD">
      <w:pPr>
        <w:pStyle w:val="Caption"/>
      </w:pPr>
      <w:bookmarkStart w:id="8" w:name="_Ref20831808"/>
      <w:r>
        <w:t xml:space="preserve">Table </w:t>
      </w:r>
      <w:r>
        <w:fldChar w:fldCharType="begin"/>
      </w:r>
      <w:r>
        <w:instrText xml:space="preserve"> SEQ Table \* ARABIC </w:instrText>
      </w:r>
      <w:r>
        <w:fldChar w:fldCharType="separate"/>
      </w:r>
      <w:r w:rsidR="008D6208">
        <w:rPr>
          <w:noProof/>
        </w:rPr>
        <w:t>5</w:t>
      </w:r>
      <w:r>
        <w:fldChar w:fldCharType="end"/>
      </w:r>
      <w:bookmarkEnd w:id="8"/>
      <w:r>
        <w:t xml:space="preserve"> </w:t>
      </w:r>
      <w:r>
        <w:tab/>
        <w:t>TGA and NBA listings of Ig indicated for PID. Those products which are both TGA indicated and NBA funded for PID are highlighted in grey.</w:t>
      </w:r>
    </w:p>
    <w:tbl>
      <w:tblPr>
        <w:tblStyle w:val="TableGrid3"/>
        <w:tblW w:w="9101" w:type="dxa"/>
        <w:tblInd w:w="108" w:type="dxa"/>
        <w:tblLayout w:type="fixed"/>
        <w:tblLook w:val="04A0" w:firstRow="1" w:lastRow="0" w:firstColumn="1" w:lastColumn="0" w:noHBand="0" w:noVBand="1"/>
        <w:tblCaption w:val="Table 5. TGA and NBA listings of Ig indicated for PID"/>
        <w:tblDescription w:val="Registered Ig products relevant to this referral"/>
      </w:tblPr>
      <w:tblGrid>
        <w:gridCol w:w="3856"/>
        <w:gridCol w:w="1843"/>
        <w:gridCol w:w="1701"/>
        <w:gridCol w:w="1701"/>
      </w:tblGrid>
      <w:tr w:rsidR="00A516FD" w:rsidRPr="00890BAF" w14:paraId="055DE112" w14:textId="77777777" w:rsidTr="00C30DA5">
        <w:trPr>
          <w:tblHeader/>
        </w:trPr>
        <w:tc>
          <w:tcPr>
            <w:tcW w:w="3856" w:type="dxa"/>
            <w:tcBorders>
              <w:bottom w:val="single" w:sz="4" w:space="0" w:color="auto"/>
            </w:tcBorders>
          </w:tcPr>
          <w:p w14:paraId="6718CC67" w14:textId="77777777" w:rsidR="00A516FD" w:rsidRPr="00890BAF" w:rsidRDefault="00A516FD" w:rsidP="00C30DA5">
            <w:pPr>
              <w:tabs>
                <w:tab w:val="left" w:pos="284"/>
              </w:tabs>
              <w:ind w:left="284" w:hanging="284"/>
              <w:rPr>
                <w:rFonts w:ascii="Arial Narrow" w:eastAsiaTheme="minorHAnsi" w:hAnsi="Arial Narrow" w:cstheme="minorBidi"/>
                <w:b/>
                <w:sz w:val="18"/>
                <w:szCs w:val="18"/>
              </w:rPr>
            </w:pPr>
            <w:r w:rsidRPr="00890BAF">
              <w:rPr>
                <w:rFonts w:ascii="Arial Narrow" w:eastAsiaTheme="minorHAnsi" w:hAnsi="Arial Narrow" w:cstheme="minorBidi"/>
                <w:b/>
                <w:sz w:val="18"/>
                <w:szCs w:val="18"/>
              </w:rPr>
              <w:t>Product name and company</w:t>
            </w:r>
          </w:p>
        </w:tc>
        <w:tc>
          <w:tcPr>
            <w:tcW w:w="1843" w:type="dxa"/>
          </w:tcPr>
          <w:p w14:paraId="3D6666FB" w14:textId="77777777" w:rsidR="00A516FD" w:rsidRPr="00890BAF" w:rsidRDefault="00A516FD" w:rsidP="00C30DA5">
            <w:pPr>
              <w:tabs>
                <w:tab w:val="left" w:pos="0"/>
              </w:tabs>
              <w:ind w:left="284" w:hanging="284"/>
              <w:rPr>
                <w:rFonts w:ascii="Arial Narrow" w:eastAsiaTheme="minorHAnsi" w:hAnsi="Arial Narrow" w:cstheme="minorBidi"/>
                <w:b/>
                <w:sz w:val="18"/>
                <w:szCs w:val="18"/>
              </w:rPr>
            </w:pPr>
            <w:r w:rsidRPr="00890BAF">
              <w:rPr>
                <w:rFonts w:ascii="Arial Narrow" w:eastAsiaTheme="minorHAnsi" w:hAnsi="Arial Narrow" w:cstheme="minorBidi"/>
                <w:b/>
                <w:sz w:val="18"/>
                <w:szCs w:val="18"/>
              </w:rPr>
              <w:t>Route of</w:t>
            </w:r>
          </w:p>
          <w:p w14:paraId="1C8983AD" w14:textId="77777777" w:rsidR="00A516FD" w:rsidRPr="00890BAF" w:rsidRDefault="00A516FD" w:rsidP="00C30DA5">
            <w:pPr>
              <w:tabs>
                <w:tab w:val="left" w:pos="0"/>
              </w:tabs>
              <w:ind w:left="284" w:hanging="284"/>
              <w:rPr>
                <w:rFonts w:ascii="Arial Narrow" w:eastAsiaTheme="minorHAnsi" w:hAnsi="Arial Narrow" w:cstheme="minorBidi"/>
                <w:b/>
                <w:sz w:val="18"/>
                <w:szCs w:val="18"/>
              </w:rPr>
            </w:pPr>
            <w:r>
              <w:rPr>
                <w:rFonts w:ascii="Arial Narrow" w:eastAsiaTheme="minorHAnsi" w:hAnsi="Arial Narrow" w:cstheme="minorBidi"/>
                <w:b/>
                <w:sz w:val="18"/>
                <w:szCs w:val="18"/>
              </w:rPr>
              <w:t>a</w:t>
            </w:r>
            <w:r w:rsidRPr="00890BAF">
              <w:rPr>
                <w:rFonts w:ascii="Arial Narrow" w:eastAsiaTheme="minorHAnsi" w:hAnsi="Arial Narrow" w:cstheme="minorBidi"/>
                <w:b/>
                <w:sz w:val="18"/>
                <w:szCs w:val="18"/>
              </w:rPr>
              <w:t>dministration</w:t>
            </w:r>
          </w:p>
        </w:tc>
        <w:tc>
          <w:tcPr>
            <w:tcW w:w="1701" w:type="dxa"/>
          </w:tcPr>
          <w:p w14:paraId="628D4B2D" w14:textId="77777777" w:rsidR="00A516FD" w:rsidRPr="00890BAF" w:rsidRDefault="00A516FD" w:rsidP="00C30DA5">
            <w:pPr>
              <w:tabs>
                <w:tab w:val="left" w:pos="0"/>
              </w:tabs>
              <w:ind w:left="5" w:hanging="5"/>
              <w:rPr>
                <w:rFonts w:ascii="Arial Narrow" w:eastAsiaTheme="minorHAnsi" w:hAnsi="Arial Narrow" w:cstheme="minorBidi"/>
                <w:b/>
                <w:sz w:val="18"/>
                <w:szCs w:val="18"/>
              </w:rPr>
            </w:pPr>
            <w:r w:rsidRPr="00890BAF">
              <w:rPr>
                <w:rFonts w:ascii="Arial Narrow" w:eastAsiaTheme="minorHAnsi" w:hAnsi="Arial Narrow" w:cstheme="minorBidi"/>
                <w:b/>
                <w:sz w:val="18"/>
                <w:szCs w:val="18"/>
              </w:rPr>
              <w:t>TGA indication for PID</w:t>
            </w:r>
          </w:p>
        </w:tc>
        <w:tc>
          <w:tcPr>
            <w:tcW w:w="1701" w:type="dxa"/>
          </w:tcPr>
          <w:p w14:paraId="6189FA8D" w14:textId="77777777" w:rsidR="00A516FD" w:rsidRPr="00890BAF" w:rsidRDefault="00A516FD" w:rsidP="00C30DA5">
            <w:pPr>
              <w:tabs>
                <w:tab w:val="left" w:pos="5"/>
              </w:tabs>
              <w:ind w:left="5" w:hanging="5"/>
              <w:rPr>
                <w:rFonts w:ascii="Arial Narrow" w:eastAsiaTheme="minorHAnsi" w:hAnsi="Arial Narrow" w:cstheme="minorBidi"/>
                <w:b/>
                <w:sz w:val="18"/>
                <w:szCs w:val="18"/>
              </w:rPr>
            </w:pPr>
            <w:r w:rsidRPr="00890BAF">
              <w:rPr>
                <w:rFonts w:ascii="Arial Narrow" w:eastAsiaTheme="minorHAnsi" w:hAnsi="Arial Narrow" w:cstheme="minorBidi"/>
                <w:b/>
                <w:sz w:val="18"/>
                <w:szCs w:val="18"/>
              </w:rPr>
              <w:t xml:space="preserve">NBA </w:t>
            </w:r>
            <w:r>
              <w:rPr>
                <w:rFonts w:ascii="Arial Narrow" w:eastAsiaTheme="minorHAnsi" w:hAnsi="Arial Narrow" w:cstheme="minorBidi"/>
                <w:b/>
                <w:sz w:val="18"/>
                <w:szCs w:val="18"/>
              </w:rPr>
              <w:t>f</w:t>
            </w:r>
            <w:r w:rsidRPr="00890BAF">
              <w:rPr>
                <w:rFonts w:ascii="Arial Narrow" w:eastAsiaTheme="minorHAnsi" w:hAnsi="Arial Narrow" w:cstheme="minorBidi"/>
                <w:b/>
                <w:sz w:val="18"/>
                <w:szCs w:val="18"/>
              </w:rPr>
              <w:t>unded for PID</w:t>
            </w:r>
          </w:p>
        </w:tc>
      </w:tr>
      <w:tr w:rsidR="00A516FD" w:rsidRPr="00890BAF" w14:paraId="109337CB" w14:textId="77777777" w:rsidTr="00C30DA5">
        <w:tc>
          <w:tcPr>
            <w:tcW w:w="3856" w:type="dxa"/>
            <w:shd w:val="clear" w:color="auto" w:fill="D9D9D9" w:themeFill="background1" w:themeFillShade="D9"/>
          </w:tcPr>
          <w:p w14:paraId="7D902DF3" w14:textId="77777777" w:rsidR="00A516FD" w:rsidRPr="00890BAF" w:rsidRDefault="00A516FD" w:rsidP="00C30DA5">
            <w:pPr>
              <w:tabs>
                <w:tab w:val="left" w:pos="284"/>
              </w:tabs>
              <w:ind w:left="284" w:hanging="284"/>
              <w:rPr>
                <w:rFonts w:ascii="Arial Narrow" w:eastAsiaTheme="minorHAnsi" w:hAnsi="Arial Narrow" w:cstheme="minorBidi"/>
                <w:sz w:val="18"/>
                <w:szCs w:val="18"/>
              </w:rPr>
            </w:pPr>
            <w:r w:rsidRPr="00890BAF">
              <w:rPr>
                <w:rFonts w:ascii="Arial Narrow" w:eastAsiaTheme="minorHAnsi" w:hAnsi="Arial Narrow" w:cstheme="minorBidi"/>
                <w:sz w:val="18"/>
                <w:szCs w:val="18"/>
              </w:rPr>
              <w:t xml:space="preserve">Privigen 10% – CSL Behring Australia P/L  </w:t>
            </w:r>
          </w:p>
          <w:p w14:paraId="1F3FCF3F" w14:textId="77777777" w:rsidR="00A516FD" w:rsidRPr="00890BAF" w:rsidRDefault="00A516FD" w:rsidP="00C30DA5">
            <w:pPr>
              <w:tabs>
                <w:tab w:val="left" w:pos="284"/>
              </w:tabs>
              <w:ind w:left="284" w:hanging="284"/>
              <w:rPr>
                <w:rFonts w:ascii="Arial Narrow" w:eastAsiaTheme="minorHAnsi" w:hAnsi="Arial Narrow" w:cstheme="minorBidi"/>
                <w:sz w:val="18"/>
                <w:szCs w:val="18"/>
              </w:rPr>
            </w:pPr>
            <w:r w:rsidRPr="00890BAF">
              <w:rPr>
                <w:rFonts w:ascii="Arial Narrow" w:eastAsiaTheme="minorHAnsi" w:hAnsi="Arial Narrow" w:cstheme="minorBidi"/>
                <w:sz w:val="18"/>
                <w:szCs w:val="18"/>
              </w:rPr>
              <w:t>(5g/50mL to 40g/400mL)</w:t>
            </w:r>
          </w:p>
        </w:tc>
        <w:tc>
          <w:tcPr>
            <w:tcW w:w="1843" w:type="dxa"/>
          </w:tcPr>
          <w:p w14:paraId="6DFE630C" w14:textId="77777777" w:rsidR="00A516FD" w:rsidRPr="00890BAF" w:rsidRDefault="00A516FD" w:rsidP="00C30DA5">
            <w:pPr>
              <w:tabs>
                <w:tab w:val="left" w:pos="284"/>
              </w:tabs>
              <w:ind w:left="284" w:hanging="284"/>
              <w:jc w:val="center"/>
              <w:rPr>
                <w:rFonts w:ascii="Arial Narrow" w:eastAsiaTheme="minorHAnsi" w:hAnsi="Arial Narrow" w:cstheme="minorBidi"/>
                <w:sz w:val="18"/>
                <w:szCs w:val="18"/>
              </w:rPr>
            </w:pPr>
            <w:r w:rsidRPr="00890BAF">
              <w:rPr>
                <w:rFonts w:ascii="Arial Narrow" w:eastAsiaTheme="minorHAnsi" w:hAnsi="Arial Narrow" w:cstheme="minorBidi"/>
                <w:sz w:val="18"/>
                <w:szCs w:val="18"/>
              </w:rPr>
              <w:t>IV</w:t>
            </w:r>
          </w:p>
        </w:tc>
        <w:tc>
          <w:tcPr>
            <w:tcW w:w="1701" w:type="dxa"/>
            <w:shd w:val="clear" w:color="auto" w:fill="FFFFFF" w:themeFill="background1"/>
          </w:tcPr>
          <w:p w14:paraId="532AC848" w14:textId="77777777" w:rsidR="00A516FD" w:rsidRPr="00890BAF" w:rsidRDefault="00A516FD" w:rsidP="00C30DA5">
            <w:pPr>
              <w:tabs>
                <w:tab w:val="left" w:pos="284"/>
              </w:tabs>
              <w:ind w:left="284" w:hanging="284"/>
              <w:jc w:val="center"/>
              <w:rPr>
                <w:rFonts w:ascii="Arial Narrow" w:eastAsiaTheme="minorHAnsi" w:hAnsi="Arial Narrow" w:cstheme="minorBidi"/>
                <w:sz w:val="18"/>
                <w:szCs w:val="18"/>
              </w:rPr>
            </w:pPr>
            <w:r w:rsidRPr="00890BAF">
              <w:rPr>
                <w:rFonts w:ascii="Arial Narrow" w:eastAsiaTheme="minorHAnsi" w:hAnsi="Arial Narrow" w:cstheme="minorBidi"/>
                <w:sz w:val="18"/>
                <w:szCs w:val="18"/>
              </w:rPr>
              <w:t>Yes</w:t>
            </w:r>
          </w:p>
        </w:tc>
        <w:tc>
          <w:tcPr>
            <w:tcW w:w="1701" w:type="dxa"/>
          </w:tcPr>
          <w:p w14:paraId="2B5254FD" w14:textId="77777777" w:rsidR="00A516FD" w:rsidRPr="00890BAF" w:rsidRDefault="00A516FD" w:rsidP="00C30DA5">
            <w:pPr>
              <w:tabs>
                <w:tab w:val="left" w:pos="284"/>
              </w:tabs>
              <w:ind w:left="284" w:hanging="284"/>
              <w:jc w:val="center"/>
              <w:rPr>
                <w:rFonts w:ascii="Arial Narrow" w:eastAsiaTheme="minorHAnsi" w:hAnsi="Arial Narrow" w:cstheme="minorBidi"/>
                <w:sz w:val="18"/>
                <w:szCs w:val="18"/>
              </w:rPr>
            </w:pPr>
            <w:r w:rsidRPr="00890BAF">
              <w:rPr>
                <w:rFonts w:ascii="Arial Narrow" w:eastAsiaTheme="minorHAnsi" w:hAnsi="Arial Narrow" w:cstheme="minorBidi"/>
                <w:sz w:val="18"/>
                <w:szCs w:val="18"/>
              </w:rPr>
              <w:t>Yes</w:t>
            </w:r>
          </w:p>
        </w:tc>
      </w:tr>
      <w:tr w:rsidR="00A516FD" w:rsidRPr="00890BAF" w14:paraId="52FD2918" w14:textId="77777777" w:rsidTr="00C30DA5">
        <w:tc>
          <w:tcPr>
            <w:tcW w:w="3856" w:type="dxa"/>
            <w:shd w:val="clear" w:color="auto" w:fill="D9D9D9" w:themeFill="background1" w:themeFillShade="D9"/>
          </w:tcPr>
          <w:p w14:paraId="7AD01DF7" w14:textId="77777777" w:rsidR="00A516FD" w:rsidRPr="00890BAF" w:rsidRDefault="00A516FD" w:rsidP="00C30DA5">
            <w:pPr>
              <w:tabs>
                <w:tab w:val="left" w:pos="284"/>
              </w:tabs>
              <w:ind w:left="284" w:hanging="284"/>
              <w:rPr>
                <w:rFonts w:ascii="Arial Narrow" w:eastAsiaTheme="minorHAnsi" w:hAnsi="Arial Narrow" w:cstheme="minorBidi"/>
                <w:sz w:val="18"/>
                <w:szCs w:val="18"/>
              </w:rPr>
            </w:pPr>
            <w:r w:rsidRPr="00890BAF">
              <w:rPr>
                <w:rFonts w:ascii="Arial Narrow" w:eastAsiaTheme="minorHAnsi" w:hAnsi="Arial Narrow" w:cstheme="minorBidi"/>
                <w:sz w:val="18"/>
                <w:szCs w:val="18"/>
              </w:rPr>
              <w:t>Hizentra – CSL Behring Australia P/L</w:t>
            </w:r>
          </w:p>
          <w:p w14:paraId="1D1A87EA" w14:textId="77777777" w:rsidR="00A516FD" w:rsidRPr="00890BAF" w:rsidRDefault="00A516FD" w:rsidP="00C30DA5">
            <w:pPr>
              <w:tabs>
                <w:tab w:val="left" w:pos="284"/>
              </w:tabs>
              <w:ind w:left="284" w:hanging="284"/>
              <w:rPr>
                <w:rFonts w:ascii="Arial Narrow" w:eastAsiaTheme="minorHAnsi" w:hAnsi="Arial Narrow" w:cstheme="minorBidi"/>
                <w:b/>
                <w:sz w:val="18"/>
                <w:szCs w:val="18"/>
              </w:rPr>
            </w:pPr>
            <w:r w:rsidRPr="00890BAF">
              <w:rPr>
                <w:rFonts w:ascii="Arial Narrow" w:eastAsiaTheme="minorHAnsi" w:hAnsi="Arial Narrow" w:cstheme="minorBidi"/>
                <w:sz w:val="18"/>
                <w:szCs w:val="18"/>
              </w:rPr>
              <w:t>(1g/5mL to 10g/50mL)</w:t>
            </w:r>
          </w:p>
        </w:tc>
        <w:tc>
          <w:tcPr>
            <w:tcW w:w="1843" w:type="dxa"/>
          </w:tcPr>
          <w:p w14:paraId="1DDCE72A" w14:textId="77777777" w:rsidR="00A516FD" w:rsidRPr="00890BAF" w:rsidRDefault="00A516FD" w:rsidP="00C30DA5">
            <w:pPr>
              <w:tabs>
                <w:tab w:val="left" w:pos="284"/>
              </w:tabs>
              <w:ind w:left="284" w:hanging="284"/>
              <w:jc w:val="center"/>
              <w:rPr>
                <w:rFonts w:ascii="Arial Narrow" w:eastAsiaTheme="minorHAnsi" w:hAnsi="Arial Narrow" w:cstheme="minorBidi"/>
                <w:sz w:val="18"/>
                <w:szCs w:val="18"/>
              </w:rPr>
            </w:pPr>
            <w:r w:rsidRPr="00890BAF">
              <w:rPr>
                <w:rFonts w:ascii="Arial Narrow" w:eastAsiaTheme="minorHAnsi" w:hAnsi="Arial Narrow" w:cstheme="minorBidi"/>
                <w:sz w:val="18"/>
                <w:szCs w:val="18"/>
              </w:rPr>
              <w:t>SC</w:t>
            </w:r>
          </w:p>
        </w:tc>
        <w:tc>
          <w:tcPr>
            <w:tcW w:w="1701" w:type="dxa"/>
            <w:shd w:val="clear" w:color="auto" w:fill="FFFFFF" w:themeFill="background1"/>
          </w:tcPr>
          <w:p w14:paraId="3E9CF0DA" w14:textId="77777777" w:rsidR="00A516FD" w:rsidRPr="00890BAF" w:rsidRDefault="00A516FD" w:rsidP="00C30DA5">
            <w:pPr>
              <w:tabs>
                <w:tab w:val="left" w:pos="284"/>
              </w:tabs>
              <w:ind w:left="284" w:hanging="284"/>
              <w:jc w:val="center"/>
              <w:rPr>
                <w:rFonts w:ascii="Arial Narrow" w:eastAsiaTheme="minorHAnsi" w:hAnsi="Arial Narrow" w:cstheme="minorBidi"/>
                <w:sz w:val="18"/>
                <w:szCs w:val="18"/>
              </w:rPr>
            </w:pPr>
            <w:r w:rsidRPr="00890BAF">
              <w:rPr>
                <w:rFonts w:ascii="Arial Narrow" w:eastAsiaTheme="minorHAnsi" w:hAnsi="Arial Narrow" w:cstheme="minorBidi"/>
                <w:sz w:val="18"/>
                <w:szCs w:val="18"/>
              </w:rPr>
              <w:t>Yes</w:t>
            </w:r>
          </w:p>
        </w:tc>
        <w:tc>
          <w:tcPr>
            <w:tcW w:w="1701" w:type="dxa"/>
          </w:tcPr>
          <w:p w14:paraId="25D0B6AF" w14:textId="77777777" w:rsidR="00A516FD" w:rsidRPr="00890BAF" w:rsidRDefault="00A516FD" w:rsidP="00C30DA5">
            <w:pPr>
              <w:tabs>
                <w:tab w:val="left" w:pos="284"/>
              </w:tabs>
              <w:ind w:left="284" w:hanging="284"/>
              <w:jc w:val="center"/>
              <w:rPr>
                <w:rFonts w:ascii="Arial Narrow" w:eastAsiaTheme="minorHAnsi" w:hAnsi="Arial Narrow" w:cstheme="minorBidi"/>
                <w:sz w:val="18"/>
                <w:szCs w:val="18"/>
              </w:rPr>
            </w:pPr>
            <w:r w:rsidRPr="00890BAF">
              <w:rPr>
                <w:rFonts w:ascii="Arial Narrow" w:eastAsiaTheme="minorHAnsi" w:hAnsi="Arial Narrow" w:cstheme="minorBidi"/>
                <w:sz w:val="18"/>
                <w:szCs w:val="18"/>
              </w:rPr>
              <w:t>Yes</w:t>
            </w:r>
          </w:p>
        </w:tc>
      </w:tr>
      <w:tr w:rsidR="00A516FD" w:rsidRPr="00890BAF" w14:paraId="44C5AA74" w14:textId="77777777" w:rsidTr="00C30DA5">
        <w:tc>
          <w:tcPr>
            <w:tcW w:w="3856" w:type="dxa"/>
            <w:shd w:val="clear" w:color="auto" w:fill="D9D9D9" w:themeFill="background1" w:themeFillShade="D9"/>
          </w:tcPr>
          <w:p w14:paraId="551E6F89" w14:textId="77777777" w:rsidR="00A516FD" w:rsidRPr="00890BAF" w:rsidRDefault="00A516FD" w:rsidP="00C30DA5">
            <w:pPr>
              <w:tabs>
                <w:tab w:val="left" w:pos="284"/>
              </w:tabs>
              <w:ind w:left="284" w:hanging="284"/>
              <w:rPr>
                <w:rFonts w:ascii="Arial Narrow" w:eastAsiaTheme="minorHAnsi" w:hAnsi="Arial Narrow" w:cstheme="minorBidi"/>
                <w:sz w:val="18"/>
                <w:szCs w:val="18"/>
              </w:rPr>
            </w:pPr>
            <w:r w:rsidRPr="00890BAF">
              <w:rPr>
                <w:rFonts w:ascii="Arial Narrow" w:eastAsiaTheme="minorHAnsi" w:hAnsi="Arial Narrow" w:cstheme="minorBidi"/>
                <w:sz w:val="18"/>
                <w:szCs w:val="18"/>
              </w:rPr>
              <w:t xml:space="preserve">Flebogamma 10% – Grifols Australia P/L </w:t>
            </w:r>
          </w:p>
          <w:p w14:paraId="0BA9B13E" w14:textId="77777777" w:rsidR="00A516FD" w:rsidRPr="00890BAF" w:rsidRDefault="00A516FD" w:rsidP="00C30DA5">
            <w:pPr>
              <w:tabs>
                <w:tab w:val="left" w:pos="284"/>
              </w:tabs>
              <w:ind w:left="284" w:hanging="284"/>
              <w:rPr>
                <w:rFonts w:ascii="Arial Narrow" w:eastAsiaTheme="minorHAnsi" w:hAnsi="Arial Narrow" w:cstheme="minorBidi"/>
                <w:sz w:val="18"/>
                <w:szCs w:val="18"/>
              </w:rPr>
            </w:pPr>
            <w:r w:rsidRPr="00890BAF">
              <w:rPr>
                <w:rFonts w:ascii="Arial Narrow" w:eastAsiaTheme="minorHAnsi" w:hAnsi="Arial Narrow" w:cstheme="minorBidi"/>
                <w:sz w:val="18"/>
                <w:szCs w:val="18"/>
              </w:rPr>
              <w:t>(5g/50mL up to 40g/400mL)</w:t>
            </w:r>
          </w:p>
        </w:tc>
        <w:tc>
          <w:tcPr>
            <w:tcW w:w="1843" w:type="dxa"/>
          </w:tcPr>
          <w:p w14:paraId="08013C2B" w14:textId="77777777" w:rsidR="00A516FD" w:rsidRPr="00890BAF" w:rsidRDefault="00A516FD" w:rsidP="00C30DA5">
            <w:pPr>
              <w:tabs>
                <w:tab w:val="left" w:pos="284"/>
              </w:tabs>
              <w:ind w:left="284" w:hanging="284"/>
              <w:jc w:val="center"/>
              <w:rPr>
                <w:rFonts w:ascii="Arial Narrow" w:eastAsiaTheme="minorHAnsi" w:hAnsi="Arial Narrow" w:cstheme="minorBidi"/>
                <w:sz w:val="18"/>
                <w:szCs w:val="18"/>
              </w:rPr>
            </w:pPr>
            <w:r w:rsidRPr="00890BAF">
              <w:rPr>
                <w:rFonts w:ascii="Arial Narrow" w:eastAsiaTheme="minorHAnsi" w:hAnsi="Arial Narrow" w:cstheme="minorBidi"/>
                <w:sz w:val="18"/>
                <w:szCs w:val="18"/>
              </w:rPr>
              <w:t>IV</w:t>
            </w:r>
          </w:p>
        </w:tc>
        <w:tc>
          <w:tcPr>
            <w:tcW w:w="1701" w:type="dxa"/>
            <w:shd w:val="clear" w:color="auto" w:fill="FFFFFF" w:themeFill="background1"/>
          </w:tcPr>
          <w:p w14:paraId="326DEA48" w14:textId="77777777" w:rsidR="00A516FD" w:rsidRPr="00890BAF" w:rsidRDefault="00A516FD" w:rsidP="00C30DA5">
            <w:pPr>
              <w:tabs>
                <w:tab w:val="left" w:pos="284"/>
              </w:tabs>
              <w:ind w:left="284" w:hanging="284"/>
              <w:jc w:val="center"/>
              <w:rPr>
                <w:rFonts w:ascii="Arial Narrow" w:eastAsiaTheme="minorHAnsi" w:hAnsi="Arial Narrow" w:cstheme="minorBidi"/>
                <w:sz w:val="18"/>
                <w:szCs w:val="18"/>
              </w:rPr>
            </w:pPr>
            <w:r w:rsidRPr="00890BAF">
              <w:rPr>
                <w:rFonts w:ascii="Arial Narrow" w:eastAsiaTheme="minorHAnsi" w:hAnsi="Arial Narrow" w:cstheme="minorBidi"/>
                <w:sz w:val="18"/>
                <w:szCs w:val="18"/>
              </w:rPr>
              <w:t>Yes</w:t>
            </w:r>
          </w:p>
        </w:tc>
        <w:tc>
          <w:tcPr>
            <w:tcW w:w="1701" w:type="dxa"/>
          </w:tcPr>
          <w:p w14:paraId="3DC18986" w14:textId="77777777" w:rsidR="00A516FD" w:rsidRPr="00890BAF" w:rsidRDefault="00A516FD" w:rsidP="00C30DA5">
            <w:pPr>
              <w:tabs>
                <w:tab w:val="left" w:pos="284"/>
              </w:tabs>
              <w:ind w:left="284" w:hanging="284"/>
              <w:jc w:val="center"/>
              <w:rPr>
                <w:rFonts w:ascii="Arial Narrow" w:eastAsiaTheme="minorHAnsi" w:hAnsi="Arial Narrow" w:cstheme="minorBidi"/>
                <w:sz w:val="18"/>
                <w:szCs w:val="18"/>
              </w:rPr>
            </w:pPr>
            <w:r w:rsidRPr="00890BAF">
              <w:rPr>
                <w:rFonts w:ascii="Arial Narrow" w:eastAsiaTheme="minorHAnsi" w:hAnsi="Arial Narrow" w:cstheme="minorBidi"/>
                <w:sz w:val="18"/>
                <w:szCs w:val="18"/>
              </w:rPr>
              <w:t>Yes</w:t>
            </w:r>
          </w:p>
        </w:tc>
      </w:tr>
      <w:tr w:rsidR="00A516FD" w:rsidRPr="00890BAF" w14:paraId="1847CD8C" w14:textId="77777777" w:rsidTr="00C30DA5">
        <w:tc>
          <w:tcPr>
            <w:tcW w:w="3856" w:type="dxa"/>
            <w:shd w:val="clear" w:color="auto" w:fill="D9D9D9" w:themeFill="background1" w:themeFillShade="D9"/>
          </w:tcPr>
          <w:p w14:paraId="6E28F6A2" w14:textId="77777777" w:rsidR="00A516FD" w:rsidRPr="00890BAF" w:rsidRDefault="00A516FD" w:rsidP="00C30DA5">
            <w:pPr>
              <w:tabs>
                <w:tab w:val="left" w:pos="284"/>
              </w:tabs>
              <w:ind w:left="284" w:hanging="284"/>
              <w:rPr>
                <w:rFonts w:ascii="Arial Narrow" w:eastAsiaTheme="minorHAnsi" w:hAnsi="Arial Narrow" w:cstheme="minorBidi"/>
                <w:sz w:val="18"/>
                <w:szCs w:val="18"/>
              </w:rPr>
            </w:pPr>
            <w:r w:rsidRPr="00890BAF">
              <w:rPr>
                <w:rFonts w:ascii="Arial Narrow" w:eastAsiaTheme="minorHAnsi" w:hAnsi="Arial Narrow" w:cstheme="minorBidi"/>
                <w:sz w:val="18"/>
                <w:szCs w:val="18"/>
              </w:rPr>
              <w:t xml:space="preserve">Evogam 16% – CSL Behring Australia P/L  </w:t>
            </w:r>
          </w:p>
          <w:p w14:paraId="348AA488" w14:textId="77777777" w:rsidR="00A516FD" w:rsidRPr="00890BAF" w:rsidRDefault="00A516FD" w:rsidP="00C30DA5">
            <w:pPr>
              <w:tabs>
                <w:tab w:val="left" w:pos="284"/>
              </w:tabs>
              <w:ind w:left="284" w:hanging="284"/>
              <w:rPr>
                <w:rFonts w:ascii="Arial Narrow" w:eastAsiaTheme="minorHAnsi" w:hAnsi="Arial Narrow" w:cstheme="minorBidi"/>
                <w:sz w:val="18"/>
                <w:szCs w:val="18"/>
              </w:rPr>
            </w:pPr>
            <w:r w:rsidRPr="00890BAF">
              <w:rPr>
                <w:rFonts w:ascii="Arial Narrow" w:eastAsiaTheme="minorHAnsi" w:hAnsi="Arial Narrow" w:cstheme="minorBidi"/>
                <w:sz w:val="18"/>
                <w:szCs w:val="18"/>
              </w:rPr>
              <w:t>(0.8g/5mL or 3.2g/20mL)</w:t>
            </w:r>
          </w:p>
        </w:tc>
        <w:tc>
          <w:tcPr>
            <w:tcW w:w="1843" w:type="dxa"/>
          </w:tcPr>
          <w:p w14:paraId="45D6BCAA" w14:textId="77777777" w:rsidR="00A516FD" w:rsidRPr="00890BAF" w:rsidRDefault="00A516FD" w:rsidP="00C30DA5">
            <w:pPr>
              <w:tabs>
                <w:tab w:val="left" w:pos="284"/>
              </w:tabs>
              <w:ind w:left="284" w:hanging="284"/>
              <w:jc w:val="center"/>
              <w:rPr>
                <w:rFonts w:ascii="Arial Narrow" w:eastAsiaTheme="minorHAnsi" w:hAnsi="Arial Narrow" w:cstheme="minorBidi"/>
                <w:sz w:val="18"/>
                <w:szCs w:val="18"/>
              </w:rPr>
            </w:pPr>
            <w:r w:rsidRPr="00890BAF">
              <w:rPr>
                <w:rFonts w:ascii="Arial Narrow" w:eastAsiaTheme="minorHAnsi" w:hAnsi="Arial Narrow" w:cstheme="minorBidi"/>
                <w:sz w:val="18"/>
                <w:szCs w:val="18"/>
              </w:rPr>
              <w:t>SC</w:t>
            </w:r>
          </w:p>
        </w:tc>
        <w:tc>
          <w:tcPr>
            <w:tcW w:w="1701" w:type="dxa"/>
            <w:shd w:val="clear" w:color="auto" w:fill="FFFFFF" w:themeFill="background1"/>
          </w:tcPr>
          <w:p w14:paraId="5A1095A1" w14:textId="77777777" w:rsidR="00A516FD" w:rsidRPr="00890BAF" w:rsidRDefault="00A516FD" w:rsidP="00C30DA5">
            <w:pPr>
              <w:tabs>
                <w:tab w:val="left" w:pos="284"/>
              </w:tabs>
              <w:ind w:left="284" w:hanging="284"/>
              <w:jc w:val="center"/>
              <w:rPr>
                <w:rFonts w:ascii="Arial Narrow" w:eastAsiaTheme="minorHAnsi" w:hAnsi="Arial Narrow" w:cstheme="minorBidi"/>
                <w:sz w:val="18"/>
                <w:szCs w:val="18"/>
              </w:rPr>
            </w:pPr>
            <w:r w:rsidRPr="00890BAF">
              <w:rPr>
                <w:rFonts w:ascii="Arial Narrow" w:eastAsiaTheme="minorHAnsi" w:hAnsi="Arial Narrow" w:cstheme="minorBidi"/>
                <w:sz w:val="18"/>
                <w:szCs w:val="18"/>
              </w:rPr>
              <w:t>Yes</w:t>
            </w:r>
          </w:p>
        </w:tc>
        <w:tc>
          <w:tcPr>
            <w:tcW w:w="1701" w:type="dxa"/>
          </w:tcPr>
          <w:p w14:paraId="49493374" w14:textId="77777777" w:rsidR="00A516FD" w:rsidRPr="00890BAF" w:rsidRDefault="00A516FD" w:rsidP="00C30DA5">
            <w:pPr>
              <w:tabs>
                <w:tab w:val="left" w:pos="284"/>
              </w:tabs>
              <w:ind w:left="284" w:hanging="284"/>
              <w:jc w:val="center"/>
              <w:rPr>
                <w:rFonts w:ascii="Arial Narrow" w:eastAsiaTheme="minorHAnsi" w:hAnsi="Arial Narrow" w:cstheme="minorBidi"/>
                <w:sz w:val="18"/>
                <w:szCs w:val="18"/>
              </w:rPr>
            </w:pPr>
            <w:r w:rsidRPr="00890BAF">
              <w:rPr>
                <w:rFonts w:ascii="Arial Narrow" w:eastAsiaTheme="minorHAnsi" w:hAnsi="Arial Narrow" w:cstheme="minorBidi"/>
                <w:sz w:val="18"/>
                <w:szCs w:val="18"/>
              </w:rPr>
              <w:t>Yes</w:t>
            </w:r>
          </w:p>
        </w:tc>
      </w:tr>
      <w:tr w:rsidR="00A516FD" w:rsidRPr="00890BAF" w14:paraId="625C426D" w14:textId="77777777" w:rsidTr="00C30DA5">
        <w:tc>
          <w:tcPr>
            <w:tcW w:w="3856" w:type="dxa"/>
            <w:shd w:val="clear" w:color="auto" w:fill="D9D9D9" w:themeFill="background1" w:themeFillShade="D9"/>
          </w:tcPr>
          <w:p w14:paraId="15A536A0" w14:textId="77777777" w:rsidR="00A516FD" w:rsidRPr="00890BAF" w:rsidRDefault="00A516FD" w:rsidP="00C30DA5">
            <w:pPr>
              <w:tabs>
                <w:tab w:val="left" w:pos="284"/>
              </w:tabs>
              <w:ind w:left="284" w:hanging="284"/>
              <w:rPr>
                <w:rFonts w:ascii="Arial Narrow" w:eastAsiaTheme="minorHAnsi" w:hAnsi="Arial Narrow" w:cstheme="minorBidi"/>
                <w:sz w:val="18"/>
                <w:szCs w:val="18"/>
              </w:rPr>
            </w:pPr>
            <w:r w:rsidRPr="00890BAF">
              <w:rPr>
                <w:rFonts w:ascii="Arial Narrow" w:eastAsiaTheme="minorHAnsi" w:hAnsi="Arial Narrow" w:cstheme="minorBidi"/>
                <w:sz w:val="18"/>
                <w:szCs w:val="18"/>
              </w:rPr>
              <w:t xml:space="preserve">Intragam 10 – CSL Behring Australia P/L  </w:t>
            </w:r>
          </w:p>
          <w:p w14:paraId="7E2D4587" w14:textId="77777777" w:rsidR="00A516FD" w:rsidRPr="00890BAF" w:rsidRDefault="00A516FD" w:rsidP="00C30DA5">
            <w:pPr>
              <w:tabs>
                <w:tab w:val="left" w:pos="284"/>
              </w:tabs>
              <w:ind w:left="284" w:hanging="284"/>
              <w:rPr>
                <w:rFonts w:ascii="Arial Narrow" w:eastAsiaTheme="minorHAnsi" w:hAnsi="Arial Narrow" w:cstheme="minorBidi"/>
                <w:sz w:val="18"/>
                <w:szCs w:val="18"/>
              </w:rPr>
            </w:pPr>
            <w:r w:rsidRPr="00890BAF">
              <w:rPr>
                <w:rFonts w:ascii="Arial Narrow" w:eastAsiaTheme="minorHAnsi" w:hAnsi="Arial Narrow" w:cstheme="minorBidi"/>
                <w:sz w:val="18"/>
                <w:szCs w:val="18"/>
              </w:rPr>
              <w:t>(2.5g/25mL to 20g/200mL)</w:t>
            </w:r>
          </w:p>
        </w:tc>
        <w:tc>
          <w:tcPr>
            <w:tcW w:w="1843" w:type="dxa"/>
          </w:tcPr>
          <w:p w14:paraId="29D14F18" w14:textId="77777777" w:rsidR="00A516FD" w:rsidRPr="00890BAF" w:rsidRDefault="00A516FD" w:rsidP="00C30DA5">
            <w:pPr>
              <w:tabs>
                <w:tab w:val="left" w:pos="284"/>
              </w:tabs>
              <w:ind w:left="284" w:hanging="284"/>
              <w:jc w:val="center"/>
              <w:rPr>
                <w:rFonts w:ascii="Arial Narrow" w:eastAsiaTheme="minorHAnsi" w:hAnsi="Arial Narrow" w:cstheme="minorBidi"/>
                <w:sz w:val="18"/>
                <w:szCs w:val="18"/>
              </w:rPr>
            </w:pPr>
            <w:r w:rsidRPr="00890BAF">
              <w:rPr>
                <w:rFonts w:ascii="Arial Narrow" w:eastAsiaTheme="minorHAnsi" w:hAnsi="Arial Narrow" w:cstheme="minorBidi"/>
                <w:sz w:val="18"/>
                <w:szCs w:val="18"/>
              </w:rPr>
              <w:t>IV</w:t>
            </w:r>
          </w:p>
        </w:tc>
        <w:tc>
          <w:tcPr>
            <w:tcW w:w="1701" w:type="dxa"/>
            <w:shd w:val="clear" w:color="auto" w:fill="FFFFFF" w:themeFill="background1"/>
          </w:tcPr>
          <w:p w14:paraId="5DD419B8" w14:textId="77777777" w:rsidR="00A516FD" w:rsidRPr="00890BAF" w:rsidRDefault="00A516FD" w:rsidP="00C30DA5">
            <w:pPr>
              <w:tabs>
                <w:tab w:val="left" w:pos="284"/>
              </w:tabs>
              <w:ind w:left="284" w:hanging="284"/>
              <w:jc w:val="center"/>
              <w:rPr>
                <w:rFonts w:ascii="Arial Narrow" w:eastAsiaTheme="minorHAnsi" w:hAnsi="Arial Narrow" w:cstheme="minorBidi"/>
                <w:sz w:val="18"/>
                <w:szCs w:val="18"/>
              </w:rPr>
            </w:pPr>
            <w:r w:rsidRPr="00890BAF">
              <w:rPr>
                <w:rFonts w:ascii="Arial Narrow" w:eastAsiaTheme="minorHAnsi" w:hAnsi="Arial Narrow" w:cstheme="minorBidi"/>
                <w:sz w:val="18"/>
                <w:szCs w:val="18"/>
              </w:rPr>
              <w:t>Yes</w:t>
            </w:r>
          </w:p>
        </w:tc>
        <w:tc>
          <w:tcPr>
            <w:tcW w:w="1701" w:type="dxa"/>
          </w:tcPr>
          <w:p w14:paraId="2CEB850E" w14:textId="77777777" w:rsidR="00A516FD" w:rsidRPr="00890BAF" w:rsidRDefault="00A516FD" w:rsidP="00C30DA5">
            <w:pPr>
              <w:tabs>
                <w:tab w:val="left" w:pos="284"/>
              </w:tabs>
              <w:ind w:left="284" w:hanging="284"/>
              <w:jc w:val="center"/>
              <w:rPr>
                <w:rFonts w:ascii="Arial Narrow" w:eastAsiaTheme="minorHAnsi" w:hAnsi="Arial Narrow" w:cstheme="minorBidi"/>
                <w:sz w:val="18"/>
                <w:szCs w:val="18"/>
              </w:rPr>
            </w:pPr>
            <w:r w:rsidRPr="00890BAF">
              <w:rPr>
                <w:rFonts w:ascii="Arial Narrow" w:eastAsiaTheme="minorHAnsi" w:hAnsi="Arial Narrow" w:cstheme="minorBidi"/>
                <w:sz w:val="18"/>
                <w:szCs w:val="18"/>
              </w:rPr>
              <w:t>Yes</w:t>
            </w:r>
          </w:p>
        </w:tc>
      </w:tr>
      <w:tr w:rsidR="00A516FD" w:rsidRPr="00890BAF" w14:paraId="4688374D" w14:textId="77777777" w:rsidTr="00C30DA5">
        <w:tc>
          <w:tcPr>
            <w:tcW w:w="3856" w:type="dxa"/>
            <w:shd w:val="clear" w:color="auto" w:fill="D9D9D9" w:themeFill="background1" w:themeFillShade="D9"/>
          </w:tcPr>
          <w:p w14:paraId="086D2F5C" w14:textId="77777777" w:rsidR="00A516FD" w:rsidRPr="00890BAF" w:rsidRDefault="00A516FD" w:rsidP="00C30DA5">
            <w:pPr>
              <w:tabs>
                <w:tab w:val="left" w:pos="284"/>
              </w:tabs>
              <w:ind w:left="284" w:hanging="284"/>
              <w:rPr>
                <w:rFonts w:ascii="Arial Narrow" w:eastAsiaTheme="minorHAnsi" w:hAnsi="Arial Narrow" w:cstheme="minorBidi"/>
                <w:sz w:val="18"/>
                <w:szCs w:val="18"/>
              </w:rPr>
            </w:pPr>
            <w:r w:rsidRPr="00890BAF">
              <w:rPr>
                <w:rFonts w:ascii="Arial Narrow" w:eastAsiaTheme="minorHAnsi" w:hAnsi="Arial Narrow" w:cstheme="minorBidi"/>
                <w:sz w:val="18"/>
                <w:szCs w:val="18"/>
              </w:rPr>
              <w:t>Flebogamma 5% - Grifols Australia P/L</w:t>
            </w:r>
          </w:p>
          <w:p w14:paraId="5FBE9524" w14:textId="77777777" w:rsidR="00A516FD" w:rsidRPr="00890BAF" w:rsidRDefault="00A516FD" w:rsidP="00C30DA5">
            <w:pPr>
              <w:tabs>
                <w:tab w:val="left" w:pos="284"/>
              </w:tabs>
              <w:ind w:left="284" w:hanging="284"/>
              <w:rPr>
                <w:rFonts w:ascii="Arial Narrow" w:eastAsiaTheme="minorHAnsi" w:hAnsi="Arial Narrow" w:cstheme="minorBidi"/>
                <w:sz w:val="18"/>
                <w:szCs w:val="18"/>
              </w:rPr>
            </w:pPr>
            <w:r w:rsidRPr="00890BAF">
              <w:rPr>
                <w:rFonts w:ascii="Arial Narrow" w:eastAsiaTheme="minorHAnsi" w:hAnsi="Arial Narrow" w:cstheme="minorBidi"/>
                <w:sz w:val="18"/>
                <w:szCs w:val="18"/>
              </w:rPr>
              <w:t>(0.5g/10mL to 20g/400mL)</w:t>
            </w:r>
          </w:p>
        </w:tc>
        <w:tc>
          <w:tcPr>
            <w:tcW w:w="1843" w:type="dxa"/>
          </w:tcPr>
          <w:p w14:paraId="2D6C732D" w14:textId="77777777" w:rsidR="00A516FD" w:rsidRPr="00890BAF" w:rsidRDefault="00A516FD" w:rsidP="00C30DA5">
            <w:pPr>
              <w:tabs>
                <w:tab w:val="left" w:pos="284"/>
              </w:tabs>
              <w:ind w:left="284" w:hanging="284"/>
              <w:jc w:val="center"/>
              <w:rPr>
                <w:rFonts w:ascii="Arial Narrow" w:eastAsiaTheme="minorHAnsi" w:hAnsi="Arial Narrow" w:cstheme="minorBidi"/>
                <w:sz w:val="18"/>
                <w:szCs w:val="18"/>
              </w:rPr>
            </w:pPr>
            <w:r w:rsidRPr="00890BAF">
              <w:rPr>
                <w:rFonts w:ascii="Arial Narrow" w:eastAsiaTheme="minorHAnsi" w:hAnsi="Arial Narrow" w:cstheme="minorBidi"/>
                <w:sz w:val="18"/>
                <w:szCs w:val="18"/>
              </w:rPr>
              <w:t>IV</w:t>
            </w:r>
          </w:p>
        </w:tc>
        <w:tc>
          <w:tcPr>
            <w:tcW w:w="1701" w:type="dxa"/>
            <w:shd w:val="clear" w:color="auto" w:fill="FFFFFF" w:themeFill="background1"/>
          </w:tcPr>
          <w:p w14:paraId="348B4ACF" w14:textId="77777777" w:rsidR="00A516FD" w:rsidRPr="00890BAF" w:rsidRDefault="00A516FD" w:rsidP="00C30DA5">
            <w:pPr>
              <w:tabs>
                <w:tab w:val="left" w:pos="284"/>
              </w:tabs>
              <w:ind w:left="284" w:hanging="284"/>
              <w:jc w:val="center"/>
              <w:rPr>
                <w:rFonts w:ascii="Arial Narrow" w:eastAsiaTheme="minorHAnsi" w:hAnsi="Arial Narrow" w:cstheme="minorBidi"/>
                <w:sz w:val="18"/>
                <w:szCs w:val="18"/>
              </w:rPr>
            </w:pPr>
            <w:r w:rsidRPr="00890BAF">
              <w:rPr>
                <w:rFonts w:ascii="Arial Narrow" w:eastAsiaTheme="minorHAnsi" w:hAnsi="Arial Narrow" w:cstheme="minorBidi"/>
                <w:sz w:val="18"/>
                <w:szCs w:val="18"/>
              </w:rPr>
              <w:t>Yes</w:t>
            </w:r>
          </w:p>
        </w:tc>
        <w:tc>
          <w:tcPr>
            <w:tcW w:w="1701" w:type="dxa"/>
          </w:tcPr>
          <w:p w14:paraId="5EC1A949" w14:textId="77777777" w:rsidR="00A516FD" w:rsidRPr="00890BAF" w:rsidRDefault="00A516FD" w:rsidP="00C30DA5">
            <w:pPr>
              <w:tabs>
                <w:tab w:val="left" w:pos="284"/>
              </w:tabs>
              <w:ind w:left="284" w:hanging="284"/>
              <w:jc w:val="center"/>
              <w:rPr>
                <w:rFonts w:ascii="Arial Narrow" w:eastAsiaTheme="minorHAnsi" w:hAnsi="Arial Narrow" w:cstheme="minorBidi"/>
                <w:sz w:val="18"/>
                <w:szCs w:val="18"/>
              </w:rPr>
            </w:pPr>
            <w:r w:rsidRPr="00890BAF">
              <w:rPr>
                <w:rFonts w:ascii="Arial Narrow" w:eastAsiaTheme="minorHAnsi" w:hAnsi="Arial Narrow" w:cstheme="minorBidi"/>
                <w:sz w:val="18"/>
                <w:szCs w:val="18"/>
              </w:rPr>
              <w:t>Yes</w:t>
            </w:r>
          </w:p>
        </w:tc>
      </w:tr>
      <w:tr w:rsidR="00A516FD" w:rsidRPr="00890BAF" w14:paraId="215D7B27" w14:textId="77777777" w:rsidTr="00C30DA5">
        <w:tc>
          <w:tcPr>
            <w:tcW w:w="3856" w:type="dxa"/>
          </w:tcPr>
          <w:p w14:paraId="72BE6062" w14:textId="77777777" w:rsidR="00A516FD" w:rsidRPr="00890BAF" w:rsidRDefault="00A516FD" w:rsidP="00C30DA5">
            <w:pPr>
              <w:tabs>
                <w:tab w:val="left" w:pos="284"/>
              </w:tabs>
              <w:ind w:left="284" w:hanging="284"/>
              <w:rPr>
                <w:rFonts w:ascii="Arial Narrow" w:eastAsiaTheme="minorHAnsi" w:hAnsi="Arial Narrow" w:cstheme="minorBidi"/>
                <w:sz w:val="18"/>
                <w:szCs w:val="18"/>
              </w:rPr>
            </w:pPr>
            <w:r w:rsidRPr="00890BAF">
              <w:rPr>
                <w:rFonts w:ascii="Arial Narrow" w:eastAsiaTheme="minorHAnsi" w:hAnsi="Arial Narrow" w:cstheme="minorBidi"/>
                <w:sz w:val="18"/>
                <w:szCs w:val="18"/>
              </w:rPr>
              <w:t>Cuvitru 20% - Shire Australia P/L</w:t>
            </w:r>
          </w:p>
        </w:tc>
        <w:tc>
          <w:tcPr>
            <w:tcW w:w="1843" w:type="dxa"/>
          </w:tcPr>
          <w:p w14:paraId="0C848086" w14:textId="77777777" w:rsidR="00A516FD" w:rsidRPr="00890BAF" w:rsidRDefault="00A516FD" w:rsidP="00C30DA5">
            <w:pPr>
              <w:tabs>
                <w:tab w:val="left" w:pos="284"/>
              </w:tabs>
              <w:ind w:left="284" w:hanging="284"/>
              <w:jc w:val="center"/>
              <w:rPr>
                <w:rFonts w:ascii="Arial Narrow" w:eastAsiaTheme="minorHAnsi" w:hAnsi="Arial Narrow" w:cstheme="minorBidi"/>
                <w:sz w:val="18"/>
                <w:szCs w:val="18"/>
              </w:rPr>
            </w:pPr>
            <w:r w:rsidRPr="00890BAF">
              <w:rPr>
                <w:rFonts w:ascii="Arial Narrow" w:eastAsiaTheme="minorHAnsi" w:hAnsi="Arial Narrow" w:cstheme="minorBidi"/>
                <w:sz w:val="18"/>
                <w:szCs w:val="18"/>
              </w:rPr>
              <w:t>SC</w:t>
            </w:r>
          </w:p>
        </w:tc>
        <w:tc>
          <w:tcPr>
            <w:tcW w:w="1701" w:type="dxa"/>
            <w:shd w:val="clear" w:color="auto" w:fill="FFFFFF" w:themeFill="background1"/>
          </w:tcPr>
          <w:p w14:paraId="52433DF7" w14:textId="77777777" w:rsidR="00A516FD" w:rsidRPr="00890BAF" w:rsidRDefault="00A516FD" w:rsidP="00C30DA5">
            <w:pPr>
              <w:tabs>
                <w:tab w:val="left" w:pos="284"/>
              </w:tabs>
              <w:ind w:left="284" w:hanging="284"/>
              <w:jc w:val="center"/>
              <w:rPr>
                <w:rFonts w:ascii="Arial Narrow" w:eastAsiaTheme="minorHAnsi" w:hAnsi="Arial Narrow" w:cstheme="minorBidi"/>
                <w:sz w:val="18"/>
                <w:szCs w:val="18"/>
              </w:rPr>
            </w:pPr>
            <w:r w:rsidRPr="00890BAF">
              <w:rPr>
                <w:rFonts w:ascii="Arial Narrow" w:eastAsiaTheme="minorHAnsi" w:hAnsi="Arial Narrow" w:cstheme="minorBidi"/>
                <w:sz w:val="18"/>
                <w:szCs w:val="18"/>
              </w:rPr>
              <w:t>Yes</w:t>
            </w:r>
          </w:p>
        </w:tc>
        <w:tc>
          <w:tcPr>
            <w:tcW w:w="1701" w:type="dxa"/>
          </w:tcPr>
          <w:p w14:paraId="78AD09CA" w14:textId="77777777" w:rsidR="00A516FD" w:rsidRPr="00890BAF" w:rsidRDefault="00A516FD" w:rsidP="00C30DA5">
            <w:pPr>
              <w:tabs>
                <w:tab w:val="left" w:pos="284"/>
              </w:tabs>
              <w:ind w:left="284" w:hanging="284"/>
              <w:jc w:val="center"/>
              <w:rPr>
                <w:rFonts w:ascii="Arial Narrow" w:eastAsiaTheme="minorHAnsi" w:hAnsi="Arial Narrow" w:cstheme="minorBidi"/>
                <w:sz w:val="18"/>
                <w:szCs w:val="18"/>
              </w:rPr>
            </w:pPr>
            <w:r w:rsidRPr="00890BAF">
              <w:rPr>
                <w:rFonts w:ascii="Arial Narrow" w:eastAsiaTheme="minorHAnsi" w:hAnsi="Arial Narrow" w:cstheme="minorBidi"/>
                <w:sz w:val="18"/>
                <w:szCs w:val="18"/>
              </w:rPr>
              <w:t>No</w:t>
            </w:r>
          </w:p>
        </w:tc>
      </w:tr>
      <w:tr w:rsidR="00A516FD" w:rsidRPr="00890BAF" w14:paraId="7F066A83" w14:textId="77777777" w:rsidTr="00C30DA5">
        <w:tc>
          <w:tcPr>
            <w:tcW w:w="3856" w:type="dxa"/>
          </w:tcPr>
          <w:p w14:paraId="1A4A48E2" w14:textId="77777777" w:rsidR="00A516FD" w:rsidRPr="00890BAF" w:rsidRDefault="00A516FD" w:rsidP="00C30DA5">
            <w:pPr>
              <w:tabs>
                <w:tab w:val="left" w:pos="284"/>
              </w:tabs>
              <w:ind w:left="284" w:hanging="284"/>
              <w:rPr>
                <w:rFonts w:ascii="Arial Narrow" w:eastAsiaTheme="minorHAnsi" w:hAnsi="Arial Narrow" w:cstheme="minorBidi"/>
                <w:sz w:val="18"/>
                <w:szCs w:val="18"/>
              </w:rPr>
            </w:pPr>
            <w:r w:rsidRPr="00890BAF">
              <w:rPr>
                <w:rFonts w:ascii="Arial Narrow" w:eastAsiaTheme="minorHAnsi" w:hAnsi="Arial Narrow" w:cstheme="minorBidi"/>
                <w:sz w:val="18"/>
                <w:szCs w:val="18"/>
              </w:rPr>
              <w:t xml:space="preserve">Panzyga – Octaphama Australia P/L </w:t>
            </w:r>
          </w:p>
        </w:tc>
        <w:tc>
          <w:tcPr>
            <w:tcW w:w="1843" w:type="dxa"/>
          </w:tcPr>
          <w:p w14:paraId="2EDAC50B" w14:textId="77777777" w:rsidR="00A516FD" w:rsidRPr="00890BAF" w:rsidRDefault="00A516FD" w:rsidP="00C30DA5">
            <w:pPr>
              <w:tabs>
                <w:tab w:val="left" w:pos="284"/>
              </w:tabs>
              <w:ind w:left="284" w:hanging="284"/>
              <w:jc w:val="center"/>
              <w:rPr>
                <w:rFonts w:ascii="Arial Narrow" w:eastAsiaTheme="minorHAnsi" w:hAnsi="Arial Narrow" w:cstheme="minorBidi"/>
                <w:sz w:val="18"/>
                <w:szCs w:val="18"/>
              </w:rPr>
            </w:pPr>
            <w:r w:rsidRPr="00890BAF">
              <w:rPr>
                <w:rFonts w:ascii="Arial Narrow" w:eastAsiaTheme="minorHAnsi" w:hAnsi="Arial Narrow" w:cstheme="minorBidi"/>
                <w:sz w:val="18"/>
                <w:szCs w:val="18"/>
              </w:rPr>
              <w:t>IV</w:t>
            </w:r>
          </w:p>
        </w:tc>
        <w:tc>
          <w:tcPr>
            <w:tcW w:w="1701" w:type="dxa"/>
            <w:shd w:val="clear" w:color="auto" w:fill="FFFFFF" w:themeFill="background1"/>
          </w:tcPr>
          <w:p w14:paraId="19C600A7" w14:textId="77777777" w:rsidR="00A516FD" w:rsidRPr="00890BAF" w:rsidRDefault="00A516FD" w:rsidP="00C30DA5">
            <w:pPr>
              <w:tabs>
                <w:tab w:val="left" w:pos="284"/>
              </w:tabs>
              <w:ind w:left="284" w:hanging="284"/>
              <w:jc w:val="center"/>
              <w:rPr>
                <w:rFonts w:ascii="Arial Narrow" w:eastAsiaTheme="minorHAnsi" w:hAnsi="Arial Narrow" w:cstheme="minorBidi"/>
                <w:sz w:val="18"/>
                <w:szCs w:val="18"/>
              </w:rPr>
            </w:pPr>
            <w:r w:rsidRPr="00890BAF">
              <w:rPr>
                <w:rFonts w:ascii="Arial Narrow" w:eastAsiaTheme="minorHAnsi" w:hAnsi="Arial Narrow" w:cstheme="minorBidi"/>
                <w:sz w:val="18"/>
                <w:szCs w:val="18"/>
              </w:rPr>
              <w:t>Yes</w:t>
            </w:r>
          </w:p>
        </w:tc>
        <w:tc>
          <w:tcPr>
            <w:tcW w:w="1701" w:type="dxa"/>
          </w:tcPr>
          <w:p w14:paraId="5C13CF59" w14:textId="77777777" w:rsidR="00A516FD" w:rsidRPr="00890BAF" w:rsidRDefault="00A516FD" w:rsidP="00C30DA5">
            <w:pPr>
              <w:tabs>
                <w:tab w:val="left" w:pos="284"/>
              </w:tabs>
              <w:ind w:left="284" w:hanging="284"/>
              <w:jc w:val="center"/>
              <w:rPr>
                <w:rFonts w:ascii="Arial Narrow" w:eastAsiaTheme="minorHAnsi" w:hAnsi="Arial Narrow" w:cstheme="minorBidi"/>
                <w:sz w:val="18"/>
                <w:szCs w:val="18"/>
              </w:rPr>
            </w:pPr>
            <w:r w:rsidRPr="00890BAF">
              <w:rPr>
                <w:rFonts w:ascii="Arial Narrow" w:eastAsiaTheme="minorHAnsi" w:hAnsi="Arial Narrow" w:cstheme="minorBidi"/>
                <w:sz w:val="18"/>
                <w:szCs w:val="18"/>
              </w:rPr>
              <w:t>No</w:t>
            </w:r>
          </w:p>
        </w:tc>
      </w:tr>
      <w:tr w:rsidR="00A516FD" w:rsidRPr="00890BAF" w14:paraId="7227B191" w14:textId="77777777" w:rsidTr="00C30DA5">
        <w:tc>
          <w:tcPr>
            <w:tcW w:w="3856" w:type="dxa"/>
          </w:tcPr>
          <w:p w14:paraId="343113FC" w14:textId="77777777" w:rsidR="00A516FD" w:rsidRPr="00890BAF" w:rsidRDefault="00A516FD" w:rsidP="00C30DA5">
            <w:pPr>
              <w:tabs>
                <w:tab w:val="left" w:pos="284"/>
              </w:tabs>
              <w:ind w:left="284" w:hanging="284"/>
              <w:rPr>
                <w:rFonts w:ascii="Arial Narrow" w:eastAsiaTheme="minorHAnsi" w:hAnsi="Arial Narrow" w:cstheme="minorBidi"/>
                <w:sz w:val="18"/>
                <w:szCs w:val="18"/>
              </w:rPr>
            </w:pPr>
            <w:r w:rsidRPr="00890BAF">
              <w:rPr>
                <w:rFonts w:ascii="Arial Narrow" w:eastAsiaTheme="minorHAnsi" w:hAnsi="Arial Narrow" w:cstheme="minorBidi"/>
                <w:sz w:val="18"/>
                <w:szCs w:val="18"/>
              </w:rPr>
              <w:t>Gamunex 10%</w:t>
            </w:r>
            <w:r w:rsidRPr="00890BAF">
              <w:rPr>
                <w:rFonts w:ascii="Arial Narrow" w:eastAsiaTheme="minorHAnsi" w:hAnsi="Arial Narrow" w:cstheme="minorBidi"/>
                <w:b/>
                <w:sz w:val="18"/>
                <w:szCs w:val="18"/>
              </w:rPr>
              <w:t xml:space="preserve"> </w:t>
            </w:r>
            <w:r w:rsidRPr="00890BAF">
              <w:rPr>
                <w:rFonts w:ascii="Arial Narrow" w:eastAsiaTheme="minorHAnsi" w:hAnsi="Arial Narrow" w:cstheme="minorBidi"/>
                <w:sz w:val="18"/>
                <w:szCs w:val="18"/>
              </w:rPr>
              <w:t xml:space="preserve">– Grifols Australia P/L </w:t>
            </w:r>
          </w:p>
        </w:tc>
        <w:tc>
          <w:tcPr>
            <w:tcW w:w="1843" w:type="dxa"/>
          </w:tcPr>
          <w:p w14:paraId="59D86FB4" w14:textId="77777777" w:rsidR="00A516FD" w:rsidRPr="00890BAF" w:rsidRDefault="00A516FD" w:rsidP="00C30DA5">
            <w:pPr>
              <w:tabs>
                <w:tab w:val="left" w:pos="284"/>
              </w:tabs>
              <w:ind w:left="284" w:hanging="284"/>
              <w:jc w:val="center"/>
              <w:rPr>
                <w:rFonts w:ascii="Arial Narrow" w:eastAsiaTheme="minorHAnsi" w:hAnsi="Arial Narrow" w:cstheme="minorBidi"/>
                <w:sz w:val="18"/>
                <w:szCs w:val="18"/>
              </w:rPr>
            </w:pPr>
            <w:r w:rsidRPr="00890BAF">
              <w:rPr>
                <w:rFonts w:ascii="Arial Narrow" w:eastAsiaTheme="minorHAnsi" w:hAnsi="Arial Narrow" w:cstheme="minorBidi"/>
                <w:sz w:val="18"/>
                <w:szCs w:val="18"/>
              </w:rPr>
              <w:t>IV and SC</w:t>
            </w:r>
          </w:p>
        </w:tc>
        <w:tc>
          <w:tcPr>
            <w:tcW w:w="1701" w:type="dxa"/>
            <w:shd w:val="clear" w:color="auto" w:fill="FFFFFF" w:themeFill="background1"/>
          </w:tcPr>
          <w:p w14:paraId="5F423F54" w14:textId="77777777" w:rsidR="00A516FD" w:rsidRPr="00890BAF" w:rsidRDefault="00A516FD" w:rsidP="00C30DA5">
            <w:pPr>
              <w:tabs>
                <w:tab w:val="left" w:pos="284"/>
              </w:tabs>
              <w:ind w:left="284" w:hanging="284"/>
              <w:jc w:val="center"/>
              <w:rPr>
                <w:rFonts w:ascii="Arial Narrow" w:eastAsiaTheme="minorHAnsi" w:hAnsi="Arial Narrow" w:cstheme="minorBidi"/>
                <w:sz w:val="18"/>
                <w:szCs w:val="18"/>
              </w:rPr>
            </w:pPr>
            <w:r w:rsidRPr="00890BAF">
              <w:rPr>
                <w:rFonts w:ascii="Arial Narrow" w:eastAsiaTheme="minorHAnsi" w:hAnsi="Arial Narrow" w:cstheme="minorBidi"/>
                <w:sz w:val="18"/>
                <w:szCs w:val="18"/>
              </w:rPr>
              <w:t>Yes</w:t>
            </w:r>
          </w:p>
        </w:tc>
        <w:tc>
          <w:tcPr>
            <w:tcW w:w="1701" w:type="dxa"/>
          </w:tcPr>
          <w:p w14:paraId="0B846BC9" w14:textId="52B7985D" w:rsidR="00A516FD" w:rsidRPr="00890BAF" w:rsidRDefault="00646100" w:rsidP="00C30DA5">
            <w:pPr>
              <w:tabs>
                <w:tab w:val="left" w:pos="284"/>
              </w:tabs>
              <w:ind w:left="284" w:hanging="284"/>
              <w:jc w:val="center"/>
              <w:rPr>
                <w:rFonts w:ascii="Arial Narrow" w:eastAsiaTheme="minorHAnsi" w:hAnsi="Arial Narrow" w:cstheme="minorBidi"/>
                <w:sz w:val="18"/>
                <w:szCs w:val="18"/>
              </w:rPr>
            </w:pPr>
            <w:r>
              <w:rPr>
                <w:rFonts w:ascii="Arial Narrow" w:eastAsiaTheme="minorHAnsi" w:hAnsi="Arial Narrow" w:cstheme="minorBidi"/>
                <w:sz w:val="18"/>
                <w:szCs w:val="18"/>
              </w:rPr>
              <w:t>Yes IV only</w:t>
            </w:r>
          </w:p>
        </w:tc>
      </w:tr>
      <w:tr w:rsidR="00A516FD" w:rsidRPr="00890BAF" w14:paraId="4FBF8894" w14:textId="77777777" w:rsidTr="00C30DA5">
        <w:tc>
          <w:tcPr>
            <w:tcW w:w="3856" w:type="dxa"/>
          </w:tcPr>
          <w:p w14:paraId="77D406AD" w14:textId="77777777" w:rsidR="00A516FD" w:rsidRPr="00890BAF" w:rsidRDefault="00A516FD" w:rsidP="00C30DA5">
            <w:pPr>
              <w:tabs>
                <w:tab w:val="left" w:pos="284"/>
              </w:tabs>
              <w:ind w:left="284" w:hanging="284"/>
              <w:rPr>
                <w:rFonts w:ascii="Arial Narrow" w:eastAsiaTheme="minorHAnsi" w:hAnsi="Arial Narrow" w:cstheme="minorBidi"/>
                <w:sz w:val="18"/>
                <w:szCs w:val="18"/>
              </w:rPr>
            </w:pPr>
            <w:r w:rsidRPr="00890BAF">
              <w:rPr>
                <w:rFonts w:ascii="Arial Narrow" w:eastAsiaTheme="minorHAnsi" w:hAnsi="Arial Narrow" w:cstheme="minorBidi"/>
                <w:sz w:val="18"/>
                <w:szCs w:val="18"/>
              </w:rPr>
              <w:t xml:space="preserve">Hyqvia – Shira Australia P/L </w:t>
            </w:r>
          </w:p>
        </w:tc>
        <w:tc>
          <w:tcPr>
            <w:tcW w:w="1843" w:type="dxa"/>
          </w:tcPr>
          <w:p w14:paraId="1C11168F" w14:textId="77777777" w:rsidR="00A516FD" w:rsidRPr="00890BAF" w:rsidRDefault="00A516FD" w:rsidP="00C30DA5">
            <w:pPr>
              <w:tabs>
                <w:tab w:val="left" w:pos="284"/>
              </w:tabs>
              <w:ind w:left="284" w:hanging="284"/>
              <w:jc w:val="center"/>
              <w:rPr>
                <w:rFonts w:ascii="Arial Narrow" w:eastAsiaTheme="minorHAnsi" w:hAnsi="Arial Narrow" w:cstheme="minorBidi"/>
                <w:sz w:val="18"/>
                <w:szCs w:val="18"/>
              </w:rPr>
            </w:pPr>
            <w:r w:rsidRPr="00890BAF">
              <w:rPr>
                <w:rFonts w:ascii="Arial Narrow" w:eastAsiaTheme="minorHAnsi" w:hAnsi="Arial Narrow" w:cstheme="minorBidi"/>
                <w:sz w:val="18"/>
                <w:szCs w:val="18"/>
              </w:rPr>
              <w:t>SC</w:t>
            </w:r>
          </w:p>
        </w:tc>
        <w:tc>
          <w:tcPr>
            <w:tcW w:w="1701" w:type="dxa"/>
            <w:shd w:val="clear" w:color="auto" w:fill="FFFFFF" w:themeFill="background1"/>
          </w:tcPr>
          <w:p w14:paraId="569B1B3A" w14:textId="77777777" w:rsidR="00A516FD" w:rsidRPr="00890BAF" w:rsidRDefault="00A516FD" w:rsidP="00C30DA5">
            <w:pPr>
              <w:tabs>
                <w:tab w:val="left" w:pos="284"/>
              </w:tabs>
              <w:ind w:left="284" w:hanging="284"/>
              <w:jc w:val="center"/>
              <w:rPr>
                <w:rFonts w:ascii="Arial Narrow" w:eastAsiaTheme="minorHAnsi" w:hAnsi="Arial Narrow" w:cstheme="minorBidi"/>
                <w:sz w:val="18"/>
                <w:szCs w:val="18"/>
              </w:rPr>
            </w:pPr>
            <w:r w:rsidRPr="00890BAF">
              <w:rPr>
                <w:rFonts w:ascii="Arial Narrow" w:eastAsiaTheme="minorHAnsi" w:hAnsi="Arial Narrow" w:cstheme="minorBidi"/>
                <w:sz w:val="18"/>
                <w:szCs w:val="18"/>
              </w:rPr>
              <w:t>Yes</w:t>
            </w:r>
          </w:p>
        </w:tc>
        <w:tc>
          <w:tcPr>
            <w:tcW w:w="1701" w:type="dxa"/>
          </w:tcPr>
          <w:p w14:paraId="17707184" w14:textId="77777777" w:rsidR="00A516FD" w:rsidRPr="00890BAF" w:rsidRDefault="00A516FD" w:rsidP="00C30DA5">
            <w:pPr>
              <w:tabs>
                <w:tab w:val="left" w:pos="284"/>
              </w:tabs>
              <w:ind w:left="284" w:hanging="284"/>
              <w:jc w:val="center"/>
              <w:rPr>
                <w:rFonts w:ascii="Arial Narrow" w:eastAsiaTheme="minorHAnsi" w:hAnsi="Arial Narrow" w:cstheme="minorBidi"/>
                <w:sz w:val="18"/>
                <w:szCs w:val="18"/>
              </w:rPr>
            </w:pPr>
            <w:r w:rsidRPr="00890BAF">
              <w:rPr>
                <w:rFonts w:ascii="Arial Narrow" w:eastAsiaTheme="minorHAnsi" w:hAnsi="Arial Narrow" w:cstheme="minorBidi"/>
                <w:sz w:val="18"/>
                <w:szCs w:val="18"/>
              </w:rPr>
              <w:t>No</w:t>
            </w:r>
          </w:p>
        </w:tc>
      </w:tr>
      <w:tr w:rsidR="00A516FD" w:rsidRPr="00890BAF" w14:paraId="16E108F4" w14:textId="77777777" w:rsidTr="00C30DA5">
        <w:tc>
          <w:tcPr>
            <w:tcW w:w="3856" w:type="dxa"/>
          </w:tcPr>
          <w:p w14:paraId="01E77561" w14:textId="77777777" w:rsidR="00A516FD" w:rsidRPr="00890BAF" w:rsidRDefault="00A516FD" w:rsidP="00C30DA5">
            <w:pPr>
              <w:tabs>
                <w:tab w:val="left" w:pos="284"/>
              </w:tabs>
              <w:ind w:left="284" w:hanging="284"/>
              <w:rPr>
                <w:rFonts w:ascii="Arial Narrow" w:eastAsiaTheme="minorHAnsi" w:hAnsi="Arial Narrow" w:cstheme="minorBidi"/>
                <w:sz w:val="18"/>
                <w:szCs w:val="18"/>
              </w:rPr>
            </w:pPr>
            <w:r w:rsidRPr="00890BAF">
              <w:rPr>
                <w:rFonts w:ascii="Arial Narrow" w:eastAsiaTheme="minorHAnsi" w:hAnsi="Arial Narrow" w:cstheme="minorBidi"/>
                <w:sz w:val="18"/>
                <w:szCs w:val="18"/>
              </w:rPr>
              <w:t xml:space="preserve">Intratect – Pfizer Australia P/L </w:t>
            </w:r>
          </w:p>
        </w:tc>
        <w:tc>
          <w:tcPr>
            <w:tcW w:w="1843" w:type="dxa"/>
          </w:tcPr>
          <w:p w14:paraId="278EB506" w14:textId="77777777" w:rsidR="00A516FD" w:rsidRPr="00890BAF" w:rsidRDefault="00A516FD" w:rsidP="00C30DA5">
            <w:pPr>
              <w:tabs>
                <w:tab w:val="left" w:pos="284"/>
              </w:tabs>
              <w:ind w:left="284" w:hanging="284"/>
              <w:jc w:val="center"/>
              <w:rPr>
                <w:rFonts w:ascii="Arial Narrow" w:eastAsiaTheme="minorHAnsi" w:hAnsi="Arial Narrow" w:cstheme="minorBidi"/>
                <w:sz w:val="18"/>
                <w:szCs w:val="18"/>
              </w:rPr>
            </w:pPr>
            <w:r w:rsidRPr="00890BAF">
              <w:rPr>
                <w:rFonts w:ascii="Arial Narrow" w:eastAsiaTheme="minorHAnsi" w:hAnsi="Arial Narrow" w:cstheme="minorBidi"/>
                <w:sz w:val="18"/>
                <w:szCs w:val="18"/>
              </w:rPr>
              <w:t>IV</w:t>
            </w:r>
          </w:p>
        </w:tc>
        <w:tc>
          <w:tcPr>
            <w:tcW w:w="1701" w:type="dxa"/>
            <w:shd w:val="clear" w:color="auto" w:fill="FFFFFF" w:themeFill="background1"/>
          </w:tcPr>
          <w:p w14:paraId="28C37628" w14:textId="77777777" w:rsidR="00A516FD" w:rsidRPr="00890BAF" w:rsidRDefault="00A516FD" w:rsidP="00C30DA5">
            <w:pPr>
              <w:tabs>
                <w:tab w:val="left" w:pos="284"/>
              </w:tabs>
              <w:ind w:left="284" w:hanging="284"/>
              <w:jc w:val="center"/>
              <w:rPr>
                <w:rFonts w:ascii="Arial Narrow" w:eastAsiaTheme="minorHAnsi" w:hAnsi="Arial Narrow" w:cstheme="minorBidi"/>
                <w:sz w:val="18"/>
                <w:szCs w:val="18"/>
              </w:rPr>
            </w:pPr>
            <w:r w:rsidRPr="00890BAF">
              <w:rPr>
                <w:rFonts w:ascii="Arial Narrow" w:eastAsiaTheme="minorHAnsi" w:hAnsi="Arial Narrow" w:cstheme="minorBidi"/>
                <w:sz w:val="18"/>
                <w:szCs w:val="18"/>
              </w:rPr>
              <w:t>Yes</w:t>
            </w:r>
          </w:p>
        </w:tc>
        <w:tc>
          <w:tcPr>
            <w:tcW w:w="1701" w:type="dxa"/>
          </w:tcPr>
          <w:p w14:paraId="6D98B83E" w14:textId="77777777" w:rsidR="00A516FD" w:rsidRPr="00890BAF" w:rsidRDefault="00A516FD" w:rsidP="00C30DA5">
            <w:pPr>
              <w:tabs>
                <w:tab w:val="left" w:pos="284"/>
              </w:tabs>
              <w:ind w:left="284" w:hanging="284"/>
              <w:jc w:val="center"/>
              <w:rPr>
                <w:rFonts w:ascii="Arial Narrow" w:eastAsiaTheme="minorHAnsi" w:hAnsi="Arial Narrow" w:cstheme="minorBidi"/>
                <w:sz w:val="18"/>
                <w:szCs w:val="18"/>
              </w:rPr>
            </w:pPr>
            <w:r w:rsidRPr="00890BAF">
              <w:rPr>
                <w:rFonts w:ascii="Arial Narrow" w:eastAsiaTheme="minorHAnsi" w:hAnsi="Arial Narrow" w:cstheme="minorBidi"/>
                <w:sz w:val="18"/>
                <w:szCs w:val="18"/>
              </w:rPr>
              <w:t>No</w:t>
            </w:r>
          </w:p>
        </w:tc>
      </w:tr>
      <w:tr w:rsidR="00A516FD" w:rsidRPr="00890BAF" w14:paraId="72ECA2C1" w14:textId="77777777" w:rsidTr="00C30DA5">
        <w:tc>
          <w:tcPr>
            <w:tcW w:w="3856" w:type="dxa"/>
          </w:tcPr>
          <w:p w14:paraId="522137CE" w14:textId="77777777" w:rsidR="00A516FD" w:rsidRPr="00890BAF" w:rsidRDefault="00A516FD" w:rsidP="00C30DA5">
            <w:pPr>
              <w:tabs>
                <w:tab w:val="left" w:pos="284"/>
              </w:tabs>
              <w:ind w:left="284" w:hanging="284"/>
              <w:rPr>
                <w:rFonts w:ascii="Arial Narrow" w:eastAsiaTheme="minorHAnsi" w:hAnsi="Arial Narrow" w:cstheme="minorBidi"/>
                <w:sz w:val="18"/>
                <w:szCs w:val="18"/>
              </w:rPr>
            </w:pPr>
            <w:r w:rsidRPr="00890BAF">
              <w:rPr>
                <w:rFonts w:ascii="Arial Narrow" w:eastAsiaTheme="minorHAnsi" w:hAnsi="Arial Narrow" w:cstheme="minorBidi"/>
                <w:sz w:val="18"/>
                <w:szCs w:val="18"/>
              </w:rPr>
              <w:t xml:space="preserve">Intratect 5%  – Pfizer Australia P/L </w:t>
            </w:r>
          </w:p>
        </w:tc>
        <w:tc>
          <w:tcPr>
            <w:tcW w:w="1843" w:type="dxa"/>
          </w:tcPr>
          <w:p w14:paraId="5F66B865" w14:textId="77777777" w:rsidR="00A516FD" w:rsidRPr="00890BAF" w:rsidRDefault="00A516FD" w:rsidP="00C30DA5">
            <w:pPr>
              <w:tabs>
                <w:tab w:val="left" w:pos="284"/>
              </w:tabs>
              <w:ind w:left="284" w:hanging="284"/>
              <w:jc w:val="center"/>
              <w:rPr>
                <w:rFonts w:ascii="Arial Narrow" w:eastAsiaTheme="minorHAnsi" w:hAnsi="Arial Narrow" w:cstheme="minorBidi"/>
                <w:sz w:val="18"/>
                <w:szCs w:val="18"/>
              </w:rPr>
            </w:pPr>
            <w:r w:rsidRPr="00890BAF">
              <w:rPr>
                <w:rFonts w:ascii="Arial Narrow" w:eastAsiaTheme="minorHAnsi" w:hAnsi="Arial Narrow" w:cstheme="minorBidi"/>
                <w:sz w:val="18"/>
                <w:szCs w:val="18"/>
              </w:rPr>
              <w:t>IV</w:t>
            </w:r>
          </w:p>
        </w:tc>
        <w:tc>
          <w:tcPr>
            <w:tcW w:w="1701" w:type="dxa"/>
            <w:shd w:val="clear" w:color="auto" w:fill="FFFFFF" w:themeFill="background1"/>
          </w:tcPr>
          <w:p w14:paraId="02BCDD60" w14:textId="77777777" w:rsidR="00A516FD" w:rsidRPr="00890BAF" w:rsidRDefault="00A516FD" w:rsidP="00C30DA5">
            <w:pPr>
              <w:tabs>
                <w:tab w:val="left" w:pos="284"/>
              </w:tabs>
              <w:ind w:left="284" w:hanging="284"/>
              <w:jc w:val="center"/>
              <w:rPr>
                <w:rFonts w:ascii="Arial Narrow" w:eastAsiaTheme="minorHAnsi" w:hAnsi="Arial Narrow" w:cstheme="minorBidi"/>
                <w:sz w:val="18"/>
                <w:szCs w:val="18"/>
              </w:rPr>
            </w:pPr>
            <w:r w:rsidRPr="00890BAF">
              <w:rPr>
                <w:rFonts w:ascii="Arial Narrow" w:eastAsiaTheme="minorHAnsi" w:hAnsi="Arial Narrow" w:cstheme="minorBidi"/>
                <w:sz w:val="18"/>
                <w:szCs w:val="18"/>
              </w:rPr>
              <w:t>Yes</w:t>
            </w:r>
          </w:p>
        </w:tc>
        <w:tc>
          <w:tcPr>
            <w:tcW w:w="1701" w:type="dxa"/>
          </w:tcPr>
          <w:p w14:paraId="228567D2" w14:textId="77777777" w:rsidR="00A516FD" w:rsidRPr="00890BAF" w:rsidRDefault="00A516FD" w:rsidP="00C30DA5">
            <w:pPr>
              <w:tabs>
                <w:tab w:val="left" w:pos="284"/>
              </w:tabs>
              <w:ind w:left="284" w:hanging="284"/>
              <w:jc w:val="center"/>
              <w:rPr>
                <w:rFonts w:ascii="Arial Narrow" w:eastAsiaTheme="minorHAnsi" w:hAnsi="Arial Narrow" w:cstheme="minorBidi"/>
                <w:sz w:val="18"/>
                <w:szCs w:val="18"/>
              </w:rPr>
            </w:pPr>
            <w:r w:rsidRPr="00890BAF">
              <w:rPr>
                <w:rFonts w:ascii="Arial Narrow" w:eastAsiaTheme="minorHAnsi" w:hAnsi="Arial Narrow" w:cstheme="minorBidi"/>
                <w:sz w:val="18"/>
                <w:szCs w:val="18"/>
              </w:rPr>
              <w:t>No</w:t>
            </w:r>
          </w:p>
        </w:tc>
      </w:tr>
      <w:tr w:rsidR="00A516FD" w:rsidRPr="00890BAF" w14:paraId="62B529BB" w14:textId="77777777" w:rsidTr="00C30DA5">
        <w:tc>
          <w:tcPr>
            <w:tcW w:w="3856" w:type="dxa"/>
          </w:tcPr>
          <w:p w14:paraId="7B2CB12F" w14:textId="77777777" w:rsidR="00A516FD" w:rsidRPr="00890BAF" w:rsidRDefault="00A516FD" w:rsidP="00C30DA5">
            <w:pPr>
              <w:tabs>
                <w:tab w:val="left" w:pos="284"/>
              </w:tabs>
              <w:ind w:left="284" w:hanging="284"/>
              <w:rPr>
                <w:rFonts w:ascii="Arial Narrow" w:eastAsiaTheme="minorHAnsi" w:hAnsi="Arial Narrow" w:cstheme="minorBidi"/>
                <w:sz w:val="18"/>
                <w:szCs w:val="18"/>
              </w:rPr>
            </w:pPr>
            <w:r w:rsidRPr="00890BAF">
              <w:rPr>
                <w:rFonts w:ascii="Arial Narrow" w:eastAsiaTheme="minorHAnsi" w:hAnsi="Arial Narrow" w:cstheme="minorBidi"/>
                <w:sz w:val="18"/>
                <w:szCs w:val="18"/>
              </w:rPr>
              <w:t xml:space="preserve">Kiovig – Shira Australia P/L </w:t>
            </w:r>
          </w:p>
        </w:tc>
        <w:tc>
          <w:tcPr>
            <w:tcW w:w="1843" w:type="dxa"/>
          </w:tcPr>
          <w:p w14:paraId="7C9647A4" w14:textId="77777777" w:rsidR="00A516FD" w:rsidRPr="00890BAF" w:rsidRDefault="00A516FD" w:rsidP="00C30DA5">
            <w:pPr>
              <w:tabs>
                <w:tab w:val="left" w:pos="284"/>
              </w:tabs>
              <w:ind w:left="284" w:hanging="284"/>
              <w:jc w:val="center"/>
              <w:rPr>
                <w:rFonts w:ascii="Arial Narrow" w:eastAsiaTheme="minorHAnsi" w:hAnsi="Arial Narrow" w:cstheme="minorBidi"/>
                <w:sz w:val="18"/>
                <w:szCs w:val="18"/>
              </w:rPr>
            </w:pPr>
            <w:r w:rsidRPr="00890BAF">
              <w:rPr>
                <w:rFonts w:ascii="Arial Narrow" w:eastAsiaTheme="minorHAnsi" w:hAnsi="Arial Narrow" w:cstheme="minorBidi"/>
                <w:sz w:val="18"/>
                <w:szCs w:val="18"/>
              </w:rPr>
              <w:t>IV and SC</w:t>
            </w:r>
          </w:p>
        </w:tc>
        <w:tc>
          <w:tcPr>
            <w:tcW w:w="1701" w:type="dxa"/>
            <w:shd w:val="clear" w:color="auto" w:fill="FFFFFF" w:themeFill="background1"/>
          </w:tcPr>
          <w:p w14:paraId="2C474A40" w14:textId="77777777" w:rsidR="00A516FD" w:rsidRPr="00890BAF" w:rsidRDefault="00A516FD" w:rsidP="00C30DA5">
            <w:pPr>
              <w:tabs>
                <w:tab w:val="left" w:pos="284"/>
              </w:tabs>
              <w:ind w:left="284" w:hanging="284"/>
              <w:jc w:val="center"/>
              <w:rPr>
                <w:rFonts w:ascii="Arial Narrow" w:eastAsiaTheme="minorHAnsi" w:hAnsi="Arial Narrow" w:cstheme="minorBidi"/>
                <w:sz w:val="18"/>
                <w:szCs w:val="18"/>
              </w:rPr>
            </w:pPr>
            <w:r w:rsidRPr="00890BAF">
              <w:rPr>
                <w:rFonts w:ascii="Arial Narrow" w:eastAsiaTheme="minorHAnsi" w:hAnsi="Arial Narrow" w:cstheme="minorBidi"/>
                <w:sz w:val="18"/>
                <w:szCs w:val="18"/>
              </w:rPr>
              <w:t>Yes</w:t>
            </w:r>
          </w:p>
        </w:tc>
        <w:tc>
          <w:tcPr>
            <w:tcW w:w="1701" w:type="dxa"/>
          </w:tcPr>
          <w:p w14:paraId="45F853D7" w14:textId="77777777" w:rsidR="00A516FD" w:rsidRPr="00890BAF" w:rsidRDefault="00A516FD" w:rsidP="00C30DA5">
            <w:pPr>
              <w:tabs>
                <w:tab w:val="left" w:pos="284"/>
              </w:tabs>
              <w:ind w:left="284" w:hanging="284"/>
              <w:jc w:val="center"/>
              <w:rPr>
                <w:rFonts w:ascii="Arial Narrow" w:eastAsiaTheme="minorHAnsi" w:hAnsi="Arial Narrow" w:cstheme="minorBidi"/>
                <w:sz w:val="18"/>
                <w:szCs w:val="18"/>
              </w:rPr>
            </w:pPr>
            <w:r w:rsidRPr="00890BAF">
              <w:rPr>
                <w:rFonts w:ascii="Arial Narrow" w:eastAsiaTheme="minorHAnsi" w:hAnsi="Arial Narrow" w:cstheme="minorBidi"/>
                <w:sz w:val="18"/>
                <w:szCs w:val="18"/>
              </w:rPr>
              <w:t>No</w:t>
            </w:r>
          </w:p>
        </w:tc>
      </w:tr>
      <w:tr w:rsidR="00646100" w:rsidRPr="00890BAF" w14:paraId="7AD73831" w14:textId="77777777" w:rsidTr="00C30DA5">
        <w:tc>
          <w:tcPr>
            <w:tcW w:w="3856" w:type="dxa"/>
          </w:tcPr>
          <w:p w14:paraId="6CE1F82A" w14:textId="75EEB312" w:rsidR="00646100" w:rsidRPr="00890BAF" w:rsidRDefault="00646100" w:rsidP="00C30DA5">
            <w:pPr>
              <w:tabs>
                <w:tab w:val="left" w:pos="284"/>
              </w:tabs>
              <w:ind w:left="284" w:hanging="284"/>
              <w:rPr>
                <w:rFonts w:ascii="Arial Narrow" w:eastAsiaTheme="minorHAnsi" w:hAnsi="Arial Narrow" w:cstheme="minorBidi"/>
                <w:sz w:val="18"/>
                <w:szCs w:val="18"/>
              </w:rPr>
            </w:pPr>
            <w:r>
              <w:rPr>
                <w:rFonts w:ascii="Arial Narrow" w:eastAsiaTheme="minorHAnsi" w:hAnsi="Arial Narrow" w:cstheme="minorBidi"/>
                <w:sz w:val="18"/>
                <w:szCs w:val="18"/>
              </w:rPr>
              <w:t>Octagam 10% - Octapharma</w:t>
            </w:r>
          </w:p>
        </w:tc>
        <w:tc>
          <w:tcPr>
            <w:tcW w:w="1843" w:type="dxa"/>
          </w:tcPr>
          <w:p w14:paraId="33FA5E11" w14:textId="325EE27F" w:rsidR="00646100" w:rsidRPr="00890BAF" w:rsidRDefault="00646100" w:rsidP="00C30DA5">
            <w:pPr>
              <w:tabs>
                <w:tab w:val="left" w:pos="284"/>
              </w:tabs>
              <w:ind w:left="284" w:hanging="284"/>
              <w:jc w:val="center"/>
              <w:rPr>
                <w:rFonts w:ascii="Arial Narrow" w:eastAsiaTheme="minorHAnsi" w:hAnsi="Arial Narrow" w:cstheme="minorBidi"/>
                <w:sz w:val="18"/>
                <w:szCs w:val="18"/>
              </w:rPr>
            </w:pPr>
            <w:r>
              <w:rPr>
                <w:rFonts w:ascii="Arial Narrow" w:eastAsiaTheme="minorHAnsi" w:hAnsi="Arial Narrow" w:cstheme="minorBidi"/>
                <w:sz w:val="18"/>
                <w:szCs w:val="18"/>
              </w:rPr>
              <w:t>IV</w:t>
            </w:r>
          </w:p>
        </w:tc>
        <w:tc>
          <w:tcPr>
            <w:tcW w:w="1701" w:type="dxa"/>
            <w:shd w:val="clear" w:color="auto" w:fill="FFFFFF" w:themeFill="background1"/>
          </w:tcPr>
          <w:p w14:paraId="26F780ED" w14:textId="12459A62" w:rsidR="00646100" w:rsidRPr="00890BAF" w:rsidRDefault="00646100" w:rsidP="00C30DA5">
            <w:pPr>
              <w:tabs>
                <w:tab w:val="left" w:pos="284"/>
              </w:tabs>
              <w:ind w:left="284" w:hanging="284"/>
              <w:jc w:val="center"/>
              <w:rPr>
                <w:rFonts w:ascii="Arial Narrow" w:eastAsiaTheme="minorHAnsi" w:hAnsi="Arial Narrow" w:cstheme="minorBidi"/>
                <w:sz w:val="18"/>
                <w:szCs w:val="18"/>
              </w:rPr>
            </w:pPr>
            <w:r>
              <w:rPr>
                <w:rFonts w:ascii="Arial Narrow" w:eastAsiaTheme="minorHAnsi" w:hAnsi="Arial Narrow" w:cstheme="minorBidi"/>
                <w:sz w:val="18"/>
                <w:szCs w:val="18"/>
              </w:rPr>
              <w:t>Yes</w:t>
            </w:r>
          </w:p>
        </w:tc>
        <w:tc>
          <w:tcPr>
            <w:tcW w:w="1701" w:type="dxa"/>
          </w:tcPr>
          <w:p w14:paraId="0019DA45" w14:textId="3B1833D5" w:rsidR="00646100" w:rsidRPr="00890BAF" w:rsidRDefault="00646100" w:rsidP="00C30DA5">
            <w:pPr>
              <w:tabs>
                <w:tab w:val="left" w:pos="284"/>
              </w:tabs>
              <w:ind w:left="284" w:hanging="284"/>
              <w:jc w:val="center"/>
              <w:rPr>
                <w:rFonts w:ascii="Arial Narrow" w:eastAsiaTheme="minorHAnsi" w:hAnsi="Arial Narrow" w:cstheme="minorBidi"/>
                <w:sz w:val="18"/>
                <w:szCs w:val="18"/>
              </w:rPr>
            </w:pPr>
            <w:r>
              <w:rPr>
                <w:rFonts w:ascii="Arial Narrow" w:eastAsiaTheme="minorHAnsi" w:hAnsi="Arial Narrow" w:cstheme="minorBidi"/>
                <w:sz w:val="18"/>
                <w:szCs w:val="18"/>
              </w:rPr>
              <w:t>No</w:t>
            </w:r>
          </w:p>
        </w:tc>
      </w:tr>
      <w:tr w:rsidR="00646100" w:rsidRPr="00890BAF" w14:paraId="7F7D8A2B" w14:textId="77777777" w:rsidTr="00C30DA5">
        <w:tc>
          <w:tcPr>
            <w:tcW w:w="3856" w:type="dxa"/>
          </w:tcPr>
          <w:p w14:paraId="28381B13" w14:textId="67477A06" w:rsidR="00646100" w:rsidRPr="00890BAF" w:rsidRDefault="00646100" w:rsidP="00C30DA5">
            <w:pPr>
              <w:tabs>
                <w:tab w:val="left" w:pos="284"/>
              </w:tabs>
              <w:ind w:left="284" w:hanging="284"/>
              <w:rPr>
                <w:rFonts w:ascii="Arial Narrow" w:eastAsiaTheme="minorHAnsi" w:hAnsi="Arial Narrow" w:cstheme="minorBidi"/>
                <w:sz w:val="18"/>
                <w:szCs w:val="18"/>
              </w:rPr>
            </w:pPr>
            <w:r>
              <w:rPr>
                <w:rFonts w:ascii="Arial Narrow" w:eastAsiaTheme="minorHAnsi" w:hAnsi="Arial Narrow" w:cstheme="minorBidi"/>
                <w:sz w:val="18"/>
                <w:szCs w:val="18"/>
              </w:rPr>
              <w:t>Gammanorm</w:t>
            </w:r>
            <w:r w:rsidR="0045721F">
              <w:rPr>
                <w:rFonts w:ascii="Arial Narrow" w:eastAsiaTheme="minorHAnsi" w:hAnsi="Arial Narrow" w:cstheme="minorBidi"/>
                <w:sz w:val="18"/>
                <w:szCs w:val="18"/>
              </w:rPr>
              <w:t xml:space="preserve"> - Octapharma</w:t>
            </w:r>
          </w:p>
        </w:tc>
        <w:tc>
          <w:tcPr>
            <w:tcW w:w="1843" w:type="dxa"/>
          </w:tcPr>
          <w:p w14:paraId="0B737E00" w14:textId="2E174B9A" w:rsidR="00646100" w:rsidRPr="00890BAF" w:rsidRDefault="00646100" w:rsidP="00C30DA5">
            <w:pPr>
              <w:tabs>
                <w:tab w:val="left" w:pos="284"/>
              </w:tabs>
              <w:ind w:left="284" w:hanging="284"/>
              <w:jc w:val="center"/>
              <w:rPr>
                <w:rFonts w:ascii="Arial Narrow" w:eastAsiaTheme="minorHAnsi" w:hAnsi="Arial Narrow" w:cstheme="minorBidi"/>
                <w:sz w:val="18"/>
                <w:szCs w:val="18"/>
              </w:rPr>
            </w:pPr>
            <w:r>
              <w:rPr>
                <w:rFonts w:ascii="Arial Narrow" w:eastAsiaTheme="minorHAnsi" w:hAnsi="Arial Narrow" w:cstheme="minorBidi"/>
                <w:sz w:val="18"/>
                <w:szCs w:val="18"/>
              </w:rPr>
              <w:t>SC</w:t>
            </w:r>
          </w:p>
        </w:tc>
        <w:tc>
          <w:tcPr>
            <w:tcW w:w="1701" w:type="dxa"/>
            <w:shd w:val="clear" w:color="auto" w:fill="FFFFFF" w:themeFill="background1"/>
          </w:tcPr>
          <w:p w14:paraId="68B56E29" w14:textId="2CFBCDE9" w:rsidR="00646100" w:rsidRPr="00890BAF" w:rsidRDefault="00646100" w:rsidP="00C30DA5">
            <w:pPr>
              <w:tabs>
                <w:tab w:val="left" w:pos="284"/>
              </w:tabs>
              <w:ind w:left="284" w:hanging="284"/>
              <w:jc w:val="center"/>
              <w:rPr>
                <w:rFonts w:ascii="Arial Narrow" w:eastAsiaTheme="minorHAnsi" w:hAnsi="Arial Narrow" w:cstheme="minorBidi"/>
                <w:sz w:val="18"/>
                <w:szCs w:val="18"/>
              </w:rPr>
            </w:pPr>
            <w:r>
              <w:rPr>
                <w:rFonts w:ascii="Arial Narrow" w:eastAsiaTheme="minorHAnsi" w:hAnsi="Arial Narrow" w:cstheme="minorBidi"/>
                <w:sz w:val="18"/>
                <w:szCs w:val="18"/>
              </w:rPr>
              <w:t>Yes</w:t>
            </w:r>
          </w:p>
        </w:tc>
        <w:tc>
          <w:tcPr>
            <w:tcW w:w="1701" w:type="dxa"/>
          </w:tcPr>
          <w:p w14:paraId="13500286" w14:textId="72A63FEA" w:rsidR="00646100" w:rsidRPr="00890BAF" w:rsidRDefault="00646100" w:rsidP="00C30DA5">
            <w:pPr>
              <w:tabs>
                <w:tab w:val="left" w:pos="284"/>
              </w:tabs>
              <w:ind w:left="284" w:hanging="284"/>
              <w:jc w:val="center"/>
              <w:rPr>
                <w:rFonts w:ascii="Arial Narrow" w:eastAsiaTheme="minorHAnsi" w:hAnsi="Arial Narrow" w:cstheme="minorBidi"/>
                <w:sz w:val="18"/>
                <w:szCs w:val="18"/>
              </w:rPr>
            </w:pPr>
            <w:r>
              <w:rPr>
                <w:rFonts w:ascii="Arial Narrow" w:eastAsiaTheme="minorHAnsi" w:hAnsi="Arial Narrow" w:cstheme="minorBidi"/>
                <w:sz w:val="18"/>
                <w:szCs w:val="18"/>
              </w:rPr>
              <w:t>No</w:t>
            </w:r>
          </w:p>
        </w:tc>
      </w:tr>
    </w:tbl>
    <w:p w14:paraId="5B0EE7D6" w14:textId="77777777" w:rsidR="00A516FD" w:rsidRPr="00D408DC" w:rsidRDefault="00A516FD" w:rsidP="00A516FD">
      <w:pPr>
        <w:spacing w:after="0"/>
        <w:rPr>
          <w:rFonts w:ascii="Arial Narrow" w:hAnsi="Arial Narrow"/>
          <w:sz w:val="18"/>
          <w:szCs w:val="18"/>
        </w:rPr>
      </w:pPr>
      <w:r>
        <w:rPr>
          <w:rFonts w:ascii="Arial Narrow" w:hAnsi="Arial Narrow"/>
          <w:b/>
          <w:sz w:val="18"/>
          <w:szCs w:val="18"/>
        </w:rPr>
        <w:t xml:space="preserve">Source: </w:t>
      </w:r>
      <w:r>
        <w:rPr>
          <w:rFonts w:ascii="Arial Narrow" w:hAnsi="Arial Narrow"/>
          <w:sz w:val="18"/>
          <w:szCs w:val="18"/>
        </w:rPr>
        <w:t>Table 1, page 6 of the Referral Form</w:t>
      </w:r>
    </w:p>
    <w:p w14:paraId="65E0F513" w14:textId="77777777" w:rsidR="00A516FD" w:rsidRPr="006530A8" w:rsidRDefault="00A516FD" w:rsidP="00A516FD">
      <w:pPr>
        <w:rPr>
          <w:rFonts w:ascii="Arial Narrow" w:hAnsi="Arial Narrow"/>
          <w:sz w:val="18"/>
          <w:szCs w:val="18"/>
        </w:rPr>
      </w:pPr>
      <w:r w:rsidRPr="006530A8">
        <w:rPr>
          <w:rFonts w:ascii="Arial Narrow" w:hAnsi="Arial Narrow"/>
          <w:b/>
          <w:sz w:val="18"/>
          <w:szCs w:val="18"/>
        </w:rPr>
        <w:t>Abbreviations</w:t>
      </w:r>
      <w:r w:rsidRPr="006530A8">
        <w:rPr>
          <w:rFonts w:ascii="Arial Narrow" w:hAnsi="Arial Narrow"/>
          <w:sz w:val="18"/>
          <w:szCs w:val="18"/>
        </w:rPr>
        <w:t xml:space="preserve">: </w:t>
      </w:r>
      <w:r>
        <w:rPr>
          <w:rFonts w:ascii="Arial Narrow" w:hAnsi="Arial Narrow"/>
          <w:sz w:val="18"/>
          <w:szCs w:val="18"/>
        </w:rPr>
        <w:t>IV: intravenous; NBA: National Blood Arrangement; PID: Primary Immunodeficiency Diseases; SC: Subcutaneous; TGA: Therapeutic Goods Administration</w:t>
      </w:r>
    </w:p>
    <w:p w14:paraId="0226CF2B" w14:textId="77777777" w:rsidR="00A516FD" w:rsidRDefault="00A516FD" w:rsidP="005C1782">
      <w:pPr>
        <w:pStyle w:val="Heading4"/>
      </w:pPr>
      <w:r>
        <w:t>Dosage and duration of use</w:t>
      </w:r>
    </w:p>
    <w:p w14:paraId="25E6625D" w14:textId="78A92BA8" w:rsidR="00A516FD" w:rsidRDefault="00A516FD" w:rsidP="00A516FD">
      <w:r>
        <w:t>In addition to stipulating the PID with antibody deficiency indications for which Ig use is approved, ‘</w:t>
      </w:r>
      <w:r w:rsidRPr="00627E74">
        <w:rPr>
          <w:i/>
        </w:rPr>
        <w:t>the Criteria</w:t>
      </w:r>
      <w:r>
        <w:rPr>
          <w:i/>
        </w:rPr>
        <w:t>’</w:t>
      </w:r>
      <w:r>
        <w:t xml:space="preserve"> outlines the approved dosage for each indication (</w:t>
      </w:r>
      <w:r>
        <w:fldChar w:fldCharType="begin"/>
      </w:r>
      <w:r>
        <w:instrText xml:space="preserve"> REF _Ref20914556 \h </w:instrText>
      </w:r>
      <w:r>
        <w:fldChar w:fldCharType="separate"/>
      </w:r>
      <w:r w:rsidR="008D6208">
        <w:t xml:space="preserve">Table </w:t>
      </w:r>
      <w:r w:rsidR="008D6208">
        <w:rPr>
          <w:noProof/>
        </w:rPr>
        <w:t>6</w:t>
      </w:r>
      <w:r>
        <w:fldChar w:fldCharType="end"/>
      </w:r>
      <w:r>
        <w:t>) and the review criteria for determining the duration of</w:t>
      </w:r>
      <w:r w:rsidR="000F29C6">
        <w:t xml:space="preserve"> each authorisation</w:t>
      </w:r>
      <w:r>
        <w:t>.</w:t>
      </w:r>
      <w:r>
        <w:fldChar w:fldCharType="begin"/>
      </w:r>
      <w:r>
        <w:instrText xml:space="preserve"> ADDIN EN.CITE &lt;EndNote&gt;&lt;Cite&gt;&lt;Author&gt;National Blood Authority&lt;/Author&gt;&lt;Year&gt;2018&lt;/Year&gt;&lt;RecNum&gt;1&lt;/RecNum&gt;&lt;DisplayText&gt;&lt;style face="superscript"&gt;1&lt;/style&gt;&lt;/DisplayText&gt;&lt;record&gt;&lt;rec-number&gt;1&lt;/rec-number&gt;&lt;foreign-keys&gt;&lt;key app="EN" db-id="pzpr9fpzq5dfrrefpetx2pfn5fz5e2r0vtdf" timestamp="1569200090"&gt;1&lt;/key&gt;&lt;/foreign-keys&gt;&lt;ref-type name="Web Page"&gt;12&lt;/ref-type&gt;&lt;contributors&gt;&lt;authors&gt;&lt;author&gt;National Blood Authority,&lt;/author&gt;&lt;/authors&gt;&lt;/contributors&gt;&lt;titles&gt;&lt;title&gt;Criteria for clinical use of immunoglobulin in Australia, Version 3.1&lt;/title&gt;&lt;/titles&gt;&lt;volume&gt;2019&lt;/volume&gt;&lt;number&gt;23rd September&lt;/number&gt;&lt;dates&gt;&lt;year&gt;2018&lt;/year&gt;&lt;/dates&gt;&lt;publisher&gt;National Blood Authority&lt;/publisher&gt;&lt;urls&gt;&lt;related-urls&gt;&lt;url&gt;&lt;style face="underline" font="default" size="100%"&gt;https://www.criteria.blood.gov.au/&lt;/style&gt;&lt;/url&gt;&lt;/related-urls&gt;&lt;/urls&gt;&lt;/record&gt;&lt;/Cite&gt;&lt;/EndNote&gt;</w:instrText>
      </w:r>
      <w:r>
        <w:fldChar w:fldCharType="separate"/>
      </w:r>
      <w:r w:rsidRPr="00A516FD">
        <w:rPr>
          <w:noProof/>
          <w:vertAlign w:val="superscript"/>
        </w:rPr>
        <w:t>1</w:t>
      </w:r>
      <w:r>
        <w:fldChar w:fldCharType="end"/>
      </w:r>
      <w:r>
        <w:t xml:space="preserve"> The Criteria states that the aim for each indication is to use the lowest possible dose that achieves the appropriate clinical outcome for each patient. The </w:t>
      </w:r>
      <w:r w:rsidR="00DE5712">
        <w:t>Applicant</w:t>
      </w:r>
      <w:r>
        <w:t xml:space="preserve"> notes that </w:t>
      </w:r>
      <w:r w:rsidR="000F29C6">
        <w:t xml:space="preserve">doses </w:t>
      </w:r>
      <w:r>
        <w:t>higher</w:t>
      </w:r>
      <w:r w:rsidR="000F29C6">
        <w:t xml:space="preserve"> than the parameters provided in </w:t>
      </w:r>
      <w:r w:rsidR="00526B26" w:rsidRPr="00280188">
        <w:rPr>
          <w:i/>
        </w:rPr>
        <w:t>‘</w:t>
      </w:r>
      <w:r w:rsidR="000F29C6" w:rsidRPr="00280188">
        <w:rPr>
          <w:i/>
        </w:rPr>
        <w:t>the Criteria</w:t>
      </w:r>
      <w:r w:rsidR="00526B26" w:rsidRPr="00280188">
        <w:rPr>
          <w:i/>
        </w:rPr>
        <w:t>’</w:t>
      </w:r>
      <w:r>
        <w:t xml:space="preserve"> can be accessed</w:t>
      </w:r>
      <w:r w:rsidR="00645EE8">
        <w:t>,</w:t>
      </w:r>
      <w:r>
        <w:t xml:space="preserve"> but a doctor must provide a rationale for needing it</w:t>
      </w:r>
      <w:r w:rsidR="00C73616">
        <w:t>, which may or may not be approved</w:t>
      </w:r>
      <w:r>
        <w:t xml:space="preserve"> (Referral Form, page 18). They also note that the dose may need to be adjusted for excessive infections (poor clinical response), growth or weight change, or other processes such as enteric loss or increased metabolism (Referral Form, page 18). </w:t>
      </w:r>
    </w:p>
    <w:p w14:paraId="1258570B" w14:textId="72A17AA2" w:rsidR="00A516FD" w:rsidRDefault="00A516FD" w:rsidP="00A516FD">
      <w:r>
        <w:t>As outlined in ‘</w:t>
      </w:r>
      <w:r w:rsidRPr="00124A2C">
        <w:rPr>
          <w:i/>
        </w:rPr>
        <w:t>the Criteria’</w:t>
      </w:r>
      <w:r>
        <w:t xml:space="preserve">, for each of the indications listed in </w:t>
      </w:r>
      <w:r>
        <w:fldChar w:fldCharType="begin"/>
      </w:r>
      <w:r>
        <w:instrText xml:space="preserve"> REF _Ref20914556 \h </w:instrText>
      </w:r>
      <w:r>
        <w:fldChar w:fldCharType="separate"/>
      </w:r>
      <w:r w:rsidR="008D6208">
        <w:t xml:space="preserve">Table </w:t>
      </w:r>
      <w:r w:rsidR="008D6208">
        <w:rPr>
          <w:noProof/>
        </w:rPr>
        <w:t>6</w:t>
      </w:r>
      <w:r>
        <w:fldChar w:fldCharType="end"/>
      </w:r>
      <w:r>
        <w:t>, an initial review is required by an immunologist at six months and annual reviews thereafter. Documentation of clinical effectiveness is necessary for continuation of Ig therapy.</w:t>
      </w:r>
      <w:r>
        <w:fldChar w:fldCharType="begin"/>
      </w:r>
      <w:r>
        <w:instrText xml:space="preserve"> ADDIN EN.CITE &lt;EndNote&gt;&lt;Cite&gt;&lt;Author&gt;National Blood Authority&lt;/Author&gt;&lt;Year&gt;2018&lt;/Year&gt;&lt;RecNum&gt;1&lt;/RecNum&gt;&lt;DisplayText&gt;&lt;style face="superscript"&gt;1&lt;/style&gt;&lt;/DisplayText&gt;&lt;record&gt;&lt;rec-number&gt;1&lt;/rec-number&gt;&lt;foreign-keys&gt;&lt;key app="EN" db-id="pzpr9fpzq5dfrrefpetx2pfn5fz5e2r0vtdf" timestamp="1569200090"&gt;1&lt;/key&gt;&lt;/foreign-keys&gt;&lt;ref-type name="Web Page"&gt;12&lt;/ref-type&gt;&lt;contributors&gt;&lt;authors&gt;&lt;author&gt;National Blood Authority,&lt;/author&gt;&lt;/authors&gt;&lt;/contributors&gt;&lt;titles&gt;&lt;title&gt;Criteria for clinical use of immunoglobulin in Australia, Version 3.1&lt;/title&gt;&lt;/titles&gt;&lt;volume&gt;2019&lt;/volume&gt;&lt;number&gt;23rd September&lt;/number&gt;&lt;dates&gt;&lt;year&gt;2018&lt;/year&gt;&lt;/dates&gt;&lt;publisher&gt;National Blood Authority&lt;/publisher&gt;&lt;urls&gt;&lt;related-urls&gt;&lt;url&gt;&lt;style face="underline" font="default" size="100%"&gt;https://www.criteria.blood.gov.au/&lt;/style&gt;&lt;/url&gt;&lt;/related-urls&gt;&lt;/urls&gt;&lt;/record&gt;&lt;/Cite&gt;&lt;/EndNote&gt;</w:instrText>
      </w:r>
      <w:r>
        <w:fldChar w:fldCharType="separate"/>
      </w:r>
      <w:r w:rsidRPr="00A516FD">
        <w:rPr>
          <w:noProof/>
          <w:vertAlign w:val="superscript"/>
        </w:rPr>
        <w:t>1</w:t>
      </w:r>
      <w:r>
        <w:fldChar w:fldCharType="end"/>
      </w:r>
      <w:r>
        <w:t xml:space="preserve"> For CVID, ‘</w:t>
      </w:r>
      <w:r w:rsidRPr="00124A2C">
        <w:rPr>
          <w:i/>
        </w:rPr>
        <w:t>the Criteria</w:t>
      </w:r>
      <w:r>
        <w:t>‘ stipulates that cessation of Ig therapy should be considered at least after each 12 months of treatment, whilst for transient hypogammaglobulinaemia of infancy, cessation of Ig therapy should be considered at least after 24 months of treatment.</w:t>
      </w:r>
      <w:r>
        <w:fldChar w:fldCharType="begin"/>
      </w:r>
      <w:r>
        <w:instrText xml:space="preserve"> ADDIN EN.CITE &lt;EndNote&gt;&lt;Cite&gt;&lt;Author&gt;National Blood Authority&lt;/Author&gt;&lt;Year&gt;2018&lt;/Year&gt;&lt;RecNum&gt;1&lt;/RecNum&gt;&lt;DisplayText&gt;&lt;style face="superscript"&gt;1&lt;/style&gt;&lt;/DisplayText&gt;&lt;record&gt;&lt;rec-number&gt;1&lt;/rec-number&gt;&lt;foreign-keys&gt;&lt;key app="EN" db-id="pzpr9fpzq5dfrrefpetx2pfn5fz5e2r0vtdf" timestamp="1569200090"&gt;1&lt;/key&gt;&lt;/foreign-keys&gt;&lt;ref-type name="Web Page"&gt;12&lt;/ref-type&gt;&lt;contributors&gt;&lt;authors&gt;&lt;author&gt;National Blood Authority,&lt;/author&gt;&lt;/authors&gt;&lt;/contributors&gt;&lt;titles&gt;&lt;title&gt;Criteria for clinical use of immunoglobulin in Australia, Version 3.1&lt;/title&gt;&lt;/titles&gt;&lt;volume&gt;2019&lt;/volume&gt;&lt;number&gt;23rd September&lt;/number&gt;&lt;dates&gt;&lt;year&gt;2018&lt;/year&gt;&lt;/dates&gt;&lt;publisher&gt;National Blood Authority&lt;/publisher&gt;&lt;urls&gt;&lt;related-urls&gt;&lt;url&gt;&lt;style face="underline" font="default" size="100%"&gt;https://www.criteria.blood.gov.au/&lt;/style&gt;&lt;/url&gt;&lt;/related-urls&gt;&lt;/urls&gt;&lt;/record&gt;&lt;/Cite&gt;&lt;/EndNote&gt;</w:instrText>
      </w:r>
      <w:r>
        <w:fldChar w:fldCharType="separate"/>
      </w:r>
      <w:r w:rsidRPr="00A516FD">
        <w:rPr>
          <w:noProof/>
          <w:vertAlign w:val="superscript"/>
        </w:rPr>
        <w:t>1</w:t>
      </w:r>
      <w:r>
        <w:fldChar w:fldCharType="end"/>
      </w:r>
    </w:p>
    <w:p w14:paraId="620FEF86" w14:textId="2DC946C7" w:rsidR="005D10B0" w:rsidRDefault="00A516FD" w:rsidP="00A516FD">
      <w:r>
        <w:t xml:space="preserve">The </w:t>
      </w:r>
      <w:r w:rsidR="00DE5712">
        <w:t>Applicant</w:t>
      </w:r>
      <w:r>
        <w:t xml:space="preserve"> notes that </w:t>
      </w:r>
      <w:r w:rsidR="00645EE8">
        <w:t xml:space="preserve">the </w:t>
      </w:r>
      <w:r>
        <w:t xml:space="preserve">majority of patients will have more than one authorisation; however, the average duration for </w:t>
      </w:r>
      <w:r w:rsidR="005C1782">
        <w:t>PID</w:t>
      </w:r>
      <w:r>
        <w:t xml:space="preserve"> is unknown and is likely to vary between specific conditions due to varying underlying causes (Referral Form, page 29). A clinical expert on the Ig Reference Group advised that patients may or may not respond to Ig therapy</w:t>
      </w:r>
      <w:r w:rsidR="00645EE8">
        <w:t>,</w:t>
      </w:r>
      <w:r>
        <w:t xml:space="preserve"> but confirmed that patients who do respond will be on the treatment for life as it is replacement therapy. They further stated that weaning off Ig therapy may be trialled in some paediatric patients if it is suspected that their immune system has recovered (Referral Form, page 29). </w:t>
      </w:r>
    </w:p>
    <w:p w14:paraId="1DAD1E41" w14:textId="3BEF55D3" w:rsidR="005D10B0" w:rsidRDefault="005D10B0"/>
    <w:p w14:paraId="1864E02B" w14:textId="53E663E1" w:rsidR="00A516FD" w:rsidRDefault="00A516FD" w:rsidP="00A516FD">
      <w:pPr>
        <w:pStyle w:val="Caption"/>
      </w:pPr>
      <w:bookmarkStart w:id="9" w:name="_Ref20914556"/>
      <w:r>
        <w:t xml:space="preserve">Table </w:t>
      </w:r>
      <w:r>
        <w:fldChar w:fldCharType="begin"/>
      </w:r>
      <w:r>
        <w:instrText xml:space="preserve"> SEQ Table \* ARABIC </w:instrText>
      </w:r>
      <w:r>
        <w:fldChar w:fldCharType="separate"/>
      </w:r>
      <w:r w:rsidR="008D6208">
        <w:rPr>
          <w:noProof/>
        </w:rPr>
        <w:t>6</w:t>
      </w:r>
      <w:r>
        <w:fldChar w:fldCharType="end"/>
      </w:r>
      <w:bookmarkEnd w:id="9"/>
      <w:r>
        <w:t xml:space="preserve">  </w:t>
      </w:r>
      <w:r>
        <w:tab/>
        <w:t xml:space="preserve">Approved </w:t>
      </w:r>
      <w:r w:rsidRPr="001D0BB8">
        <w:t xml:space="preserve">Ig </w:t>
      </w:r>
      <w:r>
        <w:t>dosage</w:t>
      </w:r>
      <w:r w:rsidRPr="001D0BB8">
        <w:t xml:space="preserve"> </w:t>
      </w:r>
      <w:r>
        <w:t xml:space="preserve">for </w:t>
      </w:r>
      <w:r w:rsidRPr="001D0BB8">
        <w:t>patients with PID with antibody deficiency according to the Criteria for Clinical Use of Immunoglobulin in Austral</w:t>
      </w:r>
      <w:r>
        <w:t>ia</w:t>
      </w:r>
      <w:r>
        <w:fldChar w:fldCharType="begin"/>
      </w:r>
      <w:r>
        <w:instrText xml:space="preserve"> ADDIN EN.CITE &lt;EndNote&gt;&lt;Cite&gt;&lt;Author&gt;National Blood Authority&lt;/Author&gt;&lt;Year&gt;2018&lt;/Year&gt;&lt;RecNum&gt;1&lt;/RecNum&gt;&lt;DisplayText&gt;&lt;style face="superscript"&gt;1&lt;/style&gt;&lt;/DisplayText&gt;&lt;record&gt;&lt;rec-number&gt;1&lt;/rec-number&gt;&lt;foreign-keys&gt;&lt;key app="EN" db-id="pzpr9fpzq5dfrrefpetx2pfn5fz5e2r0vtdf" timestamp="1569200090"&gt;1&lt;/key&gt;&lt;/foreign-keys&gt;&lt;ref-type name="Web Page"&gt;12&lt;/ref-type&gt;&lt;contributors&gt;&lt;authors&gt;&lt;author&gt;National Blood Authority,&lt;/author&gt;&lt;/authors&gt;&lt;/contributors&gt;&lt;titles&gt;&lt;title&gt;Criteria for clinical use of immunoglobulin in Australia, Version 3.1&lt;/title&gt;&lt;/titles&gt;&lt;volume&gt;2019&lt;/volume&gt;&lt;number&gt;23rd September&lt;/number&gt;&lt;dates&gt;&lt;year&gt;2018&lt;/year&gt;&lt;/dates&gt;&lt;publisher&gt;National Blood Authority&lt;/publisher&gt;&lt;urls&gt;&lt;related-urls&gt;&lt;url&gt;&lt;style face="underline" font="default" size="100%"&gt;https://www.criteria.blood.gov.au/&lt;/style&gt;&lt;/url&gt;&lt;/related-urls&gt;&lt;/urls&gt;&lt;/record&gt;&lt;/Cite&gt;&lt;/EndNote&gt;</w:instrText>
      </w:r>
      <w:r>
        <w:fldChar w:fldCharType="separate"/>
      </w:r>
      <w:r w:rsidRPr="00A516FD">
        <w:rPr>
          <w:noProof/>
          <w:vertAlign w:val="superscript"/>
        </w:rPr>
        <w:t>1</w:t>
      </w:r>
      <w:r>
        <w:fldChar w:fldCharType="end"/>
      </w:r>
    </w:p>
    <w:tbl>
      <w:tblPr>
        <w:tblStyle w:val="TableGrid"/>
        <w:tblW w:w="0" w:type="auto"/>
        <w:tblLook w:val="04A0" w:firstRow="1" w:lastRow="0" w:firstColumn="1" w:lastColumn="0" w:noHBand="0" w:noVBand="1"/>
        <w:tblCaption w:val="Table 6   Approved Ig dosage for patients with PID with antibody deficiency according to the Criteria for Clinical Use of Immunoglobulin in Australia"/>
        <w:tblDescription w:val="This is a table displaying the approved Ig dosages in replacement therapy in:&#10;- CVID - ESID diagnostic criteria met&#10;- possible CVID (below normal serum IgG but normal serum IgA level&#10;- transient hypogammaglobulinaemia of infancy (children aged less than 4 years)&#10;- recognised primary immunodeficiencies for which immunoglobulin replacement is universally indicated"/>
      </w:tblPr>
      <w:tblGrid>
        <w:gridCol w:w="9016"/>
      </w:tblGrid>
      <w:tr w:rsidR="00A516FD" w:rsidRPr="00BE7779" w14:paraId="0989DC96" w14:textId="77777777" w:rsidTr="005D10B0">
        <w:trPr>
          <w:tblHeader/>
        </w:trPr>
        <w:tc>
          <w:tcPr>
            <w:tcW w:w="9242" w:type="dxa"/>
            <w:shd w:val="clear" w:color="auto" w:fill="D9D9D9" w:themeFill="background1" w:themeFillShade="D9"/>
          </w:tcPr>
          <w:p w14:paraId="70F88817" w14:textId="77777777" w:rsidR="00A516FD" w:rsidRPr="00BE7779" w:rsidRDefault="00A516FD" w:rsidP="00C30DA5">
            <w:pPr>
              <w:rPr>
                <w:rFonts w:ascii="Arial Narrow" w:hAnsi="Arial Narrow"/>
                <w:b/>
                <w:sz w:val="18"/>
                <w:szCs w:val="18"/>
              </w:rPr>
            </w:pPr>
            <w:r w:rsidRPr="00BE7779">
              <w:rPr>
                <w:rFonts w:ascii="Arial Narrow" w:hAnsi="Arial Narrow"/>
                <w:b/>
                <w:sz w:val="18"/>
                <w:szCs w:val="18"/>
              </w:rPr>
              <w:t>Replacement therapy in common variable immune deficiency (CVID) -</w:t>
            </w:r>
            <w:r>
              <w:rPr>
                <w:rFonts w:ascii="Arial Narrow" w:hAnsi="Arial Narrow"/>
                <w:b/>
                <w:sz w:val="18"/>
                <w:szCs w:val="18"/>
              </w:rPr>
              <w:t xml:space="preserve"> </w:t>
            </w:r>
            <w:r w:rsidRPr="00BE7779">
              <w:rPr>
                <w:rFonts w:ascii="Arial Narrow" w:hAnsi="Arial Narrow"/>
                <w:b/>
                <w:sz w:val="18"/>
                <w:szCs w:val="18"/>
              </w:rPr>
              <w:t>ESID diagnostic criteria met</w:t>
            </w:r>
          </w:p>
        </w:tc>
      </w:tr>
      <w:tr w:rsidR="00A516FD" w:rsidRPr="00BE7779" w14:paraId="166BCB57" w14:textId="77777777" w:rsidTr="00C30DA5">
        <w:tc>
          <w:tcPr>
            <w:tcW w:w="9242" w:type="dxa"/>
            <w:tcBorders>
              <w:bottom w:val="single" w:sz="4" w:space="0" w:color="auto"/>
            </w:tcBorders>
          </w:tcPr>
          <w:p w14:paraId="08E00E48" w14:textId="77777777" w:rsidR="00A516FD" w:rsidRPr="002F6CC5" w:rsidRDefault="00A516FD" w:rsidP="00A516FD">
            <w:pPr>
              <w:pStyle w:val="ListParagraph"/>
              <w:numPr>
                <w:ilvl w:val="0"/>
                <w:numId w:val="39"/>
              </w:numPr>
              <w:rPr>
                <w:rFonts w:ascii="Arial Narrow" w:hAnsi="Arial Narrow"/>
                <w:sz w:val="18"/>
                <w:szCs w:val="18"/>
              </w:rPr>
            </w:pPr>
            <w:r w:rsidRPr="002F6CC5">
              <w:rPr>
                <w:rFonts w:ascii="Arial Narrow" w:hAnsi="Arial Narrow"/>
                <w:b/>
                <w:sz w:val="18"/>
                <w:szCs w:val="18"/>
              </w:rPr>
              <w:t>Loading Dose</w:t>
            </w:r>
            <w:r w:rsidRPr="002F6CC5">
              <w:rPr>
                <w:rFonts w:ascii="Arial Narrow" w:hAnsi="Arial Narrow"/>
                <w:sz w:val="18"/>
                <w:szCs w:val="18"/>
              </w:rPr>
              <w:t xml:space="preserve"> - One loading dose of 0.4 g/kg in the first month of therapy (in addition to the maintenance dose) is permitted if the serum IgG level is &lt;4 g/L. </w:t>
            </w:r>
          </w:p>
          <w:p w14:paraId="1690A4F1" w14:textId="77777777" w:rsidR="00A516FD" w:rsidRPr="002F6CC5" w:rsidRDefault="00A516FD" w:rsidP="00A516FD">
            <w:pPr>
              <w:pStyle w:val="ListParagraph"/>
              <w:numPr>
                <w:ilvl w:val="0"/>
                <w:numId w:val="39"/>
              </w:numPr>
              <w:rPr>
                <w:rFonts w:ascii="Arial Narrow" w:hAnsi="Arial Narrow"/>
                <w:sz w:val="18"/>
                <w:szCs w:val="18"/>
              </w:rPr>
            </w:pPr>
            <w:r w:rsidRPr="002F6CC5">
              <w:rPr>
                <w:rFonts w:ascii="Arial Narrow" w:hAnsi="Arial Narrow"/>
                <w:b/>
                <w:sz w:val="18"/>
                <w:szCs w:val="18"/>
              </w:rPr>
              <w:t>Disseminated Enterovirus dose</w:t>
            </w:r>
            <w:r w:rsidRPr="002F6CC5">
              <w:rPr>
                <w:rFonts w:ascii="Arial Narrow" w:hAnsi="Arial Narrow"/>
                <w:sz w:val="18"/>
                <w:szCs w:val="18"/>
              </w:rPr>
              <w:t xml:space="preserve"> - One dose of 2g/kg at any stage is permitted (in addition to the maintenance dose) in the management of disseminated enterovirus infection. </w:t>
            </w:r>
          </w:p>
          <w:p w14:paraId="461481A6" w14:textId="3D46888B" w:rsidR="00A516FD" w:rsidRPr="002F6CC5" w:rsidRDefault="00A516FD" w:rsidP="00A516FD">
            <w:pPr>
              <w:pStyle w:val="ListParagraph"/>
              <w:numPr>
                <w:ilvl w:val="0"/>
                <w:numId w:val="39"/>
              </w:numPr>
              <w:rPr>
                <w:rFonts w:ascii="Arial Narrow" w:hAnsi="Arial Narrow"/>
                <w:sz w:val="18"/>
                <w:szCs w:val="18"/>
              </w:rPr>
            </w:pPr>
            <w:r w:rsidRPr="002F6CC5">
              <w:rPr>
                <w:rFonts w:ascii="Arial Narrow" w:hAnsi="Arial Narrow"/>
                <w:b/>
                <w:sz w:val="18"/>
                <w:szCs w:val="18"/>
              </w:rPr>
              <w:t>Maintenance Dose</w:t>
            </w:r>
            <w:r w:rsidRPr="002F6CC5">
              <w:rPr>
                <w:rFonts w:ascii="Arial Narrow" w:hAnsi="Arial Narrow"/>
                <w:sz w:val="18"/>
                <w:szCs w:val="18"/>
              </w:rPr>
              <w:t xml:space="preserve"> - 0.4</w:t>
            </w:r>
            <w:r w:rsidR="0099544E">
              <w:rPr>
                <w:rFonts w:ascii="Arial Narrow" w:hAnsi="Arial Narrow"/>
                <w:sz w:val="18"/>
                <w:szCs w:val="18"/>
              </w:rPr>
              <w:t>-0.6</w:t>
            </w:r>
            <w:r w:rsidRPr="002F6CC5">
              <w:rPr>
                <w:rFonts w:ascii="Arial Narrow" w:hAnsi="Arial Narrow"/>
                <w:sz w:val="18"/>
                <w:szCs w:val="18"/>
              </w:rPr>
              <w:t xml:space="preserve"> g/kg every four weeks</w:t>
            </w:r>
            <w:r w:rsidR="0099544E">
              <w:rPr>
                <w:rFonts w:ascii="Arial Narrow" w:hAnsi="Arial Narrow"/>
                <w:sz w:val="18"/>
                <w:szCs w:val="18"/>
              </w:rPr>
              <w:t xml:space="preserve"> (IVIg) or 0.1-0.15 g/kg</w:t>
            </w:r>
            <w:r w:rsidR="000B4ABD">
              <w:rPr>
                <w:rFonts w:ascii="Arial Narrow" w:hAnsi="Arial Narrow"/>
                <w:sz w:val="18"/>
                <w:szCs w:val="18"/>
              </w:rPr>
              <w:t xml:space="preserve"> every week (SCIg), </w:t>
            </w:r>
            <w:r w:rsidRPr="002F6CC5">
              <w:rPr>
                <w:rFonts w:ascii="Arial Narrow" w:hAnsi="Arial Narrow"/>
                <w:sz w:val="18"/>
                <w:szCs w:val="18"/>
              </w:rPr>
              <w:t>or more frequently, to achieve IgG trough level of at least the lower limit of the age-specific serum IgG reference range. More frequent dosing to achieve IgG trough level of up to 9g/L is permitted if chronic suppurative lung disease is not adequately controlled at an IgG trough level at the lower limit of the age-specific serum IgG reference range. A total dose of up to 1g/kg may be given over any four</w:t>
            </w:r>
            <w:r>
              <w:rPr>
                <w:rFonts w:ascii="Arial Narrow" w:hAnsi="Arial Narrow"/>
                <w:sz w:val="18"/>
                <w:szCs w:val="18"/>
              </w:rPr>
              <w:t>-</w:t>
            </w:r>
            <w:r w:rsidRPr="002F6CC5">
              <w:rPr>
                <w:rFonts w:ascii="Arial Narrow" w:hAnsi="Arial Narrow"/>
                <w:sz w:val="18"/>
                <w:szCs w:val="18"/>
              </w:rPr>
              <w:t xml:space="preserve">week period. </w:t>
            </w:r>
          </w:p>
          <w:p w14:paraId="28255A32" w14:textId="2029B43B" w:rsidR="00A516FD" w:rsidRPr="002F6CC5" w:rsidRDefault="00A516FD" w:rsidP="00C30DA5">
            <w:pPr>
              <w:rPr>
                <w:rFonts w:ascii="Arial Narrow" w:hAnsi="Arial Narrow"/>
                <w:sz w:val="18"/>
                <w:szCs w:val="18"/>
              </w:rPr>
            </w:pPr>
          </w:p>
          <w:p w14:paraId="3C01F985" w14:textId="77777777" w:rsidR="00A516FD" w:rsidRPr="002F6CC5" w:rsidRDefault="00A516FD" w:rsidP="00C30DA5">
            <w:pPr>
              <w:rPr>
                <w:rFonts w:ascii="Arial Narrow" w:hAnsi="Arial Narrow"/>
                <w:sz w:val="18"/>
                <w:szCs w:val="18"/>
              </w:rPr>
            </w:pPr>
            <w:r w:rsidRPr="002F6CC5">
              <w:rPr>
                <w:rFonts w:ascii="Arial Narrow" w:hAnsi="Arial Narrow"/>
                <w:sz w:val="18"/>
                <w:szCs w:val="18"/>
              </w:rPr>
              <w:t>The aim should be to use the lowest dose possible that achieves the appropriate clinical outcome for each patient.</w:t>
            </w:r>
          </w:p>
          <w:p w14:paraId="32CE367D" w14:textId="77777777" w:rsidR="00A516FD" w:rsidRPr="002F6CC5" w:rsidRDefault="00A516FD" w:rsidP="00C30DA5">
            <w:pPr>
              <w:rPr>
                <w:rFonts w:ascii="Arial Narrow" w:hAnsi="Arial Narrow"/>
                <w:sz w:val="18"/>
                <w:szCs w:val="18"/>
              </w:rPr>
            </w:pPr>
          </w:p>
          <w:p w14:paraId="2C0D24B7" w14:textId="77777777" w:rsidR="00A516FD" w:rsidRDefault="00A516FD" w:rsidP="00C30DA5">
            <w:pPr>
              <w:rPr>
                <w:rFonts w:ascii="Arial Narrow" w:hAnsi="Arial Narrow"/>
                <w:sz w:val="18"/>
                <w:szCs w:val="18"/>
              </w:rPr>
            </w:pPr>
            <w:r w:rsidRPr="002F6CC5">
              <w:rPr>
                <w:rFonts w:ascii="Arial Narrow" w:hAnsi="Arial Narrow"/>
                <w:sz w:val="18"/>
                <w:szCs w:val="18"/>
              </w:rPr>
              <w:t>Refer to the current product information sheet for further information on dose, administration and contraindications.</w:t>
            </w:r>
          </w:p>
          <w:p w14:paraId="0F464904" w14:textId="77777777" w:rsidR="00A516FD" w:rsidRPr="00BE7779" w:rsidRDefault="00A516FD" w:rsidP="00C30DA5">
            <w:pPr>
              <w:rPr>
                <w:rFonts w:ascii="Arial Narrow" w:hAnsi="Arial Narrow"/>
                <w:sz w:val="18"/>
                <w:szCs w:val="18"/>
              </w:rPr>
            </w:pPr>
          </w:p>
        </w:tc>
      </w:tr>
      <w:tr w:rsidR="00A516FD" w:rsidRPr="00BE7779" w14:paraId="68D6B05C" w14:textId="77777777" w:rsidTr="00C30DA5">
        <w:tc>
          <w:tcPr>
            <w:tcW w:w="9242" w:type="dxa"/>
            <w:shd w:val="clear" w:color="auto" w:fill="D9D9D9" w:themeFill="background1" w:themeFillShade="D9"/>
          </w:tcPr>
          <w:p w14:paraId="40647484" w14:textId="77777777" w:rsidR="00A516FD" w:rsidRPr="002B7ED2" w:rsidRDefault="00A516FD" w:rsidP="00C30DA5">
            <w:pPr>
              <w:rPr>
                <w:rFonts w:ascii="Arial Narrow" w:hAnsi="Arial Narrow"/>
                <w:b/>
                <w:sz w:val="18"/>
                <w:szCs w:val="18"/>
              </w:rPr>
            </w:pPr>
            <w:r w:rsidRPr="002B7ED2">
              <w:rPr>
                <w:rFonts w:ascii="Arial Narrow" w:hAnsi="Arial Narrow"/>
                <w:b/>
                <w:sz w:val="18"/>
                <w:szCs w:val="18"/>
              </w:rPr>
              <w:t>Replacement therapy in possible common variable immune deficiency (CVID)</w:t>
            </w:r>
            <w:r>
              <w:rPr>
                <w:rFonts w:ascii="Arial Narrow" w:hAnsi="Arial Narrow"/>
                <w:b/>
                <w:sz w:val="18"/>
                <w:szCs w:val="18"/>
              </w:rPr>
              <w:t xml:space="preserve"> – (below normal serum IgG but normal serum IgA level)</w:t>
            </w:r>
          </w:p>
        </w:tc>
      </w:tr>
      <w:tr w:rsidR="00A516FD" w:rsidRPr="00BE7779" w14:paraId="5B0D125B" w14:textId="77777777" w:rsidTr="00C30DA5">
        <w:tc>
          <w:tcPr>
            <w:tcW w:w="9242" w:type="dxa"/>
            <w:tcBorders>
              <w:bottom w:val="single" w:sz="4" w:space="0" w:color="auto"/>
            </w:tcBorders>
          </w:tcPr>
          <w:p w14:paraId="0F38B369" w14:textId="77777777" w:rsidR="00A516FD" w:rsidRPr="002F6CC5" w:rsidRDefault="00A516FD" w:rsidP="00A516FD">
            <w:pPr>
              <w:pStyle w:val="ListParagraph"/>
              <w:numPr>
                <w:ilvl w:val="0"/>
                <w:numId w:val="40"/>
              </w:numPr>
              <w:rPr>
                <w:rFonts w:ascii="Arial Narrow" w:hAnsi="Arial Narrow"/>
                <w:sz w:val="18"/>
                <w:szCs w:val="18"/>
              </w:rPr>
            </w:pPr>
            <w:r w:rsidRPr="002F6CC5">
              <w:rPr>
                <w:rFonts w:ascii="Arial Narrow" w:hAnsi="Arial Narrow"/>
                <w:b/>
                <w:sz w:val="18"/>
                <w:szCs w:val="18"/>
              </w:rPr>
              <w:t>Loading Dose</w:t>
            </w:r>
            <w:r w:rsidRPr="002F6CC5">
              <w:rPr>
                <w:rFonts w:ascii="Arial Narrow" w:hAnsi="Arial Narrow"/>
                <w:sz w:val="18"/>
                <w:szCs w:val="18"/>
              </w:rPr>
              <w:t xml:space="preserve"> - One loading dose of 0.4 g/kg in the first month of therapy (in addition to the maintenance dose) is permitted if the serum IgG level is &lt;4 g/L. </w:t>
            </w:r>
          </w:p>
          <w:p w14:paraId="0D476B89" w14:textId="77777777" w:rsidR="00A516FD" w:rsidRPr="002F6CC5" w:rsidRDefault="00A516FD" w:rsidP="00A516FD">
            <w:pPr>
              <w:pStyle w:val="ListParagraph"/>
              <w:numPr>
                <w:ilvl w:val="0"/>
                <w:numId w:val="40"/>
              </w:numPr>
              <w:rPr>
                <w:rFonts w:ascii="Arial Narrow" w:hAnsi="Arial Narrow"/>
                <w:sz w:val="18"/>
                <w:szCs w:val="18"/>
              </w:rPr>
            </w:pPr>
            <w:r w:rsidRPr="002F6CC5">
              <w:rPr>
                <w:rFonts w:ascii="Arial Narrow" w:hAnsi="Arial Narrow"/>
                <w:b/>
                <w:sz w:val="18"/>
                <w:szCs w:val="18"/>
              </w:rPr>
              <w:t>Dissemination Enterovirus Dose</w:t>
            </w:r>
            <w:r w:rsidRPr="002F6CC5">
              <w:rPr>
                <w:rFonts w:ascii="Arial Narrow" w:hAnsi="Arial Narrow"/>
                <w:sz w:val="18"/>
                <w:szCs w:val="18"/>
              </w:rPr>
              <w:t xml:space="preserve"> - One dose of 2 g/kg at any stage is permitted (in addition to the maintenance dose) in the management of disseminated enterovirus infection. </w:t>
            </w:r>
          </w:p>
          <w:p w14:paraId="07F51694" w14:textId="2428915B" w:rsidR="00A516FD" w:rsidRPr="002F6CC5" w:rsidRDefault="00A516FD" w:rsidP="00A516FD">
            <w:pPr>
              <w:pStyle w:val="ListParagraph"/>
              <w:numPr>
                <w:ilvl w:val="0"/>
                <w:numId w:val="40"/>
              </w:numPr>
              <w:rPr>
                <w:rFonts w:ascii="Arial Narrow" w:hAnsi="Arial Narrow"/>
                <w:sz w:val="18"/>
                <w:szCs w:val="18"/>
              </w:rPr>
            </w:pPr>
            <w:r w:rsidRPr="002F6CC5">
              <w:rPr>
                <w:rFonts w:ascii="Arial Narrow" w:hAnsi="Arial Narrow"/>
                <w:b/>
                <w:sz w:val="18"/>
                <w:szCs w:val="18"/>
              </w:rPr>
              <w:t>Maintenance Dose</w:t>
            </w:r>
            <w:r w:rsidRPr="002F6CC5">
              <w:rPr>
                <w:rFonts w:ascii="Arial Narrow" w:hAnsi="Arial Narrow"/>
                <w:sz w:val="18"/>
                <w:szCs w:val="18"/>
              </w:rPr>
              <w:t xml:space="preserve"> - 0.4</w:t>
            </w:r>
            <w:r w:rsidR="0099544E">
              <w:rPr>
                <w:rFonts w:ascii="Arial Narrow" w:hAnsi="Arial Narrow"/>
                <w:sz w:val="18"/>
                <w:szCs w:val="18"/>
              </w:rPr>
              <w:t>-0.6</w:t>
            </w:r>
            <w:r w:rsidRPr="002F6CC5">
              <w:rPr>
                <w:rFonts w:ascii="Arial Narrow" w:hAnsi="Arial Narrow"/>
                <w:sz w:val="18"/>
                <w:szCs w:val="18"/>
              </w:rPr>
              <w:t xml:space="preserve"> g/kg every four weeks</w:t>
            </w:r>
            <w:r w:rsidR="000B4ABD">
              <w:rPr>
                <w:rFonts w:ascii="Arial Narrow" w:hAnsi="Arial Narrow"/>
                <w:sz w:val="18"/>
                <w:szCs w:val="18"/>
              </w:rPr>
              <w:t xml:space="preserve"> (IVIg)</w:t>
            </w:r>
            <w:r w:rsidRPr="002F6CC5">
              <w:rPr>
                <w:rFonts w:ascii="Arial Narrow" w:hAnsi="Arial Narrow"/>
                <w:sz w:val="18"/>
                <w:szCs w:val="18"/>
              </w:rPr>
              <w:t xml:space="preserve"> </w:t>
            </w:r>
            <w:r w:rsidR="000B4ABD">
              <w:rPr>
                <w:rFonts w:ascii="Arial Narrow" w:hAnsi="Arial Narrow"/>
                <w:sz w:val="18"/>
                <w:szCs w:val="18"/>
              </w:rPr>
              <w:t xml:space="preserve">or 0.1-0.15 g/kg every week (SCIg), </w:t>
            </w:r>
            <w:r w:rsidRPr="002F6CC5">
              <w:rPr>
                <w:rFonts w:ascii="Arial Narrow" w:hAnsi="Arial Narrow"/>
                <w:sz w:val="18"/>
                <w:szCs w:val="18"/>
              </w:rPr>
              <w:t>or more frequently, to achieve IgG trough level of at least the lower limit of the age-specific serum IgG reference range. More frequent dosing to achieve IgG trough level of up to 9 g/L is permitted if chronic suppurative lung disease is not adequately controlled at an IgG trough level at the lower limit of the age-specific serum IgG reference range. A total dose of up to 1 g/kg may be given over any four</w:t>
            </w:r>
            <w:r>
              <w:rPr>
                <w:rFonts w:ascii="Arial Narrow" w:hAnsi="Arial Narrow"/>
                <w:sz w:val="18"/>
                <w:szCs w:val="18"/>
              </w:rPr>
              <w:t>-</w:t>
            </w:r>
            <w:r w:rsidRPr="002F6CC5">
              <w:rPr>
                <w:rFonts w:ascii="Arial Narrow" w:hAnsi="Arial Narrow"/>
                <w:sz w:val="18"/>
                <w:szCs w:val="18"/>
              </w:rPr>
              <w:t xml:space="preserve">week period. </w:t>
            </w:r>
          </w:p>
          <w:p w14:paraId="6EC99CE4" w14:textId="5CC44028" w:rsidR="00A516FD" w:rsidRPr="002F6CC5" w:rsidRDefault="00A516FD" w:rsidP="00C30DA5">
            <w:pPr>
              <w:rPr>
                <w:rFonts w:ascii="Arial Narrow" w:hAnsi="Arial Narrow"/>
                <w:sz w:val="18"/>
                <w:szCs w:val="18"/>
              </w:rPr>
            </w:pPr>
          </w:p>
          <w:p w14:paraId="4794DC0D" w14:textId="77777777" w:rsidR="00A516FD" w:rsidRPr="002F6CC5" w:rsidRDefault="00A516FD" w:rsidP="00C30DA5">
            <w:pPr>
              <w:rPr>
                <w:rFonts w:ascii="Arial Narrow" w:hAnsi="Arial Narrow"/>
                <w:sz w:val="18"/>
                <w:szCs w:val="18"/>
              </w:rPr>
            </w:pPr>
            <w:r w:rsidRPr="002F6CC5">
              <w:rPr>
                <w:rFonts w:ascii="Arial Narrow" w:hAnsi="Arial Narrow"/>
                <w:sz w:val="18"/>
                <w:szCs w:val="18"/>
              </w:rPr>
              <w:t>The aim should be to use the lowest dose possible that achieves the appropriate clinical outcome for each patient.</w:t>
            </w:r>
          </w:p>
          <w:p w14:paraId="34CAB710" w14:textId="77777777" w:rsidR="00A516FD" w:rsidRPr="002F6CC5" w:rsidRDefault="00A516FD" w:rsidP="00C30DA5">
            <w:pPr>
              <w:rPr>
                <w:rFonts w:ascii="Arial Narrow" w:hAnsi="Arial Narrow"/>
                <w:sz w:val="18"/>
                <w:szCs w:val="18"/>
              </w:rPr>
            </w:pPr>
          </w:p>
          <w:p w14:paraId="5FDDC092" w14:textId="77777777" w:rsidR="00A516FD" w:rsidRDefault="00A516FD" w:rsidP="00C30DA5">
            <w:pPr>
              <w:rPr>
                <w:rFonts w:ascii="Arial Narrow" w:hAnsi="Arial Narrow"/>
                <w:sz w:val="18"/>
                <w:szCs w:val="18"/>
              </w:rPr>
            </w:pPr>
            <w:r w:rsidRPr="002F6CC5">
              <w:rPr>
                <w:rFonts w:ascii="Arial Narrow" w:hAnsi="Arial Narrow"/>
                <w:sz w:val="18"/>
                <w:szCs w:val="18"/>
              </w:rPr>
              <w:t>Refer to the current product information sheet for further information on dose, administration and contraindications.</w:t>
            </w:r>
          </w:p>
          <w:p w14:paraId="5931801F" w14:textId="77777777" w:rsidR="00A516FD" w:rsidRPr="00BE7779" w:rsidRDefault="00A516FD" w:rsidP="00C30DA5">
            <w:pPr>
              <w:rPr>
                <w:rFonts w:ascii="Arial Narrow" w:hAnsi="Arial Narrow"/>
                <w:sz w:val="18"/>
                <w:szCs w:val="18"/>
              </w:rPr>
            </w:pPr>
          </w:p>
        </w:tc>
      </w:tr>
      <w:tr w:rsidR="00A516FD" w:rsidRPr="00BE7779" w14:paraId="7675582F" w14:textId="77777777" w:rsidTr="00C30DA5">
        <w:tc>
          <w:tcPr>
            <w:tcW w:w="9242" w:type="dxa"/>
            <w:shd w:val="clear" w:color="auto" w:fill="D9D9D9" w:themeFill="background1" w:themeFillShade="D9"/>
          </w:tcPr>
          <w:p w14:paraId="1F8618E2" w14:textId="77777777" w:rsidR="00A516FD" w:rsidRPr="008D04EA" w:rsidRDefault="00A516FD" w:rsidP="00C30DA5">
            <w:pPr>
              <w:rPr>
                <w:rFonts w:ascii="Arial Narrow" w:hAnsi="Arial Narrow"/>
                <w:b/>
                <w:sz w:val="18"/>
                <w:szCs w:val="18"/>
              </w:rPr>
            </w:pPr>
            <w:r w:rsidRPr="008D04EA">
              <w:rPr>
                <w:rFonts w:ascii="Arial Narrow" w:hAnsi="Arial Narrow"/>
                <w:b/>
                <w:sz w:val="18"/>
                <w:szCs w:val="18"/>
              </w:rPr>
              <w:t>Replacement therapy in transient hypogammaglobulinaemia of infancy (children aged less than 4 years)</w:t>
            </w:r>
          </w:p>
        </w:tc>
      </w:tr>
      <w:tr w:rsidR="00A516FD" w:rsidRPr="00BE7779" w14:paraId="10EB8F93" w14:textId="77777777" w:rsidTr="00C30DA5">
        <w:tc>
          <w:tcPr>
            <w:tcW w:w="9242" w:type="dxa"/>
            <w:tcBorders>
              <w:bottom w:val="single" w:sz="4" w:space="0" w:color="auto"/>
            </w:tcBorders>
          </w:tcPr>
          <w:p w14:paraId="0EC50B39" w14:textId="77777777" w:rsidR="00A516FD" w:rsidRPr="002F6CC5" w:rsidRDefault="00A516FD" w:rsidP="00A516FD">
            <w:pPr>
              <w:pStyle w:val="ListParagraph"/>
              <w:numPr>
                <w:ilvl w:val="0"/>
                <w:numId w:val="41"/>
              </w:numPr>
              <w:rPr>
                <w:rFonts w:ascii="Arial Narrow" w:hAnsi="Arial Narrow"/>
                <w:sz w:val="18"/>
                <w:szCs w:val="18"/>
              </w:rPr>
            </w:pPr>
            <w:r w:rsidRPr="002F6CC5">
              <w:rPr>
                <w:rFonts w:ascii="Arial Narrow" w:hAnsi="Arial Narrow"/>
                <w:b/>
                <w:sz w:val="18"/>
                <w:szCs w:val="18"/>
              </w:rPr>
              <w:t>Loading Dose</w:t>
            </w:r>
            <w:r w:rsidRPr="002F6CC5">
              <w:rPr>
                <w:rFonts w:ascii="Arial Narrow" w:hAnsi="Arial Narrow"/>
                <w:sz w:val="18"/>
                <w:szCs w:val="18"/>
              </w:rPr>
              <w:t xml:space="preserve"> - One loading dose of 0.4 g/kg in the first month of therapy (in addition to the maintenance dose) is permitted if the serum IgG level is &lt;4 g/L. </w:t>
            </w:r>
          </w:p>
          <w:p w14:paraId="384C3ED5" w14:textId="23B4BAF5" w:rsidR="00A516FD" w:rsidRPr="002F6CC5" w:rsidRDefault="00A516FD" w:rsidP="00A516FD">
            <w:pPr>
              <w:pStyle w:val="ListParagraph"/>
              <w:numPr>
                <w:ilvl w:val="0"/>
                <w:numId w:val="41"/>
              </w:numPr>
              <w:rPr>
                <w:rFonts w:ascii="Arial Narrow" w:hAnsi="Arial Narrow"/>
                <w:sz w:val="18"/>
                <w:szCs w:val="18"/>
              </w:rPr>
            </w:pPr>
            <w:r w:rsidRPr="002F6CC5">
              <w:rPr>
                <w:rFonts w:ascii="Arial Narrow" w:hAnsi="Arial Narrow"/>
                <w:b/>
                <w:sz w:val="18"/>
                <w:szCs w:val="18"/>
              </w:rPr>
              <w:t>Maintenance Dose</w:t>
            </w:r>
            <w:r w:rsidRPr="002F6CC5">
              <w:rPr>
                <w:rFonts w:ascii="Arial Narrow" w:hAnsi="Arial Narrow"/>
                <w:sz w:val="18"/>
                <w:szCs w:val="18"/>
              </w:rPr>
              <w:t xml:space="preserve"> - </w:t>
            </w:r>
            <w:r>
              <w:rPr>
                <w:rFonts w:ascii="Arial Narrow" w:hAnsi="Arial Narrow"/>
                <w:sz w:val="18"/>
                <w:szCs w:val="18"/>
              </w:rPr>
              <w:t>0</w:t>
            </w:r>
            <w:r w:rsidRPr="002F6CC5">
              <w:rPr>
                <w:rFonts w:ascii="Arial Narrow" w:hAnsi="Arial Narrow"/>
                <w:sz w:val="18"/>
                <w:szCs w:val="18"/>
              </w:rPr>
              <w:t>.4</w:t>
            </w:r>
            <w:r w:rsidR="0099544E">
              <w:rPr>
                <w:rFonts w:ascii="Arial Narrow" w:hAnsi="Arial Narrow"/>
                <w:sz w:val="18"/>
                <w:szCs w:val="18"/>
              </w:rPr>
              <w:t>-0.6</w:t>
            </w:r>
            <w:r w:rsidRPr="002F6CC5">
              <w:rPr>
                <w:rFonts w:ascii="Arial Narrow" w:hAnsi="Arial Narrow"/>
                <w:sz w:val="18"/>
                <w:szCs w:val="18"/>
              </w:rPr>
              <w:t xml:space="preserve"> g/kg every four weeks </w:t>
            </w:r>
            <w:r w:rsidR="000B4ABD">
              <w:rPr>
                <w:rFonts w:ascii="Arial Narrow" w:hAnsi="Arial Narrow"/>
                <w:sz w:val="18"/>
                <w:szCs w:val="18"/>
              </w:rPr>
              <w:t>(IVIg)</w:t>
            </w:r>
            <w:r w:rsidR="000B4ABD" w:rsidRPr="002F6CC5">
              <w:rPr>
                <w:rFonts w:ascii="Arial Narrow" w:hAnsi="Arial Narrow"/>
                <w:sz w:val="18"/>
                <w:szCs w:val="18"/>
              </w:rPr>
              <w:t xml:space="preserve"> </w:t>
            </w:r>
            <w:r w:rsidR="000B4ABD">
              <w:rPr>
                <w:rFonts w:ascii="Arial Narrow" w:hAnsi="Arial Narrow"/>
                <w:sz w:val="18"/>
                <w:szCs w:val="18"/>
              </w:rPr>
              <w:t xml:space="preserve">or 0.1-0.15 g/kg every week (SCIg), </w:t>
            </w:r>
            <w:r w:rsidRPr="002F6CC5">
              <w:rPr>
                <w:rFonts w:ascii="Arial Narrow" w:hAnsi="Arial Narrow"/>
                <w:sz w:val="18"/>
                <w:szCs w:val="18"/>
              </w:rPr>
              <w:t xml:space="preserve">or more frequently, to achieve IgG trough level of at least the lower limit of the age-specific serum IgG reference range. More frequent dosing to achieve IgG trough level of up to 9 g/L is permitted if chronic suppurative lung disease is not adequately controlled at an IgG trough level at the lower limit of the age-specific serum IgG reference range. A total dose of up to 1 g/kg may be given over any four-week period. </w:t>
            </w:r>
          </w:p>
          <w:p w14:paraId="69C309FA" w14:textId="517D955A" w:rsidR="00A516FD" w:rsidRPr="002F6CC5" w:rsidRDefault="00A516FD" w:rsidP="00C30DA5">
            <w:pPr>
              <w:rPr>
                <w:rFonts w:ascii="Arial Narrow" w:hAnsi="Arial Narrow"/>
                <w:sz w:val="18"/>
                <w:szCs w:val="18"/>
              </w:rPr>
            </w:pPr>
          </w:p>
          <w:p w14:paraId="7A62AD2F" w14:textId="77777777" w:rsidR="00A516FD" w:rsidRPr="002F6CC5" w:rsidRDefault="00A516FD" w:rsidP="00C30DA5">
            <w:pPr>
              <w:rPr>
                <w:rFonts w:ascii="Arial Narrow" w:hAnsi="Arial Narrow"/>
                <w:sz w:val="18"/>
                <w:szCs w:val="18"/>
              </w:rPr>
            </w:pPr>
            <w:r w:rsidRPr="002F6CC5">
              <w:rPr>
                <w:rFonts w:ascii="Arial Narrow" w:hAnsi="Arial Narrow"/>
                <w:sz w:val="18"/>
                <w:szCs w:val="18"/>
              </w:rPr>
              <w:t>The aim should be to use the lowest dose possible that achieves the appropriate clinical outcome for each patient.</w:t>
            </w:r>
          </w:p>
          <w:p w14:paraId="369ADD75" w14:textId="77777777" w:rsidR="00A516FD" w:rsidRDefault="00A516FD" w:rsidP="00C30DA5">
            <w:pPr>
              <w:rPr>
                <w:rFonts w:ascii="Arial Narrow" w:hAnsi="Arial Narrow"/>
                <w:sz w:val="18"/>
                <w:szCs w:val="18"/>
              </w:rPr>
            </w:pPr>
          </w:p>
          <w:p w14:paraId="3B2C561A" w14:textId="77777777" w:rsidR="00A516FD" w:rsidRDefault="00A516FD" w:rsidP="00C30DA5">
            <w:pPr>
              <w:rPr>
                <w:rFonts w:ascii="Arial Narrow" w:hAnsi="Arial Narrow"/>
                <w:sz w:val="18"/>
                <w:szCs w:val="18"/>
              </w:rPr>
            </w:pPr>
            <w:r w:rsidRPr="002F6CC5">
              <w:rPr>
                <w:rFonts w:ascii="Arial Narrow" w:hAnsi="Arial Narrow"/>
                <w:sz w:val="18"/>
                <w:szCs w:val="18"/>
              </w:rPr>
              <w:t>Refer to the current product information sheet for further information on dose, administration and contraindications</w:t>
            </w:r>
          </w:p>
          <w:p w14:paraId="6E2EB53B" w14:textId="2DF30221" w:rsidR="005D10B0" w:rsidRPr="00BE7779" w:rsidRDefault="005D10B0" w:rsidP="00C30DA5">
            <w:pPr>
              <w:rPr>
                <w:rFonts w:ascii="Arial Narrow" w:hAnsi="Arial Narrow"/>
                <w:sz w:val="18"/>
                <w:szCs w:val="18"/>
              </w:rPr>
            </w:pPr>
          </w:p>
        </w:tc>
      </w:tr>
      <w:tr w:rsidR="00A516FD" w:rsidRPr="00BE7779" w14:paraId="7FDA6ED2" w14:textId="77777777" w:rsidTr="005D10B0">
        <w:trPr>
          <w:cantSplit/>
        </w:trPr>
        <w:tc>
          <w:tcPr>
            <w:tcW w:w="9242" w:type="dxa"/>
            <w:shd w:val="clear" w:color="auto" w:fill="D9D9D9" w:themeFill="background1" w:themeFillShade="D9"/>
          </w:tcPr>
          <w:p w14:paraId="37EFA6B0" w14:textId="77777777" w:rsidR="00A516FD" w:rsidRPr="00B03421" w:rsidRDefault="00A516FD" w:rsidP="00C30DA5">
            <w:pPr>
              <w:rPr>
                <w:rFonts w:ascii="Arial Narrow" w:hAnsi="Arial Narrow"/>
                <w:b/>
                <w:sz w:val="18"/>
                <w:szCs w:val="18"/>
              </w:rPr>
            </w:pPr>
            <w:r w:rsidRPr="00B03421">
              <w:rPr>
                <w:rFonts w:ascii="Arial Narrow" w:hAnsi="Arial Narrow"/>
                <w:b/>
                <w:sz w:val="18"/>
                <w:szCs w:val="18"/>
              </w:rPr>
              <w:t>Replacement therapy in recognised primary immunodeficiencies for which immunoglobulin replacement is universally indicated (e.g. SCID, Wiskott-Aldrich syndrome, etc.)</w:t>
            </w:r>
          </w:p>
        </w:tc>
      </w:tr>
      <w:tr w:rsidR="00A516FD" w:rsidRPr="00BE7779" w14:paraId="73D2F26A" w14:textId="77777777" w:rsidTr="005D10B0">
        <w:trPr>
          <w:cantSplit/>
        </w:trPr>
        <w:tc>
          <w:tcPr>
            <w:tcW w:w="9242" w:type="dxa"/>
          </w:tcPr>
          <w:p w14:paraId="79DA7A07" w14:textId="77777777" w:rsidR="00A516FD" w:rsidRPr="00DF42F7" w:rsidRDefault="00A516FD" w:rsidP="00A516FD">
            <w:pPr>
              <w:pStyle w:val="ListParagraph"/>
              <w:numPr>
                <w:ilvl w:val="0"/>
                <w:numId w:val="42"/>
              </w:numPr>
              <w:rPr>
                <w:rFonts w:ascii="Arial Narrow" w:hAnsi="Arial Narrow"/>
                <w:sz w:val="18"/>
                <w:szCs w:val="18"/>
              </w:rPr>
            </w:pPr>
            <w:r w:rsidRPr="00DF42F7">
              <w:rPr>
                <w:rFonts w:ascii="Arial Narrow" w:hAnsi="Arial Narrow"/>
                <w:sz w:val="18"/>
                <w:szCs w:val="18"/>
              </w:rPr>
              <w:t xml:space="preserve">Loading Dose - One loading dose of 0.4 g/kg in the first month of therapy (in addition to the maintenance dose) is permitted if the serum IgG level is &lt;4 g/L. </w:t>
            </w:r>
          </w:p>
          <w:p w14:paraId="4D88559B" w14:textId="77777777" w:rsidR="00A516FD" w:rsidRPr="00DF42F7" w:rsidRDefault="00A516FD" w:rsidP="00A516FD">
            <w:pPr>
              <w:pStyle w:val="ListParagraph"/>
              <w:numPr>
                <w:ilvl w:val="0"/>
                <w:numId w:val="42"/>
              </w:numPr>
              <w:rPr>
                <w:rFonts w:ascii="Arial Narrow" w:hAnsi="Arial Narrow"/>
                <w:sz w:val="18"/>
                <w:szCs w:val="18"/>
              </w:rPr>
            </w:pPr>
            <w:r w:rsidRPr="00DF42F7">
              <w:rPr>
                <w:rFonts w:ascii="Arial Narrow" w:hAnsi="Arial Narrow"/>
                <w:sz w:val="18"/>
                <w:szCs w:val="18"/>
              </w:rPr>
              <w:t xml:space="preserve">Disseminated Enterovirus Dose - One dose of 2 g/kg at any stage is permitted (in addition to the maintenance dose) in the management of disseminated enterovirus infection. </w:t>
            </w:r>
          </w:p>
          <w:p w14:paraId="0248E6EA" w14:textId="1D6D9CE0" w:rsidR="00A516FD" w:rsidRPr="00DF42F7" w:rsidRDefault="00A516FD" w:rsidP="00A516FD">
            <w:pPr>
              <w:pStyle w:val="ListParagraph"/>
              <w:numPr>
                <w:ilvl w:val="0"/>
                <w:numId w:val="42"/>
              </w:numPr>
              <w:rPr>
                <w:rFonts w:ascii="Arial Narrow" w:hAnsi="Arial Narrow"/>
                <w:sz w:val="18"/>
                <w:szCs w:val="18"/>
              </w:rPr>
            </w:pPr>
            <w:r w:rsidRPr="00DF42F7">
              <w:rPr>
                <w:rFonts w:ascii="Arial Narrow" w:hAnsi="Arial Narrow"/>
                <w:sz w:val="18"/>
                <w:szCs w:val="18"/>
              </w:rPr>
              <w:t>Maintenance Dose - 0.4 g/kg every four weeks</w:t>
            </w:r>
            <w:r w:rsidR="000B4ABD">
              <w:rPr>
                <w:rFonts w:ascii="Arial Narrow" w:hAnsi="Arial Narrow"/>
                <w:sz w:val="18"/>
                <w:szCs w:val="18"/>
              </w:rPr>
              <w:t xml:space="preserve"> (IVIg)</w:t>
            </w:r>
            <w:r w:rsidR="000B4ABD" w:rsidRPr="002F6CC5">
              <w:rPr>
                <w:rFonts w:ascii="Arial Narrow" w:hAnsi="Arial Narrow"/>
                <w:sz w:val="18"/>
                <w:szCs w:val="18"/>
              </w:rPr>
              <w:t xml:space="preserve"> </w:t>
            </w:r>
            <w:r w:rsidR="000B4ABD">
              <w:rPr>
                <w:rFonts w:ascii="Arial Narrow" w:hAnsi="Arial Narrow"/>
                <w:sz w:val="18"/>
                <w:szCs w:val="18"/>
              </w:rPr>
              <w:t>or 0.1-0.15 g/kg every week (SCIg),</w:t>
            </w:r>
            <w:r w:rsidRPr="00DF42F7">
              <w:rPr>
                <w:rFonts w:ascii="Arial Narrow" w:hAnsi="Arial Narrow"/>
                <w:sz w:val="18"/>
                <w:szCs w:val="18"/>
              </w:rPr>
              <w:t xml:space="preserve"> or more frequently, to achieve IgG trough level of at least the lower limit of the age-specific serum IgG reference range. More frequent dosing to achieve IgG trough level of up to 9 g/L is permitted if chronic suppurative lung disease is not adequately controlled at an IgG trough level at the lower limit of the age-specific serum IgG reference range. A total dose of up to 1 g/kg may be given over any four-week period. </w:t>
            </w:r>
          </w:p>
          <w:p w14:paraId="44CE45D2" w14:textId="3071AC30" w:rsidR="00A516FD" w:rsidRPr="00E546CF" w:rsidRDefault="00A516FD" w:rsidP="00C30DA5">
            <w:pPr>
              <w:rPr>
                <w:rFonts w:ascii="Arial Narrow" w:hAnsi="Arial Narrow"/>
                <w:sz w:val="18"/>
                <w:szCs w:val="18"/>
              </w:rPr>
            </w:pPr>
          </w:p>
          <w:p w14:paraId="38595CE9" w14:textId="77777777" w:rsidR="00A516FD" w:rsidRPr="00E546CF" w:rsidRDefault="00A516FD" w:rsidP="00C30DA5">
            <w:pPr>
              <w:rPr>
                <w:rFonts w:ascii="Arial Narrow" w:hAnsi="Arial Narrow"/>
                <w:sz w:val="18"/>
                <w:szCs w:val="18"/>
              </w:rPr>
            </w:pPr>
            <w:r w:rsidRPr="00E546CF">
              <w:rPr>
                <w:rFonts w:ascii="Arial Narrow" w:hAnsi="Arial Narrow"/>
                <w:sz w:val="18"/>
                <w:szCs w:val="18"/>
              </w:rPr>
              <w:t>The aim should be to use the lowest dose possible that achieves the appropriate clinical outcome for each patient.</w:t>
            </w:r>
          </w:p>
          <w:p w14:paraId="574E2565" w14:textId="77777777" w:rsidR="00A516FD" w:rsidRPr="00E546CF" w:rsidRDefault="00A516FD" w:rsidP="00C30DA5">
            <w:pPr>
              <w:rPr>
                <w:rFonts w:ascii="Arial Narrow" w:hAnsi="Arial Narrow"/>
                <w:sz w:val="18"/>
                <w:szCs w:val="18"/>
              </w:rPr>
            </w:pPr>
          </w:p>
          <w:p w14:paraId="6BFD69DB" w14:textId="77777777" w:rsidR="00A516FD" w:rsidRPr="00BE7779" w:rsidRDefault="00A516FD" w:rsidP="00C30DA5">
            <w:pPr>
              <w:rPr>
                <w:rFonts w:ascii="Arial Narrow" w:hAnsi="Arial Narrow"/>
                <w:sz w:val="18"/>
                <w:szCs w:val="18"/>
              </w:rPr>
            </w:pPr>
            <w:r>
              <w:rPr>
                <w:rFonts w:ascii="Arial Narrow" w:hAnsi="Arial Narrow"/>
                <w:sz w:val="18"/>
                <w:szCs w:val="18"/>
              </w:rPr>
              <w:t>R</w:t>
            </w:r>
            <w:r w:rsidRPr="00E546CF">
              <w:rPr>
                <w:rFonts w:ascii="Arial Narrow" w:hAnsi="Arial Narrow"/>
                <w:sz w:val="18"/>
                <w:szCs w:val="18"/>
              </w:rPr>
              <w:t>efer to the current product information sheet for further information on dose, administration and contraindications.</w:t>
            </w:r>
          </w:p>
        </w:tc>
      </w:tr>
    </w:tbl>
    <w:p w14:paraId="7EAAB016" w14:textId="77777777" w:rsidR="00A516FD" w:rsidRPr="002B7ED2" w:rsidRDefault="00A516FD" w:rsidP="00A516FD">
      <w:pPr>
        <w:spacing w:after="0"/>
        <w:rPr>
          <w:rFonts w:ascii="Arial Narrow" w:hAnsi="Arial Narrow"/>
          <w:sz w:val="18"/>
          <w:szCs w:val="18"/>
        </w:rPr>
      </w:pPr>
      <w:r w:rsidRPr="00EB02B9">
        <w:rPr>
          <w:rFonts w:ascii="Arial Narrow" w:hAnsi="Arial Narrow"/>
          <w:b/>
          <w:sz w:val="18"/>
          <w:szCs w:val="18"/>
        </w:rPr>
        <w:t>Source</w:t>
      </w:r>
      <w:r w:rsidRPr="00EB02B9">
        <w:rPr>
          <w:rFonts w:ascii="Arial Narrow" w:hAnsi="Arial Narrow"/>
          <w:sz w:val="18"/>
          <w:szCs w:val="18"/>
        </w:rPr>
        <w:t xml:space="preserve">: </w:t>
      </w:r>
      <w:r>
        <w:rPr>
          <w:rFonts w:ascii="Arial Narrow" w:hAnsi="Arial Narrow"/>
          <w:sz w:val="18"/>
          <w:szCs w:val="18"/>
        </w:rPr>
        <w:t>The Criteria for Clinical Use of Immunoglobulin in Australia (version 3.1)</w:t>
      </w:r>
      <w:r>
        <w:rPr>
          <w:rFonts w:ascii="Arial Narrow" w:hAnsi="Arial Narrow"/>
          <w:sz w:val="18"/>
          <w:szCs w:val="18"/>
        </w:rPr>
        <w:fldChar w:fldCharType="begin"/>
      </w:r>
      <w:r>
        <w:rPr>
          <w:rFonts w:ascii="Arial Narrow" w:hAnsi="Arial Narrow"/>
          <w:sz w:val="18"/>
          <w:szCs w:val="18"/>
        </w:rPr>
        <w:instrText xml:space="preserve"> ADDIN EN.CITE &lt;EndNote&gt;&lt;Cite&gt;&lt;Author&gt;National Blood Authority&lt;/Author&gt;&lt;Year&gt;2018&lt;/Year&gt;&lt;RecNum&gt;1&lt;/RecNum&gt;&lt;DisplayText&gt;&lt;style face="superscript"&gt;1&lt;/style&gt;&lt;/DisplayText&gt;&lt;record&gt;&lt;rec-number&gt;1&lt;/rec-number&gt;&lt;foreign-keys&gt;&lt;key app="EN" db-id="pzpr9fpzq5dfrrefpetx2pfn5fz5e2r0vtdf" timestamp="1569200090"&gt;1&lt;/key&gt;&lt;/foreign-keys&gt;&lt;ref-type name="Web Page"&gt;12&lt;/ref-type&gt;&lt;contributors&gt;&lt;authors&gt;&lt;author&gt;National Blood Authority,&lt;/author&gt;&lt;/authors&gt;&lt;/contributors&gt;&lt;titles&gt;&lt;title&gt;Criteria for clinical use of immunoglobulin in Australia, Version 3.1&lt;/title&gt;&lt;/titles&gt;&lt;volume&gt;2019&lt;/volume&gt;&lt;number&gt;23rd September&lt;/number&gt;&lt;dates&gt;&lt;year&gt;2018&lt;/year&gt;&lt;/dates&gt;&lt;publisher&gt;National Blood Authority&lt;/publisher&gt;&lt;urls&gt;&lt;related-urls&gt;&lt;url&gt;&lt;style face="underline" font="default" size="100%"&gt;https://www.criteria.blood.gov.au/&lt;/style&gt;&lt;/url&gt;&lt;/related-urls&gt;&lt;/urls&gt;&lt;/record&gt;&lt;/Cite&gt;&lt;/EndNote&gt;</w:instrText>
      </w:r>
      <w:r>
        <w:rPr>
          <w:rFonts w:ascii="Arial Narrow" w:hAnsi="Arial Narrow"/>
          <w:sz w:val="18"/>
          <w:szCs w:val="18"/>
        </w:rPr>
        <w:fldChar w:fldCharType="separate"/>
      </w:r>
      <w:r w:rsidRPr="00A516FD">
        <w:rPr>
          <w:rFonts w:ascii="Arial Narrow" w:hAnsi="Arial Narrow"/>
          <w:noProof/>
          <w:sz w:val="18"/>
          <w:szCs w:val="18"/>
          <w:vertAlign w:val="superscript"/>
        </w:rPr>
        <w:t>1</w:t>
      </w:r>
      <w:r>
        <w:rPr>
          <w:rFonts w:ascii="Arial Narrow" w:hAnsi="Arial Narrow"/>
          <w:sz w:val="18"/>
          <w:szCs w:val="18"/>
        </w:rPr>
        <w:fldChar w:fldCharType="end"/>
      </w:r>
    </w:p>
    <w:p w14:paraId="75322543" w14:textId="77777777" w:rsidR="00A516FD" w:rsidRDefault="00A516FD" w:rsidP="00A516FD">
      <w:pPr>
        <w:rPr>
          <w:rFonts w:ascii="Arial Narrow" w:hAnsi="Arial Narrow"/>
          <w:sz w:val="18"/>
          <w:szCs w:val="18"/>
        </w:rPr>
      </w:pPr>
      <w:r w:rsidRPr="002B7ED2">
        <w:rPr>
          <w:rFonts w:ascii="Arial Narrow" w:hAnsi="Arial Narrow"/>
          <w:b/>
          <w:sz w:val="18"/>
          <w:szCs w:val="18"/>
        </w:rPr>
        <w:t>Abbreviations</w:t>
      </w:r>
      <w:r>
        <w:rPr>
          <w:rFonts w:ascii="Arial Narrow" w:hAnsi="Arial Narrow"/>
          <w:sz w:val="18"/>
          <w:szCs w:val="18"/>
        </w:rPr>
        <w:t xml:space="preserve">: CVID: Common Variable Immune Deficiency; </w:t>
      </w:r>
      <w:r w:rsidRPr="002B7ED2">
        <w:rPr>
          <w:rFonts w:ascii="Arial Narrow" w:hAnsi="Arial Narrow"/>
          <w:sz w:val="18"/>
          <w:szCs w:val="18"/>
        </w:rPr>
        <w:t>ESID</w:t>
      </w:r>
      <w:r>
        <w:rPr>
          <w:rFonts w:ascii="Arial Narrow" w:hAnsi="Arial Narrow"/>
          <w:sz w:val="18"/>
          <w:szCs w:val="18"/>
        </w:rPr>
        <w:t>: European Society for Immunodeficiencies; PID: Primary Immunodeficiency Diseases; SCID: Severe Combined Immunodeficiency</w:t>
      </w:r>
    </w:p>
    <w:p w14:paraId="1FCC837D" w14:textId="77777777" w:rsidR="00A516FD" w:rsidRDefault="00A516FD" w:rsidP="005C1782">
      <w:pPr>
        <w:pStyle w:val="Heading4"/>
      </w:pPr>
      <w:r>
        <w:t>Delivery time for Ig infusion</w:t>
      </w:r>
    </w:p>
    <w:p w14:paraId="03DD078A" w14:textId="55F11463" w:rsidR="00A516FD" w:rsidRDefault="00A516FD" w:rsidP="00A516FD">
      <w:r>
        <w:t xml:space="preserve">The </w:t>
      </w:r>
      <w:r w:rsidR="00DE5712">
        <w:t>Applicant</w:t>
      </w:r>
      <w:r>
        <w:t xml:space="preserve"> (Referral Form, page 16) has noted that the timeframe to administer Ig is dependent on:</w:t>
      </w:r>
    </w:p>
    <w:p w14:paraId="5176E44A" w14:textId="77777777" w:rsidR="00A516FD" w:rsidRDefault="00A516FD" w:rsidP="00A516FD">
      <w:pPr>
        <w:pStyle w:val="ListParagraph"/>
        <w:numPr>
          <w:ilvl w:val="0"/>
          <w:numId w:val="38"/>
        </w:numPr>
      </w:pPr>
      <w:r>
        <w:t>The dose required</w:t>
      </w:r>
    </w:p>
    <w:p w14:paraId="5920DCB3" w14:textId="77777777" w:rsidR="00A516FD" w:rsidRDefault="00A516FD" w:rsidP="00A516FD">
      <w:pPr>
        <w:pStyle w:val="ListParagraph"/>
        <w:numPr>
          <w:ilvl w:val="0"/>
          <w:numId w:val="38"/>
        </w:numPr>
      </w:pPr>
      <w:r>
        <w:t>The patient’s weight</w:t>
      </w:r>
    </w:p>
    <w:p w14:paraId="5CBF957E" w14:textId="77777777" w:rsidR="00A516FD" w:rsidRDefault="00A516FD" w:rsidP="00A516FD">
      <w:pPr>
        <w:pStyle w:val="ListParagraph"/>
        <w:numPr>
          <w:ilvl w:val="0"/>
          <w:numId w:val="38"/>
        </w:numPr>
      </w:pPr>
      <w:r>
        <w:t>The product’s advised infusion rate and hospital’s protocol which determines the infusion rate used at that location (which may differ from the product information sheet)</w:t>
      </w:r>
    </w:p>
    <w:p w14:paraId="3CD6F424" w14:textId="77777777" w:rsidR="00A516FD" w:rsidRDefault="00A516FD" w:rsidP="00A516FD">
      <w:pPr>
        <w:pStyle w:val="ListParagraph"/>
        <w:numPr>
          <w:ilvl w:val="0"/>
          <w:numId w:val="38"/>
        </w:numPr>
      </w:pPr>
      <w:r>
        <w:t>The patient’s response during the infusion. If the patient experiences a reaction such as a headache, the rate of infusion will be slowed or stopped depending on the severity of the reaction</w:t>
      </w:r>
    </w:p>
    <w:p w14:paraId="1D60DC1A" w14:textId="4E7A4783" w:rsidR="00A516FD" w:rsidRDefault="00A516FD" w:rsidP="00A516FD">
      <w:pPr>
        <w:pStyle w:val="ListParagraph"/>
        <w:numPr>
          <w:ilvl w:val="0"/>
          <w:numId w:val="38"/>
        </w:numPr>
      </w:pPr>
      <w:r>
        <w:t>Whether administration is intravenous or subcutaneous</w:t>
      </w:r>
      <w:r w:rsidR="008A7601">
        <w:t>.</w:t>
      </w:r>
    </w:p>
    <w:p w14:paraId="27E88ED0" w14:textId="77777777" w:rsidR="00A516FD" w:rsidRPr="00640B4F" w:rsidRDefault="00A516FD" w:rsidP="005C1782">
      <w:pPr>
        <w:pStyle w:val="Heading5"/>
      </w:pPr>
      <w:r w:rsidRPr="00640B4F">
        <w:t>IVIg</w:t>
      </w:r>
      <w:r>
        <w:t xml:space="preserve"> infusion rates</w:t>
      </w:r>
    </w:p>
    <w:p w14:paraId="1FBB9256" w14:textId="042E5C82" w:rsidR="00A516FD" w:rsidRDefault="00A516FD" w:rsidP="00A516FD">
      <w:r>
        <w:t xml:space="preserve">Infusion rates for four IVIg products that are currently ARTG listed and NBA funded for PID, as </w:t>
      </w:r>
      <w:r w:rsidR="008A7601">
        <w:t>recommended in the IVIg</w:t>
      </w:r>
      <w:r>
        <w:t xml:space="preserve"> Clinical Practice Guideline produced by the Victorian Department of Health, are outlined in </w:t>
      </w:r>
      <w:r>
        <w:fldChar w:fldCharType="begin"/>
      </w:r>
      <w:r>
        <w:instrText xml:space="preserve"> REF _Ref20907576 \h </w:instrText>
      </w:r>
      <w:r>
        <w:fldChar w:fldCharType="separate"/>
      </w:r>
      <w:r w:rsidR="008D6208">
        <w:t xml:space="preserve">Table </w:t>
      </w:r>
      <w:r w:rsidR="008D6208">
        <w:rPr>
          <w:noProof/>
        </w:rPr>
        <w:t>7</w:t>
      </w:r>
      <w:r>
        <w:fldChar w:fldCharType="end"/>
      </w:r>
      <w:r>
        <w:t>.</w:t>
      </w:r>
      <w:r>
        <w:fldChar w:fldCharType="begin"/>
      </w:r>
      <w:r>
        <w:instrText xml:space="preserve"> ADDIN EN.CITE &lt;EndNote&gt;&lt;Cite&gt;&lt;Author&gt;Department of Health and Human Services&lt;/Author&gt;&lt;Year&gt;2018&lt;/Year&gt;&lt;RecNum&gt;17&lt;/RecNum&gt;&lt;DisplayText&gt;&lt;style face="superscript"&gt;17&lt;/style&gt;&lt;/DisplayText&gt;&lt;record&gt;&lt;rec-number&gt;17&lt;/rec-number&gt;&lt;foreign-keys&gt;&lt;key app="EN" db-id="pzpr9fpzq5dfrrefpetx2pfn5fz5e2r0vtdf" timestamp="1569974322"&gt;17&lt;/key&gt;&lt;/foreign-keys&gt;&lt;ref-type name="Web Page"&gt;12&lt;/ref-type&gt;&lt;contributors&gt;&lt;authors&gt;&lt;author&gt;Department of Health and Human Services, State Government of Victoria,&lt;/author&gt;&lt;/authors&gt;&lt;/contributors&gt;&lt;titles&gt;&lt;title&gt;Intravenous immunoglobulin (IVIg) Clinical Practice Guideline template&lt;/title&gt;&lt;/titles&gt;&lt;volume&gt;2019&lt;/volume&gt;&lt;number&gt;2nd October&lt;/number&gt;&lt;dates&gt;&lt;year&gt;2018&lt;/year&gt;&lt;/dates&gt;&lt;pub-location&gt;Australia&lt;/pub-location&gt;&lt;publisher&gt;Department of Health and Human Services, State Government of Victoria&lt;/publisher&gt;&lt;urls&gt;&lt;related-urls&gt;&lt;url&gt;&lt;style face="underline" font="default" size="100%"&gt;https://www2.health.vic.gov.au/hospitals-and-health-services/patient-care/speciality-diagnostics-therapeutics/blood-matters/ivig-changes-to-supply&lt;/style&gt;&lt;/url&gt;&lt;/related-urls&gt;&lt;/urls&gt;&lt;/record&gt;&lt;/Cite&gt;&lt;/EndNote&gt;</w:instrText>
      </w:r>
      <w:r>
        <w:fldChar w:fldCharType="separate"/>
      </w:r>
      <w:r w:rsidRPr="00A516FD">
        <w:rPr>
          <w:noProof/>
          <w:vertAlign w:val="superscript"/>
        </w:rPr>
        <w:t>17</w:t>
      </w:r>
      <w:r>
        <w:fldChar w:fldCharType="end"/>
      </w:r>
      <w:r>
        <w:t xml:space="preserve">  As noted by the </w:t>
      </w:r>
      <w:r w:rsidR="00DE5712">
        <w:t>Applicant</w:t>
      </w:r>
      <w:r>
        <w:t xml:space="preserve"> (Referral Form, page 16), administration times may vary between hospitals owing to different IVIg protocols. ASCIA also has published guidelines on standardised infusion rates for IVIg replacement therapy.</w:t>
      </w:r>
      <w:r>
        <w:fldChar w:fldCharType="begin"/>
      </w:r>
      <w:r>
        <w:instrText xml:space="preserve"> ADDIN EN.CITE &lt;EndNote&gt;&lt;Cite&gt;&lt;Author&gt;Australasian Society of Clinical Immunology and Allergy&lt;/Author&gt;&lt;Year&gt;2017&lt;/Year&gt;&lt;RecNum&gt;18&lt;/RecNum&gt;&lt;DisplayText&gt;&lt;style face="superscript"&gt;18&lt;/style&gt;&lt;/DisplayText&gt;&lt;record&gt;&lt;rec-number&gt;18&lt;/rec-number&gt;&lt;foreign-keys&gt;&lt;key app="EN" db-id="pzpr9fpzq5dfrrefpetx2pfn5fz5e2r0vtdf" timestamp="1569978441"&gt;18&lt;/key&gt;&lt;/foreign-keys&gt;&lt;ref-type name="Web Page"&gt;12&lt;/ref-type&gt;&lt;contributors&gt;&lt;authors&gt;&lt;author&gt;Australasian Society of Clinical Immunology and Allergy,&lt;/author&gt;&lt;/authors&gt;&lt;/contributors&gt;&lt;titles&gt;&lt;title&gt;Guidelines - Standardised infusion rates for intravenous immunoglobulin replacement therapy&lt;/title&gt;&lt;/titles&gt;&lt;volume&gt;2019&lt;/volume&gt;&lt;number&gt;2nd October&lt;/number&gt;&lt;dates&gt;&lt;year&gt;2017&lt;/year&gt;&lt;/dates&gt;&lt;pub-location&gt;Australia&lt;/pub-location&gt;&lt;publisher&gt;Australasian Society of Clinical Immunology and Allergy&lt;/publisher&gt;&lt;urls&gt;&lt;related-urls&gt;&lt;url&gt;Australasian Society of Clinical Immunology and Allerg&lt;/url&gt;&lt;/related-urls&gt;&lt;/urls&gt;&lt;/record&gt;&lt;/Cite&gt;&lt;/EndNote&gt;</w:instrText>
      </w:r>
      <w:r>
        <w:fldChar w:fldCharType="separate"/>
      </w:r>
      <w:r w:rsidRPr="002916D1">
        <w:rPr>
          <w:noProof/>
          <w:vertAlign w:val="superscript"/>
        </w:rPr>
        <w:t>18</w:t>
      </w:r>
      <w:r>
        <w:fldChar w:fldCharType="end"/>
      </w:r>
    </w:p>
    <w:p w14:paraId="79E9BFBC" w14:textId="7D16FC15" w:rsidR="00A516FD" w:rsidRDefault="00A516FD" w:rsidP="00A516FD">
      <w:pPr>
        <w:pStyle w:val="Caption"/>
      </w:pPr>
      <w:bookmarkStart w:id="10" w:name="_Ref20907576"/>
      <w:r>
        <w:t xml:space="preserve">Table </w:t>
      </w:r>
      <w:r>
        <w:fldChar w:fldCharType="begin"/>
      </w:r>
      <w:r>
        <w:instrText xml:space="preserve"> SEQ Table \* ARABIC </w:instrText>
      </w:r>
      <w:r>
        <w:fldChar w:fldCharType="separate"/>
      </w:r>
      <w:r w:rsidR="008D6208">
        <w:rPr>
          <w:noProof/>
        </w:rPr>
        <w:t>7</w:t>
      </w:r>
      <w:r>
        <w:fldChar w:fldCharType="end"/>
      </w:r>
      <w:bookmarkEnd w:id="10"/>
      <w:r>
        <w:t xml:space="preserve"> </w:t>
      </w:r>
      <w:r>
        <w:tab/>
        <w:t>Rates of infusion for four IVIg products NBA funded for PID with antibody deficiency as outlined in Clinical Practice Guidelines produced by the Victorian Department of Health</w:t>
      </w:r>
      <w:r>
        <w:fldChar w:fldCharType="begin"/>
      </w:r>
      <w:r>
        <w:instrText xml:space="preserve"> ADDIN EN.CITE &lt;EndNote&gt;&lt;Cite&gt;&lt;Author&gt;Department of Health and Human Services&lt;/Author&gt;&lt;Year&gt;2018&lt;/Year&gt;&lt;RecNum&gt;17&lt;/RecNum&gt;&lt;DisplayText&gt;&lt;style face="superscript"&gt;17&lt;/style&gt;&lt;/DisplayText&gt;&lt;record&gt;&lt;rec-number&gt;17&lt;/rec-number&gt;&lt;foreign-keys&gt;&lt;key app="EN" db-id="pzpr9fpzq5dfrrefpetx2pfn5fz5e2r0vtdf" timestamp="1569974322"&gt;17&lt;/key&gt;&lt;/foreign-keys&gt;&lt;ref-type name="Web Page"&gt;12&lt;/ref-type&gt;&lt;contributors&gt;&lt;authors&gt;&lt;author&gt;Department of Health and Human Services, State Government of Victoria,&lt;/author&gt;&lt;/authors&gt;&lt;/contributors&gt;&lt;titles&gt;&lt;title&gt;Intravenous immunoglobulin (IVIg) Clinical Practice Guideline template&lt;/title&gt;&lt;/titles&gt;&lt;volume&gt;2019&lt;/volume&gt;&lt;number&gt;2nd October&lt;/number&gt;&lt;dates&gt;&lt;year&gt;2018&lt;/year&gt;&lt;/dates&gt;&lt;pub-location&gt;Australia&lt;/pub-location&gt;&lt;publisher&gt;Department of Health and Human Services, State Government of Victoria&lt;/publisher&gt;&lt;urls&gt;&lt;related-urls&gt;&lt;url&gt;&lt;style face="underline" font="default" size="100%"&gt;https://www2.health.vic.gov.au/hospitals-and-health-services/patient-care/speciality-diagnostics-therapeutics/blood-matters/ivig-changes-to-supply&lt;/style&gt;&lt;/url&gt;&lt;/related-urls&gt;&lt;/urls&gt;&lt;/record&gt;&lt;/Cite&gt;&lt;/EndNote&gt;</w:instrText>
      </w:r>
      <w:r>
        <w:fldChar w:fldCharType="separate"/>
      </w:r>
      <w:r w:rsidRPr="00A516FD">
        <w:rPr>
          <w:noProof/>
          <w:vertAlign w:val="superscript"/>
        </w:rPr>
        <w:t>17</w:t>
      </w:r>
      <w:r>
        <w:fldChar w:fldCharType="end"/>
      </w:r>
    </w:p>
    <w:tbl>
      <w:tblPr>
        <w:tblStyle w:val="TableGrid"/>
        <w:tblW w:w="0" w:type="auto"/>
        <w:tblLook w:val="04A0" w:firstRow="1" w:lastRow="0" w:firstColumn="1" w:lastColumn="0" w:noHBand="0" w:noVBand="1"/>
        <w:tblCaption w:val="Table 7  Rates of infusion for four IVIg products NBA funded for PID with antibody deficiency as outlined in Clinical Practice Guidelines produced by the Victorian Department of Health"/>
        <w:tblDescription w:val="This is a table showing the rates of infusion for four IVIg products as outlined in Clinical Practice Guidelines produced by the Victorian Department of Health."/>
      </w:tblPr>
      <w:tblGrid>
        <w:gridCol w:w="2267"/>
        <w:gridCol w:w="2250"/>
        <w:gridCol w:w="2249"/>
        <w:gridCol w:w="2250"/>
      </w:tblGrid>
      <w:tr w:rsidR="00A516FD" w:rsidRPr="001F63ED" w14:paraId="571D129D" w14:textId="77777777" w:rsidTr="005D10B0">
        <w:trPr>
          <w:tblHeader/>
        </w:trPr>
        <w:tc>
          <w:tcPr>
            <w:tcW w:w="2310" w:type="dxa"/>
            <w:shd w:val="clear" w:color="auto" w:fill="D9D9D9" w:themeFill="background1" w:themeFillShade="D9"/>
          </w:tcPr>
          <w:p w14:paraId="176D8EFA" w14:textId="77777777" w:rsidR="00A516FD" w:rsidRPr="001F63ED" w:rsidRDefault="00A516FD" w:rsidP="00C30DA5">
            <w:pPr>
              <w:rPr>
                <w:rFonts w:ascii="Arial Narrow" w:hAnsi="Arial Narrow"/>
                <w:b/>
                <w:sz w:val="18"/>
                <w:szCs w:val="18"/>
              </w:rPr>
            </w:pPr>
            <w:r w:rsidRPr="001F63ED">
              <w:rPr>
                <w:rFonts w:ascii="Arial Narrow" w:hAnsi="Arial Narrow"/>
                <w:b/>
                <w:sz w:val="18"/>
                <w:szCs w:val="18"/>
              </w:rPr>
              <w:t>Intragam®10</w:t>
            </w:r>
          </w:p>
        </w:tc>
        <w:tc>
          <w:tcPr>
            <w:tcW w:w="2311" w:type="dxa"/>
            <w:shd w:val="clear" w:color="auto" w:fill="D9D9D9" w:themeFill="background1" w:themeFillShade="D9"/>
          </w:tcPr>
          <w:p w14:paraId="6112D413" w14:textId="77777777" w:rsidR="00A516FD" w:rsidRPr="001F63ED" w:rsidRDefault="00A516FD" w:rsidP="00C30DA5">
            <w:pPr>
              <w:rPr>
                <w:rFonts w:ascii="Arial Narrow" w:hAnsi="Arial Narrow"/>
                <w:b/>
                <w:sz w:val="18"/>
                <w:szCs w:val="18"/>
              </w:rPr>
            </w:pPr>
            <w:r w:rsidRPr="001F63ED">
              <w:rPr>
                <w:rFonts w:ascii="Arial Narrow" w:hAnsi="Arial Narrow"/>
                <w:b/>
                <w:sz w:val="18"/>
                <w:szCs w:val="18"/>
              </w:rPr>
              <w:t>Privigen®</w:t>
            </w:r>
          </w:p>
        </w:tc>
        <w:tc>
          <w:tcPr>
            <w:tcW w:w="2310" w:type="dxa"/>
            <w:shd w:val="clear" w:color="auto" w:fill="D9D9D9" w:themeFill="background1" w:themeFillShade="D9"/>
          </w:tcPr>
          <w:p w14:paraId="2A5ED324" w14:textId="77777777" w:rsidR="00A516FD" w:rsidRPr="001F63ED" w:rsidRDefault="00A516FD" w:rsidP="00C30DA5">
            <w:pPr>
              <w:rPr>
                <w:rFonts w:ascii="Arial Narrow" w:hAnsi="Arial Narrow"/>
                <w:b/>
                <w:sz w:val="18"/>
                <w:szCs w:val="18"/>
              </w:rPr>
            </w:pPr>
            <w:r w:rsidRPr="001F63ED">
              <w:rPr>
                <w:rFonts w:ascii="Arial Narrow" w:hAnsi="Arial Narrow"/>
                <w:b/>
                <w:sz w:val="18"/>
                <w:szCs w:val="18"/>
              </w:rPr>
              <w:t>Flebogamma 5% DIF</w:t>
            </w:r>
          </w:p>
        </w:tc>
        <w:tc>
          <w:tcPr>
            <w:tcW w:w="2311" w:type="dxa"/>
            <w:shd w:val="clear" w:color="auto" w:fill="D9D9D9" w:themeFill="background1" w:themeFillShade="D9"/>
          </w:tcPr>
          <w:p w14:paraId="12D6D7AF" w14:textId="77777777" w:rsidR="00A516FD" w:rsidRPr="001F63ED" w:rsidRDefault="00A516FD" w:rsidP="00C30DA5">
            <w:pPr>
              <w:rPr>
                <w:rFonts w:ascii="Arial Narrow" w:hAnsi="Arial Narrow"/>
                <w:b/>
                <w:sz w:val="18"/>
                <w:szCs w:val="18"/>
              </w:rPr>
            </w:pPr>
            <w:r w:rsidRPr="001F63ED">
              <w:rPr>
                <w:rFonts w:ascii="Arial Narrow" w:hAnsi="Arial Narrow"/>
                <w:b/>
                <w:sz w:val="18"/>
                <w:szCs w:val="18"/>
              </w:rPr>
              <w:t xml:space="preserve">Flebogamma 10% DIF </w:t>
            </w:r>
          </w:p>
        </w:tc>
      </w:tr>
      <w:tr w:rsidR="00A516FD" w:rsidRPr="001F63ED" w14:paraId="73086DA5" w14:textId="77777777" w:rsidTr="00C30DA5">
        <w:tc>
          <w:tcPr>
            <w:tcW w:w="2310" w:type="dxa"/>
          </w:tcPr>
          <w:p w14:paraId="115FFA2A" w14:textId="77777777" w:rsidR="00A516FD" w:rsidRPr="001F63ED" w:rsidRDefault="00A516FD" w:rsidP="00C30DA5">
            <w:pPr>
              <w:rPr>
                <w:rFonts w:ascii="Arial Narrow" w:hAnsi="Arial Narrow"/>
                <w:sz w:val="18"/>
                <w:szCs w:val="18"/>
              </w:rPr>
            </w:pPr>
            <w:r w:rsidRPr="001F63ED">
              <w:rPr>
                <w:rFonts w:ascii="Arial Narrow" w:hAnsi="Arial Narrow"/>
                <w:sz w:val="18"/>
                <w:szCs w:val="18"/>
              </w:rPr>
              <w:t>The infusion should be commenced at a rate of 1 mL/minute.</w:t>
            </w:r>
          </w:p>
          <w:p w14:paraId="2A0CCAAB" w14:textId="77777777" w:rsidR="00A516FD" w:rsidRPr="001F63ED" w:rsidRDefault="00A516FD" w:rsidP="00C30DA5">
            <w:pPr>
              <w:rPr>
                <w:rFonts w:ascii="Arial Narrow" w:hAnsi="Arial Narrow"/>
                <w:sz w:val="18"/>
                <w:szCs w:val="18"/>
              </w:rPr>
            </w:pPr>
            <w:r w:rsidRPr="001F63ED">
              <w:rPr>
                <w:rFonts w:ascii="Arial Narrow" w:hAnsi="Arial Narrow"/>
                <w:sz w:val="18"/>
                <w:szCs w:val="18"/>
              </w:rPr>
              <w:t>After 15 minutes the rate may be gradually increased to a maximum of 3–4 mL/minute over a further 15 minutes</w:t>
            </w:r>
          </w:p>
          <w:p w14:paraId="47C7B872" w14:textId="77777777" w:rsidR="00A516FD" w:rsidRPr="001F63ED" w:rsidRDefault="00A516FD" w:rsidP="00C30DA5">
            <w:pPr>
              <w:rPr>
                <w:rFonts w:ascii="Arial Narrow" w:hAnsi="Arial Narrow"/>
                <w:b/>
                <w:sz w:val="18"/>
                <w:szCs w:val="18"/>
              </w:rPr>
            </w:pPr>
          </w:p>
          <w:p w14:paraId="53FBBB57" w14:textId="77777777" w:rsidR="00A516FD" w:rsidRPr="001F63ED" w:rsidRDefault="00A516FD" w:rsidP="00C30DA5">
            <w:pPr>
              <w:rPr>
                <w:rFonts w:ascii="Arial Narrow" w:hAnsi="Arial Narrow"/>
                <w:b/>
                <w:sz w:val="18"/>
                <w:szCs w:val="18"/>
              </w:rPr>
            </w:pPr>
            <w:r w:rsidRPr="001F63ED">
              <w:rPr>
                <w:rFonts w:ascii="Arial Narrow" w:hAnsi="Arial Narrow"/>
                <w:b/>
                <w:sz w:val="18"/>
                <w:szCs w:val="18"/>
              </w:rPr>
              <w:t>Maximum infusion rate = 4 mL/minute (240 mL/hr)</w:t>
            </w:r>
          </w:p>
          <w:p w14:paraId="7B4ECED8" w14:textId="77777777" w:rsidR="00A516FD" w:rsidRPr="001F63ED" w:rsidRDefault="00A516FD" w:rsidP="00C30DA5">
            <w:pPr>
              <w:rPr>
                <w:rFonts w:ascii="Arial Narrow" w:hAnsi="Arial Narrow"/>
                <w:b/>
                <w:sz w:val="18"/>
                <w:szCs w:val="18"/>
              </w:rPr>
            </w:pPr>
          </w:p>
          <w:p w14:paraId="1962374C" w14:textId="77777777" w:rsidR="00A516FD" w:rsidRPr="001F63ED" w:rsidRDefault="00A516FD" w:rsidP="00C30DA5">
            <w:pPr>
              <w:rPr>
                <w:rFonts w:ascii="Arial Narrow" w:hAnsi="Arial Narrow"/>
                <w:sz w:val="18"/>
                <w:szCs w:val="18"/>
              </w:rPr>
            </w:pPr>
            <w:r w:rsidRPr="001F63ED">
              <w:rPr>
                <w:rFonts w:ascii="Arial Narrow" w:hAnsi="Arial Narrow"/>
                <w:b/>
                <w:sz w:val="18"/>
                <w:szCs w:val="18"/>
              </w:rPr>
              <w:t xml:space="preserve">Paediatrics: </w:t>
            </w:r>
            <w:r w:rsidRPr="001F63ED">
              <w:rPr>
                <w:rFonts w:ascii="Arial Narrow" w:hAnsi="Arial Narrow"/>
                <w:sz w:val="18"/>
                <w:szCs w:val="18"/>
              </w:rPr>
              <w:t xml:space="preserve">Consideration should be given to running IVIg at slower rates for paediatric/neonatal patients </w:t>
            </w:r>
          </w:p>
        </w:tc>
        <w:tc>
          <w:tcPr>
            <w:tcW w:w="2311" w:type="dxa"/>
          </w:tcPr>
          <w:p w14:paraId="67F017C7" w14:textId="77777777" w:rsidR="00A516FD" w:rsidRPr="001F63ED" w:rsidRDefault="00A516FD" w:rsidP="00C30DA5">
            <w:pPr>
              <w:rPr>
                <w:rFonts w:ascii="Arial Narrow" w:hAnsi="Arial Narrow"/>
                <w:sz w:val="18"/>
                <w:szCs w:val="18"/>
              </w:rPr>
            </w:pPr>
            <w:r w:rsidRPr="001F63ED">
              <w:rPr>
                <w:rFonts w:ascii="Arial Narrow" w:hAnsi="Arial Narrow"/>
                <w:sz w:val="18"/>
                <w:szCs w:val="18"/>
              </w:rPr>
              <w:t>The initial infusion rate is 0.3 mL/kg/hr. If well tolerated, the rate of administration may gradually be increased to 4.8 mL/kg/hr.</w:t>
            </w:r>
          </w:p>
          <w:p w14:paraId="00CD1DD7" w14:textId="77777777" w:rsidR="00A516FD" w:rsidRPr="001F63ED" w:rsidRDefault="00A516FD" w:rsidP="00C30DA5">
            <w:pPr>
              <w:rPr>
                <w:rFonts w:ascii="Arial Narrow" w:hAnsi="Arial Narrow"/>
                <w:sz w:val="18"/>
                <w:szCs w:val="18"/>
              </w:rPr>
            </w:pPr>
          </w:p>
          <w:p w14:paraId="57FE6DD6" w14:textId="77777777" w:rsidR="00A516FD" w:rsidRPr="001F63ED" w:rsidRDefault="00A516FD" w:rsidP="00C30DA5">
            <w:pPr>
              <w:rPr>
                <w:rFonts w:ascii="Arial Narrow" w:hAnsi="Arial Narrow"/>
                <w:b/>
                <w:sz w:val="18"/>
                <w:szCs w:val="18"/>
              </w:rPr>
            </w:pPr>
            <w:r w:rsidRPr="001F63ED">
              <w:rPr>
                <w:rFonts w:ascii="Arial Narrow" w:hAnsi="Arial Narrow"/>
                <w:b/>
                <w:sz w:val="18"/>
                <w:szCs w:val="18"/>
              </w:rPr>
              <w:t>Maximum infusion rate = 4.8 mL/kg/hr</w:t>
            </w:r>
          </w:p>
          <w:p w14:paraId="56C89571" w14:textId="77777777" w:rsidR="00A516FD" w:rsidRPr="001F63ED" w:rsidRDefault="00A516FD" w:rsidP="00C30DA5">
            <w:pPr>
              <w:rPr>
                <w:rFonts w:ascii="Arial Narrow" w:hAnsi="Arial Narrow"/>
                <w:b/>
                <w:sz w:val="18"/>
                <w:szCs w:val="18"/>
              </w:rPr>
            </w:pPr>
          </w:p>
          <w:p w14:paraId="6819E82A" w14:textId="77777777" w:rsidR="00A516FD" w:rsidRPr="001F63ED" w:rsidRDefault="00A516FD" w:rsidP="00C30DA5">
            <w:pPr>
              <w:rPr>
                <w:rFonts w:ascii="Arial Narrow" w:hAnsi="Arial Narrow"/>
                <w:b/>
                <w:sz w:val="18"/>
                <w:szCs w:val="18"/>
              </w:rPr>
            </w:pPr>
            <w:r w:rsidRPr="001F63ED">
              <w:rPr>
                <w:rFonts w:ascii="Arial Narrow" w:hAnsi="Arial Narrow"/>
                <w:b/>
                <w:sz w:val="18"/>
                <w:szCs w:val="18"/>
              </w:rPr>
              <w:t>Maximum rate for patients with ITP is 2.4 mL/kg/hr as per product information</w:t>
            </w:r>
          </w:p>
        </w:tc>
        <w:tc>
          <w:tcPr>
            <w:tcW w:w="2310" w:type="dxa"/>
          </w:tcPr>
          <w:p w14:paraId="44EC8479" w14:textId="77777777" w:rsidR="00A516FD" w:rsidRPr="001F63ED" w:rsidRDefault="00A516FD" w:rsidP="00C30DA5">
            <w:pPr>
              <w:rPr>
                <w:rFonts w:ascii="Arial Narrow" w:hAnsi="Arial Narrow"/>
                <w:sz w:val="18"/>
                <w:szCs w:val="18"/>
              </w:rPr>
            </w:pPr>
            <w:r w:rsidRPr="001F63ED">
              <w:rPr>
                <w:rFonts w:ascii="Arial Narrow" w:hAnsi="Arial Narrow"/>
                <w:sz w:val="18"/>
                <w:szCs w:val="18"/>
              </w:rPr>
              <w:t>Flebogamma 5% DIF should be infused intravenously at an initial rate of 0.01</w:t>
            </w:r>
            <w:r w:rsidRPr="001F63ED">
              <w:rPr>
                <w:rFonts w:ascii="Arial Narrow" w:hAnsi="Arial Narrow"/>
                <w:sz w:val="18"/>
                <w:szCs w:val="18"/>
              </w:rPr>
              <w:softHyphen/>
            </w:r>
            <w:r w:rsidRPr="001F63ED">
              <w:rPr>
                <w:rFonts w:ascii="Arial Narrow" w:hAnsi="Arial Narrow"/>
                <w:sz w:val="18"/>
                <w:szCs w:val="18"/>
              </w:rPr>
              <w:softHyphen/>
              <w:t xml:space="preserve">–0.02 mL/kg/min for the first 30 minutes. If well tolerated the rate of administration may gradually be increased to a maximum of 0.1 mL/kg/min. </w:t>
            </w:r>
          </w:p>
          <w:p w14:paraId="40A30168" w14:textId="77777777" w:rsidR="00A516FD" w:rsidRPr="001F63ED" w:rsidRDefault="00A516FD" w:rsidP="00C30DA5">
            <w:pPr>
              <w:rPr>
                <w:rFonts w:ascii="Arial Narrow" w:hAnsi="Arial Narrow"/>
                <w:sz w:val="18"/>
                <w:szCs w:val="18"/>
              </w:rPr>
            </w:pPr>
          </w:p>
          <w:p w14:paraId="4879B864" w14:textId="77777777" w:rsidR="00A516FD" w:rsidRPr="001F63ED" w:rsidRDefault="00A516FD" w:rsidP="00C30DA5">
            <w:pPr>
              <w:rPr>
                <w:rFonts w:ascii="Arial Narrow" w:hAnsi="Arial Narrow"/>
                <w:b/>
                <w:sz w:val="18"/>
                <w:szCs w:val="18"/>
              </w:rPr>
            </w:pPr>
            <w:r w:rsidRPr="001F63ED">
              <w:rPr>
                <w:rFonts w:ascii="Arial Narrow" w:hAnsi="Arial Narrow"/>
                <w:b/>
                <w:sz w:val="18"/>
                <w:szCs w:val="18"/>
              </w:rPr>
              <w:t>Maximum infusion rate = 6 mL/kg/hr</w:t>
            </w:r>
          </w:p>
        </w:tc>
        <w:tc>
          <w:tcPr>
            <w:tcW w:w="2311" w:type="dxa"/>
          </w:tcPr>
          <w:p w14:paraId="00A3A45B" w14:textId="77777777" w:rsidR="00A516FD" w:rsidRPr="001F63ED" w:rsidRDefault="00A516FD" w:rsidP="00C30DA5">
            <w:pPr>
              <w:rPr>
                <w:rFonts w:ascii="Arial Narrow" w:hAnsi="Arial Narrow"/>
                <w:sz w:val="18"/>
                <w:szCs w:val="18"/>
              </w:rPr>
            </w:pPr>
            <w:r w:rsidRPr="001F63ED">
              <w:rPr>
                <w:rFonts w:ascii="Arial Narrow" w:hAnsi="Arial Narrow"/>
                <w:sz w:val="18"/>
                <w:szCs w:val="18"/>
              </w:rPr>
              <w:t>Initial rate of 0.01 mL/kg/min for the first 30 minutes.</w:t>
            </w:r>
          </w:p>
          <w:p w14:paraId="20E4EA3D" w14:textId="77777777" w:rsidR="00A516FD" w:rsidRPr="001F63ED" w:rsidRDefault="00A516FD" w:rsidP="00C30DA5">
            <w:pPr>
              <w:rPr>
                <w:rFonts w:ascii="Arial Narrow" w:hAnsi="Arial Narrow"/>
                <w:sz w:val="18"/>
                <w:szCs w:val="18"/>
              </w:rPr>
            </w:pPr>
            <w:r w:rsidRPr="001F63ED">
              <w:rPr>
                <w:rFonts w:ascii="Arial Narrow" w:hAnsi="Arial Narrow"/>
                <w:sz w:val="18"/>
                <w:szCs w:val="18"/>
              </w:rPr>
              <w:t>If tolerated advance to 0.02 mL/kg/min for the second thirty minutes.</w:t>
            </w:r>
          </w:p>
          <w:p w14:paraId="08FADBF7" w14:textId="77777777" w:rsidR="00A516FD" w:rsidRPr="001F63ED" w:rsidRDefault="00A516FD" w:rsidP="00C30DA5">
            <w:pPr>
              <w:rPr>
                <w:rFonts w:ascii="Arial Narrow" w:hAnsi="Arial Narrow"/>
                <w:sz w:val="18"/>
                <w:szCs w:val="18"/>
              </w:rPr>
            </w:pPr>
            <w:r w:rsidRPr="001F63ED">
              <w:rPr>
                <w:rFonts w:ascii="Arial Narrow" w:hAnsi="Arial Narrow"/>
                <w:sz w:val="18"/>
                <w:szCs w:val="18"/>
              </w:rPr>
              <w:t>If tolerated advance to 0.04 mL/kg/min for the third 30 minutes.</w:t>
            </w:r>
          </w:p>
          <w:p w14:paraId="1AD53B62" w14:textId="77777777" w:rsidR="00A516FD" w:rsidRPr="001F63ED" w:rsidRDefault="00A516FD" w:rsidP="00C30DA5">
            <w:pPr>
              <w:rPr>
                <w:rFonts w:ascii="Arial Narrow" w:hAnsi="Arial Narrow"/>
                <w:sz w:val="18"/>
                <w:szCs w:val="18"/>
              </w:rPr>
            </w:pPr>
            <w:r w:rsidRPr="001F63ED">
              <w:rPr>
                <w:rFonts w:ascii="Arial Narrow" w:hAnsi="Arial Narrow"/>
                <w:sz w:val="18"/>
                <w:szCs w:val="18"/>
              </w:rPr>
              <w:t>If tolerated advance to 0.06 mL/kg/min for the fourth thirty minutes.</w:t>
            </w:r>
          </w:p>
          <w:p w14:paraId="0153D39E" w14:textId="77777777" w:rsidR="00A516FD" w:rsidRPr="001F63ED" w:rsidRDefault="00A516FD" w:rsidP="00C30DA5">
            <w:pPr>
              <w:rPr>
                <w:rFonts w:ascii="Arial Narrow" w:hAnsi="Arial Narrow"/>
                <w:sz w:val="18"/>
                <w:szCs w:val="18"/>
              </w:rPr>
            </w:pPr>
            <w:r w:rsidRPr="001F63ED">
              <w:rPr>
                <w:rFonts w:ascii="Arial Narrow" w:hAnsi="Arial Narrow"/>
                <w:sz w:val="18"/>
                <w:szCs w:val="18"/>
              </w:rPr>
              <w:t>If tolerated advance to a maximum rate of 0.08 mL/kg/min for the fifth thirty minutes.</w:t>
            </w:r>
          </w:p>
          <w:p w14:paraId="07EA084A" w14:textId="77777777" w:rsidR="00A516FD" w:rsidRPr="001F63ED" w:rsidRDefault="00A516FD" w:rsidP="00C30DA5">
            <w:pPr>
              <w:rPr>
                <w:rFonts w:ascii="Arial Narrow" w:hAnsi="Arial Narrow"/>
                <w:sz w:val="18"/>
                <w:szCs w:val="18"/>
              </w:rPr>
            </w:pPr>
          </w:p>
          <w:p w14:paraId="384CBD56" w14:textId="77777777" w:rsidR="00A516FD" w:rsidRPr="001F63ED" w:rsidRDefault="00A516FD" w:rsidP="00C30DA5">
            <w:pPr>
              <w:rPr>
                <w:rFonts w:ascii="Arial Narrow" w:hAnsi="Arial Narrow"/>
                <w:b/>
                <w:sz w:val="18"/>
                <w:szCs w:val="18"/>
              </w:rPr>
            </w:pPr>
            <w:r w:rsidRPr="001F63ED">
              <w:rPr>
                <w:rFonts w:ascii="Arial Narrow" w:hAnsi="Arial Narrow"/>
                <w:b/>
                <w:sz w:val="18"/>
                <w:szCs w:val="18"/>
              </w:rPr>
              <w:t>Maximum infusion rate = 4.8 mL/kg/hr</w:t>
            </w:r>
          </w:p>
        </w:tc>
      </w:tr>
    </w:tbl>
    <w:p w14:paraId="2563583E" w14:textId="77777777" w:rsidR="00A516FD" w:rsidRPr="001F63ED" w:rsidRDefault="00A516FD" w:rsidP="00A516FD">
      <w:pPr>
        <w:spacing w:after="0"/>
        <w:rPr>
          <w:rFonts w:ascii="Arial Narrow" w:hAnsi="Arial Narrow"/>
          <w:sz w:val="18"/>
          <w:szCs w:val="18"/>
        </w:rPr>
      </w:pPr>
      <w:r w:rsidRPr="001F63ED">
        <w:rPr>
          <w:rFonts w:ascii="Arial Narrow" w:hAnsi="Arial Narrow"/>
          <w:b/>
          <w:sz w:val="18"/>
          <w:szCs w:val="18"/>
        </w:rPr>
        <w:t xml:space="preserve">Source: </w:t>
      </w:r>
      <w:r w:rsidRPr="001F63ED">
        <w:rPr>
          <w:rFonts w:ascii="Arial Narrow" w:hAnsi="Arial Narrow"/>
          <w:sz w:val="18"/>
          <w:szCs w:val="18"/>
        </w:rPr>
        <w:t>adapted from Appendix A of IVIg Clinical Practice Guideline Template, Victorian Department of Health.</w:t>
      </w:r>
      <w:r w:rsidRPr="001F63ED">
        <w:rPr>
          <w:rFonts w:ascii="Arial Narrow" w:hAnsi="Arial Narrow"/>
          <w:sz w:val="18"/>
          <w:szCs w:val="18"/>
        </w:rPr>
        <w:fldChar w:fldCharType="begin"/>
      </w:r>
      <w:r>
        <w:rPr>
          <w:rFonts w:ascii="Arial Narrow" w:hAnsi="Arial Narrow"/>
          <w:sz w:val="18"/>
          <w:szCs w:val="18"/>
        </w:rPr>
        <w:instrText xml:space="preserve"> ADDIN EN.CITE &lt;EndNote&gt;&lt;Cite&gt;&lt;Author&gt;Department of Health and Human Services&lt;/Author&gt;&lt;Year&gt;2018&lt;/Year&gt;&lt;RecNum&gt;17&lt;/RecNum&gt;&lt;DisplayText&gt;&lt;style face="superscript"&gt;17&lt;/style&gt;&lt;/DisplayText&gt;&lt;record&gt;&lt;rec-number&gt;17&lt;/rec-number&gt;&lt;foreign-keys&gt;&lt;key app="EN" db-id="pzpr9fpzq5dfrrefpetx2pfn5fz5e2r0vtdf" timestamp="1569974322"&gt;17&lt;/key&gt;&lt;/foreign-keys&gt;&lt;ref-type name="Web Page"&gt;12&lt;/ref-type&gt;&lt;contributors&gt;&lt;authors&gt;&lt;author&gt;Department of Health and Human Services, State Government of Victoria,&lt;/author&gt;&lt;/authors&gt;&lt;/contributors&gt;&lt;titles&gt;&lt;title&gt;Intravenous immunoglobulin (IVIg) Clinical Practice Guideline template&lt;/title&gt;&lt;/titles&gt;&lt;volume&gt;2019&lt;/volume&gt;&lt;number&gt;2nd October&lt;/number&gt;&lt;dates&gt;&lt;year&gt;2018&lt;/year&gt;&lt;/dates&gt;&lt;pub-location&gt;Australia&lt;/pub-location&gt;&lt;publisher&gt;Department of Health and Human Services, State Government of Victoria&lt;/publisher&gt;&lt;urls&gt;&lt;related-urls&gt;&lt;url&gt;&lt;style face="underline" font="default" size="100%"&gt;https://www2.health.vic.gov.au/hospitals-and-health-services/patient-care/speciality-diagnostics-therapeutics/blood-matters/ivig-changes-to-supply&lt;/style&gt;&lt;/url&gt;&lt;/related-urls&gt;&lt;/urls&gt;&lt;/record&gt;&lt;/Cite&gt;&lt;/EndNote&gt;</w:instrText>
      </w:r>
      <w:r w:rsidRPr="001F63ED">
        <w:rPr>
          <w:rFonts w:ascii="Arial Narrow" w:hAnsi="Arial Narrow"/>
          <w:sz w:val="18"/>
          <w:szCs w:val="18"/>
        </w:rPr>
        <w:fldChar w:fldCharType="separate"/>
      </w:r>
      <w:r w:rsidRPr="00A516FD">
        <w:rPr>
          <w:rFonts w:ascii="Arial Narrow" w:hAnsi="Arial Narrow"/>
          <w:noProof/>
          <w:sz w:val="18"/>
          <w:szCs w:val="18"/>
          <w:vertAlign w:val="superscript"/>
        </w:rPr>
        <w:t>17</w:t>
      </w:r>
      <w:r w:rsidRPr="001F63ED">
        <w:rPr>
          <w:rFonts w:ascii="Arial Narrow" w:hAnsi="Arial Narrow"/>
          <w:sz w:val="18"/>
          <w:szCs w:val="18"/>
        </w:rPr>
        <w:fldChar w:fldCharType="end"/>
      </w:r>
      <w:r w:rsidRPr="001F63ED">
        <w:rPr>
          <w:rFonts w:ascii="Arial Narrow" w:hAnsi="Arial Narrow"/>
          <w:sz w:val="18"/>
          <w:szCs w:val="18"/>
        </w:rPr>
        <w:t xml:space="preserve"> </w:t>
      </w:r>
    </w:p>
    <w:p w14:paraId="6F3CFB64" w14:textId="77777777" w:rsidR="00A516FD" w:rsidRPr="001F63ED" w:rsidRDefault="00A516FD" w:rsidP="00A516FD">
      <w:pPr>
        <w:rPr>
          <w:rFonts w:ascii="Arial Narrow" w:hAnsi="Arial Narrow"/>
          <w:sz w:val="18"/>
          <w:szCs w:val="18"/>
        </w:rPr>
      </w:pPr>
      <w:r w:rsidRPr="001F63ED">
        <w:rPr>
          <w:rFonts w:ascii="Arial Narrow" w:hAnsi="Arial Narrow"/>
          <w:b/>
          <w:sz w:val="18"/>
          <w:szCs w:val="18"/>
        </w:rPr>
        <w:t>Abbreviations</w:t>
      </w:r>
      <w:r w:rsidRPr="001F63ED">
        <w:rPr>
          <w:rFonts w:ascii="Arial Narrow" w:hAnsi="Arial Narrow"/>
          <w:sz w:val="18"/>
          <w:szCs w:val="18"/>
        </w:rPr>
        <w:t>: ITP: Immune Thrombocytopenic Purpura</w:t>
      </w:r>
    </w:p>
    <w:p w14:paraId="1185265D" w14:textId="7877B601" w:rsidR="00A516FD" w:rsidRDefault="00A516FD" w:rsidP="00A516FD">
      <w:r>
        <w:t xml:space="preserve">The </w:t>
      </w:r>
      <w:r w:rsidR="00DE5712">
        <w:t>Applicant</w:t>
      </w:r>
      <w:r>
        <w:t xml:space="preserve"> reports that for an 80 kg person, with a dosage of 0.4 g/kg (32 g in total of a 10% Ig product), the dose could be administered over the course of a few hours, including day-admission, identification, cannulation and set-up, infusion and post-infusion monitoring. Using infusion rates outlined in the product information sheet for Intragam 10 a minimum total infusion time of 100 minutes for an 80 kg person is calculated. </w:t>
      </w:r>
      <w:r w:rsidR="008A7601">
        <w:t xml:space="preserve">However, the </w:t>
      </w:r>
      <w:r w:rsidR="00DE5712">
        <w:t>Applicant</w:t>
      </w:r>
      <w:r w:rsidR="008A7601">
        <w:t xml:space="preserve"> notes </w:t>
      </w:r>
      <w:r>
        <w:t xml:space="preserve">that the infusion rate could </w:t>
      </w:r>
      <w:r w:rsidR="008A7601">
        <w:t xml:space="preserve">be </w:t>
      </w:r>
      <w:r>
        <w:t>reduce</w:t>
      </w:r>
      <w:r w:rsidR="008A7601">
        <w:t>d</w:t>
      </w:r>
      <w:r>
        <w:t xml:space="preserve"> for various reasons, e.g. adverse events (Referral Form, page 16).</w:t>
      </w:r>
    </w:p>
    <w:p w14:paraId="3C1D7B27" w14:textId="77777777" w:rsidR="00A516FD" w:rsidRDefault="00A516FD" w:rsidP="005C1782">
      <w:pPr>
        <w:pStyle w:val="Heading5"/>
      </w:pPr>
      <w:r w:rsidRPr="00474FDF">
        <w:t>SCIg infusion rates</w:t>
      </w:r>
    </w:p>
    <w:p w14:paraId="520A57F1" w14:textId="7A7C2AC2" w:rsidR="00A516FD" w:rsidRDefault="00A516FD" w:rsidP="00A516FD">
      <w:r>
        <w:t xml:space="preserve">Infusion rates for the two SCIg products that are currently ARTG listed and NBA funded </w:t>
      </w:r>
      <w:r w:rsidR="005B6DBE">
        <w:t>for PID, as recommended in the S</w:t>
      </w:r>
      <w:r>
        <w:t>ubcutaneous</w:t>
      </w:r>
      <w:r w:rsidR="005B6DBE">
        <w:t xml:space="preserve"> immunoglobulin</w:t>
      </w:r>
      <w:r>
        <w:t xml:space="preserve"> (SCIg) Clinical Practice Guidance Principles document produced by the Victorian Department of Health, are outlined in </w:t>
      </w:r>
      <w:r>
        <w:fldChar w:fldCharType="begin"/>
      </w:r>
      <w:r>
        <w:instrText xml:space="preserve"> REF _Ref20911005 \h </w:instrText>
      </w:r>
      <w:r>
        <w:fldChar w:fldCharType="separate"/>
      </w:r>
      <w:r w:rsidR="008D6208">
        <w:t xml:space="preserve">Table </w:t>
      </w:r>
      <w:r w:rsidR="008D6208">
        <w:rPr>
          <w:noProof/>
        </w:rPr>
        <w:t>8</w:t>
      </w:r>
      <w:r>
        <w:fldChar w:fldCharType="end"/>
      </w:r>
      <w:r>
        <w:t>.</w:t>
      </w:r>
      <w:r>
        <w:fldChar w:fldCharType="begin"/>
      </w:r>
      <w:r>
        <w:instrText xml:space="preserve"> ADDIN EN.CITE &lt;EndNote&gt;&lt;Cite&gt;&lt;Author&gt;Department of Health and Human Services&lt;/Author&gt;&lt;Year&gt;2019&lt;/Year&gt;&lt;RecNum&gt;20&lt;/RecNum&gt;&lt;DisplayText&gt;&lt;style face="superscript"&gt;19&lt;/style&gt;&lt;/DisplayText&gt;&lt;record&gt;&lt;rec-number&gt;20&lt;/rec-number&gt;&lt;foreign-keys&gt;&lt;key app="EN" db-id="pzpr9fpzq5dfrrefpetx2pfn5fz5e2r0vtdf" timestamp="1569983783"&gt;20&lt;/key&gt;&lt;/foreign-keys&gt;&lt;ref-type name="Web Page"&gt;12&lt;/ref-type&gt;&lt;contributors&gt;&lt;authors&gt;&lt;author&gt;Department of Health and Human Services, State Government of Victoria,&lt;/author&gt;&lt;/authors&gt;&lt;/contributors&gt;&lt;titles&gt;&lt;title&gt;Subcutaneous Immunoglobulin (SCIg) Clinical Practice Guidance Principles&lt;/title&gt;&lt;/titles&gt;&lt;volume&gt;2019&lt;/volume&gt;&lt;number&gt;2nd October&lt;/number&gt;&lt;dates&gt;&lt;year&gt;2019&lt;/year&gt;&lt;/dates&gt;&lt;pub-location&gt;Australia&lt;/pub-location&gt;&lt;publisher&gt;Department of Health and Human Services, State Government of Victoria&lt;/publisher&gt;&lt;urls&gt;&lt;related-urls&gt;&lt;url&gt;&lt;style face="underline" font="default" size="100%"&gt;https://www2.health.vic.gov.au/-/media/health/files/collections/forms-and-templates/s/scig-clinical-practice-guidance-principles.pdf?la=en&amp;amp;hash=85378A7F2557DCDA79F9F83F0F4BC8033D0A2E8F&lt;/style&gt;&lt;/url&gt;&lt;/related-urls&gt;&lt;/urls&gt;&lt;/record&gt;&lt;/Cite&gt;&lt;/EndNote&gt;</w:instrText>
      </w:r>
      <w:r>
        <w:fldChar w:fldCharType="separate"/>
      </w:r>
      <w:r w:rsidRPr="00A516FD">
        <w:rPr>
          <w:noProof/>
          <w:vertAlign w:val="superscript"/>
        </w:rPr>
        <w:t>19</w:t>
      </w:r>
      <w:r>
        <w:fldChar w:fldCharType="end"/>
      </w:r>
    </w:p>
    <w:p w14:paraId="71DC8B0B" w14:textId="31C4B6A7" w:rsidR="00A516FD" w:rsidRDefault="00A516FD" w:rsidP="00A516FD">
      <w:pPr>
        <w:pStyle w:val="Caption"/>
      </w:pPr>
      <w:bookmarkStart w:id="11" w:name="_Ref20911005"/>
      <w:r>
        <w:t xml:space="preserve">Table </w:t>
      </w:r>
      <w:r>
        <w:fldChar w:fldCharType="begin"/>
      </w:r>
      <w:r>
        <w:instrText xml:space="preserve"> SEQ Table \* ARABIC </w:instrText>
      </w:r>
      <w:r>
        <w:fldChar w:fldCharType="separate"/>
      </w:r>
      <w:r w:rsidR="008D6208">
        <w:rPr>
          <w:noProof/>
        </w:rPr>
        <w:t>8</w:t>
      </w:r>
      <w:r>
        <w:fldChar w:fldCharType="end"/>
      </w:r>
      <w:bookmarkEnd w:id="11"/>
      <w:r>
        <w:t xml:space="preserve"> </w:t>
      </w:r>
      <w:r>
        <w:tab/>
      </w:r>
      <w:r w:rsidRPr="00A36117">
        <w:t xml:space="preserve">Rates of infusion for </w:t>
      </w:r>
      <w:r>
        <w:t>the two</w:t>
      </w:r>
      <w:r w:rsidRPr="00A36117">
        <w:t xml:space="preserve"> </w:t>
      </w:r>
      <w:r>
        <w:t>SC</w:t>
      </w:r>
      <w:r w:rsidRPr="00A36117">
        <w:t xml:space="preserve">Ig products NBA funded for PID with antibody deficiency as outlined in </w:t>
      </w:r>
      <w:r>
        <w:t xml:space="preserve">a </w:t>
      </w:r>
      <w:r w:rsidRPr="00A36117">
        <w:t>Clinical Practice Guid</w:t>
      </w:r>
      <w:r>
        <w:t>ance</w:t>
      </w:r>
      <w:r w:rsidRPr="00A36117">
        <w:t xml:space="preserve"> </w:t>
      </w:r>
      <w:r>
        <w:t xml:space="preserve">document produced </w:t>
      </w:r>
      <w:r w:rsidRPr="00A36117">
        <w:t>by the Victorian Department o</w:t>
      </w:r>
      <w:r>
        <w:t>f Health</w:t>
      </w:r>
      <w:r>
        <w:fldChar w:fldCharType="begin"/>
      </w:r>
      <w:r>
        <w:instrText xml:space="preserve"> ADDIN EN.CITE &lt;EndNote&gt;&lt;Cite&gt;&lt;Author&gt;Department of Health and Human Services&lt;/Author&gt;&lt;Year&gt;2019&lt;/Year&gt;&lt;RecNum&gt;20&lt;/RecNum&gt;&lt;DisplayText&gt;&lt;style face="superscript"&gt;19&lt;/style&gt;&lt;/DisplayText&gt;&lt;record&gt;&lt;rec-number&gt;20&lt;/rec-number&gt;&lt;foreign-keys&gt;&lt;key app="EN" db-id="pzpr9fpzq5dfrrefpetx2pfn5fz5e2r0vtdf" timestamp="1569983783"&gt;20&lt;/key&gt;&lt;/foreign-keys&gt;&lt;ref-type name="Web Page"&gt;12&lt;/ref-type&gt;&lt;contributors&gt;&lt;authors&gt;&lt;author&gt;Department of Health and Human Services, State Government of Victoria,&lt;/author&gt;&lt;/authors&gt;&lt;/contributors&gt;&lt;titles&gt;&lt;title&gt;Subcutaneous Immunoglobulin (SCIg) Clinical Practice Guidance Principles&lt;/title&gt;&lt;/titles&gt;&lt;volume&gt;2019&lt;/volume&gt;&lt;number&gt;2nd October&lt;/number&gt;&lt;dates&gt;&lt;year&gt;2019&lt;/year&gt;&lt;/dates&gt;&lt;pub-location&gt;Australia&lt;/pub-location&gt;&lt;publisher&gt;Department of Health and Human Services, State Government of Victoria&lt;/publisher&gt;&lt;urls&gt;&lt;related-urls&gt;&lt;url&gt;&lt;style face="underline" font="default" size="100%"&gt;https://www2.health.vic.gov.au/-/media/health/files/collections/forms-and-templates/s/scig-clinical-practice-guidance-principles.pdf?la=en&amp;amp;hash=85378A7F2557DCDA79F9F83F0F4BC8033D0A2E8F&lt;/style&gt;&lt;/url&gt;&lt;/related-urls&gt;&lt;/urls&gt;&lt;/record&gt;&lt;/Cite&gt;&lt;/EndNote&gt;</w:instrText>
      </w:r>
      <w:r>
        <w:fldChar w:fldCharType="separate"/>
      </w:r>
      <w:r w:rsidRPr="00A516FD">
        <w:rPr>
          <w:noProof/>
          <w:vertAlign w:val="superscript"/>
        </w:rPr>
        <w:t>19</w:t>
      </w:r>
      <w:r>
        <w:fldChar w:fldCharType="end"/>
      </w:r>
    </w:p>
    <w:tbl>
      <w:tblPr>
        <w:tblStyle w:val="TableGrid"/>
        <w:tblW w:w="0" w:type="auto"/>
        <w:tblLook w:val="04A0" w:firstRow="1" w:lastRow="0" w:firstColumn="1" w:lastColumn="0" w:noHBand="0" w:noVBand="1"/>
        <w:tblCaption w:val="Table 8  Rates of infusion for the two SCIg products NBA funded for PID with antibody deficiency as outlined in a Clinical Practice Guidance document produced by the Victorian Department of Health"/>
        <w:tblDescription w:val="This is a table displaying the rates of infusion for the two SCIg products found in the Clinical Practice Guidance document by the Victorian Department of Health."/>
      </w:tblPr>
      <w:tblGrid>
        <w:gridCol w:w="4361"/>
        <w:gridCol w:w="4536"/>
      </w:tblGrid>
      <w:tr w:rsidR="00A516FD" w:rsidRPr="001F63ED" w14:paraId="770F83AE" w14:textId="77777777" w:rsidTr="005D10B0">
        <w:trPr>
          <w:tblHeader/>
        </w:trPr>
        <w:tc>
          <w:tcPr>
            <w:tcW w:w="4361" w:type="dxa"/>
            <w:shd w:val="clear" w:color="auto" w:fill="D9D9D9" w:themeFill="background1" w:themeFillShade="D9"/>
          </w:tcPr>
          <w:p w14:paraId="34CF24AD" w14:textId="77777777" w:rsidR="00A516FD" w:rsidRPr="001F63ED" w:rsidRDefault="00A516FD" w:rsidP="00C30DA5">
            <w:pPr>
              <w:rPr>
                <w:rFonts w:ascii="Arial Narrow" w:hAnsi="Arial Narrow"/>
                <w:b/>
                <w:sz w:val="18"/>
                <w:szCs w:val="18"/>
              </w:rPr>
            </w:pPr>
            <w:r>
              <w:rPr>
                <w:rFonts w:ascii="Arial Narrow" w:hAnsi="Arial Narrow"/>
                <w:b/>
                <w:sz w:val="18"/>
                <w:szCs w:val="18"/>
              </w:rPr>
              <w:t>Evogam®</w:t>
            </w:r>
          </w:p>
        </w:tc>
        <w:tc>
          <w:tcPr>
            <w:tcW w:w="4536" w:type="dxa"/>
            <w:shd w:val="clear" w:color="auto" w:fill="D9D9D9" w:themeFill="background1" w:themeFillShade="D9"/>
          </w:tcPr>
          <w:p w14:paraId="09BEC81C" w14:textId="77777777" w:rsidR="00A516FD" w:rsidRPr="001F63ED" w:rsidRDefault="00A516FD" w:rsidP="00C30DA5">
            <w:pPr>
              <w:rPr>
                <w:rFonts w:ascii="Arial Narrow" w:hAnsi="Arial Narrow"/>
                <w:b/>
                <w:sz w:val="18"/>
                <w:szCs w:val="18"/>
              </w:rPr>
            </w:pPr>
            <w:r>
              <w:rPr>
                <w:rFonts w:ascii="Arial Narrow" w:hAnsi="Arial Narrow"/>
                <w:b/>
                <w:sz w:val="18"/>
                <w:szCs w:val="18"/>
              </w:rPr>
              <w:t>Hizentra®</w:t>
            </w:r>
          </w:p>
        </w:tc>
      </w:tr>
      <w:tr w:rsidR="00A516FD" w:rsidRPr="001F63ED" w14:paraId="17C09F29" w14:textId="77777777" w:rsidTr="00C30DA5">
        <w:tc>
          <w:tcPr>
            <w:tcW w:w="4361" w:type="dxa"/>
          </w:tcPr>
          <w:p w14:paraId="293B9C2E" w14:textId="77777777" w:rsidR="00A516FD" w:rsidRDefault="00A516FD" w:rsidP="00C30DA5">
            <w:pPr>
              <w:rPr>
                <w:rFonts w:ascii="Arial Narrow" w:hAnsi="Arial Narrow"/>
                <w:sz w:val="18"/>
                <w:szCs w:val="18"/>
              </w:rPr>
            </w:pPr>
            <w:r>
              <w:rPr>
                <w:rFonts w:ascii="Arial Narrow" w:hAnsi="Arial Narrow"/>
                <w:sz w:val="18"/>
                <w:szCs w:val="18"/>
              </w:rPr>
              <w:t>Evogam® dose and dosage interval must be individualised from each patient based on serum IgG trough levels and clinical response</w:t>
            </w:r>
          </w:p>
          <w:p w14:paraId="6EE34ED3" w14:textId="77777777" w:rsidR="00A516FD" w:rsidRDefault="00A516FD" w:rsidP="00C30DA5">
            <w:pPr>
              <w:rPr>
                <w:rFonts w:ascii="Arial Narrow" w:hAnsi="Arial Narrow"/>
                <w:sz w:val="18"/>
                <w:szCs w:val="18"/>
              </w:rPr>
            </w:pPr>
          </w:p>
          <w:p w14:paraId="2153E4BF" w14:textId="77777777" w:rsidR="00A516FD" w:rsidRDefault="00A516FD" w:rsidP="00C30DA5">
            <w:pPr>
              <w:rPr>
                <w:rFonts w:ascii="Arial Narrow" w:hAnsi="Arial Narrow"/>
                <w:sz w:val="18"/>
                <w:szCs w:val="18"/>
              </w:rPr>
            </w:pPr>
            <w:r>
              <w:rPr>
                <w:rFonts w:ascii="Arial Narrow" w:hAnsi="Arial Narrow"/>
                <w:sz w:val="18"/>
                <w:szCs w:val="18"/>
              </w:rPr>
              <w:t>Dosage guideline: 0.2–0.6 g/kg/body weight monthly</w:t>
            </w:r>
          </w:p>
          <w:p w14:paraId="2A7B430A" w14:textId="77777777" w:rsidR="00A516FD" w:rsidRDefault="00A516FD" w:rsidP="00C30DA5">
            <w:pPr>
              <w:rPr>
                <w:rFonts w:ascii="Arial Narrow" w:hAnsi="Arial Narrow"/>
                <w:sz w:val="18"/>
                <w:szCs w:val="18"/>
              </w:rPr>
            </w:pPr>
          </w:p>
          <w:p w14:paraId="55C78D54" w14:textId="77777777" w:rsidR="00A516FD" w:rsidRDefault="00A516FD" w:rsidP="00C30DA5">
            <w:pPr>
              <w:rPr>
                <w:rFonts w:ascii="Arial Narrow" w:hAnsi="Arial Narrow"/>
                <w:sz w:val="18"/>
                <w:szCs w:val="18"/>
              </w:rPr>
            </w:pPr>
            <w:r>
              <w:rPr>
                <w:rFonts w:ascii="Arial Narrow" w:hAnsi="Arial Narrow"/>
                <w:sz w:val="18"/>
                <w:szCs w:val="18"/>
              </w:rPr>
              <w:t>Recommended initial infusion rate is 10 mL/hr gradually increased to 20 mL/hr</w:t>
            </w:r>
          </w:p>
          <w:p w14:paraId="6385C048" w14:textId="77777777" w:rsidR="00A516FD" w:rsidRDefault="00A516FD" w:rsidP="00C30DA5">
            <w:pPr>
              <w:rPr>
                <w:rFonts w:ascii="Arial Narrow" w:hAnsi="Arial Narrow"/>
                <w:sz w:val="18"/>
                <w:szCs w:val="18"/>
              </w:rPr>
            </w:pPr>
          </w:p>
          <w:p w14:paraId="1D2E7229" w14:textId="77777777" w:rsidR="00A516FD" w:rsidRPr="001F63ED" w:rsidRDefault="00A516FD" w:rsidP="00C30DA5">
            <w:pPr>
              <w:rPr>
                <w:rFonts w:ascii="Arial Narrow" w:hAnsi="Arial Narrow"/>
                <w:sz w:val="18"/>
                <w:szCs w:val="18"/>
              </w:rPr>
            </w:pPr>
            <w:r>
              <w:rPr>
                <w:rFonts w:ascii="Arial Narrow" w:hAnsi="Arial Narrow"/>
                <w:sz w:val="18"/>
                <w:szCs w:val="18"/>
              </w:rPr>
              <w:t>If large doses are given &gt; 20 mL/site administration via multiple sites is recommended</w:t>
            </w:r>
          </w:p>
        </w:tc>
        <w:tc>
          <w:tcPr>
            <w:tcW w:w="4536" w:type="dxa"/>
          </w:tcPr>
          <w:p w14:paraId="19DE46DE" w14:textId="77777777" w:rsidR="00A516FD" w:rsidRDefault="00A516FD" w:rsidP="00C30DA5">
            <w:pPr>
              <w:rPr>
                <w:rFonts w:ascii="Arial Narrow" w:hAnsi="Arial Narrow"/>
                <w:sz w:val="18"/>
                <w:szCs w:val="18"/>
              </w:rPr>
            </w:pPr>
            <w:r>
              <w:rPr>
                <w:rFonts w:ascii="Arial Narrow" w:hAnsi="Arial Narrow"/>
                <w:sz w:val="18"/>
                <w:szCs w:val="18"/>
              </w:rPr>
              <w:t>Hizentra® loading dose of at least 0.2–0.5 g/kg body weight may be required.</w:t>
            </w:r>
          </w:p>
          <w:p w14:paraId="7F51806C" w14:textId="77777777" w:rsidR="00A516FD" w:rsidRDefault="00A516FD" w:rsidP="00C30DA5">
            <w:pPr>
              <w:rPr>
                <w:rFonts w:ascii="Arial Narrow" w:hAnsi="Arial Narrow"/>
                <w:sz w:val="18"/>
                <w:szCs w:val="18"/>
              </w:rPr>
            </w:pPr>
          </w:p>
          <w:p w14:paraId="74B89DE7" w14:textId="77777777" w:rsidR="00A516FD" w:rsidRDefault="00A516FD" w:rsidP="00C30DA5">
            <w:pPr>
              <w:rPr>
                <w:rFonts w:ascii="Arial Narrow" w:hAnsi="Arial Narrow"/>
                <w:sz w:val="18"/>
                <w:szCs w:val="18"/>
              </w:rPr>
            </w:pPr>
            <w:r>
              <w:rPr>
                <w:rFonts w:ascii="Arial Narrow" w:hAnsi="Arial Narrow"/>
                <w:sz w:val="18"/>
                <w:szCs w:val="18"/>
              </w:rPr>
              <w:t>Maintenance dose of 0.4–0.8 g/kg of body weight depending on patient’s clinical response and serum IgG trough levels.</w:t>
            </w:r>
          </w:p>
          <w:p w14:paraId="698E8BB2" w14:textId="77777777" w:rsidR="00A516FD" w:rsidRDefault="00A516FD" w:rsidP="00C30DA5">
            <w:pPr>
              <w:rPr>
                <w:rFonts w:ascii="Arial Narrow" w:hAnsi="Arial Narrow"/>
                <w:sz w:val="18"/>
                <w:szCs w:val="18"/>
              </w:rPr>
            </w:pPr>
          </w:p>
          <w:p w14:paraId="1C921158" w14:textId="77777777" w:rsidR="00A516FD" w:rsidRDefault="00A516FD" w:rsidP="00C30DA5">
            <w:pPr>
              <w:rPr>
                <w:rFonts w:ascii="Arial Narrow" w:hAnsi="Arial Narrow"/>
                <w:sz w:val="18"/>
                <w:szCs w:val="18"/>
              </w:rPr>
            </w:pPr>
            <w:r>
              <w:rPr>
                <w:rFonts w:ascii="Arial Narrow" w:hAnsi="Arial Narrow"/>
                <w:sz w:val="18"/>
                <w:szCs w:val="18"/>
              </w:rPr>
              <w:t>Initial infusion rate depending on patient needs should not exceed 15 mL/hr/site. If well tolerated infusion rate can be gradually increased to 25 mL/hr/site</w:t>
            </w:r>
          </w:p>
          <w:p w14:paraId="2AB0231A" w14:textId="77777777" w:rsidR="00A516FD" w:rsidRDefault="00A516FD" w:rsidP="00C30DA5">
            <w:pPr>
              <w:rPr>
                <w:rFonts w:ascii="Arial Narrow" w:hAnsi="Arial Narrow"/>
                <w:sz w:val="18"/>
                <w:szCs w:val="18"/>
              </w:rPr>
            </w:pPr>
          </w:p>
          <w:p w14:paraId="423F76E2" w14:textId="77777777" w:rsidR="00A516FD" w:rsidRPr="00BE52C1" w:rsidRDefault="00A516FD" w:rsidP="00C30DA5">
            <w:pPr>
              <w:rPr>
                <w:rFonts w:ascii="Arial Narrow" w:hAnsi="Arial Narrow"/>
                <w:sz w:val="18"/>
                <w:szCs w:val="18"/>
              </w:rPr>
            </w:pPr>
            <w:r>
              <w:rPr>
                <w:rFonts w:ascii="Arial Narrow" w:hAnsi="Arial Narrow"/>
                <w:sz w:val="18"/>
                <w:szCs w:val="18"/>
              </w:rPr>
              <w:t>If larger doses are given &gt; 25 mL/site administration via multiple sites is recommended</w:t>
            </w:r>
          </w:p>
        </w:tc>
      </w:tr>
    </w:tbl>
    <w:p w14:paraId="53A6A051" w14:textId="77777777" w:rsidR="00A516FD" w:rsidRPr="001F63ED" w:rsidRDefault="00A516FD" w:rsidP="00A516FD">
      <w:r w:rsidRPr="001F63ED">
        <w:rPr>
          <w:rFonts w:ascii="Arial Narrow" w:hAnsi="Arial Narrow"/>
          <w:b/>
          <w:sz w:val="18"/>
          <w:szCs w:val="18"/>
        </w:rPr>
        <w:t xml:space="preserve">Source: </w:t>
      </w:r>
      <w:r w:rsidRPr="001F63ED">
        <w:rPr>
          <w:rFonts w:ascii="Arial Narrow" w:hAnsi="Arial Narrow"/>
          <w:sz w:val="18"/>
          <w:szCs w:val="18"/>
        </w:rPr>
        <w:t xml:space="preserve">adapted from Appendix A of </w:t>
      </w:r>
      <w:r>
        <w:rPr>
          <w:rFonts w:ascii="Arial Narrow" w:hAnsi="Arial Narrow"/>
          <w:sz w:val="18"/>
          <w:szCs w:val="18"/>
        </w:rPr>
        <w:t>SCIg</w:t>
      </w:r>
      <w:r w:rsidRPr="001F63ED">
        <w:rPr>
          <w:rFonts w:ascii="Arial Narrow" w:hAnsi="Arial Narrow"/>
          <w:sz w:val="18"/>
          <w:szCs w:val="18"/>
        </w:rPr>
        <w:t xml:space="preserve"> Clinical Practice Guid</w:t>
      </w:r>
      <w:r>
        <w:rPr>
          <w:rFonts w:ascii="Arial Narrow" w:hAnsi="Arial Narrow"/>
          <w:sz w:val="18"/>
          <w:szCs w:val="18"/>
        </w:rPr>
        <w:t>ance Principles,</w:t>
      </w:r>
      <w:r w:rsidRPr="001F63ED">
        <w:rPr>
          <w:rFonts w:ascii="Arial Narrow" w:hAnsi="Arial Narrow"/>
          <w:sz w:val="18"/>
          <w:szCs w:val="18"/>
        </w:rPr>
        <w:t xml:space="preserve"> Victorian Department of Health</w:t>
      </w:r>
      <w:r>
        <w:rPr>
          <w:rFonts w:ascii="Arial Narrow" w:hAnsi="Arial Narrow"/>
          <w:sz w:val="18"/>
          <w:szCs w:val="18"/>
        </w:rPr>
        <w:fldChar w:fldCharType="begin"/>
      </w:r>
      <w:r>
        <w:rPr>
          <w:rFonts w:ascii="Arial Narrow" w:hAnsi="Arial Narrow"/>
          <w:sz w:val="18"/>
          <w:szCs w:val="18"/>
        </w:rPr>
        <w:instrText xml:space="preserve"> ADDIN EN.CITE &lt;EndNote&gt;&lt;Cite&gt;&lt;Author&gt;Department of Health and Human Services&lt;/Author&gt;&lt;Year&gt;2019&lt;/Year&gt;&lt;RecNum&gt;20&lt;/RecNum&gt;&lt;DisplayText&gt;&lt;style face="superscript"&gt;19&lt;/style&gt;&lt;/DisplayText&gt;&lt;record&gt;&lt;rec-number&gt;20&lt;/rec-number&gt;&lt;foreign-keys&gt;&lt;key app="EN" db-id="pzpr9fpzq5dfrrefpetx2pfn5fz5e2r0vtdf" timestamp="1569983783"&gt;20&lt;/key&gt;&lt;/foreign-keys&gt;&lt;ref-type name="Web Page"&gt;12&lt;/ref-type&gt;&lt;contributors&gt;&lt;authors&gt;&lt;author&gt;Department of Health and Human Services, State Government of Victoria,&lt;/author&gt;&lt;/authors&gt;&lt;/contributors&gt;&lt;titles&gt;&lt;title&gt;Subcutaneous Immunoglobulin (SCIg) Clinical Practice Guidance Principles&lt;/title&gt;&lt;/titles&gt;&lt;volume&gt;2019&lt;/volume&gt;&lt;number&gt;2nd October&lt;/number&gt;&lt;dates&gt;&lt;year&gt;2019&lt;/year&gt;&lt;/dates&gt;&lt;pub-location&gt;Australia&lt;/pub-location&gt;&lt;publisher&gt;Department of Health and Human Services, State Government of Victoria&lt;/publisher&gt;&lt;urls&gt;&lt;related-urls&gt;&lt;url&gt;&lt;style face="underline" font="default" size="100%"&gt;https://www2.health.vic.gov.au/-/media/health/files/collections/forms-and-templates/s/scig-clinical-practice-guidance-principles.pdf?la=en&amp;amp;hash=85378A7F2557DCDA79F9F83F0F4BC8033D0A2E8F&lt;/style&gt;&lt;/url&gt;&lt;/related-urls&gt;&lt;/urls&gt;&lt;/record&gt;&lt;/Cite&gt;&lt;/EndNote&gt;</w:instrText>
      </w:r>
      <w:r>
        <w:rPr>
          <w:rFonts w:ascii="Arial Narrow" w:hAnsi="Arial Narrow"/>
          <w:sz w:val="18"/>
          <w:szCs w:val="18"/>
        </w:rPr>
        <w:fldChar w:fldCharType="separate"/>
      </w:r>
      <w:r w:rsidRPr="00A516FD">
        <w:rPr>
          <w:rFonts w:ascii="Arial Narrow" w:hAnsi="Arial Narrow"/>
          <w:noProof/>
          <w:sz w:val="18"/>
          <w:szCs w:val="18"/>
          <w:vertAlign w:val="superscript"/>
        </w:rPr>
        <w:t>19</w:t>
      </w:r>
      <w:r>
        <w:rPr>
          <w:rFonts w:ascii="Arial Narrow" w:hAnsi="Arial Narrow"/>
          <w:sz w:val="18"/>
          <w:szCs w:val="18"/>
        </w:rPr>
        <w:fldChar w:fldCharType="end"/>
      </w:r>
    </w:p>
    <w:p w14:paraId="3A6114A6" w14:textId="238E4577" w:rsidR="00A516FD" w:rsidRPr="00A92A83" w:rsidRDefault="00A516FD" w:rsidP="00A516FD">
      <w:r>
        <w:t xml:space="preserve">The </w:t>
      </w:r>
      <w:r w:rsidR="00DE5712">
        <w:t>Applicant</w:t>
      </w:r>
      <w:r>
        <w:t xml:space="preserve"> has provided a typical infusion delivery time for the SCIg product Hizentra for an 80 kg person using infusion rates recommended in the product information sheet for this product (Referral Form, page 17). This is one of the SCIg products that is ARTG listed and NBA funded for PID. Based on an initial infusion rate not exceeding 15 mL/hour/site and then a gradual increase to 25 mL/hour/site, and assuming only one site is used at a time, they estimate the minimum administration time for an 80 kg patient on a dose of 0.1 g/kg (0.5 mL/kg) per week wou</w:t>
      </w:r>
      <w:r w:rsidR="005B6DBE">
        <w:t>ld be approximately 10</w:t>
      </w:r>
      <w:r>
        <w:t xml:space="preserve">8 minutes. They </w:t>
      </w:r>
      <w:r w:rsidR="005B6DBE">
        <w:t>note that the</w:t>
      </w:r>
      <w:r>
        <w:t xml:space="preserve"> infusion rate could</w:t>
      </w:r>
      <w:r w:rsidR="005B6DBE">
        <w:t xml:space="preserve"> be</w:t>
      </w:r>
      <w:r>
        <w:t xml:space="preserve"> reduce</w:t>
      </w:r>
      <w:r w:rsidR="005B6DBE">
        <w:t>d</w:t>
      </w:r>
      <w:r>
        <w:t xml:space="preserve"> for various reasons, e.g. adverse event. </w:t>
      </w:r>
    </w:p>
    <w:p w14:paraId="3961FA40" w14:textId="77777777" w:rsidR="00A516FD" w:rsidRDefault="00A516FD" w:rsidP="005C1782">
      <w:pPr>
        <w:pStyle w:val="Heading4"/>
      </w:pPr>
      <w:r w:rsidRPr="00E91DB9">
        <w:t>Setting</w:t>
      </w:r>
    </w:p>
    <w:p w14:paraId="7ECA29D6" w14:textId="240BBEDF" w:rsidR="00A516FD" w:rsidRDefault="00A516FD" w:rsidP="00A516FD">
      <w:r>
        <w:t xml:space="preserve">According to the </w:t>
      </w:r>
      <w:r w:rsidR="00DE5712">
        <w:t>Applicant</w:t>
      </w:r>
      <w:r>
        <w:t xml:space="preserve"> (Referral Form, page 19), Ig therapy may be delivered in the following settings:</w:t>
      </w:r>
    </w:p>
    <w:p w14:paraId="2CB3E69D" w14:textId="77777777" w:rsidR="00A516FD" w:rsidRDefault="00A516FD" w:rsidP="00A516FD">
      <w:pPr>
        <w:pStyle w:val="ListParagraph"/>
        <w:numPr>
          <w:ilvl w:val="0"/>
          <w:numId w:val="36"/>
        </w:numPr>
      </w:pPr>
      <w:r>
        <w:t>Inpatient – private hospital</w:t>
      </w:r>
    </w:p>
    <w:p w14:paraId="0CA2CFDB" w14:textId="77777777" w:rsidR="00A516FD" w:rsidRDefault="00A516FD" w:rsidP="00A516FD">
      <w:pPr>
        <w:pStyle w:val="ListParagraph"/>
        <w:numPr>
          <w:ilvl w:val="0"/>
          <w:numId w:val="36"/>
        </w:numPr>
      </w:pPr>
      <w:r>
        <w:t>Inpatient – public hospital (as a private patient)</w:t>
      </w:r>
    </w:p>
    <w:p w14:paraId="5D0CCE96" w14:textId="77777777" w:rsidR="00A516FD" w:rsidRDefault="00A516FD" w:rsidP="00A516FD">
      <w:pPr>
        <w:pStyle w:val="ListParagraph"/>
        <w:numPr>
          <w:ilvl w:val="0"/>
          <w:numId w:val="36"/>
        </w:numPr>
      </w:pPr>
      <w:r>
        <w:t>Inpatient – public hospital (as a public patient)</w:t>
      </w:r>
    </w:p>
    <w:p w14:paraId="4F5E3C04" w14:textId="77777777" w:rsidR="00A516FD" w:rsidRDefault="00A516FD" w:rsidP="00A516FD">
      <w:pPr>
        <w:pStyle w:val="ListParagraph"/>
        <w:numPr>
          <w:ilvl w:val="0"/>
          <w:numId w:val="36"/>
        </w:numPr>
      </w:pPr>
      <w:r>
        <w:t>Outpatient clinic</w:t>
      </w:r>
    </w:p>
    <w:p w14:paraId="6D313207" w14:textId="77777777" w:rsidR="00A516FD" w:rsidRDefault="00A516FD" w:rsidP="00A516FD">
      <w:pPr>
        <w:pStyle w:val="ListParagraph"/>
        <w:numPr>
          <w:ilvl w:val="0"/>
          <w:numId w:val="36"/>
        </w:numPr>
      </w:pPr>
      <w:r>
        <w:t>Patient’s home</w:t>
      </w:r>
    </w:p>
    <w:p w14:paraId="135928D0" w14:textId="7B7B0F07" w:rsidR="00A516FD" w:rsidRPr="00E91DB9" w:rsidRDefault="00A516FD" w:rsidP="00A516FD">
      <w:pPr>
        <w:pStyle w:val="ListParagraph"/>
        <w:numPr>
          <w:ilvl w:val="0"/>
          <w:numId w:val="36"/>
        </w:numPr>
      </w:pPr>
      <w:r>
        <w:t>Private same day infusion facility</w:t>
      </w:r>
      <w:r w:rsidR="005B6DBE">
        <w:t>.</w:t>
      </w:r>
    </w:p>
    <w:p w14:paraId="5E7F6730" w14:textId="71A64647" w:rsidR="00A516FD" w:rsidRDefault="00A516FD" w:rsidP="00A516FD">
      <w:r>
        <w:t xml:space="preserve">The </w:t>
      </w:r>
      <w:r w:rsidR="00DE5712">
        <w:t>Applicant</w:t>
      </w:r>
      <w:r>
        <w:t xml:space="preserve"> noted that for CVID, the largest PID user group of Ig, NBA data from the 2017-18 financial year indicated around 74 per cent of patients were treated in the public setting (Referral Form, page 20). </w:t>
      </w:r>
    </w:p>
    <w:p w14:paraId="58A67C0B" w14:textId="77777777" w:rsidR="00A516FD" w:rsidRDefault="00A516FD" w:rsidP="005C1782">
      <w:pPr>
        <w:pStyle w:val="Heading4"/>
      </w:pPr>
      <w:r w:rsidRPr="00C01D54">
        <w:t>Limitations/barriers to access</w:t>
      </w:r>
    </w:p>
    <w:p w14:paraId="05F1A983" w14:textId="51817983" w:rsidR="00A516FD" w:rsidRPr="00C01D54" w:rsidRDefault="00A516FD" w:rsidP="00A516FD">
      <w:r>
        <w:t>To access Ig therapy</w:t>
      </w:r>
      <w:r w:rsidR="003B1A64">
        <w:t xml:space="preserve"> under the National Blood Arrangements</w:t>
      </w:r>
      <w:r>
        <w:t xml:space="preserve"> a patient with PID must be diagnosed and reviewed by an immunologist</w:t>
      </w:r>
      <w:r w:rsidR="00236468">
        <w:t xml:space="preserve"> registered</w:t>
      </w:r>
      <w:r>
        <w:t xml:space="preserve"> with the Australian Health Practitioner Regulation Agency (Referral Form, page 19). Sites that administer blood or blood products need to be accredited under the National Safety and Quality Health Service Standard for Blood Management. To infuse IVIg, specific nursing qualifications are required (Referral Form, page 19). SCIg can only be accessed from hospitals participating in national SCIg programs. A list of hospitals in each state with </w:t>
      </w:r>
      <w:hyperlink r:id="rId10" w:history="1">
        <w:r w:rsidRPr="005B6DBE">
          <w:rPr>
            <w:rStyle w:val="Hyperlink"/>
          </w:rPr>
          <w:t>SCIg programs</w:t>
        </w:r>
      </w:hyperlink>
      <w:r>
        <w:t xml:space="preserve"> can be accessed fro</w:t>
      </w:r>
      <w:r w:rsidR="005B6DBE">
        <w:t>m the NBA website</w:t>
      </w:r>
      <w:r>
        <w:t xml:space="preserve">. It should be noted that in some states, such as South Australia, hospitals participating in SCIg programs are only situated in the capital city. </w:t>
      </w:r>
      <w:r w:rsidR="00B2684E">
        <w:t xml:space="preserve">This would result in a significant travel burden to some patients. </w:t>
      </w:r>
      <w:r>
        <w:t xml:space="preserve">The </w:t>
      </w:r>
      <w:r w:rsidR="00DE5712">
        <w:t>Applicant</w:t>
      </w:r>
      <w:r>
        <w:t xml:space="preserve"> also notes that </w:t>
      </w:r>
      <w:r w:rsidR="005B6DBE">
        <w:t xml:space="preserve">for </w:t>
      </w:r>
      <w:r>
        <w:t>SCIg</w:t>
      </w:r>
      <w:r w:rsidR="005B6DBE">
        <w:t xml:space="preserve"> administration</w:t>
      </w:r>
      <w:r>
        <w:t xml:space="preserve">, the patient/carer must be trained in the procedure by a qualified nurse or technician (Referral Form, page 19).  </w:t>
      </w:r>
    </w:p>
    <w:p w14:paraId="2300AF34" w14:textId="77777777" w:rsidR="00A516FD" w:rsidRDefault="00A516FD" w:rsidP="005C1782">
      <w:pPr>
        <w:pStyle w:val="Heading4"/>
      </w:pPr>
      <w:r w:rsidRPr="007B7EE6">
        <w:t>Contraindications</w:t>
      </w:r>
      <w:r>
        <w:t>/Exclusion criteria</w:t>
      </w:r>
    </w:p>
    <w:p w14:paraId="6C4E2299" w14:textId="77777777" w:rsidR="00A516FD" w:rsidRDefault="00A516FD" w:rsidP="00A516FD">
      <w:r>
        <w:rPr>
          <w:i/>
        </w:rPr>
        <w:t>‘</w:t>
      </w:r>
      <w:r w:rsidRPr="00244908">
        <w:rPr>
          <w:i/>
        </w:rPr>
        <w:t>The Criteria</w:t>
      </w:r>
      <w:r>
        <w:rPr>
          <w:i/>
        </w:rPr>
        <w:t>’</w:t>
      </w:r>
      <w:r>
        <w:t xml:space="preserve"> outlines exclusion criteria for Ig therapy for PID with antibody deficiency.</w:t>
      </w:r>
      <w:r>
        <w:fldChar w:fldCharType="begin"/>
      </w:r>
      <w:r>
        <w:instrText xml:space="preserve"> ADDIN EN.CITE &lt;EndNote&gt;&lt;Cite&gt;&lt;Author&gt;National Blood Authority&lt;/Author&gt;&lt;Year&gt;2018&lt;/Year&gt;&lt;RecNum&gt;1&lt;/RecNum&gt;&lt;DisplayText&gt;&lt;style face="superscript"&gt;1&lt;/style&gt;&lt;/DisplayText&gt;&lt;record&gt;&lt;rec-number&gt;1&lt;/rec-number&gt;&lt;foreign-keys&gt;&lt;key app="EN" db-id="pzpr9fpzq5dfrrefpetx2pfn5fz5e2r0vtdf" timestamp="1569200090"&gt;1&lt;/key&gt;&lt;/foreign-keys&gt;&lt;ref-type name="Web Page"&gt;12&lt;/ref-type&gt;&lt;contributors&gt;&lt;authors&gt;&lt;author&gt;National Blood Authority,&lt;/author&gt;&lt;/authors&gt;&lt;/contributors&gt;&lt;titles&gt;&lt;title&gt;Criteria for clinical use of immunoglobulin in Australia, Version 3.1&lt;/title&gt;&lt;/titles&gt;&lt;volume&gt;2019&lt;/volume&gt;&lt;number&gt;23rd September&lt;/number&gt;&lt;dates&gt;&lt;year&gt;2018&lt;/year&gt;&lt;/dates&gt;&lt;publisher&gt;National Blood Authority&lt;/publisher&gt;&lt;urls&gt;&lt;related-urls&gt;&lt;url&gt;&lt;style face="underline" font="default" size="100%"&gt;https://www.criteria.blood.gov.au/&lt;/style&gt;&lt;/url&gt;&lt;/related-urls&gt;&lt;/urls&gt;&lt;/record&gt;&lt;/Cite&gt;&lt;/EndNote&gt;</w:instrText>
      </w:r>
      <w:r>
        <w:fldChar w:fldCharType="separate"/>
      </w:r>
      <w:r w:rsidRPr="00A516FD">
        <w:rPr>
          <w:noProof/>
          <w:vertAlign w:val="superscript"/>
        </w:rPr>
        <w:t>1</w:t>
      </w:r>
      <w:r>
        <w:fldChar w:fldCharType="end"/>
      </w:r>
      <w:r>
        <w:t xml:space="preserve"> These are:</w:t>
      </w:r>
    </w:p>
    <w:p w14:paraId="0C923714" w14:textId="77777777" w:rsidR="00A516FD" w:rsidRDefault="00A516FD" w:rsidP="00A516FD">
      <w:pPr>
        <w:pStyle w:val="ListParagraph"/>
        <w:numPr>
          <w:ilvl w:val="0"/>
          <w:numId w:val="37"/>
        </w:numPr>
      </w:pPr>
      <w:r>
        <w:t>Acquired hypogammaglobulinaemia secondary to haematological malignancy or post HSCT</w:t>
      </w:r>
    </w:p>
    <w:p w14:paraId="6057B888" w14:textId="77777777" w:rsidR="00A516FD" w:rsidRDefault="00A516FD" w:rsidP="00A516FD">
      <w:pPr>
        <w:pStyle w:val="ListParagraph"/>
        <w:numPr>
          <w:ilvl w:val="0"/>
          <w:numId w:val="37"/>
        </w:numPr>
      </w:pPr>
      <w:r>
        <w:t>Specific antibody deficiency (SAD)</w:t>
      </w:r>
    </w:p>
    <w:p w14:paraId="204F1113" w14:textId="77777777" w:rsidR="00A516FD" w:rsidRDefault="00A516FD" w:rsidP="00A516FD">
      <w:pPr>
        <w:pStyle w:val="ListParagraph"/>
        <w:numPr>
          <w:ilvl w:val="0"/>
          <w:numId w:val="37"/>
        </w:numPr>
      </w:pPr>
      <w:r>
        <w:t>IgG subclass deficiency</w:t>
      </w:r>
    </w:p>
    <w:p w14:paraId="144ECD50" w14:textId="18CDEFD7" w:rsidR="00A516FD" w:rsidRDefault="00A516FD" w:rsidP="00A516FD">
      <w:pPr>
        <w:pStyle w:val="ListParagraph"/>
        <w:numPr>
          <w:ilvl w:val="0"/>
          <w:numId w:val="37"/>
        </w:numPr>
      </w:pPr>
      <w:r>
        <w:t>Secondary hypogammaglobulinaemia (including iatrogenic immumodeficiency)</w:t>
      </w:r>
      <w:r w:rsidR="005B6DBE">
        <w:t>.</w:t>
      </w:r>
    </w:p>
    <w:p w14:paraId="2E272D83" w14:textId="08CC8E20" w:rsidR="00A516FD" w:rsidRPr="00244908" w:rsidRDefault="00A516FD" w:rsidP="00A516FD">
      <w:r>
        <w:t>A general contraindication to IVIg is patients who are allergic and have an anaphylactic response to human immunoglobulin. In addition, there are specific contraindications relating to each Ig product which are outlined in the product information s</w:t>
      </w:r>
      <w:r w:rsidR="005B6DBE">
        <w:t xml:space="preserve">heets (e.g. Flebogamma 5% and 10% are </w:t>
      </w:r>
      <w:r>
        <w:t>contraindicated in patients with hereditary fructose intolerance as the stabiliser used for this product is sorbitol).</w:t>
      </w:r>
      <w:r>
        <w:fldChar w:fldCharType="begin"/>
      </w:r>
      <w:r>
        <w:instrText xml:space="preserve"> ADDIN EN.CITE &lt;EndNote&gt;&lt;Cite&gt;&lt;Author&gt;Department of Health and Human Services&lt;/Author&gt;&lt;Year&gt;2018&lt;/Year&gt;&lt;RecNum&gt;17&lt;/RecNum&gt;&lt;DisplayText&gt;&lt;style face="superscript"&gt;17&lt;/style&gt;&lt;/DisplayText&gt;&lt;record&gt;&lt;rec-number&gt;17&lt;/rec-number&gt;&lt;foreign-keys&gt;&lt;key app="EN" db-id="pzpr9fpzq5dfrrefpetx2pfn5fz5e2r0vtdf" timestamp="1569974322"&gt;17&lt;/key&gt;&lt;/foreign-keys&gt;&lt;ref-type name="Web Page"&gt;12&lt;/ref-type&gt;&lt;contributors&gt;&lt;authors&gt;&lt;author&gt;Department of Health and Human Services, State Government of Victoria,&lt;/author&gt;&lt;/authors&gt;&lt;/contributors&gt;&lt;titles&gt;&lt;title&gt;Intravenous immunoglobulin (IVIg) Clinical Practice Guideline template&lt;/title&gt;&lt;/titles&gt;&lt;volume&gt;2019&lt;/volume&gt;&lt;number&gt;2nd October&lt;/number&gt;&lt;dates&gt;&lt;year&gt;2018&lt;/year&gt;&lt;/dates&gt;&lt;pub-location&gt;Australia&lt;/pub-location&gt;&lt;publisher&gt;Department of Health and Human Services, State Government of Victoria&lt;/publisher&gt;&lt;urls&gt;&lt;related-urls&gt;&lt;url&gt;&lt;style face="underline" font="default" size="100%"&gt;https://www2.health.vic.gov.au/hospitals-and-health-services/patient-care/speciality-diagnostics-therapeutics/blood-matters/ivig-changes-to-supply&lt;/style&gt;&lt;/url&gt;&lt;/related-urls&gt;&lt;/urls&gt;&lt;/record&gt;&lt;/Cite&gt;&lt;/EndNote&gt;</w:instrText>
      </w:r>
      <w:r>
        <w:fldChar w:fldCharType="separate"/>
      </w:r>
      <w:r w:rsidRPr="00A516FD">
        <w:rPr>
          <w:noProof/>
          <w:vertAlign w:val="superscript"/>
        </w:rPr>
        <w:t>17</w:t>
      </w:r>
      <w:r>
        <w:fldChar w:fldCharType="end"/>
      </w:r>
    </w:p>
    <w:p w14:paraId="3009BDF4" w14:textId="77777777" w:rsidR="00A516FD" w:rsidRPr="00E364F7" w:rsidRDefault="00A516FD" w:rsidP="005C1782">
      <w:pPr>
        <w:pStyle w:val="Heading3"/>
      </w:pPr>
      <w:r w:rsidRPr="00E364F7">
        <w:t>Comparator</w:t>
      </w:r>
    </w:p>
    <w:p w14:paraId="210F5F2B" w14:textId="2A8708C9" w:rsidR="00146D52" w:rsidRDefault="00236468" w:rsidP="00A516FD">
      <w:r>
        <w:t xml:space="preserve">The Ig </w:t>
      </w:r>
      <w:r w:rsidR="005B6DBE">
        <w:t xml:space="preserve">Review </w:t>
      </w:r>
      <w:r>
        <w:t>Reference Group</w:t>
      </w:r>
      <w:r w:rsidR="005B6DBE">
        <w:t>,</w:t>
      </w:r>
      <w:r>
        <w:t xml:space="preserve"> </w:t>
      </w:r>
      <w:r w:rsidR="005B6DBE">
        <w:t xml:space="preserve">when </w:t>
      </w:r>
      <w:r>
        <w:t xml:space="preserve">advising </w:t>
      </w:r>
      <w:r w:rsidR="005B6DBE">
        <w:t xml:space="preserve">on </w:t>
      </w:r>
      <w:r>
        <w:t>the Referral Form</w:t>
      </w:r>
      <w:r w:rsidR="005B6DBE">
        <w:t>,</w:t>
      </w:r>
      <w:r>
        <w:t xml:space="preserve"> agreed that given the </w:t>
      </w:r>
      <w:r w:rsidR="007B3067">
        <w:t>heterogeneous</w:t>
      </w:r>
      <w:r>
        <w:t xml:space="preserve"> patient group comprising PID with antibody deficiency, ‘no Ig’ is the most appropriate comparator for this condition (Referral Form, page 22). They further noted that best supportive care may or may not include antibiotic treatment, prophylactic antibiotics and antimicrobials. </w:t>
      </w:r>
    </w:p>
    <w:p w14:paraId="38EF760B" w14:textId="1ED5EFD6" w:rsidR="00A516FD" w:rsidRDefault="007B3067" w:rsidP="00A516FD">
      <w:pPr>
        <w:rPr>
          <w:i/>
          <w:u w:val="single"/>
        </w:rPr>
      </w:pPr>
      <w:r>
        <w:t xml:space="preserve">When commenting on the PICO Confirmation, the Ig Review Reference Group confirmed that there are no active comparators to IVIg for </w:t>
      </w:r>
      <w:r w:rsidR="004F1CFC">
        <w:t xml:space="preserve">the treatment of PIDs </w:t>
      </w:r>
      <w:r>
        <w:t>available in Australia.</w:t>
      </w:r>
      <w:r w:rsidR="00146D52">
        <w:t xml:space="preserve"> As noted above, the Reference Group considered that evidence on the natural history of CVID should be sought, as the likely paucity of comparative studies may mean that a naïve comparison may be the </w:t>
      </w:r>
      <w:r w:rsidR="004F1CFC">
        <w:t>most appropriate way to approach the evidence evaluation.</w:t>
      </w:r>
    </w:p>
    <w:p w14:paraId="559054EB" w14:textId="77777777" w:rsidR="00A516FD" w:rsidRDefault="00A516FD" w:rsidP="005C1782">
      <w:pPr>
        <w:pStyle w:val="Heading4"/>
      </w:pPr>
      <w:r>
        <w:t>Rationale</w:t>
      </w:r>
    </w:p>
    <w:p w14:paraId="1D16A745" w14:textId="7AAF9EE7" w:rsidR="00236468" w:rsidRDefault="00236468" w:rsidP="00236468">
      <w:r>
        <w:t xml:space="preserve">In the Referral Form it was reported (page 22) by the </w:t>
      </w:r>
      <w:r w:rsidR="00DE5712">
        <w:t>Applicant</w:t>
      </w:r>
      <w:r>
        <w:t xml:space="preserve"> that:</w:t>
      </w:r>
    </w:p>
    <w:p w14:paraId="091BCB20" w14:textId="77777777" w:rsidR="00236468" w:rsidRPr="009D6757" w:rsidRDefault="00236468" w:rsidP="00236468">
      <w:r>
        <w:t>“Standard therapy for PID may include Ig, haematopoietic stem cell transplant and/or gene therapy. Treatment of the underlying cause may include splenectomy, thymectomy, chemotherapy, immunomodulation, antivirals prophylactically or as needed, plasmapheresis, Rituximab and Cytokine inhibitors or supplements. Aggressive and prolonged antimicrobial therapy should be considered for immunodeficient patients. Long-term antibiotic therapy might be required in addition to Ig replacement for preventing infection in antibody-deficient patients.”</w:t>
      </w:r>
    </w:p>
    <w:p w14:paraId="0A4C41ED" w14:textId="77777777" w:rsidR="00236468" w:rsidRDefault="00236468" w:rsidP="00236468">
      <w:r>
        <w:t>In their clinical update on primary immunodeficiencies the ASCIA list the following as specific therapies for PID</w:t>
      </w:r>
      <w:r>
        <w:fldChar w:fldCharType="begin"/>
      </w:r>
      <w:r>
        <w:instrText xml:space="preserve"> ADDIN EN.CITE &lt;EndNote&gt;&lt;Cite&gt;&lt;Author&gt;Australasian Society of Clinical Immunology and Allergy&lt;/Author&gt;&lt;Year&gt;2017&lt;/Year&gt;&lt;RecNum&gt;3&lt;/RecNum&gt;&lt;DisplayText&gt;&lt;style face="superscript"&gt;2&lt;/style&gt;&lt;/DisplayText&gt;&lt;record&gt;&lt;rec-number&gt;3&lt;/rec-number&gt;&lt;foreign-keys&gt;&lt;key app="EN" db-id="pzpr9fpzq5dfrrefpetx2pfn5fz5e2r0vtdf" timestamp="1569297104"&gt;3&lt;/key&gt;&lt;/foreign-keys&gt;&lt;ref-type name="Web Page"&gt;12&lt;/ref-type&gt;&lt;contributors&gt;&lt;authors&gt;&lt;author&gt;Australasian Society of Clinical Immunology and Allergy,&lt;/author&gt;&lt;/authors&gt;&lt;/contributors&gt;&lt;titles&gt;&lt;title&gt;Primary immunodeficiencies (PID) Clinical Update&lt;/title&gt;&lt;/titles&gt;&lt;volume&gt;2019&lt;/volume&gt;&lt;number&gt;24th September&lt;/number&gt;&lt;dates&gt;&lt;year&gt;2017&lt;/year&gt;&lt;/dates&gt;&lt;publisher&gt;Australasian Society of Clinical Immunology and Allergy&lt;/publisher&gt;&lt;urls&gt;&lt;related-urls&gt;&lt;url&gt;&lt;style face="underline" font="default" size="100%"&gt;https://www.allergy.org.au/hp/papers/pid&lt;/style&gt;&lt;/url&gt;&lt;/related-urls&gt;&lt;/urls&gt;&lt;/record&gt;&lt;/Cite&gt;&lt;/EndNote&gt;</w:instrText>
      </w:r>
      <w:r>
        <w:fldChar w:fldCharType="separate"/>
      </w:r>
      <w:r w:rsidRPr="00A516FD">
        <w:rPr>
          <w:noProof/>
          <w:vertAlign w:val="superscript"/>
        </w:rPr>
        <w:t>2</w:t>
      </w:r>
      <w:r>
        <w:fldChar w:fldCharType="end"/>
      </w:r>
      <w:r>
        <w:t>:</w:t>
      </w:r>
    </w:p>
    <w:p w14:paraId="2A89D686" w14:textId="77777777" w:rsidR="00236468" w:rsidRDefault="00236468" w:rsidP="00236468">
      <w:pPr>
        <w:pStyle w:val="ListParagraph"/>
        <w:numPr>
          <w:ilvl w:val="0"/>
          <w:numId w:val="25"/>
        </w:numPr>
      </w:pPr>
      <w:r>
        <w:t>Prophylactic antibiotics, antifungals, antivirals</w:t>
      </w:r>
    </w:p>
    <w:p w14:paraId="04F799B7" w14:textId="77777777" w:rsidR="00236468" w:rsidRDefault="00236468" w:rsidP="00236468">
      <w:pPr>
        <w:pStyle w:val="ListParagraph"/>
        <w:numPr>
          <w:ilvl w:val="0"/>
          <w:numId w:val="25"/>
        </w:numPr>
      </w:pPr>
      <w:r>
        <w:t>Immunoglobulin replacement therapy</w:t>
      </w:r>
    </w:p>
    <w:p w14:paraId="29D0BC73" w14:textId="77777777" w:rsidR="00236468" w:rsidRDefault="00236468" w:rsidP="00236468">
      <w:pPr>
        <w:pStyle w:val="ListParagraph"/>
        <w:numPr>
          <w:ilvl w:val="0"/>
          <w:numId w:val="25"/>
        </w:numPr>
      </w:pPr>
      <w:r>
        <w:t>Immune modulatory drugs</w:t>
      </w:r>
    </w:p>
    <w:p w14:paraId="47DA5FBE" w14:textId="77777777" w:rsidR="00236468" w:rsidRDefault="00236468" w:rsidP="00236468">
      <w:pPr>
        <w:pStyle w:val="ListParagraph"/>
        <w:numPr>
          <w:ilvl w:val="0"/>
          <w:numId w:val="25"/>
        </w:numPr>
      </w:pPr>
      <w:r>
        <w:t>Gamma interferon</w:t>
      </w:r>
    </w:p>
    <w:p w14:paraId="1F97DF4E" w14:textId="1E9CC619" w:rsidR="00236468" w:rsidRDefault="00FC7F33" w:rsidP="00236468">
      <w:pPr>
        <w:pStyle w:val="ListParagraph"/>
        <w:numPr>
          <w:ilvl w:val="0"/>
          <w:numId w:val="25"/>
        </w:numPr>
      </w:pPr>
      <w:r>
        <w:t>Haematopoietic</w:t>
      </w:r>
      <w:r w:rsidR="00236468">
        <w:t xml:space="preserve"> stem cell transplant</w:t>
      </w:r>
      <w:r>
        <w:t xml:space="preserve"> (HSCT)</w:t>
      </w:r>
    </w:p>
    <w:p w14:paraId="205E80AA" w14:textId="77777777" w:rsidR="00236468" w:rsidRDefault="00236468" w:rsidP="00236468">
      <w:pPr>
        <w:pStyle w:val="ListParagraph"/>
        <w:numPr>
          <w:ilvl w:val="0"/>
          <w:numId w:val="25"/>
        </w:numPr>
      </w:pPr>
      <w:r>
        <w:t>Bone marrow transplantation</w:t>
      </w:r>
    </w:p>
    <w:p w14:paraId="647ABE9D" w14:textId="77777777" w:rsidR="00236468" w:rsidRDefault="00236468" w:rsidP="00236468">
      <w:pPr>
        <w:pStyle w:val="ListParagraph"/>
        <w:numPr>
          <w:ilvl w:val="0"/>
          <w:numId w:val="25"/>
        </w:numPr>
      </w:pPr>
      <w:r>
        <w:t>Gene therapy</w:t>
      </w:r>
    </w:p>
    <w:p w14:paraId="53EF8A77" w14:textId="5951FAED" w:rsidR="00236468" w:rsidRDefault="00236468" w:rsidP="00236468">
      <w:pPr>
        <w:pStyle w:val="ListParagraph"/>
        <w:numPr>
          <w:ilvl w:val="0"/>
          <w:numId w:val="25"/>
        </w:numPr>
      </w:pPr>
      <w:r>
        <w:t>Others – granulocyte colony stimulating factor (G-CSF), polyethylene glycol-conjugated adenosine deaminase (PEG-ADA)</w:t>
      </w:r>
      <w:r w:rsidR="00FC7F33">
        <w:t>.</w:t>
      </w:r>
    </w:p>
    <w:p w14:paraId="279FD39E" w14:textId="77777777" w:rsidR="00236468" w:rsidRDefault="00236468" w:rsidP="00236468">
      <w:r>
        <w:t xml:space="preserve">They note that the therapies need to be individualised according to the type of PID. </w:t>
      </w:r>
    </w:p>
    <w:p w14:paraId="39862CD1" w14:textId="175FC370" w:rsidR="00236468" w:rsidRDefault="00236468" w:rsidP="00236468">
      <w:r>
        <w:t>A consensus guideline by the ASCIA Transplantation and Primary Immunodeficiency (TAPID) group, specifically on the diagnosis and management of patients with SCID, states that the current standard of care for definitive correction of SCID is</w:t>
      </w:r>
      <w:r w:rsidR="00FC7F33">
        <w:t xml:space="preserve"> HSCT</w:t>
      </w:r>
      <w:r>
        <w:t>. They note that this must be performed urgently, as outcomes are best when performed at an early age with no active infection.</w:t>
      </w:r>
      <w:r>
        <w:fldChar w:fldCharType="begin"/>
      </w:r>
      <w:r>
        <w:instrText xml:space="preserve"> ADDIN EN.CITE &lt;EndNote&gt;&lt;Cite&gt;&lt;Author&gt;Australasian Society of Clinical Immunology and Allergy&lt;/Author&gt;&lt;Year&gt;2019&lt;/Year&gt;&lt;RecNum&gt;22&lt;/RecNum&gt;&lt;DisplayText&gt;&lt;style face="superscript"&gt;20&lt;/style&gt;&lt;/DisplayText&gt;&lt;record&gt;&lt;rec-number&gt;22&lt;/rec-number&gt;&lt;foreign-keys&gt;&lt;key app="EN" db-id="pzpr9fpzq5dfrrefpetx2pfn5fz5e2r0vtdf" timestamp="1570503283"&gt;22&lt;/key&gt;&lt;/foreign-keys&gt;&lt;ref-type name="Web Page"&gt;12&lt;/ref-type&gt;&lt;contributors&gt;&lt;authors&gt;&lt;author&gt;Australasian Society of Clinical Immunology and Allergy,&lt;/author&gt;&lt;/authors&gt;&lt;/contributors&gt;&lt;titles&gt;&lt;title&gt;Diagnosis and Management of Severe Combined Immunodeficiency (SCID) in Australia and New Zealand: A TAPID Consensus Guideline&lt;/title&gt;&lt;/titles&gt;&lt;volume&gt;2019&lt;/volume&gt;&lt;number&gt;8th October&lt;/number&gt;&lt;dates&gt;&lt;year&gt;2019&lt;/year&gt;&lt;/dates&gt;&lt;publisher&gt;Australasian Society of Clinical Immunology and Allergy&lt;/publisher&gt;&lt;urls&gt;&lt;related-urls&gt;&lt;url&gt;&lt;style face="underline" font="default" size="100%"&gt;https://www.allergy.org.au/hp/papers/ascia-guidelines-scid-tapid&lt;/style&gt;&lt;/url&gt;&lt;/related-urls&gt;&lt;/urls&gt;&lt;/record&gt;&lt;/Cite&gt;&lt;/EndNote&gt;</w:instrText>
      </w:r>
      <w:r>
        <w:fldChar w:fldCharType="separate"/>
      </w:r>
      <w:r w:rsidRPr="00A516FD">
        <w:rPr>
          <w:noProof/>
          <w:vertAlign w:val="superscript"/>
        </w:rPr>
        <w:t>20</w:t>
      </w:r>
      <w:r>
        <w:fldChar w:fldCharType="end"/>
      </w:r>
    </w:p>
    <w:p w14:paraId="6B720E49" w14:textId="2A76F231" w:rsidR="005D10B0" w:rsidRDefault="00236468" w:rsidP="00236468">
      <w:r>
        <w:t>Evidence-based practice parameters for the diagnosis and management of PID have been published by the American Academy of Allergy, Asthma and Immunology; the American College of Allergy, Asthma and Immunology</w:t>
      </w:r>
      <w:r w:rsidR="00FC7F33">
        <w:t>;</w:t>
      </w:r>
      <w:r>
        <w:t xml:space="preserve"> and the Joint Council of Allergy, Asthma and Immunology.</w:t>
      </w:r>
      <w:r>
        <w:fldChar w:fldCharType="begin">
          <w:fldData xml:space="preserve">PEVuZE5vdGU+PENpdGU+PEF1dGhvcj5Cb25pbGxhPC9BdXRob3I+PFllYXI+MjAxNTwvWWVhcj48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==
</w:fldData>
        </w:fldChar>
      </w:r>
      <w:r>
        <w:instrText xml:space="preserve"> ADDIN EN.CITE </w:instrText>
      </w:r>
      <w:r>
        <w:fldChar w:fldCharType="begin">
          <w:fldData xml:space="preserve">PEVuZE5vdGU+PENpdGU+PEF1dGhvcj5Cb25pbGxhPC9BdXRob3I+PFllYXI+MjAxNTwvWWVhcj48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==
</w:fldData>
        </w:fldChar>
      </w:r>
      <w:r>
        <w:instrText xml:space="preserve"> ADDIN EN.CITE.DATA </w:instrText>
      </w:r>
      <w:r>
        <w:fldChar w:fldCharType="end"/>
      </w:r>
      <w:r>
        <w:fldChar w:fldCharType="separate"/>
      </w:r>
      <w:r w:rsidRPr="00A516FD">
        <w:rPr>
          <w:noProof/>
          <w:vertAlign w:val="superscript"/>
        </w:rPr>
        <w:t>21</w:t>
      </w:r>
      <w:r>
        <w:fldChar w:fldCharType="end"/>
      </w:r>
      <w:r>
        <w:t xml:space="preserve"> Included in this publication is a summary table of the therapeutic considerations for PID. A modified version of this table, including only those PID for which Ig is indicated as a therapeutic consideration is included below (</w:t>
      </w:r>
      <w:r>
        <w:fldChar w:fldCharType="begin"/>
      </w:r>
      <w:r>
        <w:instrText xml:space="preserve"> REF _Ref20823873 \h </w:instrText>
      </w:r>
      <w:r>
        <w:fldChar w:fldCharType="separate"/>
      </w:r>
      <w:r w:rsidR="008D6208">
        <w:t xml:space="preserve">Table </w:t>
      </w:r>
      <w:r w:rsidR="008D6208">
        <w:rPr>
          <w:noProof/>
        </w:rPr>
        <w:t>9</w:t>
      </w:r>
      <w:r>
        <w:fldChar w:fldCharType="end"/>
      </w:r>
      <w:r>
        <w:t xml:space="preserve">). </w:t>
      </w:r>
    </w:p>
    <w:p w14:paraId="40722C3D" w14:textId="77777777" w:rsidR="005D10B0" w:rsidRDefault="005D10B0">
      <w:r>
        <w:br w:type="page"/>
      </w:r>
    </w:p>
    <w:p w14:paraId="15CDB6E5" w14:textId="77777777" w:rsidR="00236468" w:rsidRDefault="00236468" w:rsidP="00236468"/>
    <w:p w14:paraId="119B07D9" w14:textId="3269FE82" w:rsidR="00236468" w:rsidRDefault="00236468" w:rsidP="00236468">
      <w:pPr>
        <w:pStyle w:val="Caption"/>
      </w:pPr>
      <w:bookmarkStart w:id="12" w:name="_Ref20823873"/>
      <w:r>
        <w:t xml:space="preserve">Table </w:t>
      </w:r>
      <w:r>
        <w:fldChar w:fldCharType="begin"/>
      </w:r>
      <w:r>
        <w:instrText xml:space="preserve"> SEQ Table \* ARABIC </w:instrText>
      </w:r>
      <w:r>
        <w:fldChar w:fldCharType="separate"/>
      </w:r>
      <w:r w:rsidR="008D6208">
        <w:rPr>
          <w:noProof/>
        </w:rPr>
        <w:t>9</w:t>
      </w:r>
      <w:r>
        <w:fldChar w:fldCharType="end"/>
      </w:r>
      <w:bookmarkEnd w:id="12"/>
      <w:r>
        <w:t xml:space="preserve"> </w:t>
      </w:r>
      <w:r>
        <w:tab/>
        <w:t>Summary of therapeutic considerations for primary immunodeficiencies</w:t>
      </w:r>
    </w:p>
    <w:tbl>
      <w:tblPr>
        <w:tblStyle w:val="TableGrid"/>
        <w:tblW w:w="0" w:type="auto"/>
        <w:tblLook w:val="04A0" w:firstRow="1" w:lastRow="0" w:firstColumn="1" w:lastColumn="0" w:noHBand="0" w:noVBand="1"/>
        <w:tblCaption w:val="Table 9  Summary of therapeutic considerations for primary immunodeficiencies"/>
        <w:tblDescription w:val="This is a table displaying the summary of therapeutic considerations for primary immunodeficiencies; humoral immunodeficiency and combined immunodeficiency."/>
      </w:tblPr>
      <w:tblGrid>
        <w:gridCol w:w="3837"/>
        <w:gridCol w:w="561"/>
        <w:gridCol w:w="536"/>
        <w:gridCol w:w="750"/>
        <w:gridCol w:w="3332"/>
      </w:tblGrid>
      <w:tr w:rsidR="00236468" w14:paraId="0A8DC872" w14:textId="77777777" w:rsidTr="005D10B0">
        <w:trPr>
          <w:tblHeader/>
        </w:trPr>
        <w:tc>
          <w:tcPr>
            <w:tcW w:w="3962" w:type="dxa"/>
            <w:tcBorders>
              <w:bottom w:val="single" w:sz="4" w:space="0" w:color="auto"/>
            </w:tcBorders>
          </w:tcPr>
          <w:p w14:paraId="0388D718" w14:textId="77777777" w:rsidR="00236468" w:rsidRPr="00014E79" w:rsidRDefault="00236468" w:rsidP="0031327F">
            <w:pPr>
              <w:rPr>
                <w:rFonts w:ascii="Arial Narrow" w:hAnsi="Arial Narrow"/>
                <w:b/>
                <w:sz w:val="18"/>
                <w:szCs w:val="18"/>
              </w:rPr>
            </w:pPr>
            <w:r w:rsidRPr="00014E79">
              <w:rPr>
                <w:rFonts w:ascii="Arial Narrow" w:hAnsi="Arial Narrow"/>
                <w:b/>
                <w:sz w:val="18"/>
                <w:szCs w:val="18"/>
              </w:rPr>
              <w:t>Category of immunodeficiency</w:t>
            </w:r>
          </w:p>
        </w:tc>
        <w:tc>
          <w:tcPr>
            <w:tcW w:w="564" w:type="dxa"/>
          </w:tcPr>
          <w:p w14:paraId="33B05D3B" w14:textId="77777777" w:rsidR="00236468" w:rsidRPr="00014E79" w:rsidRDefault="00236468" w:rsidP="0031327F">
            <w:pPr>
              <w:rPr>
                <w:rFonts w:ascii="Arial Narrow" w:hAnsi="Arial Narrow"/>
                <w:b/>
                <w:sz w:val="18"/>
                <w:szCs w:val="18"/>
              </w:rPr>
            </w:pPr>
            <w:r w:rsidRPr="00014E79">
              <w:rPr>
                <w:rFonts w:ascii="Arial Narrow" w:hAnsi="Arial Narrow"/>
                <w:b/>
                <w:sz w:val="18"/>
                <w:szCs w:val="18"/>
              </w:rPr>
              <w:t>IVIG</w:t>
            </w:r>
          </w:p>
        </w:tc>
        <w:tc>
          <w:tcPr>
            <w:tcW w:w="536" w:type="dxa"/>
          </w:tcPr>
          <w:p w14:paraId="0FF56C0A" w14:textId="77777777" w:rsidR="00236468" w:rsidRPr="00014E79" w:rsidRDefault="00236468" w:rsidP="0031327F">
            <w:pPr>
              <w:rPr>
                <w:rFonts w:ascii="Arial Narrow" w:hAnsi="Arial Narrow"/>
                <w:b/>
                <w:sz w:val="18"/>
                <w:szCs w:val="18"/>
              </w:rPr>
            </w:pPr>
            <w:r w:rsidRPr="00014E79">
              <w:rPr>
                <w:rFonts w:ascii="Arial Narrow" w:hAnsi="Arial Narrow"/>
                <w:b/>
                <w:sz w:val="18"/>
                <w:szCs w:val="18"/>
              </w:rPr>
              <w:t>BMT</w:t>
            </w:r>
          </w:p>
        </w:tc>
        <w:tc>
          <w:tcPr>
            <w:tcW w:w="750" w:type="dxa"/>
          </w:tcPr>
          <w:p w14:paraId="553E79AC" w14:textId="77777777" w:rsidR="00236468" w:rsidRPr="00014E79" w:rsidRDefault="00236468" w:rsidP="0031327F">
            <w:pPr>
              <w:rPr>
                <w:rFonts w:ascii="Arial Narrow" w:hAnsi="Arial Narrow"/>
                <w:b/>
                <w:sz w:val="18"/>
                <w:szCs w:val="18"/>
              </w:rPr>
            </w:pPr>
            <w:r w:rsidRPr="00014E79">
              <w:rPr>
                <w:rFonts w:ascii="Arial Narrow" w:hAnsi="Arial Narrow"/>
                <w:b/>
                <w:sz w:val="18"/>
                <w:szCs w:val="18"/>
              </w:rPr>
              <w:t>Gene therapy</w:t>
            </w:r>
          </w:p>
        </w:tc>
        <w:tc>
          <w:tcPr>
            <w:tcW w:w="3430" w:type="dxa"/>
          </w:tcPr>
          <w:p w14:paraId="58CEA49C" w14:textId="77777777" w:rsidR="00236468" w:rsidRPr="00014E79" w:rsidRDefault="00236468" w:rsidP="0031327F">
            <w:pPr>
              <w:rPr>
                <w:rFonts w:ascii="Arial Narrow" w:hAnsi="Arial Narrow"/>
                <w:b/>
                <w:sz w:val="18"/>
                <w:szCs w:val="18"/>
              </w:rPr>
            </w:pPr>
            <w:r w:rsidRPr="00014E79">
              <w:rPr>
                <w:rFonts w:ascii="Arial Narrow" w:hAnsi="Arial Narrow"/>
                <w:b/>
                <w:sz w:val="18"/>
                <w:szCs w:val="18"/>
              </w:rPr>
              <w:t>Other treatments</w:t>
            </w:r>
          </w:p>
        </w:tc>
      </w:tr>
      <w:tr w:rsidR="00236468" w14:paraId="2A9E7730" w14:textId="77777777" w:rsidTr="0031327F">
        <w:tc>
          <w:tcPr>
            <w:tcW w:w="5812" w:type="dxa"/>
            <w:gridSpan w:val="4"/>
            <w:shd w:val="clear" w:color="auto" w:fill="D9D9D9" w:themeFill="background1" w:themeFillShade="D9"/>
          </w:tcPr>
          <w:p w14:paraId="7C4F73BC" w14:textId="77777777" w:rsidR="00236468" w:rsidRDefault="00236468" w:rsidP="0031327F">
            <w:pPr>
              <w:rPr>
                <w:rFonts w:ascii="Arial Narrow" w:hAnsi="Arial Narrow"/>
                <w:sz w:val="18"/>
                <w:szCs w:val="18"/>
              </w:rPr>
            </w:pPr>
            <w:r w:rsidRPr="00014E79">
              <w:rPr>
                <w:rFonts w:ascii="Arial Narrow" w:hAnsi="Arial Narrow"/>
                <w:i/>
                <w:sz w:val="18"/>
                <w:szCs w:val="18"/>
              </w:rPr>
              <w:t>Humoral immunodeficiency</w:t>
            </w:r>
          </w:p>
        </w:tc>
        <w:tc>
          <w:tcPr>
            <w:tcW w:w="3430" w:type="dxa"/>
            <w:vMerge w:val="restart"/>
          </w:tcPr>
          <w:p w14:paraId="0F17E797" w14:textId="77777777" w:rsidR="00236468" w:rsidRDefault="00236468" w:rsidP="0031327F">
            <w:pPr>
              <w:rPr>
                <w:rFonts w:ascii="Arial Narrow" w:hAnsi="Arial Narrow"/>
                <w:sz w:val="18"/>
                <w:szCs w:val="18"/>
              </w:rPr>
            </w:pPr>
            <w:r>
              <w:rPr>
                <w:rFonts w:ascii="Arial Narrow" w:hAnsi="Arial Narrow"/>
                <w:sz w:val="18"/>
                <w:szCs w:val="18"/>
              </w:rPr>
              <w:t>Avoidance of live vaccines: all except SIGAD, IGGSD, THI</w:t>
            </w:r>
          </w:p>
          <w:p w14:paraId="231C3BBD" w14:textId="77777777" w:rsidR="00236468" w:rsidRDefault="00236468" w:rsidP="0031327F">
            <w:pPr>
              <w:rPr>
                <w:rFonts w:ascii="Arial Narrow" w:hAnsi="Arial Narrow"/>
                <w:sz w:val="18"/>
                <w:szCs w:val="18"/>
              </w:rPr>
            </w:pPr>
            <w:r>
              <w:rPr>
                <w:rFonts w:ascii="Arial Narrow" w:hAnsi="Arial Narrow"/>
                <w:sz w:val="18"/>
                <w:szCs w:val="18"/>
              </w:rPr>
              <w:t>Antibiotics: all</w:t>
            </w:r>
          </w:p>
          <w:p w14:paraId="0D2C77C3" w14:textId="77777777" w:rsidR="00236468" w:rsidRDefault="00236468" w:rsidP="0031327F">
            <w:pPr>
              <w:rPr>
                <w:rFonts w:ascii="Arial Narrow" w:hAnsi="Arial Narrow"/>
                <w:sz w:val="18"/>
                <w:szCs w:val="18"/>
              </w:rPr>
            </w:pPr>
            <w:r>
              <w:rPr>
                <w:rFonts w:ascii="Arial Narrow" w:hAnsi="Arial Narrow"/>
                <w:sz w:val="18"/>
                <w:szCs w:val="18"/>
              </w:rPr>
              <w:t>Immunomodulators: CVID, SIGAD, IGGSD</w:t>
            </w:r>
          </w:p>
          <w:p w14:paraId="7DFB2CDB" w14:textId="77777777" w:rsidR="00236468" w:rsidRDefault="00236468" w:rsidP="0031327F">
            <w:pPr>
              <w:rPr>
                <w:rFonts w:ascii="Arial Narrow" w:hAnsi="Arial Narrow"/>
                <w:sz w:val="18"/>
                <w:szCs w:val="18"/>
              </w:rPr>
            </w:pPr>
            <w:r>
              <w:rPr>
                <w:rFonts w:ascii="Arial Narrow" w:hAnsi="Arial Narrow"/>
                <w:sz w:val="18"/>
                <w:szCs w:val="18"/>
              </w:rPr>
              <w:t>Splenectomy: CVID</w:t>
            </w:r>
          </w:p>
          <w:p w14:paraId="27F4D688" w14:textId="77777777" w:rsidR="00236468" w:rsidRDefault="00236468" w:rsidP="0031327F">
            <w:pPr>
              <w:rPr>
                <w:rFonts w:ascii="Arial Narrow" w:hAnsi="Arial Narrow"/>
                <w:sz w:val="18"/>
                <w:szCs w:val="18"/>
              </w:rPr>
            </w:pPr>
            <w:r>
              <w:rPr>
                <w:rFonts w:ascii="Arial Narrow" w:hAnsi="Arial Narrow"/>
                <w:sz w:val="18"/>
                <w:szCs w:val="18"/>
              </w:rPr>
              <w:t>Chemotherapy: CVID</w:t>
            </w:r>
          </w:p>
          <w:p w14:paraId="76D6D461" w14:textId="77777777" w:rsidR="00236468" w:rsidRDefault="00236468" w:rsidP="0031327F">
            <w:pPr>
              <w:rPr>
                <w:rFonts w:ascii="Arial Narrow" w:hAnsi="Arial Narrow"/>
                <w:sz w:val="18"/>
                <w:szCs w:val="18"/>
              </w:rPr>
            </w:pPr>
            <w:r>
              <w:rPr>
                <w:rFonts w:ascii="Arial Narrow" w:hAnsi="Arial Narrow"/>
                <w:sz w:val="18"/>
                <w:szCs w:val="18"/>
              </w:rPr>
              <w:t>Pneumoccocal vaccines: SAD</w:t>
            </w:r>
          </w:p>
        </w:tc>
      </w:tr>
      <w:tr w:rsidR="00236468" w14:paraId="75A94038" w14:textId="77777777" w:rsidTr="0031327F">
        <w:tc>
          <w:tcPr>
            <w:tcW w:w="3962" w:type="dxa"/>
          </w:tcPr>
          <w:p w14:paraId="1C4F4049" w14:textId="77777777" w:rsidR="00236468" w:rsidRDefault="00236468" w:rsidP="0031327F">
            <w:pPr>
              <w:rPr>
                <w:rFonts w:ascii="Arial Narrow" w:hAnsi="Arial Narrow"/>
                <w:sz w:val="18"/>
                <w:szCs w:val="18"/>
              </w:rPr>
            </w:pPr>
            <w:r>
              <w:rPr>
                <w:rFonts w:ascii="Arial Narrow" w:hAnsi="Arial Narrow"/>
                <w:sz w:val="18"/>
                <w:szCs w:val="18"/>
              </w:rPr>
              <w:t>XLA, ARA, AICDA, UNG, ICOS, CVID, SAD, hypogam</w:t>
            </w:r>
          </w:p>
        </w:tc>
        <w:tc>
          <w:tcPr>
            <w:tcW w:w="564" w:type="dxa"/>
          </w:tcPr>
          <w:p w14:paraId="2761EDD0" w14:textId="77777777" w:rsidR="00236468" w:rsidRDefault="00236468" w:rsidP="0031327F">
            <w:pPr>
              <w:rPr>
                <w:rFonts w:ascii="Arial Narrow" w:hAnsi="Arial Narrow"/>
                <w:sz w:val="18"/>
                <w:szCs w:val="18"/>
              </w:rPr>
            </w:pPr>
            <w:r>
              <w:rPr>
                <w:rFonts w:ascii="Arial Narrow" w:hAnsi="Arial Narrow"/>
                <w:sz w:val="18"/>
                <w:szCs w:val="18"/>
              </w:rPr>
              <w:t>Yes</w:t>
            </w:r>
          </w:p>
        </w:tc>
        <w:tc>
          <w:tcPr>
            <w:tcW w:w="536" w:type="dxa"/>
          </w:tcPr>
          <w:p w14:paraId="72ED0E5D" w14:textId="77777777" w:rsidR="00236468" w:rsidRDefault="00236468" w:rsidP="0031327F">
            <w:pPr>
              <w:rPr>
                <w:rFonts w:ascii="Arial Narrow" w:hAnsi="Arial Narrow"/>
                <w:sz w:val="18"/>
                <w:szCs w:val="18"/>
              </w:rPr>
            </w:pPr>
            <w:r>
              <w:rPr>
                <w:rFonts w:ascii="Arial Narrow" w:hAnsi="Arial Narrow"/>
                <w:sz w:val="18"/>
                <w:szCs w:val="18"/>
              </w:rPr>
              <w:t>No</w:t>
            </w:r>
          </w:p>
        </w:tc>
        <w:tc>
          <w:tcPr>
            <w:tcW w:w="750" w:type="dxa"/>
          </w:tcPr>
          <w:p w14:paraId="0B4D02C5" w14:textId="77777777" w:rsidR="00236468" w:rsidRDefault="00236468" w:rsidP="0031327F">
            <w:pPr>
              <w:rPr>
                <w:rFonts w:ascii="Arial Narrow" w:hAnsi="Arial Narrow"/>
                <w:sz w:val="18"/>
                <w:szCs w:val="18"/>
              </w:rPr>
            </w:pPr>
            <w:r>
              <w:rPr>
                <w:rFonts w:ascii="Arial Narrow" w:hAnsi="Arial Narrow"/>
                <w:sz w:val="18"/>
                <w:szCs w:val="18"/>
              </w:rPr>
              <w:t>No</w:t>
            </w:r>
          </w:p>
        </w:tc>
        <w:tc>
          <w:tcPr>
            <w:tcW w:w="3430" w:type="dxa"/>
            <w:vMerge/>
          </w:tcPr>
          <w:p w14:paraId="246FF225" w14:textId="77777777" w:rsidR="00236468" w:rsidRDefault="00236468" w:rsidP="0031327F">
            <w:pPr>
              <w:rPr>
                <w:rFonts w:ascii="Arial Narrow" w:hAnsi="Arial Narrow"/>
                <w:sz w:val="18"/>
                <w:szCs w:val="18"/>
              </w:rPr>
            </w:pPr>
          </w:p>
        </w:tc>
      </w:tr>
      <w:tr w:rsidR="00236468" w14:paraId="30D08ECE" w14:textId="77777777" w:rsidTr="0031327F">
        <w:tc>
          <w:tcPr>
            <w:tcW w:w="3962" w:type="dxa"/>
            <w:tcBorders>
              <w:bottom w:val="single" w:sz="4" w:space="0" w:color="auto"/>
            </w:tcBorders>
          </w:tcPr>
          <w:p w14:paraId="791188D2" w14:textId="77777777" w:rsidR="00236468" w:rsidRDefault="00236468" w:rsidP="0031327F">
            <w:pPr>
              <w:rPr>
                <w:rFonts w:ascii="Arial Narrow" w:hAnsi="Arial Narrow"/>
                <w:sz w:val="18"/>
                <w:szCs w:val="18"/>
              </w:rPr>
            </w:pPr>
            <w:r>
              <w:rPr>
                <w:rFonts w:ascii="Arial Narrow" w:hAnsi="Arial Narrow"/>
                <w:sz w:val="18"/>
                <w:szCs w:val="18"/>
              </w:rPr>
              <w:t>IGGSD, SIGAD, THI</w:t>
            </w:r>
          </w:p>
        </w:tc>
        <w:tc>
          <w:tcPr>
            <w:tcW w:w="564" w:type="dxa"/>
            <w:tcBorders>
              <w:bottom w:val="single" w:sz="4" w:space="0" w:color="auto"/>
            </w:tcBorders>
          </w:tcPr>
          <w:p w14:paraId="30BAD075" w14:textId="77777777" w:rsidR="00236468" w:rsidRDefault="00236468" w:rsidP="0031327F">
            <w:pPr>
              <w:rPr>
                <w:rFonts w:ascii="Arial Narrow" w:hAnsi="Arial Narrow"/>
                <w:sz w:val="18"/>
                <w:szCs w:val="18"/>
              </w:rPr>
            </w:pPr>
            <w:r>
              <w:rPr>
                <w:rFonts w:ascii="Arial Narrow" w:hAnsi="Arial Narrow"/>
                <w:sz w:val="18"/>
                <w:szCs w:val="18"/>
              </w:rPr>
              <w:t>?</w:t>
            </w:r>
          </w:p>
        </w:tc>
        <w:tc>
          <w:tcPr>
            <w:tcW w:w="536" w:type="dxa"/>
            <w:tcBorders>
              <w:bottom w:val="single" w:sz="4" w:space="0" w:color="auto"/>
            </w:tcBorders>
          </w:tcPr>
          <w:p w14:paraId="09DBEF33" w14:textId="77777777" w:rsidR="00236468" w:rsidRDefault="00236468" w:rsidP="0031327F">
            <w:pPr>
              <w:rPr>
                <w:rFonts w:ascii="Arial Narrow" w:hAnsi="Arial Narrow"/>
                <w:sz w:val="18"/>
                <w:szCs w:val="18"/>
              </w:rPr>
            </w:pPr>
            <w:r>
              <w:rPr>
                <w:rFonts w:ascii="Arial Narrow" w:hAnsi="Arial Narrow"/>
                <w:sz w:val="18"/>
                <w:szCs w:val="18"/>
              </w:rPr>
              <w:t>No</w:t>
            </w:r>
          </w:p>
        </w:tc>
        <w:tc>
          <w:tcPr>
            <w:tcW w:w="750" w:type="dxa"/>
            <w:tcBorders>
              <w:bottom w:val="single" w:sz="4" w:space="0" w:color="auto"/>
            </w:tcBorders>
          </w:tcPr>
          <w:p w14:paraId="55743112" w14:textId="77777777" w:rsidR="00236468" w:rsidRDefault="00236468" w:rsidP="0031327F">
            <w:pPr>
              <w:rPr>
                <w:rFonts w:ascii="Arial Narrow" w:hAnsi="Arial Narrow"/>
                <w:sz w:val="18"/>
                <w:szCs w:val="18"/>
              </w:rPr>
            </w:pPr>
            <w:r>
              <w:rPr>
                <w:rFonts w:ascii="Arial Narrow" w:hAnsi="Arial Narrow"/>
                <w:sz w:val="18"/>
                <w:szCs w:val="18"/>
              </w:rPr>
              <w:t>No</w:t>
            </w:r>
          </w:p>
        </w:tc>
        <w:tc>
          <w:tcPr>
            <w:tcW w:w="3430" w:type="dxa"/>
            <w:vMerge/>
          </w:tcPr>
          <w:p w14:paraId="658B6C8F" w14:textId="77777777" w:rsidR="00236468" w:rsidRDefault="00236468" w:rsidP="0031327F">
            <w:pPr>
              <w:rPr>
                <w:rFonts w:ascii="Arial Narrow" w:hAnsi="Arial Narrow"/>
                <w:sz w:val="18"/>
                <w:szCs w:val="18"/>
              </w:rPr>
            </w:pPr>
          </w:p>
        </w:tc>
      </w:tr>
      <w:tr w:rsidR="00236468" w14:paraId="2D85AC5B" w14:textId="77777777" w:rsidTr="0031327F">
        <w:tc>
          <w:tcPr>
            <w:tcW w:w="5812" w:type="dxa"/>
            <w:gridSpan w:val="4"/>
            <w:shd w:val="clear" w:color="auto" w:fill="D9D9D9" w:themeFill="background1" w:themeFillShade="D9"/>
          </w:tcPr>
          <w:p w14:paraId="4C033B0B" w14:textId="77777777" w:rsidR="00236468" w:rsidRPr="000616EB" w:rsidRDefault="00236468" w:rsidP="0031327F">
            <w:pPr>
              <w:rPr>
                <w:rFonts w:ascii="Arial Narrow" w:hAnsi="Arial Narrow"/>
                <w:i/>
                <w:sz w:val="18"/>
                <w:szCs w:val="18"/>
              </w:rPr>
            </w:pPr>
            <w:r w:rsidRPr="000616EB">
              <w:rPr>
                <w:rFonts w:ascii="Arial Narrow" w:hAnsi="Arial Narrow"/>
                <w:i/>
                <w:sz w:val="18"/>
                <w:szCs w:val="18"/>
              </w:rPr>
              <w:t xml:space="preserve">Combined </w:t>
            </w:r>
            <w:r>
              <w:rPr>
                <w:rFonts w:ascii="Arial Narrow" w:hAnsi="Arial Narrow"/>
                <w:i/>
                <w:sz w:val="18"/>
                <w:szCs w:val="18"/>
              </w:rPr>
              <w:t>i</w:t>
            </w:r>
            <w:r w:rsidRPr="000616EB">
              <w:rPr>
                <w:rFonts w:ascii="Arial Narrow" w:hAnsi="Arial Narrow"/>
                <w:i/>
                <w:sz w:val="18"/>
                <w:szCs w:val="18"/>
              </w:rPr>
              <w:t>mmunodeficiency</w:t>
            </w:r>
          </w:p>
        </w:tc>
        <w:tc>
          <w:tcPr>
            <w:tcW w:w="3430" w:type="dxa"/>
          </w:tcPr>
          <w:p w14:paraId="32FCF667" w14:textId="77777777" w:rsidR="00236468" w:rsidRDefault="00236468" w:rsidP="0031327F">
            <w:pPr>
              <w:rPr>
                <w:rFonts w:ascii="Arial Narrow" w:hAnsi="Arial Narrow"/>
                <w:sz w:val="18"/>
                <w:szCs w:val="18"/>
              </w:rPr>
            </w:pPr>
          </w:p>
        </w:tc>
      </w:tr>
      <w:tr w:rsidR="00236468" w14:paraId="122085A4" w14:textId="77777777" w:rsidTr="0031327F">
        <w:tc>
          <w:tcPr>
            <w:tcW w:w="3962" w:type="dxa"/>
          </w:tcPr>
          <w:p w14:paraId="7C31D7DA" w14:textId="77777777" w:rsidR="00236468" w:rsidRDefault="00236468" w:rsidP="0031327F">
            <w:pPr>
              <w:rPr>
                <w:rFonts w:ascii="Arial Narrow" w:hAnsi="Arial Narrow"/>
                <w:sz w:val="18"/>
                <w:szCs w:val="18"/>
              </w:rPr>
            </w:pPr>
            <w:r>
              <w:rPr>
                <w:rFonts w:ascii="Arial Narrow" w:hAnsi="Arial Narrow"/>
                <w:sz w:val="18"/>
                <w:szCs w:val="18"/>
              </w:rPr>
              <w:t>SCID (IL-2RG, ADA)</w:t>
            </w:r>
          </w:p>
        </w:tc>
        <w:tc>
          <w:tcPr>
            <w:tcW w:w="564" w:type="dxa"/>
          </w:tcPr>
          <w:p w14:paraId="1F32BA43" w14:textId="77777777" w:rsidR="00236468" w:rsidRDefault="00236468" w:rsidP="0031327F">
            <w:pPr>
              <w:rPr>
                <w:rFonts w:ascii="Arial Narrow" w:hAnsi="Arial Narrow"/>
                <w:sz w:val="18"/>
                <w:szCs w:val="18"/>
              </w:rPr>
            </w:pPr>
            <w:r>
              <w:rPr>
                <w:rFonts w:ascii="Arial Narrow" w:hAnsi="Arial Narrow"/>
                <w:sz w:val="18"/>
                <w:szCs w:val="18"/>
              </w:rPr>
              <w:t>Yes</w:t>
            </w:r>
          </w:p>
        </w:tc>
        <w:tc>
          <w:tcPr>
            <w:tcW w:w="536" w:type="dxa"/>
          </w:tcPr>
          <w:p w14:paraId="78205DC0" w14:textId="77777777" w:rsidR="00236468" w:rsidRDefault="00236468" w:rsidP="0031327F">
            <w:pPr>
              <w:rPr>
                <w:rFonts w:ascii="Arial Narrow" w:hAnsi="Arial Narrow"/>
                <w:sz w:val="18"/>
                <w:szCs w:val="18"/>
              </w:rPr>
            </w:pPr>
            <w:r>
              <w:rPr>
                <w:rFonts w:ascii="Arial Narrow" w:hAnsi="Arial Narrow"/>
                <w:sz w:val="18"/>
                <w:szCs w:val="18"/>
              </w:rPr>
              <w:t>Yes</w:t>
            </w:r>
          </w:p>
        </w:tc>
        <w:tc>
          <w:tcPr>
            <w:tcW w:w="750" w:type="dxa"/>
          </w:tcPr>
          <w:p w14:paraId="0CB97E8C" w14:textId="77777777" w:rsidR="00236468" w:rsidRDefault="00236468" w:rsidP="0031327F">
            <w:pPr>
              <w:rPr>
                <w:rFonts w:ascii="Arial Narrow" w:hAnsi="Arial Narrow"/>
                <w:sz w:val="18"/>
                <w:szCs w:val="18"/>
              </w:rPr>
            </w:pPr>
            <w:r>
              <w:rPr>
                <w:rFonts w:ascii="Arial Narrow" w:hAnsi="Arial Narrow"/>
                <w:sz w:val="18"/>
                <w:szCs w:val="18"/>
              </w:rPr>
              <w:t>Yes</w:t>
            </w:r>
          </w:p>
        </w:tc>
        <w:tc>
          <w:tcPr>
            <w:tcW w:w="3430" w:type="dxa"/>
            <w:vMerge w:val="restart"/>
          </w:tcPr>
          <w:p w14:paraId="433874A3" w14:textId="77777777" w:rsidR="00236468" w:rsidRDefault="00236468" w:rsidP="0031327F">
            <w:pPr>
              <w:rPr>
                <w:rFonts w:ascii="Arial Narrow" w:hAnsi="Arial Narrow"/>
                <w:sz w:val="18"/>
                <w:szCs w:val="18"/>
              </w:rPr>
            </w:pPr>
            <w:r>
              <w:rPr>
                <w:rFonts w:ascii="Arial Narrow" w:hAnsi="Arial Narrow"/>
                <w:sz w:val="18"/>
                <w:szCs w:val="18"/>
              </w:rPr>
              <w:t>Avoidance of live vaccines: all (partial DGS?)</w:t>
            </w:r>
          </w:p>
          <w:p w14:paraId="67DF5865" w14:textId="77777777" w:rsidR="00236468" w:rsidRDefault="00236468" w:rsidP="0031327F">
            <w:pPr>
              <w:rPr>
                <w:rFonts w:ascii="Arial Narrow" w:hAnsi="Arial Narrow"/>
                <w:sz w:val="18"/>
                <w:szCs w:val="18"/>
              </w:rPr>
            </w:pPr>
            <w:r>
              <w:rPr>
                <w:rFonts w:ascii="Arial Narrow" w:hAnsi="Arial Narrow"/>
                <w:sz w:val="18"/>
                <w:szCs w:val="18"/>
              </w:rPr>
              <w:t>Avoidance of nonirradiated blood or products: all</w:t>
            </w:r>
          </w:p>
          <w:p w14:paraId="7E4F09F5" w14:textId="77777777" w:rsidR="00236468" w:rsidRDefault="00236468" w:rsidP="0031327F">
            <w:pPr>
              <w:rPr>
                <w:rFonts w:ascii="Arial Narrow" w:hAnsi="Arial Narrow"/>
                <w:sz w:val="18"/>
                <w:szCs w:val="18"/>
              </w:rPr>
            </w:pPr>
            <w:r>
              <w:rPr>
                <w:rFonts w:ascii="Arial Narrow" w:hAnsi="Arial Narrow"/>
                <w:sz w:val="18"/>
                <w:szCs w:val="18"/>
              </w:rPr>
              <w:t>Avoidance of CMV-positive blood or cells: all</w:t>
            </w:r>
          </w:p>
          <w:p w14:paraId="393DF217" w14:textId="77777777" w:rsidR="00236468" w:rsidRDefault="00236468" w:rsidP="0031327F">
            <w:pPr>
              <w:rPr>
                <w:rFonts w:ascii="Arial Narrow" w:hAnsi="Arial Narrow"/>
                <w:sz w:val="18"/>
                <w:szCs w:val="18"/>
              </w:rPr>
            </w:pPr>
            <w:r>
              <w:rPr>
                <w:rFonts w:ascii="Arial Narrow" w:hAnsi="Arial Narrow"/>
                <w:sz w:val="18"/>
                <w:szCs w:val="18"/>
              </w:rPr>
              <w:t>Antibiotics: all</w:t>
            </w:r>
          </w:p>
          <w:p w14:paraId="187D4063" w14:textId="77777777" w:rsidR="00236468" w:rsidRDefault="00236468" w:rsidP="0031327F">
            <w:pPr>
              <w:rPr>
                <w:rFonts w:ascii="Arial Narrow" w:hAnsi="Arial Narrow"/>
                <w:sz w:val="18"/>
                <w:szCs w:val="18"/>
              </w:rPr>
            </w:pPr>
            <w:r>
              <w:rPr>
                <w:rFonts w:ascii="Arial Narrow" w:hAnsi="Arial Narrow"/>
                <w:sz w:val="18"/>
                <w:szCs w:val="18"/>
              </w:rPr>
              <w:t>Pneumocystis prophylaxis: all SCID, TNFSF5, TNFRSF5</w:t>
            </w:r>
          </w:p>
          <w:p w14:paraId="181BDC40" w14:textId="77777777" w:rsidR="00236468" w:rsidRDefault="00236468" w:rsidP="0031327F">
            <w:pPr>
              <w:rPr>
                <w:rFonts w:ascii="Arial Narrow" w:hAnsi="Arial Narrow"/>
                <w:sz w:val="18"/>
                <w:szCs w:val="18"/>
              </w:rPr>
            </w:pPr>
            <w:r>
              <w:rPr>
                <w:rFonts w:ascii="Arial Narrow" w:hAnsi="Arial Narrow"/>
                <w:sz w:val="18"/>
                <w:szCs w:val="18"/>
              </w:rPr>
              <w:t>PEG-ADA: ADA</w:t>
            </w:r>
          </w:p>
          <w:p w14:paraId="7FDD4542" w14:textId="77777777" w:rsidR="00236468" w:rsidRDefault="00236468" w:rsidP="0031327F">
            <w:pPr>
              <w:rPr>
                <w:rFonts w:ascii="Arial Narrow" w:hAnsi="Arial Narrow"/>
                <w:sz w:val="18"/>
                <w:szCs w:val="18"/>
              </w:rPr>
            </w:pPr>
            <w:r>
              <w:rPr>
                <w:rFonts w:ascii="Arial Narrow" w:hAnsi="Arial Narrow"/>
                <w:sz w:val="18"/>
                <w:szCs w:val="18"/>
              </w:rPr>
              <w:t>Splenectomy: WAS</w:t>
            </w:r>
          </w:p>
          <w:p w14:paraId="66B6F627" w14:textId="77777777" w:rsidR="00236468" w:rsidRDefault="00236468" w:rsidP="0031327F">
            <w:pPr>
              <w:rPr>
                <w:rFonts w:ascii="Arial Narrow" w:hAnsi="Arial Narrow"/>
                <w:sz w:val="18"/>
                <w:szCs w:val="18"/>
              </w:rPr>
            </w:pPr>
            <w:r>
              <w:rPr>
                <w:rFonts w:ascii="Arial Narrow" w:hAnsi="Arial Narrow"/>
                <w:sz w:val="18"/>
                <w:szCs w:val="18"/>
              </w:rPr>
              <w:t>Anti-inflammatory: WAS</w:t>
            </w:r>
          </w:p>
          <w:p w14:paraId="140E15B4" w14:textId="77777777" w:rsidR="00236468" w:rsidRDefault="00236468" w:rsidP="0031327F">
            <w:pPr>
              <w:rPr>
                <w:rFonts w:ascii="Arial Narrow" w:hAnsi="Arial Narrow"/>
                <w:sz w:val="18"/>
                <w:szCs w:val="18"/>
              </w:rPr>
            </w:pPr>
            <w:r>
              <w:rPr>
                <w:rFonts w:ascii="Arial Narrow" w:hAnsi="Arial Narrow"/>
                <w:sz w:val="18"/>
                <w:szCs w:val="18"/>
              </w:rPr>
              <w:t>G-CSF: TNFSF5, TNFRSF5, WHIM syndrome</w:t>
            </w:r>
          </w:p>
          <w:p w14:paraId="7B636491" w14:textId="77777777" w:rsidR="00236468" w:rsidRDefault="00236468" w:rsidP="0031327F">
            <w:pPr>
              <w:rPr>
                <w:rFonts w:ascii="Arial Narrow" w:hAnsi="Arial Narrow"/>
                <w:sz w:val="18"/>
                <w:szCs w:val="18"/>
              </w:rPr>
            </w:pPr>
            <w:r>
              <w:rPr>
                <w:rFonts w:ascii="Arial Narrow" w:hAnsi="Arial Narrow"/>
                <w:sz w:val="18"/>
                <w:szCs w:val="18"/>
              </w:rPr>
              <w:t>GM-CSF: WHIM syndrome</w:t>
            </w:r>
          </w:p>
          <w:p w14:paraId="2F160823" w14:textId="77777777" w:rsidR="00236468" w:rsidRDefault="00236468" w:rsidP="0031327F">
            <w:pPr>
              <w:rPr>
                <w:rFonts w:ascii="Arial Narrow" w:hAnsi="Arial Narrow"/>
                <w:sz w:val="18"/>
                <w:szCs w:val="18"/>
              </w:rPr>
            </w:pPr>
            <w:r>
              <w:rPr>
                <w:rFonts w:ascii="Arial Narrow" w:hAnsi="Arial Narrow"/>
                <w:sz w:val="18"/>
                <w:szCs w:val="18"/>
              </w:rPr>
              <w:t>Chemotherapy: XLP, GS</w:t>
            </w:r>
          </w:p>
          <w:p w14:paraId="7B42EB1F" w14:textId="77777777" w:rsidR="00236468" w:rsidRDefault="00236468" w:rsidP="0031327F">
            <w:pPr>
              <w:rPr>
                <w:rFonts w:ascii="Arial Narrow" w:hAnsi="Arial Narrow"/>
                <w:sz w:val="18"/>
                <w:szCs w:val="18"/>
              </w:rPr>
            </w:pPr>
            <w:r>
              <w:rPr>
                <w:rFonts w:ascii="Arial Narrow" w:hAnsi="Arial Narrow"/>
                <w:sz w:val="18"/>
                <w:szCs w:val="18"/>
              </w:rPr>
              <w:t>Thymus transplantation: DGS</w:t>
            </w:r>
          </w:p>
          <w:p w14:paraId="5142FE3F" w14:textId="6B9B076C" w:rsidR="00236468" w:rsidRDefault="00236468" w:rsidP="0031327F">
            <w:pPr>
              <w:rPr>
                <w:rFonts w:ascii="Arial Narrow" w:hAnsi="Arial Narrow"/>
                <w:sz w:val="18"/>
                <w:szCs w:val="18"/>
              </w:rPr>
            </w:pPr>
            <w:r>
              <w:rPr>
                <w:rFonts w:ascii="Arial Narrow" w:hAnsi="Arial Narrow"/>
                <w:sz w:val="18"/>
                <w:szCs w:val="18"/>
              </w:rPr>
              <w:t xml:space="preserve">Multidisciplinary </w:t>
            </w:r>
            <w:r w:rsidRPr="002D4893">
              <w:rPr>
                <w:rFonts w:ascii="Arial Narrow" w:hAnsi="Arial Narrow"/>
                <w:sz w:val="18"/>
                <w:szCs w:val="18"/>
              </w:rPr>
              <w:t>care: DG</w:t>
            </w:r>
            <w:r w:rsidR="00BA5AFA" w:rsidRPr="002D4893">
              <w:rPr>
                <w:rFonts w:ascii="Arial Narrow" w:hAnsi="Arial Narrow"/>
                <w:sz w:val="18"/>
                <w:szCs w:val="18"/>
              </w:rPr>
              <w:t>S</w:t>
            </w:r>
            <w:r w:rsidRPr="002D4893">
              <w:rPr>
                <w:rFonts w:ascii="Arial Narrow" w:hAnsi="Arial Narrow"/>
                <w:sz w:val="18"/>
                <w:szCs w:val="18"/>
              </w:rPr>
              <w:t>, A</w:t>
            </w:r>
            <w:r>
              <w:rPr>
                <w:rFonts w:ascii="Arial Narrow" w:hAnsi="Arial Narrow"/>
                <w:sz w:val="18"/>
                <w:szCs w:val="18"/>
              </w:rPr>
              <w:t>-T</w:t>
            </w:r>
          </w:p>
        </w:tc>
      </w:tr>
      <w:tr w:rsidR="00236468" w14:paraId="273B338D" w14:textId="77777777" w:rsidTr="0031327F">
        <w:tc>
          <w:tcPr>
            <w:tcW w:w="3962" w:type="dxa"/>
          </w:tcPr>
          <w:p w14:paraId="04B39463" w14:textId="77777777" w:rsidR="00236468" w:rsidRDefault="00236468" w:rsidP="0031327F">
            <w:pPr>
              <w:rPr>
                <w:rFonts w:ascii="Arial Narrow" w:hAnsi="Arial Narrow"/>
                <w:sz w:val="18"/>
                <w:szCs w:val="18"/>
              </w:rPr>
            </w:pPr>
            <w:r>
              <w:rPr>
                <w:rFonts w:ascii="Arial Narrow" w:hAnsi="Arial Narrow"/>
                <w:sz w:val="18"/>
                <w:szCs w:val="18"/>
              </w:rPr>
              <w:t>SCID (JAK3, IL-2RA, IL7RA, RAG1/2, CD45, MHC 1/11, CD3, ZAP70, Artemis, NP (unknown))</w:t>
            </w:r>
          </w:p>
        </w:tc>
        <w:tc>
          <w:tcPr>
            <w:tcW w:w="564" w:type="dxa"/>
          </w:tcPr>
          <w:p w14:paraId="78504917" w14:textId="77777777" w:rsidR="00236468" w:rsidRDefault="00236468" w:rsidP="0031327F">
            <w:pPr>
              <w:rPr>
                <w:rFonts w:ascii="Arial Narrow" w:hAnsi="Arial Narrow"/>
                <w:sz w:val="18"/>
                <w:szCs w:val="18"/>
              </w:rPr>
            </w:pPr>
            <w:r>
              <w:rPr>
                <w:rFonts w:ascii="Arial Narrow" w:hAnsi="Arial Narrow"/>
                <w:sz w:val="18"/>
                <w:szCs w:val="18"/>
              </w:rPr>
              <w:t>Yes</w:t>
            </w:r>
          </w:p>
        </w:tc>
        <w:tc>
          <w:tcPr>
            <w:tcW w:w="536" w:type="dxa"/>
          </w:tcPr>
          <w:p w14:paraId="3B110139" w14:textId="77777777" w:rsidR="00236468" w:rsidRDefault="00236468" w:rsidP="0031327F">
            <w:pPr>
              <w:rPr>
                <w:rFonts w:ascii="Arial Narrow" w:hAnsi="Arial Narrow"/>
                <w:sz w:val="18"/>
                <w:szCs w:val="18"/>
              </w:rPr>
            </w:pPr>
            <w:r>
              <w:rPr>
                <w:rFonts w:ascii="Arial Narrow" w:hAnsi="Arial Narrow"/>
                <w:sz w:val="18"/>
                <w:szCs w:val="18"/>
              </w:rPr>
              <w:t>Yes</w:t>
            </w:r>
          </w:p>
        </w:tc>
        <w:tc>
          <w:tcPr>
            <w:tcW w:w="750" w:type="dxa"/>
          </w:tcPr>
          <w:p w14:paraId="1668C9F1" w14:textId="77777777" w:rsidR="00236468" w:rsidRDefault="00236468" w:rsidP="0031327F">
            <w:pPr>
              <w:rPr>
                <w:rFonts w:ascii="Arial Narrow" w:hAnsi="Arial Narrow"/>
                <w:sz w:val="18"/>
                <w:szCs w:val="18"/>
              </w:rPr>
            </w:pPr>
            <w:r>
              <w:rPr>
                <w:rFonts w:ascii="Arial Narrow" w:hAnsi="Arial Narrow"/>
                <w:sz w:val="18"/>
                <w:szCs w:val="18"/>
              </w:rPr>
              <w:t>No</w:t>
            </w:r>
          </w:p>
        </w:tc>
        <w:tc>
          <w:tcPr>
            <w:tcW w:w="3430" w:type="dxa"/>
            <w:vMerge/>
          </w:tcPr>
          <w:p w14:paraId="4D17DB0C" w14:textId="77777777" w:rsidR="00236468" w:rsidRDefault="00236468" w:rsidP="0031327F">
            <w:pPr>
              <w:rPr>
                <w:rFonts w:ascii="Arial Narrow" w:hAnsi="Arial Narrow"/>
                <w:sz w:val="18"/>
                <w:szCs w:val="18"/>
              </w:rPr>
            </w:pPr>
          </w:p>
        </w:tc>
      </w:tr>
      <w:tr w:rsidR="00236468" w14:paraId="4F8B26D4" w14:textId="77777777" w:rsidTr="0031327F">
        <w:tc>
          <w:tcPr>
            <w:tcW w:w="3962" w:type="dxa"/>
          </w:tcPr>
          <w:p w14:paraId="25357A0C" w14:textId="77777777" w:rsidR="00236468" w:rsidRDefault="00236468" w:rsidP="0031327F">
            <w:pPr>
              <w:rPr>
                <w:rFonts w:ascii="Arial Narrow" w:hAnsi="Arial Narrow"/>
                <w:sz w:val="18"/>
                <w:szCs w:val="18"/>
              </w:rPr>
            </w:pPr>
            <w:r>
              <w:rPr>
                <w:rFonts w:ascii="Arial Narrow" w:hAnsi="Arial Narrow"/>
                <w:sz w:val="18"/>
                <w:szCs w:val="18"/>
              </w:rPr>
              <w:t>WAS, A-T, NBS, DGS, TNFSF5, XLP, GS, NEMO, WHIM, syndrome caspase 8, Unknown</w:t>
            </w:r>
          </w:p>
        </w:tc>
        <w:tc>
          <w:tcPr>
            <w:tcW w:w="564" w:type="dxa"/>
          </w:tcPr>
          <w:p w14:paraId="0F97DF53" w14:textId="77777777" w:rsidR="00236468" w:rsidRDefault="00236468" w:rsidP="0031327F">
            <w:pPr>
              <w:rPr>
                <w:rFonts w:ascii="Arial Narrow" w:hAnsi="Arial Narrow"/>
                <w:sz w:val="18"/>
                <w:szCs w:val="18"/>
              </w:rPr>
            </w:pPr>
            <w:r>
              <w:rPr>
                <w:rFonts w:ascii="Arial Narrow" w:hAnsi="Arial Narrow"/>
                <w:sz w:val="18"/>
                <w:szCs w:val="18"/>
              </w:rPr>
              <w:t>Yes</w:t>
            </w:r>
          </w:p>
        </w:tc>
        <w:tc>
          <w:tcPr>
            <w:tcW w:w="536" w:type="dxa"/>
          </w:tcPr>
          <w:p w14:paraId="505F3922" w14:textId="77777777" w:rsidR="00236468" w:rsidRDefault="00236468" w:rsidP="0031327F">
            <w:pPr>
              <w:rPr>
                <w:rFonts w:ascii="Arial Narrow" w:hAnsi="Arial Narrow"/>
                <w:sz w:val="18"/>
                <w:szCs w:val="18"/>
              </w:rPr>
            </w:pPr>
            <w:r>
              <w:rPr>
                <w:rFonts w:ascii="Arial Narrow" w:hAnsi="Arial Narrow"/>
                <w:sz w:val="18"/>
                <w:szCs w:val="18"/>
              </w:rPr>
              <w:t>Yes</w:t>
            </w:r>
          </w:p>
        </w:tc>
        <w:tc>
          <w:tcPr>
            <w:tcW w:w="750" w:type="dxa"/>
          </w:tcPr>
          <w:p w14:paraId="701FC037" w14:textId="77777777" w:rsidR="00236468" w:rsidRDefault="00236468" w:rsidP="0031327F">
            <w:pPr>
              <w:rPr>
                <w:rFonts w:ascii="Arial Narrow" w:hAnsi="Arial Narrow"/>
                <w:sz w:val="18"/>
                <w:szCs w:val="18"/>
              </w:rPr>
            </w:pPr>
            <w:r>
              <w:rPr>
                <w:rFonts w:ascii="Arial Narrow" w:hAnsi="Arial Narrow"/>
                <w:sz w:val="18"/>
                <w:szCs w:val="18"/>
              </w:rPr>
              <w:t>No</w:t>
            </w:r>
          </w:p>
        </w:tc>
        <w:tc>
          <w:tcPr>
            <w:tcW w:w="3430" w:type="dxa"/>
            <w:vMerge/>
          </w:tcPr>
          <w:p w14:paraId="0D1DE948" w14:textId="77777777" w:rsidR="00236468" w:rsidRDefault="00236468" w:rsidP="0031327F">
            <w:pPr>
              <w:rPr>
                <w:rFonts w:ascii="Arial Narrow" w:hAnsi="Arial Narrow"/>
                <w:sz w:val="18"/>
                <w:szCs w:val="18"/>
              </w:rPr>
            </w:pPr>
          </w:p>
        </w:tc>
      </w:tr>
    </w:tbl>
    <w:p w14:paraId="285D6B48" w14:textId="77777777" w:rsidR="00236468" w:rsidRDefault="00236468" w:rsidP="00236468">
      <w:pPr>
        <w:spacing w:after="0"/>
        <w:rPr>
          <w:rFonts w:ascii="Arial Narrow" w:hAnsi="Arial Narrow"/>
          <w:sz w:val="18"/>
          <w:szCs w:val="18"/>
        </w:rPr>
      </w:pPr>
      <w:r w:rsidRPr="00F901DA">
        <w:rPr>
          <w:rFonts w:ascii="Arial Narrow" w:hAnsi="Arial Narrow"/>
          <w:b/>
          <w:sz w:val="18"/>
          <w:szCs w:val="18"/>
        </w:rPr>
        <w:t>Source</w:t>
      </w:r>
      <w:r>
        <w:rPr>
          <w:rFonts w:ascii="Arial Narrow" w:hAnsi="Arial Narrow"/>
          <w:sz w:val="18"/>
          <w:szCs w:val="18"/>
        </w:rPr>
        <w:t>: Adapted from Bonilla et al (2015)</w:t>
      </w:r>
      <w:r>
        <w:rPr>
          <w:rFonts w:ascii="Arial Narrow" w:hAnsi="Arial Narrow"/>
          <w:sz w:val="18"/>
          <w:szCs w:val="18"/>
        </w:rPr>
        <w:fldChar w:fldCharType="begin">
          <w:fldData xml:space="preserve">PEVuZE5vdGU+PENpdGU+PEF1dGhvcj5Cb25pbGxhPC9BdXRob3I+PFllYXI+MjAxNTwvWWVhcj48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==
</w:fldData>
        </w:fldChar>
      </w:r>
      <w:r>
        <w:rPr>
          <w:rFonts w:ascii="Arial Narrow" w:hAnsi="Arial Narrow"/>
          <w:sz w:val="18"/>
          <w:szCs w:val="18"/>
        </w:rPr>
        <w:instrText xml:space="preserve"> ADDIN EN.CITE </w:instrText>
      </w:r>
      <w:r>
        <w:rPr>
          <w:rFonts w:ascii="Arial Narrow" w:hAnsi="Arial Narrow"/>
          <w:sz w:val="18"/>
          <w:szCs w:val="18"/>
        </w:rPr>
        <w:fldChar w:fldCharType="begin">
          <w:fldData xml:space="preserve">PEVuZE5vdGU+PENpdGU+PEF1dGhvcj5Cb25pbGxhPC9BdXRob3I+PFllYXI+MjAxNTwvWWVhcj48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==
</w:fldData>
        </w:fldChar>
      </w:r>
      <w:r>
        <w:rPr>
          <w:rFonts w:ascii="Arial Narrow" w:hAnsi="Arial Narrow"/>
          <w:sz w:val="18"/>
          <w:szCs w:val="18"/>
        </w:rPr>
        <w:instrText xml:space="preserve"> ADDIN EN.CITE.DATA </w:instrText>
      </w:r>
      <w:r>
        <w:rPr>
          <w:rFonts w:ascii="Arial Narrow" w:hAnsi="Arial Narrow"/>
          <w:sz w:val="18"/>
          <w:szCs w:val="18"/>
        </w:rPr>
      </w:r>
      <w:r>
        <w:rPr>
          <w:rFonts w:ascii="Arial Narrow" w:hAnsi="Arial Narrow"/>
          <w:sz w:val="18"/>
          <w:szCs w:val="18"/>
        </w:rPr>
        <w:fldChar w:fldCharType="end"/>
      </w:r>
      <w:r>
        <w:rPr>
          <w:rFonts w:ascii="Arial Narrow" w:hAnsi="Arial Narrow"/>
          <w:sz w:val="18"/>
          <w:szCs w:val="18"/>
        </w:rPr>
      </w:r>
      <w:r>
        <w:rPr>
          <w:rFonts w:ascii="Arial Narrow" w:hAnsi="Arial Narrow"/>
          <w:sz w:val="18"/>
          <w:szCs w:val="18"/>
        </w:rPr>
        <w:fldChar w:fldCharType="separate"/>
      </w:r>
      <w:r w:rsidRPr="00A516FD">
        <w:rPr>
          <w:rFonts w:ascii="Arial Narrow" w:hAnsi="Arial Narrow"/>
          <w:noProof/>
          <w:sz w:val="18"/>
          <w:szCs w:val="18"/>
          <w:vertAlign w:val="superscript"/>
        </w:rPr>
        <w:t>21</w:t>
      </w:r>
      <w:r>
        <w:rPr>
          <w:rFonts w:ascii="Arial Narrow" w:hAnsi="Arial Narrow"/>
          <w:sz w:val="18"/>
          <w:szCs w:val="18"/>
        </w:rPr>
        <w:fldChar w:fldCharType="end"/>
      </w:r>
      <w:r>
        <w:rPr>
          <w:rFonts w:ascii="Arial Narrow" w:hAnsi="Arial Narrow"/>
          <w:sz w:val="18"/>
          <w:szCs w:val="18"/>
        </w:rPr>
        <w:t>. Only those immunodeficiency categories for which IVIG was considered a therapy were included.</w:t>
      </w:r>
    </w:p>
    <w:p w14:paraId="22E981F3" w14:textId="77777777" w:rsidR="00236468" w:rsidRPr="00C87151" w:rsidRDefault="00236468" w:rsidP="00236468">
      <w:pPr>
        <w:spacing w:after="0"/>
        <w:rPr>
          <w:rFonts w:ascii="Arial Narrow" w:hAnsi="Arial Narrow"/>
          <w:sz w:val="18"/>
          <w:szCs w:val="18"/>
        </w:rPr>
      </w:pPr>
      <w:r w:rsidRPr="00F901DA">
        <w:rPr>
          <w:rFonts w:ascii="Arial Narrow" w:hAnsi="Arial Narrow"/>
          <w:b/>
          <w:sz w:val="18"/>
          <w:szCs w:val="18"/>
        </w:rPr>
        <w:t>Abbreviations</w:t>
      </w:r>
      <w:r>
        <w:rPr>
          <w:rFonts w:ascii="Arial Narrow" w:hAnsi="Arial Narrow"/>
          <w:sz w:val="18"/>
          <w:szCs w:val="18"/>
        </w:rPr>
        <w:t xml:space="preserve">: A-T: ataxia-talangiectasia; ADA: adenosine deaminase; AICDA: activation-induced cytidine deaminase; ARA: autosomal recessive agammaglobulinemia; BMT: bone marrow transplantation; CVID: common variable immunodeficiency; hypogam: hypogammaglobulinemia; DGS: DiGeorge Syndrome; G-CSF: granulocyte colony-stimulating factor; GM-CSF: granulocyte-macrophage colony stimulating factor; ICOS: inducible T-cell costimulator; IGGSD: IgG subclass deficiency; IL: interleukin; IVIG: intravenous immunoglobulin; GS: Griscelli syndrome; MHC: major histocompatibility complex; NBS: Nijmegen breakage syndrome; NEMO: nuclear factor of </w:t>
      </w:r>
      <w:r w:rsidRPr="005C2352">
        <w:rPr>
          <w:rFonts w:ascii="Arial Narrow" w:hAnsi="Arial Narrow"/>
          <w:sz w:val="18"/>
          <w:szCs w:val="18"/>
          <w:vertAlign w:val="subscript"/>
        </w:rPr>
        <w:t>k</w:t>
      </w:r>
      <w:r>
        <w:rPr>
          <w:rFonts w:ascii="Arial Narrow" w:hAnsi="Arial Narrow"/>
          <w:sz w:val="18"/>
          <w:szCs w:val="18"/>
        </w:rPr>
        <w:t>B essential modifier; NP: nucleoside phosphorylase;  PEG: polyethylene glycol; SAD: specific antibody deficiency; SCID: severe combined immunodeficiency; SIGAD: selective IgA deficiency; THI: transient hypogammaglobulinemia of infancy; TNFSF5: tumor necrosis factor superfamily member 5; TNFRSF5: tumor necrosis factor receptor superfamily member 5; UNG: uracil nucleoside glycosylase; WAS: Wiskott-Aldrich syndrome; WHIM: warts, hypogammaglobulinemia, immunodeficiency and myelokathexis; XLA: x-linked agammaglobulinaemia</w:t>
      </w:r>
    </w:p>
    <w:p w14:paraId="03E23DCD" w14:textId="77777777" w:rsidR="00FC7F33" w:rsidRDefault="00FC7F33" w:rsidP="00A516FD"/>
    <w:p w14:paraId="6CBE4047" w14:textId="72B410E3" w:rsidR="00A516FD" w:rsidRDefault="00A516FD" w:rsidP="00A516FD">
      <w:r>
        <w:t>ASCIA note that neither gene therapy nor thymic transplantation are available for patients in Australia or New Zealand and therefore these treatments should not be included as comparators.</w:t>
      </w:r>
      <w:r>
        <w:fldChar w:fldCharType="begin"/>
      </w:r>
      <w:r>
        <w:instrText xml:space="preserve"> ADDIN EN.CITE &lt;EndNote&gt;&lt;Cite&gt;&lt;Author&gt;Australasian Society of Clinical Immunology and Allergy&lt;/Author&gt;&lt;Year&gt;2019&lt;/Year&gt;&lt;RecNum&gt;22&lt;/RecNum&gt;&lt;DisplayText&gt;&lt;style face="superscript"&gt;20&lt;/style&gt;&lt;/DisplayText&gt;&lt;record&gt;&lt;rec-number&gt;22&lt;/rec-number&gt;&lt;foreign-keys&gt;&lt;key app="EN" db-id="pzpr9fpzq5dfrrefpetx2pfn5fz5e2r0vtdf" timestamp="1570503283"&gt;22&lt;/key&gt;&lt;/foreign-keys&gt;&lt;ref-type name="Web Page"&gt;12&lt;/ref-type&gt;&lt;contributors&gt;&lt;authors&gt;&lt;author&gt;Australasian Society of Clinical Immunology and Allergy,&lt;/author&gt;&lt;/authors&gt;&lt;/contributors&gt;&lt;titles&gt;&lt;title&gt;Diagnosis and Management of Severe Combined Immunodeficiency (SCID) in Australia and New Zealand: A TAPID Consensus Guideline&lt;/title&gt;&lt;/titles&gt;&lt;volume&gt;2019&lt;/volume&gt;&lt;number&gt;8th October&lt;/number&gt;&lt;dates&gt;&lt;year&gt;2019&lt;/year&gt;&lt;/dates&gt;&lt;publisher&gt;Australasian Society of Clinical Immunology and Allergy&lt;/publisher&gt;&lt;urls&gt;&lt;related-urls&gt;&lt;url&gt;&lt;style face="underline" font="default" size="100%"&gt;https://www.allergy.org.au/hp/papers/ascia-guidelines-scid-tapid&lt;/style&gt;&lt;/url&gt;&lt;/related-urls&gt;&lt;/urls&gt;&lt;/record&gt;&lt;/Cite&gt;&lt;/EndNote&gt;</w:instrText>
      </w:r>
      <w:r>
        <w:fldChar w:fldCharType="separate"/>
      </w:r>
      <w:r w:rsidRPr="00A516FD">
        <w:rPr>
          <w:noProof/>
          <w:vertAlign w:val="superscript"/>
        </w:rPr>
        <w:t>20</w:t>
      </w:r>
      <w:r>
        <w:fldChar w:fldCharType="end"/>
      </w:r>
      <w:r>
        <w:t xml:space="preserve"> </w:t>
      </w:r>
    </w:p>
    <w:p w14:paraId="59B4D143" w14:textId="77777777" w:rsidR="00A516FD" w:rsidRPr="00E364F7" w:rsidRDefault="00A516FD" w:rsidP="005C1782">
      <w:pPr>
        <w:pStyle w:val="Heading3"/>
      </w:pPr>
      <w:r w:rsidRPr="00E364F7">
        <w:t>Outcomes</w:t>
      </w:r>
    </w:p>
    <w:p w14:paraId="08CCDFB8" w14:textId="1968C55D" w:rsidR="00A516FD" w:rsidRDefault="00A516FD" w:rsidP="00A516FD">
      <w:r>
        <w:t xml:space="preserve">The outcomes identified by the </w:t>
      </w:r>
      <w:r w:rsidR="00DE5712">
        <w:t>Applicant</w:t>
      </w:r>
      <w:r>
        <w:t xml:space="preserve"> (Referral Form, page 26) are as follows:</w:t>
      </w:r>
    </w:p>
    <w:p w14:paraId="36AF4A4B" w14:textId="77777777" w:rsidR="00A516FD" w:rsidRDefault="00A516FD" w:rsidP="005C1782">
      <w:pPr>
        <w:pStyle w:val="Heading4"/>
      </w:pPr>
      <w:r w:rsidRPr="008402AA">
        <w:t>Patient relevant</w:t>
      </w:r>
    </w:p>
    <w:p w14:paraId="7DC1FEC7" w14:textId="77777777" w:rsidR="00A516FD" w:rsidRDefault="00A516FD" w:rsidP="00A516FD">
      <w:r>
        <w:t>Safety outcomes:</w:t>
      </w:r>
    </w:p>
    <w:p w14:paraId="165808D7" w14:textId="77777777" w:rsidR="00A516FD" w:rsidRDefault="00A516FD" w:rsidP="00A516FD">
      <w:r>
        <w:t>Adverse events associated with Ig treatment and with comparator and supportive care measures; including:</w:t>
      </w:r>
    </w:p>
    <w:p w14:paraId="4A57CCFD" w14:textId="77777777" w:rsidR="00A516FD" w:rsidRPr="007148BC" w:rsidRDefault="00A516FD" w:rsidP="00A516FD">
      <w:pPr>
        <w:pStyle w:val="ListParagraph"/>
        <w:numPr>
          <w:ilvl w:val="0"/>
          <w:numId w:val="26"/>
        </w:numPr>
      </w:pPr>
      <w:r w:rsidRPr="007148BC">
        <w:t>Serious adverse events (e.g. antibiotic allergy, anaphylaxis, veno-occlusive events, acute renal failure)</w:t>
      </w:r>
    </w:p>
    <w:p w14:paraId="255FD82F" w14:textId="77777777" w:rsidR="00A516FD" w:rsidRPr="007148BC" w:rsidRDefault="00A516FD" w:rsidP="00A516FD">
      <w:pPr>
        <w:pStyle w:val="ListParagraph"/>
        <w:numPr>
          <w:ilvl w:val="0"/>
          <w:numId w:val="26"/>
        </w:numPr>
      </w:pPr>
      <w:r w:rsidRPr="007148BC">
        <w:t>Antibiotic resistance</w:t>
      </w:r>
    </w:p>
    <w:p w14:paraId="68F5477B" w14:textId="77777777" w:rsidR="00A516FD" w:rsidRPr="007148BC" w:rsidRDefault="00A516FD" w:rsidP="00A516FD">
      <w:pPr>
        <w:pStyle w:val="ListParagraph"/>
        <w:numPr>
          <w:ilvl w:val="0"/>
          <w:numId w:val="26"/>
        </w:numPr>
      </w:pPr>
      <w:r w:rsidRPr="007148BC">
        <w:t>Blood-borne infections</w:t>
      </w:r>
    </w:p>
    <w:p w14:paraId="24C433AB" w14:textId="77777777" w:rsidR="00A516FD" w:rsidRPr="007148BC" w:rsidRDefault="00A516FD" w:rsidP="00A516FD">
      <w:pPr>
        <w:pStyle w:val="ListParagraph"/>
        <w:numPr>
          <w:ilvl w:val="0"/>
          <w:numId w:val="26"/>
        </w:numPr>
      </w:pPr>
      <w:r w:rsidRPr="007148BC">
        <w:t>Headaches</w:t>
      </w:r>
    </w:p>
    <w:p w14:paraId="15FEF5E0" w14:textId="77777777" w:rsidR="00A516FD" w:rsidRPr="007148BC" w:rsidRDefault="00A516FD" w:rsidP="00A516FD">
      <w:pPr>
        <w:pStyle w:val="ListParagraph"/>
        <w:numPr>
          <w:ilvl w:val="0"/>
          <w:numId w:val="26"/>
        </w:numPr>
      </w:pPr>
      <w:r w:rsidRPr="007148BC">
        <w:t>Fever</w:t>
      </w:r>
    </w:p>
    <w:p w14:paraId="712B422D" w14:textId="77777777" w:rsidR="00A516FD" w:rsidRPr="007148BC" w:rsidRDefault="00A516FD" w:rsidP="00A516FD">
      <w:pPr>
        <w:pStyle w:val="ListParagraph"/>
        <w:numPr>
          <w:ilvl w:val="0"/>
          <w:numId w:val="26"/>
        </w:numPr>
      </w:pPr>
      <w:r w:rsidRPr="007148BC">
        <w:t>Hives</w:t>
      </w:r>
    </w:p>
    <w:p w14:paraId="2396B435" w14:textId="77777777" w:rsidR="00A516FD" w:rsidRPr="007148BC" w:rsidRDefault="00A516FD" w:rsidP="00A516FD">
      <w:pPr>
        <w:pStyle w:val="ListParagraph"/>
        <w:numPr>
          <w:ilvl w:val="0"/>
          <w:numId w:val="26"/>
        </w:numPr>
      </w:pPr>
      <w:r w:rsidRPr="007148BC">
        <w:t>Chills</w:t>
      </w:r>
    </w:p>
    <w:p w14:paraId="678C1278" w14:textId="77777777" w:rsidR="00A516FD" w:rsidRPr="007148BC" w:rsidRDefault="00A516FD" w:rsidP="00A516FD">
      <w:pPr>
        <w:pStyle w:val="ListParagraph"/>
        <w:numPr>
          <w:ilvl w:val="0"/>
          <w:numId w:val="26"/>
        </w:numPr>
      </w:pPr>
      <w:r w:rsidRPr="007148BC">
        <w:t>Arthralgia</w:t>
      </w:r>
    </w:p>
    <w:p w14:paraId="03AD6ECC" w14:textId="77777777" w:rsidR="00A516FD" w:rsidRPr="007148BC" w:rsidRDefault="00A516FD" w:rsidP="00A516FD">
      <w:pPr>
        <w:pStyle w:val="ListParagraph"/>
        <w:numPr>
          <w:ilvl w:val="0"/>
          <w:numId w:val="26"/>
        </w:numPr>
      </w:pPr>
      <w:r w:rsidRPr="007148BC">
        <w:t>Vomiting</w:t>
      </w:r>
    </w:p>
    <w:p w14:paraId="2F803C7C" w14:textId="77777777" w:rsidR="00A516FD" w:rsidRPr="007148BC" w:rsidRDefault="00A516FD" w:rsidP="00A516FD">
      <w:pPr>
        <w:pStyle w:val="ListParagraph"/>
        <w:numPr>
          <w:ilvl w:val="0"/>
          <w:numId w:val="26"/>
        </w:numPr>
      </w:pPr>
      <w:r w:rsidRPr="007148BC">
        <w:t>Nausea</w:t>
      </w:r>
    </w:p>
    <w:p w14:paraId="659D399C" w14:textId="77777777" w:rsidR="00A516FD" w:rsidRPr="007148BC" w:rsidRDefault="00A516FD" w:rsidP="00A516FD">
      <w:pPr>
        <w:pStyle w:val="ListParagraph"/>
        <w:numPr>
          <w:ilvl w:val="0"/>
          <w:numId w:val="26"/>
        </w:numPr>
      </w:pPr>
      <w:r w:rsidRPr="007148BC">
        <w:t>Low blood pressure</w:t>
      </w:r>
    </w:p>
    <w:p w14:paraId="5BB80A55" w14:textId="77777777" w:rsidR="00A516FD" w:rsidRPr="007148BC" w:rsidRDefault="00A516FD" w:rsidP="00A516FD">
      <w:pPr>
        <w:pStyle w:val="ListParagraph"/>
        <w:numPr>
          <w:ilvl w:val="0"/>
          <w:numId w:val="26"/>
        </w:numPr>
      </w:pPr>
      <w:r w:rsidRPr="007148BC">
        <w:t>Moderate low back pain</w:t>
      </w:r>
    </w:p>
    <w:p w14:paraId="3E7157F7" w14:textId="77777777" w:rsidR="00A516FD" w:rsidRPr="007148BC" w:rsidRDefault="00A516FD" w:rsidP="00A516FD">
      <w:pPr>
        <w:pStyle w:val="ListParagraph"/>
        <w:numPr>
          <w:ilvl w:val="0"/>
          <w:numId w:val="26"/>
        </w:numPr>
      </w:pPr>
      <w:r w:rsidRPr="007148BC">
        <w:t>Thrombophlebitis</w:t>
      </w:r>
    </w:p>
    <w:p w14:paraId="1D486697" w14:textId="4980201E" w:rsidR="00A516FD" w:rsidRPr="007148BC" w:rsidRDefault="00A516FD" w:rsidP="00A516FD">
      <w:pPr>
        <w:pStyle w:val="ListParagraph"/>
        <w:numPr>
          <w:ilvl w:val="0"/>
          <w:numId w:val="26"/>
        </w:numPr>
      </w:pPr>
      <w:r w:rsidRPr="007148BC">
        <w:t>Acute renal dysfunction</w:t>
      </w:r>
      <w:r w:rsidR="00E64894">
        <w:t>.</w:t>
      </w:r>
    </w:p>
    <w:p w14:paraId="7D9469BF" w14:textId="77777777" w:rsidR="00A516FD" w:rsidRDefault="00A516FD" w:rsidP="00A516FD">
      <w:r>
        <w:t>Clinical effectiveness outcomes:</w:t>
      </w:r>
    </w:p>
    <w:p w14:paraId="41A9BBBF" w14:textId="77777777" w:rsidR="00A516FD" w:rsidRDefault="00A516FD" w:rsidP="00A516FD">
      <w:pPr>
        <w:pStyle w:val="ListParagraph"/>
        <w:numPr>
          <w:ilvl w:val="0"/>
          <w:numId w:val="27"/>
        </w:numPr>
      </w:pPr>
      <w:r>
        <w:t xml:space="preserve">Number of antibiotic treatments </w:t>
      </w:r>
    </w:p>
    <w:p w14:paraId="279475DD" w14:textId="77777777" w:rsidR="00A516FD" w:rsidRDefault="00A516FD" w:rsidP="00A516FD">
      <w:pPr>
        <w:pStyle w:val="ListParagraph"/>
        <w:numPr>
          <w:ilvl w:val="0"/>
          <w:numId w:val="27"/>
        </w:numPr>
      </w:pPr>
      <w:r>
        <w:t xml:space="preserve">Number of infections </w:t>
      </w:r>
    </w:p>
    <w:p w14:paraId="057A7335" w14:textId="77777777" w:rsidR="00A516FD" w:rsidRDefault="00A516FD" w:rsidP="00A516FD">
      <w:pPr>
        <w:pStyle w:val="ListParagraph"/>
        <w:numPr>
          <w:ilvl w:val="0"/>
          <w:numId w:val="27"/>
        </w:numPr>
      </w:pPr>
      <w:r>
        <w:t>Quality of life</w:t>
      </w:r>
    </w:p>
    <w:p w14:paraId="45A27C83" w14:textId="77777777" w:rsidR="00A516FD" w:rsidRDefault="00A516FD" w:rsidP="00A516FD">
      <w:pPr>
        <w:pStyle w:val="ListParagraph"/>
        <w:numPr>
          <w:ilvl w:val="0"/>
          <w:numId w:val="27"/>
        </w:numPr>
      </w:pPr>
      <w:r>
        <w:t>Morbidity</w:t>
      </w:r>
    </w:p>
    <w:p w14:paraId="058F99A4" w14:textId="77777777" w:rsidR="00A516FD" w:rsidRDefault="00A516FD" w:rsidP="00A516FD">
      <w:pPr>
        <w:pStyle w:val="ListParagraph"/>
        <w:numPr>
          <w:ilvl w:val="0"/>
          <w:numId w:val="27"/>
        </w:numPr>
      </w:pPr>
      <w:r>
        <w:t>Mortality</w:t>
      </w:r>
      <w:r w:rsidRPr="007148BC">
        <w:t xml:space="preserve"> </w:t>
      </w:r>
    </w:p>
    <w:p w14:paraId="7105D934" w14:textId="31EA6BBB" w:rsidR="00A516FD" w:rsidRDefault="00A516FD" w:rsidP="00A516FD">
      <w:pPr>
        <w:pStyle w:val="ListParagraph"/>
        <w:numPr>
          <w:ilvl w:val="0"/>
          <w:numId w:val="27"/>
        </w:numPr>
      </w:pPr>
      <w:r>
        <w:t>IgG trough levels</w:t>
      </w:r>
      <w:r w:rsidR="00E64894">
        <w:t>.</w:t>
      </w:r>
    </w:p>
    <w:p w14:paraId="7598215F" w14:textId="77777777" w:rsidR="00146D52" w:rsidRDefault="00A516FD" w:rsidP="00A516FD">
      <w:r w:rsidRPr="008402AA">
        <w:t xml:space="preserve">The outcomes listed are those identified in the development of the PICO. Additional or more specific outcomes identified during the evaluation process that are considered relevant to the intervention or comparator treatment may be addressed in the evaluation report (Contracted Assessment). </w:t>
      </w:r>
    </w:p>
    <w:p w14:paraId="1B74BCEC" w14:textId="4ED8FCE4" w:rsidR="00146D52" w:rsidRDefault="00146D52" w:rsidP="00A516FD">
      <w:r>
        <w:t xml:space="preserve">After considering public feedback on the Referral, the Ig Review Reference Group agreed that </w:t>
      </w:r>
      <w:r w:rsidR="00BA5AFA" w:rsidRPr="002D4893">
        <w:t>prevention of</w:t>
      </w:r>
      <w:r w:rsidR="00BA5AFA">
        <w:t xml:space="preserve"> </w:t>
      </w:r>
      <w:r>
        <w:t>bronchiectasis should be included as a clinical effectiveness outcome, noting that further discussion may be required on whether and how this evidence should be incorporated into the evaluation.</w:t>
      </w:r>
    </w:p>
    <w:p w14:paraId="086A9BAD" w14:textId="7CE294D5" w:rsidR="00A516FD" w:rsidRDefault="00A516FD" w:rsidP="00A516FD">
      <w:r w:rsidRPr="008402AA">
        <w:t>Broadly, the outcomes identified pre-assessment and considered in scope are</w:t>
      </w:r>
      <w:r>
        <w:t>:</w:t>
      </w:r>
    </w:p>
    <w:p w14:paraId="7CE2F204" w14:textId="77777777" w:rsidR="00A516FD" w:rsidRPr="002A66BD" w:rsidRDefault="00A516FD" w:rsidP="005C1782">
      <w:pPr>
        <w:pStyle w:val="Heading4"/>
      </w:pPr>
      <w:r w:rsidRPr="002A66BD">
        <w:t>Health</w:t>
      </w:r>
      <w:r>
        <w:t>care</w:t>
      </w:r>
      <w:r w:rsidRPr="002A66BD">
        <w:t xml:space="preserve"> system</w:t>
      </w:r>
      <w:r>
        <w:t xml:space="preserve"> resources utilisation</w:t>
      </w:r>
    </w:p>
    <w:p w14:paraId="296B902C" w14:textId="77777777" w:rsidR="00A516FD" w:rsidRDefault="00A516FD" w:rsidP="00A516FD">
      <w:r>
        <w:t>Changes in health system resource utilisation associated with the intervention include:</w:t>
      </w:r>
    </w:p>
    <w:p w14:paraId="1E86A042" w14:textId="77777777" w:rsidR="00A516FD" w:rsidRDefault="00A516FD" w:rsidP="00A516FD">
      <w:pPr>
        <w:pStyle w:val="ListParagraph"/>
        <w:numPr>
          <w:ilvl w:val="0"/>
          <w:numId w:val="28"/>
        </w:numPr>
      </w:pPr>
      <w:r>
        <w:t>Ig products</w:t>
      </w:r>
    </w:p>
    <w:p w14:paraId="2DBEC743" w14:textId="77777777" w:rsidR="00A516FD" w:rsidRDefault="00A516FD" w:rsidP="00A516FD">
      <w:pPr>
        <w:pStyle w:val="ListParagraph"/>
        <w:numPr>
          <w:ilvl w:val="0"/>
          <w:numId w:val="28"/>
        </w:numPr>
      </w:pPr>
      <w:r>
        <w:t>Infusion equipment</w:t>
      </w:r>
    </w:p>
    <w:p w14:paraId="0AEF3387" w14:textId="77777777" w:rsidR="00A516FD" w:rsidRDefault="00A516FD" w:rsidP="00A516FD">
      <w:pPr>
        <w:pStyle w:val="ListParagraph"/>
        <w:numPr>
          <w:ilvl w:val="0"/>
          <w:numId w:val="28"/>
        </w:numPr>
      </w:pPr>
      <w:r>
        <w:t>Administrative and clinician time (e.g. resources associated with requesting and authorising access to Ig)</w:t>
      </w:r>
    </w:p>
    <w:p w14:paraId="159881E3" w14:textId="77777777" w:rsidR="00A516FD" w:rsidRDefault="00A516FD" w:rsidP="00A516FD">
      <w:pPr>
        <w:pStyle w:val="ListParagraph"/>
        <w:numPr>
          <w:ilvl w:val="0"/>
          <w:numId w:val="28"/>
        </w:numPr>
      </w:pPr>
      <w:r>
        <w:t>Nursing time (for initiation and monitoring of IVIg)</w:t>
      </w:r>
    </w:p>
    <w:p w14:paraId="16BB8BA7" w14:textId="77777777" w:rsidR="00A516FD" w:rsidRDefault="00A516FD" w:rsidP="00A516FD">
      <w:pPr>
        <w:pStyle w:val="ListParagraph"/>
        <w:numPr>
          <w:ilvl w:val="0"/>
          <w:numId w:val="28"/>
        </w:numPr>
      </w:pPr>
      <w:r>
        <w:t>Hospitalisation (including use of hospital resources)</w:t>
      </w:r>
    </w:p>
    <w:p w14:paraId="33E94343" w14:textId="77777777" w:rsidR="00A516FD" w:rsidRDefault="00A516FD" w:rsidP="00A516FD">
      <w:pPr>
        <w:pStyle w:val="ListParagraph"/>
        <w:numPr>
          <w:ilvl w:val="0"/>
          <w:numId w:val="28"/>
        </w:numPr>
      </w:pPr>
      <w:r>
        <w:t>Medication to treat adverse events (e.g. analgesia or antihistamines)</w:t>
      </w:r>
    </w:p>
    <w:p w14:paraId="16C620A8" w14:textId="77777777" w:rsidR="00A516FD" w:rsidRDefault="00A516FD" w:rsidP="00A516FD">
      <w:pPr>
        <w:pStyle w:val="ListParagraph"/>
        <w:numPr>
          <w:ilvl w:val="0"/>
          <w:numId w:val="28"/>
        </w:numPr>
      </w:pPr>
      <w:r>
        <w:t>Product dispensing and disposal of any unused product</w:t>
      </w:r>
    </w:p>
    <w:p w14:paraId="49DF932A" w14:textId="77777777" w:rsidR="00A516FD" w:rsidRDefault="00A516FD" w:rsidP="00A516FD">
      <w:pPr>
        <w:pStyle w:val="ListParagraph"/>
        <w:numPr>
          <w:ilvl w:val="0"/>
          <w:numId w:val="28"/>
        </w:numPr>
      </w:pPr>
      <w:r>
        <w:t>Follow-up and/or monitoring visits, including regular immunologist visits</w:t>
      </w:r>
    </w:p>
    <w:p w14:paraId="211D8CB3" w14:textId="2EEF9DBC" w:rsidR="00A516FD" w:rsidRDefault="00A516FD" w:rsidP="00A516FD">
      <w:pPr>
        <w:pStyle w:val="ListParagraph"/>
        <w:numPr>
          <w:ilvl w:val="0"/>
          <w:numId w:val="28"/>
        </w:numPr>
      </w:pPr>
      <w:r w:rsidRPr="000C62ED">
        <w:t>For SCIg users, nursing time for education of users on how to administer SCIg at home</w:t>
      </w:r>
      <w:r w:rsidR="00E64894">
        <w:t>.</w:t>
      </w:r>
    </w:p>
    <w:p w14:paraId="05AB6BB9" w14:textId="0F4F9263" w:rsidR="00A516FD" w:rsidRPr="00280188" w:rsidRDefault="00A516FD" w:rsidP="00A516FD">
      <w:r>
        <w:t xml:space="preserve">The </w:t>
      </w:r>
      <w:r w:rsidR="00DE5712">
        <w:t>Applicant</w:t>
      </w:r>
      <w:r>
        <w:t xml:space="preserve"> notes that there could be differences in health service consumption (e.g. outpatient, day-admission, hospital care versus self-care) between patients on IVIg versus those on SCIg (Referral Form, page 4)</w:t>
      </w:r>
      <w:r w:rsidR="00146D52">
        <w:t>.</w:t>
      </w:r>
      <w:r>
        <w:rPr>
          <w:i/>
        </w:rPr>
        <w:br w:type="page"/>
      </w:r>
    </w:p>
    <w:p w14:paraId="1C5050A1" w14:textId="77777777" w:rsidR="00A516FD" w:rsidRDefault="00A516FD" w:rsidP="00A516FD">
      <w:pPr>
        <w:rPr>
          <w:i/>
        </w:rPr>
      </w:pPr>
    </w:p>
    <w:p w14:paraId="503201B6" w14:textId="77777777" w:rsidR="00A516FD" w:rsidRDefault="00A516FD" w:rsidP="005C1782">
      <w:pPr>
        <w:pStyle w:val="Heading2"/>
      </w:pPr>
      <w:r w:rsidRPr="00896845">
        <w:t>Current</w:t>
      </w:r>
      <w:r>
        <w:t xml:space="preserve"> clinical</w:t>
      </w:r>
      <w:r w:rsidRPr="00896845">
        <w:t xml:space="preserve"> management</w:t>
      </w:r>
      <w:r>
        <w:t xml:space="preserve"> algorithm when IVIg is used</w:t>
      </w:r>
    </w:p>
    <w:p w14:paraId="29787910" w14:textId="379F9C6B" w:rsidR="00A516FD" w:rsidRDefault="00A516FD" w:rsidP="00A516FD">
      <w:pPr>
        <w:pStyle w:val="Caption"/>
        <w:ind w:left="993" w:hanging="993"/>
      </w:pPr>
      <w:r>
        <w:t xml:space="preserve">Figure </w:t>
      </w:r>
      <w:r>
        <w:fldChar w:fldCharType="begin"/>
      </w:r>
      <w:r>
        <w:instrText xml:space="preserve"> SEQ Figure \* ARABIC </w:instrText>
      </w:r>
      <w:r>
        <w:fldChar w:fldCharType="separate"/>
      </w:r>
      <w:r w:rsidR="008D6208">
        <w:rPr>
          <w:noProof/>
        </w:rPr>
        <w:t>1</w:t>
      </w:r>
      <w:r>
        <w:fldChar w:fldCharType="end"/>
      </w:r>
      <w:r>
        <w:t xml:space="preserve"> </w:t>
      </w:r>
      <w:r>
        <w:tab/>
        <w:t>Current algorithm for PID with antibody deficiency patients’ initial access to Ig funded under the National Blood Arrangements</w:t>
      </w:r>
    </w:p>
    <w:p w14:paraId="0DC91B67" w14:textId="77777777" w:rsidR="00A516FD" w:rsidRPr="009D6757" w:rsidRDefault="00A516FD" w:rsidP="00A516FD">
      <w:r w:rsidRPr="0054204D">
        <w:rPr>
          <w:noProof/>
          <w:lang w:eastAsia="en-AU"/>
        </w:rPr>
        <w:drawing>
          <wp:inline distT="0" distB="0" distL="0" distR="0" wp14:anchorId="2BC79ED7" wp14:editId="28BFDE4E">
            <wp:extent cx="6862328" cy="5901022"/>
            <wp:effectExtent l="0" t="0" r="0" b="5080"/>
            <wp:docPr id="24" name="Picture 24" descr="This is a figure showing the current algorithim of the steps taken for patients with antibody deficiency to access initial funded Ig treatment under the N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80899" cy="5916992"/>
                    </a:xfrm>
                    <a:prstGeom prst="rect">
                      <a:avLst/>
                    </a:prstGeom>
                    <a:noFill/>
                    <a:ln>
                      <a:noFill/>
                    </a:ln>
                  </pic:spPr>
                </pic:pic>
              </a:graphicData>
            </a:graphic>
          </wp:inline>
        </w:drawing>
      </w:r>
    </w:p>
    <w:p w14:paraId="772D07EB" w14:textId="77777777" w:rsidR="00A516FD" w:rsidRDefault="00A516FD" w:rsidP="00A516FD">
      <w:pPr>
        <w:spacing w:after="0"/>
        <w:rPr>
          <w:rFonts w:ascii="Arial Narrow" w:hAnsi="Arial Narrow"/>
          <w:sz w:val="18"/>
          <w:szCs w:val="18"/>
        </w:rPr>
      </w:pPr>
      <w:r w:rsidRPr="0021743D">
        <w:rPr>
          <w:rFonts w:ascii="Arial Narrow" w:hAnsi="Arial Narrow"/>
          <w:b/>
          <w:sz w:val="18"/>
          <w:szCs w:val="18"/>
        </w:rPr>
        <w:t>Source</w:t>
      </w:r>
      <w:r>
        <w:rPr>
          <w:rFonts w:ascii="Arial Narrow" w:hAnsi="Arial Narrow"/>
          <w:b/>
          <w:sz w:val="18"/>
          <w:szCs w:val="18"/>
        </w:rPr>
        <w:t xml:space="preserve">: </w:t>
      </w:r>
      <w:r>
        <w:rPr>
          <w:rFonts w:ascii="Arial Narrow" w:hAnsi="Arial Narrow"/>
          <w:sz w:val="18"/>
          <w:szCs w:val="18"/>
        </w:rPr>
        <w:t>Reproduced from Figure 1, page 15 of the Referral Form.</w:t>
      </w:r>
    </w:p>
    <w:p w14:paraId="1595C9D8" w14:textId="77777777" w:rsidR="00A516FD" w:rsidRPr="0021743D" w:rsidRDefault="00A516FD" w:rsidP="00A516FD">
      <w:pPr>
        <w:rPr>
          <w:rFonts w:ascii="Arial Narrow" w:hAnsi="Arial Narrow"/>
          <w:sz w:val="18"/>
          <w:szCs w:val="18"/>
        </w:rPr>
      </w:pPr>
      <w:r w:rsidRPr="0021743D">
        <w:rPr>
          <w:rFonts w:ascii="Arial Narrow" w:hAnsi="Arial Narrow"/>
          <w:b/>
          <w:sz w:val="18"/>
          <w:szCs w:val="18"/>
        </w:rPr>
        <w:t>Abbreviations</w:t>
      </w:r>
      <w:r>
        <w:rPr>
          <w:rFonts w:ascii="Arial Narrow" w:hAnsi="Arial Narrow"/>
          <w:sz w:val="18"/>
          <w:szCs w:val="18"/>
        </w:rPr>
        <w:t>: CVID: Common Variable Immune Deficiency; ESID: European Society for Immunodeficiencies; Ig: Immunoglobulin; PID: Primary Immunodeficiency Diseases</w:t>
      </w:r>
    </w:p>
    <w:p w14:paraId="2E6D2688" w14:textId="77777777" w:rsidR="00A516FD" w:rsidRDefault="00A516FD" w:rsidP="00A516FD">
      <w:r>
        <w:br w:type="page"/>
      </w:r>
    </w:p>
    <w:p w14:paraId="2C6BF8B0" w14:textId="14EB62B0" w:rsidR="00A516FD" w:rsidRDefault="00A516FD" w:rsidP="00A516FD">
      <w:pPr>
        <w:pStyle w:val="Caption"/>
        <w:ind w:left="993" w:hanging="993"/>
      </w:pPr>
      <w:r>
        <w:t xml:space="preserve">Figure </w:t>
      </w:r>
      <w:r>
        <w:fldChar w:fldCharType="begin"/>
      </w:r>
      <w:r>
        <w:instrText xml:space="preserve"> SEQ Figure \* ARABIC </w:instrText>
      </w:r>
      <w:r>
        <w:fldChar w:fldCharType="separate"/>
      </w:r>
      <w:r w:rsidR="008D6208">
        <w:rPr>
          <w:noProof/>
        </w:rPr>
        <w:t>2</w:t>
      </w:r>
      <w:r>
        <w:fldChar w:fldCharType="end"/>
      </w:r>
      <w:r>
        <w:t xml:space="preserve"> </w:t>
      </w:r>
      <w:r>
        <w:tab/>
      </w:r>
      <w:r w:rsidRPr="00D97574">
        <w:t xml:space="preserve">Current algorithm for PID with antibody deficiency patients’ </w:t>
      </w:r>
      <w:r>
        <w:t>continuing</w:t>
      </w:r>
      <w:r w:rsidRPr="00D97574">
        <w:t xml:space="preserve"> access to Ig funded under the National Blood Arrangements</w:t>
      </w:r>
      <w:r>
        <w:rPr>
          <w:noProof/>
        </w:rPr>
        <w:t>. Note: this algorithm is a representation only, not all conditions are able to be captured in one flowchart.</w:t>
      </w:r>
    </w:p>
    <w:p w14:paraId="45304424" w14:textId="77777777" w:rsidR="00A516FD" w:rsidRDefault="00A516FD" w:rsidP="00A516FD">
      <w:r w:rsidRPr="00460C50">
        <w:rPr>
          <w:noProof/>
          <w:lang w:eastAsia="en-AU"/>
        </w:rPr>
        <w:drawing>
          <wp:inline distT="0" distB="0" distL="0" distR="0" wp14:anchorId="4A18CBE0" wp14:editId="5C442F3D">
            <wp:extent cx="6788432" cy="7238360"/>
            <wp:effectExtent l="0" t="0" r="0" b="1270"/>
            <wp:docPr id="25" name="Picture 25" descr="This is a figure showing the current algorithim of the steps taken for patients with antibody deficiency to access continuing funded Ig treatment under the N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09199" cy="7260503"/>
                    </a:xfrm>
                    <a:prstGeom prst="rect">
                      <a:avLst/>
                    </a:prstGeom>
                    <a:noFill/>
                    <a:ln>
                      <a:noFill/>
                    </a:ln>
                  </pic:spPr>
                </pic:pic>
              </a:graphicData>
            </a:graphic>
          </wp:inline>
        </w:drawing>
      </w:r>
    </w:p>
    <w:p w14:paraId="67B2E880" w14:textId="77777777" w:rsidR="00A516FD" w:rsidRDefault="00A516FD" w:rsidP="00A516FD">
      <w:pPr>
        <w:spacing w:after="0"/>
        <w:rPr>
          <w:rFonts w:ascii="Arial Narrow" w:hAnsi="Arial Narrow"/>
          <w:sz w:val="18"/>
          <w:szCs w:val="18"/>
        </w:rPr>
      </w:pPr>
      <w:r w:rsidRPr="0021743D">
        <w:rPr>
          <w:rFonts w:ascii="Arial Narrow" w:hAnsi="Arial Narrow"/>
          <w:b/>
          <w:sz w:val="18"/>
          <w:szCs w:val="18"/>
        </w:rPr>
        <w:t>Source</w:t>
      </w:r>
      <w:r>
        <w:rPr>
          <w:rFonts w:ascii="Arial Narrow" w:hAnsi="Arial Narrow"/>
          <w:b/>
          <w:sz w:val="18"/>
          <w:szCs w:val="18"/>
        </w:rPr>
        <w:t xml:space="preserve">: </w:t>
      </w:r>
      <w:r>
        <w:rPr>
          <w:rFonts w:ascii="Arial Narrow" w:hAnsi="Arial Narrow"/>
          <w:sz w:val="18"/>
          <w:szCs w:val="18"/>
        </w:rPr>
        <w:t>Reproduced from Figure 2, page 21 of the Referral Form.</w:t>
      </w:r>
    </w:p>
    <w:p w14:paraId="558E6505" w14:textId="77777777" w:rsidR="00A516FD" w:rsidRPr="0021743D" w:rsidRDefault="00A516FD" w:rsidP="00A516FD">
      <w:pPr>
        <w:rPr>
          <w:rFonts w:ascii="Arial Narrow" w:hAnsi="Arial Narrow"/>
          <w:sz w:val="18"/>
          <w:szCs w:val="18"/>
        </w:rPr>
      </w:pPr>
      <w:r w:rsidRPr="0021743D">
        <w:rPr>
          <w:rFonts w:ascii="Arial Narrow" w:hAnsi="Arial Narrow"/>
          <w:b/>
          <w:sz w:val="18"/>
          <w:szCs w:val="18"/>
        </w:rPr>
        <w:t>Abbreviations</w:t>
      </w:r>
      <w:r>
        <w:rPr>
          <w:rFonts w:ascii="Arial Narrow" w:hAnsi="Arial Narrow"/>
          <w:sz w:val="18"/>
          <w:szCs w:val="18"/>
        </w:rPr>
        <w:t>: CVID: Common Variable Immune Deficiency; ESID: European Society for Immunodeficiencies; Ig: Immunoglobulin; PID: Primary Immunodeficiency Diseases</w:t>
      </w:r>
    </w:p>
    <w:p w14:paraId="52C64795" w14:textId="77777777" w:rsidR="00A516FD" w:rsidRDefault="00A516FD" w:rsidP="005C1782">
      <w:pPr>
        <w:pStyle w:val="Heading2"/>
      </w:pPr>
      <w:r>
        <w:t>Clinical</w:t>
      </w:r>
      <w:r w:rsidRPr="00896845">
        <w:t xml:space="preserve"> management</w:t>
      </w:r>
      <w:r>
        <w:t xml:space="preserve"> algorithm when IVIg is not a treatment option</w:t>
      </w:r>
    </w:p>
    <w:p w14:paraId="1BB50602" w14:textId="77777777" w:rsidR="00A516FD" w:rsidRDefault="00A516FD" w:rsidP="00A516FD">
      <w:r>
        <w:t>Note: this algorithm may also be applicable for any patient not/no longer eligible for IVIg under version 3 of ‘</w:t>
      </w:r>
      <w:r w:rsidRPr="0067650F">
        <w:rPr>
          <w:i/>
        </w:rPr>
        <w:t>the Criteria’</w:t>
      </w:r>
      <w:r>
        <w:rPr>
          <w:i/>
        </w:rPr>
        <w:t xml:space="preserve"> </w:t>
      </w:r>
      <w:r>
        <w:t xml:space="preserve">or for patients in whom IVIg is contraindicated. </w:t>
      </w:r>
    </w:p>
    <w:p w14:paraId="3F9F1891" w14:textId="07ADC89C" w:rsidR="00A516FD" w:rsidRDefault="00A516FD" w:rsidP="00A516FD">
      <w:pPr>
        <w:pStyle w:val="Caption"/>
      </w:pPr>
      <w:r>
        <w:t xml:space="preserve">Figure </w:t>
      </w:r>
      <w:r>
        <w:fldChar w:fldCharType="begin"/>
      </w:r>
      <w:r>
        <w:instrText xml:space="preserve"> SEQ Figure \* ARABIC </w:instrText>
      </w:r>
      <w:r>
        <w:fldChar w:fldCharType="separate"/>
      </w:r>
      <w:r w:rsidR="008D6208">
        <w:rPr>
          <w:noProof/>
        </w:rPr>
        <w:t>3</w:t>
      </w:r>
      <w:r>
        <w:fldChar w:fldCharType="end"/>
      </w:r>
      <w:r>
        <w:t xml:space="preserve"> </w:t>
      </w:r>
      <w:r>
        <w:tab/>
      </w:r>
      <w:r>
        <w:tab/>
        <w:t>Proposed algorithm for treatment of PID with antibody deficiency patients in the absence (or failure) of Ig</w:t>
      </w:r>
    </w:p>
    <w:p w14:paraId="557E5BB9" w14:textId="77777777" w:rsidR="00A516FD" w:rsidRDefault="00A516FD" w:rsidP="00A516FD">
      <w:r w:rsidRPr="0054204D">
        <w:rPr>
          <w:noProof/>
          <w:lang w:eastAsia="en-AU"/>
        </w:rPr>
        <w:drawing>
          <wp:inline distT="0" distB="0" distL="0" distR="0" wp14:anchorId="4D2D888B" wp14:editId="29DE78B9">
            <wp:extent cx="1544320" cy="1950085"/>
            <wp:effectExtent l="0" t="0" r="0" b="0"/>
            <wp:docPr id="23" name="Picture 23" descr="This is a figure showing the proposed algorithim for treatment of PID with antibody deficiency patients in the absence (or failure) of Ig, being no Ig (best standar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9432" cy="1981795"/>
                    </a:xfrm>
                    <a:prstGeom prst="rect">
                      <a:avLst/>
                    </a:prstGeom>
                    <a:noFill/>
                    <a:ln>
                      <a:noFill/>
                    </a:ln>
                  </pic:spPr>
                </pic:pic>
              </a:graphicData>
            </a:graphic>
          </wp:inline>
        </w:drawing>
      </w:r>
    </w:p>
    <w:p w14:paraId="6B91BB5F" w14:textId="77777777" w:rsidR="00A516FD" w:rsidRDefault="00A516FD" w:rsidP="00A516FD">
      <w:pPr>
        <w:spacing w:after="0"/>
        <w:rPr>
          <w:rFonts w:ascii="Arial Narrow" w:hAnsi="Arial Narrow"/>
          <w:sz w:val="18"/>
          <w:szCs w:val="18"/>
        </w:rPr>
      </w:pPr>
      <w:bookmarkStart w:id="13" w:name="_Hlk21437404"/>
      <w:r w:rsidRPr="0021743D">
        <w:rPr>
          <w:rFonts w:ascii="Arial Narrow" w:hAnsi="Arial Narrow"/>
          <w:b/>
          <w:sz w:val="18"/>
          <w:szCs w:val="18"/>
        </w:rPr>
        <w:t>Source</w:t>
      </w:r>
      <w:r>
        <w:rPr>
          <w:rFonts w:ascii="Arial Narrow" w:hAnsi="Arial Narrow"/>
          <w:b/>
          <w:sz w:val="18"/>
          <w:szCs w:val="18"/>
        </w:rPr>
        <w:t xml:space="preserve">: </w:t>
      </w:r>
      <w:r>
        <w:rPr>
          <w:rFonts w:ascii="Arial Narrow" w:hAnsi="Arial Narrow"/>
          <w:sz w:val="18"/>
          <w:szCs w:val="18"/>
        </w:rPr>
        <w:t>Reproduced from Figure 3, page 24 of the Referral Form.</w:t>
      </w:r>
    </w:p>
    <w:p w14:paraId="50CE0C52" w14:textId="77777777" w:rsidR="00A516FD" w:rsidRPr="0021743D" w:rsidRDefault="00A516FD" w:rsidP="00A516FD">
      <w:pPr>
        <w:rPr>
          <w:rFonts w:ascii="Arial Narrow" w:hAnsi="Arial Narrow"/>
          <w:sz w:val="18"/>
          <w:szCs w:val="18"/>
        </w:rPr>
      </w:pPr>
      <w:r w:rsidRPr="0021743D">
        <w:rPr>
          <w:rFonts w:ascii="Arial Narrow" w:hAnsi="Arial Narrow"/>
          <w:b/>
          <w:sz w:val="18"/>
          <w:szCs w:val="18"/>
        </w:rPr>
        <w:t>Abbreviations</w:t>
      </w:r>
      <w:r>
        <w:rPr>
          <w:rFonts w:ascii="Arial Narrow" w:hAnsi="Arial Narrow"/>
          <w:sz w:val="18"/>
          <w:szCs w:val="18"/>
        </w:rPr>
        <w:t>: Ig: Immunoglobulin; PID: Primary Immunodeficiency Diseases</w:t>
      </w:r>
    </w:p>
    <w:bookmarkEnd w:id="13"/>
    <w:p w14:paraId="0BBB7358" w14:textId="77777777" w:rsidR="00A516FD" w:rsidRDefault="00A516FD" w:rsidP="005C1782">
      <w:pPr>
        <w:pStyle w:val="Heading2"/>
      </w:pPr>
      <w:r>
        <w:t>Proposed economic evaluation</w:t>
      </w:r>
    </w:p>
    <w:p w14:paraId="3144AA5F" w14:textId="77777777" w:rsidR="00A516FD" w:rsidRDefault="00A516FD" w:rsidP="00A516FD">
      <w:r>
        <w:t>Ig is claimed to have superior effectiveness (Referral Form, page 25) and inferior safety compared to no Ig.</w:t>
      </w:r>
    </w:p>
    <w:p w14:paraId="2D5C207E" w14:textId="23961860" w:rsidR="00A516FD" w:rsidRDefault="00A516FD" w:rsidP="00A516FD">
      <w:r>
        <w:t>Assuming superior effectiveness and inferior safety, a cost effectiveness or cost-utility analysis is appropriate</w:t>
      </w:r>
      <w:r w:rsidR="001D00C0">
        <w:t xml:space="preserve"> as shown in </w:t>
      </w:r>
      <w:r w:rsidR="001D00C0">
        <w:fldChar w:fldCharType="begin"/>
      </w:r>
      <w:r w:rsidR="001D00C0">
        <w:instrText xml:space="preserve"> REF _Ref23408252 \h </w:instrText>
      </w:r>
      <w:r w:rsidR="001D00C0">
        <w:fldChar w:fldCharType="separate"/>
      </w:r>
      <w:r w:rsidR="008D6208">
        <w:t xml:space="preserve">Table </w:t>
      </w:r>
      <w:r w:rsidR="008D6208">
        <w:rPr>
          <w:noProof/>
        </w:rPr>
        <w:t>10</w:t>
      </w:r>
      <w:r w:rsidR="001D00C0">
        <w:fldChar w:fldCharType="end"/>
      </w:r>
      <w:r>
        <w:t>.</w:t>
      </w:r>
      <w:r w:rsidR="000421A7">
        <w:t xml:space="preserve"> The decision on how to best proceed with the economic evaluation will be made by the Reference Group based on the breadth and quality of the literature identified in the literature searches.</w:t>
      </w:r>
    </w:p>
    <w:p w14:paraId="42574FA0" w14:textId="04DB3656" w:rsidR="001D00C0" w:rsidRDefault="001D00C0" w:rsidP="001D00C0">
      <w:pPr>
        <w:pStyle w:val="Caption"/>
      </w:pPr>
      <w:bookmarkStart w:id="14" w:name="_Ref23408252"/>
      <w:r>
        <w:t xml:space="preserve">Table </w:t>
      </w:r>
      <w:r>
        <w:fldChar w:fldCharType="begin"/>
      </w:r>
      <w:r>
        <w:instrText xml:space="preserve"> SEQ Table \* ARABIC </w:instrText>
      </w:r>
      <w:r>
        <w:fldChar w:fldCharType="separate"/>
      </w:r>
      <w:r w:rsidR="008D6208">
        <w:rPr>
          <w:noProof/>
        </w:rPr>
        <w:t>10</w:t>
      </w:r>
      <w:r>
        <w:fldChar w:fldCharType="end"/>
      </w:r>
      <w:bookmarkEnd w:id="14"/>
      <w:r>
        <w:tab/>
        <w:t>Guide to appropriate economic evaluation</w:t>
      </w:r>
    </w:p>
    <w:tbl>
      <w:tblPr>
        <w:tblW w:w="0" w:type="auto"/>
        <w:tblCellMar>
          <w:left w:w="0" w:type="dxa"/>
          <w:right w:w="0" w:type="dxa"/>
        </w:tblCellMar>
        <w:tblLook w:val="04A0" w:firstRow="1" w:lastRow="0" w:firstColumn="1" w:lastColumn="0" w:noHBand="0" w:noVBand="1"/>
        <w:tblCaption w:val="Table 10 Guide to appropriate economic evaluation"/>
        <w:tblDescription w:val="Guide to appropriate economic evaluation based on comparative effectiveness and safety"/>
      </w:tblPr>
      <w:tblGrid>
        <w:gridCol w:w="1801"/>
        <w:gridCol w:w="1351"/>
        <w:gridCol w:w="1351"/>
        <w:gridCol w:w="1193"/>
        <w:gridCol w:w="1260"/>
        <w:gridCol w:w="1350"/>
      </w:tblGrid>
      <w:tr w:rsidR="00A516FD" w:rsidRPr="008A76DC" w14:paraId="30298D3A" w14:textId="77777777" w:rsidTr="00C30DA5">
        <w:tc>
          <w:tcPr>
            <w:tcW w:w="1801" w:type="dxa"/>
            <w:vMerge w:val="restart"/>
            <w:tcBorders>
              <w:top w:val="single" w:sz="8" w:space="0" w:color="000000"/>
              <w:left w:val="single" w:sz="8" w:space="0" w:color="000000"/>
              <w:bottom w:val="single" w:sz="8" w:space="0" w:color="000000"/>
              <w:right w:val="single" w:sz="8" w:space="0" w:color="000000"/>
            </w:tcBorders>
            <w:shd w:val="clear" w:color="auto" w:fill="ACB9CA"/>
            <w:tcMar>
              <w:top w:w="0" w:type="dxa"/>
              <w:left w:w="108" w:type="dxa"/>
              <w:bottom w:w="0" w:type="dxa"/>
              <w:right w:w="108" w:type="dxa"/>
            </w:tcMar>
            <w:vAlign w:val="center"/>
            <w:hideMark/>
          </w:tcPr>
          <w:p w14:paraId="2A967C67" w14:textId="77777777" w:rsidR="00A516FD" w:rsidRPr="008A76DC" w:rsidRDefault="00A516FD" w:rsidP="00C30DA5">
            <w:pPr>
              <w:spacing w:before="40" w:after="40" w:line="240" w:lineRule="auto"/>
              <w:ind w:left="176"/>
              <w:rPr>
                <w:rFonts w:asciiTheme="minorHAnsi" w:eastAsia="Times New Roman" w:hAnsiTheme="minorHAnsi" w:cstheme="minorHAnsi"/>
                <w:sz w:val="20"/>
                <w:szCs w:val="20"/>
                <w:lang w:val="en-US" w:eastAsia="en-AU"/>
              </w:rPr>
            </w:pPr>
            <w:r w:rsidRPr="008A76DC">
              <w:rPr>
                <w:rFonts w:asciiTheme="minorHAnsi" w:eastAsia="Times New Roman" w:hAnsiTheme="minorHAnsi" w:cstheme="minorHAnsi"/>
                <w:sz w:val="20"/>
                <w:szCs w:val="20"/>
                <w:lang w:val="en-US" w:eastAsia="en-AU"/>
              </w:rPr>
              <w:t>Comparative safety of Ig</w:t>
            </w:r>
          </w:p>
        </w:tc>
        <w:tc>
          <w:tcPr>
            <w:tcW w:w="6505" w:type="dxa"/>
            <w:gridSpan w:val="5"/>
            <w:tcBorders>
              <w:top w:val="single" w:sz="8" w:space="0" w:color="000000"/>
              <w:left w:val="nil"/>
              <w:bottom w:val="single" w:sz="8" w:space="0" w:color="000000"/>
              <w:right w:val="single" w:sz="8" w:space="0" w:color="000000"/>
            </w:tcBorders>
            <w:shd w:val="clear" w:color="auto" w:fill="ACB9CA"/>
            <w:tcMar>
              <w:top w:w="0" w:type="dxa"/>
              <w:left w:w="108" w:type="dxa"/>
              <w:bottom w:w="0" w:type="dxa"/>
              <w:right w:w="108" w:type="dxa"/>
            </w:tcMar>
            <w:hideMark/>
          </w:tcPr>
          <w:p w14:paraId="6A2F35A3" w14:textId="77777777" w:rsidR="00A516FD" w:rsidRPr="008A76DC" w:rsidRDefault="00A516FD" w:rsidP="00C30DA5">
            <w:pPr>
              <w:spacing w:before="40" w:after="40" w:line="240" w:lineRule="auto"/>
              <w:ind w:left="176"/>
              <w:rPr>
                <w:rFonts w:asciiTheme="minorHAnsi" w:eastAsia="Times New Roman" w:hAnsiTheme="minorHAnsi" w:cstheme="minorHAnsi"/>
                <w:sz w:val="20"/>
                <w:szCs w:val="20"/>
                <w:lang w:val="en-US" w:eastAsia="en-AU"/>
              </w:rPr>
            </w:pPr>
            <w:r w:rsidRPr="008A76DC">
              <w:rPr>
                <w:rFonts w:asciiTheme="minorHAnsi" w:eastAsia="Times New Roman" w:hAnsiTheme="minorHAnsi" w:cstheme="minorHAnsi"/>
                <w:sz w:val="20"/>
                <w:szCs w:val="20"/>
                <w:lang w:val="en-US" w:eastAsia="en-AU"/>
              </w:rPr>
              <w:t>Comparative effectiveness of Ig</w:t>
            </w:r>
          </w:p>
        </w:tc>
      </w:tr>
      <w:tr w:rsidR="00A516FD" w:rsidRPr="008A76DC" w14:paraId="224A7C46" w14:textId="77777777" w:rsidTr="00C30DA5">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1BA9D6" w14:textId="77777777" w:rsidR="00A516FD" w:rsidRPr="008A76DC" w:rsidRDefault="00A516FD" w:rsidP="00C30DA5">
            <w:pPr>
              <w:spacing w:before="40" w:after="40" w:line="240" w:lineRule="auto"/>
              <w:ind w:left="176"/>
              <w:rPr>
                <w:rFonts w:asciiTheme="minorHAnsi" w:eastAsia="Times New Roman" w:hAnsiTheme="minorHAnsi" w:cstheme="minorHAnsi"/>
                <w:b/>
                <w:bCs/>
                <w:sz w:val="20"/>
                <w:szCs w:val="20"/>
                <w:lang w:val="en-US" w:eastAsia="en-AU"/>
              </w:rPr>
            </w:pPr>
          </w:p>
        </w:tc>
        <w:tc>
          <w:tcPr>
            <w:tcW w:w="2702" w:type="dxa"/>
            <w:gridSpan w:val="2"/>
            <w:tcBorders>
              <w:top w:val="nil"/>
              <w:left w:val="nil"/>
              <w:bottom w:val="single" w:sz="8" w:space="0" w:color="000000"/>
              <w:right w:val="single" w:sz="8" w:space="0" w:color="000000"/>
            </w:tcBorders>
            <w:shd w:val="clear" w:color="auto" w:fill="808080"/>
            <w:tcMar>
              <w:top w:w="0" w:type="dxa"/>
              <w:left w:w="108" w:type="dxa"/>
              <w:bottom w:w="0" w:type="dxa"/>
              <w:right w:w="108" w:type="dxa"/>
            </w:tcMar>
            <w:vAlign w:val="center"/>
            <w:hideMark/>
          </w:tcPr>
          <w:p w14:paraId="514F4052" w14:textId="77777777" w:rsidR="00A516FD" w:rsidRPr="008A76DC" w:rsidRDefault="00A516FD" w:rsidP="00C30DA5">
            <w:pPr>
              <w:spacing w:before="40" w:after="40" w:line="240" w:lineRule="auto"/>
              <w:ind w:left="176"/>
              <w:rPr>
                <w:rFonts w:asciiTheme="minorHAnsi" w:eastAsia="Times New Roman" w:hAnsiTheme="minorHAnsi" w:cstheme="minorHAnsi"/>
                <w:sz w:val="20"/>
                <w:szCs w:val="20"/>
                <w:lang w:val="en-US" w:eastAsia="en-AU"/>
              </w:rPr>
            </w:pPr>
            <w:r w:rsidRPr="008A76DC">
              <w:rPr>
                <w:rFonts w:asciiTheme="minorHAnsi" w:eastAsia="Times New Roman" w:hAnsiTheme="minorHAnsi" w:cstheme="minorHAnsi"/>
                <w:sz w:val="20"/>
                <w:szCs w:val="20"/>
                <w:lang w:val="en-US" w:eastAsia="en-AU"/>
              </w:rPr>
              <w:t>Inferior</w:t>
            </w:r>
          </w:p>
        </w:tc>
        <w:tc>
          <w:tcPr>
            <w:tcW w:w="1193" w:type="dxa"/>
            <w:vMerge w:val="restart"/>
            <w:tcBorders>
              <w:top w:val="nil"/>
              <w:left w:val="nil"/>
              <w:bottom w:val="single" w:sz="8" w:space="0" w:color="000000"/>
              <w:right w:val="single" w:sz="8" w:space="0" w:color="000000"/>
            </w:tcBorders>
            <w:shd w:val="clear" w:color="auto" w:fill="808080"/>
            <w:tcMar>
              <w:top w:w="0" w:type="dxa"/>
              <w:left w:w="108" w:type="dxa"/>
              <w:bottom w:w="0" w:type="dxa"/>
              <w:right w:w="108" w:type="dxa"/>
            </w:tcMar>
            <w:hideMark/>
          </w:tcPr>
          <w:p w14:paraId="686371DD" w14:textId="77777777" w:rsidR="00A516FD" w:rsidRPr="008A76DC" w:rsidRDefault="00A516FD" w:rsidP="00C30DA5">
            <w:pPr>
              <w:spacing w:before="40" w:after="40" w:line="240" w:lineRule="auto"/>
              <w:ind w:left="176"/>
              <w:rPr>
                <w:rFonts w:asciiTheme="minorHAnsi" w:eastAsia="Times New Roman" w:hAnsiTheme="minorHAnsi" w:cstheme="minorHAnsi"/>
                <w:sz w:val="20"/>
                <w:szCs w:val="20"/>
                <w:lang w:val="en-US" w:eastAsia="en-AU"/>
              </w:rPr>
            </w:pPr>
            <w:r w:rsidRPr="008A76DC">
              <w:rPr>
                <w:rFonts w:asciiTheme="minorHAnsi" w:eastAsia="Times New Roman" w:hAnsiTheme="minorHAnsi" w:cstheme="minorHAnsi"/>
                <w:sz w:val="20"/>
                <w:szCs w:val="20"/>
                <w:lang w:val="en-US" w:eastAsia="en-AU"/>
              </w:rPr>
              <w:t>Uncertain</w:t>
            </w:r>
          </w:p>
        </w:tc>
        <w:tc>
          <w:tcPr>
            <w:tcW w:w="1260" w:type="dxa"/>
            <w:vMerge w:val="restart"/>
            <w:tcBorders>
              <w:top w:val="nil"/>
              <w:left w:val="nil"/>
              <w:bottom w:val="single" w:sz="8" w:space="0" w:color="000000"/>
              <w:right w:val="single" w:sz="8" w:space="0" w:color="000000"/>
            </w:tcBorders>
            <w:shd w:val="clear" w:color="auto" w:fill="808080"/>
            <w:tcMar>
              <w:top w:w="0" w:type="dxa"/>
              <w:left w:w="108" w:type="dxa"/>
              <w:bottom w:w="0" w:type="dxa"/>
              <w:right w:w="108" w:type="dxa"/>
            </w:tcMar>
            <w:hideMark/>
          </w:tcPr>
          <w:p w14:paraId="4A141097" w14:textId="77777777" w:rsidR="00A516FD" w:rsidRPr="008A76DC" w:rsidRDefault="00A516FD" w:rsidP="00C30DA5">
            <w:pPr>
              <w:spacing w:before="40" w:after="40" w:line="240" w:lineRule="auto"/>
              <w:ind w:left="176"/>
              <w:rPr>
                <w:rFonts w:asciiTheme="minorHAnsi" w:eastAsia="Times New Roman" w:hAnsiTheme="minorHAnsi" w:cstheme="minorHAnsi"/>
                <w:sz w:val="20"/>
                <w:szCs w:val="20"/>
                <w:lang w:val="en-US" w:eastAsia="en-AU"/>
              </w:rPr>
            </w:pPr>
            <w:r w:rsidRPr="008A76DC">
              <w:rPr>
                <w:rFonts w:asciiTheme="minorHAnsi" w:eastAsia="Times New Roman" w:hAnsiTheme="minorHAnsi" w:cstheme="minorHAnsi"/>
                <w:sz w:val="20"/>
                <w:szCs w:val="20"/>
                <w:lang w:val="en-US" w:eastAsia="en-AU"/>
              </w:rPr>
              <w:t>Non-inferior</w:t>
            </w:r>
          </w:p>
        </w:tc>
        <w:tc>
          <w:tcPr>
            <w:tcW w:w="1350" w:type="dxa"/>
            <w:vMerge w:val="restart"/>
            <w:tcBorders>
              <w:top w:val="nil"/>
              <w:left w:val="nil"/>
              <w:bottom w:val="single" w:sz="8" w:space="0" w:color="000000"/>
              <w:right w:val="single" w:sz="8" w:space="0" w:color="000000"/>
            </w:tcBorders>
            <w:shd w:val="clear" w:color="auto" w:fill="808080"/>
            <w:tcMar>
              <w:top w:w="0" w:type="dxa"/>
              <w:left w:w="108" w:type="dxa"/>
              <w:bottom w:w="0" w:type="dxa"/>
              <w:right w:w="108" w:type="dxa"/>
            </w:tcMar>
            <w:hideMark/>
          </w:tcPr>
          <w:p w14:paraId="7ECD3A82" w14:textId="77777777" w:rsidR="00A516FD" w:rsidRPr="008A76DC" w:rsidRDefault="00A516FD" w:rsidP="00C30DA5">
            <w:pPr>
              <w:spacing w:before="40" w:after="40" w:line="240" w:lineRule="auto"/>
              <w:ind w:left="176"/>
              <w:rPr>
                <w:rFonts w:asciiTheme="minorHAnsi" w:eastAsia="Times New Roman" w:hAnsiTheme="minorHAnsi" w:cstheme="minorHAnsi"/>
                <w:sz w:val="20"/>
                <w:szCs w:val="20"/>
                <w:lang w:val="en-US" w:eastAsia="en-AU"/>
              </w:rPr>
            </w:pPr>
            <w:r w:rsidRPr="008A76DC">
              <w:rPr>
                <w:rFonts w:asciiTheme="minorHAnsi" w:eastAsia="Times New Roman" w:hAnsiTheme="minorHAnsi" w:cstheme="minorHAnsi"/>
                <w:sz w:val="20"/>
                <w:szCs w:val="20"/>
                <w:lang w:val="en-US" w:eastAsia="en-AU"/>
              </w:rPr>
              <w:t>Superior</w:t>
            </w:r>
          </w:p>
        </w:tc>
      </w:tr>
      <w:tr w:rsidR="00A516FD" w:rsidRPr="008A76DC" w14:paraId="51D96A38" w14:textId="77777777" w:rsidTr="00C30DA5">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8E4467" w14:textId="77777777" w:rsidR="00A516FD" w:rsidRPr="008A76DC" w:rsidRDefault="00A516FD" w:rsidP="00C30DA5">
            <w:pPr>
              <w:spacing w:before="40" w:after="40" w:line="240" w:lineRule="auto"/>
              <w:ind w:left="176"/>
              <w:rPr>
                <w:rFonts w:asciiTheme="minorHAnsi" w:eastAsia="Times New Roman" w:hAnsiTheme="minorHAnsi" w:cstheme="minorHAnsi"/>
                <w:b/>
                <w:bCs/>
                <w:sz w:val="20"/>
                <w:szCs w:val="20"/>
                <w:lang w:val="en-US" w:eastAsia="en-AU"/>
              </w:rPr>
            </w:pPr>
          </w:p>
        </w:tc>
        <w:tc>
          <w:tcPr>
            <w:tcW w:w="1351" w:type="dxa"/>
            <w:tcBorders>
              <w:top w:val="nil"/>
              <w:left w:val="nil"/>
              <w:bottom w:val="single" w:sz="8" w:space="0" w:color="000000"/>
              <w:right w:val="single" w:sz="8" w:space="0" w:color="000000"/>
            </w:tcBorders>
            <w:shd w:val="clear" w:color="auto" w:fill="808080"/>
            <w:tcMar>
              <w:top w:w="0" w:type="dxa"/>
              <w:left w:w="108" w:type="dxa"/>
              <w:bottom w:w="0" w:type="dxa"/>
              <w:right w:w="108" w:type="dxa"/>
            </w:tcMar>
            <w:hideMark/>
          </w:tcPr>
          <w:p w14:paraId="52E2D505" w14:textId="77777777" w:rsidR="00A516FD" w:rsidRPr="008A76DC" w:rsidRDefault="00A516FD" w:rsidP="00C30DA5">
            <w:pPr>
              <w:spacing w:before="40" w:after="40" w:line="240" w:lineRule="auto"/>
              <w:ind w:left="176"/>
              <w:rPr>
                <w:rFonts w:asciiTheme="minorHAnsi" w:eastAsia="Times New Roman" w:hAnsiTheme="minorHAnsi" w:cstheme="minorHAnsi"/>
                <w:sz w:val="20"/>
                <w:szCs w:val="20"/>
                <w:lang w:val="en-US" w:eastAsia="en-AU"/>
              </w:rPr>
            </w:pPr>
            <w:r w:rsidRPr="008A76DC">
              <w:rPr>
                <w:rFonts w:asciiTheme="minorHAnsi" w:eastAsia="Times New Roman" w:hAnsiTheme="minorHAnsi" w:cstheme="minorHAnsi"/>
                <w:sz w:val="20"/>
                <w:szCs w:val="20"/>
                <w:lang w:val="en-US" w:eastAsia="en-AU"/>
              </w:rPr>
              <w:t>No active comparator</w:t>
            </w:r>
          </w:p>
        </w:tc>
        <w:tc>
          <w:tcPr>
            <w:tcW w:w="1351" w:type="dxa"/>
            <w:tcBorders>
              <w:top w:val="nil"/>
              <w:left w:val="nil"/>
              <w:bottom w:val="single" w:sz="8" w:space="0" w:color="000000"/>
              <w:right w:val="single" w:sz="8" w:space="0" w:color="000000"/>
            </w:tcBorders>
            <w:shd w:val="clear" w:color="auto" w:fill="808080"/>
            <w:tcMar>
              <w:top w:w="0" w:type="dxa"/>
              <w:left w:w="108" w:type="dxa"/>
              <w:bottom w:w="0" w:type="dxa"/>
              <w:right w:w="108" w:type="dxa"/>
            </w:tcMar>
            <w:hideMark/>
          </w:tcPr>
          <w:p w14:paraId="63130418" w14:textId="77777777" w:rsidR="00A516FD" w:rsidRPr="008A76DC" w:rsidRDefault="00A516FD" w:rsidP="00C30DA5">
            <w:pPr>
              <w:spacing w:before="40" w:after="40" w:line="240" w:lineRule="auto"/>
              <w:ind w:left="176"/>
              <w:rPr>
                <w:rFonts w:asciiTheme="minorHAnsi" w:eastAsia="Times New Roman" w:hAnsiTheme="minorHAnsi" w:cstheme="minorHAnsi"/>
                <w:sz w:val="20"/>
                <w:szCs w:val="20"/>
                <w:lang w:val="en-US" w:eastAsia="en-AU"/>
              </w:rPr>
            </w:pPr>
            <w:r w:rsidRPr="008A76DC">
              <w:rPr>
                <w:rFonts w:asciiTheme="minorHAnsi" w:eastAsia="Times New Roman" w:hAnsiTheme="minorHAnsi" w:cstheme="minorHAnsi"/>
                <w:sz w:val="20"/>
                <w:szCs w:val="20"/>
                <w:lang w:val="en-US" w:eastAsia="en-AU"/>
              </w:rPr>
              <w:t>Active comparator</w:t>
            </w:r>
          </w:p>
        </w:tc>
        <w:tc>
          <w:tcPr>
            <w:tcW w:w="0" w:type="auto"/>
            <w:vMerge/>
            <w:tcBorders>
              <w:top w:val="nil"/>
              <w:left w:val="nil"/>
              <w:bottom w:val="single" w:sz="8" w:space="0" w:color="000000"/>
              <w:right w:val="single" w:sz="8" w:space="0" w:color="000000"/>
            </w:tcBorders>
            <w:vAlign w:val="center"/>
            <w:hideMark/>
          </w:tcPr>
          <w:p w14:paraId="6B910068" w14:textId="77777777" w:rsidR="00A516FD" w:rsidRPr="008A76DC" w:rsidRDefault="00A516FD" w:rsidP="00C30DA5">
            <w:pPr>
              <w:spacing w:before="40" w:after="40" w:line="240" w:lineRule="auto"/>
              <w:ind w:left="176"/>
              <w:rPr>
                <w:rFonts w:asciiTheme="minorHAnsi" w:eastAsia="Times New Roman" w:hAnsiTheme="minorHAnsi" w:cstheme="minorHAnsi"/>
                <w:b/>
                <w:bCs/>
                <w:sz w:val="20"/>
                <w:szCs w:val="20"/>
                <w:lang w:val="en-US" w:eastAsia="en-AU"/>
              </w:rPr>
            </w:pPr>
          </w:p>
        </w:tc>
        <w:tc>
          <w:tcPr>
            <w:tcW w:w="0" w:type="auto"/>
            <w:vMerge/>
            <w:tcBorders>
              <w:top w:val="nil"/>
              <w:left w:val="nil"/>
              <w:bottom w:val="single" w:sz="8" w:space="0" w:color="000000"/>
              <w:right w:val="single" w:sz="8" w:space="0" w:color="000000"/>
            </w:tcBorders>
            <w:vAlign w:val="center"/>
            <w:hideMark/>
          </w:tcPr>
          <w:p w14:paraId="34C98101" w14:textId="77777777" w:rsidR="00A516FD" w:rsidRPr="008A76DC" w:rsidRDefault="00A516FD" w:rsidP="00C30DA5">
            <w:pPr>
              <w:spacing w:before="40" w:after="40" w:line="240" w:lineRule="auto"/>
              <w:ind w:left="176"/>
              <w:rPr>
                <w:rFonts w:asciiTheme="minorHAnsi" w:eastAsia="Times New Roman" w:hAnsiTheme="minorHAnsi" w:cstheme="minorHAnsi"/>
                <w:b/>
                <w:bCs/>
                <w:sz w:val="20"/>
                <w:szCs w:val="20"/>
                <w:lang w:val="en-US" w:eastAsia="en-AU"/>
              </w:rPr>
            </w:pPr>
          </w:p>
        </w:tc>
        <w:tc>
          <w:tcPr>
            <w:tcW w:w="0" w:type="auto"/>
            <w:vMerge/>
            <w:tcBorders>
              <w:top w:val="nil"/>
              <w:left w:val="nil"/>
              <w:bottom w:val="single" w:sz="8" w:space="0" w:color="000000"/>
              <w:right w:val="single" w:sz="8" w:space="0" w:color="000000"/>
            </w:tcBorders>
            <w:vAlign w:val="center"/>
            <w:hideMark/>
          </w:tcPr>
          <w:p w14:paraId="3166DA82" w14:textId="77777777" w:rsidR="00A516FD" w:rsidRPr="008A76DC" w:rsidRDefault="00A516FD" w:rsidP="00C30DA5">
            <w:pPr>
              <w:spacing w:before="40" w:after="40" w:line="240" w:lineRule="auto"/>
              <w:ind w:left="176"/>
              <w:rPr>
                <w:rFonts w:asciiTheme="minorHAnsi" w:eastAsia="Times New Roman" w:hAnsiTheme="minorHAnsi" w:cstheme="minorHAnsi"/>
                <w:b/>
                <w:bCs/>
                <w:sz w:val="20"/>
                <w:szCs w:val="20"/>
                <w:lang w:val="en-US" w:eastAsia="en-AU"/>
              </w:rPr>
            </w:pPr>
          </w:p>
        </w:tc>
      </w:tr>
      <w:tr w:rsidR="00A516FD" w:rsidRPr="008A76DC" w14:paraId="13AFD89D" w14:textId="77777777" w:rsidTr="00C30DA5">
        <w:tc>
          <w:tcPr>
            <w:tcW w:w="1801"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1CCCBAA4" w14:textId="77777777" w:rsidR="00A516FD" w:rsidRPr="008A76DC" w:rsidRDefault="00A516FD" w:rsidP="00C30DA5">
            <w:pPr>
              <w:spacing w:before="40" w:after="40" w:line="240" w:lineRule="auto"/>
              <w:ind w:left="176"/>
              <w:rPr>
                <w:rFonts w:asciiTheme="minorHAnsi" w:eastAsia="Times New Roman" w:hAnsiTheme="minorHAnsi" w:cstheme="minorHAnsi"/>
                <w:sz w:val="20"/>
                <w:szCs w:val="20"/>
                <w:lang w:val="en-US" w:eastAsia="en-AU"/>
              </w:rPr>
            </w:pPr>
            <w:r w:rsidRPr="008A76DC">
              <w:rPr>
                <w:rFonts w:asciiTheme="minorHAnsi" w:eastAsia="Times New Roman" w:hAnsiTheme="minorHAnsi" w:cstheme="minorHAnsi"/>
                <w:sz w:val="20"/>
                <w:szCs w:val="20"/>
                <w:lang w:val="en-US" w:eastAsia="en-AU"/>
              </w:rPr>
              <w:t>Inferior</w:t>
            </w:r>
          </w:p>
        </w:tc>
        <w:tc>
          <w:tcPr>
            <w:tcW w:w="1351"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14:paraId="7520E650" w14:textId="77777777" w:rsidR="00A516FD" w:rsidRPr="008A76DC" w:rsidRDefault="00A516FD" w:rsidP="00C30DA5">
            <w:pPr>
              <w:spacing w:before="40" w:after="40" w:line="240" w:lineRule="auto"/>
              <w:ind w:left="176"/>
              <w:rPr>
                <w:rFonts w:asciiTheme="minorHAnsi" w:eastAsia="Times New Roman" w:hAnsiTheme="minorHAnsi" w:cstheme="minorHAnsi"/>
                <w:i/>
                <w:iCs/>
                <w:sz w:val="20"/>
                <w:szCs w:val="20"/>
                <w:lang w:val="en-US" w:eastAsia="en-AU"/>
              </w:rPr>
            </w:pPr>
            <w:r w:rsidRPr="008A76DC">
              <w:rPr>
                <w:rFonts w:asciiTheme="minorHAnsi" w:eastAsia="Times New Roman" w:hAnsiTheme="minorHAnsi" w:cstheme="minorHAnsi"/>
                <w:i/>
                <w:iCs/>
                <w:sz w:val="20"/>
                <w:szCs w:val="20"/>
                <w:lang w:val="en-US" w:eastAsia="en-AU"/>
              </w:rPr>
              <w:t>x</w:t>
            </w:r>
          </w:p>
        </w:tc>
        <w:tc>
          <w:tcPr>
            <w:tcW w:w="1351"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14:paraId="0A3088DF" w14:textId="77777777" w:rsidR="00A516FD" w:rsidRPr="008A76DC" w:rsidRDefault="00A516FD" w:rsidP="00C30DA5">
            <w:pPr>
              <w:spacing w:before="40" w:after="40" w:line="240" w:lineRule="auto"/>
              <w:ind w:left="176"/>
              <w:rPr>
                <w:rFonts w:asciiTheme="minorHAnsi" w:eastAsia="Times New Roman" w:hAnsiTheme="minorHAnsi" w:cstheme="minorHAnsi"/>
                <w:sz w:val="20"/>
                <w:szCs w:val="20"/>
                <w:lang w:val="en-US" w:eastAsia="en-AU"/>
              </w:rPr>
            </w:pPr>
            <w:r w:rsidRPr="008A76DC">
              <w:rPr>
                <w:rFonts w:asciiTheme="minorHAnsi" w:eastAsia="Times New Roman" w:hAnsiTheme="minorHAnsi" w:cstheme="minorHAnsi"/>
                <w:sz w:val="20"/>
                <w:szCs w:val="20"/>
                <w:lang w:val="en-US" w:eastAsia="en-AU"/>
              </w:rPr>
              <w:t>F</w:t>
            </w:r>
          </w:p>
        </w:tc>
        <w:tc>
          <w:tcPr>
            <w:tcW w:w="119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14:paraId="02FF8598" w14:textId="77777777" w:rsidR="00A516FD" w:rsidRPr="008A76DC" w:rsidRDefault="00A516FD" w:rsidP="00C30DA5">
            <w:pPr>
              <w:spacing w:before="40" w:after="40" w:line="240" w:lineRule="auto"/>
              <w:ind w:left="176"/>
              <w:rPr>
                <w:rFonts w:asciiTheme="minorHAnsi" w:eastAsia="Times New Roman" w:hAnsiTheme="minorHAnsi" w:cstheme="minorHAnsi"/>
                <w:sz w:val="20"/>
                <w:szCs w:val="20"/>
                <w:lang w:val="en-US" w:eastAsia="en-AU"/>
              </w:rPr>
            </w:pPr>
            <w:r w:rsidRPr="008A76DC">
              <w:rPr>
                <w:rFonts w:asciiTheme="minorHAnsi" w:eastAsia="Times New Roman" w:hAnsiTheme="minorHAnsi" w:cstheme="minorHAnsi"/>
                <w:sz w:val="20"/>
                <w:szCs w:val="20"/>
                <w:lang w:val="en-US" w:eastAsia="en-AU"/>
              </w:rPr>
              <w:t>?</w:t>
            </w:r>
          </w:p>
        </w:tc>
        <w:tc>
          <w:tcPr>
            <w:tcW w:w="1260"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14:paraId="1FB4BCA3" w14:textId="77777777" w:rsidR="00A516FD" w:rsidRPr="008A76DC" w:rsidRDefault="00A516FD" w:rsidP="00C30DA5">
            <w:pPr>
              <w:spacing w:before="40" w:after="40" w:line="240" w:lineRule="auto"/>
              <w:ind w:left="176"/>
              <w:rPr>
                <w:rFonts w:asciiTheme="minorHAnsi" w:eastAsia="Times New Roman" w:hAnsiTheme="minorHAnsi" w:cstheme="minorHAnsi"/>
                <w:sz w:val="20"/>
                <w:szCs w:val="20"/>
                <w:lang w:val="en-US" w:eastAsia="en-AU"/>
              </w:rPr>
            </w:pPr>
            <w:r w:rsidRPr="008A76DC">
              <w:rPr>
                <w:rFonts w:asciiTheme="minorHAnsi" w:eastAsia="Times New Roman" w:hAnsiTheme="minorHAnsi" w:cstheme="minorHAnsi"/>
                <w:sz w:val="20"/>
                <w:szCs w:val="20"/>
                <w:lang w:val="en-US" w:eastAsia="en-AU"/>
              </w:rPr>
              <w:t>F</w:t>
            </w:r>
            <w:r w:rsidRPr="008A76DC">
              <w:rPr>
                <w:rFonts w:asciiTheme="minorHAnsi" w:eastAsia="Times New Roman" w:hAnsiTheme="minorHAnsi" w:cstheme="minorHAnsi"/>
                <w:sz w:val="20"/>
                <w:szCs w:val="20"/>
                <w:vertAlign w:val="superscript"/>
                <w:lang w:val="en-US" w:eastAsia="en-AU"/>
              </w:rPr>
              <w:t>b</w:t>
            </w:r>
          </w:p>
        </w:tc>
        <w:tc>
          <w:tcPr>
            <w:tcW w:w="1350"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14:paraId="73B57754" w14:textId="77777777" w:rsidR="00A516FD" w:rsidRPr="008A76DC" w:rsidRDefault="00A516FD" w:rsidP="00C30DA5">
            <w:pPr>
              <w:spacing w:before="40" w:after="40" w:line="240" w:lineRule="auto"/>
              <w:ind w:left="176"/>
              <w:rPr>
                <w:rFonts w:asciiTheme="minorHAnsi" w:eastAsia="Times New Roman" w:hAnsiTheme="minorHAnsi" w:cstheme="minorHAnsi"/>
                <w:sz w:val="20"/>
                <w:szCs w:val="20"/>
                <w:lang w:val="en-US" w:eastAsia="en-AU"/>
              </w:rPr>
            </w:pPr>
            <w:r w:rsidRPr="008A76DC">
              <w:rPr>
                <w:rFonts w:asciiTheme="minorHAnsi" w:eastAsia="Times New Roman" w:hAnsiTheme="minorHAnsi" w:cstheme="minorHAnsi"/>
                <w:sz w:val="20"/>
                <w:szCs w:val="20"/>
                <w:lang w:val="en-US" w:eastAsia="en-AU"/>
              </w:rPr>
              <w:t>F</w:t>
            </w:r>
            <w:r w:rsidRPr="008A76DC">
              <w:rPr>
                <w:rFonts w:asciiTheme="minorHAnsi" w:eastAsia="Times New Roman" w:hAnsiTheme="minorHAnsi" w:cstheme="minorHAnsi"/>
                <w:sz w:val="20"/>
                <w:szCs w:val="20"/>
                <w:vertAlign w:val="superscript"/>
                <w:lang w:val="en-US" w:eastAsia="en-AU"/>
              </w:rPr>
              <w:t>a</w:t>
            </w:r>
          </w:p>
        </w:tc>
      </w:tr>
      <w:tr w:rsidR="00A516FD" w:rsidRPr="008A76DC" w14:paraId="01CB0E95" w14:textId="77777777" w:rsidTr="00C30DA5">
        <w:tc>
          <w:tcPr>
            <w:tcW w:w="1801" w:type="dxa"/>
            <w:tcBorders>
              <w:top w:val="nil"/>
              <w:left w:val="single" w:sz="8" w:space="0" w:color="000000"/>
              <w:bottom w:val="single" w:sz="8" w:space="0" w:color="000000"/>
              <w:right w:val="single" w:sz="8" w:space="0" w:color="000000"/>
            </w:tcBorders>
            <w:shd w:val="clear" w:color="auto" w:fill="A6A6A6"/>
            <w:tcMar>
              <w:top w:w="0" w:type="dxa"/>
              <w:left w:w="108" w:type="dxa"/>
              <w:bottom w:w="0" w:type="dxa"/>
              <w:right w:w="108" w:type="dxa"/>
            </w:tcMar>
            <w:hideMark/>
          </w:tcPr>
          <w:p w14:paraId="5C15C5B1" w14:textId="77777777" w:rsidR="00A516FD" w:rsidRPr="008A76DC" w:rsidRDefault="00A516FD" w:rsidP="00C30DA5">
            <w:pPr>
              <w:spacing w:before="40" w:after="40" w:line="240" w:lineRule="auto"/>
              <w:ind w:left="176"/>
              <w:rPr>
                <w:rFonts w:asciiTheme="minorHAnsi" w:eastAsia="Times New Roman" w:hAnsiTheme="minorHAnsi" w:cstheme="minorHAnsi"/>
                <w:sz w:val="20"/>
                <w:szCs w:val="20"/>
                <w:lang w:val="en-US" w:eastAsia="en-AU"/>
              </w:rPr>
            </w:pPr>
            <w:r w:rsidRPr="008A76DC">
              <w:rPr>
                <w:rFonts w:asciiTheme="minorHAnsi" w:eastAsia="Times New Roman" w:hAnsiTheme="minorHAnsi" w:cstheme="minorHAnsi"/>
                <w:sz w:val="20"/>
                <w:szCs w:val="20"/>
                <w:lang w:val="en-US" w:eastAsia="en-AU"/>
              </w:rPr>
              <w:t>Uncertain</w:t>
            </w:r>
          </w:p>
        </w:tc>
        <w:tc>
          <w:tcPr>
            <w:tcW w:w="1351" w:type="dxa"/>
            <w:tcBorders>
              <w:top w:val="nil"/>
              <w:left w:val="nil"/>
              <w:bottom w:val="single" w:sz="8" w:space="0" w:color="000000"/>
              <w:right w:val="single" w:sz="8" w:space="0" w:color="000000"/>
            </w:tcBorders>
            <w:shd w:val="clear" w:color="auto" w:fill="A6A6A6"/>
            <w:tcMar>
              <w:top w:w="0" w:type="dxa"/>
              <w:left w:w="108" w:type="dxa"/>
              <w:bottom w:w="0" w:type="dxa"/>
              <w:right w:w="108" w:type="dxa"/>
            </w:tcMar>
            <w:hideMark/>
          </w:tcPr>
          <w:p w14:paraId="4A4DFC27" w14:textId="77777777" w:rsidR="00A516FD" w:rsidRPr="008A76DC" w:rsidRDefault="00A516FD" w:rsidP="00C30DA5">
            <w:pPr>
              <w:spacing w:before="40" w:after="40" w:line="240" w:lineRule="auto"/>
              <w:ind w:left="176"/>
              <w:rPr>
                <w:rFonts w:asciiTheme="minorHAnsi" w:eastAsia="Times New Roman" w:hAnsiTheme="minorHAnsi" w:cstheme="minorHAnsi"/>
                <w:sz w:val="20"/>
                <w:szCs w:val="20"/>
                <w:lang w:val="en-US" w:eastAsia="en-AU"/>
              </w:rPr>
            </w:pPr>
            <w:r w:rsidRPr="008A76DC">
              <w:rPr>
                <w:rFonts w:asciiTheme="minorHAnsi" w:eastAsia="Times New Roman" w:hAnsiTheme="minorHAnsi" w:cstheme="minorHAnsi"/>
                <w:i/>
                <w:iCs/>
                <w:sz w:val="20"/>
                <w:szCs w:val="20"/>
                <w:lang w:val="en-US" w:eastAsia="en-AU"/>
              </w:rPr>
              <w:t>x</w:t>
            </w:r>
          </w:p>
        </w:tc>
        <w:tc>
          <w:tcPr>
            <w:tcW w:w="1351" w:type="dxa"/>
            <w:tcBorders>
              <w:top w:val="nil"/>
              <w:left w:val="nil"/>
              <w:bottom w:val="single" w:sz="8" w:space="0" w:color="000000"/>
              <w:right w:val="single" w:sz="8" w:space="0" w:color="000000"/>
            </w:tcBorders>
            <w:shd w:val="clear" w:color="auto" w:fill="A6A6A6"/>
            <w:tcMar>
              <w:top w:w="0" w:type="dxa"/>
              <w:left w:w="108" w:type="dxa"/>
              <w:bottom w:w="0" w:type="dxa"/>
              <w:right w:w="108" w:type="dxa"/>
            </w:tcMar>
            <w:hideMark/>
          </w:tcPr>
          <w:p w14:paraId="2CCF50BE" w14:textId="77777777" w:rsidR="00A516FD" w:rsidRPr="008A76DC" w:rsidRDefault="00A516FD" w:rsidP="00C30DA5">
            <w:pPr>
              <w:spacing w:before="40" w:after="40" w:line="240" w:lineRule="auto"/>
              <w:ind w:left="176"/>
              <w:rPr>
                <w:rFonts w:asciiTheme="minorHAnsi" w:eastAsia="Times New Roman" w:hAnsiTheme="minorHAnsi" w:cstheme="minorHAnsi"/>
                <w:sz w:val="20"/>
                <w:szCs w:val="20"/>
                <w:lang w:val="en-US" w:eastAsia="en-AU"/>
              </w:rPr>
            </w:pPr>
            <w:r w:rsidRPr="008A76DC">
              <w:rPr>
                <w:rFonts w:asciiTheme="minorHAnsi" w:eastAsia="Times New Roman" w:hAnsiTheme="minorHAnsi" w:cstheme="minorHAnsi"/>
                <w:sz w:val="20"/>
                <w:szCs w:val="20"/>
                <w:lang w:val="en-US" w:eastAsia="en-AU"/>
              </w:rPr>
              <w:t>F</w:t>
            </w:r>
            <w:r w:rsidRPr="008A76DC">
              <w:rPr>
                <w:rFonts w:asciiTheme="minorHAnsi" w:eastAsia="Times New Roman" w:hAnsiTheme="minorHAnsi" w:cstheme="minorHAnsi"/>
                <w:sz w:val="20"/>
                <w:szCs w:val="20"/>
                <w:vertAlign w:val="superscript"/>
                <w:lang w:val="en-US" w:eastAsia="en-AU"/>
              </w:rPr>
              <w:t>a</w:t>
            </w:r>
          </w:p>
        </w:tc>
        <w:tc>
          <w:tcPr>
            <w:tcW w:w="1193" w:type="dxa"/>
            <w:tcBorders>
              <w:top w:val="nil"/>
              <w:left w:val="nil"/>
              <w:bottom w:val="single" w:sz="8" w:space="0" w:color="000000"/>
              <w:right w:val="single" w:sz="8" w:space="0" w:color="000000"/>
            </w:tcBorders>
            <w:shd w:val="clear" w:color="auto" w:fill="A6A6A6"/>
            <w:tcMar>
              <w:top w:w="0" w:type="dxa"/>
              <w:left w:w="108" w:type="dxa"/>
              <w:bottom w:w="0" w:type="dxa"/>
              <w:right w:w="108" w:type="dxa"/>
            </w:tcMar>
            <w:hideMark/>
          </w:tcPr>
          <w:p w14:paraId="28594412" w14:textId="77777777" w:rsidR="00A516FD" w:rsidRPr="008A76DC" w:rsidRDefault="00A516FD" w:rsidP="00C30DA5">
            <w:pPr>
              <w:spacing w:before="40" w:after="40" w:line="240" w:lineRule="auto"/>
              <w:ind w:left="176"/>
              <w:rPr>
                <w:rFonts w:asciiTheme="minorHAnsi" w:eastAsia="Times New Roman" w:hAnsiTheme="minorHAnsi" w:cstheme="minorHAnsi"/>
                <w:sz w:val="20"/>
                <w:szCs w:val="20"/>
                <w:lang w:val="en-US" w:eastAsia="en-AU"/>
              </w:rPr>
            </w:pPr>
            <w:r w:rsidRPr="008A76DC">
              <w:rPr>
                <w:rFonts w:asciiTheme="minorHAnsi" w:eastAsia="Times New Roman" w:hAnsiTheme="minorHAnsi" w:cstheme="minorHAnsi"/>
                <w:sz w:val="20"/>
                <w:szCs w:val="20"/>
                <w:lang w:val="en-US" w:eastAsia="en-AU"/>
              </w:rPr>
              <w:t>?</w:t>
            </w:r>
          </w:p>
        </w:tc>
        <w:tc>
          <w:tcPr>
            <w:tcW w:w="1260" w:type="dxa"/>
            <w:tcBorders>
              <w:top w:val="nil"/>
              <w:left w:val="nil"/>
              <w:bottom w:val="single" w:sz="8" w:space="0" w:color="000000"/>
              <w:right w:val="single" w:sz="8" w:space="0" w:color="000000"/>
            </w:tcBorders>
            <w:shd w:val="clear" w:color="auto" w:fill="A6A6A6"/>
            <w:tcMar>
              <w:top w:w="0" w:type="dxa"/>
              <w:left w:w="108" w:type="dxa"/>
              <w:bottom w:w="0" w:type="dxa"/>
              <w:right w:w="108" w:type="dxa"/>
            </w:tcMar>
            <w:hideMark/>
          </w:tcPr>
          <w:p w14:paraId="03951F1D" w14:textId="77777777" w:rsidR="00A516FD" w:rsidRPr="008A76DC" w:rsidRDefault="00A516FD" w:rsidP="00C30DA5">
            <w:pPr>
              <w:spacing w:before="40" w:after="40" w:line="240" w:lineRule="auto"/>
              <w:ind w:left="176"/>
              <w:rPr>
                <w:rFonts w:asciiTheme="minorHAnsi" w:eastAsia="Times New Roman" w:hAnsiTheme="minorHAnsi" w:cstheme="minorHAnsi"/>
                <w:sz w:val="20"/>
                <w:szCs w:val="20"/>
                <w:lang w:val="en-US" w:eastAsia="en-AU"/>
              </w:rPr>
            </w:pPr>
            <w:r w:rsidRPr="008A76DC">
              <w:rPr>
                <w:rFonts w:asciiTheme="minorHAnsi" w:eastAsia="Times New Roman" w:hAnsiTheme="minorHAnsi" w:cstheme="minorHAnsi"/>
                <w:sz w:val="20"/>
                <w:szCs w:val="20"/>
                <w:lang w:val="en-US" w:eastAsia="en-AU"/>
              </w:rPr>
              <w:t>?</w:t>
            </w:r>
          </w:p>
        </w:tc>
        <w:tc>
          <w:tcPr>
            <w:tcW w:w="1350" w:type="dxa"/>
            <w:tcBorders>
              <w:top w:val="nil"/>
              <w:left w:val="nil"/>
              <w:bottom w:val="single" w:sz="8" w:space="0" w:color="000000"/>
              <w:right w:val="single" w:sz="8" w:space="0" w:color="000000"/>
            </w:tcBorders>
            <w:shd w:val="clear" w:color="auto" w:fill="A6A6A6"/>
            <w:tcMar>
              <w:top w:w="0" w:type="dxa"/>
              <w:left w:w="108" w:type="dxa"/>
              <w:bottom w:w="0" w:type="dxa"/>
              <w:right w:w="108" w:type="dxa"/>
            </w:tcMar>
            <w:hideMark/>
          </w:tcPr>
          <w:p w14:paraId="0AD75456" w14:textId="77777777" w:rsidR="00A516FD" w:rsidRPr="008A76DC" w:rsidRDefault="00A516FD" w:rsidP="00C30DA5">
            <w:pPr>
              <w:spacing w:before="40" w:after="40" w:line="240" w:lineRule="auto"/>
              <w:ind w:left="176"/>
              <w:rPr>
                <w:rFonts w:asciiTheme="minorHAnsi" w:eastAsia="Times New Roman" w:hAnsiTheme="minorHAnsi" w:cstheme="minorHAnsi"/>
                <w:sz w:val="20"/>
                <w:szCs w:val="20"/>
                <w:lang w:val="en-US" w:eastAsia="en-AU"/>
              </w:rPr>
            </w:pPr>
            <w:r w:rsidRPr="008A76DC">
              <w:rPr>
                <w:rFonts w:asciiTheme="minorHAnsi" w:eastAsia="Times New Roman" w:hAnsiTheme="minorHAnsi" w:cstheme="minorHAnsi"/>
                <w:sz w:val="20"/>
                <w:szCs w:val="20"/>
                <w:lang w:val="en-US" w:eastAsia="en-AU"/>
              </w:rPr>
              <w:t>F</w:t>
            </w:r>
            <w:r w:rsidRPr="008A76DC">
              <w:rPr>
                <w:rFonts w:asciiTheme="minorHAnsi" w:eastAsia="Times New Roman" w:hAnsiTheme="minorHAnsi" w:cstheme="minorHAnsi"/>
                <w:sz w:val="20"/>
                <w:szCs w:val="20"/>
                <w:vertAlign w:val="superscript"/>
                <w:lang w:val="en-US" w:eastAsia="en-AU"/>
              </w:rPr>
              <w:t>a</w:t>
            </w:r>
          </w:p>
        </w:tc>
      </w:tr>
      <w:tr w:rsidR="00A516FD" w:rsidRPr="008A76DC" w14:paraId="771B4F83" w14:textId="77777777" w:rsidTr="00C30DA5">
        <w:tc>
          <w:tcPr>
            <w:tcW w:w="1801"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14:paraId="65FB2B77" w14:textId="77777777" w:rsidR="00A516FD" w:rsidRPr="008A76DC" w:rsidRDefault="00A516FD" w:rsidP="00C30DA5">
            <w:pPr>
              <w:spacing w:before="40" w:after="40" w:line="240" w:lineRule="auto"/>
              <w:ind w:left="176"/>
              <w:rPr>
                <w:rFonts w:asciiTheme="minorHAnsi" w:eastAsia="Times New Roman" w:hAnsiTheme="minorHAnsi" w:cstheme="minorHAnsi"/>
                <w:sz w:val="20"/>
                <w:szCs w:val="20"/>
                <w:lang w:val="en-US" w:eastAsia="en-AU"/>
              </w:rPr>
            </w:pPr>
            <w:r w:rsidRPr="008A76DC">
              <w:rPr>
                <w:rFonts w:asciiTheme="minorHAnsi" w:eastAsia="Times New Roman" w:hAnsiTheme="minorHAnsi" w:cstheme="minorHAnsi"/>
                <w:sz w:val="20"/>
                <w:szCs w:val="20"/>
                <w:lang w:val="en-US" w:eastAsia="en-AU"/>
              </w:rPr>
              <w:t>Non-inferior</w:t>
            </w:r>
          </w:p>
        </w:tc>
        <w:tc>
          <w:tcPr>
            <w:tcW w:w="1351"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14:paraId="6FBF5D0E" w14:textId="77777777" w:rsidR="00A516FD" w:rsidRPr="008A76DC" w:rsidRDefault="00A516FD" w:rsidP="00C30DA5">
            <w:pPr>
              <w:spacing w:before="40" w:after="40" w:line="240" w:lineRule="auto"/>
              <w:ind w:left="176"/>
              <w:rPr>
                <w:rFonts w:asciiTheme="minorHAnsi" w:eastAsia="Times New Roman" w:hAnsiTheme="minorHAnsi" w:cstheme="minorHAnsi"/>
                <w:sz w:val="20"/>
                <w:szCs w:val="20"/>
                <w:lang w:val="en-US" w:eastAsia="en-AU"/>
              </w:rPr>
            </w:pPr>
            <w:r w:rsidRPr="008A76DC">
              <w:rPr>
                <w:rFonts w:asciiTheme="minorHAnsi" w:eastAsia="Times New Roman" w:hAnsiTheme="minorHAnsi" w:cstheme="minorHAnsi"/>
                <w:i/>
                <w:iCs/>
                <w:sz w:val="20"/>
                <w:szCs w:val="20"/>
                <w:lang w:val="en-US" w:eastAsia="en-AU"/>
              </w:rPr>
              <w:t>x</w:t>
            </w:r>
            <w:r w:rsidRPr="008A76DC">
              <w:rPr>
                <w:rFonts w:asciiTheme="minorHAnsi" w:eastAsia="Times New Roman" w:hAnsiTheme="minorHAnsi" w:cstheme="minorHAnsi"/>
                <w:i/>
                <w:iCs/>
                <w:sz w:val="20"/>
                <w:szCs w:val="20"/>
                <w:vertAlign w:val="superscript"/>
                <w:lang w:val="en-US" w:eastAsia="en-AU"/>
              </w:rPr>
              <w:t>c</w:t>
            </w:r>
          </w:p>
        </w:tc>
        <w:tc>
          <w:tcPr>
            <w:tcW w:w="1351"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14:paraId="1B61D75A" w14:textId="77777777" w:rsidR="00A516FD" w:rsidRPr="008A76DC" w:rsidRDefault="00A516FD" w:rsidP="00C30DA5">
            <w:pPr>
              <w:spacing w:before="40" w:after="40" w:line="240" w:lineRule="auto"/>
              <w:ind w:left="176"/>
              <w:rPr>
                <w:rFonts w:asciiTheme="minorHAnsi" w:eastAsia="Times New Roman" w:hAnsiTheme="minorHAnsi" w:cstheme="minorHAnsi"/>
                <w:sz w:val="20"/>
                <w:szCs w:val="20"/>
                <w:lang w:val="en-US" w:eastAsia="en-AU"/>
              </w:rPr>
            </w:pPr>
            <w:r w:rsidRPr="008A76DC">
              <w:rPr>
                <w:rFonts w:asciiTheme="minorHAnsi" w:eastAsia="Times New Roman" w:hAnsiTheme="minorHAnsi" w:cstheme="minorHAnsi"/>
                <w:sz w:val="20"/>
                <w:szCs w:val="20"/>
                <w:lang w:val="en-US" w:eastAsia="en-AU"/>
              </w:rPr>
              <w:t>F</w:t>
            </w:r>
          </w:p>
        </w:tc>
        <w:tc>
          <w:tcPr>
            <w:tcW w:w="119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14:paraId="138F5584" w14:textId="77777777" w:rsidR="00A516FD" w:rsidRPr="008A76DC" w:rsidRDefault="00A516FD" w:rsidP="00C30DA5">
            <w:pPr>
              <w:spacing w:before="40" w:after="40" w:line="240" w:lineRule="auto"/>
              <w:ind w:left="176"/>
              <w:rPr>
                <w:rFonts w:asciiTheme="minorHAnsi" w:eastAsia="Times New Roman" w:hAnsiTheme="minorHAnsi" w:cstheme="minorHAnsi"/>
                <w:sz w:val="20"/>
                <w:szCs w:val="20"/>
                <w:lang w:val="en-US" w:eastAsia="en-AU"/>
              </w:rPr>
            </w:pPr>
            <w:r w:rsidRPr="008A76DC">
              <w:rPr>
                <w:rFonts w:asciiTheme="minorHAnsi" w:eastAsia="Times New Roman" w:hAnsiTheme="minorHAnsi" w:cstheme="minorHAnsi"/>
                <w:sz w:val="20"/>
                <w:szCs w:val="20"/>
                <w:lang w:val="en-US" w:eastAsia="en-AU"/>
              </w:rPr>
              <w:t>?</w:t>
            </w:r>
          </w:p>
        </w:tc>
        <w:tc>
          <w:tcPr>
            <w:tcW w:w="1260"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14:paraId="7CD056CE" w14:textId="77777777" w:rsidR="00A516FD" w:rsidRPr="008A76DC" w:rsidRDefault="00A516FD" w:rsidP="00C30DA5">
            <w:pPr>
              <w:spacing w:before="40" w:after="40" w:line="240" w:lineRule="auto"/>
              <w:ind w:left="176"/>
              <w:rPr>
                <w:rFonts w:asciiTheme="minorHAnsi" w:eastAsia="Times New Roman" w:hAnsiTheme="minorHAnsi" w:cstheme="minorHAnsi"/>
                <w:sz w:val="20"/>
                <w:szCs w:val="20"/>
                <w:lang w:val="en-US" w:eastAsia="en-AU"/>
              </w:rPr>
            </w:pPr>
            <w:r w:rsidRPr="008A76DC">
              <w:rPr>
                <w:rFonts w:asciiTheme="minorHAnsi" w:eastAsia="Times New Roman" w:hAnsiTheme="minorHAnsi" w:cstheme="minorHAnsi"/>
                <w:sz w:val="20"/>
                <w:szCs w:val="20"/>
                <w:lang w:val="en-US" w:eastAsia="en-AU"/>
              </w:rPr>
              <w:t>$</w:t>
            </w:r>
          </w:p>
        </w:tc>
        <w:tc>
          <w:tcPr>
            <w:tcW w:w="1350"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14:paraId="5F9F2355" w14:textId="77777777" w:rsidR="00A516FD" w:rsidRPr="008A76DC" w:rsidRDefault="00A516FD" w:rsidP="00C30DA5">
            <w:pPr>
              <w:spacing w:before="40" w:after="40" w:line="240" w:lineRule="auto"/>
              <w:ind w:left="176"/>
              <w:rPr>
                <w:rFonts w:asciiTheme="minorHAnsi" w:eastAsia="Times New Roman" w:hAnsiTheme="minorHAnsi" w:cstheme="minorHAnsi"/>
                <w:sz w:val="20"/>
                <w:szCs w:val="20"/>
                <w:lang w:val="en-US" w:eastAsia="en-AU"/>
              </w:rPr>
            </w:pPr>
            <w:r w:rsidRPr="008A76DC">
              <w:rPr>
                <w:rFonts w:asciiTheme="minorHAnsi" w:eastAsia="Times New Roman" w:hAnsiTheme="minorHAnsi" w:cstheme="minorHAnsi"/>
                <w:sz w:val="20"/>
                <w:szCs w:val="20"/>
                <w:lang w:val="en-US" w:eastAsia="en-AU"/>
              </w:rPr>
              <w:t>F</w:t>
            </w:r>
          </w:p>
        </w:tc>
      </w:tr>
      <w:tr w:rsidR="00A516FD" w:rsidRPr="008A76DC" w14:paraId="72A1A314" w14:textId="77777777" w:rsidTr="00C30DA5">
        <w:tc>
          <w:tcPr>
            <w:tcW w:w="1801" w:type="dxa"/>
            <w:tcBorders>
              <w:top w:val="nil"/>
              <w:left w:val="single" w:sz="8" w:space="0" w:color="000000"/>
              <w:bottom w:val="single" w:sz="8" w:space="0" w:color="000000"/>
              <w:right w:val="single" w:sz="8" w:space="0" w:color="000000"/>
            </w:tcBorders>
            <w:shd w:val="clear" w:color="auto" w:fill="A6A6A6"/>
            <w:tcMar>
              <w:top w:w="0" w:type="dxa"/>
              <w:left w:w="108" w:type="dxa"/>
              <w:bottom w:w="0" w:type="dxa"/>
              <w:right w:w="108" w:type="dxa"/>
            </w:tcMar>
            <w:hideMark/>
          </w:tcPr>
          <w:p w14:paraId="6DC65A69" w14:textId="77777777" w:rsidR="00A516FD" w:rsidRPr="008A76DC" w:rsidRDefault="00A516FD" w:rsidP="00C30DA5">
            <w:pPr>
              <w:spacing w:before="40" w:after="40" w:line="240" w:lineRule="auto"/>
              <w:ind w:left="176"/>
              <w:rPr>
                <w:rFonts w:asciiTheme="minorHAnsi" w:eastAsia="Times New Roman" w:hAnsiTheme="minorHAnsi" w:cstheme="minorHAnsi"/>
                <w:sz w:val="20"/>
                <w:szCs w:val="20"/>
                <w:lang w:val="en-US" w:eastAsia="en-AU"/>
              </w:rPr>
            </w:pPr>
            <w:r w:rsidRPr="008A76DC">
              <w:rPr>
                <w:rFonts w:asciiTheme="minorHAnsi" w:eastAsia="Times New Roman" w:hAnsiTheme="minorHAnsi" w:cstheme="minorHAnsi"/>
                <w:sz w:val="20"/>
                <w:szCs w:val="20"/>
                <w:lang w:val="en-US" w:eastAsia="en-AU"/>
              </w:rPr>
              <w:t>Superior</w:t>
            </w:r>
          </w:p>
        </w:tc>
        <w:tc>
          <w:tcPr>
            <w:tcW w:w="1351" w:type="dxa"/>
            <w:tcBorders>
              <w:top w:val="nil"/>
              <w:left w:val="nil"/>
              <w:bottom w:val="single" w:sz="8" w:space="0" w:color="000000"/>
              <w:right w:val="single" w:sz="8" w:space="0" w:color="000000"/>
            </w:tcBorders>
            <w:shd w:val="clear" w:color="auto" w:fill="A6A6A6"/>
            <w:tcMar>
              <w:top w:w="0" w:type="dxa"/>
              <w:left w:w="108" w:type="dxa"/>
              <w:bottom w:w="0" w:type="dxa"/>
              <w:right w:w="108" w:type="dxa"/>
            </w:tcMar>
            <w:hideMark/>
          </w:tcPr>
          <w:p w14:paraId="6D8757DE" w14:textId="77777777" w:rsidR="00A516FD" w:rsidRPr="008A76DC" w:rsidRDefault="00A516FD" w:rsidP="00C30DA5">
            <w:pPr>
              <w:spacing w:before="40" w:after="40" w:line="240" w:lineRule="auto"/>
              <w:ind w:left="176"/>
              <w:rPr>
                <w:rFonts w:asciiTheme="minorHAnsi" w:eastAsia="Times New Roman" w:hAnsiTheme="minorHAnsi" w:cstheme="minorHAnsi"/>
                <w:sz w:val="20"/>
                <w:szCs w:val="20"/>
                <w:lang w:val="en-US" w:eastAsia="en-AU"/>
              </w:rPr>
            </w:pPr>
            <w:r w:rsidRPr="008A76DC">
              <w:rPr>
                <w:rFonts w:asciiTheme="minorHAnsi" w:eastAsia="Times New Roman" w:hAnsiTheme="minorHAnsi" w:cstheme="minorHAnsi"/>
                <w:i/>
                <w:iCs/>
                <w:sz w:val="20"/>
                <w:szCs w:val="20"/>
                <w:lang w:val="en-US" w:eastAsia="en-AU"/>
              </w:rPr>
              <w:t>x</w:t>
            </w:r>
            <w:r w:rsidRPr="008A76DC">
              <w:rPr>
                <w:rFonts w:asciiTheme="minorHAnsi" w:eastAsia="Times New Roman" w:hAnsiTheme="minorHAnsi" w:cstheme="minorHAnsi"/>
                <w:i/>
                <w:iCs/>
                <w:sz w:val="20"/>
                <w:szCs w:val="20"/>
                <w:vertAlign w:val="superscript"/>
                <w:lang w:val="en-US" w:eastAsia="en-AU"/>
              </w:rPr>
              <w:t>c</w:t>
            </w:r>
          </w:p>
        </w:tc>
        <w:tc>
          <w:tcPr>
            <w:tcW w:w="1351" w:type="dxa"/>
            <w:tcBorders>
              <w:top w:val="nil"/>
              <w:left w:val="nil"/>
              <w:bottom w:val="single" w:sz="8" w:space="0" w:color="000000"/>
              <w:right w:val="single" w:sz="8" w:space="0" w:color="000000"/>
            </w:tcBorders>
            <w:shd w:val="clear" w:color="auto" w:fill="A6A6A6"/>
            <w:tcMar>
              <w:top w:w="0" w:type="dxa"/>
              <w:left w:w="108" w:type="dxa"/>
              <w:bottom w:w="0" w:type="dxa"/>
              <w:right w:w="108" w:type="dxa"/>
            </w:tcMar>
            <w:hideMark/>
          </w:tcPr>
          <w:p w14:paraId="7C42C4E0" w14:textId="77777777" w:rsidR="00A516FD" w:rsidRPr="008A76DC" w:rsidRDefault="00A516FD" w:rsidP="00C30DA5">
            <w:pPr>
              <w:spacing w:before="40" w:after="40" w:line="240" w:lineRule="auto"/>
              <w:ind w:left="176"/>
              <w:rPr>
                <w:rFonts w:asciiTheme="minorHAnsi" w:eastAsia="Times New Roman" w:hAnsiTheme="minorHAnsi" w:cstheme="minorHAnsi"/>
                <w:sz w:val="20"/>
                <w:szCs w:val="20"/>
                <w:lang w:val="en-US" w:eastAsia="en-AU"/>
              </w:rPr>
            </w:pPr>
            <w:r w:rsidRPr="008A76DC">
              <w:rPr>
                <w:rFonts w:asciiTheme="minorHAnsi" w:eastAsia="Times New Roman" w:hAnsiTheme="minorHAnsi" w:cstheme="minorHAnsi"/>
                <w:sz w:val="20"/>
                <w:szCs w:val="20"/>
                <w:lang w:val="en-US" w:eastAsia="en-AU"/>
              </w:rPr>
              <w:t>F</w:t>
            </w:r>
            <w:r w:rsidRPr="008A76DC">
              <w:rPr>
                <w:rFonts w:asciiTheme="minorHAnsi" w:eastAsia="Times New Roman" w:hAnsiTheme="minorHAnsi" w:cstheme="minorHAnsi"/>
                <w:sz w:val="20"/>
                <w:szCs w:val="20"/>
                <w:vertAlign w:val="superscript"/>
                <w:lang w:val="en-US" w:eastAsia="en-AU"/>
              </w:rPr>
              <w:t>a</w:t>
            </w:r>
          </w:p>
        </w:tc>
        <w:tc>
          <w:tcPr>
            <w:tcW w:w="1193" w:type="dxa"/>
            <w:tcBorders>
              <w:top w:val="nil"/>
              <w:left w:val="nil"/>
              <w:bottom w:val="single" w:sz="8" w:space="0" w:color="000000"/>
              <w:right w:val="single" w:sz="8" w:space="0" w:color="000000"/>
            </w:tcBorders>
            <w:shd w:val="clear" w:color="auto" w:fill="A6A6A6"/>
            <w:tcMar>
              <w:top w:w="0" w:type="dxa"/>
              <w:left w:w="108" w:type="dxa"/>
              <w:bottom w:w="0" w:type="dxa"/>
              <w:right w:w="108" w:type="dxa"/>
            </w:tcMar>
            <w:hideMark/>
          </w:tcPr>
          <w:p w14:paraId="2887AE80" w14:textId="77777777" w:rsidR="00A516FD" w:rsidRPr="008A76DC" w:rsidRDefault="00A516FD" w:rsidP="00C30DA5">
            <w:pPr>
              <w:spacing w:before="40" w:after="40" w:line="240" w:lineRule="auto"/>
              <w:ind w:left="176"/>
              <w:rPr>
                <w:rFonts w:asciiTheme="minorHAnsi" w:eastAsia="Times New Roman" w:hAnsiTheme="minorHAnsi" w:cstheme="minorHAnsi"/>
                <w:sz w:val="20"/>
                <w:szCs w:val="20"/>
                <w:lang w:val="en-US" w:eastAsia="en-AU"/>
              </w:rPr>
            </w:pPr>
            <w:r w:rsidRPr="008A76DC">
              <w:rPr>
                <w:rFonts w:asciiTheme="minorHAnsi" w:eastAsia="Times New Roman" w:hAnsiTheme="minorHAnsi" w:cstheme="minorHAnsi"/>
                <w:sz w:val="20"/>
                <w:szCs w:val="20"/>
                <w:lang w:val="en-US" w:eastAsia="en-AU"/>
              </w:rPr>
              <w:t>?</w:t>
            </w:r>
          </w:p>
        </w:tc>
        <w:tc>
          <w:tcPr>
            <w:tcW w:w="1260" w:type="dxa"/>
            <w:tcBorders>
              <w:top w:val="nil"/>
              <w:left w:val="nil"/>
              <w:bottom w:val="single" w:sz="8" w:space="0" w:color="000000"/>
              <w:right w:val="single" w:sz="8" w:space="0" w:color="000000"/>
            </w:tcBorders>
            <w:shd w:val="clear" w:color="auto" w:fill="A6A6A6"/>
            <w:tcMar>
              <w:top w:w="0" w:type="dxa"/>
              <w:left w:w="108" w:type="dxa"/>
              <w:bottom w:w="0" w:type="dxa"/>
              <w:right w:w="108" w:type="dxa"/>
            </w:tcMar>
            <w:hideMark/>
          </w:tcPr>
          <w:p w14:paraId="783E3857" w14:textId="77777777" w:rsidR="00A516FD" w:rsidRPr="008A76DC" w:rsidRDefault="00A516FD" w:rsidP="00C30DA5">
            <w:pPr>
              <w:spacing w:before="40" w:after="40" w:line="240" w:lineRule="auto"/>
              <w:ind w:left="176"/>
              <w:rPr>
                <w:rFonts w:asciiTheme="minorHAnsi" w:eastAsia="Times New Roman" w:hAnsiTheme="minorHAnsi" w:cstheme="minorHAnsi"/>
                <w:sz w:val="20"/>
                <w:szCs w:val="20"/>
                <w:lang w:val="en-US" w:eastAsia="en-AU"/>
              </w:rPr>
            </w:pPr>
            <w:r w:rsidRPr="008A76DC">
              <w:rPr>
                <w:rFonts w:asciiTheme="minorHAnsi" w:eastAsia="Times New Roman" w:hAnsiTheme="minorHAnsi" w:cstheme="minorHAnsi"/>
                <w:sz w:val="20"/>
                <w:szCs w:val="20"/>
                <w:lang w:val="en-US" w:eastAsia="en-AU"/>
              </w:rPr>
              <w:t>F</w:t>
            </w:r>
            <w:r w:rsidRPr="008A76DC">
              <w:rPr>
                <w:rFonts w:asciiTheme="minorHAnsi" w:eastAsia="Times New Roman" w:hAnsiTheme="minorHAnsi" w:cstheme="minorHAnsi"/>
                <w:sz w:val="20"/>
                <w:szCs w:val="20"/>
                <w:vertAlign w:val="superscript"/>
                <w:lang w:val="en-US" w:eastAsia="en-AU"/>
              </w:rPr>
              <w:t>b</w:t>
            </w:r>
          </w:p>
        </w:tc>
        <w:tc>
          <w:tcPr>
            <w:tcW w:w="1350" w:type="dxa"/>
            <w:tcBorders>
              <w:top w:val="nil"/>
              <w:left w:val="nil"/>
              <w:bottom w:val="single" w:sz="8" w:space="0" w:color="000000"/>
              <w:right w:val="single" w:sz="8" w:space="0" w:color="000000"/>
            </w:tcBorders>
            <w:shd w:val="clear" w:color="auto" w:fill="A6A6A6"/>
            <w:tcMar>
              <w:top w:w="0" w:type="dxa"/>
              <w:left w:w="108" w:type="dxa"/>
              <w:bottom w:w="0" w:type="dxa"/>
              <w:right w:w="108" w:type="dxa"/>
            </w:tcMar>
            <w:hideMark/>
          </w:tcPr>
          <w:p w14:paraId="06046BA1" w14:textId="77777777" w:rsidR="00A516FD" w:rsidRPr="008A76DC" w:rsidRDefault="00A516FD" w:rsidP="00C30DA5">
            <w:pPr>
              <w:spacing w:before="40" w:after="40" w:line="240" w:lineRule="auto"/>
              <w:ind w:left="176"/>
              <w:rPr>
                <w:rFonts w:asciiTheme="minorHAnsi" w:eastAsia="Times New Roman" w:hAnsiTheme="minorHAnsi" w:cstheme="minorHAnsi"/>
                <w:sz w:val="20"/>
                <w:szCs w:val="20"/>
                <w:lang w:val="en-US" w:eastAsia="en-AU"/>
              </w:rPr>
            </w:pPr>
            <w:r w:rsidRPr="008A76DC">
              <w:rPr>
                <w:rFonts w:asciiTheme="minorHAnsi" w:eastAsia="Times New Roman" w:hAnsiTheme="minorHAnsi" w:cstheme="minorHAnsi"/>
                <w:sz w:val="20"/>
                <w:szCs w:val="20"/>
                <w:lang w:val="en-US" w:eastAsia="en-AU"/>
              </w:rPr>
              <w:t>F</w:t>
            </w:r>
          </w:p>
        </w:tc>
      </w:tr>
    </w:tbl>
    <w:p w14:paraId="3DFA1AD2" w14:textId="77777777" w:rsidR="00A516FD" w:rsidRPr="00E44A2E" w:rsidRDefault="00A516FD" w:rsidP="00A516FD">
      <w:pPr>
        <w:pStyle w:val="Tablenotes"/>
        <w:rPr>
          <w:rFonts w:asciiTheme="minorHAnsi" w:hAnsiTheme="minorHAnsi" w:cstheme="minorHAnsi"/>
          <w:b/>
        </w:rPr>
      </w:pPr>
      <w:r w:rsidRPr="00E44A2E">
        <w:rPr>
          <w:rFonts w:asciiTheme="minorHAnsi" w:hAnsiTheme="minorHAnsi" w:cstheme="minorHAnsi"/>
          <w:b/>
        </w:rPr>
        <w:t>Source: Table produced by Adelaide Health Technology Assessment (AHTA) and included with permission on Reference Group advice</w:t>
      </w:r>
      <w:r w:rsidR="001D00C0">
        <w:rPr>
          <w:rFonts w:asciiTheme="minorHAnsi" w:hAnsiTheme="minorHAnsi" w:cstheme="minorHAnsi"/>
          <w:b/>
        </w:rPr>
        <w:t xml:space="preserve"> (advice pending at draft stage)</w:t>
      </w:r>
      <w:r w:rsidRPr="00E44A2E">
        <w:rPr>
          <w:rFonts w:asciiTheme="minorHAnsi" w:hAnsiTheme="minorHAnsi" w:cstheme="minorHAnsi"/>
          <w:b/>
        </w:rPr>
        <w:t>.</w:t>
      </w:r>
    </w:p>
    <w:p w14:paraId="3EE3BB23" w14:textId="77777777" w:rsidR="00A516FD" w:rsidRPr="00E44A2E" w:rsidRDefault="00A516FD" w:rsidP="00A516FD">
      <w:pPr>
        <w:pStyle w:val="Tablenotes"/>
        <w:rPr>
          <w:rFonts w:asciiTheme="minorHAnsi" w:eastAsiaTheme="minorHAnsi" w:hAnsiTheme="minorHAnsi" w:cstheme="minorHAnsi"/>
          <w:lang w:val="en-US"/>
        </w:rPr>
      </w:pPr>
      <w:r w:rsidRPr="00E44A2E">
        <w:rPr>
          <w:rFonts w:asciiTheme="minorHAnsi" w:hAnsiTheme="minorHAnsi" w:cstheme="minorHAnsi"/>
          <w:i/>
          <w:iCs/>
          <w:sz w:val="24"/>
          <w:szCs w:val="24"/>
        </w:rPr>
        <w:t>x</w:t>
      </w:r>
      <w:r w:rsidRPr="00E44A2E">
        <w:rPr>
          <w:rFonts w:asciiTheme="minorHAnsi" w:hAnsiTheme="minorHAnsi" w:cstheme="minorHAnsi"/>
        </w:rPr>
        <w:t xml:space="preserve"> = health forgone (at cost). An economic evaluation is not warranted </w:t>
      </w:r>
      <w:r w:rsidRPr="00E44A2E">
        <w:rPr>
          <w:rFonts w:asciiTheme="minorHAnsi" w:hAnsiTheme="minorHAnsi" w:cstheme="minorHAnsi"/>
          <w:noProof/>
        </w:rPr>
        <w:t>and</w:t>
      </w:r>
      <w:r w:rsidRPr="00E44A2E">
        <w:rPr>
          <w:rFonts w:asciiTheme="minorHAnsi" w:hAnsiTheme="minorHAnsi" w:cstheme="minorHAnsi"/>
        </w:rPr>
        <w:t xml:space="preserve"> continued use of Ig should not occur in this circumstance unless there are other supportive factors.</w:t>
      </w:r>
    </w:p>
    <w:p w14:paraId="418F072E" w14:textId="77777777" w:rsidR="00A516FD" w:rsidRPr="00E44A2E" w:rsidRDefault="00A516FD" w:rsidP="00A516FD">
      <w:pPr>
        <w:pStyle w:val="Tablenotes"/>
        <w:rPr>
          <w:rFonts w:asciiTheme="minorHAnsi" w:hAnsiTheme="minorHAnsi" w:cstheme="minorHAnsi"/>
          <w:lang w:eastAsia="en-AU"/>
        </w:rPr>
      </w:pPr>
      <w:r w:rsidRPr="00E44A2E">
        <w:rPr>
          <w:rFonts w:asciiTheme="minorHAnsi" w:hAnsiTheme="minorHAnsi" w:cstheme="minorHAnsi"/>
        </w:rPr>
        <w:t>F = undertake a full economic evaluation. These may take the form of cost-utility analyses</w:t>
      </w:r>
      <w:r>
        <w:rPr>
          <w:rFonts w:asciiTheme="minorHAnsi" w:hAnsiTheme="minorHAnsi" w:cstheme="minorHAnsi"/>
        </w:rPr>
        <w:t xml:space="preserve"> (CUA)</w:t>
      </w:r>
      <w:r w:rsidRPr="00E44A2E">
        <w:rPr>
          <w:rFonts w:asciiTheme="minorHAnsi" w:hAnsiTheme="minorHAnsi" w:cstheme="minorHAnsi"/>
        </w:rPr>
        <w:t xml:space="preserve"> (preferred if adequate data are available) or </w:t>
      </w:r>
      <w:r w:rsidRPr="00E44A2E">
        <w:rPr>
          <w:rFonts w:asciiTheme="minorHAnsi" w:hAnsiTheme="minorHAnsi" w:cstheme="minorHAnsi"/>
          <w:noProof/>
        </w:rPr>
        <w:t>cost effectiveness</w:t>
      </w:r>
      <w:r w:rsidRPr="00E44A2E">
        <w:rPr>
          <w:rFonts w:asciiTheme="minorHAnsi" w:hAnsiTheme="minorHAnsi" w:cstheme="minorHAnsi"/>
        </w:rPr>
        <w:t xml:space="preserve"> analyses</w:t>
      </w:r>
      <w:r>
        <w:rPr>
          <w:rFonts w:asciiTheme="minorHAnsi" w:hAnsiTheme="minorHAnsi" w:cstheme="minorHAnsi"/>
        </w:rPr>
        <w:t xml:space="preserve"> (CEA)</w:t>
      </w:r>
      <w:r w:rsidRPr="00E44A2E">
        <w:rPr>
          <w:rFonts w:asciiTheme="minorHAnsi" w:hAnsiTheme="minorHAnsi" w:cstheme="minorHAnsi"/>
        </w:rPr>
        <w:t xml:space="preserve"> in terms of clinically relevant outcome(s). </w:t>
      </w:r>
    </w:p>
    <w:p w14:paraId="271344E8" w14:textId="77777777" w:rsidR="00A516FD" w:rsidRPr="00E44A2E" w:rsidRDefault="00A516FD" w:rsidP="00A516FD">
      <w:pPr>
        <w:pStyle w:val="Tablenotes"/>
        <w:rPr>
          <w:rFonts w:asciiTheme="minorHAnsi" w:hAnsiTheme="minorHAnsi" w:cstheme="minorHAnsi"/>
        </w:rPr>
      </w:pPr>
      <w:r w:rsidRPr="00E44A2E">
        <w:rPr>
          <w:rFonts w:asciiTheme="minorHAnsi" w:hAnsiTheme="minorHAnsi" w:cstheme="minorHAnsi"/>
        </w:rPr>
        <w:t xml:space="preserve">? = high levels of uncertainty will occur in </w:t>
      </w:r>
      <w:r w:rsidRPr="00E44A2E">
        <w:rPr>
          <w:rFonts w:asciiTheme="minorHAnsi" w:hAnsiTheme="minorHAnsi" w:cstheme="minorHAnsi"/>
          <w:noProof/>
        </w:rPr>
        <w:t>an economic</w:t>
      </w:r>
      <w:r w:rsidRPr="00E44A2E">
        <w:rPr>
          <w:rFonts w:asciiTheme="minorHAnsi" w:hAnsiTheme="minorHAnsi" w:cstheme="minorHAnsi"/>
        </w:rPr>
        <w:t xml:space="preserve"> evaluation (if it is feasible to construct one). A cost analysis (partial economic evaluation) could </w:t>
      </w:r>
      <w:r w:rsidRPr="00E44A2E">
        <w:rPr>
          <w:rFonts w:asciiTheme="minorHAnsi" w:hAnsiTheme="minorHAnsi" w:cstheme="minorHAnsi"/>
          <w:noProof/>
        </w:rPr>
        <w:t>be performed</w:t>
      </w:r>
      <w:r w:rsidRPr="00E44A2E">
        <w:rPr>
          <w:rFonts w:asciiTheme="minorHAnsi" w:hAnsiTheme="minorHAnsi" w:cstheme="minorHAnsi"/>
        </w:rPr>
        <w:t>.</w:t>
      </w:r>
    </w:p>
    <w:p w14:paraId="29473FEA" w14:textId="77777777" w:rsidR="00A516FD" w:rsidRPr="00E44A2E" w:rsidRDefault="00A516FD" w:rsidP="00A516FD">
      <w:pPr>
        <w:pStyle w:val="Tablenotes"/>
        <w:rPr>
          <w:rFonts w:asciiTheme="minorHAnsi" w:hAnsiTheme="minorHAnsi" w:cstheme="minorHAnsi"/>
        </w:rPr>
      </w:pPr>
      <w:r w:rsidRPr="00E44A2E">
        <w:rPr>
          <w:rFonts w:asciiTheme="minorHAnsi" w:hAnsiTheme="minorHAnsi" w:cstheme="minorHAnsi"/>
        </w:rPr>
        <w:t xml:space="preserve">$ = cost </w:t>
      </w:r>
      <w:r w:rsidRPr="00E44A2E">
        <w:rPr>
          <w:rFonts w:asciiTheme="minorHAnsi" w:hAnsiTheme="minorHAnsi" w:cstheme="minorHAnsi"/>
          <w:noProof/>
        </w:rPr>
        <w:t>minimisation</w:t>
      </w:r>
      <w:r w:rsidRPr="00E44A2E">
        <w:rPr>
          <w:rFonts w:asciiTheme="minorHAnsi" w:hAnsiTheme="minorHAnsi" w:cstheme="minorHAnsi"/>
        </w:rPr>
        <w:t xml:space="preserve"> analysis (</w:t>
      </w:r>
      <w:r w:rsidRPr="00E44A2E">
        <w:rPr>
          <w:rFonts w:asciiTheme="minorHAnsi" w:hAnsiTheme="minorHAnsi" w:cstheme="minorHAnsi"/>
          <w:noProof/>
        </w:rPr>
        <w:t>partial</w:t>
      </w:r>
      <w:r w:rsidRPr="00E44A2E">
        <w:rPr>
          <w:rFonts w:asciiTheme="minorHAnsi" w:hAnsiTheme="minorHAnsi" w:cstheme="minorHAnsi"/>
        </w:rPr>
        <w:t xml:space="preserve"> economic evaluation that explicitly assumes no significant differences in health outcomes, associated with either effectiveness or safety, and analyses cost-differences only). </w:t>
      </w:r>
    </w:p>
    <w:p w14:paraId="2D6BC05C" w14:textId="77777777" w:rsidR="00A516FD" w:rsidRPr="00E44A2E" w:rsidRDefault="00A516FD" w:rsidP="00A516FD">
      <w:pPr>
        <w:pStyle w:val="Tablenotes"/>
        <w:rPr>
          <w:rFonts w:asciiTheme="minorHAnsi" w:hAnsiTheme="minorHAnsi" w:cstheme="minorHAnsi"/>
        </w:rPr>
      </w:pPr>
      <w:r w:rsidRPr="00E44A2E">
        <w:rPr>
          <w:rFonts w:asciiTheme="minorHAnsi" w:hAnsiTheme="minorHAnsi" w:cstheme="minorHAnsi"/>
          <w:noProof/>
          <w:vertAlign w:val="superscript"/>
        </w:rPr>
        <w:t>a</w:t>
      </w:r>
      <w:r w:rsidRPr="00E44A2E">
        <w:rPr>
          <w:rFonts w:asciiTheme="minorHAnsi" w:hAnsiTheme="minorHAnsi" w:cstheme="minorHAnsi"/>
          <w:noProof/>
        </w:rPr>
        <w:t xml:space="preserve"> where</w:t>
      </w:r>
      <w:r w:rsidRPr="00E44A2E">
        <w:rPr>
          <w:rFonts w:asciiTheme="minorHAnsi" w:hAnsiTheme="minorHAnsi" w:cstheme="minorHAnsi"/>
        </w:rPr>
        <w:t xml:space="preserve"> the conclusions </w:t>
      </w:r>
      <w:r w:rsidRPr="00E44A2E">
        <w:rPr>
          <w:rFonts w:asciiTheme="minorHAnsi" w:hAnsiTheme="minorHAnsi" w:cstheme="minorHAnsi"/>
          <w:noProof/>
        </w:rPr>
        <w:t>with respect to</w:t>
      </w:r>
      <w:r w:rsidRPr="00E44A2E">
        <w:rPr>
          <w:rFonts w:asciiTheme="minorHAnsi" w:hAnsiTheme="minorHAnsi" w:cstheme="minorHAnsi"/>
        </w:rPr>
        <w:t xml:space="preserve"> effectiveness and safety are not congruent, then analyses identifying all relevant health consequences (</w:t>
      </w:r>
      <w:r w:rsidRPr="00E44A2E">
        <w:rPr>
          <w:rFonts w:asciiTheme="minorHAnsi" w:hAnsiTheme="minorHAnsi" w:cstheme="minorHAnsi"/>
          <w:noProof/>
        </w:rPr>
        <w:t>i.e.,</w:t>
      </w:r>
      <w:r w:rsidRPr="00E44A2E">
        <w:rPr>
          <w:rFonts w:asciiTheme="minorHAnsi" w:hAnsiTheme="minorHAnsi" w:cstheme="minorHAnsi"/>
        </w:rPr>
        <w:t xml:space="preserve"> effectiveness and safety outcomes in opposing directions of benefit) need to be presented. If a CUA </w:t>
      </w:r>
      <w:r w:rsidRPr="00E44A2E">
        <w:rPr>
          <w:rFonts w:asciiTheme="minorHAnsi" w:hAnsiTheme="minorHAnsi" w:cstheme="minorHAnsi"/>
          <w:noProof/>
        </w:rPr>
        <w:t>is presented</w:t>
      </w:r>
      <w:r w:rsidRPr="00E44A2E">
        <w:rPr>
          <w:rFonts w:asciiTheme="minorHAnsi" w:hAnsiTheme="minorHAnsi" w:cstheme="minorHAnsi"/>
        </w:rPr>
        <w:t xml:space="preserve">, this should capture effectiveness and safety collectively. If a CUA is not possible, then a single CEA may not capture all health consequences adequately </w:t>
      </w:r>
      <w:r w:rsidRPr="00E44A2E">
        <w:rPr>
          <w:rFonts w:asciiTheme="minorHAnsi" w:hAnsiTheme="minorHAnsi" w:cstheme="minorHAnsi"/>
          <w:noProof/>
        </w:rPr>
        <w:t>and</w:t>
      </w:r>
      <w:r w:rsidRPr="00E44A2E">
        <w:rPr>
          <w:rFonts w:asciiTheme="minorHAnsi" w:hAnsiTheme="minorHAnsi" w:cstheme="minorHAnsi"/>
        </w:rPr>
        <w:t xml:space="preserve"> so a </w:t>
      </w:r>
      <w:r>
        <w:rPr>
          <w:rFonts w:asciiTheme="minorHAnsi" w:hAnsiTheme="minorHAnsi" w:cstheme="minorHAnsi"/>
        </w:rPr>
        <w:t>cost consequence analysis (</w:t>
      </w:r>
      <w:r w:rsidRPr="00E44A2E">
        <w:rPr>
          <w:rFonts w:asciiTheme="minorHAnsi" w:hAnsiTheme="minorHAnsi" w:cstheme="minorHAnsi"/>
        </w:rPr>
        <w:t>CCA</w:t>
      </w:r>
      <w:r>
        <w:rPr>
          <w:rFonts w:asciiTheme="minorHAnsi" w:hAnsiTheme="minorHAnsi" w:cstheme="minorHAnsi"/>
        </w:rPr>
        <w:t>)</w:t>
      </w:r>
      <w:r w:rsidRPr="00E44A2E">
        <w:rPr>
          <w:rFonts w:asciiTheme="minorHAnsi" w:hAnsiTheme="minorHAnsi" w:cstheme="minorHAnsi"/>
        </w:rPr>
        <w:t xml:space="preserve"> is likely to be required. Where possible, the CCA should be quantitative, but in the absence of adequate data, a minimum qualitative identification of consequences should </w:t>
      </w:r>
      <w:r w:rsidRPr="00E44A2E">
        <w:rPr>
          <w:rFonts w:asciiTheme="minorHAnsi" w:hAnsiTheme="minorHAnsi" w:cstheme="minorHAnsi"/>
          <w:noProof/>
        </w:rPr>
        <w:t>be presented</w:t>
      </w:r>
      <w:r w:rsidRPr="00E44A2E">
        <w:rPr>
          <w:rFonts w:asciiTheme="minorHAnsi" w:hAnsiTheme="minorHAnsi" w:cstheme="minorHAnsi"/>
        </w:rPr>
        <w:t>.</w:t>
      </w:r>
    </w:p>
    <w:p w14:paraId="19BF66C9" w14:textId="77777777" w:rsidR="00A516FD" w:rsidRPr="00E44A2E" w:rsidRDefault="00A516FD" w:rsidP="00A516FD">
      <w:pPr>
        <w:pStyle w:val="Tablenotes"/>
        <w:rPr>
          <w:rFonts w:asciiTheme="minorHAnsi" w:hAnsiTheme="minorHAnsi" w:cstheme="minorHAnsi"/>
        </w:rPr>
      </w:pPr>
      <w:r w:rsidRPr="00E44A2E">
        <w:rPr>
          <w:rFonts w:asciiTheme="minorHAnsi" w:hAnsiTheme="minorHAnsi" w:cstheme="minorHAnsi"/>
          <w:noProof/>
          <w:vertAlign w:val="superscript"/>
        </w:rPr>
        <w:t>b</w:t>
      </w:r>
      <w:r w:rsidRPr="00E44A2E">
        <w:rPr>
          <w:rFonts w:asciiTheme="minorHAnsi" w:hAnsiTheme="minorHAnsi" w:cstheme="minorHAnsi"/>
        </w:rPr>
        <w:t xml:space="preserve"> where effectiveness </w:t>
      </w:r>
      <w:r w:rsidRPr="00E44A2E">
        <w:rPr>
          <w:rFonts w:asciiTheme="minorHAnsi" w:hAnsiTheme="minorHAnsi" w:cstheme="minorHAnsi"/>
          <w:noProof/>
        </w:rPr>
        <w:t>is assessed</w:t>
      </w:r>
      <w:r w:rsidRPr="00E44A2E">
        <w:rPr>
          <w:rFonts w:asciiTheme="minorHAnsi" w:hAnsiTheme="minorHAnsi" w:cstheme="minorHAnsi"/>
        </w:rPr>
        <w:t xml:space="preserve"> as non-inferior but safety differences exist, and in the absence of a CUA being possible, the outcomes component of the analysis should include a clinically relevant outcome which reflects the safety differences between Ig and the comparator.</w:t>
      </w:r>
    </w:p>
    <w:p w14:paraId="5ED6ECEF" w14:textId="77777777" w:rsidR="00A516FD" w:rsidRPr="00E44A2E" w:rsidRDefault="00A516FD" w:rsidP="00A516FD">
      <w:pPr>
        <w:pStyle w:val="Tablenotes"/>
        <w:rPr>
          <w:rFonts w:asciiTheme="minorHAnsi" w:hAnsiTheme="minorHAnsi" w:cstheme="minorHAnsi"/>
        </w:rPr>
      </w:pPr>
      <w:r w:rsidRPr="00E44A2E">
        <w:rPr>
          <w:rFonts w:asciiTheme="minorHAnsi" w:hAnsiTheme="minorHAnsi" w:cstheme="minorHAnsi"/>
          <w:noProof/>
          <w:vertAlign w:val="superscript"/>
        </w:rPr>
        <w:t>c</w:t>
      </w:r>
      <w:r w:rsidRPr="00E44A2E">
        <w:rPr>
          <w:rFonts w:asciiTheme="minorHAnsi" w:hAnsiTheme="minorHAnsi" w:cstheme="minorHAnsi"/>
        </w:rPr>
        <w:t xml:space="preserve"> </w:t>
      </w:r>
      <w:r>
        <w:rPr>
          <w:rFonts w:asciiTheme="minorHAnsi" w:hAnsiTheme="minorHAnsi" w:cstheme="minorHAnsi"/>
        </w:rPr>
        <w:t>t</w:t>
      </w:r>
      <w:r w:rsidRPr="00E44A2E">
        <w:rPr>
          <w:rFonts w:asciiTheme="minorHAnsi" w:hAnsiTheme="minorHAnsi" w:cstheme="minorHAnsi"/>
        </w:rPr>
        <w:t xml:space="preserve">he small but unavoidable potential risks associated with administering a blood product means that a conclusion of non-inferior or superior Ig safety relative to no active </w:t>
      </w:r>
      <w:r w:rsidRPr="00E44A2E">
        <w:rPr>
          <w:rFonts w:asciiTheme="minorHAnsi" w:hAnsiTheme="minorHAnsi" w:cstheme="minorHAnsi"/>
          <w:noProof/>
        </w:rPr>
        <w:t>comparator,</w:t>
      </w:r>
      <w:r w:rsidRPr="00E44A2E">
        <w:rPr>
          <w:rFonts w:asciiTheme="minorHAnsi" w:hAnsiTheme="minorHAnsi" w:cstheme="minorHAnsi"/>
        </w:rPr>
        <w:t xml:space="preserve"> should never arise.</w:t>
      </w:r>
    </w:p>
    <w:p w14:paraId="764C6456" w14:textId="77777777" w:rsidR="00A516FD" w:rsidRDefault="00A516FD" w:rsidP="005C1782">
      <w:pPr>
        <w:pStyle w:val="Heading2"/>
      </w:pPr>
      <w:r>
        <w:t>Proposed item descriptor</w:t>
      </w:r>
    </w:p>
    <w:p w14:paraId="6BB23D70" w14:textId="4C246CA4" w:rsidR="00A516FD" w:rsidRPr="00611816" w:rsidRDefault="00A516FD" w:rsidP="00A516FD">
      <w:bookmarkStart w:id="15" w:name="_Hlk20133708"/>
      <w:r>
        <w:t>Public funding is not sought through the MBS for Ig treatment of PID with antibody deficiency. Ig treatment for specific PID with antibody deficiency conditions, as listed in ‘</w:t>
      </w:r>
      <w:r w:rsidRPr="000F7A29">
        <w:rPr>
          <w:i/>
        </w:rPr>
        <w:t>the Criteria’</w:t>
      </w:r>
      <w:r>
        <w:rPr>
          <w:i/>
        </w:rPr>
        <w:fldChar w:fldCharType="begin"/>
      </w:r>
      <w:r>
        <w:rPr>
          <w:i/>
        </w:rPr>
        <w:instrText xml:space="preserve"> ADDIN EN.CITE &lt;EndNote&gt;&lt;Cite&gt;&lt;Author&gt;National Blood Authority&lt;/Author&gt;&lt;Year&gt;2018&lt;/Year&gt;&lt;RecNum&gt;1&lt;/RecNum&gt;&lt;DisplayText&gt;&lt;style face="superscript"&gt;1&lt;/style&gt;&lt;/DisplayText&gt;&lt;record&gt;&lt;rec-number&gt;1&lt;/rec-number&gt;&lt;foreign-keys&gt;&lt;key app="EN" db-id="pzpr9fpzq5dfrrefpetx2pfn5fz5e2r0vtdf" timestamp="1569200090"&gt;1&lt;/key&gt;&lt;/foreign-keys&gt;&lt;ref-type name="Web Page"&gt;12&lt;/ref-type&gt;&lt;contributors&gt;&lt;authors&gt;&lt;author&gt;National Blood Authority,&lt;/author&gt;&lt;/authors&gt;&lt;/contributors&gt;&lt;titles&gt;&lt;title&gt;Criteria for clinical use of immunoglobulin in Australia, Version 3.1&lt;/title&gt;&lt;/titles&gt;&lt;volume&gt;2019&lt;/volume&gt;&lt;number&gt;23rd September&lt;/number&gt;&lt;dates&gt;&lt;year&gt;2018&lt;/year&gt;&lt;/dates&gt;&lt;publisher&gt;National Blood Authority&lt;/publisher&gt;&lt;urls&gt;&lt;related-urls&gt;&lt;url&gt;&lt;style face="underline" font="default" size="100%"&gt;https://www.criteria.blood.gov.au/&lt;/style&gt;&lt;/url&gt;&lt;/related-urls&gt;&lt;/urls&gt;&lt;/record&gt;&lt;/Cite&gt;&lt;/EndNote&gt;</w:instrText>
      </w:r>
      <w:r>
        <w:rPr>
          <w:i/>
        </w:rPr>
        <w:fldChar w:fldCharType="separate"/>
      </w:r>
      <w:r w:rsidRPr="00A516FD">
        <w:rPr>
          <w:i/>
          <w:noProof/>
          <w:vertAlign w:val="superscript"/>
        </w:rPr>
        <w:t>1</w:t>
      </w:r>
      <w:r>
        <w:rPr>
          <w:i/>
        </w:rPr>
        <w:fldChar w:fldCharType="end"/>
      </w:r>
      <w:r>
        <w:rPr>
          <w:i/>
        </w:rPr>
        <w:t>,</w:t>
      </w:r>
      <w:r>
        <w:t xml:space="preserve"> is already publicly funded under the National Blood Arrangements</w:t>
      </w:r>
      <w:r>
        <w:rPr>
          <w:i/>
        </w:rPr>
        <w:t xml:space="preserve">. </w:t>
      </w:r>
    </w:p>
    <w:bookmarkEnd w:id="15"/>
    <w:p w14:paraId="2FEBD7D1" w14:textId="77777777" w:rsidR="00A516FD" w:rsidRPr="00A662E7" w:rsidRDefault="00A516FD" w:rsidP="00A516FD">
      <w:pPr>
        <w:spacing w:line="240" w:lineRule="auto"/>
        <w:jc w:val="both"/>
        <w:outlineLvl w:val="0"/>
        <w:rPr>
          <w:b/>
          <w:bCs/>
          <w:i/>
          <w:color w:val="548DD4"/>
          <w:sz w:val="26"/>
        </w:rPr>
      </w:pPr>
      <w:r w:rsidRPr="00A662E7">
        <w:rPr>
          <w:b/>
          <w:bCs/>
          <w:i/>
          <w:color w:val="548DD4"/>
          <w:sz w:val="26"/>
        </w:rPr>
        <w:t>References</w:t>
      </w:r>
    </w:p>
    <w:p w14:paraId="05C33696" w14:textId="77777777" w:rsidR="00A516FD" w:rsidRPr="00A516FD" w:rsidRDefault="00A516FD" w:rsidP="00A516FD">
      <w:pPr>
        <w:pStyle w:val="EndNoteBibliography"/>
        <w:spacing w:after="0"/>
      </w:pPr>
      <w:r>
        <w:rPr>
          <w:color w:val="FF0000"/>
          <w:u w:val="dotted"/>
        </w:rPr>
        <w:fldChar w:fldCharType="begin"/>
      </w:r>
      <w:r>
        <w:rPr>
          <w:color w:val="FF0000"/>
          <w:u w:val="dotted"/>
        </w:rPr>
        <w:instrText xml:space="preserve"> ADDIN EN.REFLIST </w:instrText>
      </w:r>
      <w:r>
        <w:rPr>
          <w:color w:val="FF0000"/>
          <w:u w:val="dotted"/>
        </w:rPr>
        <w:fldChar w:fldCharType="separate"/>
      </w:r>
      <w:r w:rsidRPr="00A516FD">
        <w:t>1.</w:t>
      </w:r>
      <w:r w:rsidRPr="00A516FD">
        <w:tab/>
        <w:t xml:space="preserve">National Blood Authority. Criteria for clinical use of immunoglobulin in Australia, Version 3.1: National Blood Authority; 2018 [Available from: </w:t>
      </w:r>
      <w:hyperlink r:id="rId14" w:history="1">
        <w:r w:rsidRPr="00A516FD">
          <w:rPr>
            <w:rStyle w:val="Hyperlink"/>
          </w:rPr>
          <w:t>https://www.criteria.blood.gov.au/</w:t>
        </w:r>
      </w:hyperlink>
      <w:r w:rsidRPr="00A516FD">
        <w:t>.</w:t>
      </w:r>
    </w:p>
    <w:p w14:paraId="2D11BAD0" w14:textId="77777777" w:rsidR="00A516FD" w:rsidRPr="00A516FD" w:rsidRDefault="00A516FD" w:rsidP="00A516FD">
      <w:pPr>
        <w:pStyle w:val="EndNoteBibliography"/>
        <w:spacing w:after="0"/>
      </w:pPr>
      <w:r w:rsidRPr="00A516FD">
        <w:t>2.</w:t>
      </w:r>
      <w:r w:rsidRPr="00A516FD">
        <w:tab/>
        <w:t xml:space="preserve">Australasian Society of Clinical Immunology and Allergy. Primary immunodeficiencies (PID) Clinical Update: Australasian Society of Clinical Immunology and Allergy; 2017 [Available from: </w:t>
      </w:r>
      <w:hyperlink r:id="rId15" w:history="1">
        <w:r w:rsidRPr="00A516FD">
          <w:rPr>
            <w:rStyle w:val="Hyperlink"/>
          </w:rPr>
          <w:t>https://www.allergy.org.au/hp/papers/pid</w:t>
        </w:r>
      </w:hyperlink>
      <w:r w:rsidRPr="00A516FD">
        <w:t>.</w:t>
      </w:r>
    </w:p>
    <w:p w14:paraId="1C387862" w14:textId="77777777" w:rsidR="00A516FD" w:rsidRPr="00A516FD" w:rsidRDefault="00A516FD" w:rsidP="00A516FD">
      <w:pPr>
        <w:pStyle w:val="EndNoteBibliography"/>
        <w:spacing w:after="0"/>
      </w:pPr>
      <w:r w:rsidRPr="00A516FD">
        <w:t>3.</w:t>
      </w:r>
      <w:r w:rsidRPr="00A516FD">
        <w:tab/>
        <w:t xml:space="preserve">Australasian Society of Clinical Immunology and Allergy. Primary Immunodeficiency (PIDs) Australia: Australasian Society of Clinical Immunology and Allergy; 2019 [Available from: </w:t>
      </w:r>
      <w:hyperlink r:id="rId16" w:history="1">
        <w:r w:rsidRPr="00A516FD">
          <w:rPr>
            <w:rStyle w:val="Hyperlink"/>
          </w:rPr>
          <w:t>https://www.allergy.org.au/patients/immunodeficiencies</w:t>
        </w:r>
      </w:hyperlink>
      <w:r w:rsidRPr="00A516FD">
        <w:t>.</w:t>
      </w:r>
    </w:p>
    <w:p w14:paraId="3D6F11A2" w14:textId="77777777" w:rsidR="00A516FD" w:rsidRPr="00A516FD" w:rsidRDefault="00A516FD" w:rsidP="00A516FD">
      <w:pPr>
        <w:pStyle w:val="EndNoteBibliography"/>
        <w:spacing w:after="0"/>
      </w:pPr>
      <w:r w:rsidRPr="00A516FD">
        <w:t>4.</w:t>
      </w:r>
      <w:r w:rsidRPr="00A516FD">
        <w:tab/>
        <w:t>McCusker C, Upton J, Warrington R. Primary immunodeficiency. Allergy Asthma Clin Immunol. 2018;14(Suppl 2):61-.</w:t>
      </w:r>
    </w:p>
    <w:p w14:paraId="69043902" w14:textId="77777777" w:rsidR="00A516FD" w:rsidRPr="00A516FD" w:rsidRDefault="00A516FD" w:rsidP="00A516FD">
      <w:pPr>
        <w:pStyle w:val="EndNoteBibliography"/>
        <w:spacing w:after="0"/>
      </w:pPr>
      <w:r w:rsidRPr="00A516FD">
        <w:t>5.</w:t>
      </w:r>
      <w:r w:rsidRPr="00A516FD">
        <w:tab/>
        <w:t xml:space="preserve">Australasian Society of Clinical Immunology and Allergy. Common Variable Immunodeficiency (CVID) Australi: Australasian Society of Clinical Immunology and Allergy; 2019 [Available from: </w:t>
      </w:r>
      <w:hyperlink r:id="rId17" w:history="1">
        <w:r w:rsidRPr="00A516FD">
          <w:rPr>
            <w:rStyle w:val="Hyperlink"/>
          </w:rPr>
          <w:t>https://www.allergy.org.au/images/pcc/ASCIA_PCC_PID_CVID_2019.pdf</w:t>
        </w:r>
      </w:hyperlink>
      <w:r w:rsidRPr="00A516FD">
        <w:t>.</w:t>
      </w:r>
    </w:p>
    <w:p w14:paraId="620BF4AA" w14:textId="77777777" w:rsidR="00A516FD" w:rsidRPr="00A516FD" w:rsidRDefault="00A516FD" w:rsidP="00A516FD">
      <w:pPr>
        <w:pStyle w:val="EndNoteBibliography"/>
        <w:spacing w:after="0"/>
      </w:pPr>
      <w:r w:rsidRPr="00A516FD">
        <w:t>6.</w:t>
      </w:r>
      <w:r w:rsidRPr="00A516FD">
        <w:tab/>
        <w:t>Gerber WA. Focus on Chronic Variable Immunodeficiency for Primary Care Practitioners, the Gatekeepers to Optimal Health Outcomes for Primary Immunodeficiency Syndromes. Current Pediatrics Reports. 2019.</w:t>
      </w:r>
    </w:p>
    <w:p w14:paraId="7FB61005" w14:textId="77777777" w:rsidR="00A516FD" w:rsidRPr="00A516FD" w:rsidRDefault="00A516FD" w:rsidP="00A516FD">
      <w:pPr>
        <w:pStyle w:val="EndNoteBibliography"/>
        <w:spacing w:after="0"/>
      </w:pPr>
      <w:r w:rsidRPr="00A516FD">
        <w:t>7.</w:t>
      </w:r>
      <w:r w:rsidRPr="00A516FD">
        <w:tab/>
        <w:t xml:space="preserve">Immune Deficiency Foundation. Transient Hypogammaglobulinemia of Infancy: Immune Deficiency Foundation; 2019 [Available from: </w:t>
      </w:r>
      <w:hyperlink r:id="rId18" w:history="1">
        <w:r w:rsidRPr="00A516FD">
          <w:rPr>
            <w:rStyle w:val="Hyperlink"/>
          </w:rPr>
          <w:t>https://primaryimmune.org/about-primary-immunodeficiencies/specific-disease-types/transient-hypogammaglobulinemia-of-infancy</w:t>
        </w:r>
      </w:hyperlink>
      <w:r w:rsidRPr="00A516FD">
        <w:t>.</w:t>
      </w:r>
    </w:p>
    <w:p w14:paraId="06919019" w14:textId="77777777" w:rsidR="00A516FD" w:rsidRPr="00A516FD" w:rsidRDefault="00A516FD" w:rsidP="00A516FD">
      <w:pPr>
        <w:pStyle w:val="EndNoteBibliography"/>
        <w:spacing w:after="0"/>
      </w:pPr>
      <w:r w:rsidRPr="00A516FD">
        <w:t>8.</w:t>
      </w:r>
      <w:r w:rsidRPr="00A516FD">
        <w:tab/>
        <w:t>Perez EE, Orange JS, Bonilla F, Chinen J, Chinn IK, Dorsey M, et al. Update on the use of immunoglobulin in human disease: A review of evidence. The Journal of allergy and clinical immunology. 2017;139(3s):S1-s46.</w:t>
      </w:r>
    </w:p>
    <w:p w14:paraId="1951C15D" w14:textId="77777777" w:rsidR="00A516FD" w:rsidRPr="00A516FD" w:rsidRDefault="00A516FD" w:rsidP="00A516FD">
      <w:pPr>
        <w:pStyle w:val="EndNoteBibliography"/>
        <w:spacing w:after="0"/>
      </w:pPr>
      <w:r w:rsidRPr="00A516FD">
        <w:t>9.</w:t>
      </w:r>
      <w:r w:rsidRPr="00A516FD">
        <w:tab/>
        <w:t>Picard C, Al-Herz W, Bousfiha A, Casanova JL, Chatila T, Conley ME, et al. Primary Immunodeficiency Diseases: an Update on the Classification from the International Union of Immunological Societies Expert Committee for Primary Immunodeficiency 2015. Journal of clinical immunology. 2015;35(8):696-726.</w:t>
      </w:r>
    </w:p>
    <w:p w14:paraId="7073BBB0" w14:textId="77777777" w:rsidR="00A516FD" w:rsidRPr="00A516FD" w:rsidRDefault="00A516FD" w:rsidP="00A516FD">
      <w:pPr>
        <w:pStyle w:val="EndNoteBibliography"/>
        <w:spacing w:after="0"/>
      </w:pPr>
      <w:r w:rsidRPr="00A516FD">
        <w:t>10.</w:t>
      </w:r>
      <w:r w:rsidRPr="00A516FD">
        <w:tab/>
        <w:t xml:space="preserve">C.S. Mott Children's Hospital. Lymphoproliferative Diseases USA: C.S. Mott Children's Hospital; ? [Available from: </w:t>
      </w:r>
      <w:hyperlink r:id="rId19" w:history="1">
        <w:r w:rsidRPr="00A516FD">
          <w:rPr>
            <w:rStyle w:val="Hyperlink"/>
          </w:rPr>
          <w:t>https://www.mottchildren.org/peds-lymphoproliferative-diseases</w:t>
        </w:r>
      </w:hyperlink>
      <w:r w:rsidRPr="00A516FD">
        <w:t>.</w:t>
      </w:r>
    </w:p>
    <w:p w14:paraId="22F443E7" w14:textId="77777777" w:rsidR="00A516FD" w:rsidRPr="00A516FD" w:rsidRDefault="00A516FD" w:rsidP="00A516FD">
      <w:pPr>
        <w:pStyle w:val="EndNoteBibliography"/>
        <w:spacing w:after="0"/>
      </w:pPr>
      <w:r w:rsidRPr="00A516FD">
        <w:t>11.</w:t>
      </w:r>
      <w:r w:rsidRPr="00A516FD">
        <w:tab/>
        <w:t xml:space="preserve">SA Health. Outpatient GP Referral Guidelines Allergy Clinical Immunology Service Primary Immunodeficiency SALHN South Australia: SA Health; 2018 [Available from: </w:t>
      </w:r>
      <w:hyperlink r:id="rId20" w:anchor="/query=primary+immunodeficiency+disorders&amp;s=0" w:history="1">
        <w:r w:rsidRPr="00A516FD">
          <w:rPr>
            <w:rStyle w:val="Hyperlink"/>
          </w:rPr>
          <w:t>https://www.sahealth.sa.gov.au/wps/wcm/connect/Public+Content/SA+Health+Internet/Search/Search+results/#/query=primary+immunodeficiency+disorders&amp;s=0</w:t>
        </w:r>
      </w:hyperlink>
      <w:r w:rsidRPr="00A516FD">
        <w:t>.</w:t>
      </w:r>
    </w:p>
    <w:p w14:paraId="0FDDBD3A" w14:textId="77777777" w:rsidR="00A516FD" w:rsidRPr="00A516FD" w:rsidRDefault="00A516FD" w:rsidP="00A516FD">
      <w:pPr>
        <w:pStyle w:val="EndNoteBibliography"/>
        <w:spacing w:after="0"/>
      </w:pPr>
      <w:r w:rsidRPr="00A516FD">
        <w:t>12.</w:t>
      </w:r>
      <w:r w:rsidRPr="00A516FD">
        <w:tab/>
        <w:t xml:space="preserve">SA Health. OPD GP Referral Guidelines Allergy Immunology Service Primary Immunodeficiency CALHN South Australia: SA Health; 2018 [Available from: </w:t>
      </w:r>
      <w:hyperlink r:id="rId21" w:anchor="/query=primary+immunodeficiency+disorders&amp;s=0" w:history="1">
        <w:r w:rsidRPr="00A516FD">
          <w:rPr>
            <w:rStyle w:val="Hyperlink"/>
          </w:rPr>
          <w:t>https://www.sahealth.sa.gov.au/wps/wcm/connect/Public+Content/SA+Health+Internet/Search/Search+results/#/query=primary+immunodeficiency+disorders&amp;s=0</w:t>
        </w:r>
      </w:hyperlink>
      <w:r w:rsidRPr="00A516FD">
        <w:t>.</w:t>
      </w:r>
    </w:p>
    <w:p w14:paraId="48B11869" w14:textId="77777777" w:rsidR="00A516FD" w:rsidRPr="00A516FD" w:rsidRDefault="00A516FD" w:rsidP="00A516FD">
      <w:pPr>
        <w:pStyle w:val="EndNoteBibliography"/>
        <w:spacing w:after="0"/>
      </w:pPr>
      <w:r w:rsidRPr="00A516FD">
        <w:t>13.</w:t>
      </w:r>
      <w:r w:rsidRPr="00A516FD">
        <w:tab/>
        <w:t xml:space="preserve">European Society for Immunodeficiencies. ESID Registry - Working definintions for clinical diagnosis of PID: European Society for Immunodeficiencies; 2019 [Available from: </w:t>
      </w:r>
      <w:hyperlink r:id="rId22" w:history="1">
        <w:r w:rsidRPr="00A516FD">
          <w:rPr>
            <w:rStyle w:val="Hyperlink"/>
          </w:rPr>
          <w:t>https://esid.org/Working-Parties/Registry-Working-Party/Diagnosis-criteria</w:t>
        </w:r>
      </w:hyperlink>
      <w:r w:rsidRPr="00A516FD">
        <w:t>.</w:t>
      </w:r>
    </w:p>
    <w:p w14:paraId="4D0252C7" w14:textId="77777777" w:rsidR="00A516FD" w:rsidRPr="00A516FD" w:rsidRDefault="00A516FD" w:rsidP="00A516FD">
      <w:pPr>
        <w:pStyle w:val="EndNoteBibliography"/>
        <w:spacing w:after="0"/>
      </w:pPr>
      <w:r w:rsidRPr="00A516FD">
        <w:t>14.</w:t>
      </w:r>
      <w:r w:rsidRPr="00A516FD">
        <w:tab/>
        <w:t>National Blood Authority Australia. National report on the issue and use of immunoglobulin (Ig). Annual Report 2015-16. Australia; ?</w:t>
      </w:r>
    </w:p>
    <w:p w14:paraId="6D2E85F0" w14:textId="77777777" w:rsidR="00A516FD" w:rsidRPr="00A516FD" w:rsidRDefault="00A516FD" w:rsidP="00A516FD">
      <w:pPr>
        <w:pStyle w:val="EndNoteBibliography"/>
        <w:spacing w:after="0"/>
      </w:pPr>
      <w:r w:rsidRPr="00A516FD">
        <w:t>15.</w:t>
      </w:r>
      <w:r w:rsidRPr="00A516FD">
        <w:tab/>
        <w:t xml:space="preserve">Australasian Society of Clinical Immunology and Allergy. Immunoglobulin Replacement Therapy in Primary Immunodeficiencies Australia: Australasian Society of Clinical Immunology and Allergy; 2019 [Available from: </w:t>
      </w:r>
      <w:hyperlink r:id="rId23" w:history="1">
        <w:r w:rsidRPr="00A516FD">
          <w:rPr>
            <w:rStyle w:val="Hyperlink"/>
          </w:rPr>
          <w:t>https://www.allergy.org.au/patients/immunodeficiencies/immunoglobulin-replacement-therapy</w:t>
        </w:r>
      </w:hyperlink>
      <w:r w:rsidRPr="00A516FD">
        <w:t>.</w:t>
      </w:r>
    </w:p>
    <w:p w14:paraId="2CD54CBD" w14:textId="77777777" w:rsidR="00A516FD" w:rsidRPr="00A516FD" w:rsidRDefault="00A516FD" w:rsidP="00A516FD">
      <w:pPr>
        <w:pStyle w:val="EndNoteBibliography"/>
        <w:spacing w:after="0"/>
      </w:pPr>
      <w:r w:rsidRPr="00A516FD">
        <w:t>16.</w:t>
      </w:r>
      <w:r w:rsidRPr="00A516FD">
        <w:tab/>
        <w:t xml:space="preserve">Department of Health and Human Services SGoV. Intravenous Immunoglobulin - Changes to supply and governance (November 2018) Australia: Department of Health and Human Services, State Government of Victoria; 2018 [Available from: </w:t>
      </w:r>
      <w:hyperlink r:id="rId24" w:history="1">
        <w:r w:rsidRPr="00A516FD">
          <w:rPr>
            <w:rStyle w:val="Hyperlink"/>
          </w:rPr>
          <w:t>https://www2.health.vic.gov.au/hospitals-and-health-services/patient-care/speciality-diagnostics-therapeutics/blood-matters/ivig-changes-to-supply</w:t>
        </w:r>
      </w:hyperlink>
      <w:r w:rsidRPr="00A516FD">
        <w:t>.</w:t>
      </w:r>
    </w:p>
    <w:p w14:paraId="0DEDAE94" w14:textId="77777777" w:rsidR="00A516FD" w:rsidRPr="00A516FD" w:rsidRDefault="00A516FD" w:rsidP="00A516FD">
      <w:pPr>
        <w:pStyle w:val="EndNoteBibliography"/>
        <w:spacing w:after="0"/>
      </w:pPr>
      <w:r w:rsidRPr="00A516FD">
        <w:t>17.</w:t>
      </w:r>
      <w:r w:rsidRPr="00A516FD">
        <w:tab/>
        <w:t xml:space="preserve">Department of Health and Human Services SGoV. Intravenous immunoglobulin (IVIg) Clinical Practice Guideline template Australia: Department of Health and Human Services, State Government of Victoria; 2018 [Available from: </w:t>
      </w:r>
      <w:hyperlink r:id="rId25" w:history="1">
        <w:r w:rsidRPr="00A516FD">
          <w:rPr>
            <w:rStyle w:val="Hyperlink"/>
          </w:rPr>
          <w:t>https://www2.health.vic.gov.au/hospitals-and-health-services/patient-care/speciality-diagnostics-therapeutics/blood-matters/ivig-changes-to-supply</w:t>
        </w:r>
      </w:hyperlink>
      <w:r w:rsidRPr="00A516FD">
        <w:t>.</w:t>
      </w:r>
    </w:p>
    <w:p w14:paraId="724F14EA" w14:textId="77777777" w:rsidR="00A516FD" w:rsidRPr="00A516FD" w:rsidRDefault="00A516FD" w:rsidP="00A516FD">
      <w:pPr>
        <w:pStyle w:val="EndNoteBibliography"/>
        <w:spacing w:after="0"/>
      </w:pPr>
      <w:r w:rsidRPr="00A516FD">
        <w:t>18.</w:t>
      </w:r>
      <w:r w:rsidRPr="00A516FD">
        <w:tab/>
        <w:t>Australasian Society of Clinical Immunology and Allergy. Guidelines - Standardised infusion rates for intravenous immunoglobulin replacement therapy Australia: Australasian Society of Clinical Immunology and Allergy; 2017 [Available from: Australasian Society of Clinical Immunology and Allerg.</w:t>
      </w:r>
    </w:p>
    <w:p w14:paraId="5EE25B34" w14:textId="77777777" w:rsidR="00A516FD" w:rsidRPr="00A516FD" w:rsidRDefault="00A516FD" w:rsidP="00A516FD">
      <w:pPr>
        <w:pStyle w:val="EndNoteBibliography"/>
        <w:spacing w:after="0"/>
      </w:pPr>
      <w:r w:rsidRPr="00A516FD">
        <w:t>19.</w:t>
      </w:r>
      <w:r w:rsidRPr="00A516FD">
        <w:tab/>
        <w:t xml:space="preserve">Department of Health and Human Services SGoV. Subcutaneous Immunoglobulin (SCIg) Clinical Practice Guidance Principles Australia: Department of Health and Human Services, State Government of Victoria; 2019 [Available from: </w:t>
      </w:r>
      <w:hyperlink r:id="rId26" w:history="1">
        <w:r w:rsidRPr="00A516FD">
          <w:rPr>
            <w:rStyle w:val="Hyperlink"/>
          </w:rPr>
          <w:t>https://www2.health.vic.gov.au/-/media/health/files/collections/forms-and-templates/s/scig-clinical-practice-guidance-principles.pdf?la=en&amp;hash=85378A7F2557DCDA79F9F83F0F4BC8033D0A2E8F</w:t>
        </w:r>
      </w:hyperlink>
      <w:r w:rsidRPr="00A516FD">
        <w:t>.</w:t>
      </w:r>
    </w:p>
    <w:p w14:paraId="2CD1C005" w14:textId="77777777" w:rsidR="00A516FD" w:rsidRPr="00A516FD" w:rsidRDefault="00A516FD" w:rsidP="00A516FD">
      <w:pPr>
        <w:pStyle w:val="EndNoteBibliography"/>
        <w:spacing w:after="0"/>
      </w:pPr>
      <w:r w:rsidRPr="00A516FD">
        <w:t>20.</w:t>
      </w:r>
      <w:r w:rsidRPr="00A516FD">
        <w:tab/>
        <w:t xml:space="preserve">Australasian Society of Clinical Immunology and Allergy. Diagnosis and Management of Severe Combined Immunodeficiency (SCID) in Australia and New Zealand: A TAPID Consensus Guideline: Australasian Society of Clinical Immunology and Allergy; 2019 [Available from: </w:t>
      </w:r>
      <w:hyperlink r:id="rId27" w:history="1">
        <w:r w:rsidRPr="00A516FD">
          <w:rPr>
            <w:rStyle w:val="Hyperlink"/>
          </w:rPr>
          <w:t>https://www.allergy.org.au/hp/papers/ascia-guidelines-scid-tapid</w:t>
        </w:r>
      </w:hyperlink>
      <w:r w:rsidRPr="00A516FD">
        <w:t>.</w:t>
      </w:r>
    </w:p>
    <w:p w14:paraId="05C04966" w14:textId="77777777" w:rsidR="00A516FD" w:rsidRPr="00A516FD" w:rsidRDefault="00A516FD" w:rsidP="00A516FD">
      <w:pPr>
        <w:pStyle w:val="EndNoteBibliography"/>
      </w:pPr>
      <w:r w:rsidRPr="00A516FD">
        <w:t>21.</w:t>
      </w:r>
      <w:r w:rsidRPr="00A516FD">
        <w:tab/>
        <w:t>Bonilla FA, Khan DA, Ballas ZK, Chinen J, Frank MM, Hsu JT, et al. Practice parameter for the diagnosis and management of primary immunodeficiency. The Journal of allergy and clinical immunology. 2015;136(5):1186-205.e1-78.</w:t>
      </w:r>
    </w:p>
    <w:p w14:paraId="3CCC8FC4" w14:textId="77777777" w:rsidR="00A516FD" w:rsidRPr="001F2A5C" w:rsidRDefault="00A516FD" w:rsidP="00A516FD">
      <w:pPr>
        <w:rPr>
          <w:color w:val="FF0000"/>
          <w:u w:val="dotted"/>
        </w:rPr>
      </w:pPr>
      <w:r>
        <w:rPr>
          <w:color w:val="FF0000"/>
          <w:u w:val="dotted"/>
        </w:rPr>
        <w:fldChar w:fldCharType="end"/>
      </w:r>
    </w:p>
    <w:p w14:paraId="0EB43782" w14:textId="77777777" w:rsidR="009D1756" w:rsidRDefault="009D1756"/>
    <w:sectPr w:rsidR="009D1756" w:rsidSect="005D10B0">
      <w:headerReference w:type="even" r:id="rId28"/>
      <w:footerReference w:type="default" r:id="rId29"/>
      <w:pgSz w:w="11906" w:h="16838"/>
      <w:pgMar w:top="851"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F36EAE" w16cid:durableId="2192089B"/>
  <w16cid:commentId w16cid:paraId="041E3A51" w16cid:durableId="2191FE32"/>
  <w16cid:commentId w16cid:paraId="204C8831" w16cid:durableId="21920684"/>
  <w16cid:commentId w16cid:paraId="478CE836" w16cid:durableId="217CF352"/>
  <w16cid:commentId w16cid:paraId="1266BD82" w16cid:durableId="217D2660"/>
  <w16cid:commentId w16cid:paraId="4CF7471D" w16cid:durableId="217CF354"/>
  <w16cid:commentId w16cid:paraId="756A984F" w16cid:durableId="219205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9F173" w14:textId="77777777" w:rsidR="00024C33" w:rsidRDefault="00024C33">
      <w:pPr>
        <w:spacing w:after="0" w:line="240" w:lineRule="auto"/>
      </w:pPr>
      <w:r>
        <w:separator/>
      </w:r>
    </w:p>
  </w:endnote>
  <w:endnote w:type="continuationSeparator" w:id="0">
    <w:p w14:paraId="47142431" w14:textId="77777777" w:rsidR="00024C33" w:rsidRDefault="00024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6F8030CB" w14:textId="656CEE07" w:rsidR="00024C33" w:rsidRDefault="00024C33" w:rsidP="00C30DA5">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6A6204" w:rsidRPr="006A6204">
          <w:rPr>
            <w:b/>
            <w:bCs/>
            <w:noProof/>
            <w:sz w:val="18"/>
            <w:szCs w:val="18"/>
          </w:rPr>
          <w:t>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PICO Confirmation</w:t>
        </w:r>
      </w:p>
      <w:p w14:paraId="23DCC180" w14:textId="2D9F1146" w:rsidR="00024C33" w:rsidRPr="00CF2DFA" w:rsidRDefault="00024C33" w:rsidP="00C30DA5">
        <w:pPr>
          <w:pStyle w:val="Footer"/>
          <w:pBdr>
            <w:top w:val="single" w:sz="4" w:space="1" w:color="D9D9D9" w:themeColor="background1" w:themeShade="D9"/>
          </w:pBdr>
          <w:rPr>
            <w:b/>
            <w:bCs/>
            <w:sz w:val="18"/>
            <w:szCs w:val="18"/>
          </w:rPr>
        </w:pPr>
        <w:r>
          <w:rPr>
            <w:color w:val="808080" w:themeColor="background1" w:themeShade="80"/>
            <w:spacing w:val="60"/>
            <w:sz w:val="18"/>
            <w:szCs w:val="18"/>
          </w:rPr>
          <w:t>Application 1592: PID - Primary Immunodeficiency Diseases with Antibody Deficiency</w:t>
        </w:r>
      </w:p>
    </w:sdtContent>
  </w:sdt>
  <w:p w14:paraId="66F818C0" w14:textId="77777777" w:rsidR="00024C33" w:rsidRDefault="00024C33" w:rsidP="00C30DA5">
    <w:pPr>
      <w:pStyle w:val="Footer"/>
    </w:pPr>
  </w:p>
  <w:p w14:paraId="56DA6201" w14:textId="77777777" w:rsidR="00024C33" w:rsidRDefault="00024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4894A" w14:textId="77777777" w:rsidR="00024C33" w:rsidRDefault="00024C33">
      <w:pPr>
        <w:spacing w:after="0" w:line="240" w:lineRule="auto"/>
      </w:pPr>
      <w:r>
        <w:separator/>
      </w:r>
    </w:p>
  </w:footnote>
  <w:footnote w:type="continuationSeparator" w:id="0">
    <w:p w14:paraId="1673A0E4" w14:textId="77777777" w:rsidR="00024C33" w:rsidRDefault="00024C33">
      <w:pPr>
        <w:spacing w:after="0" w:line="240" w:lineRule="auto"/>
      </w:pPr>
      <w:r>
        <w:continuationSeparator/>
      </w:r>
    </w:p>
  </w:footnote>
  <w:footnote w:id="1">
    <w:p w14:paraId="000B8077" w14:textId="0FAF83F7" w:rsidR="00024C33" w:rsidRDefault="00024C33">
      <w:pPr>
        <w:pStyle w:val="FootnoteText"/>
      </w:pPr>
      <w:r>
        <w:rPr>
          <w:rStyle w:val="FootnoteReference"/>
        </w:rPr>
        <w:footnoteRef/>
      </w:r>
      <w:r>
        <w:t xml:space="preserve"> The ESID (2014) diagnostic criteria have subsequently been revised. However, at the time the Referral was developed, the ESID (2014) was the version used as the basis for developing the qualifying criteria in</w:t>
      </w:r>
      <w:r w:rsidRPr="00540EFA">
        <w:rPr>
          <w:i/>
        </w:rPr>
        <w:t xml:space="preserve"> ‘the Criteria’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6A11A" w14:textId="77777777" w:rsidR="00024C33" w:rsidRDefault="00024C33">
    <w:pPr>
      <w:pStyle w:val="Header"/>
    </w:pPr>
    <w:r>
      <w:rPr>
        <w:noProof/>
        <w:lang w:eastAsia="en-AU"/>
      </w:rPr>
      <mc:AlternateContent>
        <mc:Choice Requires="wps">
          <w:drawing>
            <wp:anchor distT="0" distB="0" distL="114300" distR="114300" simplePos="0" relativeHeight="251659264" behindDoc="1" locked="0" layoutInCell="0" allowOverlap="1" wp14:anchorId="2CC375BC" wp14:editId="61888244">
              <wp:simplePos x="0" y="0"/>
              <wp:positionH relativeFrom="margin">
                <wp:align>center</wp:align>
              </wp:positionH>
              <wp:positionV relativeFrom="margin">
                <wp:align>center</wp:align>
              </wp:positionV>
              <wp:extent cx="7458710" cy="621030"/>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FA43CB" w14:textId="77777777" w:rsidR="00024C33" w:rsidRDefault="00024C33" w:rsidP="00C30DA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C375BC"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o:allowincell="f" filled="f" stroked="f">
              <v:stroke joinstyle="round"/>
              <o:lock v:ext="edit" shapetype="t"/>
              <v:textbox style="mso-fit-shape-to-text:t">
                <w:txbxContent>
                  <w:p w14:paraId="4CFA43CB" w14:textId="77777777" w:rsidR="000E3C1F" w:rsidRDefault="000E3C1F" w:rsidP="00C30DA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2A8"/>
    <w:multiLevelType w:val="hybridMultilevel"/>
    <w:tmpl w:val="0764D9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F8E5E77"/>
    <w:multiLevelType w:val="hybridMultilevel"/>
    <w:tmpl w:val="7DC2D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E82C58"/>
    <w:multiLevelType w:val="hybridMultilevel"/>
    <w:tmpl w:val="D8445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0666E"/>
    <w:multiLevelType w:val="hybridMultilevel"/>
    <w:tmpl w:val="A5FAF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9442C"/>
    <w:multiLevelType w:val="hybridMultilevel"/>
    <w:tmpl w:val="0AEC6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23F6F"/>
    <w:multiLevelType w:val="hybridMultilevel"/>
    <w:tmpl w:val="9676C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1020F"/>
    <w:multiLevelType w:val="hybridMultilevel"/>
    <w:tmpl w:val="39746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1427D5"/>
    <w:multiLevelType w:val="hybridMultilevel"/>
    <w:tmpl w:val="9494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D1F27"/>
    <w:multiLevelType w:val="hybridMultilevel"/>
    <w:tmpl w:val="B89CA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0D2BE5"/>
    <w:multiLevelType w:val="hybridMultilevel"/>
    <w:tmpl w:val="7D0E2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9C4994"/>
    <w:multiLevelType w:val="hybridMultilevel"/>
    <w:tmpl w:val="EC2E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3F747F"/>
    <w:multiLevelType w:val="hybridMultilevel"/>
    <w:tmpl w:val="1BEC8B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7B63D6"/>
    <w:multiLevelType w:val="hybridMultilevel"/>
    <w:tmpl w:val="8FB0D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C3950"/>
    <w:multiLevelType w:val="hybridMultilevel"/>
    <w:tmpl w:val="F5F8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55433C"/>
    <w:multiLevelType w:val="hybridMultilevel"/>
    <w:tmpl w:val="40BCF3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EF50B9C"/>
    <w:multiLevelType w:val="hybridMultilevel"/>
    <w:tmpl w:val="1AEE6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11332F"/>
    <w:multiLevelType w:val="hybridMultilevel"/>
    <w:tmpl w:val="B08A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68286B"/>
    <w:multiLevelType w:val="hybridMultilevel"/>
    <w:tmpl w:val="7F88FB1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2" w15:restartNumberingAfterBreak="0">
    <w:nsid w:val="48A812CB"/>
    <w:multiLevelType w:val="hybridMultilevel"/>
    <w:tmpl w:val="696EF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4A237C"/>
    <w:multiLevelType w:val="hybridMultilevel"/>
    <w:tmpl w:val="0E646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7C2880"/>
    <w:multiLevelType w:val="hybridMultilevel"/>
    <w:tmpl w:val="E9D08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075952"/>
    <w:multiLevelType w:val="hybridMultilevel"/>
    <w:tmpl w:val="AF64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1F605B"/>
    <w:multiLevelType w:val="hybridMultilevel"/>
    <w:tmpl w:val="A36CF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A55D28"/>
    <w:multiLevelType w:val="hybridMultilevel"/>
    <w:tmpl w:val="3754F6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34A64FD"/>
    <w:multiLevelType w:val="hybridMultilevel"/>
    <w:tmpl w:val="170A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9F1440"/>
    <w:multiLevelType w:val="hybridMultilevel"/>
    <w:tmpl w:val="09FC8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5B6341"/>
    <w:multiLevelType w:val="hybridMultilevel"/>
    <w:tmpl w:val="EF366D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F86900"/>
    <w:multiLevelType w:val="hybridMultilevel"/>
    <w:tmpl w:val="D5FA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9C0358"/>
    <w:multiLevelType w:val="hybridMultilevel"/>
    <w:tmpl w:val="10889B9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7" w15:restartNumberingAfterBreak="0">
    <w:nsid w:val="6F9F6F4A"/>
    <w:multiLevelType w:val="hybridMultilevel"/>
    <w:tmpl w:val="83B2E3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9" w15:restartNumberingAfterBreak="0">
    <w:nsid w:val="793F4B30"/>
    <w:multiLevelType w:val="hybridMultilevel"/>
    <w:tmpl w:val="673C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914ED6"/>
    <w:multiLevelType w:val="hybridMultilevel"/>
    <w:tmpl w:val="67606D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C730AB4"/>
    <w:multiLevelType w:val="hybridMultilevel"/>
    <w:tmpl w:val="99363B6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5"/>
  </w:num>
  <w:num w:numId="2">
    <w:abstractNumId w:val="1"/>
  </w:num>
  <w:num w:numId="3">
    <w:abstractNumId w:val="10"/>
  </w:num>
  <w:num w:numId="4">
    <w:abstractNumId w:val="35"/>
  </w:num>
  <w:num w:numId="5">
    <w:abstractNumId w:val="38"/>
  </w:num>
  <w:num w:numId="6">
    <w:abstractNumId w:val="23"/>
  </w:num>
  <w:num w:numId="7">
    <w:abstractNumId w:val="3"/>
  </w:num>
  <w:num w:numId="8">
    <w:abstractNumId w:val="2"/>
  </w:num>
  <w:num w:numId="9">
    <w:abstractNumId w:val="24"/>
  </w:num>
  <w:num w:numId="10">
    <w:abstractNumId w:val="4"/>
  </w:num>
  <w:num w:numId="11">
    <w:abstractNumId w:val="19"/>
  </w:num>
  <w:num w:numId="12">
    <w:abstractNumId w:val="22"/>
  </w:num>
  <w:num w:numId="13">
    <w:abstractNumId w:val="29"/>
  </w:num>
  <w:num w:numId="14">
    <w:abstractNumId w:val="34"/>
  </w:num>
  <w:num w:numId="15">
    <w:abstractNumId w:val="12"/>
  </w:num>
  <w:num w:numId="16">
    <w:abstractNumId w:val="5"/>
  </w:num>
  <w:num w:numId="17">
    <w:abstractNumId w:val="8"/>
  </w:num>
  <w:num w:numId="18">
    <w:abstractNumId w:val="27"/>
  </w:num>
  <w:num w:numId="19">
    <w:abstractNumId w:val="20"/>
  </w:num>
  <w:num w:numId="20">
    <w:abstractNumId w:val="6"/>
  </w:num>
  <w:num w:numId="21">
    <w:abstractNumId w:val="21"/>
  </w:num>
  <w:num w:numId="22">
    <w:abstractNumId w:val="36"/>
  </w:num>
  <w:num w:numId="23">
    <w:abstractNumId w:val="28"/>
  </w:num>
  <w:num w:numId="24">
    <w:abstractNumId w:val="16"/>
  </w:num>
  <w:num w:numId="25">
    <w:abstractNumId w:val="17"/>
  </w:num>
  <w:num w:numId="26">
    <w:abstractNumId w:val="14"/>
  </w:num>
  <w:num w:numId="27">
    <w:abstractNumId w:val="7"/>
  </w:num>
  <w:num w:numId="28">
    <w:abstractNumId w:val="26"/>
  </w:num>
  <w:num w:numId="29">
    <w:abstractNumId w:val="30"/>
  </w:num>
  <w:num w:numId="30">
    <w:abstractNumId w:val="33"/>
  </w:num>
  <w:num w:numId="31">
    <w:abstractNumId w:val="40"/>
  </w:num>
  <w:num w:numId="32">
    <w:abstractNumId w:val="37"/>
  </w:num>
  <w:num w:numId="33">
    <w:abstractNumId w:val="18"/>
  </w:num>
  <w:num w:numId="34">
    <w:abstractNumId w:val="0"/>
  </w:num>
  <w:num w:numId="35">
    <w:abstractNumId w:val="15"/>
  </w:num>
  <w:num w:numId="36">
    <w:abstractNumId w:val="11"/>
  </w:num>
  <w:num w:numId="37">
    <w:abstractNumId w:val="13"/>
  </w:num>
  <w:num w:numId="38">
    <w:abstractNumId w:val="41"/>
  </w:num>
  <w:num w:numId="39">
    <w:abstractNumId w:val="39"/>
  </w:num>
  <w:num w:numId="40">
    <w:abstractNumId w:val="9"/>
  </w:num>
  <w:num w:numId="41">
    <w:abstractNumId w:val="32"/>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M0MbcwM7M0NjY3NzBX0lEKTi0uzszPAykwrgUA4ZOCuywAAAA="/>
    <w:docVar w:name="EN.Layout" w:val="&lt;ENLayout&gt;&lt;Style&gt;Vancouver Do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zpr9fpzq5dfrrefpetx2pfn5fz5e2r0vtdf&quot;&gt;MSAC PICO 1592&lt;record-ids&gt;&lt;item&gt;1&lt;/item&gt;&lt;item&gt;2&lt;/item&gt;&lt;item&gt;3&lt;/item&gt;&lt;item&gt;4&lt;/item&gt;&lt;item&gt;5&lt;/item&gt;&lt;item&gt;6&lt;/item&gt;&lt;item&gt;7&lt;/item&gt;&lt;item&gt;8&lt;/item&gt;&lt;item&gt;10&lt;/item&gt;&lt;item&gt;11&lt;/item&gt;&lt;item&gt;12&lt;/item&gt;&lt;item&gt;13&lt;/item&gt;&lt;item&gt;14&lt;/item&gt;&lt;item&gt;15&lt;/item&gt;&lt;item&gt;16&lt;/item&gt;&lt;item&gt;17&lt;/item&gt;&lt;item&gt;18&lt;/item&gt;&lt;item&gt;19&lt;/item&gt;&lt;item&gt;20&lt;/item&gt;&lt;item&gt;21&lt;/item&gt;&lt;item&gt;22&lt;/item&gt;&lt;/record-ids&gt;&lt;/item&gt;&lt;/Libraries&gt;"/>
  </w:docVars>
  <w:rsids>
    <w:rsidRoot w:val="00A516FD"/>
    <w:rsid w:val="00024C33"/>
    <w:rsid w:val="000421A7"/>
    <w:rsid w:val="00057AD3"/>
    <w:rsid w:val="000B0F6B"/>
    <w:rsid w:val="000B4ABD"/>
    <w:rsid w:val="000E3C1F"/>
    <w:rsid w:val="000F29C6"/>
    <w:rsid w:val="000F5714"/>
    <w:rsid w:val="0011773F"/>
    <w:rsid w:val="00125975"/>
    <w:rsid w:val="0014696C"/>
    <w:rsid w:val="00146D52"/>
    <w:rsid w:val="001623C1"/>
    <w:rsid w:val="001628D8"/>
    <w:rsid w:val="001C2DEE"/>
    <w:rsid w:val="001D00C0"/>
    <w:rsid w:val="001E11F2"/>
    <w:rsid w:val="00236468"/>
    <w:rsid w:val="002542BB"/>
    <w:rsid w:val="00280188"/>
    <w:rsid w:val="002967AE"/>
    <w:rsid w:val="002971C7"/>
    <w:rsid w:val="002A7608"/>
    <w:rsid w:val="002B1260"/>
    <w:rsid w:val="002D4893"/>
    <w:rsid w:val="00305F9B"/>
    <w:rsid w:val="0031327F"/>
    <w:rsid w:val="00344669"/>
    <w:rsid w:val="00360B7F"/>
    <w:rsid w:val="00373370"/>
    <w:rsid w:val="00390065"/>
    <w:rsid w:val="003B1A64"/>
    <w:rsid w:val="003C15B7"/>
    <w:rsid w:val="003C7EE0"/>
    <w:rsid w:val="00433664"/>
    <w:rsid w:val="00443760"/>
    <w:rsid w:val="00446AF6"/>
    <w:rsid w:val="0045721F"/>
    <w:rsid w:val="004B432A"/>
    <w:rsid w:val="004D1EE8"/>
    <w:rsid w:val="004F1CFC"/>
    <w:rsid w:val="004F4C26"/>
    <w:rsid w:val="00500CB8"/>
    <w:rsid w:val="0052453A"/>
    <w:rsid w:val="00526B26"/>
    <w:rsid w:val="00540EFA"/>
    <w:rsid w:val="00542F69"/>
    <w:rsid w:val="0057152D"/>
    <w:rsid w:val="0058108F"/>
    <w:rsid w:val="00595224"/>
    <w:rsid w:val="00595A3B"/>
    <w:rsid w:val="005960BD"/>
    <w:rsid w:val="005B6DBE"/>
    <w:rsid w:val="005C1782"/>
    <w:rsid w:val="005D10B0"/>
    <w:rsid w:val="005D5A4D"/>
    <w:rsid w:val="005E4F9B"/>
    <w:rsid w:val="005F0E7D"/>
    <w:rsid w:val="00622854"/>
    <w:rsid w:val="00635D6F"/>
    <w:rsid w:val="006446C5"/>
    <w:rsid w:val="00645EE8"/>
    <w:rsid w:val="00646100"/>
    <w:rsid w:val="00662C7A"/>
    <w:rsid w:val="006A5211"/>
    <w:rsid w:val="006A6204"/>
    <w:rsid w:val="006D6D58"/>
    <w:rsid w:val="006F4723"/>
    <w:rsid w:val="007320B3"/>
    <w:rsid w:val="007738F1"/>
    <w:rsid w:val="00784594"/>
    <w:rsid w:val="00786091"/>
    <w:rsid w:val="007B3067"/>
    <w:rsid w:val="007C3849"/>
    <w:rsid w:val="00841CF6"/>
    <w:rsid w:val="008A7601"/>
    <w:rsid w:val="008B6E79"/>
    <w:rsid w:val="008C7610"/>
    <w:rsid w:val="008D6208"/>
    <w:rsid w:val="009137BC"/>
    <w:rsid w:val="009349D6"/>
    <w:rsid w:val="00977C66"/>
    <w:rsid w:val="00982053"/>
    <w:rsid w:val="0099544E"/>
    <w:rsid w:val="009A6C05"/>
    <w:rsid w:val="009D1756"/>
    <w:rsid w:val="00A02CEE"/>
    <w:rsid w:val="00A14131"/>
    <w:rsid w:val="00A32F4D"/>
    <w:rsid w:val="00A516FD"/>
    <w:rsid w:val="00A60271"/>
    <w:rsid w:val="00AB605A"/>
    <w:rsid w:val="00AE0613"/>
    <w:rsid w:val="00AE164F"/>
    <w:rsid w:val="00AF6AFC"/>
    <w:rsid w:val="00B00FC5"/>
    <w:rsid w:val="00B0364A"/>
    <w:rsid w:val="00B16E1D"/>
    <w:rsid w:val="00B2684E"/>
    <w:rsid w:val="00B34D17"/>
    <w:rsid w:val="00B476E8"/>
    <w:rsid w:val="00B91285"/>
    <w:rsid w:val="00BA5AFA"/>
    <w:rsid w:val="00C21140"/>
    <w:rsid w:val="00C30DA5"/>
    <w:rsid w:val="00C56F95"/>
    <w:rsid w:val="00C626C3"/>
    <w:rsid w:val="00C73616"/>
    <w:rsid w:val="00C77161"/>
    <w:rsid w:val="00C8636B"/>
    <w:rsid w:val="00CA2304"/>
    <w:rsid w:val="00CA62EE"/>
    <w:rsid w:val="00CB1B4D"/>
    <w:rsid w:val="00CC60E7"/>
    <w:rsid w:val="00CF4CCE"/>
    <w:rsid w:val="00D3091D"/>
    <w:rsid w:val="00D52D73"/>
    <w:rsid w:val="00D75D71"/>
    <w:rsid w:val="00DA78B1"/>
    <w:rsid w:val="00DD3EBE"/>
    <w:rsid w:val="00DE2E36"/>
    <w:rsid w:val="00DE5712"/>
    <w:rsid w:val="00E27BC0"/>
    <w:rsid w:val="00E64894"/>
    <w:rsid w:val="00E671E4"/>
    <w:rsid w:val="00E96889"/>
    <w:rsid w:val="00EC199C"/>
    <w:rsid w:val="00F35237"/>
    <w:rsid w:val="00F946E9"/>
    <w:rsid w:val="00F95791"/>
    <w:rsid w:val="00FC7F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D1C7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6FD"/>
    <w:rPr>
      <w:rFonts w:ascii="Calibri" w:eastAsia="Calibri" w:hAnsi="Calibri" w:cs="Times New Roman"/>
    </w:rPr>
  </w:style>
  <w:style w:type="paragraph" w:styleId="Heading1">
    <w:name w:val="heading 1"/>
    <w:basedOn w:val="Normal"/>
    <w:next w:val="Normal"/>
    <w:link w:val="Heading1Char"/>
    <w:uiPriority w:val="9"/>
    <w:qFormat/>
    <w:rsid w:val="00A516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5C1782"/>
    <w:pPr>
      <w:keepNext/>
      <w:keepLines/>
      <w:spacing w:before="120" w:after="120" w:line="240" w:lineRule="auto"/>
      <w:jc w:val="both"/>
      <w:outlineLvl w:val="1"/>
    </w:pPr>
    <w:rPr>
      <w:rFonts w:eastAsia="MS Gothic"/>
      <w:b/>
      <w:bCs/>
      <w:i/>
      <w:color w:val="548DD4"/>
      <w:szCs w:val="26"/>
    </w:rPr>
  </w:style>
  <w:style w:type="paragraph" w:styleId="Heading3">
    <w:name w:val="heading 3"/>
    <w:basedOn w:val="Normal"/>
    <w:next w:val="Normal"/>
    <w:link w:val="Heading3Char"/>
    <w:uiPriority w:val="9"/>
    <w:unhideWhenUsed/>
    <w:qFormat/>
    <w:rsid w:val="005C1782"/>
    <w:pPr>
      <w:keepNext/>
      <w:outlineLvl w:val="2"/>
    </w:pPr>
    <w:rPr>
      <w:b/>
    </w:rPr>
  </w:style>
  <w:style w:type="paragraph" w:styleId="Heading4">
    <w:name w:val="heading 4"/>
    <w:basedOn w:val="Normal"/>
    <w:next w:val="Normal"/>
    <w:link w:val="Heading4Char"/>
    <w:uiPriority w:val="9"/>
    <w:unhideWhenUsed/>
    <w:qFormat/>
    <w:rsid w:val="005C1782"/>
    <w:pPr>
      <w:keepNext/>
      <w:outlineLvl w:val="3"/>
    </w:pPr>
    <w:rPr>
      <w:i/>
      <w:u w:val="single"/>
    </w:rPr>
  </w:style>
  <w:style w:type="paragraph" w:styleId="Heading5">
    <w:name w:val="heading 5"/>
    <w:basedOn w:val="Normal"/>
    <w:next w:val="Normal"/>
    <w:link w:val="Heading5Char"/>
    <w:uiPriority w:val="9"/>
    <w:unhideWhenUsed/>
    <w:qFormat/>
    <w:rsid w:val="005C1782"/>
    <w:pPr>
      <w:keepNext/>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AB605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table" w:styleId="TableGrid">
    <w:name w:val="Table Grid"/>
    <w:basedOn w:val="TableNormal"/>
    <w:uiPriority w:val="59"/>
    <w:rsid w:val="00AB6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516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C1782"/>
    <w:rPr>
      <w:rFonts w:ascii="Calibri" w:eastAsia="MS Gothic" w:hAnsi="Calibri" w:cs="Times New Roman"/>
      <w:b/>
      <w:bCs/>
      <w:i/>
      <w:color w:val="548DD4"/>
      <w:szCs w:val="26"/>
    </w:rPr>
  </w:style>
  <w:style w:type="paragraph" w:styleId="ListParagraph">
    <w:name w:val="List Paragraph"/>
    <w:basedOn w:val="Normal"/>
    <w:uiPriority w:val="34"/>
    <w:qFormat/>
    <w:rsid w:val="00A516F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A516F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A516FD"/>
    <w:rPr>
      <w:rFonts w:cs="Times New Roman"/>
      <w:color w:val="0000FF"/>
      <w:u w:val="single"/>
    </w:rPr>
  </w:style>
  <w:style w:type="paragraph" w:styleId="BalloonText">
    <w:name w:val="Balloon Text"/>
    <w:basedOn w:val="Normal"/>
    <w:link w:val="BalloonTextChar"/>
    <w:uiPriority w:val="99"/>
    <w:semiHidden/>
    <w:unhideWhenUsed/>
    <w:rsid w:val="00A51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6FD"/>
    <w:rPr>
      <w:rFonts w:ascii="Tahoma" w:eastAsia="Calibri" w:hAnsi="Tahoma" w:cs="Tahoma"/>
      <w:sz w:val="16"/>
      <w:szCs w:val="16"/>
    </w:rPr>
  </w:style>
  <w:style w:type="paragraph" w:customStyle="1" w:styleId="Heading10">
    <w:name w:val="Heading1"/>
    <w:rsid w:val="00A516F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A516FD"/>
    <w:rPr>
      <w:sz w:val="16"/>
      <w:szCs w:val="16"/>
    </w:rPr>
  </w:style>
  <w:style w:type="paragraph" w:styleId="CommentText">
    <w:name w:val="annotation text"/>
    <w:basedOn w:val="Normal"/>
    <w:link w:val="CommentTextChar"/>
    <w:uiPriority w:val="99"/>
    <w:unhideWhenUsed/>
    <w:rsid w:val="00A516FD"/>
    <w:pPr>
      <w:spacing w:line="240" w:lineRule="auto"/>
    </w:pPr>
    <w:rPr>
      <w:sz w:val="20"/>
      <w:szCs w:val="20"/>
    </w:rPr>
  </w:style>
  <w:style w:type="character" w:customStyle="1" w:styleId="CommentTextChar">
    <w:name w:val="Comment Text Char"/>
    <w:basedOn w:val="DefaultParagraphFont"/>
    <w:link w:val="CommentText"/>
    <w:uiPriority w:val="99"/>
    <w:rsid w:val="00A516F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516FD"/>
    <w:rPr>
      <w:b/>
      <w:bCs/>
    </w:rPr>
  </w:style>
  <w:style w:type="character" w:customStyle="1" w:styleId="CommentSubjectChar">
    <w:name w:val="Comment Subject Char"/>
    <w:basedOn w:val="CommentTextChar"/>
    <w:link w:val="CommentSubject"/>
    <w:uiPriority w:val="99"/>
    <w:semiHidden/>
    <w:rsid w:val="00A516FD"/>
    <w:rPr>
      <w:rFonts w:ascii="Calibri" w:eastAsia="Calibri" w:hAnsi="Calibri" w:cs="Times New Roman"/>
      <w:b/>
      <w:bCs/>
      <w:sz w:val="20"/>
      <w:szCs w:val="20"/>
    </w:rPr>
  </w:style>
  <w:style w:type="paragraph" w:styleId="Header">
    <w:name w:val="header"/>
    <w:basedOn w:val="Normal"/>
    <w:link w:val="HeaderChar"/>
    <w:uiPriority w:val="99"/>
    <w:unhideWhenUsed/>
    <w:rsid w:val="00A51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6FD"/>
    <w:rPr>
      <w:rFonts w:ascii="Calibri" w:eastAsia="Calibri" w:hAnsi="Calibri" w:cs="Times New Roman"/>
    </w:rPr>
  </w:style>
  <w:style w:type="paragraph" w:styleId="Footer">
    <w:name w:val="footer"/>
    <w:basedOn w:val="Normal"/>
    <w:link w:val="FooterChar"/>
    <w:uiPriority w:val="99"/>
    <w:unhideWhenUsed/>
    <w:rsid w:val="00A51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6FD"/>
    <w:rPr>
      <w:rFonts w:ascii="Calibri" w:eastAsia="Calibri" w:hAnsi="Calibri" w:cs="Times New Roman"/>
    </w:rPr>
  </w:style>
  <w:style w:type="paragraph" w:styleId="Subtitle">
    <w:name w:val="Subtitle"/>
    <w:basedOn w:val="Normal"/>
    <w:next w:val="Normal"/>
    <w:link w:val="SubtitleChar"/>
    <w:uiPriority w:val="11"/>
    <w:qFormat/>
    <w:rsid w:val="00A516FD"/>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A516FD"/>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A516FD"/>
    <w:rPr>
      <w:color w:val="800080" w:themeColor="followedHyperlink"/>
      <w:u w:val="single"/>
    </w:rPr>
  </w:style>
  <w:style w:type="table" w:customStyle="1" w:styleId="TableGrid1">
    <w:name w:val="Table Grid1"/>
    <w:basedOn w:val="TableNormal"/>
    <w:next w:val="TableGrid"/>
    <w:uiPriority w:val="59"/>
    <w:rsid w:val="00A516FD"/>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A516FD"/>
    <w:pPr>
      <w:spacing w:after="240" w:line="240" w:lineRule="auto"/>
      <w:ind w:left="720"/>
      <w:jc w:val="right"/>
    </w:pPr>
    <w:rPr>
      <w:rFonts w:ascii="Arial" w:eastAsia="Times New Roman" w:hAnsi="Arial"/>
      <w:b/>
      <w:color w:val="000000"/>
      <w:sz w:val="40"/>
      <w:szCs w:val="20"/>
      <w:lang w:eastAsia="en-AU"/>
    </w:rPr>
  </w:style>
  <w:style w:type="paragraph" w:customStyle="1" w:styleId="EndNoteBibliographyTitle">
    <w:name w:val="EndNote Bibliography Title"/>
    <w:basedOn w:val="Normal"/>
    <w:link w:val="EndNoteBibliographyTitleChar"/>
    <w:rsid w:val="00A516FD"/>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A516FD"/>
    <w:rPr>
      <w:rFonts w:ascii="Calibri" w:eastAsia="Calibri" w:hAnsi="Calibri" w:cs="Times New Roman"/>
      <w:noProof/>
      <w:lang w:val="en-US"/>
    </w:rPr>
  </w:style>
  <w:style w:type="paragraph" w:customStyle="1" w:styleId="EndNoteBibliography">
    <w:name w:val="EndNote Bibliography"/>
    <w:basedOn w:val="Normal"/>
    <w:link w:val="EndNoteBibliographyChar"/>
    <w:rsid w:val="00A516FD"/>
    <w:pPr>
      <w:spacing w:line="240" w:lineRule="auto"/>
    </w:pPr>
    <w:rPr>
      <w:noProof/>
      <w:lang w:val="en-US"/>
    </w:rPr>
  </w:style>
  <w:style w:type="character" w:customStyle="1" w:styleId="EndNoteBibliographyChar">
    <w:name w:val="EndNote Bibliography Char"/>
    <w:basedOn w:val="DefaultParagraphFont"/>
    <w:link w:val="EndNoteBibliography"/>
    <w:rsid w:val="00A516FD"/>
    <w:rPr>
      <w:rFonts w:ascii="Calibri" w:eastAsia="Calibri" w:hAnsi="Calibri" w:cs="Times New Roman"/>
      <w:noProof/>
      <w:lang w:val="en-US"/>
    </w:rPr>
  </w:style>
  <w:style w:type="character" w:customStyle="1" w:styleId="UnresolvedMention1">
    <w:name w:val="Unresolved Mention1"/>
    <w:basedOn w:val="DefaultParagraphFont"/>
    <w:uiPriority w:val="99"/>
    <w:semiHidden/>
    <w:unhideWhenUsed/>
    <w:rsid w:val="00A516FD"/>
    <w:rPr>
      <w:color w:val="605E5C"/>
      <w:shd w:val="clear" w:color="auto" w:fill="E1DFDD"/>
    </w:rPr>
  </w:style>
  <w:style w:type="paragraph" w:customStyle="1" w:styleId="Tablecontents">
    <w:name w:val="Table contents"/>
    <w:basedOn w:val="Normal"/>
    <w:link w:val="TablecontentsChar"/>
    <w:qFormat/>
    <w:rsid w:val="00A516FD"/>
    <w:pPr>
      <w:spacing w:before="60" w:after="60" w:line="240" w:lineRule="auto"/>
      <w:contextualSpacing/>
    </w:pPr>
    <w:rPr>
      <w:rFonts w:ascii="Arial Narrow" w:hAnsi="Arial Narrow"/>
      <w:sz w:val="20"/>
      <w:szCs w:val="20"/>
    </w:rPr>
  </w:style>
  <w:style w:type="character" w:customStyle="1" w:styleId="TablecontentsChar">
    <w:name w:val="Table contents Char"/>
    <w:basedOn w:val="DefaultParagraphFont"/>
    <w:link w:val="Tablecontents"/>
    <w:rsid w:val="00A516FD"/>
    <w:rPr>
      <w:rFonts w:ascii="Arial Narrow" w:eastAsia="Calibri" w:hAnsi="Arial Narrow" w:cs="Times New Roman"/>
      <w:sz w:val="20"/>
      <w:szCs w:val="20"/>
    </w:rPr>
  </w:style>
  <w:style w:type="paragraph" w:styleId="Revision">
    <w:name w:val="Revision"/>
    <w:hidden/>
    <w:uiPriority w:val="99"/>
    <w:semiHidden/>
    <w:rsid w:val="00A516FD"/>
    <w:pPr>
      <w:spacing w:after="0" w:line="240" w:lineRule="auto"/>
    </w:pPr>
    <w:rPr>
      <w:rFonts w:ascii="Calibri" w:eastAsia="Calibri" w:hAnsi="Calibri" w:cs="Times New Roman"/>
    </w:rPr>
  </w:style>
  <w:style w:type="table" w:customStyle="1" w:styleId="TableGrid3">
    <w:name w:val="Table Grid3"/>
    <w:basedOn w:val="TableNormal"/>
    <w:next w:val="TableGrid"/>
    <w:uiPriority w:val="59"/>
    <w:rsid w:val="00A51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
    <w:name w:val="Table notes"/>
    <w:basedOn w:val="Normal"/>
    <w:link w:val="TablenotesChar"/>
    <w:qFormat/>
    <w:rsid w:val="00A516FD"/>
    <w:pPr>
      <w:spacing w:line="240" w:lineRule="auto"/>
      <w:contextualSpacing/>
    </w:pPr>
    <w:rPr>
      <w:rFonts w:ascii="Arial Narrow" w:hAnsi="Arial Narrow"/>
      <w:sz w:val="18"/>
      <w:szCs w:val="18"/>
    </w:rPr>
  </w:style>
  <w:style w:type="character" w:customStyle="1" w:styleId="TablenotesChar">
    <w:name w:val="Table notes Char"/>
    <w:basedOn w:val="DefaultParagraphFont"/>
    <w:link w:val="Tablenotes"/>
    <w:rsid w:val="00A516FD"/>
    <w:rPr>
      <w:rFonts w:ascii="Arial Narrow" w:eastAsia="Calibri" w:hAnsi="Arial Narrow" w:cs="Times New Roman"/>
      <w:sz w:val="18"/>
      <w:szCs w:val="18"/>
    </w:rPr>
  </w:style>
  <w:style w:type="paragraph" w:styleId="NormalWeb">
    <w:name w:val="Normal (Web)"/>
    <w:basedOn w:val="Normal"/>
    <w:uiPriority w:val="99"/>
    <w:semiHidden/>
    <w:unhideWhenUsed/>
    <w:rsid w:val="00A516FD"/>
    <w:pPr>
      <w:spacing w:before="100" w:beforeAutospacing="1" w:after="100" w:afterAutospacing="1" w:line="240" w:lineRule="auto"/>
    </w:pPr>
    <w:rPr>
      <w:rFonts w:ascii="Times New Roman" w:eastAsiaTheme="minorEastAsia" w:hAnsi="Times New Roman"/>
      <w:sz w:val="24"/>
      <w:szCs w:val="24"/>
      <w:lang w:eastAsia="en-AU"/>
    </w:rPr>
  </w:style>
  <w:style w:type="character" w:customStyle="1" w:styleId="Heading3Char">
    <w:name w:val="Heading 3 Char"/>
    <w:basedOn w:val="DefaultParagraphFont"/>
    <w:link w:val="Heading3"/>
    <w:uiPriority w:val="9"/>
    <w:rsid w:val="005C1782"/>
    <w:rPr>
      <w:rFonts w:ascii="Calibri" w:eastAsia="Calibri" w:hAnsi="Calibri" w:cs="Times New Roman"/>
      <w:b/>
    </w:rPr>
  </w:style>
  <w:style w:type="character" w:customStyle="1" w:styleId="Heading4Char">
    <w:name w:val="Heading 4 Char"/>
    <w:basedOn w:val="DefaultParagraphFont"/>
    <w:link w:val="Heading4"/>
    <w:uiPriority w:val="9"/>
    <w:rsid w:val="005C1782"/>
    <w:rPr>
      <w:rFonts w:ascii="Calibri" w:eastAsia="Calibri" w:hAnsi="Calibri" w:cs="Times New Roman"/>
      <w:i/>
      <w:u w:val="single"/>
    </w:rPr>
  </w:style>
  <w:style w:type="character" w:customStyle="1" w:styleId="Heading5Char">
    <w:name w:val="Heading 5 Char"/>
    <w:basedOn w:val="DefaultParagraphFont"/>
    <w:link w:val="Heading5"/>
    <w:uiPriority w:val="9"/>
    <w:rsid w:val="005C1782"/>
    <w:rPr>
      <w:rFonts w:ascii="Calibri" w:eastAsia="Calibri" w:hAnsi="Calibri" w:cs="Times New Roman"/>
      <w:i/>
    </w:rPr>
  </w:style>
  <w:style w:type="paragraph" w:styleId="FootnoteText">
    <w:name w:val="footnote text"/>
    <w:basedOn w:val="Normal"/>
    <w:link w:val="FootnoteTextChar"/>
    <w:uiPriority w:val="99"/>
    <w:semiHidden/>
    <w:unhideWhenUsed/>
    <w:rsid w:val="00DE57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5712"/>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E5712"/>
    <w:rPr>
      <w:vertAlign w:val="superscript"/>
    </w:rPr>
  </w:style>
  <w:style w:type="character" w:customStyle="1" w:styleId="UnresolvedMention">
    <w:name w:val="Unresolved Mention"/>
    <w:basedOn w:val="DefaultParagraphFont"/>
    <w:uiPriority w:val="99"/>
    <w:semiHidden/>
    <w:unhideWhenUsed/>
    <w:rsid w:val="006D6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hyperlink" Target="https://primaryimmune.org/about-primary-immunodeficiencies/specific-disease-types/transient-hypogammaglobulinemia-of-infancy" TargetMode="External"/><Relationship Id="rId26" Type="http://schemas.openxmlformats.org/officeDocument/2006/relationships/hyperlink" Target="https://www2.health.vic.gov.au/-/media/health/files/collections/forms-and-templates/s/scig-clinical-practice-guidance-principles.pdf?la=en&amp;hash=85378A7F2557DCDA79F9F83F0F4BC8033D0A2E8F" TargetMode="External"/><Relationship Id="rId3" Type="http://schemas.openxmlformats.org/officeDocument/2006/relationships/styles" Target="styles.xml"/><Relationship Id="rId21" Type="http://schemas.openxmlformats.org/officeDocument/2006/relationships/hyperlink" Target="https://www.sahealth.sa.gov.au/wps/wcm/connect/Public+Content/SA+Health+Internet/Search/Search+results/"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www.allergy.org.au/images/pcc/ASCIA_PCC_PID_CVID_2019.pdf" TargetMode="External"/><Relationship Id="rId25" Type="http://schemas.openxmlformats.org/officeDocument/2006/relationships/hyperlink" Target="https://www2.health.vic.gov.au/hospitals-and-health-services/patient-care/speciality-diagnostics-therapeutics/blood-matters/ivig-changes-to-supply" TargetMode="External"/><Relationship Id="rId2" Type="http://schemas.openxmlformats.org/officeDocument/2006/relationships/numbering" Target="numbering.xml"/><Relationship Id="rId16" Type="http://schemas.openxmlformats.org/officeDocument/2006/relationships/hyperlink" Target="https://www.allergy.org.au/patients/immunodeficiencies" TargetMode="External"/><Relationship Id="rId20" Type="http://schemas.openxmlformats.org/officeDocument/2006/relationships/hyperlink" Target="https://www.sahealth.sa.gov.au/wps/wcm/connect/Public+Content/SA+Health+Internet/Search/Search+result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s://www2.health.vic.gov.au/hospitals-and-health-services/patient-care/speciality-diagnostics-therapeutics/blood-matters/ivig-changes-to-supply" TargetMode="Externa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allergy.org.au/hp/papers/pid" TargetMode="External"/><Relationship Id="rId23" Type="http://schemas.openxmlformats.org/officeDocument/2006/relationships/hyperlink" Target="https://www.allergy.org.au/patients/immunodeficiencies/immunoglobulin-replacement-therapy" TargetMode="External"/><Relationship Id="rId28" Type="http://schemas.openxmlformats.org/officeDocument/2006/relationships/header" Target="header1.xml"/><Relationship Id="rId10" Type="http://schemas.openxmlformats.org/officeDocument/2006/relationships/hyperlink" Target="https://www.blood.gov.au/SCIg" TargetMode="External"/><Relationship Id="rId19" Type="http://schemas.openxmlformats.org/officeDocument/2006/relationships/hyperlink" Target="https://www.mottchildren.org/peds-lymphoproliferative-diseas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lood.gov.au/national-product-list" TargetMode="External"/><Relationship Id="rId14" Type="http://schemas.openxmlformats.org/officeDocument/2006/relationships/hyperlink" Target="https://www.criteria.blood.gov.au/" TargetMode="External"/><Relationship Id="rId22" Type="http://schemas.openxmlformats.org/officeDocument/2006/relationships/hyperlink" Target="https://esid.org/Working-Parties/Registry-Working-Party/Diagnosis-criteria" TargetMode="External"/><Relationship Id="rId27" Type="http://schemas.openxmlformats.org/officeDocument/2006/relationships/hyperlink" Target="https://www.allergy.org.au/hp/papers/ascia-guidelines-scid-tapi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CEEA7-5D14-41F0-B02D-CDF67F7A6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18384</Words>
  <Characters>104792</Characters>
  <Application>Microsoft Office Word</Application>
  <DocSecurity>4</DocSecurity>
  <Lines>873</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2020-08-11T00:17:00Z</dcterms:created>
  <dcterms:modified xsi:type="dcterms:W3CDTF">2020-08-11T00:17:00Z</dcterms:modified>
</cp:coreProperties>
</file>