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6E794" w14:textId="77777777" w:rsidR="008B0F21" w:rsidRDefault="00E44B80" w:rsidP="00162108">
      <w:pPr>
        <w:tabs>
          <w:tab w:val="left" w:pos="284"/>
          <w:tab w:val="left" w:pos="7097"/>
        </w:tabs>
        <w:ind w:left="284" w:hanging="284"/>
        <w:jc w:val="center"/>
      </w:pPr>
      <w:bookmarkStart w:id="0" w:name="_GoBack"/>
      <w:bookmarkEnd w:id="0"/>
      <w:r w:rsidRPr="00F637B3">
        <w:rPr>
          <w:b/>
          <w:noProof/>
          <w:szCs w:val="20"/>
          <w:lang w:eastAsia="en-AU"/>
        </w:rPr>
        <w:drawing>
          <wp:inline distT="0" distB="0" distL="0" distR="0" wp14:anchorId="68E17773" wp14:editId="2CB074A9">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8AEDD4A" w14:textId="77777777" w:rsidR="008B0F21" w:rsidRDefault="008B0F21" w:rsidP="00162108">
      <w:pPr>
        <w:tabs>
          <w:tab w:val="left" w:pos="284"/>
        </w:tabs>
        <w:ind w:left="284" w:hanging="284"/>
        <w:jc w:val="center"/>
      </w:pPr>
    </w:p>
    <w:p w14:paraId="276C2AC7" w14:textId="1F8D102C" w:rsidR="008B2610" w:rsidRPr="008B0F21" w:rsidRDefault="00EE0430" w:rsidP="00162108">
      <w:pPr>
        <w:tabs>
          <w:tab w:val="left" w:pos="284"/>
        </w:tabs>
        <w:ind w:left="284" w:hanging="284"/>
        <w:jc w:val="center"/>
        <w:rPr>
          <w:b/>
          <w:sz w:val="52"/>
          <w:szCs w:val="52"/>
        </w:rPr>
      </w:pPr>
      <w:r>
        <w:rPr>
          <w:b/>
          <w:sz w:val="52"/>
          <w:szCs w:val="52"/>
        </w:rPr>
        <w:t>Referral</w:t>
      </w:r>
      <w:r w:rsidR="008B2610" w:rsidRPr="008B0F21">
        <w:rPr>
          <w:b/>
          <w:sz w:val="52"/>
          <w:szCs w:val="52"/>
        </w:rPr>
        <w:t xml:space="preserve"> Form</w:t>
      </w:r>
    </w:p>
    <w:p w14:paraId="7BB1C9A3" w14:textId="77777777" w:rsidR="00E44B80" w:rsidRPr="00D73646" w:rsidRDefault="007418BC" w:rsidP="00162108">
      <w:pPr>
        <w:pStyle w:val="Title"/>
        <w:tabs>
          <w:tab w:val="left" w:pos="284"/>
        </w:tabs>
        <w:spacing w:before="240"/>
        <w:ind w:left="284" w:hanging="284"/>
        <w:rPr>
          <w:sz w:val="28"/>
          <w:szCs w:val="28"/>
        </w:rPr>
      </w:pPr>
      <w:r>
        <w:rPr>
          <w:sz w:val="28"/>
          <w:szCs w:val="28"/>
        </w:rPr>
        <w:t xml:space="preserve">Immunoglobulin use </w:t>
      </w:r>
      <w:r w:rsidR="002B63CC">
        <w:rPr>
          <w:sz w:val="28"/>
          <w:szCs w:val="28"/>
        </w:rPr>
        <w:t>referred for HTA through MSAC</w:t>
      </w:r>
    </w:p>
    <w:p w14:paraId="5EC22EE4" w14:textId="77777777" w:rsidR="006A396E" w:rsidRDefault="006A396E" w:rsidP="00162108">
      <w:pPr>
        <w:pStyle w:val="Title"/>
        <w:tabs>
          <w:tab w:val="left" w:pos="284"/>
        </w:tabs>
        <w:spacing w:before="0" w:after="0"/>
        <w:ind w:left="284" w:hanging="284"/>
        <w:jc w:val="left"/>
        <w:rPr>
          <w:sz w:val="28"/>
          <w:szCs w:val="28"/>
        </w:rPr>
      </w:pPr>
    </w:p>
    <w:p w14:paraId="5A8DBF76" w14:textId="77777777" w:rsidR="0098430F" w:rsidRDefault="000323DE" w:rsidP="00162108">
      <w:pPr>
        <w:pStyle w:val="Heading2"/>
        <w:numPr>
          <w:ilvl w:val="0"/>
          <w:numId w:val="0"/>
        </w:numPr>
        <w:tabs>
          <w:tab w:val="left" w:pos="284"/>
        </w:tabs>
        <w:ind w:left="284" w:hanging="284"/>
        <w:jc w:val="center"/>
        <w:rPr>
          <w:rStyle w:val="IntenseReference"/>
        </w:rPr>
      </w:pPr>
      <w:r w:rsidRPr="000323DE">
        <w:rPr>
          <w:rStyle w:val="IntenseReference"/>
        </w:rPr>
        <w:t xml:space="preserve">Review of Immunoglobulin </w:t>
      </w:r>
      <w:r w:rsidR="007874C2">
        <w:rPr>
          <w:rStyle w:val="IntenseReference"/>
        </w:rPr>
        <w:t>u</w:t>
      </w:r>
      <w:r w:rsidRPr="000323DE">
        <w:rPr>
          <w:rStyle w:val="IntenseReference"/>
        </w:rPr>
        <w:t xml:space="preserve">se </w:t>
      </w:r>
      <w:r w:rsidR="002C5984">
        <w:rPr>
          <w:rStyle w:val="IntenseReference"/>
        </w:rPr>
        <w:t>funded under the</w:t>
      </w:r>
      <w:r w:rsidR="002C5984">
        <w:rPr>
          <w:rStyle w:val="IntenseReference"/>
        </w:rPr>
        <w:br/>
        <w:t>National Blood Agreement</w:t>
      </w:r>
      <w:r w:rsidR="0098430F">
        <w:rPr>
          <w:rStyle w:val="IntenseReference"/>
        </w:rPr>
        <w:t xml:space="preserve"> </w:t>
      </w:r>
      <w:r w:rsidRPr="000323DE">
        <w:rPr>
          <w:rStyle w:val="IntenseReference"/>
        </w:rPr>
        <w:t>for</w:t>
      </w:r>
    </w:p>
    <w:p w14:paraId="0AF6FB85" w14:textId="7D8526D8" w:rsidR="0098430F" w:rsidRPr="005F5500" w:rsidRDefault="00E9691E" w:rsidP="00162108">
      <w:pPr>
        <w:pStyle w:val="Heading2"/>
        <w:numPr>
          <w:ilvl w:val="0"/>
          <w:numId w:val="0"/>
        </w:numPr>
        <w:tabs>
          <w:tab w:val="left" w:pos="284"/>
        </w:tabs>
        <w:ind w:left="284" w:hanging="284"/>
        <w:jc w:val="center"/>
        <w:rPr>
          <w:rStyle w:val="IntenseReference"/>
          <w:i/>
          <w:color w:val="FF0000"/>
        </w:rPr>
      </w:pPr>
      <w:r>
        <w:rPr>
          <w:rStyle w:val="IntenseReference"/>
          <w:i/>
          <w:color w:val="FF0000"/>
        </w:rPr>
        <w:t xml:space="preserve">1592 PID - </w:t>
      </w:r>
      <w:r w:rsidR="007E172A">
        <w:rPr>
          <w:rStyle w:val="IntenseReference"/>
          <w:i/>
          <w:color w:val="FF0000"/>
        </w:rPr>
        <w:t>Primary Immunodeficiency diseases with antibody deficiency</w:t>
      </w:r>
    </w:p>
    <w:p w14:paraId="75F6B753" w14:textId="77777777" w:rsidR="00FF4B68" w:rsidRPr="00616481" w:rsidRDefault="00FF4B68" w:rsidP="00162108">
      <w:pPr>
        <w:tabs>
          <w:tab w:val="left" w:pos="284"/>
        </w:tabs>
        <w:ind w:left="284" w:hanging="284"/>
        <w:rPr>
          <w:sz w:val="520"/>
          <w:szCs w:val="520"/>
        </w:rPr>
      </w:pPr>
      <w:bookmarkStart w:id="1" w:name="_Toc443555803"/>
    </w:p>
    <w:p w14:paraId="14E3D76D" w14:textId="77777777" w:rsidR="00FF4B68" w:rsidRPr="00DA55AD" w:rsidRDefault="00FF4B68" w:rsidP="00093811">
      <w:pPr>
        <w:pBdr>
          <w:top w:val="single" w:sz="4" w:space="1" w:color="auto"/>
          <w:left w:val="single" w:sz="4" w:space="4" w:color="auto"/>
          <w:bottom w:val="single" w:sz="4" w:space="1" w:color="auto"/>
          <w:right w:val="single" w:sz="4" w:space="4" w:color="auto"/>
        </w:pBdr>
        <w:tabs>
          <w:tab w:val="left" w:pos="284"/>
        </w:tabs>
        <w:ind w:left="284" w:hanging="284"/>
        <w:rPr>
          <w:rStyle w:val="IntenseReference"/>
          <w:sz w:val="24"/>
        </w:rPr>
      </w:pPr>
      <w:r w:rsidRPr="00DA55AD">
        <w:rPr>
          <w:rStyle w:val="IntenseReference"/>
          <w:sz w:val="24"/>
        </w:rPr>
        <w:t xml:space="preserve">Disclaimer: There is a limit on the extent of research undertaken for this referral. Some elements are an expression of the NBA’s general understanding which may or may not be fully comprehensive and accurate. </w:t>
      </w:r>
    </w:p>
    <w:bookmarkEnd w:id="1"/>
    <w:p w14:paraId="03CC3636" w14:textId="77777777" w:rsidR="00FF4B68" w:rsidRDefault="00FF4B68" w:rsidP="00162108">
      <w:pPr>
        <w:tabs>
          <w:tab w:val="left" w:pos="284"/>
        </w:tabs>
        <w:spacing w:before="0" w:after="200" w:line="276" w:lineRule="auto"/>
        <w:ind w:left="284" w:hanging="284"/>
        <w:rPr>
          <w:rStyle w:val="IntenseReference"/>
        </w:rPr>
      </w:pPr>
      <w:r>
        <w:rPr>
          <w:rStyle w:val="IntenseReference"/>
        </w:rPr>
        <w:br w:type="page"/>
      </w:r>
    </w:p>
    <w:p w14:paraId="4C485F47" w14:textId="77777777" w:rsidR="00E04FB3" w:rsidRPr="00C776B1" w:rsidRDefault="00EE0430" w:rsidP="00AB06E1">
      <w:pPr>
        <w:pStyle w:val="Heading1"/>
        <w:tabs>
          <w:tab w:val="left" w:pos="0"/>
        </w:tabs>
      </w:pPr>
      <w:r>
        <w:lastRenderedPageBreak/>
        <w:t>REFERRER</w:t>
      </w:r>
      <w:r w:rsidR="00E04FB3" w:rsidRPr="00C776B1">
        <w:t xml:space="preserve"> DETAILS</w:t>
      </w:r>
      <w:r w:rsidR="00AE7016">
        <w:t xml:space="preserve"> AND SPECIFICATION OF THE SCOPE</w:t>
      </w:r>
      <w:r w:rsidR="00F23C28">
        <w:t xml:space="preserve"> </w:t>
      </w:r>
      <w:r w:rsidR="00AE7016">
        <w:t>OF THE RE</w:t>
      </w:r>
      <w:r w:rsidR="0031538F">
        <w:t>FERRAL</w:t>
      </w:r>
    </w:p>
    <w:p w14:paraId="0F7C0056" w14:textId="77777777" w:rsidR="00392F00" w:rsidRDefault="00EE0430" w:rsidP="00A876CA">
      <w:pPr>
        <w:pStyle w:val="Heading2"/>
        <w:numPr>
          <w:ilvl w:val="0"/>
          <w:numId w:val="0"/>
        </w:numPr>
        <w:shd w:val="clear" w:color="auto" w:fill="D9D9D9" w:themeFill="background1" w:themeFillShade="D9"/>
        <w:tabs>
          <w:tab w:val="left" w:pos="284"/>
        </w:tabs>
        <w:ind w:left="360" w:hanging="360"/>
      </w:pPr>
      <w:r>
        <w:t>R</w:t>
      </w:r>
      <w:r w:rsidR="005420AE">
        <w:t xml:space="preserve">eferrer </w:t>
      </w:r>
      <w:r w:rsidR="00D57F88" w:rsidRPr="00A8732C">
        <w:t>d</w:t>
      </w:r>
      <w:r w:rsidR="00392F00" w:rsidRPr="00A8732C">
        <w:t>etails</w:t>
      </w:r>
      <w:r w:rsidR="000D066E" w:rsidRPr="00A8732C">
        <w:t xml:space="preserve"> (primary and alternative contacts)</w:t>
      </w:r>
    </w:p>
    <w:p w14:paraId="2325990B" w14:textId="77777777" w:rsidR="00C171FB" w:rsidRDefault="00C171FB" w:rsidP="00EC092D">
      <w:pPr>
        <w:pBdr>
          <w:top w:val="single" w:sz="4" w:space="1" w:color="auto"/>
          <w:left w:val="single" w:sz="4" w:space="4" w:color="auto"/>
          <w:bottom w:val="single" w:sz="4" w:space="1" w:color="auto"/>
          <w:right w:val="single" w:sz="4" w:space="4" w:color="auto"/>
        </w:pBdr>
        <w:ind w:left="284" w:hanging="284"/>
      </w:pPr>
      <w:r>
        <w:t xml:space="preserve">Corporation / partnership details (where relevant): </w:t>
      </w:r>
      <w:r w:rsidR="000323DE">
        <w:t>Statutory Authority</w:t>
      </w:r>
    </w:p>
    <w:p w14:paraId="746CFE81" w14:textId="77777777" w:rsidR="00C171FB" w:rsidRPr="004E76BE" w:rsidRDefault="00C171FB" w:rsidP="00EC092D">
      <w:pPr>
        <w:pBdr>
          <w:top w:val="single" w:sz="4" w:space="1" w:color="auto"/>
          <w:left w:val="single" w:sz="4" w:space="4" w:color="auto"/>
          <w:bottom w:val="single" w:sz="4" w:space="1" w:color="auto"/>
          <w:right w:val="single" w:sz="4" w:space="4" w:color="auto"/>
        </w:pBdr>
        <w:ind w:left="284" w:hanging="284"/>
      </w:pPr>
      <w:r>
        <w:t xml:space="preserve">Corporation name: </w:t>
      </w:r>
      <w:r w:rsidR="000323DE">
        <w:t>National Blood Authority</w:t>
      </w:r>
      <w:r w:rsidR="00741EB6">
        <w:t xml:space="preserve"> </w:t>
      </w:r>
      <w:r w:rsidR="002C5984">
        <w:t xml:space="preserve">(a statutory authority forming part of the Commonwealth of Australia, established under the </w:t>
      </w:r>
      <w:r w:rsidR="002C5984">
        <w:rPr>
          <w:i/>
        </w:rPr>
        <w:t>National Blood Authority Act 2003</w:t>
      </w:r>
      <w:r w:rsidR="00E20E98" w:rsidRPr="00E20E98">
        <w:rPr>
          <w:i/>
        </w:rPr>
        <w:t xml:space="preserve"> (</w:t>
      </w:r>
      <w:r w:rsidR="00E20E98" w:rsidRPr="00054E5D">
        <w:rPr>
          <w:i/>
        </w:rPr>
        <w:t>‘</w:t>
      </w:r>
      <w:r w:rsidR="00E20E98" w:rsidRPr="00E20E98">
        <w:rPr>
          <w:i/>
        </w:rPr>
        <w:t>NBA Act</w:t>
      </w:r>
      <w:r w:rsidR="00E20E98" w:rsidRPr="00054E5D">
        <w:rPr>
          <w:i/>
        </w:rPr>
        <w:t>’</w:t>
      </w:r>
      <w:r w:rsidR="00E20E98" w:rsidRPr="00E20E98">
        <w:rPr>
          <w:i/>
        </w:rPr>
        <w:t>)</w:t>
      </w:r>
      <w:r w:rsidR="002C5984">
        <w:t>)</w:t>
      </w:r>
    </w:p>
    <w:p w14:paraId="146C8DF5" w14:textId="77777777" w:rsidR="00C171FB" w:rsidRDefault="00C171FB" w:rsidP="00EC092D">
      <w:pPr>
        <w:pBdr>
          <w:top w:val="single" w:sz="4" w:space="1" w:color="auto"/>
          <w:left w:val="single" w:sz="4" w:space="4" w:color="auto"/>
          <w:bottom w:val="single" w:sz="4" w:space="1" w:color="auto"/>
          <w:right w:val="single" w:sz="4" w:space="4" w:color="auto"/>
        </w:pBdr>
        <w:ind w:left="284" w:hanging="284"/>
      </w:pPr>
      <w:r>
        <w:t xml:space="preserve">ABN: </w:t>
      </w:r>
      <w:r w:rsidR="002C5984">
        <w:t>87 361 602 478</w:t>
      </w:r>
      <w:r w:rsidR="00741EB6">
        <w:t xml:space="preserve"> </w:t>
      </w:r>
    </w:p>
    <w:p w14:paraId="238EA37B" w14:textId="77777777" w:rsidR="00C171FB" w:rsidRDefault="00C171FB" w:rsidP="00EC092D">
      <w:pPr>
        <w:pBdr>
          <w:top w:val="single" w:sz="4" w:space="1" w:color="auto"/>
          <w:left w:val="single" w:sz="4" w:space="4" w:color="auto"/>
          <w:bottom w:val="single" w:sz="4" w:space="1" w:color="auto"/>
          <w:right w:val="single" w:sz="4" w:space="4" w:color="auto"/>
        </w:pBdr>
        <w:ind w:left="284" w:hanging="284"/>
      </w:pPr>
      <w:r>
        <w:t xml:space="preserve">Business trading name: </w:t>
      </w:r>
      <w:r w:rsidR="000323DE">
        <w:t>National Blood Authority</w:t>
      </w:r>
      <w:r w:rsidR="00741EB6">
        <w:t xml:space="preserve"> </w:t>
      </w:r>
    </w:p>
    <w:p w14:paraId="3222775B" w14:textId="3FDA5220" w:rsidR="00C171FB" w:rsidRPr="007E172A" w:rsidRDefault="00C171FB" w:rsidP="00AB06E1">
      <w:pPr>
        <w:rPr>
          <w:b/>
        </w:rPr>
      </w:pPr>
      <w:r>
        <w:rPr>
          <w:b/>
        </w:rPr>
        <w:t>Primary contact nam</w:t>
      </w:r>
      <w:r w:rsidRPr="007E172A">
        <w:rPr>
          <w:b/>
        </w:rPr>
        <w:t xml:space="preserve">e: </w:t>
      </w:r>
      <w:r w:rsidR="00253803" w:rsidRPr="00253803">
        <w:rPr>
          <w:b/>
        </w:rPr>
        <w:t>REDACTED</w:t>
      </w:r>
      <w:r w:rsidR="00741EB6" w:rsidRPr="00253803">
        <w:rPr>
          <w:b/>
        </w:rPr>
        <w:t xml:space="preserve"> </w:t>
      </w:r>
    </w:p>
    <w:p w14:paraId="6F49B772" w14:textId="77777777" w:rsidR="00C171FB" w:rsidRPr="007E172A" w:rsidRDefault="00C171FB" w:rsidP="00EC092D">
      <w:pPr>
        <w:pBdr>
          <w:top w:val="single" w:sz="4" w:space="1" w:color="auto"/>
          <w:left w:val="single" w:sz="4" w:space="4" w:color="auto"/>
          <w:bottom w:val="single" w:sz="4" w:space="1" w:color="auto"/>
          <w:right w:val="single" w:sz="4" w:space="4" w:color="auto"/>
        </w:pBdr>
        <w:ind w:left="284" w:hanging="284"/>
      </w:pPr>
      <w:r w:rsidRPr="007E172A">
        <w:t>Primary contact numbers</w:t>
      </w:r>
    </w:p>
    <w:p w14:paraId="7A0F8500" w14:textId="4FB9262F" w:rsidR="00C171FB" w:rsidRPr="007E172A" w:rsidRDefault="00C171FB" w:rsidP="00EC092D">
      <w:pPr>
        <w:pBdr>
          <w:top w:val="single" w:sz="4" w:space="1" w:color="auto"/>
          <w:left w:val="single" w:sz="4" w:space="4" w:color="auto"/>
          <w:bottom w:val="single" w:sz="4" w:space="1" w:color="auto"/>
          <w:right w:val="single" w:sz="4" w:space="4" w:color="auto"/>
        </w:pBdr>
        <w:ind w:left="284" w:hanging="284"/>
      </w:pPr>
      <w:r w:rsidRPr="007E172A">
        <w:t xml:space="preserve">Business: </w:t>
      </w:r>
      <w:r w:rsidR="00253803" w:rsidRPr="00253803">
        <w:rPr>
          <w:b/>
        </w:rPr>
        <w:t>REDACTED</w:t>
      </w:r>
      <w:r w:rsidR="00741EB6" w:rsidRPr="00253803">
        <w:rPr>
          <w:b/>
        </w:rPr>
        <w:t xml:space="preserve"> </w:t>
      </w:r>
    </w:p>
    <w:p w14:paraId="406E431E" w14:textId="6053136C" w:rsidR="00C171FB" w:rsidRPr="007E172A" w:rsidRDefault="00C171FB" w:rsidP="00EC092D">
      <w:pPr>
        <w:pBdr>
          <w:top w:val="single" w:sz="4" w:space="1" w:color="auto"/>
          <w:left w:val="single" w:sz="4" w:space="4" w:color="auto"/>
          <w:bottom w:val="single" w:sz="4" w:space="1" w:color="auto"/>
          <w:right w:val="single" w:sz="4" w:space="4" w:color="auto"/>
        </w:pBdr>
        <w:ind w:left="284" w:hanging="284"/>
      </w:pPr>
      <w:r w:rsidRPr="007E172A">
        <w:t>Mobile:</w:t>
      </w:r>
      <w:r w:rsidRPr="007E172A">
        <w:tab/>
      </w:r>
      <w:r w:rsidR="00253803" w:rsidRPr="00253803">
        <w:rPr>
          <w:b/>
        </w:rPr>
        <w:t>REDACTED</w:t>
      </w:r>
      <w:r w:rsidR="00741EB6" w:rsidRPr="00253803">
        <w:rPr>
          <w:b/>
        </w:rPr>
        <w:t xml:space="preserve"> </w:t>
      </w:r>
    </w:p>
    <w:p w14:paraId="6111A1F3" w14:textId="7AF34634" w:rsidR="00C171FB" w:rsidRPr="007E172A" w:rsidRDefault="00253803" w:rsidP="00EC092D">
      <w:pPr>
        <w:pBdr>
          <w:top w:val="single" w:sz="4" w:space="1" w:color="auto"/>
          <w:left w:val="single" w:sz="4" w:space="4" w:color="auto"/>
          <w:bottom w:val="single" w:sz="4" w:space="1" w:color="auto"/>
          <w:right w:val="single" w:sz="4" w:space="4" w:color="auto"/>
        </w:pBdr>
        <w:ind w:left="284" w:hanging="284"/>
      </w:pPr>
      <w:r>
        <w:t xml:space="preserve">Email: </w:t>
      </w:r>
      <w:r w:rsidRPr="00253803">
        <w:rPr>
          <w:b/>
        </w:rPr>
        <w:t>REDACTED</w:t>
      </w:r>
    </w:p>
    <w:p w14:paraId="7C7ECF20" w14:textId="5F4DEC08" w:rsidR="00C171FB" w:rsidRPr="007E172A" w:rsidRDefault="00C171FB" w:rsidP="00AB06E1">
      <w:pPr>
        <w:rPr>
          <w:b/>
        </w:rPr>
      </w:pPr>
      <w:r w:rsidRPr="007E172A">
        <w:rPr>
          <w:b/>
        </w:rPr>
        <w:t xml:space="preserve">Alternative contact name: </w:t>
      </w:r>
      <w:r w:rsidR="00253803" w:rsidRPr="00253803">
        <w:rPr>
          <w:b/>
        </w:rPr>
        <w:t>REDACTED</w:t>
      </w:r>
    </w:p>
    <w:p w14:paraId="27DCF563" w14:textId="77777777" w:rsidR="00C171FB" w:rsidRPr="007E172A" w:rsidRDefault="00C171FB" w:rsidP="00EC092D">
      <w:pPr>
        <w:pBdr>
          <w:top w:val="single" w:sz="4" w:space="1" w:color="auto"/>
          <w:left w:val="single" w:sz="4" w:space="4" w:color="auto"/>
          <w:bottom w:val="single" w:sz="4" w:space="1" w:color="auto"/>
          <w:right w:val="single" w:sz="4" w:space="4" w:color="auto"/>
        </w:pBdr>
        <w:ind w:left="284" w:hanging="284"/>
      </w:pPr>
      <w:r w:rsidRPr="007E172A">
        <w:t>Alternative contact numbers</w:t>
      </w:r>
      <w:r w:rsidRPr="007E172A">
        <w:tab/>
      </w:r>
    </w:p>
    <w:p w14:paraId="62BEAD0E" w14:textId="1CD26E06" w:rsidR="00C171FB" w:rsidRPr="007E172A" w:rsidRDefault="00C171FB" w:rsidP="00EC092D">
      <w:pPr>
        <w:pBdr>
          <w:top w:val="single" w:sz="4" w:space="1" w:color="auto"/>
          <w:left w:val="single" w:sz="4" w:space="4" w:color="auto"/>
          <w:bottom w:val="single" w:sz="4" w:space="1" w:color="auto"/>
          <w:right w:val="single" w:sz="4" w:space="4" w:color="auto"/>
        </w:pBdr>
        <w:ind w:left="284" w:hanging="284"/>
      </w:pPr>
      <w:r w:rsidRPr="007E172A">
        <w:t>Business:</w:t>
      </w:r>
      <w:r w:rsidRPr="00253803">
        <w:rPr>
          <w:b/>
        </w:rPr>
        <w:t xml:space="preserve"> </w:t>
      </w:r>
      <w:r w:rsidR="00253803" w:rsidRPr="00253803">
        <w:rPr>
          <w:b/>
        </w:rPr>
        <w:t>REDACTED</w:t>
      </w:r>
    </w:p>
    <w:p w14:paraId="4801E6F9" w14:textId="07DEBFD6" w:rsidR="00C171FB" w:rsidRPr="007E172A" w:rsidRDefault="00C171FB" w:rsidP="00EC092D">
      <w:pPr>
        <w:pBdr>
          <w:top w:val="single" w:sz="4" w:space="1" w:color="auto"/>
          <w:left w:val="single" w:sz="4" w:space="4" w:color="auto"/>
          <w:bottom w:val="single" w:sz="4" w:space="1" w:color="auto"/>
          <w:right w:val="single" w:sz="4" w:space="4" w:color="auto"/>
        </w:pBdr>
        <w:ind w:left="284" w:hanging="284"/>
      </w:pPr>
      <w:r w:rsidRPr="007E172A">
        <w:t>Mobile:</w:t>
      </w:r>
      <w:r w:rsidR="00741EB6" w:rsidRPr="007E172A">
        <w:t xml:space="preserve"> </w:t>
      </w:r>
      <w:r w:rsidR="00253803" w:rsidRPr="00253803">
        <w:rPr>
          <w:b/>
        </w:rPr>
        <w:t>REDACTED</w:t>
      </w:r>
    </w:p>
    <w:p w14:paraId="0C06C616" w14:textId="3966A409" w:rsidR="00C171FB" w:rsidRPr="007E172A" w:rsidRDefault="00253803" w:rsidP="00EC092D">
      <w:pPr>
        <w:pBdr>
          <w:top w:val="single" w:sz="4" w:space="1" w:color="auto"/>
          <w:left w:val="single" w:sz="4" w:space="4" w:color="auto"/>
          <w:bottom w:val="single" w:sz="4" w:space="1" w:color="auto"/>
          <w:right w:val="single" w:sz="4" w:space="4" w:color="auto"/>
        </w:pBdr>
        <w:ind w:left="284" w:hanging="284"/>
      </w:pPr>
      <w:r>
        <w:t xml:space="preserve">Email: </w:t>
      </w:r>
      <w:r w:rsidRPr="00253803">
        <w:rPr>
          <w:b/>
        </w:rPr>
        <w:t>REDACTED</w:t>
      </w:r>
      <w:r w:rsidR="00FA2B82" w:rsidRPr="00253803">
        <w:rPr>
          <w:b/>
        </w:rPr>
        <w:t xml:space="preserve"> </w:t>
      </w:r>
    </w:p>
    <w:p w14:paraId="7AE9F57B" w14:textId="77777777" w:rsidR="00F23C28" w:rsidRDefault="00F23C28" w:rsidP="00EC092D">
      <w:pPr>
        <w:spacing w:before="0" w:after="0"/>
        <w:ind w:left="284" w:hanging="284"/>
        <w:rPr>
          <w:b/>
          <w:sz w:val="24"/>
          <w:szCs w:val="24"/>
        </w:rPr>
      </w:pPr>
    </w:p>
    <w:p w14:paraId="7C7B786D" w14:textId="77777777" w:rsidR="004E76BE" w:rsidRDefault="00715D99" w:rsidP="00EC092D">
      <w:pPr>
        <w:spacing w:before="0" w:after="0"/>
        <w:ind w:left="284" w:hanging="284"/>
        <w:rPr>
          <w:b/>
          <w:sz w:val="24"/>
          <w:szCs w:val="24"/>
        </w:rPr>
      </w:pPr>
      <w:r w:rsidRPr="00796FC7">
        <w:rPr>
          <w:b/>
          <w:sz w:val="24"/>
          <w:szCs w:val="24"/>
        </w:rPr>
        <w:t xml:space="preserve">Overview of </w:t>
      </w:r>
      <w:r w:rsidR="00721DB9" w:rsidRPr="00796FC7">
        <w:rPr>
          <w:b/>
          <w:sz w:val="24"/>
          <w:szCs w:val="24"/>
        </w:rPr>
        <w:t>supply arrangements for publicly funded Immunoglobulin (Ig) in Australia</w:t>
      </w:r>
    </w:p>
    <w:p w14:paraId="39150496" w14:textId="77777777" w:rsidR="00F2364A" w:rsidRDefault="004E76BE" w:rsidP="00EC092D">
      <w:pPr>
        <w:rPr>
          <w:i/>
        </w:rPr>
      </w:pPr>
      <w:r>
        <w:t xml:space="preserve">There are three </w:t>
      </w:r>
      <w:r w:rsidR="00EB6BF5">
        <w:t>frameworks which</w:t>
      </w:r>
      <w:r>
        <w:t xml:space="preserve"> define the availability of publicly funded Ig products under the </w:t>
      </w:r>
      <w:r w:rsidR="00E20E98">
        <w:t>national blood arrangements</w:t>
      </w:r>
      <w:r w:rsidR="004A75BC">
        <w:t>. These arrangements are</w:t>
      </w:r>
      <w:r w:rsidR="00E20E98">
        <w:t xml:space="preserve"> established under the </w:t>
      </w:r>
      <w:r>
        <w:t>National Blood Agreement</w:t>
      </w:r>
      <w:r w:rsidR="00E20E98">
        <w:t xml:space="preserve"> and the </w:t>
      </w:r>
      <w:r w:rsidR="00E20E98" w:rsidRPr="00054E5D">
        <w:rPr>
          <w:i/>
        </w:rPr>
        <w:t>NBA Act</w:t>
      </w:r>
      <w:r w:rsidR="00F2364A">
        <w:rPr>
          <w:i/>
        </w:rPr>
        <w:t>:</w:t>
      </w:r>
    </w:p>
    <w:p w14:paraId="765DC3E8" w14:textId="77777777" w:rsidR="00F2364A" w:rsidRDefault="004E76BE" w:rsidP="00996A16">
      <w:pPr>
        <w:pStyle w:val="ListParagraph"/>
        <w:numPr>
          <w:ilvl w:val="0"/>
          <w:numId w:val="10"/>
        </w:numPr>
        <w:ind w:left="284" w:hanging="284"/>
      </w:pPr>
      <w:r>
        <w:t>TGA regulation</w:t>
      </w:r>
    </w:p>
    <w:p w14:paraId="06319E2F" w14:textId="77777777" w:rsidR="00F2364A" w:rsidRDefault="004E76BE" w:rsidP="00996A16">
      <w:pPr>
        <w:pStyle w:val="ListParagraph"/>
        <w:numPr>
          <w:ilvl w:val="0"/>
          <w:numId w:val="10"/>
        </w:numPr>
        <w:ind w:left="284" w:hanging="284"/>
      </w:pPr>
      <w:r>
        <w:t xml:space="preserve">policy decisions of all Australian  Governments comprised in the </w:t>
      </w:r>
      <w:r w:rsidRPr="00F2364A">
        <w:rPr>
          <w:i/>
        </w:rPr>
        <w:t>Criteria for the clinical use of immunoglobulin in Australia</w:t>
      </w:r>
      <w:r>
        <w:t xml:space="preserve"> (the Criteria), currently in force as Version 3, and</w:t>
      </w:r>
    </w:p>
    <w:p w14:paraId="388E3124" w14:textId="77777777" w:rsidR="004E76BE" w:rsidRDefault="00F2364A" w:rsidP="00996A16">
      <w:pPr>
        <w:pStyle w:val="ListParagraph"/>
        <w:numPr>
          <w:ilvl w:val="0"/>
          <w:numId w:val="10"/>
        </w:numPr>
        <w:ind w:left="284" w:hanging="284"/>
      </w:pPr>
      <w:r>
        <w:t>s</w:t>
      </w:r>
      <w:r w:rsidR="004E76BE">
        <w:t xml:space="preserve">upply arrangements implemented under national contracts established by the National </w:t>
      </w:r>
      <w:r w:rsidR="00EE7A56">
        <w:t>Blood Authority.</w:t>
      </w:r>
    </w:p>
    <w:p w14:paraId="41FFF12B" w14:textId="77777777" w:rsidR="00134697" w:rsidRDefault="00134697" w:rsidP="00134697">
      <w:pPr>
        <w:tabs>
          <w:tab w:val="left" w:pos="426"/>
        </w:tabs>
      </w:pPr>
      <w:r>
        <w:t>Ig products are available as intravenous (IVIg) or subcutaneous (SCIg) formulations. Intramuscular (IMIg) formulations are also available but are treated as equivalent to SCIg formations for the purpose of these referrals. The potential use and availability of Ig differs for IVIg and SCIg, and these differences are identified where relevant throughout these referral.</w:t>
      </w:r>
    </w:p>
    <w:p w14:paraId="12D3D637" w14:textId="77777777" w:rsidR="00EE7A56" w:rsidRDefault="00EE7A56" w:rsidP="00F2364A">
      <w:pPr>
        <w:tabs>
          <w:tab w:val="left" w:pos="426"/>
        </w:tabs>
      </w:pPr>
      <w:r>
        <w:t>Each of these fra</w:t>
      </w:r>
      <w:r w:rsidR="004A75BC">
        <w:t xml:space="preserve">meworks </w:t>
      </w:r>
      <w:r w:rsidR="00F23C28">
        <w:t xml:space="preserve">is </w:t>
      </w:r>
      <w:r>
        <w:t>described briefly below</w:t>
      </w:r>
      <w:r w:rsidR="004A75BC">
        <w:t>.</w:t>
      </w:r>
    </w:p>
    <w:p w14:paraId="63CDBC6B" w14:textId="77777777" w:rsidR="004E76BE" w:rsidRPr="00054E5D" w:rsidRDefault="00EE7A56" w:rsidP="00F2364A">
      <w:pPr>
        <w:tabs>
          <w:tab w:val="left" w:pos="426"/>
        </w:tabs>
        <w:rPr>
          <w:i/>
        </w:rPr>
      </w:pPr>
      <w:r w:rsidRPr="00054E5D">
        <w:rPr>
          <w:i/>
        </w:rPr>
        <w:t>a)</w:t>
      </w:r>
      <w:r w:rsidRPr="00054E5D">
        <w:rPr>
          <w:i/>
        </w:rPr>
        <w:tab/>
        <w:t>TGA regulation</w:t>
      </w:r>
    </w:p>
    <w:p w14:paraId="66C236CD" w14:textId="77777777" w:rsidR="00EE7A56" w:rsidRDefault="00EE7A56" w:rsidP="00EC092D">
      <w:r>
        <w:t xml:space="preserve">Ig products for therapeutic use in Australia are regulated as </w:t>
      </w:r>
      <w:r w:rsidR="000A2B7F">
        <w:t>prescription medicines</w:t>
      </w:r>
      <w:r>
        <w:t xml:space="preserve"> under the </w:t>
      </w:r>
      <w:r>
        <w:rPr>
          <w:i/>
        </w:rPr>
        <w:t>Therapeutic Goods Act 1989</w:t>
      </w:r>
      <w:r>
        <w:t xml:space="preserve"> and associated statutory instruments.</w:t>
      </w:r>
    </w:p>
    <w:p w14:paraId="43BD3FD2" w14:textId="4BA31E0E" w:rsidR="00EE7A56" w:rsidRPr="00231165" w:rsidRDefault="00EE7A56" w:rsidP="00EC092D">
      <w:r>
        <w:t>IVIg products are</w:t>
      </w:r>
      <w:r w:rsidR="008C4F1C">
        <w:t xml:space="preserve"> assessed for </w:t>
      </w:r>
      <w:r w:rsidR="000A2B7F">
        <w:t>regist</w:t>
      </w:r>
      <w:r w:rsidR="008C4F1C">
        <w:t xml:space="preserve">ration </w:t>
      </w:r>
      <w:r w:rsidR="000A2B7F">
        <w:t xml:space="preserve">against the European Medicines Agency </w:t>
      </w:r>
      <w:r w:rsidR="00A87EC4">
        <w:t xml:space="preserve">(EMA) </w:t>
      </w:r>
      <w:r w:rsidR="00F23C28">
        <w:t>EMA/CHMP/BPWP/94033/2007 rev.</w:t>
      </w:r>
      <w:r w:rsidR="000A2B7F">
        <w:t xml:space="preserve">2 </w:t>
      </w:r>
      <w:r w:rsidR="000A2B7F" w:rsidRPr="00054E5D">
        <w:rPr>
          <w:i/>
        </w:rPr>
        <w:t>Guideline on the clinical investigation of human normal immunoglobulin for intravenous administration (IVIg)</w:t>
      </w:r>
      <w:r w:rsidR="000A2B7F">
        <w:t xml:space="preserve"> 22 July 2010</w:t>
      </w:r>
      <w:r w:rsidR="00F23C28">
        <w:t xml:space="preserve">, </w:t>
      </w:r>
      <w:r w:rsidR="000A2B7F">
        <w:t xml:space="preserve">adopted by TGA effective 1 June 2014 (available from </w:t>
      </w:r>
      <w:hyperlink r:id="rId9" w:anchor="products" w:history="1">
        <w:r w:rsidR="00253803" w:rsidRPr="00E3271A">
          <w:rPr>
            <w:rStyle w:val="Hyperlink"/>
          </w:rPr>
          <w:t>http://www.tga.gov.au/clinical-efficacy-and-safety-guidelines#products</w:t>
        </w:r>
      </w:hyperlink>
      <w:r w:rsidR="004A75BC">
        <w:t xml:space="preserve"> ). </w:t>
      </w:r>
      <w:r w:rsidR="000A2B7F">
        <w:t xml:space="preserve">This Guideline replaced </w:t>
      </w:r>
      <w:r w:rsidR="000A2B7F" w:rsidRPr="000A2B7F">
        <w:t>CPMP/BPWG/388/95 Rev 1 (</w:t>
      </w:r>
      <w:r w:rsidR="00A87EC4">
        <w:t>a</w:t>
      </w:r>
      <w:r w:rsidR="000A2B7F" w:rsidRPr="000A2B7F">
        <w:t>dopted by TGA 19 April 2001)</w:t>
      </w:r>
      <w:r w:rsidR="00874DC1">
        <w:t xml:space="preserve"> (See </w:t>
      </w:r>
      <w:r w:rsidR="00874DC1">
        <w:rPr>
          <w:u w:val="single"/>
        </w:rPr>
        <w:t>Attachment A)</w:t>
      </w:r>
      <w:r w:rsidR="00E63654">
        <w:rPr>
          <w:u w:val="single"/>
        </w:rPr>
        <w:t xml:space="preserve">. </w:t>
      </w:r>
      <w:r w:rsidR="00E63654" w:rsidRPr="00231165">
        <w:t>This version has been included as some Ig products were registered on the Australian Register of Therapeutic Goods (ARTG) prior to the adoption of the updated Guideline and therefore assessed against this earlier version.</w:t>
      </w:r>
    </w:p>
    <w:p w14:paraId="4E4643F7" w14:textId="77777777" w:rsidR="00426225" w:rsidRDefault="00426225" w:rsidP="00EC092D">
      <w:r>
        <w:t>Under this regulatory guideline, IVIg products are considered to be registered in</w:t>
      </w:r>
      <w:r w:rsidR="008C4F1C">
        <w:t>dications in the following two categories:</w:t>
      </w:r>
      <w:r>
        <w:t xml:space="preserve"> ‘replacement therapy’ </w:t>
      </w:r>
      <w:r w:rsidR="008C4F1C">
        <w:t>and</w:t>
      </w:r>
      <w:r>
        <w:t xml:space="preserve"> ‘immunomodulatory effect’.</w:t>
      </w:r>
      <w:r w:rsidR="005D002D">
        <w:t xml:space="preserve"> </w:t>
      </w:r>
      <w:r>
        <w:t>The Guideline describes a range of conditions within each of these categories which are considered to</w:t>
      </w:r>
      <w:r w:rsidR="004A75BC">
        <w:t xml:space="preserve"> be ‘established’, and others </w:t>
      </w:r>
      <w:r>
        <w:t xml:space="preserve">for which confirmatory data </w:t>
      </w:r>
      <w:r w:rsidR="004A75BC">
        <w:t>is</w:t>
      </w:r>
      <w:r>
        <w:t xml:space="preserve"> required.  Within this background, the Guideline describes a regulatory approach where certain lead indications are used as the proxy basis for establishment of efficacy for a range of other indications.</w:t>
      </w:r>
      <w:r w:rsidR="007404D3">
        <w:t xml:space="preserve"> The EMA approach </w:t>
      </w:r>
      <w:r w:rsidR="00BE1DA5">
        <w:t xml:space="preserve">is </w:t>
      </w:r>
      <w:r w:rsidR="007404D3">
        <w:t xml:space="preserve">based on the regulatory approach adopted by the Federal Drug Administration in the USA. </w:t>
      </w:r>
    </w:p>
    <w:p w14:paraId="74CBD0FA" w14:textId="45F8F70C" w:rsidR="00ED785D" w:rsidRDefault="00ED785D" w:rsidP="00EC092D">
      <w:r>
        <w:t>In relation to primary immunodeficiency, section 7.3.1 provides as follows:</w:t>
      </w:r>
    </w:p>
    <w:p w14:paraId="05503271" w14:textId="77777777" w:rsidR="00ED785D" w:rsidRPr="00ED785D" w:rsidRDefault="00ED785D" w:rsidP="00592286">
      <w:pPr>
        <w:pStyle w:val="ListParagraph"/>
        <w:numPr>
          <w:ilvl w:val="0"/>
          <w:numId w:val="27"/>
        </w:numPr>
      </w:pPr>
      <w:r w:rsidRPr="00ED785D">
        <w:t xml:space="preserve">Efficacy should be proven in an open clinical trial of one year duration in primary immunodeficiency syndromes. The patients selection should take into account statistical considerations (see below). </w:t>
      </w:r>
    </w:p>
    <w:p w14:paraId="70ABD36B" w14:textId="77777777" w:rsidR="00ED785D" w:rsidRPr="00ED785D" w:rsidRDefault="00ED785D" w:rsidP="00592286">
      <w:pPr>
        <w:pStyle w:val="ListParagraph"/>
        <w:numPr>
          <w:ilvl w:val="0"/>
          <w:numId w:val="27"/>
        </w:numPr>
      </w:pPr>
      <w:r w:rsidRPr="00ED785D">
        <w:t xml:space="preserve">At least 40 patients should be included; approximately half of these patients should be children and adolescents with an age distribution representative of this patient population. The patients should be followed over 12 months to avoid a seasonal bias (due to a greater rate of infections in the winter months). </w:t>
      </w:r>
    </w:p>
    <w:p w14:paraId="0ADA9CD2" w14:textId="77777777" w:rsidR="00ED785D" w:rsidRPr="00ED785D" w:rsidRDefault="00ED785D" w:rsidP="00592286">
      <w:pPr>
        <w:pStyle w:val="ListParagraph"/>
        <w:numPr>
          <w:ilvl w:val="0"/>
          <w:numId w:val="27"/>
        </w:numPr>
      </w:pPr>
      <w:r w:rsidRPr="00ED785D">
        <w:t xml:space="preserve">The recommended primary endpoint is the number of serious bacterial infections (less than 1.0 infection/subject/year). The protocol should prospectively provide specific diagnostic criteria for each type of serious infection to be included in the primary efficacy analysis. Serious bacterial infections include: </w:t>
      </w:r>
    </w:p>
    <w:p w14:paraId="7FBEDBF5" w14:textId="77777777" w:rsidR="00ED785D" w:rsidRPr="00ED785D" w:rsidRDefault="00ED785D" w:rsidP="00592286">
      <w:pPr>
        <w:numPr>
          <w:ilvl w:val="1"/>
          <w:numId w:val="27"/>
        </w:numPr>
      </w:pPr>
      <w:r w:rsidRPr="00ED785D">
        <w:t xml:space="preserve">bacteraemia or sepsis, </w:t>
      </w:r>
    </w:p>
    <w:p w14:paraId="580944A2" w14:textId="77777777" w:rsidR="00ED785D" w:rsidRPr="00ED785D" w:rsidRDefault="00ED785D" w:rsidP="00592286">
      <w:pPr>
        <w:numPr>
          <w:ilvl w:val="1"/>
          <w:numId w:val="27"/>
        </w:numPr>
      </w:pPr>
      <w:r w:rsidRPr="00ED785D">
        <w:t xml:space="preserve">bacterial meningitis, </w:t>
      </w:r>
    </w:p>
    <w:p w14:paraId="769AD3CA" w14:textId="77777777" w:rsidR="00ED785D" w:rsidRPr="00ED785D" w:rsidRDefault="00ED785D" w:rsidP="00592286">
      <w:pPr>
        <w:numPr>
          <w:ilvl w:val="1"/>
          <w:numId w:val="27"/>
        </w:numPr>
      </w:pPr>
      <w:r w:rsidRPr="00ED785D">
        <w:t xml:space="preserve">osteomyelitis / septic arthritis, </w:t>
      </w:r>
    </w:p>
    <w:p w14:paraId="2CBBDD87" w14:textId="77777777" w:rsidR="00ED785D" w:rsidRPr="00ED785D" w:rsidRDefault="00ED785D" w:rsidP="00592286">
      <w:pPr>
        <w:numPr>
          <w:ilvl w:val="1"/>
          <w:numId w:val="27"/>
        </w:numPr>
      </w:pPr>
      <w:r w:rsidRPr="00ED785D">
        <w:t xml:space="preserve">bacterial pneumonia, </w:t>
      </w:r>
    </w:p>
    <w:p w14:paraId="3E2E424F" w14:textId="77777777" w:rsidR="00ED785D" w:rsidRPr="00ED785D" w:rsidRDefault="00ED785D" w:rsidP="00592286">
      <w:pPr>
        <w:numPr>
          <w:ilvl w:val="1"/>
          <w:numId w:val="27"/>
        </w:numPr>
      </w:pPr>
      <w:r w:rsidRPr="00ED785D">
        <w:t xml:space="preserve">visceral abscess. </w:t>
      </w:r>
    </w:p>
    <w:p w14:paraId="53F1E58E" w14:textId="3CC04699" w:rsidR="00ED785D" w:rsidRPr="00ED785D" w:rsidRDefault="00ED785D" w:rsidP="00592286">
      <w:pPr>
        <w:pStyle w:val="ListParagraph"/>
        <w:numPr>
          <w:ilvl w:val="0"/>
          <w:numId w:val="27"/>
        </w:numPr>
      </w:pPr>
      <w:r w:rsidRPr="00ED785D">
        <w:t>Secondary endpoints are IgG trough levels</w:t>
      </w:r>
      <w:r>
        <w:t>,</w:t>
      </w:r>
      <w:r w:rsidRPr="00ED785D">
        <w:t xml:space="preserve"> all other infections, antibiotic treatment, days lost from school/work, hospitalisations and fever episodes. </w:t>
      </w:r>
    </w:p>
    <w:p w14:paraId="02005666" w14:textId="77777777" w:rsidR="00ED785D" w:rsidRPr="00ED785D" w:rsidRDefault="00ED785D" w:rsidP="00036EA3">
      <w:pPr>
        <w:ind w:left="720"/>
      </w:pPr>
      <w:r w:rsidRPr="00ED785D">
        <w:rPr>
          <w:i/>
          <w:iCs/>
        </w:rPr>
        <w:t xml:space="preserve">Statistical considerations </w:t>
      </w:r>
    </w:p>
    <w:p w14:paraId="61FF4A6A" w14:textId="77777777" w:rsidR="00ED785D" w:rsidRPr="00ED785D" w:rsidRDefault="00ED785D" w:rsidP="00592286">
      <w:pPr>
        <w:pStyle w:val="ListParagraph"/>
        <w:numPr>
          <w:ilvl w:val="0"/>
          <w:numId w:val="28"/>
        </w:numPr>
      </w:pPr>
      <w:r w:rsidRPr="00ED785D">
        <w:t xml:space="preserve">The number of subjects to be included into the study might exceed 40 patients as the study should provide at least 80% power to reject the null-hypothesis of a serious infection rate greater or equal 1 by means of a one-sided test and a Type I error of 0.01. </w:t>
      </w:r>
    </w:p>
    <w:p w14:paraId="5B37B17A" w14:textId="77777777" w:rsidR="00ED785D" w:rsidRPr="00ED785D" w:rsidRDefault="00ED785D" w:rsidP="00592286">
      <w:pPr>
        <w:pStyle w:val="ListParagraph"/>
        <w:numPr>
          <w:ilvl w:val="0"/>
          <w:numId w:val="28"/>
        </w:numPr>
      </w:pPr>
      <w:r w:rsidRPr="00ED785D">
        <w:t xml:space="preserve">The secondary endpoints should be prospectively defined and their statistical analyses provided in the study protocol. </w:t>
      </w:r>
    </w:p>
    <w:p w14:paraId="57ABB707" w14:textId="02A0838B" w:rsidR="00ED785D" w:rsidRDefault="00ED785D" w:rsidP="00592286">
      <w:pPr>
        <w:pStyle w:val="ListParagraph"/>
        <w:numPr>
          <w:ilvl w:val="0"/>
          <w:numId w:val="28"/>
        </w:numPr>
      </w:pPr>
      <w:r w:rsidRPr="00ED785D">
        <w:t>The efficacy results from this study would apply to all types of primary immunodeficiency syndromes due to deficiency of functional IgG.</w:t>
      </w:r>
    </w:p>
    <w:p w14:paraId="78AA2B0D" w14:textId="5710FC92" w:rsidR="00A87EC4" w:rsidRDefault="00A87EC4" w:rsidP="00EC092D">
      <w:r>
        <w:t>SCIg products are registered against the EMA document CHMP/BPWP/410415/2011 Rev</w:t>
      </w:r>
      <w:r w:rsidR="00F23C28">
        <w:t>.</w:t>
      </w:r>
      <w:r>
        <w:t xml:space="preserve">1 </w:t>
      </w:r>
      <w:r w:rsidRPr="00054E5D">
        <w:rPr>
          <w:i/>
        </w:rPr>
        <w:t>Guideline on the clinical investigation of human normal immunoglobulin for subcutaneous and/or intramuscular administration (SCIg/IMIg)</w:t>
      </w:r>
      <w:r>
        <w:t xml:space="preserve"> </w:t>
      </w:r>
      <w:r w:rsidRPr="00A87EC4">
        <w:t>23 July 2015</w:t>
      </w:r>
      <w:r>
        <w:t xml:space="preserve"> adopted by TGA effective 2 February 2016 (available from </w:t>
      </w:r>
      <w:hyperlink r:id="rId10" w:anchor="products" w:history="1">
        <w:r w:rsidRPr="001C7520">
          <w:rPr>
            <w:rStyle w:val="Hyperlink"/>
          </w:rPr>
          <w:t>http://www.tga.gov.au/clinical-efficacy-and-safety-guidelines#products</w:t>
        </w:r>
      </w:hyperlink>
      <w:r>
        <w:t xml:space="preserve"> ).  This Guideline replaced EMEA/CPMP/BPWG/283/00 </w:t>
      </w:r>
      <w:r w:rsidRPr="00054E5D">
        <w:rPr>
          <w:i/>
        </w:rPr>
        <w:t>Note for Guidance on the Clinical Investigation of Human Normal Immunoglobulin for Subcutaneous and Intramuscular Use</w:t>
      </w:r>
      <w:r>
        <w:t xml:space="preserve"> (adopted by TGA 12 March 2003</w:t>
      </w:r>
      <w:r w:rsidR="00E63654">
        <w:t>), any SCIg products registered prior to the TGA adoption of the updated guidelines would have been assessed under this previous version.</w:t>
      </w:r>
    </w:p>
    <w:p w14:paraId="33428723" w14:textId="3F8E91EF" w:rsidR="00A87EC4" w:rsidRDefault="00A87EC4" w:rsidP="00EC092D">
      <w:r>
        <w:t xml:space="preserve">The SCIg Guideline is read together with the IVIg </w:t>
      </w:r>
      <w:r w:rsidR="009115AA">
        <w:t>Guideline</w:t>
      </w:r>
      <w:r>
        <w:t xml:space="preserve"> above. Under the SCIg Guideline, SCIg products can be registered on an established basis for four replacement therapy indications, and any additional indications including CIDP are subject to a requirement for specific clinical data under para 5.3.4</w:t>
      </w:r>
      <w:r w:rsidR="00FA2B82">
        <w:t xml:space="preserve"> </w:t>
      </w:r>
      <w:hyperlink r:id="rId11" w:history="1">
        <w:r w:rsidRPr="00A739D7">
          <w:rPr>
            <w:rStyle w:val="Hyperlink"/>
          </w:rPr>
          <w:t>.</w:t>
        </w:r>
      </w:hyperlink>
    </w:p>
    <w:p w14:paraId="1A471578" w14:textId="77777777" w:rsidR="00A87EC4" w:rsidRDefault="00E20E98" w:rsidP="00EC092D">
      <w:pPr>
        <w:ind w:left="284" w:hanging="284"/>
      </w:pPr>
      <w:r>
        <w:t>b)</w:t>
      </w:r>
      <w:r>
        <w:tab/>
      </w:r>
      <w:r>
        <w:rPr>
          <w:i/>
        </w:rPr>
        <w:t xml:space="preserve">Criteria for the clinical </w:t>
      </w:r>
      <w:r w:rsidRPr="00E20E98">
        <w:rPr>
          <w:i/>
        </w:rPr>
        <w:t>use of immunoglobulin in Australia</w:t>
      </w:r>
    </w:p>
    <w:p w14:paraId="340F6892" w14:textId="24A63E39" w:rsidR="00E20E98" w:rsidRDefault="00E20E98" w:rsidP="00EC092D">
      <w:r>
        <w:t>Under the National Blood Agreement, Australian Governments have determined that the basis for access to publicly funded Ig products under the National Blood Arrangements will be as specified in the</w:t>
      </w:r>
      <w:r w:rsidR="009571C5">
        <w:t xml:space="preserve"> Criteria for Clinical Use of Immunoglobulin in Austral</w:t>
      </w:r>
      <w:r w:rsidR="00C11F97">
        <w:t>ia</w:t>
      </w:r>
      <w:r w:rsidR="009571C5">
        <w:t xml:space="preserve"> (</w:t>
      </w:r>
      <w:r w:rsidRPr="009571C5">
        <w:t>Criteria</w:t>
      </w:r>
      <w:r w:rsidR="009571C5" w:rsidRPr="009571C5">
        <w:t>)</w:t>
      </w:r>
      <w:r w:rsidR="009571C5">
        <w:t xml:space="preserve"> available at </w:t>
      </w:r>
      <w:r w:rsidR="00D16F54">
        <w:t xml:space="preserve">This is confirmed </w:t>
      </w:r>
      <w:r w:rsidR="009571C5">
        <w:t xml:space="preserve">in </w:t>
      </w:r>
      <w:r w:rsidR="00D16F54">
        <w:t xml:space="preserve">the </w:t>
      </w:r>
      <w:r w:rsidR="00D16F54" w:rsidRPr="00054E5D">
        <w:rPr>
          <w:i/>
        </w:rPr>
        <w:t>National Policy: Access to Government Funded Immunoglobulin Products in Australia</w:t>
      </w:r>
      <w:r w:rsidR="00D16F54">
        <w:t xml:space="preserve"> </w:t>
      </w:r>
      <w:hyperlink r:id="rId12" w:tooltip="Link to Blood website" w:history="1">
        <w:r w:rsidR="00D16F54" w:rsidRPr="001C7520">
          <w:rPr>
            <w:rStyle w:val="Hyperlink"/>
          </w:rPr>
          <w:t>https://www.blood.gov.au/national-policy-to-ig</w:t>
        </w:r>
      </w:hyperlink>
      <w:r w:rsidR="00D16F54">
        <w:t>.</w:t>
      </w:r>
    </w:p>
    <w:p w14:paraId="4E2B89EC" w14:textId="77777777" w:rsidR="00D16F54" w:rsidRPr="00054E5D" w:rsidRDefault="00D16F54" w:rsidP="00EC092D">
      <w:pPr>
        <w:rPr>
          <w:i/>
        </w:rPr>
      </w:pPr>
      <w:r>
        <w:t>Where</w:t>
      </w:r>
      <w:r w:rsidR="00FA209F">
        <w:t xml:space="preserve"> an</w:t>
      </w:r>
      <w:r>
        <w:t xml:space="preserve"> Ig product is not funded and supplied under the National Blood Arrangements, access to Ig for particular cases may still be available as a decision of a hospital drug committee or similar, or otherwise through direct order arrangements supported by some other source of funding.</w:t>
      </w:r>
    </w:p>
    <w:p w14:paraId="7756F740" w14:textId="77777777" w:rsidR="00E20E98" w:rsidRDefault="00E20E98" w:rsidP="00EC092D">
      <w:r>
        <w:t xml:space="preserve">Version 1 of the </w:t>
      </w:r>
      <w:r w:rsidRPr="00213C63">
        <w:t>Criteria</w:t>
      </w:r>
      <w:r>
        <w:t xml:space="preserve"> was issued in 2008, and partial review lead to Version 2 issued in 2012.  </w:t>
      </w:r>
      <w:r w:rsidR="00B921EA">
        <w:t>Version 2.1 was included in the national online system BloodSTAR from the time it was initially launched in 2016.</w:t>
      </w:r>
    </w:p>
    <w:p w14:paraId="5E584E41" w14:textId="356EE3A6" w:rsidR="00B921EA" w:rsidRDefault="00B921EA" w:rsidP="00EC092D">
      <w:pPr>
        <w:rPr>
          <w:szCs w:val="20"/>
          <w:lang w:val="en"/>
        </w:rPr>
      </w:pPr>
      <w:r>
        <w:t xml:space="preserve">Version 3 of the Criteria has been developed through a comprehensive process of review managed by the NBA based on advice from Specialist Working Groups for Neurology, Immunology, Transplantation and the National Immunoglobulin Governance Advisory Group, and endorsed by all Governments through the Jurisdictional Blood Committee. The work on Version 3 commenced in 2014 and was completed in 2018. </w:t>
      </w:r>
      <w:r>
        <w:rPr>
          <w:szCs w:val="20"/>
          <w:lang w:val="en"/>
        </w:rPr>
        <w:t>Version 3 of the Criteria more clearly articulates and standardises the diagnostic, qualifying and review criteria, initial and continuing authorisation periods, dosing controls and supporting evidence for access to Ig under the National Blood Agreement. These changes enhance consistency in access and further support the use of Ig products for clinically appropriate purposes, and for the treatment of patients whose health is most likely to be improved with Ig therapy.</w:t>
      </w:r>
    </w:p>
    <w:p w14:paraId="7CBF0520" w14:textId="1A644DD2" w:rsidR="00B921EA" w:rsidRDefault="00B921EA" w:rsidP="00EC092D">
      <w:pPr>
        <w:rPr>
          <w:szCs w:val="20"/>
          <w:lang w:val="en"/>
        </w:rPr>
      </w:pPr>
      <w:r>
        <w:rPr>
          <w:szCs w:val="20"/>
          <w:lang w:val="en"/>
        </w:rPr>
        <w:t xml:space="preserve">Version 3 of the Criteria came into effect on 22 October 2018 and is available only in electronic form. It is primarily used for transactional authorisation of product access through the BloodSTAR system, and is available at </w:t>
      </w:r>
      <w:hyperlink r:id="rId13" w:tooltip="link to blood website" w:history="1">
        <w:r w:rsidRPr="001C7520">
          <w:rPr>
            <w:rStyle w:val="Hyperlink"/>
            <w:szCs w:val="20"/>
            <w:lang w:val="en"/>
          </w:rPr>
          <w:t>https://www.criteria.blood.gov.au/</w:t>
        </w:r>
      </w:hyperlink>
      <w:r>
        <w:rPr>
          <w:szCs w:val="20"/>
          <w:lang w:val="en"/>
        </w:rPr>
        <w:t>.</w:t>
      </w:r>
    </w:p>
    <w:p w14:paraId="4734A3F2" w14:textId="77777777" w:rsidR="00946403" w:rsidRPr="00946403" w:rsidRDefault="00946403" w:rsidP="00EC092D">
      <w:pPr>
        <w:rPr>
          <w:szCs w:val="20"/>
          <w:lang w:val="en"/>
        </w:rPr>
      </w:pPr>
      <w:r>
        <w:rPr>
          <w:szCs w:val="20"/>
          <w:lang w:val="en"/>
        </w:rPr>
        <w:t xml:space="preserve">In general, the </w:t>
      </w:r>
      <w:r w:rsidRPr="00213C63">
        <w:rPr>
          <w:szCs w:val="20"/>
          <w:lang w:val="en"/>
        </w:rPr>
        <w:t>Criteria</w:t>
      </w:r>
      <w:r>
        <w:rPr>
          <w:szCs w:val="20"/>
          <w:lang w:val="en"/>
        </w:rPr>
        <w:t xml:space="preserve"> follow the approach of TGA regulation and do not differentiate between individual brands of Ig products in relation to funded access under the National Blood Arrangements.</w:t>
      </w:r>
    </w:p>
    <w:p w14:paraId="4982568D" w14:textId="36B43518" w:rsidR="00EF0C31" w:rsidRPr="00EF0C31" w:rsidRDefault="00D16F54" w:rsidP="00EC092D">
      <w:pPr>
        <w:rPr>
          <w:szCs w:val="20"/>
          <w:lang w:val="en"/>
        </w:rPr>
      </w:pPr>
      <w:r>
        <w:rPr>
          <w:szCs w:val="20"/>
          <w:lang w:val="en"/>
        </w:rPr>
        <w:t>In relation</w:t>
      </w:r>
      <w:r w:rsidR="00A96C63">
        <w:rPr>
          <w:szCs w:val="20"/>
          <w:lang w:val="en"/>
        </w:rPr>
        <w:t xml:space="preserve"> to</w:t>
      </w:r>
      <w:r>
        <w:rPr>
          <w:szCs w:val="20"/>
          <w:lang w:val="en"/>
        </w:rPr>
        <w:t xml:space="preserve"> the availability of SCIg products under the National Blood Arrangements, </w:t>
      </w:r>
      <w:r w:rsidR="00EF0C31">
        <w:rPr>
          <w:szCs w:val="20"/>
          <w:lang w:val="en"/>
        </w:rPr>
        <w:t xml:space="preserve">governments have made a further policy decision that, in addition to access requirements applying generally under the </w:t>
      </w:r>
      <w:r w:rsidR="00EF0C31" w:rsidRPr="00213C63">
        <w:rPr>
          <w:szCs w:val="20"/>
          <w:lang w:val="en"/>
        </w:rPr>
        <w:t>Criteria</w:t>
      </w:r>
      <w:r w:rsidR="00EF0C31">
        <w:rPr>
          <w:szCs w:val="20"/>
          <w:lang w:val="en"/>
        </w:rPr>
        <w:t xml:space="preserve">, SCIg products are only </w:t>
      </w:r>
      <w:r w:rsidR="00EF0C31" w:rsidRPr="00EF0C31">
        <w:rPr>
          <w:szCs w:val="20"/>
          <w:lang w:val="en"/>
        </w:rPr>
        <w:t>approved for patients with a medical condition:</w:t>
      </w:r>
    </w:p>
    <w:p w14:paraId="283F3EAF" w14:textId="77777777" w:rsidR="00EF0C31" w:rsidRPr="00EF0C31" w:rsidRDefault="00EF0C31" w:rsidP="00EC092D">
      <w:pPr>
        <w:rPr>
          <w:szCs w:val="20"/>
          <w:lang w:val="en"/>
        </w:rPr>
      </w:pPr>
      <w:r w:rsidRPr="00EF0C31">
        <w:rPr>
          <w:szCs w:val="20"/>
          <w:lang w:val="en"/>
        </w:rPr>
        <w:t xml:space="preserve">1. </w:t>
      </w:r>
      <w:r w:rsidR="009115AA" w:rsidRPr="00EF0C31">
        <w:rPr>
          <w:szCs w:val="20"/>
          <w:lang w:val="en"/>
        </w:rPr>
        <w:t>Where</w:t>
      </w:r>
      <w:r w:rsidRPr="00EF0C31">
        <w:rPr>
          <w:szCs w:val="20"/>
          <w:lang w:val="en"/>
        </w:rPr>
        <w:t xml:space="preserve"> there is support for use cited in the Criteria, namely:</w:t>
      </w:r>
    </w:p>
    <w:p w14:paraId="1D5482CA" w14:textId="77777777" w:rsidR="00EF0C31" w:rsidRPr="00EF0C31" w:rsidRDefault="00EF0C31" w:rsidP="00996A16">
      <w:pPr>
        <w:pStyle w:val="ListParagraph"/>
        <w:numPr>
          <w:ilvl w:val="0"/>
          <w:numId w:val="7"/>
        </w:numPr>
        <w:ind w:left="284" w:hanging="284"/>
        <w:rPr>
          <w:szCs w:val="20"/>
          <w:lang w:val="en"/>
        </w:rPr>
      </w:pPr>
      <w:r w:rsidRPr="00EF0C31">
        <w:rPr>
          <w:szCs w:val="20"/>
          <w:lang w:val="en"/>
        </w:rPr>
        <w:t>primary immunodeficiency diseases with antibody deficiency</w:t>
      </w:r>
    </w:p>
    <w:p w14:paraId="4E2A303C" w14:textId="77777777" w:rsidR="00EF0C31" w:rsidRPr="00EF0C31" w:rsidRDefault="00EF0C31" w:rsidP="00996A16">
      <w:pPr>
        <w:pStyle w:val="ListParagraph"/>
        <w:numPr>
          <w:ilvl w:val="0"/>
          <w:numId w:val="7"/>
        </w:numPr>
        <w:ind w:left="284" w:hanging="284"/>
        <w:rPr>
          <w:szCs w:val="20"/>
          <w:lang w:val="en"/>
        </w:rPr>
      </w:pPr>
      <w:r>
        <w:rPr>
          <w:szCs w:val="20"/>
          <w:lang w:val="en"/>
        </w:rPr>
        <w:t>s</w:t>
      </w:r>
      <w:r w:rsidRPr="00EF0C31">
        <w:rPr>
          <w:szCs w:val="20"/>
          <w:lang w:val="en"/>
        </w:rPr>
        <w:t>pecific antibody deficiency</w:t>
      </w:r>
    </w:p>
    <w:p w14:paraId="4389581F" w14:textId="77777777" w:rsidR="00EF0C31" w:rsidRPr="00EF0C31" w:rsidRDefault="00EF0C31" w:rsidP="00996A16">
      <w:pPr>
        <w:pStyle w:val="ListParagraph"/>
        <w:numPr>
          <w:ilvl w:val="0"/>
          <w:numId w:val="7"/>
        </w:numPr>
        <w:ind w:left="284" w:hanging="284"/>
        <w:rPr>
          <w:szCs w:val="20"/>
          <w:lang w:val="en"/>
        </w:rPr>
      </w:pPr>
      <w:r w:rsidRPr="00EF0C31">
        <w:rPr>
          <w:szCs w:val="20"/>
          <w:lang w:val="en"/>
        </w:rPr>
        <w:t>acquired hypogammaglobulinaemia secondary to haematological malignancies, or post-haemopoietic stem cell transplantation (HSCT)</w:t>
      </w:r>
    </w:p>
    <w:p w14:paraId="07066D70" w14:textId="77777777" w:rsidR="00EF0C31" w:rsidRPr="00EF0C31" w:rsidRDefault="00EF0C31" w:rsidP="00996A16">
      <w:pPr>
        <w:pStyle w:val="ListParagraph"/>
        <w:numPr>
          <w:ilvl w:val="0"/>
          <w:numId w:val="7"/>
        </w:numPr>
        <w:ind w:left="284" w:hanging="284"/>
        <w:rPr>
          <w:szCs w:val="20"/>
          <w:lang w:val="en"/>
        </w:rPr>
      </w:pPr>
      <w:r w:rsidRPr="00EF0C31">
        <w:rPr>
          <w:szCs w:val="20"/>
          <w:lang w:val="en"/>
        </w:rPr>
        <w:t>secondary hypogammaglobulinaemia unrelated to haematological malignancies, or post-haemopoietic stem cell transplantation (HSCT)</w:t>
      </w:r>
      <w:r>
        <w:rPr>
          <w:szCs w:val="20"/>
          <w:lang w:val="en"/>
        </w:rPr>
        <w:t>, and</w:t>
      </w:r>
    </w:p>
    <w:p w14:paraId="1CA122CD" w14:textId="77777777" w:rsidR="00D16F54" w:rsidRDefault="00EF0C31" w:rsidP="00EC092D">
      <w:pPr>
        <w:rPr>
          <w:szCs w:val="20"/>
          <w:lang w:val="en"/>
        </w:rPr>
      </w:pPr>
      <w:r w:rsidRPr="00EF0C31">
        <w:rPr>
          <w:szCs w:val="20"/>
          <w:lang w:val="en"/>
        </w:rPr>
        <w:t xml:space="preserve">2. </w:t>
      </w:r>
      <w:r w:rsidR="009115AA" w:rsidRPr="00EF0C31">
        <w:rPr>
          <w:szCs w:val="20"/>
          <w:lang w:val="en"/>
        </w:rPr>
        <w:t>Being</w:t>
      </w:r>
      <w:r w:rsidRPr="00EF0C31">
        <w:rPr>
          <w:szCs w:val="20"/>
          <w:lang w:val="en"/>
        </w:rPr>
        <w:t xml:space="preserve"> treated by a clinical specialist within a hospita</w:t>
      </w:r>
      <w:r>
        <w:rPr>
          <w:szCs w:val="20"/>
          <w:lang w:val="en"/>
        </w:rPr>
        <w:t>l based SCIg program</w:t>
      </w:r>
      <w:r w:rsidRPr="00EF0C31">
        <w:rPr>
          <w:szCs w:val="20"/>
          <w:lang w:val="en"/>
        </w:rPr>
        <w:t>, where the hospital provides access to all resources and takes full accountability for the management and use of the SCIg product, at no additional cost to patients</w:t>
      </w:r>
      <w:r>
        <w:rPr>
          <w:szCs w:val="20"/>
          <w:lang w:val="en"/>
        </w:rPr>
        <w:t>.</w:t>
      </w:r>
    </w:p>
    <w:p w14:paraId="6CC0E664" w14:textId="1385DF63" w:rsidR="00EF0C31" w:rsidRDefault="00EF0C31" w:rsidP="00EC092D">
      <w:pPr>
        <w:rPr>
          <w:szCs w:val="20"/>
          <w:lang w:val="en"/>
        </w:rPr>
      </w:pPr>
      <w:r>
        <w:rPr>
          <w:szCs w:val="20"/>
          <w:lang w:val="en"/>
        </w:rPr>
        <w:t xml:space="preserve">Further details on the requirements for access to SCIg products are available at </w:t>
      </w:r>
      <w:hyperlink r:id="rId14" w:tooltip="link to blood website" w:history="1">
        <w:r w:rsidRPr="001C7520">
          <w:rPr>
            <w:rStyle w:val="Hyperlink"/>
            <w:szCs w:val="20"/>
            <w:lang w:val="en"/>
          </w:rPr>
          <w:t>https://www.blood.gov.au/SCIg</w:t>
        </w:r>
      </w:hyperlink>
      <w:r>
        <w:rPr>
          <w:szCs w:val="20"/>
          <w:lang w:val="en"/>
        </w:rPr>
        <w:t xml:space="preserve">. </w:t>
      </w:r>
      <w:r w:rsidR="0020516C" w:rsidRPr="00ED34B1">
        <w:rPr>
          <w:szCs w:val="20"/>
          <w:lang w:val="en"/>
        </w:rPr>
        <w:t>Note however, that the above hospital SCIg access model is scheduled for review in 2019 which may extend the range of ways in which patients can access SCIg.</w:t>
      </w:r>
      <w:r w:rsidR="0020516C">
        <w:rPr>
          <w:szCs w:val="20"/>
          <w:lang w:val="en"/>
        </w:rPr>
        <w:t xml:space="preserve"> </w:t>
      </w:r>
      <w:r>
        <w:rPr>
          <w:szCs w:val="20"/>
          <w:lang w:val="en"/>
        </w:rPr>
        <w:t xml:space="preserve">The policy decision of governments to fund access to SCIg products was supported by advice from the Medical Services Advisory Committee which can be found at </w:t>
      </w:r>
      <w:hyperlink r:id="rId15" w:tooltip="link to MSAC website" w:history="1">
        <w:r w:rsidRPr="001C7520">
          <w:rPr>
            <w:rStyle w:val="Hyperlink"/>
            <w:szCs w:val="20"/>
            <w:lang w:val="en"/>
          </w:rPr>
          <w:t>http://www.msac.gov.au/internet/msac/publishing.nsf/Content/1334-public</w:t>
        </w:r>
      </w:hyperlink>
      <w:r>
        <w:rPr>
          <w:szCs w:val="20"/>
          <w:lang w:val="en"/>
        </w:rPr>
        <w:t xml:space="preserve">  </w:t>
      </w:r>
    </w:p>
    <w:p w14:paraId="3F5374F4" w14:textId="5DD045C5" w:rsidR="00D16F54" w:rsidRDefault="00D16F54" w:rsidP="00EC092D">
      <w:r>
        <w:t xml:space="preserve">A detailed statement of the basis on which Ig is available under Version 3 of the </w:t>
      </w:r>
      <w:r w:rsidRPr="00213C63">
        <w:t>Criteria</w:t>
      </w:r>
      <w:r w:rsidR="00295036">
        <w:t xml:space="preserve"> for the condition in this referral</w:t>
      </w:r>
      <w:r>
        <w:t xml:space="preserve"> is provided </w:t>
      </w:r>
      <w:r w:rsidRPr="00F377BC">
        <w:t xml:space="preserve">in </w:t>
      </w:r>
      <w:r w:rsidRPr="00F377BC">
        <w:rPr>
          <w:u w:val="single"/>
        </w:rPr>
        <w:t xml:space="preserve">Attachment </w:t>
      </w:r>
      <w:r w:rsidR="00874DC1" w:rsidRPr="00F377BC">
        <w:rPr>
          <w:u w:val="single"/>
        </w:rPr>
        <w:t>B</w:t>
      </w:r>
      <w:r w:rsidRPr="00F377BC">
        <w:t>,</w:t>
      </w:r>
      <w:r>
        <w:t xml:space="preserve"> which includes all evidence items which form part of the basis for access </w:t>
      </w:r>
      <w:r w:rsidRPr="00BC0123">
        <w:t>through the implementation of Version 3 of the Criteria in BloodSTAR.</w:t>
      </w:r>
      <w:r w:rsidR="000710C9" w:rsidRPr="00BC0123">
        <w:t xml:space="preserve"> </w:t>
      </w:r>
      <w:r w:rsidR="003C3905" w:rsidRPr="00BC0123">
        <w:t>A summary of th</w:t>
      </w:r>
      <w:r w:rsidR="00F01A7A" w:rsidRPr="00BC0123">
        <w:t>ese</w:t>
      </w:r>
      <w:r w:rsidR="003C3905" w:rsidRPr="00BC0123">
        <w:t xml:space="preserve"> criteria is provided at </w:t>
      </w:r>
      <w:r w:rsidR="003C3905" w:rsidRPr="00BC0123">
        <w:rPr>
          <w:u w:val="single"/>
        </w:rPr>
        <w:t xml:space="preserve">Attachment C. </w:t>
      </w:r>
      <w:r w:rsidR="000710C9" w:rsidRPr="00BC0123">
        <w:t>Evolution of the Criteria is expected to be a continuing process</w:t>
      </w:r>
      <w:r w:rsidR="00F01A7A" w:rsidRPr="00BC0123">
        <w:t>.  F</w:t>
      </w:r>
      <w:r w:rsidR="000710C9" w:rsidRPr="00BC0123">
        <w:t>or this reason any changes made to the Criteria V3 for the condition under this review</w:t>
      </w:r>
      <w:r w:rsidR="004A29EF" w:rsidRPr="00BC0123">
        <w:t>,</w:t>
      </w:r>
      <w:r w:rsidR="000710C9" w:rsidRPr="00BC0123">
        <w:t xml:space="preserve"> that </w:t>
      </w:r>
      <w:r w:rsidR="004A29EF" w:rsidRPr="00BC0123">
        <w:t xml:space="preserve">occur during the assessment process </w:t>
      </w:r>
      <w:r w:rsidR="00F01A7A" w:rsidRPr="00BC0123">
        <w:t xml:space="preserve">that </w:t>
      </w:r>
      <w:r w:rsidR="000710C9" w:rsidRPr="00BC0123">
        <w:t>could potentially affect outcomes, will be communicated as an adjustment to this referral if and when the changes occur.</w:t>
      </w:r>
    </w:p>
    <w:p w14:paraId="7FBA7A65" w14:textId="1A118C35" w:rsidR="00EB2006" w:rsidRPr="00EA02FA" w:rsidRDefault="007550D1" w:rsidP="00EC092D">
      <w:r>
        <w:t>T</w:t>
      </w:r>
      <w:r w:rsidR="004D2B5C" w:rsidRPr="00ED34B1">
        <w:t>here could be differences in response rates between IVIg and SCIg for some of the selected outcomes (adverse events, d</w:t>
      </w:r>
      <w:r w:rsidR="0020516C" w:rsidRPr="00ED34B1">
        <w:t xml:space="preserve">isability, venous damage), and </w:t>
      </w:r>
      <w:r w:rsidR="004D2B5C" w:rsidRPr="00ED34B1">
        <w:t>differences in he</w:t>
      </w:r>
      <w:r w:rsidR="0020516C" w:rsidRPr="00ED34B1">
        <w:t xml:space="preserve">alth service consumption (e.g. </w:t>
      </w:r>
      <w:r w:rsidR="004D2B5C" w:rsidRPr="00ED34B1">
        <w:t>outpatient</w:t>
      </w:r>
      <w:r w:rsidR="002D03B5" w:rsidRPr="00ED34B1">
        <w:t>,</w:t>
      </w:r>
      <w:r w:rsidR="004D2B5C" w:rsidRPr="00ED34B1">
        <w:t xml:space="preserve"> day- admission</w:t>
      </w:r>
      <w:r w:rsidR="002D03B5" w:rsidRPr="00ED34B1">
        <w:t>,</w:t>
      </w:r>
      <w:r w:rsidR="004D2B5C" w:rsidRPr="00ED34B1">
        <w:t xml:space="preserve"> hospital care v self-care)</w:t>
      </w:r>
      <w:r>
        <w:t>. However</w:t>
      </w:r>
      <w:r w:rsidR="000602A5">
        <w:t>,</w:t>
      </w:r>
      <w:r>
        <w:t xml:space="preserve"> the product </w:t>
      </w:r>
      <w:r w:rsidR="00A96C63">
        <w:t>for both IVIg and SCIg is immunoglobulin (Ig)</w:t>
      </w:r>
      <w:r>
        <w:t xml:space="preserve"> and for this reason</w:t>
      </w:r>
      <w:r w:rsidR="004D2B5C" w:rsidRPr="00ED34B1">
        <w:t xml:space="preserve"> it is recommended that</w:t>
      </w:r>
      <w:r w:rsidR="00A96C63">
        <w:t xml:space="preserve"> </w:t>
      </w:r>
      <w:r w:rsidR="00F25423">
        <w:t>Ig</w:t>
      </w:r>
      <w:r w:rsidR="00A96C63">
        <w:t xml:space="preserve"> </w:t>
      </w:r>
      <w:r>
        <w:t>is the intervention and</w:t>
      </w:r>
      <w:r w:rsidR="004D2B5C" w:rsidRPr="00ED34B1">
        <w:t xml:space="preserve"> IVIg and SCIg are considered as</w:t>
      </w:r>
      <w:r>
        <w:t xml:space="preserve"> different routes of administration.</w:t>
      </w:r>
    </w:p>
    <w:p w14:paraId="2FF67904" w14:textId="77777777" w:rsidR="00D16F54" w:rsidRPr="005D002D" w:rsidRDefault="00D16F54" w:rsidP="005D002D">
      <w:pPr>
        <w:ind w:left="284" w:hanging="284"/>
        <w:rPr>
          <w:i/>
        </w:rPr>
      </w:pPr>
      <w:r w:rsidRPr="005D002D">
        <w:t>c)</w:t>
      </w:r>
      <w:r w:rsidRPr="005D002D">
        <w:tab/>
      </w:r>
      <w:r w:rsidRPr="005D002D">
        <w:rPr>
          <w:i/>
        </w:rPr>
        <w:t>NBA supply arrangements</w:t>
      </w:r>
    </w:p>
    <w:p w14:paraId="1D8D5FE7" w14:textId="77777777" w:rsidR="00D16F54" w:rsidRDefault="00D16F54" w:rsidP="00EC092D">
      <w:r>
        <w:t xml:space="preserve">The </w:t>
      </w:r>
      <w:r w:rsidR="00EF0C31">
        <w:t>NBA has provided national supply of immunoglobulin products from Australian domestic arrangements for collection of plasma by the Australian Red Cross Blood Service and plasma fractionation by CSL Behring Pty Ltd and through imported product arrangements from a range of possible suppliers, since 2003.</w:t>
      </w:r>
    </w:p>
    <w:p w14:paraId="53A4E567" w14:textId="77777777" w:rsidR="00EF0C31" w:rsidRDefault="00EF0C31" w:rsidP="00EC092D">
      <w:r>
        <w:t xml:space="preserve">NBA supply arrangements have evolved over that period with increasing demand for publicly funded Ig, with increasing numbers of Ig </w:t>
      </w:r>
      <w:r w:rsidR="00946403">
        <w:t>products</w:t>
      </w:r>
      <w:r>
        <w:t xml:space="preserve"> registered for use in Australia on the ARTG, and </w:t>
      </w:r>
      <w:r w:rsidR="002D03B5">
        <w:t>with the addition of SCIg</w:t>
      </w:r>
      <w:r w:rsidR="00946403">
        <w:t xml:space="preserve"> in addition to IVIg products under the National Blood Arrangements</w:t>
      </w:r>
      <w:r>
        <w:t>.</w:t>
      </w:r>
    </w:p>
    <w:p w14:paraId="78017B01" w14:textId="77777777" w:rsidR="00946403" w:rsidRDefault="00946403" w:rsidP="00EC092D">
      <w:r>
        <w:t>NBA supply arrangements do not simply fund all Ig products registered in Australia from time to time.  To support supply security, good contract performance and value for money through competitive tendering, NBA arrangements currently include supply of multiple products from different sources and with some differing characteristics.</w:t>
      </w:r>
    </w:p>
    <w:p w14:paraId="6BD8C65A" w14:textId="77777777" w:rsidR="00946403" w:rsidRDefault="00946403" w:rsidP="00EC092D">
      <w:r>
        <w:t>However, i</w:t>
      </w:r>
      <w:r w:rsidR="00EF0C31">
        <w:t xml:space="preserve">n general, NBA arrangements </w:t>
      </w:r>
      <w:r>
        <w:t xml:space="preserve">follow the </w:t>
      </w:r>
      <w:r w:rsidRPr="00946403">
        <w:t>approach of TGA regulation</w:t>
      </w:r>
      <w:r>
        <w:t xml:space="preserve"> and the </w:t>
      </w:r>
      <w:r w:rsidRPr="00866CE7">
        <w:t>Criteria</w:t>
      </w:r>
      <w:r w:rsidRPr="00946403">
        <w:t xml:space="preserve"> and do not differentiate between individual brands of Ig products in relation to funded access under the National Blood Arrangements.</w:t>
      </w:r>
      <w:r>
        <w:t xml:space="preserve"> The most recent tender process for imported Ig products conducted by the NBA for supply from</w:t>
      </w:r>
      <w:r w:rsidR="002D03B5">
        <w:t xml:space="preserve"> </w:t>
      </w:r>
      <w:r>
        <w:t>1</w:t>
      </w:r>
      <w:r w:rsidR="002D03B5">
        <w:t> </w:t>
      </w:r>
      <w:r>
        <w:t xml:space="preserve">January 2016 allowed for tenderers to put forward substantiated claims supporting the clinical fitness for purpose and utility of particular Ig products, which were then taken into account as one factor in the qualitative tender assessment process. </w:t>
      </w:r>
    </w:p>
    <w:p w14:paraId="763E6799" w14:textId="2B19F948" w:rsidR="00A876CA" w:rsidRDefault="00721DB9" w:rsidP="00144E3C">
      <w:pPr>
        <w:tabs>
          <w:tab w:val="left" w:pos="284"/>
        </w:tabs>
      </w:pPr>
      <w:r>
        <w:t xml:space="preserve">Currently Ig products supplied under the National Blood </w:t>
      </w:r>
      <w:r w:rsidR="0064174D">
        <w:t>A</w:t>
      </w:r>
      <w:r>
        <w:t xml:space="preserve">rrangements are manufactured by </w:t>
      </w:r>
      <w:r w:rsidR="0026437B">
        <w:t xml:space="preserve">the suppliers listed on the National Product List found at </w:t>
      </w:r>
      <w:hyperlink r:id="rId16" w:tooltip="link to blood website" w:history="1">
        <w:r w:rsidR="00BC0123" w:rsidRPr="00AB1418">
          <w:rPr>
            <w:rStyle w:val="Hyperlink"/>
          </w:rPr>
          <w:t>https://www.blood.gov.au/national-product-list</w:t>
        </w:r>
      </w:hyperlink>
      <w:r w:rsidR="00BC0123">
        <w:t xml:space="preserve">.  </w:t>
      </w:r>
    </w:p>
    <w:p w14:paraId="531950FE" w14:textId="45A5E8DC" w:rsidR="00A876CA" w:rsidRDefault="00A876CA" w:rsidP="00242EA6">
      <w:r>
        <w:t>Under NBA supply arrangements, all Ig product suppliers deliver products to the Australian Red Cross Blood Service</w:t>
      </w:r>
      <w:r w:rsidR="00F01A7A">
        <w:t xml:space="preserve"> (The Blood Service)</w:t>
      </w:r>
      <w:r>
        <w:t xml:space="preserve">. The </w:t>
      </w:r>
      <w:r w:rsidR="00F01A7A">
        <w:t xml:space="preserve">Blood Service </w:t>
      </w:r>
      <w:r>
        <w:t>operates as a secondary distributor of Ig products to hospitals and other health care facilities under a separate contract with the NBA.</w:t>
      </w:r>
    </w:p>
    <w:p w14:paraId="0D44F638" w14:textId="183AEF2A" w:rsidR="00285718" w:rsidRDefault="008C1E99" w:rsidP="000602A5">
      <w:pPr>
        <w:pStyle w:val="Heading2"/>
        <w:shd w:val="clear" w:color="auto" w:fill="D9D9D9" w:themeFill="background1" w:themeFillShade="D9"/>
        <w:ind w:left="284" w:hanging="284"/>
      </w:pPr>
      <w:r>
        <w:t>Provide a list of the medical condition/s and indications for which Immunoglobulin is funded under the National Blood Arrangements</w:t>
      </w:r>
      <w:r w:rsidR="00AE7016">
        <w:t xml:space="preserve"> within the scope of this referral</w:t>
      </w:r>
      <w:r>
        <w:t xml:space="preserve">. </w:t>
      </w:r>
      <w:r w:rsidR="00285718">
        <w:t xml:space="preserve">Please indicate the specific </w:t>
      </w:r>
      <w:r w:rsidR="00285718" w:rsidRPr="001D0BA2">
        <w:t xml:space="preserve">Ig product(s) within the scope of this </w:t>
      </w:r>
      <w:r w:rsidR="00721DB9">
        <w:t>referral</w:t>
      </w:r>
      <w:r w:rsidR="00F25423">
        <w:t xml:space="preserve"> and the</w:t>
      </w:r>
      <w:r w:rsidR="00285718" w:rsidRPr="00625212">
        <w:t xml:space="preserve"> manner of administration (eg intravenous or subcutaneous)?</w:t>
      </w:r>
    </w:p>
    <w:p w14:paraId="13BC227D" w14:textId="38A6B3AC" w:rsidR="00896CD6" w:rsidRPr="00896CD6" w:rsidRDefault="00896CD6" w:rsidP="00896CD6">
      <w:r w:rsidRPr="00896CD6">
        <w:t>This referral relates to the medical condition “</w:t>
      </w:r>
      <w:r>
        <w:t>Primary Immunodeficiency disease (PID) with antibody deficiency</w:t>
      </w:r>
      <w:r w:rsidRPr="00896CD6">
        <w:t>”.</w:t>
      </w:r>
    </w:p>
    <w:p w14:paraId="3383C0F2" w14:textId="3AFDBD62" w:rsidR="00896CD6" w:rsidRPr="00896CD6" w:rsidRDefault="00896CD6" w:rsidP="00896CD6">
      <w:r w:rsidRPr="00896CD6">
        <w:t xml:space="preserve">Ig is used as immunoreplacement therapy in </w:t>
      </w:r>
      <w:r>
        <w:t>PID</w:t>
      </w:r>
      <w:r w:rsidRPr="00896CD6">
        <w:t>.</w:t>
      </w:r>
    </w:p>
    <w:p w14:paraId="5ADE8449" w14:textId="77777777" w:rsidR="00896CD6" w:rsidRDefault="00896CD6" w:rsidP="00896CD6">
      <w:r w:rsidRPr="00896CD6">
        <w:t>The indication</w:t>
      </w:r>
      <w:r>
        <w:t>s</w:t>
      </w:r>
      <w:r w:rsidRPr="00896CD6">
        <w:t xml:space="preserve"> for use under V</w:t>
      </w:r>
      <w:r>
        <w:t>ersion 3 (V3) of the Criteria are:</w:t>
      </w:r>
    </w:p>
    <w:p w14:paraId="1810FC3F" w14:textId="56F1C7CE" w:rsidR="00896CD6" w:rsidRPr="00896CD6" w:rsidRDefault="00896CD6" w:rsidP="00E82EAF">
      <w:pPr>
        <w:numPr>
          <w:ilvl w:val="0"/>
          <w:numId w:val="14"/>
        </w:numPr>
      </w:pPr>
      <w:r w:rsidRPr="00896CD6">
        <w:t>Replacement therapy in common variable immune deficiency (CVID) – ESID diagnostic criteria met</w:t>
      </w:r>
    </w:p>
    <w:p w14:paraId="2DFE4C65" w14:textId="3A8E4518" w:rsidR="00896CD6" w:rsidRPr="00896CD6" w:rsidRDefault="00896CD6" w:rsidP="00E82EAF">
      <w:pPr>
        <w:numPr>
          <w:ilvl w:val="0"/>
          <w:numId w:val="14"/>
        </w:numPr>
      </w:pPr>
      <w:r w:rsidRPr="00896CD6">
        <w:t>Replacement therapy in possible common variable immune deficiency (CVID) – (below normal serum IgG but normal serum IgA level)</w:t>
      </w:r>
    </w:p>
    <w:p w14:paraId="2BDB0D47" w14:textId="2195F2D9" w:rsidR="00896CD6" w:rsidRPr="00896CD6" w:rsidRDefault="00896CD6" w:rsidP="00E82EAF">
      <w:pPr>
        <w:numPr>
          <w:ilvl w:val="0"/>
          <w:numId w:val="14"/>
        </w:numPr>
      </w:pPr>
      <w:r w:rsidRPr="00896CD6">
        <w:t>Replacement therapy in transient hypogammaglobulinaemia of infancy (children aged less than 4 years)</w:t>
      </w:r>
    </w:p>
    <w:p w14:paraId="3E06F993" w14:textId="6A233B7C" w:rsidR="00896CD6" w:rsidRDefault="00896CD6" w:rsidP="00E82EAF">
      <w:pPr>
        <w:numPr>
          <w:ilvl w:val="0"/>
          <w:numId w:val="14"/>
        </w:numPr>
      </w:pPr>
      <w:r w:rsidRPr="00896CD6">
        <w:t>Replacement therapy in recognised primary immunodeficiencies for which immunoglobulin replacement is universally indicated (e.g. SCID, Wiskott-Aldrich syndrome, etc.)</w:t>
      </w:r>
    </w:p>
    <w:p w14:paraId="3AD205B2" w14:textId="77777777" w:rsidR="00896CD6" w:rsidRPr="00896CD6" w:rsidRDefault="00896CD6" w:rsidP="00896CD6">
      <w:r w:rsidRPr="00896CD6">
        <w:t>The specific conditions within this medical condition include:</w:t>
      </w:r>
    </w:p>
    <w:p w14:paraId="653EF2D7" w14:textId="77777777" w:rsidR="00896CD6" w:rsidRPr="00896CD6" w:rsidRDefault="00896CD6" w:rsidP="00996A16">
      <w:pPr>
        <w:numPr>
          <w:ilvl w:val="0"/>
          <w:numId w:val="14"/>
        </w:numPr>
      </w:pPr>
      <w:r w:rsidRPr="00896CD6">
        <w:t>Severe combined immunodeficiency (SCID)</w:t>
      </w:r>
    </w:p>
    <w:p w14:paraId="3AF71F29" w14:textId="77777777" w:rsidR="00896CD6" w:rsidRPr="00896CD6" w:rsidRDefault="00896CD6" w:rsidP="00996A16">
      <w:pPr>
        <w:numPr>
          <w:ilvl w:val="0"/>
          <w:numId w:val="14"/>
        </w:numPr>
      </w:pPr>
      <w:r w:rsidRPr="00896CD6">
        <w:t>Combined immunodeficiency generally less profound than SCID (e.g. thymoma)</w:t>
      </w:r>
    </w:p>
    <w:p w14:paraId="357347CE" w14:textId="77777777" w:rsidR="00896CD6" w:rsidRPr="00896CD6" w:rsidRDefault="00896CD6" w:rsidP="00996A16">
      <w:pPr>
        <w:numPr>
          <w:ilvl w:val="0"/>
          <w:numId w:val="14"/>
        </w:numPr>
      </w:pPr>
      <w:r w:rsidRPr="00896CD6">
        <w:t>Combined immunodeficiency with associated or syndromal features (e.g. Wiskott Aldrich syndrome; ataxia telangiectasia)</w:t>
      </w:r>
    </w:p>
    <w:p w14:paraId="2296707F" w14:textId="77777777" w:rsidR="00896CD6" w:rsidRPr="00896CD6" w:rsidRDefault="00896CD6" w:rsidP="00996A16">
      <w:pPr>
        <w:numPr>
          <w:ilvl w:val="0"/>
          <w:numId w:val="14"/>
        </w:numPr>
      </w:pPr>
      <w:r w:rsidRPr="00896CD6">
        <w:t>Severe reduction in all Ig isotypes with decreased or absent B-cells (e.g. XLA def)</w:t>
      </w:r>
    </w:p>
    <w:p w14:paraId="006676A2" w14:textId="77777777" w:rsidR="00896CD6" w:rsidRPr="00896CD6" w:rsidRDefault="00896CD6" w:rsidP="00996A16">
      <w:pPr>
        <w:numPr>
          <w:ilvl w:val="0"/>
          <w:numId w:val="14"/>
        </w:numPr>
      </w:pPr>
      <w:r w:rsidRPr="00896CD6">
        <w:t>Severe reduction in at least two Ig isotypes with low/normal B-cells (e.g. CVID)</w:t>
      </w:r>
    </w:p>
    <w:p w14:paraId="75E1C4B1" w14:textId="77777777" w:rsidR="00896CD6" w:rsidRPr="00896CD6" w:rsidRDefault="00896CD6" w:rsidP="00996A16">
      <w:pPr>
        <w:numPr>
          <w:ilvl w:val="0"/>
          <w:numId w:val="14"/>
        </w:numPr>
      </w:pPr>
      <w:r w:rsidRPr="00896CD6">
        <w:t>Severe reduction in serum IgG and IgA with normal/elevated IgM (e.g. CD40L def)</w:t>
      </w:r>
    </w:p>
    <w:p w14:paraId="7143C212" w14:textId="77777777" w:rsidR="00896CD6" w:rsidRPr="00896CD6" w:rsidRDefault="00896CD6" w:rsidP="00996A16">
      <w:pPr>
        <w:numPr>
          <w:ilvl w:val="0"/>
          <w:numId w:val="14"/>
        </w:numPr>
      </w:pPr>
      <w:r w:rsidRPr="00896CD6">
        <w:t>Transient hypogammaglobulinaemia of infancy</w:t>
      </w:r>
    </w:p>
    <w:p w14:paraId="4F7919DC" w14:textId="77777777" w:rsidR="00896CD6" w:rsidRPr="00896CD6" w:rsidRDefault="00896CD6" w:rsidP="00996A16">
      <w:pPr>
        <w:numPr>
          <w:ilvl w:val="0"/>
          <w:numId w:val="14"/>
        </w:numPr>
      </w:pPr>
      <w:r w:rsidRPr="00896CD6">
        <w:t>Lymphoproliferative syndromes (e.g. XLP1, XLP2, CD27 def)</w:t>
      </w:r>
    </w:p>
    <w:p w14:paraId="73E1E75C" w14:textId="77777777" w:rsidR="00896CD6" w:rsidRPr="00896CD6" w:rsidRDefault="00896CD6" w:rsidP="00996A16">
      <w:pPr>
        <w:numPr>
          <w:ilvl w:val="0"/>
          <w:numId w:val="14"/>
        </w:numPr>
      </w:pPr>
      <w:r w:rsidRPr="00896CD6">
        <w:t>Possible Common variable immune deficiency (CVID) - below normal serum IgG but normal serum IgA level</w:t>
      </w:r>
    </w:p>
    <w:p w14:paraId="73F9D453" w14:textId="07F5FBB6" w:rsidR="000602A5" w:rsidRDefault="00896CD6">
      <w:pPr>
        <w:spacing w:before="0" w:after="200" w:line="276" w:lineRule="auto"/>
        <w:rPr>
          <w:bCs/>
          <w:color w:val="4F81BD" w:themeColor="accent1"/>
          <w:sz w:val="40"/>
          <w:szCs w:val="32"/>
        </w:rPr>
      </w:pPr>
      <w:r w:rsidRPr="00896CD6">
        <w:t>This particular referral is for Ig as a whole, as SCIg is currently funded under the National Blood Arrangements for this condition. As above, it is recommended that immunoglobulin is the intervention for this medical condition and IVIg and SCIg are considered as different routes of administration.</w:t>
      </w:r>
    </w:p>
    <w:p w14:paraId="75D536B7" w14:textId="77777777" w:rsidR="00226777" w:rsidRPr="00C776B1" w:rsidRDefault="00226777" w:rsidP="00162108">
      <w:pPr>
        <w:pStyle w:val="Heading1"/>
        <w:tabs>
          <w:tab w:val="left" w:pos="284"/>
        </w:tabs>
        <w:ind w:left="284" w:hanging="284"/>
      </w:pPr>
      <w:r w:rsidRPr="00C776B1">
        <w:t>INFORMATION ABOUT REGULATORY REQUIREMENTS</w:t>
      </w:r>
    </w:p>
    <w:p w14:paraId="0FA0FD0D" w14:textId="41B9D55C" w:rsidR="00EA02FA" w:rsidRDefault="001004CD" w:rsidP="000602A5">
      <w:pPr>
        <w:pStyle w:val="Heading2"/>
        <w:shd w:val="clear" w:color="auto" w:fill="D9D9D9" w:themeFill="background1" w:themeFillShade="D9"/>
        <w:ind w:left="284" w:hanging="284"/>
      </w:pPr>
      <w:r>
        <w:t>Has Ig been registered in the Australia</w:t>
      </w:r>
      <w:r w:rsidR="00C2356B">
        <w:t>n</w:t>
      </w:r>
      <w:r>
        <w:t xml:space="preserve"> Register of Therapeutic Goods (ARTG), for any of the medical condition/s and indications within the scope of this Referral?</w:t>
      </w:r>
    </w:p>
    <w:p w14:paraId="7DADBB0B" w14:textId="00A731C5" w:rsidR="00212CE7" w:rsidRPr="00B17921" w:rsidRDefault="000602A5" w:rsidP="00C53002">
      <w:pPr>
        <w:rPr>
          <w:b/>
        </w:rPr>
      </w:pPr>
      <w:r w:rsidRPr="00C53002">
        <w:rPr>
          <w:i/>
          <w:u w:val="single"/>
        </w:rPr>
        <w:t xml:space="preserve">Table </w:t>
      </w:r>
      <w:r w:rsidR="00C53002" w:rsidRPr="00C53002">
        <w:rPr>
          <w:i/>
          <w:u w:val="single"/>
        </w:rPr>
        <w:t>1</w:t>
      </w:r>
      <w:r w:rsidR="004A29EF">
        <w:rPr>
          <w:i/>
          <w:u w:val="single"/>
        </w:rPr>
        <w:t>:</w:t>
      </w:r>
      <w:r w:rsidRPr="00C53002">
        <w:rPr>
          <w:i/>
          <w:u w:val="single"/>
        </w:rPr>
        <w:t xml:space="preserve"> </w:t>
      </w:r>
      <w:r w:rsidR="004A29EF">
        <w:rPr>
          <w:i/>
          <w:u w:val="single"/>
        </w:rPr>
        <w:t>R</w:t>
      </w:r>
      <w:r w:rsidRPr="00C53002">
        <w:rPr>
          <w:i/>
          <w:u w:val="single"/>
        </w:rPr>
        <w:t>egistered Ig products relevant to this referral</w:t>
      </w:r>
    </w:p>
    <w:tbl>
      <w:tblPr>
        <w:tblStyle w:val="TableGrid"/>
        <w:tblW w:w="9101" w:type="dxa"/>
        <w:tblInd w:w="108" w:type="dxa"/>
        <w:tblLayout w:type="fixed"/>
        <w:tblLook w:val="04A0" w:firstRow="1" w:lastRow="0" w:firstColumn="1" w:lastColumn="0" w:noHBand="0" w:noVBand="1"/>
        <w:tblDescription w:val="Table 1: Registered Ig products relevant to this referral"/>
      </w:tblPr>
      <w:tblGrid>
        <w:gridCol w:w="3856"/>
        <w:gridCol w:w="1843"/>
        <w:gridCol w:w="1701"/>
        <w:gridCol w:w="1701"/>
      </w:tblGrid>
      <w:tr w:rsidR="0026437B" w:rsidRPr="00EB224C" w14:paraId="405D3E4E" w14:textId="77777777" w:rsidTr="0026437B">
        <w:trPr>
          <w:tblHeader/>
        </w:trPr>
        <w:tc>
          <w:tcPr>
            <w:tcW w:w="3856" w:type="dxa"/>
          </w:tcPr>
          <w:p w14:paraId="0CED8E02" w14:textId="77777777" w:rsidR="0026437B" w:rsidRPr="00EB224C" w:rsidRDefault="0026437B" w:rsidP="006A0F9D">
            <w:pPr>
              <w:tabs>
                <w:tab w:val="left" w:pos="284"/>
              </w:tabs>
              <w:spacing w:before="0" w:after="0"/>
              <w:ind w:left="284" w:hanging="284"/>
              <w:rPr>
                <w:b/>
                <w:sz w:val="18"/>
                <w:szCs w:val="20"/>
              </w:rPr>
            </w:pPr>
            <w:r w:rsidRPr="00EB224C">
              <w:rPr>
                <w:b/>
                <w:sz w:val="18"/>
                <w:szCs w:val="20"/>
              </w:rPr>
              <w:t>Product name and company</w:t>
            </w:r>
          </w:p>
        </w:tc>
        <w:tc>
          <w:tcPr>
            <w:tcW w:w="1843" w:type="dxa"/>
          </w:tcPr>
          <w:p w14:paraId="106DA3B1" w14:textId="77777777" w:rsidR="0026437B" w:rsidRDefault="0026437B" w:rsidP="006A0F9D">
            <w:pPr>
              <w:tabs>
                <w:tab w:val="left" w:pos="0"/>
              </w:tabs>
              <w:spacing w:before="0" w:after="0"/>
              <w:ind w:left="284" w:hanging="284"/>
              <w:rPr>
                <w:b/>
                <w:sz w:val="18"/>
                <w:szCs w:val="20"/>
              </w:rPr>
            </w:pPr>
            <w:r w:rsidRPr="00725113">
              <w:rPr>
                <w:b/>
                <w:sz w:val="18"/>
                <w:szCs w:val="20"/>
              </w:rPr>
              <w:t>Route of</w:t>
            </w:r>
          </w:p>
          <w:p w14:paraId="592D8348" w14:textId="77777777" w:rsidR="0026437B" w:rsidRPr="00EB224C" w:rsidRDefault="0026437B" w:rsidP="006A0F9D">
            <w:pPr>
              <w:tabs>
                <w:tab w:val="left" w:pos="0"/>
              </w:tabs>
              <w:spacing w:before="0" w:after="0"/>
              <w:ind w:left="284" w:hanging="284"/>
              <w:rPr>
                <w:b/>
                <w:sz w:val="18"/>
                <w:szCs w:val="20"/>
              </w:rPr>
            </w:pPr>
            <w:r w:rsidRPr="00725113">
              <w:rPr>
                <w:b/>
                <w:sz w:val="18"/>
                <w:szCs w:val="20"/>
              </w:rPr>
              <w:t>Administration</w:t>
            </w:r>
          </w:p>
        </w:tc>
        <w:tc>
          <w:tcPr>
            <w:tcW w:w="1701" w:type="dxa"/>
          </w:tcPr>
          <w:p w14:paraId="42125406" w14:textId="73B90D75" w:rsidR="0026437B" w:rsidRPr="00EB224C" w:rsidRDefault="0026437B" w:rsidP="00E82EAF">
            <w:pPr>
              <w:tabs>
                <w:tab w:val="left" w:pos="0"/>
              </w:tabs>
              <w:spacing w:before="0" w:after="0"/>
              <w:ind w:left="5" w:hanging="5"/>
              <w:rPr>
                <w:b/>
                <w:sz w:val="18"/>
                <w:szCs w:val="20"/>
              </w:rPr>
            </w:pPr>
            <w:r w:rsidRPr="00EB224C">
              <w:rPr>
                <w:b/>
                <w:sz w:val="18"/>
                <w:szCs w:val="20"/>
              </w:rPr>
              <w:t xml:space="preserve">TGA indication for </w:t>
            </w:r>
            <w:r>
              <w:rPr>
                <w:b/>
                <w:color w:val="7030A0"/>
                <w:sz w:val="18"/>
                <w:szCs w:val="20"/>
              </w:rPr>
              <w:t>PID</w:t>
            </w:r>
          </w:p>
        </w:tc>
        <w:tc>
          <w:tcPr>
            <w:tcW w:w="1701" w:type="dxa"/>
          </w:tcPr>
          <w:p w14:paraId="542E2F1D" w14:textId="4D3958C1" w:rsidR="0026437B" w:rsidRPr="00EB224C" w:rsidRDefault="0026437B" w:rsidP="00E82EAF">
            <w:pPr>
              <w:tabs>
                <w:tab w:val="left" w:pos="5"/>
              </w:tabs>
              <w:spacing w:before="0" w:after="0"/>
              <w:ind w:left="5" w:hanging="5"/>
              <w:rPr>
                <w:b/>
                <w:sz w:val="18"/>
                <w:szCs w:val="20"/>
              </w:rPr>
            </w:pPr>
            <w:r w:rsidRPr="00EB224C">
              <w:rPr>
                <w:b/>
                <w:sz w:val="18"/>
                <w:szCs w:val="20"/>
              </w:rPr>
              <w:t xml:space="preserve">NBA Funded for </w:t>
            </w:r>
            <w:r>
              <w:rPr>
                <w:b/>
                <w:color w:val="7030A0"/>
                <w:sz w:val="18"/>
                <w:szCs w:val="20"/>
              </w:rPr>
              <w:t>PID</w:t>
            </w:r>
          </w:p>
        </w:tc>
      </w:tr>
      <w:tr w:rsidR="0026437B" w:rsidRPr="00EB224C" w14:paraId="4735BE6A" w14:textId="77777777" w:rsidTr="0026437B">
        <w:tc>
          <w:tcPr>
            <w:tcW w:w="3856" w:type="dxa"/>
          </w:tcPr>
          <w:p w14:paraId="049D2CE0" w14:textId="77777777" w:rsidR="0026437B" w:rsidRDefault="0026437B" w:rsidP="009874FD">
            <w:pPr>
              <w:tabs>
                <w:tab w:val="left" w:pos="284"/>
              </w:tabs>
              <w:spacing w:before="0" w:after="0"/>
              <w:ind w:left="284" w:hanging="284"/>
              <w:rPr>
                <w:sz w:val="18"/>
                <w:szCs w:val="20"/>
              </w:rPr>
            </w:pPr>
            <w:r w:rsidRPr="00725113">
              <w:rPr>
                <w:sz w:val="18"/>
                <w:szCs w:val="20"/>
              </w:rPr>
              <w:t xml:space="preserve">Privigen 10% – CSL Behring Australia P/L  </w:t>
            </w:r>
          </w:p>
          <w:p w14:paraId="3983AA7A" w14:textId="1CCF46EC" w:rsidR="0026437B" w:rsidRPr="00EB224C" w:rsidRDefault="0026437B" w:rsidP="006A0F9D">
            <w:pPr>
              <w:tabs>
                <w:tab w:val="left" w:pos="284"/>
              </w:tabs>
              <w:spacing w:before="0" w:after="0"/>
              <w:ind w:left="284" w:hanging="284"/>
              <w:rPr>
                <w:sz w:val="18"/>
                <w:szCs w:val="20"/>
              </w:rPr>
            </w:pPr>
            <w:r>
              <w:rPr>
                <w:sz w:val="18"/>
                <w:szCs w:val="20"/>
              </w:rPr>
              <w:t>(5g/50mL to 40g/400mL)</w:t>
            </w:r>
          </w:p>
        </w:tc>
        <w:tc>
          <w:tcPr>
            <w:tcW w:w="1843" w:type="dxa"/>
          </w:tcPr>
          <w:p w14:paraId="0B2FEF2D" w14:textId="56E09264" w:rsidR="0026437B" w:rsidRPr="00EB224C" w:rsidRDefault="0026437B" w:rsidP="006A0F9D">
            <w:pPr>
              <w:tabs>
                <w:tab w:val="left" w:pos="284"/>
              </w:tabs>
              <w:spacing w:before="0" w:after="0"/>
              <w:ind w:left="284" w:hanging="284"/>
              <w:jc w:val="center"/>
              <w:rPr>
                <w:sz w:val="18"/>
                <w:szCs w:val="20"/>
              </w:rPr>
            </w:pPr>
            <w:r>
              <w:rPr>
                <w:sz w:val="18"/>
                <w:szCs w:val="20"/>
              </w:rPr>
              <w:t>IV</w:t>
            </w:r>
          </w:p>
        </w:tc>
        <w:tc>
          <w:tcPr>
            <w:tcW w:w="1701" w:type="dxa"/>
            <w:shd w:val="clear" w:color="auto" w:fill="FFFFFF" w:themeFill="background1"/>
          </w:tcPr>
          <w:p w14:paraId="48F7578E" w14:textId="005CEB30" w:rsidR="0026437B" w:rsidRPr="00EB224C" w:rsidRDefault="0026437B" w:rsidP="006A0F9D">
            <w:pPr>
              <w:tabs>
                <w:tab w:val="left" w:pos="284"/>
              </w:tabs>
              <w:spacing w:before="0" w:after="0"/>
              <w:ind w:left="284" w:hanging="284"/>
              <w:jc w:val="center"/>
              <w:rPr>
                <w:sz w:val="18"/>
                <w:szCs w:val="20"/>
              </w:rPr>
            </w:pPr>
            <w:r w:rsidRPr="00473D30">
              <w:rPr>
                <w:sz w:val="18"/>
                <w:szCs w:val="20"/>
              </w:rPr>
              <w:t>Yes</w:t>
            </w:r>
          </w:p>
        </w:tc>
        <w:tc>
          <w:tcPr>
            <w:tcW w:w="1701" w:type="dxa"/>
          </w:tcPr>
          <w:p w14:paraId="53E6C3FE" w14:textId="07B73049" w:rsidR="0026437B" w:rsidRPr="00EB224C" w:rsidRDefault="0026437B" w:rsidP="006A0F9D">
            <w:pPr>
              <w:tabs>
                <w:tab w:val="left" w:pos="284"/>
              </w:tabs>
              <w:spacing w:before="0" w:after="0"/>
              <w:ind w:left="284" w:hanging="284"/>
              <w:jc w:val="center"/>
              <w:rPr>
                <w:sz w:val="18"/>
                <w:szCs w:val="20"/>
              </w:rPr>
            </w:pPr>
            <w:r w:rsidRPr="00725113">
              <w:rPr>
                <w:sz w:val="18"/>
                <w:szCs w:val="20"/>
              </w:rPr>
              <w:t>Yes</w:t>
            </w:r>
          </w:p>
        </w:tc>
      </w:tr>
      <w:tr w:rsidR="0026437B" w:rsidRPr="00EB224C" w14:paraId="32AEE68F" w14:textId="77777777" w:rsidTr="0026437B">
        <w:tc>
          <w:tcPr>
            <w:tcW w:w="3856" w:type="dxa"/>
          </w:tcPr>
          <w:p w14:paraId="136250A0" w14:textId="226D505C" w:rsidR="0026437B" w:rsidRDefault="0026437B" w:rsidP="009874FD">
            <w:pPr>
              <w:tabs>
                <w:tab w:val="left" w:pos="284"/>
              </w:tabs>
              <w:spacing w:before="0" w:after="0"/>
              <w:ind w:left="284" w:hanging="284"/>
              <w:rPr>
                <w:sz w:val="18"/>
                <w:szCs w:val="20"/>
              </w:rPr>
            </w:pPr>
            <w:r w:rsidRPr="00725113">
              <w:rPr>
                <w:sz w:val="18"/>
                <w:szCs w:val="20"/>
              </w:rPr>
              <w:t>Hizentra – CSL Behring Australia P/L</w:t>
            </w:r>
          </w:p>
          <w:p w14:paraId="73D6B635" w14:textId="3DBBD53E" w:rsidR="0026437B" w:rsidRPr="00EB224C" w:rsidRDefault="0026437B" w:rsidP="006A0F9D">
            <w:pPr>
              <w:tabs>
                <w:tab w:val="left" w:pos="284"/>
              </w:tabs>
              <w:spacing w:before="0" w:after="0"/>
              <w:ind w:left="284" w:hanging="284"/>
              <w:rPr>
                <w:b/>
                <w:sz w:val="18"/>
                <w:szCs w:val="20"/>
              </w:rPr>
            </w:pPr>
            <w:r>
              <w:rPr>
                <w:sz w:val="18"/>
                <w:szCs w:val="20"/>
              </w:rPr>
              <w:t>(1g/5mL to 10g/50mL)</w:t>
            </w:r>
          </w:p>
        </w:tc>
        <w:tc>
          <w:tcPr>
            <w:tcW w:w="1843" w:type="dxa"/>
          </w:tcPr>
          <w:p w14:paraId="0F18F6F5" w14:textId="69F075D0" w:rsidR="0026437B" w:rsidRPr="00EB224C" w:rsidRDefault="0026437B" w:rsidP="006A0F9D">
            <w:pPr>
              <w:tabs>
                <w:tab w:val="left" w:pos="284"/>
              </w:tabs>
              <w:spacing w:before="0" w:after="0"/>
              <w:ind w:left="284" w:hanging="284"/>
              <w:jc w:val="center"/>
              <w:rPr>
                <w:sz w:val="18"/>
                <w:szCs w:val="20"/>
              </w:rPr>
            </w:pPr>
            <w:r>
              <w:rPr>
                <w:sz w:val="18"/>
                <w:szCs w:val="20"/>
              </w:rPr>
              <w:t>SC</w:t>
            </w:r>
          </w:p>
        </w:tc>
        <w:tc>
          <w:tcPr>
            <w:tcW w:w="1701" w:type="dxa"/>
            <w:shd w:val="clear" w:color="auto" w:fill="FFFFFF" w:themeFill="background1"/>
          </w:tcPr>
          <w:p w14:paraId="4BC6D777" w14:textId="48E49D41" w:rsidR="0026437B" w:rsidRPr="00EB224C" w:rsidRDefault="0026437B" w:rsidP="006A0F9D">
            <w:pPr>
              <w:tabs>
                <w:tab w:val="left" w:pos="284"/>
              </w:tabs>
              <w:spacing w:before="0" w:after="0"/>
              <w:ind w:left="284" w:hanging="284"/>
              <w:jc w:val="center"/>
              <w:rPr>
                <w:sz w:val="18"/>
                <w:szCs w:val="20"/>
              </w:rPr>
            </w:pPr>
            <w:r w:rsidRPr="00473D30">
              <w:rPr>
                <w:sz w:val="18"/>
                <w:szCs w:val="20"/>
              </w:rPr>
              <w:t>Yes</w:t>
            </w:r>
          </w:p>
        </w:tc>
        <w:tc>
          <w:tcPr>
            <w:tcW w:w="1701" w:type="dxa"/>
          </w:tcPr>
          <w:p w14:paraId="2644CE7E" w14:textId="0571A7A6" w:rsidR="0026437B" w:rsidRPr="00EB224C" w:rsidRDefault="0026437B" w:rsidP="006A0F9D">
            <w:pPr>
              <w:tabs>
                <w:tab w:val="left" w:pos="284"/>
              </w:tabs>
              <w:spacing w:before="0" w:after="0"/>
              <w:ind w:left="284" w:hanging="284"/>
              <w:jc w:val="center"/>
              <w:rPr>
                <w:sz w:val="18"/>
                <w:szCs w:val="20"/>
              </w:rPr>
            </w:pPr>
            <w:r>
              <w:rPr>
                <w:sz w:val="18"/>
                <w:szCs w:val="20"/>
              </w:rPr>
              <w:t>Yes</w:t>
            </w:r>
          </w:p>
        </w:tc>
      </w:tr>
      <w:tr w:rsidR="0026437B" w:rsidRPr="00EB224C" w14:paraId="740D2CA5" w14:textId="77777777" w:rsidTr="0026437B">
        <w:tc>
          <w:tcPr>
            <w:tcW w:w="3856" w:type="dxa"/>
          </w:tcPr>
          <w:p w14:paraId="3876B2C6" w14:textId="77777777" w:rsidR="0026437B" w:rsidRDefault="0026437B" w:rsidP="009874FD">
            <w:pPr>
              <w:tabs>
                <w:tab w:val="left" w:pos="284"/>
              </w:tabs>
              <w:spacing w:before="0" w:after="0"/>
              <w:ind w:left="284" w:hanging="284"/>
              <w:rPr>
                <w:sz w:val="18"/>
                <w:szCs w:val="20"/>
              </w:rPr>
            </w:pPr>
            <w:r w:rsidRPr="00725113">
              <w:rPr>
                <w:sz w:val="18"/>
                <w:szCs w:val="20"/>
              </w:rPr>
              <w:t xml:space="preserve">Flebogamma 10% – Grifols Australia P/L </w:t>
            </w:r>
          </w:p>
          <w:p w14:paraId="574AB2DA" w14:textId="3CB52115" w:rsidR="0026437B" w:rsidRPr="00725113" w:rsidRDefault="0026437B" w:rsidP="009874FD">
            <w:pPr>
              <w:tabs>
                <w:tab w:val="left" w:pos="284"/>
              </w:tabs>
              <w:spacing w:before="0" w:after="0"/>
              <w:ind w:left="284" w:hanging="284"/>
              <w:rPr>
                <w:sz w:val="18"/>
                <w:szCs w:val="20"/>
              </w:rPr>
            </w:pPr>
            <w:r>
              <w:rPr>
                <w:sz w:val="18"/>
                <w:szCs w:val="20"/>
              </w:rPr>
              <w:t>(5g/50mL up to 40g/400mL)</w:t>
            </w:r>
          </w:p>
        </w:tc>
        <w:tc>
          <w:tcPr>
            <w:tcW w:w="1843" w:type="dxa"/>
          </w:tcPr>
          <w:p w14:paraId="67BC46B6" w14:textId="0BC30397" w:rsidR="0026437B" w:rsidRDefault="0026437B" w:rsidP="006A0F9D">
            <w:pPr>
              <w:tabs>
                <w:tab w:val="left" w:pos="284"/>
              </w:tabs>
              <w:spacing w:before="0" w:after="0"/>
              <w:ind w:left="284" w:hanging="284"/>
              <w:jc w:val="center"/>
              <w:rPr>
                <w:sz w:val="18"/>
                <w:szCs w:val="20"/>
              </w:rPr>
            </w:pPr>
            <w:r>
              <w:rPr>
                <w:sz w:val="18"/>
                <w:szCs w:val="20"/>
              </w:rPr>
              <w:t>IV</w:t>
            </w:r>
          </w:p>
        </w:tc>
        <w:tc>
          <w:tcPr>
            <w:tcW w:w="1701" w:type="dxa"/>
            <w:shd w:val="clear" w:color="auto" w:fill="FFFFFF" w:themeFill="background1"/>
          </w:tcPr>
          <w:p w14:paraId="3CF19513" w14:textId="536D6CFB" w:rsidR="0026437B" w:rsidRPr="00473D30" w:rsidRDefault="0026437B" w:rsidP="006A0F9D">
            <w:pPr>
              <w:tabs>
                <w:tab w:val="left" w:pos="284"/>
              </w:tabs>
              <w:spacing w:before="0" w:after="0"/>
              <w:ind w:left="284" w:hanging="284"/>
              <w:jc w:val="center"/>
              <w:rPr>
                <w:sz w:val="18"/>
                <w:szCs w:val="20"/>
              </w:rPr>
            </w:pPr>
            <w:r w:rsidRPr="00473D30">
              <w:rPr>
                <w:sz w:val="18"/>
                <w:szCs w:val="20"/>
              </w:rPr>
              <w:t>Yes</w:t>
            </w:r>
          </w:p>
        </w:tc>
        <w:tc>
          <w:tcPr>
            <w:tcW w:w="1701" w:type="dxa"/>
          </w:tcPr>
          <w:p w14:paraId="1AF0D564" w14:textId="27FAAAB5" w:rsidR="0026437B" w:rsidRDefault="0026437B" w:rsidP="006A0F9D">
            <w:pPr>
              <w:tabs>
                <w:tab w:val="left" w:pos="284"/>
              </w:tabs>
              <w:spacing w:before="0" w:after="0"/>
              <w:ind w:left="284" w:hanging="284"/>
              <w:jc w:val="center"/>
              <w:rPr>
                <w:sz w:val="18"/>
                <w:szCs w:val="20"/>
              </w:rPr>
            </w:pPr>
            <w:r>
              <w:rPr>
                <w:sz w:val="18"/>
                <w:szCs w:val="20"/>
              </w:rPr>
              <w:t>Yes</w:t>
            </w:r>
          </w:p>
        </w:tc>
      </w:tr>
      <w:tr w:rsidR="0026437B" w:rsidRPr="00EB224C" w14:paraId="34A2879E" w14:textId="77777777" w:rsidTr="0026437B">
        <w:tc>
          <w:tcPr>
            <w:tcW w:w="3856" w:type="dxa"/>
          </w:tcPr>
          <w:p w14:paraId="5A3990D0" w14:textId="77777777" w:rsidR="0026437B" w:rsidRDefault="0026437B" w:rsidP="009874FD">
            <w:pPr>
              <w:tabs>
                <w:tab w:val="left" w:pos="284"/>
              </w:tabs>
              <w:spacing w:before="0" w:after="0"/>
              <w:ind w:left="284" w:hanging="284"/>
              <w:rPr>
                <w:sz w:val="18"/>
                <w:szCs w:val="20"/>
              </w:rPr>
            </w:pPr>
            <w:r w:rsidRPr="00725113">
              <w:rPr>
                <w:sz w:val="18"/>
                <w:szCs w:val="20"/>
              </w:rPr>
              <w:t xml:space="preserve">Evogam 16% – CSL Behring Australia P/L  </w:t>
            </w:r>
          </w:p>
          <w:p w14:paraId="6BF3BC6E" w14:textId="6D756249" w:rsidR="0026437B" w:rsidRPr="00725113" w:rsidRDefault="0026437B" w:rsidP="009874FD">
            <w:pPr>
              <w:tabs>
                <w:tab w:val="left" w:pos="284"/>
              </w:tabs>
              <w:spacing w:before="0" w:after="0"/>
              <w:ind w:left="284" w:hanging="284"/>
              <w:rPr>
                <w:sz w:val="18"/>
                <w:szCs w:val="20"/>
              </w:rPr>
            </w:pPr>
            <w:r>
              <w:rPr>
                <w:sz w:val="18"/>
                <w:szCs w:val="20"/>
              </w:rPr>
              <w:t>(0.8g/5mL or 3.2g/20mL)</w:t>
            </w:r>
          </w:p>
        </w:tc>
        <w:tc>
          <w:tcPr>
            <w:tcW w:w="1843" w:type="dxa"/>
          </w:tcPr>
          <w:p w14:paraId="0090C7A5" w14:textId="4B488BD8" w:rsidR="0026437B" w:rsidRDefault="0026437B" w:rsidP="006A0F9D">
            <w:pPr>
              <w:tabs>
                <w:tab w:val="left" w:pos="284"/>
              </w:tabs>
              <w:spacing w:before="0" w:after="0"/>
              <w:ind w:left="284" w:hanging="284"/>
              <w:jc w:val="center"/>
              <w:rPr>
                <w:sz w:val="18"/>
                <w:szCs w:val="20"/>
              </w:rPr>
            </w:pPr>
            <w:r>
              <w:rPr>
                <w:sz w:val="18"/>
                <w:szCs w:val="20"/>
              </w:rPr>
              <w:t>SC</w:t>
            </w:r>
          </w:p>
        </w:tc>
        <w:tc>
          <w:tcPr>
            <w:tcW w:w="1701" w:type="dxa"/>
            <w:shd w:val="clear" w:color="auto" w:fill="FFFFFF" w:themeFill="background1"/>
          </w:tcPr>
          <w:p w14:paraId="4D47A5D6" w14:textId="3929CB17" w:rsidR="0026437B" w:rsidRPr="00473D30" w:rsidRDefault="0026437B" w:rsidP="006A0F9D">
            <w:pPr>
              <w:tabs>
                <w:tab w:val="left" w:pos="284"/>
              </w:tabs>
              <w:spacing w:before="0" w:after="0"/>
              <w:ind w:left="284" w:hanging="284"/>
              <w:jc w:val="center"/>
              <w:rPr>
                <w:sz w:val="18"/>
                <w:szCs w:val="20"/>
              </w:rPr>
            </w:pPr>
            <w:r w:rsidRPr="00473D30">
              <w:rPr>
                <w:sz w:val="18"/>
                <w:szCs w:val="20"/>
              </w:rPr>
              <w:t>Yes</w:t>
            </w:r>
          </w:p>
        </w:tc>
        <w:tc>
          <w:tcPr>
            <w:tcW w:w="1701" w:type="dxa"/>
          </w:tcPr>
          <w:p w14:paraId="50B1D29E" w14:textId="1361013B" w:rsidR="0026437B" w:rsidRDefault="0026437B" w:rsidP="006A0F9D">
            <w:pPr>
              <w:tabs>
                <w:tab w:val="left" w:pos="284"/>
              </w:tabs>
              <w:spacing w:before="0" w:after="0"/>
              <w:ind w:left="284" w:hanging="284"/>
              <w:jc w:val="center"/>
              <w:rPr>
                <w:sz w:val="18"/>
                <w:szCs w:val="20"/>
              </w:rPr>
            </w:pPr>
            <w:r>
              <w:rPr>
                <w:sz w:val="18"/>
                <w:szCs w:val="20"/>
              </w:rPr>
              <w:t>Yes</w:t>
            </w:r>
          </w:p>
        </w:tc>
      </w:tr>
      <w:tr w:rsidR="0026437B" w:rsidRPr="00EB224C" w14:paraId="7DF77BAA" w14:textId="77777777" w:rsidTr="0026437B">
        <w:tc>
          <w:tcPr>
            <w:tcW w:w="3856" w:type="dxa"/>
          </w:tcPr>
          <w:p w14:paraId="1A5022BE" w14:textId="77777777" w:rsidR="0026437B" w:rsidRDefault="0026437B" w:rsidP="009874FD">
            <w:pPr>
              <w:tabs>
                <w:tab w:val="left" w:pos="284"/>
              </w:tabs>
              <w:spacing w:before="0" w:after="0"/>
              <w:ind w:left="284" w:hanging="284"/>
              <w:rPr>
                <w:sz w:val="18"/>
                <w:szCs w:val="20"/>
              </w:rPr>
            </w:pPr>
            <w:r w:rsidRPr="00725113">
              <w:rPr>
                <w:sz w:val="18"/>
                <w:szCs w:val="20"/>
              </w:rPr>
              <w:t xml:space="preserve">Intragam 10 – CSL Behring Australia P/L  </w:t>
            </w:r>
          </w:p>
          <w:p w14:paraId="7F35AFBB" w14:textId="0F51A1C7" w:rsidR="0026437B" w:rsidRPr="00725113" w:rsidRDefault="0026437B" w:rsidP="009874FD">
            <w:pPr>
              <w:tabs>
                <w:tab w:val="left" w:pos="284"/>
              </w:tabs>
              <w:spacing w:before="0" w:after="0"/>
              <w:ind w:left="284" w:hanging="284"/>
              <w:rPr>
                <w:sz w:val="18"/>
                <w:szCs w:val="20"/>
              </w:rPr>
            </w:pPr>
            <w:r>
              <w:rPr>
                <w:sz w:val="18"/>
                <w:szCs w:val="20"/>
              </w:rPr>
              <w:t>(2.5g/25mL to 20g/200mL)</w:t>
            </w:r>
          </w:p>
        </w:tc>
        <w:tc>
          <w:tcPr>
            <w:tcW w:w="1843" w:type="dxa"/>
          </w:tcPr>
          <w:p w14:paraId="49A39BC2" w14:textId="49B7FF19" w:rsidR="0026437B" w:rsidRDefault="0026437B" w:rsidP="006A0F9D">
            <w:pPr>
              <w:tabs>
                <w:tab w:val="left" w:pos="284"/>
              </w:tabs>
              <w:spacing w:before="0" w:after="0"/>
              <w:ind w:left="284" w:hanging="284"/>
              <w:jc w:val="center"/>
              <w:rPr>
                <w:sz w:val="18"/>
                <w:szCs w:val="20"/>
              </w:rPr>
            </w:pPr>
            <w:r>
              <w:rPr>
                <w:sz w:val="18"/>
                <w:szCs w:val="20"/>
              </w:rPr>
              <w:t>IV</w:t>
            </w:r>
          </w:p>
        </w:tc>
        <w:tc>
          <w:tcPr>
            <w:tcW w:w="1701" w:type="dxa"/>
            <w:shd w:val="clear" w:color="auto" w:fill="FFFFFF" w:themeFill="background1"/>
          </w:tcPr>
          <w:p w14:paraId="249B4103" w14:textId="0C8DEA45" w:rsidR="0026437B" w:rsidRPr="00473D30" w:rsidRDefault="0026437B" w:rsidP="006A0F9D">
            <w:pPr>
              <w:tabs>
                <w:tab w:val="left" w:pos="284"/>
              </w:tabs>
              <w:spacing w:before="0" w:after="0"/>
              <w:ind w:left="284" w:hanging="284"/>
              <w:jc w:val="center"/>
              <w:rPr>
                <w:sz w:val="18"/>
                <w:szCs w:val="20"/>
              </w:rPr>
            </w:pPr>
            <w:r>
              <w:rPr>
                <w:sz w:val="18"/>
                <w:szCs w:val="20"/>
              </w:rPr>
              <w:t>Yes</w:t>
            </w:r>
          </w:p>
        </w:tc>
        <w:tc>
          <w:tcPr>
            <w:tcW w:w="1701" w:type="dxa"/>
          </w:tcPr>
          <w:p w14:paraId="7319DA44" w14:textId="5FDAE5E8" w:rsidR="0026437B" w:rsidRDefault="0026437B" w:rsidP="006A0F9D">
            <w:pPr>
              <w:tabs>
                <w:tab w:val="left" w:pos="284"/>
              </w:tabs>
              <w:spacing w:before="0" w:after="0"/>
              <w:ind w:left="284" w:hanging="284"/>
              <w:jc w:val="center"/>
              <w:rPr>
                <w:sz w:val="18"/>
                <w:szCs w:val="20"/>
              </w:rPr>
            </w:pPr>
            <w:r w:rsidRPr="00725113">
              <w:rPr>
                <w:sz w:val="18"/>
                <w:szCs w:val="20"/>
              </w:rPr>
              <w:t>Yes</w:t>
            </w:r>
          </w:p>
        </w:tc>
      </w:tr>
      <w:tr w:rsidR="0026437B" w:rsidRPr="00EB224C" w14:paraId="085D05B9" w14:textId="77777777" w:rsidTr="0026437B">
        <w:tc>
          <w:tcPr>
            <w:tcW w:w="3856" w:type="dxa"/>
          </w:tcPr>
          <w:p w14:paraId="73B14EEA" w14:textId="77777777" w:rsidR="0026437B" w:rsidRDefault="0026437B" w:rsidP="009874FD">
            <w:pPr>
              <w:tabs>
                <w:tab w:val="left" w:pos="284"/>
              </w:tabs>
              <w:spacing w:before="0" w:after="0"/>
              <w:ind w:left="284" w:hanging="284"/>
              <w:rPr>
                <w:sz w:val="18"/>
                <w:szCs w:val="20"/>
              </w:rPr>
            </w:pPr>
            <w:r>
              <w:rPr>
                <w:sz w:val="18"/>
                <w:szCs w:val="20"/>
              </w:rPr>
              <w:t>Flebogamma 5% - Grifols Australia P/L</w:t>
            </w:r>
          </w:p>
          <w:p w14:paraId="5A1D87EF" w14:textId="742D5680" w:rsidR="0026437B" w:rsidRPr="00725113" w:rsidRDefault="0026437B" w:rsidP="009874FD">
            <w:pPr>
              <w:tabs>
                <w:tab w:val="left" w:pos="284"/>
              </w:tabs>
              <w:spacing w:before="0" w:after="0"/>
              <w:ind w:left="284" w:hanging="284"/>
              <w:rPr>
                <w:sz w:val="18"/>
                <w:szCs w:val="20"/>
              </w:rPr>
            </w:pPr>
            <w:r>
              <w:rPr>
                <w:sz w:val="18"/>
                <w:szCs w:val="20"/>
              </w:rPr>
              <w:t>(0.5g/10mL to 20g/400mL)</w:t>
            </w:r>
          </w:p>
        </w:tc>
        <w:tc>
          <w:tcPr>
            <w:tcW w:w="1843" w:type="dxa"/>
          </w:tcPr>
          <w:p w14:paraId="39F4CD44" w14:textId="0A5C5122" w:rsidR="0026437B" w:rsidRDefault="0026437B" w:rsidP="006A0F9D">
            <w:pPr>
              <w:tabs>
                <w:tab w:val="left" w:pos="284"/>
              </w:tabs>
              <w:spacing w:before="0" w:after="0"/>
              <w:ind w:left="284" w:hanging="284"/>
              <w:jc w:val="center"/>
              <w:rPr>
                <w:sz w:val="18"/>
                <w:szCs w:val="20"/>
              </w:rPr>
            </w:pPr>
            <w:r>
              <w:rPr>
                <w:sz w:val="18"/>
                <w:szCs w:val="20"/>
              </w:rPr>
              <w:t>IV</w:t>
            </w:r>
          </w:p>
        </w:tc>
        <w:tc>
          <w:tcPr>
            <w:tcW w:w="1701" w:type="dxa"/>
            <w:shd w:val="clear" w:color="auto" w:fill="FFFFFF" w:themeFill="background1"/>
          </w:tcPr>
          <w:p w14:paraId="7F7383B0" w14:textId="3DD1E26C" w:rsidR="0026437B" w:rsidRDefault="0026437B" w:rsidP="006A0F9D">
            <w:pPr>
              <w:tabs>
                <w:tab w:val="left" w:pos="284"/>
              </w:tabs>
              <w:spacing w:before="0" w:after="0"/>
              <w:ind w:left="284" w:hanging="284"/>
              <w:jc w:val="center"/>
              <w:rPr>
                <w:sz w:val="18"/>
                <w:szCs w:val="20"/>
              </w:rPr>
            </w:pPr>
            <w:r>
              <w:rPr>
                <w:sz w:val="18"/>
                <w:szCs w:val="20"/>
              </w:rPr>
              <w:t>Yes</w:t>
            </w:r>
          </w:p>
        </w:tc>
        <w:tc>
          <w:tcPr>
            <w:tcW w:w="1701" w:type="dxa"/>
          </w:tcPr>
          <w:p w14:paraId="0D8FFCEA" w14:textId="4DBD724F" w:rsidR="0026437B" w:rsidRDefault="0026437B" w:rsidP="006A0F9D">
            <w:pPr>
              <w:tabs>
                <w:tab w:val="left" w:pos="284"/>
              </w:tabs>
              <w:spacing w:before="0" w:after="0"/>
              <w:ind w:left="284" w:hanging="284"/>
              <w:jc w:val="center"/>
              <w:rPr>
                <w:sz w:val="18"/>
                <w:szCs w:val="20"/>
              </w:rPr>
            </w:pPr>
            <w:r>
              <w:rPr>
                <w:sz w:val="18"/>
                <w:szCs w:val="20"/>
              </w:rPr>
              <w:t>Yes</w:t>
            </w:r>
          </w:p>
        </w:tc>
      </w:tr>
      <w:tr w:rsidR="0026437B" w:rsidRPr="00EB224C" w14:paraId="13B2C512" w14:textId="77777777" w:rsidTr="0026437B">
        <w:tc>
          <w:tcPr>
            <w:tcW w:w="3856" w:type="dxa"/>
          </w:tcPr>
          <w:p w14:paraId="70ED3F69" w14:textId="77A8816A" w:rsidR="0026437B" w:rsidRDefault="0026437B" w:rsidP="009874FD">
            <w:pPr>
              <w:tabs>
                <w:tab w:val="left" w:pos="284"/>
              </w:tabs>
              <w:spacing w:before="0" w:after="0"/>
              <w:ind w:left="284" w:hanging="284"/>
              <w:rPr>
                <w:sz w:val="18"/>
                <w:szCs w:val="20"/>
              </w:rPr>
            </w:pPr>
            <w:r>
              <w:rPr>
                <w:sz w:val="18"/>
                <w:szCs w:val="20"/>
              </w:rPr>
              <w:t>Cuvitru 20% - Shire Australia P/L</w:t>
            </w:r>
          </w:p>
        </w:tc>
        <w:tc>
          <w:tcPr>
            <w:tcW w:w="1843" w:type="dxa"/>
          </w:tcPr>
          <w:p w14:paraId="58A696E1" w14:textId="4C85E2B4" w:rsidR="0026437B" w:rsidRDefault="0026437B" w:rsidP="006A0F9D">
            <w:pPr>
              <w:tabs>
                <w:tab w:val="left" w:pos="284"/>
              </w:tabs>
              <w:spacing w:before="0" w:after="0"/>
              <w:ind w:left="284" w:hanging="284"/>
              <w:jc w:val="center"/>
              <w:rPr>
                <w:sz w:val="18"/>
                <w:szCs w:val="20"/>
              </w:rPr>
            </w:pPr>
            <w:r>
              <w:rPr>
                <w:sz w:val="18"/>
                <w:szCs w:val="20"/>
              </w:rPr>
              <w:t>SC</w:t>
            </w:r>
          </w:p>
        </w:tc>
        <w:tc>
          <w:tcPr>
            <w:tcW w:w="1701" w:type="dxa"/>
            <w:shd w:val="clear" w:color="auto" w:fill="FFFFFF" w:themeFill="background1"/>
          </w:tcPr>
          <w:p w14:paraId="09F719C5" w14:textId="4756FE17" w:rsidR="0026437B" w:rsidRDefault="0026437B" w:rsidP="006A0F9D">
            <w:pPr>
              <w:tabs>
                <w:tab w:val="left" w:pos="284"/>
              </w:tabs>
              <w:spacing w:before="0" w:after="0"/>
              <w:ind w:left="284" w:hanging="284"/>
              <w:jc w:val="center"/>
              <w:rPr>
                <w:sz w:val="18"/>
                <w:szCs w:val="20"/>
              </w:rPr>
            </w:pPr>
            <w:r>
              <w:rPr>
                <w:sz w:val="18"/>
                <w:szCs w:val="20"/>
              </w:rPr>
              <w:t>Yes</w:t>
            </w:r>
          </w:p>
        </w:tc>
        <w:tc>
          <w:tcPr>
            <w:tcW w:w="1701" w:type="dxa"/>
          </w:tcPr>
          <w:p w14:paraId="67A460D9" w14:textId="6F5E8501" w:rsidR="0026437B" w:rsidRDefault="0026437B" w:rsidP="006A0F9D">
            <w:pPr>
              <w:tabs>
                <w:tab w:val="left" w:pos="284"/>
              </w:tabs>
              <w:spacing w:before="0" w:after="0"/>
              <w:ind w:left="284" w:hanging="284"/>
              <w:jc w:val="center"/>
              <w:rPr>
                <w:sz w:val="18"/>
                <w:szCs w:val="20"/>
              </w:rPr>
            </w:pPr>
            <w:r>
              <w:rPr>
                <w:sz w:val="18"/>
                <w:szCs w:val="20"/>
              </w:rPr>
              <w:t>No</w:t>
            </w:r>
          </w:p>
        </w:tc>
      </w:tr>
      <w:tr w:rsidR="0026437B" w:rsidRPr="00EB224C" w14:paraId="797F3EBF" w14:textId="77777777" w:rsidTr="0026437B">
        <w:tc>
          <w:tcPr>
            <w:tcW w:w="3856" w:type="dxa"/>
          </w:tcPr>
          <w:p w14:paraId="1DD262A1" w14:textId="219722E5" w:rsidR="0026437B" w:rsidRDefault="0026437B" w:rsidP="009874FD">
            <w:pPr>
              <w:tabs>
                <w:tab w:val="left" w:pos="284"/>
              </w:tabs>
              <w:spacing w:before="0" w:after="0"/>
              <w:ind w:left="284" w:hanging="284"/>
              <w:rPr>
                <w:sz w:val="18"/>
                <w:szCs w:val="20"/>
              </w:rPr>
            </w:pPr>
            <w:r w:rsidRPr="00725113">
              <w:rPr>
                <w:sz w:val="18"/>
                <w:szCs w:val="20"/>
              </w:rPr>
              <w:t xml:space="preserve">Panzyga – Octaphama Australia P/L </w:t>
            </w:r>
          </w:p>
        </w:tc>
        <w:tc>
          <w:tcPr>
            <w:tcW w:w="1843" w:type="dxa"/>
          </w:tcPr>
          <w:p w14:paraId="2B1E869E" w14:textId="3E226842" w:rsidR="0026437B" w:rsidRDefault="0026437B" w:rsidP="006A0F9D">
            <w:pPr>
              <w:tabs>
                <w:tab w:val="left" w:pos="284"/>
              </w:tabs>
              <w:spacing w:before="0" w:after="0"/>
              <w:ind w:left="284" w:hanging="284"/>
              <w:jc w:val="center"/>
              <w:rPr>
                <w:sz w:val="18"/>
                <w:szCs w:val="20"/>
              </w:rPr>
            </w:pPr>
            <w:r>
              <w:rPr>
                <w:sz w:val="18"/>
                <w:szCs w:val="20"/>
              </w:rPr>
              <w:t>IV</w:t>
            </w:r>
          </w:p>
        </w:tc>
        <w:tc>
          <w:tcPr>
            <w:tcW w:w="1701" w:type="dxa"/>
            <w:shd w:val="clear" w:color="auto" w:fill="FFFFFF" w:themeFill="background1"/>
          </w:tcPr>
          <w:p w14:paraId="4D1F23DB" w14:textId="4906873D" w:rsidR="0026437B" w:rsidRDefault="0026437B" w:rsidP="006A0F9D">
            <w:pPr>
              <w:tabs>
                <w:tab w:val="left" w:pos="284"/>
              </w:tabs>
              <w:spacing w:before="0" w:after="0"/>
              <w:ind w:left="284" w:hanging="284"/>
              <w:jc w:val="center"/>
              <w:rPr>
                <w:sz w:val="18"/>
                <w:szCs w:val="20"/>
              </w:rPr>
            </w:pPr>
            <w:r w:rsidRPr="00473D30">
              <w:rPr>
                <w:sz w:val="18"/>
                <w:szCs w:val="20"/>
              </w:rPr>
              <w:t>Yes</w:t>
            </w:r>
          </w:p>
        </w:tc>
        <w:tc>
          <w:tcPr>
            <w:tcW w:w="1701" w:type="dxa"/>
          </w:tcPr>
          <w:p w14:paraId="3EAF54D6" w14:textId="1A7F1225" w:rsidR="0026437B" w:rsidRDefault="0026437B" w:rsidP="006A0F9D">
            <w:pPr>
              <w:tabs>
                <w:tab w:val="left" w:pos="284"/>
              </w:tabs>
              <w:spacing w:before="0" w:after="0"/>
              <w:ind w:left="284" w:hanging="284"/>
              <w:jc w:val="center"/>
              <w:rPr>
                <w:sz w:val="18"/>
                <w:szCs w:val="20"/>
              </w:rPr>
            </w:pPr>
            <w:r>
              <w:rPr>
                <w:sz w:val="18"/>
                <w:szCs w:val="20"/>
              </w:rPr>
              <w:t>No</w:t>
            </w:r>
          </w:p>
        </w:tc>
      </w:tr>
      <w:tr w:rsidR="0026437B" w:rsidRPr="00EB224C" w14:paraId="42CFCAF3" w14:textId="77777777" w:rsidTr="0026437B">
        <w:tc>
          <w:tcPr>
            <w:tcW w:w="3856" w:type="dxa"/>
          </w:tcPr>
          <w:p w14:paraId="4E6E7C17" w14:textId="38A99AF4" w:rsidR="0026437B" w:rsidRPr="00725113" w:rsidRDefault="0026437B" w:rsidP="009874FD">
            <w:pPr>
              <w:tabs>
                <w:tab w:val="left" w:pos="284"/>
              </w:tabs>
              <w:spacing w:before="0" w:after="0"/>
              <w:ind w:left="284" w:hanging="284"/>
              <w:rPr>
                <w:sz w:val="18"/>
                <w:szCs w:val="20"/>
              </w:rPr>
            </w:pPr>
            <w:r w:rsidRPr="00725113">
              <w:rPr>
                <w:sz w:val="18"/>
                <w:szCs w:val="20"/>
              </w:rPr>
              <w:t>Gamunex 10%</w:t>
            </w:r>
            <w:r w:rsidRPr="00725113">
              <w:rPr>
                <w:b/>
                <w:sz w:val="18"/>
                <w:szCs w:val="20"/>
              </w:rPr>
              <w:t xml:space="preserve"> </w:t>
            </w:r>
            <w:r w:rsidRPr="00725113">
              <w:rPr>
                <w:sz w:val="18"/>
                <w:szCs w:val="20"/>
              </w:rPr>
              <w:t xml:space="preserve">– Grifols Australia P/L </w:t>
            </w:r>
          </w:p>
        </w:tc>
        <w:tc>
          <w:tcPr>
            <w:tcW w:w="1843" w:type="dxa"/>
          </w:tcPr>
          <w:p w14:paraId="7F9B5305" w14:textId="5DAA51D7" w:rsidR="0026437B" w:rsidRDefault="0026437B" w:rsidP="006A0F9D">
            <w:pPr>
              <w:tabs>
                <w:tab w:val="left" w:pos="284"/>
              </w:tabs>
              <w:spacing w:before="0" w:after="0"/>
              <w:ind w:left="284" w:hanging="284"/>
              <w:jc w:val="center"/>
              <w:rPr>
                <w:sz w:val="18"/>
                <w:szCs w:val="20"/>
              </w:rPr>
            </w:pPr>
            <w:r>
              <w:rPr>
                <w:sz w:val="18"/>
                <w:szCs w:val="20"/>
              </w:rPr>
              <w:t>IV and SC</w:t>
            </w:r>
          </w:p>
        </w:tc>
        <w:tc>
          <w:tcPr>
            <w:tcW w:w="1701" w:type="dxa"/>
            <w:shd w:val="clear" w:color="auto" w:fill="FFFFFF" w:themeFill="background1"/>
          </w:tcPr>
          <w:p w14:paraId="04CCF0C3" w14:textId="6A127EB8" w:rsidR="0026437B" w:rsidRPr="00473D30" w:rsidRDefault="0026437B" w:rsidP="006A0F9D">
            <w:pPr>
              <w:tabs>
                <w:tab w:val="left" w:pos="284"/>
              </w:tabs>
              <w:spacing w:before="0" w:after="0"/>
              <w:ind w:left="284" w:hanging="284"/>
              <w:jc w:val="center"/>
              <w:rPr>
                <w:sz w:val="18"/>
                <w:szCs w:val="20"/>
              </w:rPr>
            </w:pPr>
            <w:r w:rsidRPr="00473D30">
              <w:rPr>
                <w:sz w:val="18"/>
                <w:szCs w:val="20"/>
              </w:rPr>
              <w:t>Yes</w:t>
            </w:r>
          </w:p>
        </w:tc>
        <w:tc>
          <w:tcPr>
            <w:tcW w:w="1701" w:type="dxa"/>
          </w:tcPr>
          <w:p w14:paraId="453D2BC0" w14:textId="62943BF9" w:rsidR="0026437B" w:rsidRDefault="0026437B" w:rsidP="006A0F9D">
            <w:pPr>
              <w:tabs>
                <w:tab w:val="left" w:pos="284"/>
              </w:tabs>
              <w:spacing w:before="0" w:after="0"/>
              <w:ind w:left="284" w:hanging="284"/>
              <w:jc w:val="center"/>
              <w:rPr>
                <w:sz w:val="18"/>
                <w:szCs w:val="20"/>
              </w:rPr>
            </w:pPr>
            <w:r>
              <w:rPr>
                <w:sz w:val="18"/>
                <w:szCs w:val="20"/>
              </w:rPr>
              <w:t>No</w:t>
            </w:r>
          </w:p>
        </w:tc>
      </w:tr>
      <w:tr w:rsidR="0026437B" w:rsidRPr="00EB224C" w14:paraId="06DB7CC9" w14:textId="77777777" w:rsidTr="0026437B">
        <w:tc>
          <w:tcPr>
            <w:tcW w:w="3856" w:type="dxa"/>
          </w:tcPr>
          <w:p w14:paraId="1FBE8EB1" w14:textId="2D4EED55" w:rsidR="0026437B" w:rsidRPr="00725113" w:rsidRDefault="0026437B" w:rsidP="009874FD">
            <w:pPr>
              <w:tabs>
                <w:tab w:val="left" w:pos="284"/>
              </w:tabs>
              <w:spacing w:before="0" w:after="0"/>
              <w:ind w:left="284" w:hanging="284"/>
              <w:rPr>
                <w:sz w:val="18"/>
                <w:szCs w:val="20"/>
              </w:rPr>
            </w:pPr>
            <w:r w:rsidRPr="00725113">
              <w:rPr>
                <w:sz w:val="18"/>
                <w:szCs w:val="20"/>
              </w:rPr>
              <w:t xml:space="preserve">Hyqvia – Shira Australia P/L </w:t>
            </w:r>
          </w:p>
        </w:tc>
        <w:tc>
          <w:tcPr>
            <w:tcW w:w="1843" w:type="dxa"/>
          </w:tcPr>
          <w:p w14:paraId="6C74F098" w14:textId="47F3A634" w:rsidR="0026437B" w:rsidRDefault="0026437B" w:rsidP="006A0F9D">
            <w:pPr>
              <w:tabs>
                <w:tab w:val="left" w:pos="284"/>
              </w:tabs>
              <w:spacing w:before="0" w:after="0"/>
              <w:ind w:left="284" w:hanging="284"/>
              <w:jc w:val="center"/>
              <w:rPr>
                <w:sz w:val="18"/>
                <w:szCs w:val="20"/>
              </w:rPr>
            </w:pPr>
            <w:r>
              <w:rPr>
                <w:sz w:val="18"/>
                <w:szCs w:val="20"/>
              </w:rPr>
              <w:t>SC</w:t>
            </w:r>
          </w:p>
        </w:tc>
        <w:tc>
          <w:tcPr>
            <w:tcW w:w="1701" w:type="dxa"/>
            <w:shd w:val="clear" w:color="auto" w:fill="FFFFFF" w:themeFill="background1"/>
          </w:tcPr>
          <w:p w14:paraId="5D3EDE52" w14:textId="693BE7F0" w:rsidR="0026437B" w:rsidRPr="00473D30" w:rsidRDefault="0026437B" w:rsidP="006A0F9D">
            <w:pPr>
              <w:tabs>
                <w:tab w:val="left" w:pos="284"/>
              </w:tabs>
              <w:spacing w:before="0" w:after="0"/>
              <w:ind w:left="284" w:hanging="284"/>
              <w:jc w:val="center"/>
              <w:rPr>
                <w:sz w:val="18"/>
                <w:szCs w:val="20"/>
              </w:rPr>
            </w:pPr>
            <w:r w:rsidRPr="00473D30">
              <w:rPr>
                <w:sz w:val="18"/>
                <w:szCs w:val="20"/>
              </w:rPr>
              <w:t>Yes</w:t>
            </w:r>
          </w:p>
        </w:tc>
        <w:tc>
          <w:tcPr>
            <w:tcW w:w="1701" w:type="dxa"/>
          </w:tcPr>
          <w:p w14:paraId="4FE3C73B" w14:textId="3A3DD43B" w:rsidR="0026437B" w:rsidRDefault="0026437B" w:rsidP="006A0F9D">
            <w:pPr>
              <w:tabs>
                <w:tab w:val="left" w:pos="284"/>
              </w:tabs>
              <w:spacing w:before="0" w:after="0"/>
              <w:ind w:left="284" w:hanging="284"/>
              <w:jc w:val="center"/>
              <w:rPr>
                <w:sz w:val="18"/>
                <w:szCs w:val="20"/>
              </w:rPr>
            </w:pPr>
            <w:r>
              <w:rPr>
                <w:sz w:val="18"/>
                <w:szCs w:val="20"/>
              </w:rPr>
              <w:t>No</w:t>
            </w:r>
          </w:p>
        </w:tc>
      </w:tr>
      <w:tr w:rsidR="0026437B" w:rsidRPr="00EB224C" w14:paraId="56076ED7" w14:textId="77777777" w:rsidTr="0026437B">
        <w:tc>
          <w:tcPr>
            <w:tcW w:w="3856" w:type="dxa"/>
          </w:tcPr>
          <w:p w14:paraId="137186D2" w14:textId="76340A57" w:rsidR="0026437B" w:rsidRPr="00725113" w:rsidRDefault="0026437B" w:rsidP="009874FD">
            <w:pPr>
              <w:tabs>
                <w:tab w:val="left" w:pos="284"/>
              </w:tabs>
              <w:spacing w:before="0" w:after="0"/>
              <w:ind w:left="284" w:hanging="284"/>
              <w:rPr>
                <w:sz w:val="18"/>
                <w:szCs w:val="20"/>
              </w:rPr>
            </w:pPr>
            <w:r w:rsidRPr="00725113">
              <w:rPr>
                <w:sz w:val="18"/>
                <w:szCs w:val="20"/>
              </w:rPr>
              <w:t xml:space="preserve">Intratect – Pfizer Australia P/L </w:t>
            </w:r>
          </w:p>
        </w:tc>
        <w:tc>
          <w:tcPr>
            <w:tcW w:w="1843" w:type="dxa"/>
          </w:tcPr>
          <w:p w14:paraId="054DF125" w14:textId="457D9C73" w:rsidR="0026437B" w:rsidRDefault="0026437B" w:rsidP="006A0F9D">
            <w:pPr>
              <w:tabs>
                <w:tab w:val="left" w:pos="284"/>
              </w:tabs>
              <w:spacing w:before="0" w:after="0"/>
              <w:ind w:left="284" w:hanging="284"/>
              <w:jc w:val="center"/>
              <w:rPr>
                <w:sz w:val="18"/>
                <w:szCs w:val="20"/>
              </w:rPr>
            </w:pPr>
            <w:r>
              <w:rPr>
                <w:sz w:val="18"/>
                <w:szCs w:val="20"/>
              </w:rPr>
              <w:t>IV</w:t>
            </w:r>
          </w:p>
        </w:tc>
        <w:tc>
          <w:tcPr>
            <w:tcW w:w="1701" w:type="dxa"/>
            <w:shd w:val="clear" w:color="auto" w:fill="FFFFFF" w:themeFill="background1"/>
          </w:tcPr>
          <w:p w14:paraId="1A28DD87" w14:textId="7EE7B087" w:rsidR="0026437B" w:rsidRPr="00473D30" w:rsidRDefault="0026437B" w:rsidP="006A0F9D">
            <w:pPr>
              <w:tabs>
                <w:tab w:val="left" w:pos="284"/>
              </w:tabs>
              <w:spacing w:before="0" w:after="0"/>
              <w:ind w:left="284" w:hanging="284"/>
              <w:jc w:val="center"/>
              <w:rPr>
                <w:sz w:val="18"/>
                <w:szCs w:val="20"/>
              </w:rPr>
            </w:pPr>
            <w:r w:rsidRPr="00473D30">
              <w:rPr>
                <w:sz w:val="18"/>
                <w:szCs w:val="20"/>
              </w:rPr>
              <w:t>Yes</w:t>
            </w:r>
          </w:p>
        </w:tc>
        <w:tc>
          <w:tcPr>
            <w:tcW w:w="1701" w:type="dxa"/>
          </w:tcPr>
          <w:p w14:paraId="2CC749A7" w14:textId="196C398F" w:rsidR="0026437B" w:rsidRDefault="0026437B" w:rsidP="006A0F9D">
            <w:pPr>
              <w:tabs>
                <w:tab w:val="left" w:pos="284"/>
              </w:tabs>
              <w:spacing w:before="0" w:after="0"/>
              <w:ind w:left="284" w:hanging="284"/>
              <w:jc w:val="center"/>
              <w:rPr>
                <w:sz w:val="18"/>
                <w:szCs w:val="20"/>
              </w:rPr>
            </w:pPr>
            <w:r>
              <w:rPr>
                <w:sz w:val="18"/>
                <w:szCs w:val="20"/>
              </w:rPr>
              <w:t>No</w:t>
            </w:r>
          </w:p>
        </w:tc>
      </w:tr>
      <w:tr w:rsidR="0026437B" w:rsidRPr="00EB224C" w14:paraId="02A5134A" w14:textId="77777777" w:rsidTr="0026437B">
        <w:tc>
          <w:tcPr>
            <w:tcW w:w="3856" w:type="dxa"/>
          </w:tcPr>
          <w:p w14:paraId="09CFBE9B" w14:textId="11E1C106" w:rsidR="0026437B" w:rsidRPr="00725113" w:rsidRDefault="0026437B" w:rsidP="009874FD">
            <w:pPr>
              <w:tabs>
                <w:tab w:val="left" w:pos="284"/>
              </w:tabs>
              <w:spacing w:before="0" w:after="0"/>
              <w:ind w:left="284" w:hanging="284"/>
              <w:rPr>
                <w:sz w:val="18"/>
                <w:szCs w:val="20"/>
              </w:rPr>
            </w:pPr>
            <w:r w:rsidRPr="00725113">
              <w:rPr>
                <w:sz w:val="18"/>
                <w:szCs w:val="20"/>
              </w:rPr>
              <w:t xml:space="preserve">Intratect 5%  – Pfizer Australia P/L </w:t>
            </w:r>
          </w:p>
        </w:tc>
        <w:tc>
          <w:tcPr>
            <w:tcW w:w="1843" w:type="dxa"/>
          </w:tcPr>
          <w:p w14:paraId="01CFFF67" w14:textId="1CB6AD12" w:rsidR="0026437B" w:rsidRDefault="0026437B" w:rsidP="006A0F9D">
            <w:pPr>
              <w:tabs>
                <w:tab w:val="left" w:pos="284"/>
              </w:tabs>
              <w:spacing w:before="0" w:after="0"/>
              <w:ind w:left="284" w:hanging="284"/>
              <w:jc w:val="center"/>
              <w:rPr>
                <w:sz w:val="18"/>
                <w:szCs w:val="20"/>
              </w:rPr>
            </w:pPr>
            <w:r>
              <w:rPr>
                <w:sz w:val="18"/>
                <w:szCs w:val="20"/>
              </w:rPr>
              <w:t>IV</w:t>
            </w:r>
          </w:p>
        </w:tc>
        <w:tc>
          <w:tcPr>
            <w:tcW w:w="1701" w:type="dxa"/>
            <w:shd w:val="clear" w:color="auto" w:fill="FFFFFF" w:themeFill="background1"/>
          </w:tcPr>
          <w:p w14:paraId="2385C3A6" w14:textId="271A4443" w:rsidR="0026437B" w:rsidRPr="00473D30" w:rsidRDefault="0026437B" w:rsidP="006A0F9D">
            <w:pPr>
              <w:tabs>
                <w:tab w:val="left" w:pos="284"/>
              </w:tabs>
              <w:spacing w:before="0" w:after="0"/>
              <w:ind w:left="284" w:hanging="284"/>
              <w:jc w:val="center"/>
              <w:rPr>
                <w:sz w:val="18"/>
                <w:szCs w:val="20"/>
              </w:rPr>
            </w:pPr>
            <w:r w:rsidRPr="00473D30">
              <w:rPr>
                <w:sz w:val="18"/>
                <w:szCs w:val="20"/>
              </w:rPr>
              <w:t>Yes</w:t>
            </w:r>
          </w:p>
        </w:tc>
        <w:tc>
          <w:tcPr>
            <w:tcW w:w="1701" w:type="dxa"/>
          </w:tcPr>
          <w:p w14:paraId="5DAF77BE" w14:textId="35B98513" w:rsidR="0026437B" w:rsidRDefault="0026437B" w:rsidP="006A0F9D">
            <w:pPr>
              <w:tabs>
                <w:tab w:val="left" w:pos="284"/>
              </w:tabs>
              <w:spacing w:before="0" w:after="0"/>
              <w:ind w:left="284" w:hanging="284"/>
              <w:jc w:val="center"/>
              <w:rPr>
                <w:sz w:val="18"/>
                <w:szCs w:val="20"/>
              </w:rPr>
            </w:pPr>
            <w:r>
              <w:rPr>
                <w:sz w:val="18"/>
                <w:szCs w:val="20"/>
              </w:rPr>
              <w:t>No</w:t>
            </w:r>
          </w:p>
        </w:tc>
      </w:tr>
      <w:tr w:rsidR="0026437B" w:rsidRPr="00EB224C" w14:paraId="5BC4DF00" w14:textId="77777777" w:rsidTr="0026437B">
        <w:tc>
          <w:tcPr>
            <w:tcW w:w="3856" w:type="dxa"/>
          </w:tcPr>
          <w:p w14:paraId="54D2DD6D" w14:textId="2AABF1AC" w:rsidR="0026437B" w:rsidRPr="00725113" w:rsidRDefault="0026437B" w:rsidP="009874FD">
            <w:pPr>
              <w:tabs>
                <w:tab w:val="left" w:pos="284"/>
              </w:tabs>
              <w:spacing w:before="0" w:after="0"/>
              <w:ind w:left="284" w:hanging="284"/>
              <w:rPr>
                <w:sz w:val="18"/>
                <w:szCs w:val="20"/>
              </w:rPr>
            </w:pPr>
            <w:r w:rsidRPr="00725113">
              <w:rPr>
                <w:sz w:val="18"/>
                <w:szCs w:val="20"/>
              </w:rPr>
              <w:t xml:space="preserve">Kiovig – Shira Australia P/L </w:t>
            </w:r>
          </w:p>
        </w:tc>
        <w:tc>
          <w:tcPr>
            <w:tcW w:w="1843" w:type="dxa"/>
          </w:tcPr>
          <w:p w14:paraId="38857BA9" w14:textId="216311D4" w:rsidR="0026437B" w:rsidRDefault="0026437B" w:rsidP="006A0F9D">
            <w:pPr>
              <w:tabs>
                <w:tab w:val="left" w:pos="284"/>
              </w:tabs>
              <w:spacing w:before="0" w:after="0"/>
              <w:ind w:left="284" w:hanging="284"/>
              <w:jc w:val="center"/>
              <w:rPr>
                <w:sz w:val="18"/>
                <w:szCs w:val="20"/>
              </w:rPr>
            </w:pPr>
            <w:r>
              <w:rPr>
                <w:sz w:val="18"/>
                <w:szCs w:val="20"/>
              </w:rPr>
              <w:t>IV and SC</w:t>
            </w:r>
          </w:p>
        </w:tc>
        <w:tc>
          <w:tcPr>
            <w:tcW w:w="1701" w:type="dxa"/>
            <w:shd w:val="clear" w:color="auto" w:fill="FFFFFF" w:themeFill="background1"/>
          </w:tcPr>
          <w:p w14:paraId="73E5CCCC" w14:textId="70AFAA49" w:rsidR="0026437B" w:rsidRPr="00473D30" w:rsidRDefault="0026437B" w:rsidP="006A0F9D">
            <w:pPr>
              <w:tabs>
                <w:tab w:val="left" w:pos="284"/>
              </w:tabs>
              <w:spacing w:before="0" w:after="0"/>
              <w:ind w:left="284" w:hanging="284"/>
              <w:jc w:val="center"/>
              <w:rPr>
                <w:sz w:val="18"/>
                <w:szCs w:val="20"/>
              </w:rPr>
            </w:pPr>
            <w:r>
              <w:rPr>
                <w:sz w:val="18"/>
                <w:szCs w:val="20"/>
              </w:rPr>
              <w:t>Yes</w:t>
            </w:r>
          </w:p>
        </w:tc>
        <w:tc>
          <w:tcPr>
            <w:tcW w:w="1701" w:type="dxa"/>
          </w:tcPr>
          <w:p w14:paraId="51EE961C" w14:textId="1E249C2C" w:rsidR="0026437B" w:rsidRDefault="0026437B" w:rsidP="006A0F9D">
            <w:pPr>
              <w:tabs>
                <w:tab w:val="left" w:pos="284"/>
              </w:tabs>
              <w:spacing w:before="0" w:after="0"/>
              <w:ind w:left="284" w:hanging="284"/>
              <w:jc w:val="center"/>
              <w:rPr>
                <w:sz w:val="18"/>
                <w:szCs w:val="20"/>
              </w:rPr>
            </w:pPr>
            <w:r>
              <w:rPr>
                <w:sz w:val="18"/>
                <w:szCs w:val="20"/>
              </w:rPr>
              <w:t>No</w:t>
            </w:r>
          </w:p>
        </w:tc>
      </w:tr>
    </w:tbl>
    <w:p w14:paraId="66B97F48" w14:textId="59FCB37A" w:rsidR="00183293" w:rsidRDefault="00E75CB0" w:rsidP="00183293">
      <w:pPr>
        <w:pStyle w:val="ListParagraph"/>
        <w:spacing w:before="0" w:after="0"/>
        <w:ind w:left="0"/>
        <w:rPr>
          <w:sz w:val="16"/>
          <w:szCs w:val="20"/>
        </w:rPr>
      </w:pPr>
      <w:r>
        <w:rPr>
          <w:sz w:val="16"/>
          <w:szCs w:val="20"/>
        </w:rPr>
        <w:t>*</w:t>
      </w:r>
      <w:r w:rsidR="00183293">
        <w:rPr>
          <w:sz w:val="16"/>
          <w:szCs w:val="20"/>
        </w:rPr>
        <w:t xml:space="preserve"> Primary immunodeficiency diseases</w:t>
      </w:r>
      <w:r w:rsidR="00EB7C39">
        <w:rPr>
          <w:sz w:val="16"/>
          <w:szCs w:val="20"/>
        </w:rPr>
        <w:t xml:space="preserve"> (PID)</w:t>
      </w:r>
    </w:p>
    <w:p w14:paraId="091C14F7" w14:textId="06C3D605" w:rsidR="003C3905" w:rsidRPr="003C3905" w:rsidRDefault="00183293" w:rsidP="003C3905">
      <w:pPr>
        <w:spacing w:before="0" w:after="0"/>
        <w:rPr>
          <w:b/>
          <w:i/>
          <w:sz w:val="16"/>
          <w:szCs w:val="20"/>
          <w:u w:val="single"/>
        </w:rPr>
      </w:pPr>
      <w:r w:rsidRPr="003C3905">
        <w:rPr>
          <w:sz w:val="16"/>
          <w:szCs w:val="20"/>
        </w:rPr>
        <w:t xml:space="preserve">** Indicates that Ig is </w:t>
      </w:r>
      <w:r w:rsidRPr="003C3905">
        <w:rPr>
          <w:i/>
          <w:sz w:val="16"/>
          <w:szCs w:val="20"/>
        </w:rPr>
        <w:t xml:space="preserve">currently </w:t>
      </w:r>
      <w:r w:rsidRPr="003C3905">
        <w:rPr>
          <w:sz w:val="16"/>
          <w:szCs w:val="20"/>
        </w:rPr>
        <w:t>funded for PID</w:t>
      </w:r>
      <w:r w:rsidR="00DF0364">
        <w:rPr>
          <w:sz w:val="16"/>
          <w:szCs w:val="20"/>
        </w:rPr>
        <w:t xml:space="preserve"> funded under the National Blood Arrangements</w:t>
      </w:r>
      <w:r w:rsidRPr="003C3905">
        <w:rPr>
          <w:sz w:val="16"/>
          <w:szCs w:val="20"/>
        </w:rPr>
        <w:t>.  Note that tendering arrangements may change products funded in the future.</w:t>
      </w:r>
      <w:r w:rsidR="0026437B" w:rsidRPr="003C3905">
        <w:rPr>
          <w:sz w:val="16"/>
          <w:szCs w:val="20"/>
        </w:rPr>
        <w:t xml:space="preserve"> The current National Product List with suppliers and prices can be found at </w:t>
      </w:r>
      <w:hyperlink r:id="rId17" w:tooltip="link to blood website" w:history="1">
        <w:r w:rsidR="0026437B" w:rsidRPr="003C3905">
          <w:rPr>
            <w:rStyle w:val="Hyperlink"/>
            <w:sz w:val="16"/>
            <w:szCs w:val="20"/>
          </w:rPr>
          <w:t>https://www.blood.gov.au/national-product-list</w:t>
        </w:r>
      </w:hyperlink>
      <w:r w:rsidR="004A29EF" w:rsidRPr="003C3905">
        <w:rPr>
          <w:sz w:val="16"/>
          <w:szCs w:val="20"/>
        </w:rPr>
        <w:t>.</w:t>
      </w:r>
      <w:r w:rsidR="0026437B" w:rsidRPr="003C3905">
        <w:rPr>
          <w:sz w:val="16"/>
          <w:szCs w:val="20"/>
        </w:rPr>
        <w:t xml:space="preserve"> </w:t>
      </w:r>
      <w:r w:rsidR="003C3905" w:rsidRPr="003C3905">
        <w:rPr>
          <w:i/>
          <w:sz w:val="16"/>
          <w:szCs w:val="20"/>
        </w:rPr>
        <w:t xml:space="preserve">Please note that in the event of any discrepancy between </w:t>
      </w:r>
      <w:r w:rsidR="003C3905">
        <w:rPr>
          <w:i/>
          <w:sz w:val="16"/>
          <w:szCs w:val="20"/>
        </w:rPr>
        <w:t>Table</w:t>
      </w:r>
      <w:r w:rsidR="003C3905" w:rsidRPr="003C3905">
        <w:rPr>
          <w:i/>
          <w:sz w:val="16"/>
          <w:szCs w:val="20"/>
        </w:rPr>
        <w:t xml:space="preserve"> 1 and </w:t>
      </w:r>
      <w:r w:rsidR="003C3905">
        <w:rPr>
          <w:i/>
          <w:sz w:val="16"/>
          <w:szCs w:val="20"/>
        </w:rPr>
        <w:t>the National Product List</w:t>
      </w:r>
      <w:r w:rsidR="003C3905" w:rsidRPr="003C3905">
        <w:rPr>
          <w:i/>
          <w:sz w:val="16"/>
          <w:szCs w:val="20"/>
        </w:rPr>
        <w:t xml:space="preserve">, the material from the </w:t>
      </w:r>
      <w:r w:rsidR="003C3905">
        <w:rPr>
          <w:i/>
          <w:sz w:val="16"/>
          <w:szCs w:val="20"/>
        </w:rPr>
        <w:t>National Product List</w:t>
      </w:r>
      <w:r w:rsidR="003C3905" w:rsidRPr="003C3905">
        <w:rPr>
          <w:i/>
          <w:sz w:val="16"/>
          <w:szCs w:val="20"/>
        </w:rPr>
        <w:t xml:space="preserve"> should take precedence over any </w:t>
      </w:r>
      <w:r w:rsidR="003C3905">
        <w:rPr>
          <w:i/>
          <w:sz w:val="16"/>
          <w:szCs w:val="20"/>
        </w:rPr>
        <w:t>information</w:t>
      </w:r>
      <w:r w:rsidR="003C3905" w:rsidRPr="003C3905">
        <w:rPr>
          <w:i/>
          <w:sz w:val="16"/>
          <w:szCs w:val="20"/>
        </w:rPr>
        <w:t xml:space="preserve"> in </w:t>
      </w:r>
      <w:r w:rsidR="003C3905">
        <w:rPr>
          <w:i/>
          <w:sz w:val="16"/>
          <w:szCs w:val="20"/>
        </w:rPr>
        <w:t>Table</w:t>
      </w:r>
      <w:r w:rsidR="003C3905" w:rsidRPr="003C3905">
        <w:rPr>
          <w:i/>
          <w:sz w:val="16"/>
          <w:szCs w:val="20"/>
        </w:rPr>
        <w:t xml:space="preserve"> 1.</w:t>
      </w:r>
    </w:p>
    <w:p w14:paraId="7554C81E" w14:textId="1F7C92E5" w:rsidR="00183293" w:rsidRPr="00F5797D" w:rsidRDefault="00183293" w:rsidP="00183293">
      <w:pPr>
        <w:pStyle w:val="ListParagraph"/>
        <w:spacing w:before="0" w:after="0"/>
        <w:ind w:left="0"/>
        <w:rPr>
          <w:sz w:val="16"/>
          <w:szCs w:val="20"/>
          <w:vertAlign w:val="superscript"/>
        </w:rPr>
      </w:pPr>
    </w:p>
    <w:p w14:paraId="659C4388" w14:textId="77777777" w:rsidR="00E75CB0" w:rsidRDefault="00E75CB0" w:rsidP="00E75CB0">
      <w:pPr>
        <w:pStyle w:val="ListParagraph"/>
        <w:spacing w:before="0" w:after="0"/>
        <w:ind w:left="0"/>
        <w:rPr>
          <w:sz w:val="16"/>
          <w:szCs w:val="20"/>
        </w:rPr>
      </w:pPr>
      <w:r>
        <w:rPr>
          <w:sz w:val="16"/>
          <w:szCs w:val="20"/>
        </w:rPr>
        <w:t>IV – intravenous</w:t>
      </w:r>
    </w:p>
    <w:p w14:paraId="36D7AA4D" w14:textId="77777777" w:rsidR="00E75CB0" w:rsidRDefault="00E75CB0" w:rsidP="00E75CB0">
      <w:pPr>
        <w:pStyle w:val="ListParagraph"/>
        <w:spacing w:before="0" w:after="0"/>
        <w:ind w:left="0"/>
        <w:rPr>
          <w:sz w:val="16"/>
          <w:szCs w:val="20"/>
        </w:rPr>
      </w:pPr>
      <w:r>
        <w:rPr>
          <w:sz w:val="16"/>
          <w:szCs w:val="20"/>
        </w:rPr>
        <w:t xml:space="preserve">SC – subcutaneous </w:t>
      </w:r>
    </w:p>
    <w:p w14:paraId="0AAD0E83" w14:textId="77777777" w:rsidR="00E75CB0" w:rsidRPr="00725113" w:rsidRDefault="00E75CB0" w:rsidP="00E75CB0">
      <w:pPr>
        <w:pStyle w:val="ListParagraph"/>
        <w:spacing w:before="0" w:after="0"/>
        <w:ind w:left="0"/>
        <w:rPr>
          <w:sz w:val="16"/>
          <w:szCs w:val="20"/>
        </w:rPr>
      </w:pPr>
      <w:r>
        <w:rPr>
          <w:sz w:val="16"/>
          <w:szCs w:val="20"/>
        </w:rPr>
        <w:t xml:space="preserve">IM – intramuscular </w:t>
      </w:r>
    </w:p>
    <w:p w14:paraId="0E1C282B" w14:textId="0896CC99" w:rsidR="00467693" w:rsidRPr="00BB3364" w:rsidRDefault="00467693" w:rsidP="00467693">
      <w:r>
        <w:t xml:space="preserve">An overview of the listings can be found at </w:t>
      </w:r>
      <w:r w:rsidRPr="00B31248">
        <w:rPr>
          <w:u w:val="single"/>
        </w:rPr>
        <w:t xml:space="preserve">Attachment </w:t>
      </w:r>
      <w:r w:rsidR="003C3905">
        <w:rPr>
          <w:u w:val="single"/>
        </w:rPr>
        <w:t>D</w:t>
      </w:r>
      <w:r w:rsidRPr="00B31248">
        <w:rPr>
          <w:u w:val="single"/>
        </w:rPr>
        <w:t>1</w:t>
      </w:r>
      <w:r w:rsidRPr="00B31248">
        <w:t xml:space="preserve"> </w:t>
      </w:r>
      <w:r>
        <w:t xml:space="preserve">and the full listing of all indications for Ig products listed can be found at </w:t>
      </w:r>
      <w:r w:rsidRPr="00162108">
        <w:rPr>
          <w:u w:val="single"/>
        </w:rPr>
        <w:t xml:space="preserve">Attachment </w:t>
      </w:r>
      <w:r w:rsidR="003C3905">
        <w:rPr>
          <w:u w:val="single"/>
        </w:rPr>
        <w:t>D</w:t>
      </w:r>
      <w:r w:rsidRPr="00162108">
        <w:rPr>
          <w:u w:val="single"/>
        </w:rPr>
        <w:t>2</w:t>
      </w:r>
      <w:r w:rsidRPr="00F16412">
        <w:t>.</w:t>
      </w:r>
    </w:p>
    <w:p w14:paraId="693DAB4C" w14:textId="77777777" w:rsidR="00615AA8" w:rsidRDefault="00615AA8">
      <w:pPr>
        <w:spacing w:before="0" w:after="200" w:line="276" w:lineRule="auto"/>
      </w:pPr>
      <w:r>
        <w:br w:type="page"/>
      </w:r>
    </w:p>
    <w:p w14:paraId="7DE16CDB" w14:textId="77777777" w:rsidR="00615AA8" w:rsidRDefault="00615AA8">
      <w:pPr>
        <w:spacing w:before="0" w:after="200" w:line="276" w:lineRule="auto"/>
        <w:sectPr w:rsidR="00615AA8" w:rsidSect="00242EA6">
          <w:headerReference w:type="even" r:id="rId18"/>
          <w:headerReference w:type="default" r:id="rId19"/>
          <w:footerReference w:type="default" r:id="rId20"/>
          <w:headerReference w:type="first" r:id="rId21"/>
          <w:pgSz w:w="11906" w:h="16838"/>
          <w:pgMar w:top="851" w:right="1418" w:bottom="1134" w:left="1418" w:header="454" w:footer="454" w:gutter="0"/>
          <w:cols w:space="708"/>
          <w:docGrid w:linePitch="360"/>
        </w:sectPr>
      </w:pPr>
    </w:p>
    <w:p w14:paraId="1C10A04D" w14:textId="77777777" w:rsidR="00162108" w:rsidRPr="00C776B1" w:rsidRDefault="00162108" w:rsidP="00162108">
      <w:pPr>
        <w:pStyle w:val="Heading1"/>
        <w:tabs>
          <w:tab w:val="left" w:pos="284"/>
        </w:tabs>
        <w:ind w:left="284" w:hanging="284"/>
      </w:pPr>
      <w:r>
        <w:t>SUMMARY</w:t>
      </w:r>
      <w:r w:rsidRPr="00C776B1">
        <w:t xml:space="preserve"> OF EVIDENCE</w:t>
      </w:r>
    </w:p>
    <w:p w14:paraId="44E25E1F" w14:textId="77777777" w:rsidR="00162108" w:rsidRDefault="00162108" w:rsidP="00C53002">
      <w:pPr>
        <w:pStyle w:val="Heading2"/>
        <w:shd w:val="clear" w:color="auto" w:fill="D9D9D9" w:themeFill="background1" w:themeFillShade="D9"/>
        <w:ind w:left="284" w:hanging="284"/>
      </w:pPr>
      <w:r w:rsidRPr="00F222BE">
        <w:t xml:space="preserve">Provide an overview of all key </w:t>
      </w:r>
      <w:r>
        <w:t xml:space="preserve">published </w:t>
      </w:r>
      <w:r w:rsidRPr="00F222BE">
        <w:t xml:space="preserve">journal articles or research related to </w:t>
      </w:r>
      <w:r>
        <w:t xml:space="preserve">Ig for any of the medical condition/s and indications within the scope of this review. </w:t>
      </w:r>
      <w:r w:rsidRPr="00666FC3">
        <w:t>Please do not attach full text articles; this is just intended to be a summary.</w:t>
      </w:r>
      <w:r>
        <w:t xml:space="preserve"> </w:t>
      </w:r>
    </w:p>
    <w:p w14:paraId="0A648948" w14:textId="103E8A3E" w:rsidR="00EB7C39" w:rsidRPr="00354B37" w:rsidRDefault="00EB7C39" w:rsidP="00EB7C39">
      <w:pPr>
        <w:spacing w:before="0" w:after="0"/>
        <w:rPr>
          <w:i/>
          <w:szCs w:val="20"/>
        </w:rPr>
      </w:pPr>
      <w:r>
        <w:rPr>
          <w:i/>
          <w:szCs w:val="20"/>
        </w:rPr>
        <w:t>Table 2</w:t>
      </w:r>
      <w:r w:rsidRPr="00354B37">
        <w:rPr>
          <w:i/>
          <w:szCs w:val="20"/>
        </w:rPr>
        <w:t xml:space="preserve">.  </w:t>
      </w:r>
      <w:r>
        <w:rPr>
          <w:i/>
          <w:szCs w:val="20"/>
        </w:rPr>
        <w:t>Overview of key published journal articles or research related to PID</w:t>
      </w:r>
    </w:p>
    <w:tbl>
      <w:tblPr>
        <w:tblStyle w:val="TableGrid"/>
        <w:tblW w:w="14992" w:type="dxa"/>
        <w:tblLayout w:type="fixed"/>
        <w:tblLook w:val="04A0" w:firstRow="1" w:lastRow="0" w:firstColumn="1" w:lastColumn="0" w:noHBand="0" w:noVBand="1"/>
        <w:tblDescription w:val="Table 2.  Overview of key published journal articles or research related to PID"/>
      </w:tblPr>
      <w:tblGrid>
        <w:gridCol w:w="846"/>
        <w:gridCol w:w="2835"/>
        <w:gridCol w:w="3499"/>
        <w:gridCol w:w="2835"/>
        <w:gridCol w:w="2835"/>
        <w:gridCol w:w="2142"/>
      </w:tblGrid>
      <w:tr w:rsidR="001004CD" w14:paraId="047FA5EF" w14:textId="77777777" w:rsidTr="00E84BC1">
        <w:trPr>
          <w:tblHeader/>
        </w:trPr>
        <w:tc>
          <w:tcPr>
            <w:tcW w:w="846" w:type="dxa"/>
          </w:tcPr>
          <w:p w14:paraId="3B41B549" w14:textId="77777777" w:rsidR="001004CD" w:rsidRPr="00BF317D" w:rsidRDefault="00AE7016" w:rsidP="00AE7016">
            <w:pPr>
              <w:rPr>
                <w:i/>
              </w:rPr>
            </w:pPr>
            <w:r>
              <w:rPr>
                <w:i/>
              </w:rPr>
              <w:t>Study</w:t>
            </w:r>
            <w:r w:rsidR="001004CD" w:rsidRPr="00BF317D">
              <w:rPr>
                <w:i/>
              </w:rPr>
              <w:t xml:space="preserve"> No.</w:t>
            </w:r>
          </w:p>
        </w:tc>
        <w:tc>
          <w:tcPr>
            <w:tcW w:w="2835" w:type="dxa"/>
          </w:tcPr>
          <w:p w14:paraId="62D48C2E" w14:textId="09F102B7" w:rsidR="001004CD" w:rsidRPr="00BF317D" w:rsidRDefault="001004CD" w:rsidP="00285718">
            <w:pPr>
              <w:rPr>
                <w:i/>
              </w:rPr>
            </w:pPr>
            <w:r w:rsidRPr="00BF317D">
              <w:rPr>
                <w:i/>
              </w:rPr>
              <w:t>Type of study design</w:t>
            </w:r>
          </w:p>
          <w:p w14:paraId="0F12B8AD" w14:textId="77777777" w:rsidR="0015540F" w:rsidRPr="00BF317D" w:rsidRDefault="0015540F" w:rsidP="00285718">
            <w:pPr>
              <w:rPr>
                <w:i/>
              </w:rPr>
            </w:pPr>
          </w:p>
        </w:tc>
        <w:tc>
          <w:tcPr>
            <w:tcW w:w="3499" w:type="dxa"/>
          </w:tcPr>
          <w:p w14:paraId="5C4370E7" w14:textId="77777777" w:rsidR="001004CD" w:rsidRPr="00BF317D" w:rsidRDefault="001004CD" w:rsidP="00285718">
            <w:pPr>
              <w:rPr>
                <w:i/>
              </w:rPr>
            </w:pPr>
            <w:r w:rsidRPr="00BF317D">
              <w:rPr>
                <w:i/>
              </w:rPr>
              <w:t>Title of journal article/research project (include trial identifier/study lead</w:t>
            </w:r>
            <w:r w:rsidR="0031538F">
              <w:rPr>
                <w:i/>
              </w:rPr>
              <w:t>)</w:t>
            </w:r>
          </w:p>
        </w:tc>
        <w:tc>
          <w:tcPr>
            <w:tcW w:w="2835" w:type="dxa"/>
          </w:tcPr>
          <w:p w14:paraId="224F46A1" w14:textId="7E01EEDC" w:rsidR="001004CD" w:rsidRPr="00BF317D" w:rsidRDefault="001004CD" w:rsidP="00285718">
            <w:pPr>
              <w:rPr>
                <w:i/>
              </w:rPr>
            </w:pPr>
            <w:r w:rsidRPr="00BF317D">
              <w:rPr>
                <w:i/>
              </w:rPr>
              <w:t>Short description of research (max 50 words)</w:t>
            </w:r>
          </w:p>
        </w:tc>
        <w:tc>
          <w:tcPr>
            <w:tcW w:w="2835" w:type="dxa"/>
          </w:tcPr>
          <w:p w14:paraId="565559DD" w14:textId="77777777" w:rsidR="001004CD" w:rsidRPr="00BF317D" w:rsidRDefault="001004CD" w:rsidP="00AE7016">
            <w:pPr>
              <w:rPr>
                <w:i/>
              </w:rPr>
            </w:pPr>
            <w:r w:rsidRPr="00BF317D">
              <w:rPr>
                <w:i/>
              </w:rPr>
              <w:t>Website link to journal article or research</w:t>
            </w:r>
            <w:r w:rsidR="00AE7016">
              <w:rPr>
                <w:i/>
              </w:rPr>
              <w:t xml:space="preserve"> (or citation details if link not  available)</w:t>
            </w:r>
          </w:p>
        </w:tc>
        <w:tc>
          <w:tcPr>
            <w:tcW w:w="2142" w:type="dxa"/>
          </w:tcPr>
          <w:p w14:paraId="23656926" w14:textId="2B355998" w:rsidR="001004CD" w:rsidRPr="00BF317D" w:rsidRDefault="001004CD" w:rsidP="00285718">
            <w:pPr>
              <w:rPr>
                <w:i/>
              </w:rPr>
            </w:pPr>
            <w:r w:rsidRPr="00BF317D">
              <w:rPr>
                <w:i/>
              </w:rPr>
              <w:t>Date of publication</w:t>
            </w:r>
            <w:r w:rsidR="00676912" w:rsidRPr="00BF317D">
              <w:rPr>
                <w:i/>
              </w:rPr>
              <w:t xml:space="preserve"> </w:t>
            </w:r>
          </w:p>
        </w:tc>
      </w:tr>
      <w:tr w:rsidR="001004CD" w14:paraId="71AAFDEF" w14:textId="77777777" w:rsidTr="00E84BC1">
        <w:tc>
          <w:tcPr>
            <w:tcW w:w="846" w:type="dxa"/>
          </w:tcPr>
          <w:p w14:paraId="300D6E1C" w14:textId="4A4A28FE" w:rsidR="001004CD" w:rsidRPr="00C53002" w:rsidRDefault="00EB7C39" w:rsidP="00285718">
            <w:pPr>
              <w:rPr>
                <w:sz w:val="18"/>
                <w:szCs w:val="18"/>
              </w:rPr>
            </w:pPr>
            <w:r w:rsidRPr="00C53002">
              <w:rPr>
                <w:sz w:val="18"/>
                <w:szCs w:val="18"/>
              </w:rPr>
              <w:t>1.</w:t>
            </w:r>
          </w:p>
        </w:tc>
        <w:tc>
          <w:tcPr>
            <w:tcW w:w="2835" w:type="dxa"/>
          </w:tcPr>
          <w:p w14:paraId="0E45E910" w14:textId="1A136228" w:rsidR="001004CD" w:rsidRPr="00C53002" w:rsidRDefault="00EB7C39" w:rsidP="00285718">
            <w:pPr>
              <w:rPr>
                <w:sz w:val="18"/>
                <w:szCs w:val="18"/>
              </w:rPr>
            </w:pPr>
            <w:r w:rsidRPr="00C53002">
              <w:rPr>
                <w:sz w:val="18"/>
                <w:szCs w:val="18"/>
              </w:rPr>
              <w:t>Literature review</w:t>
            </w:r>
          </w:p>
        </w:tc>
        <w:tc>
          <w:tcPr>
            <w:tcW w:w="3499" w:type="dxa"/>
          </w:tcPr>
          <w:p w14:paraId="2B0AC9D4" w14:textId="14BB836C" w:rsidR="001004CD" w:rsidRPr="00C53002" w:rsidRDefault="00477E98" w:rsidP="00285718">
            <w:pPr>
              <w:rPr>
                <w:sz w:val="18"/>
                <w:szCs w:val="18"/>
              </w:rPr>
            </w:pPr>
            <w:r>
              <w:rPr>
                <w:sz w:val="18"/>
                <w:szCs w:val="18"/>
              </w:rPr>
              <w:t>‘</w:t>
            </w:r>
            <w:r w:rsidR="00183293" w:rsidRPr="00C53002">
              <w:rPr>
                <w:sz w:val="18"/>
                <w:szCs w:val="18"/>
              </w:rPr>
              <w:t xml:space="preserve">Summary data on conditions and papers’, in </w:t>
            </w:r>
            <w:r w:rsidR="00183293" w:rsidRPr="00C53002">
              <w:rPr>
                <w:iCs/>
                <w:sz w:val="18"/>
                <w:szCs w:val="18"/>
              </w:rPr>
              <w:t>A systematic literature review and report on the efficacy of intravenous immunoglobulin therapy and its risks</w:t>
            </w:r>
          </w:p>
        </w:tc>
        <w:tc>
          <w:tcPr>
            <w:tcW w:w="2835" w:type="dxa"/>
          </w:tcPr>
          <w:p w14:paraId="57ED9AA3" w14:textId="64255DA2" w:rsidR="001004CD" w:rsidRPr="00C53002" w:rsidRDefault="00EB7C39" w:rsidP="00285718">
            <w:pPr>
              <w:rPr>
                <w:sz w:val="18"/>
                <w:szCs w:val="18"/>
              </w:rPr>
            </w:pPr>
            <w:r w:rsidRPr="00C53002">
              <w:rPr>
                <w:sz w:val="18"/>
                <w:szCs w:val="18"/>
              </w:rPr>
              <w:t>A systematic literature review of the efficacy and risks of IVIg. The results informed the development of evidence-based clinical practice guidelines for the use of IVIg in Australia.</w:t>
            </w:r>
          </w:p>
        </w:tc>
        <w:tc>
          <w:tcPr>
            <w:tcW w:w="2835" w:type="dxa"/>
          </w:tcPr>
          <w:p w14:paraId="51524A23" w14:textId="1C2E72C8" w:rsidR="001004CD" w:rsidRPr="00EB7C39" w:rsidRDefault="00E75CB0" w:rsidP="00285718">
            <w:pPr>
              <w:rPr>
                <w:color w:val="FF0000"/>
                <w:sz w:val="18"/>
                <w:szCs w:val="18"/>
              </w:rPr>
            </w:pPr>
            <w:r w:rsidRPr="00C53002">
              <w:rPr>
                <w:sz w:val="18"/>
                <w:szCs w:val="18"/>
              </w:rPr>
              <w:t xml:space="preserve">Biotext 2004, ‘Summary data on conditions and papers’, in </w:t>
            </w:r>
            <w:r w:rsidRPr="00C53002">
              <w:rPr>
                <w:iCs/>
                <w:sz w:val="18"/>
                <w:szCs w:val="18"/>
              </w:rPr>
              <w:t>A systematic literature review and report on the efficacy of intravenous immunoglobulin therapy and its risks</w:t>
            </w:r>
            <w:r w:rsidRPr="00C53002">
              <w:rPr>
                <w:sz w:val="18"/>
                <w:szCs w:val="18"/>
              </w:rPr>
              <w:t>, commissioned by the National Blood Authority on behalf of all Australian Governments, pp. 218. Available from</w:t>
            </w:r>
            <w:r w:rsidRPr="00EB7C39">
              <w:rPr>
                <w:color w:val="FF0000"/>
                <w:sz w:val="18"/>
                <w:szCs w:val="18"/>
              </w:rPr>
              <w:t xml:space="preserve">: </w:t>
            </w:r>
            <w:hyperlink r:id="rId22" w:tooltip="link to blood website" w:history="1">
              <w:r w:rsidRPr="00EB7C39">
                <w:rPr>
                  <w:rStyle w:val="Hyperlink"/>
                  <w:sz w:val="18"/>
                  <w:szCs w:val="18"/>
                </w:rPr>
                <w:t> https://www.blood.gov.au/system/files/A-systematic-literature-review-and-report-on-the-efficacy-of-IVIg-therapy-and-its-risks.pdf</w:t>
              </w:r>
            </w:hyperlink>
          </w:p>
        </w:tc>
        <w:tc>
          <w:tcPr>
            <w:tcW w:w="2142" w:type="dxa"/>
          </w:tcPr>
          <w:p w14:paraId="5CF30245" w14:textId="2299AA84" w:rsidR="0046190E" w:rsidRPr="00EB7C39" w:rsidRDefault="00EB7C39" w:rsidP="00285718">
            <w:pPr>
              <w:rPr>
                <w:color w:val="FF0000"/>
                <w:sz w:val="18"/>
                <w:szCs w:val="18"/>
              </w:rPr>
            </w:pPr>
            <w:r w:rsidRPr="00C53002">
              <w:rPr>
                <w:sz w:val="18"/>
                <w:szCs w:val="18"/>
              </w:rPr>
              <w:t>2004</w:t>
            </w:r>
          </w:p>
        </w:tc>
      </w:tr>
      <w:tr w:rsidR="00E75CB0" w14:paraId="7F62F354" w14:textId="77777777" w:rsidTr="00E84BC1">
        <w:tc>
          <w:tcPr>
            <w:tcW w:w="846" w:type="dxa"/>
          </w:tcPr>
          <w:p w14:paraId="0C3CAAE6" w14:textId="2CDBAB8F" w:rsidR="00E75CB0" w:rsidRPr="00C53002" w:rsidRDefault="00EB7C39" w:rsidP="00285718">
            <w:pPr>
              <w:rPr>
                <w:sz w:val="18"/>
                <w:szCs w:val="18"/>
              </w:rPr>
            </w:pPr>
            <w:r w:rsidRPr="00C53002">
              <w:rPr>
                <w:sz w:val="18"/>
                <w:szCs w:val="18"/>
              </w:rPr>
              <w:t>2.</w:t>
            </w:r>
          </w:p>
        </w:tc>
        <w:tc>
          <w:tcPr>
            <w:tcW w:w="2835" w:type="dxa"/>
          </w:tcPr>
          <w:p w14:paraId="0E74FEB8" w14:textId="706D517A" w:rsidR="00E75CB0" w:rsidRPr="00C53002" w:rsidRDefault="00EB7C39" w:rsidP="00285718">
            <w:pPr>
              <w:rPr>
                <w:sz w:val="18"/>
                <w:szCs w:val="18"/>
              </w:rPr>
            </w:pPr>
            <w:r w:rsidRPr="00C53002">
              <w:rPr>
                <w:sz w:val="18"/>
                <w:szCs w:val="18"/>
              </w:rPr>
              <w:t>Guidelines</w:t>
            </w:r>
          </w:p>
        </w:tc>
        <w:tc>
          <w:tcPr>
            <w:tcW w:w="3499" w:type="dxa"/>
          </w:tcPr>
          <w:p w14:paraId="395C7F0F" w14:textId="191D2687" w:rsidR="00E75CB0" w:rsidRPr="00C53002" w:rsidRDefault="00EB7C39" w:rsidP="00285718">
            <w:pPr>
              <w:rPr>
                <w:sz w:val="18"/>
                <w:szCs w:val="18"/>
              </w:rPr>
            </w:pPr>
            <w:r w:rsidRPr="00C53002">
              <w:rPr>
                <w:sz w:val="18"/>
                <w:szCs w:val="18"/>
              </w:rPr>
              <w:t>Practice parameter for the diagnosis and management of primary immunodeficiency</w:t>
            </w:r>
          </w:p>
        </w:tc>
        <w:tc>
          <w:tcPr>
            <w:tcW w:w="2835" w:type="dxa"/>
          </w:tcPr>
          <w:p w14:paraId="2C832E5A" w14:textId="03D07D8E" w:rsidR="00E75CB0" w:rsidRPr="00C53002" w:rsidRDefault="00EB7C39" w:rsidP="00285718">
            <w:pPr>
              <w:rPr>
                <w:sz w:val="18"/>
                <w:szCs w:val="18"/>
              </w:rPr>
            </w:pPr>
            <w:r w:rsidRPr="00C53002">
              <w:rPr>
                <w:sz w:val="18"/>
                <w:szCs w:val="18"/>
              </w:rPr>
              <w:t>A practical guide for consultant allergists/immunologists for the clinical recognition and diagnosis of immunodeficiency, along with the general principles that guide management of primary immunodeficiency disorders.</w:t>
            </w:r>
          </w:p>
        </w:tc>
        <w:tc>
          <w:tcPr>
            <w:tcW w:w="2835" w:type="dxa"/>
          </w:tcPr>
          <w:p w14:paraId="1470A54F" w14:textId="77777777" w:rsidR="00E75CB0" w:rsidRPr="00C53002" w:rsidRDefault="00E75CB0" w:rsidP="00285718">
            <w:pPr>
              <w:rPr>
                <w:sz w:val="18"/>
                <w:szCs w:val="18"/>
              </w:rPr>
            </w:pPr>
            <w:r w:rsidRPr="00C53002">
              <w:rPr>
                <w:sz w:val="18"/>
                <w:szCs w:val="18"/>
              </w:rPr>
              <w:t xml:space="preserve">Bonilla, FA, Bernstein, L, Khan, DA, et al 2005, ‘Practice parameter for the diagnosis and management of primary immunodeficiency’, </w:t>
            </w:r>
            <w:r w:rsidRPr="00C53002">
              <w:rPr>
                <w:iCs/>
                <w:sz w:val="18"/>
                <w:szCs w:val="18"/>
              </w:rPr>
              <w:t>Annals of Allergy, Asthma and Immunology</w:t>
            </w:r>
            <w:r w:rsidRPr="00C53002">
              <w:rPr>
                <w:sz w:val="18"/>
                <w:szCs w:val="18"/>
              </w:rPr>
              <w:t>, vol. 94, no. 5, suppl. 1, pp. S1–63.</w:t>
            </w:r>
          </w:p>
          <w:p w14:paraId="3F960C9C" w14:textId="26C9CC7D" w:rsidR="00255B1F" w:rsidRPr="00EB7C39" w:rsidRDefault="00641C09" w:rsidP="00285718">
            <w:pPr>
              <w:rPr>
                <w:color w:val="FF0000"/>
                <w:sz w:val="18"/>
                <w:szCs w:val="18"/>
              </w:rPr>
            </w:pPr>
            <w:hyperlink r:id="rId23" w:tooltip="link to webpage" w:history="1">
              <w:r w:rsidR="00255B1F" w:rsidRPr="0035067D">
                <w:rPr>
                  <w:rStyle w:val="Hyperlink"/>
                  <w:sz w:val="18"/>
                  <w:szCs w:val="18"/>
                </w:rPr>
                <w:t>https://www.aaaai.org/Aaaai/media/MediaLibrary/PDF%20Documents/Practice%20and%20Parameters/PID-Nov-2015.pdf</w:t>
              </w:r>
            </w:hyperlink>
            <w:r w:rsidR="00255B1F">
              <w:rPr>
                <w:color w:val="FF0000"/>
                <w:sz w:val="18"/>
                <w:szCs w:val="18"/>
              </w:rPr>
              <w:t xml:space="preserve"> </w:t>
            </w:r>
          </w:p>
        </w:tc>
        <w:tc>
          <w:tcPr>
            <w:tcW w:w="2142" w:type="dxa"/>
          </w:tcPr>
          <w:p w14:paraId="70B2974C" w14:textId="77777777" w:rsidR="00E75CB0" w:rsidRDefault="00EB7C39" w:rsidP="00285718">
            <w:pPr>
              <w:rPr>
                <w:sz w:val="18"/>
                <w:szCs w:val="18"/>
              </w:rPr>
            </w:pPr>
            <w:r w:rsidRPr="00C53002">
              <w:rPr>
                <w:sz w:val="18"/>
                <w:szCs w:val="18"/>
              </w:rPr>
              <w:t>2005</w:t>
            </w:r>
          </w:p>
          <w:p w14:paraId="0E63203F" w14:textId="4FAE90B7" w:rsidR="0046190E" w:rsidRDefault="0046190E" w:rsidP="0046190E">
            <w:pPr>
              <w:rPr>
                <w:sz w:val="18"/>
                <w:szCs w:val="18"/>
              </w:rPr>
            </w:pPr>
            <w:r>
              <w:rPr>
                <w:sz w:val="18"/>
                <w:szCs w:val="18"/>
              </w:rPr>
              <w:t xml:space="preserve"> </w:t>
            </w:r>
          </w:p>
          <w:p w14:paraId="7A6E954F" w14:textId="025158B5" w:rsidR="0046190E" w:rsidRPr="00EB7C39" w:rsidRDefault="0046190E" w:rsidP="00285718">
            <w:pPr>
              <w:rPr>
                <w:color w:val="FF0000"/>
                <w:sz w:val="18"/>
                <w:szCs w:val="18"/>
              </w:rPr>
            </w:pPr>
          </w:p>
        </w:tc>
      </w:tr>
      <w:tr w:rsidR="004D79CB" w14:paraId="5006FDF3" w14:textId="77777777" w:rsidTr="00E84BC1">
        <w:tc>
          <w:tcPr>
            <w:tcW w:w="846" w:type="dxa"/>
          </w:tcPr>
          <w:p w14:paraId="1576B4A0" w14:textId="59B1409F" w:rsidR="004D79CB" w:rsidRPr="00EB7C39" w:rsidRDefault="004D79CB" w:rsidP="00285718">
            <w:pPr>
              <w:rPr>
                <w:color w:val="FF0000"/>
                <w:sz w:val="18"/>
                <w:szCs w:val="18"/>
              </w:rPr>
            </w:pPr>
            <w:r w:rsidRPr="00C53002">
              <w:rPr>
                <w:sz w:val="18"/>
                <w:szCs w:val="18"/>
              </w:rPr>
              <w:t>3.</w:t>
            </w:r>
          </w:p>
        </w:tc>
        <w:tc>
          <w:tcPr>
            <w:tcW w:w="2835" w:type="dxa"/>
          </w:tcPr>
          <w:p w14:paraId="05FC1E1E" w14:textId="73348B26" w:rsidR="004D79CB" w:rsidRPr="00EB7C39" w:rsidRDefault="004D79CB" w:rsidP="00285718">
            <w:pPr>
              <w:rPr>
                <w:color w:val="FF0000"/>
                <w:sz w:val="18"/>
                <w:szCs w:val="18"/>
              </w:rPr>
            </w:pPr>
            <w:r>
              <w:rPr>
                <w:sz w:val="18"/>
                <w:szCs w:val="18"/>
              </w:rPr>
              <w:t>Guidelines</w:t>
            </w:r>
          </w:p>
        </w:tc>
        <w:tc>
          <w:tcPr>
            <w:tcW w:w="3499" w:type="dxa"/>
          </w:tcPr>
          <w:p w14:paraId="341C1D05" w14:textId="41CB1B0E" w:rsidR="004D79CB" w:rsidRPr="00EB7C39" w:rsidRDefault="004D79CB" w:rsidP="00285718">
            <w:pPr>
              <w:rPr>
                <w:color w:val="FF0000"/>
                <w:sz w:val="18"/>
                <w:szCs w:val="18"/>
              </w:rPr>
            </w:pPr>
            <w:r w:rsidRPr="0061486B">
              <w:rPr>
                <w:sz w:val="18"/>
                <w:szCs w:val="18"/>
              </w:rPr>
              <w:t>Chronic Suppurative Lung Disease and Bronchiectasis in children and adults in Australia and New Zealand – Clinical Practice Guideline</w:t>
            </w:r>
          </w:p>
        </w:tc>
        <w:tc>
          <w:tcPr>
            <w:tcW w:w="2835" w:type="dxa"/>
          </w:tcPr>
          <w:p w14:paraId="27D9B171" w14:textId="77777777" w:rsidR="004D79CB" w:rsidRPr="0061486B" w:rsidRDefault="004D79CB" w:rsidP="002E2F31">
            <w:pPr>
              <w:autoSpaceDE w:val="0"/>
              <w:autoSpaceDN w:val="0"/>
              <w:adjustRightInd w:val="0"/>
              <w:spacing w:before="0" w:after="0"/>
              <w:rPr>
                <w:sz w:val="18"/>
                <w:szCs w:val="18"/>
              </w:rPr>
            </w:pPr>
            <w:r w:rsidRPr="0061486B">
              <w:rPr>
                <w:sz w:val="18"/>
                <w:szCs w:val="18"/>
              </w:rPr>
              <w:t>Guidelines for managing chronic suppurative lung disease (CSLD) and bronchiectasis in Australian and</w:t>
            </w:r>
          </w:p>
          <w:p w14:paraId="35922488" w14:textId="65790F38" w:rsidR="004D79CB" w:rsidRPr="00EB7C39" w:rsidRDefault="004D79CB" w:rsidP="00285718">
            <w:pPr>
              <w:rPr>
                <w:color w:val="FF0000"/>
                <w:sz w:val="18"/>
                <w:szCs w:val="18"/>
              </w:rPr>
            </w:pPr>
            <w:r w:rsidRPr="0061486B">
              <w:rPr>
                <w:sz w:val="18"/>
                <w:szCs w:val="18"/>
              </w:rPr>
              <w:t>New Zealand children and adults updated (latest search date Oct 2013) based on systematic reviews,</w:t>
            </w:r>
            <w:r>
              <w:rPr>
                <w:sz w:val="18"/>
                <w:szCs w:val="18"/>
              </w:rPr>
              <w:t xml:space="preserve"> </w:t>
            </w:r>
            <w:r w:rsidRPr="0061486B">
              <w:rPr>
                <w:sz w:val="18"/>
                <w:szCs w:val="18"/>
              </w:rPr>
              <w:t>multi-disciplinary meetings and a modified Delphi process.</w:t>
            </w:r>
          </w:p>
        </w:tc>
        <w:tc>
          <w:tcPr>
            <w:tcW w:w="2835" w:type="dxa"/>
          </w:tcPr>
          <w:p w14:paraId="42903578" w14:textId="25E9518E" w:rsidR="004D79CB" w:rsidRPr="00EB7C39" w:rsidRDefault="004D79CB" w:rsidP="00285718">
            <w:pPr>
              <w:rPr>
                <w:color w:val="FF0000"/>
                <w:sz w:val="18"/>
                <w:szCs w:val="18"/>
              </w:rPr>
            </w:pPr>
            <w:r w:rsidRPr="00C53002">
              <w:rPr>
                <w:sz w:val="18"/>
                <w:szCs w:val="18"/>
              </w:rPr>
              <w:t xml:space="preserve">Chang, AB, Bell, SC, Torzillo, PJ, et al 2014, ‘Thoracic Sodiety of Australia and New Zealand Chronic Suppurative Lung Disease and Bronchiectasis in children and adults in Australia and New Zealand – Clinical Practice Guideline’. Available from: </w:t>
            </w:r>
            <w:hyperlink r:id="rId24" w:tooltip="link to webpage" w:history="1">
              <w:r w:rsidRPr="00EB7C39">
                <w:rPr>
                  <w:rStyle w:val="Hyperlink"/>
                  <w:sz w:val="18"/>
                  <w:szCs w:val="18"/>
                </w:rPr>
                <w:t>https://www.thoracic.org.au/journal-publishing/command/download_file/id/36/filename/TSANZ-ChronicSuppurativeLungDisease-Guidelines-2016-web.pdf</w:t>
              </w:r>
            </w:hyperlink>
            <w:r w:rsidRPr="00EB7C39">
              <w:rPr>
                <w:color w:val="FF0000"/>
                <w:sz w:val="18"/>
                <w:szCs w:val="18"/>
              </w:rPr>
              <w:t>.</w:t>
            </w:r>
          </w:p>
        </w:tc>
        <w:tc>
          <w:tcPr>
            <w:tcW w:w="2142" w:type="dxa"/>
          </w:tcPr>
          <w:p w14:paraId="0BD8B814" w14:textId="77777777" w:rsidR="004D79CB" w:rsidRDefault="004D79CB" w:rsidP="00285718">
            <w:pPr>
              <w:rPr>
                <w:sz w:val="18"/>
                <w:szCs w:val="18"/>
              </w:rPr>
            </w:pPr>
            <w:r w:rsidRPr="00C53002">
              <w:rPr>
                <w:sz w:val="18"/>
                <w:szCs w:val="18"/>
              </w:rPr>
              <w:t>2014</w:t>
            </w:r>
          </w:p>
          <w:p w14:paraId="141A8AAB" w14:textId="6B6C6207" w:rsidR="0046190E" w:rsidRDefault="0046190E" w:rsidP="0046190E">
            <w:pPr>
              <w:rPr>
                <w:sz w:val="18"/>
                <w:szCs w:val="18"/>
              </w:rPr>
            </w:pPr>
            <w:r>
              <w:rPr>
                <w:sz w:val="18"/>
                <w:szCs w:val="18"/>
              </w:rPr>
              <w:t xml:space="preserve">. </w:t>
            </w:r>
          </w:p>
          <w:p w14:paraId="3160220C" w14:textId="7049C902" w:rsidR="0046190E" w:rsidRPr="00EB7C39" w:rsidRDefault="0046190E" w:rsidP="00285718">
            <w:pPr>
              <w:rPr>
                <w:color w:val="FF0000"/>
                <w:sz w:val="18"/>
                <w:szCs w:val="18"/>
              </w:rPr>
            </w:pPr>
          </w:p>
        </w:tc>
      </w:tr>
      <w:tr w:rsidR="00E75CB0" w14:paraId="059808A0" w14:textId="77777777" w:rsidTr="00E84BC1">
        <w:tc>
          <w:tcPr>
            <w:tcW w:w="846" w:type="dxa"/>
          </w:tcPr>
          <w:p w14:paraId="3BF05FB9" w14:textId="5A166605" w:rsidR="00E75CB0" w:rsidRPr="00C53002" w:rsidRDefault="004D79CB" w:rsidP="00285718">
            <w:pPr>
              <w:rPr>
                <w:sz w:val="18"/>
                <w:szCs w:val="18"/>
              </w:rPr>
            </w:pPr>
            <w:r w:rsidRPr="00C53002">
              <w:rPr>
                <w:sz w:val="18"/>
                <w:szCs w:val="18"/>
              </w:rPr>
              <w:t>4.</w:t>
            </w:r>
          </w:p>
        </w:tc>
        <w:tc>
          <w:tcPr>
            <w:tcW w:w="2835" w:type="dxa"/>
          </w:tcPr>
          <w:p w14:paraId="0F950CD5" w14:textId="2854A602" w:rsidR="00E75CB0" w:rsidRPr="00C53002" w:rsidRDefault="004D79CB" w:rsidP="00285718">
            <w:pPr>
              <w:rPr>
                <w:sz w:val="18"/>
                <w:szCs w:val="18"/>
              </w:rPr>
            </w:pPr>
            <w:r w:rsidRPr="00C53002">
              <w:rPr>
                <w:sz w:val="18"/>
                <w:szCs w:val="18"/>
              </w:rPr>
              <w:t>Textbook</w:t>
            </w:r>
          </w:p>
        </w:tc>
        <w:tc>
          <w:tcPr>
            <w:tcW w:w="3499" w:type="dxa"/>
          </w:tcPr>
          <w:p w14:paraId="641A0BF0" w14:textId="3BAF16AB" w:rsidR="00E75CB0" w:rsidRPr="00C53002" w:rsidRDefault="004D79CB" w:rsidP="00285718">
            <w:pPr>
              <w:rPr>
                <w:sz w:val="18"/>
                <w:szCs w:val="18"/>
              </w:rPr>
            </w:pPr>
            <w:r w:rsidRPr="00C53002">
              <w:rPr>
                <w:sz w:val="18"/>
                <w:szCs w:val="18"/>
              </w:rPr>
              <w:t>Primary immune deficiency diseases</w:t>
            </w:r>
          </w:p>
        </w:tc>
        <w:tc>
          <w:tcPr>
            <w:tcW w:w="2835" w:type="dxa"/>
          </w:tcPr>
          <w:p w14:paraId="5648D7BE" w14:textId="38BAF6CF" w:rsidR="00E75CB0" w:rsidRPr="00C53002" w:rsidRDefault="00E75CB0" w:rsidP="00285718">
            <w:pPr>
              <w:rPr>
                <w:sz w:val="18"/>
                <w:szCs w:val="18"/>
              </w:rPr>
            </w:pPr>
          </w:p>
        </w:tc>
        <w:tc>
          <w:tcPr>
            <w:tcW w:w="2835" w:type="dxa"/>
          </w:tcPr>
          <w:p w14:paraId="438980E5" w14:textId="7B60F0F7" w:rsidR="00E75CB0" w:rsidRPr="00C53002" w:rsidRDefault="00183293" w:rsidP="00285718">
            <w:pPr>
              <w:rPr>
                <w:sz w:val="18"/>
                <w:szCs w:val="18"/>
              </w:rPr>
            </w:pPr>
            <w:r w:rsidRPr="00C53002">
              <w:rPr>
                <w:sz w:val="18"/>
                <w:szCs w:val="18"/>
              </w:rPr>
              <w:t xml:space="preserve">Cooper, MD &amp; Schroeder, Jr HW 2005, ‘Primary immune deficiency diseases’, in DL Kasper, E Braunwald, AS Fauci, et al (eds), </w:t>
            </w:r>
            <w:r w:rsidRPr="00C53002">
              <w:rPr>
                <w:iCs/>
                <w:sz w:val="18"/>
                <w:szCs w:val="18"/>
              </w:rPr>
              <w:t>Harrison’s Textbook of Medicine</w:t>
            </w:r>
            <w:r w:rsidRPr="00C53002">
              <w:rPr>
                <w:sz w:val="18"/>
                <w:szCs w:val="18"/>
              </w:rPr>
              <w:t>, 16th edn, McGraw-Hill, New York, pp. 1939–47.</w:t>
            </w:r>
          </w:p>
        </w:tc>
        <w:tc>
          <w:tcPr>
            <w:tcW w:w="2142" w:type="dxa"/>
          </w:tcPr>
          <w:p w14:paraId="0295582B" w14:textId="77777777" w:rsidR="00E75CB0" w:rsidRDefault="005F6B9A" w:rsidP="00285718">
            <w:pPr>
              <w:rPr>
                <w:sz w:val="18"/>
                <w:szCs w:val="18"/>
              </w:rPr>
            </w:pPr>
            <w:r w:rsidRPr="00C53002">
              <w:rPr>
                <w:sz w:val="18"/>
                <w:szCs w:val="18"/>
              </w:rPr>
              <w:t>2005</w:t>
            </w:r>
          </w:p>
          <w:p w14:paraId="3664111C" w14:textId="7AF29395" w:rsidR="0046190E" w:rsidRDefault="0046190E" w:rsidP="0046190E">
            <w:pPr>
              <w:rPr>
                <w:sz w:val="18"/>
                <w:szCs w:val="18"/>
              </w:rPr>
            </w:pPr>
            <w:r>
              <w:rPr>
                <w:sz w:val="18"/>
                <w:szCs w:val="18"/>
              </w:rPr>
              <w:t xml:space="preserve"> </w:t>
            </w:r>
          </w:p>
          <w:p w14:paraId="0D22A81D" w14:textId="482B4F13" w:rsidR="0046190E" w:rsidRPr="00C53002" w:rsidRDefault="0046190E" w:rsidP="00285718">
            <w:pPr>
              <w:rPr>
                <w:sz w:val="18"/>
                <w:szCs w:val="18"/>
              </w:rPr>
            </w:pPr>
          </w:p>
        </w:tc>
      </w:tr>
      <w:tr w:rsidR="005F6B9A" w14:paraId="4739FD85" w14:textId="77777777" w:rsidTr="00E84BC1">
        <w:tc>
          <w:tcPr>
            <w:tcW w:w="846" w:type="dxa"/>
          </w:tcPr>
          <w:p w14:paraId="170E7C3C" w14:textId="4DD7AEB0" w:rsidR="005F6B9A" w:rsidRPr="00EB7C39" w:rsidRDefault="005F6B9A" w:rsidP="00285718">
            <w:pPr>
              <w:rPr>
                <w:color w:val="FF0000"/>
                <w:sz w:val="18"/>
                <w:szCs w:val="18"/>
              </w:rPr>
            </w:pPr>
            <w:r>
              <w:rPr>
                <w:color w:val="FF0000"/>
                <w:sz w:val="18"/>
                <w:szCs w:val="18"/>
              </w:rPr>
              <w:t>5.</w:t>
            </w:r>
          </w:p>
        </w:tc>
        <w:tc>
          <w:tcPr>
            <w:tcW w:w="2835" w:type="dxa"/>
          </w:tcPr>
          <w:p w14:paraId="21C0C152" w14:textId="03B322DF" w:rsidR="005F6B9A" w:rsidRPr="00EB7C39" w:rsidRDefault="005F6B9A" w:rsidP="00285718">
            <w:pPr>
              <w:rPr>
                <w:color w:val="FF0000"/>
                <w:sz w:val="18"/>
                <w:szCs w:val="18"/>
              </w:rPr>
            </w:pPr>
            <w:r>
              <w:rPr>
                <w:sz w:val="18"/>
                <w:szCs w:val="18"/>
              </w:rPr>
              <w:t>Review of evidence</w:t>
            </w:r>
          </w:p>
        </w:tc>
        <w:tc>
          <w:tcPr>
            <w:tcW w:w="3499" w:type="dxa"/>
          </w:tcPr>
          <w:p w14:paraId="7AC5311D" w14:textId="0A4D848E" w:rsidR="005F6B9A" w:rsidRPr="00EB7C39" w:rsidRDefault="005F6B9A" w:rsidP="00285718">
            <w:pPr>
              <w:rPr>
                <w:color w:val="FF0000"/>
                <w:sz w:val="18"/>
                <w:szCs w:val="18"/>
              </w:rPr>
            </w:pPr>
            <w:r w:rsidRPr="00827434">
              <w:rPr>
                <w:sz w:val="18"/>
                <w:szCs w:val="18"/>
              </w:rPr>
              <w:t>Use of intravenous immunoglobulin in human disease: a review of evidence by members of the Primary Immunodeficiency Committee of the American Academy of Allergy, Asthma and Immunology</w:t>
            </w:r>
          </w:p>
        </w:tc>
        <w:tc>
          <w:tcPr>
            <w:tcW w:w="2835" w:type="dxa"/>
          </w:tcPr>
          <w:p w14:paraId="79FA2CED" w14:textId="5AE2F042" w:rsidR="005F6B9A" w:rsidRPr="00EB7C39" w:rsidRDefault="005F6B9A" w:rsidP="00285718">
            <w:pPr>
              <w:rPr>
                <w:color w:val="FF0000"/>
                <w:sz w:val="18"/>
                <w:szCs w:val="18"/>
              </w:rPr>
            </w:pPr>
            <w:r w:rsidRPr="00827434">
              <w:rPr>
                <w:sz w:val="18"/>
                <w:szCs w:val="18"/>
              </w:rPr>
              <w:t>Reviews the basis for the FDA-approved indications for IGIV and will discuss other disease states in which IGIV has been used. Includes the review of 357 citations. Primary literature review on each subject was derived from searching the National Center for Biotechnology Information Pubmed database using the words ‘IVIG’, ‘IGIV’ and ‘intravenous immunoglobulin’.</w:t>
            </w:r>
          </w:p>
        </w:tc>
        <w:tc>
          <w:tcPr>
            <w:tcW w:w="2835" w:type="dxa"/>
          </w:tcPr>
          <w:p w14:paraId="04D017E5" w14:textId="77777777" w:rsidR="005F6B9A" w:rsidRPr="00C53002" w:rsidRDefault="005F6B9A" w:rsidP="00285718">
            <w:pPr>
              <w:rPr>
                <w:sz w:val="18"/>
                <w:szCs w:val="18"/>
              </w:rPr>
            </w:pPr>
            <w:r w:rsidRPr="00C53002">
              <w:rPr>
                <w:sz w:val="18"/>
                <w:szCs w:val="18"/>
              </w:rPr>
              <w:t xml:space="preserve">Orange, JS, Hossny, EM, Weiler, CR, et al 2006, ‘Use of intravenous immunoglobulin in human disease: a review of evidence by members of the Primary Immunodeficiency Committee of the American Academy of Allergy, Asthma and Immunology’, </w:t>
            </w:r>
            <w:r w:rsidRPr="00C53002">
              <w:rPr>
                <w:iCs/>
                <w:sz w:val="18"/>
                <w:szCs w:val="18"/>
              </w:rPr>
              <w:t>Journal of Allergy and Clinical Immunology</w:t>
            </w:r>
            <w:r w:rsidRPr="00C53002">
              <w:rPr>
                <w:sz w:val="18"/>
                <w:szCs w:val="18"/>
              </w:rPr>
              <w:t>, vol. 117, no. 4, pp. S525–53.</w:t>
            </w:r>
          </w:p>
          <w:p w14:paraId="0D9A88FF" w14:textId="055B69E1" w:rsidR="00C57FA3" w:rsidRPr="00C53002" w:rsidRDefault="00C57FA3" w:rsidP="00285718">
            <w:pPr>
              <w:rPr>
                <w:color w:val="FF0000"/>
                <w:sz w:val="18"/>
                <w:szCs w:val="18"/>
              </w:rPr>
            </w:pPr>
            <w:r w:rsidRPr="00C53002">
              <w:rPr>
                <w:rStyle w:val="Hyperlink"/>
                <w:sz w:val="18"/>
                <w:szCs w:val="18"/>
              </w:rPr>
              <w:t>https://www.jacionline.org/article/S0091-6749(06)00178-3/fulltext</w:t>
            </w:r>
          </w:p>
        </w:tc>
        <w:tc>
          <w:tcPr>
            <w:tcW w:w="2142" w:type="dxa"/>
          </w:tcPr>
          <w:p w14:paraId="28FDE67C" w14:textId="77777777" w:rsidR="005F6B9A" w:rsidRDefault="005F6B9A" w:rsidP="00285718">
            <w:pPr>
              <w:rPr>
                <w:sz w:val="18"/>
                <w:szCs w:val="18"/>
              </w:rPr>
            </w:pPr>
            <w:r w:rsidRPr="00C53002">
              <w:rPr>
                <w:sz w:val="18"/>
                <w:szCs w:val="18"/>
              </w:rPr>
              <w:t>2006</w:t>
            </w:r>
          </w:p>
          <w:p w14:paraId="7C864CB7" w14:textId="4F28086A" w:rsidR="00F112DC" w:rsidRPr="00EB7C39" w:rsidRDefault="00F112DC" w:rsidP="00DF0364">
            <w:pPr>
              <w:rPr>
                <w:color w:val="FF0000"/>
                <w:sz w:val="18"/>
                <w:szCs w:val="18"/>
              </w:rPr>
            </w:pPr>
          </w:p>
        </w:tc>
      </w:tr>
      <w:tr w:rsidR="00E75CB0" w14:paraId="3568DA86" w14:textId="77777777" w:rsidTr="00E84BC1">
        <w:tc>
          <w:tcPr>
            <w:tcW w:w="846" w:type="dxa"/>
          </w:tcPr>
          <w:p w14:paraId="3EEABF87" w14:textId="66556A28" w:rsidR="00E75CB0" w:rsidRPr="00C53002" w:rsidRDefault="005F6B9A" w:rsidP="00285718">
            <w:pPr>
              <w:rPr>
                <w:sz w:val="18"/>
                <w:szCs w:val="18"/>
              </w:rPr>
            </w:pPr>
            <w:r w:rsidRPr="00C53002">
              <w:rPr>
                <w:sz w:val="18"/>
                <w:szCs w:val="18"/>
              </w:rPr>
              <w:t>6.</w:t>
            </w:r>
          </w:p>
        </w:tc>
        <w:tc>
          <w:tcPr>
            <w:tcW w:w="2835" w:type="dxa"/>
          </w:tcPr>
          <w:p w14:paraId="4EC27C74" w14:textId="3C473552" w:rsidR="00E75CB0" w:rsidRPr="00C53002" w:rsidRDefault="005F6B9A" w:rsidP="00285718">
            <w:pPr>
              <w:rPr>
                <w:sz w:val="18"/>
                <w:szCs w:val="18"/>
              </w:rPr>
            </w:pPr>
            <w:r w:rsidRPr="00C53002">
              <w:rPr>
                <w:sz w:val="18"/>
                <w:szCs w:val="18"/>
              </w:rPr>
              <w:t>Report</w:t>
            </w:r>
          </w:p>
        </w:tc>
        <w:tc>
          <w:tcPr>
            <w:tcW w:w="3499" w:type="dxa"/>
          </w:tcPr>
          <w:p w14:paraId="162D42E3" w14:textId="1F54483B" w:rsidR="00E75CB0" w:rsidRPr="00C53002" w:rsidRDefault="005F6B9A" w:rsidP="00285718">
            <w:pPr>
              <w:rPr>
                <w:sz w:val="18"/>
                <w:szCs w:val="18"/>
              </w:rPr>
            </w:pPr>
            <w:r w:rsidRPr="00C53002">
              <w:rPr>
                <w:sz w:val="18"/>
                <w:szCs w:val="18"/>
              </w:rPr>
              <w:t>Primary immunodeficiency diseases: an update on the classification from the International Union of Immunological Societies Expert Committee for Primary Immunodeficiency</w:t>
            </w:r>
          </w:p>
        </w:tc>
        <w:tc>
          <w:tcPr>
            <w:tcW w:w="2835" w:type="dxa"/>
          </w:tcPr>
          <w:p w14:paraId="616BC2A6" w14:textId="280A0E96" w:rsidR="00E75CB0" w:rsidRPr="00C53002" w:rsidRDefault="005F6B9A" w:rsidP="00285718">
            <w:pPr>
              <w:rPr>
                <w:sz w:val="18"/>
                <w:szCs w:val="18"/>
              </w:rPr>
            </w:pPr>
            <w:r w:rsidRPr="00C53002">
              <w:rPr>
                <w:sz w:val="18"/>
                <w:szCs w:val="18"/>
              </w:rPr>
              <w:t>An updated classification of PIDs presented in nine different tables of major groups. Each table lists the condition, its genetic defect if known, and the major immunological or non-immunological abnormalities associated with the disease.</w:t>
            </w:r>
          </w:p>
        </w:tc>
        <w:tc>
          <w:tcPr>
            <w:tcW w:w="2835" w:type="dxa"/>
          </w:tcPr>
          <w:p w14:paraId="7E173F61" w14:textId="539E584C" w:rsidR="00E75CB0" w:rsidRPr="00EB7C39" w:rsidRDefault="00183293" w:rsidP="00285718">
            <w:pPr>
              <w:rPr>
                <w:color w:val="FF0000"/>
                <w:sz w:val="18"/>
                <w:szCs w:val="18"/>
              </w:rPr>
            </w:pPr>
            <w:r w:rsidRPr="00C53002">
              <w:rPr>
                <w:sz w:val="18"/>
                <w:szCs w:val="18"/>
              </w:rPr>
              <w:t xml:space="preserve">Al-Herz, W, Bousfina, A, Casanova, J-L, et al 2014. ‘Primary immunodeficiency diseases: an update on the classification from the International Union of Immunological Societies Expert Committee for Primary Immunodeficiency.’ </w:t>
            </w:r>
            <w:r w:rsidRPr="00C53002">
              <w:rPr>
                <w:iCs/>
                <w:sz w:val="18"/>
                <w:szCs w:val="18"/>
              </w:rPr>
              <w:t>Frontiers in Immunology</w:t>
            </w:r>
            <w:r w:rsidRPr="00C53002">
              <w:rPr>
                <w:sz w:val="18"/>
                <w:szCs w:val="18"/>
              </w:rPr>
              <w:t xml:space="preserve">, Vol 5, article 162, pp1-33. doi: 10.3389/fimmu.2014.00162. Available from: </w:t>
            </w:r>
            <w:hyperlink r:id="rId25" w:tooltip="link to journal" w:history="1">
              <w:r w:rsidRPr="00EB7C39">
                <w:rPr>
                  <w:rStyle w:val="Hyperlink"/>
                  <w:sz w:val="18"/>
                  <w:szCs w:val="18"/>
                </w:rPr>
                <w:t>http://journal.frontiersin.org/article/10.3389/fimmu.2014.00162/full</w:t>
              </w:r>
            </w:hyperlink>
          </w:p>
        </w:tc>
        <w:tc>
          <w:tcPr>
            <w:tcW w:w="2142" w:type="dxa"/>
          </w:tcPr>
          <w:p w14:paraId="589D2A19" w14:textId="77777777" w:rsidR="00E75CB0" w:rsidRDefault="005F6B9A" w:rsidP="00285718">
            <w:pPr>
              <w:rPr>
                <w:sz w:val="18"/>
                <w:szCs w:val="18"/>
              </w:rPr>
            </w:pPr>
            <w:r w:rsidRPr="00C53002">
              <w:rPr>
                <w:sz w:val="18"/>
                <w:szCs w:val="18"/>
              </w:rPr>
              <w:t>2014</w:t>
            </w:r>
          </w:p>
          <w:p w14:paraId="5CE76DB7" w14:textId="75D660A9" w:rsidR="00F112DC" w:rsidRPr="00EB7C39" w:rsidRDefault="00F112DC" w:rsidP="00DF0364">
            <w:pPr>
              <w:rPr>
                <w:color w:val="FF0000"/>
                <w:sz w:val="18"/>
                <w:szCs w:val="18"/>
              </w:rPr>
            </w:pPr>
          </w:p>
        </w:tc>
      </w:tr>
      <w:tr w:rsidR="00E75CB0" w14:paraId="7A676C0B" w14:textId="77777777" w:rsidTr="00E84BC1">
        <w:tc>
          <w:tcPr>
            <w:tcW w:w="846" w:type="dxa"/>
          </w:tcPr>
          <w:p w14:paraId="1F89920E" w14:textId="740AE627" w:rsidR="00E75CB0" w:rsidRPr="00C53002" w:rsidRDefault="00E423FB" w:rsidP="00285718">
            <w:pPr>
              <w:rPr>
                <w:sz w:val="18"/>
                <w:szCs w:val="18"/>
              </w:rPr>
            </w:pPr>
            <w:r w:rsidRPr="00C53002">
              <w:rPr>
                <w:sz w:val="18"/>
                <w:szCs w:val="18"/>
              </w:rPr>
              <w:t>7.</w:t>
            </w:r>
          </w:p>
        </w:tc>
        <w:tc>
          <w:tcPr>
            <w:tcW w:w="2835" w:type="dxa"/>
          </w:tcPr>
          <w:p w14:paraId="7BB4F3EE" w14:textId="36C8EEA1" w:rsidR="00E75CB0" w:rsidRPr="00C53002" w:rsidRDefault="00E423FB" w:rsidP="00285718">
            <w:pPr>
              <w:rPr>
                <w:sz w:val="18"/>
                <w:szCs w:val="18"/>
              </w:rPr>
            </w:pPr>
            <w:r w:rsidRPr="00C53002">
              <w:rPr>
                <w:sz w:val="18"/>
                <w:szCs w:val="18"/>
              </w:rPr>
              <w:t>*Guidelines</w:t>
            </w:r>
          </w:p>
        </w:tc>
        <w:tc>
          <w:tcPr>
            <w:tcW w:w="3499" w:type="dxa"/>
          </w:tcPr>
          <w:p w14:paraId="67FEF149" w14:textId="7EFB80B5" w:rsidR="00E75CB0" w:rsidRPr="00C53002" w:rsidRDefault="00E423FB" w:rsidP="00285718">
            <w:pPr>
              <w:rPr>
                <w:sz w:val="18"/>
                <w:szCs w:val="18"/>
              </w:rPr>
            </w:pPr>
            <w:r w:rsidRPr="00C53002">
              <w:rPr>
                <w:sz w:val="18"/>
                <w:szCs w:val="18"/>
              </w:rPr>
              <w:t>Diagnostic Criteria PID</w:t>
            </w:r>
          </w:p>
        </w:tc>
        <w:tc>
          <w:tcPr>
            <w:tcW w:w="2835" w:type="dxa"/>
          </w:tcPr>
          <w:p w14:paraId="3A7B793A" w14:textId="18C82D03" w:rsidR="00E75CB0" w:rsidRPr="00C53002" w:rsidRDefault="00E423FB" w:rsidP="00285718">
            <w:pPr>
              <w:rPr>
                <w:sz w:val="18"/>
                <w:szCs w:val="18"/>
              </w:rPr>
            </w:pPr>
            <w:r w:rsidRPr="00C53002">
              <w:rPr>
                <w:sz w:val="18"/>
                <w:szCs w:val="18"/>
              </w:rPr>
              <w:t>Developed to establish simple, objective and clear guidelines that ensure that different physicians and scientists are using the same definitions when they include patients in research studies.</w:t>
            </w:r>
          </w:p>
        </w:tc>
        <w:tc>
          <w:tcPr>
            <w:tcW w:w="2835" w:type="dxa"/>
          </w:tcPr>
          <w:p w14:paraId="2DE67BA4" w14:textId="218F86C8" w:rsidR="00E75CB0" w:rsidRPr="00C53002" w:rsidRDefault="00E423FB" w:rsidP="00285718">
            <w:pPr>
              <w:rPr>
                <w:color w:val="FF0000"/>
                <w:sz w:val="18"/>
                <w:szCs w:val="18"/>
              </w:rPr>
            </w:pPr>
            <w:r w:rsidRPr="00C53002">
              <w:rPr>
                <w:sz w:val="18"/>
                <w:szCs w:val="18"/>
              </w:rPr>
              <w:t xml:space="preserve">European Society for Immunodeficiencies (ESID) Diagnostic Criteria PID 2019, found on 31/05/19 at </w:t>
            </w:r>
            <w:hyperlink r:id="rId26" w:tooltip="link to webpage" w:history="1">
              <w:r w:rsidRPr="00C53002">
                <w:rPr>
                  <w:rStyle w:val="Hyperlink"/>
                  <w:sz w:val="18"/>
                  <w:szCs w:val="18"/>
                </w:rPr>
                <w:t>https://esid.org/Education/Diagnostic-Criteria-PID</w:t>
              </w:r>
            </w:hyperlink>
          </w:p>
        </w:tc>
        <w:tc>
          <w:tcPr>
            <w:tcW w:w="2142" w:type="dxa"/>
          </w:tcPr>
          <w:p w14:paraId="766B0510" w14:textId="77777777" w:rsidR="00E75CB0" w:rsidRDefault="00E423FB" w:rsidP="00285718">
            <w:pPr>
              <w:rPr>
                <w:sz w:val="18"/>
                <w:szCs w:val="18"/>
              </w:rPr>
            </w:pPr>
            <w:r w:rsidRPr="00C53002">
              <w:rPr>
                <w:sz w:val="18"/>
                <w:szCs w:val="18"/>
              </w:rPr>
              <w:t>2019</w:t>
            </w:r>
          </w:p>
          <w:p w14:paraId="7E2206AF" w14:textId="0091A725" w:rsidR="00F112DC" w:rsidRPr="00EB7C39" w:rsidRDefault="00F112DC" w:rsidP="00DF0364">
            <w:pPr>
              <w:rPr>
                <w:color w:val="FF0000"/>
                <w:sz w:val="18"/>
                <w:szCs w:val="18"/>
              </w:rPr>
            </w:pPr>
          </w:p>
        </w:tc>
      </w:tr>
    </w:tbl>
    <w:p w14:paraId="3A50C18A" w14:textId="7A333A76" w:rsidR="00891D8E" w:rsidRDefault="00E423FB" w:rsidP="00616481">
      <w:pPr>
        <w:spacing w:after="0"/>
        <w:ind w:left="426"/>
        <w:rPr>
          <w:i/>
          <w:szCs w:val="20"/>
        </w:rPr>
      </w:pPr>
      <w:r>
        <w:rPr>
          <w:i/>
          <w:szCs w:val="20"/>
        </w:rPr>
        <w:t xml:space="preserve">* These guidelines have been updated since their inclusion in V3 of the Criteria. </w:t>
      </w:r>
      <w:r w:rsidR="001372BE">
        <w:rPr>
          <w:i/>
          <w:szCs w:val="20"/>
        </w:rPr>
        <w:t xml:space="preserve">Both the 2014 and 2019 versions have </w:t>
      </w:r>
      <w:r>
        <w:rPr>
          <w:i/>
          <w:szCs w:val="20"/>
        </w:rPr>
        <w:t>been referenced in this referral.</w:t>
      </w:r>
    </w:p>
    <w:p w14:paraId="1A56B921" w14:textId="1C9383F3" w:rsidR="00616481" w:rsidRDefault="00616481">
      <w:pPr>
        <w:spacing w:before="0" w:after="200" w:line="276" w:lineRule="auto"/>
        <w:rPr>
          <w:i/>
          <w:szCs w:val="20"/>
        </w:rPr>
      </w:pPr>
      <w:r>
        <w:rPr>
          <w:i/>
          <w:szCs w:val="20"/>
        </w:rPr>
        <w:br w:type="page"/>
      </w:r>
    </w:p>
    <w:p w14:paraId="6239D126" w14:textId="77777777" w:rsidR="00616481" w:rsidRDefault="00616481" w:rsidP="00616481">
      <w:pPr>
        <w:spacing w:after="0"/>
        <w:ind w:left="426"/>
        <w:rPr>
          <w:i/>
          <w:szCs w:val="20"/>
        </w:rPr>
      </w:pPr>
    </w:p>
    <w:p w14:paraId="55F71DFA" w14:textId="77777777" w:rsidR="00162108" w:rsidRDefault="00162108" w:rsidP="00C53002">
      <w:pPr>
        <w:pStyle w:val="Heading2"/>
        <w:shd w:val="clear" w:color="auto" w:fill="D9D9D9" w:themeFill="background1" w:themeFillShade="D9"/>
      </w:pPr>
      <w:r w:rsidRPr="00E82F54">
        <w:t>Identify yet to be published research that may have results available in the near future that could be relevant in the consideration by MSAC</w:t>
      </w:r>
      <w:r>
        <w:t xml:space="preserve"> </w:t>
      </w:r>
      <w:r w:rsidRPr="00666FC3">
        <w:t>Please do not attach full text articles; this is just intended to be a summary.</w:t>
      </w:r>
      <w:r>
        <w:t xml:space="preserve"> </w:t>
      </w:r>
    </w:p>
    <w:p w14:paraId="2EC447F8" w14:textId="36462134" w:rsidR="0057072D" w:rsidRDefault="0057072D" w:rsidP="0057072D">
      <w:r>
        <w:t>The NBA is not currently associated with any research projects relating to PID.</w:t>
      </w:r>
    </w:p>
    <w:p w14:paraId="3B09BA07" w14:textId="49B3709C" w:rsidR="0057072D" w:rsidRPr="00354B37" w:rsidRDefault="0057072D" w:rsidP="0057072D">
      <w:pPr>
        <w:spacing w:before="0" w:after="0"/>
        <w:rPr>
          <w:i/>
          <w:szCs w:val="20"/>
        </w:rPr>
      </w:pPr>
      <w:r>
        <w:rPr>
          <w:i/>
          <w:szCs w:val="20"/>
        </w:rPr>
        <w:t>Table 3</w:t>
      </w:r>
      <w:r w:rsidRPr="00354B37">
        <w:rPr>
          <w:i/>
          <w:szCs w:val="20"/>
        </w:rPr>
        <w:t xml:space="preserve">.  </w:t>
      </w:r>
      <w:r>
        <w:rPr>
          <w:i/>
          <w:szCs w:val="20"/>
        </w:rPr>
        <w:t>Overview of yet to be published research related to PID</w:t>
      </w:r>
    </w:p>
    <w:tbl>
      <w:tblPr>
        <w:tblStyle w:val="TableGrid"/>
        <w:tblW w:w="14850" w:type="dxa"/>
        <w:tblLayout w:type="fixed"/>
        <w:tblLook w:val="04A0" w:firstRow="1" w:lastRow="0" w:firstColumn="1" w:lastColumn="0" w:noHBand="0" w:noVBand="1"/>
        <w:tblDescription w:val="Table 3.  Overview of yet to be published research related to PID"/>
      </w:tblPr>
      <w:tblGrid>
        <w:gridCol w:w="846"/>
        <w:gridCol w:w="2835"/>
        <w:gridCol w:w="3499"/>
        <w:gridCol w:w="2835"/>
        <w:gridCol w:w="2835"/>
        <w:gridCol w:w="2000"/>
      </w:tblGrid>
      <w:tr w:rsidR="00615AA8" w14:paraId="6D350750" w14:textId="77777777" w:rsidTr="00E84BC1">
        <w:trPr>
          <w:tblHeader/>
        </w:trPr>
        <w:tc>
          <w:tcPr>
            <w:tcW w:w="846" w:type="dxa"/>
          </w:tcPr>
          <w:p w14:paraId="0445EFC4" w14:textId="77777777" w:rsidR="00615AA8" w:rsidRPr="00BF317D" w:rsidRDefault="00AE7016" w:rsidP="00AE7016">
            <w:pPr>
              <w:rPr>
                <w:i/>
              </w:rPr>
            </w:pPr>
            <w:r>
              <w:rPr>
                <w:i/>
              </w:rPr>
              <w:t>Study</w:t>
            </w:r>
            <w:r w:rsidR="00615AA8" w:rsidRPr="00BF317D">
              <w:rPr>
                <w:i/>
              </w:rPr>
              <w:t xml:space="preserve"> No.</w:t>
            </w:r>
          </w:p>
        </w:tc>
        <w:tc>
          <w:tcPr>
            <w:tcW w:w="2835" w:type="dxa"/>
          </w:tcPr>
          <w:p w14:paraId="0A0BF3EB" w14:textId="77777777" w:rsidR="00615AA8" w:rsidRPr="00BF317D" w:rsidRDefault="00615AA8" w:rsidP="00AE7016">
            <w:pPr>
              <w:rPr>
                <w:i/>
              </w:rPr>
            </w:pPr>
            <w:r w:rsidRPr="00BF317D">
              <w:rPr>
                <w:i/>
              </w:rPr>
              <w:t>Type of study design</w:t>
            </w:r>
            <w:r w:rsidR="00676912" w:rsidRPr="00BF317D">
              <w:rPr>
                <w:i/>
              </w:rPr>
              <w:t>*</w:t>
            </w:r>
          </w:p>
        </w:tc>
        <w:tc>
          <w:tcPr>
            <w:tcW w:w="3499" w:type="dxa"/>
          </w:tcPr>
          <w:p w14:paraId="07993D51" w14:textId="77777777" w:rsidR="00615AA8" w:rsidRPr="00BF317D" w:rsidRDefault="00615AA8" w:rsidP="00715D99">
            <w:pPr>
              <w:rPr>
                <w:i/>
              </w:rPr>
            </w:pPr>
            <w:r w:rsidRPr="00BF317D">
              <w:rPr>
                <w:i/>
              </w:rPr>
              <w:t>Title of journal article/research project (include trial identifier/study lead</w:t>
            </w:r>
            <w:r w:rsidR="0031538F">
              <w:rPr>
                <w:i/>
              </w:rPr>
              <w:t>)</w:t>
            </w:r>
          </w:p>
        </w:tc>
        <w:tc>
          <w:tcPr>
            <w:tcW w:w="2835" w:type="dxa"/>
          </w:tcPr>
          <w:p w14:paraId="1CD1EFB8" w14:textId="77777777" w:rsidR="00615AA8" w:rsidRPr="00BF317D" w:rsidRDefault="00615AA8" w:rsidP="00715D99">
            <w:pPr>
              <w:rPr>
                <w:i/>
              </w:rPr>
            </w:pPr>
            <w:r w:rsidRPr="00BF317D">
              <w:rPr>
                <w:i/>
              </w:rPr>
              <w:t>Short description of research (max 50 words)</w:t>
            </w:r>
            <w:r w:rsidR="00676912" w:rsidRPr="00BF317D">
              <w:rPr>
                <w:i/>
              </w:rPr>
              <w:t>**</w:t>
            </w:r>
          </w:p>
        </w:tc>
        <w:tc>
          <w:tcPr>
            <w:tcW w:w="2835" w:type="dxa"/>
          </w:tcPr>
          <w:p w14:paraId="3CE62E86" w14:textId="77777777" w:rsidR="00615AA8" w:rsidRPr="00BF317D" w:rsidRDefault="00615AA8" w:rsidP="00715D99">
            <w:pPr>
              <w:rPr>
                <w:i/>
              </w:rPr>
            </w:pPr>
            <w:r w:rsidRPr="00BF317D">
              <w:rPr>
                <w:i/>
              </w:rPr>
              <w:t>Website link to journal article or research</w:t>
            </w:r>
            <w:r w:rsidR="00AE7016">
              <w:rPr>
                <w:i/>
              </w:rPr>
              <w:t xml:space="preserve"> (or citation details if link not available)</w:t>
            </w:r>
          </w:p>
        </w:tc>
        <w:tc>
          <w:tcPr>
            <w:tcW w:w="2000" w:type="dxa"/>
          </w:tcPr>
          <w:p w14:paraId="6593ABDC" w14:textId="77777777" w:rsidR="00615AA8" w:rsidRPr="00BF317D" w:rsidRDefault="0031538F" w:rsidP="0031538F">
            <w:pPr>
              <w:rPr>
                <w:i/>
              </w:rPr>
            </w:pPr>
            <w:r>
              <w:rPr>
                <w:i/>
              </w:rPr>
              <w:t xml:space="preserve">Relevant dates </w:t>
            </w:r>
            <w:r w:rsidR="00615AA8" w:rsidRPr="00BF317D">
              <w:rPr>
                <w:i/>
              </w:rPr>
              <w:t xml:space="preserve">of </w:t>
            </w:r>
            <w:r>
              <w:rPr>
                <w:i/>
              </w:rPr>
              <w:t>research</w:t>
            </w:r>
            <w:r w:rsidR="00676912" w:rsidRPr="00BF317D">
              <w:rPr>
                <w:i/>
              </w:rPr>
              <w:t>***</w:t>
            </w:r>
          </w:p>
        </w:tc>
      </w:tr>
      <w:tr w:rsidR="00615AA8" w14:paraId="4BE8AF29" w14:textId="77777777" w:rsidTr="00E84BC1">
        <w:tc>
          <w:tcPr>
            <w:tcW w:w="846" w:type="dxa"/>
          </w:tcPr>
          <w:p w14:paraId="26667396" w14:textId="7D9CE169" w:rsidR="00615AA8" w:rsidRDefault="00616481" w:rsidP="00715D99">
            <w:pPr>
              <w:rPr>
                <w:i/>
                <w:color w:val="FF0000"/>
              </w:rPr>
            </w:pPr>
            <w:r>
              <w:rPr>
                <w:i/>
                <w:color w:val="FF0000"/>
              </w:rPr>
              <w:t>.</w:t>
            </w:r>
          </w:p>
        </w:tc>
        <w:tc>
          <w:tcPr>
            <w:tcW w:w="2835" w:type="dxa"/>
          </w:tcPr>
          <w:p w14:paraId="436D0E25" w14:textId="77777777" w:rsidR="00615AA8" w:rsidRDefault="00615AA8" w:rsidP="00715D99">
            <w:pPr>
              <w:rPr>
                <w:i/>
                <w:color w:val="FF0000"/>
              </w:rPr>
            </w:pPr>
          </w:p>
        </w:tc>
        <w:tc>
          <w:tcPr>
            <w:tcW w:w="3499" w:type="dxa"/>
          </w:tcPr>
          <w:p w14:paraId="49C47450" w14:textId="77777777" w:rsidR="00615AA8" w:rsidRDefault="00615AA8" w:rsidP="00715D99">
            <w:pPr>
              <w:rPr>
                <w:i/>
                <w:color w:val="FF0000"/>
              </w:rPr>
            </w:pPr>
          </w:p>
        </w:tc>
        <w:tc>
          <w:tcPr>
            <w:tcW w:w="2835" w:type="dxa"/>
          </w:tcPr>
          <w:p w14:paraId="10AEF6DC" w14:textId="77777777" w:rsidR="00615AA8" w:rsidRDefault="00615AA8" w:rsidP="00715D99">
            <w:pPr>
              <w:rPr>
                <w:i/>
                <w:color w:val="FF0000"/>
              </w:rPr>
            </w:pPr>
          </w:p>
        </w:tc>
        <w:tc>
          <w:tcPr>
            <w:tcW w:w="2835" w:type="dxa"/>
          </w:tcPr>
          <w:p w14:paraId="23410893" w14:textId="77777777" w:rsidR="00615AA8" w:rsidRDefault="00615AA8" w:rsidP="00715D99">
            <w:pPr>
              <w:rPr>
                <w:i/>
                <w:color w:val="FF0000"/>
              </w:rPr>
            </w:pPr>
          </w:p>
        </w:tc>
        <w:tc>
          <w:tcPr>
            <w:tcW w:w="2000" w:type="dxa"/>
          </w:tcPr>
          <w:p w14:paraId="10F2C127" w14:textId="77777777" w:rsidR="00615AA8" w:rsidRDefault="00615AA8" w:rsidP="00715D99">
            <w:pPr>
              <w:rPr>
                <w:i/>
                <w:color w:val="FF0000"/>
              </w:rPr>
            </w:pPr>
          </w:p>
        </w:tc>
      </w:tr>
    </w:tbl>
    <w:p w14:paraId="3894A85D" w14:textId="77777777" w:rsidR="00676912" w:rsidRDefault="00676912" w:rsidP="00676912">
      <w:pPr>
        <w:spacing w:after="0"/>
        <w:ind w:left="426"/>
        <w:rPr>
          <w:i/>
          <w:szCs w:val="20"/>
        </w:rPr>
      </w:pPr>
      <w:r>
        <w:rPr>
          <w:i/>
          <w:szCs w:val="20"/>
        </w:rPr>
        <w:t xml:space="preserve">* Categorise study design, for example meta-analysis, randomised trial, non-randomised trial or observational study, etc. </w:t>
      </w:r>
    </w:p>
    <w:p w14:paraId="3A0BC3EA" w14:textId="77777777" w:rsidR="00676912" w:rsidRDefault="00676912" w:rsidP="00676912">
      <w:pPr>
        <w:spacing w:after="0"/>
        <w:ind w:left="426"/>
        <w:rPr>
          <w:i/>
          <w:szCs w:val="20"/>
        </w:rPr>
      </w:pPr>
      <w:r>
        <w:rPr>
          <w:i/>
          <w:szCs w:val="20"/>
        </w:rPr>
        <w:t>** Provide high level information including population numbers and whether patients are being recruited or in post-recruitment, including providing the trial registration number to allow for tracking purposes.</w:t>
      </w:r>
    </w:p>
    <w:p w14:paraId="54E99182" w14:textId="1788A2C5" w:rsidR="00615AA8" w:rsidRDefault="00676912" w:rsidP="009E29A7">
      <w:pPr>
        <w:spacing w:after="0"/>
        <w:ind w:left="426"/>
      </w:pPr>
      <w:r w:rsidRPr="00E82F54">
        <w:rPr>
          <w:i/>
          <w:szCs w:val="20"/>
        </w:rPr>
        <w:t>*</w:t>
      </w:r>
      <w:r>
        <w:rPr>
          <w:szCs w:val="20"/>
        </w:rPr>
        <w:t>**</w:t>
      </w:r>
      <w:r>
        <w:rPr>
          <w:i/>
          <w:szCs w:val="20"/>
        </w:rPr>
        <w:t xml:space="preserve"> </w:t>
      </w:r>
      <w:r w:rsidR="0031538F">
        <w:rPr>
          <w:i/>
          <w:szCs w:val="20"/>
        </w:rPr>
        <w:t>For example, research start date, expected research completion date, and expected publication date</w:t>
      </w:r>
      <w:r>
        <w:rPr>
          <w:i/>
          <w:szCs w:val="20"/>
        </w:rPr>
        <w:t>.</w:t>
      </w:r>
    </w:p>
    <w:p w14:paraId="1F7FFEC5" w14:textId="77777777" w:rsidR="00676912" w:rsidRDefault="00676912">
      <w:pPr>
        <w:spacing w:before="0" w:after="200" w:line="276" w:lineRule="auto"/>
        <w:sectPr w:rsidR="00676912" w:rsidSect="00615AA8">
          <w:pgSz w:w="16838" w:h="11906" w:orient="landscape"/>
          <w:pgMar w:top="1418" w:right="851" w:bottom="1418" w:left="1134" w:header="567" w:footer="567" w:gutter="0"/>
          <w:cols w:space="708"/>
          <w:docGrid w:linePitch="360"/>
        </w:sectPr>
      </w:pPr>
    </w:p>
    <w:p w14:paraId="0C5D9D8B" w14:textId="77777777" w:rsidR="00E82F54" w:rsidRPr="00C776B1" w:rsidRDefault="00E82F54" w:rsidP="00162108">
      <w:pPr>
        <w:pStyle w:val="Heading1"/>
        <w:tabs>
          <w:tab w:val="left" w:pos="284"/>
        </w:tabs>
        <w:ind w:left="284" w:hanging="284"/>
      </w:pPr>
      <w:r w:rsidRPr="00C776B1">
        <w:t>CLINICAL ENDORSEMENT AND CONSUMER INFORMATION</w:t>
      </w:r>
    </w:p>
    <w:p w14:paraId="7E718607" w14:textId="77777777" w:rsidR="00E82F54" w:rsidRDefault="00622BB5" w:rsidP="00162108">
      <w:pPr>
        <w:pStyle w:val="Heading2"/>
        <w:numPr>
          <w:ilvl w:val="0"/>
          <w:numId w:val="0"/>
        </w:numPr>
        <w:shd w:val="clear" w:color="auto" w:fill="D9D9D9" w:themeFill="background1" w:themeFillShade="D9"/>
        <w:tabs>
          <w:tab w:val="left" w:pos="284"/>
          <w:tab w:val="left" w:pos="426"/>
        </w:tabs>
        <w:ind w:left="284" w:hanging="284"/>
      </w:pPr>
      <w:r>
        <w:t>5.</w:t>
      </w:r>
      <w:r w:rsidR="00162108">
        <w:tab/>
      </w:r>
      <w:r w:rsidR="00E82F54" w:rsidRPr="00CA26DD">
        <w:t xml:space="preserve">List </w:t>
      </w:r>
      <w:r w:rsidR="00EA173C" w:rsidRPr="00CA26DD">
        <w:t>all appropriate professional bodies / organisations</w:t>
      </w:r>
      <w:r w:rsidR="00E82F54" w:rsidRPr="00CA26DD">
        <w:t xml:space="preserve"> representing the group</w:t>
      </w:r>
      <w:r w:rsidR="006E3B58">
        <w:t>s</w:t>
      </w:r>
      <w:r w:rsidR="00E82F54" w:rsidRPr="00CA26DD">
        <w:t xml:space="preserve"> of health profess</w:t>
      </w:r>
      <w:r w:rsidR="00EA173C" w:rsidRPr="00CA26DD">
        <w:t xml:space="preserve">ionals who </w:t>
      </w:r>
      <w:r w:rsidR="008747E3">
        <w:t>are</w:t>
      </w:r>
      <w:r w:rsidR="00E924AA">
        <w:t xml:space="preserve"> </w:t>
      </w:r>
      <w:r w:rsidR="0075624B" w:rsidRPr="00830FD5">
        <w:rPr>
          <w:u w:val="single"/>
        </w:rPr>
        <w:t>allowed to request</w:t>
      </w:r>
      <w:r w:rsidR="0075624B">
        <w:t xml:space="preserve"> Ig for the medical condition/</w:t>
      </w:r>
      <w:r w:rsidR="00AE7E2C">
        <w:t>s and</w:t>
      </w:r>
      <w:r w:rsidR="0075624B">
        <w:t xml:space="preserve"> indication</w:t>
      </w:r>
      <w:r w:rsidR="00AE7E2C">
        <w:t xml:space="preserve">s within the scope of this </w:t>
      </w:r>
      <w:r w:rsidR="00676912">
        <w:t>referral:</w:t>
      </w:r>
    </w:p>
    <w:p w14:paraId="17A5D158" w14:textId="737A68BD" w:rsidR="00676912" w:rsidRDefault="0057072D" w:rsidP="00B17921">
      <w:pPr>
        <w:pStyle w:val="ListParagraph"/>
        <w:tabs>
          <w:tab w:val="left" w:pos="284"/>
        </w:tabs>
        <w:ind w:left="0"/>
      </w:pPr>
      <w:r>
        <w:t>The Criteria</w:t>
      </w:r>
      <w:r w:rsidR="00C03E8A">
        <w:t xml:space="preserve"> V3 </w:t>
      </w:r>
      <w:r>
        <w:t>allows only an Immunologist to request Ig for PID.</w:t>
      </w:r>
    </w:p>
    <w:p w14:paraId="3CC0F4F9" w14:textId="77777777" w:rsidR="0057072D" w:rsidRDefault="0057072D" w:rsidP="00B17921">
      <w:pPr>
        <w:pStyle w:val="ListParagraph"/>
        <w:tabs>
          <w:tab w:val="left" w:pos="284"/>
        </w:tabs>
        <w:ind w:left="0"/>
      </w:pPr>
    </w:p>
    <w:p w14:paraId="20651FFA" w14:textId="27D882A5" w:rsidR="0057072D" w:rsidRDefault="0057072D" w:rsidP="00B17921">
      <w:pPr>
        <w:pStyle w:val="ListParagraph"/>
        <w:tabs>
          <w:tab w:val="left" w:pos="284"/>
        </w:tabs>
        <w:ind w:left="0"/>
      </w:pPr>
      <w:r>
        <w:t>Some professional bodies/organisations known to the NBA representing Immunologists are listed below:</w:t>
      </w:r>
    </w:p>
    <w:p w14:paraId="6288740A" w14:textId="77777777" w:rsidR="0057072D" w:rsidRDefault="0057072D" w:rsidP="00B17921">
      <w:pPr>
        <w:pStyle w:val="ListParagraph"/>
        <w:tabs>
          <w:tab w:val="left" w:pos="284"/>
        </w:tabs>
        <w:ind w:left="0"/>
      </w:pPr>
    </w:p>
    <w:p w14:paraId="3818B3B5" w14:textId="39BAD4F4" w:rsidR="0057072D" w:rsidRDefault="0057072D" w:rsidP="00B17921">
      <w:pPr>
        <w:pStyle w:val="ListParagraph"/>
        <w:tabs>
          <w:tab w:val="left" w:pos="284"/>
        </w:tabs>
        <w:ind w:left="0"/>
      </w:pPr>
      <w:r>
        <w:t>- Australian Society for Clinical Immunology and Allergy (ASCIA)</w:t>
      </w:r>
    </w:p>
    <w:p w14:paraId="26B2F056" w14:textId="4F8879F1" w:rsidR="0057072D" w:rsidRDefault="0057072D" w:rsidP="00B17921">
      <w:pPr>
        <w:pStyle w:val="ListParagraph"/>
        <w:tabs>
          <w:tab w:val="left" w:pos="284"/>
        </w:tabs>
        <w:ind w:left="0"/>
      </w:pPr>
      <w:r>
        <w:t>- Australasian Society for Immunology</w:t>
      </w:r>
    </w:p>
    <w:p w14:paraId="7D20598E" w14:textId="5D189B37" w:rsidR="00FF3C3A" w:rsidRDefault="00FF3C3A" w:rsidP="00B17921">
      <w:pPr>
        <w:pStyle w:val="ListParagraph"/>
        <w:tabs>
          <w:tab w:val="left" w:pos="284"/>
        </w:tabs>
        <w:ind w:left="0"/>
      </w:pPr>
      <w:r>
        <w:t>- The Thoracic Society of Australia and New Zealand</w:t>
      </w:r>
    </w:p>
    <w:p w14:paraId="140765EC" w14:textId="2BEE5B12" w:rsidR="00FF3C3A" w:rsidRDefault="00FF3C3A" w:rsidP="00B17921">
      <w:pPr>
        <w:pStyle w:val="ListParagraph"/>
        <w:tabs>
          <w:tab w:val="left" w:pos="284"/>
        </w:tabs>
        <w:ind w:left="0"/>
      </w:pPr>
      <w:r>
        <w:t>- Australasian Society for Infectious Diseases (ASID)</w:t>
      </w:r>
    </w:p>
    <w:p w14:paraId="5D2C2D19" w14:textId="410E411E" w:rsidR="00A90670" w:rsidRDefault="00A90670" w:rsidP="00B17921">
      <w:pPr>
        <w:pStyle w:val="ListParagraph"/>
        <w:tabs>
          <w:tab w:val="left" w:pos="284"/>
        </w:tabs>
        <w:ind w:left="0"/>
      </w:pPr>
      <w:r>
        <w:t>- Australian Antimicrobial Resistance Group</w:t>
      </w:r>
    </w:p>
    <w:p w14:paraId="02CB01BC" w14:textId="5AE5021A" w:rsidR="00A90670" w:rsidRDefault="00A90670" w:rsidP="00B17921">
      <w:pPr>
        <w:pStyle w:val="ListParagraph"/>
        <w:tabs>
          <w:tab w:val="left" w:pos="284"/>
        </w:tabs>
        <w:ind w:left="0"/>
      </w:pPr>
      <w:r>
        <w:t>- Royal Australian College of Physicians</w:t>
      </w:r>
    </w:p>
    <w:p w14:paraId="3E5E63B8" w14:textId="77777777" w:rsidR="0057072D" w:rsidRDefault="0057072D" w:rsidP="00B17921">
      <w:pPr>
        <w:pStyle w:val="ListParagraph"/>
        <w:tabs>
          <w:tab w:val="left" w:pos="284"/>
        </w:tabs>
        <w:ind w:left="0"/>
      </w:pPr>
    </w:p>
    <w:p w14:paraId="7E2AB592" w14:textId="77777777" w:rsidR="0057072D" w:rsidRDefault="0057072D" w:rsidP="0057072D">
      <w:pPr>
        <w:pStyle w:val="ListParagraph"/>
        <w:tabs>
          <w:tab w:val="left" w:pos="284"/>
        </w:tabs>
        <w:ind w:left="0"/>
      </w:pPr>
      <w:r>
        <w:t>Please note that this may not be a comprehensive list and that further research may need to be undertaken.</w:t>
      </w:r>
    </w:p>
    <w:p w14:paraId="46246B07" w14:textId="77777777" w:rsidR="0057072D" w:rsidRDefault="0057072D" w:rsidP="00B17921">
      <w:pPr>
        <w:pStyle w:val="ListParagraph"/>
        <w:tabs>
          <w:tab w:val="left" w:pos="284"/>
        </w:tabs>
        <w:ind w:left="0"/>
      </w:pPr>
    </w:p>
    <w:p w14:paraId="4F5CDADC" w14:textId="77777777" w:rsidR="00EA173C" w:rsidRDefault="00622BB5" w:rsidP="00162108">
      <w:pPr>
        <w:pStyle w:val="Heading2"/>
        <w:numPr>
          <w:ilvl w:val="0"/>
          <w:numId w:val="0"/>
        </w:numPr>
        <w:shd w:val="clear" w:color="auto" w:fill="D9D9D9" w:themeFill="background1" w:themeFillShade="D9"/>
        <w:tabs>
          <w:tab w:val="left" w:pos="284"/>
        </w:tabs>
        <w:ind w:left="284" w:hanging="284"/>
      </w:pPr>
      <w:r>
        <w:t>6</w:t>
      </w:r>
      <w:r w:rsidR="00352B60">
        <w:t>.</w:t>
      </w:r>
      <w:r w:rsidR="00352B60">
        <w:tab/>
      </w:r>
      <w:r w:rsidR="00EA173C" w:rsidRPr="00154B00">
        <w:t xml:space="preserve">List </w:t>
      </w:r>
      <w:r w:rsidR="00EA173C" w:rsidRPr="00A727B6">
        <w:t>professional</w:t>
      </w:r>
      <w:r w:rsidR="00EA173C">
        <w:t xml:space="preserve"> bodies / organisations that may be impacted by </w:t>
      </w:r>
      <w:r w:rsidR="0031538F">
        <w:t xml:space="preserve">the use of </w:t>
      </w:r>
      <w:r w:rsidR="00AE7E2C">
        <w:t>Ig</w:t>
      </w:r>
      <w:r w:rsidR="00F93784">
        <w:t xml:space="preserve"> (i.e. those who provide </w:t>
      </w:r>
      <w:r w:rsidR="00F71DBB">
        <w:t xml:space="preserve">a comparable </w:t>
      </w:r>
      <w:r w:rsidR="00E924AA">
        <w:t>product</w:t>
      </w:r>
      <w:r w:rsidR="006E3B58">
        <w:t xml:space="preserve"> / device </w:t>
      </w:r>
      <w:r w:rsidR="00F71DBB">
        <w:t>/</w:t>
      </w:r>
      <w:r w:rsidR="00E924AA">
        <w:t xml:space="preserve"> service</w:t>
      </w:r>
      <w:r w:rsidR="00F71DBB">
        <w:t>)</w:t>
      </w:r>
      <w:r w:rsidR="00615AA8">
        <w:t xml:space="preserve"> </w:t>
      </w:r>
      <w:r w:rsidR="0031538F">
        <w:t xml:space="preserve">within the scope of </w:t>
      </w:r>
      <w:r w:rsidR="00615AA8">
        <w:t>this Referral</w:t>
      </w:r>
      <w:r w:rsidR="005D6C8C">
        <w:t xml:space="preserve"> </w:t>
      </w:r>
    </w:p>
    <w:p w14:paraId="4113CFD1" w14:textId="0D5C4037" w:rsidR="0057072D" w:rsidRPr="0057072D" w:rsidRDefault="0057072D" w:rsidP="0057072D">
      <w:r w:rsidRPr="0057072D">
        <w:t xml:space="preserve">The </w:t>
      </w:r>
      <w:r>
        <w:t xml:space="preserve">possible </w:t>
      </w:r>
      <w:r w:rsidRPr="0057072D">
        <w:t>comparable product for this condition is antibiotics</w:t>
      </w:r>
      <w:r>
        <w:t xml:space="preserve"> as required</w:t>
      </w:r>
      <w:r w:rsidRPr="0057072D">
        <w:t>. The providers of these products may be impacted.</w:t>
      </w:r>
    </w:p>
    <w:p w14:paraId="301853E7" w14:textId="77777777" w:rsidR="0057072D" w:rsidRPr="0057072D" w:rsidRDefault="0057072D" w:rsidP="0057072D">
      <w:r w:rsidRPr="0057072D">
        <w:t>Suppliers of Ig may also be impacted:</w:t>
      </w:r>
    </w:p>
    <w:p w14:paraId="305789A1" w14:textId="77777777" w:rsidR="0057072D" w:rsidRPr="0057072D" w:rsidRDefault="0057072D" w:rsidP="00C53002">
      <w:pPr>
        <w:numPr>
          <w:ilvl w:val="0"/>
          <w:numId w:val="16"/>
        </w:numPr>
        <w:spacing w:before="0" w:after="0"/>
      </w:pPr>
      <w:r w:rsidRPr="0057072D">
        <w:t>CSL Behring</w:t>
      </w:r>
    </w:p>
    <w:p w14:paraId="2947AE9F" w14:textId="77777777" w:rsidR="0057072D" w:rsidRPr="0057072D" w:rsidRDefault="0057072D" w:rsidP="00C53002">
      <w:pPr>
        <w:numPr>
          <w:ilvl w:val="0"/>
          <w:numId w:val="16"/>
        </w:numPr>
        <w:spacing w:before="0" w:after="0"/>
      </w:pPr>
      <w:r w:rsidRPr="0057072D">
        <w:t>Grifols</w:t>
      </w:r>
    </w:p>
    <w:p w14:paraId="3E02C807" w14:textId="77777777" w:rsidR="0057072D" w:rsidRPr="0057072D" w:rsidRDefault="0057072D" w:rsidP="00C53002">
      <w:pPr>
        <w:numPr>
          <w:ilvl w:val="0"/>
          <w:numId w:val="16"/>
        </w:numPr>
        <w:spacing w:before="0" w:after="0"/>
      </w:pPr>
      <w:r w:rsidRPr="0057072D">
        <w:t>Shire (Takeda)</w:t>
      </w:r>
    </w:p>
    <w:p w14:paraId="0BC08C36" w14:textId="77777777" w:rsidR="0057072D" w:rsidRPr="0057072D" w:rsidRDefault="0057072D" w:rsidP="00C53002">
      <w:pPr>
        <w:numPr>
          <w:ilvl w:val="0"/>
          <w:numId w:val="16"/>
        </w:numPr>
        <w:spacing w:before="0" w:after="0"/>
      </w:pPr>
      <w:r w:rsidRPr="0057072D">
        <w:t>Octapharma</w:t>
      </w:r>
    </w:p>
    <w:p w14:paraId="74CFBB05" w14:textId="77777777" w:rsidR="0057072D" w:rsidRPr="0057072D" w:rsidRDefault="0057072D" w:rsidP="00C53002">
      <w:pPr>
        <w:numPr>
          <w:ilvl w:val="0"/>
          <w:numId w:val="16"/>
        </w:numPr>
        <w:spacing w:before="0" w:after="0"/>
      </w:pPr>
      <w:r w:rsidRPr="0057072D">
        <w:t xml:space="preserve">Pfizer </w:t>
      </w:r>
    </w:p>
    <w:p w14:paraId="4AE1DF2F" w14:textId="77777777" w:rsidR="008918BE" w:rsidRDefault="008918BE" w:rsidP="00B17921"/>
    <w:p w14:paraId="563BEA03" w14:textId="77777777" w:rsidR="00E82F54" w:rsidRDefault="00622BB5" w:rsidP="00162108">
      <w:pPr>
        <w:pStyle w:val="Heading2"/>
        <w:numPr>
          <w:ilvl w:val="0"/>
          <w:numId w:val="0"/>
        </w:numPr>
        <w:shd w:val="clear" w:color="auto" w:fill="D9D9D9" w:themeFill="background1" w:themeFillShade="D9"/>
        <w:tabs>
          <w:tab w:val="left" w:pos="284"/>
        </w:tabs>
        <w:ind w:left="284" w:hanging="284"/>
      </w:pPr>
      <w:r>
        <w:t>7</w:t>
      </w:r>
      <w:r w:rsidR="00352B60">
        <w:t>.</w:t>
      </w:r>
      <w:r w:rsidR="00352B60">
        <w:tab/>
      </w:r>
      <w:r w:rsidR="00E82F54" w:rsidRPr="00154B00">
        <w:t xml:space="preserve">List the consumer organisations relevant to </w:t>
      </w:r>
      <w:r w:rsidR="0031538F">
        <w:t xml:space="preserve">the use of </w:t>
      </w:r>
      <w:r w:rsidR="001C276E">
        <w:t xml:space="preserve">Ig </w:t>
      </w:r>
      <w:r w:rsidR="0031538F">
        <w:t>within the scope of</w:t>
      </w:r>
      <w:r w:rsidR="00615AA8">
        <w:t xml:space="preserve"> this Referral</w:t>
      </w:r>
      <w:r w:rsidR="005D6C8C">
        <w:t xml:space="preserve"> </w:t>
      </w:r>
    </w:p>
    <w:p w14:paraId="68F7071A" w14:textId="0B30B47F" w:rsidR="0057072D" w:rsidRDefault="0057072D" w:rsidP="0057072D">
      <w:pPr>
        <w:spacing w:before="0" w:after="0"/>
        <w:ind w:left="284"/>
        <w:rPr>
          <w:szCs w:val="20"/>
        </w:rPr>
      </w:pPr>
      <w:r>
        <w:rPr>
          <w:szCs w:val="20"/>
        </w:rPr>
        <w:t>- Immune Deficiencies Foundation Australia</w:t>
      </w:r>
      <w:r w:rsidR="005924D6">
        <w:rPr>
          <w:szCs w:val="20"/>
        </w:rPr>
        <w:t xml:space="preserve"> (IDFA)</w:t>
      </w:r>
    </w:p>
    <w:p w14:paraId="67D8579F" w14:textId="40580125" w:rsidR="0057072D" w:rsidRDefault="0057072D" w:rsidP="0057072D">
      <w:pPr>
        <w:spacing w:before="0" w:after="0"/>
        <w:ind w:left="284"/>
        <w:rPr>
          <w:szCs w:val="20"/>
        </w:rPr>
      </w:pPr>
      <w:r>
        <w:rPr>
          <w:szCs w:val="20"/>
        </w:rPr>
        <w:t xml:space="preserve">- </w:t>
      </w:r>
      <w:r w:rsidR="005924D6">
        <w:rPr>
          <w:szCs w:val="20"/>
        </w:rPr>
        <w:t>Australian Primary Immunodeficiency Patient Support (</w:t>
      </w:r>
      <w:r>
        <w:rPr>
          <w:szCs w:val="20"/>
        </w:rPr>
        <w:t>A</w:t>
      </w:r>
      <w:r w:rsidR="005924D6">
        <w:rPr>
          <w:szCs w:val="20"/>
        </w:rPr>
        <w:t>usPIPS)</w:t>
      </w:r>
    </w:p>
    <w:p w14:paraId="0A671E9B" w14:textId="310DE53E" w:rsidR="00FF3C3A" w:rsidRDefault="00FF3C3A" w:rsidP="0057072D">
      <w:pPr>
        <w:spacing w:before="0" w:after="0"/>
        <w:ind w:left="284"/>
        <w:rPr>
          <w:szCs w:val="20"/>
        </w:rPr>
      </w:pPr>
      <w:r>
        <w:rPr>
          <w:szCs w:val="20"/>
        </w:rPr>
        <w:t>- Lung Foundation Australia</w:t>
      </w:r>
    </w:p>
    <w:p w14:paraId="5CDDBF86" w14:textId="7C6EF721" w:rsidR="00A90670" w:rsidRDefault="00A90670" w:rsidP="0057072D">
      <w:pPr>
        <w:spacing w:before="0" w:after="0"/>
        <w:ind w:left="284"/>
        <w:rPr>
          <w:szCs w:val="20"/>
        </w:rPr>
      </w:pPr>
      <w:r>
        <w:rPr>
          <w:szCs w:val="20"/>
        </w:rPr>
        <w:t>- Rare Voices Australia</w:t>
      </w:r>
    </w:p>
    <w:p w14:paraId="42095E2F" w14:textId="480BA6D2" w:rsidR="00A90670" w:rsidRDefault="00A90670" w:rsidP="0057072D">
      <w:pPr>
        <w:spacing w:before="0" w:after="0"/>
        <w:ind w:left="284"/>
        <w:rPr>
          <w:szCs w:val="20"/>
        </w:rPr>
      </w:pPr>
      <w:r>
        <w:rPr>
          <w:szCs w:val="20"/>
        </w:rPr>
        <w:t>- Consumer Health Forum</w:t>
      </w:r>
    </w:p>
    <w:p w14:paraId="6E5EFA89" w14:textId="77777777" w:rsidR="008918BE" w:rsidRDefault="008918BE" w:rsidP="00B17921">
      <w:pPr>
        <w:rPr>
          <w:szCs w:val="20"/>
        </w:rPr>
      </w:pPr>
    </w:p>
    <w:p w14:paraId="4CBE58D9" w14:textId="77777777" w:rsidR="00E82F54" w:rsidRDefault="00E82F54" w:rsidP="00996A16">
      <w:pPr>
        <w:pStyle w:val="Heading2"/>
        <w:numPr>
          <w:ilvl w:val="0"/>
          <w:numId w:val="9"/>
        </w:numPr>
        <w:shd w:val="clear" w:color="auto" w:fill="D9D9D9" w:themeFill="background1" w:themeFillShade="D9"/>
        <w:ind w:left="284" w:hanging="284"/>
      </w:pPr>
      <w:r w:rsidRPr="00154B00">
        <w:t xml:space="preserve">Nominate </w:t>
      </w:r>
      <w:r w:rsidR="00D34CFD">
        <w:t xml:space="preserve">the </w:t>
      </w:r>
      <w:r w:rsidR="005420AE">
        <w:t>clinical</w:t>
      </w:r>
      <w:r w:rsidRPr="00154B00">
        <w:t xml:space="preserve"> experts who </w:t>
      </w:r>
      <w:r w:rsidR="00D34CFD">
        <w:t xml:space="preserve">will be advising on the </w:t>
      </w:r>
      <w:r w:rsidR="00267317">
        <w:t xml:space="preserve">use of </w:t>
      </w:r>
      <w:r w:rsidR="001C276E">
        <w:t xml:space="preserve">Ig </w:t>
      </w:r>
      <w:r w:rsidR="00267317">
        <w:t xml:space="preserve">within the scope of </w:t>
      </w:r>
      <w:r w:rsidR="00242EA6">
        <w:t>this Referral</w:t>
      </w:r>
      <w:r w:rsidRPr="00154B00">
        <w:t>:</w:t>
      </w:r>
    </w:p>
    <w:p w14:paraId="0FA37BAE" w14:textId="6D1A76A6" w:rsidR="00557BC8" w:rsidRDefault="003208BB" w:rsidP="00557BC8">
      <w:pPr>
        <w:rPr>
          <w:szCs w:val="20"/>
        </w:rPr>
      </w:pPr>
      <w:r w:rsidRPr="003208BB">
        <w:rPr>
          <w:szCs w:val="20"/>
        </w:rPr>
        <w:t>Clinicians nominated by the Reference Group have been sent the targeted survey on the draft referral, however no prior agreement from specialist clinicians to provide advice was able to be obtained.</w:t>
      </w:r>
      <w:r>
        <w:rPr>
          <w:szCs w:val="20"/>
        </w:rPr>
        <w:t xml:space="preserve"> </w:t>
      </w:r>
    </w:p>
    <w:p w14:paraId="65762173" w14:textId="77777777" w:rsidR="00557BC8" w:rsidRDefault="00557BC8" w:rsidP="00B17921">
      <w:pPr>
        <w:rPr>
          <w:szCs w:val="20"/>
        </w:rPr>
      </w:pPr>
    </w:p>
    <w:p w14:paraId="26323B95" w14:textId="3A111EE9" w:rsidR="00444ECC" w:rsidRDefault="00676912" w:rsidP="00E438CF">
      <w:pPr>
        <w:spacing w:before="0" w:after="0"/>
      </w:pPr>
      <w:r w:rsidRPr="00154B00">
        <w:rPr>
          <w:i/>
          <w:szCs w:val="20"/>
        </w:rPr>
        <w:t>Please note that the Department may also consult other referrers, procedural</w:t>
      </w:r>
      <w:r>
        <w:rPr>
          <w:i/>
          <w:szCs w:val="20"/>
        </w:rPr>
        <w:t xml:space="preserve"> l</w:t>
      </w:r>
      <w:r w:rsidRPr="00154B00">
        <w:rPr>
          <w:i/>
          <w:szCs w:val="20"/>
        </w:rPr>
        <w:t>ists and disease specialists to obtain their insight.</w:t>
      </w:r>
      <w:r w:rsidR="00444ECC">
        <w:br w:type="page"/>
      </w:r>
    </w:p>
    <w:p w14:paraId="7024885C" w14:textId="36D70080" w:rsidR="00E82F54" w:rsidRPr="00EA173C" w:rsidRDefault="00F93784" w:rsidP="00B17921">
      <w:pPr>
        <w:pStyle w:val="Heading1"/>
        <w:spacing w:after="0"/>
      </w:pPr>
      <w:r>
        <w:t>POPULATION</w:t>
      </w:r>
      <w:r w:rsidR="000525BC">
        <w:t xml:space="preserve"> (AND PRIOR TESTS)</w:t>
      </w:r>
      <w:r w:rsidR="00B17921">
        <w:t xml:space="preserve">, INDICATION, </w:t>
      </w:r>
      <w:r>
        <w:t>COMPARATOR, OUTCOME (PICO)</w:t>
      </w:r>
    </w:p>
    <w:p w14:paraId="44902B55" w14:textId="77777777" w:rsidR="0021185D" w:rsidRPr="005C3AE7" w:rsidRDefault="0021185D" w:rsidP="00162108">
      <w:pPr>
        <w:pStyle w:val="Heading1"/>
        <w:tabs>
          <w:tab w:val="left" w:pos="284"/>
        </w:tabs>
        <w:ind w:left="284" w:hanging="284"/>
      </w:pPr>
      <w:r w:rsidRPr="005C3AE7">
        <w:t>INFORMATION ABOUT THE PROPOSED POPULATION</w:t>
      </w:r>
    </w:p>
    <w:p w14:paraId="69DB23BC" w14:textId="77777777" w:rsidR="0021185D" w:rsidRDefault="00212EB4" w:rsidP="00A876CA">
      <w:pPr>
        <w:pStyle w:val="Heading2"/>
        <w:shd w:val="clear" w:color="auto" w:fill="D9D9D9" w:themeFill="background1" w:themeFillShade="D9"/>
        <w:tabs>
          <w:tab w:val="left" w:pos="284"/>
        </w:tabs>
        <w:ind w:left="284" w:hanging="284"/>
      </w:pPr>
      <w:r>
        <w:t xml:space="preserve">Summarise </w:t>
      </w:r>
      <w:r w:rsidR="00DF0C51" w:rsidRPr="00A96329">
        <w:t xml:space="preserve">the natural history of the </w:t>
      </w:r>
      <w:r>
        <w:t xml:space="preserve">medical </w:t>
      </w:r>
      <w:r w:rsidR="0021185D" w:rsidRPr="00A96329">
        <w:t>condition</w:t>
      </w:r>
      <w:r w:rsidR="0062294C">
        <w:t>/s</w:t>
      </w:r>
      <w:r>
        <w:t xml:space="preserve"> within the scope of this </w:t>
      </w:r>
      <w:r w:rsidR="00EA02FA">
        <w:t>referral</w:t>
      </w:r>
      <w:r w:rsidR="00E15BBF">
        <w:t>,</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morbidity and mortality</w:t>
      </w:r>
      <w:r w:rsidR="00197D29">
        <w:t>:</w:t>
      </w:r>
    </w:p>
    <w:p w14:paraId="35B0D13B" w14:textId="77777777" w:rsidR="007F6452" w:rsidRDefault="001530CC" w:rsidP="008513DC">
      <w:r>
        <w:t xml:space="preserve">There are over 280 identified PIDs. </w:t>
      </w:r>
      <w:r w:rsidR="008513DC" w:rsidRPr="008513DC">
        <w:t xml:space="preserve">Recognised </w:t>
      </w:r>
      <w:r>
        <w:t>PIDs</w:t>
      </w:r>
      <w:r w:rsidR="008513DC" w:rsidRPr="008513DC">
        <w:t xml:space="preserve"> for which immunoglobulin replacement is universally indicated are: X-linked agamma/hypogammaglobulinaemia, severe combined immunodeficiency, Wiskott-Aldrich syndrome, X-linked lymphoproliferative syndrome, hyper IgM syndrome and severe T-cell immunodeficiency</w:t>
      </w:r>
      <w:r>
        <w:rPr>
          <w:rStyle w:val="FootnoteReference"/>
        </w:rPr>
        <w:footnoteReference w:id="2"/>
      </w:r>
      <w:r w:rsidR="008513DC" w:rsidRPr="008513DC">
        <w:t>.</w:t>
      </w:r>
    </w:p>
    <w:p w14:paraId="4488D0B0" w14:textId="1DE867E2" w:rsidR="008513DC" w:rsidRPr="008513DC" w:rsidRDefault="007F6452" w:rsidP="007F6452">
      <w:r>
        <w:t>P</w:t>
      </w:r>
      <w:r w:rsidR="00C53002">
        <w:t>rimary immune deficiencie</w:t>
      </w:r>
      <w:r w:rsidRPr="007F6452">
        <w:t>s usually present with signs and symptoms of infections</w:t>
      </w:r>
      <w:r>
        <w:t xml:space="preserve"> </w:t>
      </w:r>
      <w:r w:rsidRPr="007F6452">
        <w:t>that can be repetitive, severe, or refractory to therapy and caused</w:t>
      </w:r>
      <w:r>
        <w:t xml:space="preserve"> </w:t>
      </w:r>
      <w:r w:rsidRPr="007F6452">
        <w:t>by organisms of low virulence. Infection is by far the most</w:t>
      </w:r>
      <w:r>
        <w:t xml:space="preserve"> common complication of PID</w:t>
      </w:r>
      <w:r w:rsidRPr="007F6452">
        <w:t>s and the most frequent problem</w:t>
      </w:r>
      <w:r>
        <w:t xml:space="preserve"> </w:t>
      </w:r>
      <w:r w:rsidRPr="007F6452">
        <w:t>that leads to medical evaluation. Infections in immunodeficient</w:t>
      </w:r>
      <w:r>
        <w:t xml:space="preserve"> </w:t>
      </w:r>
      <w:r w:rsidRPr="007F6452">
        <w:t>patients usually occur with pathogens that are prevalent in the</w:t>
      </w:r>
      <w:r>
        <w:t xml:space="preserve"> </w:t>
      </w:r>
      <w:r w:rsidRPr="007F6452">
        <w:t>community but are of unusual severity, frequency, and duration.</w:t>
      </w:r>
      <w:r>
        <w:t xml:space="preserve"> </w:t>
      </w:r>
      <w:r w:rsidRPr="007F6452">
        <w:t>They also tend to respond poorly to therapy. Children with</w:t>
      </w:r>
      <w:r>
        <w:t xml:space="preserve"> </w:t>
      </w:r>
      <w:r w:rsidRPr="007F6452">
        <w:t>invasive pneumococcal disease should undergo immunologic</w:t>
      </w:r>
      <w:r>
        <w:t xml:space="preserve"> </w:t>
      </w:r>
      <w:r w:rsidRPr="007F6452">
        <w:t>investigation because up to 26</w:t>
      </w:r>
      <w:r w:rsidR="00C53002">
        <w:t xml:space="preserve"> percent</w:t>
      </w:r>
      <w:r w:rsidRPr="007F6452">
        <w:t xml:space="preserve"> of these patients older than</w:t>
      </w:r>
      <w:r>
        <w:t xml:space="preserve"> </w:t>
      </w:r>
      <w:r w:rsidR="00C53002">
        <w:t>two</w:t>
      </w:r>
      <w:r w:rsidRPr="007F6452">
        <w:t xml:space="preserve"> years have an identifiable </w:t>
      </w:r>
      <w:r w:rsidR="00C53002">
        <w:t>PID</w:t>
      </w:r>
      <w:r>
        <w:t>. Autoimmune diseases and malignancies are complications of many PIDs</w:t>
      </w:r>
      <w:r>
        <w:rPr>
          <w:rStyle w:val="FootnoteReference"/>
        </w:rPr>
        <w:footnoteReference w:id="3"/>
      </w:r>
      <w:r>
        <w:t>.</w:t>
      </w:r>
      <w:r w:rsidR="008513DC" w:rsidRPr="008513DC">
        <w:br/>
      </w:r>
      <w:r w:rsidR="008513DC" w:rsidRPr="008513DC">
        <w:br/>
        <w:t>The revised European Society for Immunodeficiency Diseases</w:t>
      </w:r>
      <w:r w:rsidR="001372BE">
        <w:t xml:space="preserve"> (ESID 2014)</w:t>
      </w:r>
      <w:r w:rsidR="008513DC" w:rsidRPr="008513DC">
        <w:t xml:space="preserve"> diagnostic criteria for common variable immune deficiency (CVID)</w:t>
      </w:r>
      <w:r w:rsidR="00AD08E3">
        <w:rPr>
          <w:rStyle w:val="FootnoteReference"/>
        </w:rPr>
        <w:footnoteReference w:id="4"/>
      </w:r>
      <w:r w:rsidR="008513DC" w:rsidRPr="008513DC">
        <w:t xml:space="preserve"> require the diagnosis to be established after the fourth year of life (but symptoms may be present before) and at least one of the following: </w:t>
      </w:r>
    </w:p>
    <w:p w14:paraId="4FBAB6D2" w14:textId="77777777" w:rsidR="008513DC" w:rsidRPr="008513DC" w:rsidRDefault="008513DC" w:rsidP="007F6452">
      <w:pPr>
        <w:numPr>
          <w:ilvl w:val="0"/>
          <w:numId w:val="17"/>
        </w:numPr>
        <w:spacing w:before="0" w:after="0"/>
      </w:pPr>
      <w:r w:rsidRPr="008513DC">
        <w:t>increased susceptibility to infection</w:t>
      </w:r>
    </w:p>
    <w:p w14:paraId="490469AF" w14:textId="77777777" w:rsidR="008513DC" w:rsidRPr="008513DC" w:rsidRDefault="008513DC" w:rsidP="007F6452">
      <w:pPr>
        <w:numPr>
          <w:ilvl w:val="0"/>
          <w:numId w:val="17"/>
        </w:numPr>
        <w:spacing w:before="0" w:after="0"/>
      </w:pPr>
      <w:r w:rsidRPr="008513DC">
        <w:t>autoimmune manifestations</w:t>
      </w:r>
    </w:p>
    <w:p w14:paraId="49573EC8" w14:textId="77777777" w:rsidR="008513DC" w:rsidRPr="008513DC" w:rsidRDefault="008513DC" w:rsidP="007F6452">
      <w:pPr>
        <w:numPr>
          <w:ilvl w:val="0"/>
          <w:numId w:val="17"/>
        </w:numPr>
        <w:spacing w:before="0" w:after="0"/>
      </w:pPr>
      <w:r w:rsidRPr="008513DC">
        <w:t>granulomatous disease</w:t>
      </w:r>
    </w:p>
    <w:p w14:paraId="33106130" w14:textId="77777777" w:rsidR="008513DC" w:rsidRPr="008513DC" w:rsidRDefault="008513DC" w:rsidP="007F6452">
      <w:pPr>
        <w:numPr>
          <w:ilvl w:val="0"/>
          <w:numId w:val="17"/>
        </w:numPr>
        <w:spacing w:before="0" w:after="0"/>
      </w:pPr>
      <w:r w:rsidRPr="008513DC">
        <w:t>unexplained polyclonal lymphoproliferation</w:t>
      </w:r>
    </w:p>
    <w:p w14:paraId="166D42CF" w14:textId="77777777" w:rsidR="008513DC" w:rsidRPr="008513DC" w:rsidRDefault="008513DC" w:rsidP="007F6452">
      <w:pPr>
        <w:numPr>
          <w:ilvl w:val="0"/>
          <w:numId w:val="17"/>
        </w:numPr>
        <w:spacing w:before="0" w:after="0"/>
      </w:pPr>
      <w:r w:rsidRPr="008513DC">
        <w:t>affected family member with antibody deficiency.</w:t>
      </w:r>
    </w:p>
    <w:p w14:paraId="78A8C6E7" w14:textId="77777777" w:rsidR="008513DC" w:rsidRPr="008513DC" w:rsidRDefault="008513DC" w:rsidP="008513DC">
      <w:r w:rsidRPr="008513DC">
        <w:t>AND</w:t>
      </w:r>
      <w:r w:rsidRPr="008513DC">
        <w:br/>
      </w:r>
      <w:r w:rsidRPr="008513DC">
        <w:br/>
        <w:t>A marked decrease of immunoglobulin G (IgG) and marked decrease of IgA with or without low IgM levels (measured at least twice; less than the normal reference range for their age).</w:t>
      </w:r>
      <w:r w:rsidRPr="008513DC">
        <w:br/>
      </w:r>
      <w:r w:rsidRPr="008513DC">
        <w:br/>
        <w:t>AND</w:t>
      </w:r>
      <w:r w:rsidRPr="008513DC">
        <w:br/>
      </w:r>
      <w:r w:rsidRPr="008513DC">
        <w:br/>
        <w:t xml:space="preserve">At least one of the following: </w:t>
      </w:r>
    </w:p>
    <w:p w14:paraId="7DE38599" w14:textId="77777777" w:rsidR="008513DC" w:rsidRPr="008513DC" w:rsidRDefault="008513DC" w:rsidP="007F6452">
      <w:pPr>
        <w:numPr>
          <w:ilvl w:val="0"/>
          <w:numId w:val="18"/>
        </w:numPr>
        <w:spacing w:before="0" w:after="0"/>
      </w:pPr>
      <w:r w:rsidRPr="008513DC">
        <w:t>poor antibody response to vaccines (and/or absent isohemagglutinins); i.e. absence of protective levels despite vaccination where defined</w:t>
      </w:r>
    </w:p>
    <w:p w14:paraId="1C893E30" w14:textId="77777777" w:rsidR="008513DC" w:rsidRPr="008513DC" w:rsidRDefault="008513DC" w:rsidP="007F6452">
      <w:pPr>
        <w:numPr>
          <w:ilvl w:val="0"/>
          <w:numId w:val="18"/>
        </w:numPr>
        <w:spacing w:before="0" w:after="0"/>
      </w:pPr>
      <w:r w:rsidRPr="008513DC">
        <w:t>low switched memory B-cells (less than 70 percent of age-related normal value).</w:t>
      </w:r>
    </w:p>
    <w:p w14:paraId="0266AA0F" w14:textId="77777777" w:rsidR="001372BE" w:rsidRDefault="008513DC" w:rsidP="008513DC">
      <w:r w:rsidRPr="008513DC">
        <w:t>AND</w:t>
      </w:r>
      <w:r w:rsidRPr="008513DC">
        <w:br/>
      </w:r>
      <w:r w:rsidRPr="008513DC">
        <w:br/>
        <w:t>Secondary causes of hypogammagl</w:t>
      </w:r>
      <w:r w:rsidR="00AD08E3">
        <w:t>obulinemia have been excluded.</w:t>
      </w:r>
    </w:p>
    <w:p w14:paraId="7B565259" w14:textId="0870248B" w:rsidR="009B274D" w:rsidRDefault="009B274D" w:rsidP="008513DC">
      <w:r w:rsidRPr="009B274D">
        <w:t>The</w:t>
      </w:r>
      <w:r>
        <w:t>se 2014</w:t>
      </w:r>
      <w:r w:rsidRPr="009B274D">
        <w:t xml:space="preserve"> ESID diagnostic criteria for PID have been used as a guide in the development of the qualifying criteria for Ig therapy in Australia.</w:t>
      </w:r>
    </w:p>
    <w:p w14:paraId="4AF996AF" w14:textId="774B5F8C" w:rsidR="001372BE" w:rsidRDefault="001372BE" w:rsidP="008513DC">
      <w:r>
        <w:t>The ESID 2019 diagnostic criteria for probable CVID</w:t>
      </w:r>
      <w:r w:rsidR="009B274D">
        <w:rPr>
          <w:rStyle w:val="FootnoteReference"/>
        </w:rPr>
        <w:footnoteReference w:id="5"/>
      </w:r>
      <w:r>
        <w:t xml:space="preserve"> require the patient to have:</w:t>
      </w:r>
    </w:p>
    <w:p w14:paraId="6C6CDE04" w14:textId="77777777" w:rsidR="001372BE" w:rsidRDefault="001372BE" w:rsidP="00996A16">
      <w:pPr>
        <w:pStyle w:val="ListParagraph"/>
        <w:numPr>
          <w:ilvl w:val="0"/>
          <w:numId w:val="19"/>
        </w:numPr>
        <w:ind w:left="0" w:firstLine="0"/>
      </w:pPr>
      <w:r>
        <w:t>an onset of immunodeficiency at greater than two years of age</w:t>
      </w:r>
    </w:p>
    <w:p w14:paraId="1255F972" w14:textId="77777777" w:rsidR="001372BE" w:rsidRDefault="001372BE" w:rsidP="00996A16">
      <w:pPr>
        <w:pStyle w:val="ListParagraph"/>
        <w:numPr>
          <w:ilvl w:val="0"/>
          <w:numId w:val="19"/>
        </w:numPr>
        <w:ind w:left="0" w:firstLine="0"/>
      </w:pPr>
      <w:r>
        <w:t>a marked decrease of IgG (at least 2 SD below the mean for age)</w:t>
      </w:r>
    </w:p>
    <w:p w14:paraId="07ACB27E" w14:textId="77777777" w:rsidR="001372BE" w:rsidRDefault="001372BE" w:rsidP="00996A16">
      <w:pPr>
        <w:pStyle w:val="ListParagraph"/>
        <w:numPr>
          <w:ilvl w:val="0"/>
          <w:numId w:val="19"/>
        </w:numPr>
        <w:ind w:left="0" w:firstLine="0"/>
      </w:pPr>
      <w:r>
        <w:t>a marked decrease in at least one of IgM or IgA</w:t>
      </w:r>
    </w:p>
    <w:p w14:paraId="5136AA95" w14:textId="77777777" w:rsidR="009B274D" w:rsidRDefault="001372BE" w:rsidP="00996A16">
      <w:pPr>
        <w:pStyle w:val="ListParagraph"/>
        <w:numPr>
          <w:ilvl w:val="0"/>
          <w:numId w:val="19"/>
        </w:numPr>
        <w:ind w:left="0" w:firstLine="0"/>
      </w:pPr>
      <w:r>
        <w:t xml:space="preserve">absent </w:t>
      </w:r>
      <w:r w:rsidR="009B274D">
        <w:t>isohemagglutinins and/or poor response to vaccines</w:t>
      </w:r>
    </w:p>
    <w:p w14:paraId="2645810F" w14:textId="77777777" w:rsidR="009B274D" w:rsidRDefault="009B274D" w:rsidP="00996A16">
      <w:pPr>
        <w:pStyle w:val="ListParagraph"/>
        <w:numPr>
          <w:ilvl w:val="0"/>
          <w:numId w:val="19"/>
        </w:numPr>
        <w:ind w:left="0" w:firstLine="0"/>
      </w:pPr>
      <w:r>
        <w:t>secondary causes of hypogammaglobulinaemia have been excluded.</w:t>
      </w:r>
    </w:p>
    <w:p w14:paraId="4DD9E357" w14:textId="77777777" w:rsidR="009B274D" w:rsidRDefault="009B274D" w:rsidP="009B274D">
      <w:pPr>
        <w:pStyle w:val="ListParagraph"/>
        <w:ind w:left="0"/>
      </w:pPr>
    </w:p>
    <w:p w14:paraId="5462C9F8" w14:textId="77E617C6" w:rsidR="00E438CF" w:rsidRDefault="009B274D" w:rsidP="009B274D">
      <w:pPr>
        <w:pStyle w:val="ListParagraph"/>
        <w:ind w:left="0"/>
      </w:pPr>
      <w:r>
        <w:t>Possible CVID is defined using the same above criteria as probable however requires only one isotype (IgG, IgM or IgA) to be markedly decreased.</w:t>
      </w:r>
    </w:p>
    <w:p w14:paraId="32E4AB30" w14:textId="512AFC7E" w:rsidR="00E438CF" w:rsidRDefault="008513DC" w:rsidP="00E438CF">
      <w:pPr>
        <w:pStyle w:val="ListParagraph"/>
        <w:ind w:left="0"/>
      </w:pPr>
      <w:r w:rsidRPr="008513DC">
        <w:br/>
        <w:t>Genetic diagnoses are continually being updated as described in the classification system for the International Union of Immunology Societies (IUIS). It is recognised that genetic diagnoses are not always possible</w:t>
      </w:r>
      <w:r>
        <w:rPr>
          <w:rStyle w:val="FootnoteReference"/>
        </w:rPr>
        <w:footnoteReference w:id="6"/>
      </w:r>
      <w:r w:rsidRPr="008513DC">
        <w:t>.</w:t>
      </w:r>
    </w:p>
    <w:p w14:paraId="09880D6F" w14:textId="77777777" w:rsidR="00E438CF" w:rsidRDefault="00E438CF" w:rsidP="00E438CF">
      <w:pPr>
        <w:pStyle w:val="ListParagraph"/>
        <w:ind w:left="0"/>
      </w:pPr>
    </w:p>
    <w:p w14:paraId="7A8942C9" w14:textId="79254776" w:rsidR="00F93C2A" w:rsidRDefault="00F93C2A" w:rsidP="00E438CF">
      <w:pPr>
        <w:pStyle w:val="ListParagraph"/>
        <w:ind w:left="0"/>
      </w:pPr>
      <w:r>
        <w:t>Patients with CVID are predisposed to chronic lung disease and pulmonary deterioration as a result of chronic or subclinical infection</w:t>
      </w:r>
      <w:r w:rsidR="00AD08E3">
        <w:rPr>
          <w:rStyle w:val="FootnoteReference"/>
        </w:rPr>
        <w:footnoteReference w:id="7"/>
      </w:r>
      <w:r>
        <w:t>.</w:t>
      </w:r>
      <w:r w:rsidR="00AD08E3">
        <w:t xml:space="preserve"> </w:t>
      </w:r>
      <w:r w:rsidR="00AD08E3" w:rsidRPr="00AD08E3">
        <w:t xml:space="preserve"> Mos</w:t>
      </w:r>
      <w:r w:rsidR="00AD08E3">
        <w:t>t patients with CVID are recognis</w:t>
      </w:r>
      <w:r w:rsidR="00AD08E3" w:rsidRPr="00AD08E3">
        <w:t xml:space="preserve">ed to have immunodeficiency in the second, third or fourth decade of life, after they have had several pneumonias; however children and older adults may </w:t>
      </w:r>
      <w:r w:rsidR="00E438CF">
        <w:t xml:space="preserve">also </w:t>
      </w:r>
      <w:r w:rsidR="00AD08E3" w:rsidRPr="00AD08E3">
        <w:t>be affected</w:t>
      </w:r>
      <w:r w:rsidR="00AD08E3">
        <w:t xml:space="preserve">. Viral, fungal and parasitic infections as well as bacterial infections may be problematic. </w:t>
      </w:r>
      <w:r w:rsidR="00AD08E3" w:rsidRPr="00AD08E3">
        <w:t>Approximately 50</w:t>
      </w:r>
      <w:r w:rsidR="006B34A7">
        <w:t xml:space="preserve"> percent</w:t>
      </w:r>
      <w:r w:rsidR="00AD08E3" w:rsidRPr="00AD08E3">
        <w:t xml:space="preserve"> of patients have autoimmune manifestations. There is </w:t>
      </w:r>
      <w:r w:rsidR="00AD08E3">
        <w:t>an increased risk of malignancy</w:t>
      </w:r>
      <w:r w:rsidR="00AD08E3">
        <w:rPr>
          <w:rStyle w:val="FootnoteReference"/>
        </w:rPr>
        <w:footnoteReference w:id="8"/>
      </w:r>
      <w:r w:rsidR="00AD08E3" w:rsidRPr="00AD08E3">
        <w:t>.</w:t>
      </w:r>
    </w:p>
    <w:p w14:paraId="4BC5ACE6" w14:textId="434190FB" w:rsidR="00AD08E3" w:rsidRDefault="00AD08E3" w:rsidP="00AD08E3">
      <w:r>
        <w:t>In relation to X-linked agammaglobulinaemia</w:t>
      </w:r>
      <w:r w:rsidR="00E423FB">
        <w:t>, most patients develop recurrent bacterial infections, particularly otitis, sinusitis and pneumonia, in the first two years of life. Approximately 20 percent of patients present with an overwhelming infection, often with neutropenia</w:t>
      </w:r>
      <w:r w:rsidR="001530CC">
        <w:rPr>
          <w:vertAlign w:val="superscript"/>
        </w:rPr>
        <w:t>5</w:t>
      </w:r>
      <w:r w:rsidR="00E423FB">
        <w:t>.</w:t>
      </w:r>
    </w:p>
    <w:p w14:paraId="7E74F2E7" w14:textId="1E86B1FC" w:rsidR="009B274D" w:rsidRDefault="009B274D" w:rsidP="00AD08E3">
      <w:r>
        <w:t xml:space="preserve">Severe combined immunodeficiency (SCID) </w:t>
      </w:r>
      <w:r w:rsidR="001530CC">
        <w:t>is usually diagnosed within the first two years of life and most often results in failure to thrive, persistent diarrhoea, respiratory symptoms and/or thrush. Significant bacterial infections are common. SCID is fatal in the first two years of life unless the patient is treated with extremely restrictive isolation, hematopoietic stem cell transplant or therapy that replaces the abnormal gene or gene product</w:t>
      </w:r>
      <w:r w:rsidR="001530CC">
        <w:rPr>
          <w:vertAlign w:val="superscript"/>
        </w:rPr>
        <w:t>6</w:t>
      </w:r>
      <w:r w:rsidR="001530CC">
        <w:t>.</w:t>
      </w:r>
    </w:p>
    <w:p w14:paraId="755ACF8B" w14:textId="2D40AD22" w:rsidR="008E7BCF" w:rsidRDefault="008E7BCF" w:rsidP="00AD08E3">
      <w:r>
        <w:t xml:space="preserve">Further summaries of natural histories and burden of disease of 18 various PIDs with clearly established diagnostic criteria can be found at </w:t>
      </w:r>
      <w:hyperlink r:id="rId27" w:tooltip="link to webpage" w:history="1">
        <w:r w:rsidRPr="00E323B7">
          <w:rPr>
            <w:rStyle w:val="Hyperlink"/>
          </w:rPr>
          <w:t>https://esid.org/Education/Diagnostic-Criteria-PID</w:t>
        </w:r>
      </w:hyperlink>
      <w:r>
        <w:t xml:space="preserve">. </w:t>
      </w:r>
    </w:p>
    <w:p w14:paraId="3183BF74" w14:textId="77777777" w:rsidR="009E29A7" w:rsidRPr="00B17921" w:rsidRDefault="009E29A7" w:rsidP="00AD08E3"/>
    <w:p w14:paraId="5B1E495B" w14:textId="77777777" w:rsidR="00AA5FDA" w:rsidRPr="00154B00" w:rsidRDefault="00AA5FDA" w:rsidP="00A876CA">
      <w:pPr>
        <w:pStyle w:val="Heading2"/>
        <w:shd w:val="clear" w:color="auto" w:fill="D9D9D9" w:themeFill="background1" w:themeFillShade="D9"/>
        <w:tabs>
          <w:tab w:val="left" w:pos="284"/>
        </w:tabs>
        <w:ind w:left="284" w:hanging="284"/>
      </w:pPr>
      <w:r w:rsidRPr="00154B00">
        <w:t>Specify characteristics of patients with the medical condition</w:t>
      </w:r>
      <w:r w:rsidR="0062294C">
        <w:t>/s</w:t>
      </w:r>
      <w:r w:rsidR="00212EB4">
        <w:t xml:space="preserve"> within the scope of this re</w:t>
      </w:r>
      <w:r w:rsidR="0031538F">
        <w:t>ferral</w:t>
      </w:r>
      <w:r w:rsidR="00525A67">
        <w:t xml:space="preserve"> </w:t>
      </w:r>
      <w:r w:rsidR="00212EB4">
        <w:t xml:space="preserve">who would be </w:t>
      </w:r>
      <w:r w:rsidR="00C53FB6">
        <w:t xml:space="preserve">considered </w:t>
      </w:r>
      <w:r w:rsidR="00212EB4">
        <w:t>eligible for</w:t>
      </w:r>
      <w:r w:rsidR="00C53FB6">
        <w:t xml:space="preserve"> </w:t>
      </w:r>
      <w:r w:rsidR="00525A67">
        <w:t>Ig therapy</w:t>
      </w:r>
      <w:r w:rsidR="00B14B3F">
        <w:t xml:space="preserve"> </w:t>
      </w:r>
      <w:r w:rsidR="00FF4B68">
        <w:t>under the National Blood A</w:t>
      </w:r>
      <w:r w:rsidR="00B14B3F">
        <w:t>rrangements</w:t>
      </w:r>
      <w:r w:rsidR="00102686" w:rsidRPr="00154B00">
        <w:t xml:space="preserve">, including details of how a patient </w:t>
      </w:r>
      <w:r w:rsidR="000950C2">
        <w:t>is</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 xml:space="preserve">for </w:t>
      </w:r>
      <w:r w:rsidR="00212EB4">
        <w:t>Ig therapy</w:t>
      </w:r>
      <w:r w:rsidR="00197D29">
        <w:t>:</w:t>
      </w:r>
    </w:p>
    <w:p w14:paraId="75BABE38" w14:textId="7F19A49F" w:rsidR="00A90670" w:rsidRDefault="008E7BCF" w:rsidP="00A90670">
      <w:pPr>
        <w:pStyle w:val="ListParagraph"/>
        <w:tabs>
          <w:tab w:val="left" w:pos="0"/>
        </w:tabs>
        <w:ind w:left="0"/>
      </w:pPr>
      <w:r>
        <w:t xml:space="preserve">How a patient with PID is investigated, managed and referred in the lead up to being considered eligible for Ig therapy is outside of the NBA’s expertise. </w:t>
      </w:r>
      <w:r w:rsidR="00A11BD8">
        <w:t xml:space="preserve">Expert clinical </w:t>
      </w:r>
      <w:r w:rsidR="00A90670">
        <w:t>advice</w:t>
      </w:r>
      <w:r w:rsidR="00A90670">
        <w:rPr>
          <w:rStyle w:val="FootnoteReference"/>
        </w:rPr>
        <w:footnoteReference w:id="9"/>
      </w:r>
      <w:r w:rsidR="00A90670">
        <w:t xml:space="preserve"> from t</w:t>
      </w:r>
      <w:r w:rsidR="00A90670" w:rsidRPr="00A90670">
        <w:t xml:space="preserve">he </w:t>
      </w:r>
      <w:r w:rsidR="00A90670">
        <w:t xml:space="preserve">Ig </w:t>
      </w:r>
      <w:r w:rsidR="00A90670" w:rsidRPr="00A90670">
        <w:t xml:space="preserve">Reference Group </w:t>
      </w:r>
      <w:r w:rsidR="00A90670">
        <w:t>explained</w:t>
      </w:r>
      <w:r w:rsidR="00A90670" w:rsidRPr="00A90670">
        <w:t xml:space="preserve"> that the process of patient investigations, diagnosis and management of people with PID with antibody deficiency is very complicated. </w:t>
      </w:r>
      <w:r w:rsidR="00A90670">
        <w:t>T</w:t>
      </w:r>
      <w:r w:rsidR="00A90670" w:rsidRPr="00A90670">
        <w:t>his patient group includes a wide range of rare conditions and both paediatric and adult patients. Patients often present with atypical features, have an autoimmune disease as their primary presentation and therefore are on multiple therapies. Some PIDs are not antibody mediated and would therefore not be considered for Ig therapy.</w:t>
      </w:r>
    </w:p>
    <w:p w14:paraId="5FC86181" w14:textId="77777777" w:rsidR="00A90670" w:rsidRPr="00A90670" w:rsidRDefault="00A90670" w:rsidP="00A90670">
      <w:pPr>
        <w:pStyle w:val="ListParagraph"/>
        <w:tabs>
          <w:tab w:val="left" w:pos="0"/>
        </w:tabs>
        <w:ind w:left="0"/>
      </w:pPr>
    </w:p>
    <w:p w14:paraId="2EDDCC05" w14:textId="1E96C3AA" w:rsidR="00A90670" w:rsidRPr="00A90670" w:rsidRDefault="00A90670" w:rsidP="00A90670">
      <w:pPr>
        <w:pStyle w:val="ListParagraph"/>
        <w:tabs>
          <w:tab w:val="left" w:pos="0"/>
        </w:tabs>
        <w:ind w:left="0"/>
      </w:pPr>
      <w:r w:rsidRPr="00A90670">
        <w:t xml:space="preserve">The </w:t>
      </w:r>
      <w:r>
        <w:t>clinical expert immunologist advised</w:t>
      </w:r>
      <w:r w:rsidRPr="00A90670">
        <w:t xml:space="preserve"> that a number of tests are performed for diagnosis. These may include tests to measure antibody levels, assess the quality of the immune response (e.g. response to vaccine challenge</w:t>
      </w:r>
      <w:r>
        <w:t>),</w:t>
      </w:r>
      <w:r w:rsidRPr="00A90670">
        <w:t xml:space="preserve"> genetic tests or response to therapies including Ig therapy. </w:t>
      </w:r>
      <w:r>
        <w:t>G</w:t>
      </w:r>
      <w:r w:rsidRPr="00A90670">
        <w:t xml:space="preserve">enetic testing is not currently MBS funded. </w:t>
      </w:r>
    </w:p>
    <w:p w14:paraId="627A0A03" w14:textId="77777777" w:rsidR="002E4EB6" w:rsidRDefault="002E4EB6" w:rsidP="008E7BCF">
      <w:pPr>
        <w:pStyle w:val="ListParagraph"/>
        <w:tabs>
          <w:tab w:val="left" w:pos="0"/>
        </w:tabs>
        <w:ind w:left="0"/>
      </w:pPr>
    </w:p>
    <w:p w14:paraId="15CF0B44" w14:textId="77E11A79" w:rsidR="008E7BCF" w:rsidRDefault="00A90670" w:rsidP="008E7BCF">
      <w:pPr>
        <w:pStyle w:val="ListParagraph"/>
        <w:tabs>
          <w:tab w:val="left" w:pos="0"/>
        </w:tabs>
        <w:ind w:left="0"/>
      </w:pPr>
      <w:r w:rsidRPr="00A90670">
        <w:t>Overall, given this patient group is so heterogen</w:t>
      </w:r>
      <w:r w:rsidR="00557BC8">
        <w:t>eous</w:t>
      </w:r>
      <w:r w:rsidRPr="00A90670">
        <w:t xml:space="preserve">, the full work up of the patient and diagnostic tests varies widely. </w:t>
      </w:r>
    </w:p>
    <w:p w14:paraId="6AA16B21" w14:textId="77777777" w:rsidR="008E7BCF" w:rsidRDefault="008E7BCF" w:rsidP="008E7BCF">
      <w:pPr>
        <w:pStyle w:val="ListParagraph"/>
        <w:tabs>
          <w:tab w:val="left" w:pos="0"/>
        </w:tabs>
        <w:ind w:left="0"/>
      </w:pPr>
    </w:p>
    <w:p w14:paraId="240E3AFD" w14:textId="4B1B721B" w:rsidR="006C7D96" w:rsidRDefault="006B1D97" w:rsidP="00162108">
      <w:pPr>
        <w:pStyle w:val="ListParagraph"/>
        <w:tabs>
          <w:tab w:val="left" w:pos="284"/>
        </w:tabs>
        <w:ind w:left="284" w:hanging="284"/>
        <w:rPr>
          <w:b/>
          <w:i/>
        </w:rPr>
      </w:pPr>
      <w:r>
        <w:t>An outline of t</w:t>
      </w:r>
      <w:r w:rsidR="008E7BCF">
        <w:t xml:space="preserve">he qualifying criteria </w:t>
      </w:r>
      <w:r>
        <w:t>to access</w:t>
      </w:r>
      <w:r w:rsidR="008E7BCF">
        <w:t xml:space="preserve"> Ig</w:t>
      </w:r>
      <w:r>
        <w:t xml:space="preserve"> funded under the National Blood Arrangements for</w:t>
      </w:r>
      <w:r w:rsidR="008E7BCF">
        <w:t xml:space="preserve"> PID can be found </w:t>
      </w:r>
      <w:r w:rsidR="007678A5">
        <w:t xml:space="preserve">at </w:t>
      </w:r>
      <w:r w:rsidR="007678A5">
        <w:rPr>
          <w:u w:val="single"/>
        </w:rPr>
        <w:t>Attachment</w:t>
      </w:r>
      <w:r w:rsidR="00BC0123">
        <w:rPr>
          <w:u w:val="single"/>
        </w:rPr>
        <w:t xml:space="preserve"> </w:t>
      </w:r>
      <w:r w:rsidR="003C3905">
        <w:rPr>
          <w:u w:val="single"/>
        </w:rPr>
        <w:t>C</w:t>
      </w:r>
      <w:r w:rsidR="008E7BCF">
        <w:t xml:space="preserve"> or </w:t>
      </w:r>
      <w:r w:rsidR="008E7BCF" w:rsidRPr="00234D11">
        <w:t>https://www.criteria.blood.gov.au/MedicalCondition/View/257</w:t>
      </w:r>
      <w:r w:rsidR="00234D11">
        <w:t>6</w:t>
      </w:r>
      <w:r w:rsidR="008E7BCF">
        <w:t xml:space="preserve"> </w:t>
      </w:r>
      <w:r w:rsidR="00E438CF">
        <w:t>.</w:t>
      </w:r>
      <w:r>
        <w:t xml:space="preserve">   For more detailed criteria refer to </w:t>
      </w:r>
      <w:r w:rsidRPr="00BC0123">
        <w:rPr>
          <w:u w:val="single"/>
        </w:rPr>
        <w:t>Attachment B</w:t>
      </w:r>
      <w:r>
        <w:t>.</w:t>
      </w:r>
    </w:p>
    <w:p w14:paraId="1767ADDF" w14:textId="166264AA" w:rsidR="00437C44" w:rsidRPr="006C7D96" w:rsidRDefault="00437C44" w:rsidP="00162108">
      <w:pPr>
        <w:pStyle w:val="ListParagraph"/>
        <w:tabs>
          <w:tab w:val="left" w:pos="284"/>
        </w:tabs>
        <w:ind w:left="284" w:hanging="284"/>
        <w:rPr>
          <w:b/>
          <w:i/>
        </w:rPr>
      </w:pPr>
    </w:p>
    <w:p w14:paraId="7F85F4C9" w14:textId="77777777" w:rsidR="0018630F" w:rsidRDefault="0018630F" w:rsidP="00A876CA">
      <w:pPr>
        <w:pStyle w:val="Heading2"/>
        <w:shd w:val="clear" w:color="auto" w:fill="D9D9D9" w:themeFill="background1" w:themeFillShade="D9"/>
        <w:tabs>
          <w:tab w:val="left" w:pos="284"/>
        </w:tabs>
        <w:ind w:left="284" w:hanging="284"/>
      </w:pPr>
      <w:r w:rsidRPr="00154B00">
        <w:t>Define and summarise the current clinical management pathway</w:t>
      </w:r>
      <w:r w:rsidR="000950C2">
        <w:t>s</w:t>
      </w:r>
      <w:r w:rsidRPr="00154B00">
        <w:t xml:space="preserve"> </w:t>
      </w:r>
      <w:r w:rsidR="00382BCA">
        <w:t>(</w:t>
      </w:r>
      <w:r w:rsidR="00C53FB6">
        <w:t>a</w:t>
      </w:r>
      <w:r w:rsidR="008F5205">
        <w:t>lgorithm) for</w:t>
      </w:r>
      <w:r w:rsidRPr="00154B00">
        <w:t xml:space="preserve"> patients </w:t>
      </w:r>
      <w:r w:rsidR="008F5205">
        <w:t xml:space="preserve">who </w:t>
      </w:r>
      <w:r w:rsidR="000950C2">
        <w:t>are</w:t>
      </w:r>
      <w:r w:rsidRPr="00154B00">
        <w:t xml:space="preserve"> eligible for </w:t>
      </w:r>
      <w:r w:rsidR="00382BCA">
        <w:t xml:space="preserve">Ig therapy </w:t>
      </w:r>
      <w:r w:rsidRPr="00154B00">
        <w:t xml:space="preserve">(supplement this summary with </w:t>
      </w:r>
      <w:r w:rsidR="00F33F1A" w:rsidRPr="00154B00">
        <w:t>an easy to follow flowchart dep</w:t>
      </w:r>
      <w:r w:rsidRPr="00154B00">
        <w:t xml:space="preserve">icting </w:t>
      </w:r>
      <w:r w:rsidR="00382BCA">
        <w:t xml:space="preserve">the </w:t>
      </w:r>
      <w:r w:rsidRPr="00154B00">
        <w:t>current clinical manag</w:t>
      </w:r>
      <w:r w:rsidR="00197D29">
        <w:t>ement pathway</w:t>
      </w:r>
      <w:r w:rsidR="000950C2">
        <w:t>s</w:t>
      </w:r>
      <w:r w:rsidR="00382BCA">
        <w:t xml:space="preserve"> leading up to</w:t>
      </w:r>
      <w:r w:rsidR="00267317">
        <w:t xml:space="preserve"> being considered eligible for</w:t>
      </w:r>
      <w:r w:rsidR="00382BCA">
        <w:t xml:space="preserve"> Ig therapy</w:t>
      </w:r>
      <w:r w:rsidR="00197D29">
        <w:t>):</w:t>
      </w:r>
    </w:p>
    <w:p w14:paraId="339FA107" w14:textId="0FDD8C96" w:rsidR="00497675" w:rsidRPr="007678A5" w:rsidRDefault="00497675" w:rsidP="00EA02FA">
      <w:r w:rsidRPr="007678A5">
        <w:t xml:space="preserve">For a patient to access government funded Ig for PID they </w:t>
      </w:r>
      <w:r w:rsidR="00AC2162">
        <w:t xml:space="preserve">must </w:t>
      </w:r>
      <w:r w:rsidRPr="007678A5">
        <w:t>meet the criteria for one of four indications</w:t>
      </w:r>
      <w:r w:rsidR="00255719" w:rsidRPr="007678A5">
        <w:t xml:space="preserve"> listed below and described in</w:t>
      </w:r>
      <w:r w:rsidR="007678A5">
        <w:t xml:space="preserve"> detail at</w:t>
      </w:r>
      <w:r w:rsidR="00255719" w:rsidRPr="007678A5">
        <w:t xml:space="preserve"> </w:t>
      </w:r>
      <w:r w:rsidR="00255719" w:rsidRPr="007678A5">
        <w:rPr>
          <w:u w:val="single"/>
        </w:rPr>
        <w:t>Attachment B.</w:t>
      </w:r>
    </w:p>
    <w:p w14:paraId="51B57993" w14:textId="77777777" w:rsidR="00497675" w:rsidRPr="007678A5" w:rsidRDefault="00497675" w:rsidP="00497675">
      <w:pPr>
        <w:numPr>
          <w:ilvl w:val="0"/>
          <w:numId w:val="25"/>
        </w:numPr>
      </w:pPr>
      <w:r w:rsidRPr="007678A5">
        <w:t>Replacement therapy in common variable immune deficiency (CVID) – ESID diagnostic criteria met</w:t>
      </w:r>
    </w:p>
    <w:p w14:paraId="3A05E288" w14:textId="77777777" w:rsidR="00497675" w:rsidRPr="007678A5" w:rsidRDefault="00497675" w:rsidP="00497675">
      <w:pPr>
        <w:numPr>
          <w:ilvl w:val="0"/>
          <w:numId w:val="25"/>
        </w:numPr>
      </w:pPr>
      <w:r w:rsidRPr="007678A5">
        <w:t>Replacement therapy in possible common variable immune deficiency (CVID) – (below normal serum IgG but normal serum IgA level)</w:t>
      </w:r>
    </w:p>
    <w:p w14:paraId="550942A7" w14:textId="416706E5" w:rsidR="003C3905" w:rsidRPr="007678A5" w:rsidRDefault="00497675" w:rsidP="00497675">
      <w:pPr>
        <w:numPr>
          <w:ilvl w:val="0"/>
          <w:numId w:val="25"/>
        </w:numPr>
      </w:pPr>
      <w:r w:rsidRPr="007678A5">
        <w:t>Replacement therapy in transient hypogammaglobulinaemia of infancy (children aged less than 4 years)</w:t>
      </w:r>
    </w:p>
    <w:p w14:paraId="7BEF187C" w14:textId="28806612" w:rsidR="00FA3BB6" w:rsidRPr="007678A5" w:rsidRDefault="00497675" w:rsidP="003C3905">
      <w:pPr>
        <w:numPr>
          <w:ilvl w:val="0"/>
          <w:numId w:val="25"/>
        </w:numPr>
      </w:pPr>
      <w:r w:rsidRPr="007678A5">
        <w:t>Replacement therapy in recognised primary immunodeficiencies for which immunoglobulin replacement is universally indicated (e.g. SCID, Wiskott-Aldrich syndrome, etc.)</w:t>
      </w:r>
    </w:p>
    <w:p w14:paraId="061811F0" w14:textId="65B3BC09" w:rsidR="00007F2E" w:rsidRPr="00FA3BB6" w:rsidRDefault="00007F2E" w:rsidP="00EA02FA">
      <w:pPr>
        <w:rPr>
          <w:b/>
          <w:i/>
          <w:u w:val="single"/>
        </w:rPr>
      </w:pPr>
      <w:r w:rsidRPr="00FA3BB6">
        <w:rPr>
          <w:i/>
        </w:rPr>
        <w:t xml:space="preserve">Please note that in the event of any discrepancy between Figure 1 and </w:t>
      </w:r>
      <w:r w:rsidR="006B1D97">
        <w:rPr>
          <w:i/>
        </w:rPr>
        <w:t xml:space="preserve">Q10 </w:t>
      </w:r>
      <w:r w:rsidRPr="00FA3BB6">
        <w:rPr>
          <w:i/>
        </w:rPr>
        <w:t xml:space="preserve">, the material from the Criteria provided in </w:t>
      </w:r>
      <w:r w:rsidR="006B1D97">
        <w:rPr>
          <w:i/>
        </w:rPr>
        <w:t>Q10</w:t>
      </w:r>
      <w:r w:rsidRPr="00FA3BB6">
        <w:rPr>
          <w:i/>
        </w:rPr>
        <w:t xml:space="preserve"> should take precedence over any interpretation taken in Figure 1.</w:t>
      </w:r>
    </w:p>
    <w:p w14:paraId="650C9979" w14:textId="77777777" w:rsidR="009E29A7" w:rsidRDefault="009E29A7">
      <w:pPr>
        <w:spacing w:before="0" w:after="200" w:line="276" w:lineRule="auto"/>
        <w:rPr>
          <w:b/>
          <w:i/>
        </w:rPr>
      </w:pPr>
      <w:r>
        <w:rPr>
          <w:b/>
          <w:i/>
        </w:rPr>
        <w:br w:type="page"/>
      </w:r>
    </w:p>
    <w:p w14:paraId="5E76317B" w14:textId="3B7DD2CB" w:rsidR="00EF700E" w:rsidRPr="003C3905" w:rsidRDefault="00EF700E" w:rsidP="00C57386">
      <w:pPr>
        <w:rPr>
          <w:b/>
          <w:i/>
        </w:rPr>
      </w:pPr>
      <w:r w:rsidRPr="00A44927">
        <w:rPr>
          <w:b/>
          <w:i/>
        </w:rPr>
        <w:t xml:space="preserve">FIGURE </w:t>
      </w:r>
      <w:r w:rsidR="000A2E74" w:rsidRPr="00A44927">
        <w:rPr>
          <w:b/>
          <w:i/>
        </w:rPr>
        <w:t>1</w:t>
      </w:r>
      <w:r w:rsidR="00C57386" w:rsidRPr="00A44927">
        <w:rPr>
          <w:b/>
          <w:i/>
          <w:u w:val="single"/>
        </w:rPr>
        <w:t xml:space="preserve"> –</w:t>
      </w:r>
      <w:r w:rsidRPr="00A44927">
        <w:rPr>
          <w:b/>
          <w:i/>
        </w:rPr>
        <w:t xml:space="preserve">Initial </w:t>
      </w:r>
      <w:r w:rsidR="00C57386" w:rsidRPr="00A44927">
        <w:rPr>
          <w:b/>
          <w:i/>
        </w:rPr>
        <w:t>a</w:t>
      </w:r>
      <w:r w:rsidRPr="00A44927">
        <w:rPr>
          <w:b/>
          <w:i/>
        </w:rPr>
        <w:t>ccess to Ig funded under the National Blood Arrangements</w:t>
      </w:r>
      <w:r w:rsidR="009466C0" w:rsidRPr="00A44927">
        <w:rPr>
          <w:b/>
          <w:i/>
        </w:rPr>
        <w:t xml:space="preserve"> as per this Referral</w:t>
      </w:r>
      <w:r w:rsidR="00437C44" w:rsidRPr="00A44927">
        <w:rPr>
          <w:b/>
          <w:i/>
        </w:rPr>
        <w:t xml:space="preserve"> – Algorithm</w:t>
      </w:r>
      <w:r w:rsidR="00437C44" w:rsidRPr="003C3905">
        <w:rPr>
          <w:b/>
          <w:i/>
          <w:color w:val="FF0000"/>
        </w:rPr>
        <w:t xml:space="preserve"> </w:t>
      </w:r>
    </w:p>
    <w:p w14:paraId="6BDB1CC3" w14:textId="0B9F28AD" w:rsidR="008F0772" w:rsidRPr="0025548B" w:rsidRDefault="00891D8E" w:rsidP="008F0772">
      <w:pPr>
        <w:ind w:hanging="851"/>
        <w:rPr>
          <w:b/>
          <w:i/>
          <w:color w:val="FF0000"/>
        </w:rPr>
      </w:pPr>
      <w:r>
        <w:object w:dxaOrig="13684" w:dyaOrig="10430" w14:anchorId="5A5D5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itial access to Ig funded under the National Blood Arrangements as per this Referral – Algorithm " style="width:525pt;height:429.75pt;mso-position-horizontal:absolute" o:ole="">
            <v:imagedata r:id="rId28" o:title="" cropleft="2954f"/>
          </v:shape>
          <o:OLEObject Type="Embed" ProgID="Visio.Drawing.11" ShapeID="_x0000_i1025" DrawAspect="Content" ObjectID="_1658645872" r:id="rId29"/>
        </w:object>
      </w:r>
    </w:p>
    <w:p w14:paraId="77553165" w14:textId="3B419896" w:rsidR="00B14B3F" w:rsidRPr="003C3905" w:rsidRDefault="007678A5" w:rsidP="007678A5">
      <w:pPr>
        <w:pStyle w:val="FootnoteText"/>
        <w:ind w:left="-851" w:right="-569"/>
        <w:rPr>
          <w:sz w:val="14"/>
          <w:szCs w:val="14"/>
        </w:rPr>
      </w:pPr>
      <w:r>
        <w:tab/>
      </w:r>
      <w:r>
        <w:tab/>
      </w:r>
      <w:r w:rsidR="00497675" w:rsidRPr="003C3905">
        <w:rPr>
          <w:sz w:val="14"/>
          <w:szCs w:val="14"/>
        </w:rPr>
        <w:t>1. ESID diagnostic criteria met</w:t>
      </w:r>
    </w:p>
    <w:p w14:paraId="7C2EF1FA" w14:textId="73451B5F" w:rsidR="00497675" w:rsidRPr="003C3905" w:rsidRDefault="00497675" w:rsidP="009466C0">
      <w:pPr>
        <w:pStyle w:val="FootnoteText"/>
        <w:rPr>
          <w:sz w:val="14"/>
          <w:szCs w:val="14"/>
        </w:rPr>
      </w:pPr>
      <w:r w:rsidRPr="003C3905">
        <w:rPr>
          <w:sz w:val="14"/>
          <w:szCs w:val="14"/>
        </w:rPr>
        <w:t>2. Must be a recognised PID for which Ig replacement is universally indicated</w:t>
      </w:r>
    </w:p>
    <w:p w14:paraId="2B01B970" w14:textId="77777777" w:rsidR="007678A5" w:rsidRPr="007678A5" w:rsidRDefault="007678A5" w:rsidP="009466C0">
      <w:pPr>
        <w:pStyle w:val="FootnoteText"/>
        <w:rPr>
          <w:sz w:val="16"/>
          <w:szCs w:val="16"/>
        </w:rPr>
      </w:pPr>
    </w:p>
    <w:p w14:paraId="1A54D73F" w14:textId="1B71B0D9" w:rsidR="00DD4039" w:rsidRDefault="00DD4039" w:rsidP="00DD4039">
      <w:pPr>
        <w:pStyle w:val="Heading2"/>
        <w:shd w:val="clear" w:color="auto" w:fill="D9D9D9" w:themeFill="background1" w:themeFillShade="D9"/>
        <w:tabs>
          <w:tab w:val="left" w:pos="284"/>
        </w:tabs>
        <w:ind w:left="284" w:hanging="284"/>
      </w:pPr>
      <w:r w:rsidRPr="004161CD">
        <w:t xml:space="preserve">If applicable, advise which health professionals primarily </w:t>
      </w:r>
      <w:r>
        <w:t xml:space="preserve">manage </w:t>
      </w:r>
      <w:r w:rsidRPr="004161CD">
        <w:t xml:space="preserve">the </w:t>
      </w:r>
      <w:r>
        <w:t xml:space="preserve">patient receiving </w:t>
      </w:r>
      <w:r w:rsidRPr="004161CD">
        <w:t xml:space="preserve">the Ig product </w:t>
      </w:r>
      <w:r>
        <w:t>within the scope of this referral:</w:t>
      </w:r>
    </w:p>
    <w:p w14:paraId="2DE99514" w14:textId="3C733FAD" w:rsidR="00FA3BB6" w:rsidRDefault="002E2F31">
      <w:pPr>
        <w:spacing w:before="0" w:after="200" w:line="276" w:lineRule="auto"/>
      </w:pPr>
      <w:r>
        <w:t xml:space="preserve">Under V3 of the Criteria, only an AHPRA registered </w:t>
      </w:r>
      <w:r w:rsidR="0042443B">
        <w:t>i</w:t>
      </w:r>
      <w:r>
        <w:t>mmunologist may diagnose and review a patient with PID</w:t>
      </w:r>
      <w:r w:rsidR="006B34A7">
        <w:t xml:space="preserve"> for the purpose of requesting Ig</w:t>
      </w:r>
      <w:r>
        <w:t xml:space="preserve">. If a patient is not being cared for by an </w:t>
      </w:r>
      <w:r w:rsidR="0042443B">
        <w:t>i</w:t>
      </w:r>
      <w:r>
        <w:t xml:space="preserve">mmunologist they will need to be referred to </w:t>
      </w:r>
      <w:r w:rsidR="00483DEB">
        <w:t>one</w:t>
      </w:r>
      <w:r>
        <w:t xml:space="preserve"> for access to</w:t>
      </w:r>
      <w:r w:rsidR="007678A5">
        <w:t xml:space="preserve"> </w:t>
      </w:r>
      <w:r>
        <w:t>Ig</w:t>
      </w:r>
      <w:r w:rsidR="00483DEB">
        <w:t xml:space="preserve"> Funded under the National Blood Arrangements.</w:t>
      </w:r>
    </w:p>
    <w:p w14:paraId="330632E6" w14:textId="0FDB5E7A" w:rsidR="00032BDB" w:rsidRDefault="00032BDB">
      <w:pPr>
        <w:spacing w:before="0" w:after="200" w:line="276" w:lineRule="auto"/>
      </w:pPr>
      <w:r>
        <w:br w:type="page"/>
      </w:r>
    </w:p>
    <w:p w14:paraId="7403A263" w14:textId="77777777" w:rsidR="002A50FD" w:rsidRPr="00881F93" w:rsidRDefault="002A50FD" w:rsidP="00032BDB">
      <w:pPr>
        <w:pStyle w:val="Heading1"/>
        <w:tabs>
          <w:tab w:val="left" w:pos="284"/>
        </w:tabs>
      </w:pPr>
      <w:r w:rsidRPr="00881F93">
        <w:t>INFORMATION ABOUT THE INTERVENTION</w:t>
      </w:r>
    </w:p>
    <w:p w14:paraId="4A799425" w14:textId="77777777" w:rsidR="005D6C8C" w:rsidRDefault="002A6753" w:rsidP="00FA3BB6">
      <w:pPr>
        <w:pStyle w:val="Heading2"/>
        <w:shd w:val="clear" w:color="auto" w:fill="D9D9D9" w:themeFill="background1" w:themeFillShade="D9"/>
      </w:pPr>
      <w:r w:rsidRPr="00154B00">
        <w:t xml:space="preserve">Describe </w:t>
      </w:r>
      <w:r w:rsidRPr="00DA7D0C">
        <w:t>the</w:t>
      </w:r>
      <w:r w:rsidRPr="00154B00">
        <w:t xml:space="preserve"> </w:t>
      </w:r>
      <w:r w:rsidR="00DF6D37" w:rsidRPr="00154B00">
        <w:t xml:space="preserve">key components </w:t>
      </w:r>
      <w:r w:rsidR="00181E53">
        <w:t xml:space="preserve">(including administering health professionals) </w:t>
      </w:r>
      <w:r w:rsidR="00DF6D37" w:rsidRPr="00154B00">
        <w:t>and</w:t>
      </w:r>
      <w:r w:rsidR="00B771AD" w:rsidRPr="00154B00">
        <w:t xml:space="preserve"> clinical</w:t>
      </w:r>
      <w:r w:rsidR="00DF6D37" w:rsidRPr="00154B00">
        <w:t xml:space="preserve"> steps involved in delivering </w:t>
      </w:r>
      <w:r w:rsidR="00436089">
        <w:t xml:space="preserve">Ig </w:t>
      </w:r>
      <w:r w:rsidR="00C05A45">
        <w:t>the</w:t>
      </w:r>
      <w:r w:rsidR="00436089">
        <w:t>rapy to eligible patients</w:t>
      </w:r>
      <w:r w:rsidR="004D234C" w:rsidRPr="004D234C">
        <w:t xml:space="preserve"> within the scope of this referral</w:t>
      </w:r>
      <w:r w:rsidR="0003535A">
        <w:t>:</w:t>
      </w:r>
    </w:p>
    <w:p w14:paraId="353523BD" w14:textId="7B300E1D" w:rsidR="002A50FD" w:rsidRPr="002E2F31" w:rsidRDefault="00171FA2" w:rsidP="007678A5">
      <w:pPr>
        <w:tabs>
          <w:tab w:val="left" w:pos="0"/>
        </w:tabs>
      </w:pPr>
      <w:r w:rsidRPr="002E2F31">
        <w:t>If Ig therapy is delivere</w:t>
      </w:r>
      <w:r w:rsidR="005313F5" w:rsidRPr="002E2F31">
        <w:t xml:space="preserve">d by intravenous infusion, patients </w:t>
      </w:r>
      <w:r w:rsidRPr="002E2F31">
        <w:t xml:space="preserve">will attend hospital for a day procedure to be infused.  Depending on the dose, which may be split over several days, they may (or may not) be required to attend </w:t>
      </w:r>
      <w:r w:rsidR="005313F5" w:rsidRPr="002E2F31">
        <w:t xml:space="preserve">for a ‘day procedure’ </w:t>
      </w:r>
      <w:r w:rsidRPr="002E2F31">
        <w:t xml:space="preserve">on a number of days </w:t>
      </w:r>
      <w:r w:rsidR="006C5158" w:rsidRPr="002E2F31">
        <w:t xml:space="preserve">(usually consecutive) </w:t>
      </w:r>
      <w:r w:rsidRPr="002E2F31">
        <w:t xml:space="preserve">each month. </w:t>
      </w:r>
    </w:p>
    <w:p w14:paraId="52A8CA66" w14:textId="77777777" w:rsidR="000F3D56" w:rsidRPr="002E2F31" w:rsidRDefault="000F3D56" w:rsidP="00162108">
      <w:pPr>
        <w:pStyle w:val="ListParagraph"/>
        <w:tabs>
          <w:tab w:val="left" w:pos="284"/>
        </w:tabs>
        <w:ind w:left="284" w:hanging="284"/>
        <w:rPr>
          <w:szCs w:val="20"/>
        </w:rPr>
      </w:pPr>
      <w:r w:rsidRPr="002E2F31">
        <w:rPr>
          <w:szCs w:val="20"/>
        </w:rPr>
        <w:t>Intravenous infusion involves:</w:t>
      </w:r>
    </w:p>
    <w:p w14:paraId="3069827F" w14:textId="275AE8A2" w:rsidR="000F3D56" w:rsidRPr="002E2F31" w:rsidRDefault="003C3905" w:rsidP="00996A16">
      <w:pPr>
        <w:pStyle w:val="ListParagraph"/>
        <w:numPr>
          <w:ilvl w:val="0"/>
          <w:numId w:val="5"/>
        </w:numPr>
        <w:tabs>
          <w:tab w:val="left" w:pos="284"/>
        </w:tabs>
        <w:ind w:left="284" w:hanging="284"/>
        <w:rPr>
          <w:b/>
          <w:szCs w:val="20"/>
        </w:rPr>
      </w:pPr>
      <w:r>
        <w:rPr>
          <w:szCs w:val="20"/>
        </w:rPr>
        <w:t>i</w:t>
      </w:r>
      <w:r w:rsidR="000F3D56" w:rsidRPr="002E2F31">
        <w:rPr>
          <w:szCs w:val="20"/>
        </w:rPr>
        <w:t>dentification check to ensure the right patient is receiving the right product at the right dose and at the right time. This check is done by two health professionals – usually one must be a doctor or a registered nurse and the other can be either a doctor, registered nurse or an enrolled nurse</w:t>
      </w:r>
      <w:r>
        <w:rPr>
          <w:szCs w:val="20"/>
        </w:rPr>
        <w:t>;</w:t>
      </w:r>
      <w:r w:rsidR="000F3D56" w:rsidRPr="002E2F31">
        <w:rPr>
          <w:szCs w:val="20"/>
        </w:rPr>
        <w:t xml:space="preserve"> </w:t>
      </w:r>
    </w:p>
    <w:p w14:paraId="5AC01B00" w14:textId="659B683D" w:rsidR="000F3D56" w:rsidRPr="002E2F31" w:rsidRDefault="003C3905" w:rsidP="00996A16">
      <w:pPr>
        <w:pStyle w:val="ListParagraph"/>
        <w:numPr>
          <w:ilvl w:val="0"/>
          <w:numId w:val="5"/>
        </w:numPr>
        <w:tabs>
          <w:tab w:val="left" w:pos="284"/>
        </w:tabs>
        <w:ind w:left="284" w:hanging="284"/>
        <w:rPr>
          <w:b/>
          <w:szCs w:val="20"/>
        </w:rPr>
      </w:pPr>
      <w:r>
        <w:rPr>
          <w:szCs w:val="20"/>
        </w:rPr>
        <w:t>p</w:t>
      </w:r>
      <w:r w:rsidR="000F3D56" w:rsidRPr="002E2F31">
        <w:rPr>
          <w:szCs w:val="20"/>
        </w:rPr>
        <w:t>reparation of equipment (Ig vial/bottle, vented line, aseptic dressing pack, cannula)</w:t>
      </w:r>
      <w:r>
        <w:rPr>
          <w:szCs w:val="20"/>
        </w:rPr>
        <w:t>;</w:t>
      </w:r>
    </w:p>
    <w:p w14:paraId="16D8B92D" w14:textId="548CF180" w:rsidR="000F3D56" w:rsidRPr="002E2F31" w:rsidRDefault="003C3905" w:rsidP="00996A16">
      <w:pPr>
        <w:pStyle w:val="ListParagraph"/>
        <w:numPr>
          <w:ilvl w:val="0"/>
          <w:numId w:val="5"/>
        </w:numPr>
        <w:tabs>
          <w:tab w:val="left" w:pos="284"/>
        </w:tabs>
        <w:ind w:left="284" w:hanging="284"/>
        <w:rPr>
          <w:b/>
          <w:szCs w:val="20"/>
        </w:rPr>
      </w:pPr>
      <w:r>
        <w:rPr>
          <w:szCs w:val="20"/>
        </w:rPr>
        <w:t>t</w:t>
      </w:r>
      <w:r w:rsidR="000F3D56" w:rsidRPr="002E2F31">
        <w:rPr>
          <w:szCs w:val="20"/>
        </w:rPr>
        <w:t>he procedure is explained to the patient and consent is obtained</w:t>
      </w:r>
      <w:r>
        <w:rPr>
          <w:szCs w:val="20"/>
        </w:rPr>
        <w:t>;</w:t>
      </w:r>
    </w:p>
    <w:p w14:paraId="1344B596" w14:textId="7A2EF1FC" w:rsidR="000F3D56" w:rsidRPr="002E2F31" w:rsidRDefault="003C3905" w:rsidP="00996A16">
      <w:pPr>
        <w:pStyle w:val="ListParagraph"/>
        <w:numPr>
          <w:ilvl w:val="0"/>
          <w:numId w:val="5"/>
        </w:numPr>
        <w:tabs>
          <w:tab w:val="left" w:pos="284"/>
        </w:tabs>
        <w:ind w:left="284" w:hanging="284"/>
        <w:rPr>
          <w:b/>
          <w:szCs w:val="20"/>
        </w:rPr>
      </w:pPr>
      <w:r>
        <w:rPr>
          <w:szCs w:val="20"/>
        </w:rPr>
        <w:t>c</w:t>
      </w:r>
      <w:r w:rsidR="000F3D56" w:rsidRPr="002E2F31">
        <w:rPr>
          <w:szCs w:val="20"/>
        </w:rPr>
        <w:t>annula is inserted using aseptic technique by a credentialed nurse or doctor</w:t>
      </w:r>
      <w:r>
        <w:rPr>
          <w:szCs w:val="20"/>
        </w:rPr>
        <w:t>;</w:t>
      </w:r>
    </w:p>
    <w:p w14:paraId="4DF704D9" w14:textId="6A88909A" w:rsidR="000F3D56" w:rsidRPr="002E2F31" w:rsidRDefault="003C3905" w:rsidP="00996A16">
      <w:pPr>
        <w:pStyle w:val="ListParagraph"/>
        <w:numPr>
          <w:ilvl w:val="0"/>
          <w:numId w:val="5"/>
        </w:numPr>
        <w:tabs>
          <w:tab w:val="left" w:pos="284"/>
        </w:tabs>
        <w:ind w:left="284" w:hanging="284"/>
        <w:rPr>
          <w:b/>
          <w:szCs w:val="20"/>
        </w:rPr>
      </w:pPr>
      <w:r>
        <w:rPr>
          <w:szCs w:val="20"/>
        </w:rPr>
        <w:t>t</w:t>
      </w:r>
      <w:r w:rsidR="000F3D56" w:rsidRPr="002E2F31">
        <w:rPr>
          <w:szCs w:val="20"/>
        </w:rPr>
        <w:t>he IV line is inserted directly into the Ig vial/bottle and the IV line is primed with Ig product (without dilution) and hung in accordance with the local hospital’s protocol</w:t>
      </w:r>
      <w:r>
        <w:rPr>
          <w:szCs w:val="20"/>
        </w:rPr>
        <w:t>;</w:t>
      </w:r>
    </w:p>
    <w:p w14:paraId="1881CC01" w14:textId="14205577" w:rsidR="00AA0E51" w:rsidRPr="002E2F31" w:rsidRDefault="003C3905" w:rsidP="00996A16">
      <w:pPr>
        <w:pStyle w:val="ListParagraph"/>
        <w:numPr>
          <w:ilvl w:val="0"/>
          <w:numId w:val="5"/>
        </w:numPr>
        <w:tabs>
          <w:tab w:val="left" w:pos="284"/>
        </w:tabs>
        <w:ind w:left="284" w:hanging="284"/>
        <w:rPr>
          <w:b/>
          <w:szCs w:val="20"/>
        </w:rPr>
      </w:pPr>
      <w:r>
        <w:rPr>
          <w:szCs w:val="20"/>
        </w:rPr>
        <w:t>t</w:t>
      </w:r>
      <w:r w:rsidR="00AA0E51" w:rsidRPr="002E2F31">
        <w:rPr>
          <w:szCs w:val="20"/>
        </w:rPr>
        <w:t xml:space="preserve">he patient is monitored for any reactions and the infusion is slowed or stopped depending on the patient’s response. </w:t>
      </w:r>
    </w:p>
    <w:p w14:paraId="467C0DAB" w14:textId="77777777" w:rsidR="000F3D56" w:rsidRPr="002E2F31" w:rsidRDefault="00171FA2" w:rsidP="00162108">
      <w:pPr>
        <w:tabs>
          <w:tab w:val="left" w:pos="284"/>
        </w:tabs>
        <w:ind w:left="284" w:hanging="284"/>
      </w:pPr>
      <w:r w:rsidRPr="002E2F31">
        <w:t>If the Ig therapy is delivered subcutaneously, the patient or carer will be educated about how to administer the product at home.  They will undertake more frequent subcutaneous infusions</w:t>
      </w:r>
      <w:r w:rsidR="00D20EE1" w:rsidRPr="002E2F31">
        <w:t xml:space="preserve"> (usually </w:t>
      </w:r>
      <w:r w:rsidR="00AD108D" w:rsidRPr="002E2F31">
        <w:t xml:space="preserve">twice </w:t>
      </w:r>
      <w:r w:rsidR="00D20EE1" w:rsidRPr="002E2F31">
        <w:t xml:space="preserve">weekly) </w:t>
      </w:r>
      <w:r w:rsidRPr="002E2F31">
        <w:t xml:space="preserve">at home. </w:t>
      </w:r>
      <w:r w:rsidR="000F3D56" w:rsidRPr="002E2F31">
        <w:t xml:space="preserve"> This requires:</w:t>
      </w:r>
    </w:p>
    <w:p w14:paraId="202521A7" w14:textId="377B70D3" w:rsidR="000F3D56" w:rsidRPr="002E2F31" w:rsidRDefault="00A44927" w:rsidP="00996A16">
      <w:pPr>
        <w:pStyle w:val="ListParagraph"/>
        <w:numPr>
          <w:ilvl w:val="0"/>
          <w:numId w:val="6"/>
        </w:numPr>
        <w:tabs>
          <w:tab w:val="left" w:pos="284"/>
        </w:tabs>
        <w:ind w:left="284" w:hanging="284"/>
      </w:pPr>
      <w:r>
        <w:t>s</w:t>
      </w:r>
      <w:r w:rsidR="000F3D56" w:rsidRPr="002E2F31">
        <w:t>toring the product in accordance with the manufacturer’s advice</w:t>
      </w:r>
      <w:r>
        <w:t>;</w:t>
      </w:r>
    </w:p>
    <w:p w14:paraId="4B88D6EA" w14:textId="619DCFC6" w:rsidR="00AA0E51" w:rsidRPr="002E2F31" w:rsidRDefault="000F3D56" w:rsidP="00996A16">
      <w:pPr>
        <w:pStyle w:val="ListParagraph"/>
        <w:numPr>
          <w:ilvl w:val="0"/>
          <w:numId w:val="6"/>
        </w:numPr>
        <w:tabs>
          <w:tab w:val="left" w:pos="284"/>
        </w:tabs>
        <w:ind w:left="284" w:hanging="284"/>
      </w:pPr>
      <w:r w:rsidRPr="002E2F31">
        <w:t>insertion of a butterfly subcutaneous cannula using aseptic techniques into subcutaneous layer just under the</w:t>
      </w:r>
      <w:r w:rsidR="00AA0E51" w:rsidRPr="002E2F31">
        <w:t xml:space="preserve"> skin of the abdomen or thigh;</w:t>
      </w:r>
    </w:p>
    <w:p w14:paraId="5BA9A147" w14:textId="1D98C1AB" w:rsidR="00171FA2" w:rsidRPr="002E2F31" w:rsidRDefault="00AA0E51" w:rsidP="00996A16">
      <w:pPr>
        <w:pStyle w:val="ListParagraph"/>
        <w:numPr>
          <w:ilvl w:val="0"/>
          <w:numId w:val="6"/>
        </w:numPr>
        <w:tabs>
          <w:tab w:val="left" w:pos="284"/>
        </w:tabs>
        <w:ind w:left="284" w:hanging="284"/>
      </w:pPr>
      <w:r w:rsidRPr="002E2F31">
        <w:t>drawing up the required dose into a syringe</w:t>
      </w:r>
      <w:r w:rsidR="00A44927">
        <w:t>;</w:t>
      </w:r>
    </w:p>
    <w:p w14:paraId="159D0B92" w14:textId="084A8069" w:rsidR="00AA0E51" w:rsidRPr="002E2F31" w:rsidRDefault="00AA0E51" w:rsidP="00996A16">
      <w:pPr>
        <w:pStyle w:val="ListParagraph"/>
        <w:numPr>
          <w:ilvl w:val="0"/>
          <w:numId w:val="6"/>
        </w:numPr>
        <w:tabs>
          <w:tab w:val="left" w:pos="284"/>
        </w:tabs>
        <w:ind w:left="284" w:hanging="284"/>
      </w:pPr>
      <w:r w:rsidRPr="002E2F31">
        <w:t>connection of the syringe to the subcutaneous line</w:t>
      </w:r>
      <w:r w:rsidR="00A44927">
        <w:t>;</w:t>
      </w:r>
    </w:p>
    <w:p w14:paraId="44D18D4C" w14:textId="6753BEE8" w:rsidR="00AA0E51" w:rsidRDefault="00AA0E51" w:rsidP="00996A16">
      <w:pPr>
        <w:pStyle w:val="ListParagraph"/>
        <w:numPr>
          <w:ilvl w:val="0"/>
          <w:numId w:val="6"/>
        </w:numPr>
        <w:tabs>
          <w:tab w:val="left" w:pos="284"/>
        </w:tabs>
        <w:ind w:left="284" w:hanging="284"/>
      </w:pPr>
      <w:r w:rsidRPr="002E2F31">
        <w:t xml:space="preserve">pushing the dose into the abdomen at the required rate which will vary depending on the dose size and the patient’s response. </w:t>
      </w:r>
    </w:p>
    <w:p w14:paraId="12CFC4DE" w14:textId="77777777" w:rsidR="009E29A7" w:rsidRPr="002E2F31" w:rsidRDefault="009E29A7" w:rsidP="00996A16">
      <w:pPr>
        <w:pStyle w:val="ListParagraph"/>
        <w:numPr>
          <w:ilvl w:val="0"/>
          <w:numId w:val="6"/>
        </w:numPr>
        <w:tabs>
          <w:tab w:val="left" w:pos="284"/>
        </w:tabs>
        <w:ind w:left="284" w:hanging="284"/>
      </w:pPr>
    </w:p>
    <w:p w14:paraId="36266B5C" w14:textId="77777777" w:rsidR="004C21DD" w:rsidRPr="009466C0" w:rsidRDefault="004C21DD" w:rsidP="00FA3BB6">
      <w:pPr>
        <w:pStyle w:val="Heading2"/>
        <w:shd w:val="clear" w:color="auto" w:fill="D9D9D9" w:themeFill="background1" w:themeFillShade="D9"/>
      </w:pPr>
      <w:r w:rsidRPr="009466C0">
        <w:t>Specify how long the delivery of Ig therapy typically takes to perform</w:t>
      </w:r>
      <w:r w:rsidR="0003535A" w:rsidRPr="004D234C">
        <w:t xml:space="preserve"> within the scope of this referral</w:t>
      </w:r>
      <w:r w:rsidRPr="009466C0">
        <w:t>:</w:t>
      </w:r>
      <w:r w:rsidR="00E342ED" w:rsidRPr="009466C0">
        <w:t xml:space="preserve"> </w:t>
      </w:r>
    </w:p>
    <w:p w14:paraId="1D923C5A" w14:textId="77777777" w:rsidR="003852E1" w:rsidRPr="002E2F31" w:rsidRDefault="006C5158" w:rsidP="005D6C8C">
      <w:pPr>
        <w:tabs>
          <w:tab w:val="left" w:pos="284"/>
        </w:tabs>
        <w:ind w:left="284" w:hanging="284"/>
      </w:pPr>
      <w:r w:rsidRPr="002E2F31">
        <w:t>The timeframe to administer an Ig infusion is dependent on the</w:t>
      </w:r>
      <w:r w:rsidR="003852E1" w:rsidRPr="002E2F31">
        <w:t>:</w:t>
      </w:r>
    </w:p>
    <w:p w14:paraId="0E2205EA" w14:textId="15A42A25" w:rsidR="003852E1" w:rsidRPr="002E2F31" w:rsidRDefault="00066A90" w:rsidP="00996A16">
      <w:pPr>
        <w:pStyle w:val="ListParagraph"/>
        <w:numPr>
          <w:ilvl w:val="0"/>
          <w:numId w:val="4"/>
        </w:numPr>
        <w:tabs>
          <w:tab w:val="left" w:pos="284"/>
        </w:tabs>
        <w:ind w:left="284" w:hanging="284"/>
        <w:rPr>
          <w:b/>
          <w:szCs w:val="20"/>
        </w:rPr>
      </w:pPr>
      <w:r w:rsidRPr="002E2F31">
        <w:t>dose</w:t>
      </w:r>
      <w:r w:rsidR="005313F5" w:rsidRPr="002E2F31">
        <w:t xml:space="preserve"> required</w:t>
      </w:r>
      <w:r w:rsidR="00A44927">
        <w:t>;</w:t>
      </w:r>
    </w:p>
    <w:p w14:paraId="4A49A4D8" w14:textId="309830EF" w:rsidR="003852E1" w:rsidRPr="002E2F31" w:rsidRDefault="005313F5" w:rsidP="00996A16">
      <w:pPr>
        <w:pStyle w:val="ListParagraph"/>
        <w:numPr>
          <w:ilvl w:val="0"/>
          <w:numId w:val="4"/>
        </w:numPr>
        <w:tabs>
          <w:tab w:val="left" w:pos="284"/>
        </w:tabs>
        <w:ind w:left="284" w:hanging="284"/>
        <w:rPr>
          <w:b/>
          <w:szCs w:val="20"/>
        </w:rPr>
      </w:pPr>
      <w:r w:rsidRPr="002E2F31">
        <w:t>the patient’s weight (as dosing is in grams/kg)</w:t>
      </w:r>
      <w:r w:rsidR="00A44927">
        <w:t>;</w:t>
      </w:r>
      <w:r w:rsidR="00066A90" w:rsidRPr="002E2F31">
        <w:t xml:space="preserve"> </w:t>
      </w:r>
    </w:p>
    <w:p w14:paraId="0645CD36" w14:textId="55F17899" w:rsidR="003852E1" w:rsidRPr="002E2F31" w:rsidRDefault="003852E1" w:rsidP="00996A16">
      <w:pPr>
        <w:pStyle w:val="ListParagraph"/>
        <w:numPr>
          <w:ilvl w:val="0"/>
          <w:numId w:val="4"/>
        </w:numPr>
        <w:tabs>
          <w:tab w:val="left" w:pos="284"/>
        </w:tabs>
        <w:ind w:left="284" w:hanging="284"/>
        <w:rPr>
          <w:b/>
          <w:szCs w:val="20"/>
        </w:rPr>
      </w:pPr>
      <w:r w:rsidRPr="002E2F31">
        <w:t xml:space="preserve">the </w:t>
      </w:r>
      <w:r w:rsidR="00AA0E51" w:rsidRPr="002E2F31">
        <w:t xml:space="preserve">product’s advised </w:t>
      </w:r>
      <w:r w:rsidRPr="002E2F31">
        <w:t>infusion rate and hospital’s protocol which determines the infusion rate used at that location</w:t>
      </w:r>
      <w:r w:rsidR="00AA0E51" w:rsidRPr="002E2F31">
        <w:t xml:space="preserve"> (which may differ from the product’s Product Information Sheet)</w:t>
      </w:r>
      <w:r w:rsidR="00A44927">
        <w:t>;</w:t>
      </w:r>
      <w:r w:rsidR="00AA0E51" w:rsidRPr="002E2F31">
        <w:t xml:space="preserve"> </w:t>
      </w:r>
      <w:r w:rsidR="00066A90" w:rsidRPr="002E2F31">
        <w:t xml:space="preserve"> </w:t>
      </w:r>
    </w:p>
    <w:p w14:paraId="482E59CE" w14:textId="77777777" w:rsidR="00B35E31" w:rsidRPr="00B35E31" w:rsidRDefault="00066A90" w:rsidP="00996A16">
      <w:pPr>
        <w:pStyle w:val="ListParagraph"/>
        <w:numPr>
          <w:ilvl w:val="0"/>
          <w:numId w:val="4"/>
        </w:numPr>
        <w:tabs>
          <w:tab w:val="left" w:pos="284"/>
        </w:tabs>
        <w:ind w:left="284" w:hanging="284"/>
        <w:rPr>
          <w:b/>
          <w:szCs w:val="20"/>
        </w:rPr>
      </w:pPr>
      <w:r w:rsidRPr="002E2F31">
        <w:t>the</w:t>
      </w:r>
      <w:r w:rsidR="006C5158" w:rsidRPr="002E2F31">
        <w:t xml:space="preserve"> patient’s response during</w:t>
      </w:r>
      <w:r w:rsidR="005313F5" w:rsidRPr="002E2F31">
        <w:t xml:space="preserve"> the infusion. </w:t>
      </w:r>
      <w:r w:rsidR="000D40D4" w:rsidRPr="002E2F31">
        <w:t>If the patient experiences a reaction such as a headache</w:t>
      </w:r>
      <w:r w:rsidR="005313F5" w:rsidRPr="002E2F31">
        <w:t xml:space="preserve">, the </w:t>
      </w:r>
      <w:r w:rsidR="000D40D4" w:rsidRPr="002E2F31">
        <w:t xml:space="preserve">rate of infusion will </w:t>
      </w:r>
      <w:r w:rsidR="003852E1" w:rsidRPr="002E2F31">
        <w:t>be slowed</w:t>
      </w:r>
      <w:r w:rsidR="00AA0E51" w:rsidRPr="002E2F31">
        <w:t xml:space="preserve"> or stopped depending on the severity of the reaction</w:t>
      </w:r>
      <w:r w:rsidR="00B35E31">
        <w:t>;</w:t>
      </w:r>
    </w:p>
    <w:p w14:paraId="3EDE42D2" w14:textId="2C5E99CE" w:rsidR="003852E1" w:rsidRPr="002E2F31" w:rsidRDefault="00B35E31" w:rsidP="00996A16">
      <w:pPr>
        <w:pStyle w:val="ListParagraph"/>
        <w:numPr>
          <w:ilvl w:val="0"/>
          <w:numId w:val="4"/>
        </w:numPr>
        <w:tabs>
          <w:tab w:val="left" w:pos="284"/>
        </w:tabs>
        <w:ind w:left="284" w:hanging="284"/>
        <w:rPr>
          <w:b/>
          <w:szCs w:val="20"/>
        </w:rPr>
      </w:pPr>
      <w:r>
        <w:t>whether administration is intravenous or subcutaneous.</w:t>
      </w:r>
    </w:p>
    <w:p w14:paraId="6FB64096" w14:textId="34B9C4C7" w:rsidR="0001576C" w:rsidRPr="00ED5F4D" w:rsidRDefault="0001576C" w:rsidP="0001576C">
      <w:pPr>
        <w:pStyle w:val="ListParagraph"/>
        <w:tabs>
          <w:tab w:val="left" w:pos="284"/>
        </w:tabs>
        <w:ind w:left="284"/>
        <w:rPr>
          <w:b/>
          <w:szCs w:val="20"/>
        </w:rPr>
      </w:pPr>
    </w:p>
    <w:p w14:paraId="55BEE620" w14:textId="48D02556" w:rsidR="000A2E74" w:rsidRDefault="00CD5200" w:rsidP="00ED5F4D">
      <w:pPr>
        <w:pStyle w:val="ListParagraph"/>
        <w:tabs>
          <w:tab w:val="left" w:pos="284"/>
        </w:tabs>
        <w:ind w:left="0"/>
        <w:rPr>
          <w:b/>
          <w:i/>
          <w:szCs w:val="20"/>
        </w:rPr>
      </w:pPr>
      <w:r w:rsidRPr="00ED5F4D">
        <w:rPr>
          <w:b/>
          <w:i/>
          <w:szCs w:val="20"/>
        </w:rPr>
        <w:t>T</w:t>
      </w:r>
      <w:r w:rsidR="00441DAD" w:rsidRPr="00ED5F4D">
        <w:rPr>
          <w:b/>
          <w:i/>
          <w:szCs w:val="20"/>
        </w:rPr>
        <w:t xml:space="preserve">ypical </w:t>
      </w:r>
      <w:r w:rsidR="00B35E31">
        <w:rPr>
          <w:b/>
          <w:i/>
          <w:szCs w:val="20"/>
        </w:rPr>
        <w:t>IV</w:t>
      </w:r>
      <w:r w:rsidR="00441DAD" w:rsidRPr="00ED5F4D">
        <w:rPr>
          <w:b/>
          <w:i/>
          <w:szCs w:val="20"/>
        </w:rPr>
        <w:t xml:space="preserve">Ig delivery time for </w:t>
      </w:r>
      <w:r w:rsidR="002E2F31" w:rsidRPr="00ED5F4D">
        <w:rPr>
          <w:b/>
          <w:i/>
          <w:szCs w:val="20"/>
        </w:rPr>
        <w:t>PID</w:t>
      </w:r>
    </w:p>
    <w:p w14:paraId="55C29D2D" w14:textId="7994D4F4" w:rsidR="009E29A7" w:rsidRDefault="009E29A7" w:rsidP="009E29A7">
      <w:pPr>
        <w:spacing w:before="0" w:after="200" w:line="276" w:lineRule="auto"/>
        <w:rPr>
          <w:szCs w:val="20"/>
        </w:rPr>
      </w:pPr>
      <w:r w:rsidRPr="00B35E31">
        <w:rPr>
          <w:szCs w:val="20"/>
        </w:rPr>
        <w:t>The dose could be administered over the course of a few hours for an 80 Kg person (including day admission, identifi</w:t>
      </w:r>
      <w:r w:rsidR="00A53191">
        <w:rPr>
          <w:szCs w:val="20"/>
        </w:rPr>
        <w:t>cation, cannulation and set-up,</w:t>
      </w:r>
      <w:r w:rsidRPr="00B35E31">
        <w:rPr>
          <w:szCs w:val="20"/>
        </w:rPr>
        <w:t xml:space="preserve"> infusion,  post infusion monitoring) (e.g. 0.4g/kg for an 80Kg person = 32g). Applying the infusion rate provided in the Product Information sheet provided for Intragam 10 is set out below. This table indicates a minimum total infusion time of 100 minutes for a patient of 80kg. The infusion rate could reduce for various reasons, e.g. adverse events. Please note that this is only one of the products funded for PID and that other products may have different infusion rates.</w:t>
      </w:r>
    </w:p>
    <w:p w14:paraId="7DAC33ED" w14:textId="77777777" w:rsidR="009E29A7" w:rsidRDefault="009E29A7">
      <w:pPr>
        <w:spacing w:before="0" w:after="200" w:line="276" w:lineRule="auto"/>
        <w:rPr>
          <w:i/>
          <w:szCs w:val="20"/>
        </w:rPr>
      </w:pPr>
      <w:r>
        <w:rPr>
          <w:i/>
          <w:szCs w:val="20"/>
        </w:rPr>
        <w:br w:type="page"/>
      </w:r>
    </w:p>
    <w:p w14:paraId="7435216A" w14:textId="05C55074" w:rsidR="009E29A7" w:rsidRPr="00ED5F4D" w:rsidRDefault="009E29A7" w:rsidP="00ED5F4D">
      <w:pPr>
        <w:pStyle w:val="ListParagraph"/>
        <w:tabs>
          <w:tab w:val="left" w:pos="284"/>
        </w:tabs>
        <w:ind w:left="0"/>
        <w:rPr>
          <w:b/>
          <w:i/>
          <w:szCs w:val="20"/>
        </w:rPr>
      </w:pPr>
      <w:r w:rsidRPr="00D8249D">
        <w:rPr>
          <w:i/>
          <w:szCs w:val="20"/>
        </w:rPr>
        <w:t>Table 4: 80Kg person @ 0.4g/Kg = 32grams of a 10% Ig product</w:t>
      </w:r>
    </w:p>
    <w:tbl>
      <w:tblPr>
        <w:tblW w:w="4967" w:type="dxa"/>
        <w:tblInd w:w="959" w:type="dxa"/>
        <w:tblLook w:val="04A0" w:firstRow="1" w:lastRow="0" w:firstColumn="1" w:lastColumn="0" w:noHBand="0" w:noVBand="1"/>
      </w:tblPr>
      <w:tblGrid>
        <w:gridCol w:w="1072"/>
        <w:gridCol w:w="1146"/>
        <w:gridCol w:w="805"/>
        <w:gridCol w:w="541"/>
        <w:gridCol w:w="1403"/>
      </w:tblGrid>
      <w:tr w:rsidR="00CD5200" w:rsidRPr="00ED17DA" w14:paraId="0DB381BE" w14:textId="77777777" w:rsidTr="00D01600">
        <w:trPr>
          <w:trHeight w:val="580"/>
        </w:trPr>
        <w:tc>
          <w:tcPr>
            <w:tcW w:w="1072" w:type="dxa"/>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2F67DD3F" w14:textId="77777777" w:rsidR="00CD5200" w:rsidRPr="002F7D31" w:rsidRDefault="00CD5200" w:rsidP="009E29A7">
            <w:pPr>
              <w:spacing w:before="0" w:after="0" w:line="360" w:lineRule="auto"/>
              <w:contextualSpacing/>
              <w:rPr>
                <w:color w:val="FFFFFF" w:themeColor="background1"/>
                <w:szCs w:val="20"/>
              </w:rPr>
            </w:pPr>
            <w:r w:rsidRPr="002F7D31">
              <w:rPr>
                <w:color w:val="FFFFFF" w:themeColor="background1"/>
                <w:szCs w:val="20"/>
              </w:rPr>
              <w:t>Minutes</w:t>
            </w:r>
          </w:p>
        </w:tc>
        <w:tc>
          <w:tcPr>
            <w:tcW w:w="1146" w:type="dxa"/>
            <w:tcBorders>
              <w:top w:val="single" w:sz="4" w:space="0" w:color="auto"/>
              <w:left w:val="nil"/>
              <w:bottom w:val="single" w:sz="4" w:space="0" w:color="auto"/>
              <w:right w:val="single" w:sz="4" w:space="0" w:color="auto"/>
            </w:tcBorders>
            <w:shd w:val="clear" w:color="auto" w:fill="C00000"/>
            <w:vAlign w:val="bottom"/>
            <w:hideMark/>
          </w:tcPr>
          <w:p w14:paraId="3E9F8351" w14:textId="77777777" w:rsidR="00CD5200" w:rsidRPr="002F7D31" w:rsidRDefault="00CD5200" w:rsidP="009E29A7">
            <w:pPr>
              <w:spacing w:before="0" w:after="0" w:line="360" w:lineRule="auto"/>
              <w:contextualSpacing/>
              <w:rPr>
                <w:color w:val="FFFFFF" w:themeColor="background1"/>
                <w:szCs w:val="20"/>
              </w:rPr>
            </w:pPr>
            <w:r w:rsidRPr="002F7D31">
              <w:rPr>
                <w:color w:val="FFFFFF" w:themeColor="background1"/>
                <w:szCs w:val="20"/>
              </w:rPr>
              <w:t>Rate ml/min</w:t>
            </w:r>
          </w:p>
        </w:tc>
        <w:tc>
          <w:tcPr>
            <w:tcW w:w="805" w:type="dxa"/>
            <w:tcBorders>
              <w:top w:val="single" w:sz="4" w:space="0" w:color="auto"/>
              <w:left w:val="nil"/>
              <w:bottom w:val="single" w:sz="4" w:space="0" w:color="auto"/>
              <w:right w:val="single" w:sz="4" w:space="0" w:color="auto"/>
            </w:tcBorders>
            <w:shd w:val="clear" w:color="auto" w:fill="C00000"/>
            <w:noWrap/>
            <w:vAlign w:val="bottom"/>
            <w:hideMark/>
          </w:tcPr>
          <w:p w14:paraId="087D9491" w14:textId="77777777" w:rsidR="00CD5200" w:rsidRPr="002F7D31" w:rsidRDefault="00CD5200" w:rsidP="009E29A7">
            <w:pPr>
              <w:spacing w:before="0" w:after="0" w:line="360" w:lineRule="auto"/>
              <w:contextualSpacing/>
              <w:rPr>
                <w:color w:val="FFFFFF" w:themeColor="background1"/>
                <w:szCs w:val="20"/>
              </w:rPr>
            </w:pPr>
            <w:r w:rsidRPr="002F7D31">
              <w:rPr>
                <w:color w:val="FFFFFF" w:themeColor="background1"/>
                <w:szCs w:val="20"/>
              </w:rPr>
              <w:t>grams</w:t>
            </w:r>
          </w:p>
        </w:tc>
        <w:tc>
          <w:tcPr>
            <w:tcW w:w="541" w:type="dxa"/>
            <w:tcBorders>
              <w:top w:val="single" w:sz="4" w:space="0" w:color="auto"/>
              <w:left w:val="nil"/>
              <w:bottom w:val="single" w:sz="4" w:space="0" w:color="auto"/>
              <w:right w:val="single" w:sz="4" w:space="0" w:color="auto"/>
            </w:tcBorders>
            <w:shd w:val="clear" w:color="auto" w:fill="C00000"/>
            <w:noWrap/>
            <w:vAlign w:val="bottom"/>
            <w:hideMark/>
          </w:tcPr>
          <w:p w14:paraId="54B945DB" w14:textId="77777777" w:rsidR="00CD5200" w:rsidRPr="002F7D31" w:rsidRDefault="00CD5200" w:rsidP="009E29A7">
            <w:pPr>
              <w:spacing w:before="0" w:after="0" w:line="360" w:lineRule="auto"/>
              <w:contextualSpacing/>
              <w:rPr>
                <w:color w:val="FFFFFF" w:themeColor="background1"/>
                <w:szCs w:val="20"/>
              </w:rPr>
            </w:pPr>
            <w:r w:rsidRPr="002F7D31">
              <w:rPr>
                <w:color w:val="FFFFFF" w:themeColor="background1"/>
                <w:szCs w:val="20"/>
              </w:rPr>
              <w:t xml:space="preserve">Mls </w:t>
            </w:r>
          </w:p>
        </w:tc>
        <w:tc>
          <w:tcPr>
            <w:tcW w:w="1403" w:type="dxa"/>
            <w:tcBorders>
              <w:top w:val="single" w:sz="4" w:space="0" w:color="auto"/>
              <w:left w:val="nil"/>
              <w:bottom w:val="single" w:sz="4" w:space="0" w:color="auto"/>
              <w:right w:val="single" w:sz="4" w:space="0" w:color="auto"/>
            </w:tcBorders>
            <w:shd w:val="clear" w:color="auto" w:fill="C00000"/>
            <w:vAlign w:val="bottom"/>
            <w:hideMark/>
          </w:tcPr>
          <w:p w14:paraId="62B9D1D3" w14:textId="77777777" w:rsidR="00CD5200" w:rsidRPr="002F7D31" w:rsidRDefault="00CD5200" w:rsidP="009E29A7">
            <w:pPr>
              <w:spacing w:before="0" w:after="0" w:line="360" w:lineRule="auto"/>
              <w:contextualSpacing/>
              <w:rPr>
                <w:color w:val="FFFFFF" w:themeColor="background1"/>
                <w:szCs w:val="20"/>
              </w:rPr>
            </w:pPr>
            <w:r w:rsidRPr="002F7D31">
              <w:rPr>
                <w:color w:val="FFFFFF" w:themeColor="background1"/>
                <w:szCs w:val="20"/>
              </w:rPr>
              <w:t>Mls remaining</w:t>
            </w:r>
          </w:p>
        </w:tc>
      </w:tr>
      <w:tr w:rsidR="00CD5200" w:rsidRPr="00ED17DA" w14:paraId="28D34BDB" w14:textId="77777777" w:rsidTr="00D01600">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3A8513B1" w14:textId="77777777" w:rsidR="00CD5200" w:rsidRPr="00ED17DA" w:rsidRDefault="00CD5200" w:rsidP="009E29A7">
            <w:pPr>
              <w:spacing w:before="0" w:after="0" w:line="360" w:lineRule="auto"/>
              <w:contextualSpacing/>
              <w:rPr>
                <w:szCs w:val="20"/>
              </w:rPr>
            </w:pPr>
            <w:r w:rsidRPr="00ED17DA">
              <w:rPr>
                <w:szCs w:val="20"/>
              </w:rPr>
              <w:t>Starting</w:t>
            </w:r>
          </w:p>
        </w:tc>
        <w:tc>
          <w:tcPr>
            <w:tcW w:w="1146" w:type="dxa"/>
            <w:tcBorders>
              <w:top w:val="nil"/>
              <w:left w:val="nil"/>
              <w:bottom w:val="single" w:sz="4" w:space="0" w:color="auto"/>
              <w:right w:val="single" w:sz="4" w:space="0" w:color="auto"/>
            </w:tcBorders>
            <w:shd w:val="clear" w:color="auto" w:fill="auto"/>
            <w:noWrap/>
            <w:vAlign w:val="bottom"/>
            <w:hideMark/>
          </w:tcPr>
          <w:p w14:paraId="1E513396" w14:textId="77777777" w:rsidR="00CD5200" w:rsidRPr="00ED17DA" w:rsidRDefault="00CD5200" w:rsidP="009E29A7">
            <w:pPr>
              <w:spacing w:before="0" w:after="0" w:line="360" w:lineRule="auto"/>
              <w:contextualSpacing/>
              <w:rPr>
                <w:szCs w:val="20"/>
              </w:rPr>
            </w:pPr>
            <w:r w:rsidRPr="00ED17DA">
              <w:rPr>
                <w:szCs w:val="20"/>
              </w:rPr>
              <w:t>0</w:t>
            </w:r>
          </w:p>
        </w:tc>
        <w:tc>
          <w:tcPr>
            <w:tcW w:w="805" w:type="dxa"/>
            <w:tcBorders>
              <w:top w:val="nil"/>
              <w:left w:val="nil"/>
              <w:bottom w:val="single" w:sz="4" w:space="0" w:color="auto"/>
              <w:right w:val="single" w:sz="4" w:space="0" w:color="auto"/>
            </w:tcBorders>
            <w:shd w:val="clear" w:color="auto" w:fill="auto"/>
            <w:noWrap/>
            <w:vAlign w:val="bottom"/>
            <w:hideMark/>
          </w:tcPr>
          <w:p w14:paraId="2C34C381" w14:textId="77777777" w:rsidR="00CD5200" w:rsidRPr="00ED17DA" w:rsidRDefault="00CD5200" w:rsidP="009E29A7">
            <w:pPr>
              <w:spacing w:before="0" w:after="0" w:line="360" w:lineRule="auto"/>
              <w:contextualSpacing/>
              <w:rPr>
                <w:szCs w:val="20"/>
              </w:rPr>
            </w:pPr>
            <w:r w:rsidRPr="00ED17DA">
              <w:rPr>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14:paraId="7F3D06AC" w14:textId="77777777" w:rsidR="00CD5200" w:rsidRPr="00ED17DA" w:rsidRDefault="00CD5200" w:rsidP="009E29A7">
            <w:pPr>
              <w:spacing w:before="0" w:after="0" w:line="360" w:lineRule="auto"/>
              <w:contextualSpacing/>
              <w:rPr>
                <w:szCs w:val="20"/>
              </w:rPr>
            </w:pPr>
            <w:r w:rsidRPr="00ED17DA">
              <w:rPr>
                <w:szCs w:val="20"/>
              </w:rPr>
              <w:t>0</w:t>
            </w:r>
          </w:p>
        </w:tc>
        <w:tc>
          <w:tcPr>
            <w:tcW w:w="1403" w:type="dxa"/>
            <w:tcBorders>
              <w:top w:val="nil"/>
              <w:left w:val="nil"/>
              <w:bottom w:val="single" w:sz="4" w:space="0" w:color="auto"/>
              <w:right w:val="single" w:sz="4" w:space="0" w:color="auto"/>
            </w:tcBorders>
            <w:shd w:val="clear" w:color="auto" w:fill="auto"/>
            <w:noWrap/>
            <w:vAlign w:val="bottom"/>
            <w:hideMark/>
          </w:tcPr>
          <w:p w14:paraId="6335FA61" w14:textId="77777777" w:rsidR="00CD5200" w:rsidRPr="00ED17DA" w:rsidRDefault="00CD5200" w:rsidP="009E29A7">
            <w:pPr>
              <w:spacing w:before="0" w:after="0" w:line="360" w:lineRule="auto"/>
              <w:contextualSpacing/>
              <w:rPr>
                <w:szCs w:val="20"/>
              </w:rPr>
            </w:pPr>
            <w:r w:rsidRPr="00ED17DA">
              <w:rPr>
                <w:szCs w:val="20"/>
              </w:rPr>
              <w:t>320</w:t>
            </w:r>
          </w:p>
        </w:tc>
      </w:tr>
      <w:tr w:rsidR="00CD5200" w:rsidRPr="00ED17DA" w14:paraId="6F9BA627" w14:textId="77777777" w:rsidTr="00D01600">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4D11EA9F" w14:textId="77777777" w:rsidR="00CD5200" w:rsidRPr="00ED17DA" w:rsidRDefault="00CD5200" w:rsidP="009E29A7">
            <w:pPr>
              <w:spacing w:before="0" w:after="0" w:line="360" w:lineRule="auto"/>
              <w:contextualSpacing/>
              <w:rPr>
                <w:szCs w:val="20"/>
              </w:rPr>
            </w:pPr>
            <w:r w:rsidRPr="00ED17DA">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4362BC57" w14:textId="77777777" w:rsidR="00CD5200" w:rsidRPr="00ED17DA" w:rsidRDefault="00CD5200" w:rsidP="009E29A7">
            <w:pPr>
              <w:spacing w:before="0" w:after="0" w:line="360" w:lineRule="auto"/>
              <w:contextualSpacing/>
              <w:rPr>
                <w:szCs w:val="20"/>
              </w:rPr>
            </w:pPr>
            <w:r w:rsidRPr="00ED17DA">
              <w:rPr>
                <w:szCs w:val="20"/>
              </w:rPr>
              <w:t>1</w:t>
            </w:r>
          </w:p>
        </w:tc>
        <w:tc>
          <w:tcPr>
            <w:tcW w:w="805" w:type="dxa"/>
            <w:tcBorders>
              <w:top w:val="nil"/>
              <w:left w:val="nil"/>
              <w:bottom w:val="single" w:sz="4" w:space="0" w:color="auto"/>
              <w:right w:val="single" w:sz="4" w:space="0" w:color="auto"/>
            </w:tcBorders>
            <w:shd w:val="clear" w:color="auto" w:fill="auto"/>
            <w:noWrap/>
            <w:vAlign w:val="bottom"/>
            <w:hideMark/>
          </w:tcPr>
          <w:p w14:paraId="3DE022A2" w14:textId="77777777" w:rsidR="00CD5200" w:rsidRPr="00ED17DA" w:rsidRDefault="00CD5200" w:rsidP="009E29A7">
            <w:pPr>
              <w:spacing w:before="0" w:after="0" w:line="360" w:lineRule="auto"/>
              <w:contextualSpacing/>
              <w:rPr>
                <w:szCs w:val="20"/>
              </w:rPr>
            </w:pPr>
            <w:r w:rsidRPr="00ED17DA">
              <w:rPr>
                <w:szCs w:val="20"/>
              </w:rPr>
              <w:t>1.5</w:t>
            </w:r>
          </w:p>
        </w:tc>
        <w:tc>
          <w:tcPr>
            <w:tcW w:w="541" w:type="dxa"/>
            <w:tcBorders>
              <w:top w:val="nil"/>
              <w:left w:val="nil"/>
              <w:bottom w:val="single" w:sz="4" w:space="0" w:color="auto"/>
              <w:right w:val="single" w:sz="4" w:space="0" w:color="auto"/>
            </w:tcBorders>
            <w:shd w:val="clear" w:color="auto" w:fill="auto"/>
            <w:noWrap/>
            <w:vAlign w:val="bottom"/>
            <w:hideMark/>
          </w:tcPr>
          <w:p w14:paraId="5A9D7033" w14:textId="77777777" w:rsidR="00CD5200" w:rsidRPr="00ED17DA" w:rsidRDefault="00CD5200" w:rsidP="009E29A7">
            <w:pPr>
              <w:spacing w:before="0" w:after="0" w:line="360" w:lineRule="auto"/>
              <w:contextualSpacing/>
              <w:rPr>
                <w:szCs w:val="20"/>
              </w:rPr>
            </w:pPr>
            <w:r w:rsidRPr="00ED17DA">
              <w:rPr>
                <w:szCs w:val="20"/>
              </w:rPr>
              <w:t>15</w:t>
            </w:r>
          </w:p>
        </w:tc>
        <w:tc>
          <w:tcPr>
            <w:tcW w:w="1403" w:type="dxa"/>
            <w:tcBorders>
              <w:top w:val="nil"/>
              <w:left w:val="nil"/>
              <w:bottom w:val="single" w:sz="4" w:space="0" w:color="auto"/>
              <w:right w:val="single" w:sz="4" w:space="0" w:color="auto"/>
            </w:tcBorders>
            <w:shd w:val="clear" w:color="auto" w:fill="auto"/>
            <w:noWrap/>
            <w:vAlign w:val="bottom"/>
            <w:hideMark/>
          </w:tcPr>
          <w:p w14:paraId="64E63C14" w14:textId="77777777" w:rsidR="00CD5200" w:rsidRPr="00ED17DA" w:rsidRDefault="00CD5200" w:rsidP="009E29A7">
            <w:pPr>
              <w:spacing w:before="0" w:after="0" w:line="360" w:lineRule="auto"/>
              <w:contextualSpacing/>
              <w:rPr>
                <w:szCs w:val="20"/>
              </w:rPr>
            </w:pPr>
            <w:r w:rsidRPr="00ED17DA">
              <w:rPr>
                <w:szCs w:val="20"/>
              </w:rPr>
              <w:t>305</w:t>
            </w:r>
          </w:p>
        </w:tc>
      </w:tr>
      <w:tr w:rsidR="00CD5200" w:rsidRPr="00ED17DA" w14:paraId="0E559A0C" w14:textId="77777777" w:rsidTr="00D01600">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41420CAC" w14:textId="77777777" w:rsidR="00CD5200" w:rsidRPr="00ED17DA" w:rsidRDefault="00CD5200" w:rsidP="009E29A7">
            <w:pPr>
              <w:spacing w:before="0" w:after="0" w:line="360" w:lineRule="auto"/>
              <w:contextualSpacing/>
              <w:rPr>
                <w:szCs w:val="20"/>
              </w:rPr>
            </w:pPr>
            <w:r w:rsidRPr="00ED17DA">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1DECE88B" w14:textId="77777777" w:rsidR="00CD5200" w:rsidRPr="00ED17DA" w:rsidRDefault="00CD5200" w:rsidP="009E29A7">
            <w:pPr>
              <w:spacing w:before="0" w:after="0" w:line="360" w:lineRule="auto"/>
              <w:contextualSpacing/>
              <w:rPr>
                <w:szCs w:val="20"/>
              </w:rPr>
            </w:pPr>
            <w:r w:rsidRPr="00ED17DA">
              <w:rPr>
                <w:szCs w:val="20"/>
              </w:rPr>
              <w:t>3</w:t>
            </w:r>
          </w:p>
        </w:tc>
        <w:tc>
          <w:tcPr>
            <w:tcW w:w="805" w:type="dxa"/>
            <w:tcBorders>
              <w:top w:val="nil"/>
              <w:left w:val="nil"/>
              <w:bottom w:val="single" w:sz="4" w:space="0" w:color="auto"/>
              <w:right w:val="single" w:sz="4" w:space="0" w:color="auto"/>
            </w:tcBorders>
            <w:shd w:val="clear" w:color="auto" w:fill="auto"/>
            <w:noWrap/>
            <w:vAlign w:val="bottom"/>
            <w:hideMark/>
          </w:tcPr>
          <w:p w14:paraId="24A1EFF8" w14:textId="77777777" w:rsidR="00CD5200" w:rsidRPr="00ED17DA" w:rsidRDefault="00CD5200" w:rsidP="009E29A7">
            <w:pPr>
              <w:spacing w:before="0" w:after="0" w:line="360" w:lineRule="auto"/>
              <w:contextualSpacing/>
              <w:rPr>
                <w:szCs w:val="20"/>
              </w:rPr>
            </w:pPr>
            <w:r w:rsidRPr="00ED17DA">
              <w:rPr>
                <w:szCs w:val="20"/>
              </w:rPr>
              <w:t>4.5</w:t>
            </w:r>
          </w:p>
        </w:tc>
        <w:tc>
          <w:tcPr>
            <w:tcW w:w="541" w:type="dxa"/>
            <w:tcBorders>
              <w:top w:val="nil"/>
              <w:left w:val="nil"/>
              <w:bottom w:val="single" w:sz="4" w:space="0" w:color="auto"/>
              <w:right w:val="single" w:sz="4" w:space="0" w:color="auto"/>
            </w:tcBorders>
            <w:shd w:val="clear" w:color="auto" w:fill="auto"/>
            <w:noWrap/>
            <w:vAlign w:val="bottom"/>
            <w:hideMark/>
          </w:tcPr>
          <w:p w14:paraId="737FBDE7" w14:textId="77777777" w:rsidR="00CD5200" w:rsidRPr="00ED17DA" w:rsidRDefault="00CD5200" w:rsidP="009E29A7">
            <w:pPr>
              <w:spacing w:before="0" w:after="0" w:line="360" w:lineRule="auto"/>
              <w:contextualSpacing/>
              <w:rPr>
                <w:szCs w:val="20"/>
              </w:rPr>
            </w:pPr>
            <w:r w:rsidRPr="00ED17DA">
              <w:rPr>
                <w:szCs w:val="20"/>
              </w:rPr>
              <w:t>45</w:t>
            </w:r>
          </w:p>
        </w:tc>
        <w:tc>
          <w:tcPr>
            <w:tcW w:w="1403" w:type="dxa"/>
            <w:tcBorders>
              <w:top w:val="nil"/>
              <w:left w:val="nil"/>
              <w:bottom w:val="single" w:sz="4" w:space="0" w:color="auto"/>
              <w:right w:val="single" w:sz="4" w:space="0" w:color="auto"/>
            </w:tcBorders>
            <w:shd w:val="clear" w:color="auto" w:fill="auto"/>
            <w:noWrap/>
            <w:vAlign w:val="bottom"/>
            <w:hideMark/>
          </w:tcPr>
          <w:p w14:paraId="06A54BB2" w14:textId="77777777" w:rsidR="00CD5200" w:rsidRPr="00ED17DA" w:rsidRDefault="00CD5200" w:rsidP="009E29A7">
            <w:pPr>
              <w:spacing w:before="0" w:after="0" w:line="360" w:lineRule="auto"/>
              <w:contextualSpacing/>
              <w:rPr>
                <w:szCs w:val="20"/>
              </w:rPr>
            </w:pPr>
            <w:r w:rsidRPr="00ED17DA">
              <w:rPr>
                <w:szCs w:val="20"/>
              </w:rPr>
              <w:t>260</w:t>
            </w:r>
          </w:p>
        </w:tc>
      </w:tr>
      <w:tr w:rsidR="00CD5200" w:rsidRPr="00ED17DA" w14:paraId="4FB0A821" w14:textId="77777777" w:rsidTr="00D01600">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0503828C" w14:textId="77777777" w:rsidR="00CD5200" w:rsidRPr="00ED17DA" w:rsidRDefault="00CD5200" w:rsidP="009E29A7">
            <w:pPr>
              <w:spacing w:before="0" w:after="0" w:line="360" w:lineRule="auto"/>
              <w:contextualSpacing/>
              <w:rPr>
                <w:szCs w:val="20"/>
              </w:rPr>
            </w:pPr>
            <w:r w:rsidRPr="00ED17DA">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72B3F392" w14:textId="77777777" w:rsidR="00CD5200" w:rsidRPr="00ED17DA" w:rsidRDefault="00CD5200" w:rsidP="009E29A7">
            <w:pPr>
              <w:spacing w:before="0" w:after="0" w:line="360" w:lineRule="auto"/>
              <w:contextualSpacing/>
              <w:rPr>
                <w:szCs w:val="20"/>
              </w:rPr>
            </w:pPr>
            <w:r w:rsidRPr="00ED17DA">
              <w:rPr>
                <w:szCs w:val="20"/>
              </w:rPr>
              <w:t>3</w:t>
            </w:r>
          </w:p>
        </w:tc>
        <w:tc>
          <w:tcPr>
            <w:tcW w:w="805" w:type="dxa"/>
            <w:tcBorders>
              <w:top w:val="nil"/>
              <w:left w:val="nil"/>
              <w:bottom w:val="single" w:sz="4" w:space="0" w:color="auto"/>
              <w:right w:val="single" w:sz="4" w:space="0" w:color="auto"/>
            </w:tcBorders>
            <w:shd w:val="clear" w:color="auto" w:fill="auto"/>
            <w:noWrap/>
            <w:vAlign w:val="bottom"/>
            <w:hideMark/>
          </w:tcPr>
          <w:p w14:paraId="7C942983" w14:textId="77777777" w:rsidR="00CD5200" w:rsidRPr="00ED17DA" w:rsidRDefault="00CD5200" w:rsidP="009E29A7">
            <w:pPr>
              <w:spacing w:before="0" w:after="0" w:line="360" w:lineRule="auto"/>
              <w:contextualSpacing/>
              <w:rPr>
                <w:szCs w:val="20"/>
              </w:rPr>
            </w:pPr>
            <w:r w:rsidRPr="00ED17DA">
              <w:rPr>
                <w:szCs w:val="20"/>
              </w:rPr>
              <w:t>4.5</w:t>
            </w:r>
          </w:p>
        </w:tc>
        <w:tc>
          <w:tcPr>
            <w:tcW w:w="541" w:type="dxa"/>
            <w:tcBorders>
              <w:top w:val="nil"/>
              <w:left w:val="nil"/>
              <w:bottom w:val="single" w:sz="4" w:space="0" w:color="auto"/>
              <w:right w:val="single" w:sz="4" w:space="0" w:color="auto"/>
            </w:tcBorders>
            <w:shd w:val="clear" w:color="auto" w:fill="auto"/>
            <w:noWrap/>
            <w:vAlign w:val="bottom"/>
            <w:hideMark/>
          </w:tcPr>
          <w:p w14:paraId="5B0981FF" w14:textId="77777777" w:rsidR="00CD5200" w:rsidRPr="00ED17DA" w:rsidRDefault="00CD5200" w:rsidP="009E29A7">
            <w:pPr>
              <w:spacing w:before="0" w:after="0" w:line="360" w:lineRule="auto"/>
              <w:contextualSpacing/>
              <w:rPr>
                <w:szCs w:val="20"/>
              </w:rPr>
            </w:pPr>
            <w:r w:rsidRPr="00ED17DA">
              <w:rPr>
                <w:szCs w:val="20"/>
              </w:rPr>
              <w:t>45</w:t>
            </w:r>
          </w:p>
        </w:tc>
        <w:tc>
          <w:tcPr>
            <w:tcW w:w="1403" w:type="dxa"/>
            <w:tcBorders>
              <w:top w:val="nil"/>
              <w:left w:val="nil"/>
              <w:bottom w:val="single" w:sz="4" w:space="0" w:color="auto"/>
              <w:right w:val="single" w:sz="4" w:space="0" w:color="auto"/>
            </w:tcBorders>
            <w:shd w:val="clear" w:color="auto" w:fill="auto"/>
            <w:noWrap/>
            <w:vAlign w:val="bottom"/>
            <w:hideMark/>
          </w:tcPr>
          <w:p w14:paraId="16CCF3C6" w14:textId="77777777" w:rsidR="00CD5200" w:rsidRPr="00ED17DA" w:rsidRDefault="00CD5200" w:rsidP="009E29A7">
            <w:pPr>
              <w:spacing w:before="0" w:after="0" w:line="360" w:lineRule="auto"/>
              <w:contextualSpacing/>
              <w:rPr>
                <w:szCs w:val="20"/>
              </w:rPr>
            </w:pPr>
            <w:r w:rsidRPr="00ED17DA">
              <w:rPr>
                <w:szCs w:val="20"/>
              </w:rPr>
              <w:t>215</w:t>
            </w:r>
          </w:p>
        </w:tc>
      </w:tr>
      <w:tr w:rsidR="00CD5200" w:rsidRPr="00ED17DA" w14:paraId="5E2D0BF4" w14:textId="77777777" w:rsidTr="00D01600">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472ED27A" w14:textId="77777777" w:rsidR="00CD5200" w:rsidRPr="00ED17DA" w:rsidRDefault="00CD5200" w:rsidP="009E29A7">
            <w:pPr>
              <w:spacing w:before="0" w:after="0" w:line="360" w:lineRule="auto"/>
              <w:contextualSpacing/>
              <w:rPr>
                <w:szCs w:val="20"/>
              </w:rPr>
            </w:pPr>
            <w:r w:rsidRPr="00ED17DA">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6A4D8003" w14:textId="77777777" w:rsidR="00CD5200" w:rsidRPr="00ED17DA" w:rsidRDefault="00CD5200" w:rsidP="009E29A7">
            <w:pPr>
              <w:spacing w:before="0" w:after="0" w:line="360" w:lineRule="auto"/>
              <w:contextualSpacing/>
              <w:rPr>
                <w:szCs w:val="20"/>
              </w:rPr>
            </w:pPr>
            <w:r w:rsidRPr="00ED17DA">
              <w:rPr>
                <w:szCs w:val="20"/>
              </w:rPr>
              <w:t>4</w:t>
            </w:r>
          </w:p>
        </w:tc>
        <w:tc>
          <w:tcPr>
            <w:tcW w:w="805" w:type="dxa"/>
            <w:tcBorders>
              <w:top w:val="nil"/>
              <w:left w:val="nil"/>
              <w:bottom w:val="single" w:sz="4" w:space="0" w:color="auto"/>
              <w:right w:val="single" w:sz="4" w:space="0" w:color="auto"/>
            </w:tcBorders>
            <w:shd w:val="clear" w:color="auto" w:fill="auto"/>
            <w:noWrap/>
            <w:vAlign w:val="bottom"/>
            <w:hideMark/>
          </w:tcPr>
          <w:p w14:paraId="3A34F04C" w14:textId="77777777" w:rsidR="00CD5200" w:rsidRPr="00ED17DA" w:rsidRDefault="00CD5200" w:rsidP="009E29A7">
            <w:pPr>
              <w:spacing w:before="0" w:after="0" w:line="360" w:lineRule="auto"/>
              <w:contextualSpacing/>
              <w:rPr>
                <w:szCs w:val="20"/>
              </w:rPr>
            </w:pPr>
            <w:r w:rsidRPr="00ED17DA">
              <w:rPr>
                <w:szCs w:val="20"/>
              </w:rPr>
              <w:t>6</w:t>
            </w:r>
          </w:p>
        </w:tc>
        <w:tc>
          <w:tcPr>
            <w:tcW w:w="541" w:type="dxa"/>
            <w:tcBorders>
              <w:top w:val="nil"/>
              <w:left w:val="nil"/>
              <w:bottom w:val="single" w:sz="4" w:space="0" w:color="auto"/>
              <w:right w:val="single" w:sz="4" w:space="0" w:color="auto"/>
            </w:tcBorders>
            <w:shd w:val="clear" w:color="auto" w:fill="auto"/>
            <w:noWrap/>
            <w:vAlign w:val="bottom"/>
            <w:hideMark/>
          </w:tcPr>
          <w:p w14:paraId="1BF35B18" w14:textId="77777777" w:rsidR="00CD5200" w:rsidRPr="00ED17DA" w:rsidRDefault="00CD5200" w:rsidP="009E29A7">
            <w:pPr>
              <w:spacing w:before="0" w:after="0" w:line="360" w:lineRule="auto"/>
              <w:contextualSpacing/>
              <w:rPr>
                <w:szCs w:val="20"/>
              </w:rPr>
            </w:pPr>
            <w:r w:rsidRPr="00ED17DA">
              <w:rPr>
                <w:szCs w:val="20"/>
              </w:rPr>
              <w:t>60</w:t>
            </w:r>
          </w:p>
        </w:tc>
        <w:tc>
          <w:tcPr>
            <w:tcW w:w="1403" w:type="dxa"/>
            <w:tcBorders>
              <w:top w:val="nil"/>
              <w:left w:val="nil"/>
              <w:bottom w:val="single" w:sz="4" w:space="0" w:color="auto"/>
              <w:right w:val="single" w:sz="4" w:space="0" w:color="auto"/>
            </w:tcBorders>
            <w:shd w:val="clear" w:color="auto" w:fill="auto"/>
            <w:noWrap/>
            <w:vAlign w:val="bottom"/>
            <w:hideMark/>
          </w:tcPr>
          <w:p w14:paraId="61FA6622" w14:textId="77777777" w:rsidR="00CD5200" w:rsidRPr="00ED17DA" w:rsidRDefault="00CD5200" w:rsidP="009E29A7">
            <w:pPr>
              <w:spacing w:before="0" w:after="0" w:line="360" w:lineRule="auto"/>
              <w:contextualSpacing/>
              <w:rPr>
                <w:szCs w:val="20"/>
              </w:rPr>
            </w:pPr>
            <w:r w:rsidRPr="00ED17DA">
              <w:rPr>
                <w:szCs w:val="20"/>
              </w:rPr>
              <w:t>155</w:t>
            </w:r>
          </w:p>
        </w:tc>
      </w:tr>
      <w:tr w:rsidR="00CD5200" w:rsidRPr="00ED17DA" w14:paraId="77A3FE8D" w14:textId="77777777" w:rsidTr="00D01600">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0130752C" w14:textId="77777777" w:rsidR="00CD5200" w:rsidRPr="00ED17DA" w:rsidRDefault="00CD5200" w:rsidP="009E29A7">
            <w:pPr>
              <w:spacing w:before="0" w:after="0" w:line="360" w:lineRule="auto"/>
              <w:contextualSpacing/>
              <w:rPr>
                <w:szCs w:val="20"/>
              </w:rPr>
            </w:pPr>
            <w:r w:rsidRPr="00ED17DA">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3B0BD12E" w14:textId="77777777" w:rsidR="00CD5200" w:rsidRPr="00ED17DA" w:rsidRDefault="00CD5200" w:rsidP="009E29A7">
            <w:pPr>
              <w:spacing w:before="0" w:after="0" w:line="360" w:lineRule="auto"/>
              <w:contextualSpacing/>
              <w:rPr>
                <w:szCs w:val="20"/>
              </w:rPr>
            </w:pPr>
            <w:r w:rsidRPr="00ED17DA">
              <w:rPr>
                <w:szCs w:val="20"/>
              </w:rPr>
              <w:t>4</w:t>
            </w:r>
          </w:p>
        </w:tc>
        <w:tc>
          <w:tcPr>
            <w:tcW w:w="805" w:type="dxa"/>
            <w:tcBorders>
              <w:top w:val="nil"/>
              <w:left w:val="nil"/>
              <w:bottom w:val="single" w:sz="4" w:space="0" w:color="auto"/>
              <w:right w:val="single" w:sz="4" w:space="0" w:color="auto"/>
            </w:tcBorders>
            <w:shd w:val="clear" w:color="auto" w:fill="auto"/>
            <w:noWrap/>
            <w:vAlign w:val="bottom"/>
            <w:hideMark/>
          </w:tcPr>
          <w:p w14:paraId="4F64B464" w14:textId="77777777" w:rsidR="00CD5200" w:rsidRPr="00ED17DA" w:rsidRDefault="00CD5200" w:rsidP="009E29A7">
            <w:pPr>
              <w:spacing w:before="0" w:after="0" w:line="360" w:lineRule="auto"/>
              <w:contextualSpacing/>
              <w:rPr>
                <w:szCs w:val="20"/>
              </w:rPr>
            </w:pPr>
            <w:r w:rsidRPr="00ED17DA">
              <w:rPr>
                <w:szCs w:val="20"/>
              </w:rPr>
              <w:t>6</w:t>
            </w:r>
          </w:p>
        </w:tc>
        <w:tc>
          <w:tcPr>
            <w:tcW w:w="541" w:type="dxa"/>
            <w:tcBorders>
              <w:top w:val="nil"/>
              <w:left w:val="nil"/>
              <w:bottom w:val="single" w:sz="4" w:space="0" w:color="auto"/>
              <w:right w:val="single" w:sz="4" w:space="0" w:color="auto"/>
            </w:tcBorders>
            <w:shd w:val="clear" w:color="auto" w:fill="auto"/>
            <w:noWrap/>
            <w:vAlign w:val="bottom"/>
            <w:hideMark/>
          </w:tcPr>
          <w:p w14:paraId="65694E19" w14:textId="77777777" w:rsidR="00CD5200" w:rsidRPr="00ED17DA" w:rsidRDefault="00CD5200" w:rsidP="009E29A7">
            <w:pPr>
              <w:spacing w:before="0" w:after="0" w:line="360" w:lineRule="auto"/>
              <w:contextualSpacing/>
              <w:rPr>
                <w:szCs w:val="20"/>
              </w:rPr>
            </w:pPr>
            <w:r w:rsidRPr="00ED17DA">
              <w:rPr>
                <w:szCs w:val="20"/>
              </w:rPr>
              <w:t>60</w:t>
            </w:r>
          </w:p>
        </w:tc>
        <w:tc>
          <w:tcPr>
            <w:tcW w:w="1403" w:type="dxa"/>
            <w:tcBorders>
              <w:top w:val="nil"/>
              <w:left w:val="nil"/>
              <w:bottom w:val="single" w:sz="4" w:space="0" w:color="auto"/>
              <w:right w:val="single" w:sz="4" w:space="0" w:color="auto"/>
            </w:tcBorders>
            <w:shd w:val="clear" w:color="auto" w:fill="auto"/>
            <w:noWrap/>
            <w:vAlign w:val="bottom"/>
            <w:hideMark/>
          </w:tcPr>
          <w:p w14:paraId="13E5F2E5" w14:textId="77777777" w:rsidR="00CD5200" w:rsidRPr="00ED17DA" w:rsidRDefault="00CD5200" w:rsidP="009E29A7">
            <w:pPr>
              <w:spacing w:before="0" w:after="0" w:line="360" w:lineRule="auto"/>
              <w:contextualSpacing/>
              <w:rPr>
                <w:szCs w:val="20"/>
              </w:rPr>
            </w:pPr>
            <w:r w:rsidRPr="00ED17DA">
              <w:rPr>
                <w:szCs w:val="20"/>
              </w:rPr>
              <w:t>95</w:t>
            </w:r>
          </w:p>
        </w:tc>
      </w:tr>
      <w:tr w:rsidR="00CD5200" w:rsidRPr="00ED17DA" w14:paraId="4A08166D" w14:textId="77777777" w:rsidTr="00D01600">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69694C60" w14:textId="77777777" w:rsidR="00CD5200" w:rsidRPr="00ED17DA" w:rsidRDefault="00CD5200" w:rsidP="009E29A7">
            <w:pPr>
              <w:spacing w:before="0" w:after="0" w:line="360" w:lineRule="auto"/>
              <w:contextualSpacing/>
              <w:rPr>
                <w:szCs w:val="20"/>
              </w:rPr>
            </w:pPr>
            <w:r w:rsidRPr="00ED17DA">
              <w:rPr>
                <w:szCs w:val="20"/>
              </w:rPr>
              <w:t>15</w:t>
            </w:r>
          </w:p>
        </w:tc>
        <w:tc>
          <w:tcPr>
            <w:tcW w:w="1146" w:type="dxa"/>
            <w:tcBorders>
              <w:top w:val="nil"/>
              <w:left w:val="nil"/>
              <w:bottom w:val="single" w:sz="4" w:space="0" w:color="auto"/>
              <w:right w:val="single" w:sz="4" w:space="0" w:color="auto"/>
            </w:tcBorders>
            <w:shd w:val="clear" w:color="auto" w:fill="auto"/>
            <w:noWrap/>
            <w:vAlign w:val="bottom"/>
            <w:hideMark/>
          </w:tcPr>
          <w:p w14:paraId="07A3E11C" w14:textId="77777777" w:rsidR="00CD5200" w:rsidRPr="00ED17DA" w:rsidRDefault="00CD5200" w:rsidP="009E29A7">
            <w:pPr>
              <w:spacing w:before="0" w:after="0" w:line="360" w:lineRule="auto"/>
              <w:contextualSpacing/>
              <w:rPr>
                <w:szCs w:val="20"/>
              </w:rPr>
            </w:pPr>
            <w:r w:rsidRPr="00ED17DA">
              <w:rPr>
                <w:szCs w:val="20"/>
              </w:rPr>
              <w:t>4</w:t>
            </w:r>
          </w:p>
        </w:tc>
        <w:tc>
          <w:tcPr>
            <w:tcW w:w="805" w:type="dxa"/>
            <w:tcBorders>
              <w:top w:val="nil"/>
              <w:left w:val="nil"/>
              <w:bottom w:val="single" w:sz="4" w:space="0" w:color="auto"/>
              <w:right w:val="single" w:sz="4" w:space="0" w:color="auto"/>
            </w:tcBorders>
            <w:shd w:val="clear" w:color="auto" w:fill="auto"/>
            <w:noWrap/>
            <w:vAlign w:val="bottom"/>
            <w:hideMark/>
          </w:tcPr>
          <w:p w14:paraId="34FFA7AB" w14:textId="77777777" w:rsidR="00CD5200" w:rsidRPr="00ED17DA" w:rsidRDefault="00CD5200" w:rsidP="009E29A7">
            <w:pPr>
              <w:spacing w:before="0" w:after="0" w:line="360" w:lineRule="auto"/>
              <w:contextualSpacing/>
              <w:rPr>
                <w:szCs w:val="20"/>
              </w:rPr>
            </w:pPr>
            <w:r w:rsidRPr="00ED17DA">
              <w:rPr>
                <w:szCs w:val="20"/>
              </w:rPr>
              <w:t>6</w:t>
            </w:r>
          </w:p>
        </w:tc>
        <w:tc>
          <w:tcPr>
            <w:tcW w:w="541" w:type="dxa"/>
            <w:tcBorders>
              <w:top w:val="nil"/>
              <w:left w:val="nil"/>
              <w:bottom w:val="single" w:sz="4" w:space="0" w:color="auto"/>
              <w:right w:val="single" w:sz="4" w:space="0" w:color="auto"/>
            </w:tcBorders>
            <w:shd w:val="clear" w:color="auto" w:fill="auto"/>
            <w:noWrap/>
            <w:vAlign w:val="bottom"/>
            <w:hideMark/>
          </w:tcPr>
          <w:p w14:paraId="4ED02350" w14:textId="77777777" w:rsidR="00CD5200" w:rsidRPr="00ED17DA" w:rsidRDefault="00CD5200" w:rsidP="009E29A7">
            <w:pPr>
              <w:spacing w:before="0" w:after="0" w:line="360" w:lineRule="auto"/>
              <w:contextualSpacing/>
              <w:rPr>
                <w:szCs w:val="20"/>
              </w:rPr>
            </w:pPr>
            <w:r w:rsidRPr="00ED17DA">
              <w:rPr>
                <w:szCs w:val="20"/>
              </w:rPr>
              <w:t>60</w:t>
            </w:r>
          </w:p>
        </w:tc>
        <w:tc>
          <w:tcPr>
            <w:tcW w:w="1403" w:type="dxa"/>
            <w:tcBorders>
              <w:top w:val="nil"/>
              <w:left w:val="nil"/>
              <w:bottom w:val="single" w:sz="4" w:space="0" w:color="auto"/>
              <w:right w:val="single" w:sz="4" w:space="0" w:color="auto"/>
            </w:tcBorders>
            <w:shd w:val="clear" w:color="auto" w:fill="auto"/>
            <w:noWrap/>
            <w:vAlign w:val="bottom"/>
            <w:hideMark/>
          </w:tcPr>
          <w:p w14:paraId="21E785E3" w14:textId="77777777" w:rsidR="00CD5200" w:rsidRPr="00ED17DA" w:rsidRDefault="00CD5200" w:rsidP="009E29A7">
            <w:pPr>
              <w:spacing w:before="0" w:after="0" w:line="360" w:lineRule="auto"/>
              <w:contextualSpacing/>
              <w:rPr>
                <w:szCs w:val="20"/>
              </w:rPr>
            </w:pPr>
            <w:r w:rsidRPr="00ED17DA">
              <w:rPr>
                <w:szCs w:val="20"/>
              </w:rPr>
              <w:t>35</w:t>
            </w:r>
          </w:p>
        </w:tc>
      </w:tr>
      <w:tr w:rsidR="00CD5200" w:rsidRPr="00ED17DA" w14:paraId="29ABD396" w14:textId="77777777" w:rsidTr="00D01600">
        <w:trPr>
          <w:trHeight w:val="29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33513FF2" w14:textId="77777777" w:rsidR="00CD5200" w:rsidRPr="00ED17DA" w:rsidRDefault="00CD5200" w:rsidP="009E29A7">
            <w:pPr>
              <w:spacing w:before="0" w:after="0" w:line="360" w:lineRule="auto"/>
              <w:contextualSpacing/>
              <w:rPr>
                <w:szCs w:val="20"/>
              </w:rPr>
            </w:pPr>
            <w:r w:rsidRPr="00ED17DA">
              <w:rPr>
                <w:szCs w:val="20"/>
              </w:rPr>
              <w:t>10</w:t>
            </w:r>
          </w:p>
        </w:tc>
        <w:tc>
          <w:tcPr>
            <w:tcW w:w="1146" w:type="dxa"/>
            <w:tcBorders>
              <w:top w:val="nil"/>
              <w:left w:val="nil"/>
              <w:bottom w:val="single" w:sz="4" w:space="0" w:color="auto"/>
              <w:right w:val="single" w:sz="4" w:space="0" w:color="auto"/>
            </w:tcBorders>
            <w:shd w:val="clear" w:color="auto" w:fill="auto"/>
            <w:noWrap/>
            <w:vAlign w:val="bottom"/>
            <w:hideMark/>
          </w:tcPr>
          <w:p w14:paraId="4F0EF36A" w14:textId="77777777" w:rsidR="00CD5200" w:rsidRPr="00ED17DA" w:rsidRDefault="00CD5200" w:rsidP="009E29A7">
            <w:pPr>
              <w:spacing w:before="0" w:after="0" w:line="360" w:lineRule="auto"/>
              <w:contextualSpacing/>
              <w:rPr>
                <w:szCs w:val="20"/>
              </w:rPr>
            </w:pPr>
            <w:r w:rsidRPr="00ED17DA">
              <w:rPr>
                <w:szCs w:val="20"/>
              </w:rPr>
              <w:t>4</w:t>
            </w:r>
          </w:p>
        </w:tc>
        <w:tc>
          <w:tcPr>
            <w:tcW w:w="805" w:type="dxa"/>
            <w:tcBorders>
              <w:top w:val="nil"/>
              <w:left w:val="nil"/>
              <w:bottom w:val="single" w:sz="4" w:space="0" w:color="auto"/>
              <w:right w:val="single" w:sz="4" w:space="0" w:color="auto"/>
            </w:tcBorders>
            <w:shd w:val="clear" w:color="auto" w:fill="auto"/>
            <w:noWrap/>
            <w:vAlign w:val="bottom"/>
            <w:hideMark/>
          </w:tcPr>
          <w:p w14:paraId="0B9D14CF" w14:textId="77777777" w:rsidR="00CD5200" w:rsidRPr="00ED17DA" w:rsidRDefault="00CD5200" w:rsidP="009E29A7">
            <w:pPr>
              <w:spacing w:before="0" w:after="0" w:line="360" w:lineRule="auto"/>
              <w:contextualSpacing/>
              <w:rPr>
                <w:szCs w:val="20"/>
              </w:rPr>
            </w:pPr>
            <w:r w:rsidRPr="00ED17DA">
              <w:rPr>
                <w:szCs w:val="20"/>
              </w:rPr>
              <w:t>4</w:t>
            </w:r>
          </w:p>
        </w:tc>
        <w:tc>
          <w:tcPr>
            <w:tcW w:w="541" w:type="dxa"/>
            <w:tcBorders>
              <w:top w:val="nil"/>
              <w:left w:val="nil"/>
              <w:bottom w:val="single" w:sz="4" w:space="0" w:color="auto"/>
              <w:right w:val="single" w:sz="4" w:space="0" w:color="auto"/>
            </w:tcBorders>
            <w:shd w:val="clear" w:color="auto" w:fill="auto"/>
            <w:noWrap/>
            <w:vAlign w:val="bottom"/>
            <w:hideMark/>
          </w:tcPr>
          <w:p w14:paraId="243400DF" w14:textId="77777777" w:rsidR="00CD5200" w:rsidRPr="00ED17DA" w:rsidRDefault="00CD5200" w:rsidP="009E29A7">
            <w:pPr>
              <w:spacing w:before="0" w:after="0" w:line="360" w:lineRule="auto"/>
              <w:contextualSpacing/>
              <w:rPr>
                <w:szCs w:val="20"/>
              </w:rPr>
            </w:pPr>
            <w:r w:rsidRPr="00ED17DA">
              <w:rPr>
                <w:szCs w:val="20"/>
              </w:rPr>
              <w:t>40</w:t>
            </w:r>
          </w:p>
        </w:tc>
        <w:tc>
          <w:tcPr>
            <w:tcW w:w="1403" w:type="dxa"/>
            <w:tcBorders>
              <w:top w:val="nil"/>
              <w:left w:val="nil"/>
              <w:bottom w:val="single" w:sz="4" w:space="0" w:color="auto"/>
              <w:right w:val="single" w:sz="4" w:space="0" w:color="auto"/>
            </w:tcBorders>
            <w:shd w:val="clear" w:color="auto" w:fill="auto"/>
            <w:noWrap/>
            <w:vAlign w:val="bottom"/>
            <w:hideMark/>
          </w:tcPr>
          <w:p w14:paraId="7A124346" w14:textId="77777777" w:rsidR="00CD5200" w:rsidRPr="00ED17DA" w:rsidRDefault="00CD5200" w:rsidP="009E29A7">
            <w:pPr>
              <w:spacing w:before="0" w:after="0" w:line="360" w:lineRule="auto"/>
              <w:contextualSpacing/>
              <w:rPr>
                <w:szCs w:val="20"/>
              </w:rPr>
            </w:pPr>
            <w:r w:rsidRPr="00ED17DA">
              <w:rPr>
                <w:szCs w:val="20"/>
              </w:rPr>
              <w:t>-5</w:t>
            </w:r>
          </w:p>
        </w:tc>
      </w:tr>
    </w:tbl>
    <w:p w14:paraId="4FBB5DC5" w14:textId="61AAB2F5" w:rsidR="00BB2567" w:rsidRPr="00ED5F4D" w:rsidRDefault="00BB2567" w:rsidP="00BB2567">
      <w:pPr>
        <w:pStyle w:val="ListParagraph"/>
        <w:tabs>
          <w:tab w:val="left" w:pos="284"/>
        </w:tabs>
        <w:ind w:left="0"/>
        <w:rPr>
          <w:b/>
          <w:i/>
          <w:szCs w:val="20"/>
        </w:rPr>
      </w:pPr>
      <w:r w:rsidRPr="00ED5F4D">
        <w:rPr>
          <w:b/>
          <w:i/>
          <w:szCs w:val="20"/>
        </w:rPr>
        <w:t xml:space="preserve">Typical </w:t>
      </w:r>
      <w:r>
        <w:rPr>
          <w:b/>
          <w:i/>
          <w:szCs w:val="20"/>
        </w:rPr>
        <w:t>SC</w:t>
      </w:r>
      <w:r w:rsidRPr="00ED5F4D">
        <w:rPr>
          <w:b/>
          <w:i/>
          <w:szCs w:val="20"/>
        </w:rPr>
        <w:t>Ig delivery time for PID</w:t>
      </w:r>
    </w:p>
    <w:p w14:paraId="34868324" w14:textId="04275373" w:rsidR="00915259" w:rsidRDefault="00915259" w:rsidP="00915259">
      <w:pPr>
        <w:spacing w:after="200" w:line="276" w:lineRule="auto"/>
        <w:rPr>
          <w:i/>
          <w:szCs w:val="20"/>
        </w:rPr>
      </w:pPr>
      <w:r w:rsidRPr="00DA11D7">
        <w:t>The Product Information sheet for Hizentra</w:t>
      </w:r>
      <w:r w:rsidRPr="00DA11D7">
        <w:rPr>
          <w:rStyle w:val="FootnoteReference"/>
        </w:rPr>
        <w:footnoteReference w:customMarkFollows="1" w:id="10"/>
        <w:t>[1]</w:t>
      </w:r>
      <w:r w:rsidRPr="00DA11D7">
        <w:t xml:space="preserve"> states that the recommended initial infusion rate should not exceed 15 mL/hour/site. If well-tolerated, the infusion rate can then gradually increase to 25 mL/hour/site. Applying this infusion rate and assuming only one site is used at a time, the minimum administration time for a </w:t>
      </w:r>
      <w:r>
        <w:t>patient of 80kg on a dose of 0.1g/kg (0.5</w:t>
      </w:r>
      <w:r w:rsidRPr="00DA11D7">
        <w:t xml:space="preserve">mL/kg) </w:t>
      </w:r>
      <w:r>
        <w:t>per week would be approximately 1 hour and 48</w:t>
      </w:r>
      <w:r w:rsidRPr="00DA11D7">
        <w:t xml:space="preserve"> minutes</w:t>
      </w:r>
      <w:r>
        <w:t xml:space="preserve"> (note that the ‘gradual increase’ of rate may be interpreted and implemented differently, see table 5 for interpretation in this example)</w:t>
      </w:r>
      <w:r w:rsidRPr="00DA11D7">
        <w:t>. It is advised that if the dose is above 25mL that multiple injection sites be used.</w:t>
      </w:r>
      <w:r>
        <w:t xml:space="preserve"> </w:t>
      </w:r>
      <w:r w:rsidRPr="00DA11D7">
        <w:t>The infusion rate could reduce for various reasons, e.g. adverse events. Please note that this is only on</w:t>
      </w:r>
      <w:r>
        <w:t xml:space="preserve">e of the products funded for </w:t>
      </w:r>
      <w:r w:rsidR="00215C52">
        <w:t>PID</w:t>
      </w:r>
      <w:r w:rsidRPr="00DA11D7">
        <w:t xml:space="preserve"> and that other products may have different infusion rates.</w:t>
      </w:r>
      <w:r>
        <w:t xml:space="preserve"> There are also likely to be multiple infusion devices available for SCIg which may increase or decrease the rate of infusion.</w:t>
      </w:r>
    </w:p>
    <w:p w14:paraId="2761D492" w14:textId="77777777" w:rsidR="00915259" w:rsidRDefault="00915259" w:rsidP="009E29A7">
      <w:pPr>
        <w:spacing w:before="0"/>
      </w:pPr>
      <w:r>
        <w:rPr>
          <w:i/>
          <w:szCs w:val="20"/>
        </w:rPr>
        <w:t>Table 5</w:t>
      </w:r>
      <w:r w:rsidRPr="00D8249D">
        <w:rPr>
          <w:i/>
          <w:szCs w:val="20"/>
        </w:rPr>
        <w:t xml:space="preserve">: </w:t>
      </w:r>
      <w:r>
        <w:rPr>
          <w:i/>
          <w:szCs w:val="20"/>
        </w:rPr>
        <w:t xml:space="preserve">80Kg person @ 0.1g/Kg = 8grams = 40mL Hizentra </w:t>
      </w:r>
    </w:p>
    <w:tbl>
      <w:tblPr>
        <w:tblW w:w="4942" w:type="dxa"/>
        <w:tblInd w:w="959" w:type="dxa"/>
        <w:tblLook w:val="04A0" w:firstRow="1" w:lastRow="0" w:firstColumn="1" w:lastColumn="0" w:noHBand="0" w:noVBand="1"/>
      </w:tblPr>
      <w:tblGrid>
        <w:gridCol w:w="1264"/>
        <w:gridCol w:w="1351"/>
        <w:gridCol w:w="673"/>
        <w:gridCol w:w="1654"/>
      </w:tblGrid>
      <w:tr w:rsidR="00915259" w:rsidRPr="002F7D31" w14:paraId="13DA2903" w14:textId="77777777" w:rsidTr="009E29A7">
        <w:trPr>
          <w:trHeight w:val="600"/>
        </w:trPr>
        <w:tc>
          <w:tcPr>
            <w:tcW w:w="1264" w:type="dxa"/>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6F24AC5E" w14:textId="77777777" w:rsidR="00915259" w:rsidRPr="002F7D31" w:rsidRDefault="00915259" w:rsidP="009E29A7">
            <w:pPr>
              <w:spacing w:before="0" w:after="0" w:line="360" w:lineRule="auto"/>
              <w:rPr>
                <w:color w:val="FFFFFF" w:themeColor="background1"/>
                <w:szCs w:val="20"/>
              </w:rPr>
            </w:pPr>
            <w:r w:rsidRPr="002F7D31">
              <w:rPr>
                <w:color w:val="FFFFFF" w:themeColor="background1"/>
                <w:szCs w:val="20"/>
              </w:rPr>
              <w:t>Minutes</w:t>
            </w:r>
          </w:p>
        </w:tc>
        <w:tc>
          <w:tcPr>
            <w:tcW w:w="1351" w:type="dxa"/>
            <w:tcBorders>
              <w:top w:val="single" w:sz="4" w:space="0" w:color="auto"/>
              <w:left w:val="nil"/>
              <w:bottom w:val="single" w:sz="4" w:space="0" w:color="auto"/>
              <w:right w:val="single" w:sz="4" w:space="0" w:color="auto"/>
            </w:tcBorders>
            <w:shd w:val="clear" w:color="auto" w:fill="C00000"/>
            <w:vAlign w:val="bottom"/>
            <w:hideMark/>
          </w:tcPr>
          <w:p w14:paraId="6CF58F5A" w14:textId="77777777" w:rsidR="00915259" w:rsidRPr="002F7D31" w:rsidRDefault="00915259" w:rsidP="009E29A7">
            <w:pPr>
              <w:spacing w:before="0" w:after="0" w:line="360" w:lineRule="auto"/>
              <w:rPr>
                <w:color w:val="FFFFFF" w:themeColor="background1"/>
                <w:szCs w:val="20"/>
              </w:rPr>
            </w:pPr>
            <w:r w:rsidRPr="002F7D31">
              <w:rPr>
                <w:color w:val="FFFFFF" w:themeColor="background1"/>
                <w:szCs w:val="20"/>
              </w:rPr>
              <w:t>Rate ml/min</w:t>
            </w:r>
          </w:p>
        </w:tc>
        <w:tc>
          <w:tcPr>
            <w:tcW w:w="673" w:type="dxa"/>
            <w:tcBorders>
              <w:top w:val="single" w:sz="4" w:space="0" w:color="auto"/>
              <w:left w:val="nil"/>
              <w:bottom w:val="single" w:sz="4" w:space="0" w:color="auto"/>
              <w:right w:val="single" w:sz="4" w:space="0" w:color="auto"/>
            </w:tcBorders>
            <w:shd w:val="clear" w:color="auto" w:fill="C00000"/>
            <w:noWrap/>
            <w:vAlign w:val="bottom"/>
            <w:hideMark/>
          </w:tcPr>
          <w:p w14:paraId="23895D9E" w14:textId="77777777" w:rsidR="00915259" w:rsidRPr="002F7D31" w:rsidRDefault="00915259" w:rsidP="009E29A7">
            <w:pPr>
              <w:spacing w:before="0" w:after="0" w:line="360" w:lineRule="auto"/>
              <w:rPr>
                <w:color w:val="FFFFFF" w:themeColor="background1"/>
                <w:szCs w:val="20"/>
              </w:rPr>
            </w:pPr>
            <w:r w:rsidRPr="002F7D31">
              <w:rPr>
                <w:color w:val="FFFFFF" w:themeColor="background1"/>
                <w:szCs w:val="20"/>
              </w:rPr>
              <w:t xml:space="preserve">Mls </w:t>
            </w:r>
          </w:p>
        </w:tc>
        <w:tc>
          <w:tcPr>
            <w:tcW w:w="1654" w:type="dxa"/>
            <w:tcBorders>
              <w:top w:val="single" w:sz="4" w:space="0" w:color="auto"/>
              <w:left w:val="nil"/>
              <w:bottom w:val="single" w:sz="4" w:space="0" w:color="auto"/>
              <w:right w:val="single" w:sz="4" w:space="0" w:color="auto"/>
            </w:tcBorders>
            <w:shd w:val="clear" w:color="auto" w:fill="C00000"/>
            <w:vAlign w:val="bottom"/>
            <w:hideMark/>
          </w:tcPr>
          <w:p w14:paraId="67D93BDB" w14:textId="77777777" w:rsidR="00915259" w:rsidRPr="002F7D31" w:rsidRDefault="00915259" w:rsidP="009E29A7">
            <w:pPr>
              <w:spacing w:before="0" w:after="0" w:line="360" w:lineRule="auto"/>
              <w:rPr>
                <w:color w:val="FFFFFF" w:themeColor="background1"/>
                <w:szCs w:val="20"/>
              </w:rPr>
            </w:pPr>
            <w:r w:rsidRPr="002F7D31">
              <w:rPr>
                <w:color w:val="FFFFFF" w:themeColor="background1"/>
                <w:szCs w:val="20"/>
              </w:rPr>
              <w:t>Mls remaining</w:t>
            </w:r>
          </w:p>
        </w:tc>
      </w:tr>
      <w:tr w:rsidR="00915259" w:rsidRPr="00ED17DA" w14:paraId="66E24430" w14:textId="77777777" w:rsidTr="009E29A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14:paraId="33641382" w14:textId="77777777" w:rsidR="00915259" w:rsidRPr="00ED17DA" w:rsidRDefault="00915259" w:rsidP="009E29A7">
            <w:pPr>
              <w:spacing w:before="0" w:after="0" w:line="360" w:lineRule="auto"/>
              <w:rPr>
                <w:szCs w:val="20"/>
              </w:rPr>
            </w:pPr>
            <w:r w:rsidRPr="00ED17DA">
              <w:rPr>
                <w:szCs w:val="20"/>
              </w:rPr>
              <w:t>Starting</w:t>
            </w:r>
          </w:p>
        </w:tc>
        <w:tc>
          <w:tcPr>
            <w:tcW w:w="1351" w:type="dxa"/>
            <w:tcBorders>
              <w:top w:val="nil"/>
              <w:left w:val="nil"/>
              <w:bottom w:val="single" w:sz="4" w:space="0" w:color="auto"/>
              <w:right w:val="single" w:sz="4" w:space="0" w:color="auto"/>
            </w:tcBorders>
            <w:shd w:val="clear" w:color="auto" w:fill="auto"/>
            <w:noWrap/>
            <w:vAlign w:val="bottom"/>
            <w:hideMark/>
          </w:tcPr>
          <w:p w14:paraId="214D3DA4" w14:textId="77777777" w:rsidR="00915259" w:rsidRPr="00ED17DA" w:rsidRDefault="00915259" w:rsidP="009E29A7">
            <w:pPr>
              <w:spacing w:before="0" w:after="0" w:line="360" w:lineRule="auto"/>
              <w:rPr>
                <w:szCs w:val="20"/>
              </w:rPr>
            </w:pPr>
            <w:r w:rsidRPr="00ED17DA">
              <w:rPr>
                <w:szCs w:val="20"/>
              </w:rPr>
              <w:t>0</w:t>
            </w:r>
          </w:p>
        </w:tc>
        <w:tc>
          <w:tcPr>
            <w:tcW w:w="673" w:type="dxa"/>
            <w:tcBorders>
              <w:top w:val="nil"/>
              <w:left w:val="nil"/>
              <w:bottom w:val="single" w:sz="4" w:space="0" w:color="auto"/>
              <w:right w:val="single" w:sz="4" w:space="0" w:color="auto"/>
            </w:tcBorders>
            <w:shd w:val="clear" w:color="auto" w:fill="auto"/>
            <w:noWrap/>
            <w:vAlign w:val="bottom"/>
            <w:hideMark/>
          </w:tcPr>
          <w:p w14:paraId="2B428722" w14:textId="77777777" w:rsidR="00915259" w:rsidRPr="00ED17DA" w:rsidRDefault="00915259" w:rsidP="009E29A7">
            <w:pPr>
              <w:spacing w:before="0" w:after="0" w:line="360" w:lineRule="auto"/>
              <w:rPr>
                <w:szCs w:val="20"/>
              </w:rPr>
            </w:pPr>
            <w:r w:rsidRPr="00ED17DA">
              <w:rPr>
                <w:szCs w:val="20"/>
              </w:rPr>
              <w:t>0</w:t>
            </w:r>
          </w:p>
        </w:tc>
        <w:tc>
          <w:tcPr>
            <w:tcW w:w="1654" w:type="dxa"/>
            <w:tcBorders>
              <w:top w:val="nil"/>
              <w:left w:val="nil"/>
              <w:bottom w:val="single" w:sz="4" w:space="0" w:color="auto"/>
              <w:right w:val="single" w:sz="4" w:space="0" w:color="auto"/>
            </w:tcBorders>
            <w:shd w:val="clear" w:color="auto" w:fill="auto"/>
            <w:noWrap/>
            <w:vAlign w:val="bottom"/>
            <w:hideMark/>
          </w:tcPr>
          <w:p w14:paraId="3246F2ED" w14:textId="77777777" w:rsidR="00915259" w:rsidRPr="00ED17DA" w:rsidRDefault="00915259" w:rsidP="009E29A7">
            <w:pPr>
              <w:spacing w:before="0" w:after="0" w:line="360" w:lineRule="auto"/>
              <w:rPr>
                <w:szCs w:val="20"/>
              </w:rPr>
            </w:pPr>
            <w:r>
              <w:rPr>
                <w:szCs w:val="20"/>
              </w:rPr>
              <w:t>40</w:t>
            </w:r>
          </w:p>
        </w:tc>
      </w:tr>
      <w:tr w:rsidR="00915259" w:rsidRPr="00ED17DA" w14:paraId="7AD97C9C" w14:textId="77777777" w:rsidTr="009E29A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14:paraId="115EDA54" w14:textId="77777777" w:rsidR="00915259" w:rsidRPr="00ED17DA" w:rsidRDefault="00915259" w:rsidP="009E29A7">
            <w:pPr>
              <w:spacing w:before="0" w:after="0" w:line="360" w:lineRule="auto"/>
              <w:rPr>
                <w:szCs w:val="20"/>
              </w:rPr>
            </w:pPr>
            <w:r w:rsidRPr="00ED17DA">
              <w:rPr>
                <w:szCs w:val="20"/>
              </w:rPr>
              <w:t>15</w:t>
            </w:r>
          </w:p>
        </w:tc>
        <w:tc>
          <w:tcPr>
            <w:tcW w:w="1351" w:type="dxa"/>
            <w:tcBorders>
              <w:top w:val="nil"/>
              <w:left w:val="nil"/>
              <w:bottom w:val="single" w:sz="4" w:space="0" w:color="auto"/>
              <w:right w:val="single" w:sz="4" w:space="0" w:color="auto"/>
            </w:tcBorders>
            <w:shd w:val="clear" w:color="auto" w:fill="auto"/>
            <w:noWrap/>
            <w:vAlign w:val="bottom"/>
            <w:hideMark/>
          </w:tcPr>
          <w:p w14:paraId="7EEA89C6" w14:textId="77777777" w:rsidR="00915259" w:rsidRPr="00ED17DA" w:rsidRDefault="00915259" w:rsidP="009E29A7">
            <w:pPr>
              <w:spacing w:before="0" w:after="0" w:line="360" w:lineRule="auto"/>
              <w:rPr>
                <w:szCs w:val="20"/>
              </w:rPr>
            </w:pPr>
            <w:r>
              <w:rPr>
                <w:szCs w:val="20"/>
              </w:rPr>
              <w:t>0.25</w:t>
            </w:r>
          </w:p>
        </w:tc>
        <w:tc>
          <w:tcPr>
            <w:tcW w:w="673" w:type="dxa"/>
            <w:tcBorders>
              <w:top w:val="nil"/>
              <w:left w:val="nil"/>
              <w:bottom w:val="single" w:sz="4" w:space="0" w:color="auto"/>
              <w:right w:val="single" w:sz="4" w:space="0" w:color="auto"/>
            </w:tcBorders>
            <w:shd w:val="clear" w:color="auto" w:fill="auto"/>
            <w:noWrap/>
            <w:vAlign w:val="bottom"/>
            <w:hideMark/>
          </w:tcPr>
          <w:p w14:paraId="06B47927" w14:textId="77777777" w:rsidR="00915259" w:rsidRPr="00ED17DA" w:rsidRDefault="00915259" w:rsidP="009E29A7">
            <w:pPr>
              <w:spacing w:before="0" w:after="0" w:line="360" w:lineRule="auto"/>
              <w:rPr>
                <w:szCs w:val="20"/>
              </w:rPr>
            </w:pPr>
            <w:r>
              <w:rPr>
                <w:szCs w:val="20"/>
              </w:rPr>
              <w:t>3.75</w:t>
            </w:r>
          </w:p>
        </w:tc>
        <w:tc>
          <w:tcPr>
            <w:tcW w:w="1654" w:type="dxa"/>
            <w:tcBorders>
              <w:top w:val="nil"/>
              <w:left w:val="nil"/>
              <w:bottom w:val="single" w:sz="4" w:space="0" w:color="auto"/>
              <w:right w:val="single" w:sz="4" w:space="0" w:color="auto"/>
            </w:tcBorders>
            <w:shd w:val="clear" w:color="auto" w:fill="auto"/>
            <w:noWrap/>
            <w:vAlign w:val="bottom"/>
            <w:hideMark/>
          </w:tcPr>
          <w:p w14:paraId="54988956" w14:textId="77777777" w:rsidR="00915259" w:rsidRPr="00ED17DA" w:rsidRDefault="00915259" w:rsidP="009E29A7">
            <w:pPr>
              <w:spacing w:before="0" w:after="0" w:line="360" w:lineRule="auto"/>
              <w:rPr>
                <w:szCs w:val="20"/>
              </w:rPr>
            </w:pPr>
            <w:r>
              <w:rPr>
                <w:szCs w:val="20"/>
              </w:rPr>
              <w:t>36.25</w:t>
            </w:r>
          </w:p>
        </w:tc>
      </w:tr>
      <w:tr w:rsidR="00915259" w:rsidRPr="00ED17DA" w14:paraId="71AA0A8D" w14:textId="77777777" w:rsidTr="009E29A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14:paraId="048E5ABF" w14:textId="77777777" w:rsidR="00915259" w:rsidRPr="00ED17DA" w:rsidRDefault="00915259" w:rsidP="009E29A7">
            <w:pPr>
              <w:spacing w:before="0" w:after="0" w:line="360" w:lineRule="auto"/>
              <w:rPr>
                <w:szCs w:val="20"/>
              </w:rPr>
            </w:pPr>
            <w:r w:rsidRPr="00ED17DA">
              <w:rPr>
                <w:szCs w:val="20"/>
              </w:rPr>
              <w:t>15</w:t>
            </w:r>
          </w:p>
        </w:tc>
        <w:tc>
          <w:tcPr>
            <w:tcW w:w="1351" w:type="dxa"/>
            <w:tcBorders>
              <w:top w:val="nil"/>
              <w:left w:val="nil"/>
              <w:bottom w:val="single" w:sz="4" w:space="0" w:color="auto"/>
              <w:right w:val="single" w:sz="4" w:space="0" w:color="auto"/>
            </w:tcBorders>
            <w:shd w:val="clear" w:color="auto" w:fill="auto"/>
            <w:noWrap/>
            <w:vAlign w:val="bottom"/>
            <w:hideMark/>
          </w:tcPr>
          <w:p w14:paraId="643BFE6B" w14:textId="77777777" w:rsidR="00915259" w:rsidRPr="00ED17DA" w:rsidRDefault="00915259" w:rsidP="009E29A7">
            <w:pPr>
              <w:spacing w:before="0" w:after="0" w:line="360" w:lineRule="auto"/>
              <w:rPr>
                <w:szCs w:val="20"/>
              </w:rPr>
            </w:pPr>
            <w:r>
              <w:rPr>
                <w:szCs w:val="20"/>
              </w:rPr>
              <w:t>0.3</w:t>
            </w:r>
          </w:p>
        </w:tc>
        <w:tc>
          <w:tcPr>
            <w:tcW w:w="673" w:type="dxa"/>
            <w:tcBorders>
              <w:top w:val="nil"/>
              <w:left w:val="nil"/>
              <w:bottom w:val="single" w:sz="4" w:space="0" w:color="auto"/>
              <w:right w:val="single" w:sz="4" w:space="0" w:color="auto"/>
            </w:tcBorders>
            <w:shd w:val="clear" w:color="auto" w:fill="auto"/>
            <w:noWrap/>
            <w:vAlign w:val="bottom"/>
            <w:hideMark/>
          </w:tcPr>
          <w:p w14:paraId="6C9C2F14" w14:textId="77777777" w:rsidR="00915259" w:rsidRPr="00ED17DA" w:rsidRDefault="00915259" w:rsidP="009E29A7">
            <w:pPr>
              <w:spacing w:before="0" w:after="0" w:line="360" w:lineRule="auto"/>
              <w:rPr>
                <w:szCs w:val="20"/>
              </w:rPr>
            </w:pPr>
            <w:r w:rsidRPr="00ED17DA">
              <w:rPr>
                <w:szCs w:val="20"/>
              </w:rPr>
              <w:t>4</w:t>
            </w:r>
            <w:r>
              <w:rPr>
                <w:szCs w:val="20"/>
              </w:rPr>
              <w:t>.</w:t>
            </w:r>
            <w:r w:rsidRPr="00ED17DA">
              <w:rPr>
                <w:szCs w:val="20"/>
              </w:rPr>
              <w:t>5</w:t>
            </w:r>
          </w:p>
        </w:tc>
        <w:tc>
          <w:tcPr>
            <w:tcW w:w="1654" w:type="dxa"/>
            <w:tcBorders>
              <w:top w:val="nil"/>
              <w:left w:val="nil"/>
              <w:bottom w:val="single" w:sz="4" w:space="0" w:color="auto"/>
              <w:right w:val="single" w:sz="4" w:space="0" w:color="auto"/>
            </w:tcBorders>
            <w:shd w:val="clear" w:color="auto" w:fill="auto"/>
            <w:noWrap/>
            <w:vAlign w:val="bottom"/>
            <w:hideMark/>
          </w:tcPr>
          <w:p w14:paraId="3EC6F4CC" w14:textId="77777777" w:rsidR="00915259" w:rsidRPr="00ED17DA" w:rsidRDefault="00915259" w:rsidP="009E29A7">
            <w:pPr>
              <w:spacing w:before="0" w:after="0" w:line="360" w:lineRule="auto"/>
              <w:rPr>
                <w:szCs w:val="20"/>
              </w:rPr>
            </w:pPr>
            <w:r>
              <w:rPr>
                <w:szCs w:val="20"/>
              </w:rPr>
              <w:t>31.75</w:t>
            </w:r>
          </w:p>
        </w:tc>
      </w:tr>
      <w:tr w:rsidR="00915259" w:rsidRPr="00ED17DA" w14:paraId="2F82FC1D" w14:textId="77777777" w:rsidTr="009E29A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14:paraId="2363B843" w14:textId="77777777" w:rsidR="00915259" w:rsidRPr="00ED17DA" w:rsidRDefault="00915259" w:rsidP="009E29A7">
            <w:pPr>
              <w:spacing w:before="0" w:after="0" w:line="360" w:lineRule="auto"/>
              <w:rPr>
                <w:szCs w:val="20"/>
              </w:rPr>
            </w:pPr>
            <w:r w:rsidRPr="00ED17DA">
              <w:rPr>
                <w:szCs w:val="20"/>
              </w:rPr>
              <w:t>15</w:t>
            </w:r>
          </w:p>
        </w:tc>
        <w:tc>
          <w:tcPr>
            <w:tcW w:w="1351" w:type="dxa"/>
            <w:tcBorders>
              <w:top w:val="nil"/>
              <w:left w:val="nil"/>
              <w:bottom w:val="single" w:sz="4" w:space="0" w:color="auto"/>
              <w:right w:val="single" w:sz="4" w:space="0" w:color="auto"/>
            </w:tcBorders>
            <w:shd w:val="clear" w:color="auto" w:fill="auto"/>
            <w:noWrap/>
            <w:vAlign w:val="bottom"/>
            <w:hideMark/>
          </w:tcPr>
          <w:p w14:paraId="43A0B1B0" w14:textId="77777777" w:rsidR="00915259" w:rsidRPr="00ED17DA" w:rsidRDefault="00915259" w:rsidP="009E29A7">
            <w:pPr>
              <w:spacing w:before="0" w:after="0" w:line="360" w:lineRule="auto"/>
              <w:rPr>
                <w:szCs w:val="20"/>
              </w:rPr>
            </w:pPr>
            <w:r>
              <w:rPr>
                <w:szCs w:val="20"/>
              </w:rPr>
              <w:t>0.35</w:t>
            </w:r>
          </w:p>
        </w:tc>
        <w:tc>
          <w:tcPr>
            <w:tcW w:w="673" w:type="dxa"/>
            <w:tcBorders>
              <w:top w:val="nil"/>
              <w:left w:val="nil"/>
              <w:bottom w:val="single" w:sz="4" w:space="0" w:color="auto"/>
              <w:right w:val="single" w:sz="4" w:space="0" w:color="auto"/>
            </w:tcBorders>
            <w:shd w:val="clear" w:color="auto" w:fill="auto"/>
            <w:noWrap/>
            <w:vAlign w:val="bottom"/>
            <w:hideMark/>
          </w:tcPr>
          <w:p w14:paraId="06CD947E" w14:textId="77777777" w:rsidR="00915259" w:rsidRPr="00ED17DA" w:rsidRDefault="00915259" w:rsidP="009E29A7">
            <w:pPr>
              <w:spacing w:before="0" w:after="0" w:line="360" w:lineRule="auto"/>
              <w:rPr>
                <w:szCs w:val="20"/>
              </w:rPr>
            </w:pPr>
            <w:r>
              <w:rPr>
                <w:szCs w:val="20"/>
              </w:rPr>
              <w:t>5.25</w:t>
            </w:r>
          </w:p>
        </w:tc>
        <w:tc>
          <w:tcPr>
            <w:tcW w:w="1654" w:type="dxa"/>
            <w:tcBorders>
              <w:top w:val="nil"/>
              <w:left w:val="nil"/>
              <w:bottom w:val="single" w:sz="4" w:space="0" w:color="auto"/>
              <w:right w:val="single" w:sz="4" w:space="0" w:color="auto"/>
            </w:tcBorders>
            <w:shd w:val="clear" w:color="auto" w:fill="auto"/>
            <w:noWrap/>
            <w:vAlign w:val="bottom"/>
            <w:hideMark/>
          </w:tcPr>
          <w:p w14:paraId="17C65A4D" w14:textId="77777777" w:rsidR="00915259" w:rsidRPr="00ED17DA" w:rsidRDefault="00915259" w:rsidP="009E29A7">
            <w:pPr>
              <w:spacing w:before="0" w:after="0" w:line="360" w:lineRule="auto"/>
              <w:rPr>
                <w:szCs w:val="20"/>
              </w:rPr>
            </w:pPr>
            <w:r>
              <w:rPr>
                <w:szCs w:val="20"/>
              </w:rPr>
              <w:t>26.5</w:t>
            </w:r>
          </w:p>
        </w:tc>
      </w:tr>
      <w:tr w:rsidR="00915259" w:rsidRPr="00ED17DA" w14:paraId="40184D32" w14:textId="77777777" w:rsidTr="009E29A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14:paraId="4F0EAA98" w14:textId="77777777" w:rsidR="00915259" w:rsidRPr="00ED17DA" w:rsidRDefault="00915259" w:rsidP="009E29A7">
            <w:pPr>
              <w:spacing w:before="0" w:after="0" w:line="360" w:lineRule="auto"/>
              <w:rPr>
                <w:szCs w:val="20"/>
              </w:rPr>
            </w:pPr>
            <w:r w:rsidRPr="00ED17DA">
              <w:rPr>
                <w:szCs w:val="20"/>
              </w:rPr>
              <w:t>15</w:t>
            </w:r>
          </w:p>
        </w:tc>
        <w:tc>
          <w:tcPr>
            <w:tcW w:w="1351" w:type="dxa"/>
            <w:tcBorders>
              <w:top w:val="nil"/>
              <w:left w:val="nil"/>
              <w:bottom w:val="single" w:sz="4" w:space="0" w:color="auto"/>
              <w:right w:val="single" w:sz="4" w:space="0" w:color="auto"/>
            </w:tcBorders>
            <w:shd w:val="clear" w:color="auto" w:fill="auto"/>
            <w:noWrap/>
            <w:vAlign w:val="bottom"/>
            <w:hideMark/>
          </w:tcPr>
          <w:p w14:paraId="00B35CB1" w14:textId="77777777" w:rsidR="00915259" w:rsidRPr="00ED17DA" w:rsidRDefault="00915259" w:rsidP="009E29A7">
            <w:pPr>
              <w:spacing w:before="0" w:after="0" w:line="360" w:lineRule="auto"/>
              <w:rPr>
                <w:szCs w:val="20"/>
              </w:rPr>
            </w:pPr>
            <w:r>
              <w:rPr>
                <w:szCs w:val="20"/>
              </w:rPr>
              <w:t>0.42</w:t>
            </w:r>
          </w:p>
        </w:tc>
        <w:tc>
          <w:tcPr>
            <w:tcW w:w="673" w:type="dxa"/>
            <w:tcBorders>
              <w:top w:val="nil"/>
              <w:left w:val="nil"/>
              <w:bottom w:val="single" w:sz="4" w:space="0" w:color="auto"/>
              <w:right w:val="single" w:sz="4" w:space="0" w:color="auto"/>
            </w:tcBorders>
            <w:shd w:val="clear" w:color="auto" w:fill="auto"/>
            <w:noWrap/>
            <w:vAlign w:val="bottom"/>
            <w:hideMark/>
          </w:tcPr>
          <w:p w14:paraId="7BF7B31C" w14:textId="77777777" w:rsidR="00915259" w:rsidRPr="00ED17DA" w:rsidRDefault="00915259" w:rsidP="009E29A7">
            <w:pPr>
              <w:spacing w:before="0" w:after="0" w:line="360" w:lineRule="auto"/>
              <w:rPr>
                <w:szCs w:val="20"/>
              </w:rPr>
            </w:pPr>
            <w:r>
              <w:rPr>
                <w:szCs w:val="20"/>
              </w:rPr>
              <w:t>6.3</w:t>
            </w:r>
          </w:p>
        </w:tc>
        <w:tc>
          <w:tcPr>
            <w:tcW w:w="1654" w:type="dxa"/>
            <w:tcBorders>
              <w:top w:val="nil"/>
              <w:left w:val="nil"/>
              <w:bottom w:val="single" w:sz="4" w:space="0" w:color="auto"/>
              <w:right w:val="single" w:sz="4" w:space="0" w:color="auto"/>
            </w:tcBorders>
            <w:shd w:val="clear" w:color="auto" w:fill="auto"/>
            <w:noWrap/>
            <w:vAlign w:val="bottom"/>
            <w:hideMark/>
          </w:tcPr>
          <w:p w14:paraId="689F3DF2" w14:textId="77777777" w:rsidR="00915259" w:rsidRPr="00ED17DA" w:rsidRDefault="00915259" w:rsidP="009E29A7">
            <w:pPr>
              <w:spacing w:before="0" w:after="0" w:line="360" w:lineRule="auto"/>
              <w:rPr>
                <w:szCs w:val="20"/>
              </w:rPr>
            </w:pPr>
            <w:r>
              <w:rPr>
                <w:szCs w:val="20"/>
              </w:rPr>
              <w:t>20.2</w:t>
            </w:r>
          </w:p>
        </w:tc>
      </w:tr>
      <w:tr w:rsidR="00915259" w:rsidRPr="00ED17DA" w14:paraId="609A1586" w14:textId="77777777" w:rsidTr="009E29A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14:paraId="7F5660A9" w14:textId="77777777" w:rsidR="00915259" w:rsidRPr="00ED17DA" w:rsidRDefault="00915259" w:rsidP="009E29A7">
            <w:pPr>
              <w:spacing w:before="0" w:after="0" w:line="360" w:lineRule="auto"/>
              <w:rPr>
                <w:szCs w:val="20"/>
              </w:rPr>
            </w:pPr>
            <w:r w:rsidRPr="00ED17DA">
              <w:rPr>
                <w:szCs w:val="20"/>
              </w:rPr>
              <w:t>15</w:t>
            </w:r>
          </w:p>
        </w:tc>
        <w:tc>
          <w:tcPr>
            <w:tcW w:w="1351" w:type="dxa"/>
            <w:tcBorders>
              <w:top w:val="nil"/>
              <w:left w:val="nil"/>
              <w:bottom w:val="single" w:sz="4" w:space="0" w:color="auto"/>
              <w:right w:val="single" w:sz="4" w:space="0" w:color="auto"/>
            </w:tcBorders>
            <w:shd w:val="clear" w:color="auto" w:fill="auto"/>
            <w:noWrap/>
            <w:vAlign w:val="bottom"/>
            <w:hideMark/>
          </w:tcPr>
          <w:p w14:paraId="2FC72A02" w14:textId="77777777" w:rsidR="00915259" w:rsidRPr="00ED17DA" w:rsidRDefault="00915259" w:rsidP="009E29A7">
            <w:pPr>
              <w:spacing w:before="0" w:after="0" w:line="360" w:lineRule="auto"/>
              <w:rPr>
                <w:szCs w:val="20"/>
              </w:rPr>
            </w:pPr>
            <w:r>
              <w:rPr>
                <w:szCs w:val="20"/>
              </w:rPr>
              <w:t>0.42</w:t>
            </w:r>
          </w:p>
        </w:tc>
        <w:tc>
          <w:tcPr>
            <w:tcW w:w="673" w:type="dxa"/>
            <w:tcBorders>
              <w:top w:val="nil"/>
              <w:left w:val="nil"/>
              <w:bottom w:val="single" w:sz="4" w:space="0" w:color="auto"/>
              <w:right w:val="single" w:sz="4" w:space="0" w:color="auto"/>
            </w:tcBorders>
            <w:shd w:val="clear" w:color="auto" w:fill="auto"/>
            <w:noWrap/>
            <w:vAlign w:val="bottom"/>
            <w:hideMark/>
          </w:tcPr>
          <w:p w14:paraId="06A356E3" w14:textId="77777777" w:rsidR="00915259" w:rsidRPr="00ED17DA" w:rsidRDefault="00915259" w:rsidP="009E29A7">
            <w:pPr>
              <w:spacing w:before="0" w:after="0" w:line="360" w:lineRule="auto"/>
              <w:rPr>
                <w:szCs w:val="20"/>
              </w:rPr>
            </w:pPr>
            <w:r>
              <w:rPr>
                <w:szCs w:val="20"/>
              </w:rPr>
              <w:t>6.3</w:t>
            </w:r>
          </w:p>
        </w:tc>
        <w:tc>
          <w:tcPr>
            <w:tcW w:w="1654" w:type="dxa"/>
            <w:tcBorders>
              <w:top w:val="nil"/>
              <w:left w:val="nil"/>
              <w:bottom w:val="single" w:sz="4" w:space="0" w:color="auto"/>
              <w:right w:val="single" w:sz="4" w:space="0" w:color="auto"/>
            </w:tcBorders>
            <w:shd w:val="clear" w:color="auto" w:fill="auto"/>
            <w:noWrap/>
            <w:vAlign w:val="bottom"/>
            <w:hideMark/>
          </w:tcPr>
          <w:p w14:paraId="4348F2DE" w14:textId="77777777" w:rsidR="00915259" w:rsidRPr="00ED17DA" w:rsidRDefault="00915259" w:rsidP="009E29A7">
            <w:pPr>
              <w:spacing w:before="0" w:after="0" w:line="360" w:lineRule="auto"/>
              <w:rPr>
                <w:szCs w:val="20"/>
              </w:rPr>
            </w:pPr>
            <w:r>
              <w:rPr>
                <w:szCs w:val="20"/>
              </w:rPr>
              <w:t>13.9</w:t>
            </w:r>
          </w:p>
        </w:tc>
      </w:tr>
      <w:tr w:rsidR="00915259" w:rsidRPr="00ED17DA" w14:paraId="21A91673" w14:textId="77777777" w:rsidTr="009E29A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14:paraId="12389E95" w14:textId="77777777" w:rsidR="00915259" w:rsidRPr="00ED17DA" w:rsidRDefault="00915259" w:rsidP="009E29A7">
            <w:pPr>
              <w:spacing w:before="0" w:after="0" w:line="360" w:lineRule="auto"/>
              <w:rPr>
                <w:szCs w:val="20"/>
              </w:rPr>
            </w:pPr>
            <w:r w:rsidRPr="00ED17DA">
              <w:rPr>
                <w:szCs w:val="20"/>
              </w:rPr>
              <w:t>15</w:t>
            </w:r>
          </w:p>
        </w:tc>
        <w:tc>
          <w:tcPr>
            <w:tcW w:w="1351" w:type="dxa"/>
            <w:tcBorders>
              <w:top w:val="nil"/>
              <w:left w:val="nil"/>
              <w:bottom w:val="single" w:sz="4" w:space="0" w:color="auto"/>
              <w:right w:val="single" w:sz="4" w:space="0" w:color="auto"/>
            </w:tcBorders>
            <w:shd w:val="clear" w:color="auto" w:fill="auto"/>
            <w:noWrap/>
            <w:vAlign w:val="bottom"/>
            <w:hideMark/>
          </w:tcPr>
          <w:p w14:paraId="212878FF" w14:textId="77777777" w:rsidR="00915259" w:rsidRPr="00ED17DA" w:rsidRDefault="00915259" w:rsidP="009E29A7">
            <w:pPr>
              <w:spacing w:before="0" w:after="0" w:line="360" w:lineRule="auto"/>
              <w:rPr>
                <w:szCs w:val="20"/>
              </w:rPr>
            </w:pPr>
            <w:r>
              <w:rPr>
                <w:szCs w:val="20"/>
              </w:rPr>
              <w:t>0.42</w:t>
            </w:r>
          </w:p>
        </w:tc>
        <w:tc>
          <w:tcPr>
            <w:tcW w:w="673" w:type="dxa"/>
            <w:tcBorders>
              <w:top w:val="nil"/>
              <w:left w:val="nil"/>
              <w:bottom w:val="single" w:sz="4" w:space="0" w:color="auto"/>
              <w:right w:val="single" w:sz="4" w:space="0" w:color="auto"/>
            </w:tcBorders>
            <w:shd w:val="clear" w:color="auto" w:fill="auto"/>
            <w:noWrap/>
            <w:vAlign w:val="bottom"/>
            <w:hideMark/>
          </w:tcPr>
          <w:p w14:paraId="28B69153" w14:textId="77777777" w:rsidR="00915259" w:rsidRPr="00ED17DA" w:rsidRDefault="00915259" w:rsidP="009E29A7">
            <w:pPr>
              <w:spacing w:before="0" w:after="0" w:line="360" w:lineRule="auto"/>
              <w:rPr>
                <w:szCs w:val="20"/>
              </w:rPr>
            </w:pPr>
            <w:r>
              <w:rPr>
                <w:szCs w:val="20"/>
              </w:rPr>
              <w:t>6.3</w:t>
            </w:r>
          </w:p>
        </w:tc>
        <w:tc>
          <w:tcPr>
            <w:tcW w:w="1654" w:type="dxa"/>
            <w:tcBorders>
              <w:top w:val="nil"/>
              <w:left w:val="nil"/>
              <w:bottom w:val="single" w:sz="4" w:space="0" w:color="auto"/>
              <w:right w:val="single" w:sz="4" w:space="0" w:color="auto"/>
            </w:tcBorders>
            <w:shd w:val="clear" w:color="auto" w:fill="auto"/>
            <w:noWrap/>
            <w:vAlign w:val="bottom"/>
            <w:hideMark/>
          </w:tcPr>
          <w:p w14:paraId="7EF1E9F3" w14:textId="77777777" w:rsidR="00915259" w:rsidRPr="00ED17DA" w:rsidRDefault="00915259" w:rsidP="009E29A7">
            <w:pPr>
              <w:spacing w:before="0" w:after="0" w:line="360" w:lineRule="auto"/>
              <w:rPr>
                <w:szCs w:val="20"/>
              </w:rPr>
            </w:pPr>
            <w:r>
              <w:rPr>
                <w:szCs w:val="20"/>
              </w:rPr>
              <w:t>7.6</w:t>
            </w:r>
          </w:p>
        </w:tc>
      </w:tr>
      <w:tr w:rsidR="00915259" w:rsidRPr="00ED17DA" w14:paraId="188ABFF5" w14:textId="77777777" w:rsidTr="009E29A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14:paraId="6ECF0753" w14:textId="77777777" w:rsidR="00915259" w:rsidRPr="00ED17DA" w:rsidRDefault="00915259" w:rsidP="009E29A7">
            <w:pPr>
              <w:spacing w:before="0" w:after="0" w:line="360" w:lineRule="auto"/>
              <w:rPr>
                <w:szCs w:val="20"/>
              </w:rPr>
            </w:pPr>
            <w:r>
              <w:rPr>
                <w:szCs w:val="20"/>
              </w:rPr>
              <w:t>18</w:t>
            </w:r>
          </w:p>
        </w:tc>
        <w:tc>
          <w:tcPr>
            <w:tcW w:w="1351" w:type="dxa"/>
            <w:tcBorders>
              <w:top w:val="nil"/>
              <w:left w:val="nil"/>
              <w:bottom w:val="single" w:sz="4" w:space="0" w:color="auto"/>
              <w:right w:val="single" w:sz="4" w:space="0" w:color="auto"/>
            </w:tcBorders>
            <w:shd w:val="clear" w:color="auto" w:fill="auto"/>
            <w:noWrap/>
            <w:vAlign w:val="bottom"/>
            <w:hideMark/>
          </w:tcPr>
          <w:p w14:paraId="1758FB48" w14:textId="77777777" w:rsidR="00915259" w:rsidRPr="00ED17DA" w:rsidRDefault="00915259" w:rsidP="009E29A7">
            <w:pPr>
              <w:spacing w:before="0" w:after="0" w:line="360" w:lineRule="auto"/>
              <w:rPr>
                <w:szCs w:val="20"/>
              </w:rPr>
            </w:pPr>
            <w:r>
              <w:rPr>
                <w:szCs w:val="20"/>
              </w:rPr>
              <w:t>0.42</w:t>
            </w:r>
          </w:p>
        </w:tc>
        <w:tc>
          <w:tcPr>
            <w:tcW w:w="673" w:type="dxa"/>
            <w:tcBorders>
              <w:top w:val="nil"/>
              <w:left w:val="nil"/>
              <w:bottom w:val="single" w:sz="4" w:space="0" w:color="auto"/>
              <w:right w:val="single" w:sz="4" w:space="0" w:color="auto"/>
            </w:tcBorders>
            <w:shd w:val="clear" w:color="auto" w:fill="auto"/>
            <w:noWrap/>
            <w:vAlign w:val="bottom"/>
            <w:hideMark/>
          </w:tcPr>
          <w:p w14:paraId="4BACC402" w14:textId="77777777" w:rsidR="00915259" w:rsidRPr="00ED17DA" w:rsidRDefault="00915259" w:rsidP="009E29A7">
            <w:pPr>
              <w:spacing w:before="0" w:after="0" w:line="360" w:lineRule="auto"/>
              <w:rPr>
                <w:szCs w:val="20"/>
              </w:rPr>
            </w:pPr>
            <w:r>
              <w:rPr>
                <w:szCs w:val="20"/>
              </w:rPr>
              <w:t>6.3</w:t>
            </w:r>
          </w:p>
        </w:tc>
        <w:tc>
          <w:tcPr>
            <w:tcW w:w="1654" w:type="dxa"/>
            <w:tcBorders>
              <w:top w:val="nil"/>
              <w:left w:val="nil"/>
              <w:bottom w:val="single" w:sz="4" w:space="0" w:color="auto"/>
              <w:right w:val="single" w:sz="4" w:space="0" w:color="auto"/>
            </w:tcBorders>
            <w:shd w:val="clear" w:color="auto" w:fill="auto"/>
            <w:noWrap/>
            <w:vAlign w:val="bottom"/>
            <w:hideMark/>
          </w:tcPr>
          <w:p w14:paraId="3DE86C2D" w14:textId="77777777" w:rsidR="00915259" w:rsidRPr="00ED17DA" w:rsidRDefault="00915259" w:rsidP="009E29A7">
            <w:pPr>
              <w:spacing w:before="0" w:after="0" w:line="360" w:lineRule="auto"/>
              <w:rPr>
                <w:szCs w:val="20"/>
              </w:rPr>
            </w:pPr>
            <w:r>
              <w:rPr>
                <w:szCs w:val="20"/>
              </w:rPr>
              <w:t>0</w:t>
            </w:r>
          </w:p>
        </w:tc>
      </w:tr>
    </w:tbl>
    <w:p w14:paraId="0A36BB34" w14:textId="11098254" w:rsidR="009E29A7" w:rsidRDefault="009E29A7" w:rsidP="009E29A7"/>
    <w:p w14:paraId="34D98C16" w14:textId="77777777" w:rsidR="009E29A7" w:rsidRDefault="009E29A7">
      <w:pPr>
        <w:spacing w:before="0" w:after="200" w:line="276" w:lineRule="auto"/>
      </w:pPr>
      <w:r>
        <w:br w:type="page"/>
      </w:r>
    </w:p>
    <w:p w14:paraId="3D6DFC9F" w14:textId="636B1633" w:rsidR="006B1B49" w:rsidRPr="009466C0" w:rsidRDefault="006B1B49" w:rsidP="00A876CA">
      <w:pPr>
        <w:pStyle w:val="Heading2"/>
        <w:shd w:val="clear" w:color="auto" w:fill="D9D9D9" w:themeFill="background1" w:themeFillShade="D9"/>
        <w:tabs>
          <w:tab w:val="left" w:pos="284"/>
        </w:tabs>
        <w:ind w:left="284" w:hanging="284"/>
      </w:pPr>
      <w:r w:rsidRPr="009466C0">
        <w:t xml:space="preserve">If applicable, are there any limitations on </w:t>
      </w:r>
      <w:r w:rsidR="00DF0C51" w:rsidRPr="009466C0">
        <w:t xml:space="preserve">provision </w:t>
      </w:r>
      <w:r w:rsidRPr="009466C0">
        <w:t>of the</w:t>
      </w:r>
      <w:r w:rsidR="0046275A" w:rsidRPr="009466C0">
        <w:t xml:space="preserve"> </w:t>
      </w:r>
      <w:r w:rsidR="004C21DD" w:rsidRPr="009466C0">
        <w:t xml:space="preserve">various </w:t>
      </w:r>
      <w:r w:rsidR="0046275A" w:rsidRPr="009466C0">
        <w:t>Ig</w:t>
      </w:r>
      <w:r w:rsidRPr="009466C0">
        <w:t xml:space="preserve"> </w:t>
      </w:r>
      <w:r w:rsidR="00F0456F" w:rsidRPr="009466C0">
        <w:t>product</w:t>
      </w:r>
      <w:r w:rsidR="004C4C0B" w:rsidRPr="009466C0">
        <w:t xml:space="preserve"> </w:t>
      </w:r>
      <w:r w:rsidR="00DF0C51" w:rsidRPr="009466C0">
        <w:t xml:space="preserve">to the </w:t>
      </w:r>
      <w:r w:rsidR="004C21DD" w:rsidRPr="009466C0">
        <w:t xml:space="preserve">relevant </w:t>
      </w:r>
      <w:r w:rsidR="00DF0C51" w:rsidRPr="009466C0">
        <w:t>patient</w:t>
      </w:r>
      <w:r w:rsidR="000950C2" w:rsidRPr="009466C0">
        <w:t xml:space="preserve"> groups</w:t>
      </w:r>
      <w:r w:rsidR="00DF0C51" w:rsidRPr="009466C0">
        <w:t xml:space="preserve"> </w:t>
      </w:r>
      <w:r w:rsidR="00F526B0" w:rsidRPr="004D234C">
        <w:t>within the scope of this referral</w:t>
      </w:r>
      <w:r w:rsidR="00F526B0">
        <w:t xml:space="preserve"> </w:t>
      </w:r>
      <w:r w:rsidR="00D30BDC" w:rsidRPr="009466C0">
        <w:t>(</w:t>
      </w:r>
      <w:r w:rsidR="00DF0C51" w:rsidRPr="009466C0">
        <w:t>i</w:t>
      </w:r>
      <w:r w:rsidR="00812EDD" w:rsidRPr="009466C0">
        <w:t>.</w:t>
      </w:r>
      <w:r w:rsidR="00DF0C51" w:rsidRPr="009466C0">
        <w:t xml:space="preserve">e. </w:t>
      </w:r>
      <w:r w:rsidR="00707D4D" w:rsidRPr="009466C0">
        <w:t xml:space="preserve">accessibility, </w:t>
      </w:r>
      <w:r w:rsidR="00DF0C51" w:rsidRPr="009466C0">
        <w:t>dosage, quantity, duration or frequency</w:t>
      </w:r>
      <w:r w:rsidR="00D30BDC" w:rsidRPr="009466C0">
        <w:t>)</w:t>
      </w:r>
      <w:r w:rsidR="00AE1188" w:rsidRPr="009466C0">
        <w:t>:</w:t>
      </w:r>
      <w:r w:rsidR="00897ED9" w:rsidRPr="009466C0">
        <w:t xml:space="preserve"> </w:t>
      </w:r>
    </w:p>
    <w:p w14:paraId="3F814105" w14:textId="77777777" w:rsidR="005F6F69" w:rsidRPr="00CD5200" w:rsidRDefault="005F6F69" w:rsidP="00162108">
      <w:pPr>
        <w:tabs>
          <w:tab w:val="left" w:pos="284"/>
        </w:tabs>
        <w:ind w:left="284" w:hanging="284"/>
      </w:pPr>
      <w:r w:rsidRPr="00CD5200">
        <w:t>In addi</w:t>
      </w:r>
      <w:r w:rsidR="009E3A03" w:rsidRPr="00CD5200">
        <w:t>tion to the ‘Criteria’ outlined</w:t>
      </w:r>
      <w:r w:rsidRPr="00CD5200">
        <w:t xml:space="preserve"> above:</w:t>
      </w:r>
    </w:p>
    <w:p w14:paraId="5CA82DD0" w14:textId="77777777" w:rsidR="005F6F69" w:rsidRPr="00CD5200" w:rsidRDefault="008D75DA" w:rsidP="00996A16">
      <w:pPr>
        <w:pStyle w:val="ListParagraph"/>
        <w:numPr>
          <w:ilvl w:val="0"/>
          <w:numId w:val="2"/>
        </w:numPr>
        <w:tabs>
          <w:tab w:val="left" w:pos="284"/>
        </w:tabs>
        <w:ind w:left="284" w:hanging="284"/>
      </w:pPr>
      <w:r w:rsidRPr="00CD5200">
        <w:t xml:space="preserve">Patients receiving </w:t>
      </w:r>
      <w:r w:rsidR="009E3A03" w:rsidRPr="00CD5200">
        <w:t xml:space="preserve">(or carers administering) </w:t>
      </w:r>
      <w:r w:rsidRPr="00CD5200">
        <w:t>subcutaneous immunoglobulin will require</w:t>
      </w:r>
      <w:r w:rsidR="0021199D" w:rsidRPr="00CD5200">
        <w:t xml:space="preserve"> training and</w:t>
      </w:r>
      <w:r w:rsidRPr="00CD5200">
        <w:t xml:space="preserve"> sufficient aptitude a</w:t>
      </w:r>
      <w:r w:rsidR="009E3A03" w:rsidRPr="00CD5200">
        <w:t xml:space="preserve">nd capability to administer the product </w:t>
      </w:r>
      <w:r w:rsidRPr="00CD5200">
        <w:t xml:space="preserve">at home. </w:t>
      </w:r>
      <w:r w:rsidR="0021199D" w:rsidRPr="00CD5200">
        <w:t xml:space="preserve">SCIg also requires the appropriate infusion equipment as appropriate for the particular product. </w:t>
      </w:r>
      <w:r w:rsidR="00A91C5F" w:rsidRPr="00CD5200">
        <w:t xml:space="preserve"> SCIg programs are not available at all hospitals. This varies depending on the local jurisdiction’s policy, and the local hospital’s capacity. </w:t>
      </w:r>
    </w:p>
    <w:p w14:paraId="3AF26BF7" w14:textId="77777777" w:rsidR="005F6F69" w:rsidRPr="00CD5200" w:rsidRDefault="008D75DA" w:rsidP="00996A16">
      <w:pPr>
        <w:pStyle w:val="ListParagraph"/>
        <w:numPr>
          <w:ilvl w:val="0"/>
          <w:numId w:val="2"/>
        </w:numPr>
        <w:tabs>
          <w:tab w:val="left" w:pos="284"/>
        </w:tabs>
        <w:ind w:left="284" w:hanging="284"/>
      </w:pPr>
      <w:r w:rsidRPr="00CD5200">
        <w:t>IV administration of I</w:t>
      </w:r>
      <w:r w:rsidR="00117BA8" w:rsidRPr="00CD5200">
        <w:t>g requires good venous access and availability of</w:t>
      </w:r>
      <w:r w:rsidRPr="00CD5200">
        <w:t xml:space="preserve"> a day hospital with IV infusion facilities. </w:t>
      </w:r>
    </w:p>
    <w:p w14:paraId="0124AFB0" w14:textId="293F3E0D" w:rsidR="00117BA8" w:rsidRPr="00CD5200" w:rsidRDefault="00117BA8" w:rsidP="00996A16">
      <w:pPr>
        <w:pStyle w:val="ListParagraph"/>
        <w:numPr>
          <w:ilvl w:val="0"/>
          <w:numId w:val="2"/>
        </w:numPr>
        <w:tabs>
          <w:tab w:val="left" w:pos="284"/>
        </w:tabs>
        <w:ind w:left="284" w:hanging="284"/>
      </w:pPr>
      <w:r w:rsidRPr="00CD5200">
        <w:t>The following dosing parameters are set in the Criteria</w:t>
      </w:r>
      <w:r w:rsidR="00A44927">
        <w:t xml:space="preserve"> V3</w:t>
      </w:r>
      <w:r w:rsidRPr="00CD5200">
        <w:t>:</w:t>
      </w:r>
    </w:p>
    <w:p w14:paraId="777494F4" w14:textId="77777777" w:rsidR="00117BA8" w:rsidRPr="00CD5200" w:rsidRDefault="00117BA8" w:rsidP="00996A16">
      <w:pPr>
        <w:pStyle w:val="ListParagraph"/>
        <w:numPr>
          <w:ilvl w:val="0"/>
          <w:numId w:val="12"/>
        </w:numPr>
        <w:tabs>
          <w:tab w:val="left" w:pos="284"/>
        </w:tabs>
      </w:pPr>
      <w:r w:rsidRPr="00CD5200">
        <w:t>Maximum dose</w:t>
      </w:r>
    </w:p>
    <w:p w14:paraId="4E834050" w14:textId="77777777" w:rsidR="00117BA8" w:rsidRPr="00CD5200" w:rsidRDefault="00117BA8" w:rsidP="00996A16">
      <w:pPr>
        <w:pStyle w:val="ListParagraph"/>
        <w:numPr>
          <w:ilvl w:val="0"/>
          <w:numId w:val="12"/>
        </w:numPr>
        <w:tabs>
          <w:tab w:val="left" w:pos="284"/>
        </w:tabs>
      </w:pPr>
      <w:r w:rsidRPr="00CD5200">
        <w:t>Minimum dose</w:t>
      </w:r>
    </w:p>
    <w:p w14:paraId="1C472331" w14:textId="77777777" w:rsidR="00117BA8" w:rsidRPr="00CD5200" w:rsidRDefault="00117BA8" w:rsidP="00996A16">
      <w:pPr>
        <w:pStyle w:val="ListParagraph"/>
        <w:numPr>
          <w:ilvl w:val="0"/>
          <w:numId w:val="12"/>
        </w:numPr>
        <w:tabs>
          <w:tab w:val="left" w:pos="284"/>
        </w:tabs>
      </w:pPr>
      <w:r w:rsidRPr="00CD5200">
        <w:t>Dose frequency</w:t>
      </w:r>
    </w:p>
    <w:p w14:paraId="701DD861" w14:textId="77777777" w:rsidR="00117BA8" w:rsidRPr="00CD5200" w:rsidRDefault="00117BA8" w:rsidP="00996A16">
      <w:pPr>
        <w:pStyle w:val="ListParagraph"/>
        <w:numPr>
          <w:ilvl w:val="0"/>
          <w:numId w:val="12"/>
        </w:numPr>
        <w:tabs>
          <w:tab w:val="left" w:pos="284"/>
        </w:tabs>
      </w:pPr>
      <w:r w:rsidRPr="00CD5200">
        <w:t>Whether divisions are allowed</w:t>
      </w:r>
    </w:p>
    <w:p w14:paraId="4402E950" w14:textId="68AE900D" w:rsidR="00E60629" w:rsidRPr="00CD5200" w:rsidRDefault="008D75DA" w:rsidP="00A44927">
      <w:pPr>
        <w:tabs>
          <w:tab w:val="left" w:pos="0"/>
        </w:tabs>
      </w:pPr>
      <w:r w:rsidRPr="00CD5200">
        <w:t>While higher doses can be accessed, doctors must provide a rationale</w:t>
      </w:r>
      <w:r w:rsidR="009E3A03" w:rsidRPr="00CD5200">
        <w:t xml:space="preserve"> for requiring a higher dose</w:t>
      </w:r>
      <w:r w:rsidRPr="00CD5200">
        <w:t xml:space="preserve">. </w:t>
      </w:r>
      <w:r w:rsidR="00117BA8" w:rsidRPr="00CD5200">
        <w:t>Criteria</w:t>
      </w:r>
      <w:r w:rsidR="008F0772">
        <w:t xml:space="preserve"> V3</w:t>
      </w:r>
      <w:r w:rsidR="00117BA8" w:rsidRPr="00CD5200">
        <w:t xml:space="preserve"> </w:t>
      </w:r>
      <w:r w:rsidRPr="00CD5200">
        <w:t>encourages dosi</w:t>
      </w:r>
      <w:r w:rsidR="00117BA8" w:rsidRPr="00CD5200">
        <w:t>ng at the lowest effective dose by defaulting to the minimum dose</w:t>
      </w:r>
      <w:r w:rsidR="00616481">
        <w:t xml:space="preserve"> and frequency.</w:t>
      </w:r>
    </w:p>
    <w:p w14:paraId="66672E6A" w14:textId="6354A49D" w:rsidR="00524FED" w:rsidRDefault="008D75DA" w:rsidP="00996A16">
      <w:pPr>
        <w:pStyle w:val="ListParagraph"/>
        <w:numPr>
          <w:ilvl w:val="0"/>
          <w:numId w:val="2"/>
        </w:numPr>
        <w:tabs>
          <w:tab w:val="left" w:pos="284"/>
        </w:tabs>
        <w:ind w:left="284" w:hanging="284"/>
      </w:pPr>
      <w:r w:rsidRPr="00CD5200">
        <w:t xml:space="preserve">Duration of access to Ig is determined by the </w:t>
      </w:r>
      <w:r w:rsidR="009E3A03" w:rsidRPr="00CD5200">
        <w:t xml:space="preserve">‘authorisation period’ determined in </w:t>
      </w:r>
      <w:r w:rsidR="009E3A03" w:rsidRPr="00A44927">
        <w:t xml:space="preserve">the </w:t>
      </w:r>
      <w:r w:rsidRPr="00A44927">
        <w:t>Criteria</w:t>
      </w:r>
      <w:r w:rsidR="008F0772">
        <w:t xml:space="preserve"> V3</w:t>
      </w:r>
      <w:r w:rsidRPr="00CD5200">
        <w:t>. Access to Ig cannot exceed the ‘authorisation period’. To access further treatment the doctor must reap</w:t>
      </w:r>
      <w:r w:rsidR="00A255D2" w:rsidRPr="00CD5200">
        <w:t>ply and demonstrate the patient</w:t>
      </w:r>
      <w:r w:rsidRPr="00CD5200">
        <w:t xml:space="preserve"> meets the ‘criteria’</w:t>
      </w:r>
      <w:r w:rsidR="00A44927">
        <w:t xml:space="preserve"> </w:t>
      </w:r>
      <w:r w:rsidRPr="00CD5200">
        <w:t xml:space="preserve">(see </w:t>
      </w:r>
      <w:r w:rsidR="009E3A03" w:rsidRPr="00CD5200">
        <w:rPr>
          <w:u w:val="single"/>
        </w:rPr>
        <w:t xml:space="preserve">Attachment </w:t>
      </w:r>
      <w:r w:rsidR="0021199D" w:rsidRPr="00CD5200">
        <w:rPr>
          <w:u w:val="single"/>
        </w:rPr>
        <w:t>B</w:t>
      </w:r>
      <w:r w:rsidR="009E3A03" w:rsidRPr="00CD5200">
        <w:t>:</w:t>
      </w:r>
      <w:r w:rsidRPr="00CD5200">
        <w:t xml:space="preserve"> V3 Proforma for </w:t>
      </w:r>
      <w:r w:rsidR="00CD5200" w:rsidRPr="00CD5200">
        <w:rPr>
          <w:i/>
        </w:rPr>
        <w:t>PID</w:t>
      </w:r>
      <w:r w:rsidRPr="00CD5200">
        <w:t xml:space="preserve">).  </w:t>
      </w:r>
    </w:p>
    <w:p w14:paraId="2EC68AF8" w14:textId="5548FD1E" w:rsidR="00524FED" w:rsidRPr="00B17921" w:rsidRDefault="00524FED" w:rsidP="00524FED">
      <w:r w:rsidRPr="00524FED">
        <w:t>The frequency of monitoring depends</w:t>
      </w:r>
      <w:r>
        <w:t xml:space="preserve"> </w:t>
      </w:r>
      <w:r w:rsidRPr="00524FED">
        <w:t>on age (more frequent monitoring is advisable in younger</w:t>
      </w:r>
      <w:r>
        <w:t xml:space="preserve"> </w:t>
      </w:r>
      <w:r w:rsidRPr="00524FED">
        <w:t>growing children) and the clinical considerations of the individual</w:t>
      </w:r>
      <w:r>
        <w:t xml:space="preserve"> </w:t>
      </w:r>
      <w:r w:rsidRPr="00524FED">
        <w:t>patient. A minimum of every 6 to 12 months is standard. The adequacy</w:t>
      </w:r>
      <w:r>
        <w:t xml:space="preserve"> </w:t>
      </w:r>
      <w:r w:rsidRPr="00524FED">
        <w:t>of IgG replacement is determined by the trough (preinfusion)</w:t>
      </w:r>
      <w:r>
        <w:t xml:space="preserve"> </w:t>
      </w:r>
      <w:r w:rsidRPr="00524FED">
        <w:t>or steady-state IgG level in association with the clinical</w:t>
      </w:r>
      <w:r>
        <w:t xml:space="preserve"> </w:t>
      </w:r>
      <w:r w:rsidRPr="00524FED">
        <w:t>course. The dose might need to be adjusted for excessive infections</w:t>
      </w:r>
      <w:r>
        <w:t xml:space="preserve"> </w:t>
      </w:r>
      <w:r w:rsidRPr="00524FED">
        <w:t>(poor clinical response), growth or weight change, or other</w:t>
      </w:r>
      <w:r>
        <w:t xml:space="preserve"> </w:t>
      </w:r>
      <w:r w:rsidRPr="00524FED">
        <w:t>processes, such as enteric loss or increased metabolism. The</w:t>
      </w:r>
      <w:r>
        <w:t xml:space="preserve"> </w:t>
      </w:r>
      <w:r w:rsidRPr="00524FED">
        <w:t>steady-state IgG level is also useful for monitoring adherence</w:t>
      </w:r>
      <w:r>
        <w:t xml:space="preserve"> </w:t>
      </w:r>
      <w:r w:rsidRPr="00524FED">
        <w:t xml:space="preserve">of patients receiving </w:t>
      </w:r>
      <w:r>
        <w:t xml:space="preserve">SCIg </w:t>
      </w:r>
      <w:r w:rsidRPr="00524FED">
        <w:t>infusions</w:t>
      </w:r>
      <w:r>
        <w:rPr>
          <w:rStyle w:val="FootnoteReference"/>
        </w:rPr>
        <w:footnoteReference w:id="11"/>
      </w:r>
      <w:r w:rsidRPr="00524FED">
        <w:t>.</w:t>
      </w:r>
    </w:p>
    <w:p w14:paraId="3EBD8771" w14:textId="1F6C763F" w:rsidR="00CC09D7" w:rsidRPr="00CD5200" w:rsidRDefault="008D75DA" w:rsidP="00524FED">
      <w:pPr>
        <w:tabs>
          <w:tab w:val="left" w:pos="284"/>
        </w:tabs>
      </w:pPr>
      <w:r w:rsidRPr="00CD5200">
        <w:t xml:space="preserve"> </w:t>
      </w:r>
    </w:p>
    <w:p w14:paraId="0801CAAD" w14:textId="77777777" w:rsidR="00791C8D" w:rsidRPr="00154B00" w:rsidRDefault="00791C8D" w:rsidP="00A876CA">
      <w:pPr>
        <w:pStyle w:val="Heading2"/>
        <w:shd w:val="clear" w:color="auto" w:fill="D9D9D9" w:themeFill="background1" w:themeFillShade="D9"/>
        <w:tabs>
          <w:tab w:val="left" w:pos="284"/>
        </w:tabs>
        <w:ind w:left="284" w:hanging="284"/>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need to be delivered </w:t>
      </w:r>
      <w:r w:rsidRPr="000B11B5">
        <w:t>at the same time</w:t>
      </w:r>
      <w:r w:rsidRPr="00154B00">
        <w:t xml:space="preserve"> </w:t>
      </w:r>
      <w:r w:rsidR="00197D29">
        <w:t xml:space="preserve">as the </w:t>
      </w:r>
      <w:r w:rsidR="004C21DD">
        <w:t xml:space="preserve">Ig </w:t>
      </w:r>
      <w:r w:rsidR="000950C2">
        <w:t>product</w:t>
      </w:r>
      <w:r w:rsidR="003A23CA">
        <w:t>s</w:t>
      </w:r>
      <w:r w:rsidR="003813C6">
        <w:t xml:space="preserve"> </w:t>
      </w:r>
      <w:r w:rsidR="00181E53" w:rsidRPr="004D234C">
        <w:t>within the scope of this referral</w:t>
      </w:r>
      <w:r w:rsidR="003813C6">
        <w:t>)</w:t>
      </w:r>
      <w:r w:rsidR="00197D29">
        <w:t>:</w:t>
      </w:r>
      <w:r w:rsidR="00337E17" w:rsidRPr="00337E17">
        <w:t xml:space="preserve"> </w:t>
      </w:r>
    </w:p>
    <w:p w14:paraId="47C91368" w14:textId="77777777" w:rsidR="00B17E26" w:rsidRDefault="00E60629" w:rsidP="007226AA">
      <w:r w:rsidRPr="00FC13B8">
        <w:t xml:space="preserve">The patient’s </w:t>
      </w:r>
      <w:r w:rsidR="006A0F9D" w:rsidRPr="00FC13B8">
        <w:t xml:space="preserve">vital </w:t>
      </w:r>
      <w:r w:rsidRPr="00FC13B8">
        <w:t>signs will be monitored during the course of the infusion (blood pressure, pulse, temperature)</w:t>
      </w:r>
      <w:r w:rsidR="00E46006" w:rsidRPr="00FC13B8">
        <w:t xml:space="preserve"> by a nurse or enrolled nurse</w:t>
      </w:r>
      <w:r w:rsidRPr="00FC13B8">
        <w:t>. Patients may require analgesia or antihistamine to manage a reaction e.g. headaches</w:t>
      </w:r>
      <w:r w:rsidR="009104A8" w:rsidRPr="00FC13B8">
        <w:t xml:space="preserve">, </w:t>
      </w:r>
      <w:r w:rsidR="00285E59" w:rsidRPr="00FC13B8">
        <w:t>flushes, rash.</w:t>
      </w:r>
    </w:p>
    <w:p w14:paraId="570B3858" w14:textId="5BBAD9ED" w:rsidR="00FC13B8" w:rsidRPr="00B34D06" w:rsidRDefault="00FC13B8" w:rsidP="00FC13B8">
      <w:pPr>
        <w:spacing w:before="0" w:after="0"/>
        <w:rPr>
          <w:szCs w:val="20"/>
        </w:rPr>
      </w:pPr>
      <w:r w:rsidRPr="00B34D06">
        <w:rPr>
          <w:szCs w:val="20"/>
        </w:rPr>
        <w:t xml:space="preserve">As an example; </w:t>
      </w:r>
      <w:r>
        <w:rPr>
          <w:szCs w:val="20"/>
        </w:rPr>
        <w:t>i</w:t>
      </w:r>
      <w:r w:rsidRPr="00B34D06">
        <w:rPr>
          <w:szCs w:val="20"/>
        </w:rPr>
        <w:t xml:space="preserve">n all patients receiving Flebogamma, IVIg administration requires: </w:t>
      </w:r>
    </w:p>
    <w:p w14:paraId="647D77AF" w14:textId="77777777" w:rsidR="00FC13B8" w:rsidRPr="00B34D06" w:rsidRDefault="00FC13B8" w:rsidP="00996A16">
      <w:pPr>
        <w:numPr>
          <w:ilvl w:val="0"/>
          <w:numId w:val="20"/>
        </w:numPr>
        <w:spacing w:before="0" w:after="0"/>
        <w:rPr>
          <w:szCs w:val="20"/>
        </w:rPr>
      </w:pPr>
    </w:p>
    <w:p w14:paraId="3C656E1C" w14:textId="77777777" w:rsidR="00FC13B8" w:rsidRPr="00B34D06" w:rsidRDefault="00FC13B8" w:rsidP="00996A16">
      <w:pPr>
        <w:pStyle w:val="ListParagraph"/>
        <w:numPr>
          <w:ilvl w:val="0"/>
          <w:numId w:val="2"/>
        </w:numPr>
        <w:spacing w:before="0" w:after="0"/>
        <w:rPr>
          <w:szCs w:val="20"/>
        </w:rPr>
      </w:pPr>
      <w:r w:rsidRPr="00B34D06">
        <w:rPr>
          <w:szCs w:val="20"/>
        </w:rPr>
        <w:t xml:space="preserve">adequate hydration prior to the initiation of the infusion of IVIg; </w:t>
      </w:r>
    </w:p>
    <w:p w14:paraId="1A3DF37A" w14:textId="77777777" w:rsidR="00FC13B8" w:rsidRPr="00B34D06" w:rsidRDefault="00FC13B8" w:rsidP="00996A16">
      <w:pPr>
        <w:pStyle w:val="ListParagraph"/>
        <w:numPr>
          <w:ilvl w:val="0"/>
          <w:numId w:val="2"/>
        </w:numPr>
        <w:spacing w:before="0" w:after="0"/>
        <w:rPr>
          <w:szCs w:val="20"/>
        </w:rPr>
      </w:pPr>
      <w:r w:rsidRPr="00B34D06">
        <w:rPr>
          <w:szCs w:val="20"/>
        </w:rPr>
        <w:t>monitoring of urine output;</w:t>
      </w:r>
    </w:p>
    <w:p w14:paraId="55B257DA" w14:textId="77777777" w:rsidR="00FC13B8" w:rsidRPr="00B34D06" w:rsidRDefault="00FC13B8" w:rsidP="00996A16">
      <w:pPr>
        <w:pStyle w:val="ListParagraph"/>
        <w:numPr>
          <w:ilvl w:val="0"/>
          <w:numId w:val="2"/>
        </w:numPr>
        <w:spacing w:before="0" w:after="0"/>
        <w:rPr>
          <w:szCs w:val="20"/>
        </w:rPr>
      </w:pPr>
      <w:r w:rsidRPr="00B34D06">
        <w:rPr>
          <w:szCs w:val="20"/>
        </w:rPr>
        <w:t xml:space="preserve">monitoring of serum creatinine levels; </w:t>
      </w:r>
    </w:p>
    <w:p w14:paraId="35E11971" w14:textId="77777777" w:rsidR="00FC13B8" w:rsidRDefault="00FC13B8" w:rsidP="00996A16">
      <w:pPr>
        <w:pStyle w:val="ListParagraph"/>
        <w:numPr>
          <w:ilvl w:val="0"/>
          <w:numId w:val="2"/>
        </w:numPr>
        <w:spacing w:before="0" w:after="0"/>
        <w:rPr>
          <w:szCs w:val="20"/>
        </w:rPr>
      </w:pPr>
      <w:r w:rsidRPr="00B34D06">
        <w:rPr>
          <w:szCs w:val="20"/>
        </w:rPr>
        <w:t>avoidance of concomitant use of loop diuretics</w:t>
      </w:r>
      <w:r w:rsidRPr="00B34D06">
        <w:rPr>
          <w:rStyle w:val="FootnoteReference"/>
          <w:szCs w:val="20"/>
        </w:rPr>
        <w:footnoteReference w:id="12"/>
      </w:r>
      <w:r w:rsidRPr="00B34D06">
        <w:rPr>
          <w:szCs w:val="20"/>
        </w:rPr>
        <w:t xml:space="preserve">. </w:t>
      </w:r>
    </w:p>
    <w:p w14:paraId="722FA8CF" w14:textId="77777777" w:rsidR="00A44927" w:rsidRPr="00B34D06" w:rsidRDefault="00A44927" w:rsidP="00A44927">
      <w:pPr>
        <w:pStyle w:val="ListParagraph"/>
        <w:spacing w:before="0" w:after="0"/>
        <w:ind w:left="1146"/>
        <w:rPr>
          <w:szCs w:val="20"/>
        </w:rPr>
      </w:pPr>
    </w:p>
    <w:p w14:paraId="07FA5E57" w14:textId="77777777" w:rsidR="00B17E26" w:rsidRPr="00154B00" w:rsidRDefault="00B17E26" w:rsidP="00A876CA">
      <w:pPr>
        <w:pStyle w:val="Heading2"/>
        <w:shd w:val="clear" w:color="auto" w:fill="D9D9D9" w:themeFill="background1" w:themeFillShade="D9"/>
        <w:tabs>
          <w:tab w:val="left" w:pos="284"/>
        </w:tabs>
        <w:ind w:left="284" w:hanging="284"/>
      </w:pPr>
      <w:r w:rsidRPr="00154B00">
        <w:t>If applicable, advise whether</w:t>
      </w:r>
      <w:r w:rsidR="00C20B3F">
        <w:t xml:space="preserve"> delivering Ig</w:t>
      </w:r>
      <w:r w:rsidRPr="00154B00">
        <w:t xml:space="preserve"> the</w:t>
      </w:r>
      <w:r w:rsidR="00C20B3F">
        <w:t>rapy</w:t>
      </w:r>
      <w:r w:rsidRPr="00154B00">
        <w:t xml:space="preserve"> could be delegated or referred </w:t>
      </w:r>
      <w:r w:rsidR="00B053B8">
        <w:t xml:space="preserve">by the health professional primarily responsible for managing the patient </w:t>
      </w:r>
      <w:r w:rsidRPr="00154B00">
        <w:t xml:space="preserve">to another professional </w:t>
      </w:r>
      <w:r w:rsidRPr="0073597B">
        <w:t>for</w:t>
      </w:r>
      <w:r w:rsidRPr="00154B00">
        <w:t xml:space="preserve"> delive</w:t>
      </w:r>
      <w:r w:rsidR="00AE1188">
        <w:t>ry</w:t>
      </w:r>
      <w:r w:rsidR="004161CD">
        <w:t xml:space="preserve"> including any limitations on </w:t>
      </w:r>
      <w:r w:rsidR="00131A91">
        <w:t>who might deliver it</w:t>
      </w:r>
      <w:r w:rsidR="00AE1188">
        <w:t>:</w:t>
      </w:r>
    </w:p>
    <w:p w14:paraId="79F03FE6" w14:textId="4852BD93" w:rsidR="005A77B9" w:rsidRDefault="005A77B9" w:rsidP="005A77B9">
      <w:r>
        <w:t xml:space="preserve">The diagnosis and management of the patient cannot be delegated.  Intravenous administration of Ig requires a treating doctor to determine the dose. </w:t>
      </w:r>
      <w:r w:rsidR="0042443B">
        <w:t>However, the doctor who diagnoses the condition may not be the same doctor to reviews treatment.</w:t>
      </w:r>
      <w:r>
        <w:t xml:space="preserve"> The administration of Ig intravenously delivered Ig is undertaken by nursing staff </w:t>
      </w:r>
      <w:r w:rsidR="0042443B">
        <w:t xml:space="preserve">or possibly a junior doctor </w:t>
      </w:r>
      <w:r>
        <w:t>and cannot be delegated.  The intravenous infusion is overseen by the hospital medical staff with overarching responsibility held by the treating clinician.  The NBA understands that in very rare circumstances, IVIg has been administered by the patient or by a ‘hospital in the home’ nurse.</w:t>
      </w:r>
    </w:p>
    <w:p w14:paraId="2B01F61D" w14:textId="413C13F8" w:rsidR="00415543" w:rsidRPr="00FC13B8" w:rsidRDefault="007C129F" w:rsidP="00737869">
      <w:pPr>
        <w:spacing w:before="0" w:after="200" w:line="276" w:lineRule="auto"/>
      </w:pPr>
      <w:r w:rsidRPr="00FC13B8">
        <w:t>If Ig is administered at home via subcutaneous administration,</w:t>
      </w:r>
      <w:r w:rsidR="00415543" w:rsidRPr="00FC13B8">
        <w:t xml:space="preserve"> the administration of the product can be delegated to</w:t>
      </w:r>
      <w:r w:rsidRPr="00FC13B8">
        <w:t xml:space="preserve"> the patient or their carer.</w:t>
      </w:r>
      <w:r w:rsidR="00415543" w:rsidRPr="00FC13B8">
        <w:t xml:space="preserve"> </w:t>
      </w:r>
      <w:r w:rsidRPr="00FC13B8">
        <w:t xml:space="preserve">A nurse or technician </w:t>
      </w:r>
      <w:r w:rsidR="009104A8" w:rsidRPr="00FC13B8">
        <w:t>has</w:t>
      </w:r>
      <w:r w:rsidRPr="00FC13B8">
        <w:t xml:space="preserve"> responsibility for e</w:t>
      </w:r>
      <w:r w:rsidR="005F6F69" w:rsidRPr="00FC13B8">
        <w:t>nsuring the patient or carer is</w:t>
      </w:r>
      <w:r w:rsidRPr="00FC13B8">
        <w:t xml:space="preserve"> trained in subcutaneous administration. </w:t>
      </w:r>
      <w:r w:rsidR="009104A8" w:rsidRPr="00FC13B8">
        <w:t xml:space="preserve">Ongoing support is generally provided by a registered nurse. Access to, and protocols and processes for, SCIg programs vary across the country. </w:t>
      </w:r>
    </w:p>
    <w:p w14:paraId="054B8D75" w14:textId="77777777" w:rsidR="00737869" w:rsidRDefault="00EA0E25" w:rsidP="004F5D1A">
      <w:pPr>
        <w:pStyle w:val="Heading2"/>
        <w:shd w:val="clear" w:color="auto" w:fill="D9D9D9" w:themeFill="background1" w:themeFillShade="D9"/>
      </w:pPr>
      <w:r w:rsidRPr="00154B00">
        <w:t xml:space="preserve">If applicable, advise what type of training </w:t>
      </w:r>
      <w:r w:rsidR="009C03FB" w:rsidRPr="00154B00">
        <w:t xml:space="preserve">or qualifications </w:t>
      </w:r>
      <w:r w:rsidR="00F0456F">
        <w:t xml:space="preserve">are </w:t>
      </w:r>
      <w:r w:rsidR="00F0456F" w:rsidRPr="00154B00">
        <w:t>required</w:t>
      </w:r>
      <w:r w:rsidRPr="00154B00">
        <w:t xml:space="preserve"> to </w:t>
      </w:r>
      <w:r w:rsidR="00C20B3F">
        <w:t>deliver Ig therapy</w:t>
      </w:r>
      <w:r w:rsidR="000950C2">
        <w:t xml:space="preserve"> </w:t>
      </w:r>
      <w:r w:rsidR="00257FF2" w:rsidRPr="00154B00">
        <w:t>as well as any accreditation requirements to suppor</w:t>
      </w:r>
      <w:r w:rsidR="009C03FB" w:rsidRPr="00154B00">
        <w:t xml:space="preserve">t </w:t>
      </w:r>
      <w:r w:rsidR="00C20B3F">
        <w:t>its</w:t>
      </w:r>
      <w:r w:rsidR="009C03FB" w:rsidRPr="00154B00">
        <w:t xml:space="preserve"> delivery</w:t>
      </w:r>
      <w:r w:rsidR="00AE1188">
        <w:t>:</w:t>
      </w:r>
      <w:r w:rsidR="007226AA">
        <w:t xml:space="preserve"> </w:t>
      </w:r>
    </w:p>
    <w:p w14:paraId="66F3F60C" w14:textId="00B04D2A" w:rsidR="00FC13B8" w:rsidRDefault="00FC13B8" w:rsidP="00FC13B8">
      <w:r>
        <w:t xml:space="preserve">BloodSTAR requires any medical officer registered as an </w:t>
      </w:r>
      <w:r w:rsidR="0042443B">
        <w:t>i</w:t>
      </w:r>
      <w:r>
        <w:t>mmunologist with the Australian Health Practitioner Regulation Agency (AHPRA) to diagnose and review a patient with PID.</w:t>
      </w:r>
    </w:p>
    <w:p w14:paraId="38332099" w14:textId="77777777" w:rsidR="00FC13B8" w:rsidRDefault="00FC13B8" w:rsidP="00FC13B8">
      <w:r>
        <w:t xml:space="preserve">Local hospital policies will vary. Nursing qualifications are required to commence and monitor an IVIg infusion.  </w:t>
      </w:r>
    </w:p>
    <w:p w14:paraId="1C765930" w14:textId="77777777" w:rsidR="00FC13B8" w:rsidRDefault="00FC13B8" w:rsidP="00FC13B8">
      <w:r>
        <w:t xml:space="preserve">As this procedure requires cannulation, training should be provided and competence determined and monitored for this procedure which may be done by a doctor or a nurse depending on the institution. </w:t>
      </w:r>
    </w:p>
    <w:p w14:paraId="0348447B" w14:textId="77777777" w:rsidR="00FC13B8" w:rsidRDefault="00FC13B8" w:rsidP="00FC13B8">
      <w:r>
        <w:t xml:space="preserve">For subcutaneous administration, the patient/carer must be trained in the procedure by a qualified nurse or technician. </w:t>
      </w:r>
    </w:p>
    <w:p w14:paraId="0677E573" w14:textId="77777777" w:rsidR="00FC13B8" w:rsidRPr="00C014A7" w:rsidRDefault="00FC13B8" w:rsidP="00FC13B8">
      <w:r>
        <w:t>All sites that administer blood or blood products should be accredited under the National Safety and Quality Health Service Standard for Blood Management.</w:t>
      </w:r>
    </w:p>
    <w:p w14:paraId="0B901F15" w14:textId="77777777" w:rsidR="004F5D1A" w:rsidRPr="004F5D1A" w:rsidRDefault="004F5D1A" w:rsidP="004F5D1A"/>
    <w:p w14:paraId="77F1D590" w14:textId="77777777" w:rsidR="005F3F07" w:rsidRDefault="007226AA" w:rsidP="004F5D1A">
      <w:pPr>
        <w:pStyle w:val="Heading2"/>
        <w:shd w:val="clear" w:color="auto" w:fill="D9D9D9" w:themeFill="background1" w:themeFillShade="D9"/>
      </w:pPr>
      <w:r>
        <w:t xml:space="preserve"> </w:t>
      </w:r>
      <w:r w:rsidR="005F3F07" w:rsidRPr="00154B00">
        <w:t>Indicate the proposed setting</w:t>
      </w:r>
      <w:r w:rsidR="004C4C0B">
        <w:t>s</w:t>
      </w:r>
      <w:r w:rsidR="005F3F07" w:rsidRPr="00154B00">
        <w:t xml:space="preserve"> in which </w:t>
      </w:r>
      <w:r w:rsidR="00C20B3F">
        <w:t xml:space="preserve">Ig </w:t>
      </w:r>
      <w:r w:rsidR="005F3F07" w:rsidRPr="00154B00">
        <w:t>the</w:t>
      </w:r>
      <w:r w:rsidR="00C20B3F">
        <w:t>rapy is</w:t>
      </w:r>
      <w:r w:rsidR="005F3F07" w:rsidRPr="00154B00">
        <w:t xml:space="preserve"> delivered</w:t>
      </w:r>
      <w:r w:rsidR="00D30BDC">
        <w:t xml:space="preserve"> (select all relevant settings)</w:t>
      </w:r>
      <w:r w:rsidR="00AE1188">
        <w:t>:</w:t>
      </w:r>
    </w:p>
    <w:p w14:paraId="139AFDAF" w14:textId="28F6D960" w:rsidR="000A478F" w:rsidRDefault="00FC13B8" w:rsidP="00162108">
      <w:pPr>
        <w:tabs>
          <w:tab w:val="left" w:pos="284"/>
        </w:tabs>
        <w:spacing w:before="0" w:after="0"/>
        <w:ind w:left="284" w:hanging="284"/>
      </w:pPr>
      <w:r>
        <w:rPr>
          <w:szCs w:val="20"/>
        </w:rPr>
        <w:fldChar w:fldCharType="begin">
          <w:ffData>
            <w:name w:val=""/>
            <w:enabled/>
            <w:calcOnExit w:val="0"/>
            <w:checkBox>
              <w:sizeAuto/>
              <w:default w:val="1"/>
            </w:checkBox>
          </w:ffData>
        </w:fldChar>
      </w:r>
      <w:r>
        <w:rPr>
          <w:szCs w:val="20"/>
        </w:rPr>
        <w:instrText xml:space="preserve"> FORMCHECKBOX </w:instrText>
      </w:r>
      <w:r w:rsidR="00641C09">
        <w:rPr>
          <w:szCs w:val="20"/>
        </w:rPr>
      </w:r>
      <w:r w:rsidR="00641C09">
        <w:rPr>
          <w:szCs w:val="20"/>
        </w:rPr>
        <w:fldChar w:fldCharType="separate"/>
      </w:r>
      <w:r>
        <w:rPr>
          <w:szCs w:val="20"/>
        </w:rPr>
        <w:fldChar w:fldCharType="end"/>
      </w:r>
      <w:r w:rsidR="000A478F">
        <w:rPr>
          <w:szCs w:val="20"/>
        </w:rPr>
        <w:t xml:space="preserve"> </w:t>
      </w:r>
      <w:r w:rsidR="000A478F">
        <w:t>Inpatient private hospital</w:t>
      </w:r>
    </w:p>
    <w:p w14:paraId="3C02EC87" w14:textId="20FE0820" w:rsidR="000A478F" w:rsidRDefault="00FC13B8" w:rsidP="00162108">
      <w:pPr>
        <w:tabs>
          <w:tab w:val="left" w:pos="284"/>
        </w:tabs>
        <w:spacing w:before="0" w:after="0"/>
        <w:ind w:left="284" w:hanging="284"/>
      </w:pPr>
      <w:r>
        <w:rPr>
          <w:szCs w:val="20"/>
        </w:rPr>
        <w:fldChar w:fldCharType="begin">
          <w:ffData>
            <w:name w:val=""/>
            <w:enabled/>
            <w:calcOnExit w:val="0"/>
            <w:checkBox>
              <w:sizeAuto/>
              <w:default w:val="1"/>
            </w:checkBox>
          </w:ffData>
        </w:fldChar>
      </w:r>
      <w:r>
        <w:rPr>
          <w:szCs w:val="20"/>
        </w:rPr>
        <w:instrText xml:space="preserve"> FORMCHECKBOX </w:instrText>
      </w:r>
      <w:r w:rsidR="00641C09">
        <w:rPr>
          <w:szCs w:val="20"/>
        </w:rPr>
      </w:r>
      <w:r w:rsidR="00641C09">
        <w:rPr>
          <w:szCs w:val="20"/>
        </w:rPr>
        <w:fldChar w:fldCharType="separate"/>
      </w:r>
      <w:r>
        <w:rPr>
          <w:szCs w:val="20"/>
        </w:rPr>
        <w:fldChar w:fldCharType="end"/>
      </w:r>
      <w:r w:rsidR="000A478F">
        <w:rPr>
          <w:szCs w:val="20"/>
        </w:rPr>
        <w:t xml:space="preserve"> </w:t>
      </w:r>
      <w:r w:rsidR="000A478F">
        <w:t>Inpatient public hospital</w:t>
      </w:r>
      <w:r w:rsidR="001C323C">
        <w:t xml:space="preserve"> (as a private patient)</w:t>
      </w:r>
    </w:p>
    <w:p w14:paraId="5738DB98" w14:textId="4C8A7BB5" w:rsidR="001C323C" w:rsidRDefault="00FC13B8" w:rsidP="00162108">
      <w:pPr>
        <w:tabs>
          <w:tab w:val="left" w:pos="284"/>
        </w:tabs>
        <w:spacing w:before="0" w:after="0"/>
        <w:ind w:left="284" w:hanging="284"/>
      </w:pPr>
      <w:r>
        <w:rPr>
          <w:szCs w:val="20"/>
        </w:rPr>
        <w:fldChar w:fldCharType="begin">
          <w:ffData>
            <w:name w:val=""/>
            <w:enabled/>
            <w:calcOnExit w:val="0"/>
            <w:checkBox>
              <w:sizeAuto/>
              <w:default w:val="1"/>
            </w:checkBox>
          </w:ffData>
        </w:fldChar>
      </w:r>
      <w:r>
        <w:rPr>
          <w:szCs w:val="20"/>
        </w:rPr>
        <w:instrText xml:space="preserve"> FORMCHECKBOX </w:instrText>
      </w:r>
      <w:r w:rsidR="00641C09">
        <w:rPr>
          <w:szCs w:val="20"/>
        </w:rPr>
      </w:r>
      <w:r w:rsidR="00641C09">
        <w:rPr>
          <w:szCs w:val="20"/>
        </w:rPr>
        <w:fldChar w:fldCharType="separate"/>
      </w:r>
      <w:r>
        <w:rPr>
          <w:szCs w:val="20"/>
        </w:rPr>
        <w:fldChar w:fldCharType="end"/>
      </w:r>
      <w:r w:rsidR="001C323C">
        <w:rPr>
          <w:szCs w:val="20"/>
        </w:rPr>
        <w:t xml:space="preserve"> Inpatient public </w:t>
      </w:r>
      <w:r w:rsidR="00AF3293">
        <w:rPr>
          <w:szCs w:val="20"/>
        </w:rPr>
        <w:t xml:space="preserve">hospital </w:t>
      </w:r>
      <w:r w:rsidR="001C323C">
        <w:rPr>
          <w:szCs w:val="20"/>
        </w:rPr>
        <w:t>(as a public patient)</w:t>
      </w:r>
    </w:p>
    <w:p w14:paraId="3B4D4D48" w14:textId="77B89E8D" w:rsidR="000A478F" w:rsidRDefault="00FC13B8" w:rsidP="00162108">
      <w:pPr>
        <w:tabs>
          <w:tab w:val="left" w:pos="284"/>
        </w:tabs>
        <w:spacing w:before="0" w:after="0"/>
        <w:ind w:left="284" w:hanging="284"/>
      </w:pPr>
      <w:r>
        <w:rPr>
          <w:szCs w:val="20"/>
        </w:rPr>
        <w:fldChar w:fldCharType="begin">
          <w:ffData>
            <w:name w:val=""/>
            <w:enabled/>
            <w:calcOnExit w:val="0"/>
            <w:checkBox>
              <w:sizeAuto/>
              <w:default w:val="1"/>
            </w:checkBox>
          </w:ffData>
        </w:fldChar>
      </w:r>
      <w:r>
        <w:rPr>
          <w:szCs w:val="20"/>
        </w:rPr>
        <w:instrText xml:space="preserve"> FORMCHECKBOX </w:instrText>
      </w:r>
      <w:r w:rsidR="00641C09">
        <w:rPr>
          <w:szCs w:val="20"/>
        </w:rPr>
      </w:r>
      <w:r w:rsidR="00641C09">
        <w:rPr>
          <w:szCs w:val="20"/>
        </w:rPr>
        <w:fldChar w:fldCharType="separate"/>
      </w:r>
      <w:r>
        <w:rPr>
          <w:szCs w:val="20"/>
        </w:rPr>
        <w:fldChar w:fldCharType="end"/>
      </w:r>
      <w:r w:rsidR="000A478F">
        <w:rPr>
          <w:szCs w:val="20"/>
        </w:rPr>
        <w:t xml:space="preserve"> </w:t>
      </w:r>
      <w:r w:rsidR="000A478F">
        <w:t>Outpatient clinic</w:t>
      </w:r>
    </w:p>
    <w:p w14:paraId="1F9A8EB0" w14:textId="77777777" w:rsidR="000A478F" w:rsidRDefault="000A478F" w:rsidP="00162108">
      <w:pPr>
        <w:tabs>
          <w:tab w:val="left" w:pos="284"/>
        </w:tabs>
        <w:spacing w:before="0" w:after="0"/>
        <w:ind w:left="284" w:hanging="284"/>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1C09">
        <w:rPr>
          <w:szCs w:val="20"/>
        </w:rPr>
      </w:r>
      <w:r w:rsidR="00641C09">
        <w:rPr>
          <w:szCs w:val="20"/>
        </w:rPr>
        <w:fldChar w:fldCharType="separate"/>
      </w:r>
      <w:r w:rsidRPr="000A5B32">
        <w:rPr>
          <w:szCs w:val="20"/>
        </w:rPr>
        <w:fldChar w:fldCharType="end"/>
      </w:r>
      <w:r>
        <w:rPr>
          <w:szCs w:val="20"/>
        </w:rPr>
        <w:t xml:space="preserve"> </w:t>
      </w:r>
      <w:r>
        <w:t>Consulting rooms</w:t>
      </w:r>
    </w:p>
    <w:p w14:paraId="0760AD03" w14:textId="77777777" w:rsidR="000A478F" w:rsidRDefault="0053485C" w:rsidP="00162108">
      <w:pPr>
        <w:tabs>
          <w:tab w:val="left" w:pos="284"/>
        </w:tabs>
        <w:spacing w:before="0" w:after="0"/>
        <w:ind w:left="284" w:hanging="284"/>
      </w:pPr>
      <w:r>
        <w:rPr>
          <w:szCs w:val="20"/>
        </w:rPr>
        <w:fldChar w:fldCharType="begin">
          <w:ffData>
            <w:name w:val=""/>
            <w:enabled/>
            <w:calcOnExit w:val="0"/>
            <w:checkBox>
              <w:sizeAuto/>
              <w:default w:val="0"/>
            </w:checkBox>
          </w:ffData>
        </w:fldChar>
      </w:r>
      <w:r>
        <w:rPr>
          <w:szCs w:val="20"/>
        </w:rPr>
        <w:instrText xml:space="preserve"> FORMCHECKBOX </w:instrText>
      </w:r>
      <w:r w:rsidR="00641C09">
        <w:rPr>
          <w:szCs w:val="20"/>
        </w:rPr>
      </w:r>
      <w:r w:rsidR="00641C09">
        <w:rPr>
          <w:szCs w:val="20"/>
        </w:rPr>
        <w:fldChar w:fldCharType="separate"/>
      </w:r>
      <w:r>
        <w:rPr>
          <w:szCs w:val="20"/>
        </w:rPr>
        <w:fldChar w:fldCharType="end"/>
      </w:r>
      <w:r w:rsidR="000A478F">
        <w:rPr>
          <w:szCs w:val="20"/>
        </w:rPr>
        <w:t xml:space="preserve"> </w:t>
      </w:r>
      <w:r w:rsidR="000A478F">
        <w:t>Day surgery centre</w:t>
      </w:r>
      <w:r w:rsidR="001C323C">
        <w:t xml:space="preserve"> (as an admitted private patient)</w:t>
      </w:r>
    </w:p>
    <w:p w14:paraId="22DA12F9" w14:textId="77777777" w:rsidR="001C323C" w:rsidRDefault="0053485C" w:rsidP="00162108">
      <w:pPr>
        <w:tabs>
          <w:tab w:val="left" w:pos="284"/>
        </w:tabs>
        <w:spacing w:before="0" w:after="0"/>
        <w:ind w:left="284" w:hanging="284"/>
      </w:pPr>
      <w:r>
        <w:rPr>
          <w:szCs w:val="20"/>
        </w:rPr>
        <w:fldChar w:fldCharType="begin">
          <w:ffData>
            <w:name w:val=""/>
            <w:enabled/>
            <w:calcOnExit w:val="0"/>
            <w:checkBox>
              <w:sizeAuto/>
              <w:default w:val="0"/>
            </w:checkBox>
          </w:ffData>
        </w:fldChar>
      </w:r>
      <w:r>
        <w:rPr>
          <w:szCs w:val="20"/>
        </w:rPr>
        <w:instrText xml:space="preserve"> FORMCHECKBOX </w:instrText>
      </w:r>
      <w:r w:rsidR="00641C09">
        <w:rPr>
          <w:szCs w:val="20"/>
        </w:rPr>
      </w:r>
      <w:r w:rsidR="00641C09">
        <w:rPr>
          <w:szCs w:val="20"/>
        </w:rPr>
        <w:fldChar w:fldCharType="separate"/>
      </w:r>
      <w:r>
        <w:rPr>
          <w:szCs w:val="20"/>
        </w:rPr>
        <w:fldChar w:fldCharType="end"/>
      </w:r>
      <w:r w:rsidR="001C323C">
        <w:rPr>
          <w:szCs w:val="20"/>
        </w:rPr>
        <w:t xml:space="preserve"> Day surgery centre (as an outpatient)</w:t>
      </w:r>
    </w:p>
    <w:p w14:paraId="2316ADDB" w14:textId="77777777" w:rsidR="000A478F" w:rsidRDefault="0053485C" w:rsidP="00162108">
      <w:pPr>
        <w:tabs>
          <w:tab w:val="left" w:pos="284"/>
        </w:tabs>
        <w:spacing w:before="0" w:after="0"/>
        <w:ind w:left="284" w:hanging="284"/>
      </w:pPr>
      <w:r>
        <w:rPr>
          <w:szCs w:val="20"/>
        </w:rPr>
        <w:fldChar w:fldCharType="begin">
          <w:ffData>
            <w:name w:val=""/>
            <w:enabled/>
            <w:calcOnExit w:val="0"/>
            <w:checkBox>
              <w:sizeAuto/>
              <w:default w:val="0"/>
            </w:checkBox>
          </w:ffData>
        </w:fldChar>
      </w:r>
      <w:r>
        <w:rPr>
          <w:szCs w:val="20"/>
        </w:rPr>
        <w:instrText xml:space="preserve"> FORMCHECKBOX </w:instrText>
      </w:r>
      <w:r w:rsidR="00641C09">
        <w:rPr>
          <w:szCs w:val="20"/>
        </w:rPr>
      </w:r>
      <w:r w:rsidR="00641C09">
        <w:rPr>
          <w:szCs w:val="20"/>
        </w:rPr>
        <w:fldChar w:fldCharType="separate"/>
      </w:r>
      <w:r>
        <w:rPr>
          <w:szCs w:val="20"/>
        </w:rPr>
        <w:fldChar w:fldCharType="end"/>
      </w:r>
      <w:r w:rsidR="000A478F">
        <w:rPr>
          <w:szCs w:val="20"/>
        </w:rPr>
        <w:t xml:space="preserve"> </w:t>
      </w:r>
      <w:r w:rsidR="000A478F">
        <w:t>Residential aged care facility</w:t>
      </w:r>
    </w:p>
    <w:p w14:paraId="38186467" w14:textId="00A77239" w:rsidR="00C1012E" w:rsidRDefault="00FC13B8" w:rsidP="00162108">
      <w:pPr>
        <w:tabs>
          <w:tab w:val="left" w:pos="284"/>
        </w:tabs>
        <w:spacing w:before="0" w:after="0"/>
        <w:ind w:left="284" w:hanging="284"/>
      </w:pPr>
      <w:r>
        <w:rPr>
          <w:szCs w:val="20"/>
        </w:rPr>
        <w:fldChar w:fldCharType="begin">
          <w:ffData>
            <w:name w:val=""/>
            <w:enabled/>
            <w:calcOnExit w:val="0"/>
            <w:checkBox>
              <w:sizeAuto/>
              <w:default w:val="1"/>
            </w:checkBox>
          </w:ffData>
        </w:fldChar>
      </w:r>
      <w:r>
        <w:rPr>
          <w:szCs w:val="20"/>
        </w:rPr>
        <w:instrText xml:space="preserve"> FORMCHECKBOX </w:instrText>
      </w:r>
      <w:r w:rsidR="00641C09">
        <w:rPr>
          <w:szCs w:val="20"/>
        </w:rPr>
      </w:r>
      <w:r w:rsidR="00641C09">
        <w:rPr>
          <w:szCs w:val="20"/>
        </w:rPr>
        <w:fldChar w:fldCharType="separate"/>
      </w:r>
      <w:r>
        <w:rPr>
          <w:szCs w:val="20"/>
        </w:rPr>
        <w:fldChar w:fldCharType="end"/>
      </w:r>
      <w:r w:rsidR="00C1012E">
        <w:rPr>
          <w:szCs w:val="20"/>
        </w:rPr>
        <w:t xml:space="preserve"> Patient’s home</w:t>
      </w:r>
    </w:p>
    <w:p w14:paraId="1AD0A5F4" w14:textId="77777777" w:rsidR="000A478F" w:rsidRPr="00E54140" w:rsidRDefault="000A478F" w:rsidP="00162108">
      <w:pPr>
        <w:tabs>
          <w:tab w:val="left" w:pos="284"/>
        </w:tabs>
        <w:spacing w:before="0" w:after="0"/>
        <w:ind w:left="284" w:hanging="284"/>
      </w:pPr>
      <w:r w:rsidRPr="00E54140">
        <w:rPr>
          <w:szCs w:val="20"/>
        </w:rPr>
        <w:fldChar w:fldCharType="begin">
          <w:ffData>
            <w:name w:val="Check1"/>
            <w:enabled/>
            <w:calcOnExit w:val="0"/>
            <w:checkBox>
              <w:sizeAuto/>
              <w:default w:val="0"/>
            </w:checkBox>
          </w:ffData>
        </w:fldChar>
      </w:r>
      <w:r w:rsidRPr="00E54140">
        <w:rPr>
          <w:szCs w:val="20"/>
        </w:rPr>
        <w:instrText xml:space="preserve"> FORMCHECKBOX </w:instrText>
      </w:r>
      <w:r w:rsidR="00641C09">
        <w:rPr>
          <w:szCs w:val="20"/>
        </w:rPr>
      </w:r>
      <w:r w:rsidR="00641C09">
        <w:rPr>
          <w:szCs w:val="20"/>
        </w:rPr>
        <w:fldChar w:fldCharType="separate"/>
      </w:r>
      <w:r w:rsidRPr="00E54140">
        <w:rPr>
          <w:szCs w:val="20"/>
        </w:rPr>
        <w:fldChar w:fldCharType="end"/>
      </w:r>
      <w:r w:rsidRPr="00E54140">
        <w:rPr>
          <w:szCs w:val="20"/>
        </w:rPr>
        <w:t xml:space="preserve"> </w:t>
      </w:r>
      <w:r w:rsidRPr="00E54140">
        <w:t>Laboratory</w:t>
      </w:r>
    </w:p>
    <w:p w14:paraId="517B2FA5" w14:textId="32D5B6DF" w:rsidR="00891CC2" w:rsidRDefault="00FC13B8" w:rsidP="00737869">
      <w:pPr>
        <w:tabs>
          <w:tab w:val="left" w:pos="284"/>
        </w:tabs>
        <w:spacing w:before="0" w:after="0"/>
      </w:pPr>
      <w:r>
        <w:rPr>
          <w:szCs w:val="20"/>
        </w:rPr>
        <w:fldChar w:fldCharType="begin">
          <w:ffData>
            <w:name w:val=""/>
            <w:enabled/>
            <w:calcOnExit w:val="0"/>
            <w:checkBox>
              <w:sizeAuto/>
              <w:default w:val="1"/>
            </w:checkBox>
          </w:ffData>
        </w:fldChar>
      </w:r>
      <w:r>
        <w:rPr>
          <w:szCs w:val="20"/>
        </w:rPr>
        <w:instrText xml:space="preserve"> FORMCHECKBOX </w:instrText>
      </w:r>
      <w:r w:rsidR="00641C09">
        <w:rPr>
          <w:szCs w:val="20"/>
        </w:rPr>
      </w:r>
      <w:r w:rsidR="00641C09">
        <w:rPr>
          <w:szCs w:val="20"/>
        </w:rPr>
        <w:fldChar w:fldCharType="separate"/>
      </w:r>
      <w:r>
        <w:rPr>
          <w:szCs w:val="20"/>
        </w:rPr>
        <w:fldChar w:fldCharType="end"/>
      </w:r>
      <w:r w:rsidR="000A478F">
        <w:rPr>
          <w:szCs w:val="20"/>
        </w:rPr>
        <w:t xml:space="preserve"> </w:t>
      </w:r>
      <w:r w:rsidR="000A478F">
        <w:t>Other – please specify below</w:t>
      </w:r>
      <w:r w:rsidR="00710269">
        <w:t xml:space="preserve"> ‘</w:t>
      </w:r>
      <w:r w:rsidR="006D74D3">
        <w:t>Private s</w:t>
      </w:r>
      <w:r w:rsidR="00710269">
        <w:t>ame day infusion facility</w:t>
      </w:r>
      <w:r w:rsidR="006D74D3">
        <w:t xml:space="preserve"> unattached to a hospital</w:t>
      </w:r>
      <w:r w:rsidR="00710269">
        <w:t>’</w:t>
      </w:r>
    </w:p>
    <w:p w14:paraId="7DDFBB02" w14:textId="77777777" w:rsidR="00555BBE" w:rsidRDefault="00555BBE" w:rsidP="00737869">
      <w:pPr>
        <w:tabs>
          <w:tab w:val="left" w:pos="284"/>
        </w:tabs>
        <w:spacing w:before="0" w:after="0"/>
      </w:pPr>
    </w:p>
    <w:p w14:paraId="0B16356A" w14:textId="77777777" w:rsidR="003433D1" w:rsidRPr="005C3AE7" w:rsidRDefault="00D63BB4" w:rsidP="00555BBE">
      <w:pPr>
        <w:pStyle w:val="Heading2"/>
        <w:shd w:val="clear" w:color="auto" w:fill="D9D9D9" w:themeFill="background1" w:themeFillShade="D9"/>
        <w:tabs>
          <w:tab w:val="left" w:pos="284"/>
        </w:tabs>
        <w:spacing w:before="0"/>
        <w:ind w:left="284" w:hanging="284"/>
      </w:pPr>
      <w:r>
        <w:t>P</w:t>
      </w:r>
      <w:r w:rsidR="00E048ED" w:rsidRPr="005C3AE7">
        <w:t>lease describ</w:t>
      </w:r>
      <w:r w:rsidR="00AE1188" w:rsidRPr="005C3AE7">
        <w:t xml:space="preserve">e the rationale </w:t>
      </w:r>
      <w:r w:rsidR="001C323C">
        <w:t>for</w:t>
      </w:r>
      <w:r w:rsidR="00AE1188" w:rsidRPr="005C3AE7">
        <w:t xml:space="preserve"> </w:t>
      </w:r>
      <w:r w:rsidR="00603281">
        <w:t xml:space="preserve">and proportion of delivery in </w:t>
      </w:r>
      <w:r w:rsidR="00AE1188" w:rsidRPr="005C3AE7">
        <w:t>each</w:t>
      </w:r>
      <w:r w:rsidR="001C323C">
        <w:t xml:space="preserve"> setting</w:t>
      </w:r>
      <w:r>
        <w:t xml:space="preserve"> </w:t>
      </w:r>
      <w:r w:rsidR="00603281">
        <w:t>(</w:t>
      </w:r>
      <w:r>
        <w:t xml:space="preserve">to enable a judgement about the settings </w:t>
      </w:r>
      <w:r w:rsidR="00603281">
        <w:t xml:space="preserve">that </w:t>
      </w:r>
      <w:r>
        <w:t>are important enough to fall within the scope of the clinical and economic evaluations in the review</w:t>
      </w:r>
      <w:r w:rsidR="00603281">
        <w:t>)</w:t>
      </w:r>
      <w:r w:rsidR="00AE1188" w:rsidRPr="005C3AE7">
        <w:t>:</w:t>
      </w:r>
    </w:p>
    <w:p w14:paraId="6E0BD662" w14:textId="03944C4B" w:rsidR="0073597B" w:rsidRPr="00A44927" w:rsidRDefault="0053485C" w:rsidP="007226AA">
      <w:r w:rsidRPr="00A44927">
        <w:rPr>
          <w:b/>
        </w:rPr>
        <w:t>Inpatient – private hospital.</w:t>
      </w:r>
      <w:r w:rsidRPr="00A44927">
        <w:t xml:space="preserve"> Patient requires admission due to dose required over multiple days, comorbidities/advanced age, has private medical insurance and a preferen</w:t>
      </w:r>
      <w:r w:rsidR="00E14004" w:rsidRPr="00A44927">
        <w:t xml:space="preserve">ce to be in a private facility </w:t>
      </w:r>
      <w:r w:rsidRPr="00A44927">
        <w:t xml:space="preserve">and is managed by a neurologist who is able to support the patient’s preference.  </w:t>
      </w:r>
    </w:p>
    <w:p w14:paraId="572C5441" w14:textId="77777777" w:rsidR="0053485C" w:rsidRPr="00A44927" w:rsidRDefault="0053485C" w:rsidP="00D911FC">
      <w:r w:rsidRPr="00A44927">
        <w:rPr>
          <w:b/>
        </w:rPr>
        <w:t xml:space="preserve">Inpatient </w:t>
      </w:r>
      <w:r w:rsidR="00691505" w:rsidRPr="00A44927">
        <w:rPr>
          <w:b/>
        </w:rPr>
        <w:t xml:space="preserve">- </w:t>
      </w:r>
      <w:r w:rsidRPr="00A44927">
        <w:rPr>
          <w:b/>
        </w:rPr>
        <w:t>public hospital (as a private patient)</w:t>
      </w:r>
      <w:r w:rsidR="00E14004" w:rsidRPr="00A44927">
        <w:t>.</w:t>
      </w:r>
      <w:r w:rsidRPr="00A44927">
        <w:t xml:space="preserve"> Patient requires admission due to dose required over multiple days, comorbidities/advanced age, has private medical insurance and a preference to be admitted as a private patient and is managed by a neurologist who is able to support the patient’s preference.</w:t>
      </w:r>
    </w:p>
    <w:p w14:paraId="5AA915C2" w14:textId="77777777" w:rsidR="0053485C" w:rsidRPr="00A44927" w:rsidRDefault="0053485C" w:rsidP="00D911FC">
      <w:r w:rsidRPr="00A44927">
        <w:rPr>
          <w:b/>
          <w:szCs w:val="20"/>
        </w:rPr>
        <w:t>Inpatient</w:t>
      </w:r>
      <w:r w:rsidR="00691505" w:rsidRPr="00A44927">
        <w:rPr>
          <w:b/>
          <w:szCs w:val="20"/>
        </w:rPr>
        <w:t xml:space="preserve"> -</w:t>
      </w:r>
      <w:r w:rsidRPr="00A44927">
        <w:rPr>
          <w:b/>
          <w:szCs w:val="20"/>
        </w:rPr>
        <w:t xml:space="preserve"> public hospital (as a public patient)</w:t>
      </w:r>
      <w:r w:rsidR="00E14004" w:rsidRPr="00A44927">
        <w:rPr>
          <w:szCs w:val="20"/>
        </w:rPr>
        <w:t>.</w:t>
      </w:r>
      <w:r w:rsidRPr="00A44927">
        <w:rPr>
          <w:szCs w:val="20"/>
        </w:rPr>
        <w:t xml:space="preserve"> </w:t>
      </w:r>
      <w:r w:rsidRPr="00A44927">
        <w:t xml:space="preserve">Patient requires admission due to dose required over multiple days, comorbidities/advanced age, and </w:t>
      </w:r>
      <w:r w:rsidR="002A294C" w:rsidRPr="00A44927">
        <w:t xml:space="preserve">does not have medical insurance or has </w:t>
      </w:r>
      <w:r w:rsidRPr="00A44927">
        <w:t xml:space="preserve">a preference to be admitted as a </w:t>
      </w:r>
      <w:r w:rsidR="002A294C" w:rsidRPr="00A44927">
        <w:t>public</w:t>
      </w:r>
      <w:r w:rsidRPr="00A44927">
        <w:t xml:space="preserve"> patient</w:t>
      </w:r>
      <w:r w:rsidR="002A294C" w:rsidRPr="00A44927">
        <w:t>.</w:t>
      </w:r>
    </w:p>
    <w:p w14:paraId="23B48CA5" w14:textId="77777777" w:rsidR="006265BC" w:rsidRPr="00A44927" w:rsidRDefault="006265BC" w:rsidP="00D911FC">
      <w:r w:rsidRPr="00A44927">
        <w:rPr>
          <w:b/>
        </w:rPr>
        <w:t>Outpat</w:t>
      </w:r>
      <w:r w:rsidR="00DB60E0" w:rsidRPr="00A44927">
        <w:rPr>
          <w:b/>
        </w:rPr>
        <w:t>ient clinic (as an outpatient)</w:t>
      </w:r>
      <w:r w:rsidR="00DB60E0" w:rsidRPr="00A44927">
        <w:t>.</w:t>
      </w:r>
      <w:r w:rsidRPr="00A44927">
        <w:t xml:space="preserve"> Patient has regular maintenance infusions and does not require admission to hospital.</w:t>
      </w:r>
    </w:p>
    <w:p w14:paraId="1B44027B" w14:textId="6A23983D" w:rsidR="00A44927" w:rsidRPr="00A44927" w:rsidRDefault="002A294C" w:rsidP="00250EA0">
      <w:pPr>
        <w:spacing w:before="0" w:after="0"/>
      </w:pPr>
      <w:r w:rsidRPr="00A44927">
        <w:rPr>
          <w:b/>
        </w:rPr>
        <w:t>Patient’s home</w:t>
      </w:r>
      <w:r w:rsidRPr="00A44927">
        <w:t xml:space="preserve"> –</w:t>
      </w:r>
      <w:r w:rsidR="00121BE5" w:rsidRPr="00A44927">
        <w:t xml:space="preserve">SCIg </w:t>
      </w:r>
      <w:r w:rsidR="008A680F" w:rsidRPr="00A44927">
        <w:t>is</w:t>
      </w:r>
      <w:r w:rsidR="00121BE5" w:rsidRPr="00A44927">
        <w:t xml:space="preserve"> available under the Nati</w:t>
      </w:r>
      <w:r w:rsidR="006D74D3" w:rsidRPr="00A44927">
        <w:t>o</w:t>
      </w:r>
      <w:r w:rsidR="00121BE5" w:rsidRPr="00A44927">
        <w:t xml:space="preserve">nal Blood Arrangements  </w:t>
      </w:r>
      <w:r w:rsidR="00250EA0" w:rsidRPr="00A44927">
        <w:t>for PID and may</w:t>
      </w:r>
      <w:r w:rsidR="00121BE5" w:rsidRPr="00A44927">
        <w:t xml:space="preserve"> be  available </w:t>
      </w:r>
      <w:r w:rsidR="00250EA0" w:rsidRPr="00A44927">
        <w:t xml:space="preserve">to be administered </w:t>
      </w:r>
      <w:r w:rsidR="00121BE5" w:rsidRPr="00A44927">
        <w:t xml:space="preserve">in the patient’s home where: the </w:t>
      </w:r>
      <w:r w:rsidRPr="00A44927">
        <w:t xml:space="preserve">patient or carer has a preference for SCIg, </w:t>
      </w:r>
      <w:r w:rsidR="00121BE5" w:rsidRPr="00A44927">
        <w:t xml:space="preserve">the patient has access to a hospital participating in a suitable SCIg program, </w:t>
      </w:r>
      <w:r w:rsidRPr="00A44927">
        <w:t>the doctor prescribes SCIg,  SCIg service/training is available, the patient/carer has received training.</w:t>
      </w:r>
      <w:r w:rsidR="00250EA0" w:rsidRPr="00A44927">
        <w:t xml:space="preserve">  NBA advises that </w:t>
      </w:r>
      <w:r w:rsidR="002279A3">
        <w:t xml:space="preserve">in 2017-18, </w:t>
      </w:r>
      <w:r w:rsidR="00250EA0" w:rsidRPr="00A44927">
        <w:t xml:space="preserve">around </w:t>
      </w:r>
      <w:r w:rsidR="00AB2EFF">
        <w:t>8.3</w:t>
      </w:r>
      <w:r w:rsidR="00BE6B32" w:rsidRPr="00A44927">
        <w:t xml:space="preserve"> percent</w:t>
      </w:r>
      <w:r w:rsidR="00250EA0" w:rsidRPr="00A44927">
        <w:t xml:space="preserve"> of all </w:t>
      </w:r>
      <w:r w:rsidR="00AB2EFF">
        <w:rPr>
          <w:i/>
        </w:rPr>
        <w:t xml:space="preserve">treatment episodes </w:t>
      </w:r>
      <w:r w:rsidR="00AB2EFF">
        <w:t>of</w:t>
      </w:r>
      <w:r w:rsidR="00250EA0" w:rsidRPr="00A44927">
        <w:t xml:space="preserve"> Ig therapy </w:t>
      </w:r>
      <w:r w:rsidR="00AB2EFF">
        <w:t>used</w:t>
      </w:r>
      <w:r w:rsidR="00250EA0" w:rsidRPr="00A44927">
        <w:t xml:space="preserve"> SCIg</w:t>
      </w:r>
      <w:r w:rsidR="00BE6B32" w:rsidRPr="00A44927">
        <w:t xml:space="preserve">, </w:t>
      </w:r>
      <w:r w:rsidR="002279A3">
        <w:t xml:space="preserve">of which </w:t>
      </w:r>
      <w:r w:rsidR="00AB2EFF">
        <w:t>67 percent were</w:t>
      </w:r>
      <w:r w:rsidR="00477E98" w:rsidRPr="00A44927">
        <w:t xml:space="preserve"> for PID. </w:t>
      </w:r>
      <w:r w:rsidR="00EB33F9">
        <w:t>In the same year</w:t>
      </w:r>
      <w:r w:rsidR="00BE6B32" w:rsidRPr="00A44927">
        <w:t>, approximately 3.4 percent</w:t>
      </w:r>
      <w:r w:rsidR="005575F0" w:rsidRPr="00A44927">
        <w:t xml:space="preserve"> of </w:t>
      </w:r>
      <w:r w:rsidR="002279A3" w:rsidRPr="002279A3">
        <w:rPr>
          <w:i/>
        </w:rPr>
        <w:t xml:space="preserve">total </w:t>
      </w:r>
      <w:r w:rsidR="005575F0" w:rsidRPr="002279A3">
        <w:rPr>
          <w:i/>
        </w:rPr>
        <w:t>Ig grams</w:t>
      </w:r>
      <w:r w:rsidR="005575F0" w:rsidRPr="00A44927">
        <w:t xml:space="preserve"> issued were for SCIg</w:t>
      </w:r>
      <w:r w:rsidR="002279A3">
        <w:t>. Of</w:t>
      </w:r>
      <w:r w:rsidR="005575F0" w:rsidRPr="00A44927">
        <w:t xml:space="preserve"> these</w:t>
      </w:r>
      <w:r w:rsidR="002279A3">
        <w:t>,</w:t>
      </w:r>
      <w:r w:rsidR="005575F0" w:rsidRPr="00A44927">
        <w:t xml:space="preserve"> </w:t>
      </w:r>
      <w:r w:rsidR="00BE6B32" w:rsidRPr="00A44927">
        <w:t>65 percent</w:t>
      </w:r>
      <w:r w:rsidR="005575F0" w:rsidRPr="00A44927">
        <w:t xml:space="preserve"> were for PID</w:t>
      </w:r>
      <w:r w:rsidR="00250EA0" w:rsidRPr="00A44927">
        <w:t xml:space="preserve">. While the initial infusions are administered in the public hospital outpatient setting to train the patient or the carer, SCIg is subsequently administered in the patient’s home. SCIg use at home is expected to increase. </w:t>
      </w:r>
    </w:p>
    <w:p w14:paraId="26B31CE5" w14:textId="4847A8F7" w:rsidR="0053485C" w:rsidRPr="00A44927" w:rsidRDefault="0053485C" w:rsidP="00A44927">
      <w:pPr>
        <w:spacing w:before="0" w:after="0"/>
      </w:pPr>
    </w:p>
    <w:p w14:paraId="48D236B2" w14:textId="29210569" w:rsidR="00FC13B8" w:rsidRPr="00A44927" w:rsidRDefault="008814F5">
      <w:pPr>
        <w:spacing w:before="0" w:after="200" w:line="276" w:lineRule="auto"/>
      </w:pPr>
      <w:r w:rsidRPr="00A44927">
        <w:rPr>
          <w:b/>
        </w:rPr>
        <w:t>Private s</w:t>
      </w:r>
      <w:r w:rsidR="00665077" w:rsidRPr="00A44927">
        <w:rPr>
          <w:b/>
        </w:rPr>
        <w:t>ame day infusion facility</w:t>
      </w:r>
      <w:r w:rsidR="00665077" w:rsidRPr="00A44927">
        <w:t xml:space="preserve"> (e.g.</w:t>
      </w:r>
      <w:r w:rsidR="00710269" w:rsidRPr="00A44927">
        <w:t xml:space="preserve"> </w:t>
      </w:r>
      <w:r w:rsidRPr="00A44927">
        <w:t>private infusion facility</w:t>
      </w:r>
      <w:r w:rsidR="00665077" w:rsidRPr="00A44927">
        <w:t xml:space="preserve"> where </w:t>
      </w:r>
      <w:r w:rsidR="008E3981" w:rsidRPr="00A44927">
        <w:t>chemotherapy or other</w:t>
      </w:r>
      <w:r w:rsidR="00710269" w:rsidRPr="00A44927">
        <w:t xml:space="preserve"> infusion/venesection</w:t>
      </w:r>
      <w:r w:rsidR="008E3981" w:rsidRPr="00A44927">
        <w:t xml:space="preserve"> procedures are </w:t>
      </w:r>
      <w:r w:rsidR="00B36F9D" w:rsidRPr="00A44927">
        <w:t xml:space="preserve">conducted). </w:t>
      </w:r>
      <w:r w:rsidRPr="00A44927">
        <w:t>These would be pre-arranged infusions.</w:t>
      </w:r>
    </w:p>
    <w:p w14:paraId="0C26264C" w14:textId="068CE4C8" w:rsidR="00FC13B8" w:rsidRPr="00A44927" w:rsidRDefault="00250EA0" w:rsidP="00FC13B8">
      <w:pPr>
        <w:spacing w:before="0" w:after="200" w:line="276" w:lineRule="auto"/>
      </w:pPr>
      <w:r w:rsidRPr="00A44927">
        <w:t xml:space="preserve">NBA data held for the 2017-18 financial year on CVID indicate around </w:t>
      </w:r>
      <w:r w:rsidR="00B56121" w:rsidRPr="00A44927">
        <w:t>74</w:t>
      </w:r>
      <w:r w:rsidR="00BE6B32" w:rsidRPr="00A44927">
        <w:t xml:space="preserve"> percent</w:t>
      </w:r>
      <w:r w:rsidRPr="00A44927">
        <w:t xml:space="preserve"> of patients are treated in the public setting than in the private setting (see Table </w:t>
      </w:r>
      <w:r w:rsidR="00487C6B">
        <w:t>6</w:t>
      </w:r>
      <w:r w:rsidRPr="00A44927">
        <w:t xml:space="preserve">). </w:t>
      </w:r>
      <w:r w:rsidR="00B56121" w:rsidRPr="00A44927">
        <w:t xml:space="preserve">Of all specific conditions in the Criteria V3, CVID and </w:t>
      </w:r>
      <w:r w:rsidR="00BE6B32" w:rsidRPr="00A44927">
        <w:t>possible CVID account for 82 percent</w:t>
      </w:r>
      <w:r w:rsidR="00B56121" w:rsidRPr="00A44927">
        <w:t xml:space="preserve"> of Ig issued for </w:t>
      </w:r>
      <w:r w:rsidR="00BB7B2E" w:rsidRPr="00A44927">
        <w:t xml:space="preserve">PID. </w:t>
      </w:r>
    </w:p>
    <w:p w14:paraId="33B5A18B" w14:textId="663179B0" w:rsidR="00F668BA" w:rsidRPr="00A44927" w:rsidRDefault="00F668BA" w:rsidP="00FC13B8">
      <w:pPr>
        <w:spacing w:before="0" w:after="200" w:line="276" w:lineRule="auto"/>
        <w:rPr>
          <w:i/>
        </w:rPr>
      </w:pPr>
      <w:r w:rsidRPr="00A44927">
        <w:rPr>
          <w:i/>
        </w:rPr>
        <w:t xml:space="preserve">Table </w:t>
      </w:r>
      <w:r w:rsidR="00F13746">
        <w:rPr>
          <w:i/>
        </w:rPr>
        <w:t>6</w:t>
      </w:r>
      <w:r w:rsidRPr="00A44927">
        <w:t xml:space="preserve">: </w:t>
      </w:r>
      <w:r w:rsidRPr="00A44927">
        <w:rPr>
          <w:i/>
        </w:rPr>
        <w:t>2017-18 Public and private patients receiving Ig for CVID</w:t>
      </w:r>
      <w:r w:rsidR="00B56121" w:rsidRPr="00A44927">
        <w:rPr>
          <w:i/>
        </w:rPr>
        <w:t>: sourced f</w:t>
      </w:r>
      <w:r w:rsidR="00BB7B2E" w:rsidRPr="00A44927">
        <w:rPr>
          <w:i/>
        </w:rPr>
        <w:t>rom the National Report on the Issue and U</w:t>
      </w:r>
      <w:r w:rsidR="00B56121" w:rsidRPr="00A44927">
        <w:rPr>
          <w:i/>
        </w:rPr>
        <w:t xml:space="preserve">se of Immunoglobulin (Ig) </w:t>
      </w:r>
      <w:r w:rsidR="00B56121" w:rsidRPr="00BD43DA">
        <w:rPr>
          <w:i/>
        </w:rPr>
        <w:t>(</w:t>
      </w:r>
      <w:r w:rsidR="005E2EBE">
        <w:rPr>
          <w:i/>
        </w:rPr>
        <w:t>p</w:t>
      </w:r>
      <w:r w:rsidR="00BD43DA" w:rsidRPr="00BD43DA">
        <w:rPr>
          <w:i/>
        </w:rPr>
        <w:t>ublication forthcoming, date to be confirmed</w:t>
      </w:r>
      <w:r w:rsidR="00B56121" w:rsidRPr="00BD43DA">
        <w:rPr>
          <w:i/>
        </w:rPr>
        <w:t>)</w:t>
      </w:r>
    </w:p>
    <w:tbl>
      <w:tblPr>
        <w:tblStyle w:val="TableGrid"/>
        <w:tblW w:w="0" w:type="auto"/>
        <w:tblLook w:val="04A0" w:firstRow="1" w:lastRow="0" w:firstColumn="1" w:lastColumn="0" w:noHBand="0" w:noVBand="1"/>
        <w:tblDescription w:val="Table 6: 2017-18 Public and private patients receiving Ig for CVID: sourced from the National Report on the Issue and Use of Immunoglobulin (Ig) (publication forthcoming, date to be confirmed)"/>
      </w:tblPr>
      <w:tblGrid>
        <w:gridCol w:w="2621"/>
        <w:gridCol w:w="1514"/>
        <w:gridCol w:w="1194"/>
        <w:gridCol w:w="1194"/>
      </w:tblGrid>
      <w:tr w:rsidR="00F668BA" w14:paraId="51E818CE" w14:textId="77777777" w:rsidTr="00891D8E">
        <w:trPr>
          <w:tblHeader/>
        </w:trPr>
        <w:tc>
          <w:tcPr>
            <w:tcW w:w="2621" w:type="dxa"/>
          </w:tcPr>
          <w:p w14:paraId="69FC8D46" w14:textId="4E0D0F5D" w:rsidR="00F668BA" w:rsidRPr="00B34D06" w:rsidRDefault="00F668BA" w:rsidP="00B56121">
            <w:pPr>
              <w:spacing w:before="0" w:after="200" w:line="276" w:lineRule="auto"/>
              <w:rPr>
                <w:b/>
              </w:rPr>
            </w:pPr>
          </w:p>
        </w:tc>
        <w:tc>
          <w:tcPr>
            <w:tcW w:w="1514" w:type="dxa"/>
            <w:shd w:val="clear" w:color="auto" w:fill="C00000"/>
          </w:tcPr>
          <w:p w14:paraId="1DF7C070" w14:textId="77777777" w:rsidR="00F668BA" w:rsidRDefault="00F668BA" w:rsidP="00B56121">
            <w:pPr>
              <w:spacing w:before="0" w:after="200" w:line="276" w:lineRule="auto"/>
              <w:rPr>
                <w:color w:val="FFFFFF" w:themeColor="background1"/>
              </w:rPr>
            </w:pPr>
            <w:r>
              <w:rPr>
                <w:color w:val="FFFFFF" w:themeColor="background1"/>
              </w:rPr>
              <w:t>Public</w:t>
            </w:r>
          </w:p>
          <w:p w14:paraId="18C49405" w14:textId="66E465BD" w:rsidR="00F668BA" w:rsidRPr="002F7D31" w:rsidRDefault="00F668BA" w:rsidP="00B56121">
            <w:pPr>
              <w:spacing w:before="0" w:after="200" w:line="276" w:lineRule="auto"/>
              <w:rPr>
                <w:color w:val="FFFFFF" w:themeColor="background1"/>
              </w:rPr>
            </w:pPr>
            <w:r>
              <w:rPr>
                <w:color w:val="FFFFFF" w:themeColor="background1"/>
              </w:rPr>
              <w:t>n (%)</w:t>
            </w:r>
          </w:p>
        </w:tc>
        <w:tc>
          <w:tcPr>
            <w:tcW w:w="1194" w:type="dxa"/>
            <w:shd w:val="clear" w:color="auto" w:fill="C00000"/>
          </w:tcPr>
          <w:p w14:paraId="22113D20" w14:textId="77777777" w:rsidR="00F668BA" w:rsidRDefault="00F668BA" w:rsidP="00F668BA">
            <w:pPr>
              <w:spacing w:before="0" w:after="200" w:line="276" w:lineRule="auto"/>
              <w:rPr>
                <w:color w:val="FFFFFF" w:themeColor="background1"/>
              </w:rPr>
            </w:pPr>
            <w:r w:rsidRPr="002F7D31">
              <w:rPr>
                <w:color w:val="FFFFFF" w:themeColor="background1"/>
              </w:rPr>
              <w:t xml:space="preserve">Private </w:t>
            </w:r>
          </w:p>
          <w:p w14:paraId="705AEAE1" w14:textId="79C0F8F5" w:rsidR="00F668BA" w:rsidRPr="002F7D31" w:rsidRDefault="00F668BA" w:rsidP="00F668BA">
            <w:pPr>
              <w:spacing w:before="0" w:after="200" w:line="276" w:lineRule="auto"/>
              <w:rPr>
                <w:color w:val="FFFFFF" w:themeColor="background1"/>
              </w:rPr>
            </w:pPr>
            <w:r>
              <w:rPr>
                <w:color w:val="FFFFFF" w:themeColor="background1"/>
              </w:rPr>
              <w:t>n (%)</w:t>
            </w:r>
          </w:p>
        </w:tc>
        <w:tc>
          <w:tcPr>
            <w:tcW w:w="1194" w:type="dxa"/>
            <w:shd w:val="clear" w:color="auto" w:fill="C00000"/>
          </w:tcPr>
          <w:p w14:paraId="6D8E762F" w14:textId="77777777" w:rsidR="00F668BA" w:rsidRDefault="00F668BA" w:rsidP="00B56121">
            <w:pPr>
              <w:spacing w:before="0" w:after="200" w:line="276" w:lineRule="auto"/>
              <w:rPr>
                <w:color w:val="FFFFFF" w:themeColor="background1"/>
              </w:rPr>
            </w:pPr>
            <w:r>
              <w:rPr>
                <w:color w:val="FFFFFF" w:themeColor="background1"/>
              </w:rPr>
              <w:t>Total</w:t>
            </w:r>
          </w:p>
          <w:p w14:paraId="6AF19B84" w14:textId="7246A292" w:rsidR="00F668BA" w:rsidRPr="002F7D31" w:rsidRDefault="00F668BA" w:rsidP="00B56121">
            <w:pPr>
              <w:spacing w:before="0" w:after="200" w:line="276" w:lineRule="auto"/>
              <w:rPr>
                <w:color w:val="FFFFFF" w:themeColor="background1"/>
              </w:rPr>
            </w:pPr>
            <w:r>
              <w:rPr>
                <w:color w:val="FFFFFF" w:themeColor="background1"/>
              </w:rPr>
              <w:t>N (%)</w:t>
            </w:r>
          </w:p>
        </w:tc>
      </w:tr>
      <w:tr w:rsidR="00F668BA" w14:paraId="024A5134" w14:textId="77777777" w:rsidTr="00B56121">
        <w:tc>
          <w:tcPr>
            <w:tcW w:w="2621" w:type="dxa"/>
          </w:tcPr>
          <w:p w14:paraId="500C686F" w14:textId="43787D0A" w:rsidR="00F668BA" w:rsidRPr="00B34D06" w:rsidRDefault="00F668BA" w:rsidP="00B56121">
            <w:pPr>
              <w:spacing w:before="0" w:after="200" w:line="276" w:lineRule="auto"/>
            </w:pPr>
            <w:r>
              <w:t>Patients</w:t>
            </w:r>
          </w:p>
        </w:tc>
        <w:tc>
          <w:tcPr>
            <w:tcW w:w="1514" w:type="dxa"/>
          </w:tcPr>
          <w:p w14:paraId="070F3CC0" w14:textId="7F23E8AF" w:rsidR="00F668BA" w:rsidRPr="00B34D06" w:rsidRDefault="00F668BA" w:rsidP="00B56121">
            <w:pPr>
              <w:spacing w:before="0" w:after="200" w:line="276" w:lineRule="auto"/>
            </w:pPr>
            <w:r>
              <w:t>1464 (74%)</w:t>
            </w:r>
          </w:p>
        </w:tc>
        <w:tc>
          <w:tcPr>
            <w:tcW w:w="1194" w:type="dxa"/>
          </w:tcPr>
          <w:p w14:paraId="2E3F20AD" w14:textId="4FB21E2E" w:rsidR="00F668BA" w:rsidRPr="00B34D06" w:rsidRDefault="00F668BA" w:rsidP="00B56121">
            <w:pPr>
              <w:spacing w:before="0" w:after="200" w:line="276" w:lineRule="auto"/>
            </w:pPr>
            <w:r>
              <w:t>504 (26%)</w:t>
            </w:r>
          </w:p>
        </w:tc>
        <w:tc>
          <w:tcPr>
            <w:tcW w:w="1194" w:type="dxa"/>
          </w:tcPr>
          <w:p w14:paraId="46D55C7F" w14:textId="34DCE006" w:rsidR="00F668BA" w:rsidRPr="00B34D06" w:rsidRDefault="00F668BA" w:rsidP="00B56121">
            <w:pPr>
              <w:spacing w:before="0" w:after="200" w:line="276" w:lineRule="auto"/>
            </w:pPr>
            <w:r>
              <w:t>1,968 (100%)</w:t>
            </w:r>
          </w:p>
        </w:tc>
      </w:tr>
      <w:tr w:rsidR="00F668BA" w14:paraId="0B993ACD" w14:textId="77777777" w:rsidTr="00B56121">
        <w:tc>
          <w:tcPr>
            <w:tcW w:w="2621" w:type="dxa"/>
          </w:tcPr>
          <w:p w14:paraId="2242E829" w14:textId="03E3DE17" w:rsidR="00F668BA" w:rsidRDefault="00F668BA" w:rsidP="00B56121">
            <w:pPr>
              <w:spacing w:before="0" w:after="200" w:line="276" w:lineRule="auto"/>
            </w:pPr>
            <w:r>
              <w:t>Grams</w:t>
            </w:r>
          </w:p>
        </w:tc>
        <w:tc>
          <w:tcPr>
            <w:tcW w:w="1514" w:type="dxa"/>
          </w:tcPr>
          <w:p w14:paraId="7BD12935" w14:textId="5989224F" w:rsidR="00F668BA" w:rsidRDefault="00F668BA" w:rsidP="00B56121">
            <w:pPr>
              <w:spacing w:before="0" w:after="200" w:line="276" w:lineRule="auto"/>
            </w:pPr>
            <w:r>
              <w:t>484,500 (76%)</w:t>
            </w:r>
          </w:p>
        </w:tc>
        <w:tc>
          <w:tcPr>
            <w:tcW w:w="1194" w:type="dxa"/>
          </w:tcPr>
          <w:p w14:paraId="4842E990" w14:textId="00E92BED" w:rsidR="00F668BA" w:rsidRDefault="00F668BA" w:rsidP="00B56121">
            <w:pPr>
              <w:spacing w:before="0" w:after="200" w:line="276" w:lineRule="auto"/>
            </w:pPr>
            <w:r>
              <w:t xml:space="preserve">154,138 (24%) </w:t>
            </w:r>
          </w:p>
        </w:tc>
        <w:tc>
          <w:tcPr>
            <w:tcW w:w="1194" w:type="dxa"/>
          </w:tcPr>
          <w:p w14:paraId="4A070D62" w14:textId="1A957836" w:rsidR="00F668BA" w:rsidRDefault="00F668BA" w:rsidP="00B56121">
            <w:pPr>
              <w:spacing w:before="0" w:after="200" w:line="276" w:lineRule="auto"/>
            </w:pPr>
            <w:r>
              <w:t>638,638 (100%)</w:t>
            </w:r>
          </w:p>
        </w:tc>
      </w:tr>
    </w:tbl>
    <w:p w14:paraId="23895856" w14:textId="4FEE0C07" w:rsidR="00F668BA" w:rsidRDefault="00F668BA" w:rsidP="00FC13B8">
      <w:pPr>
        <w:spacing w:before="0" w:after="200" w:line="276" w:lineRule="auto"/>
        <w:rPr>
          <w:color w:val="7030A0"/>
        </w:rPr>
      </w:pPr>
    </w:p>
    <w:p w14:paraId="497452AE" w14:textId="299F5073" w:rsidR="00BB0DED" w:rsidRPr="00154B00" w:rsidRDefault="00BB0DED" w:rsidP="00A876CA">
      <w:pPr>
        <w:pStyle w:val="Heading2"/>
        <w:shd w:val="clear" w:color="auto" w:fill="D9D9D9" w:themeFill="background1" w:themeFillShade="D9"/>
        <w:tabs>
          <w:tab w:val="left" w:pos="284"/>
        </w:tabs>
        <w:ind w:left="284" w:hanging="284"/>
      </w:pPr>
      <w:r w:rsidRPr="00154B00">
        <w:t xml:space="preserve">Define and </w:t>
      </w:r>
      <w:r w:rsidRPr="004A0BF4">
        <w:t>summarise</w:t>
      </w:r>
      <w:r w:rsidRPr="00154B00">
        <w:t xml:space="preserve"> </w:t>
      </w:r>
      <w:r w:rsidR="001A6CFE">
        <w:t xml:space="preserve">the </w:t>
      </w:r>
      <w:r w:rsidRPr="00154B00">
        <w:t>current clinical management pathways (</w:t>
      </w:r>
      <w:r w:rsidR="00603281">
        <w:t xml:space="preserve">algorithm) </w:t>
      </w:r>
      <w:r w:rsidRPr="00154B00">
        <w:t xml:space="preserve">from the point of </w:t>
      </w:r>
      <w:r w:rsidR="004D1BA3" w:rsidRPr="006D74D3">
        <w:t>initiating</w:t>
      </w:r>
      <w:r w:rsidRPr="006D74D3">
        <w:t xml:space="preserve"> Ig therapy</w:t>
      </w:r>
      <w:r w:rsidR="00603281">
        <w:t xml:space="preserve"> within the scope of this referral</w:t>
      </w:r>
      <w:r w:rsidRPr="006D74D3">
        <w:t>, i</w:t>
      </w:r>
      <w:r w:rsidRPr="00154B00">
        <w:t xml:space="preserve">ncluding </w:t>
      </w:r>
      <w:r>
        <w:t xml:space="preserve">provision of </w:t>
      </w:r>
      <w:r w:rsidRPr="00154B00">
        <w:t>health care resources</w:t>
      </w:r>
      <w:r w:rsidR="00746A27" w:rsidRPr="00154B00">
        <w:t xml:space="preserve"> (supplement this summary with an easy to follow </w:t>
      </w:r>
      <w:r w:rsidR="00746A27">
        <w:t xml:space="preserve">flow chart, </w:t>
      </w:r>
      <w:r w:rsidR="00746A27" w:rsidRPr="00154B00">
        <w:t>including health care resources</w:t>
      </w:r>
      <w:r w:rsidR="00746A27">
        <w:t>)</w:t>
      </w:r>
      <w:r>
        <w:t>:</w:t>
      </w:r>
    </w:p>
    <w:p w14:paraId="302332FA" w14:textId="77777777" w:rsidR="00A44927" w:rsidRDefault="00A44927" w:rsidP="00193758">
      <w:pPr>
        <w:pStyle w:val="ListParagraph"/>
        <w:ind w:left="0"/>
      </w:pPr>
    </w:p>
    <w:p w14:paraId="264A065E" w14:textId="21C66635" w:rsidR="00193758" w:rsidRDefault="00193758" w:rsidP="00193758">
      <w:pPr>
        <w:pStyle w:val="ListParagraph"/>
        <w:ind w:left="0"/>
      </w:pPr>
      <w:r>
        <w:t xml:space="preserve">The current basis for ongoing access to Ig products for PID under Version 3 of the </w:t>
      </w:r>
      <w:r w:rsidRPr="00A44927">
        <w:t xml:space="preserve">Criteria </w:t>
      </w:r>
      <w:r>
        <w:t>under the National Blood Arrangements is described</w:t>
      </w:r>
      <w:r w:rsidR="00905BCE">
        <w:t xml:space="preserve"> at </w:t>
      </w:r>
      <w:hyperlink r:id="rId30" w:tooltip="link to webpage" w:history="1">
        <w:r w:rsidR="00905BCE" w:rsidRPr="008B3584">
          <w:rPr>
            <w:rStyle w:val="Hyperlink"/>
          </w:rPr>
          <w:t>https://www.criteria.blood.gov.au/MedicalCondition/View/2576</w:t>
        </w:r>
      </w:hyperlink>
      <w:r w:rsidR="00905BCE">
        <w:t xml:space="preserve"> or</w:t>
      </w:r>
      <w:r>
        <w:t xml:space="preserve"> in detail at </w:t>
      </w:r>
      <w:r w:rsidRPr="00CA1D58">
        <w:rPr>
          <w:u w:val="single"/>
        </w:rPr>
        <w:t xml:space="preserve">Attachment </w:t>
      </w:r>
      <w:r>
        <w:rPr>
          <w:u w:val="single"/>
        </w:rPr>
        <w:t>B</w:t>
      </w:r>
      <w:r>
        <w:t xml:space="preserve"> </w:t>
      </w:r>
      <w:r w:rsidRPr="001B6668">
        <w:t>(V3 C</w:t>
      </w:r>
      <w:r>
        <w:t>ondition</w:t>
      </w:r>
      <w:r w:rsidRPr="001B6668">
        <w:t xml:space="preserve"> Proforma)</w:t>
      </w:r>
      <w:r w:rsidR="00905BCE">
        <w:t>.</w:t>
      </w:r>
      <w:r w:rsidR="009C1371">
        <w:t xml:space="preserve">   If there is a discrepancy between the information contained from the weblink and the detailed proforma at Attachment B, the web-link should take precedence. </w:t>
      </w:r>
    </w:p>
    <w:p w14:paraId="40DD1A4C" w14:textId="29B94F01" w:rsidR="00193758" w:rsidRDefault="00193758" w:rsidP="00193758">
      <w:r>
        <w:t>A schematic summary of the basis for ongoing access to Ig therapy for</w:t>
      </w:r>
      <w:r w:rsidR="00905BCE">
        <w:t xml:space="preserve"> PID</w:t>
      </w:r>
      <w:r>
        <w:t>, is provided at Figure 2.</w:t>
      </w:r>
    </w:p>
    <w:p w14:paraId="7D469BD0" w14:textId="29379944" w:rsidR="00193758" w:rsidRDefault="00193758" w:rsidP="00193758">
      <w:r>
        <w:t xml:space="preserve">Please note that in the event of any discrepancy between Figure 2 and </w:t>
      </w:r>
      <w:r w:rsidR="009C1371">
        <w:t>the BloodSTAR weblink</w:t>
      </w:r>
      <w:r>
        <w:t xml:space="preserve">, the material from </w:t>
      </w:r>
      <w:r w:rsidR="009C1371">
        <w:t>the BloodSTAR weblink</w:t>
      </w:r>
      <w:r>
        <w:t xml:space="preserve"> should take precedence over any interpretation taken in Figure 2.</w:t>
      </w:r>
    </w:p>
    <w:p w14:paraId="18D48256" w14:textId="77777777" w:rsidR="00193758" w:rsidRDefault="00193758" w:rsidP="00193758">
      <w:pPr>
        <w:rPr>
          <w:b/>
          <w:i/>
        </w:rPr>
      </w:pPr>
    </w:p>
    <w:p w14:paraId="5E26237D" w14:textId="77777777" w:rsidR="009E29A7" w:rsidRDefault="009E29A7">
      <w:pPr>
        <w:spacing w:before="0" w:after="200" w:line="276" w:lineRule="auto"/>
        <w:rPr>
          <w:b/>
          <w:i/>
        </w:rPr>
      </w:pPr>
      <w:r>
        <w:rPr>
          <w:b/>
          <w:i/>
        </w:rPr>
        <w:br w:type="page"/>
      </w:r>
    </w:p>
    <w:p w14:paraId="2B98D5D1" w14:textId="539D8C8F" w:rsidR="00193758" w:rsidRDefault="00193758" w:rsidP="00193758">
      <w:pPr>
        <w:rPr>
          <w:b/>
          <w:i/>
        </w:rPr>
      </w:pPr>
      <w:r w:rsidRPr="00D8249D">
        <w:rPr>
          <w:b/>
          <w:i/>
        </w:rPr>
        <w:t>FIGURE 2</w:t>
      </w:r>
      <w:r w:rsidRPr="00D8249D">
        <w:rPr>
          <w:b/>
          <w:i/>
          <w:u w:val="single"/>
        </w:rPr>
        <w:t xml:space="preserve"> –</w:t>
      </w:r>
      <w:r w:rsidRPr="00D8249D">
        <w:rPr>
          <w:b/>
          <w:i/>
        </w:rPr>
        <w:t>Continuing access to Ig funded under the National Blood Arrangements as per this Referral – Algorithm</w:t>
      </w:r>
      <w:r w:rsidR="00D61F7F">
        <w:rPr>
          <w:b/>
          <w:i/>
        </w:rPr>
        <w:t>. NOTE: this algorithm is a representation only, not all conditions are able to be captured in one flowchart.</w:t>
      </w:r>
    </w:p>
    <w:p w14:paraId="78DF4159" w14:textId="2EE80270" w:rsidR="008F0772" w:rsidRPr="00D8249D" w:rsidRDefault="00891D8E" w:rsidP="008F0772">
      <w:pPr>
        <w:ind w:left="-1134" w:right="-1136"/>
      </w:pPr>
      <w:r>
        <w:object w:dxaOrig="14002" w:dyaOrig="12633" w14:anchorId="58604CA5">
          <v:shape id="_x0000_i1026" type="#_x0000_t75" alt="FIGURE 2 –Continuing access to Ig funded under the National Blood Arrangements as per this Referral – Algorithm. NOTE: this algorithm is a representation only, not all conditions are able to be captured in one flowchart." style="width:551.25pt;height:504.75pt" o:ole="">
            <v:imagedata r:id="rId31" o:title=""/>
          </v:shape>
          <o:OLEObject Type="Embed" ProgID="Visio.Drawing.11" ShapeID="_x0000_i1026" DrawAspect="Content" ObjectID="_1658645873" r:id="rId32"/>
        </w:object>
      </w:r>
    </w:p>
    <w:p w14:paraId="22AEA4EC" w14:textId="16715662" w:rsidR="00032BDB" w:rsidRDefault="00032BDB">
      <w:pPr>
        <w:spacing w:before="0" w:after="200" w:line="276" w:lineRule="auto"/>
        <w:rPr>
          <w:szCs w:val="20"/>
        </w:rPr>
      </w:pPr>
      <w:r>
        <w:rPr>
          <w:szCs w:val="20"/>
        </w:rPr>
        <w:br w:type="page"/>
      </w:r>
    </w:p>
    <w:p w14:paraId="20F9C4AF" w14:textId="77777777" w:rsidR="00E60529" w:rsidRPr="00881F93" w:rsidRDefault="00E60529" w:rsidP="00555BBE">
      <w:pPr>
        <w:pStyle w:val="Heading1"/>
        <w:tabs>
          <w:tab w:val="left" w:pos="284"/>
        </w:tabs>
      </w:pPr>
      <w:r w:rsidRPr="00881F93">
        <w:t>INFORMATION ABOUT THE COMPARATOR</w:t>
      </w:r>
      <w:r w:rsidR="00A83EC6" w:rsidRPr="00881F93">
        <w:t>(S)</w:t>
      </w:r>
    </w:p>
    <w:p w14:paraId="28FB23F9" w14:textId="77777777" w:rsidR="00E60529" w:rsidRDefault="00A83EC6" w:rsidP="00A876CA">
      <w:pPr>
        <w:pStyle w:val="Heading2"/>
        <w:shd w:val="clear" w:color="auto" w:fill="D9D9D9" w:themeFill="background1" w:themeFillShade="D9"/>
        <w:tabs>
          <w:tab w:val="left" w:pos="284"/>
        </w:tabs>
        <w:ind w:left="284" w:hanging="284"/>
      </w:pPr>
      <w:r w:rsidRPr="008C4715">
        <w:t>Nominate the appropriate comparator</w:t>
      </w:r>
      <w:r w:rsidR="000F1142" w:rsidRPr="008C4715">
        <w:t>s</w:t>
      </w:r>
      <w:r w:rsidRPr="008C4715">
        <w:t xml:space="preserve"> for </w:t>
      </w:r>
      <w:r w:rsidR="00C20B3F" w:rsidRPr="008C4715">
        <w:t xml:space="preserve">Ig </w:t>
      </w:r>
      <w:r w:rsidRPr="008C4715">
        <w:t>the</w:t>
      </w:r>
      <w:r w:rsidR="00C20B3F" w:rsidRPr="008C4715">
        <w:t>rapy</w:t>
      </w:r>
      <w:r w:rsidR="00757232" w:rsidRPr="008C4715">
        <w:t>, i</w:t>
      </w:r>
      <w:r w:rsidR="00D30BDC" w:rsidRPr="008C4715">
        <w:t>.</w:t>
      </w:r>
      <w:r w:rsidR="000159B9" w:rsidRPr="008C4715">
        <w:t xml:space="preserve">e. how </w:t>
      </w:r>
      <w:r w:rsidR="00C20B3F" w:rsidRPr="008C4715">
        <w:t xml:space="preserve">would </w:t>
      </w:r>
      <w:r w:rsidR="000159B9" w:rsidRPr="008C4715">
        <w:t xml:space="preserve">the </w:t>
      </w:r>
      <w:r w:rsidR="00C20B3F" w:rsidRPr="008C4715">
        <w:t xml:space="preserve">eligible </w:t>
      </w:r>
      <w:r w:rsidR="000159B9" w:rsidRPr="008C4715">
        <w:t>population</w:t>
      </w:r>
      <w:r w:rsidR="00D231AA" w:rsidRPr="008C4715">
        <w:t>s</w:t>
      </w:r>
      <w:r w:rsidR="000159B9" w:rsidRPr="008C4715">
        <w:t xml:space="preserve"> </w:t>
      </w:r>
      <w:r w:rsidR="00C20B3F" w:rsidRPr="008C4715">
        <w:t xml:space="preserve">be </w:t>
      </w:r>
      <w:r w:rsidR="00AC3D93" w:rsidRPr="008C4715">
        <w:t xml:space="preserve">managed </w:t>
      </w:r>
      <w:r w:rsidR="00746A27" w:rsidRPr="008C4715">
        <w:t>if</w:t>
      </w:r>
      <w:r w:rsidR="00AC3D93" w:rsidRPr="008C4715">
        <w:t xml:space="preserve"> they </w:t>
      </w:r>
      <w:r w:rsidR="00746A27" w:rsidRPr="008C4715">
        <w:t>cannot</w:t>
      </w:r>
      <w:r w:rsidR="00AC3D93" w:rsidRPr="008C4715">
        <w:t xml:space="preserve"> receive </w:t>
      </w:r>
      <w:r w:rsidR="00C20B3F" w:rsidRPr="008C4715">
        <w:t xml:space="preserve">Ig </w:t>
      </w:r>
      <w:r w:rsidR="00AC3D93" w:rsidRPr="008C4715">
        <w:t>the</w:t>
      </w:r>
      <w:r w:rsidR="00C20B3F" w:rsidRPr="008C4715">
        <w:t>rapy</w:t>
      </w:r>
      <w:r w:rsidR="00AC3D93" w:rsidRPr="008C4715">
        <w:t xml:space="preserve"> </w:t>
      </w:r>
      <w:r w:rsidR="00257FF2" w:rsidRPr="008C4715">
        <w:t>(</w:t>
      </w:r>
      <w:r w:rsidR="00757232" w:rsidRPr="008C4715">
        <w:t xml:space="preserve">including </w:t>
      </w:r>
      <w:r w:rsidR="00257FF2" w:rsidRPr="008C4715">
        <w:t>identify</w:t>
      </w:r>
      <w:r w:rsidR="00757232" w:rsidRPr="008C4715">
        <w:t>ing</w:t>
      </w:r>
      <w:r w:rsidR="00E4321E" w:rsidRPr="008C4715">
        <w:t xml:space="preserve"> health care resources that </w:t>
      </w:r>
      <w:r w:rsidR="00D231AA" w:rsidRPr="008C4715">
        <w:t xml:space="preserve">are </w:t>
      </w:r>
      <w:r w:rsidR="00E4321E" w:rsidRPr="008C4715">
        <w:t xml:space="preserve">delivered at </w:t>
      </w:r>
      <w:r w:rsidR="00257FF2" w:rsidRPr="008C4715">
        <w:t xml:space="preserve">the </w:t>
      </w:r>
      <w:r w:rsidR="00E4321E" w:rsidRPr="008C4715">
        <w:t xml:space="preserve">same time </w:t>
      </w:r>
      <w:r w:rsidR="00257FF2" w:rsidRPr="008C4715">
        <w:t>as the</w:t>
      </w:r>
      <w:r w:rsidR="00E4321E" w:rsidRPr="008C4715">
        <w:t xml:space="preserve"> </w:t>
      </w:r>
      <w:r w:rsidR="00257FF2" w:rsidRPr="008C4715">
        <w:t xml:space="preserve">comparator </w:t>
      </w:r>
      <w:r w:rsidR="00603281">
        <w:t xml:space="preserve">product or </w:t>
      </w:r>
      <w:r w:rsidR="00E4321E" w:rsidRPr="008C4715">
        <w:t>service</w:t>
      </w:r>
      <w:r w:rsidR="00257FF2" w:rsidRPr="008C4715">
        <w:t>)</w:t>
      </w:r>
      <w:r w:rsidR="00AE1188" w:rsidRPr="008C4715">
        <w:t>:</w:t>
      </w:r>
      <w:r w:rsidR="007226AA" w:rsidRPr="008C4715">
        <w:t xml:space="preserve"> </w:t>
      </w:r>
    </w:p>
    <w:p w14:paraId="20D53AD2" w14:textId="57BABD27" w:rsidR="00285E59" w:rsidRDefault="00EA46CE" w:rsidP="00A60478">
      <w:r>
        <w:t xml:space="preserve">Standard therapy for PIDs may include Ig, </w:t>
      </w:r>
      <w:r w:rsidR="00193F76">
        <w:t>hematopoietic stem cell transplant (</w:t>
      </w:r>
      <w:r>
        <w:t>HSCT</w:t>
      </w:r>
      <w:r w:rsidR="00193F76">
        <w:t>)</w:t>
      </w:r>
      <w:r>
        <w:t xml:space="preserve"> and/or gene therapy. Treatment of underlying cause</w:t>
      </w:r>
      <w:r w:rsidR="00255B1F">
        <w:t xml:space="preserve"> may include splenectomy, thymectomy, chemotherapy, immunomodulation, </w:t>
      </w:r>
      <w:r>
        <w:t>antivirals prophylactically or as needed, plasmapheresis, Rituximab and Cytokine inhibitors or supplements</w:t>
      </w:r>
      <w:r w:rsidR="00524FED">
        <w:t xml:space="preserve">. Aggressive and prolonged antimicrobial therapy should be considered for immunodeficient patients. Long-term antibiotic therapy might be required in addition to Ig replacement for preventing infection in antibody-deficient </w:t>
      </w:r>
      <w:r w:rsidR="00193F76">
        <w:t>patients</w:t>
      </w:r>
      <w:r>
        <w:rPr>
          <w:rStyle w:val="FootnoteReference"/>
        </w:rPr>
        <w:footnoteReference w:id="13"/>
      </w:r>
      <w:r w:rsidR="00255B1F">
        <w:t>.</w:t>
      </w:r>
      <w:r w:rsidR="00C76589">
        <w:t xml:space="preserve"> However, </w:t>
      </w:r>
      <w:r w:rsidR="001E3257">
        <w:t xml:space="preserve">the Thoracic Society of Australia and New Zealand Clinical Practice Guideline </w:t>
      </w:r>
      <w:r w:rsidR="00A44927">
        <w:t>suggested</w:t>
      </w:r>
      <w:r w:rsidR="001E3257">
        <w:t xml:space="preserve"> that long-term oral antibiotics should not be prescribed routinely for patients with chronic suppurative lung disease and bronchiectasis</w:t>
      </w:r>
      <w:r w:rsidR="001E3257">
        <w:rPr>
          <w:rStyle w:val="FootnoteReference"/>
        </w:rPr>
        <w:footnoteReference w:id="14"/>
      </w:r>
      <w:r w:rsidR="001E3257">
        <w:t>.</w:t>
      </w:r>
    </w:p>
    <w:p w14:paraId="53F465E4" w14:textId="790691EC" w:rsidR="00EA46CE" w:rsidRDefault="005231C9" w:rsidP="00A60478">
      <w:r>
        <w:t xml:space="preserve">The Ig Reference Group agreed that given the </w:t>
      </w:r>
      <w:r w:rsidR="003208BB">
        <w:t>heterogeneous</w:t>
      </w:r>
      <w:r>
        <w:t xml:space="preserve"> patient group, ‘no Ig’ is </w:t>
      </w:r>
      <w:r w:rsidR="00EA46CE">
        <w:t>the</w:t>
      </w:r>
      <w:r>
        <w:t xml:space="preserve"> most appropriate</w:t>
      </w:r>
      <w:r w:rsidR="00EA46CE">
        <w:t xml:space="preserve"> comparator for this condition.</w:t>
      </w:r>
      <w:r>
        <w:t xml:space="preserve"> </w:t>
      </w:r>
      <w:r w:rsidR="00CF65BE">
        <w:t>Best supportive care may or may not include antibiotic treatment, prophylactic antibiotics, and antimicrobials.</w:t>
      </w:r>
    </w:p>
    <w:p w14:paraId="32CACED7" w14:textId="3D4A0EC9" w:rsidR="00CF65BE" w:rsidRPr="00F95649" w:rsidRDefault="00F13746" w:rsidP="00A60478">
      <w:pPr>
        <w:rPr>
          <w:i/>
        </w:rPr>
      </w:pPr>
      <w:r>
        <w:rPr>
          <w:i/>
        </w:rPr>
        <w:t>Table 7</w:t>
      </w:r>
      <w:r w:rsidR="00F95649" w:rsidRPr="00F95649">
        <w:rPr>
          <w:i/>
        </w:rPr>
        <w:t>: Sensitivities for comparator</w:t>
      </w:r>
    </w:p>
    <w:tbl>
      <w:tblPr>
        <w:tblStyle w:val="TableGrid"/>
        <w:tblW w:w="0" w:type="auto"/>
        <w:tblLook w:val="04A0" w:firstRow="1" w:lastRow="0" w:firstColumn="1" w:lastColumn="0" w:noHBand="0" w:noVBand="1"/>
        <w:tblDescription w:val="Table 7: Sensitivities for comparator"/>
      </w:tblPr>
      <w:tblGrid>
        <w:gridCol w:w="2088"/>
        <w:gridCol w:w="1238"/>
        <w:gridCol w:w="1238"/>
        <w:gridCol w:w="1248"/>
        <w:gridCol w:w="3474"/>
      </w:tblGrid>
      <w:tr w:rsidR="00F95649" w:rsidRPr="00F95649" w14:paraId="7F43CCE3" w14:textId="658255E7" w:rsidTr="00891D8E">
        <w:trPr>
          <w:tblHeader/>
        </w:trPr>
        <w:tc>
          <w:tcPr>
            <w:tcW w:w="2088" w:type="dxa"/>
            <w:shd w:val="clear" w:color="auto" w:fill="EAF1DD" w:themeFill="accent3" w:themeFillTint="33"/>
          </w:tcPr>
          <w:p w14:paraId="0A64DB30" w14:textId="1AEA6708" w:rsidR="00BC3F53" w:rsidRPr="00F95649" w:rsidRDefault="00BC3F53" w:rsidP="00A60478">
            <w:pPr>
              <w:rPr>
                <w:b/>
                <w:i/>
                <w:szCs w:val="20"/>
              </w:rPr>
            </w:pPr>
            <w:r w:rsidRPr="00F95649">
              <w:rPr>
                <w:b/>
                <w:i/>
                <w:szCs w:val="20"/>
              </w:rPr>
              <w:t>Diagnosis</w:t>
            </w:r>
          </w:p>
        </w:tc>
        <w:tc>
          <w:tcPr>
            <w:tcW w:w="1238" w:type="dxa"/>
            <w:shd w:val="clear" w:color="auto" w:fill="EAF1DD" w:themeFill="accent3" w:themeFillTint="33"/>
          </w:tcPr>
          <w:p w14:paraId="5A3984D9" w14:textId="2D7F526F" w:rsidR="00BC3F53" w:rsidRPr="00F95649" w:rsidRDefault="00BC3F53" w:rsidP="00A60478">
            <w:pPr>
              <w:rPr>
                <w:b/>
                <w:i/>
                <w:szCs w:val="20"/>
              </w:rPr>
            </w:pPr>
            <w:r w:rsidRPr="00F95649">
              <w:rPr>
                <w:b/>
                <w:i/>
                <w:szCs w:val="20"/>
              </w:rPr>
              <w:t>IgG</w:t>
            </w:r>
          </w:p>
        </w:tc>
        <w:tc>
          <w:tcPr>
            <w:tcW w:w="1238" w:type="dxa"/>
            <w:shd w:val="clear" w:color="auto" w:fill="EAF1DD" w:themeFill="accent3" w:themeFillTint="33"/>
          </w:tcPr>
          <w:p w14:paraId="6BAA4C73" w14:textId="088A2C77" w:rsidR="00BC3F53" w:rsidRPr="00F95649" w:rsidRDefault="00BC3F53" w:rsidP="00A60478">
            <w:pPr>
              <w:rPr>
                <w:b/>
                <w:i/>
                <w:szCs w:val="20"/>
              </w:rPr>
            </w:pPr>
            <w:r w:rsidRPr="00F95649">
              <w:rPr>
                <w:b/>
                <w:i/>
                <w:szCs w:val="20"/>
              </w:rPr>
              <w:t>HSCT</w:t>
            </w:r>
          </w:p>
        </w:tc>
        <w:tc>
          <w:tcPr>
            <w:tcW w:w="1248" w:type="dxa"/>
            <w:shd w:val="clear" w:color="auto" w:fill="EAF1DD" w:themeFill="accent3" w:themeFillTint="33"/>
          </w:tcPr>
          <w:p w14:paraId="2C7A1A23" w14:textId="37D8974A" w:rsidR="00BC3F53" w:rsidRPr="00F95649" w:rsidRDefault="00BC3F53" w:rsidP="00A60478">
            <w:pPr>
              <w:rPr>
                <w:b/>
                <w:i/>
                <w:szCs w:val="20"/>
              </w:rPr>
            </w:pPr>
            <w:r w:rsidRPr="00F95649">
              <w:rPr>
                <w:b/>
                <w:i/>
                <w:szCs w:val="20"/>
              </w:rPr>
              <w:t>Gene therapy</w:t>
            </w:r>
          </w:p>
        </w:tc>
        <w:tc>
          <w:tcPr>
            <w:tcW w:w="3474" w:type="dxa"/>
            <w:shd w:val="clear" w:color="auto" w:fill="EAF1DD" w:themeFill="accent3" w:themeFillTint="33"/>
          </w:tcPr>
          <w:p w14:paraId="54265B27" w14:textId="0B30C55B" w:rsidR="00BC3F53" w:rsidRPr="00F95649" w:rsidRDefault="00BC3F53" w:rsidP="00A60478">
            <w:pPr>
              <w:rPr>
                <w:b/>
                <w:i/>
                <w:szCs w:val="20"/>
              </w:rPr>
            </w:pPr>
            <w:r w:rsidRPr="00F95649">
              <w:rPr>
                <w:b/>
                <w:i/>
                <w:szCs w:val="20"/>
              </w:rPr>
              <w:t>Other treatments</w:t>
            </w:r>
          </w:p>
        </w:tc>
      </w:tr>
      <w:tr w:rsidR="002F7A91" w14:paraId="7413D718" w14:textId="5E83D802" w:rsidTr="00F95649">
        <w:tc>
          <w:tcPr>
            <w:tcW w:w="9286" w:type="dxa"/>
            <w:gridSpan w:val="5"/>
            <w:shd w:val="clear" w:color="auto" w:fill="DBE5F1" w:themeFill="accent1" w:themeFillTint="33"/>
          </w:tcPr>
          <w:p w14:paraId="0302B3B3" w14:textId="64FE3375" w:rsidR="002F7A91" w:rsidRPr="00F95649" w:rsidRDefault="002F7A91" w:rsidP="00A60478">
            <w:pPr>
              <w:rPr>
                <w:b/>
              </w:rPr>
            </w:pPr>
            <w:r w:rsidRPr="00F95649">
              <w:rPr>
                <w:b/>
              </w:rPr>
              <w:t>CIDs</w:t>
            </w:r>
          </w:p>
        </w:tc>
      </w:tr>
      <w:tr w:rsidR="00BC3F53" w14:paraId="61A3F447" w14:textId="19B48DE1" w:rsidTr="005A1D3D">
        <w:tc>
          <w:tcPr>
            <w:tcW w:w="2088" w:type="dxa"/>
          </w:tcPr>
          <w:p w14:paraId="382FB5CC" w14:textId="2431ED6C" w:rsidR="00BC3F53" w:rsidRDefault="00BC3F53" w:rsidP="00A60478">
            <w:r>
              <w:t>SCID (IL2RG, ADA)</w:t>
            </w:r>
          </w:p>
        </w:tc>
        <w:tc>
          <w:tcPr>
            <w:tcW w:w="1238" w:type="dxa"/>
          </w:tcPr>
          <w:p w14:paraId="195E132D" w14:textId="451B254D" w:rsidR="00BC3F53" w:rsidRDefault="002F7A91" w:rsidP="00A60478">
            <w:r>
              <w:t>Yes</w:t>
            </w:r>
          </w:p>
        </w:tc>
        <w:tc>
          <w:tcPr>
            <w:tcW w:w="1238" w:type="dxa"/>
          </w:tcPr>
          <w:p w14:paraId="49126470" w14:textId="3D72E1B3" w:rsidR="00BC3F53" w:rsidRDefault="002F7A91" w:rsidP="00A60478">
            <w:r>
              <w:t>Yes</w:t>
            </w:r>
          </w:p>
        </w:tc>
        <w:tc>
          <w:tcPr>
            <w:tcW w:w="1248" w:type="dxa"/>
          </w:tcPr>
          <w:p w14:paraId="5A133D7A" w14:textId="7B496AFD" w:rsidR="00BC3F53" w:rsidRDefault="002F7A91" w:rsidP="00A60478">
            <w:r>
              <w:t>Yes</w:t>
            </w:r>
          </w:p>
        </w:tc>
        <w:tc>
          <w:tcPr>
            <w:tcW w:w="3474" w:type="dxa"/>
          </w:tcPr>
          <w:p w14:paraId="2FF5BBDB" w14:textId="77777777" w:rsidR="00BC3F53" w:rsidRDefault="002F7A91" w:rsidP="002F7A91">
            <w:pPr>
              <w:pStyle w:val="ListParagraph"/>
              <w:numPr>
                <w:ilvl w:val="0"/>
                <w:numId w:val="30"/>
              </w:numPr>
            </w:pPr>
            <w:r>
              <w:t>Avoid live vaccines: all</w:t>
            </w:r>
          </w:p>
          <w:p w14:paraId="55C43E63" w14:textId="77777777" w:rsidR="002F7A91" w:rsidRDefault="002F7A91" w:rsidP="002F7A91">
            <w:pPr>
              <w:pStyle w:val="ListParagraph"/>
              <w:numPr>
                <w:ilvl w:val="0"/>
                <w:numId w:val="30"/>
              </w:numPr>
            </w:pPr>
            <w:r>
              <w:t>PCP prophylaxis: all SCID, CD40, CD40L</w:t>
            </w:r>
          </w:p>
          <w:p w14:paraId="0C6DAD33" w14:textId="77777777" w:rsidR="002F7A91" w:rsidRDefault="002F7A91" w:rsidP="002F7A91">
            <w:pPr>
              <w:pStyle w:val="ListParagraph"/>
              <w:numPr>
                <w:ilvl w:val="0"/>
                <w:numId w:val="30"/>
              </w:numPr>
            </w:pPr>
            <w:r>
              <w:t>Antimicrobials as needed</w:t>
            </w:r>
          </w:p>
          <w:p w14:paraId="4276BAA2" w14:textId="77777777" w:rsidR="002F7A91" w:rsidRDefault="002F7A91" w:rsidP="002F7A91">
            <w:pPr>
              <w:pStyle w:val="ListParagraph"/>
              <w:numPr>
                <w:ilvl w:val="0"/>
                <w:numId w:val="30"/>
              </w:numPr>
            </w:pPr>
            <w:r>
              <w:t>Blood products irradiated, CMV-: all</w:t>
            </w:r>
          </w:p>
          <w:p w14:paraId="1683A6C3" w14:textId="77777777" w:rsidR="002F7A91" w:rsidRDefault="002F7A91" w:rsidP="002F7A91">
            <w:pPr>
              <w:pStyle w:val="ListParagraph"/>
              <w:numPr>
                <w:ilvl w:val="0"/>
                <w:numId w:val="30"/>
              </w:numPr>
            </w:pPr>
            <w:r>
              <w:t>ADA: PEG-ADA</w:t>
            </w:r>
          </w:p>
          <w:p w14:paraId="3EB3BEE4" w14:textId="6B10698D" w:rsidR="002F7A91" w:rsidRDefault="002F7A91" w:rsidP="002F7A91">
            <w:pPr>
              <w:pStyle w:val="ListParagraph"/>
              <w:numPr>
                <w:ilvl w:val="0"/>
                <w:numId w:val="30"/>
              </w:numPr>
            </w:pPr>
            <w:r>
              <w:t>CD40, CD40L: G-CSF</w:t>
            </w:r>
          </w:p>
        </w:tc>
      </w:tr>
      <w:tr w:rsidR="002F7A91" w14:paraId="1A50C551" w14:textId="77777777" w:rsidTr="005A1D3D">
        <w:tc>
          <w:tcPr>
            <w:tcW w:w="2088" w:type="dxa"/>
          </w:tcPr>
          <w:p w14:paraId="529EFFAF" w14:textId="27AE6FB2" w:rsidR="002F7A91" w:rsidRDefault="002F7A91" w:rsidP="00A60478">
            <w:r>
              <w:t>SCID (other)</w:t>
            </w:r>
          </w:p>
        </w:tc>
        <w:tc>
          <w:tcPr>
            <w:tcW w:w="1238" w:type="dxa"/>
          </w:tcPr>
          <w:p w14:paraId="38C3C061" w14:textId="69FFCD23" w:rsidR="002F7A91" w:rsidRDefault="002F7A91" w:rsidP="00A60478">
            <w:r>
              <w:t>Yes</w:t>
            </w:r>
          </w:p>
        </w:tc>
        <w:tc>
          <w:tcPr>
            <w:tcW w:w="1238" w:type="dxa"/>
          </w:tcPr>
          <w:p w14:paraId="48B820FB" w14:textId="156DB0E0" w:rsidR="002F7A91" w:rsidRDefault="002F7A91" w:rsidP="00A60478">
            <w:r>
              <w:t>Yes</w:t>
            </w:r>
          </w:p>
        </w:tc>
        <w:tc>
          <w:tcPr>
            <w:tcW w:w="1248" w:type="dxa"/>
          </w:tcPr>
          <w:p w14:paraId="5AD60B8F" w14:textId="2C275033" w:rsidR="002F7A91" w:rsidRDefault="002F7A91" w:rsidP="00A60478">
            <w:r>
              <w:t>No</w:t>
            </w:r>
          </w:p>
        </w:tc>
        <w:tc>
          <w:tcPr>
            <w:tcW w:w="3474" w:type="dxa"/>
          </w:tcPr>
          <w:p w14:paraId="608646A3" w14:textId="77777777" w:rsidR="002F7A91" w:rsidRDefault="002F7A91" w:rsidP="00A60478"/>
        </w:tc>
      </w:tr>
      <w:tr w:rsidR="00BC3F53" w14:paraId="44E7A6D8" w14:textId="10AF0C9E" w:rsidTr="005A1D3D">
        <w:tc>
          <w:tcPr>
            <w:tcW w:w="2088" w:type="dxa"/>
          </w:tcPr>
          <w:p w14:paraId="69DF2E98" w14:textId="53A138E4" w:rsidR="00BC3F53" w:rsidRDefault="002F7A91" w:rsidP="00A60478">
            <w:r>
              <w:t>CD40L deficiency</w:t>
            </w:r>
          </w:p>
        </w:tc>
        <w:tc>
          <w:tcPr>
            <w:tcW w:w="1238" w:type="dxa"/>
          </w:tcPr>
          <w:p w14:paraId="320B5F27" w14:textId="6FAE478C" w:rsidR="00BC3F53" w:rsidRDefault="002F7A91" w:rsidP="00A60478">
            <w:r>
              <w:t>Yes</w:t>
            </w:r>
          </w:p>
        </w:tc>
        <w:tc>
          <w:tcPr>
            <w:tcW w:w="1238" w:type="dxa"/>
          </w:tcPr>
          <w:p w14:paraId="794E1E27" w14:textId="0BFBB37C" w:rsidR="00BC3F53" w:rsidRDefault="002F7A91" w:rsidP="00A60478">
            <w:r>
              <w:t>Yes</w:t>
            </w:r>
          </w:p>
        </w:tc>
        <w:tc>
          <w:tcPr>
            <w:tcW w:w="1248" w:type="dxa"/>
          </w:tcPr>
          <w:p w14:paraId="0871E8F4" w14:textId="522145A2" w:rsidR="00BC3F53" w:rsidRDefault="002F7A91" w:rsidP="00A60478">
            <w:r>
              <w:t>No</w:t>
            </w:r>
          </w:p>
        </w:tc>
        <w:tc>
          <w:tcPr>
            <w:tcW w:w="3474" w:type="dxa"/>
          </w:tcPr>
          <w:p w14:paraId="2683D06F" w14:textId="77777777" w:rsidR="00BC3F53" w:rsidRDefault="00BC3F53" w:rsidP="00A60478"/>
        </w:tc>
      </w:tr>
      <w:tr w:rsidR="00BC3F53" w14:paraId="64831998" w14:textId="29DFED4B" w:rsidTr="005A1D3D">
        <w:tc>
          <w:tcPr>
            <w:tcW w:w="2088" w:type="dxa"/>
          </w:tcPr>
          <w:p w14:paraId="05F87CDF" w14:textId="7E3EAA60" w:rsidR="00BC3F53" w:rsidRDefault="002F7A91" w:rsidP="00A60478">
            <w:r>
              <w:t>Other CID</w:t>
            </w:r>
          </w:p>
        </w:tc>
        <w:tc>
          <w:tcPr>
            <w:tcW w:w="1238" w:type="dxa"/>
          </w:tcPr>
          <w:p w14:paraId="28DB26AB" w14:textId="61792A6C" w:rsidR="00BC3F53" w:rsidRDefault="002F7A91" w:rsidP="00A60478">
            <w:r>
              <w:t>Yes</w:t>
            </w:r>
          </w:p>
        </w:tc>
        <w:tc>
          <w:tcPr>
            <w:tcW w:w="1238" w:type="dxa"/>
          </w:tcPr>
          <w:p w14:paraId="7A6735AD" w14:textId="005D5185" w:rsidR="00BC3F53" w:rsidRDefault="002F7A91" w:rsidP="00A60478">
            <w:r>
              <w:t>Many</w:t>
            </w:r>
          </w:p>
        </w:tc>
        <w:tc>
          <w:tcPr>
            <w:tcW w:w="1248" w:type="dxa"/>
          </w:tcPr>
          <w:p w14:paraId="1D5BD15C" w14:textId="170D1E74" w:rsidR="00BC3F53" w:rsidRDefault="002F7A91" w:rsidP="00CF65BE">
            <w:r>
              <w:t>No</w:t>
            </w:r>
          </w:p>
        </w:tc>
        <w:tc>
          <w:tcPr>
            <w:tcW w:w="3474" w:type="dxa"/>
          </w:tcPr>
          <w:p w14:paraId="0E9F2E37" w14:textId="77777777" w:rsidR="00BC3F53" w:rsidRDefault="00BC3F53" w:rsidP="00CF65BE"/>
        </w:tc>
      </w:tr>
      <w:tr w:rsidR="002F7A91" w:rsidRPr="00F95649" w14:paraId="6C2716FA" w14:textId="0BBCB0E7" w:rsidTr="00F95649">
        <w:tc>
          <w:tcPr>
            <w:tcW w:w="9286" w:type="dxa"/>
            <w:gridSpan w:val="5"/>
            <w:shd w:val="clear" w:color="auto" w:fill="DBE5F1" w:themeFill="accent1" w:themeFillTint="33"/>
          </w:tcPr>
          <w:p w14:paraId="60DB34E1" w14:textId="6786D509" w:rsidR="002F7A91" w:rsidRPr="00F95649" w:rsidRDefault="002F7A91" w:rsidP="00A60478">
            <w:pPr>
              <w:rPr>
                <w:b/>
              </w:rPr>
            </w:pPr>
            <w:r w:rsidRPr="00F95649">
              <w:rPr>
                <w:b/>
              </w:rPr>
              <w:t>Immunodeficiency syndromes</w:t>
            </w:r>
          </w:p>
        </w:tc>
      </w:tr>
      <w:tr w:rsidR="00BC3F53" w14:paraId="723F6787" w14:textId="548886F6" w:rsidTr="005A1D3D">
        <w:tc>
          <w:tcPr>
            <w:tcW w:w="2088" w:type="dxa"/>
          </w:tcPr>
          <w:p w14:paraId="32A97852" w14:textId="3AA7B441" w:rsidR="00BC3F53" w:rsidRDefault="002F7A91" w:rsidP="00A60478">
            <w:r>
              <w:t>WAS</w:t>
            </w:r>
          </w:p>
        </w:tc>
        <w:tc>
          <w:tcPr>
            <w:tcW w:w="1238" w:type="dxa"/>
          </w:tcPr>
          <w:p w14:paraId="2A79B33D" w14:textId="4EBAF05D" w:rsidR="00BC3F53" w:rsidRDefault="002F7A91" w:rsidP="00A60478">
            <w:r>
              <w:t>Yes</w:t>
            </w:r>
          </w:p>
        </w:tc>
        <w:tc>
          <w:tcPr>
            <w:tcW w:w="1238" w:type="dxa"/>
          </w:tcPr>
          <w:p w14:paraId="19DDEFA6" w14:textId="74A3F5F3" w:rsidR="00BC3F53" w:rsidRDefault="002F7A91" w:rsidP="00A60478">
            <w:r>
              <w:t>Yes</w:t>
            </w:r>
          </w:p>
        </w:tc>
        <w:tc>
          <w:tcPr>
            <w:tcW w:w="1248" w:type="dxa"/>
          </w:tcPr>
          <w:p w14:paraId="133A093E" w14:textId="511F6722" w:rsidR="00BC3F53" w:rsidRDefault="002F7A91" w:rsidP="00A60478">
            <w:r>
              <w:t>Yes</w:t>
            </w:r>
          </w:p>
        </w:tc>
        <w:tc>
          <w:tcPr>
            <w:tcW w:w="3474" w:type="dxa"/>
          </w:tcPr>
          <w:p w14:paraId="546565F3" w14:textId="77777777" w:rsidR="00BC3F53" w:rsidRDefault="002F7A91" w:rsidP="002F7A91">
            <w:pPr>
              <w:pStyle w:val="ListParagraph"/>
              <w:numPr>
                <w:ilvl w:val="0"/>
                <w:numId w:val="31"/>
              </w:numPr>
            </w:pPr>
            <w:r>
              <w:t>Avoid live vaccines: many</w:t>
            </w:r>
          </w:p>
          <w:p w14:paraId="49BA495A" w14:textId="77777777" w:rsidR="002F7A91" w:rsidRDefault="002F7A91" w:rsidP="002F7A91">
            <w:pPr>
              <w:pStyle w:val="ListParagraph"/>
              <w:numPr>
                <w:ilvl w:val="0"/>
                <w:numId w:val="31"/>
              </w:numPr>
            </w:pPr>
            <w:r>
              <w:t>Multidisciplinary care: many</w:t>
            </w:r>
          </w:p>
          <w:p w14:paraId="3C34E43F" w14:textId="77777777" w:rsidR="002F7A91" w:rsidRDefault="002F7A91" w:rsidP="002F7A91">
            <w:pPr>
              <w:pStyle w:val="ListParagraph"/>
              <w:numPr>
                <w:ilvl w:val="0"/>
                <w:numId w:val="31"/>
              </w:numPr>
            </w:pPr>
            <w:r>
              <w:t>WAS: splenectomy</w:t>
            </w:r>
          </w:p>
          <w:p w14:paraId="2F9431AF" w14:textId="77777777" w:rsidR="002F7A91" w:rsidRDefault="002F7A91" w:rsidP="002F7A91">
            <w:pPr>
              <w:pStyle w:val="ListParagraph"/>
              <w:numPr>
                <w:ilvl w:val="0"/>
                <w:numId w:val="31"/>
              </w:numPr>
            </w:pPr>
            <w:r>
              <w:t>DGS: thymus transplantation</w:t>
            </w:r>
          </w:p>
          <w:p w14:paraId="67886F0D" w14:textId="77777777" w:rsidR="002F7A91" w:rsidRDefault="002F7A91" w:rsidP="002F7A91">
            <w:pPr>
              <w:pStyle w:val="ListParagraph"/>
              <w:numPr>
                <w:ilvl w:val="0"/>
                <w:numId w:val="31"/>
              </w:numPr>
            </w:pPr>
            <w:r>
              <w:t>Immunomodulation as needed</w:t>
            </w:r>
          </w:p>
          <w:p w14:paraId="14AE6270" w14:textId="0BEB6AEC" w:rsidR="002F7A91" w:rsidRDefault="002F7A91" w:rsidP="002F7A91">
            <w:pPr>
              <w:pStyle w:val="ListParagraph"/>
              <w:numPr>
                <w:ilvl w:val="0"/>
                <w:numId w:val="31"/>
              </w:numPr>
            </w:pPr>
            <w:r>
              <w:t>Chemotherapy as needed</w:t>
            </w:r>
          </w:p>
        </w:tc>
      </w:tr>
      <w:tr w:rsidR="00BC3F53" w14:paraId="27BA19AC" w14:textId="010318B7" w:rsidTr="005A1D3D">
        <w:tc>
          <w:tcPr>
            <w:tcW w:w="2088" w:type="dxa"/>
          </w:tcPr>
          <w:p w14:paraId="0573970A" w14:textId="61719DB3" w:rsidR="00BC3F53" w:rsidRDefault="002F7A91" w:rsidP="00A60478">
            <w:r>
              <w:t>AT</w:t>
            </w:r>
          </w:p>
        </w:tc>
        <w:tc>
          <w:tcPr>
            <w:tcW w:w="1238" w:type="dxa"/>
          </w:tcPr>
          <w:p w14:paraId="3E760AD0" w14:textId="5EBBBE2F" w:rsidR="00BC3F53" w:rsidRDefault="002F7A91" w:rsidP="00A60478">
            <w:r>
              <w:t>Some</w:t>
            </w:r>
          </w:p>
        </w:tc>
        <w:tc>
          <w:tcPr>
            <w:tcW w:w="1238" w:type="dxa"/>
          </w:tcPr>
          <w:p w14:paraId="51899F89" w14:textId="637BE8F7" w:rsidR="00BC3F53" w:rsidRDefault="002F7A91" w:rsidP="00A60478">
            <w:r>
              <w:t>No</w:t>
            </w:r>
          </w:p>
        </w:tc>
        <w:tc>
          <w:tcPr>
            <w:tcW w:w="1248" w:type="dxa"/>
          </w:tcPr>
          <w:p w14:paraId="601EEFB6" w14:textId="23A5280B" w:rsidR="00BC3F53" w:rsidRDefault="002F7A91" w:rsidP="00A60478">
            <w:r>
              <w:t>No</w:t>
            </w:r>
          </w:p>
        </w:tc>
        <w:tc>
          <w:tcPr>
            <w:tcW w:w="3474" w:type="dxa"/>
          </w:tcPr>
          <w:p w14:paraId="6ED7D688" w14:textId="77777777" w:rsidR="00BC3F53" w:rsidRDefault="00BC3F53" w:rsidP="00A60478"/>
        </w:tc>
      </w:tr>
      <w:tr w:rsidR="00BC3F53" w14:paraId="0B68FAF1" w14:textId="694E0622" w:rsidTr="005A1D3D">
        <w:tc>
          <w:tcPr>
            <w:tcW w:w="2088" w:type="dxa"/>
          </w:tcPr>
          <w:p w14:paraId="5AD46EA3" w14:textId="11FDFF72" w:rsidR="00BC3F53" w:rsidRPr="00CF65BE" w:rsidRDefault="002F7A91" w:rsidP="00A60478">
            <w:r>
              <w:t>DGS</w:t>
            </w:r>
          </w:p>
        </w:tc>
        <w:tc>
          <w:tcPr>
            <w:tcW w:w="1238" w:type="dxa"/>
          </w:tcPr>
          <w:p w14:paraId="22A559E7" w14:textId="583D7CE6" w:rsidR="00BC3F53" w:rsidRDefault="002F7A91" w:rsidP="00A60478">
            <w:r>
              <w:t>Some</w:t>
            </w:r>
          </w:p>
        </w:tc>
        <w:tc>
          <w:tcPr>
            <w:tcW w:w="1238" w:type="dxa"/>
          </w:tcPr>
          <w:p w14:paraId="3C76C1F8" w14:textId="49ED5E25" w:rsidR="00BC3F53" w:rsidRDefault="002F7A91" w:rsidP="00A60478">
            <w:r>
              <w:t>No</w:t>
            </w:r>
          </w:p>
        </w:tc>
        <w:tc>
          <w:tcPr>
            <w:tcW w:w="1248" w:type="dxa"/>
          </w:tcPr>
          <w:p w14:paraId="32FC12C6" w14:textId="32417C12" w:rsidR="00BC3F53" w:rsidRDefault="002F7A91" w:rsidP="00A60478">
            <w:r>
              <w:t>No</w:t>
            </w:r>
          </w:p>
        </w:tc>
        <w:tc>
          <w:tcPr>
            <w:tcW w:w="3474" w:type="dxa"/>
          </w:tcPr>
          <w:p w14:paraId="714E2CED" w14:textId="77777777" w:rsidR="00BC3F53" w:rsidRDefault="00BC3F53" w:rsidP="00A60478"/>
        </w:tc>
      </w:tr>
      <w:tr w:rsidR="00BC3F53" w14:paraId="0F4EF3B5" w14:textId="5F1E737C" w:rsidTr="005A1D3D">
        <w:tc>
          <w:tcPr>
            <w:tcW w:w="2088" w:type="dxa"/>
          </w:tcPr>
          <w:p w14:paraId="330D9265" w14:textId="377BCB3F" w:rsidR="00BC3F53" w:rsidRPr="00CF65BE" w:rsidRDefault="002F7A91" w:rsidP="00A60478">
            <w:r>
              <w:t>Other syndromes</w:t>
            </w:r>
          </w:p>
        </w:tc>
        <w:tc>
          <w:tcPr>
            <w:tcW w:w="1238" w:type="dxa"/>
          </w:tcPr>
          <w:p w14:paraId="2AB5F78C" w14:textId="233102D6" w:rsidR="00BC3F53" w:rsidRDefault="002F7A91" w:rsidP="00A60478">
            <w:r>
              <w:t>Some</w:t>
            </w:r>
          </w:p>
        </w:tc>
        <w:tc>
          <w:tcPr>
            <w:tcW w:w="1238" w:type="dxa"/>
          </w:tcPr>
          <w:p w14:paraId="21E67AF2" w14:textId="2A468224" w:rsidR="00BC3F53" w:rsidRDefault="002F7A91" w:rsidP="00A60478">
            <w:r>
              <w:t>Some</w:t>
            </w:r>
          </w:p>
        </w:tc>
        <w:tc>
          <w:tcPr>
            <w:tcW w:w="1248" w:type="dxa"/>
          </w:tcPr>
          <w:p w14:paraId="22075B86" w14:textId="6DFB73F8" w:rsidR="00BC3F53" w:rsidRDefault="002F7A91" w:rsidP="00A60478">
            <w:r>
              <w:t>No</w:t>
            </w:r>
          </w:p>
        </w:tc>
        <w:tc>
          <w:tcPr>
            <w:tcW w:w="3474" w:type="dxa"/>
          </w:tcPr>
          <w:p w14:paraId="2E4151C3" w14:textId="77777777" w:rsidR="00BC3F53" w:rsidRDefault="00BC3F53" w:rsidP="00A60478"/>
        </w:tc>
      </w:tr>
      <w:tr w:rsidR="002F7A91" w:rsidRPr="00F95649" w14:paraId="6F3FE18D" w14:textId="77777777" w:rsidTr="00F95649">
        <w:tc>
          <w:tcPr>
            <w:tcW w:w="9286" w:type="dxa"/>
            <w:gridSpan w:val="5"/>
            <w:shd w:val="clear" w:color="auto" w:fill="DBE5F1" w:themeFill="accent1" w:themeFillTint="33"/>
          </w:tcPr>
          <w:p w14:paraId="34099903" w14:textId="165E3D01" w:rsidR="002F7A91" w:rsidRPr="00F95649" w:rsidRDefault="002F7A91" w:rsidP="00A60478">
            <w:pPr>
              <w:rPr>
                <w:b/>
              </w:rPr>
            </w:pPr>
            <w:r w:rsidRPr="00F95649">
              <w:rPr>
                <w:b/>
              </w:rPr>
              <w:t>Antibody deficiency</w:t>
            </w:r>
          </w:p>
        </w:tc>
      </w:tr>
      <w:tr w:rsidR="002F7A91" w14:paraId="565D551C" w14:textId="77777777" w:rsidTr="005A1D3D">
        <w:tc>
          <w:tcPr>
            <w:tcW w:w="2088" w:type="dxa"/>
          </w:tcPr>
          <w:p w14:paraId="0095D86F" w14:textId="6F91F788" w:rsidR="002F7A91" w:rsidRPr="00CF65BE" w:rsidRDefault="002F7A91" w:rsidP="00A60478">
            <w:r>
              <w:t>Agammaglobulinaemia</w:t>
            </w:r>
          </w:p>
        </w:tc>
        <w:tc>
          <w:tcPr>
            <w:tcW w:w="1238" w:type="dxa"/>
          </w:tcPr>
          <w:p w14:paraId="0F9CD91E" w14:textId="4DD21006" w:rsidR="002F7A91" w:rsidRDefault="002F7A91" w:rsidP="00A60478">
            <w:r>
              <w:t>Yes</w:t>
            </w:r>
          </w:p>
        </w:tc>
        <w:tc>
          <w:tcPr>
            <w:tcW w:w="1238" w:type="dxa"/>
          </w:tcPr>
          <w:p w14:paraId="0F420F9F" w14:textId="0EBD8B14" w:rsidR="002F7A91" w:rsidRDefault="002F7A91" w:rsidP="00A60478">
            <w:r>
              <w:t>No</w:t>
            </w:r>
          </w:p>
        </w:tc>
        <w:tc>
          <w:tcPr>
            <w:tcW w:w="1248" w:type="dxa"/>
          </w:tcPr>
          <w:p w14:paraId="745DFCD2" w14:textId="188D2A07" w:rsidR="002F7A91" w:rsidRDefault="002F7A91" w:rsidP="00A60478">
            <w:r>
              <w:t>No</w:t>
            </w:r>
          </w:p>
        </w:tc>
        <w:tc>
          <w:tcPr>
            <w:tcW w:w="3474" w:type="dxa"/>
          </w:tcPr>
          <w:p w14:paraId="200A95FB" w14:textId="77777777" w:rsidR="002F7A91" w:rsidRDefault="002F7A91" w:rsidP="002F7A91">
            <w:pPr>
              <w:pStyle w:val="ListParagraph"/>
              <w:numPr>
                <w:ilvl w:val="0"/>
                <w:numId w:val="32"/>
              </w:numPr>
            </w:pPr>
            <w:r>
              <w:t>Avoid live vaccines: agammaglobulinaemia, CVID</w:t>
            </w:r>
          </w:p>
          <w:p w14:paraId="1C6B7AB8" w14:textId="77777777" w:rsidR="002F7A91" w:rsidRDefault="002F7A91" w:rsidP="002F7A91">
            <w:pPr>
              <w:pStyle w:val="ListParagraph"/>
              <w:numPr>
                <w:ilvl w:val="0"/>
                <w:numId w:val="32"/>
              </w:numPr>
            </w:pPr>
            <w:r>
              <w:t>Antibiotics: all</w:t>
            </w:r>
          </w:p>
          <w:p w14:paraId="22A492B0" w14:textId="77777777" w:rsidR="002F7A91" w:rsidRDefault="002F7A91" w:rsidP="002F7A91">
            <w:pPr>
              <w:pStyle w:val="ListParagraph"/>
              <w:numPr>
                <w:ilvl w:val="0"/>
                <w:numId w:val="32"/>
              </w:numPr>
            </w:pPr>
            <w:r>
              <w:t>Splenectomy: CVID</w:t>
            </w:r>
          </w:p>
          <w:p w14:paraId="4E72092E" w14:textId="77777777" w:rsidR="002F7A91" w:rsidRDefault="002F7A91" w:rsidP="002F7A91">
            <w:pPr>
              <w:pStyle w:val="ListParagraph"/>
              <w:numPr>
                <w:ilvl w:val="0"/>
                <w:numId w:val="32"/>
              </w:numPr>
            </w:pPr>
            <w:r>
              <w:t>Immunomodulation: CVID</w:t>
            </w:r>
          </w:p>
          <w:p w14:paraId="5F4E22C8" w14:textId="77777777" w:rsidR="002F7A91" w:rsidRDefault="002F7A91" w:rsidP="002F7A91">
            <w:pPr>
              <w:pStyle w:val="ListParagraph"/>
              <w:numPr>
                <w:ilvl w:val="0"/>
                <w:numId w:val="32"/>
              </w:numPr>
            </w:pPr>
            <w:r>
              <w:t>Chemotherapy: CVID</w:t>
            </w:r>
          </w:p>
          <w:p w14:paraId="54B8F35F" w14:textId="486B3983" w:rsidR="002F7A91" w:rsidRDefault="002F7A91" w:rsidP="002F7A91">
            <w:pPr>
              <w:pStyle w:val="ListParagraph"/>
              <w:numPr>
                <w:ilvl w:val="0"/>
                <w:numId w:val="32"/>
              </w:numPr>
            </w:pPr>
            <w:r>
              <w:t>Pneumococcal vaccine: SIGAD, IGGSD, SAD</w:t>
            </w:r>
          </w:p>
        </w:tc>
      </w:tr>
      <w:tr w:rsidR="002F7A91" w14:paraId="7070EE88" w14:textId="77777777" w:rsidTr="005A1D3D">
        <w:tc>
          <w:tcPr>
            <w:tcW w:w="2088" w:type="dxa"/>
          </w:tcPr>
          <w:p w14:paraId="4BA1B50B" w14:textId="00636FD9" w:rsidR="002F7A91" w:rsidRPr="00CF65BE" w:rsidRDefault="005A1D3D" w:rsidP="00A60478">
            <w:r>
              <w:t>CVID</w:t>
            </w:r>
          </w:p>
        </w:tc>
        <w:tc>
          <w:tcPr>
            <w:tcW w:w="1238" w:type="dxa"/>
          </w:tcPr>
          <w:p w14:paraId="15AB4E40" w14:textId="01C686E4" w:rsidR="002F7A91" w:rsidRDefault="005A1D3D" w:rsidP="00A60478">
            <w:r>
              <w:t>Yes</w:t>
            </w:r>
          </w:p>
        </w:tc>
        <w:tc>
          <w:tcPr>
            <w:tcW w:w="1238" w:type="dxa"/>
          </w:tcPr>
          <w:p w14:paraId="67E5AC43" w14:textId="38318F01" w:rsidR="002F7A91" w:rsidRDefault="005A1D3D" w:rsidP="00A60478">
            <w:r>
              <w:t>Rare</w:t>
            </w:r>
          </w:p>
        </w:tc>
        <w:tc>
          <w:tcPr>
            <w:tcW w:w="1248" w:type="dxa"/>
          </w:tcPr>
          <w:p w14:paraId="710E7D53" w14:textId="6047E7BA" w:rsidR="002F7A91" w:rsidRDefault="005A1D3D" w:rsidP="00A60478">
            <w:r>
              <w:t>No</w:t>
            </w:r>
          </w:p>
        </w:tc>
        <w:tc>
          <w:tcPr>
            <w:tcW w:w="3474" w:type="dxa"/>
          </w:tcPr>
          <w:p w14:paraId="53EAC413" w14:textId="77777777" w:rsidR="002F7A91" w:rsidRDefault="002F7A91" w:rsidP="00A60478"/>
        </w:tc>
      </w:tr>
      <w:tr w:rsidR="005A1D3D" w14:paraId="207DC374" w14:textId="77777777" w:rsidTr="005A1D3D">
        <w:tc>
          <w:tcPr>
            <w:tcW w:w="2088" w:type="dxa"/>
          </w:tcPr>
          <w:p w14:paraId="54D0D140" w14:textId="4191A456" w:rsidR="005A1D3D" w:rsidRPr="00CF65BE" w:rsidRDefault="005A1D3D" w:rsidP="00A60478">
            <w:r>
              <w:t>Other antibody deficiency</w:t>
            </w:r>
          </w:p>
        </w:tc>
        <w:tc>
          <w:tcPr>
            <w:tcW w:w="1238" w:type="dxa"/>
          </w:tcPr>
          <w:p w14:paraId="69F8729E" w14:textId="0B5A41F3" w:rsidR="005A1D3D" w:rsidRDefault="005A1D3D" w:rsidP="00A60478">
            <w:r>
              <w:t>Yes</w:t>
            </w:r>
          </w:p>
        </w:tc>
        <w:tc>
          <w:tcPr>
            <w:tcW w:w="1238" w:type="dxa"/>
          </w:tcPr>
          <w:p w14:paraId="7B520697" w14:textId="20A0BE6D" w:rsidR="005A1D3D" w:rsidRDefault="005A1D3D" w:rsidP="00A60478">
            <w:r>
              <w:t>No</w:t>
            </w:r>
          </w:p>
        </w:tc>
        <w:tc>
          <w:tcPr>
            <w:tcW w:w="1248" w:type="dxa"/>
          </w:tcPr>
          <w:p w14:paraId="14D3BDFA" w14:textId="51B62973" w:rsidR="005A1D3D" w:rsidRDefault="005A1D3D" w:rsidP="00A60478">
            <w:r>
              <w:t>No</w:t>
            </w:r>
          </w:p>
        </w:tc>
        <w:tc>
          <w:tcPr>
            <w:tcW w:w="3474" w:type="dxa"/>
          </w:tcPr>
          <w:p w14:paraId="1A2BE1AF" w14:textId="77777777" w:rsidR="005A1D3D" w:rsidRDefault="005A1D3D" w:rsidP="00A60478"/>
        </w:tc>
      </w:tr>
      <w:tr w:rsidR="005A1D3D" w:rsidRPr="00F95649" w14:paraId="5E1B170F" w14:textId="77777777" w:rsidTr="00F95649">
        <w:tc>
          <w:tcPr>
            <w:tcW w:w="9286" w:type="dxa"/>
            <w:gridSpan w:val="5"/>
            <w:shd w:val="clear" w:color="auto" w:fill="DBE5F1" w:themeFill="accent1" w:themeFillTint="33"/>
          </w:tcPr>
          <w:p w14:paraId="2E3C65D3" w14:textId="48412778" w:rsidR="005A1D3D" w:rsidRPr="00F95649" w:rsidRDefault="005A1D3D" w:rsidP="00A60478">
            <w:pPr>
              <w:rPr>
                <w:b/>
              </w:rPr>
            </w:pPr>
            <w:r w:rsidRPr="00F95649">
              <w:rPr>
                <w:b/>
              </w:rPr>
              <w:t>Immune dysregulation</w:t>
            </w:r>
          </w:p>
        </w:tc>
      </w:tr>
      <w:tr w:rsidR="005A1D3D" w14:paraId="3B96A884" w14:textId="77777777" w:rsidTr="005A1D3D">
        <w:tc>
          <w:tcPr>
            <w:tcW w:w="2088" w:type="dxa"/>
          </w:tcPr>
          <w:p w14:paraId="1EB5CF8E" w14:textId="78994035" w:rsidR="005A1D3D" w:rsidRPr="00CF65BE" w:rsidRDefault="005A1D3D" w:rsidP="00A60478">
            <w:r>
              <w:t>Other than FHL, ALPS, IPEX or APECED</w:t>
            </w:r>
          </w:p>
        </w:tc>
        <w:tc>
          <w:tcPr>
            <w:tcW w:w="1238" w:type="dxa"/>
          </w:tcPr>
          <w:p w14:paraId="3FE84BA9" w14:textId="2A41204D" w:rsidR="005A1D3D" w:rsidRDefault="005A1D3D" w:rsidP="00A60478">
            <w:r>
              <w:t>Some</w:t>
            </w:r>
          </w:p>
        </w:tc>
        <w:tc>
          <w:tcPr>
            <w:tcW w:w="1238" w:type="dxa"/>
          </w:tcPr>
          <w:p w14:paraId="4DAB5A66" w14:textId="1F80E4F2" w:rsidR="005A1D3D" w:rsidRDefault="005A1D3D" w:rsidP="00A60478">
            <w:r>
              <w:t>Some</w:t>
            </w:r>
          </w:p>
        </w:tc>
        <w:tc>
          <w:tcPr>
            <w:tcW w:w="1248" w:type="dxa"/>
          </w:tcPr>
          <w:p w14:paraId="41B7EA40" w14:textId="2EDBC985" w:rsidR="005A1D3D" w:rsidRDefault="005A1D3D" w:rsidP="00A60478">
            <w:r>
              <w:t>No</w:t>
            </w:r>
          </w:p>
        </w:tc>
        <w:tc>
          <w:tcPr>
            <w:tcW w:w="3474" w:type="dxa"/>
          </w:tcPr>
          <w:p w14:paraId="72C637C0" w14:textId="77777777" w:rsidR="005A1D3D" w:rsidRDefault="005A1D3D" w:rsidP="005A1D3D">
            <w:pPr>
              <w:pStyle w:val="ListParagraph"/>
              <w:numPr>
                <w:ilvl w:val="0"/>
                <w:numId w:val="33"/>
              </w:numPr>
            </w:pPr>
            <w:r>
              <w:t>Antimicrobials as needed</w:t>
            </w:r>
          </w:p>
          <w:p w14:paraId="6C361D81" w14:textId="77777777" w:rsidR="005A1D3D" w:rsidRDefault="005A1D3D" w:rsidP="005A1D3D">
            <w:pPr>
              <w:pStyle w:val="ListParagraph"/>
              <w:numPr>
                <w:ilvl w:val="0"/>
                <w:numId w:val="33"/>
              </w:numPr>
            </w:pPr>
            <w:r>
              <w:t>Chemotherapy as needed</w:t>
            </w:r>
          </w:p>
          <w:p w14:paraId="47A26201" w14:textId="16C65F49" w:rsidR="005A1D3D" w:rsidRDefault="005A1D3D" w:rsidP="005A1D3D">
            <w:pPr>
              <w:pStyle w:val="ListParagraph"/>
              <w:numPr>
                <w:ilvl w:val="0"/>
                <w:numId w:val="33"/>
              </w:numPr>
            </w:pPr>
            <w:r>
              <w:t>Immunomodulators as needed</w:t>
            </w:r>
          </w:p>
        </w:tc>
      </w:tr>
      <w:tr w:rsidR="005A1D3D" w:rsidRPr="00F95649" w14:paraId="19852478" w14:textId="77777777" w:rsidTr="00F95649">
        <w:tc>
          <w:tcPr>
            <w:tcW w:w="9286" w:type="dxa"/>
            <w:gridSpan w:val="5"/>
            <w:shd w:val="clear" w:color="auto" w:fill="DBE5F1" w:themeFill="accent1" w:themeFillTint="33"/>
          </w:tcPr>
          <w:p w14:paraId="3BF74E57" w14:textId="0AF44D0E" w:rsidR="005A1D3D" w:rsidRPr="00F95649" w:rsidRDefault="005A1D3D" w:rsidP="00A60478">
            <w:pPr>
              <w:rPr>
                <w:b/>
              </w:rPr>
            </w:pPr>
            <w:r w:rsidRPr="00F95649">
              <w:rPr>
                <w:b/>
              </w:rPr>
              <w:t>Phagocytic cell defects</w:t>
            </w:r>
          </w:p>
        </w:tc>
      </w:tr>
      <w:tr w:rsidR="005A1D3D" w14:paraId="454E1E12" w14:textId="77777777" w:rsidTr="005A1D3D">
        <w:tc>
          <w:tcPr>
            <w:tcW w:w="2088" w:type="dxa"/>
          </w:tcPr>
          <w:p w14:paraId="7A0A2783" w14:textId="593CB5D3" w:rsidR="005A1D3D" w:rsidRPr="00CF65BE" w:rsidRDefault="005A1D3D" w:rsidP="00A60478">
            <w:r>
              <w:t>HIES type 1</w:t>
            </w:r>
          </w:p>
        </w:tc>
        <w:tc>
          <w:tcPr>
            <w:tcW w:w="1238" w:type="dxa"/>
          </w:tcPr>
          <w:p w14:paraId="729AD675" w14:textId="09185225" w:rsidR="005A1D3D" w:rsidRDefault="005A1D3D" w:rsidP="00A60478">
            <w:r>
              <w:t>Some</w:t>
            </w:r>
          </w:p>
        </w:tc>
        <w:tc>
          <w:tcPr>
            <w:tcW w:w="1238" w:type="dxa"/>
          </w:tcPr>
          <w:p w14:paraId="392228BC" w14:textId="05141DE7" w:rsidR="005A1D3D" w:rsidRDefault="005A1D3D" w:rsidP="00A60478">
            <w:r>
              <w:t>Rare</w:t>
            </w:r>
          </w:p>
        </w:tc>
        <w:tc>
          <w:tcPr>
            <w:tcW w:w="1248" w:type="dxa"/>
          </w:tcPr>
          <w:p w14:paraId="6E81933A" w14:textId="6FCBCCD4" w:rsidR="005A1D3D" w:rsidRDefault="005A1D3D" w:rsidP="00A60478">
            <w:r>
              <w:t>No</w:t>
            </w:r>
          </w:p>
        </w:tc>
        <w:tc>
          <w:tcPr>
            <w:tcW w:w="3474" w:type="dxa"/>
          </w:tcPr>
          <w:p w14:paraId="78D02623" w14:textId="64540CC4" w:rsidR="005A1D3D" w:rsidRDefault="005A1D3D" w:rsidP="005A1D3D">
            <w:pPr>
              <w:pStyle w:val="ListParagraph"/>
              <w:numPr>
                <w:ilvl w:val="0"/>
                <w:numId w:val="34"/>
              </w:numPr>
            </w:pPr>
            <w:r>
              <w:t>Avoid live bacterial vaccines</w:t>
            </w:r>
          </w:p>
          <w:p w14:paraId="7BFA1D97" w14:textId="077AA561" w:rsidR="005A1D3D" w:rsidRDefault="005A1D3D" w:rsidP="005A1D3D">
            <w:pPr>
              <w:pStyle w:val="ListParagraph"/>
              <w:numPr>
                <w:ilvl w:val="0"/>
                <w:numId w:val="34"/>
              </w:numPr>
            </w:pPr>
            <w:r>
              <w:t>Antimicrobial prophylaxis</w:t>
            </w:r>
          </w:p>
        </w:tc>
      </w:tr>
      <w:tr w:rsidR="005A1D3D" w:rsidRPr="00F95649" w14:paraId="436E7AA2" w14:textId="77777777" w:rsidTr="00F95649">
        <w:tc>
          <w:tcPr>
            <w:tcW w:w="9286" w:type="dxa"/>
            <w:gridSpan w:val="5"/>
            <w:shd w:val="clear" w:color="auto" w:fill="DBE5F1" w:themeFill="accent1" w:themeFillTint="33"/>
          </w:tcPr>
          <w:p w14:paraId="514AF38E" w14:textId="1B43FF70" w:rsidR="005A1D3D" w:rsidRPr="00F95649" w:rsidRDefault="005A1D3D" w:rsidP="00A60478">
            <w:pPr>
              <w:rPr>
                <w:b/>
              </w:rPr>
            </w:pPr>
            <w:r w:rsidRPr="00F95649">
              <w:rPr>
                <w:b/>
              </w:rPr>
              <w:t>Innate immune defects</w:t>
            </w:r>
          </w:p>
        </w:tc>
      </w:tr>
      <w:tr w:rsidR="005A1D3D" w14:paraId="44144474" w14:textId="77777777" w:rsidTr="005A1D3D">
        <w:tc>
          <w:tcPr>
            <w:tcW w:w="2088" w:type="dxa"/>
          </w:tcPr>
          <w:p w14:paraId="024A07DE" w14:textId="1AAB3472" w:rsidR="005A1D3D" w:rsidRPr="00CF65BE" w:rsidRDefault="005A1D3D" w:rsidP="00A60478">
            <w:r>
              <w:t>NEMO deficiency, other NF-KB defects</w:t>
            </w:r>
          </w:p>
        </w:tc>
        <w:tc>
          <w:tcPr>
            <w:tcW w:w="1238" w:type="dxa"/>
          </w:tcPr>
          <w:p w14:paraId="6D1C776F" w14:textId="3507BB34" w:rsidR="005A1D3D" w:rsidRDefault="005A1D3D" w:rsidP="00A60478">
            <w:r>
              <w:t>Yes</w:t>
            </w:r>
          </w:p>
        </w:tc>
        <w:tc>
          <w:tcPr>
            <w:tcW w:w="1238" w:type="dxa"/>
          </w:tcPr>
          <w:p w14:paraId="781EC879" w14:textId="04A57FCD" w:rsidR="005A1D3D" w:rsidRDefault="005A1D3D" w:rsidP="00A60478">
            <w:r>
              <w:t>Yes</w:t>
            </w:r>
          </w:p>
        </w:tc>
        <w:tc>
          <w:tcPr>
            <w:tcW w:w="1248" w:type="dxa"/>
          </w:tcPr>
          <w:p w14:paraId="4FFDB122" w14:textId="5C24A101" w:rsidR="005A1D3D" w:rsidRDefault="005A1D3D" w:rsidP="00A60478">
            <w:r>
              <w:t>No</w:t>
            </w:r>
          </w:p>
        </w:tc>
        <w:tc>
          <w:tcPr>
            <w:tcW w:w="3474" w:type="dxa"/>
          </w:tcPr>
          <w:p w14:paraId="71F9CECF" w14:textId="77777777" w:rsidR="005A1D3D" w:rsidRDefault="005A1D3D" w:rsidP="005A1D3D">
            <w:pPr>
              <w:pStyle w:val="ListParagraph"/>
              <w:numPr>
                <w:ilvl w:val="0"/>
                <w:numId w:val="35"/>
              </w:numPr>
            </w:pPr>
            <w:r>
              <w:t>Avoid live vaccines: NF-KB</w:t>
            </w:r>
          </w:p>
          <w:p w14:paraId="1B4AFB9F" w14:textId="77777777" w:rsidR="005A1D3D" w:rsidRDefault="005A1D3D" w:rsidP="005A1D3D">
            <w:pPr>
              <w:pStyle w:val="ListParagraph"/>
              <w:numPr>
                <w:ilvl w:val="0"/>
                <w:numId w:val="35"/>
              </w:numPr>
            </w:pPr>
            <w:r>
              <w:t>PCP prophylaxis: NF-KB</w:t>
            </w:r>
          </w:p>
          <w:p w14:paraId="7317225F" w14:textId="77777777" w:rsidR="005A1D3D" w:rsidRDefault="005A1D3D" w:rsidP="005A1D3D">
            <w:pPr>
              <w:pStyle w:val="ListParagraph"/>
              <w:numPr>
                <w:ilvl w:val="0"/>
                <w:numId w:val="35"/>
              </w:numPr>
            </w:pPr>
            <w:r>
              <w:t>Antimicrobial prophylaxis: NF-KB</w:t>
            </w:r>
          </w:p>
          <w:p w14:paraId="528143D6" w14:textId="4B44BE2A" w:rsidR="005A1D3D" w:rsidRDefault="005A1D3D" w:rsidP="005A1D3D">
            <w:pPr>
              <w:pStyle w:val="ListParagraph"/>
              <w:numPr>
                <w:ilvl w:val="0"/>
                <w:numId w:val="35"/>
              </w:numPr>
            </w:pPr>
            <w:r>
              <w:t>G-CSF: WHIM syndrome</w:t>
            </w:r>
          </w:p>
        </w:tc>
      </w:tr>
      <w:tr w:rsidR="005A1D3D" w14:paraId="5BAF118E" w14:textId="77777777" w:rsidTr="005A1D3D">
        <w:tc>
          <w:tcPr>
            <w:tcW w:w="2088" w:type="dxa"/>
          </w:tcPr>
          <w:p w14:paraId="20565CA9" w14:textId="27403451" w:rsidR="005A1D3D" w:rsidRPr="00CF65BE" w:rsidRDefault="005A1D3D" w:rsidP="00A60478">
            <w:r>
              <w:t>WHIM syndrome</w:t>
            </w:r>
          </w:p>
        </w:tc>
        <w:tc>
          <w:tcPr>
            <w:tcW w:w="1238" w:type="dxa"/>
          </w:tcPr>
          <w:p w14:paraId="2C2D81DC" w14:textId="6523BFD8" w:rsidR="005A1D3D" w:rsidRDefault="005A1D3D" w:rsidP="00A60478">
            <w:r>
              <w:t>Yes</w:t>
            </w:r>
          </w:p>
        </w:tc>
        <w:tc>
          <w:tcPr>
            <w:tcW w:w="1238" w:type="dxa"/>
          </w:tcPr>
          <w:p w14:paraId="68DB8CD1" w14:textId="2783B90E" w:rsidR="005A1D3D" w:rsidRDefault="005A1D3D" w:rsidP="00A60478">
            <w:r>
              <w:t>Some</w:t>
            </w:r>
          </w:p>
        </w:tc>
        <w:tc>
          <w:tcPr>
            <w:tcW w:w="1248" w:type="dxa"/>
          </w:tcPr>
          <w:p w14:paraId="49B61B19" w14:textId="035F2408" w:rsidR="005A1D3D" w:rsidRDefault="005A1D3D" w:rsidP="00A60478">
            <w:r>
              <w:t>No</w:t>
            </w:r>
          </w:p>
        </w:tc>
        <w:tc>
          <w:tcPr>
            <w:tcW w:w="3474" w:type="dxa"/>
          </w:tcPr>
          <w:p w14:paraId="6A3A5A82" w14:textId="77777777" w:rsidR="005A1D3D" w:rsidRDefault="005A1D3D" w:rsidP="00A60478"/>
        </w:tc>
      </w:tr>
      <w:tr w:rsidR="005A1D3D" w14:paraId="4C7A5B98" w14:textId="77777777" w:rsidTr="00F95649">
        <w:tc>
          <w:tcPr>
            <w:tcW w:w="2088" w:type="dxa"/>
            <w:shd w:val="clear" w:color="auto" w:fill="DBE5F1" w:themeFill="accent1" w:themeFillTint="33"/>
          </w:tcPr>
          <w:p w14:paraId="5CD69E87" w14:textId="6DC4C6A2" w:rsidR="005A1D3D" w:rsidRPr="00CF65BE" w:rsidRDefault="005A1D3D" w:rsidP="00A60478">
            <w:r w:rsidRPr="005A1D3D">
              <w:t>Cytokine autoantibody-mediated disorders</w:t>
            </w:r>
          </w:p>
        </w:tc>
        <w:tc>
          <w:tcPr>
            <w:tcW w:w="1238" w:type="dxa"/>
            <w:shd w:val="clear" w:color="auto" w:fill="DBE5F1" w:themeFill="accent1" w:themeFillTint="33"/>
          </w:tcPr>
          <w:p w14:paraId="308C921C" w14:textId="6917E5CC" w:rsidR="005A1D3D" w:rsidRDefault="005A1D3D" w:rsidP="00A60478">
            <w:r>
              <w:t>Possible</w:t>
            </w:r>
          </w:p>
        </w:tc>
        <w:tc>
          <w:tcPr>
            <w:tcW w:w="1238" w:type="dxa"/>
            <w:shd w:val="clear" w:color="auto" w:fill="DBE5F1" w:themeFill="accent1" w:themeFillTint="33"/>
          </w:tcPr>
          <w:p w14:paraId="1BCE19AF" w14:textId="54D7A44A" w:rsidR="005A1D3D" w:rsidRDefault="005A1D3D" w:rsidP="00A60478">
            <w:r>
              <w:t>No</w:t>
            </w:r>
          </w:p>
        </w:tc>
        <w:tc>
          <w:tcPr>
            <w:tcW w:w="1248" w:type="dxa"/>
            <w:shd w:val="clear" w:color="auto" w:fill="DBE5F1" w:themeFill="accent1" w:themeFillTint="33"/>
          </w:tcPr>
          <w:p w14:paraId="4CBC1C6D" w14:textId="6FC69B46" w:rsidR="005A1D3D" w:rsidRDefault="005A1D3D" w:rsidP="00A60478">
            <w:r>
              <w:t>No</w:t>
            </w:r>
          </w:p>
        </w:tc>
        <w:tc>
          <w:tcPr>
            <w:tcW w:w="3474" w:type="dxa"/>
            <w:shd w:val="clear" w:color="auto" w:fill="DBE5F1" w:themeFill="accent1" w:themeFillTint="33"/>
          </w:tcPr>
          <w:p w14:paraId="6A7EE725" w14:textId="0CB02F55" w:rsidR="005A1D3D" w:rsidRDefault="005A1D3D" w:rsidP="005A1D3D">
            <w:pPr>
              <w:pStyle w:val="ListParagraph"/>
              <w:numPr>
                <w:ilvl w:val="0"/>
                <w:numId w:val="36"/>
              </w:numPr>
            </w:pPr>
            <w:r>
              <w:t>Plasmapheresis</w:t>
            </w:r>
          </w:p>
          <w:p w14:paraId="5E1489DF" w14:textId="5A232604" w:rsidR="005A1D3D" w:rsidRDefault="005A1D3D" w:rsidP="005A1D3D">
            <w:pPr>
              <w:pStyle w:val="ListParagraph"/>
              <w:numPr>
                <w:ilvl w:val="0"/>
                <w:numId w:val="36"/>
              </w:numPr>
            </w:pPr>
            <w:r>
              <w:t>Rituximab</w:t>
            </w:r>
          </w:p>
          <w:p w14:paraId="679B50DF" w14:textId="28FBCD2F" w:rsidR="005A1D3D" w:rsidRDefault="005A1D3D" w:rsidP="005A1D3D">
            <w:pPr>
              <w:pStyle w:val="ListParagraph"/>
              <w:numPr>
                <w:ilvl w:val="0"/>
                <w:numId w:val="36"/>
              </w:numPr>
            </w:pPr>
            <w:r>
              <w:t>Cytokine supplement</w:t>
            </w:r>
          </w:p>
        </w:tc>
      </w:tr>
    </w:tbl>
    <w:p w14:paraId="704FF804" w14:textId="36529BB1" w:rsidR="00CF65BE" w:rsidRPr="00F95649" w:rsidRDefault="0010667A" w:rsidP="00A60478">
      <w:pPr>
        <w:rPr>
          <w:sz w:val="18"/>
          <w:szCs w:val="18"/>
        </w:rPr>
      </w:pPr>
      <w:r>
        <w:rPr>
          <w:sz w:val="18"/>
          <w:szCs w:val="18"/>
        </w:rPr>
        <w:t>The above table is a modification of “</w:t>
      </w:r>
      <w:r w:rsidR="00F95649" w:rsidRPr="00F95649">
        <w:rPr>
          <w:sz w:val="18"/>
          <w:szCs w:val="18"/>
        </w:rPr>
        <w:t>TABLE VI. Summary of therapeutic considerations for primary immunodeficiencies and their complications</w:t>
      </w:r>
      <w:r>
        <w:rPr>
          <w:sz w:val="18"/>
          <w:szCs w:val="18"/>
        </w:rPr>
        <w:t>”</w:t>
      </w:r>
      <w:r w:rsidR="00F95649" w:rsidRPr="00F95649">
        <w:rPr>
          <w:rStyle w:val="FootnoteReference"/>
          <w:sz w:val="18"/>
          <w:szCs w:val="18"/>
        </w:rPr>
        <w:footnoteReference w:id="15"/>
      </w:r>
      <w:r w:rsidR="00F95649" w:rsidRPr="00F95649">
        <w:rPr>
          <w:sz w:val="18"/>
          <w:szCs w:val="18"/>
        </w:rPr>
        <w:t xml:space="preserve">, </w:t>
      </w:r>
      <w:r>
        <w:rPr>
          <w:sz w:val="18"/>
          <w:szCs w:val="18"/>
        </w:rPr>
        <w:t xml:space="preserve">noting that </w:t>
      </w:r>
      <w:r w:rsidR="00F95649" w:rsidRPr="00F95649">
        <w:rPr>
          <w:sz w:val="18"/>
          <w:szCs w:val="18"/>
        </w:rPr>
        <w:t xml:space="preserve">PIDs for which IgG is not included as standard of care </w:t>
      </w:r>
      <w:r>
        <w:rPr>
          <w:sz w:val="18"/>
          <w:szCs w:val="18"/>
        </w:rPr>
        <w:t xml:space="preserve">have been </w:t>
      </w:r>
      <w:r w:rsidR="00F95649" w:rsidRPr="00F95649">
        <w:rPr>
          <w:sz w:val="18"/>
          <w:szCs w:val="18"/>
        </w:rPr>
        <w:t>removed</w:t>
      </w:r>
    </w:p>
    <w:p w14:paraId="2F3E40C3" w14:textId="77777777" w:rsidR="00757232" w:rsidRDefault="00AF5D1E" w:rsidP="004F5D1A">
      <w:pPr>
        <w:pStyle w:val="Heading2"/>
        <w:shd w:val="clear" w:color="auto" w:fill="D9D9D9" w:themeFill="background1" w:themeFillShade="D9"/>
      </w:pPr>
      <w:r w:rsidRPr="00DB71BD">
        <w:t xml:space="preserve">Do the </w:t>
      </w:r>
      <w:r w:rsidR="00D231AA" w:rsidRPr="00DB71BD">
        <w:t>product</w:t>
      </w:r>
      <w:r w:rsidR="003A23CA" w:rsidRPr="00DB71BD">
        <w:t>s</w:t>
      </w:r>
      <w:r w:rsidR="00D231AA" w:rsidRPr="00DB71BD">
        <w:t xml:space="preserve"> or alternative </w:t>
      </w:r>
      <w:r w:rsidR="00C57386">
        <w:t>service</w:t>
      </w:r>
      <w:r w:rsidR="00D231AA" w:rsidRPr="00DB71BD">
        <w:t xml:space="preserve"> that </w:t>
      </w:r>
      <w:r w:rsidR="00C20B3F" w:rsidRPr="00DB71BD">
        <w:t>are</w:t>
      </w:r>
      <w:r w:rsidR="00D231AA" w:rsidRPr="00DB71BD">
        <w:t xml:space="preserve"> nominated</w:t>
      </w:r>
      <w:r w:rsidRPr="00DB71BD">
        <w:t xml:space="preserve"> as the comparator</w:t>
      </w:r>
      <w:r w:rsidR="000159B9" w:rsidRPr="00DB71BD">
        <w:t xml:space="preserve"> </w:t>
      </w:r>
      <w:r w:rsidRPr="00DB71BD">
        <w:t>have existing MBS item</w:t>
      </w:r>
      <w:r w:rsidR="00D231AA" w:rsidRPr="00DB71BD">
        <w:t>s or PBS listings</w:t>
      </w:r>
      <w:r w:rsidR="00757232" w:rsidRPr="00DB71BD">
        <w:t>?</w:t>
      </w:r>
      <w:r w:rsidR="00C1012E">
        <w:t xml:space="preserve"> </w:t>
      </w:r>
    </w:p>
    <w:p w14:paraId="024754B5" w14:textId="77777777" w:rsidR="008928D0" w:rsidRPr="00DB71BD" w:rsidRDefault="00A60478" w:rsidP="008928D0">
      <w:pPr>
        <w:spacing w:before="0" w:after="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641C09">
        <w:rPr>
          <w:szCs w:val="20"/>
        </w:rPr>
      </w:r>
      <w:r w:rsidR="00641C09">
        <w:rPr>
          <w:szCs w:val="20"/>
        </w:rPr>
        <w:fldChar w:fldCharType="separate"/>
      </w:r>
      <w:r>
        <w:rPr>
          <w:szCs w:val="20"/>
        </w:rPr>
        <w:fldChar w:fldCharType="end"/>
      </w:r>
      <w:r w:rsidR="008928D0" w:rsidRPr="00DB71BD">
        <w:rPr>
          <w:szCs w:val="20"/>
        </w:rPr>
        <w:t xml:space="preserve"> Yes (please provide all relevant MBS items or PBS listings)</w:t>
      </w:r>
    </w:p>
    <w:p w14:paraId="05894B65" w14:textId="3DE11DDE" w:rsidR="003C3EB9" w:rsidRDefault="008928D0" w:rsidP="008928D0">
      <w:pPr>
        <w:spacing w:before="0" w:after="0"/>
        <w:rPr>
          <w:szCs w:val="20"/>
        </w:rPr>
      </w:pPr>
      <w:r w:rsidRPr="00DB71BD">
        <w:rPr>
          <w:szCs w:val="20"/>
        </w:rPr>
        <w:fldChar w:fldCharType="begin">
          <w:ffData>
            <w:name w:val="Check2"/>
            <w:enabled/>
            <w:calcOnExit w:val="0"/>
            <w:checkBox>
              <w:sizeAuto/>
              <w:default w:val="0"/>
            </w:checkBox>
          </w:ffData>
        </w:fldChar>
      </w:r>
      <w:bookmarkStart w:id="2" w:name="Check2"/>
      <w:r w:rsidRPr="00DB71BD">
        <w:rPr>
          <w:szCs w:val="20"/>
        </w:rPr>
        <w:instrText xml:space="preserve"> FORMCHECKBOX </w:instrText>
      </w:r>
      <w:r w:rsidR="00641C09">
        <w:rPr>
          <w:szCs w:val="20"/>
        </w:rPr>
      </w:r>
      <w:r w:rsidR="00641C09">
        <w:rPr>
          <w:szCs w:val="20"/>
        </w:rPr>
        <w:fldChar w:fldCharType="separate"/>
      </w:r>
      <w:r w:rsidRPr="00DB71BD">
        <w:rPr>
          <w:szCs w:val="20"/>
        </w:rPr>
        <w:fldChar w:fldCharType="end"/>
      </w:r>
      <w:bookmarkEnd w:id="2"/>
      <w:r w:rsidRPr="00DB71BD">
        <w:rPr>
          <w:szCs w:val="20"/>
        </w:rPr>
        <w:t xml:space="preserve"> No</w:t>
      </w:r>
    </w:p>
    <w:p w14:paraId="746459D6" w14:textId="77777777" w:rsidR="00C54F2E" w:rsidRDefault="00C54F2E" w:rsidP="00C54F2E">
      <w:pPr>
        <w:spacing w:before="0" w:after="0"/>
        <w:rPr>
          <w:i/>
          <w:szCs w:val="20"/>
        </w:rPr>
      </w:pPr>
    </w:p>
    <w:p w14:paraId="7F1E188A" w14:textId="1A2BB729" w:rsidR="003C3EB9" w:rsidRDefault="00C54F2E" w:rsidP="008928D0">
      <w:pPr>
        <w:spacing w:before="0" w:after="0"/>
        <w:rPr>
          <w:szCs w:val="20"/>
        </w:rPr>
      </w:pPr>
      <w:r>
        <w:rPr>
          <w:i/>
          <w:szCs w:val="20"/>
        </w:rPr>
        <w:t xml:space="preserve">Table </w:t>
      </w:r>
      <w:r w:rsidR="00F13746">
        <w:rPr>
          <w:i/>
          <w:szCs w:val="20"/>
        </w:rPr>
        <w:t>8</w:t>
      </w:r>
      <w:r>
        <w:rPr>
          <w:i/>
          <w:szCs w:val="20"/>
        </w:rPr>
        <w:t>: PBS listing for comparator products</w:t>
      </w:r>
    </w:p>
    <w:tbl>
      <w:tblPr>
        <w:tblStyle w:val="TableGrid"/>
        <w:tblW w:w="0" w:type="auto"/>
        <w:tblInd w:w="5" w:type="dxa"/>
        <w:tblLook w:val="04A0" w:firstRow="1" w:lastRow="0" w:firstColumn="1" w:lastColumn="0" w:noHBand="0" w:noVBand="1"/>
        <w:tblDescription w:val="Table 8: PBS listing for comparator products"/>
      </w:tblPr>
      <w:tblGrid>
        <w:gridCol w:w="2265"/>
        <w:gridCol w:w="2265"/>
        <w:gridCol w:w="2265"/>
        <w:gridCol w:w="2265"/>
      </w:tblGrid>
      <w:tr w:rsidR="003C3EB9" w14:paraId="535F124B" w14:textId="77777777" w:rsidTr="00891D8E">
        <w:trPr>
          <w:tblHeader/>
        </w:trPr>
        <w:tc>
          <w:tcPr>
            <w:tcW w:w="2265" w:type="dxa"/>
          </w:tcPr>
          <w:p w14:paraId="40A05578" w14:textId="77777777" w:rsidR="003C3EB9" w:rsidRDefault="003C3EB9" w:rsidP="008928D0">
            <w:pPr>
              <w:spacing w:before="0" w:after="0"/>
              <w:rPr>
                <w:szCs w:val="20"/>
              </w:rPr>
            </w:pPr>
            <w:r>
              <w:rPr>
                <w:szCs w:val="20"/>
              </w:rPr>
              <w:t>Generic Name</w:t>
            </w:r>
          </w:p>
        </w:tc>
        <w:tc>
          <w:tcPr>
            <w:tcW w:w="2265" w:type="dxa"/>
          </w:tcPr>
          <w:p w14:paraId="61FBA426" w14:textId="77777777" w:rsidR="003C3EB9" w:rsidRPr="003C3EB9" w:rsidRDefault="003C3EB9" w:rsidP="008928D0">
            <w:pPr>
              <w:spacing w:before="0" w:after="0"/>
              <w:rPr>
                <w:i/>
                <w:szCs w:val="20"/>
              </w:rPr>
            </w:pPr>
            <w:r>
              <w:rPr>
                <w:szCs w:val="20"/>
              </w:rPr>
              <w:t xml:space="preserve">PBS subsidised for </w:t>
            </w:r>
            <w:r>
              <w:rPr>
                <w:i/>
                <w:szCs w:val="20"/>
              </w:rPr>
              <w:t>insert condition name</w:t>
            </w:r>
          </w:p>
        </w:tc>
        <w:tc>
          <w:tcPr>
            <w:tcW w:w="2265" w:type="dxa"/>
          </w:tcPr>
          <w:p w14:paraId="0DD5318E" w14:textId="77777777" w:rsidR="003C3EB9" w:rsidRDefault="003C3EB9" w:rsidP="008928D0">
            <w:pPr>
              <w:spacing w:before="0" w:after="0"/>
              <w:rPr>
                <w:szCs w:val="20"/>
              </w:rPr>
            </w:pPr>
            <w:r>
              <w:rPr>
                <w:szCs w:val="20"/>
              </w:rPr>
              <w:t>PBS unrestricted or Authority required</w:t>
            </w:r>
          </w:p>
        </w:tc>
        <w:tc>
          <w:tcPr>
            <w:tcW w:w="2265" w:type="dxa"/>
          </w:tcPr>
          <w:p w14:paraId="46DACFB4" w14:textId="77777777" w:rsidR="003C3EB9" w:rsidRDefault="003C3EB9" w:rsidP="008928D0">
            <w:pPr>
              <w:spacing w:before="0" w:after="0"/>
              <w:rPr>
                <w:szCs w:val="20"/>
              </w:rPr>
            </w:pPr>
            <w:r>
              <w:rPr>
                <w:szCs w:val="20"/>
              </w:rPr>
              <w:t>PBS item numbers and presentations if available</w:t>
            </w:r>
          </w:p>
        </w:tc>
      </w:tr>
      <w:tr w:rsidR="003C3EB9" w14:paraId="160B5DB7" w14:textId="77777777" w:rsidTr="00475FCF">
        <w:tc>
          <w:tcPr>
            <w:tcW w:w="2265" w:type="dxa"/>
          </w:tcPr>
          <w:p w14:paraId="014DA24A" w14:textId="3275BB67" w:rsidR="003C3EB9" w:rsidRDefault="00616481" w:rsidP="008928D0">
            <w:pPr>
              <w:spacing w:before="0" w:after="0"/>
              <w:rPr>
                <w:szCs w:val="20"/>
              </w:rPr>
            </w:pPr>
            <w:r>
              <w:rPr>
                <w:szCs w:val="20"/>
              </w:rPr>
              <w:t>.</w:t>
            </w:r>
          </w:p>
        </w:tc>
        <w:tc>
          <w:tcPr>
            <w:tcW w:w="2265" w:type="dxa"/>
          </w:tcPr>
          <w:p w14:paraId="1A579899" w14:textId="77777777" w:rsidR="003C3EB9" w:rsidRDefault="003C3EB9" w:rsidP="008928D0">
            <w:pPr>
              <w:spacing w:before="0" w:after="0"/>
              <w:rPr>
                <w:szCs w:val="20"/>
              </w:rPr>
            </w:pPr>
          </w:p>
        </w:tc>
        <w:tc>
          <w:tcPr>
            <w:tcW w:w="2265" w:type="dxa"/>
          </w:tcPr>
          <w:p w14:paraId="2D85E367" w14:textId="77777777" w:rsidR="003C3EB9" w:rsidRDefault="003C3EB9" w:rsidP="008928D0">
            <w:pPr>
              <w:spacing w:before="0" w:after="0"/>
              <w:rPr>
                <w:szCs w:val="20"/>
              </w:rPr>
            </w:pPr>
          </w:p>
        </w:tc>
        <w:tc>
          <w:tcPr>
            <w:tcW w:w="2265" w:type="dxa"/>
          </w:tcPr>
          <w:p w14:paraId="04719FC8" w14:textId="77777777" w:rsidR="003C3EB9" w:rsidRDefault="003C3EB9" w:rsidP="008928D0">
            <w:pPr>
              <w:spacing w:before="0" w:after="0"/>
              <w:rPr>
                <w:szCs w:val="20"/>
              </w:rPr>
            </w:pPr>
          </w:p>
        </w:tc>
      </w:tr>
      <w:tr w:rsidR="003C3EB9" w14:paraId="4CEE57AE" w14:textId="77777777" w:rsidTr="00475FCF">
        <w:tc>
          <w:tcPr>
            <w:tcW w:w="2265" w:type="dxa"/>
          </w:tcPr>
          <w:p w14:paraId="4D16EB17" w14:textId="32EBBCCF" w:rsidR="003C3EB9" w:rsidRDefault="00616481" w:rsidP="008928D0">
            <w:pPr>
              <w:spacing w:before="0" w:after="0"/>
              <w:rPr>
                <w:szCs w:val="20"/>
              </w:rPr>
            </w:pPr>
            <w:r>
              <w:rPr>
                <w:szCs w:val="20"/>
              </w:rPr>
              <w:t>.</w:t>
            </w:r>
          </w:p>
        </w:tc>
        <w:tc>
          <w:tcPr>
            <w:tcW w:w="2265" w:type="dxa"/>
          </w:tcPr>
          <w:p w14:paraId="0345BCFE" w14:textId="77777777" w:rsidR="003C3EB9" w:rsidRDefault="003C3EB9" w:rsidP="008928D0">
            <w:pPr>
              <w:spacing w:before="0" w:after="0"/>
              <w:rPr>
                <w:szCs w:val="20"/>
              </w:rPr>
            </w:pPr>
          </w:p>
        </w:tc>
        <w:tc>
          <w:tcPr>
            <w:tcW w:w="2265" w:type="dxa"/>
          </w:tcPr>
          <w:p w14:paraId="25702029" w14:textId="77777777" w:rsidR="003C3EB9" w:rsidRDefault="003C3EB9" w:rsidP="008928D0">
            <w:pPr>
              <w:spacing w:before="0" w:after="0"/>
              <w:rPr>
                <w:szCs w:val="20"/>
              </w:rPr>
            </w:pPr>
          </w:p>
        </w:tc>
        <w:tc>
          <w:tcPr>
            <w:tcW w:w="2265" w:type="dxa"/>
          </w:tcPr>
          <w:p w14:paraId="598E8E1A" w14:textId="77777777" w:rsidR="003C3EB9" w:rsidRDefault="003C3EB9" w:rsidP="008928D0">
            <w:pPr>
              <w:spacing w:before="0" w:after="0"/>
              <w:rPr>
                <w:szCs w:val="20"/>
              </w:rPr>
            </w:pPr>
          </w:p>
        </w:tc>
      </w:tr>
      <w:tr w:rsidR="003C3EB9" w14:paraId="184F4C7C" w14:textId="77777777" w:rsidTr="00475FCF">
        <w:tc>
          <w:tcPr>
            <w:tcW w:w="2265" w:type="dxa"/>
          </w:tcPr>
          <w:p w14:paraId="6EA69F0D" w14:textId="321745B7" w:rsidR="003C3EB9" w:rsidRDefault="00616481" w:rsidP="008928D0">
            <w:pPr>
              <w:spacing w:before="0" w:after="0"/>
              <w:rPr>
                <w:szCs w:val="20"/>
              </w:rPr>
            </w:pPr>
            <w:r>
              <w:rPr>
                <w:szCs w:val="20"/>
              </w:rPr>
              <w:t>.</w:t>
            </w:r>
          </w:p>
        </w:tc>
        <w:tc>
          <w:tcPr>
            <w:tcW w:w="2265" w:type="dxa"/>
          </w:tcPr>
          <w:p w14:paraId="0930A4B2" w14:textId="77777777" w:rsidR="003C3EB9" w:rsidRDefault="003C3EB9" w:rsidP="008928D0">
            <w:pPr>
              <w:spacing w:before="0" w:after="0"/>
              <w:rPr>
                <w:szCs w:val="20"/>
              </w:rPr>
            </w:pPr>
          </w:p>
        </w:tc>
        <w:tc>
          <w:tcPr>
            <w:tcW w:w="2265" w:type="dxa"/>
          </w:tcPr>
          <w:p w14:paraId="2A2AF497" w14:textId="77777777" w:rsidR="003C3EB9" w:rsidRDefault="003C3EB9" w:rsidP="008928D0">
            <w:pPr>
              <w:spacing w:before="0" w:after="0"/>
              <w:rPr>
                <w:szCs w:val="20"/>
              </w:rPr>
            </w:pPr>
          </w:p>
        </w:tc>
        <w:tc>
          <w:tcPr>
            <w:tcW w:w="2265" w:type="dxa"/>
          </w:tcPr>
          <w:p w14:paraId="4CF619F9" w14:textId="77777777" w:rsidR="003C3EB9" w:rsidRDefault="003C3EB9" w:rsidP="008928D0">
            <w:pPr>
              <w:spacing w:before="0" w:after="0"/>
              <w:rPr>
                <w:szCs w:val="20"/>
              </w:rPr>
            </w:pPr>
          </w:p>
        </w:tc>
      </w:tr>
    </w:tbl>
    <w:p w14:paraId="35360185" w14:textId="77777777" w:rsidR="008928D0" w:rsidRDefault="008928D0" w:rsidP="008928D0">
      <w:pPr>
        <w:spacing w:before="0" w:after="0"/>
        <w:rPr>
          <w:szCs w:val="20"/>
        </w:rPr>
      </w:pPr>
    </w:p>
    <w:p w14:paraId="28D160DC" w14:textId="77777777" w:rsidR="00A44927" w:rsidRDefault="00A44927" w:rsidP="008928D0">
      <w:pPr>
        <w:spacing w:before="0" w:after="0"/>
        <w:rPr>
          <w:szCs w:val="20"/>
        </w:rPr>
      </w:pPr>
    </w:p>
    <w:p w14:paraId="73E5284D" w14:textId="77777777" w:rsidR="00AF5D1E" w:rsidRDefault="00AF5D1E" w:rsidP="00A876CA">
      <w:pPr>
        <w:pStyle w:val="Heading2"/>
        <w:shd w:val="clear" w:color="auto" w:fill="D9D9D9" w:themeFill="background1" w:themeFillShade="D9"/>
        <w:tabs>
          <w:tab w:val="left" w:pos="284"/>
        </w:tabs>
        <w:ind w:left="284" w:hanging="284"/>
      </w:pPr>
      <w:r w:rsidRPr="00154B00">
        <w:t xml:space="preserve">Define and </w:t>
      </w:r>
      <w:r w:rsidRPr="001B29A1">
        <w:t>summarise</w:t>
      </w:r>
      <w:r w:rsidRPr="00154B00">
        <w:t xml:space="preserve"> the </w:t>
      </w:r>
      <w:r w:rsidR="00C57386">
        <w:t xml:space="preserve">comparator </w:t>
      </w:r>
      <w:r w:rsidRPr="00154B00">
        <w:t>cl</w:t>
      </w:r>
      <w:r w:rsidR="00F33F1A" w:rsidRPr="00154B00">
        <w:t xml:space="preserve">inical management pathways </w:t>
      </w:r>
      <w:r w:rsidR="00C57386">
        <w:t xml:space="preserve">(algorithm) </w:t>
      </w:r>
      <w:r w:rsidR="00F33F1A" w:rsidRPr="00154B00">
        <w:t xml:space="preserve">that patients </w:t>
      </w:r>
      <w:r w:rsidR="00C20B3F">
        <w:t xml:space="preserve">would </w:t>
      </w:r>
      <w:r w:rsidR="00F33F1A" w:rsidRPr="00154B00">
        <w:t xml:space="preserve">follow </w:t>
      </w:r>
      <w:r w:rsidR="00F33F1A" w:rsidRPr="007D4B8C">
        <w:t>after</w:t>
      </w:r>
      <w:r w:rsidR="00757232">
        <w:t xml:space="preserve"> they </w:t>
      </w:r>
      <w:r w:rsidR="00C57386">
        <w:t xml:space="preserve">first </w:t>
      </w:r>
      <w:r w:rsidR="00757232">
        <w:t>receive</w:t>
      </w:r>
      <w:r w:rsidRPr="00154B00">
        <w:t xml:space="preserve"> </w:t>
      </w:r>
      <w:r w:rsidR="00F33F1A" w:rsidRPr="00154B00">
        <w:t>the</w:t>
      </w:r>
      <w:r w:rsidR="00D231AA">
        <w:t xml:space="preserve"> product</w:t>
      </w:r>
      <w:r w:rsidR="003A23CA">
        <w:t>s</w:t>
      </w:r>
      <w:r w:rsidR="004C4C0B">
        <w:t xml:space="preserve"> </w:t>
      </w:r>
      <w:r w:rsidR="00D231AA">
        <w:t xml:space="preserve">or alternative </w:t>
      </w:r>
      <w:r w:rsidR="00C57386">
        <w:t>services</w:t>
      </w:r>
      <w:r w:rsidR="00F33F1A" w:rsidRPr="00154B00">
        <w:t xml:space="preserve"> nominated as the comparator </w:t>
      </w:r>
      <w:r w:rsidRPr="00154B00">
        <w:t xml:space="preserve">(supplement this summary with </w:t>
      </w:r>
      <w:r w:rsidR="00F33F1A" w:rsidRPr="00154B00">
        <w:t xml:space="preserve">an easy to follow </w:t>
      </w:r>
      <w:r w:rsidR="00DD65DB">
        <w:t xml:space="preserve">flow chart, </w:t>
      </w:r>
      <w:r w:rsidR="00E4321E" w:rsidRPr="00154B00">
        <w:t>including health care resources</w:t>
      </w:r>
      <w:r w:rsidR="00AE1188">
        <w:t>)</w:t>
      </w:r>
      <w:r w:rsidR="00746A27">
        <w:t>:</w:t>
      </w:r>
    </w:p>
    <w:p w14:paraId="579581B9" w14:textId="3CC94C6B" w:rsidR="00C54F2E" w:rsidRDefault="00C54F2E" w:rsidP="00A44927">
      <w:pPr>
        <w:rPr>
          <w:b/>
          <w:i/>
        </w:rPr>
      </w:pPr>
      <w:r>
        <w:t>In circumstances where Ig is not an option, a schematic summary of the treatment pathway is suggested for the purpose of this review as follows:</w:t>
      </w:r>
    </w:p>
    <w:p w14:paraId="1DF62225" w14:textId="77777777" w:rsidR="00A44927" w:rsidRDefault="00C54F2E" w:rsidP="00A44927">
      <w:pPr>
        <w:ind w:left="426"/>
        <w:rPr>
          <w:b/>
          <w:i/>
        </w:rPr>
      </w:pPr>
      <w:r w:rsidRPr="005902D8">
        <w:rPr>
          <w:b/>
          <w:i/>
        </w:rPr>
        <w:t xml:space="preserve">Figure 3 – Treatment pathway when Ig is not an option. </w:t>
      </w:r>
    </w:p>
    <w:p w14:paraId="42E34F96" w14:textId="77777777" w:rsidR="00A44927" w:rsidRDefault="00A44927" w:rsidP="00A44927">
      <w:pPr>
        <w:ind w:left="426"/>
        <w:rPr>
          <w:b/>
          <w:i/>
        </w:rPr>
      </w:pPr>
    </w:p>
    <w:p w14:paraId="1992A0B1" w14:textId="583947E6" w:rsidR="00285E59" w:rsidRPr="00B17921" w:rsidRDefault="00891D8E" w:rsidP="00A44927">
      <w:pPr>
        <w:ind w:left="426"/>
        <w:rPr>
          <w:szCs w:val="20"/>
        </w:rPr>
      </w:pPr>
      <w:r>
        <w:object w:dxaOrig="10173" w:dyaOrig="4374" w14:anchorId="1398D8A6">
          <v:shape id="_x0000_i1027" type="#_x0000_t75" alt="Figure 3 – Treatment pathway when Ig is not an option. " style="width:431.25pt;height:196.5pt" o:ole="">
            <v:imagedata r:id="rId33" o:title=""/>
          </v:shape>
          <o:OLEObject Type="Embed" ProgID="Visio.Drawing.11" ShapeID="_x0000_i1027" DrawAspect="Content" ObjectID="_1658645874" r:id="rId34"/>
        </w:object>
      </w:r>
    </w:p>
    <w:p w14:paraId="292B5DE6" w14:textId="77777777" w:rsidR="00A83EC6" w:rsidRPr="00154B00" w:rsidRDefault="005C3AE7" w:rsidP="00A876CA">
      <w:pPr>
        <w:pStyle w:val="Heading2"/>
        <w:shd w:val="clear" w:color="auto" w:fill="D9D9D9" w:themeFill="background1" w:themeFillShade="D9"/>
        <w:tabs>
          <w:tab w:val="left" w:pos="284"/>
        </w:tabs>
        <w:ind w:left="284" w:hanging="284"/>
      </w:pPr>
      <w:r>
        <w:t xml:space="preserve">(a) </w:t>
      </w:r>
      <w:r w:rsidR="0092286C">
        <w:t>Are</w:t>
      </w:r>
      <w:r w:rsidR="00F0456F">
        <w:t xml:space="preserve"> </w:t>
      </w:r>
      <w:r w:rsidR="00F0456F" w:rsidRPr="00154B00">
        <w:t>the</w:t>
      </w:r>
      <w:r w:rsidR="000450B7">
        <w:t>re additional</w:t>
      </w:r>
      <w:r w:rsidR="00A83EC6" w:rsidRPr="00154B00">
        <w:t xml:space="preserve"> </w:t>
      </w:r>
      <w:r w:rsidR="00D231AA">
        <w:t>product</w:t>
      </w:r>
      <w:r w:rsidR="003A23CA">
        <w:t>s</w:t>
      </w:r>
      <w:r w:rsidR="008F5DB5">
        <w:t xml:space="preserve"> or services </w:t>
      </w:r>
      <w:r w:rsidR="00A83EC6" w:rsidRPr="00154B00">
        <w:t xml:space="preserve">used </w:t>
      </w:r>
      <w:r w:rsidR="000450B7">
        <w:t xml:space="preserve">with </w:t>
      </w:r>
      <w:r w:rsidR="00A83EC6" w:rsidRPr="00154B00">
        <w:t xml:space="preserve">the nominated </w:t>
      </w:r>
      <w:r w:rsidR="00A83EC6" w:rsidRPr="001B29A1">
        <w:t>comparator</w:t>
      </w:r>
      <w:r w:rsidR="000F1142">
        <w:t>s</w:t>
      </w:r>
    </w:p>
    <w:p w14:paraId="7FBE11D9" w14:textId="77777777" w:rsidR="001B29A1" w:rsidRPr="00C044F6" w:rsidRDefault="00673EDA" w:rsidP="00162108">
      <w:pPr>
        <w:tabs>
          <w:tab w:val="left" w:pos="284"/>
        </w:tabs>
        <w:spacing w:before="0" w:after="0"/>
        <w:ind w:left="284" w:hanging="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641C09">
        <w:rPr>
          <w:szCs w:val="20"/>
        </w:rPr>
      </w:r>
      <w:r w:rsidR="00641C09">
        <w:rPr>
          <w:szCs w:val="20"/>
        </w:rPr>
        <w:fldChar w:fldCharType="separate"/>
      </w:r>
      <w:r>
        <w:rPr>
          <w:szCs w:val="20"/>
        </w:rPr>
        <w:fldChar w:fldCharType="end"/>
      </w:r>
      <w:r w:rsidR="001B29A1" w:rsidRPr="00C044F6">
        <w:rPr>
          <w:szCs w:val="20"/>
        </w:rPr>
        <w:t xml:space="preserve"> Yes </w:t>
      </w:r>
    </w:p>
    <w:p w14:paraId="39BFB51B" w14:textId="77777777" w:rsidR="001B29A1" w:rsidRDefault="009C0B83" w:rsidP="00162108">
      <w:pPr>
        <w:tabs>
          <w:tab w:val="left" w:pos="284"/>
        </w:tabs>
        <w:spacing w:before="0" w:after="0"/>
        <w:ind w:left="284" w:hanging="284"/>
        <w:rPr>
          <w:szCs w:val="20"/>
        </w:rPr>
      </w:pPr>
      <w:r w:rsidRPr="00C044F6">
        <w:rPr>
          <w:szCs w:val="20"/>
        </w:rPr>
        <w:fldChar w:fldCharType="begin">
          <w:ffData>
            <w:name w:val=""/>
            <w:enabled/>
            <w:calcOnExit w:val="0"/>
            <w:checkBox>
              <w:sizeAuto/>
              <w:default w:val="0"/>
            </w:checkBox>
          </w:ffData>
        </w:fldChar>
      </w:r>
      <w:r w:rsidRPr="00C044F6">
        <w:rPr>
          <w:szCs w:val="20"/>
        </w:rPr>
        <w:instrText xml:space="preserve"> FORMCHECKBOX </w:instrText>
      </w:r>
      <w:r w:rsidR="00641C09">
        <w:rPr>
          <w:szCs w:val="20"/>
        </w:rPr>
      </w:r>
      <w:r w:rsidR="00641C09">
        <w:rPr>
          <w:szCs w:val="20"/>
        </w:rPr>
        <w:fldChar w:fldCharType="separate"/>
      </w:r>
      <w:r w:rsidRPr="00C044F6">
        <w:rPr>
          <w:szCs w:val="20"/>
        </w:rPr>
        <w:fldChar w:fldCharType="end"/>
      </w:r>
      <w:r w:rsidR="001B29A1" w:rsidRPr="00C044F6">
        <w:rPr>
          <w:szCs w:val="20"/>
        </w:rPr>
        <w:t xml:space="preserve"> No</w:t>
      </w:r>
      <w:r w:rsidR="001B29A1">
        <w:rPr>
          <w:szCs w:val="20"/>
        </w:rPr>
        <w:t xml:space="preserve">  </w:t>
      </w:r>
    </w:p>
    <w:p w14:paraId="0A93AFA5" w14:textId="77777777" w:rsidR="00E70D86" w:rsidRPr="00154B00" w:rsidRDefault="00E70D86" w:rsidP="00AC1BE4">
      <w:pPr>
        <w:pStyle w:val="Heading2"/>
        <w:numPr>
          <w:ilvl w:val="0"/>
          <w:numId w:val="1"/>
        </w:numPr>
        <w:shd w:val="clear" w:color="auto" w:fill="D9D9D9" w:themeFill="background1" w:themeFillShade="D9"/>
        <w:tabs>
          <w:tab w:val="left" w:pos="284"/>
        </w:tabs>
        <w:ind w:left="284" w:hanging="284"/>
      </w:pPr>
      <w:r w:rsidRPr="00154B00">
        <w:t xml:space="preserve">If </w:t>
      </w:r>
      <w:r w:rsidR="00D00122">
        <w:t xml:space="preserve">yes, </w:t>
      </w:r>
      <w:r w:rsidRPr="00154B00">
        <w:t xml:space="preserve">please </w:t>
      </w:r>
      <w:r w:rsidR="00BB0DED">
        <w:t xml:space="preserve">identify these products </w:t>
      </w:r>
      <w:r w:rsidR="008F5DB5">
        <w:t>or services</w:t>
      </w:r>
      <w:r w:rsidR="00BB0DED">
        <w:t xml:space="preserve"> and </w:t>
      </w:r>
      <w:r w:rsidR="00F33F1A" w:rsidRPr="00154B00">
        <w:t xml:space="preserve">outline </w:t>
      </w:r>
      <w:r w:rsidRPr="00154B00">
        <w:t xml:space="preserve">the extent </w:t>
      </w:r>
      <w:r w:rsidR="00BB0DED">
        <w:t>t</w:t>
      </w:r>
      <w:r w:rsidRPr="00154B00">
        <w:t xml:space="preserve">o </w:t>
      </w:r>
      <w:r w:rsidR="00F33F1A" w:rsidRPr="00154B00">
        <w:t xml:space="preserve">which </w:t>
      </w:r>
      <w:r w:rsidR="00BB0DED">
        <w:t xml:space="preserve">each additional </w:t>
      </w:r>
      <w:r w:rsidR="00D231AA">
        <w:t>product</w:t>
      </w:r>
      <w:r w:rsidR="004C4C0B">
        <w:t xml:space="preserve"> / device</w:t>
      </w:r>
      <w:r w:rsidR="00BB0DED">
        <w:t xml:space="preserve"> is used with the nominated comparators</w:t>
      </w:r>
      <w:r w:rsidR="00AE1188">
        <w:t>:</w:t>
      </w:r>
    </w:p>
    <w:p w14:paraId="6AA69616" w14:textId="0DFC34C9" w:rsidR="00B17921" w:rsidRDefault="00B17921">
      <w:pPr>
        <w:spacing w:before="0" w:after="200" w:line="276" w:lineRule="auto"/>
        <w:rPr>
          <w:szCs w:val="20"/>
        </w:rPr>
      </w:pPr>
      <w:r>
        <w:rPr>
          <w:szCs w:val="20"/>
        </w:rPr>
        <w:br w:type="page"/>
      </w:r>
    </w:p>
    <w:p w14:paraId="13D8C52D" w14:textId="77777777" w:rsidR="00DF0D47" w:rsidRPr="00F81266" w:rsidRDefault="00DF0D47" w:rsidP="00162108">
      <w:pPr>
        <w:pStyle w:val="Heading1"/>
        <w:tabs>
          <w:tab w:val="left" w:pos="284"/>
        </w:tabs>
        <w:ind w:left="284" w:hanging="284"/>
      </w:pPr>
      <w:r w:rsidRPr="00F81266">
        <w:t xml:space="preserve">INFORMATION ABOUT THE </w:t>
      </w:r>
      <w:r w:rsidR="00CF5AD8" w:rsidRPr="00F81266">
        <w:t xml:space="preserve">CLINICAL </w:t>
      </w:r>
      <w:r w:rsidRPr="00F81266">
        <w:t>OUTCOME</w:t>
      </w:r>
      <w:r w:rsidR="00746A27">
        <w:t>S</w:t>
      </w:r>
    </w:p>
    <w:p w14:paraId="7E111A7F" w14:textId="77777777" w:rsidR="004E3CC7" w:rsidRDefault="004E3CC7" w:rsidP="00A876CA">
      <w:pPr>
        <w:pStyle w:val="Heading2"/>
        <w:shd w:val="clear" w:color="auto" w:fill="D9D9D9" w:themeFill="background1" w:themeFillShade="D9"/>
        <w:tabs>
          <w:tab w:val="left" w:pos="284"/>
        </w:tabs>
        <w:ind w:left="284" w:hanging="284"/>
      </w:pPr>
      <w:r w:rsidRPr="001B29A1">
        <w:t xml:space="preserve">Summarise the clinical claims </w:t>
      </w:r>
      <w:r w:rsidR="00D231AA">
        <w:t xml:space="preserve">of </w:t>
      </w:r>
      <w:r w:rsidR="00746A27">
        <w:t>Ig therapy</w:t>
      </w:r>
      <w:r w:rsidR="00D231AA">
        <w:t>,</w:t>
      </w:r>
      <w:r w:rsidRPr="001B29A1">
        <w:t xml:space="preserve"> against the </w:t>
      </w:r>
      <w:r w:rsidR="00746A27">
        <w:t xml:space="preserve">nominated </w:t>
      </w:r>
      <w:r w:rsidRPr="001B29A1">
        <w:t>comparator</w:t>
      </w:r>
      <w:r w:rsidR="00A72B16">
        <w:t>s</w:t>
      </w:r>
      <w:r w:rsidRPr="001B29A1">
        <w:t>, in terms of consequences for health outcomes</w:t>
      </w:r>
      <w:r w:rsidR="00CF5AD8" w:rsidRPr="001B29A1">
        <w:t xml:space="preserve"> (</w:t>
      </w:r>
      <w:r w:rsidR="009F0C02" w:rsidRPr="001B29A1">
        <w:t xml:space="preserve">comparative </w:t>
      </w:r>
      <w:r w:rsidR="00E859E6">
        <w:t>benefits and harm</w:t>
      </w:r>
      <w:r w:rsidR="009F0C02" w:rsidRPr="001B29A1">
        <w:t>)</w:t>
      </w:r>
      <w:r w:rsidR="00AE1188">
        <w:t>:</w:t>
      </w:r>
      <w:r w:rsidR="00C1012E">
        <w:t xml:space="preserve"> </w:t>
      </w:r>
    </w:p>
    <w:p w14:paraId="1EF97CF6" w14:textId="138E59C7" w:rsidR="00C57FA3" w:rsidRDefault="00C57FA3" w:rsidP="00FA27F4">
      <w:r>
        <w:t xml:space="preserve">Ig is used as </w:t>
      </w:r>
      <w:r w:rsidR="00E30AF5">
        <w:t>antibody</w:t>
      </w:r>
      <w:r>
        <w:t xml:space="preserve"> replacement therapy in PIDs.</w:t>
      </w:r>
    </w:p>
    <w:p w14:paraId="555539DA" w14:textId="77777777" w:rsidR="009F2D8E" w:rsidRDefault="00E30AF5" w:rsidP="00FA27F4">
      <w:r>
        <w:t xml:space="preserve">Among the immunodeficiencies, the clearest indication for IVIg is for patients who produce no antibody, which can occur because of the absence of functionally mature B cells. </w:t>
      </w:r>
      <w:r w:rsidR="00C76589">
        <w:t>However, c</w:t>
      </w:r>
      <w:r w:rsidR="00323E6C">
        <w:t>ommon variable immunodeficiency (CVID) is the highest user of Ig in the PID group in Australia. Studies of IVIg in this indication have shown that it reduces the incidence of infection, including pneumonia and progression of lung disease. The historical evidence and existing studies are compelling enough to indicate this therapy to prevent recurrent infection in the setting of CVID</w:t>
      </w:r>
      <w:r w:rsidR="000E2850">
        <w:t>. The review of evidence that came to this conclusion categorised the recommendation for use of Ig in PID as</w:t>
      </w:r>
      <w:r w:rsidR="009F2D8E">
        <w:t>:</w:t>
      </w:r>
    </w:p>
    <w:p w14:paraId="45BAF760" w14:textId="77777777" w:rsidR="009F2D8E" w:rsidRDefault="009F2D8E" w:rsidP="009F2D8E">
      <w:pPr>
        <w:pStyle w:val="ListParagraph"/>
        <w:numPr>
          <w:ilvl w:val="0"/>
          <w:numId w:val="22"/>
        </w:numPr>
      </w:pPr>
      <w:r>
        <w:t>definitely beneficial in primary immune defects with absent B cells</w:t>
      </w:r>
    </w:p>
    <w:p w14:paraId="0D15FE7F" w14:textId="77777777" w:rsidR="009F2D8E" w:rsidRDefault="009F2D8E" w:rsidP="009F2D8E">
      <w:pPr>
        <w:pStyle w:val="ListParagraph"/>
        <w:numPr>
          <w:ilvl w:val="0"/>
          <w:numId w:val="22"/>
        </w:numPr>
      </w:pPr>
      <w:r>
        <w:t>definitely beneficial in primary immune defects with hypogammaglobulinaemia and impaired specific antibody production</w:t>
      </w:r>
    </w:p>
    <w:p w14:paraId="31A4C549" w14:textId="77777777" w:rsidR="009F2D8E" w:rsidRDefault="009F2D8E" w:rsidP="009F2D8E">
      <w:pPr>
        <w:pStyle w:val="ListParagraph"/>
        <w:numPr>
          <w:ilvl w:val="0"/>
          <w:numId w:val="22"/>
        </w:numPr>
      </w:pPr>
      <w:r>
        <w:t>probably beneficial in primary immune defects with normogammaglobulinaemia and impaired specific antibody production</w:t>
      </w:r>
    </w:p>
    <w:p w14:paraId="11C7B56C" w14:textId="77777777" w:rsidR="009F2D8E" w:rsidRDefault="009F2D8E" w:rsidP="009F2D8E">
      <w:pPr>
        <w:pStyle w:val="ListParagraph"/>
        <w:numPr>
          <w:ilvl w:val="0"/>
          <w:numId w:val="22"/>
        </w:numPr>
      </w:pPr>
      <w:r>
        <w:t>unlikely to be beneficial in isolated IgA deficiency</w:t>
      </w:r>
    </w:p>
    <w:p w14:paraId="750AB195" w14:textId="1A681432" w:rsidR="00323E6C" w:rsidRDefault="009F2D8E" w:rsidP="009F2D8E">
      <w:pPr>
        <w:pStyle w:val="ListParagraph"/>
        <w:numPr>
          <w:ilvl w:val="0"/>
          <w:numId w:val="22"/>
        </w:numPr>
      </w:pPr>
      <w:r>
        <w:t>unlikely to be beneficial in isolated IgG4 deficiency</w:t>
      </w:r>
      <w:r w:rsidR="000E2850">
        <w:t xml:space="preserve"> </w:t>
      </w:r>
      <w:r w:rsidR="001E3257">
        <w:rPr>
          <w:rStyle w:val="FootnoteReference"/>
        </w:rPr>
        <w:footnoteReference w:id="16"/>
      </w:r>
      <w:r w:rsidR="00323E6C">
        <w:t>.</w:t>
      </w:r>
    </w:p>
    <w:p w14:paraId="7C8A2757" w14:textId="529F5D0B" w:rsidR="00FA27F4" w:rsidRPr="00FA27F4" w:rsidRDefault="00C76589" w:rsidP="00FA27F4">
      <w:r>
        <w:t>The Biotext systematic review</w:t>
      </w:r>
      <w:r w:rsidR="000E2850">
        <w:rPr>
          <w:rStyle w:val="FootnoteReference"/>
        </w:rPr>
        <w:footnoteReference w:id="17"/>
      </w:r>
      <w:r w:rsidR="000E2850">
        <w:t xml:space="preserve"> </w:t>
      </w:r>
      <w:r>
        <w:t xml:space="preserve">rated the level of evidence for the use of IVIg in </w:t>
      </w:r>
      <w:r w:rsidR="000E2850">
        <w:t xml:space="preserve">those </w:t>
      </w:r>
      <w:r>
        <w:t>PID</w:t>
      </w:r>
      <w:r w:rsidR="000E2850">
        <w:t>s that were subject to literature review</w:t>
      </w:r>
      <w:r>
        <w:t xml:space="preserve"> as 2a</w:t>
      </w:r>
      <w:r w:rsidR="000E2850">
        <w:t xml:space="preserve"> (some RCTs and/or case studies, possible benefit – research needed)</w:t>
      </w:r>
      <w:r>
        <w:t>.</w:t>
      </w:r>
      <w:r w:rsidR="00D45D6D">
        <w:t xml:space="preserve"> </w:t>
      </w:r>
      <w:r w:rsidR="00752F41">
        <w:t>The Biotext systematic review suggested that t</w:t>
      </w:r>
      <w:r w:rsidR="00FA27F4" w:rsidRPr="00FA27F4">
        <w:t>he efficacy of IVIG as replacement IgG therapy in primary and secondary</w:t>
      </w:r>
      <w:r w:rsidR="00FA27F4">
        <w:t xml:space="preserve"> </w:t>
      </w:r>
      <w:r w:rsidR="00FA27F4" w:rsidRPr="00FA27F4">
        <w:t>immunodeficiency syndromes probably relates to the provision of a broad spectrum of</w:t>
      </w:r>
      <w:r w:rsidR="00FA27F4">
        <w:t xml:space="preserve"> </w:t>
      </w:r>
      <w:r w:rsidR="00FA27F4" w:rsidRPr="00FA27F4">
        <w:t xml:space="preserve">antibodies against endemic pathogens. </w:t>
      </w:r>
      <w:r w:rsidR="00752F41">
        <w:t xml:space="preserve"> It</w:t>
      </w:r>
      <w:r w:rsidR="00FA27F4" w:rsidRPr="00FA27F4">
        <w:t xml:space="preserve"> reported </w:t>
      </w:r>
      <w:r w:rsidR="00752F41">
        <w:t xml:space="preserve">that the </w:t>
      </w:r>
      <w:r w:rsidR="00FA27F4" w:rsidRPr="00FA27F4">
        <w:t>frequency of adverse reactions range</w:t>
      </w:r>
      <w:r w:rsidR="00752F41">
        <w:t>d</w:t>
      </w:r>
      <w:r w:rsidR="00FA27F4" w:rsidRPr="00FA27F4">
        <w:t xml:space="preserve"> from 1 to 15 percent, but </w:t>
      </w:r>
      <w:r w:rsidR="00752F41">
        <w:t>was</w:t>
      </w:r>
      <w:r w:rsidR="00FA27F4" w:rsidRPr="00FA27F4">
        <w:t xml:space="preserve"> usually</w:t>
      </w:r>
      <w:r w:rsidR="00FA27F4">
        <w:t xml:space="preserve"> </w:t>
      </w:r>
      <w:r w:rsidR="00FA27F4" w:rsidRPr="00FA27F4">
        <w:t xml:space="preserve">less than 5 percent. Most </w:t>
      </w:r>
      <w:r w:rsidR="00752F41">
        <w:t xml:space="preserve">reported </w:t>
      </w:r>
      <w:r w:rsidR="00FA27F4" w:rsidRPr="00FA27F4">
        <w:t xml:space="preserve">adverse reactions </w:t>
      </w:r>
      <w:r w:rsidR="00752F41">
        <w:t>were</w:t>
      </w:r>
      <w:r w:rsidR="00FA27F4" w:rsidRPr="00FA27F4">
        <w:t xml:space="preserve"> mild, immediate generalised reactions</w:t>
      </w:r>
      <w:r w:rsidR="00FA27F4">
        <w:t xml:space="preserve"> </w:t>
      </w:r>
      <w:r w:rsidR="00752F41">
        <w:t xml:space="preserve">which </w:t>
      </w:r>
      <w:r w:rsidR="00FA27F4" w:rsidRPr="00FA27F4">
        <w:t>manifest</w:t>
      </w:r>
      <w:r w:rsidR="00752F41">
        <w:t>ed</w:t>
      </w:r>
      <w:r w:rsidR="00FA27F4" w:rsidRPr="00FA27F4">
        <w:t xml:space="preserve"> as:</w:t>
      </w:r>
    </w:p>
    <w:p w14:paraId="5B142D8A" w14:textId="77777777" w:rsidR="00FA27F4" w:rsidRPr="00FA27F4" w:rsidRDefault="00FA27F4" w:rsidP="00FA27F4">
      <w:r w:rsidRPr="00FA27F4">
        <w:t>• pyrogenic reactions (marked by high temperature and systemic symptoms)</w:t>
      </w:r>
    </w:p>
    <w:p w14:paraId="6C7776BF" w14:textId="041FC1D6" w:rsidR="00FA27F4" w:rsidRPr="00FA27F4" w:rsidRDefault="00FA27F4" w:rsidP="00FA27F4">
      <w:r w:rsidRPr="00FA27F4">
        <w:t>• minor systemic reactions (headache, myalgia, fever, chills, light-headedness, nausea</w:t>
      </w:r>
      <w:r>
        <w:t xml:space="preserve"> </w:t>
      </w:r>
      <w:r w:rsidRPr="00FA27F4">
        <w:t>and/or vomiting)</w:t>
      </w:r>
    </w:p>
    <w:p w14:paraId="0A19BA63" w14:textId="4CF9B067" w:rsidR="00FA27F4" w:rsidRPr="00FA27F4" w:rsidRDefault="00FA27F4" w:rsidP="00FA27F4">
      <w:r w:rsidRPr="00FA27F4">
        <w:t>• vasomotor or cardiovascular manifestations (changes in blood pressure and</w:t>
      </w:r>
      <w:r>
        <w:t xml:space="preserve"> </w:t>
      </w:r>
      <w:r w:rsidRPr="00FA27F4">
        <w:t>tachycardia, possibly associated with shortness of breath and chest tightness).</w:t>
      </w:r>
    </w:p>
    <w:p w14:paraId="04A4DF27" w14:textId="0172BBA4" w:rsidR="00FA27F4" w:rsidRDefault="00FA27F4" w:rsidP="00FA27F4">
      <w:r w:rsidRPr="00FA27F4">
        <w:t xml:space="preserve">These generalised reactions </w:t>
      </w:r>
      <w:r w:rsidR="00752F41">
        <w:t>were</w:t>
      </w:r>
      <w:r w:rsidRPr="00FA27F4">
        <w:t xml:space="preserve"> usually self-limiting, and often alleviated by reducing</w:t>
      </w:r>
      <w:r>
        <w:t xml:space="preserve"> </w:t>
      </w:r>
      <w:r w:rsidRPr="00FA27F4">
        <w:t>the rate or volume of infusion, or by premedication with an analgesic or antihistamine.</w:t>
      </w:r>
      <w:r>
        <w:t xml:space="preserve"> </w:t>
      </w:r>
      <w:r w:rsidRPr="00FA27F4">
        <w:t>Less frequently, delayed generalised reactions can arise a few days after infusion</w:t>
      </w:r>
      <w:r>
        <w:t>.</w:t>
      </w:r>
    </w:p>
    <w:p w14:paraId="5D2403CB" w14:textId="2995318F" w:rsidR="00FA27F4" w:rsidRPr="00B17921" w:rsidRDefault="00FA27F4" w:rsidP="00FA27F4">
      <w:r w:rsidRPr="00FA27F4">
        <w:t xml:space="preserve">Headache </w:t>
      </w:r>
      <w:r w:rsidR="00752F41">
        <w:t>was</w:t>
      </w:r>
      <w:r w:rsidRPr="00FA27F4">
        <w:t xml:space="preserve"> the most common</w:t>
      </w:r>
      <w:r w:rsidR="00752F41">
        <w:t>ly reported</w:t>
      </w:r>
      <w:r w:rsidRPr="00FA27F4">
        <w:t xml:space="preserve"> immediate adverse reaction with IVIG</w:t>
      </w:r>
      <w:r>
        <w:t>.</w:t>
      </w:r>
      <w:r w:rsidRPr="00FA27F4">
        <w:rPr>
          <w:rFonts w:ascii="Times New Roman" w:hAnsi="Times New Roman" w:cs="Times New Roman"/>
          <w:sz w:val="23"/>
          <w:szCs w:val="23"/>
        </w:rPr>
        <w:t xml:space="preserve"> </w:t>
      </w:r>
      <w:r w:rsidRPr="00FA27F4">
        <w:t>Other adverse reactions reported include</w:t>
      </w:r>
      <w:r w:rsidR="00752F41">
        <w:t>d</w:t>
      </w:r>
      <w:r w:rsidRPr="00FA27F4">
        <w:t xml:space="preserve"> thrombophlebitis (associated with prolonged</w:t>
      </w:r>
      <w:r>
        <w:t xml:space="preserve"> </w:t>
      </w:r>
      <w:r w:rsidRPr="00FA27F4">
        <w:t>administration), positive direct antiglobin tests and red cell haemolysis and neutropenia.</w:t>
      </w:r>
      <w:r>
        <w:t xml:space="preserve"> </w:t>
      </w:r>
      <w:r w:rsidRPr="00FA27F4">
        <w:t>Acute renal dysfunction and acute renal failure have been reported rarely, and</w:t>
      </w:r>
      <w:r>
        <w:t xml:space="preserve"> </w:t>
      </w:r>
      <w:r w:rsidRPr="00FA27F4">
        <w:t>hyperse</w:t>
      </w:r>
      <w:r>
        <w:t>nsitivity reactions very rarely</w:t>
      </w:r>
      <w:r w:rsidR="00D45D6D" w:rsidRPr="0095488F">
        <w:rPr>
          <w:vertAlign w:val="superscript"/>
        </w:rPr>
        <w:t>13</w:t>
      </w:r>
      <w:r w:rsidRPr="00FA27F4">
        <w:t>.</w:t>
      </w:r>
    </w:p>
    <w:p w14:paraId="60D8E19C" w14:textId="77777777" w:rsidR="004E3CC7" w:rsidRPr="00154B00" w:rsidRDefault="004E3CC7" w:rsidP="00A876CA">
      <w:pPr>
        <w:pStyle w:val="Heading2"/>
        <w:shd w:val="clear" w:color="auto" w:fill="D9D9D9" w:themeFill="background1" w:themeFillShade="D9"/>
        <w:tabs>
          <w:tab w:val="left" w:pos="284"/>
        </w:tabs>
        <w:ind w:left="284" w:hanging="284"/>
      </w:pPr>
      <w:r w:rsidRPr="00154B00">
        <w:t xml:space="preserve">Please advise if the </w:t>
      </w:r>
      <w:r w:rsidR="00CF5AD8" w:rsidRPr="00092580">
        <w:t>overall</w:t>
      </w:r>
      <w:r w:rsidR="00CF5AD8">
        <w:t xml:space="preserve"> </w:t>
      </w:r>
      <w:r w:rsidRPr="00154B00">
        <w:t>clinical claim is</w:t>
      </w:r>
      <w:r w:rsidR="008F5DB5">
        <w:t>:</w:t>
      </w:r>
      <w:r w:rsidR="00C1012E">
        <w:t xml:space="preserve"> </w:t>
      </w:r>
    </w:p>
    <w:p w14:paraId="7B540E36" w14:textId="5B9B1084" w:rsidR="001B29A1" w:rsidRPr="001B29A1" w:rsidRDefault="00D45D6D" w:rsidP="00162108">
      <w:pPr>
        <w:tabs>
          <w:tab w:val="left" w:pos="284"/>
        </w:tabs>
        <w:spacing w:before="0" w:after="0"/>
        <w:ind w:left="284" w:hanging="284"/>
        <w:rPr>
          <w:szCs w:val="20"/>
        </w:rPr>
      </w:pPr>
      <w:r>
        <w:rPr>
          <w:szCs w:val="20"/>
        </w:rPr>
        <w:fldChar w:fldCharType="begin">
          <w:ffData>
            <w:name w:val="Check1"/>
            <w:enabled/>
            <w:calcOnExit w:val="0"/>
            <w:checkBox>
              <w:sizeAuto/>
              <w:default w:val="1"/>
            </w:checkBox>
          </w:ffData>
        </w:fldChar>
      </w:r>
      <w:r>
        <w:rPr>
          <w:szCs w:val="20"/>
        </w:rPr>
        <w:instrText xml:space="preserve"> </w:instrText>
      </w:r>
      <w:bookmarkStart w:id="3" w:name="Check1"/>
      <w:r>
        <w:rPr>
          <w:szCs w:val="20"/>
        </w:rPr>
        <w:instrText xml:space="preserve">FORMCHECKBOX </w:instrText>
      </w:r>
      <w:r w:rsidR="00641C09">
        <w:rPr>
          <w:szCs w:val="20"/>
        </w:rPr>
      </w:r>
      <w:r w:rsidR="00641C09">
        <w:rPr>
          <w:szCs w:val="20"/>
        </w:rPr>
        <w:fldChar w:fldCharType="separate"/>
      </w:r>
      <w:r>
        <w:rPr>
          <w:szCs w:val="20"/>
        </w:rPr>
        <w:fldChar w:fldCharType="end"/>
      </w:r>
      <w:bookmarkEnd w:id="3"/>
      <w:r w:rsidR="001B29A1" w:rsidRPr="001B29A1">
        <w:rPr>
          <w:szCs w:val="20"/>
        </w:rPr>
        <w:t xml:space="preserve"> Superiority</w:t>
      </w:r>
      <w:r w:rsidR="001B29A1" w:rsidRPr="001B29A1">
        <w:rPr>
          <w:szCs w:val="20"/>
        </w:rPr>
        <w:tab/>
      </w:r>
    </w:p>
    <w:p w14:paraId="62B22713" w14:textId="77777777" w:rsidR="00EA02FA" w:rsidRDefault="008928D0" w:rsidP="00162108">
      <w:pPr>
        <w:tabs>
          <w:tab w:val="left" w:pos="284"/>
        </w:tabs>
        <w:spacing w:before="0" w:after="0"/>
        <w:ind w:left="284" w:hanging="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641C09">
        <w:rPr>
          <w:szCs w:val="20"/>
        </w:rPr>
      </w:r>
      <w:r w:rsidR="00641C09">
        <w:rPr>
          <w:szCs w:val="20"/>
        </w:rPr>
        <w:fldChar w:fldCharType="separate"/>
      </w:r>
      <w:r>
        <w:rPr>
          <w:szCs w:val="20"/>
        </w:rPr>
        <w:fldChar w:fldCharType="end"/>
      </w:r>
      <w:r w:rsidR="001B29A1" w:rsidRPr="001B29A1">
        <w:rPr>
          <w:szCs w:val="20"/>
        </w:rPr>
        <w:t xml:space="preserve"> Non-inferiority</w:t>
      </w:r>
      <w:r w:rsidR="001B29A1" w:rsidRPr="001B29A1">
        <w:rPr>
          <w:szCs w:val="20"/>
        </w:rPr>
        <w:tab/>
      </w:r>
    </w:p>
    <w:p w14:paraId="6791EEAC" w14:textId="77777777" w:rsidR="00285E59" w:rsidRDefault="00285E59" w:rsidP="00162108">
      <w:pPr>
        <w:tabs>
          <w:tab w:val="left" w:pos="284"/>
        </w:tabs>
        <w:spacing w:before="0" w:after="0"/>
        <w:ind w:left="284" w:hanging="284"/>
        <w:rPr>
          <w:szCs w:val="20"/>
        </w:rPr>
      </w:pPr>
    </w:p>
    <w:p w14:paraId="647E3677" w14:textId="77777777" w:rsidR="00B25D20" w:rsidRPr="00444ECC" w:rsidRDefault="000A77BC" w:rsidP="00A876CA">
      <w:pPr>
        <w:pStyle w:val="Heading2"/>
        <w:shd w:val="clear" w:color="auto" w:fill="D9D9D9" w:themeFill="background1" w:themeFillShade="D9"/>
        <w:tabs>
          <w:tab w:val="left" w:pos="284"/>
        </w:tabs>
        <w:ind w:left="284" w:hanging="284"/>
      </w:pPr>
      <w:r w:rsidRPr="00444ECC">
        <w:t xml:space="preserve">Please </w:t>
      </w:r>
      <w:r w:rsidR="001B29A1" w:rsidRPr="00444ECC">
        <w:t>l</w:t>
      </w:r>
      <w:r w:rsidR="00B25D20" w:rsidRPr="00444ECC">
        <w:t>ist the health outcome</w:t>
      </w:r>
      <w:r w:rsidR="009627DF" w:rsidRPr="00444ECC">
        <w:t xml:space="preserve"> type</w:t>
      </w:r>
      <w:r w:rsidR="00B25D20" w:rsidRPr="00444ECC">
        <w:t>s</w:t>
      </w:r>
      <w:r w:rsidR="00707D4D" w:rsidRPr="00444ECC">
        <w:t xml:space="preserve"> </w:t>
      </w:r>
      <w:r w:rsidR="00B25D20" w:rsidRPr="00444ECC">
        <w:t>that ne</w:t>
      </w:r>
      <w:r w:rsidR="00AD37D4" w:rsidRPr="00444ECC">
        <w:t xml:space="preserve">ed to be specifically measured </w:t>
      </w:r>
      <w:r w:rsidR="00B25D20" w:rsidRPr="00444ECC">
        <w:t xml:space="preserve">in assessing the clinical claim of </w:t>
      </w:r>
      <w:r w:rsidR="008F5DB5">
        <w:t xml:space="preserve">Ig therapy </w:t>
      </w:r>
      <w:r w:rsidR="001B29A1" w:rsidRPr="00444ECC">
        <w:t>versus the comparator</w:t>
      </w:r>
      <w:r w:rsidR="0062294C">
        <w:t xml:space="preserve"> within the scope of this referral, prioritising the major health outcomes first</w:t>
      </w:r>
      <w:r w:rsidR="00AD37D4" w:rsidRPr="00444ECC">
        <w:t>:</w:t>
      </w:r>
      <w:r w:rsidR="008928D0" w:rsidRPr="00444ECC">
        <w:t xml:space="preserve"> </w:t>
      </w:r>
    </w:p>
    <w:tbl>
      <w:tblPr>
        <w:tblW w:w="10080" w:type="dxa"/>
        <w:tblInd w:w="8" w:type="dxa"/>
        <w:tblLayout w:type="fixed"/>
        <w:tblCellMar>
          <w:left w:w="0" w:type="dxa"/>
          <w:right w:w="0" w:type="dxa"/>
        </w:tblCellMar>
        <w:tblLook w:val="0000" w:firstRow="0" w:lastRow="0" w:firstColumn="0" w:lastColumn="0" w:noHBand="0" w:noVBand="0"/>
      </w:tblPr>
      <w:tblGrid>
        <w:gridCol w:w="1890"/>
        <w:gridCol w:w="8190"/>
      </w:tblGrid>
      <w:tr w:rsidR="00673EDA" w:rsidRPr="00356909" w14:paraId="7925CD67" w14:textId="77777777" w:rsidTr="00715D99">
        <w:tc>
          <w:tcPr>
            <w:tcW w:w="1890" w:type="dxa"/>
            <w:tcBorders>
              <w:top w:val="single" w:sz="6" w:space="0" w:color="auto"/>
              <w:left w:val="single" w:sz="6" w:space="0" w:color="auto"/>
              <w:bottom w:val="single" w:sz="6" w:space="0" w:color="auto"/>
              <w:right w:val="single" w:sz="6" w:space="0" w:color="auto"/>
            </w:tcBorders>
          </w:tcPr>
          <w:p w14:paraId="58FC6858" w14:textId="77777777" w:rsidR="00673EDA" w:rsidRPr="00356909" w:rsidRDefault="00673EDA" w:rsidP="00715D99">
            <w:pPr>
              <w:widowControl w:val="0"/>
              <w:shd w:val="clear" w:color="auto" w:fill="FFFFFF"/>
              <w:autoSpaceDE w:val="0"/>
              <w:autoSpaceDN w:val="0"/>
              <w:adjustRightInd w:val="0"/>
              <w:spacing w:after="240"/>
              <w:rPr>
                <w:rFonts w:cstheme="minorHAnsi"/>
                <w:szCs w:val="20"/>
              </w:rPr>
            </w:pPr>
            <w:r w:rsidRPr="00356909">
              <w:rPr>
                <w:rFonts w:cstheme="minorHAnsi"/>
                <w:szCs w:val="20"/>
              </w:rPr>
              <w:t xml:space="preserve">Outcomes </w:t>
            </w:r>
          </w:p>
        </w:tc>
        <w:tc>
          <w:tcPr>
            <w:tcW w:w="8190" w:type="dxa"/>
            <w:tcBorders>
              <w:top w:val="single" w:sz="6" w:space="0" w:color="auto"/>
              <w:left w:val="single" w:sz="6" w:space="0" w:color="auto"/>
              <w:bottom w:val="single" w:sz="6" w:space="0" w:color="auto"/>
              <w:right w:val="single" w:sz="6" w:space="0" w:color="auto"/>
            </w:tcBorders>
          </w:tcPr>
          <w:p w14:paraId="663BCE22" w14:textId="3FDF53FC" w:rsidR="00673EDA" w:rsidRPr="003A6E41" w:rsidRDefault="00986B31" w:rsidP="00715D99">
            <w:pPr>
              <w:pStyle w:val="Tablecontents"/>
              <w:spacing w:line="276" w:lineRule="auto"/>
              <w:rPr>
                <w:rFonts w:asciiTheme="minorHAnsi" w:hAnsiTheme="minorHAnsi" w:cstheme="minorHAnsi"/>
                <w:b/>
                <w:bCs/>
                <w:i/>
                <w:iCs/>
                <w:sz w:val="20"/>
                <w:szCs w:val="20"/>
              </w:rPr>
            </w:pPr>
            <w:r>
              <w:rPr>
                <w:rFonts w:asciiTheme="minorHAnsi" w:hAnsiTheme="minorHAnsi" w:cstheme="minorHAnsi"/>
                <w:b/>
                <w:bCs/>
                <w:i/>
                <w:iCs/>
                <w:sz w:val="20"/>
                <w:szCs w:val="20"/>
              </w:rPr>
              <w:t>T</w:t>
            </w:r>
            <w:r w:rsidR="00673EDA" w:rsidRPr="003A6E41">
              <w:rPr>
                <w:rFonts w:asciiTheme="minorHAnsi" w:hAnsiTheme="minorHAnsi" w:cstheme="minorHAnsi"/>
                <w:b/>
                <w:bCs/>
                <w:i/>
                <w:iCs/>
                <w:sz w:val="20"/>
                <w:szCs w:val="20"/>
              </w:rPr>
              <w:t>he outcomes identified pre assessment and considered in scope are:</w:t>
            </w:r>
          </w:p>
          <w:p w14:paraId="1F5FEA36" w14:textId="29B2A9E5" w:rsidR="00E54140" w:rsidRDefault="00673EDA" w:rsidP="00E54140">
            <w:pPr>
              <w:pStyle w:val="Tablecontents"/>
              <w:spacing w:line="276" w:lineRule="auto"/>
              <w:rPr>
                <w:rFonts w:asciiTheme="minorHAnsi" w:hAnsiTheme="minorHAnsi" w:cstheme="minorHAnsi"/>
                <w:i/>
                <w:iCs/>
                <w:sz w:val="20"/>
                <w:szCs w:val="20"/>
              </w:rPr>
            </w:pPr>
            <w:r w:rsidRPr="003A6E41">
              <w:rPr>
                <w:rFonts w:asciiTheme="minorHAnsi" w:hAnsiTheme="minorHAnsi" w:cstheme="minorHAnsi"/>
                <w:i/>
                <w:iCs/>
                <w:sz w:val="20"/>
                <w:szCs w:val="20"/>
              </w:rPr>
              <w:t>Safety Outcomes:</w:t>
            </w:r>
            <w:r w:rsidR="00E54140">
              <w:rPr>
                <w:rFonts w:asciiTheme="minorHAnsi" w:hAnsiTheme="minorHAnsi" w:cstheme="minorHAnsi"/>
                <w:i/>
                <w:iCs/>
                <w:sz w:val="20"/>
                <w:szCs w:val="20"/>
              </w:rPr>
              <w:t xml:space="preserve"> </w:t>
            </w:r>
          </w:p>
          <w:p w14:paraId="2D31D82E" w14:textId="77777777" w:rsidR="009F2D8E" w:rsidRDefault="009F2D8E" w:rsidP="005A77B9">
            <w:pPr>
              <w:pStyle w:val="Tablecontents"/>
              <w:numPr>
                <w:ilvl w:val="0"/>
                <w:numId w:val="2"/>
              </w:numPr>
              <w:spacing w:line="276" w:lineRule="auto"/>
              <w:rPr>
                <w:rFonts w:asciiTheme="minorHAnsi" w:hAnsiTheme="minorHAnsi" w:cstheme="minorHAnsi"/>
                <w:iCs/>
                <w:sz w:val="20"/>
                <w:szCs w:val="20"/>
              </w:rPr>
            </w:pPr>
            <w:r>
              <w:rPr>
                <w:rFonts w:asciiTheme="minorHAnsi" w:hAnsiTheme="minorHAnsi" w:cstheme="minorHAnsi"/>
                <w:iCs/>
                <w:sz w:val="20"/>
                <w:szCs w:val="20"/>
              </w:rPr>
              <w:t xml:space="preserve">Serious adverse events </w:t>
            </w:r>
            <w:r w:rsidRPr="005E7253">
              <w:rPr>
                <w:rFonts w:asciiTheme="minorHAnsi" w:hAnsiTheme="minorHAnsi" w:cstheme="minorHAnsi"/>
                <w:iCs/>
                <w:sz w:val="20"/>
                <w:szCs w:val="20"/>
              </w:rPr>
              <w:t>(e.g. antibiotic allergy, anaphylaxis, veno-occlusive events)</w:t>
            </w:r>
          </w:p>
          <w:p w14:paraId="3CB28070" w14:textId="3B11F03A" w:rsidR="009F2D8E" w:rsidRPr="009F2D8E" w:rsidRDefault="009F2D8E" w:rsidP="005A77B9">
            <w:pPr>
              <w:pStyle w:val="Tablecontents"/>
              <w:numPr>
                <w:ilvl w:val="0"/>
                <w:numId w:val="2"/>
              </w:numPr>
              <w:spacing w:line="276" w:lineRule="auto"/>
              <w:rPr>
                <w:rFonts w:asciiTheme="minorHAnsi" w:hAnsiTheme="minorHAnsi" w:cstheme="minorHAnsi"/>
                <w:iCs/>
                <w:sz w:val="20"/>
                <w:szCs w:val="20"/>
              </w:rPr>
            </w:pPr>
            <w:r>
              <w:rPr>
                <w:rFonts w:asciiTheme="minorHAnsi" w:hAnsiTheme="minorHAnsi" w:cstheme="minorHAnsi"/>
                <w:iCs/>
                <w:sz w:val="20"/>
                <w:szCs w:val="20"/>
              </w:rPr>
              <w:t>Antibiotic resistance</w:t>
            </w:r>
          </w:p>
          <w:p w14:paraId="3DA8D6C2" w14:textId="77777777" w:rsidR="00E54140" w:rsidRDefault="00E54140" w:rsidP="00715D99">
            <w:pPr>
              <w:pStyle w:val="Tablecontents"/>
              <w:spacing w:line="276" w:lineRule="auto"/>
              <w:rPr>
                <w:rFonts w:asciiTheme="minorHAnsi" w:hAnsiTheme="minorHAnsi" w:cstheme="minorHAnsi"/>
                <w:i/>
                <w:iCs/>
                <w:sz w:val="20"/>
                <w:szCs w:val="20"/>
              </w:rPr>
            </w:pPr>
          </w:p>
          <w:p w14:paraId="1143B2B6" w14:textId="3522E5A6" w:rsidR="00E54140" w:rsidRDefault="00673EDA" w:rsidP="00E54140">
            <w:pPr>
              <w:pStyle w:val="Tablecontents"/>
              <w:spacing w:line="276" w:lineRule="auto"/>
              <w:rPr>
                <w:rFonts w:asciiTheme="minorHAnsi" w:hAnsiTheme="minorHAnsi" w:cstheme="minorHAnsi"/>
                <w:i/>
                <w:iCs/>
                <w:sz w:val="20"/>
                <w:szCs w:val="20"/>
              </w:rPr>
            </w:pPr>
            <w:r w:rsidRPr="003A6E41">
              <w:rPr>
                <w:rFonts w:asciiTheme="minorHAnsi" w:hAnsiTheme="minorHAnsi" w:cstheme="minorHAnsi"/>
                <w:i/>
                <w:iCs/>
                <w:sz w:val="20"/>
                <w:szCs w:val="20"/>
              </w:rPr>
              <w:t>Clinical effectiveness outcomes:</w:t>
            </w:r>
            <w:r w:rsidR="00E54140">
              <w:rPr>
                <w:rFonts w:asciiTheme="minorHAnsi" w:hAnsiTheme="minorHAnsi" w:cstheme="minorHAnsi"/>
                <w:i/>
                <w:iCs/>
                <w:sz w:val="20"/>
                <w:szCs w:val="20"/>
              </w:rPr>
              <w:t xml:space="preserve"> </w:t>
            </w:r>
          </w:p>
          <w:p w14:paraId="6D2BA89C" w14:textId="0D22E3F8" w:rsidR="00E54140" w:rsidRDefault="00ED785D" w:rsidP="005A77B9">
            <w:pPr>
              <w:pStyle w:val="Tablecontents"/>
              <w:numPr>
                <w:ilvl w:val="0"/>
                <w:numId w:val="2"/>
              </w:numPr>
              <w:spacing w:line="276" w:lineRule="auto"/>
              <w:rPr>
                <w:rFonts w:asciiTheme="minorHAnsi" w:hAnsiTheme="minorHAnsi" w:cstheme="minorHAnsi"/>
                <w:iCs/>
                <w:sz w:val="20"/>
                <w:szCs w:val="20"/>
              </w:rPr>
            </w:pPr>
            <w:r>
              <w:rPr>
                <w:rFonts w:asciiTheme="minorHAnsi" w:hAnsiTheme="minorHAnsi" w:cstheme="minorHAnsi"/>
                <w:iCs/>
                <w:sz w:val="20"/>
                <w:szCs w:val="20"/>
              </w:rPr>
              <w:t>IgG trough levels (increased)</w:t>
            </w:r>
          </w:p>
          <w:p w14:paraId="646C1259" w14:textId="46C2AE31" w:rsidR="00ED785D" w:rsidRDefault="00ED785D" w:rsidP="005A77B9">
            <w:pPr>
              <w:pStyle w:val="Tablecontents"/>
              <w:numPr>
                <w:ilvl w:val="0"/>
                <w:numId w:val="2"/>
              </w:numPr>
              <w:spacing w:line="276" w:lineRule="auto"/>
              <w:rPr>
                <w:rFonts w:asciiTheme="minorHAnsi" w:hAnsiTheme="minorHAnsi" w:cstheme="minorHAnsi"/>
                <w:iCs/>
                <w:sz w:val="20"/>
                <w:szCs w:val="20"/>
              </w:rPr>
            </w:pPr>
            <w:r>
              <w:rPr>
                <w:rFonts w:asciiTheme="minorHAnsi" w:hAnsiTheme="minorHAnsi" w:cstheme="minorHAnsi"/>
                <w:iCs/>
                <w:sz w:val="20"/>
                <w:szCs w:val="20"/>
              </w:rPr>
              <w:t>Number of antibiotic treatments (decreased)</w:t>
            </w:r>
          </w:p>
          <w:p w14:paraId="2108D18D" w14:textId="1270D4A3" w:rsidR="00ED785D" w:rsidRDefault="00ED785D" w:rsidP="005A77B9">
            <w:pPr>
              <w:pStyle w:val="Tablecontents"/>
              <w:numPr>
                <w:ilvl w:val="0"/>
                <w:numId w:val="2"/>
              </w:numPr>
              <w:spacing w:line="276" w:lineRule="auto"/>
              <w:rPr>
                <w:rFonts w:asciiTheme="minorHAnsi" w:hAnsiTheme="minorHAnsi" w:cstheme="minorHAnsi"/>
                <w:iCs/>
                <w:sz w:val="20"/>
                <w:szCs w:val="20"/>
              </w:rPr>
            </w:pPr>
            <w:r>
              <w:rPr>
                <w:rFonts w:asciiTheme="minorHAnsi" w:hAnsiTheme="minorHAnsi" w:cstheme="minorHAnsi"/>
                <w:iCs/>
                <w:sz w:val="20"/>
                <w:szCs w:val="20"/>
              </w:rPr>
              <w:t>Number of infections (decreased)</w:t>
            </w:r>
          </w:p>
          <w:p w14:paraId="4DB22A8C" w14:textId="5E35C706" w:rsidR="00ED785D" w:rsidRDefault="00ED785D" w:rsidP="005A77B9">
            <w:pPr>
              <w:pStyle w:val="Tablecontents"/>
              <w:numPr>
                <w:ilvl w:val="0"/>
                <w:numId w:val="2"/>
              </w:numPr>
              <w:spacing w:line="276" w:lineRule="auto"/>
              <w:rPr>
                <w:rFonts w:asciiTheme="minorHAnsi" w:hAnsiTheme="minorHAnsi" w:cstheme="minorHAnsi"/>
                <w:iCs/>
                <w:sz w:val="20"/>
                <w:szCs w:val="20"/>
              </w:rPr>
            </w:pPr>
            <w:r>
              <w:rPr>
                <w:rFonts w:asciiTheme="minorHAnsi" w:hAnsiTheme="minorHAnsi" w:cstheme="minorHAnsi"/>
                <w:iCs/>
                <w:sz w:val="20"/>
                <w:szCs w:val="20"/>
              </w:rPr>
              <w:t>Quality of life</w:t>
            </w:r>
          </w:p>
          <w:p w14:paraId="25A072AE" w14:textId="77777777" w:rsidR="00896CD6" w:rsidRDefault="00896CD6" w:rsidP="005A77B9">
            <w:pPr>
              <w:pStyle w:val="Tablecontents"/>
              <w:numPr>
                <w:ilvl w:val="0"/>
                <w:numId w:val="2"/>
              </w:numPr>
              <w:spacing w:line="276" w:lineRule="auto"/>
              <w:rPr>
                <w:rFonts w:asciiTheme="minorHAnsi" w:hAnsiTheme="minorHAnsi" w:cstheme="minorHAnsi"/>
                <w:iCs/>
                <w:sz w:val="20"/>
                <w:szCs w:val="20"/>
              </w:rPr>
            </w:pPr>
            <w:r>
              <w:rPr>
                <w:rFonts w:asciiTheme="minorHAnsi" w:hAnsiTheme="minorHAnsi" w:cstheme="minorHAnsi"/>
                <w:iCs/>
                <w:sz w:val="20"/>
                <w:szCs w:val="20"/>
              </w:rPr>
              <w:t>Morbidity</w:t>
            </w:r>
          </w:p>
          <w:p w14:paraId="175C4A2A" w14:textId="75FD59E2" w:rsidR="00896CD6" w:rsidRPr="00ED785D" w:rsidRDefault="00896CD6" w:rsidP="005A77B9">
            <w:pPr>
              <w:pStyle w:val="Tablecontents"/>
              <w:numPr>
                <w:ilvl w:val="0"/>
                <w:numId w:val="2"/>
              </w:numPr>
              <w:spacing w:line="276" w:lineRule="auto"/>
              <w:rPr>
                <w:rFonts w:asciiTheme="minorHAnsi" w:hAnsiTheme="minorHAnsi" w:cstheme="minorHAnsi"/>
                <w:iCs/>
                <w:sz w:val="20"/>
                <w:szCs w:val="20"/>
              </w:rPr>
            </w:pPr>
            <w:r>
              <w:rPr>
                <w:rFonts w:asciiTheme="minorHAnsi" w:hAnsiTheme="minorHAnsi" w:cstheme="minorHAnsi"/>
                <w:iCs/>
                <w:sz w:val="20"/>
                <w:szCs w:val="20"/>
              </w:rPr>
              <w:t>Mortality</w:t>
            </w:r>
          </w:p>
          <w:p w14:paraId="3EF0673A" w14:textId="16D0F197" w:rsidR="00673EDA" w:rsidRPr="003A6E41" w:rsidRDefault="00673EDA" w:rsidP="00715D99">
            <w:pPr>
              <w:pStyle w:val="Tablecontents"/>
              <w:spacing w:line="276" w:lineRule="auto"/>
              <w:rPr>
                <w:rFonts w:asciiTheme="minorHAnsi" w:hAnsiTheme="minorHAnsi" w:cstheme="minorHAnsi"/>
                <w:i/>
                <w:iCs/>
                <w:sz w:val="20"/>
                <w:szCs w:val="20"/>
              </w:rPr>
            </w:pPr>
            <w:r w:rsidRPr="003A6E41">
              <w:rPr>
                <w:rFonts w:asciiTheme="minorHAnsi" w:hAnsiTheme="minorHAnsi" w:cstheme="minorHAnsi"/>
                <w:i/>
                <w:iCs/>
                <w:sz w:val="20"/>
                <w:szCs w:val="20"/>
              </w:rPr>
              <w:t>Healthcare system resources utilisation</w:t>
            </w:r>
            <w:r w:rsidR="00F6409B">
              <w:rPr>
                <w:rFonts w:asciiTheme="minorHAnsi" w:hAnsiTheme="minorHAnsi" w:cstheme="minorHAnsi"/>
                <w:i/>
                <w:iCs/>
                <w:sz w:val="20"/>
                <w:szCs w:val="20"/>
              </w:rPr>
              <w:t xml:space="preserve">: </w:t>
            </w:r>
          </w:p>
          <w:p w14:paraId="27B4EDF8" w14:textId="77777777" w:rsidR="00673EDA" w:rsidRDefault="00673EDA" w:rsidP="005A77B9">
            <w:pPr>
              <w:pStyle w:val="Tablecontents"/>
              <w:numPr>
                <w:ilvl w:val="0"/>
                <w:numId w:val="2"/>
              </w:numPr>
              <w:spacing w:line="276" w:lineRule="auto"/>
              <w:rPr>
                <w:rFonts w:asciiTheme="minorHAnsi" w:hAnsiTheme="minorHAnsi" w:cstheme="minorHAnsi"/>
                <w:iCs/>
                <w:sz w:val="20"/>
                <w:szCs w:val="20"/>
              </w:rPr>
            </w:pPr>
            <w:r w:rsidRPr="0095488F">
              <w:rPr>
                <w:rFonts w:asciiTheme="minorHAnsi" w:hAnsiTheme="minorHAnsi" w:cstheme="minorHAnsi"/>
                <w:iCs/>
                <w:sz w:val="20"/>
                <w:szCs w:val="20"/>
              </w:rPr>
              <w:t xml:space="preserve">Changes in health system resource utilisation associated with the intervention </w:t>
            </w:r>
          </w:p>
          <w:p w14:paraId="4F822D00" w14:textId="77777777" w:rsidR="005A77B9" w:rsidRPr="004F31B6" w:rsidRDefault="005A77B9" w:rsidP="005A77B9">
            <w:pPr>
              <w:pStyle w:val="Tablecontents"/>
              <w:numPr>
                <w:ilvl w:val="1"/>
                <w:numId w:val="2"/>
              </w:numPr>
              <w:spacing w:line="276" w:lineRule="auto"/>
              <w:rPr>
                <w:rFonts w:asciiTheme="minorHAnsi" w:hAnsiTheme="minorHAnsi" w:cstheme="minorHAnsi"/>
              </w:rPr>
            </w:pPr>
            <w:r w:rsidRPr="004F31B6">
              <w:rPr>
                <w:rFonts w:asciiTheme="minorHAnsi" w:hAnsiTheme="minorHAnsi" w:cstheme="minorHAnsi"/>
              </w:rPr>
              <w:t xml:space="preserve">Ig products </w:t>
            </w:r>
          </w:p>
          <w:p w14:paraId="50052EDE" w14:textId="77777777" w:rsidR="005A77B9" w:rsidRPr="004F31B6" w:rsidRDefault="005A77B9" w:rsidP="005A77B9">
            <w:pPr>
              <w:pStyle w:val="Tablecontents"/>
              <w:numPr>
                <w:ilvl w:val="1"/>
                <w:numId w:val="2"/>
              </w:numPr>
              <w:spacing w:line="276" w:lineRule="auto"/>
              <w:rPr>
                <w:rFonts w:asciiTheme="minorHAnsi" w:hAnsiTheme="minorHAnsi" w:cstheme="minorHAnsi"/>
              </w:rPr>
            </w:pPr>
            <w:r w:rsidRPr="004F31B6">
              <w:rPr>
                <w:rFonts w:asciiTheme="minorHAnsi" w:hAnsiTheme="minorHAnsi" w:cstheme="minorHAnsi"/>
              </w:rPr>
              <w:t>Infusion equipment</w:t>
            </w:r>
          </w:p>
          <w:p w14:paraId="71E3DAA1" w14:textId="77777777" w:rsidR="005A77B9" w:rsidRPr="004F31B6" w:rsidRDefault="005A77B9" w:rsidP="005A77B9">
            <w:pPr>
              <w:pStyle w:val="Tablecontents"/>
              <w:numPr>
                <w:ilvl w:val="1"/>
                <w:numId w:val="2"/>
              </w:numPr>
              <w:spacing w:line="276" w:lineRule="auto"/>
              <w:rPr>
                <w:rFonts w:asciiTheme="minorHAnsi" w:hAnsiTheme="minorHAnsi" w:cstheme="minorHAnsi"/>
              </w:rPr>
            </w:pPr>
            <w:r w:rsidRPr="004F31B6">
              <w:rPr>
                <w:rFonts w:asciiTheme="minorHAnsi" w:hAnsiTheme="minorHAnsi" w:cstheme="minorHAnsi"/>
              </w:rPr>
              <w:t>Administrative and clinician time (e.g. resources associated with requesting, and authorising, access to Ig</w:t>
            </w:r>
            <w:r>
              <w:rPr>
                <w:rFonts w:asciiTheme="minorHAnsi" w:hAnsiTheme="minorHAnsi" w:cstheme="minorHAnsi"/>
              </w:rPr>
              <w:t>)</w:t>
            </w:r>
            <w:r w:rsidRPr="004F31B6">
              <w:rPr>
                <w:rFonts w:asciiTheme="minorHAnsi" w:hAnsiTheme="minorHAnsi" w:cstheme="minorHAnsi"/>
              </w:rPr>
              <w:t xml:space="preserve"> </w:t>
            </w:r>
          </w:p>
          <w:p w14:paraId="4D47467A" w14:textId="77777777" w:rsidR="005A77B9" w:rsidRPr="004F31B6" w:rsidRDefault="005A77B9" w:rsidP="005A77B9">
            <w:pPr>
              <w:pStyle w:val="Tablecontents"/>
              <w:numPr>
                <w:ilvl w:val="1"/>
                <w:numId w:val="2"/>
              </w:numPr>
              <w:spacing w:line="276" w:lineRule="auto"/>
              <w:rPr>
                <w:rFonts w:asciiTheme="minorHAnsi" w:hAnsiTheme="minorHAnsi" w:cstheme="minorHAnsi"/>
              </w:rPr>
            </w:pPr>
            <w:r w:rsidRPr="004F31B6">
              <w:rPr>
                <w:rFonts w:asciiTheme="minorHAnsi" w:hAnsiTheme="minorHAnsi" w:cstheme="minorHAnsi"/>
              </w:rPr>
              <w:t>Nursing time (for initiation and monitoring if IVIg)</w:t>
            </w:r>
          </w:p>
          <w:p w14:paraId="4267970E" w14:textId="77777777" w:rsidR="005A77B9" w:rsidRPr="004F31B6" w:rsidRDefault="005A77B9" w:rsidP="005A77B9">
            <w:pPr>
              <w:pStyle w:val="Tablecontents"/>
              <w:numPr>
                <w:ilvl w:val="1"/>
                <w:numId w:val="2"/>
              </w:numPr>
              <w:spacing w:line="276" w:lineRule="auto"/>
              <w:rPr>
                <w:rFonts w:asciiTheme="minorHAnsi" w:hAnsiTheme="minorHAnsi" w:cstheme="minorHAnsi"/>
              </w:rPr>
            </w:pPr>
            <w:r w:rsidRPr="004F31B6">
              <w:rPr>
                <w:rFonts w:asciiTheme="minorHAnsi" w:hAnsiTheme="minorHAnsi" w:cstheme="minorHAnsi"/>
              </w:rPr>
              <w:t>Hospitalisation (including use of hospital resources)</w:t>
            </w:r>
          </w:p>
          <w:p w14:paraId="1B1ABAAC" w14:textId="77777777" w:rsidR="005A77B9" w:rsidRPr="004F31B6" w:rsidRDefault="005A77B9" w:rsidP="005A77B9">
            <w:pPr>
              <w:pStyle w:val="Tablecontents"/>
              <w:numPr>
                <w:ilvl w:val="1"/>
                <w:numId w:val="2"/>
              </w:numPr>
              <w:spacing w:line="276" w:lineRule="auto"/>
              <w:rPr>
                <w:rFonts w:asciiTheme="minorHAnsi" w:hAnsiTheme="minorHAnsi" w:cstheme="minorHAnsi"/>
              </w:rPr>
            </w:pPr>
            <w:r w:rsidRPr="004F31B6">
              <w:rPr>
                <w:rFonts w:asciiTheme="minorHAnsi" w:hAnsiTheme="minorHAnsi" w:cstheme="minorHAnsi"/>
              </w:rPr>
              <w:t>Medication to treat adverse events (e.g. analgesia or antihistamines) </w:t>
            </w:r>
          </w:p>
          <w:p w14:paraId="6B781001" w14:textId="77777777" w:rsidR="005A77B9" w:rsidRPr="004F31B6" w:rsidRDefault="005A77B9" w:rsidP="005A77B9">
            <w:pPr>
              <w:pStyle w:val="Tablecontents"/>
              <w:numPr>
                <w:ilvl w:val="1"/>
                <w:numId w:val="2"/>
              </w:numPr>
              <w:spacing w:line="276" w:lineRule="auto"/>
              <w:rPr>
                <w:rFonts w:asciiTheme="minorHAnsi" w:hAnsiTheme="minorHAnsi" w:cstheme="minorHAnsi"/>
              </w:rPr>
            </w:pPr>
            <w:r w:rsidRPr="004F31B6">
              <w:rPr>
                <w:rFonts w:asciiTheme="minorHAnsi" w:hAnsiTheme="minorHAnsi" w:cstheme="minorHAnsi"/>
              </w:rPr>
              <w:t>Product dispensing and disposal of any unused product</w:t>
            </w:r>
          </w:p>
          <w:p w14:paraId="780AE70D" w14:textId="65B0B6ED" w:rsidR="005A77B9" w:rsidRPr="003865E3" w:rsidRDefault="005A77B9" w:rsidP="005A77B9">
            <w:pPr>
              <w:pStyle w:val="Tablecontents"/>
              <w:numPr>
                <w:ilvl w:val="1"/>
                <w:numId w:val="2"/>
              </w:numPr>
              <w:spacing w:line="276" w:lineRule="auto"/>
              <w:rPr>
                <w:rFonts w:asciiTheme="minorHAnsi" w:hAnsiTheme="minorHAnsi" w:cstheme="minorHAnsi"/>
              </w:rPr>
            </w:pPr>
            <w:r w:rsidRPr="004F31B6">
              <w:rPr>
                <w:rFonts w:asciiTheme="minorHAnsi" w:hAnsiTheme="minorHAnsi" w:cstheme="minorHAnsi"/>
              </w:rPr>
              <w:t xml:space="preserve">Follow-up and/or monitoring visits, including regular </w:t>
            </w:r>
            <w:r>
              <w:rPr>
                <w:rFonts w:asciiTheme="minorHAnsi" w:hAnsiTheme="minorHAnsi" w:cstheme="minorHAnsi"/>
              </w:rPr>
              <w:t>immunologist</w:t>
            </w:r>
            <w:r w:rsidRPr="004F31B6">
              <w:rPr>
                <w:rFonts w:asciiTheme="minorHAnsi" w:hAnsiTheme="minorHAnsi" w:cstheme="minorHAnsi"/>
              </w:rPr>
              <w:t xml:space="preserve"> visits</w:t>
            </w:r>
          </w:p>
          <w:p w14:paraId="1048AF85" w14:textId="77777777" w:rsidR="005A77B9" w:rsidRPr="0095488F" w:rsidRDefault="005A77B9" w:rsidP="005A77B9">
            <w:pPr>
              <w:pStyle w:val="Tablecontents"/>
              <w:spacing w:line="276" w:lineRule="auto"/>
              <w:ind w:left="1146"/>
              <w:rPr>
                <w:rFonts w:asciiTheme="minorHAnsi" w:hAnsiTheme="minorHAnsi" w:cstheme="minorHAnsi"/>
                <w:iCs/>
                <w:sz w:val="20"/>
                <w:szCs w:val="20"/>
              </w:rPr>
            </w:pPr>
          </w:p>
          <w:p w14:paraId="631A0B06" w14:textId="77777777" w:rsidR="00673EDA" w:rsidRPr="00E54140" w:rsidRDefault="00673EDA" w:rsidP="005A77B9">
            <w:pPr>
              <w:pStyle w:val="Tablecontents"/>
              <w:numPr>
                <w:ilvl w:val="0"/>
                <w:numId w:val="2"/>
              </w:numPr>
              <w:spacing w:line="276" w:lineRule="auto"/>
              <w:rPr>
                <w:rFonts w:asciiTheme="minorHAnsi" w:hAnsiTheme="minorHAnsi" w:cstheme="minorHAnsi"/>
                <w:sz w:val="20"/>
                <w:szCs w:val="20"/>
              </w:rPr>
            </w:pPr>
            <w:r w:rsidRPr="0095488F">
              <w:rPr>
                <w:rFonts w:asciiTheme="minorHAnsi" w:hAnsiTheme="minorHAnsi" w:cstheme="minorHAnsi"/>
                <w:iCs/>
                <w:sz w:val="20"/>
                <w:szCs w:val="20"/>
              </w:rPr>
              <w:t>Change in health system resource utilisation associated with the comparator(s)</w:t>
            </w:r>
          </w:p>
        </w:tc>
      </w:tr>
    </w:tbl>
    <w:p w14:paraId="3A45DBA9" w14:textId="4A95F5A3" w:rsidR="000A77BC" w:rsidRDefault="000A77BC" w:rsidP="00162108">
      <w:pPr>
        <w:pStyle w:val="Heading1"/>
        <w:tabs>
          <w:tab w:val="left" w:pos="284"/>
        </w:tabs>
        <w:spacing w:after="0" w:line="240" w:lineRule="auto"/>
        <w:ind w:left="284" w:hanging="284"/>
        <w:rPr>
          <w:sz w:val="16"/>
          <w:szCs w:val="16"/>
        </w:rPr>
      </w:pPr>
    </w:p>
    <w:p w14:paraId="18C17296" w14:textId="6F4195E2" w:rsidR="00032BDB" w:rsidRDefault="00032BDB">
      <w:pPr>
        <w:spacing w:before="0" w:after="200" w:line="276" w:lineRule="auto"/>
        <w:rPr>
          <w:bCs/>
          <w:sz w:val="24"/>
          <w:szCs w:val="24"/>
        </w:rPr>
      </w:pPr>
      <w:r>
        <w:rPr>
          <w:sz w:val="24"/>
          <w:szCs w:val="24"/>
        </w:rPr>
        <w:br w:type="page"/>
      </w:r>
    </w:p>
    <w:p w14:paraId="421FE3BB" w14:textId="77777777" w:rsidR="00FA3BB6" w:rsidRPr="00FA3BB6" w:rsidRDefault="00FA3BB6" w:rsidP="00162108">
      <w:pPr>
        <w:pStyle w:val="Heading1"/>
        <w:tabs>
          <w:tab w:val="left" w:pos="284"/>
        </w:tabs>
        <w:spacing w:after="0" w:line="240" w:lineRule="auto"/>
        <w:ind w:left="284" w:hanging="284"/>
        <w:rPr>
          <w:color w:val="auto"/>
          <w:sz w:val="24"/>
          <w:szCs w:val="24"/>
        </w:rPr>
      </w:pPr>
    </w:p>
    <w:p w14:paraId="5786C55F" w14:textId="0038A93E" w:rsidR="00C776B1" w:rsidRDefault="006C74B1" w:rsidP="00162108">
      <w:pPr>
        <w:pStyle w:val="Heading1"/>
        <w:tabs>
          <w:tab w:val="left" w:pos="284"/>
        </w:tabs>
        <w:spacing w:after="0" w:line="240" w:lineRule="auto"/>
        <w:ind w:left="284" w:hanging="284"/>
      </w:pPr>
      <w:r w:rsidRPr="00C776B1">
        <w:t xml:space="preserve">INFORMATION ABOUT </w:t>
      </w:r>
      <w:r w:rsidR="0018630F" w:rsidRPr="00C776B1">
        <w:t xml:space="preserve">ESTIMATED </w:t>
      </w:r>
      <w:r w:rsidR="00974D50" w:rsidRPr="00C776B1">
        <w:t>UTILISATION</w:t>
      </w:r>
    </w:p>
    <w:p w14:paraId="58D5589B" w14:textId="4093DF42" w:rsidR="00986B31" w:rsidRDefault="00986B31" w:rsidP="00986B31"/>
    <w:p w14:paraId="347C3F93" w14:textId="5290455F" w:rsidR="00986B31" w:rsidRPr="00986B31" w:rsidRDefault="00986B31" w:rsidP="00FA3BB6">
      <w:pPr>
        <w:pStyle w:val="Heading2"/>
        <w:shd w:val="clear" w:color="auto" w:fill="D9D9D9" w:themeFill="background1" w:themeFillShade="D9"/>
      </w:pPr>
      <w:r w:rsidRPr="00986B31">
        <w:t>Estimate the prevalence and/or incidence of the proposed populations within the overall medical condition:</w:t>
      </w:r>
    </w:p>
    <w:p w14:paraId="0EE9356B" w14:textId="7660AA69" w:rsidR="00B96F0C" w:rsidRDefault="0079597E" w:rsidP="00B96F0C">
      <w:pPr>
        <w:rPr>
          <w:lang w:val="en-US"/>
        </w:rPr>
      </w:pPr>
      <w:r w:rsidRPr="00255B1F">
        <w:t>Primary immunodeficiencies occur in as many as 1:2000 live</w:t>
      </w:r>
      <w:r>
        <w:t xml:space="preserve"> </w:t>
      </w:r>
      <w:r w:rsidRPr="00255B1F">
        <w:t>births</w:t>
      </w:r>
      <w:r>
        <w:t xml:space="preserve"> and a prevalence of 1:10,000 in the general population. </w:t>
      </w:r>
      <w:r w:rsidRPr="00EA46CE">
        <w:t>The male/female</w:t>
      </w:r>
      <w:r>
        <w:t xml:space="preserve"> </w:t>
      </w:r>
      <w:r w:rsidRPr="00EA46CE">
        <w:t>ratio of PIDs is approximately 5:1 in infants and children but</w:t>
      </w:r>
      <w:r>
        <w:t xml:space="preserve"> </w:t>
      </w:r>
      <w:r w:rsidRPr="00EA46CE">
        <w:t>approaches 1:1 in adults</w:t>
      </w:r>
      <w:r>
        <w:rPr>
          <w:rStyle w:val="FootnoteReference"/>
        </w:rPr>
        <w:footnoteReference w:id="18"/>
      </w:r>
      <w:r w:rsidRPr="00255B1F">
        <w:t>.</w:t>
      </w:r>
      <w:r w:rsidR="00B96F0C">
        <w:t xml:space="preserve"> </w:t>
      </w:r>
      <w:r w:rsidR="00B96F0C">
        <w:rPr>
          <w:lang w:val="en-US"/>
        </w:rPr>
        <w:t>Australia’s population as at 31 December 2017 was reported by the Australian Bureau of Statistics as 24,775,400</w:t>
      </w:r>
      <w:r w:rsidR="00B96F0C">
        <w:rPr>
          <w:rStyle w:val="FootnoteReference"/>
          <w:lang w:val="en-US"/>
        </w:rPr>
        <w:footnoteReference w:id="19"/>
      </w:r>
      <w:r w:rsidR="00B96F0C">
        <w:rPr>
          <w:lang w:val="en-US"/>
        </w:rPr>
        <w:t>. Assuming a prevalence of 1:10,000 this equates to 2478 patients with PID in Australia. NBA data in Tab</w:t>
      </w:r>
      <w:r w:rsidR="00B05A1C">
        <w:rPr>
          <w:lang w:val="en-US"/>
        </w:rPr>
        <w:t xml:space="preserve">le </w:t>
      </w:r>
      <w:r w:rsidR="00487C6B">
        <w:rPr>
          <w:lang w:val="en-US"/>
        </w:rPr>
        <w:t>9</w:t>
      </w:r>
      <w:r w:rsidR="00B96F0C">
        <w:rPr>
          <w:lang w:val="en-US"/>
        </w:rPr>
        <w:t xml:space="preserve"> indicates 2324 patients treated with Ig for PIDs in 2017-18 financial year.</w:t>
      </w:r>
    </w:p>
    <w:p w14:paraId="6C4FACB8" w14:textId="17753AE5" w:rsidR="0095488F" w:rsidRDefault="008513DC" w:rsidP="00986B31">
      <w:r w:rsidRPr="008513DC">
        <w:t xml:space="preserve">More than 280 primary immundeficiency diseases (PIDs) have been identified. Many of these cause antibody deficiency. In some cases, antibody deficiency is associated with B-cell deficiency (e.g. X-linked agammaglobulinaemia), while in others, B-cells are present. Antibody deficiency can be the only manifestation of PID, or there can be other defects as well (e.g. T-cell deficiency, autoimmunity). Not all PIDs cause antibody defects and, therefore, </w:t>
      </w:r>
      <w:r w:rsidR="00647D6E">
        <w:t>Ig</w:t>
      </w:r>
      <w:r w:rsidR="00B96F0C">
        <w:t xml:space="preserve"> </w:t>
      </w:r>
      <w:r w:rsidRPr="008513DC">
        <w:t>replacement is not always indicated</w:t>
      </w:r>
      <w:r>
        <w:rPr>
          <w:rStyle w:val="FootnoteReference"/>
        </w:rPr>
        <w:footnoteReference w:id="20"/>
      </w:r>
      <w:r w:rsidR="00E423FB">
        <w:t>.</w:t>
      </w:r>
      <w:r w:rsidR="0095488F">
        <w:t xml:space="preserve"> </w:t>
      </w:r>
      <w:r w:rsidR="000556A3">
        <w:t>T</w:t>
      </w:r>
      <w:r w:rsidR="0079597E">
        <w:t>he Criteria</w:t>
      </w:r>
      <w:r w:rsidR="000556A3">
        <w:t xml:space="preserve"> V3</w:t>
      </w:r>
      <w:r w:rsidR="0079597E">
        <w:t xml:space="preserve"> requires</w:t>
      </w:r>
      <w:r w:rsidR="00D25560">
        <w:t xml:space="preserve"> qualifying</w:t>
      </w:r>
      <w:r w:rsidR="0079597E">
        <w:t xml:space="preserve"> patients to have a confirmed or suspected PID and susceptibility to infection (in the case of those PIDs for which immunoglobulin replacement is universally indicated this may be represented by hypogammaglobulinaemia only)</w:t>
      </w:r>
      <w:r w:rsidR="00D25560">
        <w:t xml:space="preserve"> as many patients will be well despite the finding of a serum IgG below the normal range for age</w:t>
      </w:r>
      <w:r w:rsidR="00D25560" w:rsidRPr="0095488F">
        <w:rPr>
          <w:vertAlign w:val="superscript"/>
        </w:rPr>
        <w:t>15</w:t>
      </w:r>
      <w:r w:rsidR="00D25560">
        <w:t>.</w:t>
      </w:r>
    </w:p>
    <w:p w14:paraId="30DCA165" w14:textId="77777777" w:rsidR="0095488F" w:rsidRPr="00D25560" w:rsidRDefault="0095488F" w:rsidP="00986B31"/>
    <w:p w14:paraId="684E9F68" w14:textId="68D0F0FD" w:rsidR="006C74B1" w:rsidRDefault="00D904BF" w:rsidP="00A876CA">
      <w:pPr>
        <w:pStyle w:val="Heading2"/>
        <w:shd w:val="clear" w:color="auto" w:fill="D9D9D9" w:themeFill="background1" w:themeFillShade="D9"/>
        <w:tabs>
          <w:tab w:val="left" w:pos="284"/>
        </w:tabs>
        <w:ind w:left="284" w:hanging="284"/>
      </w:pPr>
      <w:r>
        <w:t xml:space="preserve">Provide data on the use of </w:t>
      </w:r>
      <w:r w:rsidR="0062294C">
        <w:t>Ig therapy</w:t>
      </w:r>
      <w:r w:rsidR="004F51FB">
        <w:t xml:space="preserve"> over recent years for</w:t>
      </w:r>
      <w:r>
        <w:t xml:space="preserve"> </w:t>
      </w:r>
      <w:r w:rsidR="00AE1188">
        <w:t xml:space="preserve">the </w:t>
      </w:r>
      <w:r w:rsidR="0062294C">
        <w:t>medical condition/s within the scope of this referral</w:t>
      </w:r>
      <w:r w:rsidR="00AE1188">
        <w:t>:</w:t>
      </w:r>
    </w:p>
    <w:p w14:paraId="5DFFAD5E" w14:textId="1A1E5BEA" w:rsidR="007C7800" w:rsidRPr="00CF3ED9" w:rsidRDefault="007C7800" w:rsidP="007C7800">
      <w:pPr>
        <w:rPr>
          <w:i/>
        </w:rPr>
      </w:pPr>
      <w:r>
        <w:rPr>
          <w:i/>
        </w:rPr>
        <w:t xml:space="preserve">Table </w:t>
      </w:r>
      <w:r w:rsidR="00F13746">
        <w:rPr>
          <w:i/>
        </w:rPr>
        <w:t>9</w:t>
      </w:r>
      <w:r w:rsidRPr="00CF3ED9">
        <w:rPr>
          <w:i/>
        </w:rPr>
        <w:t xml:space="preserve">: Data on the use of Ig therapy over recent years for </w:t>
      </w:r>
      <w:r>
        <w:rPr>
          <w:i/>
        </w:rPr>
        <w:t>PID</w:t>
      </w:r>
      <w:r w:rsidR="0095488F">
        <w:rPr>
          <w:i/>
        </w:rPr>
        <w:t xml:space="preserve"> (NBA internal data)</w:t>
      </w:r>
    </w:p>
    <w:tbl>
      <w:tblPr>
        <w:tblW w:w="9495" w:type="dxa"/>
        <w:tblInd w:w="93" w:type="dxa"/>
        <w:tblLook w:val="04A0" w:firstRow="1" w:lastRow="0" w:firstColumn="1" w:lastColumn="0" w:noHBand="0" w:noVBand="1"/>
      </w:tblPr>
      <w:tblGrid>
        <w:gridCol w:w="2425"/>
        <w:gridCol w:w="1357"/>
        <w:gridCol w:w="1357"/>
        <w:gridCol w:w="1356"/>
        <w:gridCol w:w="1566"/>
        <w:gridCol w:w="1434"/>
      </w:tblGrid>
      <w:tr w:rsidR="007C7800" w:rsidRPr="00025544" w14:paraId="75324A52" w14:textId="77777777" w:rsidTr="00147EA8">
        <w:trPr>
          <w:trHeight w:val="28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AE0F7" w14:textId="77777777" w:rsidR="007C7800" w:rsidRPr="00025544" w:rsidRDefault="007C7800" w:rsidP="00F322B5">
            <w:pPr>
              <w:spacing w:before="0" w:after="0"/>
              <w:rPr>
                <w:rFonts w:ascii="Calibri" w:eastAsia="Times New Roman" w:hAnsi="Calibri" w:cs="Times New Roman"/>
                <w:color w:val="000000"/>
                <w:sz w:val="18"/>
                <w:szCs w:val="18"/>
                <w:lang w:eastAsia="en-AU"/>
              </w:rPr>
            </w:pPr>
            <w:r w:rsidRPr="00025544">
              <w:rPr>
                <w:rFonts w:ascii="Calibri" w:eastAsia="Times New Roman" w:hAnsi="Calibri" w:cs="Times New Roman"/>
                <w:color w:val="000000"/>
                <w:sz w:val="18"/>
                <w:szCs w:val="18"/>
                <w:lang w:eastAsia="en-AU"/>
              </w:rPr>
              <w:t> </w:t>
            </w:r>
          </w:p>
        </w:tc>
        <w:tc>
          <w:tcPr>
            <w:tcW w:w="1357" w:type="dxa"/>
            <w:tcBorders>
              <w:top w:val="single" w:sz="4" w:space="0" w:color="auto"/>
              <w:left w:val="nil"/>
              <w:bottom w:val="single" w:sz="4" w:space="0" w:color="auto"/>
              <w:right w:val="single" w:sz="4" w:space="0" w:color="auto"/>
            </w:tcBorders>
            <w:shd w:val="clear" w:color="auto" w:fill="C00000"/>
            <w:noWrap/>
            <w:vAlign w:val="bottom"/>
            <w:hideMark/>
          </w:tcPr>
          <w:p w14:paraId="1A853A33" w14:textId="77777777" w:rsidR="007C7800" w:rsidRPr="00D8249D" w:rsidRDefault="007C7800" w:rsidP="00F322B5">
            <w:pPr>
              <w:spacing w:before="0" w:after="0"/>
              <w:jc w:val="center"/>
              <w:rPr>
                <w:rFonts w:ascii="Calibri" w:eastAsia="Times New Roman" w:hAnsi="Calibri" w:cs="Times New Roman"/>
                <w:color w:val="FFFFFF" w:themeColor="background1"/>
                <w:sz w:val="18"/>
                <w:szCs w:val="18"/>
                <w:lang w:eastAsia="en-AU"/>
              </w:rPr>
            </w:pPr>
            <w:r w:rsidRPr="00D8249D">
              <w:rPr>
                <w:rFonts w:ascii="Calibri" w:eastAsia="Times New Roman" w:hAnsi="Calibri" w:cs="Times New Roman"/>
                <w:color w:val="FFFFFF" w:themeColor="background1"/>
                <w:sz w:val="18"/>
                <w:szCs w:val="18"/>
                <w:lang w:eastAsia="en-AU"/>
              </w:rPr>
              <w:t>2013-14</w:t>
            </w:r>
          </w:p>
        </w:tc>
        <w:tc>
          <w:tcPr>
            <w:tcW w:w="1357" w:type="dxa"/>
            <w:tcBorders>
              <w:top w:val="single" w:sz="4" w:space="0" w:color="auto"/>
              <w:left w:val="nil"/>
              <w:bottom w:val="single" w:sz="4" w:space="0" w:color="auto"/>
              <w:right w:val="single" w:sz="4" w:space="0" w:color="auto"/>
            </w:tcBorders>
            <w:shd w:val="clear" w:color="auto" w:fill="C00000"/>
            <w:noWrap/>
            <w:vAlign w:val="bottom"/>
            <w:hideMark/>
          </w:tcPr>
          <w:p w14:paraId="04168189" w14:textId="77777777" w:rsidR="007C7800" w:rsidRPr="00D8249D" w:rsidRDefault="007C7800" w:rsidP="00F322B5">
            <w:pPr>
              <w:spacing w:before="0" w:after="0"/>
              <w:jc w:val="center"/>
              <w:rPr>
                <w:rFonts w:ascii="Calibri" w:eastAsia="Times New Roman" w:hAnsi="Calibri" w:cs="Times New Roman"/>
                <w:color w:val="FFFFFF" w:themeColor="background1"/>
                <w:sz w:val="18"/>
                <w:szCs w:val="18"/>
                <w:lang w:eastAsia="en-AU"/>
              </w:rPr>
            </w:pPr>
            <w:r w:rsidRPr="00D8249D">
              <w:rPr>
                <w:rFonts w:ascii="Calibri" w:eastAsia="Times New Roman" w:hAnsi="Calibri" w:cs="Times New Roman"/>
                <w:color w:val="FFFFFF" w:themeColor="background1"/>
                <w:sz w:val="18"/>
                <w:szCs w:val="18"/>
                <w:lang w:eastAsia="en-AU"/>
              </w:rPr>
              <w:t>2014-15</w:t>
            </w:r>
          </w:p>
        </w:tc>
        <w:tc>
          <w:tcPr>
            <w:tcW w:w="1356" w:type="dxa"/>
            <w:tcBorders>
              <w:top w:val="single" w:sz="4" w:space="0" w:color="auto"/>
              <w:left w:val="nil"/>
              <w:bottom w:val="single" w:sz="4" w:space="0" w:color="auto"/>
              <w:right w:val="single" w:sz="4" w:space="0" w:color="auto"/>
            </w:tcBorders>
            <w:shd w:val="clear" w:color="auto" w:fill="C00000"/>
            <w:noWrap/>
            <w:vAlign w:val="bottom"/>
            <w:hideMark/>
          </w:tcPr>
          <w:p w14:paraId="6E74116D" w14:textId="77777777" w:rsidR="007C7800" w:rsidRPr="00D8249D" w:rsidRDefault="007C7800" w:rsidP="00F322B5">
            <w:pPr>
              <w:spacing w:before="0" w:after="0"/>
              <w:jc w:val="center"/>
              <w:rPr>
                <w:rFonts w:ascii="Calibri" w:eastAsia="Times New Roman" w:hAnsi="Calibri" w:cs="Times New Roman"/>
                <w:color w:val="FFFFFF" w:themeColor="background1"/>
                <w:sz w:val="18"/>
                <w:szCs w:val="18"/>
                <w:lang w:eastAsia="en-AU"/>
              </w:rPr>
            </w:pPr>
            <w:r w:rsidRPr="00D8249D">
              <w:rPr>
                <w:rFonts w:ascii="Calibri" w:eastAsia="Times New Roman" w:hAnsi="Calibri" w:cs="Times New Roman"/>
                <w:color w:val="FFFFFF" w:themeColor="background1"/>
                <w:sz w:val="18"/>
                <w:szCs w:val="18"/>
                <w:lang w:eastAsia="en-AU"/>
              </w:rPr>
              <w:t>2015-16</w:t>
            </w:r>
          </w:p>
        </w:tc>
        <w:tc>
          <w:tcPr>
            <w:tcW w:w="1566" w:type="dxa"/>
            <w:tcBorders>
              <w:top w:val="single" w:sz="4" w:space="0" w:color="auto"/>
              <w:left w:val="nil"/>
              <w:bottom w:val="single" w:sz="4" w:space="0" w:color="auto"/>
              <w:right w:val="single" w:sz="4" w:space="0" w:color="auto"/>
            </w:tcBorders>
            <w:shd w:val="clear" w:color="auto" w:fill="C00000"/>
            <w:noWrap/>
            <w:vAlign w:val="bottom"/>
            <w:hideMark/>
          </w:tcPr>
          <w:p w14:paraId="75CD6653" w14:textId="77777777" w:rsidR="007C7800" w:rsidRPr="00D8249D" w:rsidRDefault="007C7800" w:rsidP="00F322B5">
            <w:pPr>
              <w:spacing w:before="0" w:after="0"/>
              <w:jc w:val="center"/>
              <w:rPr>
                <w:rFonts w:ascii="Calibri" w:eastAsia="Times New Roman" w:hAnsi="Calibri" w:cs="Times New Roman"/>
                <w:color w:val="FFFFFF" w:themeColor="background1"/>
                <w:sz w:val="18"/>
                <w:szCs w:val="18"/>
                <w:lang w:eastAsia="en-AU"/>
              </w:rPr>
            </w:pPr>
            <w:r w:rsidRPr="00D8249D">
              <w:rPr>
                <w:rFonts w:ascii="Calibri" w:eastAsia="Times New Roman" w:hAnsi="Calibri" w:cs="Times New Roman"/>
                <w:color w:val="FFFFFF" w:themeColor="background1"/>
                <w:sz w:val="18"/>
                <w:szCs w:val="18"/>
                <w:lang w:eastAsia="en-AU"/>
              </w:rPr>
              <w:t>2016-17</w:t>
            </w:r>
          </w:p>
        </w:tc>
        <w:tc>
          <w:tcPr>
            <w:tcW w:w="1434" w:type="dxa"/>
            <w:tcBorders>
              <w:top w:val="single" w:sz="4" w:space="0" w:color="auto"/>
              <w:left w:val="nil"/>
              <w:bottom w:val="single" w:sz="4" w:space="0" w:color="auto"/>
              <w:right w:val="single" w:sz="4" w:space="0" w:color="auto"/>
            </w:tcBorders>
            <w:shd w:val="clear" w:color="auto" w:fill="C00000"/>
            <w:noWrap/>
            <w:vAlign w:val="bottom"/>
            <w:hideMark/>
          </w:tcPr>
          <w:p w14:paraId="63DB755D" w14:textId="77777777" w:rsidR="007C7800" w:rsidRPr="00D8249D" w:rsidRDefault="007C7800" w:rsidP="00F322B5">
            <w:pPr>
              <w:spacing w:before="0" w:after="0"/>
              <w:jc w:val="center"/>
              <w:rPr>
                <w:rFonts w:ascii="Calibri" w:eastAsia="Times New Roman" w:hAnsi="Calibri" w:cs="Times New Roman"/>
                <w:color w:val="FFFFFF" w:themeColor="background1"/>
                <w:sz w:val="18"/>
                <w:szCs w:val="18"/>
                <w:lang w:eastAsia="en-AU"/>
              </w:rPr>
            </w:pPr>
            <w:r w:rsidRPr="00D8249D">
              <w:rPr>
                <w:rFonts w:ascii="Calibri" w:eastAsia="Times New Roman" w:hAnsi="Calibri" w:cs="Times New Roman"/>
                <w:color w:val="FFFFFF" w:themeColor="background1"/>
                <w:sz w:val="18"/>
                <w:szCs w:val="18"/>
                <w:lang w:eastAsia="en-AU"/>
              </w:rPr>
              <w:t>2017-18</w:t>
            </w:r>
          </w:p>
        </w:tc>
      </w:tr>
      <w:tr w:rsidR="00147EA8" w:rsidRPr="00025544" w14:paraId="50A57EA7" w14:textId="77777777" w:rsidTr="00147EA8">
        <w:trPr>
          <w:trHeight w:val="289"/>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55A2E51" w14:textId="77777777" w:rsidR="00147EA8" w:rsidRPr="00025544" w:rsidRDefault="00147EA8" w:rsidP="00F322B5">
            <w:pPr>
              <w:spacing w:before="0" w:after="0"/>
              <w:rPr>
                <w:rFonts w:ascii="Calibri" w:eastAsia="Times New Roman" w:hAnsi="Calibri" w:cs="Times New Roman"/>
                <w:color w:val="000000"/>
                <w:sz w:val="18"/>
                <w:szCs w:val="18"/>
                <w:lang w:eastAsia="en-AU"/>
              </w:rPr>
            </w:pPr>
            <w:r w:rsidRPr="00025544">
              <w:rPr>
                <w:rFonts w:ascii="Calibri" w:eastAsia="Times New Roman" w:hAnsi="Calibri" w:cs="Times New Roman"/>
                <w:color w:val="000000"/>
                <w:sz w:val="18"/>
                <w:szCs w:val="18"/>
                <w:lang w:eastAsia="en-AU"/>
              </w:rPr>
              <w:t>New patients</w:t>
            </w:r>
          </w:p>
        </w:tc>
        <w:tc>
          <w:tcPr>
            <w:tcW w:w="1357" w:type="dxa"/>
            <w:tcBorders>
              <w:top w:val="single" w:sz="4" w:space="0" w:color="auto"/>
              <w:left w:val="nil"/>
              <w:bottom w:val="single" w:sz="4" w:space="0" w:color="auto"/>
              <w:right w:val="single" w:sz="4" w:space="0" w:color="auto"/>
            </w:tcBorders>
            <w:shd w:val="clear" w:color="auto" w:fill="auto"/>
            <w:noWrap/>
            <w:vAlign w:val="bottom"/>
          </w:tcPr>
          <w:p w14:paraId="0FAF9D17" w14:textId="3AD4541D" w:rsidR="00147EA8" w:rsidRPr="00025544" w:rsidRDefault="00147EA8"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266</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A2FA7" w14:textId="7EABC116" w:rsidR="00147EA8" w:rsidRPr="00025544" w:rsidRDefault="00147EA8"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275</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311A0" w14:textId="1E1B600E" w:rsidR="00147EA8" w:rsidRPr="00025544" w:rsidRDefault="00147EA8"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223</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3E9B2" w14:textId="7937E0C2" w:rsidR="00147EA8" w:rsidRDefault="00147EA8"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IVIg 232</w:t>
            </w:r>
          </w:p>
          <w:p w14:paraId="4EA919AB" w14:textId="6FB66C3C" w:rsidR="00147EA8" w:rsidRDefault="00147EA8"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SCIg 51</w:t>
            </w:r>
          </w:p>
          <w:p w14:paraId="09781FEA" w14:textId="24799C25" w:rsidR="00147EA8" w:rsidRPr="00025544" w:rsidRDefault="00147EA8" w:rsidP="00147EA8">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Total 283</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F4469" w14:textId="29E0579F" w:rsidR="00147EA8" w:rsidRDefault="00147EA8" w:rsidP="00147EA8">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IVIg 218</w:t>
            </w:r>
          </w:p>
          <w:p w14:paraId="2F8A4467" w14:textId="666EE760" w:rsidR="00147EA8" w:rsidRDefault="00147EA8"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SCIg 39</w:t>
            </w:r>
          </w:p>
          <w:p w14:paraId="606CFFFD" w14:textId="7370200B" w:rsidR="00147EA8" w:rsidRPr="00025544" w:rsidRDefault="00147EA8"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Total 257</w:t>
            </w:r>
          </w:p>
        </w:tc>
      </w:tr>
      <w:tr w:rsidR="007C7800" w:rsidRPr="00025544" w14:paraId="074F0948" w14:textId="77777777" w:rsidTr="00147EA8">
        <w:trPr>
          <w:trHeight w:val="289"/>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7F89C2A" w14:textId="2FED80C7" w:rsidR="007C7800" w:rsidRPr="00025544" w:rsidRDefault="007C7800" w:rsidP="00F322B5">
            <w:pPr>
              <w:spacing w:before="0" w:after="0"/>
              <w:rPr>
                <w:rFonts w:ascii="Calibri" w:eastAsia="Times New Roman" w:hAnsi="Calibri" w:cs="Times New Roman"/>
                <w:color w:val="000000"/>
                <w:sz w:val="18"/>
                <w:szCs w:val="18"/>
                <w:lang w:eastAsia="en-AU"/>
              </w:rPr>
            </w:pPr>
            <w:r w:rsidRPr="00025544">
              <w:rPr>
                <w:rFonts w:ascii="Calibri" w:eastAsia="Times New Roman" w:hAnsi="Calibri" w:cs="Times New Roman"/>
                <w:color w:val="000000"/>
                <w:sz w:val="18"/>
                <w:szCs w:val="18"/>
                <w:lang w:eastAsia="en-AU"/>
              </w:rPr>
              <w:t>Total patients</w:t>
            </w:r>
          </w:p>
        </w:tc>
        <w:tc>
          <w:tcPr>
            <w:tcW w:w="1357" w:type="dxa"/>
            <w:tcBorders>
              <w:top w:val="single" w:sz="4" w:space="0" w:color="auto"/>
              <w:left w:val="nil"/>
              <w:bottom w:val="single" w:sz="4" w:space="0" w:color="auto"/>
              <w:right w:val="single" w:sz="4" w:space="0" w:color="auto"/>
            </w:tcBorders>
            <w:shd w:val="clear" w:color="auto" w:fill="auto"/>
            <w:noWrap/>
            <w:vAlign w:val="bottom"/>
          </w:tcPr>
          <w:p w14:paraId="178BECC0" w14:textId="1056E42C" w:rsidR="007C7800" w:rsidRPr="00025544" w:rsidRDefault="00A3073F"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1822</w:t>
            </w:r>
          </w:p>
        </w:tc>
        <w:tc>
          <w:tcPr>
            <w:tcW w:w="1357" w:type="dxa"/>
            <w:tcBorders>
              <w:top w:val="single" w:sz="4" w:space="0" w:color="auto"/>
              <w:left w:val="nil"/>
              <w:bottom w:val="single" w:sz="4" w:space="0" w:color="auto"/>
              <w:right w:val="single" w:sz="4" w:space="0" w:color="auto"/>
            </w:tcBorders>
            <w:shd w:val="clear" w:color="auto" w:fill="auto"/>
            <w:noWrap/>
            <w:vAlign w:val="bottom"/>
          </w:tcPr>
          <w:p w14:paraId="6E062E08" w14:textId="707C2288" w:rsidR="007C7800" w:rsidRPr="00025544" w:rsidRDefault="00A3073F"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1941</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7E20D027" w14:textId="65459E3C" w:rsidR="007C7800" w:rsidRPr="00025544" w:rsidRDefault="00A3073F"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1999</w:t>
            </w:r>
          </w:p>
        </w:tc>
        <w:tc>
          <w:tcPr>
            <w:tcW w:w="1566" w:type="dxa"/>
            <w:tcBorders>
              <w:top w:val="single" w:sz="4" w:space="0" w:color="auto"/>
              <w:left w:val="nil"/>
              <w:bottom w:val="single" w:sz="4" w:space="0" w:color="auto"/>
              <w:right w:val="single" w:sz="4" w:space="0" w:color="auto"/>
            </w:tcBorders>
            <w:shd w:val="clear" w:color="auto" w:fill="auto"/>
            <w:noWrap/>
            <w:vAlign w:val="bottom"/>
          </w:tcPr>
          <w:p w14:paraId="54459A73" w14:textId="77777777" w:rsidR="007C7800" w:rsidRDefault="00B51BCE"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IVIg 1825</w:t>
            </w:r>
          </w:p>
          <w:p w14:paraId="33BAE913" w14:textId="77777777" w:rsidR="007F29EA" w:rsidRDefault="00B51BCE"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SCIg</w:t>
            </w:r>
            <w:r w:rsidR="007F29EA">
              <w:rPr>
                <w:rFonts w:ascii="Calibri" w:eastAsia="Times New Roman" w:hAnsi="Calibri" w:cs="Times New Roman"/>
                <w:color w:val="000000"/>
                <w:sz w:val="18"/>
                <w:szCs w:val="18"/>
                <w:lang w:eastAsia="en-AU"/>
              </w:rPr>
              <w:t xml:space="preserve"> 334</w:t>
            </w:r>
          </w:p>
          <w:p w14:paraId="4BDE740F" w14:textId="36B009F7" w:rsidR="00B51BCE" w:rsidRPr="00025544" w:rsidRDefault="007F29EA"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Total 2159</w:t>
            </w:r>
            <w:r w:rsidR="00B51BCE">
              <w:rPr>
                <w:rFonts w:ascii="Calibri" w:eastAsia="Times New Roman" w:hAnsi="Calibri" w:cs="Times New Roman"/>
                <w:color w:val="000000"/>
                <w:sz w:val="18"/>
                <w:szCs w:val="18"/>
                <w:lang w:eastAsia="en-AU"/>
              </w:rPr>
              <w:t xml:space="preserve"> </w:t>
            </w: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6A5A864C" w14:textId="77777777" w:rsidR="007C7800" w:rsidRDefault="00DE73D7"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IVIg 1851</w:t>
            </w:r>
          </w:p>
          <w:p w14:paraId="5D30FD5B" w14:textId="77777777" w:rsidR="00DE73D7" w:rsidRDefault="00DE73D7"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SCIg 473</w:t>
            </w:r>
          </w:p>
          <w:p w14:paraId="30174216" w14:textId="4FF29C5D" w:rsidR="00DE73D7" w:rsidRPr="00025544" w:rsidRDefault="00DE73D7"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Total 2324</w:t>
            </w:r>
          </w:p>
        </w:tc>
      </w:tr>
      <w:tr w:rsidR="007C7800" w:rsidRPr="00025544" w14:paraId="245512E6" w14:textId="77777777" w:rsidTr="00147EA8">
        <w:trPr>
          <w:trHeight w:val="289"/>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E23C6F9" w14:textId="248C5545" w:rsidR="007C7800" w:rsidRPr="00025544" w:rsidRDefault="007C7800" w:rsidP="00F322B5">
            <w:pPr>
              <w:spacing w:before="0" w:after="0"/>
              <w:rPr>
                <w:rFonts w:ascii="Calibri" w:eastAsia="Times New Roman" w:hAnsi="Calibri" w:cs="Times New Roman"/>
                <w:color w:val="000000"/>
                <w:sz w:val="18"/>
                <w:szCs w:val="18"/>
                <w:lang w:eastAsia="en-AU"/>
              </w:rPr>
            </w:pPr>
            <w:r w:rsidRPr="00025544">
              <w:rPr>
                <w:rFonts w:ascii="Calibri" w:eastAsia="Times New Roman" w:hAnsi="Calibri" w:cs="Times New Roman"/>
                <w:color w:val="000000"/>
                <w:sz w:val="18"/>
                <w:szCs w:val="18"/>
                <w:lang w:eastAsia="en-AU"/>
              </w:rPr>
              <w:t>Grams</w:t>
            </w:r>
          </w:p>
        </w:tc>
        <w:tc>
          <w:tcPr>
            <w:tcW w:w="1357" w:type="dxa"/>
            <w:tcBorders>
              <w:top w:val="nil"/>
              <w:left w:val="nil"/>
              <w:bottom w:val="single" w:sz="4" w:space="0" w:color="auto"/>
              <w:right w:val="single" w:sz="4" w:space="0" w:color="auto"/>
            </w:tcBorders>
            <w:shd w:val="clear" w:color="auto" w:fill="auto"/>
            <w:noWrap/>
            <w:vAlign w:val="center"/>
          </w:tcPr>
          <w:p w14:paraId="3D954B06" w14:textId="3FD874EC" w:rsidR="007C7800" w:rsidRPr="00025544" w:rsidRDefault="007C7800"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558,617</w:t>
            </w:r>
          </w:p>
        </w:tc>
        <w:tc>
          <w:tcPr>
            <w:tcW w:w="1357" w:type="dxa"/>
            <w:tcBorders>
              <w:top w:val="nil"/>
              <w:left w:val="nil"/>
              <w:bottom w:val="single" w:sz="4" w:space="0" w:color="auto"/>
              <w:right w:val="single" w:sz="4" w:space="0" w:color="auto"/>
            </w:tcBorders>
            <w:shd w:val="clear" w:color="auto" w:fill="auto"/>
            <w:noWrap/>
            <w:vAlign w:val="center"/>
          </w:tcPr>
          <w:p w14:paraId="236BF5BB" w14:textId="6E0A489D" w:rsidR="007C7800" w:rsidRPr="00025544" w:rsidRDefault="007C7800"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614,781</w:t>
            </w:r>
          </w:p>
        </w:tc>
        <w:tc>
          <w:tcPr>
            <w:tcW w:w="1356" w:type="dxa"/>
            <w:tcBorders>
              <w:top w:val="nil"/>
              <w:left w:val="nil"/>
              <w:bottom w:val="single" w:sz="4" w:space="0" w:color="auto"/>
              <w:right w:val="single" w:sz="4" w:space="0" w:color="auto"/>
            </w:tcBorders>
            <w:shd w:val="clear" w:color="auto" w:fill="auto"/>
            <w:noWrap/>
            <w:vAlign w:val="center"/>
          </w:tcPr>
          <w:p w14:paraId="7FBEC485" w14:textId="1B90A8CC" w:rsidR="007C7800" w:rsidRPr="00025544" w:rsidRDefault="007C7800"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660,816</w:t>
            </w:r>
          </w:p>
        </w:tc>
        <w:tc>
          <w:tcPr>
            <w:tcW w:w="1566" w:type="dxa"/>
            <w:tcBorders>
              <w:top w:val="nil"/>
              <w:left w:val="nil"/>
              <w:bottom w:val="single" w:sz="4" w:space="0" w:color="auto"/>
              <w:right w:val="single" w:sz="4" w:space="0" w:color="auto"/>
            </w:tcBorders>
            <w:shd w:val="clear" w:color="auto" w:fill="auto"/>
            <w:noWrap/>
            <w:vAlign w:val="center"/>
          </w:tcPr>
          <w:p w14:paraId="7F7AAE5F" w14:textId="7CD4502B" w:rsidR="007F29EA" w:rsidRDefault="007F29EA"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IVIg 599,555</w:t>
            </w:r>
          </w:p>
          <w:p w14:paraId="3A0343FF" w14:textId="2A544F80" w:rsidR="007F29EA" w:rsidRDefault="007F29EA"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SCIg 102,075</w:t>
            </w:r>
          </w:p>
          <w:p w14:paraId="54862E5B" w14:textId="250E8B50" w:rsidR="007C7800" w:rsidRPr="00025544" w:rsidRDefault="007F29EA"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 xml:space="preserve">Total </w:t>
            </w:r>
            <w:r w:rsidR="007C7800">
              <w:rPr>
                <w:rFonts w:ascii="Calibri" w:eastAsia="Times New Roman" w:hAnsi="Calibri" w:cs="Times New Roman"/>
                <w:color w:val="000000"/>
                <w:sz w:val="18"/>
                <w:szCs w:val="18"/>
                <w:lang w:eastAsia="en-AU"/>
              </w:rPr>
              <w:t>701,630</w:t>
            </w:r>
          </w:p>
        </w:tc>
        <w:tc>
          <w:tcPr>
            <w:tcW w:w="1434" w:type="dxa"/>
            <w:tcBorders>
              <w:top w:val="nil"/>
              <w:left w:val="nil"/>
              <w:bottom w:val="single" w:sz="4" w:space="0" w:color="auto"/>
              <w:right w:val="single" w:sz="4" w:space="0" w:color="auto"/>
            </w:tcBorders>
            <w:shd w:val="clear" w:color="auto" w:fill="auto"/>
            <w:noWrap/>
            <w:vAlign w:val="center"/>
          </w:tcPr>
          <w:p w14:paraId="042AD1A5" w14:textId="77777777" w:rsidR="007F29EA" w:rsidRDefault="007F29EA"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IVIg 596,588</w:t>
            </w:r>
          </w:p>
          <w:p w14:paraId="79B95698" w14:textId="676F7D38" w:rsidR="007F29EA" w:rsidRDefault="007F29EA"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SCIg 128,798</w:t>
            </w:r>
          </w:p>
          <w:p w14:paraId="3AAD45A1" w14:textId="3247B656" w:rsidR="007C7800" w:rsidRPr="00025544" w:rsidRDefault="007F29EA"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 xml:space="preserve">Total </w:t>
            </w:r>
            <w:r w:rsidR="007C7800">
              <w:rPr>
                <w:rFonts w:ascii="Calibri" w:eastAsia="Times New Roman" w:hAnsi="Calibri" w:cs="Times New Roman"/>
                <w:color w:val="000000"/>
                <w:sz w:val="18"/>
                <w:szCs w:val="18"/>
                <w:lang w:eastAsia="en-AU"/>
              </w:rPr>
              <w:t>725,386</w:t>
            </w:r>
          </w:p>
        </w:tc>
      </w:tr>
      <w:tr w:rsidR="007C7800" w:rsidRPr="00025544" w14:paraId="5BD9EF44" w14:textId="77777777" w:rsidTr="00147EA8">
        <w:trPr>
          <w:trHeight w:val="289"/>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EC2BA1F" w14:textId="563BF323" w:rsidR="007C7800" w:rsidRPr="00025544" w:rsidRDefault="007C7800" w:rsidP="00F322B5">
            <w:pPr>
              <w:spacing w:before="0" w:after="0"/>
              <w:rPr>
                <w:rFonts w:ascii="Calibri" w:eastAsia="Times New Roman" w:hAnsi="Calibri" w:cs="Times New Roman"/>
                <w:color w:val="000000"/>
                <w:sz w:val="18"/>
                <w:szCs w:val="18"/>
                <w:lang w:eastAsia="en-AU"/>
              </w:rPr>
            </w:pPr>
            <w:r w:rsidRPr="00025544">
              <w:rPr>
                <w:rFonts w:ascii="Calibri" w:eastAsia="Times New Roman" w:hAnsi="Calibri" w:cs="Times New Roman"/>
                <w:color w:val="000000"/>
                <w:sz w:val="18"/>
                <w:szCs w:val="18"/>
                <w:lang w:eastAsia="en-AU"/>
              </w:rPr>
              <w:t>Average grams per patient</w:t>
            </w:r>
          </w:p>
        </w:tc>
        <w:tc>
          <w:tcPr>
            <w:tcW w:w="1357" w:type="dxa"/>
            <w:tcBorders>
              <w:top w:val="nil"/>
              <w:left w:val="nil"/>
              <w:bottom w:val="single" w:sz="4" w:space="0" w:color="auto"/>
              <w:right w:val="single" w:sz="4" w:space="0" w:color="auto"/>
            </w:tcBorders>
            <w:shd w:val="clear" w:color="auto" w:fill="auto"/>
            <w:noWrap/>
            <w:vAlign w:val="bottom"/>
          </w:tcPr>
          <w:p w14:paraId="3F6B3CC9" w14:textId="1842940C" w:rsidR="007C7800" w:rsidRPr="00025544" w:rsidRDefault="00A3073F"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307</w:t>
            </w:r>
          </w:p>
        </w:tc>
        <w:tc>
          <w:tcPr>
            <w:tcW w:w="1357" w:type="dxa"/>
            <w:tcBorders>
              <w:top w:val="nil"/>
              <w:left w:val="nil"/>
              <w:bottom w:val="single" w:sz="4" w:space="0" w:color="auto"/>
              <w:right w:val="single" w:sz="4" w:space="0" w:color="auto"/>
            </w:tcBorders>
            <w:shd w:val="clear" w:color="auto" w:fill="auto"/>
            <w:noWrap/>
            <w:vAlign w:val="bottom"/>
          </w:tcPr>
          <w:p w14:paraId="1007B8E0" w14:textId="4D364675" w:rsidR="007C7800" w:rsidRPr="00025544" w:rsidRDefault="00A3073F"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317</w:t>
            </w:r>
          </w:p>
        </w:tc>
        <w:tc>
          <w:tcPr>
            <w:tcW w:w="1356" w:type="dxa"/>
            <w:tcBorders>
              <w:top w:val="nil"/>
              <w:left w:val="nil"/>
              <w:bottom w:val="single" w:sz="4" w:space="0" w:color="auto"/>
              <w:right w:val="single" w:sz="4" w:space="0" w:color="auto"/>
            </w:tcBorders>
            <w:shd w:val="clear" w:color="auto" w:fill="auto"/>
            <w:noWrap/>
            <w:vAlign w:val="bottom"/>
          </w:tcPr>
          <w:p w14:paraId="134C124A" w14:textId="3639E164" w:rsidR="007C7800" w:rsidRPr="00025544" w:rsidRDefault="00A3073F"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331</w:t>
            </w:r>
          </w:p>
        </w:tc>
        <w:tc>
          <w:tcPr>
            <w:tcW w:w="1566" w:type="dxa"/>
            <w:tcBorders>
              <w:top w:val="nil"/>
              <w:left w:val="nil"/>
              <w:bottom w:val="single" w:sz="4" w:space="0" w:color="auto"/>
              <w:right w:val="single" w:sz="4" w:space="0" w:color="auto"/>
            </w:tcBorders>
            <w:shd w:val="clear" w:color="auto" w:fill="auto"/>
            <w:noWrap/>
            <w:vAlign w:val="bottom"/>
          </w:tcPr>
          <w:p w14:paraId="1A7B10AA" w14:textId="58D6E042" w:rsidR="007C7800" w:rsidRDefault="007F29EA"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IVIg 329</w:t>
            </w:r>
          </w:p>
          <w:p w14:paraId="68665B1A" w14:textId="2E84A8AD" w:rsidR="007F29EA" w:rsidRPr="00025544" w:rsidRDefault="007F29EA"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SCIg 306</w:t>
            </w:r>
          </w:p>
        </w:tc>
        <w:tc>
          <w:tcPr>
            <w:tcW w:w="1434" w:type="dxa"/>
            <w:tcBorders>
              <w:top w:val="nil"/>
              <w:left w:val="nil"/>
              <w:bottom w:val="single" w:sz="4" w:space="0" w:color="auto"/>
              <w:right w:val="single" w:sz="4" w:space="0" w:color="auto"/>
            </w:tcBorders>
            <w:shd w:val="clear" w:color="auto" w:fill="auto"/>
            <w:noWrap/>
            <w:vAlign w:val="bottom"/>
          </w:tcPr>
          <w:p w14:paraId="52A0F7D5" w14:textId="576DF399" w:rsidR="00DE73D7" w:rsidRDefault="00DE73D7"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 xml:space="preserve">IVIg </w:t>
            </w:r>
            <w:r w:rsidR="007F29EA">
              <w:rPr>
                <w:rFonts w:ascii="Calibri" w:eastAsia="Times New Roman" w:hAnsi="Calibri" w:cs="Times New Roman"/>
                <w:color w:val="000000"/>
                <w:sz w:val="18"/>
                <w:szCs w:val="18"/>
                <w:lang w:eastAsia="en-AU"/>
              </w:rPr>
              <w:t>322</w:t>
            </w:r>
          </w:p>
          <w:p w14:paraId="39C1D375" w14:textId="0E1F54C5" w:rsidR="007C7800" w:rsidRPr="00025544" w:rsidRDefault="007F29EA" w:rsidP="00F322B5">
            <w:pPr>
              <w:spacing w:before="0" w:after="0"/>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SCIg 272</w:t>
            </w:r>
          </w:p>
        </w:tc>
      </w:tr>
    </w:tbl>
    <w:p w14:paraId="4AF74853" w14:textId="6F15B225" w:rsidR="00DE73D7" w:rsidRDefault="00DE73D7" w:rsidP="007C7800"/>
    <w:p w14:paraId="35DBE905" w14:textId="47853D4A" w:rsidR="007C7800" w:rsidRDefault="007C7800" w:rsidP="007C7800">
      <w:r>
        <w:t xml:space="preserve">Distribution of the specific conditions under V3 of the Criteria can be seen in the chart below. Note that the data obtained for this chart is limited to a short time-frame </w:t>
      </w:r>
      <w:r w:rsidR="00BC0123">
        <w:t>- from</w:t>
      </w:r>
      <w:r>
        <w:t xml:space="preserve"> the implementation of V3 (22 October 2018) to 31 December 2018.</w:t>
      </w:r>
      <w:r w:rsidR="00437379">
        <w:t xml:space="preserve"> This has been done due to the change in specific conditions between V2 </w:t>
      </w:r>
      <w:r w:rsidR="00210BD2">
        <w:t xml:space="preserve">and V3 </w:t>
      </w:r>
      <w:r w:rsidR="00437379">
        <w:t>of the Criteria.</w:t>
      </w:r>
    </w:p>
    <w:p w14:paraId="5C7054AC" w14:textId="77777777" w:rsidR="00032BDB" w:rsidRDefault="00032BDB" w:rsidP="007C7800">
      <w:pPr>
        <w:rPr>
          <w:b/>
          <w:i/>
        </w:rPr>
      </w:pPr>
    </w:p>
    <w:p w14:paraId="5C6D3F39" w14:textId="77777777" w:rsidR="00032BDB" w:rsidRDefault="00032BDB" w:rsidP="007C7800">
      <w:pPr>
        <w:rPr>
          <w:b/>
          <w:i/>
        </w:rPr>
      </w:pPr>
    </w:p>
    <w:p w14:paraId="7BACD31D" w14:textId="77777777" w:rsidR="009E29A7" w:rsidRDefault="009E29A7">
      <w:pPr>
        <w:spacing w:before="0" w:after="200" w:line="276" w:lineRule="auto"/>
        <w:rPr>
          <w:b/>
          <w:i/>
        </w:rPr>
      </w:pPr>
      <w:r>
        <w:rPr>
          <w:b/>
          <w:i/>
        </w:rPr>
        <w:br w:type="page"/>
      </w:r>
    </w:p>
    <w:p w14:paraId="508723C1" w14:textId="395E8F50" w:rsidR="007C7800" w:rsidRPr="0095488F" w:rsidRDefault="007C7800" w:rsidP="007C7800">
      <w:pPr>
        <w:rPr>
          <w:i/>
        </w:rPr>
      </w:pPr>
      <w:r w:rsidRPr="00CF3ED9">
        <w:rPr>
          <w:b/>
          <w:i/>
        </w:rPr>
        <w:t>Figure 4: Distribution of grams of Ig by specific condition</w:t>
      </w:r>
      <w:r w:rsidR="00437379">
        <w:rPr>
          <w:b/>
          <w:i/>
        </w:rPr>
        <w:t xml:space="preserve"> V3</w:t>
      </w:r>
      <w:r w:rsidR="0095488F">
        <w:rPr>
          <w:b/>
          <w:i/>
        </w:rPr>
        <w:t xml:space="preserve"> </w:t>
      </w:r>
      <w:r w:rsidR="0095488F">
        <w:rPr>
          <w:i/>
        </w:rPr>
        <w:t>(NBA internal data)</w:t>
      </w:r>
    </w:p>
    <w:p w14:paraId="42218C21" w14:textId="4D8A9348" w:rsidR="00285E59" w:rsidRDefault="00437379" w:rsidP="00CD3C3C">
      <w:pPr>
        <w:ind w:left="-426"/>
      </w:pPr>
      <w:r>
        <w:rPr>
          <w:noProof/>
          <w:lang w:eastAsia="en-AU"/>
        </w:rPr>
        <w:drawing>
          <wp:inline distT="0" distB="0" distL="0" distR="0" wp14:anchorId="58411A48" wp14:editId="02AA587E">
            <wp:extent cx="6504317" cy="4563374"/>
            <wp:effectExtent l="0" t="0" r="10795" b="8890"/>
            <wp:docPr id="2" name="Chart 2" descr="Figure 4: Distribution of grams of Ig by specific condition V3 (NBA internal data)"/>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68FFC64" w14:textId="62210E8A" w:rsidR="00437379" w:rsidRPr="0095488F" w:rsidRDefault="00437379" w:rsidP="00437379">
      <w:pPr>
        <w:rPr>
          <w:i/>
        </w:rPr>
      </w:pPr>
      <w:r>
        <w:rPr>
          <w:b/>
          <w:i/>
        </w:rPr>
        <w:t>Figure 5</w:t>
      </w:r>
      <w:r w:rsidRPr="00CF3ED9">
        <w:rPr>
          <w:b/>
          <w:i/>
        </w:rPr>
        <w:t>: Distribution of grams of Ig by specific condition</w:t>
      </w:r>
      <w:r>
        <w:rPr>
          <w:b/>
          <w:i/>
        </w:rPr>
        <w:t xml:space="preserve"> V2</w:t>
      </w:r>
      <w:r w:rsidR="0095488F">
        <w:rPr>
          <w:b/>
          <w:i/>
        </w:rPr>
        <w:t xml:space="preserve"> </w:t>
      </w:r>
      <w:r w:rsidR="0095488F">
        <w:rPr>
          <w:i/>
        </w:rPr>
        <w:t>(NBA internal data)</w:t>
      </w:r>
    </w:p>
    <w:p w14:paraId="354B43FB" w14:textId="677DE273" w:rsidR="00437379" w:rsidRPr="00437379" w:rsidRDefault="00437379" w:rsidP="00437379">
      <w:pPr>
        <w:rPr>
          <w:b/>
        </w:rPr>
      </w:pPr>
      <w:r>
        <w:rPr>
          <w:noProof/>
          <w:lang w:eastAsia="en-AU"/>
        </w:rPr>
        <w:drawing>
          <wp:inline distT="0" distB="0" distL="0" distR="0" wp14:anchorId="63653F80" wp14:editId="38CF335B">
            <wp:extent cx="5457825" cy="3805239"/>
            <wp:effectExtent l="0" t="0" r="9525" b="5080"/>
            <wp:docPr id="3" name="Chart 3" descr="Figure 5: Distribution of grams of Ig by specific condition V2 (NBA internal data)"/>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C099ADE" w14:textId="77777777" w:rsidR="00382407" w:rsidRDefault="00382407" w:rsidP="00A876CA">
      <w:pPr>
        <w:pStyle w:val="Heading2"/>
        <w:shd w:val="clear" w:color="auto" w:fill="D9D9D9" w:themeFill="background1" w:themeFillShade="D9"/>
        <w:tabs>
          <w:tab w:val="left" w:pos="284"/>
        </w:tabs>
        <w:ind w:left="284" w:hanging="284"/>
      </w:pPr>
      <w:r w:rsidRPr="00154B00">
        <w:t xml:space="preserve">Estimate the </w:t>
      </w:r>
      <w:r w:rsidR="00574C35">
        <w:t xml:space="preserve">dose of Ig and the </w:t>
      </w:r>
      <w:r w:rsidRPr="00AE1188">
        <w:t>number</w:t>
      </w:r>
      <w:r w:rsidRPr="00154B00">
        <w:t xml:space="preserve"> of times </w:t>
      </w:r>
      <w:r w:rsidR="002A24A5">
        <w:t>Ig is</w:t>
      </w:r>
      <w:r w:rsidR="00F0456F">
        <w:t xml:space="preserve"> </w:t>
      </w:r>
      <w:r w:rsidR="00F0456F" w:rsidRPr="00154B00">
        <w:t>delivered</w:t>
      </w:r>
      <w:r w:rsidR="00AE1188">
        <w:t xml:space="preserve"> to a patient per year</w:t>
      </w:r>
      <w:r w:rsidR="005B635B">
        <w:t xml:space="preserve"> for the medical condition</w:t>
      </w:r>
      <w:r w:rsidR="0062294C">
        <w:t>/s within the scope of this referral</w:t>
      </w:r>
      <w:r w:rsidR="00AE1188">
        <w:t>:</w:t>
      </w:r>
      <w:r w:rsidR="008928D0">
        <w:t xml:space="preserve"> </w:t>
      </w:r>
    </w:p>
    <w:p w14:paraId="2C6953FA" w14:textId="19B8E671" w:rsidR="00B05A1C" w:rsidRDefault="00D21D95" w:rsidP="00D21D95">
      <w:r w:rsidRPr="00CF3ED9">
        <w:rPr>
          <w:i/>
        </w:rPr>
        <w:t xml:space="preserve">Table </w:t>
      </w:r>
      <w:r w:rsidR="00F13746">
        <w:rPr>
          <w:i/>
        </w:rPr>
        <w:t>10</w:t>
      </w:r>
      <w:r w:rsidRPr="00CF3ED9">
        <w:rPr>
          <w:i/>
        </w:rPr>
        <w:t xml:space="preserve">: Ig dosing and frequency for </w:t>
      </w:r>
      <w:r>
        <w:rPr>
          <w:i/>
        </w:rPr>
        <w:t>PID</w:t>
      </w:r>
      <w:r w:rsidR="007D315B">
        <w:rPr>
          <w:i/>
        </w:rPr>
        <w:t xml:space="preserve"> (NBA internal data)</w:t>
      </w:r>
      <w:r w:rsidR="00C33B3C">
        <w:t xml:space="preserve">. </w:t>
      </w:r>
    </w:p>
    <w:p w14:paraId="6E2F43F9" w14:textId="01B6A689" w:rsidR="00D21D95" w:rsidRPr="00C33B3C" w:rsidRDefault="00B05A1C" w:rsidP="00D21D95">
      <w:r>
        <w:t xml:space="preserve">Note: </w:t>
      </w:r>
      <w:r w:rsidR="00C33B3C" w:rsidRPr="00C33B3C">
        <w:t>The meaning of term ‘episode’ has evolved over the course of the development of this administrative dataset.  The definition of the term is more closely related to a ‘dispensing episode or event’.  As there may be more than one ‘dispense episode or event’ in a single course of treatment, the true number of courses of treatment during any period is highly likely to be fewer than the number of ‘episodes’ recorded in BloodSTAR and STARS.</w:t>
      </w:r>
    </w:p>
    <w:tbl>
      <w:tblPr>
        <w:tblStyle w:val="TableGrid"/>
        <w:tblW w:w="0" w:type="auto"/>
        <w:tblLook w:val="04A0" w:firstRow="1" w:lastRow="0" w:firstColumn="1" w:lastColumn="0" w:noHBand="0" w:noVBand="1"/>
        <w:tblDescription w:val="Table 10: Ig dosing and frequency for PID (NBA internal data). "/>
      </w:tblPr>
      <w:tblGrid>
        <w:gridCol w:w="2052"/>
        <w:gridCol w:w="1808"/>
        <w:gridCol w:w="1809"/>
        <w:gridCol w:w="1808"/>
        <w:gridCol w:w="1809"/>
      </w:tblGrid>
      <w:tr w:rsidR="003E6240" w14:paraId="26AF2936" w14:textId="13B4C2C1" w:rsidTr="00891D8E">
        <w:trPr>
          <w:trHeight w:val="507"/>
          <w:tblHeader/>
        </w:trPr>
        <w:tc>
          <w:tcPr>
            <w:tcW w:w="2052" w:type="dxa"/>
            <w:vMerge w:val="restart"/>
          </w:tcPr>
          <w:p w14:paraId="264F97ED" w14:textId="77EAF12D" w:rsidR="003E6240" w:rsidRDefault="003E6240" w:rsidP="0064174D"/>
        </w:tc>
        <w:tc>
          <w:tcPr>
            <w:tcW w:w="3617" w:type="dxa"/>
            <w:gridSpan w:val="2"/>
            <w:shd w:val="clear" w:color="auto" w:fill="C00000"/>
          </w:tcPr>
          <w:p w14:paraId="0443F76C" w14:textId="0B333886" w:rsidR="003E6240" w:rsidRPr="00E650D8" w:rsidRDefault="003E6240" w:rsidP="0064174D">
            <w:pPr>
              <w:rPr>
                <w:b/>
                <w:color w:val="FFFFFF" w:themeColor="background1"/>
              </w:rPr>
            </w:pPr>
            <w:r w:rsidRPr="00E650D8">
              <w:rPr>
                <w:b/>
                <w:color w:val="FFFFFF" w:themeColor="background1"/>
              </w:rPr>
              <w:t>PID Total</w:t>
            </w:r>
          </w:p>
          <w:p w14:paraId="277DF866" w14:textId="470C12D1" w:rsidR="003E6240" w:rsidRPr="00E650D8" w:rsidRDefault="003E6240" w:rsidP="0064174D">
            <w:pPr>
              <w:rPr>
                <w:b/>
                <w:color w:val="FFFFFF" w:themeColor="background1"/>
              </w:rPr>
            </w:pPr>
          </w:p>
        </w:tc>
        <w:tc>
          <w:tcPr>
            <w:tcW w:w="3617" w:type="dxa"/>
            <w:gridSpan w:val="2"/>
            <w:shd w:val="clear" w:color="auto" w:fill="C00000"/>
          </w:tcPr>
          <w:p w14:paraId="18A016E5" w14:textId="7DB9F1B1" w:rsidR="003E6240" w:rsidRPr="00E650D8" w:rsidDel="003E6240" w:rsidRDefault="003E6240" w:rsidP="0064174D">
            <w:pPr>
              <w:rPr>
                <w:b/>
                <w:color w:val="FFFFFF" w:themeColor="background1"/>
              </w:rPr>
            </w:pPr>
            <w:r w:rsidRPr="00E650D8">
              <w:rPr>
                <w:b/>
                <w:color w:val="FFFFFF" w:themeColor="background1"/>
              </w:rPr>
              <w:t>CVID</w:t>
            </w:r>
          </w:p>
        </w:tc>
      </w:tr>
      <w:tr w:rsidR="003E6240" w14:paraId="3700AB81" w14:textId="509B0C2F" w:rsidTr="00891D8E">
        <w:trPr>
          <w:trHeight w:val="217"/>
          <w:tblHeader/>
        </w:trPr>
        <w:tc>
          <w:tcPr>
            <w:tcW w:w="2052" w:type="dxa"/>
            <w:vMerge/>
          </w:tcPr>
          <w:p w14:paraId="39EC6E6A" w14:textId="77777777" w:rsidR="003E6240" w:rsidRDefault="003E6240" w:rsidP="0064174D">
            <w:pPr>
              <w:rPr>
                <w:b/>
                <w:sz w:val="18"/>
                <w:szCs w:val="18"/>
              </w:rPr>
            </w:pPr>
          </w:p>
        </w:tc>
        <w:tc>
          <w:tcPr>
            <w:tcW w:w="1808" w:type="dxa"/>
            <w:shd w:val="clear" w:color="auto" w:fill="C00000"/>
          </w:tcPr>
          <w:p w14:paraId="3E54B126" w14:textId="64349AC5" w:rsidR="003E6240" w:rsidRPr="00E650D8" w:rsidRDefault="003E6240" w:rsidP="0064174D">
            <w:pPr>
              <w:rPr>
                <w:b/>
                <w:color w:val="FFFFFF" w:themeColor="background1"/>
              </w:rPr>
            </w:pPr>
            <w:r w:rsidRPr="00E650D8">
              <w:rPr>
                <w:b/>
                <w:color w:val="FFFFFF" w:themeColor="background1"/>
              </w:rPr>
              <w:t>2016-17</w:t>
            </w:r>
          </w:p>
        </w:tc>
        <w:tc>
          <w:tcPr>
            <w:tcW w:w="1809" w:type="dxa"/>
            <w:shd w:val="clear" w:color="auto" w:fill="C00000"/>
          </w:tcPr>
          <w:p w14:paraId="521CD413" w14:textId="622B3CCE" w:rsidR="003E6240" w:rsidRPr="00E650D8" w:rsidRDefault="003E6240" w:rsidP="0064174D">
            <w:pPr>
              <w:rPr>
                <w:b/>
                <w:color w:val="FFFFFF" w:themeColor="background1"/>
              </w:rPr>
            </w:pPr>
            <w:r w:rsidRPr="00E650D8">
              <w:rPr>
                <w:b/>
                <w:color w:val="FFFFFF" w:themeColor="background1"/>
              </w:rPr>
              <w:t>2017-18</w:t>
            </w:r>
          </w:p>
        </w:tc>
        <w:tc>
          <w:tcPr>
            <w:tcW w:w="1808" w:type="dxa"/>
            <w:shd w:val="clear" w:color="auto" w:fill="C00000"/>
          </w:tcPr>
          <w:p w14:paraId="5C4A8E27" w14:textId="6179FE12" w:rsidR="003E6240" w:rsidRPr="00E650D8" w:rsidRDefault="003E6240" w:rsidP="0064174D">
            <w:pPr>
              <w:rPr>
                <w:b/>
                <w:color w:val="FFFFFF" w:themeColor="background1"/>
              </w:rPr>
            </w:pPr>
            <w:r w:rsidRPr="00E650D8">
              <w:rPr>
                <w:b/>
                <w:color w:val="FFFFFF" w:themeColor="background1"/>
              </w:rPr>
              <w:t>2016-17</w:t>
            </w:r>
          </w:p>
        </w:tc>
        <w:tc>
          <w:tcPr>
            <w:tcW w:w="1809" w:type="dxa"/>
            <w:shd w:val="clear" w:color="auto" w:fill="C00000"/>
          </w:tcPr>
          <w:p w14:paraId="672F3B5E" w14:textId="2014F299" w:rsidR="003E6240" w:rsidRPr="00E650D8" w:rsidRDefault="003E6240" w:rsidP="0064174D">
            <w:pPr>
              <w:rPr>
                <w:b/>
                <w:color w:val="FFFFFF" w:themeColor="background1"/>
              </w:rPr>
            </w:pPr>
            <w:r w:rsidRPr="00E650D8">
              <w:rPr>
                <w:b/>
                <w:color w:val="FFFFFF" w:themeColor="background1"/>
              </w:rPr>
              <w:t>2017-18</w:t>
            </w:r>
          </w:p>
        </w:tc>
      </w:tr>
      <w:tr w:rsidR="003E6240" w14:paraId="60EEFB92" w14:textId="1A056C41" w:rsidTr="003E6240">
        <w:tc>
          <w:tcPr>
            <w:tcW w:w="2052" w:type="dxa"/>
          </w:tcPr>
          <w:p w14:paraId="28CCD363" w14:textId="77777777" w:rsidR="003E6240" w:rsidRPr="00B34D06" w:rsidRDefault="003E6240" w:rsidP="0064174D">
            <w:r w:rsidRPr="00B34D06">
              <w:t>Treatment episodes</w:t>
            </w:r>
          </w:p>
        </w:tc>
        <w:tc>
          <w:tcPr>
            <w:tcW w:w="1808" w:type="dxa"/>
          </w:tcPr>
          <w:p w14:paraId="54D63D7A" w14:textId="6711A654" w:rsidR="003E6240" w:rsidRDefault="003E6240" w:rsidP="0064174D">
            <w:r>
              <w:t>32,207</w:t>
            </w:r>
          </w:p>
        </w:tc>
        <w:tc>
          <w:tcPr>
            <w:tcW w:w="1809" w:type="dxa"/>
          </w:tcPr>
          <w:p w14:paraId="3A015A38" w14:textId="6579E56C" w:rsidR="003E6240" w:rsidRDefault="003E6240" w:rsidP="0064174D">
            <w:r>
              <w:t>33,108</w:t>
            </w:r>
          </w:p>
        </w:tc>
        <w:tc>
          <w:tcPr>
            <w:tcW w:w="1808" w:type="dxa"/>
          </w:tcPr>
          <w:p w14:paraId="2EA2985C" w14:textId="7B243504" w:rsidR="003E6240" w:rsidRDefault="003E6240" w:rsidP="0064174D">
            <w:r>
              <w:t>27,680</w:t>
            </w:r>
          </w:p>
        </w:tc>
        <w:tc>
          <w:tcPr>
            <w:tcW w:w="1809" w:type="dxa"/>
          </w:tcPr>
          <w:p w14:paraId="5D16AAB1" w14:textId="68C2D7B4" w:rsidR="003E6240" w:rsidRDefault="003E6240" w:rsidP="0064174D">
            <w:r>
              <w:t>28,872</w:t>
            </w:r>
          </w:p>
        </w:tc>
      </w:tr>
      <w:tr w:rsidR="003E6240" w14:paraId="5AE92E28" w14:textId="499F212A" w:rsidTr="003E6240">
        <w:tc>
          <w:tcPr>
            <w:tcW w:w="2052" w:type="dxa"/>
          </w:tcPr>
          <w:p w14:paraId="4B35F917" w14:textId="77777777" w:rsidR="003E6240" w:rsidRPr="00B34D06" w:rsidRDefault="003E6240" w:rsidP="0064174D">
            <w:r w:rsidRPr="00B34D06">
              <w:t>Average treatment episodes per year</w:t>
            </w:r>
          </w:p>
        </w:tc>
        <w:tc>
          <w:tcPr>
            <w:tcW w:w="1808" w:type="dxa"/>
          </w:tcPr>
          <w:p w14:paraId="70A1B428" w14:textId="0969EED6" w:rsidR="003E6240" w:rsidRDefault="003E6240" w:rsidP="0064174D">
            <w:r>
              <w:t>15</w:t>
            </w:r>
          </w:p>
        </w:tc>
        <w:tc>
          <w:tcPr>
            <w:tcW w:w="1809" w:type="dxa"/>
          </w:tcPr>
          <w:p w14:paraId="06894358" w14:textId="126659FC" w:rsidR="003E6240" w:rsidRDefault="003E6240" w:rsidP="0064174D">
            <w:r>
              <w:t>14</w:t>
            </w:r>
          </w:p>
        </w:tc>
        <w:tc>
          <w:tcPr>
            <w:tcW w:w="1808" w:type="dxa"/>
          </w:tcPr>
          <w:p w14:paraId="7661BBD2" w14:textId="3712D6AF" w:rsidR="003E6240" w:rsidRDefault="003E6240" w:rsidP="0064174D">
            <w:r>
              <w:t>15</w:t>
            </w:r>
          </w:p>
        </w:tc>
        <w:tc>
          <w:tcPr>
            <w:tcW w:w="1809" w:type="dxa"/>
          </w:tcPr>
          <w:p w14:paraId="78C8326E" w14:textId="6A96F9EA" w:rsidR="003E6240" w:rsidRDefault="003E6240" w:rsidP="0064174D">
            <w:r>
              <w:t>15</w:t>
            </w:r>
          </w:p>
        </w:tc>
      </w:tr>
      <w:tr w:rsidR="003E6240" w14:paraId="2776EB41" w14:textId="33438E90" w:rsidTr="003E6240">
        <w:tc>
          <w:tcPr>
            <w:tcW w:w="2052" w:type="dxa"/>
          </w:tcPr>
          <w:p w14:paraId="3E9C8E4C" w14:textId="77777777" w:rsidR="003E6240" w:rsidRPr="00B34D06" w:rsidRDefault="003E6240" w:rsidP="0064174D">
            <w:r w:rsidRPr="00B34D06">
              <w:t>Average Gms/Kg/Episode</w:t>
            </w:r>
          </w:p>
        </w:tc>
        <w:tc>
          <w:tcPr>
            <w:tcW w:w="1808" w:type="dxa"/>
          </w:tcPr>
          <w:p w14:paraId="170BC451" w14:textId="2B26C540" w:rsidR="003E6240" w:rsidRDefault="003E6240" w:rsidP="0064174D">
            <w:r>
              <w:t>0.48</w:t>
            </w:r>
          </w:p>
        </w:tc>
        <w:tc>
          <w:tcPr>
            <w:tcW w:w="1809" w:type="dxa"/>
          </w:tcPr>
          <w:p w14:paraId="39770E93" w14:textId="2B6CD81D" w:rsidR="003E6240" w:rsidRDefault="003E6240" w:rsidP="0064174D">
            <w:r>
              <w:t>0.47</w:t>
            </w:r>
          </w:p>
        </w:tc>
        <w:tc>
          <w:tcPr>
            <w:tcW w:w="1808" w:type="dxa"/>
          </w:tcPr>
          <w:p w14:paraId="329D21A0" w14:textId="5EABAD4C" w:rsidR="003E6240" w:rsidRDefault="003E6240" w:rsidP="0064174D">
            <w:r>
              <w:t>0.47</w:t>
            </w:r>
          </w:p>
        </w:tc>
        <w:tc>
          <w:tcPr>
            <w:tcW w:w="1809" w:type="dxa"/>
          </w:tcPr>
          <w:p w14:paraId="41C0F3AB" w14:textId="15DA1652" w:rsidR="003E6240" w:rsidRDefault="003E6240" w:rsidP="0064174D">
            <w:r>
              <w:t>0.44</w:t>
            </w:r>
          </w:p>
        </w:tc>
      </w:tr>
    </w:tbl>
    <w:p w14:paraId="5C3EA2B0" w14:textId="77777777" w:rsidR="00210BD2" w:rsidRPr="00210BD2" w:rsidRDefault="00210BD2" w:rsidP="00210BD2"/>
    <w:p w14:paraId="76A4EFA9" w14:textId="77777777" w:rsidR="00382407" w:rsidRPr="00673EDA" w:rsidRDefault="00382407" w:rsidP="00A876CA">
      <w:pPr>
        <w:pStyle w:val="Heading2"/>
        <w:shd w:val="clear" w:color="auto" w:fill="D9D9D9" w:themeFill="background1" w:themeFillShade="D9"/>
        <w:tabs>
          <w:tab w:val="left" w:pos="284"/>
        </w:tabs>
        <w:ind w:left="284" w:hanging="284"/>
      </w:pPr>
      <w:r w:rsidRPr="00673EDA">
        <w:t xml:space="preserve">How many years </w:t>
      </w:r>
      <w:r w:rsidR="002A24A5" w:rsidRPr="00673EDA">
        <w:t>is Ig</w:t>
      </w:r>
      <w:r w:rsidRPr="00673EDA">
        <w:t xml:space="preserve"> required for the patient</w:t>
      </w:r>
      <w:r w:rsidR="005B635B" w:rsidRPr="00673EDA">
        <w:t xml:space="preserve"> with the medical condition</w:t>
      </w:r>
      <w:r w:rsidR="006400BB">
        <w:t>/s within the scope of the referral</w:t>
      </w:r>
      <w:r w:rsidRPr="00673EDA">
        <w:t>?</w:t>
      </w:r>
      <w:r w:rsidR="008928D0" w:rsidRPr="00673EDA">
        <w:t xml:space="preserve"> </w:t>
      </w:r>
    </w:p>
    <w:p w14:paraId="1AB06BD4" w14:textId="026540CA" w:rsidR="00210BD2" w:rsidRDefault="003E6240" w:rsidP="00B17921">
      <w:r>
        <w:rPr>
          <w:szCs w:val="20"/>
        </w:rPr>
        <w:t>This condition</w:t>
      </w:r>
      <w:r w:rsidR="00D81497">
        <w:rPr>
          <w:szCs w:val="20"/>
        </w:rPr>
        <w:t xml:space="preserve"> is usually life-long, however the need for Ig therapy</w:t>
      </w:r>
      <w:r>
        <w:rPr>
          <w:szCs w:val="20"/>
        </w:rPr>
        <w:t xml:space="preserve"> can be acute, chronic or transient. </w:t>
      </w:r>
      <w:r>
        <w:t>The usual length of an authorisation for maintenance therapy is one year</w:t>
      </w:r>
      <w:r w:rsidR="00210BD2">
        <w:t xml:space="preserve"> at which point a review is required to assess ongoing need for further Ig therapy</w:t>
      </w:r>
      <w:r>
        <w:t xml:space="preserve">.   Continuing therapy is allowed so can exceed one year and can be ongoing. </w:t>
      </w:r>
      <w:r w:rsidRPr="00954953">
        <w:t xml:space="preserve"> </w:t>
      </w:r>
      <w:r>
        <w:t xml:space="preserve">The majority of patients have more than one authorisation. The average duration of Ig therapy for </w:t>
      </w:r>
      <w:r w:rsidR="00D81497">
        <w:t xml:space="preserve">PIDs </w:t>
      </w:r>
      <w:r>
        <w:t xml:space="preserve">is unknown and is likely to vary between specific conditions due to varying underlying causes. </w:t>
      </w:r>
    </w:p>
    <w:p w14:paraId="01733A96" w14:textId="10AB985B" w:rsidR="00EB07E4" w:rsidRPr="00CD3C3C" w:rsidRDefault="00A712DE" w:rsidP="00B17921">
      <w:r>
        <w:t>The clinical expert on the Ig Reference Group</w:t>
      </w:r>
      <w:r w:rsidR="00AF653B">
        <w:rPr>
          <w:rStyle w:val="FootnoteReference"/>
        </w:rPr>
        <w:footnoteReference w:id="21"/>
      </w:r>
      <w:r>
        <w:t xml:space="preserve"> advised that patients may or may not respond to Ig therapy but confirmed that patients who do respond to Ig will be on the treatment for life as this is replacement therapy. However, weaning off Ig therapy may be trialled in some paediatric patients if it is suspected that the</w:t>
      </w:r>
      <w:r w:rsidR="00CD3C3C">
        <w:t>ir immune system has recovered.</w:t>
      </w:r>
    </w:p>
    <w:p w14:paraId="3C9B3E9F" w14:textId="77777777" w:rsidR="00EB07E4" w:rsidRPr="00B17921" w:rsidRDefault="00EB07E4" w:rsidP="00B17921">
      <w:pPr>
        <w:rPr>
          <w:szCs w:val="20"/>
        </w:rPr>
      </w:pPr>
    </w:p>
    <w:p w14:paraId="354490F8" w14:textId="767B42A3" w:rsidR="00974D50" w:rsidRDefault="00372DF5" w:rsidP="00A876CA">
      <w:pPr>
        <w:pStyle w:val="Heading2"/>
        <w:shd w:val="clear" w:color="auto" w:fill="D9D9D9" w:themeFill="background1" w:themeFillShade="D9"/>
        <w:tabs>
          <w:tab w:val="left" w:pos="284"/>
        </w:tabs>
        <w:ind w:left="284" w:hanging="284"/>
      </w:pPr>
      <w:r>
        <w:t>P</w:t>
      </w:r>
      <w:r w:rsidR="009C03FB" w:rsidRPr="00154B00">
        <w:t>rovide commentary on</w:t>
      </w:r>
      <w:r w:rsidR="001B171D" w:rsidRPr="00154B00">
        <w:t xml:space="preserve"> risk of ‘leakage’ to populations </w:t>
      </w:r>
      <w:r w:rsidR="00574C35">
        <w:t>with the medical condition</w:t>
      </w:r>
      <w:r w:rsidR="006400BB">
        <w:t>/s</w:t>
      </w:r>
      <w:r w:rsidR="00574C35" w:rsidRPr="00154B00">
        <w:t xml:space="preserve"> </w:t>
      </w:r>
      <w:r w:rsidR="001B171D" w:rsidRPr="00154B00">
        <w:t xml:space="preserve">not targeted by </w:t>
      </w:r>
      <w:r w:rsidR="002352A3">
        <w:t>Ig therapy</w:t>
      </w:r>
      <w:r w:rsidR="00E859E6">
        <w:t xml:space="preserve"> (outside</w:t>
      </w:r>
      <w:r w:rsidR="00986B31">
        <w:t xml:space="preserve"> the</w:t>
      </w:r>
      <w:r w:rsidR="00E859E6">
        <w:t xml:space="preserve"> population indicated in V3 Criteria)</w:t>
      </w:r>
      <w:r w:rsidR="00AE1188" w:rsidRPr="006B363C">
        <w:t>:</w:t>
      </w:r>
    </w:p>
    <w:p w14:paraId="1AD155E6" w14:textId="5256457D" w:rsidR="00BD6C88" w:rsidRDefault="00BD6C88" w:rsidP="00BD6C88">
      <w:pPr>
        <w:spacing w:before="0" w:after="0" w:line="276" w:lineRule="auto"/>
      </w:pPr>
      <w:r w:rsidRPr="00BF5C0F">
        <w:t xml:space="preserve">The most significant leakage risk is associated with patients receiving ongoing Ig therapy </w:t>
      </w:r>
      <w:r>
        <w:t>for an unconfirmed PID and after recovery of the immune system</w:t>
      </w:r>
      <w:r w:rsidRPr="00BF5C0F">
        <w:t xml:space="preserve">. </w:t>
      </w:r>
    </w:p>
    <w:p w14:paraId="6BD90822" w14:textId="77777777" w:rsidR="00BD6C88" w:rsidRPr="00BF5C0F" w:rsidRDefault="00BD6C88" w:rsidP="00BD6C88">
      <w:pPr>
        <w:spacing w:before="0" w:after="0" w:line="276" w:lineRule="auto"/>
      </w:pPr>
    </w:p>
    <w:p w14:paraId="7CCB64FD" w14:textId="2FAFB4EC" w:rsidR="00BD6C88" w:rsidRDefault="00BD6C88" w:rsidP="00BD6C88">
      <w:pPr>
        <w:spacing w:before="0" w:after="0" w:line="276" w:lineRule="auto"/>
      </w:pPr>
      <w:r>
        <w:t xml:space="preserve">To manage this risk, </w:t>
      </w:r>
      <w:r w:rsidR="0036274F">
        <w:t>the</w:t>
      </w:r>
      <w:r>
        <w:t xml:space="preserve"> Criteria encourage</w:t>
      </w:r>
      <w:r w:rsidR="0036274F">
        <w:t>s</w:t>
      </w:r>
      <w:r>
        <w:t xml:space="preserve"> cessation of Ig therapy to</w:t>
      </w:r>
      <w:r w:rsidRPr="00BF5C0F">
        <w:t xml:space="preserve"> be considered at least after each 12 months of treatment</w:t>
      </w:r>
      <w:r>
        <w:t xml:space="preserve"> for those patients treated under the indication ‘Replacement therapy in possible CVID (below normal serum IgG but normal serum IgA level)</w:t>
      </w:r>
      <w:r w:rsidRPr="00BF5C0F">
        <w:t xml:space="preserve">, unless contraindicated.  If serum IgM and IgA levels are trending upwards and near normal, this may suggest recovery of the immune system and a trial might be considered if the patient is well. Once the patient has normal IgA and IgM levels, the IgG is also likely to be normal and a trial off Ig therapy may be undertaken. Ig therapy should be extended as required to enable cessation of therapy in September/October, with repeat clinical and/or immunological evaluation before re-commencement of </w:t>
      </w:r>
      <w:r w:rsidRPr="005A110F">
        <w:t xml:space="preserve">therapy. </w:t>
      </w:r>
      <w:r w:rsidRPr="00BD6C88">
        <w:t>This should particularly be considered in patients who do not have active bronchiectasis and/or suppurative lung disease. An immunoglobulin washout period of four to six months is necessary to enable an accurate assessment. Prophylactic antibiotics may be considered to cover the period of cessation of immunoglobulin therapy</w:t>
      </w:r>
      <w:r w:rsidR="00483733">
        <w:rPr>
          <w:rStyle w:val="FootnoteReference"/>
        </w:rPr>
        <w:footnoteReference w:id="22"/>
      </w:r>
      <w:r w:rsidRPr="00BD6C88">
        <w:t>.</w:t>
      </w:r>
      <w:r>
        <w:t xml:space="preserve"> </w:t>
      </w:r>
      <w:r w:rsidRPr="005A110F">
        <w:t xml:space="preserve"> If patients do require further Ig therapy after trialling off, a new request may be made.</w:t>
      </w:r>
    </w:p>
    <w:p w14:paraId="08EAB2D3" w14:textId="77777777" w:rsidR="0036274F" w:rsidRDefault="0036274F" w:rsidP="00BD6C88">
      <w:pPr>
        <w:spacing w:before="0" w:after="0" w:line="276" w:lineRule="auto"/>
      </w:pPr>
    </w:p>
    <w:p w14:paraId="2EDAFA42" w14:textId="14EBCA63" w:rsidR="0036274F" w:rsidRDefault="0036274F" w:rsidP="00BD6C88">
      <w:pPr>
        <w:spacing w:before="0" w:after="0" w:line="276" w:lineRule="auto"/>
      </w:pPr>
      <w:r>
        <w:t xml:space="preserve">For those patients with a suspected PID for which Ig replacement is universally indicated, </w:t>
      </w:r>
      <w:r w:rsidR="00EC1F63">
        <w:t xml:space="preserve">evidence of hypogammaglobulinaemia is required for initial Ig treatment and </w:t>
      </w:r>
      <w:r>
        <w:t>confirmation of diagnosis is required for access to continuing treatment.</w:t>
      </w:r>
    </w:p>
    <w:p w14:paraId="02129BA4" w14:textId="77777777" w:rsidR="0036274F" w:rsidRDefault="0036274F" w:rsidP="00BD6C88">
      <w:pPr>
        <w:spacing w:before="0" w:after="0" w:line="276" w:lineRule="auto"/>
      </w:pPr>
    </w:p>
    <w:p w14:paraId="1EE98F03" w14:textId="34BFF1BC" w:rsidR="0036274F" w:rsidRDefault="0036274F" w:rsidP="00BD6C88">
      <w:pPr>
        <w:spacing w:before="0" w:after="0" w:line="276" w:lineRule="auto"/>
      </w:pPr>
      <w:r>
        <w:t>The Criteria also encourages cessation of Ig therapy at least after 24 months for infants with transient hypogammaglobulinaemia should IgM and IgA levels be trending upwards and close to normal, and if the patient is well. This indication has a low risk of leakage regardless due to the small amounts of Ig used in infants.</w:t>
      </w:r>
    </w:p>
    <w:p w14:paraId="3DFF3201" w14:textId="77777777" w:rsidR="0036274F" w:rsidRDefault="0036274F" w:rsidP="00BD6C88">
      <w:pPr>
        <w:spacing w:before="0" w:after="0" w:line="276" w:lineRule="auto"/>
      </w:pPr>
    </w:p>
    <w:p w14:paraId="022E1959" w14:textId="170A69E4" w:rsidR="0036274F" w:rsidRDefault="0036274F" w:rsidP="00BD6C88">
      <w:pPr>
        <w:spacing w:before="0" w:after="0" w:line="276" w:lineRule="auto"/>
      </w:pPr>
      <w:r>
        <w:t xml:space="preserve">For those patients with confirmed CVID or other recognised PID for which Ig replacement is universally indicated, treatment is likely to be ongoing. To mitigate the risk of patients with unconfirmed diagnosis, the Criteria utilises the ESID </w:t>
      </w:r>
      <w:r w:rsidR="00EC1F63">
        <w:t>diagnostic c</w:t>
      </w:r>
      <w:r>
        <w:t xml:space="preserve">riteria to ensure </w:t>
      </w:r>
      <w:r w:rsidR="00EC1F63">
        <w:t>CVID is confirmed for access under this indication.</w:t>
      </w:r>
      <w:r w:rsidR="00BF5B33">
        <w:t xml:space="preserve"> A clinical or genetic diagnosis must be provided for ongoing treatment in patients with recognised PIDs.</w:t>
      </w:r>
    </w:p>
    <w:p w14:paraId="058D1A9C" w14:textId="77777777" w:rsidR="00BF5B33" w:rsidRDefault="00BF5B33" w:rsidP="00BD6C88">
      <w:pPr>
        <w:spacing w:before="0" w:after="0" w:line="276" w:lineRule="auto"/>
      </w:pPr>
    </w:p>
    <w:p w14:paraId="114290CA" w14:textId="4871584A" w:rsidR="00BF5B33" w:rsidRPr="005A110F" w:rsidRDefault="00BF5B33" w:rsidP="00BD6C88">
      <w:pPr>
        <w:spacing w:before="0" w:after="0" w:line="276" w:lineRule="auto"/>
      </w:pPr>
      <w:r>
        <w:t xml:space="preserve">Another risk of leakage for consideration is in dosing. Some patients may be on higher doses of Ig than required.  BloodSTAR mitigates this risk somewhat by defaulting to the lowest recommended dose when Ig is requested. The prescriber can then increase the dose if required. </w:t>
      </w:r>
      <w:r w:rsidR="000556A3">
        <w:t>A higher dose than the maximum cited in the Criteria may be requested but is likely to only be approved in exceptional circumstances.</w:t>
      </w:r>
    </w:p>
    <w:p w14:paraId="493F7B9C" w14:textId="77777777" w:rsidR="00BD6C88" w:rsidRDefault="00BD6C88" w:rsidP="00BD6C88">
      <w:pPr>
        <w:spacing w:before="0" w:after="0" w:line="276" w:lineRule="auto"/>
      </w:pPr>
    </w:p>
    <w:p w14:paraId="77AAEA7E" w14:textId="35A07187" w:rsidR="007D315B" w:rsidRDefault="00BD6C88" w:rsidP="00BD6C88">
      <w:pPr>
        <w:spacing w:before="0" w:after="0" w:line="276" w:lineRule="auto"/>
        <w:rPr>
          <w:i/>
        </w:rPr>
      </w:pPr>
      <w:r>
        <w:t xml:space="preserve">Jurisdictional data for 2015-16 on number of patients, grams, grams/episode and grams/1,000 population in the relevant state or territory and nationally are provided below. These data indicate substantial variation in practice between jurisdictions. </w:t>
      </w:r>
    </w:p>
    <w:p w14:paraId="72F2CF38" w14:textId="77777777" w:rsidR="007D315B" w:rsidRDefault="007D315B" w:rsidP="00BD6C88">
      <w:pPr>
        <w:spacing w:before="0" w:after="0" w:line="276" w:lineRule="auto"/>
        <w:rPr>
          <w:i/>
        </w:rPr>
      </w:pPr>
    </w:p>
    <w:p w14:paraId="1320A738" w14:textId="656D4CFF" w:rsidR="00BD6C88" w:rsidRPr="00722DA7" w:rsidRDefault="00BD6C88" w:rsidP="00BD6C88">
      <w:pPr>
        <w:spacing w:before="0" w:after="0" w:line="276" w:lineRule="auto"/>
        <w:rPr>
          <w:i/>
        </w:rPr>
      </w:pPr>
      <w:r w:rsidRPr="00722DA7">
        <w:rPr>
          <w:i/>
        </w:rPr>
        <w:t xml:space="preserve">Table </w:t>
      </w:r>
      <w:r w:rsidR="00F13746">
        <w:rPr>
          <w:i/>
        </w:rPr>
        <w:t>11</w:t>
      </w:r>
      <w:r w:rsidRPr="00722DA7">
        <w:rPr>
          <w:i/>
        </w:rPr>
        <w:t>: Jurisdictional differences in Ig prescribing</w:t>
      </w:r>
      <w:r w:rsidR="000D25D7">
        <w:rPr>
          <w:i/>
        </w:rPr>
        <w:t xml:space="preserve"> for CVID</w:t>
      </w:r>
      <w:r w:rsidR="007D315B">
        <w:rPr>
          <w:i/>
        </w:rPr>
        <w:t xml:space="preserve"> (NBA Annual Report 2015-16)</w:t>
      </w:r>
    </w:p>
    <w:tbl>
      <w:tblPr>
        <w:tblStyle w:val="TableGrid"/>
        <w:tblW w:w="10033" w:type="dxa"/>
        <w:tblInd w:w="-318" w:type="dxa"/>
        <w:tblLayout w:type="fixed"/>
        <w:tblLook w:val="04A0" w:firstRow="1" w:lastRow="0" w:firstColumn="1" w:lastColumn="0" w:noHBand="0" w:noVBand="1"/>
        <w:tblDescription w:val="Table 11: Jurisdictional differences in Ig prescribing for CVID (NBA Annual Report 2015-16)"/>
      </w:tblPr>
      <w:tblGrid>
        <w:gridCol w:w="1419"/>
        <w:gridCol w:w="891"/>
        <w:gridCol w:w="876"/>
        <w:gridCol w:w="883"/>
        <w:gridCol w:w="879"/>
        <w:gridCol w:w="872"/>
        <w:gridCol w:w="876"/>
        <w:gridCol w:w="877"/>
        <w:gridCol w:w="869"/>
        <w:gridCol w:w="920"/>
        <w:gridCol w:w="671"/>
      </w:tblGrid>
      <w:tr w:rsidR="00BD6C88" w:rsidRPr="003E6377" w14:paraId="4F29344A" w14:textId="77777777" w:rsidTr="00891D8E">
        <w:trPr>
          <w:tblHeader/>
        </w:trPr>
        <w:tc>
          <w:tcPr>
            <w:tcW w:w="1419" w:type="dxa"/>
          </w:tcPr>
          <w:p w14:paraId="66BBD181" w14:textId="0F1E4A41" w:rsidR="00BD6C88" w:rsidRPr="00D666A2" w:rsidRDefault="000D25D7" w:rsidP="0064174D">
            <w:pPr>
              <w:spacing w:before="0" w:after="0" w:line="276" w:lineRule="auto"/>
              <w:rPr>
                <w:b/>
                <w:sz w:val="18"/>
                <w:szCs w:val="18"/>
              </w:rPr>
            </w:pPr>
            <w:r>
              <w:rPr>
                <w:b/>
                <w:sz w:val="18"/>
                <w:szCs w:val="18"/>
              </w:rPr>
              <w:t>CVID</w:t>
            </w:r>
          </w:p>
        </w:tc>
        <w:tc>
          <w:tcPr>
            <w:tcW w:w="891" w:type="dxa"/>
            <w:shd w:val="clear" w:color="auto" w:fill="C00000"/>
          </w:tcPr>
          <w:p w14:paraId="4E612A9D" w14:textId="77777777" w:rsidR="00BD6C88" w:rsidRPr="003E6377" w:rsidRDefault="00BD6C88" w:rsidP="0064174D">
            <w:pPr>
              <w:spacing w:before="0" w:after="0" w:line="276" w:lineRule="auto"/>
              <w:rPr>
                <w:b/>
                <w:sz w:val="18"/>
                <w:szCs w:val="18"/>
              </w:rPr>
            </w:pPr>
            <w:r w:rsidRPr="003E6377">
              <w:rPr>
                <w:b/>
                <w:sz w:val="18"/>
                <w:szCs w:val="18"/>
              </w:rPr>
              <w:t>NSW</w:t>
            </w:r>
          </w:p>
        </w:tc>
        <w:tc>
          <w:tcPr>
            <w:tcW w:w="876" w:type="dxa"/>
            <w:shd w:val="clear" w:color="auto" w:fill="C00000"/>
          </w:tcPr>
          <w:p w14:paraId="00ACA055" w14:textId="77777777" w:rsidR="00BD6C88" w:rsidRPr="003E6377" w:rsidRDefault="00BD6C88" w:rsidP="0064174D">
            <w:pPr>
              <w:spacing w:before="0" w:after="0" w:line="276" w:lineRule="auto"/>
              <w:rPr>
                <w:b/>
                <w:sz w:val="18"/>
                <w:szCs w:val="18"/>
              </w:rPr>
            </w:pPr>
            <w:r w:rsidRPr="003E6377">
              <w:rPr>
                <w:b/>
                <w:sz w:val="18"/>
                <w:szCs w:val="18"/>
              </w:rPr>
              <w:t>VIC</w:t>
            </w:r>
          </w:p>
        </w:tc>
        <w:tc>
          <w:tcPr>
            <w:tcW w:w="883" w:type="dxa"/>
            <w:shd w:val="clear" w:color="auto" w:fill="C00000"/>
          </w:tcPr>
          <w:p w14:paraId="798F8171" w14:textId="77777777" w:rsidR="00BD6C88" w:rsidRPr="003E6377" w:rsidRDefault="00BD6C88" w:rsidP="0064174D">
            <w:pPr>
              <w:spacing w:before="0" w:after="0" w:line="276" w:lineRule="auto"/>
              <w:rPr>
                <w:b/>
                <w:sz w:val="18"/>
                <w:szCs w:val="18"/>
              </w:rPr>
            </w:pPr>
            <w:r w:rsidRPr="003E6377">
              <w:rPr>
                <w:b/>
                <w:sz w:val="18"/>
                <w:szCs w:val="18"/>
              </w:rPr>
              <w:t>QLD</w:t>
            </w:r>
          </w:p>
        </w:tc>
        <w:tc>
          <w:tcPr>
            <w:tcW w:w="879" w:type="dxa"/>
            <w:shd w:val="clear" w:color="auto" w:fill="C00000"/>
          </w:tcPr>
          <w:p w14:paraId="1165BE78" w14:textId="40C4F4B0" w:rsidR="00BD6C88" w:rsidRPr="003E6377" w:rsidRDefault="000D25D7" w:rsidP="0064174D">
            <w:pPr>
              <w:spacing w:before="0" w:after="0" w:line="276" w:lineRule="auto"/>
              <w:rPr>
                <w:b/>
                <w:sz w:val="18"/>
                <w:szCs w:val="18"/>
              </w:rPr>
            </w:pPr>
            <w:r>
              <w:rPr>
                <w:b/>
                <w:sz w:val="18"/>
                <w:szCs w:val="18"/>
              </w:rPr>
              <w:t>S</w:t>
            </w:r>
            <w:r w:rsidR="00BD6C88" w:rsidRPr="003E6377">
              <w:rPr>
                <w:b/>
                <w:sz w:val="18"/>
                <w:szCs w:val="18"/>
              </w:rPr>
              <w:t>A</w:t>
            </w:r>
          </w:p>
        </w:tc>
        <w:tc>
          <w:tcPr>
            <w:tcW w:w="872" w:type="dxa"/>
            <w:shd w:val="clear" w:color="auto" w:fill="C00000"/>
          </w:tcPr>
          <w:p w14:paraId="0748CEB3" w14:textId="1B5CD94F" w:rsidR="00BD6C88" w:rsidRPr="003E6377" w:rsidRDefault="000D25D7" w:rsidP="0064174D">
            <w:pPr>
              <w:spacing w:before="0" w:after="0" w:line="276" w:lineRule="auto"/>
              <w:rPr>
                <w:b/>
                <w:sz w:val="18"/>
                <w:szCs w:val="18"/>
              </w:rPr>
            </w:pPr>
            <w:r>
              <w:rPr>
                <w:b/>
                <w:sz w:val="18"/>
                <w:szCs w:val="18"/>
              </w:rPr>
              <w:t>W</w:t>
            </w:r>
            <w:r w:rsidR="00BD6C88" w:rsidRPr="003E6377">
              <w:rPr>
                <w:b/>
                <w:sz w:val="18"/>
                <w:szCs w:val="18"/>
              </w:rPr>
              <w:t>A</w:t>
            </w:r>
          </w:p>
        </w:tc>
        <w:tc>
          <w:tcPr>
            <w:tcW w:w="876" w:type="dxa"/>
            <w:shd w:val="clear" w:color="auto" w:fill="C00000"/>
          </w:tcPr>
          <w:p w14:paraId="0F2E58FC" w14:textId="77777777" w:rsidR="00BD6C88" w:rsidRPr="003E6377" w:rsidRDefault="00BD6C88" w:rsidP="0064174D">
            <w:pPr>
              <w:spacing w:before="0" w:after="0" w:line="276" w:lineRule="auto"/>
              <w:rPr>
                <w:b/>
                <w:sz w:val="18"/>
                <w:szCs w:val="18"/>
              </w:rPr>
            </w:pPr>
            <w:r w:rsidRPr="003E6377">
              <w:rPr>
                <w:b/>
                <w:sz w:val="18"/>
                <w:szCs w:val="18"/>
              </w:rPr>
              <w:t>TAS</w:t>
            </w:r>
          </w:p>
        </w:tc>
        <w:tc>
          <w:tcPr>
            <w:tcW w:w="877" w:type="dxa"/>
            <w:shd w:val="clear" w:color="auto" w:fill="C00000"/>
          </w:tcPr>
          <w:p w14:paraId="0018789E" w14:textId="35902404" w:rsidR="00BD6C88" w:rsidRPr="003E6377" w:rsidRDefault="000D25D7" w:rsidP="0064174D">
            <w:pPr>
              <w:spacing w:before="0" w:after="0" w:line="276" w:lineRule="auto"/>
              <w:rPr>
                <w:b/>
                <w:sz w:val="18"/>
                <w:szCs w:val="18"/>
              </w:rPr>
            </w:pPr>
            <w:r>
              <w:rPr>
                <w:b/>
                <w:sz w:val="18"/>
                <w:szCs w:val="18"/>
              </w:rPr>
              <w:t>N</w:t>
            </w:r>
            <w:r w:rsidR="00BD6C88" w:rsidRPr="003E6377">
              <w:rPr>
                <w:b/>
                <w:sz w:val="18"/>
                <w:szCs w:val="18"/>
              </w:rPr>
              <w:t>T</w:t>
            </w:r>
          </w:p>
        </w:tc>
        <w:tc>
          <w:tcPr>
            <w:tcW w:w="869" w:type="dxa"/>
            <w:shd w:val="clear" w:color="auto" w:fill="C00000"/>
          </w:tcPr>
          <w:p w14:paraId="45D7FA4C" w14:textId="4088740B" w:rsidR="00BD6C88" w:rsidRPr="003E6377" w:rsidRDefault="000D25D7" w:rsidP="0064174D">
            <w:pPr>
              <w:spacing w:before="0" w:after="0" w:line="276" w:lineRule="auto"/>
              <w:rPr>
                <w:b/>
                <w:sz w:val="18"/>
                <w:szCs w:val="18"/>
              </w:rPr>
            </w:pPr>
            <w:r>
              <w:rPr>
                <w:b/>
                <w:sz w:val="18"/>
                <w:szCs w:val="18"/>
              </w:rPr>
              <w:t>AC</w:t>
            </w:r>
            <w:r w:rsidR="00BD6C88" w:rsidRPr="003E6377">
              <w:rPr>
                <w:b/>
                <w:sz w:val="18"/>
                <w:szCs w:val="18"/>
              </w:rPr>
              <w:t>T</w:t>
            </w:r>
          </w:p>
        </w:tc>
        <w:tc>
          <w:tcPr>
            <w:tcW w:w="920" w:type="dxa"/>
            <w:shd w:val="clear" w:color="auto" w:fill="C00000"/>
          </w:tcPr>
          <w:p w14:paraId="09AA1898" w14:textId="77777777" w:rsidR="00BD6C88" w:rsidRPr="003E6377" w:rsidRDefault="00BD6C88" w:rsidP="0064174D">
            <w:pPr>
              <w:spacing w:before="0" w:after="0" w:line="276" w:lineRule="auto"/>
              <w:rPr>
                <w:b/>
                <w:sz w:val="18"/>
                <w:szCs w:val="18"/>
              </w:rPr>
            </w:pPr>
            <w:r w:rsidRPr="003E6377">
              <w:rPr>
                <w:b/>
                <w:sz w:val="18"/>
                <w:szCs w:val="18"/>
              </w:rPr>
              <w:t>National</w:t>
            </w:r>
          </w:p>
        </w:tc>
        <w:tc>
          <w:tcPr>
            <w:tcW w:w="671" w:type="dxa"/>
            <w:shd w:val="clear" w:color="auto" w:fill="C00000"/>
          </w:tcPr>
          <w:p w14:paraId="5D7E3E4F" w14:textId="77777777" w:rsidR="00BD6C88" w:rsidRPr="003E6377" w:rsidRDefault="00BD6C88" w:rsidP="0064174D">
            <w:pPr>
              <w:spacing w:before="0" w:after="0" w:line="276" w:lineRule="auto"/>
              <w:rPr>
                <w:b/>
                <w:sz w:val="18"/>
                <w:szCs w:val="18"/>
              </w:rPr>
            </w:pPr>
            <w:r>
              <w:rPr>
                <w:b/>
                <w:sz w:val="18"/>
                <w:szCs w:val="18"/>
              </w:rPr>
              <w:t>Fold Vari*</w:t>
            </w:r>
          </w:p>
        </w:tc>
      </w:tr>
      <w:tr w:rsidR="000D25D7" w:rsidRPr="003E6377" w14:paraId="1A13BD74" w14:textId="77777777" w:rsidTr="00BC0123">
        <w:tc>
          <w:tcPr>
            <w:tcW w:w="1419" w:type="dxa"/>
            <w:shd w:val="clear" w:color="auto" w:fill="FFFFFF" w:themeFill="background1"/>
          </w:tcPr>
          <w:p w14:paraId="7AC7E1AE" w14:textId="77777777" w:rsidR="000D25D7" w:rsidRPr="003E6377" w:rsidRDefault="000D25D7" w:rsidP="0064174D">
            <w:pPr>
              <w:spacing w:before="0" w:after="0" w:line="276" w:lineRule="auto"/>
              <w:rPr>
                <w:sz w:val="18"/>
                <w:szCs w:val="18"/>
              </w:rPr>
            </w:pPr>
            <w:r>
              <w:rPr>
                <w:sz w:val="18"/>
                <w:szCs w:val="18"/>
              </w:rPr>
              <w:t>Patients</w:t>
            </w:r>
          </w:p>
        </w:tc>
        <w:tc>
          <w:tcPr>
            <w:tcW w:w="891" w:type="dxa"/>
            <w:shd w:val="clear" w:color="auto" w:fill="FFFFFF" w:themeFill="background1"/>
            <w:vAlign w:val="center"/>
          </w:tcPr>
          <w:p w14:paraId="6129D881" w14:textId="004143E2" w:rsidR="000D25D7" w:rsidRPr="00D666A2" w:rsidRDefault="000D25D7" w:rsidP="0064174D">
            <w:pPr>
              <w:spacing w:before="0" w:after="0" w:line="276" w:lineRule="auto"/>
              <w:jc w:val="right"/>
              <w:rPr>
                <w:sz w:val="18"/>
                <w:szCs w:val="18"/>
              </w:rPr>
            </w:pPr>
            <w:r w:rsidRPr="00A638A9">
              <w:rPr>
                <w:szCs w:val="20"/>
              </w:rPr>
              <w:t>920</w:t>
            </w:r>
          </w:p>
        </w:tc>
        <w:tc>
          <w:tcPr>
            <w:tcW w:w="876" w:type="dxa"/>
            <w:shd w:val="clear" w:color="auto" w:fill="FFFFFF" w:themeFill="background1"/>
            <w:vAlign w:val="center"/>
          </w:tcPr>
          <w:p w14:paraId="1D63B64A" w14:textId="62D5D911" w:rsidR="000D25D7" w:rsidRPr="00D666A2" w:rsidRDefault="000D25D7" w:rsidP="0064174D">
            <w:pPr>
              <w:spacing w:before="0" w:after="0" w:line="276" w:lineRule="auto"/>
              <w:jc w:val="right"/>
              <w:rPr>
                <w:sz w:val="18"/>
                <w:szCs w:val="18"/>
              </w:rPr>
            </w:pPr>
            <w:r w:rsidRPr="00A638A9">
              <w:rPr>
                <w:szCs w:val="20"/>
              </w:rPr>
              <w:t>320</w:t>
            </w:r>
          </w:p>
        </w:tc>
        <w:tc>
          <w:tcPr>
            <w:tcW w:w="883" w:type="dxa"/>
            <w:shd w:val="clear" w:color="auto" w:fill="FFFFFF" w:themeFill="background1"/>
            <w:vAlign w:val="center"/>
          </w:tcPr>
          <w:p w14:paraId="1554FE2A" w14:textId="40F54236" w:rsidR="000D25D7" w:rsidRPr="00D666A2" w:rsidRDefault="000D25D7" w:rsidP="0064174D">
            <w:pPr>
              <w:spacing w:before="0" w:after="0" w:line="276" w:lineRule="auto"/>
              <w:jc w:val="right"/>
              <w:rPr>
                <w:sz w:val="18"/>
                <w:szCs w:val="18"/>
              </w:rPr>
            </w:pPr>
            <w:r w:rsidRPr="00A638A9">
              <w:rPr>
                <w:szCs w:val="20"/>
              </w:rPr>
              <w:t>350</w:t>
            </w:r>
          </w:p>
        </w:tc>
        <w:tc>
          <w:tcPr>
            <w:tcW w:w="879" w:type="dxa"/>
            <w:shd w:val="clear" w:color="auto" w:fill="FFFFFF" w:themeFill="background1"/>
            <w:vAlign w:val="center"/>
          </w:tcPr>
          <w:p w14:paraId="78A75D75" w14:textId="1BF9DC19" w:rsidR="000D25D7" w:rsidRPr="00D666A2" w:rsidRDefault="000D25D7" w:rsidP="0064174D">
            <w:pPr>
              <w:spacing w:before="0" w:after="0" w:line="276" w:lineRule="auto"/>
              <w:jc w:val="right"/>
              <w:rPr>
                <w:sz w:val="18"/>
                <w:szCs w:val="18"/>
              </w:rPr>
            </w:pPr>
            <w:r w:rsidRPr="00A638A9">
              <w:rPr>
                <w:szCs w:val="20"/>
              </w:rPr>
              <w:t>111</w:t>
            </w:r>
          </w:p>
        </w:tc>
        <w:tc>
          <w:tcPr>
            <w:tcW w:w="872" w:type="dxa"/>
            <w:shd w:val="clear" w:color="auto" w:fill="FFFFFF" w:themeFill="background1"/>
            <w:vAlign w:val="center"/>
          </w:tcPr>
          <w:p w14:paraId="47B9474B" w14:textId="5B7D73B0" w:rsidR="000D25D7" w:rsidRPr="00D666A2" w:rsidRDefault="000D25D7" w:rsidP="0064174D">
            <w:pPr>
              <w:spacing w:before="0" w:after="0" w:line="276" w:lineRule="auto"/>
              <w:jc w:val="right"/>
              <w:rPr>
                <w:sz w:val="18"/>
                <w:szCs w:val="18"/>
              </w:rPr>
            </w:pPr>
            <w:r w:rsidRPr="00A638A9">
              <w:rPr>
                <w:szCs w:val="20"/>
              </w:rPr>
              <w:t>100</w:t>
            </w:r>
          </w:p>
        </w:tc>
        <w:tc>
          <w:tcPr>
            <w:tcW w:w="876" w:type="dxa"/>
            <w:shd w:val="clear" w:color="auto" w:fill="FFFFFF" w:themeFill="background1"/>
            <w:vAlign w:val="center"/>
          </w:tcPr>
          <w:p w14:paraId="29F0D067" w14:textId="76CC0126" w:rsidR="000D25D7" w:rsidRPr="00D666A2" w:rsidRDefault="000D25D7" w:rsidP="0064174D">
            <w:pPr>
              <w:spacing w:before="0" w:after="0" w:line="276" w:lineRule="auto"/>
              <w:jc w:val="right"/>
              <w:rPr>
                <w:sz w:val="18"/>
                <w:szCs w:val="18"/>
              </w:rPr>
            </w:pPr>
            <w:r w:rsidRPr="00A638A9">
              <w:rPr>
                <w:szCs w:val="20"/>
              </w:rPr>
              <w:t>28</w:t>
            </w:r>
          </w:p>
        </w:tc>
        <w:tc>
          <w:tcPr>
            <w:tcW w:w="877" w:type="dxa"/>
            <w:shd w:val="clear" w:color="auto" w:fill="FFFFFF" w:themeFill="background1"/>
            <w:vAlign w:val="center"/>
          </w:tcPr>
          <w:p w14:paraId="1677D630" w14:textId="0B550352" w:rsidR="000D25D7" w:rsidRPr="00D666A2" w:rsidRDefault="000D25D7" w:rsidP="0064174D">
            <w:pPr>
              <w:spacing w:before="0" w:after="0" w:line="276" w:lineRule="auto"/>
              <w:jc w:val="right"/>
              <w:rPr>
                <w:sz w:val="18"/>
                <w:szCs w:val="18"/>
              </w:rPr>
            </w:pPr>
            <w:r w:rsidRPr="00A638A9">
              <w:rPr>
                <w:szCs w:val="20"/>
              </w:rPr>
              <w:t>5</w:t>
            </w:r>
          </w:p>
        </w:tc>
        <w:tc>
          <w:tcPr>
            <w:tcW w:w="869" w:type="dxa"/>
            <w:shd w:val="clear" w:color="auto" w:fill="FFFFFF" w:themeFill="background1"/>
            <w:vAlign w:val="center"/>
          </w:tcPr>
          <w:p w14:paraId="0E60AFF4" w14:textId="576D25A6" w:rsidR="000D25D7" w:rsidRPr="00D666A2" w:rsidRDefault="000D25D7" w:rsidP="0064174D">
            <w:pPr>
              <w:spacing w:before="0" w:after="0" w:line="276" w:lineRule="auto"/>
              <w:jc w:val="right"/>
              <w:rPr>
                <w:sz w:val="18"/>
                <w:szCs w:val="18"/>
              </w:rPr>
            </w:pPr>
            <w:r w:rsidRPr="00A638A9">
              <w:rPr>
                <w:szCs w:val="20"/>
              </w:rPr>
              <w:t>69</w:t>
            </w:r>
          </w:p>
        </w:tc>
        <w:tc>
          <w:tcPr>
            <w:tcW w:w="920" w:type="dxa"/>
            <w:shd w:val="clear" w:color="auto" w:fill="FFFFFF" w:themeFill="background1"/>
            <w:vAlign w:val="center"/>
          </w:tcPr>
          <w:p w14:paraId="2E4AE62E" w14:textId="114A2860" w:rsidR="000D25D7" w:rsidRPr="00D666A2" w:rsidRDefault="000D25D7" w:rsidP="0064174D">
            <w:pPr>
              <w:spacing w:before="0" w:after="0" w:line="276" w:lineRule="auto"/>
              <w:jc w:val="right"/>
              <w:rPr>
                <w:sz w:val="18"/>
                <w:szCs w:val="18"/>
              </w:rPr>
            </w:pPr>
            <w:r w:rsidRPr="00A638A9">
              <w:rPr>
                <w:szCs w:val="20"/>
              </w:rPr>
              <w:t>1,876</w:t>
            </w:r>
          </w:p>
        </w:tc>
        <w:tc>
          <w:tcPr>
            <w:tcW w:w="671" w:type="dxa"/>
            <w:shd w:val="clear" w:color="auto" w:fill="FFFFFF" w:themeFill="background1"/>
          </w:tcPr>
          <w:p w14:paraId="0A6D3194" w14:textId="77777777" w:rsidR="000D25D7" w:rsidRPr="00D666A2" w:rsidRDefault="000D25D7" w:rsidP="0064174D">
            <w:pPr>
              <w:spacing w:before="0" w:after="0" w:line="276" w:lineRule="auto"/>
              <w:jc w:val="right"/>
              <w:rPr>
                <w:sz w:val="18"/>
                <w:szCs w:val="18"/>
              </w:rPr>
            </w:pPr>
          </w:p>
        </w:tc>
      </w:tr>
      <w:tr w:rsidR="000D25D7" w:rsidRPr="003E6377" w14:paraId="3C745A18" w14:textId="77777777" w:rsidTr="00BC0123">
        <w:tc>
          <w:tcPr>
            <w:tcW w:w="1419" w:type="dxa"/>
            <w:shd w:val="clear" w:color="auto" w:fill="FFFFFF" w:themeFill="background1"/>
          </w:tcPr>
          <w:p w14:paraId="0257D7F2" w14:textId="77777777" w:rsidR="000D25D7" w:rsidRDefault="000D25D7" w:rsidP="0064174D">
            <w:pPr>
              <w:spacing w:before="0" w:after="0" w:line="276" w:lineRule="auto"/>
              <w:rPr>
                <w:sz w:val="18"/>
                <w:szCs w:val="18"/>
              </w:rPr>
            </w:pPr>
            <w:r>
              <w:rPr>
                <w:sz w:val="18"/>
                <w:szCs w:val="18"/>
              </w:rPr>
              <w:t>Grams</w:t>
            </w:r>
          </w:p>
        </w:tc>
        <w:tc>
          <w:tcPr>
            <w:tcW w:w="891" w:type="dxa"/>
            <w:shd w:val="clear" w:color="auto" w:fill="FFFFFF" w:themeFill="background1"/>
            <w:vAlign w:val="center"/>
          </w:tcPr>
          <w:p w14:paraId="7F04195B" w14:textId="179A0874" w:rsidR="000D25D7" w:rsidRPr="00D666A2" w:rsidRDefault="000D25D7" w:rsidP="0064174D">
            <w:pPr>
              <w:spacing w:before="0" w:after="0" w:line="276" w:lineRule="auto"/>
              <w:jc w:val="right"/>
              <w:rPr>
                <w:sz w:val="18"/>
                <w:szCs w:val="18"/>
              </w:rPr>
            </w:pPr>
            <w:r w:rsidRPr="00A638A9">
              <w:rPr>
                <w:szCs w:val="20"/>
              </w:rPr>
              <w:t>311,301</w:t>
            </w:r>
          </w:p>
        </w:tc>
        <w:tc>
          <w:tcPr>
            <w:tcW w:w="876" w:type="dxa"/>
            <w:shd w:val="clear" w:color="auto" w:fill="FFFFFF" w:themeFill="background1"/>
            <w:vAlign w:val="center"/>
          </w:tcPr>
          <w:p w14:paraId="5B4DABF9" w14:textId="2325524A" w:rsidR="000D25D7" w:rsidRPr="00D666A2" w:rsidRDefault="000D25D7" w:rsidP="0064174D">
            <w:pPr>
              <w:spacing w:before="0" w:after="0" w:line="276" w:lineRule="auto"/>
              <w:jc w:val="right"/>
              <w:rPr>
                <w:sz w:val="18"/>
                <w:szCs w:val="18"/>
              </w:rPr>
            </w:pPr>
            <w:r w:rsidRPr="00A638A9">
              <w:rPr>
                <w:szCs w:val="20"/>
              </w:rPr>
              <w:t>107,889</w:t>
            </w:r>
          </w:p>
        </w:tc>
        <w:tc>
          <w:tcPr>
            <w:tcW w:w="883" w:type="dxa"/>
            <w:shd w:val="clear" w:color="auto" w:fill="FFFFFF" w:themeFill="background1"/>
            <w:vAlign w:val="center"/>
          </w:tcPr>
          <w:p w14:paraId="4DCB6039" w14:textId="514CDFAB" w:rsidR="000D25D7" w:rsidRPr="00D666A2" w:rsidRDefault="000D25D7" w:rsidP="0064174D">
            <w:pPr>
              <w:spacing w:before="0" w:after="0" w:line="276" w:lineRule="auto"/>
              <w:jc w:val="right"/>
              <w:rPr>
                <w:sz w:val="18"/>
                <w:szCs w:val="18"/>
              </w:rPr>
            </w:pPr>
            <w:r w:rsidRPr="00A638A9">
              <w:rPr>
                <w:szCs w:val="20"/>
              </w:rPr>
              <w:t>124,577</w:t>
            </w:r>
          </w:p>
        </w:tc>
        <w:tc>
          <w:tcPr>
            <w:tcW w:w="879" w:type="dxa"/>
            <w:shd w:val="clear" w:color="auto" w:fill="FFFFFF" w:themeFill="background1"/>
            <w:vAlign w:val="center"/>
          </w:tcPr>
          <w:p w14:paraId="0E3752B6" w14:textId="247622AC" w:rsidR="000D25D7" w:rsidRPr="00D666A2" w:rsidRDefault="000D25D7" w:rsidP="0064174D">
            <w:pPr>
              <w:spacing w:before="0" w:after="0" w:line="276" w:lineRule="auto"/>
              <w:jc w:val="right"/>
              <w:rPr>
                <w:sz w:val="18"/>
                <w:szCs w:val="18"/>
              </w:rPr>
            </w:pPr>
            <w:r w:rsidRPr="00A638A9">
              <w:rPr>
                <w:szCs w:val="20"/>
              </w:rPr>
              <w:t>30,967</w:t>
            </w:r>
          </w:p>
        </w:tc>
        <w:tc>
          <w:tcPr>
            <w:tcW w:w="872" w:type="dxa"/>
            <w:shd w:val="clear" w:color="auto" w:fill="FFFFFF" w:themeFill="background1"/>
            <w:vAlign w:val="center"/>
          </w:tcPr>
          <w:p w14:paraId="7B6CC816" w14:textId="65DC6071" w:rsidR="000D25D7" w:rsidRPr="00D666A2" w:rsidRDefault="000D25D7" w:rsidP="0064174D">
            <w:pPr>
              <w:spacing w:before="0" w:after="0" w:line="276" w:lineRule="auto"/>
              <w:jc w:val="right"/>
              <w:rPr>
                <w:sz w:val="18"/>
                <w:szCs w:val="18"/>
              </w:rPr>
            </w:pPr>
            <w:r w:rsidRPr="00A638A9">
              <w:rPr>
                <w:szCs w:val="20"/>
              </w:rPr>
              <w:t>32,192</w:t>
            </w:r>
          </w:p>
        </w:tc>
        <w:tc>
          <w:tcPr>
            <w:tcW w:w="876" w:type="dxa"/>
            <w:shd w:val="clear" w:color="auto" w:fill="FFFFFF" w:themeFill="background1"/>
            <w:vAlign w:val="center"/>
          </w:tcPr>
          <w:p w14:paraId="1744E822" w14:textId="2DDFE145" w:rsidR="000D25D7" w:rsidRPr="00D666A2" w:rsidRDefault="000D25D7" w:rsidP="0064174D">
            <w:pPr>
              <w:spacing w:before="0" w:after="0" w:line="276" w:lineRule="auto"/>
              <w:jc w:val="right"/>
              <w:rPr>
                <w:sz w:val="18"/>
                <w:szCs w:val="18"/>
              </w:rPr>
            </w:pPr>
            <w:r w:rsidRPr="00A638A9">
              <w:rPr>
                <w:szCs w:val="20"/>
              </w:rPr>
              <w:t>8,463</w:t>
            </w:r>
          </w:p>
        </w:tc>
        <w:tc>
          <w:tcPr>
            <w:tcW w:w="877" w:type="dxa"/>
            <w:shd w:val="clear" w:color="auto" w:fill="FFFFFF" w:themeFill="background1"/>
            <w:vAlign w:val="center"/>
          </w:tcPr>
          <w:p w14:paraId="498A28CF" w14:textId="0C9E7D20" w:rsidR="000D25D7" w:rsidRPr="00D666A2" w:rsidRDefault="000D25D7" w:rsidP="0064174D">
            <w:pPr>
              <w:spacing w:before="0" w:after="0" w:line="276" w:lineRule="auto"/>
              <w:jc w:val="right"/>
              <w:rPr>
                <w:sz w:val="18"/>
                <w:szCs w:val="18"/>
              </w:rPr>
            </w:pPr>
            <w:r w:rsidRPr="00A638A9">
              <w:rPr>
                <w:szCs w:val="20"/>
              </w:rPr>
              <w:t>1,810</w:t>
            </w:r>
          </w:p>
        </w:tc>
        <w:tc>
          <w:tcPr>
            <w:tcW w:w="869" w:type="dxa"/>
            <w:shd w:val="clear" w:color="auto" w:fill="FFFFFF" w:themeFill="background1"/>
            <w:vAlign w:val="center"/>
          </w:tcPr>
          <w:p w14:paraId="544C597A" w14:textId="38F0543F" w:rsidR="000D25D7" w:rsidRPr="00D666A2" w:rsidRDefault="000D25D7" w:rsidP="0064174D">
            <w:pPr>
              <w:spacing w:before="0" w:after="0" w:line="276" w:lineRule="auto"/>
              <w:jc w:val="right"/>
              <w:rPr>
                <w:sz w:val="18"/>
                <w:szCs w:val="18"/>
              </w:rPr>
            </w:pPr>
            <w:r w:rsidRPr="00A638A9">
              <w:rPr>
                <w:szCs w:val="20"/>
              </w:rPr>
              <w:t>21,440</w:t>
            </w:r>
          </w:p>
        </w:tc>
        <w:tc>
          <w:tcPr>
            <w:tcW w:w="920" w:type="dxa"/>
            <w:shd w:val="clear" w:color="auto" w:fill="FFFFFF" w:themeFill="background1"/>
            <w:vAlign w:val="center"/>
          </w:tcPr>
          <w:p w14:paraId="101173B7" w14:textId="0EBA3558" w:rsidR="000D25D7" w:rsidRPr="00D666A2" w:rsidRDefault="000D25D7" w:rsidP="0064174D">
            <w:pPr>
              <w:spacing w:before="0" w:after="0" w:line="276" w:lineRule="auto"/>
              <w:jc w:val="right"/>
              <w:rPr>
                <w:sz w:val="18"/>
                <w:szCs w:val="18"/>
              </w:rPr>
            </w:pPr>
            <w:r w:rsidRPr="00A638A9">
              <w:rPr>
                <w:szCs w:val="20"/>
              </w:rPr>
              <w:t>638,638</w:t>
            </w:r>
          </w:p>
        </w:tc>
        <w:tc>
          <w:tcPr>
            <w:tcW w:w="671" w:type="dxa"/>
            <w:shd w:val="clear" w:color="auto" w:fill="FFFFFF" w:themeFill="background1"/>
          </w:tcPr>
          <w:p w14:paraId="0890F785" w14:textId="77777777" w:rsidR="000D25D7" w:rsidRDefault="000D25D7" w:rsidP="0064174D">
            <w:pPr>
              <w:spacing w:before="0" w:after="0" w:line="276" w:lineRule="auto"/>
              <w:jc w:val="right"/>
              <w:rPr>
                <w:sz w:val="18"/>
                <w:szCs w:val="18"/>
              </w:rPr>
            </w:pPr>
          </w:p>
        </w:tc>
      </w:tr>
      <w:tr w:rsidR="000D25D7" w:rsidRPr="003E6377" w14:paraId="7C240B73" w14:textId="77777777" w:rsidTr="00BC0123">
        <w:tc>
          <w:tcPr>
            <w:tcW w:w="1419" w:type="dxa"/>
            <w:shd w:val="clear" w:color="auto" w:fill="FFFFFF" w:themeFill="background1"/>
          </w:tcPr>
          <w:p w14:paraId="56B12E13" w14:textId="77777777" w:rsidR="000D25D7" w:rsidRDefault="000D25D7" w:rsidP="0064174D">
            <w:pPr>
              <w:spacing w:before="0" w:after="0" w:line="276" w:lineRule="auto"/>
              <w:rPr>
                <w:sz w:val="18"/>
                <w:szCs w:val="18"/>
              </w:rPr>
            </w:pPr>
            <w:r>
              <w:rPr>
                <w:sz w:val="18"/>
                <w:szCs w:val="18"/>
              </w:rPr>
              <w:t>Grams/Episode</w:t>
            </w:r>
          </w:p>
        </w:tc>
        <w:tc>
          <w:tcPr>
            <w:tcW w:w="891" w:type="dxa"/>
            <w:shd w:val="clear" w:color="auto" w:fill="FFFFFF" w:themeFill="background1"/>
            <w:vAlign w:val="center"/>
          </w:tcPr>
          <w:p w14:paraId="66416332" w14:textId="3231E78E" w:rsidR="000D25D7" w:rsidRPr="00D666A2" w:rsidRDefault="000D25D7" w:rsidP="0064174D">
            <w:pPr>
              <w:spacing w:before="0" w:after="0" w:line="276" w:lineRule="auto"/>
              <w:jc w:val="right"/>
              <w:rPr>
                <w:sz w:val="18"/>
                <w:szCs w:val="18"/>
              </w:rPr>
            </w:pPr>
            <w:r w:rsidRPr="00A638A9">
              <w:rPr>
                <w:szCs w:val="20"/>
              </w:rPr>
              <w:t>20</w:t>
            </w:r>
          </w:p>
        </w:tc>
        <w:tc>
          <w:tcPr>
            <w:tcW w:w="876" w:type="dxa"/>
            <w:shd w:val="clear" w:color="auto" w:fill="FFFFFF" w:themeFill="background1"/>
            <w:vAlign w:val="center"/>
          </w:tcPr>
          <w:p w14:paraId="75875C43" w14:textId="1E56C379" w:rsidR="000D25D7" w:rsidRPr="00D666A2" w:rsidRDefault="000D25D7" w:rsidP="0064174D">
            <w:pPr>
              <w:spacing w:before="0" w:after="0" w:line="276" w:lineRule="auto"/>
              <w:jc w:val="right"/>
              <w:rPr>
                <w:sz w:val="18"/>
                <w:szCs w:val="18"/>
              </w:rPr>
            </w:pPr>
            <w:r w:rsidRPr="00A638A9">
              <w:rPr>
                <w:szCs w:val="20"/>
              </w:rPr>
              <w:t>24</w:t>
            </w:r>
          </w:p>
        </w:tc>
        <w:tc>
          <w:tcPr>
            <w:tcW w:w="883" w:type="dxa"/>
            <w:shd w:val="clear" w:color="auto" w:fill="FFFFFF" w:themeFill="background1"/>
            <w:vAlign w:val="center"/>
          </w:tcPr>
          <w:p w14:paraId="64EB7424" w14:textId="6A409F3D" w:rsidR="000D25D7" w:rsidRPr="00D666A2" w:rsidRDefault="000D25D7" w:rsidP="0064174D">
            <w:pPr>
              <w:spacing w:before="0" w:after="0" w:line="276" w:lineRule="auto"/>
              <w:jc w:val="right"/>
              <w:rPr>
                <w:sz w:val="18"/>
                <w:szCs w:val="18"/>
              </w:rPr>
            </w:pPr>
            <w:r w:rsidRPr="00A638A9">
              <w:rPr>
                <w:szCs w:val="20"/>
              </w:rPr>
              <w:t>27</w:t>
            </w:r>
          </w:p>
        </w:tc>
        <w:tc>
          <w:tcPr>
            <w:tcW w:w="879" w:type="dxa"/>
            <w:shd w:val="clear" w:color="auto" w:fill="FFFFFF" w:themeFill="background1"/>
            <w:vAlign w:val="center"/>
          </w:tcPr>
          <w:p w14:paraId="37D38862" w14:textId="7BAF79AC" w:rsidR="000D25D7" w:rsidRPr="00D666A2" w:rsidRDefault="000D25D7" w:rsidP="0064174D">
            <w:pPr>
              <w:spacing w:before="0" w:after="0" w:line="276" w:lineRule="auto"/>
              <w:jc w:val="right"/>
              <w:rPr>
                <w:sz w:val="18"/>
                <w:szCs w:val="18"/>
              </w:rPr>
            </w:pPr>
            <w:r w:rsidRPr="00A638A9">
              <w:rPr>
                <w:szCs w:val="20"/>
              </w:rPr>
              <w:t>22</w:t>
            </w:r>
          </w:p>
        </w:tc>
        <w:tc>
          <w:tcPr>
            <w:tcW w:w="872" w:type="dxa"/>
            <w:shd w:val="clear" w:color="auto" w:fill="FFFFFF" w:themeFill="background1"/>
            <w:vAlign w:val="center"/>
          </w:tcPr>
          <w:p w14:paraId="4923E261" w14:textId="28ADECD8" w:rsidR="000D25D7" w:rsidRPr="00D666A2" w:rsidRDefault="000D25D7" w:rsidP="0064174D">
            <w:pPr>
              <w:spacing w:before="0" w:after="0" w:line="276" w:lineRule="auto"/>
              <w:jc w:val="right"/>
              <w:rPr>
                <w:sz w:val="18"/>
                <w:szCs w:val="18"/>
              </w:rPr>
            </w:pPr>
            <w:r w:rsidRPr="00A638A9">
              <w:rPr>
                <w:szCs w:val="20"/>
              </w:rPr>
              <w:t>23</w:t>
            </w:r>
          </w:p>
        </w:tc>
        <w:tc>
          <w:tcPr>
            <w:tcW w:w="876" w:type="dxa"/>
            <w:shd w:val="clear" w:color="auto" w:fill="FFFFFF" w:themeFill="background1"/>
            <w:vAlign w:val="center"/>
          </w:tcPr>
          <w:p w14:paraId="00B087B9" w14:textId="186A5CDF" w:rsidR="000D25D7" w:rsidRPr="00D666A2" w:rsidRDefault="000D25D7" w:rsidP="0064174D">
            <w:pPr>
              <w:spacing w:before="0" w:after="0" w:line="276" w:lineRule="auto"/>
              <w:jc w:val="right"/>
              <w:rPr>
                <w:sz w:val="18"/>
                <w:szCs w:val="18"/>
              </w:rPr>
            </w:pPr>
            <w:r w:rsidRPr="00A638A9">
              <w:rPr>
                <w:szCs w:val="20"/>
              </w:rPr>
              <w:t>27</w:t>
            </w:r>
          </w:p>
        </w:tc>
        <w:tc>
          <w:tcPr>
            <w:tcW w:w="877" w:type="dxa"/>
            <w:shd w:val="clear" w:color="auto" w:fill="FFFFFF" w:themeFill="background1"/>
            <w:vAlign w:val="center"/>
          </w:tcPr>
          <w:p w14:paraId="0F536794" w14:textId="2A523D1B" w:rsidR="000D25D7" w:rsidRPr="00D666A2" w:rsidRDefault="000D25D7" w:rsidP="0064174D">
            <w:pPr>
              <w:spacing w:before="0" w:after="0" w:line="276" w:lineRule="auto"/>
              <w:jc w:val="right"/>
              <w:rPr>
                <w:sz w:val="18"/>
                <w:szCs w:val="18"/>
              </w:rPr>
            </w:pPr>
            <w:r w:rsidRPr="00A638A9">
              <w:rPr>
                <w:szCs w:val="20"/>
              </w:rPr>
              <w:t>50</w:t>
            </w:r>
          </w:p>
        </w:tc>
        <w:tc>
          <w:tcPr>
            <w:tcW w:w="869" w:type="dxa"/>
            <w:shd w:val="clear" w:color="auto" w:fill="FFFFFF" w:themeFill="background1"/>
            <w:vAlign w:val="center"/>
          </w:tcPr>
          <w:p w14:paraId="0DB9420E" w14:textId="67352439" w:rsidR="000D25D7" w:rsidRPr="00D666A2" w:rsidRDefault="000D25D7" w:rsidP="0064174D">
            <w:pPr>
              <w:spacing w:before="0" w:after="0" w:line="276" w:lineRule="auto"/>
              <w:jc w:val="right"/>
              <w:rPr>
                <w:sz w:val="18"/>
                <w:szCs w:val="18"/>
              </w:rPr>
            </w:pPr>
            <w:r w:rsidRPr="00A638A9">
              <w:rPr>
                <w:szCs w:val="20"/>
              </w:rPr>
              <w:t>23</w:t>
            </w:r>
          </w:p>
        </w:tc>
        <w:tc>
          <w:tcPr>
            <w:tcW w:w="920" w:type="dxa"/>
            <w:shd w:val="clear" w:color="auto" w:fill="FFFFFF" w:themeFill="background1"/>
            <w:vAlign w:val="center"/>
          </w:tcPr>
          <w:p w14:paraId="1727D54A" w14:textId="44114AB9" w:rsidR="000D25D7" w:rsidRPr="00D666A2" w:rsidRDefault="000D25D7" w:rsidP="0064174D">
            <w:pPr>
              <w:spacing w:before="0" w:after="0" w:line="276" w:lineRule="auto"/>
              <w:jc w:val="right"/>
              <w:rPr>
                <w:sz w:val="18"/>
                <w:szCs w:val="18"/>
              </w:rPr>
            </w:pPr>
            <w:r w:rsidRPr="00A638A9">
              <w:rPr>
                <w:szCs w:val="20"/>
              </w:rPr>
              <w:t>22</w:t>
            </w:r>
          </w:p>
        </w:tc>
        <w:tc>
          <w:tcPr>
            <w:tcW w:w="671" w:type="dxa"/>
            <w:shd w:val="clear" w:color="auto" w:fill="FFFFFF" w:themeFill="background1"/>
          </w:tcPr>
          <w:p w14:paraId="6E2E2A92" w14:textId="77777777" w:rsidR="000D25D7" w:rsidRDefault="000D25D7" w:rsidP="0064174D">
            <w:pPr>
              <w:spacing w:before="0" w:after="0" w:line="276" w:lineRule="auto"/>
              <w:jc w:val="right"/>
              <w:rPr>
                <w:sz w:val="18"/>
                <w:szCs w:val="18"/>
              </w:rPr>
            </w:pPr>
          </w:p>
        </w:tc>
      </w:tr>
      <w:tr w:rsidR="000D25D7" w:rsidRPr="003E6377" w14:paraId="1DCEB1A8" w14:textId="77777777" w:rsidTr="00BC0123">
        <w:tc>
          <w:tcPr>
            <w:tcW w:w="1419" w:type="dxa"/>
            <w:shd w:val="clear" w:color="auto" w:fill="FFFFFF" w:themeFill="background1"/>
          </w:tcPr>
          <w:p w14:paraId="0DD82C4C" w14:textId="77777777" w:rsidR="000D25D7" w:rsidRDefault="000D25D7" w:rsidP="0064174D">
            <w:pPr>
              <w:spacing w:before="0" w:after="0" w:line="276" w:lineRule="auto"/>
              <w:rPr>
                <w:sz w:val="18"/>
                <w:szCs w:val="18"/>
              </w:rPr>
            </w:pPr>
            <w:r>
              <w:rPr>
                <w:sz w:val="18"/>
                <w:szCs w:val="18"/>
              </w:rPr>
              <w:t>Grams/1,000 population</w:t>
            </w:r>
          </w:p>
        </w:tc>
        <w:tc>
          <w:tcPr>
            <w:tcW w:w="891" w:type="dxa"/>
            <w:shd w:val="clear" w:color="auto" w:fill="FFFFFF" w:themeFill="background1"/>
            <w:vAlign w:val="center"/>
          </w:tcPr>
          <w:p w14:paraId="39281A47" w14:textId="76BB619B" w:rsidR="000D25D7" w:rsidRPr="00D666A2" w:rsidRDefault="000D25D7" w:rsidP="0064174D">
            <w:pPr>
              <w:spacing w:before="0" w:after="0" w:line="276" w:lineRule="auto"/>
              <w:jc w:val="right"/>
              <w:rPr>
                <w:sz w:val="18"/>
                <w:szCs w:val="18"/>
              </w:rPr>
            </w:pPr>
            <w:r w:rsidRPr="00A638A9">
              <w:rPr>
                <w:szCs w:val="20"/>
              </w:rPr>
              <w:t>40</w:t>
            </w:r>
          </w:p>
        </w:tc>
        <w:tc>
          <w:tcPr>
            <w:tcW w:w="876" w:type="dxa"/>
            <w:shd w:val="clear" w:color="auto" w:fill="FFFFFF" w:themeFill="background1"/>
            <w:vAlign w:val="center"/>
          </w:tcPr>
          <w:p w14:paraId="5284F83F" w14:textId="46039560" w:rsidR="000D25D7" w:rsidRPr="00D666A2" w:rsidRDefault="000D25D7" w:rsidP="0064174D">
            <w:pPr>
              <w:spacing w:before="0" w:after="0" w:line="276" w:lineRule="auto"/>
              <w:jc w:val="right"/>
              <w:rPr>
                <w:sz w:val="18"/>
                <w:szCs w:val="18"/>
              </w:rPr>
            </w:pPr>
            <w:r w:rsidRPr="00A638A9">
              <w:rPr>
                <w:szCs w:val="20"/>
              </w:rPr>
              <w:t>17</w:t>
            </w:r>
          </w:p>
        </w:tc>
        <w:tc>
          <w:tcPr>
            <w:tcW w:w="883" w:type="dxa"/>
            <w:shd w:val="clear" w:color="auto" w:fill="FFFFFF" w:themeFill="background1"/>
            <w:vAlign w:val="center"/>
          </w:tcPr>
          <w:p w14:paraId="52347CA6" w14:textId="472DAE02" w:rsidR="000D25D7" w:rsidRPr="00D666A2" w:rsidRDefault="000D25D7" w:rsidP="0064174D">
            <w:pPr>
              <w:spacing w:before="0" w:after="0" w:line="276" w:lineRule="auto"/>
              <w:jc w:val="right"/>
              <w:rPr>
                <w:sz w:val="18"/>
                <w:szCs w:val="18"/>
              </w:rPr>
            </w:pPr>
            <w:r w:rsidRPr="00A638A9">
              <w:rPr>
                <w:szCs w:val="20"/>
              </w:rPr>
              <w:t>26</w:t>
            </w:r>
          </w:p>
        </w:tc>
        <w:tc>
          <w:tcPr>
            <w:tcW w:w="879" w:type="dxa"/>
            <w:shd w:val="clear" w:color="auto" w:fill="FFFFFF" w:themeFill="background1"/>
            <w:vAlign w:val="center"/>
          </w:tcPr>
          <w:p w14:paraId="429EDE7F" w14:textId="4F0C6D6D" w:rsidR="000D25D7" w:rsidRPr="00D666A2" w:rsidRDefault="000D25D7" w:rsidP="0064174D">
            <w:pPr>
              <w:spacing w:before="0" w:after="0" w:line="276" w:lineRule="auto"/>
              <w:jc w:val="right"/>
              <w:rPr>
                <w:sz w:val="18"/>
                <w:szCs w:val="18"/>
              </w:rPr>
            </w:pPr>
            <w:r w:rsidRPr="00A638A9">
              <w:rPr>
                <w:szCs w:val="20"/>
              </w:rPr>
              <w:t>18</w:t>
            </w:r>
          </w:p>
        </w:tc>
        <w:tc>
          <w:tcPr>
            <w:tcW w:w="872" w:type="dxa"/>
            <w:shd w:val="clear" w:color="auto" w:fill="FFFFFF" w:themeFill="background1"/>
            <w:vAlign w:val="center"/>
          </w:tcPr>
          <w:p w14:paraId="63CA8115" w14:textId="5CC94161" w:rsidR="000D25D7" w:rsidRPr="00D666A2" w:rsidRDefault="000D25D7" w:rsidP="0064174D">
            <w:pPr>
              <w:spacing w:before="0" w:after="0" w:line="276" w:lineRule="auto"/>
              <w:jc w:val="right"/>
              <w:rPr>
                <w:sz w:val="18"/>
                <w:szCs w:val="18"/>
              </w:rPr>
            </w:pPr>
            <w:r w:rsidRPr="00A638A9">
              <w:rPr>
                <w:szCs w:val="20"/>
              </w:rPr>
              <w:t>13</w:t>
            </w:r>
          </w:p>
        </w:tc>
        <w:tc>
          <w:tcPr>
            <w:tcW w:w="876" w:type="dxa"/>
            <w:shd w:val="clear" w:color="auto" w:fill="FFFFFF" w:themeFill="background1"/>
            <w:vAlign w:val="center"/>
          </w:tcPr>
          <w:p w14:paraId="6AC6DF63" w14:textId="7622897D" w:rsidR="000D25D7" w:rsidRPr="00D666A2" w:rsidRDefault="000D25D7" w:rsidP="0064174D">
            <w:pPr>
              <w:spacing w:before="0" w:after="0" w:line="276" w:lineRule="auto"/>
              <w:jc w:val="right"/>
              <w:rPr>
                <w:sz w:val="18"/>
                <w:szCs w:val="18"/>
              </w:rPr>
            </w:pPr>
            <w:r w:rsidRPr="00A638A9">
              <w:rPr>
                <w:szCs w:val="20"/>
              </w:rPr>
              <w:t>16</w:t>
            </w:r>
          </w:p>
        </w:tc>
        <w:tc>
          <w:tcPr>
            <w:tcW w:w="877" w:type="dxa"/>
            <w:shd w:val="clear" w:color="auto" w:fill="FFFFFF" w:themeFill="background1"/>
            <w:vAlign w:val="center"/>
          </w:tcPr>
          <w:p w14:paraId="6A74D438" w14:textId="23FA69FD" w:rsidR="000D25D7" w:rsidRPr="00D666A2" w:rsidRDefault="000D25D7" w:rsidP="0064174D">
            <w:pPr>
              <w:spacing w:before="0" w:after="0" w:line="276" w:lineRule="auto"/>
              <w:jc w:val="right"/>
              <w:rPr>
                <w:sz w:val="18"/>
                <w:szCs w:val="18"/>
              </w:rPr>
            </w:pPr>
            <w:r w:rsidRPr="00A638A9">
              <w:rPr>
                <w:szCs w:val="20"/>
              </w:rPr>
              <w:t>7</w:t>
            </w:r>
          </w:p>
        </w:tc>
        <w:tc>
          <w:tcPr>
            <w:tcW w:w="869" w:type="dxa"/>
            <w:shd w:val="clear" w:color="auto" w:fill="FFFFFF" w:themeFill="background1"/>
            <w:vAlign w:val="center"/>
          </w:tcPr>
          <w:p w14:paraId="1EFE60E8" w14:textId="75EB41C3" w:rsidR="000D25D7" w:rsidRPr="00D666A2" w:rsidRDefault="000D25D7" w:rsidP="0064174D">
            <w:pPr>
              <w:spacing w:before="0" w:after="0" w:line="276" w:lineRule="auto"/>
              <w:jc w:val="right"/>
              <w:rPr>
                <w:sz w:val="18"/>
                <w:szCs w:val="18"/>
              </w:rPr>
            </w:pPr>
            <w:r w:rsidRPr="00A638A9">
              <w:rPr>
                <w:szCs w:val="20"/>
              </w:rPr>
              <w:t>53</w:t>
            </w:r>
          </w:p>
        </w:tc>
        <w:tc>
          <w:tcPr>
            <w:tcW w:w="920" w:type="dxa"/>
            <w:shd w:val="clear" w:color="auto" w:fill="FFFFFF" w:themeFill="background1"/>
            <w:vAlign w:val="center"/>
          </w:tcPr>
          <w:p w14:paraId="1FD861BA" w14:textId="021B0F56" w:rsidR="000D25D7" w:rsidRPr="00D666A2" w:rsidRDefault="000D25D7" w:rsidP="0064174D">
            <w:pPr>
              <w:spacing w:before="0" w:after="0" w:line="276" w:lineRule="auto"/>
              <w:jc w:val="right"/>
              <w:rPr>
                <w:sz w:val="18"/>
                <w:szCs w:val="18"/>
              </w:rPr>
            </w:pPr>
            <w:r w:rsidRPr="00A638A9">
              <w:rPr>
                <w:szCs w:val="20"/>
              </w:rPr>
              <w:t>26</w:t>
            </w:r>
          </w:p>
        </w:tc>
        <w:tc>
          <w:tcPr>
            <w:tcW w:w="671" w:type="dxa"/>
            <w:shd w:val="clear" w:color="auto" w:fill="FFFFFF" w:themeFill="background1"/>
          </w:tcPr>
          <w:p w14:paraId="4B29CDF3" w14:textId="158D3910" w:rsidR="000D25D7" w:rsidRDefault="000D25D7" w:rsidP="0064174D">
            <w:pPr>
              <w:spacing w:before="0" w:after="0" w:line="276" w:lineRule="auto"/>
              <w:jc w:val="right"/>
              <w:rPr>
                <w:sz w:val="18"/>
                <w:szCs w:val="18"/>
              </w:rPr>
            </w:pPr>
            <w:r>
              <w:rPr>
                <w:sz w:val="18"/>
                <w:szCs w:val="18"/>
              </w:rPr>
              <w:t>3.1</w:t>
            </w:r>
          </w:p>
        </w:tc>
      </w:tr>
    </w:tbl>
    <w:p w14:paraId="71B8641E" w14:textId="3F54E7AC" w:rsidR="00B17921" w:rsidRPr="00B17921" w:rsidRDefault="00BD6C88" w:rsidP="007D315B">
      <w:pPr>
        <w:spacing w:before="0" w:after="0" w:line="276" w:lineRule="auto"/>
        <w:ind w:left="-426"/>
      </w:pPr>
      <w:r w:rsidRPr="00114678">
        <w:rPr>
          <w:sz w:val="18"/>
        </w:rPr>
        <w:t>* Fold var</w:t>
      </w:r>
      <w:r>
        <w:rPr>
          <w:sz w:val="18"/>
        </w:rPr>
        <w:t>i</w:t>
      </w:r>
      <w:r w:rsidRPr="00114678">
        <w:rPr>
          <w:sz w:val="18"/>
        </w:rPr>
        <w:t xml:space="preserve"> = Fold variation calculated by dividing the largest grams/1000 population by the smallest g/1000 population using only data from the five</w:t>
      </w:r>
      <w:r w:rsidR="000D25D7">
        <w:rPr>
          <w:sz w:val="18"/>
        </w:rPr>
        <w:t xml:space="preserve"> largest states (NSW, VIC, QLD,SA and W</w:t>
      </w:r>
      <w:r w:rsidRPr="00114678">
        <w:rPr>
          <w:sz w:val="18"/>
        </w:rPr>
        <w:t>A).</w:t>
      </w:r>
    </w:p>
    <w:p w14:paraId="42CA3C5B" w14:textId="77777777" w:rsidR="00B17921" w:rsidRDefault="00B17921">
      <w:pPr>
        <w:spacing w:before="0" w:after="200" w:line="276" w:lineRule="auto"/>
        <w:rPr>
          <w:bCs/>
          <w:color w:val="4F81BD" w:themeColor="accent1"/>
          <w:sz w:val="40"/>
          <w:szCs w:val="32"/>
        </w:rPr>
      </w:pPr>
      <w:r>
        <w:br w:type="page"/>
      </w:r>
    </w:p>
    <w:p w14:paraId="4A3D8622" w14:textId="6426E273" w:rsidR="00951933" w:rsidRPr="00C776B1" w:rsidRDefault="005A58BA" w:rsidP="007D315B">
      <w:pPr>
        <w:pStyle w:val="Heading1"/>
        <w:tabs>
          <w:tab w:val="left" w:pos="284"/>
        </w:tabs>
        <w:spacing w:after="0"/>
      </w:pPr>
      <w:r>
        <w:t>COST</w:t>
      </w:r>
      <w:r w:rsidR="00951933" w:rsidRPr="00C776B1">
        <w:t xml:space="preserve"> INFORMATION</w:t>
      </w:r>
    </w:p>
    <w:p w14:paraId="354FA7AF" w14:textId="77777777" w:rsidR="006A649A" w:rsidRDefault="006A649A" w:rsidP="00A876CA">
      <w:pPr>
        <w:pStyle w:val="Heading2"/>
        <w:shd w:val="clear" w:color="auto" w:fill="D9D9D9" w:themeFill="background1" w:themeFillShade="D9"/>
        <w:tabs>
          <w:tab w:val="left" w:pos="284"/>
        </w:tabs>
        <w:ind w:left="284" w:hanging="284"/>
      </w:pPr>
      <w:r w:rsidRPr="00AE1188">
        <w:t xml:space="preserve">Indicate the </w:t>
      </w:r>
      <w:r w:rsidR="00372DF5">
        <w:t>current</w:t>
      </w:r>
      <w:r w:rsidR="00372DF5" w:rsidRPr="00AE1188">
        <w:t xml:space="preserve"> </w:t>
      </w:r>
      <w:r w:rsidRPr="00AE1188">
        <w:t xml:space="preserve">cost of </w:t>
      </w:r>
      <w:r w:rsidR="005A58BA" w:rsidRPr="00AE1188">
        <w:t xml:space="preserve">providing </w:t>
      </w:r>
      <w:r w:rsidR="002352A3">
        <w:t>Ig therapy</w:t>
      </w:r>
      <w:r w:rsidR="00574C35">
        <w:t xml:space="preserve"> within the medical condition</w:t>
      </w:r>
      <w:r w:rsidR="006400BB">
        <w:t>/s</w:t>
      </w:r>
      <w:r w:rsidRPr="00AE1188">
        <w:t>.</w:t>
      </w:r>
      <w:r w:rsidR="005A5D30" w:rsidRPr="00AE1188">
        <w:t xml:space="preserve"> Where possible</w:t>
      </w:r>
      <w:r w:rsidR="00802553" w:rsidRPr="00AE1188">
        <w:t>,</w:t>
      </w:r>
      <w:r w:rsidR="005A5D30" w:rsidRPr="00AE1188">
        <w:t xml:space="preserve"> please pro</w:t>
      </w:r>
      <w:r w:rsidR="00AE1188">
        <w:t>vide overall and breakdown</w:t>
      </w:r>
      <w:r w:rsidR="000A77BC">
        <w:t xml:space="preserve"> costs</w:t>
      </w:r>
      <w:r w:rsidR="00AE1188">
        <w:t>:</w:t>
      </w:r>
      <w:r w:rsidR="00EC092D">
        <w:t xml:space="preserve"> </w:t>
      </w:r>
    </w:p>
    <w:p w14:paraId="2BE91EA2" w14:textId="1C670049" w:rsidR="000D25D7" w:rsidRPr="00B34D06" w:rsidRDefault="000D25D7" w:rsidP="000D25D7">
      <w:pPr>
        <w:jc w:val="both"/>
      </w:pPr>
      <w:r w:rsidRPr="00B34D06">
        <w:t xml:space="preserve">The cost of Ig for </w:t>
      </w:r>
      <w:r>
        <w:t>PID</w:t>
      </w:r>
      <w:r w:rsidRPr="00B34D06">
        <w:t xml:space="preserve"> </w:t>
      </w:r>
      <w:r w:rsidR="00812872">
        <w:t xml:space="preserve">funded under National Blood Arrangements </w:t>
      </w:r>
      <w:r w:rsidRPr="00B34D06">
        <w:t>for domestic Ig products was $</w:t>
      </w:r>
      <w:r w:rsidR="00A142DF">
        <w:t xml:space="preserve">85,259,890 </w:t>
      </w:r>
      <w:r w:rsidRPr="00B34D06">
        <w:t>($</w:t>
      </w:r>
      <w:r w:rsidR="00A142DF" w:rsidRPr="000D25D7">
        <w:t>78</w:t>
      </w:r>
      <w:r w:rsidR="00A142DF">
        <w:t>,</w:t>
      </w:r>
      <w:r w:rsidR="00A142DF" w:rsidRPr="000D25D7">
        <w:t>377</w:t>
      </w:r>
      <w:r w:rsidR="00A142DF">
        <w:t xml:space="preserve">,751 </w:t>
      </w:r>
      <w:r w:rsidRPr="00B34D06">
        <w:t>IVIg and $</w:t>
      </w:r>
      <w:r w:rsidR="00A142DF" w:rsidRPr="00A142DF">
        <w:t>6</w:t>
      </w:r>
      <w:r w:rsidR="00A142DF">
        <w:t>,</w:t>
      </w:r>
      <w:r w:rsidR="00A142DF" w:rsidRPr="00A142DF">
        <w:t>882</w:t>
      </w:r>
      <w:r w:rsidR="00A142DF">
        <w:t>,</w:t>
      </w:r>
      <w:r w:rsidR="00A142DF" w:rsidRPr="00A142DF">
        <w:t>138</w:t>
      </w:r>
      <w:r w:rsidR="00A142DF">
        <w:t xml:space="preserve"> </w:t>
      </w:r>
      <w:r w:rsidRPr="00B34D06">
        <w:t>SCIg) in 2017-18</w:t>
      </w:r>
      <w:r w:rsidR="00812872">
        <w:t>. T</w:t>
      </w:r>
      <w:r w:rsidRPr="00B34D06">
        <w:t>his equates to an average cost per patient of $</w:t>
      </w:r>
      <w:r w:rsidR="00A142DF">
        <w:t>36,686</w:t>
      </w:r>
      <w:r w:rsidRPr="00B34D06">
        <w:t>.</w:t>
      </w:r>
    </w:p>
    <w:p w14:paraId="2948EE57" w14:textId="2D2FCB93" w:rsidR="000D25D7" w:rsidRPr="00722DA7" w:rsidRDefault="000D25D7" w:rsidP="000D25D7">
      <w:pPr>
        <w:jc w:val="both"/>
        <w:rPr>
          <w:i/>
        </w:rPr>
      </w:pPr>
      <w:r w:rsidRPr="00722DA7">
        <w:rPr>
          <w:i/>
        </w:rPr>
        <w:t>Table 1</w:t>
      </w:r>
      <w:r w:rsidR="00F13746">
        <w:rPr>
          <w:i/>
        </w:rPr>
        <w:t>2</w:t>
      </w:r>
      <w:r w:rsidRPr="00722DA7">
        <w:rPr>
          <w:i/>
        </w:rPr>
        <w:t xml:space="preserve">: Breakdown of product costs for </w:t>
      </w:r>
      <w:r w:rsidR="00A142DF">
        <w:rPr>
          <w:i/>
        </w:rPr>
        <w:t>PID</w:t>
      </w:r>
      <w:r w:rsidR="007D315B">
        <w:rPr>
          <w:i/>
        </w:rPr>
        <w:t xml:space="preserve"> (NBA internal data)</w:t>
      </w:r>
    </w:p>
    <w:tbl>
      <w:tblPr>
        <w:tblStyle w:val="TableGrid"/>
        <w:tblW w:w="0" w:type="auto"/>
        <w:tblLook w:val="04A0" w:firstRow="1" w:lastRow="0" w:firstColumn="1" w:lastColumn="0" w:noHBand="0" w:noVBand="1"/>
        <w:tblDescription w:val="Table 12: Breakdown of product costs for PID (NBA internal data)"/>
      </w:tblPr>
      <w:tblGrid>
        <w:gridCol w:w="4643"/>
        <w:gridCol w:w="1986"/>
      </w:tblGrid>
      <w:tr w:rsidR="00E650D8" w:rsidRPr="00E650D8" w14:paraId="722C2CB3" w14:textId="77777777" w:rsidTr="00891D8E">
        <w:trPr>
          <w:tblHeader/>
        </w:trPr>
        <w:tc>
          <w:tcPr>
            <w:tcW w:w="4643" w:type="dxa"/>
            <w:shd w:val="clear" w:color="auto" w:fill="C00000"/>
          </w:tcPr>
          <w:p w14:paraId="6DCA3E51" w14:textId="23BBCF4F" w:rsidR="00E650D8" w:rsidRPr="00E650D8" w:rsidRDefault="00E650D8" w:rsidP="0064174D">
            <w:pPr>
              <w:jc w:val="both"/>
              <w:rPr>
                <w:b/>
                <w:color w:val="FFFFFF" w:themeColor="background1"/>
              </w:rPr>
            </w:pPr>
            <w:r w:rsidRPr="00E650D8">
              <w:rPr>
                <w:b/>
                <w:color w:val="FFFFFF" w:themeColor="background1"/>
              </w:rPr>
              <w:t>Product category</w:t>
            </w:r>
          </w:p>
        </w:tc>
        <w:tc>
          <w:tcPr>
            <w:tcW w:w="1986" w:type="dxa"/>
            <w:shd w:val="clear" w:color="auto" w:fill="C00000"/>
          </w:tcPr>
          <w:p w14:paraId="02C59D32" w14:textId="770CD30D" w:rsidR="00E650D8" w:rsidRPr="00E650D8" w:rsidRDefault="00E650D8" w:rsidP="00E650D8">
            <w:pPr>
              <w:jc w:val="right"/>
              <w:rPr>
                <w:b/>
                <w:color w:val="FFFFFF" w:themeColor="background1"/>
              </w:rPr>
            </w:pPr>
            <w:r w:rsidRPr="00E650D8">
              <w:rPr>
                <w:b/>
                <w:color w:val="FFFFFF" w:themeColor="background1"/>
              </w:rPr>
              <w:t>Cost (ex GST)</w:t>
            </w:r>
          </w:p>
        </w:tc>
      </w:tr>
      <w:tr w:rsidR="000D25D7" w:rsidRPr="00B34D06" w14:paraId="51D5D328" w14:textId="77777777" w:rsidTr="00E650D8">
        <w:tc>
          <w:tcPr>
            <w:tcW w:w="4643" w:type="dxa"/>
          </w:tcPr>
          <w:p w14:paraId="6DEC5000" w14:textId="3682A532" w:rsidR="000D25D7" w:rsidRPr="00B34D06" w:rsidRDefault="00B81DFE" w:rsidP="00B81DFE">
            <w:pPr>
              <w:jc w:val="both"/>
            </w:pPr>
            <w:r>
              <w:t>*</w:t>
            </w:r>
            <w:r w:rsidR="000D25D7" w:rsidRPr="00B34D06">
              <w:t>Domestic IVIg cost</w:t>
            </w:r>
            <w:r w:rsidR="00E650D8">
              <w:t xml:space="preserve"> </w:t>
            </w:r>
          </w:p>
        </w:tc>
        <w:tc>
          <w:tcPr>
            <w:tcW w:w="1986" w:type="dxa"/>
          </w:tcPr>
          <w:p w14:paraId="1DC60C62" w14:textId="4D165FE8" w:rsidR="000D25D7" w:rsidRPr="00B34D06" w:rsidRDefault="000D25D7" w:rsidP="00E650D8">
            <w:pPr>
              <w:jc w:val="right"/>
            </w:pPr>
            <w:r w:rsidRPr="00B34D06">
              <w:t>$</w:t>
            </w:r>
            <w:r w:rsidR="00A142DF">
              <w:t xml:space="preserve"> </w:t>
            </w:r>
            <w:r w:rsidRPr="000D25D7">
              <w:t>78</w:t>
            </w:r>
            <w:r w:rsidR="00A142DF">
              <w:t>,</w:t>
            </w:r>
            <w:r w:rsidRPr="000D25D7">
              <w:t>377</w:t>
            </w:r>
            <w:r w:rsidR="00A142DF">
              <w:t>,</w:t>
            </w:r>
            <w:r w:rsidRPr="000D25D7">
              <w:t>751.67</w:t>
            </w:r>
          </w:p>
        </w:tc>
      </w:tr>
      <w:tr w:rsidR="000D25D7" w:rsidRPr="00B34D06" w14:paraId="4E018D55" w14:textId="77777777" w:rsidTr="00E650D8">
        <w:tc>
          <w:tcPr>
            <w:tcW w:w="4643" w:type="dxa"/>
          </w:tcPr>
          <w:p w14:paraId="13129148" w14:textId="77777777" w:rsidR="000D25D7" w:rsidRPr="00B34D06" w:rsidRDefault="000D25D7" w:rsidP="0064174D">
            <w:pPr>
              <w:jc w:val="both"/>
            </w:pPr>
            <w:r w:rsidRPr="00B34D06">
              <w:t>Imported IVIg cost</w:t>
            </w:r>
          </w:p>
        </w:tc>
        <w:tc>
          <w:tcPr>
            <w:tcW w:w="1986" w:type="dxa"/>
          </w:tcPr>
          <w:p w14:paraId="4A5C3246" w14:textId="0E181626" w:rsidR="000D25D7" w:rsidRPr="00B34D06" w:rsidRDefault="000D25D7" w:rsidP="00E650D8">
            <w:pPr>
              <w:jc w:val="right"/>
            </w:pPr>
            <w:r w:rsidRPr="00B34D06">
              <w:t>$</w:t>
            </w:r>
            <w:r w:rsidR="00A142DF">
              <w:t xml:space="preserve"> </w:t>
            </w:r>
            <w:r w:rsidR="00A142DF" w:rsidRPr="00A142DF">
              <w:t>1</w:t>
            </w:r>
            <w:r w:rsidR="00A142DF">
              <w:t>,</w:t>
            </w:r>
            <w:r w:rsidR="00A142DF" w:rsidRPr="00A142DF">
              <w:t>875</w:t>
            </w:r>
            <w:r w:rsidR="00A142DF">
              <w:t>,</w:t>
            </w:r>
            <w:r w:rsidR="00A142DF" w:rsidRPr="00A142DF">
              <w:t>135.74</w:t>
            </w:r>
          </w:p>
        </w:tc>
      </w:tr>
      <w:tr w:rsidR="000D25D7" w:rsidRPr="00B34D06" w14:paraId="64101A97" w14:textId="77777777" w:rsidTr="00E650D8">
        <w:tc>
          <w:tcPr>
            <w:tcW w:w="4643" w:type="dxa"/>
          </w:tcPr>
          <w:p w14:paraId="2C97D0EB" w14:textId="4D083D3D" w:rsidR="000D25D7" w:rsidRPr="00B34D06" w:rsidRDefault="00B81DFE" w:rsidP="00B81DFE">
            <w:pPr>
              <w:jc w:val="both"/>
            </w:pPr>
            <w:r>
              <w:t>*</w:t>
            </w:r>
            <w:r w:rsidR="000D25D7" w:rsidRPr="00B34D06">
              <w:t>Domestic SCIg</w:t>
            </w:r>
            <w:r w:rsidR="00E650D8">
              <w:t xml:space="preserve"> </w:t>
            </w:r>
          </w:p>
        </w:tc>
        <w:tc>
          <w:tcPr>
            <w:tcW w:w="1986" w:type="dxa"/>
          </w:tcPr>
          <w:p w14:paraId="57369572" w14:textId="751B52E1" w:rsidR="000D25D7" w:rsidRPr="00B34D06" w:rsidRDefault="000D25D7" w:rsidP="00E650D8">
            <w:pPr>
              <w:jc w:val="right"/>
            </w:pPr>
            <w:r w:rsidRPr="00B34D06">
              <w:t>$</w:t>
            </w:r>
            <w:r w:rsidR="00A142DF">
              <w:t xml:space="preserve"> </w:t>
            </w:r>
            <w:r w:rsidR="00A142DF" w:rsidRPr="00A142DF">
              <w:t>6</w:t>
            </w:r>
            <w:r w:rsidR="00A142DF">
              <w:t>,</w:t>
            </w:r>
            <w:r w:rsidR="00A142DF" w:rsidRPr="00A142DF">
              <w:t>882</w:t>
            </w:r>
            <w:r w:rsidR="00A142DF">
              <w:t>,</w:t>
            </w:r>
            <w:r w:rsidR="00A142DF" w:rsidRPr="00A142DF">
              <w:t>138.89</w:t>
            </w:r>
          </w:p>
        </w:tc>
      </w:tr>
      <w:tr w:rsidR="000D25D7" w:rsidRPr="00B34D06" w14:paraId="0FE690DB" w14:textId="77777777" w:rsidTr="00E650D8">
        <w:tc>
          <w:tcPr>
            <w:tcW w:w="4643" w:type="dxa"/>
          </w:tcPr>
          <w:p w14:paraId="58D90D70" w14:textId="77777777" w:rsidR="000D25D7" w:rsidRPr="00B34D06" w:rsidRDefault="000D25D7" w:rsidP="0064174D">
            <w:pPr>
              <w:jc w:val="both"/>
            </w:pPr>
            <w:r w:rsidRPr="00B34D06">
              <w:t>Imported SCIg</w:t>
            </w:r>
          </w:p>
        </w:tc>
        <w:tc>
          <w:tcPr>
            <w:tcW w:w="1986" w:type="dxa"/>
          </w:tcPr>
          <w:p w14:paraId="19E561D3" w14:textId="0703AC29" w:rsidR="000D25D7" w:rsidRPr="00B34D06" w:rsidRDefault="000D25D7" w:rsidP="00E650D8">
            <w:pPr>
              <w:jc w:val="right"/>
            </w:pPr>
            <w:r w:rsidRPr="00B34D06">
              <w:t>$</w:t>
            </w:r>
            <w:r w:rsidR="00A142DF">
              <w:t xml:space="preserve"> </w:t>
            </w:r>
            <w:r w:rsidR="00A142DF" w:rsidRPr="00A142DF">
              <w:t>3</w:t>
            </w:r>
            <w:r w:rsidR="00A142DF">
              <w:t>,</w:t>
            </w:r>
            <w:r w:rsidR="00A142DF" w:rsidRPr="00A142DF">
              <w:t>650</w:t>
            </w:r>
            <w:r w:rsidR="00A142DF">
              <w:t>,</w:t>
            </w:r>
            <w:r w:rsidR="00A142DF" w:rsidRPr="00A142DF">
              <w:t>282</w:t>
            </w:r>
          </w:p>
        </w:tc>
      </w:tr>
    </w:tbl>
    <w:p w14:paraId="1B4FD3B0" w14:textId="13AE11A9" w:rsidR="000D25D7" w:rsidRPr="00B81DFE" w:rsidRDefault="00B81DFE" w:rsidP="000D25D7">
      <w:pPr>
        <w:jc w:val="both"/>
        <w:rPr>
          <w:sz w:val="18"/>
          <w:szCs w:val="18"/>
        </w:rPr>
      </w:pPr>
      <w:r w:rsidRPr="00B81DFE">
        <w:rPr>
          <w:sz w:val="18"/>
          <w:szCs w:val="18"/>
        </w:rPr>
        <w:t>*Domestic costs include the cost of plasma collection and fractionation.</w:t>
      </w:r>
    </w:p>
    <w:p w14:paraId="4BE0BC8A" w14:textId="3BDEC406" w:rsidR="00B63E1E" w:rsidRPr="007D315B" w:rsidRDefault="00B63E1E" w:rsidP="002C5CAC">
      <w:r w:rsidRPr="007D315B">
        <w:t xml:space="preserve">Costs associated with the following have not been </w:t>
      </w:r>
      <w:r w:rsidR="002C5CAC" w:rsidRPr="007D315B">
        <w:t xml:space="preserve">included in the above </w:t>
      </w:r>
      <w:r w:rsidRPr="007D315B">
        <w:t>estimate:</w:t>
      </w:r>
    </w:p>
    <w:p w14:paraId="07ADDD6B" w14:textId="77777777" w:rsidR="00B63E1E" w:rsidRPr="007D315B" w:rsidRDefault="00B63E1E" w:rsidP="00996A16">
      <w:pPr>
        <w:pStyle w:val="ListParagraph"/>
        <w:numPr>
          <w:ilvl w:val="0"/>
          <w:numId w:val="11"/>
        </w:numPr>
      </w:pPr>
      <w:r w:rsidRPr="007D315B">
        <w:t>MBS costs: i.e. doctor visits</w:t>
      </w:r>
    </w:p>
    <w:p w14:paraId="3413F8D6" w14:textId="77777777" w:rsidR="00B63E1E" w:rsidRPr="007D315B" w:rsidRDefault="00B63E1E" w:rsidP="00996A16">
      <w:pPr>
        <w:pStyle w:val="ListParagraph"/>
        <w:numPr>
          <w:ilvl w:val="0"/>
          <w:numId w:val="11"/>
        </w:numPr>
      </w:pPr>
      <w:r w:rsidRPr="007D315B">
        <w:t>Costs associated with requesting access to Ig product</w:t>
      </w:r>
    </w:p>
    <w:p w14:paraId="7D3DEE99" w14:textId="77777777" w:rsidR="00B63E1E" w:rsidRPr="007D315B" w:rsidRDefault="00B63E1E" w:rsidP="00996A16">
      <w:pPr>
        <w:pStyle w:val="ListParagraph"/>
        <w:numPr>
          <w:ilvl w:val="0"/>
          <w:numId w:val="11"/>
        </w:numPr>
      </w:pPr>
      <w:r w:rsidRPr="007D315B">
        <w:t>Hospital costs: nursing time, infusion centre administration, patient/carer training costs</w:t>
      </w:r>
    </w:p>
    <w:p w14:paraId="4BF76103" w14:textId="77777777" w:rsidR="00B63E1E" w:rsidRPr="007D315B" w:rsidRDefault="00B63E1E" w:rsidP="00996A16">
      <w:pPr>
        <w:pStyle w:val="ListParagraph"/>
        <w:numPr>
          <w:ilvl w:val="0"/>
          <w:numId w:val="11"/>
        </w:numPr>
      </w:pPr>
      <w:r w:rsidRPr="007D315B">
        <w:t>IV and SCIg infusion equipment costs</w:t>
      </w:r>
    </w:p>
    <w:p w14:paraId="6C518CA0" w14:textId="77777777" w:rsidR="00B63E1E" w:rsidRPr="007D315B" w:rsidRDefault="00B63E1E" w:rsidP="00996A16">
      <w:pPr>
        <w:pStyle w:val="ListParagraph"/>
        <w:numPr>
          <w:ilvl w:val="0"/>
          <w:numId w:val="11"/>
        </w:numPr>
      </w:pPr>
      <w:r w:rsidRPr="007D315B">
        <w:t>Authorisation costs: cost to contract Blood Service to conduct authorisations</w:t>
      </w:r>
    </w:p>
    <w:p w14:paraId="0F8CBC7B" w14:textId="77777777" w:rsidR="00B63E1E" w:rsidRPr="007D315B" w:rsidRDefault="00B63E1E" w:rsidP="00996A16">
      <w:pPr>
        <w:pStyle w:val="ListParagraph"/>
        <w:numPr>
          <w:ilvl w:val="0"/>
          <w:numId w:val="11"/>
        </w:numPr>
      </w:pPr>
      <w:r w:rsidRPr="007D315B">
        <w:t>Product dispensing costs</w:t>
      </w:r>
    </w:p>
    <w:p w14:paraId="252772F5" w14:textId="77777777" w:rsidR="00B63E1E" w:rsidRPr="007D315B" w:rsidRDefault="00B63E1E" w:rsidP="00996A16">
      <w:pPr>
        <w:pStyle w:val="ListParagraph"/>
        <w:numPr>
          <w:ilvl w:val="0"/>
          <w:numId w:val="11"/>
        </w:numPr>
      </w:pPr>
      <w:r w:rsidRPr="007D315B">
        <w:t>Product wastage (e.g. discarding unused portion of product)</w:t>
      </w:r>
    </w:p>
    <w:p w14:paraId="7571E449" w14:textId="77777777" w:rsidR="00B63E1E" w:rsidRPr="007D315B" w:rsidRDefault="00B63E1E" w:rsidP="00996A16">
      <w:pPr>
        <w:pStyle w:val="ListParagraph"/>
        <w:numPr>
          <w:ilvl w:val="0"/>
          <w:numId w:val="11"/>
        </w:numPr>
      </w:pPr>
      <w:r w:rsidRPr="007D315B">
        <w:t>Criteria review and update costs</w:t>
      </w:r>
    </w:p>
    <w:p w14:paraId="305C17D6" w14:textId="77777777" w:rsidR="00CB0BA6" w:rsidRDefault="00CB0BA6" w:rsidP="00CB0BA6">
      <w:pPr>
        <w:pStyle w:val="ListParagraph"/>
        <w:ind w:left="1146"/>
        <w:rPr>
          <w:color w:val="7030A0"/>
        </w:rPr>
      </w:pPr>
    </w:p>
    <w:p w14:paraId="300AA195" w14:textId="1DA18053" w:rsidR="00070F77" w:rsidRPr="007D315B" w:rsidRDefault="00070F77" w:rsidP="00B02F77">
      <w:pPr>
        <w:spacing w:before="0" w:after="200" w:line="276" w:lineRule="auto"/>
        <w:rPr>
          <w:i/>
        </w:rPr>
      </w:pPr>
      <w:r w:rsidRPr="007D315B">
        <w:rPr>
          <w:i/>
        </w:rPr>
        <w:t>Table</w:t>
      </w:r>
      <w:r w:rsidR="007D315B" w:rsidRPr="007D315B">
        <w:rPr>
          <w:i/>
        </w:rPr>
        <w:t xml:space="preserve"> 1</w:t>
      </w:r>
      <w:r w:rsidR="00F13746">
        <w:rPr>
          <w:i/>
        </w:rPr>
        <w:t>3</w:t>
      </w:r>
      <w:r w:rsidRPr="007D315B">
        <w:rPr>
          <w:i/>
        </w:rPr>
        <w:t xml:space="preserve">: </w:t>
      </w:r>
      <w:r w:rsidR="007D315B">
        <w:rPr>
          <w:i/>
        </w:rPr>
        <w:t>Ig p</w:t>
      </w:r>
      <w:r w:rsidRPr="007D315B">
        <w:rPr>
          <w:i/>
        </w:rPr>
        <w:t xml:space="preserve">roduct issued </w:t>
      </w:r>
      <w:r w:rsidR="007D315B">
        <w:rPr>
          <w:i/>
        </w:rPr>
        <w:t>2017-18</w:t>
      </w:r>
      <w:r w:rsidR="00B02F77">
        <w:rPr>
          <w:i/>
        </w:rPr>
        <w:t xml:space="preserve">: </w:t>
      </w:r>
      <w:r w:rsidR="00B02F77" w:rsidRPr="00A44927">
        <w:rPr>
          <w:i/>
        </w:rPr>
        <w:t xml:space="preserve">sourced from the National Report on the Issue and Use of Immunoglobulin (Ig) </w:t>
      </w:r>
      <w:r w:rsidR="00B02F77" w:rsidRPr="00BD43DA">
        <w:rPr>
          <w:i/>
        </w:rPr>
        <w:t>(</w:t>
      </w:r>
      <w:r w:rsidR="005E2EBE">
        <w:rPr>
          <w:i/>
        </w:rPr>
        <w:t>p</w:t>
      </w:r>
      <w:r w:rsidR="00BD43DA" w:rsidRPr="00BD43DA">
        <w:rPr>
          <w:i/>
        </w:rPr>
        <w:t>ublication forthcoming, date to be confirmed</w:t>
      </w:r>
      <w:r w:rsidR="00B02F77" w:rsidRPr="00BD43DA">
        <w:rPr>
          <w:i/>
        </w:rPr>
        <w:t>)</w:t>
      </w:r>
    </w:p>
    <w:tbl>
      <w:tblPr>
        <w:tblW w:w="5113" w:type="pct"/>
        <w:tblLook w:val="04A0" w:firstRow="1" w:lastRow="0" w:firstColumn="1" w:lastColumn="0" w:noHBand="0" w:noVBand="1"/>
      </w:tblPr>
      <w:tblGrid>
        <w:gridCol w:w="2793"/>
        <w:gridCol w:w="875"/>
        <w:gridCol w:w="875"/>
        <w:gridCol w:w="875"/>
        <w:gridCol w:w="1127"/>
        <w:gridCol w:w="1026"/>
        <w:gridCol w:w="1026"/>
        <w:gridCol w:w="1026"/>
      </w:tblGrid>
      <w:tr w:rsidR="00AE6087" w:rsidRPr="00F53679" w14:paraId="22D7A385" w14:textId="77777777" w:rsidTr="00AE6087">
        <w:trPr>
          <w:cantSplit/>
          <w:trHeight w:val="443"/>
        </w:trPr>
        <w:tc>
          <w:tcPr>
            <w:tcW w:w="1698" w:type="pct"/>
            <w:tcBorders>
              <w:top w:val="nil"/>
              <w:left w:val="single" w:sz="8" w:space="0" w:color="FFFFFF"/>
              <w:bottom w:val="single" w:sz="8" w:space="0" w:color="FFFFFF"/>
              <w:right w:val="single" w:sz="8" w:space="0" w:color="FFFFFF"/>
            </w:tcBorders>
            <w:shd w:val="clear" w:color="000000" w:fill="C00000"/>
            <w:noWrap/>
            <w:vAlign w:val="center"/>
          </w:tcPr>
          <w:p w14:paraId="297F86AD" w14:textId="77777777" w:rsidR="00AE6087" w:rsidRPr="00F53679" w:rsidRDefault="00AE6087" w:rsidP="00B1537F">
            <w:pPr>
              <w:rPr>
                <w:b/>
                <w:bCs/>
              </w:rPr>
            </w:pPr>
          </w:p>
        </w:tc>
        <w:tc>
          <w:tcPr>
            <w:tcW w:w="2488" w:type="pct"/>
            <w:gridSpan w:val="5"/>
            <w:tcBorders>
              <w:top w:val="nil"/>
              <w:left w:val="nil"/>
              <w:bottom w:val="single" w:sz="8" w:space="0" w:color="FFFFFF"/>
              <w:right w:val="single" w:sz="8" w:space="0" w:color="FFFFFF"/>
            </w:tcBorders>
            <w:shd w:val="clear" w:color="000000" w:fill="C00000"/>
            <w:noWrap/>
            <w:vAlign w:val="center"/>
          </w:tcPr>
          <w:p w14:paraId="1C5E74D7" w14:textId="77777777" w:rsidR="00AE6087" w:rsidRPr="00F53679" w:rsidRDefault="00AE6087" w:rsidP="00B1537F">
            <w:pPr>
              <w:rPr>
                <w:b/>
              </w:rPr>
            </w:pPr>
            <w:r w:rsidRPr="00F53679">
              <w:rPr>
                <w:b/>
              </w:rPr>
              <w:t>IVIg</w:t>
            </w:r>
          </w:p>
        </w:tc>
        <w:tc>
          <w:tcPr>
            <w:tcW w:w="814" w:type="pct"/>
            <w:gridSpan w:val="2"/>
            <w:tcBorders>
              <w:top w:val="nil"/>
              <w:left w:val="nil"/>
              <w:bottom w:val="single" w:sz="8" w:space="0" w:color="FFFFFF"/>
              <w:right w:val="single" w:sz="8" w:space="0" w:color="FFFFFF"/>
            </w:tcBorders>
            <w:shd w:val="clear" w:color="000000" w:fill="C00000"/>
            <w:noWrap/>
            <w:vAlign w:val="center"/>
          </w:tcPr>
          <w:p w14:paraId="6EB51559" w14:textId="77777777" w:rsidR="00AE6087" w:rsidRPr="00F53679" w:rsidRDefault="00AE6087" w:rsidP="00B1537F">
            <w:pPr>
              <w:rPr>
                <w:b/>
              </w:rPr>
            </w:pPr>
            <w:r w:rsidRPr="00F53679">
              <w:rPr>
                <w:b/>
              </w:rPr>
              <w:t>SCIg</w:t>
            </w:r>
          </w:p>
        </w:tc>
      </w:tr>
      <w:tr w:rsidR="00AE6087" w:rsidRPr="00F53679" w14:paraId="59D66417" w14:textId="77777777" w:rsidTr="00AE6087">
        <w:trPr>
          <w:cantSplit/>
          <w:trHeight w:val="2087"/>
        </w:trPr>
        <w:tc>
          <w:tcPr>
            <w:tcW w:w="1698" w:type="pct"/>
            <w:tcBorders>
              <w:top w:val="nil"/>
              <w:left w:val="single" w:sz="8" w:space="0" w:color="FFFFFF"/>
              <w:bottom w:val="single" w:sz="8" w:space="0" w:color="FFFFFF"/>
              <w:right w:val="single" w:sz="8" w:space="0" w:color="FFFFFF"/>
            </w:tcBorders>
            <w:shd w:val="clear" w:color="000000" w:fill="C00000"/>
            <w:noWrap/>
            <w:vAlign w:val="center"/>
            <w:hideMark/>
          </w:tcPr>
          <w:p w14:paraId="45A8F0FE" w14:textId="4B770808" w:rsidR="00AE6087" w:rsidRPr="00F53679" w:rsidRDefault="00AE6087" w:rsidP="00B1537F">
            <w:pPr>
              <w:rPr>
                <w:b/>
                <w:bCs/>
              </w:rPr>
            </w:pPr>
            <w:r>
              <w:rPr>
                <w:b/>
                <w:bCs/>
              </w:rPr>
              <w:t>Primary immunodefiency</w:t>
            </w:r>
          </w:p>
        </w:tc>
        <w:tc>
          <w:tcPr>
            <w:tcW w:w="461" w:type="pct"/>
            <w:tcBorders>
              <w:top w:val="nil"/>
              <w:left w:val="nil"/>
              <w:bottom w:val="single" w:sz="8" w:space="0" w:color="FFFFFF"/>
              <w:right w:val="single" w:sz="8" w:space="0" w:color="FFFFFF"/>
            </w:tcBorders>
            <w:shd w:val="clear" w:color="000000" w:fill="C00000"/>
            <w:noWrap/>
            <w:textDirection w:val="btLr"/>
            <w:vAlign w:val="center"/>
            <w:hideMark/>
          </w:tcPr>
          <w:p w14:paraId="7D322BA4" w14:textId="77777777" w:rsidR="00AE6087" w:rsidRPr="00F53679" w:rsidRDefault="00AE6087" w:rsidP="00B1537F">
            <w:pPr>
              <w:rPr>
                <w:b/>
              </w:rPr>
            </w:pPr>
            <w:r w:rsidRPr="00F53679">
              <w:rPr>
                <w:b/>
              </w:rPr>
              <w:t>Flebogamma 5 percent</w:t>
            </w:r>
          </w:p>
        </w:tc>
        <w:tc>
          <w:tcPr>
            <w:tcW w:w="540" w:type="pct"/>
            <w:tcBorders>
              <w:top w:val="nil"/>
              <w:left w:val="nil"/>
              <w:bottom w:val="single" w:sz="8" w:space="0" w:color="FFFFFF"/>
              <w:right w:val="single" w:sz="8" w:space="0" w:color="FFFFFF"/>
            </w:tcBorders>
            <w:shd w:val="clear" w:color="000000" w:fill="C00000"/>
            <w:noWrap/>
            <w:textDirection w:val="btLr"/>
            <w:vAlign w:val="center"/>
            <w:hideMark/>
          </w:tcPr>
          <w:p w14:paraId="08C13DF3" w14:textId="77777777" w:rsidR="00AE6087" w:rsidRPr="00F53679" w:rsidRDefault="00AE6087" w:rsidP="00B1537F">
            <w:pPr>
              <w:rPr>
                <w:b/>
              </w:rPr>
            </w:pPr>
            <w:r w:rsidRPr="00F53679">
              <w:rPr>
                <w:b/>
              </w:rPr>
              <w:t>Flebogamma 10 prcent</w:t>
            </w:r>
          </w:p>
        </w:tc>
        <w:tc>
          <w:tcPr>
            <w:tcW w:w="407" w:type="pct"/>
            <w:tcBorders>
              <w:top w:val="nil"/>
              <w:left w:val="nil"/>
              <w:bottom w:val="single" w:sz="8" w:space="0" w:color="FFFFFF"/>
              <w:right w:val="single" w:sz="8" w:space="0" w:color="FFFFFF"/>
            </w:tcBorders>
            <w:shd w:val="clear" w:color="000000" w:fill="C00000"/>
            <w:noWrap/>
            <w:textDirection w:val="btLr"/>
            <w:vAlign w:val="center"/>
            <w:hideMark/>
          </w:tcPr>
          <w:p w14:paraId="7872410E" w14:textId="77777777" w:rsidR="00AE6087" w:rsidRPr="00F53679" w:rsidRDefault="00AE6087" w:rsidP="00B1537F">
            <w:pPr>
              <w:rPr>
                <w:b/>
              </w:rPr>
            </w:pPr>
            <w:r>
              <w:rPr>
                <w:b/>
              </w:rPr>
              <w:t>*</w:t>
            </w:r>
            <w:r w:rsidRPr="00F53679">
              <w:rPr>
                <w:b/>
              </w:rPr>
              <w:t>Intragam P</w:t>
            </w:r>
          </w:p>
        </w:tc>
        <w:tc>
          <w:tcPr>
            <w:tcW w:w="540" w:type="pct"/>
            <w:tcBorders>
              <w:top w:val="nil"/>
              <w:left w:val="nil"/>
              <w:bottom w:val="single" w:sz="8" w:space="0" w:color="FFFFFF"/>
              <w:right w:val="single" w:sz="8" w:space="0" w:color="FFFFFF"/>
            </w:tcBorders>
            <w:shd w:val="clear" w:color="000000" w:fill="C00000"/>
            <w:noWrap/>
            <w:textDirection w:val="btLr"/>
            <w:vAlign w:val="center"/>
            <w:hideMark/>
          </w:tcPr>
          <w:p w14:paraId="5236B59D" w14:textId="77777777" w:rsidR="00AE6087" w:rsidRPr="00F53679" w:rsidRDefault="00AE6087" w:rsidP="00B1537F">
            <w:pPr>
              <w:rPr>
                <w:b/>
              </w:rPr>
            </w:pPr>
            <w:r w:rsidRPr="00F53679">
              <w:rPr>
                <w:b/>
              </w:rPr>
              <w:t>Intragam 10</w:t>
            </w:r>
          </w:p>
        </w:tc>
        <w:tc>
          <w:tcPr>
            <w:tcW w:w="540" w:type="pct"/>
            <w:tcBorders>
              <w:top w:val="nil"/>
              <w:left w:val="nil"/>
              <w:bottom w:val="single" w:sz="8" w:space="0" w:color="FFFFFF"/>
              <w:right w:val="single" w:sz="8" w:space="0" w:color="FFFFFF"/>
            </w:tcBorders>
            <w:shd w:val="clear" w:color="000000" w:fill="C00000"/>
            <w:noWrap/>
            <w:textDirection w:val="btLr"/>
            <w:vAlign w:val="center"/>
            <w:hideMark/>
          </w:tcPr>
          <w:p w14:paraId="17E227DF" w14:textId="77777777" w:rsidR="00AE6087" w:rsidRPr="00F53679" w:rsidRDefault="00AE6087" w:rsidP="00B1537F">
            <w:pPr>
              <w:rPr>
                <w:b/>
              </w:rPr>
            </w:pPr>
            <w:r w:rsidRPr="00F53679">
              <w:rPr>
                <w:b/>
              </w:rPr>
              <w:t>Privigen 10 per cent</w:t>
            </w:r>
          </w:p>
        </w:tc>
        <w:tc>
          <w:tcPr>
            <w:tcW w:w="407" w:type="pct"/>
            <w:tcBorders>
              <w:top w:val="nil"/>
              <w:left w:val="nil"/>
              <w:bottom w:val="single" w:sz="8" w:space="0" w:color="FFFFFF"/>
              <w:right w:val="single" w:sz="8" w:space="0" w:color="FFFFFF"/>
            </w:tcBorders>
            <w:shd w:val="clear" w:color="000000" w:fill="C00000"/>
            <w:noWrap/>
            <w:textDirection w:val="btLr"/>
            <w:vAlign w:val="center"/>
            <w:hideMark/>
          </w:tcPr>
          <w:p w14:paraId="5A2055B3" w14:textId="77777777" w:rsidR="00AE6087" w:rsidRPr="00F53679" w:rsidRDefault="00AE6087" w:rsidP="00B1537F">
            <w:pPr>
              <w:rPr>
                <w:b/>
              </w:rPr>
            </w:pPr>
            <w:r w:rsidRPr="00F53679">
              <w:rPr>
                <w:b/>
              </w:rPr>
              <w:t>SCIg Evogam</w:t>
            </w:r>
          </w:p>
        </w:tc>
        <w:tc>
          <w:tcPr>
            <w:tcW w:w="407" w:type="pct"/>
            <w:tcBorders>
              <w:top w:val="nil"/>
              <w:left w:val="nil"/>
              <w:bottom w:val="single" w:sz="8" w:space="0" w:color="FFFFFF"/>
              <w:right w:val="single" w:sz="8" w:space="0" w:color="FFFFFF"/>
            </w:tcBorders>
            <w:shd w:val="clear" w:color="000000" w:fill="C00000"/>
            <w:noWrap/>
            <w:textDirection w:val="btLr"/>
            <w:vAlign w:val="center"/>
            <w:hideMark/>
          </w:tcPr>
          <w:p w14:paraId="25849D01" w14:textId="77777777" w:rsidR="00AE6087" w:rsidRPr="00F53679" w:rsidRDefault="00AE6087" w:rsidP="00B1537F">
            <w:pPr>
              <w:rPr>
                <w:b/>
              </w:rPr>
            </w:pPr>
            <w:r w:rsidRPr="00F53679">
              <w:rPr>
                <w:b/>
              </w:rPr>
              <w:t>SCIg Hizentra</w:t>
            </w:r>
          </w:p>
        </w:tc>
      </w:tr>
      <w:tr w:rsidR="00AE6087" w:rsidRPr="00F53679" w14:paraId="092D00A2" w14:textId="77777777" w:rsidTr="00AE6087">
        <w:trPr>
          <w:trHeight w:val="397"/>
        </w:trPr>
        <w:tc>
          <w:tcPr>
            <w:tcW w:w="1698" w:type="pct"/>
            <w:tcBorders>
              <w:top w:val="nil"/>
              <w:left w:val="single" w:sz="8" w:space="0" w:color="FFFFFF"/>
              <w:bottom w:val="nil"/>
              <w:right w:val="single" w:sz="8" w:space="0" w:color="FFFFFF"/>
            </w:tcBorders>
            <w:shd w:val="clear" w:color="000000" w:fill="FFD5D5"/>
            <w:noWrap/>
            <w:vAlign w:val="center"/>
            <w:hideMark/>
          </w:tcPr>
          <w:p w14:paraId="10CAB9F9" w14:textId="77777777" w:rsidR="00AE6087" w:rsidRPr="00F53679" w:rsidRDefault="00AE6087" w:rsidP="00B1537F">
            <w:r>
              <w:t>Ig product issued in grams</w:t>
            </w:r>
          </w:p>
        </w:tc>
        <w:tc>
          <w:tcPr>
            <w:tcW w:w="461" w:type="pct"/>
            <w:tcBorders>
              <w:top w:val="nil"/>
              <w:left w:val="nil"/>
              <w:bottom w:val="nil"/>
              <w:right w:val="single" w:sz="8" w:space="0" w:color="FFFFFF"/>
            </w:tcBorders>
            <w:shd w:val="clear" w:color="000000" w:fill="F2F2F2"/>
            <w:noWrap/>
            <w:hideMark/>
          </w:tcPr>
          <w:p w14:paraId="4C4D4359" w14:textId="5E3666D5" w:rsidR="00AE6087" w:rsidRPr="00F53679" w:rsidRDefault="00AE6087" w:rsidP="00B1537F">
            <w:r>
              <w:t>10,978</w:t>
            </w:r>
          </w:p>
        </w:tc>
        <w:tc>
          <w:tcPr>
            <w:tcW w:w="540" w:type="pct"/>
            <w:tcBorders>
              <w:top w:val="nil"/>
              <w:left w:val="nil"/>
              <w:bottom w:val="nil"/>
              <w:right w:val="single" w:sz="8" w:space="0" w:color="FFFFFF"/>
            </w:tcBorders>
            <w:shd w:val="clear" w:color="000000" w:fill="F2F2F2"/>
            <w:noWrap/>
            <w:hideMark/>
          </w:tcPr>
          <w:p w14:paraId="4B1D8885" w14:textId="5EB15973" w:rsidR="00AE6087" w:rsidRPr="00F53679" w:rsidRDefault="00AE6087" w:rsidP="00B1537F">
            <w:r>
              <w:t>7,145</w:t>
            </w:r>
          </w:p>
        </w:tc>
        <w:tc>
          <w:tcPr>
            <w:tcW w:w="407" w:type="pct"/>
            <w:tcBorders>
              <w:top w:val="nil"/>
              <w:left w:val="nil"/>
              <w:bottom w:val="nil"/>
              <w:right w:val="single" w:sz="8" w:space="0" w:color="FFFFFF"/>
            </w:tcBorders>
            <w:shd w:val="clear" w:color="000000" w:fill="F2F2F2"/>
            <w:noWrap/>
            <w:hideMark/>
          </w:tcPr>
          <w:p w14:paraId="470B3254" w14:textId="1DB64375" w:rsidR="00AE6087" w:rsidRPr="00F53679" w:rsidRDefault="00AE6087" w:rsidP="00B1537F">
            <w:r>
              <w:t>7,620</w:t>
            </w:r>
          </w:p>
        </w:tc>
        <w:tc>
          <w:tcPr>
            <w:tcW w:w="540" w:type="pct"/>
            <w:tcBorders>
              <w:top w:val="nil"/>
              <w:left w:val="nil"/>
              <w:bottom w:val="nil"/>
              <w:right w:val="single" w:sz="8" w:space="0" w:color="FFFFFF"/>
            </w:tcBorders>
            <w:shd w:val="clear" w:color="000000" w:fill="F2F2F2"/>
            <w:noWrap/>
            <w:hideMark/>
          </w:tcPr>
          <w:p w14:paraId="13969C75" w14:textId="54BD7F1E" w:rsidR="00AE6087" w:rsidRPr="00F53679" w:rsidRDefault="00AE6087" w:rsidP="00B1537F">
            <w:r>
              <w:t>547,861</w:t>
            </w:r>
          </w:p>
        </w:tc>
        <w:tc>
          <w:tcPr>
            <w:tcW w:w="540" w:type="pct"/>
            <w:tcBorders>
              <w:top w:val="nil"/>
              <w:left w:val="nil"/>
              <w:bottom w:val="nil"/>
              <w:right w:val="single" w:sz="8" w:space="0" w:color="FFFFFF"/>
            </w:tcBorders>
            <w:shd w:val="clear" w:color="000000" w:fill="F2F2F2"/>
            <w:noWrap/>
            <w:hideMark/>
          </w:tcPr>
          <w:p w14:paraId="13FCE31D" w14:textId="37986AB9" w:rsidR="00AE6087" w:rsidRPr="00F53679" w:rsidRDefault="00AE6087" w:rsidP="00B1537F">
            <w:r>
              <w:t>22,985</w:t>
            </w:r>
          </w:p>
        </w:tc>
        <w:tc>
          <w:tcPr>
            <w:tcW w:w="407" w:type="pct"/>
            <w:tcBorders>
              <w:top w:val="nil"/>
              <w:left w:val="nil"/>
              <w:bottom w:val="nil"/>
              <w:right w:val="single" w:sz="8" w:space="0" w:color="FFFFFF"/>
            </w:tcBorders>
            <w:shd w:val="clear" w:color="000000" w:fill="F2F2F2"/>
            <w:noWrap/>
            <w:hideMark/>
          </w:tcPr>
          <w:p w14:paraId="67A18242" w14:textId="4306ADF6" w:rsidR="00AE6087" w:rsidRPr="00F53679" w:rsidRDefault="00AE6087" w:rsidP="00B1537F">
            <w:r>
              <w:t>48,775</w:t>
            </w:r>
          </w:p>
        </w:tc>
        <w:tc>
          <w:tcPr>
            <w:tcW w:w="407" w:type="pct"/>
            <w:tcBorders>
              <w:top w:val="nil"/>
              <w:left w:val="nil"/>
              <w:bottom w:val="nil"/>
              <w:right w:val="single" w:sz="8" w:space="0" w:color="FFFFFF"/>
            </w:tcBorders>
            <w:shd w:val="clear" w:color="000000" w:fill="F2F2F2"/>
            <w:noWrap/>
            <w:hideMark/>
          </w:tcPr>
          <w:p w14:paraId="3A0F1D0E" w14:textId="7D311F56" w:rsidR="00AE6087" w:rsidRPr="00F53679" w:rsidRDefault="00AE6087" w:rsidP="00B1537F">
            <w:r>
              <w:t>80,023</w:t>
            </w:r>
          </w:p>
        </w:tc>
      </w:tr>
      <w:tr w:rsidR="00AE6087" w:rsidRPr="00F53679" w14:paraId="5AB646B5" w14:textId="77777777" w:rsidTr="00AE6087">
        <w:trPr>
          <w:trHeight w:val="189"/>
        </w:trPr>
        <w:tc>
          <w:tcPr>
            <w:tcW w:w="1698" w:type="pct"/>
            <w:tcBorders>
              <w:top w:val="nil"/>
              <w:left w:val="single" w:sz="8" w:space="0" w:color="FFFFFF"/>
              <w:bottom w:val="nil"/>
              <w:right w:val="single" w:sz="8" w:space="0" w:color="FFFFFF"/>
            </w:tcBorders>
            <w:shd w:val="clear" w:color="000000" w:fill="FFD5D5"/>
            <w:noWrap/>
            <w:vAlign w:val="center"/>
          </w:tcPr>
          <w:p w14:paraId="1E7E0F9C" w14:textId="77777777" w:rsidR="00AE6087" w:rsidRPr="00F53679" w:rsidRDefault="00AE6087" w:rsidP="00B1537F">
            <w:r>
              <w:t>NBA current price per gram in $</w:t>
            </w:r>
          </w:p>
        </w:tc>
        <w:tc>
          <w:tcPr>
            <w:tcW w:w="461" w:type="pct"/>
            <w:tcBorders>
              <w:top w:val="nil"/>
              <w:left w:val="nil"/>
              <w:bottom w:val="nil"/>
              <w:right w:val="single" w:sz="8" w:space="0" w:color="FFFFFF"/>
            </w:tcBorders>
            <w:shd w:val="clear" w:color="000000" w:fill="F2F2F2"/>
            <w:noWrap/>
          </w:tcPr>
          <w:p w14:paraId="65299575" w14:textId="77777777" w:rsidR="00AE6087" w:rsidRPr="00F53679" w:rsidRDefault="00AE6087" w:rsidP="00B1537F">
            <w:r>
              <w:t>45</w:t>
            </w:r>
          </w:p>
        </w:tc>
        <w:tc>
          <w:tcPr>
            <w:tcW w:w="540" w:type="pct"/>
            <w:tcBorders>
              <w:top w:val="nil"/>
              <w:left w:val="nil"/>
              <w:bottom w:val="nil"/>
              <w:right w:val="single" w:sz="8" w:space="0" w:color="FFFFFF"/>
            </w:tcBorders>
            <w:shd w:val="clear" w:color="000000" w:fill="F2F2F2"/>
            <w:noWrap/>
          </w:tcPr>
          <w:p w14:paraId="075795C7" w14:textId="77777777" w:rsidR="00AE6087" w:rsidRPr="00F53679" w:rsidRDefault="00AE6087" w:rsidP="00B1537F">
            <w:r>
              <w:t>45</w:t>
            </w:r>
          </w:p>
        </w:tc>
        <w:tc>
          <w:tcPr>
            <w:tcW w:w="407" w:type="pct"/>
            <w:tcBorders>
              <w:top w:val="nil"/>
              <w:left w:val="nil"/>
              <w:bottom w:val="nil"/>
              <w:right w:val="single" w:sz="8" w:space="0" w:color="FFFFFF"/>
            </w:tcBorders>
            <w:shd w:val="clear" w:color="000000" w:fill="F2F2F2"/>
            <w:noWrap/>
          </w:tcPr>
          <w:p w14:paraId="4619B8D4" w14:textId="77777777" w:rsidR="00AE6087" w:rsidRPr="00F53679" w:rsidRDefault="00AE6087" w:rsidP="00B1537F">
            <w:r>
              <w:t>58.49</w:t>
            </w:r>
          </w:p>
        </w:tc>
        <w:tc>
          <w:tcPr>
            <w:tcW w:w="540" w:type="pct"/>
            <w:tcBorders>
              <w:top w:val="nil"/>
              <w:left w:val="nil"/>
              <w:bottom w:val="nil"/>
              <w:right w:val="single" w:sz="8" w:space="0" w:color="FFFFFF"/>
            </w:tcBorders>
            <w:shd w:val="clear" w:color="000000" w:fill="F2F2F2"/>
            <w:noWrap/>
          </w:tcPr>
          <w:p w14:paraId="63D46612" w14:textId="77777777" w:rsidR="00AE6087" w:rsidRPr="00F53679" w:rsidRDefault="00AE6087" w:rsidP="00B1537F">
            <w:r>
              <w:t>58.49</w:t>
            </w:r>
          </w:p>
        </w:tc>
        <w:tc>
          <w:tcPr>
            <w:tcW w:w="540" w:type="pct"/>
            <w:tcBorders>
              <w:top w:val="nil"/>
              <w:left w:val="nil"/>
              <w:bottom w:val="nil"/>
              <w:right w:val="single" w:sz="8" w:space="0" w:color="FFFFFF"/>
            </w:tcBorders>
            <w:shd w:val="clear" w:color="000000" w:fill="F2F2F2"/>
            <w:noWrap/>
          </w:tcPr>
          <w:p w14:paraId="665C9E33" w14:textId="77777777" w:rsidR="00AE6087" w:rsidRPr="00F53679" w:rsidRDefault="00AE6087" w:rsidP="00B1537F">
            <w:r>
              <w:t>45</w:t>
            </w:r>
          </w:p>
        </w:tc>
        <w:tc>
          <w:tcPr>
            <w:tcW w:w="407" w:type="pct"/>
            <w:tcBorders>
              <w:top w:val="nil"/>
              <w:left w:val="nil"/>
              <w:bottom w:val="nil"/>
              <w:right w:val="single" w:sz="8" w:space="0" w:color="FFFFFF"/>
            </w:tcBorders>
            <w:shd w:val="clear" w:color="000000" w:fill="F2F2F2"/>
            <w:noWrap/>
          </w:tcPr>
          <w:p w14:paraId="0A2DE651" w14:textId="77777777" w:rsidR="00AE6087" w:rsidRPr="00F53679" w:rsidRDefault="00AE6087" w:rsidP="00B1537F">
            <w:r>
              <w:t>58.49</w:t>
            </w:r>
          </w:p>
        </w:tc>
        <w:tc>
          <w:tcPr>
            <w:tcW w:w="407" w:type="pct"/>
            <w:tcBorders>
              <w:top w:val="nil"/>
              <w:left w:val="nil"/>
              <w:bottom w:val="nil"/>
              <w:right w:val="single" w:sz="8" w:space="0" w:color="FFFFFF"/>
            </w:tcBorders>
            <w:shd w:val="clear" w:color="000000" w:fill="F2F2F2"/>
            <w:noWrap/>
          </w:tcPr>
          <w:p w14:paraId="1DE97876" w14:textId="77777777" w:rsidR="00AE6087" w:rsidRPr="00F53679" w:rsidRDefault="00AE6087" w:rsidP="00B1537F">
            <w:r>
              <w:t>59.15</w:t>
            </w:r>
          </w:p>
        </w:tc>
      </w:tr>
      <w:tr w:rsidR="00AE6087" w:rsidRPr="00F53679" w14:paraId="3F3CAF4C" w14:textId="77777777" w:rsidTr="00AE6087">
        <w:trPr>
          <w:trHeight w:val="189"/>
        </w:trPr>
        <w:tc>
          <w:tcPr>
            <w:tcW w:w="1698" w:type="pct"/>
            <w:tcBorders>
              <w:top w:val="nil"/>
              <w:left w:val="single" w:sz="8" w:space="0" w:color="FFFFFF"/>
              <w:bottom w:val="single" w:sz="8" w:space="0" w:color="FFFFFF"/>
              <w:right w:val="single" w:sz="8" w:space="0" w:color="FFFFFF"/>
            </w:tcBorders>
            <w:shd w:val="clear" w:color="000000" w:fill="FFD5D5"/>
            <w:noWrap/>
            <w:vAlign w:val="center"/>
          </w:tcPr>
          <w:p w14:paraId="1DC37109" w14:textId="77777777" w:rsidR="00AE6087" w:rsidRDefault="00AE6087" w:rsidP="00B1537F">
            <w:r>
              <w:t>**Total cost by product in $</w:t>
            </w:r>
          </w:p>
        </w:tc>
        <w:tc>
          <w:tcPr>
            <w:tcW w:w="461" w:type="pct"/>
            <w:tcBorders>
              <w:top w:val="nil"/>
              <w:left w:val="nil"/>
              <w:bottom w:val="single" w:sz="8" w:space="0" w:color="FFFFFF"/>
              <w:right w:val="single" w:sz="8" w:space="0" w:color="FFFFFF"/>
            </w:tcBorders>
            <w:shd w:val="clear" w:color="000000" w:fill="F2F2F2"/>
            <w:noWrap/>
          </w:tcPr>
          <w:p w14:paraId="6DD43398" w14:textId="032F4939" w:rsidR="00AE6087" w:rsidRDefault="00AE6087" w:rsidP="00B1537F">
            <w:r>
              <w:t>494,010</w:t>
            </w:r>
          </w:p>
        </w:tc>
        <w:tc>
          <w:tcPr>
            <w:tcW w:w="540" w:type="pct"/>
            <w:tcBorders>
              <w:top w:val="nil"/>
              <w:left w:val="nil"/>
              <w:bottom w:val="single" w:sz="8" w:space="0" w:color="FFFFFF"/>
              <w:right w:val="single" w:sz="8" w:space="0" w:color="FFFFFF"/>
            </w:tcBorders>
            <w:shd w:val="clear" w:color="000000" w:fill="F2F2F2"/>
            <w:noWrap/>
          </w:tcPr>
          <w:p w14:paraId="00CC3972" w14:textId="76920FF0" w:rsidR="00AE6087" w:rsidRDefault="00AE6087" w:rsidP="00B1537F">
            <w:r>
              <w:t>321,525</w:t>
            </w:r>
          </w:p>
        </w:tc>
        <w:tc>
          <w:tcPr>
            <w:tcW w:w="407" w:type="pct"/>
            <w:tcBorders>
              <w:top w:val="nil"/>
              <w:left w:val="nil"/>
              <w:bottom w:val="single" w:sz="8" w:space="0" w:color="FFFFFF"/>
              <w:right w:val="single" w:sz="8" w:space="0" w:color="FFFFFF"/>
            </w:tcBorders>
            <w:shd w:val="clear" w:color="000000" w:fill="F2F2F2"/>
            <w:noWrap/>
          </w:tcPr>
          <w:p w14:paraId="35C47B31" w14:textId="5F58EFC3" w:rsidR="00AE6087" w:rsidRDefault="00AE6087" w:rsidP="00B1537F">
            <w:r>
              <w:t>445,694</w:t>
            </w:r>
          </w:p>
        </w:tc>
        <w:tc>
          <w:tcPr>
            <w:tcW w:w="540" w:type="pct"/>
            <w:tcBorders>
              <w:top w:val="nil"/>
              <w:left w:val="nil"/>
              <w:bottom w:val="single" w:sz="8" w:space="0" w:color="FFFFFF"/>
              <w:right w:val="single" w:sz="8" w:space="0" w:color="FFFFFF"/>
            </w:tcBorders>
            <w:shd w:val="clear" w:color="000000" w:fill="F2F2F2"/>
            <w:noWrap/>
          </w:tcPr>
          <w:p w14:paraId="4DB6EA28" w14:textId="0E8D33F2" w:rsidR="00AE6087" w:rsidRDefault="00AE6087" w:rsidP="00B1537F">
            <w:r>
              <w:t>32,044,390</w:t>
            </w:r>
          </w:p>
        </w:tc>
        <w:tc>
          <w:tcPr>
            <w:tcW w:w="540" w:type="pct"/>
            <w:tcBorders>
              <w:top w:val="nil"/>
              <w:left w:val="nil"/>
              <w:bottom w:val="single" w:sz="8" w:space="0" w:color="FFFFFF"/>
              <w:right w:val="single" w:sz="8" w:space="0" w:color="FFFFFF"/>
            </w:tcBorders>
            <w:shd w:val="clear" w:color="000000" w:fill="F2F2F2"/>
            <w:noWrap/>
          </w:tcPr>
          <w:p w14:paraId="7D41E049" w14:textId="7B413AE8" w:rsidR="00AE6087" w:rsidRDefault="00AE6087" w:rsidP="00B1537F">
            <w:r>
              <w:t>1,034,325</w:t>
            </w:r>
          </w:p>
        </w:tc>
        <w:tc>
          <w:tcPr>
            <w:tcW w:w="407" w:type="pct"/>
            <w:tcBorders>
              <w:top w:val="nil"/>
              <w:left w:val="nil"/>
              <w:bottom w:val="single" w:sz="8" w:space="0" w:color="FFFFFF"/>
              <w:right w:val="single" w:sz="8" w:space="0" w:color="FFFFFF"/>
            </w:tcBorders>
            <w:shd w:val="clear" w:color="000000" w:fill="F2F2F2"/>
            <w:noWrap/>
          </w:tcPr>
          <w:p w14:paraId="634655F7" w14:textId="47749AF7" w:rsidR="00AE6087" w:rsidRDefault="00AE6087" w:rsidP="00B1537F">
            <w:r>
              <w:t>2,852,849</w:t>
            </w:r>
          </w:p>
        </w:tc>
        <w:tc>
          <w:tcPr>
            <w:tcW w:w="407" w:type="pct"/>
            <w:tcBorders>
              <w:top w:val="nil"/>
              <w:left w:val="nil"/>
              <w:bottom w:val="single" w:sz="8" w:space="0" w:color="FFFFFF"/>
              <w:right w:val="single" w:sz="8" w:space="0" w:color="FFFFFF"/>
            </w:tcBorders>
            <w:shd w:val="clear" w:color="000000" w:fill="F2F2F2"/>
            <w:noWrap/>
          </w:tcPr>
          <w:p w14:paraId="1C5CD1E7" w14:textId="60E88E2D" w:rsidR="00AE6087" w:rsidRDefault="00AE6087" w:rsidP="00B1537F">
            <w:r>
              <w:t>4,733,360</w:t>
            </w:r>
          </w:p>
        </w:tc>
      </w:tr>
    </w:tbl>
    <w:p w14:paraId="77E930AB" w14:textId="267359ED" w:rsidR="00B02F77" w:rsidRDefault="00511D07" w:rsidP="00511D07">
      <w:pPr>
        <w:rPr>
          <w:sz w:val="18"/>
          <w:szCs w:val="18"/>
        </w:rPr>
      </w:pPr>
      <w:r w:rsidRPr="00B02F77">
        <w:rPr>
          <w:sz w:val="18"/>
          <w:szCs w:val="18"/>
        </w:rPr>
        <w:t>*Intragam P no longer available</w:t>
      </w:r>
    </w:p>
    <w:p w14:paraId="517479F5" w14:textId="1646BD96" w:rsidR="00511D07" w:rsidRPr="00B02F77" w:rsidRDefault="00511D07" w:rsidP="00511D07">
      <w:pPr>
        <w:rPr>
          <w:sz w:val="18"/>
          <w:szCs w:val="18"/>
        </w:rPr>
      </w:pPr>
      <w:r w:rsidRPr="00B02F77">
        <w:rPr>
          <w:sz w:val="18"/>
          <w:szCs w:val="18"/>
        </w:rPr>
        <w:t>**Note that product issued data is from 2017-18 and the price listed is current</w:t>
      </w:r>
      <w:r w:rsidR="00E650D8">
        <w:rPr>
          <w:sz w:val="18"/>
          <w:szCs w:val="18"/>
        </w:rPr>
        <w:t xml:space="preserve"> as at </w:t>
      </w:r>
      <w:r w:rsidR="00A42D70">
        <w:rPr>
          <w:sz w:val="18"/>
          <w:szCs w:val="18"/>
        </w:rPr>
        <w:t>14 June 2019</w:t>
      </w:r>
      <w:r w:rsidRPr="00B02F77">
        <w:rPr>
          <w:sz w:val="18"/>
          <w:szCs w:val="18"/>
        </w:rPr>
        <w:t xml:space="preserve">. </w:t>
      </w:r>
      <w:r w:rsidR="00A53B17" w:rsidRPr="00B02F77">
        <w:rPr>
          <w:sz w:val="18"/>
          <w:szCs w:val="18"/>
        </w:rPr>
        <w:t>Prices and allocation of products change over time.</w:t>
      </w:r>
      <w:r w:rsidR="00B81DFE">
        <w:rPr>
          <w:sz w:val="18"/>
          <w:szCs w:val="18"/>
        </w:rPr>
        <w:t xml:space="preserve"> Costs are for product only and domestic costs do not include plasma collection or fractionation.</w:t>
      </w:r>
    </w:p>
    <w:sectPr w:rsidR="00511D07" w:rsidRPr="00B02F77" w:rsidSect="00615AA8">
      <w:pgSz w:w="11906" w:h="16838"/>
      <w:pgMar w:top="851"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E5A9D" w14:textId="77777777" w:rsidR="00616481" w:rsidRDefault="00616481" w:rsidP="00CF2DFA">
      <w:pPr>
        <w:spacing w:after="0"/>
      </w:pPr>
      <w:r>
        <w:separator/>
      </w:r>
    </w:p>
  </w:endnote>
  <w:endnote w:type="continuationSeparator" w:id="0">
    <w:p w14:paraId="5964F87C" w14:textId="77777777" w:rsidR="00616481" w:rsidRDefault="00616481" w:rsidP="00CF2DFA">
      <w:pPr>
        <w:spacing w:after="0"/>
      </w:pPr>
      <w:r>
        <w:continuationSeparator/>
      </w:r>
    </w:p>
  </w:endnote>
  <w:endnote w:type="continuationNotice" w:id="1">
    <w:p w14:paraId="62C56A37" w14:textId="77777777" w:rsidR="00616481" w:rsidRDefault="006164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59416703"/>
      <w:docPartObj>
        <w:docPartGallery w:val="Page Numbers (Bottom of Page)"/>
        <w:docPartUnique/>
      </w:docPartObj>
    </w:sdtPr>
    <w:sdtEndPr>
      <w:rPr>
        <w:color w:val="808080" w:themeColor="background1" w:themeShade="80"/>
        <w:spacing w:val="60"/>
      </w:rPr>
    </w:sdtEndPr>
    <w:sdtContent>
      <w:p w14:paraId="33789FDB" w14:textId="6B0CF20D" w:rsidR="00616481" w:rsidRDefault="00616481">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641C09" w:rsidRPr="00641C09">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Referral Form</w:t>
        </w:r>
      </w:p>
      <w:p w14:paraId="3599518D" w14:textId="77777777" w:rsidR="00616481" w:rsidRPr="003F7CB9" w:rsidRDefault="00616481"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Immunoglobulin use referred for HTA through MSAC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DC405" w14:textId="77777777" w:rsidR="00616481" w:rsidRDefault="00616481" w:rsidP="00CF2DFA">
      <w:pPr>
        <w:spacing w:after="0"/>
      </w:pPr>
      <w:r>
        <w:separator/>
      </w:r>
    </w:p>
  </w:footnote>
  <w:footnote w:type="continuationSeparator" w:id="0">
    <w:p w14:paraId="450D8C57" w14:textId="77777777" w:rsidR="00616481" w:rsidRDefault="00616481" w:rsidP="00CF2DFA">
      <w:pPr>
        <w:spacing w:after="0"/>
      </w:pPr>
      <w:r>
        <w:continuationSeparator/>
      </w:r>
    </w:p>
  </w:footnote>
  <w:footnote w:type="continuationNotice" w:id="1">
    <w:p w14:paraId="7589FD5A" w14:textId="77777777" w:rsidR="00616481" w:rsidRDefault="00616481">
      <w:pPr>
        <w:spacing w:before="0" w:after="0"/>
      </w:pPr>
    </w:p>
  </w:footnote>
  <w:footnote w:id="2">
    <w:p w14:paraId="3E857EC4" w14:textId="28FC3EF2" w:rsidR="00616481" w:rsidRDefault="00616481">
      <w:pPr>
        <w:pStyle w:val="FootnoteText"/>
      </w:pPr>
      <w:r>
        <w:rPr>
          <w:rStyle w:val="FootnoteReference"/>
        </w:rPr>
        <w:footnoteRef/>
      </w:r>
      <w:r>
        <w:t xml:space="preserve"> </w:t>
      </w:r>
      <w:r w:rsidRPr="003C1246">
        <w:rPr>
          <w:sz w:val="18"/>
          <w:szCs w:val="18"/>
        </w:rPr>
        <w:t>Criteria for Clinical Use of Immunoglobulin in Australia</w:t>
      </w:r>
      <w:r>
        <w:rPr>
          <w:sz w:val="18"/>
          <w:szCs w:val="18"/>
        </w:rPr>
        <w:t xml:space="preserve"> V3</w:t>
      </w:r>
    </w:p>
  </w:footnote>
  <w:footnote w:id="3">
    <w:p w14:paraId="6382DD45" w14:textId="38B16272" w:rsidR="00616481" w:rsidRDefault="00616481">
      <w:pPr>
        <w:pStyle w:val="FootnoteText"/>
      </w:pPr>
      <w:r>
        <w:rPr>
          <w:rStyle w:val="FootnoteReference"/>
        </w:rPr>
        <w:footnoteRef/>
      </w:r>
      <w:r>
        <w:t xml:space="preserve"> </w:t>
      </w:r>
      <w:r w:rsidRPr="003C1246">
        <w:rPr>
          <w:sz w:val="18"/>
          <w:szCs w:val="18"/>
        </w:rPr>
        <w:t xml:space="preserve">Bonilla, FA, Bernstein, L, Khan, DA, et al 2005, ‘Practice parameter for the diagnosis and management of primary immunodeficiency’, </w:t>
      </w:r>
      <w:r w:rsidRPr="003C1246">
        <w:rPr>
          <w:iCs/>
          <w:sz w:val="18"/>
          <w:szCs w:val="18"/>
        </w:rPr>
        <w:t>Annals of Allergy, Asthma and Immunology</w:t>
      </w:r>
      <w:r w:rsidRPr="003C1246">
        <w:rPr>
          <w:sz w:val="18"/>
          <w:szCs w:val="18"/>
        </w:rPr>
        <w:t>, vol. 94, no. 5, suppl. 1, pp. S1–63</w:t>
      </w:r>
    </w:p>
  </w:footnote>
  <w:footnote w:id="4">
    <w:p w14:paraId="244A3D91" w14:textId="77E2E094" w:rsidR="00616481" w:rsidRDefault="00616481">
      <w:pPr>
        <w:pStyle w:val="FootnoteText"/>
      </w:pPr>
      <w:r>
        <w:rPr>
          <w:rStyle w:val="FootnoteReference"/>
        </w:rPr>
        <w:footnoteRef/>
      </w:r>
      <w:r>
        <w:t xml:space="preserve"> </w:t>
      </w:r>
      <w:r w:rsidRPr="003C1246">
        <w:rPr>
          <w:sz w:val="18"/>
          <w:szCs w:val="18"/>
        </w:rPr>
        <w:t>European Society for Immunodeficiencies (ESID) Diagnostic Criteria PID 2014</w:t>
      </w:r>
    </w:p>
  </w:footnote>
  <w:footnote w:id="5">
    <w:p w14:paraId="219D6902" w14:textId="31E19453" w:rsidR="00616481" w:rsidRPr="00E438CF" w:rsidRDefault="00616481">
      <w:pPr>
        <w:pStyle w:val="FootnoteText"/>
        <w:rPr>
          <w:sz w:val="18"/>
          <w:szCs w:val="18"/>
        </w:rPr>
      </w:pPr>
      <w:r>
        <w:rPr>
          <w:rStyle w:val="FootnoteReference"/>
        </w:rPr>
        <w:footnoteRef/>
      </w:r>
      <w:r>
        <w:t xml:space="preserve"> </w:t>
      </w:r>
      <w:r w:rsidRPr="00E438CF">
        <w:rPr>
          <w:sz w:val="18"/>
          <w:szCs w:val="18"/>
        </w:rPr>
        <w:t xml:space="preserve">European Society for Immunodeficiencies (ESID) Diagnostic Criteria PID 2019, accessed 31/05/19  </w:t>
      </w:r>
      <w:hyperlink r:id="rId1" w:tooltip="link to webpage" w:history="1">
        <w:r w:rsidRPr="00E438CF">
          <w:rPr>
            <w:rStyle w:val="Hyperlink"/>
            <w:sz w:val="18"/>
            <w:szCs w:val="18"/>
          </w:rPr>
          <w:t>https://esid.org/Education/Diagnostic-Criteria-PID</w:t>
        </w:r>
      </w:hyperlink>
    </w:p>
  </w:footnote>
  <w:footnote w:id="6">
    <w:p w14:paraId="0FA6EA8C" w14:textId="1EFD637F" w:rsidR="00616481" w:rsidRDefault="00616481">
      <w:pPr>
        <w:pStyle w:val="FootnoteText"/>
      </w:pPr>
      <w:r>
        <w:rPr>
          <w:rStyle w:val="FootnoteReference"/>
        </w:rPr>
        <w:footnoteRef/>
      </w:r>
      <w:r>
        <w:t xml:space="preserve"> </w:t>
      </w:r>
      <w:r w:rsidRPr="00E438CF">
        <w:rPr>
          <w:sz w:val="18"/>
          <w:szCs w:val="18"/>
        </w:rPr>
        <w:t>Criteria for Clinical Use of Immunoglobulin in Australia V3</w:t>
      </w:r>
    </w:p>
  </w:footnote>
  <w:footnote w:id="7">
    <w:p w14:paraId="3287FC5F" w14:textId="79DECE2F" w:rsidR="00616481" w:rsidRDefault="00616481">
      <w:pPr>
        <w:pStyle w:val="FootnoteText"/>
      </w:pPr>
      <w:r>
        <w:rPr>
          <w:rStyle w:val="FootnoteReference"/>
        </w:rPr>
        <w:footnoteRef/>
      </w:r>
      <w:r>
        <w:t xml:space="preserve"> </w:t>
      </w:r>
      <w:r w:rsidRPr="00E438CF">
        <w:rPr>
          <w:sz w:val="18"/>
          <w:szCs w:val="18"/>
        </w:rPr>
        <w:t xml:space="preserve">Orange, JS, Hossny, EM, Weiler, CR, et al 2006, ‘Use of intravenous immunoglobulin in human disease: a review of evidence by members of the Primary Immunodeficiency Committee of the American Academy of Allergy, Asthma and Immunology’, </w:t>
      </w:r>
      <w:r w:rsidRPr="00E438CF">
        <w:rPr>
          <w:iCs/>
          <w:sz w:val="18"/>
          <w:szCs w:val="18"/>
        </w:rPr>
        <w:t>Journal of Allergy and Clinical Immunology</w:t>
      </w:r>
      <w:r w:rsidRPr="00E438CF">
        <w:rPr>
          <w:sz w:val="18"/>
          <w:szCs w:val="18"/>
        </w:rPr>
        <w:t>, vol. 117, no. 4, pp. S525–53.</w:t>
      </w:r>
    </w:p>
  </w:footnote>
  <w:footnote w:id="8">
    <w:p w14:paraId="0CECAEF1" w14:textId="76530ABD" w:rsidR="00616481" w:rsidRPr="00E438CF" w:rsidRDefault="00616481">
      <w:pPr>
        <w:pStyle w:val="FootnoteText"/>
        <w:rPr>
          <w:sz w:val="18"/>
          <w:szCs w:val="18"/>
        </w:rPr>
      </w:pPr>
      <w:r>
        <w:rPr>
          <w:rStyle w:val="FootnoteReference"/>
        </w:rPr>
        <w:footnoteRef/>
      </w:r>
      <w:r>
        <w:t xml:space="preserve"> </w:t>
      </w:r>
      <w:r w:rsidRPr="00E438CF">
        <w:rPr>
          <w:sz w:val="18"/>
          <w:szCs w:val="18"/>
        </w:rPr>
        <w:t xml:space="preserve">European Society for Immunodeficiencies (ESID) Diagnostic Criteria PID 2019, accessed 31/05/19  </w:t>
      </w:r>
      <w:hyperlink r:id="rId2" w:tooltip="link to webpage" w:history="1">
        <w:r w:rsidRPr="00E438CF">
          <w:rPr>
            <w:rStyle w:val="Hyperlink"/>
            <w:sz w:val="18"/>
            <w:szCs w:val="18"/>
          </w:rPr>
          <w:t>https://esid.org/Education/Diagnostic-Criteria-PID</w:t>
        </w:r>
      </w:hyperlink>
    </w:p>
  </w:footnote>
  <w:footnote w:id="9">
    <w:p w14:paraId="71EFA3DB" w14:textId="5136FB9D" w:rsidR="00616481" w:rsidRDefault="00616481">
      <w:pPr>
        <w:pStyle w:val="FootnoteText"/>
      </w:pPr>
      <w:r>
        <w:rPr>
          <w:rStyle w:val="FootnoteReference"/>
        </w:rPr>
        <w:footnoteRef/>
      </w:r>
      <w:r>
        <w:t xml:space="preserve"> </w:t>
      </w:r>
      <w:r w:rsidRPr="00A90670">
        <w:rPr>
          <w:iCs/>
          <w:sz w:val="18"/>
          <w:szCs w:val="18"/>
        </w:rPr>
        <w:t>Clinical expert immunologist, Ig Review Reference Group Meeting 3, July 2019</w:t>
      </w:r>
    </w:p>
  </w:footnote>
  <w:footnote w:id="10">
    <w:p w14:paraId="0B08E816" w14:textId="77777777" w:rsidR="00616481" w:rsidRDefault="00616481" w:rsidP="00915259">
      <w:pPr>
        <w:pStyle w:val="FootnoteText"/>
      </w:pPr>
      <w:r>
        <w:rPr>
          <w:rStyle w:val="FootnoteReference"/>
        </w:rPr>
        <w:t>[1]</w:t>
      </w:r>
      <w:r>
        <w:t xml:space="preserve"> </w:t>
      </w:r>
      <w:r>
        <w:rPr>
          <w:sz w:val="18"/>
          <w:szCs w:val="18"/>
        </w:rPr>
        <w:t>Product information for AusPAR Hizentra Normal Human Immunoglobulin CSL Behring Ltd 2013-00301-2-2 Final 25 June 2014. Accessed 7 August 2019 from https://www.tga.gov.au/sites/default/files/auspar-normal-human-immunoglobulin-140625-pi.pdf</w:t>
      </w:r>
    </w:p>
  </w:footnote>
  <w:footnote w:id="11">
    <w:p w14:paraId="6C235BF6" w14:textId="18A82DC9" w:rsidR="00616481" w:rsidRDefault="00616481">
      <w:pPr>
        <w:pStyle w:val="FootnoteText"/>
      </w:pPr>
      <w:r>
        <w:rPr>
          <w:rStyle w:val="FootnoteReference"/>
        </w:rPr>
        <w:footnoteRef/>
      </w:r>
      <w:r>
        <w:t xml:space="preserve"> </w:t>
      </w:r>
      <w:r w:rsidRPr="00A44927">
        <w:rPr>
          <w:sz w:val="18"/>
          <w:szCs w:val="18"/>
        </w:rPr>
        <w:t xml:space="preserve">Bonilla, FA, Bernstein, L, Khan, DA, et al 2005, ‘Practice parameter for the diagnosis and management of primary immunodeficiency’, </w:t>
      </w:r>
      <w:r w:rsidRPr="00A44927">
        <w:rPr>
          <w:iCs/>
          <w:sz w:val="18"/>
          <w:szCs w:val="18"/>
        </w:rPr>
        <w:t>Annals of Allergy, Asthma and Immunology</w:t>
      </w:r>
      <w:r w:rsidRPr="00A44927">
        <w:rPr>
          <w:sz w:val="18"/>
          <w:szCs w:val="18"/>
        </w:rPr>
        <w:t>, vol. 94, no. 5, suppl. 1, pp. S1–63</w:t>
      </w:r>
    </w:p>
  </w:footnote>
  <w:footnote w:id="12">
    <w:p w14:paraId="1799D653" w14:textId="0FDF1034" w:rsidR="00616481" w:rsidRDefault="00616481" w:rsidP="00FC13B8">
      <w:pPr>
        <w:pStyle w:val="FootnoteText"/>
      </w:pPr>
      <w:r>
        <w:rPr>
          <w:rStyle w:val="FootnoteReference"/>
        </w:rPr>
        <w:footnoteRef/>
      </w:r>
      <w:r>
        <w:t xml:space="preserve"> </w:t>
      </w:r>
      <w:r w:rsidRPr="00A44927">
        <w:rPr>
          <w:sz w:val="18"/>
          <w:szCs w:val="18"/>
        </w:rPr>
        <w:t xml:space="preserve">Therapeutic Goods Administration 2019. Australian Product Information, Flebogamma 10% DIF (Human Normal Immunoglobulin [IVIg] 100mg/ml) solution for infusion. Found at </w:t>
      </w:r>
      <w:hyperlink r:id="rId3" w:tooltip="link to webpage" w:history="1">
        <w:r w:rsidRPr="00A44927">
          <w:rPr>
            <w:rStyle w:val="Hyperlink"/>
            <w:sz w:val="18"/>
            <w:szCs w:val="18"/>
          </w:rPr>
          <w:t>https://www.ebs.tga.gov.au/ebs/picmi/picmirepository.nsf/pdf?OpenAgent&amp;id=CP-2013-PI-01254-1&amp;d=201905201016933</w:t>
        </w:r>
      </w:hyperlink>
      <w:r>
        <w:t xml:space="preserve"> </w:t>
      </w:r>
    </w:p>
  </w:footnote>
  <w:footnote w:id="13">
    <w:p w14:paraId="6741ABF1" w14:textId="710EFC5B" w:rsidR="00616481" w:rsidRPr="00A44927" w:rsidRDefault="00616481">
      <w:pPr>
        <w:pStyle w:val="FootnoteText"/>
      </w:pPr>
      <w:r>
        <w:rPr>
          <w:rStyle w:val="FootnoteReference"/>
        </w:rPr>
        <w:footnoteRef/>
      </w:r>
      <w:r>
        <w:t xml:space="preserve"> </w:t>
      </w:r>
      <w:r w:rsidRPr="00A44927">
        <w:rPr>
          <w:sz w:val="18"/>
          <w:szCs w:val="18"/>
        </w:rPr>
        <w:t xml:space="preserve">Bonilla, FA, Bernstein, L, Khan, DA, et al 2005, ‘Practice parameter for the diagnosis and management of primary immunodeficiency’, </w:t>
      </w:r>
      <w:r w:rsidRPr="00A44927">
        <w:rPr>
          <w:iCs/>
          <w:sz w:val="18"/>
          <w:szCs w:val="18"/>
        </w:rPr>
        <w:t>Annals of Allergy, Asthma and Immunology</w:t>
      </w:r>
      <w:r w:rsidRPr="00A44927">
        <w:rPr>
          <w:sz w:val="18"/>
          <w:szCs w:val="18"/>
        </w:rPr>
        <w:t>, vol. 94, no. 5, suppl. 1, pp. S1–63</w:t>
      </w:r>
    </w:p>
  </w:footnote>
  <w:footnote w:id="14">
    <w:p w14:paraId="43E6B873" w14:textId="5295B98E" w:rsidR="00616481" w:rsidRPr="00A44927" w:rsidRDefault="00616481">
      <w:pPr>
        <w:pStyle w:val="FootnoteText"/>
      </w:pPr>
      <w:r w:rsidRPr="00A44927">
        <w:rPr>
          <w:rStyle w:val="FootnoteReference"/>
        </w:rPr>
        <w:footnoteRef/>
      </w:r>
      <w:r w:rsidRPr="00A44927">
        <w:t xml:space="preserve"> </w:t>
      </w:r>
      <w:r w:rsidRPr="00A44927">
        <w:rPr>
          <w:sz w:val="18"/>
          <w:szCs w:val="18"/>
        </w:rPr>
        <w:t>Chang, AB, Bell, SC, Torzillo, PJ, et al 2014, ‘Thoracic Sodiety of Australia and New Zealand Chronic Suppurative Lung Disease and Bronchiectasis in children and adults in Australia and New Zealand – Clinical Practice Guideline’.</w:t>
      </w:r>
    </w:p>
  </w:footnote>
  <w:footnote w:id="15">
    <w:p w14:paraId="5015CE25" w14:textId="561EC02A" w:rsidR="00616481" w:rsidRPr="00A44927" w:rsidRDefault="00616481" w:rsidP="00F95649">
      <w:pPr>
        <w:pStyle w:val="FootnoteText"/>
      </w:pPr>
      <w:r>
        <w:rPr>
          <w:rStyle w:val="FootnoteReference"/>
        </w:rPr>
        <w:footnoteRef/>
      </w:r>
      <w:r>
        <w:t xml:space="preserve"> </w:t>
      </w:r>
      <w:r w:rsidRPr="00A44927">
        <w:rPr>
          <w:sz w:val="18"/>
          <w:szCs w:val="18"/>
        </w:rPr>
        <w:t xml:space="preserve">Bonilla, FA, Bernstein, L, Khan, DA, et al 2005, ‘Practice parameter for the diagnosis and management of primary immunodeficiency’, </w:t>
      </w:r>
      <w:r w:rsidRPr="00A44927">
        <w:rPr>
          <w:iCs/>
          <w:sz w:val="18"/>
          <w:szCs w:val="18"/>
        </w:rPr>
        <w:t>Annals of Allergy, Asthma and Immunology</w:t>
      </w:r>
      <w:r w:rsidRPr="00A44927">
        <w:rPr>
          <w:sz w:val="18"/>
          <w:szCs w:val="18"/>
        </w:rPr>
        <w:t>, vol. 94, no. 5, suppl. 1, pp. S1–63</w:t>
      </w:r>
    </w:p>
    <w:p w14:paraId="291FB9A6" w14:textId="4DDA705F" w:rsidR="00616481" w:rsidRDefault="00616481">
      <w:pPr>
        <w:pStyle w:val="FootnoteText"/>
      </w:pPr>
    </w:p>
  </w:footnote>
  <w:footnote w:id="16">
    <w:p w14:paraId="08D207B4" w14:textId="72739D03" w:rsidR="00616481" w:rsidRDefault="00616481">
      <w:pPr>
        <w:pStyle w:val="FootnoteText"/>
      </w:pPr>
      <w:r>
        <w:rPr>
          <w:rStyle w:val="FootnoteReference"/>
        </w:rPr>
        <w:footnoteRef/>
      </w:r>
      <w:r>
        <w:t xml:space="preserve"> </w:t>
      </w:r>
      <w:r w:rsidRPr="0095488F">
        <w:rPr>
          <w:sz w:val="18"/>
          <w:szCs w:val="18"/>
        </w:rPr>
        <w:t xml:space="preserve">Orange, JS, Hossny, EM, Weiler, CR, et al 2006, ‘Use of intravenous immunoglobulin in human disease: a review of evidence by members of the Primary Immunodeficiency Committee of the American Academy of Allergy, Asthma and Immunology’, </w:t>
      </w:r>
      <w:r w:rsidRPr="0095488F">
        <w:rPr>
          <w:iCs/>
          <w:sz w:val="18"/>
          <w:szCs w:val="18"/>
        </w:rPr>
        <w:t>Journal of Allergy and Clinical Immunology</w:t>
      </w:r>
      <w:r w:rsidRPr="0095488F">
        <w:rPr>
          <w:sz w:val="18"/>
          <w:szCs w:val="18"/>
        </w:rPr>
        <w:t>, vol. 117, no. 4, pp. S525–53.</w:t>
      </w:r>
    </w:p>
  </w:footnote>
  <w:footnote w:id="17">
    <w:p w14:paraId="4496D208" w14:textId="459A0299" w:rsidR="00616481" w:rsidRPr="0095488F" w:rsidRDefault="00616481">
      <w:pPr>
        <w:pStyle w:val="FootnoteText"/>
      </w:pPr>
      <w:r>
        <w:rPr>
          <w:rStyle w:val="FootnoteReference"/>
        </w:rPr>
        <w:footnoteRef/>
      </w:r>
      <w:r>
        <w:t xml:space="preserve"> </w:t>
      </w:r>
      <w:r w:rsidRPr="0095488F">
        <w:rPr>
          <w:sz w:val="18"/>
          <w:szCs w:val="18"/>
        </w:rPr>
        <w:t xml:space="preserve">Biotext 2004, ‘Summary data on conditions and papers’, in </w:t>
      </w:r>
      <w:r w:rsidRPr="0095488F">
        <w:rPr>
          <w:iCs/>
          <w:sz w:val="18"/>
          <w:szCs w:val="18"/>
        </w:rPr>
        <w:t>A systematic literature review and report on the efficacy of intravenous immunoglobulin therapy and its risks</w:t>
      </w:r>
      <w:r w:rsidRPr="0095488F">
        <w:rPr>
          <w:sz w:val="18"/>
          <w:szCs w:val="18"/>
        </w:rPr>
        <w:t>, commissioned by the National Blood Authority on behalf of all Australian Governments, pp. 218.</w:t>
      </w:r>
    </w:p>
  </w:footnote>
  <w:footnote w:id="18">
    <w:p w14:paraId="3C451F36" w14:textId="04316B1B" w:rsidR="00616481" w:rsidRDefault="00616481" w:rsidP="0095488F">
      <w:r>
        <w:rPr>
          <w:rStyle w:val="FootnoteReference"/>
        </w:rPr>
        <w:footnoteRef/>
      </w:r>
      <w:r>
        <w:t xml:space="preserve"> </w:t>
      </w:r>
      <w:r w:rsidRPr="0095488F">
        <w:rPr>
          <w:sz w:val="18"/>
          <w:szCs w:val="18"/>
        </w:rPr>
        <w:t xml:space="preserve">Bonilla, FA, Bernstein, L, Khan, DA, et al 2005, ‘Practice parameter for the diagnosis and management of primary immunodeficiency’, </w:t>
      </w:r>
      <w:r w:rsidRPr="0095488F">
        <w:rPr>
          <w:iCs/>
          <w:sz w:val="18"/>
          <w:szCs w:val="18"/>
        </w:rPr>
        <w:t>Annals of Allergy, Asthma and Immunology</w:t>
      </w:r>
      <w:r w:rsidRPr="0095488F">
        <w:rPr>
          <w:sz w:val="18"/>
          <w:szCs w:val="18"/>
        </w:rPr>
        <w:t>, vol. 94, no. 5, suppl. 1, pp. S1–63.</w:t>
      </w:r>
    </w:p>
  </w:footnote>
  <w:footnote w:id="19">
    <w:p w14:paraId="23B3115B" w14:textId="6E2EE911" w:rsidR="00616481" w:rsidRDefault="00616481" w:rsidP="00B96F0C">
      <w:pPr>
        <w:pStyle w:val="FootnoteText"/>
      </w:pPr>
      <w:r>
        <w:rPr>
          <w:rStyle w:val="FootnoteReference"/>
        </w:rPr>
        <w:footnoteRef/>
      </w:r>
      <w:r>
        <w:t xml:space="preserve"> </w:t>
      </w:r>
      <w:r w:rsidRPr="009462C7">
        <w:rPr>
          <w:sz w:val="18"/>
          <w:szCs w:val="18"/>
        </w:rPr>
        <w:t xml:space="preserve">Australian Bureau of Statistics, </w:t>
      </w:r>
      <w:r>
        <w:rPr>
          <w:sz w:val="18"/>
          <w:szCs w:val="18"/>
        </w:rPr>
        <w:t xml:space="preserve">3101.0 – Australian Demographic Statistics, </w:t>
      </w:r>
      <w:r w:rsidRPr="009462C7">
        <w:rPr>
          <w:sz w:val="18"/>
          <w:szCs w:val="18"/>
        </w:rPr>
        <w:t xml:space="preserve">released 20 June 2019, accessed from </w:t>
      </w:r>
      <w:hyperlink r:id="rId4" w:tooltip="link to ABS webpage" w:history="1">
        <w:r w:rsidRPr="009462C7">
          <w:rPr>
            <w:sz w:val="18"/>
            <w:szCs w:val="18"/>
          </w:rPr>
          <w:t>https://www.abs.gov.au/ausstats/abs@.nsf/0/D56C4A3E41586764CA2581A70015893E?Opendocument</w:t>
        </w:r>
      </w:hyperlink>
      <w:r w:rsidRPr="009462C7">
        <w:rPr>
          <w:sz w:val="18"/>
          <w:szCs w:val="18"/>
        </w:rPr>
        <w:t xml:space="preserve"> on 7 August 2019</w:t>
      </w:r>
    </w:p>
  </w:footnote>
  <w:footnote w:id="20">
    <w:p w14:paraId="74C49941" w14:textId="76E69750" w:rsidR="00616481" w:rsidRDefault="00616481">
      <w:pPr>
        <w:pStyle w:val="FootnoteText"/>
      </w:pPr>
      <w:r>
        <w:rPr>
          <w:rStyle w:val="FootnoteReference"/>
        </w:rPr>
        <w:footnoteRef/>
      </w:r>
      <w:r>
        <w:t xml:space="preserve"> </w:t>
      </w:r>
      <w:r w:rsidRPr="0095488F">
        <w:rPr>
          <w:sz w:val="18"/>
          <w:szCs w:val="18"/>
        </w:rPr>
        <w:t>Criteria for Clinical Use of Immunoglobulin in Australia V3</w:t>
      </w:r>
    </w:p>
  </w:footnote>
  <w:footnote w:id="21">
    <w:p w14:paraId="7E225A70" w14:textId="53F6EB48" w:rsidR="00616481" w:rsidRDefault="00616481">
      <w:pPr>
        <w:pStyle w:val="FootnoteText"/>
      </w:pPr>
      <w:r>
        <w:rPr>
          <w:rStyle w:val="FootnoteReference"/>
        </w:rPr>
        <w:footnoteRef/>
      </w:r>
      <w:r>
        <w:t xml:space="preserve"> </w:t>
      </w:r>
      <w:r w:rsidRPr="00A90670">
        <w:rPr>
          <w:iCs/>
          <w:sz w:val="18"/>
          <w:szCs w:val="18"/>
        </w:rPr>
        <w:t>Clinical expert immunologist, Ig Review Reference Group Meeting 3, July 2019</w:t>
      </w:r>
    </w:p>
  </w:footnote>
  <w:footnote w:id="22">
    <w:p w14:paraId="02BCA000" w14:textId="10344A45" w:rsidR="00616481" w:rsidRPr="007D315B" w:rsidRDefault="00616481">
      <w:pPr>
        <w:pStyle w:val="FootnoteText"/>
        <w:rPr>
          <w:sz w:val="18"/>
          <w:szCs w:val="18"/>
        </w:rPr>
      </w:pPr>
      <w:r>
        <w:rPr>
          <w:rStyle w:val="FootnoteReference"/>
        </w:rPr>
        <w:footnoteRef/>
      </w:r>
      <w:r>
        <w:t xml:space="preserve"> </w:t>
      </w:r>
      <w:r w:rsidRPr="007D315B">
        <w:rPr>
          <w:sz w:val="18"/>
          <w:szCs w:val="18"/>
        </w:rPr>
        <w:t>Criteria for Clinical Use of Immunoglobulin in Australia V3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C26EB" w14:textId="77777777" w:rsidR="00616481" w:rsidRDefault="00641C09">
    <w:pPr>
      <w:pStyle w:val="Header"/>
    </w:pPr>
    <w:r>
      <w:rPr>
        <w:noProof/>
      </w:rPr>
      <w:pict w14:anchorId="370372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277563" o:spid="_x0000_s2050" type="#_x0000_t136" style="position:absolute;margin-left:0;margin-top:0;width:491.85pt;height:147.55pt;rotation:315;z-index:-251658752;mso-position-horizontal:center;mso-position-horizontal-relative:margin;mso-position-vertical:center;mso-position-vertical-relative:margin" o:allowincell="f" fillcolor="silver" stroked="f">
          <v:fill opacity=".5"/>
          <v:textpath style="font-family:&quot;Calibri&quot;;font-size:1pt" string="NBA Referr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94469" w14:textId="77777777" w:rsidR="00616481" w:rsidRPr="007063F8" w:rsidRDefault="00616481" w:rsidP="000A7185">
    <w:pPr>
      <w:pStyle w:val="Header"/>
      <w:jc w:val="center"/>
      <w:rPr>
        <w:b/>
        <w:sz w:val="48"/>
        <w:szCs w:val="48"/>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2490E" w14:textId="77777777" w:rsidR="00616481" w:rsidRPr="00852A29" w:rsidRDefault="00616481" w:rsidP="00F0456F">
    <w:pPr>
      <w:pStyle w:val="Header"/>
      <w:jc w:val="center"/>
      <w:rPr>
        <w:b/>
        <w:color w:val="FF0000"/>
        <w:sz w:val="48"/>
        <w:szCs w:val="4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48693B"/>
    <w:multiLevelType w:val="hybridMultilevel"/>
    <w:tmpl w:val="63055D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162A8"/>
    <w:multiLevelType w:val="hybridMultilevel"/>
    <w:tmpl w:val="0764D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5F6DF9"/>
    <w:multiLevelType w:val="multilevel"/>
    <w:tmpl w:val="7F90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409A0"/>
    <w:multiLevelType w:val="multilevel"/>
    <w:tmpl w:val="03C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A2469A"/>
    <w:multiLevelType w:val="hybridMultilevel"/>
    <w:tmpl w:val="93C43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E52D96"/>
    <w:multiLevelType w:val="hybridMultilevel"/>
    <w:tmpl w:val="2C9CDAB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100235"/>
    <w:multiLevelType w:val="hybridMultilevel"/>
    <w:tmpl w:val="6EC04CC8"/>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1E6B1417"/>
    <w:multiLevelType w:val="hybridMultilevel"/>
    <w:tmpl w:val="E506D230"/>
    <w:lvl w:ilvl="0" w:tplc="00CCE5CC">
      <w:numFmt w:val="bullet"/>
      <w:lvlText w:val="-"/>
      <w:lvlJc w:val="left"/>
      <w:pPr>
        <w:ind w:left="1440" w:hanging="360"/>
      </w:pPr>
      <w:rPr>
        <w:rFonts w:ascii="Calibri" w:eastAsiaTheme="minorHAnsi" w:hAnsi="Calibri" w:cstheme="minorBidi"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9" w15:restartNumberingAfterBreak="0">
    <w:nsid w:val="251307CC"/>
    <w:multiLevelType w:val="hybridMultilevel"/>
    <w:tmpl w:val="1062D30C"/>
    <w:lvl w:ilvl="0" w:tplc="4312586A">
      <w:start w:val="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6F54B51"/>
    <w:multiLevelType w:val="hybridMultilevel"/>
    <w:tmpl w:val="6762B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9D166B"/>
    <w:multiLevelType w:val="hybridMultilevel"/>
    <w:tmpl w:val="5C967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AB45ED"/>
    <w:multiLevelType w:val="hybridMultilevel"/>
    <w:tmpl w:val="D62A82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3F747F"/>
    <w:multiLevelType w:val="hybridMultilevel"/>
    <w:tmpl w:val="1BEC8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A5504A"/>
    <w:multiLevelType w:val="hybridMultilevel"/>
    <w:tmpl w:val="D368E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210BCA"/>
    <w:multiLevelType w:val="multilevel"/>
    <w:tmpl w:val="1258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55433C"/>
    <w:multiLevelType w:val="hybridMultilevel"/>
    <w:tmpl w:val="40BCF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0B23631"/>
    <w:multiLevelType w:val="hybridMultilevel"/>
    <w:tmpl w:val="4BE89AE6"/>
    <w:lvl w:ilvl="0" w:tplc="0C09000B">
      <w:start w:val="1"/>
      <w:numFmt w:val="bullet"/>
      <w:lvlText w:val=""/>
      <w:lvlJc w:val="left"/>
      <w:pPr>
        <w:ind w:left="1146" w:hanging="360"/>
      </w:pPr>
      <w:rPr>
        <w:rFonts w:ascii="Wingdings" w:hAnsi="Wingdings"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41104298"/>
    <w:multiLevelType w:val="hybridMultilevel"/>
    <w:tmpl w:val="20F4786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71A7742"/>
    <w:multiLevelType w:val="hybridMultilevel"/>
    <w:tmpl w:val="D982C9D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491A4109"/>
    <w:multiLevelType w:val="hybridMultilevel"/>
    <w:tmpl w:val="5AF6FD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AB13F12"/>
    <w:multiLevelType w:val="hybridMultilevel"/>
    <w:tmpl w:val="CB0C0B7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4EDA4573"/>
    <w:multiLevelType w:val="hybridMultilevel"/>
    <w:tmpl w:val="862CAE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19470B4"/>
    <w:multiLevelType w:val="hybridMultilevel"/>
    <w:tmpl w:val="EB9A1D18"/>
    <w:lvl w:ilvl="0" w:tplc="0C090001">
      <w:start w:val="1"/>
      <w:numFmt w:val="bullet"/>
      <w:lvlText w:val=""/>
      <w:lvlJc w:val="left"/>
      <w:pPr>
        <w:ind w:left="1185" w:hanging="360"/>
      </w:pPr>
      <w:rPr>
        <w:rFonts w:ascii="Symbol" w:hAnsi="Symbol" w:hint="default"/>
      </w:rPr>
    </w:lvl>
    <w:lvl w:ilvl="1" w:tplc="0C090003" w:tentative="1">
      <w:start w:val="1"/>
      <w:numFmt w:val="bullet"/>
      <w:lvlText w:val="o"/>
      <w:lvlJc w:val="left"/>
      <w:pPr>
        <w:ind w:left="1905" w:hanging="360"/>
      </w:pPr>
      <w:rPr>
        <w:rFonts w:ascii="Courier New" w:hAnsi="Courier New" w:cs="Courier New" w:hint="default"/>
      </w:rPr>
    </w:lvl>
    <w:lvl w:ilvl="2" w:tplc="0C090005" w:tentative="1">
      <w:start w:val="1"/>
      <w:numFmt w:val="bullet"/>
      <w:lvlText w:val=""/>
      <w:lvlJc w:val="left"/>
      <w:pPr>
        <w:ind w:left="2625" w:hanging="360"/>
      </w:pPr>
      <w:rPr>
        <w:rFonts w:ascii="Wingdings" w:hAnsi="Wingdings" w:hint="default"/>
      </w:rPr>
    </w:lvl>
    <w:lvl w:ilvl="3" w:tplc="0C090001" w:tentative="1">
      <w:start w:val="1"/>
      <w:numFmt w:val="bullet"/>
      <w:lvlText w:val=""/>
      <w:lvlJc w:val="left"/>
      <w:pPr>
        <w:ind w:left="3345" w:hanging="360"/>
      </w:pPr>
      <w:rPr>
        <w:rFonts w:ascii="Symbol" w:hAnsi="Symbol" w:hint="default"/>
      </w:rPr>
    </w:lvl>
    <w:lvl w:ilvl="4" w:tplc="0C090003" w:tentative="1">
      <w:start w:val="1"/>
      <w:numFmt w:val="bullet"/>
      <w:lvlText w:val="o"/>
      <w:lvlJc w:val="left"/>
      <w:pPr>
        <w:ind w:left="4065" w:hanging="360"/>
      </w:pPr>
      <w:rPr>
        <w:rFonts w:ascii="Courier New" w:hAnsi="Courier New" w:cs="Courier New" w:hint="default"/>
      </w:rPr>
    </w:lvl>
    <w:lvl w:ilvl="5" w:tplc="0C090005" w:tentative="1">
      <w:start w:val="1"/>
      <w:numFmt w:val="bullet"/>
      <w:lvlText w:val=""/>
      <w:lvlJc w:val="left"/>
      <w:pPr>
        <w:ind w:left="4785" w:hanging="360"/>
      </w:pPr>
      <w:rPr>
        <w:rFonts w:ascii="Wingdings" w:hAnsi="Wingdings" w:hint="default"/>
      </w:rPr>
    </w:lvl>
    <w:lvl w:ilvl="6" w:tplc="0C090001" w:tentative="1">
      <w:start w:val="1"/>
      <w:numFmt w:val="bullet"/>
      <w:lvlText w:val=""/>
      <w:lvlJc w:val="left"/>
      <w:pPr>
        <w:ind w:left="5505" w:hanging="360"/>
      </w:pPr>
      <w:rPr>
        <w:rFonts w:ascii="Symbol" w:hAnsi="Symbol" w:hint="default"/>
      </w:rPr>
    </w:lvl>
    <w:lvl w:ilvl="7" w:tplc="0C090003" w:tentative="1">
      <w:start w:val="1"/>
      <w:numFmt w:val="bullet"/>
      <w:lvlText w:val="o"/>
      <w:lvlJc w:val="left"/>
      <w:pPr>
        <w:ind w:left="6225" w:hanging="360"/>
      </w:pPr>
      <w:rPr>
        <w:rFonts w:ascii="Courier New" w:hAnsi="Courier New" w:cs="Courier New" w:hint="default"/>
      </w:rPr>
    </w:lvl>
    <w:lvl w:ilvl="8" w:tplc="0C090005" w:tentative="1">
      <w:start w:val="1"/>
      <w:numFmt w:val="bullet"/>
      <w:lvlText w:val=""/>
      <w:lvlJc w:val="left"/>
      <w:pPr>
        <w:ind w:left="6945" w:hanging="360"/>
      </w:pPr>
      <w:rPr>
        <w:rFonts w:ascii="Wingdings" w:hAnsi="Wingdings" w:hint="default"/>
      </w:rPr>
    </w:lvl>
  </w:abstractNum>
  <w:abstractNum w:abstractNumId="24" w15:restartNumberingAfterBreak="0">
    <w:nsid w:val="54212F7F"/>
    <w:multiLevelType w:val="hybridMultilevel"/>
    <w:tmpl w:val="D12CFE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B4D71DE"/>
    <w:multiLevelType w:val="hybridMultilevel"/>
    <w:tmpl w:val="4C604D6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FB6C9BF"/>
    <w:multiLevelType w:val="hybridMultilevel"/>
    <w:tmpl w:val="9E60C3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0A55D28"/>
    <w:multiLevelType w:val="hybridMultilevel"/>
    <w:tmpl w:val="3754F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1984DE4"/>
    <w:multiLevelType w:val="hybridMultilevel"/>
    <w:tmpl w:val="3C365C08"/>
    <w:lvl w:ilvl="0" w:tplc="3F1EF270">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7E58D4"/>
    <w:multiLevelType w:val="multilevel"/>
    <w:tmpl w:val="FB02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5B6341"/>
    <w:multiLevelType w:val="hybridMultilevel"/>
    <w:tmpl w:val="EF366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ACA07F2"/>
    <w:multiLevelType w:val="hybridMultilevel"/>
    <w:tmpl w:val="E36E6E9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2" w15:restartNumberingAfterBreak="0">
    <w:nsid w:val="6F9F6F4A"/>
    <w:multiLevelType w:val="hybridMultilevel"/>
    <w:tmpl w:val="83B2E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35E396E"/>
    <w:multiLevelType w:val="multilevel"/>
    <w:tmpl w:val="AE56A1B2"/>
    <w:lvl w:ilvl="0">
      <w:start w:val="1"/>
      <w:numFmt w:val="decimal"/>
      <w:pStyle w:val="Heading2"/>
      <w:lvlText w:val="%1."/>
      <w:lvlJc w:val="left"/>
      <w:pPr>
        <w:ind w:left="1211"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7A914ED6"/>
    <w:multiLevelType w:val="hybridMultilevel"/>
    <w:tmpl w:val="67606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33"/>
  </w:num>
  <w:num w:numId="4">
    <w:abstractNumId w:val="21"/>
  </w:num>
  <w:num w:numId="5">
    <w:abstractNumId w:val="19"/>
  </w:num>
  <w:num w:numId="6">
    <w:abstractNumId w:val="23"/>
  </w:num>
  <w:num w:numId="7">
    <w:abstractNumId w:val="5"/>
  </w:num>
  <w:num w:numId="8">
    <w:abstractNumId w:val="22"/>
  </w:num>
  <w:num w:numId="9">
    <w:abstractNumId w:val="33"/>
    <w:lvlOverride w:ilvl="0">
      <w:startOverride w:val="8"/>
    </w:lvlOverride>
  </w:num>
  <w:num w:numId="10">
    <w:abstractNumId w:val="28"/>
  </w:num>
  <w:num w:numId="11">
    <w:abstractNumId w:val="31"/>
  </w:num>
  <w:num w:numId="12">
    <w:abstractNumId w:val="17"/>
  </w:num>
  <w:num w:numId="13">
    <w:abstractNumId w:val="26"/>
  </w:num>
  <w:num w:numId="14">
    <w:abstractNumId w:val="15"/>
  </w:num>
  <w:num w:numId="15">
    <w:abstractNumId w:val="11"/>
  </w:num>
  <w:num w:numId="16">
    <w:abstractNumId w:val="8"/>
  </w:num>
  <w:num w:numId="17">
    <w:abstractNumId w:val="29"/>
  </w:num>
  <w:num w:numId="18">
    <w:abstractNumId w:val="2"/>
  </w:num>
  <w:num w:numId="19">
    <w:abstractNumId w:val="4"/>
  </w:num>
  <w:num w:numId="20">
    <w:abstractNumId w:val="0"/>
  </w:num>
  <w:num w:numId="21">
    <w:abstractNumId w:val="12"/>
  </w:num>
  <w:num w:numId="22">
    <w:abstractNumId w:val="14"/>
  </w:num>
  <w:num w:numId="23">
    <w:abstractNumId w:val="10"/>
  </w:num>
  <w:num w:numId="24">
    <w:abstractNumId w:val="20"/>
  </w:num>
  <w:num w:numId="25">
    <w:abstractNumId w:val="3"/>
  </w:num>
  <w:num w:numId="26">
    <w:abstractNumId w:val="9"/>
  </w:num>
  <w:num w:numId="27">
    <w:abstractNumId w:val="18"/>
  </w:num>
  <w:num w:numId="28">
    <w:abstractNumId w:val="24"/>
  </w:num>
  <w:num w:numId="29">
    <w:abstractNumId w:val="25"/>
  </w:num>
  <w:num w:numId="30">
    <w:abstractNumId w:val="27"/>
  </w:num>
  <w:num w:numId="31">
    <w:abstractNumId w:val="30"/>
  </w:num>
  <w:num w:numId="32">
    <w:abstractNumId w:val="34"/>
  </w:num>
  <w:num w:numId="33">
    <w:abstractNumId w:val="32"/>
  </w:num>
  <w:num w:numId="34">
    <w:abstractNumId w:val="16"/>
  </w:num>
  <w:num w:numId="35">
    <w:abstractNumId w:val="1"/>
  </w:num>
  <w:num w:numId="36">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oNotTrackFormatting/>
  <w:documentProtection w:edit="forms" w:enforcement="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7F2E"/>
    <w:rsid w:val="000110DC"/>
    <w:rsid w:val="00014112"/>
    <w:rsid w:val="00014499"/>
    <w:rsid w:val="000148E0"/>
    <w:rsid w:val="0001549E"/>
    <w:rsid w:val="0001576C"/>
    <w:rsid w:val="000158AA"/>
    <w:rsid w:val="000159B9"/>
    <w:rsid w:val="00016B6E"/>
    <w:rsid w:val="00023E21"/>
    <w:rsid w:val="00024659"/>
    <w:rsid w:val="00025048"/>
    <w:rsid w:val="00025ABC"/>
    <w:rsid w:val="00025CB7"/>
    <w:rsid w:val="00025DE2"/>
    <w:rsid w:val="00026412"/>
    <w:rsid w:val="00030B63"/>
    <w:rsid w:val="00031F6F"/>
    <w:rsid w:val="000323DE"/>
    <w:rsid w:val="00032BDB"/>
    <w:rsid w:val="00034634"/>
    <w:rsid w:val="00034D6E"/>
    <w:rsid w:val="0003535A"/>
    <w:rsid w:val="00036647"/>
    <w:rsid w:val="00036EA3"/>
    <w:rsid w:val="000429C8"/>
    <w:rsid w:val="000433EA"/>
    <w:rsid w:val="000450B7"/>
    <w:rsid w:val="00045426"/>
    <w:rsid w:val="0005089D"/>
    <w:rsid w:val="000525BC"/>
    <w:rsid w:val="0005352D"/>
    <w:rsid w:val="00053B30"/>
    <w:rsid w:val="000546E7"/>
    <w:rsid w:val="00054AF9"/>
    <w:rsid w:val="00054B77"/>
    <w:rsid w:val="00054E5D"/>
    <w:rsid w:val="000556A3"/>
    <w:rsid w:val="00056372"/>
    <w:rsid w:val="00056684"/>
    <w:rsid w:val="000602A5"/>
    <w:rsid w:val="00066A90"/>
    <w:rsid w:val="00067B8C"/>
    <w:rsid w:val="00070F77"/>
    <w:rsid w:val="000710C9"/>
    <w:rsid w:val="00072DBF"/>
    <w:rsid w:val="00073222"/>
    <w:rsid w:val="0007684A"/>
    <w:rsid w:val="000770BA"/>
    <w:rsid w:val="00084439"/>
    <w:rsid w:val="00091E34"/>
    <w:rsid w:val="00092580"/>
    <w:rsid w:val="00093811"/>
    <w:rsid w:val="000950C2"/>
    <w:rsid w:val="000955E7"/>
    <w:rsid w:val="00096028"/>
    <w:rsid w:val="000A110D"/>
    <w:rsid w:val="000A1E29"/>
    <w:rsid w:val="000A287E"/>
    <w:rsid w:val="000A2B7F"/>
    <w:rsid w:val="000A2E74"/>
    <w:rsid w:val="000A2F6F"/>
    <w:rsid w:val="000A478F"/>
    <w:rsid w:val="000A5B32"/>
    <w:rsid w:val="000A68F0"/>
    <w:rsid w:val="000A7185"/>
    <w:rsid w:val="000A74D1"/>
    <w:rsid w:val="000A77BC"/>
    <w:rsid w:val="000B11B5"/>
    <w:rsid w:val="000B18EA"/>
    <w:rsid w:val="000B3CD0"/>
    <w:rsid w:val="000B47BE"/>
    <w:rsid w:val="000B4AAB"/>
    <w:rsid w:val="000B62B7"/>
    <w:rsid w:val="000C1AAB"/>
    <w:rsid w:val="000C38FC"/>
    <w:rsid w:val="000C4498"/>
    <w:rsid w:val="000C78ED"/>
    <w:rsid w:val="000D066E"/>
    <w:rsid w:val="000D0831"/>
    <w:rsid w:val="000D18B0"/>
    <w:rsid w:val="000D25D7"/>
    <w:rsid w:val="000D2E07"/>
    <w:rsid w:val="000D40D4"/>
    <w:rsid w:val="000D44C2"/>
    <w:rsid w:val="000D4FB6"/>
    <w:rsid w:val="000D75B2"/>
    <w:rsid w:val="000E13DC"/>
    <w:rsid w:val="000E2850"/>
    <w:rsid w:val="000E47E7"/>
    <w:rsid w:val="000E5439"/>
    <w:rsid w:val="000F0F9A"/>
    <w:rsid w:val="000F1142"/>
    <w:rsid w:val="000F268A"/>
    <w:rsid w:val="000F3D56"/>
    <w:rsid w:val="000F50D2"/>
    <w:rsid w:val="001004CD"/>
    <w:rsid w:val="00102686"/>
    <w:rsid w:val="0010277B"/>
    <w:rsid w:val="0010667A"/>
    <w:rsid w:val="0011036E"/>
    <w:rsid w:val="001130B0"/>
    <w:rsid w:val="0011369B"/>
    <w:rsid w:val="0011742E"/>
    <w:rsid w:val="00117BA8"/>
    <w:rsid w:val="0012003A"/>
    <w:rsid w:val="00120490"/>
    <w:rsid w:val="00121BE5"/>
    <w:rsid w:val="00122F27"/>
    <w:rsid w:val="00123D10"/>
    <w:rsid w:val="00126B33"/>
    <w:rsid w:val="00131966"/>
    <w:rsid w:val="00131A91"/>
    <w:rsid w:val="00134697"/>
    <w:rsid w:val="001372BE"/>
    <w:rsid w:val="00143E76"/>
    <w:rsid w:val="0014404B"/>
    <w:rsid w:val="00144D3A"/>
    <w:rsid w:val="00144E3C"/>
    <w:rsid w:val="00147C4B"/>
    <w:rsid w:val="00147EA8"/>
    <w:rsid w:val="00150C7B"/>
    <w:rsid w:val="001530CC"/>
    <w:rsid w:val="001539D3"/>
    <w:rsid w:val="00154B00"/>
    <w:rsid w:val="0015540F"/>
    <w:rsid w:val="001560EC"/>
    <w:rsid w:val="00157225"/>
    <w:rsid w:val="001617E3"/>
    <w:rsid w:val="00162108"/>
    <w:rsid w:val="001644E9"/>
    <w:rsid w:val="001667A6"/>
    <w:rsid w:val="0016701F"/>
    <w:rsid w:val="00167DB7"/>
    <w:rsid w:val="00171FA2"/>
    <w:rsid w:val="00172253"/>
    <w:rsid w:val="001775FD"/>
    <w:rsid w:val="00181B13"/>
    <w:rsid w:val="00181E53"/>
    <w:rsid w:val="00183293"/>
    <w:rsid w:val="001845D9"/>
    <w:rsid w:val="00184960"/>
    <w:rsid w:val="001857AA"/>
    <w:rsid w:val="00185EF5"/>
    <w:rsid w:val="0018630F"/>
    <w:rsid w:val="00187FB2"/>
    <w:rsid w:val="001906CD"/>
    <w:rsid w:val="00191B99"/>
    <w:rsid w:val="00193758"/>
    <w:rsid w:val="00193F76"/>
    <w:rsid w:val="0019501B"/>
    <w:rsid w:val="00195B30"/>
    <w:rsid w:val="0019694B"/>
    <w:rsid w:val="00197D29"/>
    <w:rsid w:val="001A02E3"/>
    <w:rsid w:val="001A17E1"/>
    <w:rsid w:val="001A1ADF"/>
    <w:rsid w:val="001A365C"/>
    <w:rsid w:val="001A5DF3"/>
    <w:rsid w:val="001A6CFE"/>
    <w:rsid w:val="001A6F96"/>
    <w:rsid w:val="001B02D6"/>
    <w:rsid w:val="001B0C11"/>
    <w:rsid w:val="001B171D"/>
    <w:rsid w:val="001B286C"/>
    <w:rsid w:val="001B29A1"/>
    <w:rsid w:val="001B353C"/>
    <w:rsid w:val="001B4AEE"/>
    <w:rsid w:val="001B5169"/>
    <w:rsid w:val="001B580C"/>
    <w:rsid w:val="001B591F"/>
    <w:rsid w:val="001B6164"/>
    <w:rsid w:val="001B7E9D"/>
    <w:rsid w:val="001C276E"/>
    <w:rsid w:val="001C323C"/>
    <w:rsid w:val="001C39F3"/>
    <w:rsid w:val="001C778C"/>
    <w:rsid w:val="001D0BA2"/>
    <w:rsid w:val="001D19E7"/>
    <w:rsid w:val="001D1E46"/>
    <w:rsid w:val="001D5688"/>
    <w:rsid w:val="001D77ED"/>
    <w:rsid w:val="001E1180"/>
    <w:rsid w:val="001E1202"/>
    <w:rsid w:val="001E23EA"/>
    <w:rsid w:val="001E3257"/>
    <w:rsid w:val="001E443C"/>
    <w:rsid w:val="001E484E"/>
    <w:rsid w:val="001E6919"/>
    <w:rsid w:val="001E6958"/>
    <w:rsid w:val="001F0067"/>
    <w:rsid w:val="001F0103"/>
    <w:rsid w:val="001F276F"/>
    <w:rsid w:val="001F330B"/>
    <w:rsid w:val="001F5440"/>
    <w:rsid w:val="001F5D39"/>
    <w:rsid w:val="00201924"/>
    <w:rsid w:val="00201A3A"/>
    <w:rsid w:val="00202473"/>
    <w:rsid w:val="00202D99"/>
    <w:rsid w:val="0020516C"/>
    <w:rsid w:val="002053F2"/>
    <w:rsid w:val="00206D63"/>
    <w:rsid w:val="0021063F"/>
    <w:rsid w:val="00210BD2"/>
    <w:rsid w:val="0021185D"/>
    <w:rsid w:val="0021199D"/>
    <w:rsid w:val="0021278A"/>
    <w:rsid w:val="00212CE7"/>
    <w:rsid w:val="00212EB4"/>
    <w:rsid w:val="00213C63"/>
    <w:rsid w:val="00215C52"/>
    <w:rsid w:val="002178CC"/>
    <w:rsid w:val="00220909"/>
    <w:rsid w:val="00220C80"/>
    <w:rsid w:val="00221484"/>
    <w:rsid w:val="002242D9"/>
    <w:rsid w:val="00226777"/>
    <w:rsid w:val="00227622"/>
    <w:rsid w:val="002279A3"/>
    <w:rsid w:val="00231165"/>
    <w:rsid w:val="002312F4"/>
    <w:rsid w:val="00232A62"/>
    <w:rsid w:val="00233109"/>
    <w:rsid w:val="00233737"/>
    <w:rsid w:val="00234D11"/>
    <w:rsid w:val="002352A3"/>
    <w:rsid w:val="00235BD1"/>
    <w:rsid w:val="0024159E"/>
    <w:rsid w:val="00242B0E"/>
    <w:rsid w:val="00242EA6"/>
    <w:rsid w:val="0024568D"/>
    <w:rsid w:val="002464C9"/>
    <w:rsid w:val="00247887"/>
    <w:rsid w:val="00247DF0"/>
    <w:rsid w:val="00250EA0"/>
    <w:rsid w:val="00253803"/>
    <w:rsid w:val="00253995"/>
    <w:rsid w:val="00254813"/>
    <w:rsid w:val="0025548B"/>
    <w:rsid w:val="00255719"/>
    <w:rsid w:val="00255B1F"/>
    <w:rsid w:val="002572C8"/>
    <w:rsid w:val="00257FF2"/>
    <w:rsid w:val="00260F0F"/>
    <w:rsid w:val="00261BE4"/>
    <w:rsid w:val="0026437B"/>
    <w:rsid w:val="0026500D"/>
    <w:rsid w:val="00265822"/>
    <w:rsid w:val="00265A44"/>
    <w:rsid w:val="00267317"/>
    <w:rsid w:val="00267569"/>
    <w:rsid w:val="0026770F"/>
    <w:rsid w:val="0027105F"/>
    <w:rsid w:val="002711FB"/>
    <w:rsid w:val="002775FC"/>
    <w:rsid w:val="002818D4"/>
    <w:rsid w:val="002825EA"/>
    <w:rsid w:val="00283318"/>
    <w:rsid w:val="00285525"/>
    <w:rsid w:val="00285718"/>
    <w:rsid w:val="00285AFA"/>
    <w:rsid w:val="00285E59"/>
    <w:rsid w:val="0028642C"/>
    <w:rsid w:val="002915A3"/>
    <w:rsid w:val="00294194"/>
    <w:rsid w:val="00294CD8"/>
    <w:rsid w:val="00295036"/>
    <w:rsid w:val="002952E1"/>
    <w:rsid w:val="002A1900"/>
    <w:rsid w:val="002A24A5"/>
    <w:rsid w:val="002A270B"/>
    <w:rsid w:val="002A294C"/>
    <w:rsid w:val="002A50FD"/>
    <w:rsid w:val="002A63E8"/>
    <w:rsid w:val="002A6753"/>
    <w:rsid w:val="002B11BA"/>
    <w:rsid w:val="002B28D7"/>
    <w:rsid w:val="002B2BA4"/>
    <w:rsid w:val="002B5B68"/>
    <w:rsid w:val="002B63CC"/>
    <w:rsid w:val="002B7EB6"/>
    <w:rsid w:val="002C0B61"/>
    <w:rsid w:val="002C15E6"/>
    <w:rsid w:val="002C1ECC"/>
    <w:rsid w:val="002C247D"/>
    <w:rsid w:val="002C3345"/>
    <w:rsid w:val="002C5984"/>
    <w:rsid w:val="002C5CAC"/>
    <w:rsid w:val="002D03B5"/>
    <w:rsid w:val="002D3AC6"/>
    <w:rsid w:val="002D409A"/>
    <w:rsid w:val="002D6C18"/>
    <w:rsid w:val="002E2A2C"/>
    <w:rsid w:val="002E2F31"/>
    <w:rsid w:val="002E32E9"/>
    <w:rsid w:val="002E384F"/>
    <w:rsid w:val="002E4EB6"/>
    <w:rsid w:val="002E5222"/>
    <w:rsid w:val="002F30E7"/>
    <w:rsid w:val="002F35CB"/>
    <w:rsid w:val="002F4BE3"/>
    <w:rsid w:val="002F6670"/>
    <w:rsid w:val="002F66F7"/>
    <w:rsid w:val="002F7A91"/>
    <w:rsid w:val="00300EEB"/>
    <w:rsid w:val="003013A9"/>
    <w:rsid w:val="003020B5"/>
    <w:rsid w:val="003027BB"/>
    <w:rsid w:val="00304712"/>
    <w:rsid w:val="003063E6"/>
    <w:rsid w:val="0030646A"/>
    <w:rsid w:val="00307CD6"/>
    <w:rsid w:val="00310A10"/>
    <w:rsid w:val="003130FB"/>
    <w:rsid w:val="003151AE"/>
    <w:rsid w:val="0031538F"/>
    <w:rsid w:val="00320156"/>
    <w:rsid w:val="003208BB"/>
    <w:rsid w:val="003234E3"/>
    <w:rsid w:val="00323E6C"/>
    <w:rsid w:val="00324836"/>
    <w:rsid w:val="003252AB"/>
    <w:rsid w:val="003275DA"/>
    <w:rsid w:val="00327D25"/>
    <w:rsid w:val="003319A7"/>
    <w:rsid w:val="00332F17"/>
    <w:rsid w:val="00333406"/>
    <w:rsid w:val="00334484"/>
    <w:rsid w:val="00334FE3"/>
    <w:rsid w:val="003365F6"/>
    <w:rsid w:val="00337E17"/>
    <w:rsid w:val="003421AE"/>
    <w:rsid w:val="003433D1"/>
    <w:rsid w:val="00344B24"/>
    <w:rsid w:val="003456B9"/>
    <w:rsid w:val="00345C2A"/>
    <w:rsid w:val="00346A98"/>
    <w:rsid w:val="0035067D"/>
    <w:rsid w:val="00351079"/>
    <w:rsid w:val="00352B60"/>
    <w:rsid w:val="003537EB"/>
    <w:rsid w:val="00353A03"/>
    <w:rsid w:val="00353A16"/>
    <w:rsid w:val="00354B37"/>
    <w:rsid w:val="00354CEE"/>
    <w:rsid w:val="0035776D"/>
    <w:rsid w:val="00357FA9"/>
    <w:rsid w:val="0036274F"/>
    <w:rsid w:val="00364FD9"/>
    <w:rsid w:val="00365FB9"/>
    <w:rsid w:val="00367C1B"/>
    <w:rsid w:val="00372DF5"/>
    <w:rsid w:val="00375AAA"/>
    <w:rsid w:val="00376B61"/>
    <w:rsid w:val="003813C6"/>
    <w:rsid w:val="00382407"/>
    <w:rsid w:val="00382BCA"/>
    <w:rsid w:val="003836BA"/>
    <w:rsid w:val="003852E1"/>
    <w:rsid w:val="00386A64"/>
    <w:rsid w:val="00386FA1"/>
    <w:rsid w:val="00387809"/>
    <w:rsid w:val="00390142"/>
    <w:rsid w:val="0039097A"/>
    <w:rsid w:val="00392F00"/>
    <w:rsid w:val="00396F7E"/>
    <w:rsid w:val="00397377"/>
    <w:rsid w:val="003974C4"/>
    <w:rsid w:val="003A0469"/>
    <w:rsid w:val="003A0851"/>
    <w:rsid w:val="003A1358"/>
    <w:rsid w:val="003A22DE"/>
    <w:rsid w:val="003A23CA"/>
    <w:rsid w:val="003A2860"/>
    <w:rsid w:val="003A3557"/>
    <w:rsid w:val="003A3C35"/>
    <w:rsid w:val="003A598C"/>
    <w:rsid w:val="003A7D30"/>
    <w:rsid w:val="003B0DAC"/>
    <w:rsid w:val="003B2504"/>
    <w:rsid w:val="003B3C5C"/>
    <w:rsid w:val="003C1246"/>
    <w:rsid w:val="003C3905"/>
    <w:rsid w:val="003C3B32"/>
    <w:rsid w:val="003C3EB9"/>
    <w:rsid w:val="003C47CA"/>
    <w:rsid w:val="003C4A61"/>
    <w:rsid w:val="003C4E70"/>
    <w:rsid w:val="003D2E0F"/>
    <w:rsid w:val="003D6DE1"/>
    <w:rsid w:val="003D795C"/>
    <w:rsid w:val="003E2A4F"/>
    <w:rsid w:val="003E2C27"/>
    <w:rsid w:val="003E30FB"/>
    <w:rsid w:val="003E4A85"/>
    <w:rsid w:val="003E6240"/>
    <w:rsid w:val="003F1E00"/>
    <w:rsid w:val="003F2711"/>
    <w:rsid w:val="003F29AB"/>
    <w:rsid w:val="003F55EB"/>
    <w:rsid w:val="003F59D5"/>
    <w:rsid w:val="003F6BFF"/>
    <w:rsid w:val="003F6C70"/>
    <w:rsid w:val="003F7CB9"/>
    <w:rsid w:val="00403333"/>
    <w:rsid w:val="004036AC"/>
    <w:rsid w:val="00405473"/>
    <w:rsid w:val="00411735"/>
    <w:rsid w:val="004124BB"/>
    <w:rsid w:val="00412CF9"/>
    <w:rsid w:val="00415224"/>
    <w:rsid w:val="00415543"/>
    <w:rsid w:val="00415C74"/>
    <w:rsid w:val="004161CD"/>
    <w:rsid w:val="004162B0"/>
    <w:rsid w:val="00420189"/>
    <w:rsid w:val="004209D4"/>
    <w:rsid w:val="0042443B"/>
    <w:rsid w:val="00424875"/>
    <w:rsid w:val="00425ED0"/>
    <w:rsid w:val="00426225"/>
    <w:rsid w:val="0043111B"/>
    <w:rsid w:val="004350E4"/>
    <w:rsid w:val="00436089"/>
    <w:rsid w:val="0043654D"/>
    <w:rsid w:val="00437379"/>
    <w:rsid w:val="00437C44"/>
    <w:rsid w:val="004404C9"/>
    <w:rsid w:val="00440618"/>
    <w:rsid w:val="00441DAD"/>
    <w:rsid w:val="00444ECC"/>
    <w:rsid w:val="00451173"/>
    <w:rsid w:val="00451840"/>
    <w:rsid w:val="00460C9A"/>
    <w:rsid w:val="0046190E"/>
    <w:rsid w:val="00462407"/>
    <w:rsid w:val="0046275A"/>
    <w:rsid w:val="00464924"/>
    <w:rsid w:val="00467693"/>
    <w:rsid w:val="00467982"/>
    <w:rsid w:val="00471658"/>
    <w:rsid w:val="00473208"/>
    <w:rsid w:val="00473D30"/>
    <w:rsid w:val="0047581D"/>
    <w:rsid w:val="00475FCF"/>
    <w:rsid w:val="00477E98"/>
    <w:rsid w:val="00480289"/>
    <w:rsid w:val="004811CA"/>
    <w:rsid w:val="00481279"/>
    <w:rsid w:val="00482EC1"/>
    <w:rsid w:val="00483368"/>
    <w:rsid w:val="00483733"/>
    <w:rsid w:val="00483DEB"/>
    <w:rsid w:val="00484899"/>
    <w:rsid w:val="004873AE"/>
    <w:rsid w:val="004879CB"/>
    <w:rsid w:val="00487C6B"/>
    <w:rsid w:val="0049094D"/>
    <w:rsid w:val="00492175"/>
    <w:rsid w:val="0049245F"/>
    <w:rsid w:val="0049248F"/>
    <w:rsid w:val="00494011"/>
    <w:rsid w:val="00497675"/>
    <w:rsid w:val="004A0BF4"/>
    <w:rsid w:val="004A263B"/>
    <w:rsid w:val="004A29EF"/>
    <w:rsid w:val="004A75BC"/>
    <w:rsid w:val="004B0CED"/>
    <w:rsid w:val="004B4523"/>
    <w:rsid w:val="004B68AE"/>
    <w:rsid w:val="004B72AB"/>
    <w:rsid w:val="004C21DD"/>
    <w:rsid w:val="004C2858"/>
    <w:rsid w:val="004C35B0"/>
    <w:rsid w:val="004C363F"/>
    <w:rsid w:val="004C4908"/>
    <w:rsid w:val="004C49EF"/>
    <w:rsid w:val="004C4A19"/>
    <w:rsid w:val="004C4C0B"/>
    <w:rsid w:val="004C5570"/>
    <w:rsid w:val="004D00C9"/>
    <w:rsid w:val="004D1053"/>
    <w:rsid w:val="004D1BA3"/>
    <w:rsid w:val="004D234C"/>
    <w:rsid w:val="004D2B5C"/>
    <w:rsid w:val="004D586A"/>
    <w:rsid w:val="004D6988"/>
    <w:rsid w:val="004D79CB"/>
    <w:rsid w:val="004E16F5"/>
    <w:rsid w:val="004E3CC7"/>
    <w:rsid w:val="004E3FF2"/>
    <w:rsid w:val="004E5B69"/>
    <w:rsid w:val="004E6379"/>
    <w:rsid w:val="004E76BE"/>
    <w:rsid w:val="004F0040"/>
    <w:rsid w:val="004F1783"/>
    <w:rsid w:val="004F2A87"/>
    <w:rsid w:val="004F51FB"/>
    <w:rsid w:val="004F5450"/>
    <w:rsid w:val="004F5D1A"/>
    <w:rsid w:val="004F777E"/>
    <w:rsid w:val="0050354B"/>
    <w:rsid w:val="005038AF"/>
    <w:rsid w:val="00507C56"/>
    <w:rsid w:val="00510FF8"/>
    <w:rsid w:val="00511D07"/>
    <w:rsid w:val="0051241F"/>
    <w:rsid w:val="0051516B"/>
    <w:rsid w:val="005231C9"/>
    <w:rsid w:val="0052344E"/>
    <w:rsid w:val="00524B6A"/>
    <w:rsid w:val="00524FED"/>
    <w:rsid w:val="00525A67"/>
    <w:rsid w:val="00526478"/>
    <w:rsid w:val="005268AA"/>
    <w:rsid w:val="00530204"/>
    <w:rsid w:val="005313F5"/>
    <w:rsid w:val="0053485C"/>
    <w:rsid w:val="00534C5F"/>
    <w:rsid w:val="00535554"/>
    <w:rsid w:val="00535A24"/>
    <w:rsid w:val="00535CD1"/>
    <w:rsid w:val="0053736D"/>
    <w:rsid w:val="00540257"/>
    <w:rsid w:val="00540E28"/>
    <w:rsid w:val="0054192F"/>
    <w:rsid w:val="005420AE"/>
    <w:rsid w:val="00544EB3"/>
    <w:rsid w:val="0054594B"/>
    <w:rsid w:val="0054749B"/>
    <w:rsid w:val="00551713"/>
    <w:rsid w:val="00551CC6"/>
    <w:rsid w:val="00554FD4"/>
    <w:rsid w:val="00555BBE"/>
    <w:rsid w:val="005575F0"/>
    <w:rsid w:val="00557BC8"/>
    <w:rsid w:val="00560541"/>
    <w:rsid w:val="005610D4"/>
    <w:rsid w:val="00561B42"/>
    <w:rsid w:val="0056201F"/>
    <w:rsid w:val="005672D0"/>
    <w:rsid w:val="0057072D"/>
    <w:rsid w:val="00570789"/>
    <w:rsid w:val="00571A9A"/>
    <w:rsid w:val="00572CEB"/>
    <w:rsid w:val="00574665"/>
    <w:rsid w:val="00574C35"/>
    <w:rsid w:val="0057514D"/>
    <w:rsid w:val="00575807"/>
    <w:rsid w:val="00577746"/>
    <w:rsid w:val="005834C9"/>
    <w:rsid w:val="005851E0"/>
    <w:rsid w:val="00586610"/>
    <w:rsid w:val="0058770A"/>
    <w:rsid w:val="005902D8"/>
    <w:rsid w:val="00592286"/>
    <w:rsid w:val="005924D6"/>
    <w:rsid w:val="00595E49"/>
    <w:rsid w:val="005A0279"/>
    <w:rsid w:val="005A1D3D"/>
    <w:rsid w:val="005A58BA"/>
    <w:rsid w:val="005A5D30"/>
    <w:rsid w:val="005A6AB9"/>
    <w:rsid w:val="005A77B9"/>
    <w:rsid w:val="005B27D4"/>
    <w:rsid w:val="005B4B19"/>
    <w:rsid w:val="005B635B"/>
    <w:rsid w:val="005B7854"/>
    <w:rsid w:val="005C333E"/>
    <w:rsid w:val="005C340E"/>
    <w:rsid w:val="005C3AE7"/>
    <w:rsid w:val="005C7D72"/>
    <w:rsid w:val="005D002D"/>
    <w:rsid w:val="005D0677"/>
    <w:rsid w:val="005D1636"/>
    <w:rsid w:val="005D2FF9"/>
    <w:rsid w:val="005D4757"/>
    <w:rsid w:val="005D6C8C"/>
    <w:rsid w:val="005E294C"/>
    <w:rsid w:val="005E2CE3"/>
    <w:rsid w:val="005E2EBE"/>
    <w:rsid w:val="005F14E6"/>
    <w:rsid w:val="005F3F07"/>
    <w:rsid w:val="005F5500"/>
    <w:rsid w:val="005F645C"/>
    <w:rsid w:val="005F6B9A"/>
    <w:rsid w:val="005F6F69"/>
    <w:rsid w:val="00600D56"/>
    <w:rsid w:val="00602B89"/>
    <w:rsid w:val="00603281"/>
    <w:rsid w:val="00603D04"/>
    <w:rsid w:val="00604158"/>
    <w:rsid w:val="00606857"/>
    <w:rsid w:val="00615AA8"/>
    <w:rsid w:val="00615F42"/>
    <w:rsid w:val="00616481"/>
    <w:rsid w:val="006212C7"/>
    <w:rsid w:val="0062294C"/>
    <w:rsid w:val="00622BB5"/>
    <w:rsid w:val="00625212"/>
    <w:rsid w:val="006258C2"/>
    <w:rsid w:val="00625C7F"/>
    <w:rsid w:val="00626365"/>
    <w:rsid w:val="006265BC"/>
    <w:rsid w:val="00626A8C"/>
    <w:rsid w:val="00630E22"/>
    <w:rsid w:val="00633974"/>
    <w:rsid w:val="006400BB"/>
    <w:rsid w:val="00640133"/>
    <w:rsid w:val="0064168C"/>
    <w:rsid w:val="0064174D"/>
    <w:rsid w:val="00641C09"/>
    <w:rsid w:val="00647D6E"/>
    <w:rsid w:val="006549A0"/>
    <w:rsid w:val="00654A7E"/>
    <w:rsid w:val="00656312"/>
    <w:rsid w:val="00657B46"/>
    <w:rsid w:val="006601D1"/>
    <w:rsid w:val="00663BAF"/>
    <w:rsid w:val="00664E87"/>
    <w:rsid w:val="00665077"/>
    <w:rsid w:val="00665351"/>
    <w:rsid w:val="00666A52"/>
    <w:rsid w:val="00673EDA"/>
    <w:rsid w:val="00674AB2"/>
    <w:rsid w:val="006764EC"/>
    <w:rsid w:val="00676912"/>
    <w:rsid w:val="00680D65"/>
    <w:rsid w:val="006835FE"/>
    <w:rsid w:val="00683E32"/>
    <w:rsid w:val="006842A5"/>
    <w:rsid w:val="00686EC8"/>
    <w:rsid w:val="00691505"/>
    <w:rsid w:val="006935BD"/>
    <w:rsid w:val="00693BFD"/>
    <w:rsid w:val="0069477E"/>
    <w:rsid w:val="00695065"/>
    <w:rsid w:val="00696447"/>
    <w:rsid w:val="00697473"/>
    <w:rsid w:val="00697EF6"/>
    <w:rsid w:val="006A0F9D"/>
    <w:rsid w:val="006A1038"/>
    <w:rsid w:val="006A36D7"/>
    <w:rsid w:val="006A396E"/>
    <w:rsid w:val="006A649A"/>
    <w:rsid w:val="006A7D9E"/>
    <w:rsid w:val="006B0236"/>
    <w:rsid w:val="006B105D"/>
    <w:rsid w:val="006B1B49"/>
    <w:rsid w:val="006B1D97"/>
    <w:rsid w:val="006B34A7"/>
    <w:rsid w:val="006B363C"/>
    <w:rsid w:val="006B6390"/>
    <w:rsid w:val="006C0356"/>
    <w:rsid w:val="006C0843"/>
    <w:rsid w:val="006C370B"/>
    <w:rsid w:val="006C5158"/>
    <w:rsid w:val="006C5406"/>
    <w:rsid w:val="006C543E"/>
    <w:rsid w:val="006C74B1"/>
    <w:rsid w:val="006C7D96"/>
    <w:rsid w:val="006D2243"/>
    <w:rsid w:val="006D2BCD"/>
    <w:rsid w:val="006D2C85"/>
    <w:rsid w:val="006D6D6A"/>
    <w:rsid w:val="006D74D3"/>
    <w:rsid w:val="006E2B0C"/>
    <w:rsid w:val="006E3B58"/>
    <w:rsid w:val="006E57AA"/>
    <w:rsid w:val="006F1E87"/>
    <w:rsid w:val="006F20CF"/>
    <w:rsid w:val="006F38ED"/>
    <w:rsid w:val="006F707B"/>
    <w:rsid w:val="007063F8"/>
    <w:rsid w:val="00707D4D"/>
    <w:rsid w:val="00710269"/>
    <w:rsid w:val="0071281B"/>
    <w:rsid w:val="00715C40"/>
    <w:rsid w:val="00715D99"/>
    <w:rsid w:val="00717803"/>
    <w:rsid w:val="0072188A"/>
    <w:rsid w:val="00721DB9"/>
    <w:rsid w:val="007226AA"/>
    <w:rsid w:val="00723503"/>
    <w:rsid w:val="00724479"/>
    <w:rsid w:val="00725113"/>
    <w:rsid w:val="00725CB3"/>
    <w:rsid w:val="00730601"/>
    <w:rsid w:val="00730C04"/>
    <w:rsid w:val="00732837"/>
    <w:rsid w:val="0073597B"/>
    <w:rsid w:val="00735CC9"/>
    <w:rsid w:val="00735F2C"/>
    <w:rsid w:val="00737869"/>
    <w:rsid w:val="007378F6"/>
    <w:rsid w:val="007404D3"/>
    <w:rsid w:val="007418BC"/>
    <w:rsid w:val="00741EB6"/>
    <w:rsid w:val="00743A64"/>
    <w:rsid w:val="0074545D"/>
    <w:rsid w:val="00746A27"/>
    <w:rsid w:val="007522E3"/>
    <w:rsid w:val="00752F41"/>
    <w:rsid w:val="0075335B"/>
    <w:rsid w:val="00753C44"/>
    <w:rsid w:val="00754383"/>
    <w:rsid w:val="007550D1"/>
    <w:rsid w:val="0075624B"/>
    <w:rsid w:val="007564D1"/>
    <w:rsid w:val="00757232"/>
    <w:rsid w:val="00760679"/>
    <w:rsid w:val="007609B7"/>
    <w:rsid w:val="00762416"/>
    <w:rsid w:val="00762B78"/>
    <w:rsid w:val="00763377"/>
    <w:rsid w:val="00763628"/>
    <w:rsid w:val="00766A8F"/>
    <w:rsid w:val="007678A5"/>
    <w:rsid w:val="00767E99"/>
    <w:rsid w:val="00772E62"/>
    <w:rsid w:val="00776DE9"/>
    <w:rsid w:val="0077789B"/>
    <w:rsid w:val="00780D29"/>
    <w:rsid w:val="00781AD9"/>
    <w:rsid w:val="007846C8"/>
    <w:rsid w:val="007874C2"/>
    <w:rsid w:val="00790305"/>
    <w:rsid w:val="007905F1"/>
    <w:rsid w:val="00791C8D"/>
    <w:rsid w:val="00794181"/>
    <w:rsid w:val="0079597E"/>
    <w:rsid w:val="00796ECA"/>
    <w:rsid w:val="00796FC7"/>
    <w:rsid w:val="007A1B7B"/>
    <w:rsid w:val="007A6CD3"/>
    <w:rsid w:val="007A7F6F"/>
    <w:rsid w:val="007B25D7"/>
    <w:rsid w:val="007B4C76"/>
    <w:rsid w:val="007B5AC3"/>
    <w:rsid w:val="007C0FA4"/>
    <w:rsid w:val="007C129F"/>
    <w:rsid w:val="007C2260"/>
    <w:rsid w:val="007C53EF"/>
    <w:rsid w:val="007C53F2"/>
    <w:rsid w:val="007C7800"/>
    <w:rsid w:val="007D0192"/>
    <w:rsid w:val="007D1E52"/>
    <w:rsid w:val="007D230C"/>
    <w:rsid w:val="007D2358"/>
    <w:rsid w:val="007D315B"/>
    <w:rsid w:val="007D4B8C"/>
    <w:rsid w:val="007D64D8"/>
    <w:rsid w:val="007E15C0"/>
    <w:rsid w:val="007E172A"/>
    <w:rsid w:val="007E39E4"/>
    <w:rsid w:val="007E4786"/>
    <w:rsid w:val="007E4C67"/>
    <w:rsid w:val="007E6BFB"/>
    <w:rsid w:val="007E6FB3"/>
    <w:rsid w:val="007F1A4D"/>
    <w:rsid w:val="007F1B20"/>
    <w:rsid w:val="007F21B4"/>
    <w:rsid w:val="007F29EA"/>
    <w:rsid w:val="007F628C"/>
    <w:rsid w:val="007F6452"/>
    <w:rsid w:val="00801574"/>
    <w:rsid w:val="00802553"/>
    <w:rsid w:val="00803EAB"/>
    <w:rsid w:val="008046B5"/>
    <w:rsid w:val="00812152"/>
    <w:rsid w:val="008127C0"/>
    <w:rsid w:val="00812872"/>
    <w:rsid w:val="00812D3B"/>
    <w:rsid w:val="00812EDD"/>
    <w:rsid w:val="00813174"/>
    <w:rsid w:val="008139C5"/>
    <w:rsid w:val="008160BF"/>
    <w:rsid w:val="0081650F"/>
    <w:rsid w:val="008166B2"/>
    <w:rsid w:val="00830FD5"/>
    <w:rsid w:val="00832B31"/>
    <w:rsid w:val="00836558"/>
    <w:rsid w:val="00836AFE"/>
    <w:rsid w:val="008403E0"/>
    <w:rsid w:val="00840465"/>
    <w:rsid w:val="008445BE"/>
    <w:rsid w:val="0084657B"/>
    <w:rsid w:val="008513DC"/>
    <w:rsid w:val="008521C1"/>
    <w:rsid w:val="008522CB"/>
    <w:rsid w:val="00852A29"/>
    <w:rsid w:val="00855944"/>
    <w:rsid w:val="00857A27"/>
    <w:rsid w:val="00857FA2"/>
    <w:rsid w:val="0086068A"/>
    <w:rsid w:val="00862F93"/>
    <w:rsid w:val="008631A5"/>
    <w:rsid w:val="008631C0"/>
    <w:rsid w:val="00864A18"/>
    <w:rsid w:val="008663DB"/>
    <w:rsid w:val="00866CE7"/>
    <w:rsid w:val="008701AC"/>
    <w:rsid w:val="00870833"/>
    <w:rsid w:val="0087130B"/>
    <w:rsid w:val="00874571"/>
    <w:rsid w:val="008747E3"/>
    <w:rsid w:val="00874DC1"/>
    <w:rsid w:val="00881471"/>
    <w:rsid w:val="008814F5"/>
    <w:rsid w:val="008815B2"/>
    <w:rsid w:val="00881F93"/>
    <w:rsid w:val="00882CB5"/>
    <w:rsid w:val="00883200"/>
    <w:rsid w:val="00883641"/>
    <w:rsid w:val="00884E69"/>
    <w:rsid w:val="00890082"/>
    <w:rsid w:val="008918BE"/>
    <w:rsid w:val="00891CC2"/>
    <w:rsid w:val="00891D8E"/>
    <w:rsid w:val="008928D0"/>
    <w:rsid w:val="00892954"/>
    <w:rsid w:val="00894CD3"/>
    <w:rsid w:val="00896CD6"/>
    <w:rsid w:val="008974FE"/>
    <w:rsid w:val="00897ED9"/>
    <w:rsid w:val="008A13CF"/>
    <w:rsid w:val="008A48D2"/>
    <w:rsid w:val="008A680F"/>
    <w:rsid w:val="008A734C"/>
    <w:rsid w:val="008A74EC"/>
    <w:rsid w:val="008B0F21"/>
    <w:rsid w:val="008B2610"/>
    <w:rsid w:val="008B471D"/>
    <w:rsid w:val="008B4860"/>
    <w:rsid w:val="008B49E4"/>
    <w:rsid w:val="008B5A7D"/>
    <w:rsid w:val="008B6977"/>
    <w:rsid w:val="008B729C"/>
    <w:rsid w:val="008B7ECC"/>
    <w:rsid w:val="008C1E99"/>
    <w:rsid w:val="008C20AC"/>
    <w:rsid w:val="008C3D60"/>
    <w:rsid w:val="008C4715"/>
    <w:rsid w:val="008C4A93"/>
    <w:rsid w:val="008C4F1C"/>
    <w:rsid w:val="008D030E"/>
    <w:rsid w:val="008D2D3E"/>
    <w:rsid w:val="008D33F8"/>
    <w:rsid w:val="008D75DA"/>
    <w:rsid w:val="008E0E49"/>
    <w:rsid w:val="008E2750"/>
    <w:rsid w:val="008E35FD"/>
    <w:rsid w:val="008E3981"/>
    <w:rsid w:val="008E620E"/>
    <w:rsid w:val="008E6227"/>
    <w:rsid w:val="008E78B9"/>
    <w:rsid w:val="008E7BCF"/>
    <w:rsid w:val="008F01EC"/>
    <w:rsid w:val="008F0772"/>
    <w:rsid w:val="008F2E92"/>
    <w:rsid w:val="008F3546"/>
    <w:rsid w:val="008F5205"/>
    <w:rsid w:val="008F54BB"/>
    <w:rsid w:val="008F5DB5"/>
    <w:rsid w:val="008F5F63"/>
    <w:rsid w:val="00902003"/>
    <w:rsid w:val="00903F4B"/>
    <w:rsid w:val="0090543D"/>
    <w:rsid w:val="009056C5"/>
    <w:rsid w:val="00905BCE"/>
    <w:rsid w:val="00907938"/>
    <w:rsid w:val="009104A8"/>
    <w:rsid w:val="009115AA"/>
    <w:rsid w:val="00912337"/>
    <w:rsid w:val="00914484"/>
    <w:rsid w:val="00915259"/>
    <w:rsid w:val="009158C0"/>
    <w:rsid w:val="00917BE5"/>
    <w:rsid w:val="0092286C"/>
    <w:rsid w:val="009262F2"/>
    <w:rsid w:val="00926485"/>
    <w:rsid w:val="00931A82"/>
    <w:rsid w:val="00937791"/>
    <w:rsid w:val="009401B3"/>
    <w:rsid w:val="00944599"/>
    <w:rsid w:val="00944E6E"/>
    <w:rsid w:val="00946403"/>
    <w:rsid w:val="009466C0"/>
    <w:rsid w:val="00947B0F"/>
    <w:rsid w:val="00950422"/>
    <w:rsid w:val="009517C1"/>
    <w:rsid w:val="00951933"/>
    <w:rsid w:val="00951FD7"/>
    <w:rsid w:val="00954343"/>
    <w:rsid w:val="0095488F"/>
    <w:rsid w:val="00955271"/>
    <w:rsid w:val="009571C5"/>
    <w:rsid w:val="0096129C"/>
    <w:rsid w:val="009627DF"/>
    <w:rsid w:val="00963C9C"/>
    <w:rsid w:val="0096500F"/>
    <w:rsid w:val="00965B6B"/>
    <w:rsid w:val="009714FC"/>
    <w:rsid w:val="00971EDB"/>
    <w:rsid w:val="0097306C"/>
    <w:rsid w:val="00973C04"/>
    <w:rsid w:val="00974D50"/>
    <w:rsid w:val="0097776D"/>
    <w:rsid w:val="0098430F"/>
    <w:rsid w:val="00985434"/>
    <w:rsid w:val="009866A5"/>
    <w:rsid w:val="00986B31"/>
    <w:rsid w:val="00987187"/>
    <w:rsid w:val="009874FD"/>
    <w:rsid w:val="00987ABE"/>
    <w:rsid w:val="00991EE4"/>
    <w:rsid w:val="009939DC"/>
    <w:rsid w:val="00993B7F"/>
    <w:rsid w:val="00993B9C"/>
    <w:rsid w:val="00995AE0"/>
    <w:rsid w:val="00996A16"/>
    <w:rsid w:val="009A26FC"/>
    <w:rsid w:val="009A7E59"/>
    <w:rsid w:val="009B19D1"/>
    <w:rsid w:val="009B274D"/>
    <w:rsid w:val="009B4E1E"/>
    <w:rsid w:val="009B626F"/>
    <w:rsid w:val="009C03FB"/>
    <w:rsid w:val="009C0625"/>
    <w:rsid w:val="009C0B83"/>
    <w:rsid w:val="009C1371"/>
    <w:rsid w:val="009C355C"/>
    <w:rsid w:val="009C4B4F"/>
    <w:rsid w:val="009C63D1"/>
    <w:rsid w:val="009D3F86"/>
    <w:rsid w:val="009D4BBA"/>
    <w:rsid w:val="009D65E2"/>
    <w:rsid w:val="009E15D4"/>
    <w:rsid w:val="009E29A7"/>
    <w:rsid w:val="009E3A03"/>
    <w:rsid w:val="009F0C02"/>
    <w:rsid w:val="009F2D8E"/>
    <w:rsid w:val="009F5758"/>
    <w:rsid w:val="00A0283F"/>
    <w:rsid w:val="00A03483"/>
    <w:rsid w:val="00A04F1F"/>
    <w:rsid w:val="00A04F4A"/>
    <w:rsid w:val="00A11BD8"/>
    <w:rsid w:val="00A11E38"/>
    <w:rsid w:val="00A142DF"/>
    <w:rsid w:val="00A16555"/>
    <w:rsid w:val="00A20BE5"/>
    <w:rsid w:val="00A21699"/>
    <w:rsid w:val="00A22828"/>
    <w:rsid w:val="00A23771"/>
    <w:rsid w:val="00A237A8"/>
    <w:rsid w:val="00A255D2"/>
    <w:rsid w:val="00A26343"/>
    <w:rsid w:val="00A306A2"/>
    <w:rsid w:val="00A3073F"/>
    <w:rsid w:val="00A35875"/>
    <w:rsid w:val="00A37B1C"/>
    <w:rsid w:val="00A406E4"/>
    <w:rsid w:val="00A408B5"/>
    <w:rsid w:val="00A42BC7"/>
    <w:rsid w:val="00A42D70"/>
    <w:rsid w:val="00A44927"/>
    <w:rsid w:val="00A504E7"/>
    <w:rsid w:val="00A529E2"/>
    <w:rsid w:val="00A53183"/>
    <w:rsid w:val="00A53191"/>
    <w:rsid w:val="00A539F8"/>
    <w:rsid w:val="00A53B17"/>
    <w:rsid w:val="00A60393"/>
    <w:rsid w:val="00A60478"/>
    <w:rsid w:val="00A60A41"/>
    <w:rsid w:val="00A61E50"/>
    <w:rsid w:val="00A62FBF"/>
    <w:rsid w:val="00A6491A"/>
    <w:rsid w:val="00A6594E"/>
    <w:rsid w:val="00A712DE"/>
    <w:rsid w:val="00A727B6"/>
    <w:rsid w:val="00A72B16"/>
    <w:rsid w:val="00A739D7"/>
    <w:rsid w:val="00A80987"/>
    <w:rsid w:val="00A81CC6"/>
    <w:rsid w:val="00A83EC6"/>
    <w:rsid w:val="00A86CAD"/>
    <w:rsid w:val="00A8732C"/>
    <w:rsid w:val="00A876CA"/>
    <w:rsid w:val="00A87EC4"/>
    <w:rsid w:val="00A9062D"/>
    <w:rsid w:val="00A90670"/>
    <w:rsid w:val="00A91C5F"/>
    <w:rsid w:val="00A925AC"/>
    <w:rsid w:val="00A92843"/>
    <w:rsid w:val="00A92844"/>
    <w:rsid w:val="00A9391C"/>
    <w:rsid w:val="00A93A89"/>
    <w:rsid w:val="00A93F58"/>
    <w:rsid w:val="00A96154"/>
    <w:rsid w:val="00A96329"/>
    <w:rsid w:val="00A96A93"/>
    <w:rsid w:val="00A96C63"/>
    <w:rsid w:val="00A973E6"/>
    <w:rsid w:val="00A9763F"/>
    <w:rsid w:val="00AA05D9"/>
    <w:rsid w:val="00AA0E51"/>
    <w:rsid w:val="00AA134B"/>
    <w:rsid w:val="00AA1ACF"/>
    <w:rsid w:val="00AA249C"/>
    <w:rsid w:val="00AA2CFE"/>
    <w:rsid w:val="00AA3277"/>
    <w:rsid w:val="00AA452A"/>
    <w:rsid w:val="00AA5FDA"/>
    <w:rsid w:val="00AA6291"/>
    <w:rsid w:val="00AA7B78"/>
    <w:rsid w:val="00AB06E1"/>
    <w:rsid w:val="00AB0A13"/>
    <w:rsid w:val="00AB2AE2"/>
    <w:rsid w:val="00AB2EFF"/>
    <w:rsid w:val="00AB47C7"/>
    <w:rsid w:val="00AC0C91"/>
    <w:rsid w:val="00AC13C8"/>
    <w:rsid w:val="00AC1BE4"/>
    <w:rsid w:val="00AC2162"/>
    <w:rsid w:val="00AC3D93"/>
    <w:rsid w:val="00AD08E3"/>
    <w:rsid w:val="00AD0B81"/>
    <w:rsid w:val="00AD108D"/>
    <w:rsid w:val="00AD37D4"/>
    <w:rsid w:val="00AD4B06"/>
    <w:rsid w:val="00AD5B2D"/>
    <w:rsid w:val="00AD7986"/>
    <w:rsid w:val="00AE1188"/>
    <w:rsid w:val="00AE2EAD"/>
    <w:rsid w:val="00AE6087"/>
    <w:rsid w:val="00AE6EEE"/>
    <w:rsid w:val="00AE7016"/>
    <w:rsid w:val="00AE738C"/>
    <w:rsid w:val="00AE7E2C"/>
    <w:rsid w:val="00AF1046"/>
    <w:rsid w:val="00AF1DE1"/>
    <w:rsid w:val="00AF3293"/>
    <w:rsid w:val="00AF4466"/>
    <w:rsid w:val="00AF4772"/>
    <w:rsid w:val="00AF5D1E"/>
    <w:rsid w:val="00AF653B"/>
    <w:rsid w:val="00AF72DC"/>
    <w:rsid w:val="00B02F77"/>
    <w:rsid w:val="00B040A9"/>
    <w:rsid w:val="00B053B8"/>
    <w:rsid w:val="00B05480"/>
    <w:rsid w:val="00B054AF"/>
    <w:rsid w:val="00B05A1C"/>
    <w:rsid w:val="00B06273"/>
    <w:rsid w:val="00B14B3F"/>
    <w:rsid w:val="00B1537F"/>
    <w:rsid w:val="00B1711E"/>
    <w:rsid w:val="00B17921"/>
    <w:rsid w:val="00B17CBE"/>
    <w:rsid w:val="00B17E26"/>
    <w:rsid w:val="00B2054C"/>
    <w:rsid w:val="00B20EE7"/>
    <w:rsid w:val="00B20F26"/>
    <w:rsid w:val="00B231A4"/>
    <w:rsid w:val="00B231B0"/>
    <w:rsid w:val="00B251DD"/>
    <w:rsid w:val="00B25D20"/>
    <w:rsid w:val="00B31248"/>
    <w:rsid w:val="00B31C99"/>
    <w:rsid w:val="00B34B8D"/>
    <w:rsid w:val="00B35E31"/>
    <w:rsid w:val="00B36F9D"/>
    <w:rsid w:val="00B37204"/>
    <w:rsid w:val="00B37663"/>
    <w:rsid w:val="00B4487C"/>
    <w:rsid w:val="00B45B0E"/>
    <w:rsid w:val="00B50DA3"/>
    <w:rsid w:val="00B51BCE"/>
    <w:rsid w:val="00B53BA6"/>
    <w:rsid w:val="00B54D94"/>
    <w:rsid w:val="00B5553A"/>
    <w:rsid w:val="00B56121"/>
    <w:rsid w:val="00B5731D"/>
    <w:rsid w:val="00B62FDA"/>
    <w:rsid w:val="00B6378B"/>
    <w:rsid w:val="00B63E1E"/>
    <w:rsid w:val="00B63E3A"/>
    <w:rsid w:val="00B66E81"/>
    <w:rsid w:val="00B75965"/>
    <w:rsid w:val="00B771AD"/>
    <w:rsid w:val="00B81221"/>
    <w:rsid w:val="00B814CB"/>
    <w:rsid w:val="00B81DFE"/>
    <w:rsid w:val="00B83AE0"/>
    <w:rsid w:val="00B84219"/>
    <w:rsid w:val="00B915D7"/>
    <w:rsid w:val="00B921EA"/>
    <w:rsid w:val="00B96F0C"/>
    <w:rsid w:val="00B9782C"/>
    <w:rsid w:val="00BA0CF8"/>
    <w:rsid w:val="00BA1ADF"/>
    <w:rsid w:val="00BA51FC"/>
    <w:rsid w:val="00BA7848"/>
    <w:rsid w:val="00BB003A"/>
    <w:rsid w:val="00BB0A31"/>
    <w:rsid w:val="00BB0DED"/>
    <w:rsid w:val="00BB2567"/>
    <w:rsid w:val="00BB3358"/>
    <w:rsid w:val="00BB3364"/>
    <w:rsid w:val="00BB3382"/>
    <w:rsid w:val="00BB3643"/>
    <w:rsid w:val="00BB3C3F"/>
    <w:rsid w:val="00BB45BE"/>
    <w:rsid w:val="00BB5776"/>
    <w:rsid w:val="00BB7B2E"/>
    <w:rsid w:val="00BC0123"/>
    <w:rsid w:val="00BC3DA0"/>
    <w:rsid w:val="00BC3F53"/>
    <w:rsid w:val="00BC424B"/>
    <w:rsid w:val="00BC6C3D"/>
    <w:rsid w:val="00BC7FA6"/>
    <w:rsid w:val="00BD1B66"/>
    <w:rsid w:val="00BD3854"/>
    <w:rsid w:val="00BD3D1C"/>
    <w:rsid w:val="00BD3ED4"/>
    <w:rsid w:val="00BD43DA"/>
    <w:rsid w:val="00BD464C"/>
    <w:rsid w:val="00BD6C88"/>
    <w:rsid w:val="00BD70A6"/>
    <w:rsid w:val="00BE0FDE"/>
    <w:rsid w:val="00BE1DA5"/>
    <w:rsid w:val="00BE2701"/>
    <w:rsid w:val="00BE4E08"/>
    <w:rsid w:val="00BE6B32"/>
    <w:rsid w:val="00BF08E0"/>
    <w:rsid w:val="00BF317D"/>
    <w:rsid w:val="00BF4545"/>
    <w:rsid w:val="00BF5B33"/>
    <w:rsid w:val="00BF6A02"/>
    <w:rsid w:val="00BF6AC5"/>
    <w:rsid w:val="00C00FAB"/>
    <w:rsid w:val="00C01121"/>
    <w:rsid w:val="00C014A7"/>
    <w:rsid w:val="00C014FE"/>
    <w:rsid w:val="00C02579"/>
    <w:rsid w:val="00C030A5"/>
    <w:rsid w:val="00C03E8A"/>
    <w:rsid w:val="00C044F6"/>
    <w:rsid w:val="00C05A45"/>
    <w:rsid w:val="00C0796F"/>
    <w:rsid w:val="00C1012E"/>
    <w:rsid w:val="00C11B34"/>
    <w:rsid w:val="00C11F97"/>
    <w:rsid w:val="00C12C5C"/>
    <w:rsid w:val="00C166F2"/>
    <w:rsid w:val="00C171FB"/>
    <w:rsid w:val="00C17BEF"/>
    <w:rsid w:val="00C209C2"/>
    <w:rsid w:val="00C20B3F"/>
    <w:rsid w:val="00C2170C"/>
    <w:rsid w:val="00C2267F"/>
    <w:rsid w:val="00C22AD8"/>
    <w:rsid w:val="00C2356B"/>
    <w:rsid w:val="00C260A5"/>
    <w:rsid w:val="00C3221A"/>
    <w:rsid w:val="00C33B3C"/>
    <w:rsid w:val="00C33E71"/>
    <w:rsid w:val="00C3557E"/>
    <w:rsid w:val="00C3594B"/>
    <w:rsid w:val="00C374AD"/>
    <w:rsid w:val="00C43102"/>
    <w:rsid w:val="00C448F8"/>
    <w:rsid w:val="00C452A1"/>
    <w:rsid w:val="00C4696B"/>
    <w:rsid w:val="00C47E0A"/>
    <w:rsid w:val="00C50310"/>
    <w:rsid w:val="00C50513"/>
    <w:rsid w:val="00C53002"/>
    <w:rsid w:val="00C53FB6"/>
    <w:rsid w:val="00C54503"/>
    <w:rsid w:val="00C54F2E"/>
    <w:rsid w:val="00C57386"/>
    <w:rsid w:val="00C57FA3"/>
    <w:rsid w:val="00C60272"/>
    <w:rsid w:val="00C60E75"/>
    <w:rsid w:val="00C63055"/>
    <w:rsid w:val="00C63946"/>
    <w:rsid w:val="00C65E37"/>
    <w:rsid w:val="00C71C81"/>
    <w:rsid w:val="00C73B62"/>
    <w:rsid w:val="00C76589"/>
    <w:rsid w:val="00C776B1"/>
    <w:rsid w:val="00C815FE"/>
    <w:rsid w:val="00C847AE"/>
    <w:rsid w:val="00C90065"/>
    <w:rsid w:val="00C97C95"/>
    <w:rsid w:val="00CA04C6"/>
    <w:rsid w:val="00CA1D58"/>
    <w:rsid w:val="00CA26DD"/>
    <w:rsid w:val="00CA6F80"/>
    <w:rsid w:val="00CA7382"/>
    <w:rsid w:val="00CB0BA6"/>
    <w:rsid w:val="00CB12EC"/>
    <w:rsid w:val="00CB16D3"/>
    <w:rsid w:val="00CB47B9"/>
    <w:rsid w:val="00CB5E87"/>
    <w:rsid w:val="00CC09D7"/>
    <w:rsid w:val="00CC1082"/>
    <w:rsid w:val="00CC12B8"/>
    <w:rsid w:val="00CC134F"/>
    <w:rsid w:val="00CC17D3"/>
    <w:rsid w:val="00CC263C"/>
    <w:rsid w:val="00CC541F"/>
    <w:rsid w:val="00CD04B8"/>
    <w:rsid w:val="00CD09C1"/>
    <w:rsid w:val="00CD1159"/>
    <w:rsid w:val="00CD22E3"/>
    <w:rsid w:val="00CD3C3C"/>
    <w:rsid w:val="00CD4E44"/>
    <w:rsid w:val="00CD5200"/>
    <w:rsid w:val="00CD5AE4"/>
    <w:rsid w:val="00CD7A7D"/>
    <w:rsid w:val="00CE0E27"/>
    <w:rsid w:val="00CE1BB8"/>
    <w:rsid w:val="00CE220E"/>
    <w:rsid w:val="00CF2D8E"/>
    <w:rsid w:val="00CF2DFA"/>
    <w:rsid w:val="00CF5AD8"/>
    <w:rsid w:val="00CF65BE"/>
    <w:rsid w:val="00D00122"/>
    <w:rsid w:val="00D01600"/>
    <w:rsid w:val="00D01D2A"/>
    <w:rsid w:val="00D100A3"/>
    <w:rsid w:val="00D106E9"/>
    <w:rsid w:val="00D10B47"/>
    <w:rsid w:val="00D11EB1"/>
    <w:rsid w:val="00D11EDC"/>
    <w:rsid w:val="00D13C8F"/>
    <w:rsid w:val="00D16F54"/>
    <w:rsid w:val="00D17F17"/>
    <w:rsid w:val="00D20BDF"/>
    <w:rsid w:val="00D20EE1"/>
    <w:rsid w:val="00D21D95"/>
    <w:rsid w:val="00D231AA"/>
    <w:rsid w:val="00D23597"/>
    <w:rsid w:val="00D25560"/>
    <w:rsid w:val="00D30BDC"/>
    <w:rsid w:val="00D31536"/>
    <w:rsid w:val="00D33E40"/>
    <w:rsid w:val="00D34CFD"/>
    <w:rsid w:val="00D37202"/>
    <w:rsid w:val="00D45D6D"/>
    <w:rsid w:val="00D50C38"/>
    <w:rsid w:val="00D50FA8"/>
    <w:rsid w:val="00D52FCB"/>
    <w:rsid w:val="00D57F88"/>
    <w:rsid w:val="00D61F7F"/>
    <w:rsid w:val="00D63BB4"/>
    <w:rsid w:val="00D66669"/>
    <w:rsid w:val="00D66D51"/>
    <w:rsid w:val="00D67820"/>
    <w:rsid w:val="00D7105C"/>
    <w:rsid w:val="00D7309F"/>
    <w:rsid w:val="00D73646"/>
    <w:rsid w:val="00D7482C"/>
    <w:rsid w:val="00D76F12"/>
    <w:rsid w:val="00D775D9"/>
    <w:rsid w:val="00D777B4"/>
    <w:rsid w:val="00D77A90"/>
    <w:rsid w:val="00D81497"/>
    <w:rsid w:val="00D8360B"/>
    <w:rsid w:val="00D85676"/>
    <w:rsid w:val="00D8588C"/>
    <w:rsid w:val="00D8747B"/>
    <w:rsid w:val="00D876CE"/>
    <w:rsid w:val="00D904BF"/>
    <w:rsid w:val="00D911FC"/>
    <w:rsid w:val="00D921B1"/>
    <w:rsid w:val="00D92860"/>
    <w:rsid w:val="00D93AB4"/>
    <w:rsid w:val="00D9465A"/>
    <w:rsid w:val="00D955AC"/>
    <w:rsid w:val="00D95B8D"/>
    <w:rsid w:val="00D96ADA"/>
    <w:rsid w:val="00D97035"/>
    <w:rsid w:val="00DA2886"/>
    <w:rsid w:val="00DA2BA3"/>
    <w:rsid w:val="00DA2BD7"/>
    <w:rsid w:val="00DA5E50"/>
    <w:rsid w:val="00DA7C32"/>
    <w:rsid w:val="00DA7D0C"/>
    <w:rsid w:val="00DB0903"/>
    <w:rsid w:val="00DB0A8F"/>
    <w:rsid w:val="00DB311C"/>
    <w:rsid w:val="00DB432D"/>
    <w:rsid w:val="00DB519B"/>
    <w:rsid w:val="00DB60E0"/>
    <w:rsid w:val="00DB71BD"/>
    <w:rsid w:val="00DB7434"/>
    <w:rsid w:val="00DC06F8"/>
    <w:rsid w:val="00DC1521"/>
    <w:rsid w:val="00DC2EC1"/>
    <w:rsid w:val="00DC39F6"/>
    <w:rsid w:val="00DC7694"/>
    <w:rsid w:val="00DC7FBE"/>
    <w:rsid w:val="00DD06DC"/>
    <w:rsid w:val="00DD130E"/>
    <w:rsid w:val="00DD308E"/>
    <w:rsid w:val="00DD4039"/>
    <w:rsid w:val="00DD65DB"/>
    <w:rsid w:val="00DE2CEB"/>
    <w:rsid w:val="00DE327B"/>
    <w:rsid w:val="00DE73D7"/>
    <w:rsid w:val="00DE7A7B"/>
    <w:rsid w:val="00DF02A9"/>
    <w:rsid w:val="00DF0364"/>
    <w:rsid w:val="00DF0C51"/>
    <w:rsid w:val="00DF0D47"/>
    <w:rsid w:val="00DF1652"/>
    <w:rsid w:val="00DF5ACF"/>
    <w:rsid w:val="00DF6D37"/>
    <w:rsid w:val="00DF7EB4"/>
    <w:rsid w:val="00E02014"/>
    <w:rsid w:val="00E048ED"/>
    <w:rsid w:val="00E04FB3"/>
    <w:rsid w:val="00E058F2"/>
    <w:rsid w:val="00E05D9C"/>
    <w:rsid w:val="00E06102"/>
    <w:rsid w:val="00E064E7"/>
    <w:rsid w:val="00E07409"/>
    <w:rsid w:val="00E07CB7"/>
    <w:rsid w:val="00E13404"/>
    <w:rsid w:val="00E14004"/>
    <w:rsid w:val="00E15BBF"/>
    <w:rsid w:val="00E168C3"/>
    <w:rsid w:val="00E17EEB"/>
    <w:rsid w:val="00E20E98"/>
    <w:rsid w:val="00E20FB9"/>
    <w:rsid w:val="00E21481"/>
    <w:rsid w:val="00E22EBF"/>
    <w:rsid w:val="00E22FCE"/>
    <w:rsid w:val="00E23E71"/>
    <w:rsid w:val="00E308AD"/>
    <w:rsid w:val="00E30AF5"/>
    <w:rsid w:val="00E30F19"/>
    <w:rsid w:val="00E328AE"/>
    <w:rsid w:val="00E33C4A"/>
    <w:rsid w:val="00E342ED"/>
    <w:rsid w:val="00E35679"/>
    <w:rsid w:val="00E357B9"/>
    <w:rsid w:val="00E35EEA"/>
    <w:rsid w:val="00E4138B"/>
    <w:rsid w:val="00E423FB"/>
    <w:rsid w:val="00E4321E"/>
    <w:rsid w:val="00E438CF"/>
    <w:rsid w:val="00E44B80"/>
    <w:rsid w:val="00E45A5F"/>
    <w:rsid w:val="00E46006"/>
    <w:rsid w:val="00E4612E"/>
    <w:rsid w:val="00E47623"/>
    <w:rsid w:val="00E54140"/>
    <w:rsid w:val="00E60529"/>
    <w:rsid w:val="00E60629"/>
    <w:rsid w:val="00E62B18"/>
    <w:rsid w:val="00E63654"/>
    <w:rsid w:val="00E650D8"/>
    <w:rsid w:val="00E67A36"/>
    <w:rsid w:val="00E70D86"/>
    <w:rsid w:val="00E70FFF"/>
    <w:rsid w:val="00E74FC7"/>
    <w:rsid w:val="00E75CB0"/>
    <w:rsid w:val="00E7628E"/>
    <w:rsid w:val="00E76565"/>
    <w:rsid w:val="00E80E68"/>
    <w:rsid w:val="00E81719"/>
    <w:rsid w:val="00E82EAF"/>
    <w:rsid w:val="00E82F54"/>
    <w:rsid w:val="00E834B1"/>
    <w:rsid w:val="00E83959"/>
    <w:rsid w:val="00E842BC"/>
    <w:rsid w:val="00E84738"/>
    <w:rsid w:val="00E84BC1"/>
    <w:rsid w:val="00E859E6"/>
    <w:rsid w:val="00E85C3C"/>
    <w:rsid w:val="00E8649B"/>
    <w:rsid w:val="00E86807"/>
    <w:rsid w:val="00E871CD"/>
    <w:rsid w:val="00E90990"/>
    <w:rsid w:val="00E919CC"/>
    <w:rsid w:val="00E924AA"/>
    <w:rsid w:val="00E926B4"/>
    <w:rsid w:val="00E94452"/>
    <w:rsid w:val="00E956DB"/>
    <w:rsid w:val="00E95D3D"/>
    <w:rsid w:val="00E9691E"/>
    <w:rsid w:val="00EA02FA"/>
    <w:rsid w:val="00EA0E25"/>
    <w:rsid w:val="00EA173C"/>
    <w:rsid w:val="00EA2E7E"/>
    <w:rsid w:val="00EA46CE"/>
    <w:rsid w:val="00EA4B6E"/>
    <w:rsid w:val="00EB0123"/>
    <w:rsid w:val="00EB07E4"/>
    <w:rsid w:val="00EB2006"/>
    <w:rsid w:val="00EB224C"/>
    <w:rsid w:val="00EB33F9"/>
    <w:rsid w:val="00EB6BF5"/>
    <w:rsid w:val="00EB7C39"/>
    <w:rsid w:val="00EC092D"/>
    <w:rsid w:val="00EC127A"/>
    <w:rsid w:val="00EC1F63"/>
    <w:rsid w:val="00EC1FF9"/>
    <w:rsid w:val="00EC2737"/>
    <w:rsid w:val="00EC5FAF"/>
    <w:rsid w:val="00ED148A"/>
    <w:rsid w:val="00ED34B1"/>
    <w:rsid w:val="00ED5F4D"/>
    <w:rsid w:val="00ED785D"/>
    <w:rsid w:val="00EE0430"/>
    <w:rsid w:val="00EE2716"/>
    <w:rsid w:val="00EE6450"/>
    <w:rsid w:val="00EE7A56"/>
    <w:rsid w:val="00EF0C31"/>
    <w:rsid w:val="00EF0F24"/>
    <w:rsid w:val="00EF39B9"/>
    <w:rsid w:val="00EF5DC2"/>
    <w:rsid w:val="00EF6CFA"/>
    <w:rsid w:val="00EF700E"/>
    <w:rsid w:val="00F01A7A"/>
    <w:rsid w:val="00F01C2C"/>
    <w:rsid w:val="00F0456F"/>
    <w:rsid w:val="00F04638"/>
    <w:rsid w:val="00F0473F"/>
    <w:rsid w:val="00F10616"/>
    <w:rsid w:val="00F10A95"/>
    <w:rsid w:val="00F10ED8"/>
    <w:rsid w:val="00F112DC"/>
    <w:rsid w:val="00F12220"/>
    <w:rsid w:val="00F13746"/>
    <w:rsid w:val="00F1491F"/>
    <w:rsid w:val="00F151E9"/>
    <w:rsid w:val="00F16412"/>
    <w:rsid w:val="00F16D68"/>
    <w:rsid w:val="00F176F8"/>
    <w:rsid w:val="00F222BE"/>
    <w:rsid w:val="00F2364A"/>
    <w:rsid w:val="00F23C28"/>
    <w:rsid w:val="00F24179"/>
    <w:rsid w:val="00F246EB"/>
    <w:rsid w:val="00F25423"/>
    <w:rsid w:val="00F301F1"/>
    <w:rsid w:val="00F309B1"/>
    <w:rsid w:val="00F30C22"/>
    <w:rsid w:val="00F322B5"/>
    <w:rsid w:val="00F32970"/>
    <w:rsid w:val="00F33EBF"/>
    <w:rsid w:val="00F33F1A"/>
    <w:rsid w:val="00F3478F"/>
    <w:rsid w:val="00F3610E"/>
    <w:rsid w:val="00F377BC"/>
    <w:rsid w:val="00F37C4E"/>
    <w:rsid w:val="00F405E5"/>
    <w:rsid w:val="00F43670"/>
    <w:rsid w:val="00F443BA"/>
    <w:rsid w:val="00F47C7D"/>
    <w:rsid w:val="00F47F05"/>
    <w:rsid w:val="00F503EF"/>
    <w:rsid w:val="00F506DF"/>
    <w:rsid w:val="00F50C1A"/>
    <w:rsid w:val="00F51C1E"/>
    <w:rsid w:val="00F526B0"/>
    <w:rsid w:val="00F547F7"/>
    <w:rsid w:val="00F54CCF"/>
    <w:rsid w:val="00F554A8"/>
    <w:rsid w:val="00F57A56"/>
    <w:rsid w:val="00F61D7A"/>
    <w:rsid w:val="00F637B3"/>
    <w:rsid w:val="00F6409B"/>
    <w:rsid w:val="00F668BA"/>
    <w:rsid w:val="00F66CF7"/>
    <w:rsid w:val="00F67BCB"/>
    <w:rsid w:val="00F71560"/>
    <w:rsid w:val="00F71DBB"/>
    <w:rsid w:val="00F73C59"/>
    <w:rsid w:val="00F75BC3"/>
    <w:rsid w:val="00F76990"/>
    <w:rsid w:val="00F77C57"/>
    <w:rsid w:val="00F80D90"/>
    <w:rsid w:val="00F81266"/>
    <w:rsid w:val="00F813C7"/>
    <w:rsid w:val="00F83566"/>
    <w:rsid w:val="00F83A9D"/>
    <w:rsid w:val="00F906B5"/>
    <w:rsid w:val="00F92DAA"/>
    <w:rsid w:val="00F93784"/>
    <w:rsid w:val="00F93A4C"/>
    <w:rsid w:val="00F93C2A"/>
    <w:rsid w:val="00F95649"/>
    <w:rsid w:val="00F95F06"/>
    <w:rsid w:val="00F971CC"/>
    <w:rsid w:val="00FA209F"/>
    <w:rsid w:val="00FA2766"/>
    <w:rsid w:val="00FA27F4"/>
    <w:rsid w:val="00FA2B82"/>
    <w:rsid w:val="00FA2CAA"/>
    <w:rsid w:val="00FA3BB6"/>
    <w:rsid w:val="00FA3DA1"/>
    <w:rsid w:val="00FA61A6"/>
    <w:rsid w:val="00FA6554"/>
    <w:rsid w:val="00FB0A72"/>
    <w:rsid w:val="00FB1837"/>
    <w:rsid w:val="00FB30BD"/>
    <w:rsid w:val="00FB375F"/>
    <w:rsid w:val="00FC01B8"/>
    <w:rsid w:val="00FC13B8"/>
    <w:rsid w:val="00FC21D2"/>
    <w:rsid w:val="00FC2EB6"/>
    <w:rsid w:val="00FC5727"/>
    <w:rsid w:val="00FD1880"/>
    <w:rsid w:val="00FD2C9A"/>
    <w:rsid w:val="00FD36B3"/>
    <w:rsid w:val="00FD6658"/>
    <w:rsid w:val="00FE14BB"/>
    <w:rsid w:val="00FE16C1"/>
    <w:rsid w:val="00FE19FF"/>
    <w:rsid w:val="00FE33A6"/>
    <w:rsid w:val="00FE5452"/>
    <w:rsid w:val="00FE5508"/>
    <w:rsid w:val="00FE5DE2"/>
    <w:rsid w:val="00FE644C"/>
    <w:rsid w:val="00FF21F1"/>
    <w:rsid w:val="00FF3C3A"/>
    <w:rsid w:val="00FF4638"/>
    <w:rsid w:val="00FF4B68"/>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98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E3"/>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3"/>
      </w:numPr>
      <w:ind w:left="360"/>
      <w:outlineLvl w:val="1"/>
    </w:pPr>
    <w:rPr>
      <w:b/>
      <w:szCs w:val="20"/>
    </w:rPr>
  </w:style>
  <w:style w:type="paragraph" w:styleId="Heading3">
    <w:name w:val="heading 3"/>
    <w:basedOn w:val="Normal"/>
    <w:next w:val="Normal"/>
    <w:link w:val="Heading3Char"/>
    <w:uiPriority w:val="9"/>
    <w:unhideWhenUsed/>
    <w:qFormat/>
    <w:rsid w:val="000323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23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554FD4"/>
    <w:pPr>
      <w:spacing w:after="0" w:line="240" w:lineRule="auto"/>
    </w:pPr>
    <w:rPr>
      <w:sz w:val="20"/>
    </w:rPr>
  </w:style>
  <w:style w:type="character" w:styleId="FollowedHyperlink">
    <w:name w:val="FollowedHyperlink"/>
    <w:basedOn w:val="DefaultParagraphFont"/>
    <w:uiPriority w:val="99"/>
    <w:semiHidden/>
    <w:unhideWhenUsed/>
    <w:rsid w:val="00E168C3"/>
    <w:rPr>
      <w:color w:val="800080" w:themeColor="followedHyperlink"/>
      <w:u w:val="single"/>
    </w:rPr>
  </w:style>
  <w:style w:type="character" w:customStyle="1" w:styleId="Heading3Char">
    <w:name w:val="Heading 3 Char"/>
    <w:basedOn w:val="DefaultParagraphFont"/>
    <w:link w:val="Heading3"/>
    <w:uiPriority w:val="9"/>
    <w:rsid w:val="000323DE"/>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rsid w:val="000323DE"/>
    <w:rPr>
      <w:rFonts w:asciiTheme="majorHAnsi" w:eastAsiaTheme="majorEastAsia" w:hAnsiTheme="majorHAnsi" w:cstheme="majorBidi"/>
      <w:b/>
      <w:bCs/>
      <w:i/>
      <w:iCs/>
      <w:color w:val="4F81BD" w:themeColor="accent1"/>
      <w:sz w:val="20"/>
    </w:rPr>
  </w:style>
  <w:style w:type="character" w:styleId="BookTitle">
    <w:name w:val="Book Title"/>
    <w:basedOn w:val="DefaultParagraphFont"/>
    <w:uiPriority w:val="33"/>
    <w:qFormat/>
    <w:rsid w:val="000323DE"/>
    <w:rPr>
      <w:b/>
      <w:bCs/>
      <w:smallCaps/>
      <w:spacing w:val="5"/>
    </w:rPr>
  </w:style>
  <w:style w:type="character" w:styleId="SubtleReference">
    <w:name w:val="Subtle Reference"/>
    <w:basedOn w:val="DefaultParagraphFont"/>
    <w:uiPriority w:val="31"/>
    <w:qFormat/>
    <w:rsid w:val="000323DE"/>
    <w:rPr>
      <w:smallCaps/>
      <w:color w:val="C0504D" w:themeColor="accent2"/>
      <w:u w:val="single"/>
    </w:rPr>
  </w:style>
  <w:style w:type="character" w:styleId="Emphasis">
    <w:name w:val="Emphasis"/>
    <w:basedOn w:val="DefaultParagraphFont"/>
    <w:uiPriority w:val="20"/>
    <w:qFormat/>
    <w:rsid w:val="008631A5"/>
    <w:rPr>
      <w:i/>
      <w:iCs/>
    </w:rPr>
  </w:style>
  <w:style w:type="character" w:customStyle="1" w:styleId="hitorg1">
    <w:name w:val="hit_org1"/>
    <w:basedOn w:val="DefaultParagraphFont"/>
    <w:rsid w:val="008631A5"/>
    <w:rPr>
      <w:b/>
      <w:bCs/>
      <w:shd w:val="clear" w:color="auto" w:fill="FFFFDD"/>
    </w:rPr>
  </w:style>
  <w:style w:type="character" w:customStyle="1" w:styleId="hitsyn1">
    <w:name w:val="hit_syn1"/>
    <w:basedOn w:val="DefaultParagraphFont"/>
    <w:rsid w:val="008631A5"/>
    <w:rPr>
      <w:b/>
      <w:bCs/>
      <w:shd w:val="clear" w:color="auto" w:fill="FFFFDD"/>
    </w:rPr>
  </w:style>
  <w:style w:type="paragraph" w:styleId="FootnoteText">
    <w:name w:val="footnote text"/>
    <w:basedOn w:val="Normal"/>
    <w:link w:val="FootnoteTextChar"/>
    <w:uiPriority w:val="99"/>
    <w:unhideWhenUsed/>
    <w:rsid w:val="006A7D9E"/>
    <w:pPr>
      <w:spacing w:before="0" w:after="0"/>
    </w:pPr>
    <w:rPr>
      <w:szCs w:val="20"/>
    </w:rPr>
  </w:style>
  <w:style w:type="character" w:customStyle="1" w:styleId="FootnoteTextChar">
    <w:name w:val="Footnote Text Char"/>
    <w:basedOn w:val="DefaultParagraphFont"/>
    <w:link w:val="FootnoteText"/>
    <w:uiPriority w:val="99"/>
    <w:rsid w:val="006A7D9E"/>
    <w:rPr>
      <w:sz w:val="20"/>
      <w:szCs w:val="20"/>
    </w:rPr>
  </w:style>
  <w:style w:type="character" w:styleId="FootnoteReference">
    <w:name w:val="footnote reference"/>
    <w:basedOn w:val="DefaultParagraphFont"/>
    <w:uiPriority w:val="99"/>
    <w:semiHidden/>
    <w:unhideWhenUsed/>
    <w:rsid w:val="006A7D9E"/>
    <w:rPr>
      <w:vertAlign w:val="superscript"/>
    </w:rPr>
  </w:style>
  <w:style w:type="character" w:customStyle="1" w:styleId="ListParagraphChar">
    <w:name w:val="List Paragraph Char"/>
    <w:link w:val="ListParagraph"/>
    <w:uiPriority w:val="34"/>
    <w:rsid w:val="009B626F"/>
    <w:rPr>
      <w:sz w:val="20"/>
    </w:rPr>
  </w:style>
  <w:style w:type="paragraph" w:customStyle="1" w:styleId="p1">
    <w:name w:val="p1"/>
    <w:basedOn w:val="Normal"/>
    <w:rsid w:val="003B0DAC"/>
    <w:pPr>
      <w:spacing w:before="0" w:after="0"/>
    </w:pPr>
    <w:rPr>
      <w:rFonts w:ascii="Helvetica" w:hAnsi="Helvetica" w:cs="Times New Roman"/>
      <w:sz w:val="11"/>
      <w:szCs w:val="11"/>
      <w:lang w:val="en-US"/>
    </w:rPr>
  </w:style>
  <w:style w:type="paragraph" w:customStyle="1" w:styleId="Default">
    <w:name w:val="Default"/>
    <w:rsid w:val="000A2B7F"/>
    <w:pPr>
      <w:autoSpaceDE w:val="0"/>
      <w:autoSpaceDN w:val="0"/>
      <w:adjustRightInd w:val="0"/>
      <w:spacing w:after="0" w:line="240" w:lineRule="auto"/>
    </w:pPr>
    <w:rPr>
      <w:rFonts w:ascii="Verdana" w:hAnsi="Verdana" w:cs="Verdana"/>
      <w:color w:val="000000"/>
      <w:sz w:val="24"/>
      <w:szCs w:val="24"/>
    </w:rPr>
  </w:style>
  <w:style w:type="paragraph" w:styleId="EndnoteText">
    <w:name w:val="endnote text"/>
    <w:basedOn w:val="Normal"/>
    <w:link w:val="EndnoteTextChar"/>
    <w:uiPriority w:val="99"/>
    <w:semiHidden/>
    <w:unhideWhenUsed/>
    <w:rsid w:val="00586610"/>
    <w:pPr>
      <w:spacing w:before="0" w:after="0"/>
    </w:pPr>
    <w:rPr>
      <w:szCs w:val="20"/>
    </w:rPr>
  </w:style>
  <w:style w:type="character" w:customStyle="1" w:styleId="EndnoteTextChar">
    <w:name w:val="Endnote Text Char"/>
    <w:basedOn w:val="DefaultParagraphFont"/>
    <w:link w:val="EndnoteText"/>
    <w:uiPriority w:val="99"/>
    <w:semiHidden/>
    <w:rsid w:val="00586610"/>
    <w:rPr>
      <w:sz w:val="20"/>
      <w:szCs w:val="20"/>
    </w:rPr>
  </w:style>
  <w:style w:type="character" w:styleId="EndnoteReference">
    <w:name w:val="endnote reference"/>
    <w:basedOn w:val="DefaultParagraphFont"/>
    <w:uiPriority w:val="99"/>
    <w:semiHidden/>
    <w:unhideWhenUsed/>
    <w:rsid w:val="00586610"/>
    <w:rPr>
      <w:vertAlign w:val="superscript"/>
    </w:rPr>
  </w:style>
  <w:style w:type="character" w:customStyle="1" w:styleId="TablecontentsChar">
    <w:name w:val="Table contents Char"/>
    <w:basedOn w:val="DefaultParagraphFont"/>
    <w:link w:val="Tablecontents"/>
    <w:locked/>
    <w:rsid w:val="00673EDA"/>
    <w:rPr>
      <w:rFonts w:ascii="Arial Narrow" w:hAnsi="Arial Narrow"/>
    </w:rPr>
  </w:style>
  <w:style w:type="paragraph" w:customStyle="1" w:styleId="Tablecontents">
    <w:name w:val="Table contents"/>
    <w:basedOn w:val="Normal"/>
    <w:link w:val="TablecontentsChar"/>
    <w:qFormat/>
    <w:rsid w:val="00673EDA"/>
    <w:pPr>
      <w:spacing w:before="60" w:after="60"/>
      <w:contextualSpacing/>
    </w:pPr>
    <w:rPr>
      <w:rFonts w:ascii="Arial Narrow" w:hAnsi="Arial Narrow"/>
      <w:sz w:val="22"/>
    </w:rPr>
  </w:style>
  <w:style w:type="paragraph" w:styleId="Caption">
    <w:name w:val="caption"/>
    <w:basedOn w:val="Normal"/>
    <w:next w:val="Normal"/>
    <w:uiPriority w:val="35"/>
    <w:unhideWhenUsed/>
    <w:qFormat/>
    <w:rsid w:val="00891D8E"/>
    <w:pPr>
      <w:spacing w:before="0"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7381">
      <w:bodyDiv w:val="1"/>
      <w:marLeft w:val="0"/>
      <w:marRight w:val="0"/>
      <w:marTop w:val="0"/>
      <w:marBottom w:val="0"/>
      <w:divBdr>
        <w:top w:val="none" w:sz="0" w:space="0" w:color="auto"/>
        <w:left w:val="none" w:sz="0" w:space="0" w:color="auto"/>
        <w:bottom w:val="none" w:sz="0" w:space="0" w:color="auto"/>
        <w:right w:val="none" w:sz="0" w:space="0" w:color="auto"/>
      </w:divBdr>
    </w:div>
    <w:div w:id="177239416">
      <w:bodyDiv w:val="1"/>
      <w:marLeft w:val="0"/>
      <w:marRight w:val="0"/>
      <w:marTop w:val="0"/>
      <w:marBottom w:val="0"/>
      <w:divBdr>
        <w:top w:val="none" w:sz="0" w:space="0" w:color="auto"/>
        <w:left w:val="none" w:sz="0" w:space="0" w:color="auto"/>
        <w:bottom w:val="none" w:sz="0" w:space="0" w:color="auto"/>
        <w:right w:val="none" w:sz="0" w:space="0" w:color="auto"/>
      </w:divBdr>
    </w:div>
    <w:div w:id="243222004">
      <w:bodyDiv w:val="1"/>
      <w:marLeft w:val="0"/>
      <w:marRight w:val="0"/>
      <w:marTop w:val="0"/>
      <w:marBottom w:val="0"/>
      <w:divBdr>
        <w:top w:val="none" w:sz="0" w:space="0" w:color="auto"/>
        <w:left w:val="none" w:sz="0" w:space="0" w:color="auto"/>
        <w:bottom w:val="none" w:sz="0" w:space="0" w:color="auto"/>
        <w:right w:val="none" w:sz="0" w:space="0" w:color="auto"/>
      </w:divBdr>
      <w:divsChild>
        <w:div w:id="1416701992">
          <w:marLeft w:val="0"/>
          <w:marRight w:val="0"/>
          <w:marTop w:val="120"/>
          <w:marBottom w:val="120"/>
          <w:divBdr>
            <w:top w:val="none" w:sz="0" w:space="0" w:color="auto"/>
            <w:left w:val="none" w:sz="0" w:space="0" w:color="auto"/>
            <w:bottom w:val="none" w:sz="0" w:space="0" w:color="auto"/>
            <w:right w:val="none" w:sz="0" w:space="0" w:color="auto"/>
          </w:divBdr>
          <w:divsChild>
            <w:div w:id="704526005">
              <w:marLeft w:val="0"/>
              <w:marRight w:val="0"/>
              <w:marTop w:val="0"/>
              <w:marBottom w:val="0"/>
              <w:divBdr>
                <w:top w:val="none" w:sz="0" w:space="0" w:color="auto"/>
                <w:left w:val="none" w:sz="0" w:space="0" w:color="auto"/>
                <w:bottom w:val="none" w:sz="0" w:space="0" w:color="auto"/>
                <w:right w:val="none" w:sz="0" w:space="0" w:color="auto"/>
              </w:divBdr>
              <w:divsChild>
                <w:div w:id="1106658600">
                  <w:marLeft w:val="0"/>
                  <w:marRight w:val="0"/>
                  <w:marTop w:val="495"/>
                  <w:marBottom w:val="0"/>
                  <w:divBdr>
                    <w:top w:val="single" w:sz="12" w:space="0" w:color="CCCCCC"/>
                    <w:left w:val="none" w:sz="0" w:space="2" w:color="auto"/>
                    <w:bottom w:val="none" w:sz="0" w:space="0" w:color="auto"/>
                    <w:right w:val="none" w:sz="0" w:space="2" w:color="auto"/>
                  </w:divBdr>
                  <w:divsChild>
                    <w:div w:id="959413742">
                      <w:marLeft w:val="240"/>
                      <w:marRight w:val="0"/>
                      <w:marTop w:val="0"/>
                      <w:marBottom w:val="0"/>
                      <w:divBdr>
                        <w:top w:val="none" w:sz="0" w:space="0" w:color="auto"/>
                        <w:left w:val="none" w:sz="0" w:space="0" w:color="auto"/>
                        <w:bottom w:val="none" w:sz="0" w:space="0" w:color="auto"/>
                        <w:right w:val="none" w:sz="0" w:space="0" w:color="auto"/>
                      </w:divBdr>
                      <w:divsChild>
                        <w:div w:id="1253400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479274">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14385038">
      <w:bodyDiv w:val="1"/>
      <w:marLeft w:val="0"/>
      <w:marRight w:val="0"/>
      <w:marTop w:val="0"/>
      <w:marBottom w:val="0"/>
      <w:divBdr>
        <w:top w:val="none" w:sz="0" w:space="0" w:color="auto"/>
        <w:left w:val="none" w:sz="0" w:space="0" w:color="auto"/>
        <w:bottom w:val="none" w:sz="0" w:space="0" w:color="auto"/>
        <w:right w:val="none" w:sz="0" w:space="0" w:color="auto"/>
      </w:divBdr>
    </w:div>
    <w:div w:id="454057340">
      <w:bodyDiv w:val="1"/>
      <w:marLeft w:val="0"/>
      <w:marRight w:val="0"/>
      <w:marTop w:val="0"/>
      <w:marBottom w:val="0"/>
      <w:divBdr>
        <w:top w:val="none" w:sz="0" w:space="0" w:color="auto"/>
        <w:left w:val="none" w:sz="0" w:space="0" w:color="auto"/>
        <w:bottom w:val="none" w:sz="0" w:space="0" w:color="auto"/>
        <w:right w:val="none" w:sz="0" w:space="0" w:color="auto"/>
      </w:divBdr>
      <w:divsChild>
        <w:div w:id="911743582">
          <w:marLeft w:val="0"/>
          <w:marRight w:val="0"/>
          <w:marTop w:val="0"/>
          <w:marBottom w:val="0"/>
          <w:divBdr>
            <w:top w:val="none" w:sz="0" w:space="0" w:color="auto"/>
            <w:left w:val="none" w:sz="0" w:space="0" w:color="auto"/>
            <w:bottom w:val="none" w:sz="0" w:space="0" w:color="auto"/>
            <w:right w:val="none" w:sz="0" w:space="0" w:color="auto"/>
          </w:divBdr>
          <w:divsChild>
            <w:div w:id="1916620019">
              <w:marLeft w:val="0"/>
              <w:marRight w:val="0"/>
              <w:marTop w:val="0"/>
              <w:marBottom w:val="0"/>
              <w:divBdr>
                <w:top w:val="none" w:sz="0" w:space="0" w:color="auto"/>
                <w:left w:val="none" w:sz="0" w:space="0" w:color="auto"/>
                <w:bottom w:val="none" w:sz="0" w:space="0" w:color="auto"/>
                <w:right w:val="none" w:sz="0" w:space="0" w:color="auto"/>
              </w:divBdr>
              <w:divsChild>
                <w:div w:id="1521043884">
                  <w:marLeft w:val="0"/>
                  <w:marRight w:val="0"/>
                  <w:marTop w:val="0"/>
                  <w:marBottom w:val="0"/>
                  <w:divBdr>
                    <w:top w:val="none" w:sz="0" w:space="0" w:color="auto"/>
                    <w:left w:val="none" w:sz="0" w:space="0" w:color="auto"/>
                    <w:bottom w:val="none" w:sz="0" w:space="0" w:color="auto"/>
                    <w:right w:val="none" w:sz="0" w:space="0" w:color="auto"/>
                  </w:divBdr>
                  <w:divsChild>
                    <w:div w:id="65687713">
                      <w:marLeft w:val="0"/>
                      <w:marRight w:val="0"/>
                      <w:marTop w:val="0"/>
                      <w:marBottom w:val="0"/>
                      <w:divBdr>
                        <w:top w:val="none" w:sz="0" w:space="0" w:color="auto"/>
                        <w:left w:val="none" w:sz="0" w:space="0" w:color="auto"/>
                        <w:bottom w:val="none" w:sz="0" w:space="0" w:color="auto"/>
                        <w:right w:val="none" w:sz="0" w:space="0" w:color="auto"/>
                      </w:divBdr>
                      <w:divsChild>
                        <w:div w:id="1326400246">
                          <w:marLeft w:val="0"/>
                          <w:marRight w:val="0"/>
                          <w:marTop w:val="0"/>
                          <w:marBottom w:val="0"/>
                          <w:divBdr>
                            <w:top w:val="none" w:sz="0" w:space="0" w:color="auto"/>
                            <w:left w:val="none" w:sz="0" w:space="0" w:color="auto"/>
                            <w:bottom w:val="none" w:sz="0" w:space="0" w:color="auto"/>
                            <w:right w:val="none" w:sz="0" w:space="0" w:color="auto"/>
                          </w:divBdr>
                          <w:divsChild>
                            <w:div w:id="14590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005883">
      <w:bodyDiv w:val="1"/>
      <w:marLeft w:val="0"/>
      <w:marRight w:val="0"/>
      <w:marTop w:val="0"/>
      <w:marBottom w:val="0"/>
      <w:divBdr>
        <w:top w:val="none" w:sz="0" w:space="0" w:color="auto"/>
        <w:left w:val="none" w:sz="0" w:space="0" w:color="auto"/>
        <w:bottom w:val="none" w:sz="0" w:space="0" w:color="auto"/>
        <w:right w:val="none" w:sz="0" w:space="0" w:color="auto"/>
      </w:divBdr>
    </w:div>
    <w:div w:id="691877356">
      <w:bodyDiv w:val="1"/>
      <w:marLeft w:val="0"/>
      <w:marRight w:val="0"/>
      <w:marTop w:val="0"/>
      <w:marBottom w:val="0"/>
      <w:divBdr>
        <w:top w:val="none" w:sz="0" w:space="0" w:color="auto"/>
        <w:left w:val="none" w:sz="0" w:space="0" w:color="auto"/>
        <w:bottom w:val="none" w:sz="0" w:space="0" w:color="auto"/>
        <w:right w:val="none" w:sz="0" w:space="0" w:color="auto"/>
      </w:divBdr>
    </w:div>
    <w:div w:id="906648296">
      <w:bodyDiv w:val="1"/>
      <w:marLeft w:val="0"/>
      <w:marRight w:val="0"/>
      <w:marTop w:val="0"/>
      <w:marBottom w:val="0"/>
      <w:divBdr>
        <w:top w:val="none" w:sz="0" w:space="0" w:color="auto"/>
        <w:left w:val="none" w:sz="0" w:space="0" w:color="auto"/>
        <w:bottom w:val="none" w:sz="0" w:space="0" w:color="auto"/>
        <w:right w:val="none" w:sz="0" w:space="0" w:color="auto"/>
      </w:divBdr>
    </w:div>
    <w:div w:id="932781981">
      <w:bodyDiv w:val="1"/>
      <w:marLeft w:val="0"/>
      <w:marRight w:val="0"/>
      <w:marTop w:val="0"/>
      <w:marBottom w:val="0"/>
      <w:divBdr>
        <w:top w:val="none" w:sz="0" w:space="0" w:color="auto"/>
        <w:left w:val="none" w:sz="0" w:space="0" w:color="auto"/>
        <w:bottom w:val="none" w:sz="0" w:space="0" w:color="auto"/>
        <w:right w:val="none" w:sz="0" w:space="0" w:color="auto"/>
      </w:divBdr>
    </w:div>
    <w:div w:id="1028676554">
      <w:bodyDiv w:val="1"/>
      <w:marLeft w:val="0"/>
      <w:marRight w:val="0"/>
      <w:marTop w:val="0"/>
      <w:marBottom w:val="0"/>
      <w:divBdr>
        <w:top w:val="none" w:sz="0" w:space="0" w:color="auto"/>
        <w:left w:val="none" w:sz="0" w:space="0" w:color="auto"/>
        <w:bottom w:val="none" w:sz="0" w:space="0" w:color="auto"/>
        <w:right w:val="none" w:sz="0" w:space="0" w:color="auto"/>
      </w:divBdr>
    </w:div>
    <w:div w:id="1134642562">
      <w:bodyDiv w:val="1"/>
      <w:marLeft w:val="0"/>
      <w:marRight w:val="0"/>
      <w:marTop w:val="0"/>
      <w:marBottom w:val="0"/>
      <w:divBdr>
        <w:top w:val="none" w:sz="0" w:space="0" w:color="auto"/>
        <w:left w:val="none" w:sz="0" w:space="0" w:color="auto"/>
        <w:bottom w:val="none" w:sz="0" w:space="0" w:color="auto"/>
        <w:right w:val="none" w:sz="0" w:space="0" w:color="auto"/>
      </w:divBdr>
    </w:div>
    <w:div w:id="1387678431">
      <w:bodyDiv w:val="1"/>
      <w:marLeft w:val="0"/>
      <w:marRight w:val="0"/>
      <w:marTop w:val="0"/>
      <w:marBottom w:val="0"/>
      <w:divBdr>
        <w:top w:val="none" w:sz="0" w:space="0" w:color="auto"/>
        <w:left w:val="none" w:sz="0" w:space="0" w:color="auto"/>
        <w:bottom w:val="none" w:sz="0" w:space="0" w:color="auto"/>
        <w:right w:val="none" w:sz="0" w:space="0" w:color="auto"/>
      </w:divBdr>
    </w:div>
    <w:div w:id="1442651025">
      <w:bodyDiv w:val="1"/>
      <w:marLeft w:val="0"/>
      <w:marRight w:val="0"/>
      <w:marTop w:val="0"/>
      <w:marBottom w:val="0"/>
      <w:divBdr>
        <w:top w:val="none" w:sz="0" w:space="0" w:color="auto"/>
        <w:left w:val="none" w:sz="0" w:space="0" w:color="auto"/>
        <w:bottom w:val="none" w:sz="0" w:space="0" w:color="auto"/>
        <w:right w:val="none" w:sz="0" w:space="0" w:color="auto"/>
      </w:divBdr>
    </w:div>
    <w:div w:id="1555195238">
      <w:bodyDiv w:val="1"/>
      <w:marLeft w:val="0"/>
      <w:marRight w:val="0"/>
      <w:marTop w:val="0"/>
      <w:marBottom w:val="0"/>
      <w:divBdr>
        <w:top w:val="none" w:sz="0" w:space="0" w:color="auto"/>
        <w:left w:val="none" w:sz="0" w:space="0" w:color="auto"/>
        <w:bottom w:val="none" w:sz="0" w:space="0" w:color="auto"/>
        <w:right w:val="none" w:sz="0" w:space="0" w:color="auto"/>
      </w:divBdr>
      <w:divsChild>
        <w:div w:id="1275479778">
          <w:marLeft w:val="0"/>
          <w:marRight w:val="0"/>
          <w:marTop w:val="0"/>
          <w:marBottom w:val="0"/>
          <w:divBdr>
            <w:top w:val="none" w:sz="0" w:space="0" w:color="auto"/>
            <w:left w:val="none" w:sz="0" w:space="0" w:color="auto"/>
            <w:bottom w:val="none" w:sz="0" w:space="0" w:color="auto"/>
            <w:right w:val="none" w:sz="0" w:space="0" w:color="auto"/>
          </w:divBdr>
          <w:divsChild>
            <w:div w:id="977104589">
              <w:marLeft w:val="0"/>
              <w:marRight w:val="0"/>
              <w:marTop w:val="0"/>
              <w:marBottom w:val="0"/>
              <w:divBdr>
                <w:top w:val="none" w:sz="0" w:space="0" w:color="auto"/>
                <w:left w:val="none" w:sz="0" w:space="0" w:color="auto"/>
                <w:bottom w:val="none" w:sz="0" w:space="0" w:color="auto"/>
                <w:right w:val="none" w:sz="0" w:space="0" w:color="auto"/>
              </w:divBdr>
              <w:divsChild>
                <w:div w:id="616445483">
                  <w:marLeft w:val="0"/>
                  <w:marRight w:val="0"/>
                  <w:marTop w:val="0"/>
                  <w:marBottom w:val="0"/>
                  <w:divBdr>
                    <w:top w:val="none" w:sz="0" w:space="0" w:color="auto"/>
                    <w:left w:val="none" w:sz="0" w:space="0" w:color="auto"/>
                    <w:bottom w:val="none" w:sz="0" w:space="0" w:color="auto"/>
                    <w:right w:val="none" w:sz="0" w:space="0" w:color="auto"/>
                  </w:divBdr>
                  <w:divsChild>
                    <w:div w:id="137187047">
                      <w:marLeft w:val="0"/>
                      <w:marRight w:val="0"/>
                      <w:marTop w:val="0"/>
                      <w:marBottom w:val="0"/>
                      <w:divBdr>
                        <w:top w:val="none" w:sz="0" w:space="0" w:color="auto"/>
                        <w:left w:val="none" w:sz="0" w:space="0" w:color="auto"/>
                        <w:bottom w:val="none" w:sz="0" w:space="0" w:color="auto"/>
                        <w:right w:val="none" w:sz="0" w:space="0" w:color="auto"/>
                      </w:divBdr>
                      <w:divsChild>
                        <w:div w:id="304967001">
                          <w:marLeft w:val="0"/>
                          <w:marRight w:val="0"/>
                          <w:marTop w:val="0"/>
                          <w:marBottom w:val="0"/>
                          <w:divBdr>
                            <w:top w:val="none" w:sz="0" w:space="0" w:color="auto"/>
                            <w:left w:val="none" w:sz="0" w:space="0" w:color="auto"/>
                            <w:bottom w:val="none" w:sz="0" w:space="0" w:color="auto"/>
                            <w:right w:val="none" w:sz="0" w:space="0" w:color="auto"/>
                          </w:divBdr>
                          <w:divsChild>
                            <w:div w:id="9533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937265">
      <w:bodyDiv w:val="1"/>
      <w:marLeft w:val="0"/>
      <w:marRight w:val="0"/>
      <w:marTop w:val="0"/>
      <w:marBottom w:val="0"/>
      <w:divBdr>
        <w:top w:val="none" w:sz="0" w:space="0" w:color="auto"/>
        <w:left w:val="none" w:sz="0" w:space="0" w:color="auto"/>
        <w:bottom w:val="none" w:sz="0" w:space="0" w:color="auto"/>
        <w:right w:val="none" w:sz="0" w:space="0" w:color="auto"/>
      </w:divBdr>
    </w:div>
    <w:div w:id="1578394765">
      <w:bodyDiv w:val="1"/>
      <w:marLeft w:val="0"/>
      <w:marRight w:val="0"/>
      <w:marTop w:val="0"/>
      <w:marBottom w:val="0"/>
      <w:divBdr>
        <w:top w:val="none" w:sz="0" w:space="0" w:color="auto"/>
        <w:left w:val="none" w:sz="0" w:space="0" w:color="auto"/>
        <w:bottom w:val="none" w:sz="0" w:space="0" w:color="auto"/>
        <w:right w:val="none" w:sz="0" w:space="0" w:color="auto"/>
      </w:divBdr>
    </w:div>
    <w:div w:id="1579443705">
      <w:bodyDiv w:val="1"/>
      <w:marLeft w:val="0"/>
      <w:marRight w:val="0"/>
      <w:marTop w:val="0"/>
      <w:marBottom w:val="0"/>
      <w:divBdr>
        <w:top w:val="none" w:sz="0" w:space="0" w:color="auto"/>
        <w:left w:val="none" w:sz="0" w:space="0" w:color="auto"/>
        <w:bottom w:val="none" w:sz="0" w:space="0" w:color="auto"/>
        <w:right w:val="none" w:sz="0" w:space="0" w:color="auto"/>
      </w:divBdr>
    </w:div>
    <w:div w:id="1605380670">
      <w:bodyDiv w:val="1"/>
      <w:marLeft w:val="0"/>
      <w:marRight w:val="0"/>
      <w:marTop w:val="0"/>
      <w:marBottom w:val="0"/>
      <w:divBdr>
        <w:top w:val="none" w:sz="0" w:space="0" w:color="auto"/>
        <w:left w:val="none" w:sz="0" w:space="0" w:color="auto"/>
        <w:bottom w:val="none" w:sz="0" w:space="0" w:color="auto"/>
        <w:right w:val="none" w:sz="0" w:space="0" w:color="auto"/>
      </w:divBdr>
      <w:divsChild>
        <w:div w:id="802885422">
          <w:marLeft w:val="0"/>
          <w:marRight w:val="0"/>
          <w:marTop w:val="120"/>
          <w:marBottom w:val="120"/>
          <w:divBdr>
            <w:top w:val="none" w:sz="0" w:space="0" w:color="auto"/>
            <w:left w:val="none" w:sz="0" w:space="0" w:color="auto"/>
            <w:bottom w:val="none" w:sz="0" w:space="0" w:color="auto"/>
            <w:right w:val="none" w:sz="0" w:space="0" w:color="auto"/>
          </w:divBdr>
          <w:divsChild>
            <w:div w:id="914167027">
              <w:marLeft w:val="0"/>
              <w:marRight w:val="0"/>
              <w:marTop w:val="0"/>
              <w:marBottom w:val="0"/>
              <w:divBdr>
                <w:top w:val="none" w:sz="0" w:space="0" w:color="auto"/>
                <w:left w:val="none" w:sz="0" w:space="0" w:color="auto"/>
                <w:bottom w:val="none" w:sz="0" w:space="0" w:color="auto"/>
                <w:right w:val="none" w:sz="0" w:space="0" w:color="auto"/>
              </w:divBdr>
              <w:divsChild>
                <w:div w:id="1069032482">
                  <w:marLeft w:val="0"/>
                  <w:marRight w:val="0"/>
                  <w:marTop w:val="495"/>
                  <w:marBottom w:val="0"/>
                  <w:divBdr>
                    <w:top w:val="single" w:sz="12" w:space="0" w:color="CCCCCC"/>
                    <w:left w:val="none" w:sz="0" w:space="2" w:color="auto"/>
                    <w:bottom w:val="none" w:sz="0" w:space="0" w:color="auto"/>
                    <w:right w:val="none" w:sz="0" w:space="2" w:color="auto"/>
                  </w:divBdr>
                  <w:divsChild>
                    <w:div w:id="1141769651">
                      <w:marLeft w:val="240"/>
                      <w:marRight w:val="0"/>
                      <w:marTop w:val="0"/>
                      <w:marBottom w:val="0"/>
                      <w:divBdr>
                        <w:top w:val="none" w:sz="0" w:space="0" w:color="auto"/>
                        <w:left w:val="none" w:sz="0" w:space="0" w:color="auto"/>
                        <w:bottom w:val="none" w:sz="0" w:space="0" w:color="auto"/>
                        <w:right w:val="none" w:sz="0" w:space="0" w:color="auto"/>
                      </w:divBdr>
                      <w:divsChild>
                        <w:div w:id="79830445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370308">
      <w:bodyDiv w:val="1"/>
      <w:marLeft w:val="0"/>
      <w:marRight w:val="0"/>
      <w:marTop w:val="0"/>
      <w:marBottom w:val="0"/>
      <w:divBdr>
        <w:top w:val="none" w:sz="0" w:space="0" w:color="auto"/>
        <w:left w:val="none" w:sz="0" w:space="0" w:color="auto"/>
        <w:bottom w:val="none" w:sz="0" w:space="0" w:color="auto"/>
        <w:right w:val="none" w:sz="0" w:space="0" w:color="auto"/>
      </w:divBdr>
    </w:div>
    <w:div w:id="1871650498">
      <w:bodyDiv w:val="1"/>
      <w:marLeft w:val="0"/>
      <w:marRight w:val="0"/>
      <w:marTop w:val="0"/>
      <w:marBottom w:val="0"/>
      <w:divBdr>
        <w:top w:val="none" w:sz="0" w:space="0" w:color="auto"/>
        <w:left w:val="none" w:sz="0" w:space="0" w:color="auto"/>
        <w:bottom w:val="none" w:sz="0" w:space="0" w:color="auto"/>
        <w:right w:val="none" w:sz="0" w:space="0" w:color="auto"/>
      </w:divBdr>
      <w:divsChild>
        <w:div w:id="1512136303">
          <w:marLeft w:val="0"/>
          <w:marRight w:val="0"/>
          <w:marTop w:val="120"/>
          <w:marBottom w:val="120"/>
          <w:divBdr>
            <w:top w:val="none" w:sz="0" w:space="0" w:color="auto"/>
            <w:left w:val="none" w:sz="0" w:space="0" w:color="auto"/>
            <w:bottom w:val="none" w:sz="0" w:space="0" w:color="auto"/>
            <w:right w:val="none" w:sz="0" w:space="0" w:color="auto"/>
          </w:divBdr>
          <w:divsChild>
            <w:div w:id="1165390408">
              <w:marLeft w:val="0"/>
              <w:marRight w:val="0"/>
              <w:marTop w:val="0"/>
              <w:marBottom w:val="0"/>
              <w:divBdr>
                <w:top w:val="none" w:sz="0" w:space="0" w:color="auto"/>
                <w:left w:val="none" w:sz="0" w:space="0" w:color="auto"/>
                <w:bottom w:val="none" w:sz="0" w:space="0" w:color="auto"/>
                <w:right w:val="none" w:sz="0" w:space="0" w:color="auto"/>
              </w:divBdr>
              <w:divsChild>
                <w:div w:id="1625961534">
                  <w:marLeft w:val="0"/>
                  <w:marRight w:val="0"/>
                  <w:marTop w:val="495"/>
                  <w:marBottom w:val="0"/>
                  <w:divBdr>
                    <w:top w:val="single" w:sz="12" w:space="0" w:color="CCCCCC"/>
                    <w:left w:val="none" w:sz="0" w:space="2" w:color="auto"/>
                    <w:bottom w:val="none" w:sz="0" w:space="0" w:color="auto"/>
                    <w:right w:val="none" w:sz="0" w:space="2" w:color="auto"/>
                  </w:divBdr>
                  <w:divsChild>
                    <w:div w:id="778525351">
                      <w:marLeft w:val="240"/>
                      <w:marRight w:val="0"/>
                      <w:marTop w:val="0"/>
                      <w:marBottom w:val="0"/>
                      <w:divBdr>
                        <w:top w:val="none" w:sz="0" w:space="0" w:color="auto"/>
                        <w:left w:val="none" w:sz="0" w:space="0" w:color="auto"/>
                        <w:bottom w:val="none" w:sz="0" w:space="0" w:color="auto"/>
                        <w:right w:val="none" w:sz="0" w:space="0" w:color="auto"/>
                      </w:divBdr>
                      <w:divsChild>
                        <w:div w:id="51008936">
                          <w:marLeft w:val="0"/>
                          <w:marRight w:val="0"/>
                          <w:marTop w:val="360"/>
                          <w:marBottom w:val="0"/>
                          <w:divBdr>
                            <w:top w:val="single" w:sz="6" w:space="0" w:color="FFFFFF"/>
                            <w:left w:val="single" w:sz="6" w:space="0" w:color="FFFFFF"/>
                            <w:bottom w:val="single" w:sz="6" w:space="0" w:color="FFFFFF"/>
                            <w:right w:val="single" w:sz="6" w:space="0" w:color="FFFFFF"/>
                          </w:divBdr>
                          <w:divsChild>
                            <w:div w:id="1580289243">
                              <w:marLeft w:val="240"/>
                              <w:marRight w:val="0"/>
                              <w:marTop w:val="0"/>
                              <w:marBottom w:val="0"/>
                              <w:divBdr>
                                <w:top w:val="none" w:sz="0" w:space="0" w:color="auto"/>
                                <w:left w:val="none" w:sz="0" w:space="0" w:color="auto"/>
                                <w:bottom w:val="none" w:sz="0" w:space="0" w:color="auto"/>
                                <w:right w:val="none" w:sz="0" w:space="0" w:color="auto"/>
                              </w:divBdr>
                              <w:divsChild>
                                <w:div w:id="2120643661">
                                  <w:marLeft w:val="240"/>
                                  <w:marRight w:val="0"/>
                                  <w:marTop w:val="0"/>
                                  <w:marBottom w:val="0"/>
                                  <w:divBdr>
                                    <w:top w:val="none" w:sz="0" w:space="0" w:color="auto"/>
                                    <w:left w:val="none" w:sz="0" w:space="0" w:color="auto"/>
                                    <w:bottom w:val="none" w:sz="0" w:space="0" w:color="auto"/>
                                    <w:right w:val="none" w:sz="0" w:space="0" w:color="auto"/>
                                  </w:divBdr>
                                  <w:divsChild>
                                    <w:div w:id="119423004">
                                      <w:marLeft w:val="0"/>
                                      <w:marRight w:val="0"/>
                                      <w:marTop w:val="240"/>
                                      <w:marBottom w:val="0"/>
                                      <w:divBdr>
                                        <w:top w:val="none" w:sz="0" w:space="0" w:color="auto"/>
                                        <w:left w:val="none" w:sz="0" w:space="0" w:color="auto"/>
                                        <w:bottom w:val="none" w:sz="0" w:space="0" w:color="auto"/>
                                        <w:right w:val="none" w:sz="0" w:space="0" w:color="auto"/>
                                      </w:divBdr>
                                    </w:div>
                                    <w:div w:id="111077809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388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riteria.blood.gov.au/" TargetMode="External"/><Relationship Id="rId18" Type="http://schemas.openxmlformats.org/officeDocument/2006/relationships/header" Target="header1.xml"/><Relationship Id="rId26" Type="http://schemas.openxmlformats.org/officeDocument/2006/relationships/hyperlink" Target="https://esid.org/Education/Diagnostic-Criteria-PID"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https://www.blood.gov.au/national-policy-to-ig" TargetMode="External"/><Relationship Id="rId17" Type="http://schemas.openxmlformats.org/officeDocument/2006/relationships/hyperlink" Target="https://www.blood.gov.au/national-product-list" TargetMode="External"/><Relationship Id="rId25" Type="http://schemas.openxmlformats.org/officeDocument/2006/relationships/hyperlink" Target="http://journal.frontiersin.org/article/10.3389/fimmu.2014.00162/full" TargetMode="External"/><Relationship Id="rId33" Type="http://schemas.openxmlformats.org/officeDocument/2006/relationships/image" Target="media/image4.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lood.gov.au/national-product-list" TargetMode="External"/><Relationship Id="rId20" Type="http://schemas.openxmlformats.org/officeDocument/2006/relationships/footer" Target="footer1.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od.gov.au/SCIg" TargetMode="External"/><Relationship Id="rId24" Type="http://schemas.openxmlformats.org/officeDocument/2006/relationships/hyperlink" Target="https://www.thoracic.org.au/journal-publishing/command/download_file/id/36/filename/TSANZ-ChronicSuppurativeLungDisease-Guidelines-2016-web.pdf" TargetMode="External"/><Relationship Id="rId32" Type="http://schemas.openxmlformats.org/officeDocument/2006/relationships/oleObject" Target="embeddings/oleObject2.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sac.gov.au/internet/msac/publishing.nsf/Content/1334-public" TargetMode="External"/><Relationship Id="rId23" Type="http://schemas.openxmlformats.org/officeDocument/2006/relationships/hyperlink" Target="https://www.aaaai.org/Aaaai/media/MediaLibrary/PDF%20Documents/Practice%20and%20Parameters/PID-Nov-2015.pdf" TargetMode="External"/><Relationship Id="rId28" Type="http://schemas.openxmlformats.org/officeDocument/2006/relationships/image" Target="media/image2.emf"/><Relationship Id="rId36" Type="http://schemas.openxmlformats.org/officeDocument/2006/relationships/chart" Target="charts/chart2.xml"/><Relationship Id="rId10" Type="http://schemas.openxmlformats.org/officeDocument/2006/relationships/hyperlink" Target="http://www.tga.gov.au/clinical-efficacy-and-safety-guidelines" TargetMode="External"/><Relationship Id="rId19" Type="http://schemas.openxmlformats.org/officeDocument/2006/relationships/header" Target="header2.xm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tga.gov.au/clinical-efficacy-and-safety-guidelines" TargetMode="External"/><Relationship Id="rId14" Type="http://schemas.openxmlformats.org/officeDocument/2006/relationships/hyperlink" Target="https://www.blood.gov.au/SCIg" TargetMode="External"/><Relationship Id="rId22" Type="http://schemas.openxmlformats.org/officeDocument/2006/relationships/hyperlink" Target="https://www.blood.gov.au/system/files/A-systematic-literature-review-and-report-on-the-efficacy-of-IVIg-therapy-and-its-risks.pdf" TargetMode="External"/><Relationship Id="rId27" Type="http://schemas.openxmlformats.org/officeDocument/2006/relationships/hyperlink" Target="https://esid.org/Education/Diagnostic-Criteria-PID" TargetMode="External"/><Relationship Id="rId30" Type="http://schemas.openxmlformats.org/officeDocument/2006/relationships/hyperlink" Target="https://www.criteria.blood.gov.au/MedicalCondition/View/2576" TargetMode="External"/><Relationship Id="rId35"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https://www.ebs.tga.gov.au/ebs/picmi/picmirepository.nsf/pdf?OpenAgent&amp;id=CP-2013-PI-01254-1&amp;d=201905201016933" TargetMode="External"/><Relationship Id="rId2" Type="http://schemas.openxmlformats.org/officeDocument/2006/relationships/hyperlink" Target="https://esid.org/Education/Diagnostic-Criteria-PID" TargetMode="External"/><Relationship Id="rId1" Type="http://schemas.openxmlformats.org/officeDocument/2006/relationships/hyperlink" Target="https://esid.org/Education/Diagnostic-Criteria-PID" TargetMode="External"/><Relationship Id="rId4" Type="http://schemas.openxmlformats.org/officeDocument/2006/relationships/hyperlink" Target="https://www.abs.gov.au/ausstats/abs@.nsf/0/D56C4A3E41586764CA2581A70015893E?Opendocumen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a:t>Distribution of grams of Ig by specific condition V3</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Sheet1!$A$1:$A$9</c:f>
              <c:strCache>
                <c:ptCount val="9"/>
                <c:pt idx="0">
                  <c:v>Combined immunodeficiency generally less profound than SCID (e.g. thymoma)</c:v>
                </c:pt>
                <c:pt idx="1">
                  <c:v>Combined immunodeficiency with associated or syndromal features (e.g. Wiskott Aldrich syndrome; ataxia telangiectasia)</c:v>
                </c:pt>
                <c:pt idx="2">
                  <c:v>Lymphoproliferative syndromes (e.g. XLP1, XLP2, CD27 def)</c:v>
                </c:pt>
                <c:pt idx="3">
                  <c:v>Possible Common variable immune deficiency (CVID) - below normal serum IgG but normal serum IgA level</c:v>
                </c:pt>
                <c:pt idx="4">
                  <c:v>Severe combined immunodeficiency (SCID)</c:v>
                </c:pt>
                <c:pt idx="5">
                  <c:v>Severe reduction in all Ig isotypes with decreased or absent B-cells (e.g. XLA def)</c:v>
                </c:pt>
                <c:pt idx="6">
                  <c:v>Severe reduction in at least two Ig isotypes with low/normal B-cells (e.g. CVID)</c:v>
                </c:pt>
                <c:pt idx="7">
                  <c:v>Severe reduction in serum IgG and IgA with normal/elevated IgM (e.g. CD40L def)</c:v>
                </c:pt>
                <c:pt idx="8">
                  <c:v>Transient hypogammaglobulinaemia of infancy</c:v>
                </c:pt>
              </c:strCache>
            </c:strRef>
          </c:cat>
          <c:val>
            <c:numRef>
              <c:f>Sheet1!$B$1:$B$9</c:f>
              <c:numCache>
                <c:formatCode>_-* #,##0_-;\-* #,##0_-;_-* "-"??_-;_-@_-</c:formatCode>
                <c:ptCount val="9"/>
                <c:pt idx="0">
                  <c:v>2615.3000000000002</c:v>
                </c:pt>
                <c:pt idx="1">
                  <c:v>2154.1000000000004</c:v>
                </c:pt>
                <c:pt idx="2">
                  <c:v>241.9</c:v>
                </c:pt>
                <c:pt idx="3">
                  <c:v>26709.3</c:v>
                </c:pt>
                <c:pt idx="4">
                  <c:v>2816.1</c:v>
                </c:pt>
                <c:pt idx="5">
                  <c:v>6224.2</c:v>
                </c:pt>
                <c:pt idx="6">
                  <c:v>49772.9</c:v>
                </c:pt>
                <c:pt idx="7">
                  <c:v>2678</c:v>
                </c:pt>
                <c:pt idx="8">
                  <c:v>244.9</c:v>
                </c:pt>
              </c:numCache>
            </c:numRef>
          </c:val>
          <c:extLst>
            <c:ext xmlns:c16="http://schemas.microsoft.com/office/drawing/2014/chart" uri="{C3380CC4-5D6E-409C-BE32-E72D297353CC}">
              <c16:uniqueId val="{00000000-215B-4BB4-B030-8577D41A549A}"/>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517040731504572"/>
          <c:y val="0.12964960613960408"/>
          <c:w val="0.33832086450540316"/>
          <c:h val="0.78477222771311672"/>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Distribution of grams of Ig by specific condition V2</a:t>
            </a:r>
          </a:p>
        </c:rich>
      </c:tx>
      <c:overlay val="0"/>
    </c:title>
    <c:autoTitleDeleted val="0"/>
    <c:plotArea>
      <c:layout/>
      <c:pieChart>
        <c:varyColors val="1"/>
        <c:ser>
          <c:idx val="0"/>
          <c:order val="0"/>
          <c:dLbls>
            <c:dLbl>
              <c:idx val="3"/>
              <c:layout>
                <c:manualLayout>
                  <c:x val="8.0387700228570905E-2"/>
                  <c:y val="-3.183085214884005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7B5-411B-B784-6C9C106D6E85}"/>
                </c:ext>
              </c:extLst>
            </c:dLbl>
            <c:dLbl>
              <c:idx val="4"/>
              <c:layout>
                <c:manualLayout>
                  <c:x val="3.4926652350274395E-2"/>
                  <c:y val="-5.354691932845333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7B5-411B-B784-6C9C106D6E85}"/>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Sheet2!$A$1:$A$6</c:f>
              <c:strCache>
                <c:ptCount val="6"/>
                <c:pt idx="0">
                  <c:v>Common variable immunodeficiency disease (CVID)</c:v>
                </c:pt>
                <c:pt idx="1">
                  <c:v>Other primary immunodeficiency</c:v>
                </c:pt>
                <c:pt idx="2">
                  <c:v>Severe combined immunodeficiency (SCID)</c:v>
                </c:pt>
                <c:pt idx="3">
                  <c:v>Transient hypogammaglobulinaemia of infancy</c:v>
                </c:pt>
                <c:pt idx="4">
                  <c:v>Wiskott–Aldrich syndrome</c:v>
                </c:pt>
                <c:pt idx="5">
                  <c:v>X-linked agammaglobulinaemia</c:v>
                </c:pt>
              </c:strCache>
            </c:strRef>
          </c:cat>
          <c:val>
            <c:numRef>
              <c:f>Sheet2!$B$1:$B$6</c:f>
              <c:numCache>
                <c:formatCode>_-* #,##0_-;\-* #,##0_-;_-* "-"??_-;_-@_-</c:formatCode>
                <c:ptCount val="6"/>
                <c:pt idx="0">
                  <c:v>638637.9</c:v>
                </c:pt>
                <c:pt idx="1">
                  <c:v>35044.300000000003</c:v>
                </c:pt>
                <c:pt idx="2">
                  <c:v>10709.5</c:v>
                </c:pt>
                <c:pt idx="3">
                  <c:v>237.5</c:v>
                </c:pt>
                <c:pt idx="4">
                  <c:v>769</c:v>
                </c:pt>
                <c:pt idx="5">
                  <c:v>39987.499999999993</c:v>
                </c:pt>
              </c:numCache>
            </c:numRef>
          </c:val>
          <c:extLst>
            <c:ext xmlns:c16="http://schemas.microsoft.com/office/drawing/2014/chart" uri="{C3380CC4-5D6E-409C-BE32-E72D297353CC}">
              <c16:uniqueId val="{00000002-67B5-411B-B784-6C9C106D6E85}"/>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4955244495205711"/>
          <c:y val="0.11868122756042274"/>
          <c:w val="0.33648922305029855"/>
          <c:h val="0.8252459972877221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A2D0D-1D86-4226-8375-0F2BF887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10316</Words>
  <Characters>58802</Characters>
  <Application>Microsoft Office Word</Application>
  <DocSecurity>4</DocSecurity>
  <Lines>490</Lines>
  <Paragraphs>137</Paragraphs>
  <ScaleCrop>false</ScaleCrop>
  <HeadingPairs>
    <vt:vector size="2" baseType="variant">
      <vt:variant>
        <vt:lpstr>Title</vt:lpstr>
      </vt:variant>
      <vt:variant>
        <vt:i4>1</vt:i4>
      </vt:variant>
    </vt:vector>
  </HeadingPairs>
  <TitlesOfParts>
    <vt:vector size="1" baseType="lpstr">
      <vt:lpstr>August 2019 post RG meeting 3 - PID HTA referral 1592</vt:lpstr>
    </vt:vector>
  </TitlesOfParts>
  <Company/>
  <LinksUpToDate>false</LinksUpToDate>
  <CharactersWithSpaces>68981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2019 post RG meeting 3 - PID HTA referral 1592</dc:title>
  <dc:creator/>
  <cp:lastModifiedBy/>
  <cp:revision>1</cp:revision>
  <dcterms:created xsi:type="dcterms:W3CDTF">2020-08-11T00:11:00Z</dcterms:created>
  <dcterms:modified xsi:type="dcterms:W3CDTF">2020-08-11T00:11:00Z</dcterms:modified>
</cp:coreProperties>
</file>