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4C72B" w14:textId="77777777" w:rsidR="00B17F05" w:rsidRDefault="00B17F05" w:rsidP="00391B0F">
      <w:pPr>
        <w:pStyle w:val="Heading1"/>
        <w:pBdr>
          <w:bottom w:val="none" w:sz="0" w:space="0" w:color="auto"/>
        </w:pBdr>
        <w:spacing w:before="480" w:after="360"/>
        <w:ind w:left="788" w:firstLine="0"/>
        <w:jc w:val="center"/>
        <w:rPr>
          <w:rFonts w:ascii="Arial" w:hAnsi="Arial" w:cs="Arial"/>
          <w:b/>
          <w:bCs/>
          <w:color w:val="000080"/>
          <w:sz w:val="36"/>
          <w:szCs w:val="36"/>
        </w:rPr>
      </w:pPr>
      <w:r>
        <w:rPr>
          <w:rFonts w:ascii="Arial" w:hAnsi="Arial" w:cs="Arial"/>
          <w:b/>
          <w:bCs/>
          <w:color w:val="000080"/>
          <w:sz w:val="36"/>
          <w:szCs w:val="36"/>
        </w:rPr>
        <w:t xml:space="preserve">Medical Services Advisory Committee (MSAC) </w:t>
      </w:r>
      <w:r w:rsidR="006224B0">
        <w:rPr>
          <w:rFonts w:ascii="Arial" w:hAnsi="Arial" w:cs="Arial"/>
          <w:b/>
          <w:bCs/>
          <w:color w:val="000080"/>
          <w:sz w:val="36"/>
          <w:szCs w:val="36"/>
        </w:rPr>
        <w:t>Public Summary Document</w:t>
      </w:r>
    </w:p>
    <w:p w14:paraId="7A2997CE" w14:textId="77777777" w:rsidR="00772829" w:rsidRPr="00D1072A" w:rsidRDefault="00772829" w:rsidP="00772829">
      <w:pPr>
        <w:pStyle w:val="Subtitle"/>
      </w:pPr>
      <w:r w:rsidRPr="00D1072A">
        <w:t xml:space="preserve">Application No. </w:t>
      </w:r>
      <w:r w:rsidR="00AC0EFF" w:rsidRPr="00AC0EFF">
        <w:t>1702</w:t>
      </w:r>
      <w:r w:rsidRPr="00AC0EFF">
        <w:t xml:space="preserve"> – </w:t>
      </w:r>
      <w:r w:rsidR="00AC0EFF" w:rsidRPr="00AC0EFF">
        <w:t>Abdominal MRI for rare genetic conditions associated with increased risk of renal tumours</w:t>
      </w:r>
    </w:p>
    <w:p w14:paraId="28B1BC37" w14:textId="77777777" w:rsidR="00772829" w:rsidRPr="00D1072A" w:rsidRDefault="00772829" w:rsidP="00772829">
      <w:pPr>
        <w:tabs>
          <w:tab w:val="left" w:pos="3686"/>
        </w:tabs>
        <w:spacing w:after="240"/>
        <w:rPr>
          <w:rFonts w:ascii="Arial" w:hAnsi="Arial" w:cs="Arial"/>
          <w:b/>
          <w:szCs w:val="24"/>
        </w:rPr>
      </w:pPr>
      <w:r w:rsidRPr="00D1072A">
        <w:rPr>
          <w:rFonts w:ascii="Arial" w:hAnsi="Arial" w:cs="Arial"/>
          <w:b/>
          <w:szCs w:val="24"/>
        </w:rPr>
        <w:t>Applicant:</w:t>
      </w:r>
      <w:r w:rsidRPr="00D1072A">
        <w:rPr>
          <w:rFonts w:ascii="Arial" w:hAnsi="Arial" w:cs="Arial"/>
          <w:b/>
          <w:szCs w:val="24"/>
        </w:rPr>
        <w:tab/>
      </w:r>
      <w:r w:rsidR="001A4B7E" w:rsidRPr="001A4B7E">
        <w:rPr>
          <w:rFonts w:ascii="Arial" w:hAnsi="Arial" w:cs="Arial"/>
          <w:b/>
          <w:szCs w:val="24"/>
        </w:rPr>
        <w:t>Rare Voices Australia</w:t>
      </w:r>
    </w:p>
    <w:p w14:paraId="458E3F8E" w14:textId="77777777" w:rsidR="009A3778" w:rsidRDefault="00772829" w:rsidP="006224B0">
      <w:pPr>
        <w:tabs>
          <w:tab w:val="left" w:pos="3686"/>
          <w:tab w:val="left" w:pos="6524"/>
        </w:tabs>
        <w:spacing w:after="360"/>
        <w:rPr>
          <w:rFonts w:ascii="Arial" w:hAnsi="Arial" w:cs="Arial"/>
          <w:b/>
          <w:szCs w:val="24"/>
        </w:rPr>
      </w:pPr>
      <w:r w:rsidRPr="00D1072A">
        <w:rPr>
          <w:rFonts w:ascii="Arial" w:hAnsi="Arial" w:cs="Arial"/>
          <w:b/>
          <w:szCs w:val="24"/>
        </w:rPr>
        <w:t xml:space="preserve">Date of </w:t>
      </w:r>
      <w:r w:rsidR="006224B0">
        <w:rPr>
          <w:rFonts w:ascii="Arial" w:hAnsi="Arial" w:cs="Arial"/>
          <w:b/>
          <w:szCs w:val="24"/>
        </w:rPr>
        <w:t>MSA</w:t>
      </w:r>
      <w:r w:rsidR="00806A6F">
        <w:rPr>
          <w:rFonts w:ascii="Arial" w:hAnsi="Arial" w:cs="Arial"/>
          <w:b/>
          <w:szCs w:val="24"/>
        </w:rPr>
        <w:t>C</w:t>
      </w:r>
      <w:r w:rsidRPr="00D1072A">
        <w:rPr>
          <w:rFonts w:ascii="Arial" w:hAnsi="Arial" w:cs="Arial"/>
          <w:b/>
          <w:szCs w:val="24"/>
        </w:rPr>
        <w:t xml:space="preserve"> consideration:</w:t>
      </w:r>
      <w:r w:rsidRPr="00D1072A">
        <w:rPr>
          <w:rFonts w:ascii="Arial" w:hAnsi="Arial" w:cs="Arial"/>
          <w:b/>
          <w:szCs w:val="24"/>
        </w:rPr>
        <w:tab/>
      </w:r>
      <w:r w:rsidR="006224B0">
        <w:rPr>
          <w:rFonts w:ascii="Arial" w:hAnsi="Arial" w:cs="Arial"/>
          <w:b/>
          <w:szCs w:val="24"/>
        </w:rPr>
        <w:t>30-31</w:t>
      </w:r>
      <w:r w:rsidR="00806A6F">
        <w:rPr>
          <w:rFonts w:ascii="Arial" w:hAnsi="Arial" w:cs="Arial"/>
          <w:b/>
          <w:szCs w:val="24"/>
        </w:rPr>
        <w:t xml:space="preserve"> </w:t>
      </w:r>
      <w:r w:rsidR="006224B0">
        <w:rPr>
          <w:rFonts w:ascii="Arial" w:hAnsi="Arial" w:cs="Arial"/>
          <w:b/>
          <w:szCs w:val="24"/>
        </w:rPr>
        <w:t xml:space="preserve">March </w:t>
      </w:r>
      <w:r w:rsidR="00806A6F">
        <w:rPr>
          <w:rFonts w:ascii="Arial" w:hAnsi="Arial" w:cs="Arial"/>
          <w:b/>
          <w:szCs w:val="24"/>
        </w:rPr>
        <w:t>2023</w:t>
      </w:r>
    </w:p>
    <w:p w14:paraId="7D28FF8D" w14:textId="77777777" w:rsidR="00806A6F" w:rsidRPr="00391B0F" w:rsidRDefault="006224B0" w:rsidP="00391B0F">
      <w:pPr>
        <w:spacing w:after="24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bookmarkStart w:id="0" w:name="_Toc121853574"/>
    </w:p>
    <w:p w14:paraId="28E0C3AD" w14:textId="77777777" w:rsidR="00772829" w:rsidRPr="00D1072A" w:rsidRDefault="00C36633" w:rsidP="007A4182">
      <w:pPr>
        <w:pStyle w:val="Heading2"/>
        <w:numPr>
          <w:ilvl w:val="0"/>
          <w:numId w:val="0"/>
        </w:numPr>
      </w:pPr>
      <w:r w:rsidRPr="007A4182">
        <w:t>1.</w:t>
      </w:r>
      <w:r w:rsidRPr="00806A6F">
        <w:tab/>
      </w:r>
      <w:r w:rsidR="00772829" w:rsidRPr="00806A6F">
        <w:t>Purpose of application</w:t>
      </w:r>
      <w:bookmarkEnd w:id="0"/>
    </w:p>
    <w:p w14:paraId="51BF9CA3" w14:textId="77777777" w:rsidR="00772829" w:rsidRDefault="00772829" w:rsidP="00772829">
      <w:pPr>
        <w:spacing w:after="240"/>
        <w:rPr>
          <w:iCs/>
        </w:rPr>
      </w:pPr>
      <w:bookmarkStart w:id="1" w:name="_Hlk69734469"/>
      <w:r w:rsidRPr="00D1072A">
        <w:rPr>
          <w:iCs/>
        </w:rPr>
        <w:t xml:space="preserve">An application requesting </w:t>
      </w:r>
      <w:r w:rsidRPr="001B0E7B">
        <w:rPr>
          <w:iCs/>
        </w:rPr>
        <w:t>Medicare Benefits Schedule (MBS) listing</w:t>
      </w:r>
      <w:r w:rsidRPr="00D1072A">
        <w:rPr>
          <w:iCs/>
        </w:rPr>
        <w:t xml:space="preserve"> of </w:t>
      </w:r>
      <w:r w:rsidR="001B0E7B" w:rsidRPr="001B0E7B">
        <w:rPr>
          <w:iCs/>
        </w:rPr>
        <w:t>abdominal magnetic resonance imaging (MRI) for (</w:t>
      </w:r>
      <w:proofErr w:type="spellStart"/>
      <w:r w:rsidR="001B0E7B" w:rsidRPr="001B0E7B">
        <w:rPr>
          <w:iCs/>
        </w:rPr>
        <w:t>i</w:t>
      </w:r>
      <w:proofErr w:type="spellEnd"/>
      <w:r w:rsidR="001B0E7B" w:rsidRPr="001B0E7B">
        <w:rPr>
          <w:iCs/>
        </w:rPr>
        <w:t>) annual surveillance to detect newly developed renal tumours, or (ii) assessment of changes over time to the renal tumour</w:t>
      </w:r>
      <w:r w:rsidR="00575686">
        <w:rPr>
          <w:iCs/>
        </w:rPr>
        <w:t>,</w:t>
      </w:r>
      <w:r w:rsidR="001B0E7B" w:rsidRPr="001B0E7B">
        <w:rPr>
          <w:iCs/>
        </w:rPr>
        <w:t xml:space="preserve"> in patients with rare inherited conditions associated with an increased risk of renal tumours</w:t>
      </w:r>
      <w:r w:rsidR="00575686">
        <w:rPr>
          <w:iCs/>
        </w:rPr>
        <w:t>,</w:t>
      </w:r>
      <w:r w:rsidRPr="00D1072A">
        <w:rPr>
          <w:iCs/>
        </w:rPr>
        <w:t xml:space="preserve"> was received from </w:t>
      </w:r>
      <w:r w:rsidR="001B0E7B" w:rsidRPr="001B0E7B">
        <w:rPr>
          <w:iCs/>
        </w:rPr>
        <w:t>Rare Voices Australia</w:t>
      </w:r>
      <w:r w:rsidRPr="00D1072A">
        <w:rPr>
          <w:iCs/>
        </w:rPr>
        <w:t xml:space="preserve"> by the Department of Health</w:t>
      </w:r>
      <w:r w:rsidR="000B6462" w:rsidRPr="00D1072A">
        <w:rPr>
          <w:iCs/>
        </w:rPr>
        <w:t xml:space="preserve"> and Aged Care</w:t>
      </w:r>
      <w:r w:rsidRPr="00D1072A">
        <w:rPr>
          <w:iCs/>
        </w:rPr>
        <w:t>.</w:t>
      </w:r>
    </w:p>
    <w:p w14:paraId="3EE8FC6C" w14:textId="77777777" w:rsidR="006224B0" w:rsidRDefault="006224B0" w:rsidP="006224B0">
      <w:pPr>
        <w:pStyle w:val="Heading2"/>
        <w:numPr>
          <w:ilvl w:val="0"/>
          <w:numId w:val="0"/>
        </w:numPr>
      </w:pPr>
      <w:r w:rsidRPr="00D1072A">
        <w:t>2.</w:t>
      </w:r>
      <w:r w:rsidRPr="00D1072A">
        <w:tab/>
      </w:r>
      <w:r>
        <w:t>MSAC’s advice to the minister</w:t>
      </w:r>
    </w:p>
    <w:p w14:paraId="0B288198" w14:textId="77777777" w:rsidR="00B25D02" w:rsidRPr="00E43529" w:rsidRDefault="00B25D02" w:rsidP="00B25D02">
      <w:r w:rsidRPr="00D81A81">
        <w:t>After considering the strength of the available evidence in relation to comparative safety, clinical effectiveness</w:t>
      </w:r>
      <w:r>
        <w:t xml:space="preserve">, </w:t>
      </w:r>
      <w:r w:rsidRPr="00D81A81">
        <w:t>cost-effectiveness</w:t>
      </w:r>
      <w:r>
        <w:t xml:space="preserve"> and total cost</w:t>
      </w:r>
      <w:r w:rsidRPr="00D81A81">
        <w:t xml:space="preserve">, </w:t>
      </w:r>
      <w:r w:rsidRPr="00E43529">
        <w:t xml:space="preserve">MSAC supported the creation of new Medicare Benefits Schedule (MBS) items for abdominal </w:t>
      </w:r>
      <w:r>
        <w:t>magnetic resonance imaging (</w:t>
      </w:r>
      <w:r w:rsidRPr="00E43529">
        <w:t>MRI</w:t>
      </w:r>
      <w:r>
        <w:t>)</w:t>
      </w:r>
      <w:r w:rsidRPr="00E43529">
        <w:t xml:space="preserve">, using </w:t>
      </w:r>
      <w:r>
        <w:t>intravenous (</w:t>
      </w:r>
      <w:r w:rsidRPr="00E43529">
        <w:t>IV</w:t>
      </w:r>
      <w:r>
        <w:t>)</w:t>
      </w:r>
      <w:r w:rsidRPr="00E43529">
        <w:t xml:space="preserve"> contrast when appropriate, for annual surveillance to detect newly developed renal tumours and monitor existing renal tumours in patients with rare heritable genetic conditions with an increased lifetime risk of renal tumours. </w:t>
      </w:r>
    </w:p>
    <w:p w14:paraId="2C006D33" w14:textId="77777777" w:rsidR="00B25D02" w:rsidRDefault="00B25D02" w:rsidP="00B25D02">
      <w:pPr>
        <w:rPr>
          <w:szCs w:val="24"/>
        </w:rPr>
      </w:pPr>
      <w:r w:rsidRPr="1F3AA03E">
        <w:t>MSAC noted that</w:t>
      </w:r>
      <w:r>
        <w:t xml:space="preserve"> –</w:t>
      </w:r>
      <w:r w:rsidRPr="1F3AA03E">
        <w:t xml:space="preserve"> in addition to MRI being an accurate technique for detecting, </w:t>
      </w:r>
      <w:proofErr w:type="gramStart"/>
      <w:r w:rsidRPr="1F3AA03E">
        <w:t>characterising</w:t>
      </w:r>
      <w:proofErr w:type="gramEnd"/>
      <w:r w:rsidRPr="1F3AA03E">
        <w:t xml:space="preserve"> and monitoring renal tumours</w:t>
      </w:r>
      <w:r>
        <w:t xml:space="preserve"> –</w:t>
      </w:r>
      <w:r w:rsidRPr="1F3AA03E">
        <w:t xml:space="preserve"> it was safer for this patient population than computed tomography (CT) because of the lack of ionising radiation and therefore lower associated cancer risk. MSAC considered that this safety benefit was an important consideration for ensuring readily available access to MRI for this population with high clinical need, given their requirement for serial imaging from a young age. While noting the limitations of the economic evaluation, MSAC considered that abdominal MRI was </w:t>
      </w:r>
      <w:r w:rsidR="00CF46B0">
        <w:t>likely</w:t>
      </w:r>
      <w:r w:rsidR="00CF46B0" w:rsidRPr="1F3AA03E">
        <w:t xml:space="preserve"> </w:t>
      </w:r>
      <w:r w:rsidRPr="1F3AA03E">
        <w:t xml:space="preserve">cost-effective compared with CT based on the safety outcome of radiation-induced cancer avoided. MSAC also noted that abdominal MRI is recommended in national and international guidelines for this patient population. MSAC considered that the financial cost to the MBS would be </w:t>
      </w:r>
      <w:r w:rsidRPr="0357BFA8">
        <w:t>modest and acceptable</w:t>
      </w:r>
      <w:r>
        <w:rPr>
          <w:szCs w:val="24"/>
        </w:rPr>
        <w:t>.</w:t>
      </w:r>
    </w:p>
    <w:p w14:paraId="276A1439" w14:textId="77777777" w:rsidR="00B25D02" w:rsidRDefault="00FD3F9F" w:rsidP="00B25D02">
      <w:pPr>
        <w:rPr>
          <w:szCs w:val="24"/>
        </w:rPr>
      </w:pPr>
      <w:r>
        <w:rPr>
          <w:szCs w:val="24"/>
        </w:rPr>
        <w:t xml:space="preserve">The MSAC supported </w:t>
      </w:r>
      <w:r w:rsidR="00617617">
        <w:rPr>
          <w:szCs w:val="24"/>
        </w:rPr>
        <w:t xml:space="preserve">MBS items and </w:t>
      </w:r>
      <w:r w:rsidR="00940B23">
        <w:rPr>
          <w:szCs w:val="24"/>
        </w:rPr>
        <w:t xml:space="preserve">explanatory note </w:t>
      </w:r>
      <w:r>
        <w:rPr>
          <w:szCs w:val="24"/>
        </w:rPr>
        <w:t>are provided below:</w:t>
      </w:r>
    </w:p>
    <w:p w14:paraId="2B968841" w14:textId="77777777" w:rsidR="00B25D02" w:rsidRPr="00ED58ED" w:rsidRDefault="00281EB9" w:rsidP="00B25D02">
      <w:pPr>
        <w:pStyle w:val="TableHeading0"/>
      </w:pPr>
      <w:r>
        <w:lastRenderedPageBreak/>
        <w:t>A</w:t>
      </w:r>
      <w:r w:rsidR="00B25D02" w:rsidRPr="00ED58ED">
        <w:t>nnual surveillance item</w:t>
      </w:r>
      <w:r w:rsidR="00B25D02">
        <w:t xml:space="preserve"> (PICO set 1)</w:t>
      </w:r>
    </w:p>
    <w:tbl>
      <w:tblPr>
        <w:tblStyle w:val="TableGrid"/>
        <w:tblW w:w="5000" w:type="pct"/>
        <w:tblLook w:val="04A0" w:firstRow="1" w:lastRow="0" w:firstColumn="1" w:lastColumn="0" w:noHBand="0" w:noVBand="1"/>
      </w:tblPr>
      <w:tblGrid>
        <w:gridCol w:w="9016"/>
      </w:tblGrid>
      <w:tr w:rsidR="00B25D02" w:rsidRPr="00AB4EA5" w14:paraId="1D75F7EC" w14:textId="77777777" w:rsidTr="008B34D8">
        <w:trPr>
          <w:cantSplit/>
          <w:tblHeader/>
        </w:trPr>
        <w:tc>
          <w:tcPr>
            <w:tcW w:w="5000" w:type="pct"/>
          </w:tcPr>
          <w:p w14:paraId="48F5EC45" w14:textId="77777777" w:rsidR="00B25D02" w:rsidRPr="00AB4EA5" w:rsidRDefault="00B25D02" w:rsidP="008B34D8">
            <w:pPr>
              <w:tabs>
                <w:tab w:val="num" w:pos="426"/>
                <w:tab w:val="left" w:pos="4782"/>
              </w:tabs>
              <w:rPr>
                <w:rFonts w:ascii="Arial Narrow" w:hAnsi="Arial Narrow"/>
                <w:b/>
                <w:sz w:val="20"/>
                <w:szCs w:val="20"/>
              </w:rPr>
            </w:pPr>
            <w:r w:rsidRPr="00AB4EA5">
              <w:rPr>
                <w:rFonts w:ascii="Arial Narrow" w:hAnsi="Arial Narrow"/>
                <w:b/>
                <w:sz w:val="20"/>
                <w:szCs w:val="20"/>
              </w:rPr>
              <w:t xml:space="preserve">Category 5 – Diagnostic Imaging Services </w:t>
            </w:r>
          </w:p>
        </w:tc>
      </w:tr>
      <w:tr w:rsidR="00B25D02" w:rsidRPr="00AB4EA5" w14:paraId="546433C9" w14:textId="77777777" w:rsidTr="008B34D8">
        <w:trPr>
          <w:cantSplit/>
          <w:tblHeader/>
        </w:trPr>
        <w:tc>
          <w:tcPr>
            <w:tcW w:w="5000" w:type="pct"/>
          </w:tcPr>
          <w:p w14:paraId="51B4DEF1" w14:textId="77777777" w:rsidR="00B25D02" w:rsidRPr="00AB4EA5" w:rsidRDefault="00B25D02" w:rsidP="008B34D8">
            <w:pPr>
              <w:tabs>
                <w:tab w:val="num" w:pos="426"/>
              </w:tabs>
              <w:rPr>
                <w:rFonts w:ascii="Arial Narrow" w:hAnsi="Arial Narrow"/>
                <w:bCs/>
                <w:sz w:val="20"/>
                <w:szCs w:val="20"/>
              </w:rPr>
            </w:pPr>
            <w:r w:rsidRPr="00AB4EA5">
              <w:rPr>
                <w:rFonts w:ascii="Arial Narrow" w:hAnsi="Arial Narrow"/>
                <w:bCs/>
                <w:sz w:val="20"/>
                <w:szCs w:val="20"/>
              </w:rPr>
              <w:t>Item XXXX</w:t>
            </w:r>
          </w:p>
          <w:p w14:paraId="129A29F1" w14:textId="39F68C70" w:rsidR="00B25D02" w:rsidRPr="00AB4EA5" w:rsidRDefault="00B25D02" w:rsidP="008B34D8">
            <w:pPr>
              <w:tabs>
                <w:tab w:val="num" w:pos="426"/>
              </w:tabs>
              <w:rPr>
                <w:rFonts w:ascii="Arial Narrow" w:hAnsi="Arial Narrow"/>
                <w:bCs/>
                <w:sz w:val="20"/>
                <w:szCs w:val="20"/>
              </w:rPr>
            </w:pPr>
            <w:r w:rsidRPr="00AB4EA5">
              <w:rPr>
                <w:rFonts w:ascii="Arial Narrow" w:hAnsi="Arial Narrow"/>
                <w:bCs/>
                <w:sz w:val="20"/>
                <w:szCs w:val="20"/>
              </w:rPr>
              <w:t>MRI – scan of the abdomen, requested by a specialist or consultant physician, to assess the development and/or growth of renal tumours in patients with a confirmed clinical and/or molecular diagnosis of a genetic disorder associated with an increased risk of developing renal tumours.</w:t>
            </w:r>
          </w:p>
          <w:p w14:paraId="3DEB1308" w14:textId="427681F9" w:rsidR="00B25D02" w:rsidRPr="00AB4EA5" w:rsidRDefault="00B25D02" w:rsidP="008B34D8">
            <w:pPr>
              <w:tabs>
                <w:tab w:val="num" w:pos="426"/>
              </w:tabs>
              <w:rPr>
                <w:rFonts w:ascii="Arial Narrow" w:hAnsi="Arial Narrow"/>
                <w:bCs/>
                <w:sz w:val="20"/>
                <w:szCs w:val="20"/>
              </w:rPr>
            </w:pPr>
            <w:r w:rsidRPr="00AB4EA5">
              <w:rPr>
                <w:rFonts w:ascii="Arial Narrow" w:hAnsi="Arial Narrow"/>
                <w:bCs/>
                <w:sz w:val="20"/>
                <w:szCs w:val="20"/>
              </w:rPr>
              <w:t xml:space="preserve">For any particular patient – applicable not more than once in a </w:t>
            </w:r>
            <w:proofErr w:type="gramStart"/>
            <w:r w:rsidRPr="00AB4EA5">
              <w:rPr>
                <w:rFonts w:ascii="Arial Narrow" w:hAnsi="Arial Narrow"/>
                <w:bCs/>
                <w:sz w:val="20"/>
                <w:szCs w:val="20"/>
              </w:rPr>
              <w:t>12 month</w:t>
            </w:r>
            <w:proofErr w:type="gramEnd"/>
            <w:r w:rsidRPr="00AB4EA5">
              <w:rPr>
                <w:rFonts w:ascii="Arial Narrow" w:hAnsi="Arial Narrow"/>
                <w:bCs/>
                <w:sz w:val="20"/>
                <w:szCs w:val="20"/>
              </w:rPr>
              <w:t xml:space="preserve"> period. </w:t>
            </w:r>
          </w:p>
          <w:p w14:paraId="7E46019B" w14:textId="77777777" w:rsidR="00B25D02" w:rsidRPr="00AB4EA5" w:rsidRDefault="00B25D02" w:rsidP="008B34D8">
            <w:pPr>
              <w:tabs>
                <w:tab w:val="num" w:pos="426"/>
              </w:tabs>
              <w:rPr>
                <w:rFonts w:ascii="Arial Narrow" w:hAnsi="Arial Narrow"/>
                <w:bCs/>
                <w:i/>
                <w:iCs/>
                <w:sz w:val="20"/>
                <w:szCs w:val="20"/>
              </w:rPr>
            </w:pPr>
            <w:r w:rsidRPr="00AB4EA5">
              <w:rPr>
                <w:rFonts w:ascii="Arial Narrow" w:hAnsi="Arial Narrow"/>
                <w:bCs/>
                <w:i/>
                <w:iCs/>
                <w:sz w:val="20"/>
                <w:szCs w:val="20"/>
              </w:rPr>
              <w:t>Restricted to one scan per 12 months.</w:t>
            </w:r>
          </w:p>
          <w:p w14:paraId="671876AF" w14:textId="57650CC4" w:rsidR="00B25D02" w:rsidRPr="00AB4EA5" w:rsidRDefault="00B25D02" w:rsidP="008B34D8">
            <w:pPr>
              <w:tabs>
                <w:tab w:val="num" w:pos="426"/>
              </w:tabs>
              <w:rPr>
                <w:rFonts w:ascii="Arial Narrow" w:hAnsi="Arial Narrow"/>
                <w:bCs/>
                <w:sz w:val="20"/>
                <w:szCs w:val="20"/>
              </w:rPr>
            </w:pPr>
            <w:r w:rsidRPr="00AB4EA5">
              <w:rPr>
                <w:rFonts w:ascii="Arial Narrow" w:hAnsi="Arial Narrow"/>
                <w:bCs/>
                <w:sz w:val="20"/>
                <w:szCs w:val="20"/>
              </w:rPr>
              <w:t>(R) (</w:t>
            </w:r>
            <w:proofErr w:type="spellStart"/>
            <w:r w:rsidRPr="00AB4EA5">
              <w:rPr>
                <w:rFonts w:ascii="Arial Narrow" w:hAnsi="Arial Narrow"/>
                <w:bCs/>
                <w:sz w:val="20"/>
                <w:szCs w:val="20"/>
              </w:rPr>
              <w:t>Anaes</w:t>
            </w:r>
            <w:proofErr w:type="spellEnd"/>
            <w:r w:rsidRPr="00AB4EA5">
              <w:rPr>
                <w:rFonts w:ascii="Arial Narrow" w:hAnsi="Arial Narrow"/>
                <w:bCs/>
                <w:sz w:val="20"/>
                <w:szCs w:val="20"/>
              </w:rPr>
              <w:t xml:space="preserve">) (Contrast) </w:t>
            </w:r>
          </w:p>
          <w:p w14:paraId="308E0BB7" w14:textId="77777777" w:rsidR="00B25D02" w:rsidRPr="00AB4EA5" w:rsidRDefault="00B25D02" w:rsidP="008B34D8">
            <w:pPr>
              <w:tabs>
                <w:tab w:val="num" w:pos="426"/>
              </w:tabs>
              <w:rPr>
                <w:rFonts w:ascii="Arial Narrow" w:hAnsi="Arial Narrow"/>
                <w:b/>
                <w:sz w:val="20"/>
                <w:szCs w:val="20"/>
              </w:rPr>
            </w:pPr>
            <w:r w:rsidRPr="00AB4EA5">
              <w:rPr>
                <w:rFonts w:ascii="Arial Narrow" w:hAnsi="Arial Narrow"/>
                <w:b/>
                <w:sz w:val="20"/>
                <w:szCs w:val="20"/>
              </w:rPr>
              <w:t xml:space="preserve">Fee: </w:t>
            </w:r>
            <w:r w:rsidRPr="00AB4EA5">
              <w:rPr>
                <w:rFonts w:ascii="Arial Narrow" w:hAnsi="Arial Narrow"/>
                <w:bCs/>
                <w:sz w:val="20"/>
                <w:szCs w:val="20"/>
              </w:rPr>
              <w:t>$637.25</w:t>
            </w:r>
          </w:p>
        </w:tc>
      </w:tr>
    </w:tbl>
    <w:p w14:paraId="23238ABA" w14:textId="77777777" w:rsidR="00B25D02" w:rsidRPr="00ED58ED" w:rsidRDefault="00281EB9" w:rsidP="00B25D02">
      <w:pPr>
        <w:pStyle w:val="TableHeading0"/>
      </w:pPr>
      <w:r>
        <w:t>T</w:t>
      </w:r>
      <w:r w:rsidR="00B25D02" w:rsidRPr="00ED58ED">
        <w:t>umour monitoring item</w:t>
      </w:r>
      <w:r w:rsidR="00B25D02">
        <w:t xml:space="preserve"> (PICO set 2)</w:t>
      </w:r>
    </w:p>
    <w:tbl>
      <w:tblPr>
        <w:tblStyle w:val="TableGrid"/>
        <w:tblW w:w="5000" w:type="pct"/>
        <w:tblLook w:val="04A0" w:firstRow="1" w:lastRow="0" w:firstColumn="1" w:lastColumn="0" w:noHBand="0" w:noVBand="1"/>
      </w:tblPr>
      <w:tblGrid>
        <w:gridCol w:w="9016"/>
      </w:tblGrid>
      <w:tr w:rsidR="00B25D02" w:rsidRPr="00AB4EA5" w14:paraId="491F56C1" w14:textId="77777777" w:rsidTr="008B34D8">
        <w:tc>
          <w:tcPr>
            <w:tcW w:w="5000" w:type="pct"/>
          </w:tcPr>
          <w:p w14:paraId="258DB9D8" w14:textId="77777777" w:rsidR="00B25D02" w:rsidRPr="00AB4EA5" w:rsidRDefault="00B25D02" w:rsidP="008B34D8">
            <w:pPr>
              <w:tabs>
                <w:tab w:val="num" w:pos="426"/>
              </w:tabs>
              <w:rPr>
                <w:rFonts w:ascii="Arial Narrow" w:hAnsi="Arial Narrow"/>
                <w:b/>
                <w:sz w:val="20"/>
                <w:szCs w:val="20"/>
              </w:rPr>
            </w:pPr>
            <w:r w:rsidRPr="00AB4EA5">
              <w:rPr>
                <w:rFonts w:ascii="Arial Narrow" w:hAnsi="Arial Narrow"/>
                <w:b/>
                <w:sz w:val="20"/>
                <w:szCs w:val="20"/>
              </w:rPr>
              <w:t>Category 5 – Diagnostic Imaging Services</w:t>
            </w:r>
          </w:p>
        </w:tc>
      </w:tr>
      <w:tr w:rsidR="00B25D02" w:rsidRPr="00AB4EA5" w14:paraId="39B7B046" w14:textId="77777777" w:rsidTr="008B34D8">
        <w:tc>
          <w:tcPr>
            <w:tcW w:w="5000" w:type="pct"/>
          </w:tcPr>
          <w:p w14:paraId="5250084C" w14:textId="77777777" w:rsidR="00B25D02" w:rsidRPr="00AB4EA5" w:rsidRDefault="00B25D02" w:rsidP="008B34D8">
            <w:pPr>
              <w:tabs>
                <w:tab w:val="num" w:pos="426"/>
              </w:tabs>
              <w:rPr>
                <w:rFonts w:ascii="Arial Narrow" w:hAnsi="Arial Narrow"/>
                <w:bCs/>
                <w:sz w:val="20"/>
                <w:szCs w:val="20"/>
              </w:rPr>
            </w:pPr>
            <w:r w:rsidRPr="00AB4EA5">
              <w:rPr>
                <w:rFonts w:ascii="Arial Narrow" w:hAnsi="Arial Narrow"/>
                <w:bCs/>
                <w:sz w:val="20"/>
                <w:szCs w:val="20"/>
              </w:rPr>
              <w:t>Item YYYY</w:t>
            </w:r>
          </w:p>
          <w:p w14:paraId="635B31CF" w14:textId="77777777" w:rsidR="00B25D02" w:rsidRPr="00AB4EA5" w:rsidRDefault="00B25D02" w:rsidP="008B34D8">
            <w:pPr>
              <w:tabs>
                <w:tab w:val="num" w:pos="426"/>
              </w:tabs>
              <w:rPr>
                <w:rFonts w:ascii="Arial Narrow" w:hAnsi="Arial Narrow"/>
                <w:bCs/>
                <w:sz w:val="20"/>
                <w:szCs w:val="20"/>
              </w:rPr>
            </w:pPr>
            <w:r w:rsidRPr="00AB4EA5">
              <w:rPr>
                <w:rFonts w:ascii="Arial Narrow" w:hAnsi="Arial Narrow"/>
                <w:bCs/>
                <w:sz w:val="20"/>
                <w:szCs w:val="20"/>
              </w:rPr>
              <w:t>MRI – scan of the abdomen, requested by a specialist or consultant physician, to assess a patient with a known renal tumour who has:</w:t>
            </w:r>
          </w:p>
          <w:p w14:paraId="3C92C91C" w14:textId="77777777" w:rsidR="00B25D02" w:rsidRPr="00AB4EA5" w:rsidRDefault="00B25D02" w:rsidP="00B25D02">
            <w:pPr>
              <w:pStyle w:val="ListParagraph"/>
              <w:numPr>
                <w:ilvl w:val="0"/>
                <w:numId w:val="27"/>
              </w:numPr>
              <w:spacing w:before="0"/>
              <w:rPr>
                <w:rFonts w:ascii="Arial Narrow" w:hAnsi="Arial Narrow"/>
                <w:bCs/>
                <w:sz w:val="20"/>
                <w:szCs w:val="20"/>
              </w:rPr>
            </w:pPr>
            <w:r w:rsidRPr="00AB4EA5">
              <w:rPr>
                <w:rFonts w:ascii="Arial Narrow" w:hAnsi="Arial Narrow"/>
                <w:bCs/>
                <w:sz w:val="20"/>
                <w:szCs w:val="20"/>
              </w:rPr>
              <w:t>a confirmed clinical and/or molecular diagnosis of a genetic disorder associated with an increased risk of developing renal tumours, and</w:t>
            </w:r>
          </w:p>
          <w:p w14:paraId="663A1B20" w14:textId="77777777" w:rsidR="00B25D02" w:rsidRPr="00AB4EA5" w:rsidRDefault="00B25D02" w:rsidP="00B25D02">
            <w:pPr>
              <w:pStyle w:val="ListParagraph"/>
              <w:numPr>
                <w:ilvl w:val="0"/>
                <w:numId w:val="27"/>
              </w:numPr>
              <w:tabs>
                <w:tab w:val="num" w:pos="426"/>
              </w:tabs>
              <w:spacing w:before="0"/>
              <w:rPr>
                <w:rFonts w:ascii="Arial Narrow" w:hAnsi="Arial Narrow"/>
                <w:bCs/>
                <w:sz w:val="20"/>
                <w:szCs w:val="20"/>
              </w:rPr>
            </w:pPr>
            <w:r w:rsidRPr="00AB4EA5">
              <w:rPr>
                <w:rFonts w:ascii="Arial Narrow" w:hAnsi="Arial Narrow"/>
                <w:bCs/>
                <w:sz w:val="20"/>
                <w:szCs w:val="20"/>
              </w:rPr>
              <w:t>for the purposes of evaluating changes in clinical condition or suspected complications of known renal tumours arising between an annual surveillance MRI claimed under item XXXX; or</w:t>
            </w:r>
          </w:p>
          <w:p w14:paraId="5F59F678" w14:textId="3E0549F1" w:rsidR="00B25D02" w:rsidRPr="00144C76" w:rsidRDefault="00B25D02" w:rsidP="008B34D8">
            <w:pPr>
              <w:pStyle w:val="ListParagraph"/>
              <w:numPr>
                <w:ilvl w:val="0"/>
                <w:numId w:val="27"/>
              </w:numPr>
              <w:tabs>
                <w:tab w:val="num" w:pos="426"/>
              </w:tabs>
              <w:spacing w:before="0"/>
              <w:rPr>
                <w:rFonts w:ascii="Arial Narrow" w:hAnsi="Arial Narrow"/>
                <w:bCs/>
                <w:sz w:val="20"/>
                <w:szCs w:val="20"/>
              </w:rPr>
            </w:pPr>
            <w:r w:rsidRPr="00AB4EA5">
              <w:rPr>
                <w:rFonts w:ascii="Arial Narrow" w:hAnsi="Arial Narrow"/>
                <w:bCs/>
                <w:sz w:val="20"/>
                <w:szCs w:val="20"/>
              </w:rPr>
              <w:t>where a disease specific line of treatment has been initiated and an assessment of patient responsiveness to this treatment is required.</w:t>
            </w:r>
          </w:p>
          <w:p w14:paraId="19513409" w14:textId="77777777" w:rsidR="00B25D02" w:rsidRPr="00AB4EA5" w:rsidRDefault="00B25D02" w:rsidP="008B34D8">
            <w:pPr>
              <w:tabs>
                <w:tab w:val="num" w:pos="426"/>
              </w:tabs>
              <w:rPr>
                <w:rFonts w:ascii="Arial Narrow" w:hAnsi="Arial Narrow"/>
                <w:bCs/>
                <w:i/>
                <w:iCs/>
                <w:sz w:val="20"/>
                <w:szCs w:val="20"/>
              </w:rPr>
            </w:pPr>
            <w:r w:rsidRPr="00AB4EA5">
              <w:rPr>
                <w:rFonts w:ascii="Arial Narrow" w:hAnsi="Arial Narrow"/>
                <w:bCs/>
                <w:i/>
                <w:iCs/>
                <w:sz w:val="20"/>
                <w:szCs w:val="20"/>
              </w:rPr>
              <w:t xml:space="preserve">For any particular patient – applicable not more than once in a </w:t>
            </w:r>
            <w:proofErr w:type="gramStart"/>
            <w:r w:rsidRPr="00AB4EA5">
              <w:rPr>
                <w:rFonts w:ascii="Arial Narrow" w:hAnsi="Arial Narrow"/>
                <w:bCs/>
                <w:i/>
                <w:iCs/>
                <w:sz w:val="20"/>
                <w:szCs w:val="20"/>
              </w:rPr>
              <w:t>3 month</w:t>
            </w:r>
            <w:proofErr w:type="gramEnd"/>
            <w:r w:rsidRPr="00AB4EA5">
              <w:rPr>
                <w:rFonts w:ascii="Arial Narrow" w:hAnsi="Arial Narrow"/>
                <w:bCs/>
                <w:i/>
                <w:iCs/>
                <w:sz w:val="20"/>
                <w:szCs w:val="20"/>
              </w:rPr>
              <w:t xml:space="preserve"> period. </w:t>
            </w:r>
          </w:p>
          <w:p w14:paraId="26933127" w14:textId="6BF28A06" w:rsidR="00B25D02" w:rsidRPr="00AB4EA5" w:rsidRDefault="00B25D02" w:rsidP="008B34D8">
            <w:pPr>
              <w:tabs>
                <w:tab w:val="num" w:pos="426"/>
              </w:tabs>
              <w:rPr>
                <w:rFonts w:ascii="Arial Narrow" w:hAnsi="Arial Narrow"/>
                <w:bCs/>
                <w:sz w:val="20"/>
                <w:szCs w:val="20"/>
              </w:rPr>
            </w:pPr>
            <w:r w:rsidRPr="00AB4EA5">
              <w:rPr>
                <w:rFonts w:ascii="Arial Narrow" w:hAnsi="Arial Narrow"/>
                <w:bCs/>
                <w:sz w:val="20"/>
                <w:szCs w:val="20"/>
              </w:rPr>
              <w:t>(R) (</w:t>
            </w:r>
            <w:proofErr w:type="spellStart"/>
            <w:r w:rsidRPr="00AB4EA5">
              <w:rPr>
                <w:rFonts w:ascii="Arial Narrow" w:hAnsi="Arial Narrow"/>
                <w:bCs/>
                <w:sz w:val="20"/>
                <w:szCs w:val="20"/>
              </w:rPr>
              <w:t>Anaes</w:t>
            </w:r>
            <w:proofErr w:type="spellEnd"/>
            <w:r w:rsidRPr="00AB4EA5">
              <w:rPr>
                <w:rFonts w:ascii="Arial Narrow" w:hAnsi="Arial Narrow"/>
                <w:bCs/>
                <w:sz w:val="20"/>
                <w:szCs w:val="20"/>
              </w:rPr>
              <w:t>) (Contrast)</w:t>
            </w:r>
          </w:p>
          <w:p w14:paraId="77D17663" w14:textId="77777777" w:rsidR="00B25D02" w:rsidRPr="00AB4EA5" w:rsidRDefault="00B25D02" w:rsidP="008B34D8">
            <w:pPr>
              <w:tabs>
                <w:tab w:val="num" w:pos="426"/>
              </w:tabs>
              <w:rPr>
                <w:rFonts w:ascii="Arial Narrow" w:hAnsi="Arial Narrow"/>
                <w:b/>
                <w:sz w:val="20"/>
                <w:szCs w:val="20"/>
              </w:rPr>
            </w:pPr>
            <w:r w:rsidRPr="00AB4EA5">
              <w:rPr>
                <w:rFonts w:ascii="Arial Narrow" w:hAnsi="Arial Narrow"/>
                <w:b/>
                <w:sz w:val="20"/>
                <w:szCs w:val="20"/>
              </w:rPr>
              <w:t xml:space="preserve">Fee: </w:t>
            </w:r>
            <w:r w:rsidRPr="00AB4EA5">
              <w:rPr>
                <w:rFonts w:ascii="Arial Narrow" w:hAnsi="Arial Narrow"/>
                <w:bCs/>
                <w:sz w:val="20"/>
                <w:szCs w:val="20"/>
              </w:rPr>
              <w:t>$637.25</w:t>
            </w:r>
          </w:p>
        </w:tc>
      </w:tr>
    </w:tbl>
    <w:p w14:paraId="56F22E17" w14:textId="77777777" w:rsidR="00B25D02" w:rsidRPr="00ED58ED" w:rsidRDefault="00B25D02" w:rsidP="00B25D02">
      <w:pPr>
        <w:pStyle w:val="TableHeading0"/>
      </w:pPr>
      <w:r>
        <w:t>Proposed</w:t>
      </w:r>
      <w:r w:rsidRPr="00ED58ED">
        <w:t xml:space="preserve"> explanatory note</w:t>
      </w:r>
      <w:r>
        <w:t xml:space="preserve"> to accompany items XXXX and YYYY</w:t>
      </w:r>
    </w:p>
    <w:tbl>
      <w:tblPr>
        <w:tblStyle w:val="TableGrid"/>
        <w:tblW w:w="5000" w:type="pct"/>
        <w:tblLook w:val="04A0" w:firstRow="1" w:lastRow="0" w:firstColumn="1" w:lastColumn="0" w:noHBand="0" w:noVBand="1"/>
      </w:tblPr>
      <w:tblGrid>
        <w:gridCol w:w="9016"/>
      </w:tblGrid>
      <w:tr w:rsidR="00B25D02" w:rsidRPr="00AB4EA5" w14:paraId="0EE14515" w14:textId="77777777" w:rsidTr="008B34D8">
        <w:tc>
          <w:tcPr>
            <w:tcW w:w="5000" w:type="pct"/>
          </w:tcPr>
          <w:p w14:paraId="23DF1F32" w14:textId="286BBB25" w:rsidR="00B25D02" w:rsidRPr="00AB4EA5" w:rsidRDefault="00B25D02" w:rsidP="008B34D8">
            <w:pPr>
              <w:tabs>
                <w:tab w:val="num" w:pos="426"/>
              </w:tabs>
              <w:rPr>
                <w:rFonts w:ascii="Arial Narrow" w:hAnsi="Arial Narrow"/>
                <w:bCs/>
                <w:sz w:val="20"/>
                <w:szCs w:val="20"/>
              </w:rPr>
            </w:pPr>
            <w:r w:rsidRPr="00AB4EA5">
              <w:rPr>
                <w:rFonts w:ascii="Arial Narrow" w:hAnsi="Arial Narrow"/>
                <w:bCs/>
                <w:sz w:val="20"/>
                <w:szCs w:val="20"/>
              </w:rPr>
              <w:t>For Items XXXX and YYYY, access to these items is for patients with a confirmed clinical and/or molecular diagnosis of a rare genetic disorder associated with a &gt;N% risk</w:t>
            </w:r>
            <w:r w:rsidR="00593EC0">
              <w:rPr>
                <w:rFonts w:ascii="Arial Narrow" w:hAnsi="Arial Narrow"/>
                <w:bCs/>
                <w:sz w:val="20"/>
                <w:szCs w:val="20"/>
              </w:rPr>
              <w:t>*</w:t>
            </w:r>
            <w:r w:rsidRPr="00AB4EA5">
              <w:rPr>
                <w:rFonts w:ascii="Arial Narrow" w:hAnsi="Arial Narrow"/>
                <w:bCs/>
                <w:sz w:val="20"/>
                <w:szCs w:val="20"/>
              </w:rPr>
              <w:t xml:space="preserve"> of developing renal tumours. Examples of such disorders could include:</w:t>
            </w:r>
          </w:p>
          <w:p w14:paraId="41BC77C9" w14:textId="77777777" w:rsidR="00B25D02" w:rsidRPr="00AB4EA5" w:rsidRDefault="00B25D02" w:rsidP="00B25D02">
            <w:pPr>
              <w:pStyle w:val="ListParagraph"/>
              <w:numPr>
                <w:ilvl w:val="0"/>
                <w:numId w:val="26"/>
              </w:numPr>
              <w:spacing w:before="0"/>
              <w:rPr>
                <w:rFonts w:ascii="Arial Narrow" w:hAnsi="Arial Narrow"/>
                <w:bCs/>
                <w:sz w:val="20"/>
                <w:szCs w:val="20"/>
              </w:rPr>
            </w:pPr>
            <w:r w:rsidRPr="00AB4EA5">
              <w:rPr>
                <w:rFonts w:ascii="Arial Narrow" w:hAnsi="Arial Narrow"/>
                <w:bCs/>
                <w:sz w:val="20"/>
                <w:szCs w:val="20"/>
              </w:rPr>
              <w:t>Tuberous sclerosis complex</w:t>
            </w:r>
          </w:p>
          <w:p w14:paraId="764C43D1" w14:textId="77777777" w:rsidR="00B25D02" w:rsidRPr="00AB4EA5" w:rsidRDefault="00B25D02" w:rsidP="00B25D02">
            <w:pPr>
              <w:pStyle w:val="ListParagraph"/>
              <w:numPr>
                <w:ilvl w:val="0"/>
                <w:numId w:val="26"/>
              </w:numPr>
              <w:spacing w:before="0"/>
              <w:rPr>
                <w:rFonts w:ascii="Arial Narrow" w:hAnsi="Arial Narrow"/>
                <w:bCs/>
                <w:sz w:val="20"/>
                <w:szCs w:val="20"/>
              </w:rPr>
            </w:pPr>
            <w:r w:rsidRPr="00AB4EA5">
              <w:rPr>
                <w:rFonts w:ascii="Arial Narrow" w:hAnsi="Arial Narrow"/>
                <w:bCs/>
                <w:sz w:val="20"/>
                <w:szCs w:val="20"/>
              </w:rPr>
              <w:t>Von Hippel Lindau syndrome</w:t>
            </w:r>
          </w:p>
          <w:p w14:paraId="66D2950C" w14:textId="77777777" w:rsidR="00B25D02" w:rsidRPr="00AB4EA5" w:rsidRDefault="00B25D02" w:rsidP="00B25D02">
            <w:pPr>
              <w:pStyle w:val="ListParagraph"/>
              <w:numPr>
                <w:ilvl w:val="0"/>
                <w:numId w:val="26"/>
              </w:numPr>
              <w:spacing w:before="0"/>
              <w:rPr>
                <w:rFonts w:ascii="Arial Narrow" w:hAnsi="Arial Narrow"/>
                <w:bCs/>
                <w:sz w:val="20"/>
                <w:szCs w:val="20"/>
              </w:rPr>
            </w:pPr>
            <w:proofErr w:type="spellStart"/>
            <w:r w:rsidRPr="00AB4EA5">
              <w:rPr>
                <w:rFonts w:ascii="Arial Narrow" w:hAnsi="Arial Narrow"/>
                <w:bCs/>
                <w:sz w:val="20"/>
                <w:szCs w:val="20"/>
              </w:rPr>
              <w:t>Birt</w:t>
            </w:r>
            <w:proofErr w:type="spellEnd"/>
            <w:r w:rsidRPr="00AB4EA5">
              <w:rPr>
                <w:rFonts w:ascii="Arial Narrow" w:hAnsi="Arial Narrow"/>
                <w:bCs/>
                <w:sz w:val="20"/>
                <w:szCs w:val="20"/>
              </w:rPr>
              <w:t>-Hogg-Dube syndrome</w:t>
            </w:r>
          </w:p>
          <w:p w14:paraId="37ACCB65" w14:textId="77777777" w:rsidR="00B25D02" w:rsidRPr="00AB4EA5" w:rsidRDefault="00B25D02" w:rsidP="00B25D02">
            <w:pPr>
              <w:pStyle w:val="ListParagraph"/>
              <w:numPr>
                <w:ilvl w:val="0"/>
                <w:numId w:val="26"/>
              </w:numPr>
              <w:spacing w:before="0"/>
              <w:rPr>
                <w:rFonts w:ascii="Arial Narrow" w:hAnsi="Arial Narrow"/>
                <w:bCs/>
                <w:sz w:val="20"/>
                <w:szCs w:val="20"/>
              </w:rPr>
            </w:pPr>
            <w:r w:rsidRPr="00AB4EA5">
              <w:rPr>
                <w:rFonts w:ascii="Arial Narrow" w:hAnsi="Arial Narrow"/>
                <w:bCs/>
                <w:sz w:val="20"/>
                <w:szCs w:val="20"/>
              </w:rPr>
              <w:t xml:space="preserve">Hereditary </w:t>
            </w:r>
            <w:proofErr w:type="spellStart"/>
            <w:r w:rsidRPr="00AB4EA5">
              <w:rPr>
                <w:rFonts w:ascii="Arial Narrow" w:hAnsi="Arial Narrow"/>
                <w:bCs/>
                <w:sz w:val="20"/>
                <w:szCs w:val="20"/>
              </w:rPr>
              <w:t>leiomyomatosis</w:t>
            </w:r>
            <w:proofErr w:type="spellEnd"/>
            <w:r w:rsidRPr="00AB4EA5">
              <w:rPr>
                <w:rFonts w:ascii="Arial Narrow" w:hAnsi="Arial Narrow"/>
                <w:bCs/>
                <w:sz w:val="20"/>
                <w:szCs w:val="20"/>
              </w:rPr>
              <w:t xml:space="preserve"> and renal cell carcinoma (HLRCC)</w:t>
            </w:r>
          </w:p>
          <w:p w14:paraId="7B03B9F4" w14:textId="77777777" w:rsidR="00B25D02" w:rsidRPr="00AB4EA5" w:rsidRDefault="00B25D02" w:rsidP="00B25D02">
            <w:pPr>
              <w:pStyle w:val="ListParagraph"/>
              <w:numPr>
                <w:ilvl w:val="0"/>
                <w:numId w:val="26"/>
              </w:numPr>
              <w:spacing w:before="0"/>
              <w:rPr>
                <w:rFonts w:ascii="Arial Narrow" w:hAnsi="Arial Narrow"/>
                <w:bCs/>
                <w:sz w:val="20"/>
                <w:szCs w:val="20"/>
              </w:rPr>
            </w:pPr>
            <w:r w:rsidRPr="00AB4EA5">
              <w:rPr>
                <w:rFonts w:ascii="Arial Narrow" w:hAnsi="Arial Narrow"/>
                <w:bCs/>
                <w:sz w:val="20"/>
                <w:szCs w:val="20"/>
              </w:rPr>
              <w:t>Cowden syndrome (PTEN Hamartoma Tumour Syndrome spectrum)</w:t>
            </w:r>
          </w:p>
          <w:p w14:paraId="5901C4CB" w14:textId="77777777" w:rsidR="00B25D02" w:rsidRPr="00AB4EA5" w:rsidRDefault="00B25D02" w:rsidP="00B25D02">
            <w:pPr>
              <w:pStyle w:val="ListParagraph"/>
              <w:numPr>
                <w:ilvl w:val="0"/>
                <w:numId w:val="26"/>
              </w:numPr>
              <w:spacing w:before="0"/>
              <w:rPr>
                <w:rFonts w:ascii="Arial Narrow" w:hAnsi="Arial Narrow"/>
                <w:bCs/>
                <w:sz w:val="20"/>
                <w:szCs w:val="20"/>
              </w:rPr>
            </w:pPr>
            <w:r w:rsidRPr="00AB4EA5">
              <w:rPr>
                <w:rFonts w:ascii="Arial Narrow" w:hAnsi="Arial Narrow"/>
                <w:bCs/>
                <w:sz w:val="20"/>
                <w:szCs w:val="20"/>
              </w:rPr>
              <w:t>BAP1-associated cancer syndrome</w:t>
            </w:r>
          </w:p>
          <w:p w14:paraId="33E78307" w14:textId="77777777" w:rsidR="00B25D02" w:rsidRPr="00AB4EA5" w:rsidRDefault="00B25D02" w:rsidP="00B25D02">
            <w:pPr>
              <w:pStyle w:val="ListParagraph"/>
              <w:numPr>
                <w:ilvl w:val="0"/>
                <w:numId w:val="26"/>
              </w:numPr>
              <w:spacing w:before="0"/>
              <w:rPr>
                <w:rFonts w:ascii="Arial Narrow" w:hAnsi="Arial Narrow"/>
                <w:bCs/>
                <w:sz w:val="20"/>
                <w:szCs w:val="20"/>
              </w:rPr>
            </w:pPr>
            <w:r w:rsidRPr="00AB4EA5">
              <w:rPr>
                <w:rFonts w:ascii="Arial Narrow" w:hAnsi="Arial Narrow"/>
                <w:bCs/>
                <w:sz w:val="20"/>
                <w:szCs w:val="20"/>
              </w:rPr>
              <w:t>SDH associated renal cancer (risk for phaeochromocytoma and paraganglioma)</w:t>
            </w:r>
          </w:p>
          <w:p w14:paraId="539A70DE" w14:textId="77777777" w:rsidR="00B25D02" w:rsidRPr="00AB4EA5" w:rsidRDefault="00B25D02" w:rsidP="00B25D02">
            <w:pPr>
              <w:pStyle w:val="ListParagraph"/>
              <w:numPr>
                <w:ilvl w:val="0"/>
                <w:numId w:val="26"/>
              </w:numPr>
              <w:spacing w:before="0"/>
              <w:rPr>
                <w:rFonts w:ascii="Arial Narrow" w:hAnsi="Arial Narrow"/>
                <w:bCs/>
                <w:sz w:val="20"/>
                <w:szCs w:val="20"/>
              </w:rPr>
            </w:pPr>
            <w:r w:rsidRPr="00AB4EA5">
              <w:rPr>
                <w:rFonts w:ascii="Arial Narrow" w:hAnsi="Arial Narrow"/>
                <w:bCs/>
                <w:sz w:val="20"/>
                <w:szCs w:val="20"/>
              </w:rPr>
              <w:t xml:space="preserve">Familial clear renal cell carcinoma with chromosome 3 translocation, or </w:t>
            </w:r>
          </w:p>
          <w:p w14:paraId="66E8DFDE" w14:textId="68DC88D6" w:rsidR="00B25D02" w:rsidRPr="00AB4EA5" w:rsidRDefault="00B25D02" w:rsidP="00B25D02">
            <w:pPr>
              <w:pStyle w:val="ListParagraph"/>
              <w:numPr>
                <w:ilvl w:val="0"/>
                <w:numId w:val="26"/>
              </w:numPr>
              <w:spacing w:before="0"/>
              <w:rPr>
                <w:rFonts w:ascii="Arial Narrow" w:hAnsi="Arial Narrow"/>
                <w:bCs/>
                <w:i/>
                <w:iCs/>
                <w:sz w:val="20"/>
                <w:szCs w:val="20"/>
              </w:rPr>
            </w:pPr>
            <w:r w:rsidRPr="00AB4EA5">
              <w:rPr>
                <w:rFonts w:ascii="Arial Narrow" w:hAnsi="Arial Narrow"/>
                <w:bCs/>
                <w:sz w:val="20"/>
                <w:szCs w:val="20"/>
              </w:rPr>
              <w:t xml:space="preserve">other rare genetic disorders associated with </w:t>
            </w:r>
            <w:r w:rsidR="00730EC1">
              <w:rPr>
                <w:rFonts w:ascii="Arial Narrow" w:hAnsi="Arial Narrow"/>
                <w:bCs/>
                <w:sz w:val="20"/>
                <w:szCs w:val="20"/>
              </w:rPr>
              <w:t>an</w:t>
            </w:r>
            <w:r w:rsidRPr="00AB4EA5">
              <w:rPr>
                <w:rFonts w:ascii="Arial Narrow" w:hAnsi="Arial Narrow"/>
                <w:bCs/>
                <w:sz w:val="20"/>
                <w:szCs w:val="20"/>
              </w:rPr>
              <w:t xml:space="preserve"> increased risk of developing renal tumours.</w:t>
            </w:r>
          </w:p>
        </w:tc>
      </w:tr>
    </w:tbl>
    <w:p w14:paraId="443A9B15" w14:textId="71C4CE74" w:rsidR="00144C76" w:rsidRPr="00144C76" w:rsidRDefault="00593EC0" w:rsidP="00144C76">
      <w:pPr>
        <w:rPr>
          <w:sz w:val="18"/>
          <w:szCs w:val="18"/>
        </w:rPr>
      </w:pPr>
      <w:r w:rsidRPr="00891A92">
        <w:rPr>
          <w:sz w:val="18"/>
          <w:szCs w:val="18"/>
        </w:rPr>
        <w:t>* N% risk will be determined through consultation with clinical experts before the proposed items are implemented</w:t>
      </w:r>
      <w:r w:rsidR="00144C76">
        <w:rPr>
          <w:szCs w:val="24"/>
        </w:rPr>
        <w:br w:type="page"/>
      </w:r>
    </w:p>
    <w:tbl>
      <w:tblPr>
        <w:tblStyle w:val="TableGrid"/>
        <w:tblW w:w="0" w:type="auto"/>
        <w:tblLook w:val="04A0" w:firstRow="1" w:lastRow="0" w:firstColumn="1" w:lastColumn="0" w:noHBand="0" w:noVBand="1"/>
      </w:tblPr>
      <w:tblGrid>
        <w:gridCol w:w="9016"/>
      </w:tblGrid>
      <w:tr w:rsidR="00B25D02" w:rsidRPr="00AF46D8" w14:paraId="4D298D05" w14:textId="77777777" w:rsidTr="008B34D8">
        <w:trPr>
          <w:tblHeader/>
        </w:trPr>
        <w:tc>
          <w:tcPr>
            <w:tcW w:w="9016" w:type="dxa"/>
          </w:tcPr>
          <w:p w14:paraId="175C5B5C" w14:textId="77777777" w:rsidR="00B25D02" w:rsidRPr="00AF46D8" w:rsidRDefault="00B25D02" w:rsidP="00BD5A14">
            <w:pPr>
              <w:pStyle w:val="Heading3"/>
              <w:spacing w:before="120" w:after="120"/>
              <w:outlineLvl w:val="2"/>
              <w:rPr>
                <w:rFonts w:eastAsia="Times New Roman"/>
                <w:iCs/>
              </w:rPr>
            </w:pPr>
            <w:r w:rsidRPr="00AF46D8">
              <w:lastRenderedPageBreak/>
              <w:t>Consumer summary</w:t>
            </w:r>
          </w:p>
        </w:tc>
      </w:tr>
      <w:tr w:rsidR="00B25D02" w:rsidRPr="00AF46D8" w14:paraId="32BC1353" w14:textId="77777777" w:rsidTr="008B34D8">
        <w:tc>
          <w:tcPr>
            <w:tcW w:w="9016" w:type="dxa"/>
          </w:tcPr>
          <w:p w14:paraId="4E13E649" w14:textId="27ABEBBE" w:rsidR="00B25D02" w:rsidRDefault="00B25D02" w:rsidP="008B34D8">
            <w:r w:rsidRPr="00AF46D8">
              <w:t xml:space="preserve">This is an application from </w:t>
            </w:r>
            <w:r>
              <w:t xml:space="preserve">Rare Voices Australia </w:t>
            </w:r>
            <w:r w:rsidRPr="00AF46D8">
              <w:t>requesting Medicare Benefits Schedule (MBS) listing of</w:t>
            </w:r>
            <w:r>
              <w:t xml:space="preserve"> abdominal magnetic resonance imaging (MRI) for rare genetic conditions associated with increased risk of renal tumours.</w:t>
            </w:r>
            <w:r w:rsidR="00E57D3B">
              <w:t xml:space="preserve"> Renal tumours are abnormal growths in the kidney which may include but are not restricted to cancers.</w:t>
            </w:r>
          </w:p>
          <w:p w14:paraId="6C7666D1" w14:textId="5D86356C" w:rsidR="00B25D02" w:rsidRDefault="00B25D02" w:rsidP="008B34D8">
            <w:r>
              <w:t xml:space="preserve">There are several genetic (inherited) conditions that can increase a person’s risk of developing renal tumours. People with these conditions are managed by a specialist and need to have regular scans of their belly (abdomen) to see whether any </w:t>
            </w:r>
            <w:r w:rsidR="00D47611">
              <w:t xml:space="preserve">tumours </w:t>
            </w:r>
            <w:r>
              <w:t xml:space="preserve">have developed in their kidneys. </w:t>
            </w:r>
            <w:r w:rsidR="0208080C">
              <w:t>The types of available s</w:t>
            </w:r>
            <w:r>
              <w:t xml:space="preserve">cans can include ultrasound, computed tomography (CT) or MRI. </w:t>
            </w:r>
            <w:r w:rsidR="00D57F24">
              <w:t>The kinds of renal tumours which it is important to detect in this group of patients are those which are potentially lethal</w:t>
            </w:r>
            <w:r w:rsidR="00B8476E">
              <w:t>,</w:t>
            </w:r>
            <w:r w:rsidR="00D57F24">
              <w:t xml:space="preserve"> </w:t>
            </w:r>
            <w:r w:rsidR="0075081D">
              <w:t>which include</w:t>
            </w:r>
            <w:r w:rsidR="00D57F24">
              <w:t xml:space="preserve"> cancers </w:t>
            </w:r>
            <w:r w:rsidR="0075081D">
              <w:t>as well as other types</w:t>
            </w:r>
            <w:r w:rsidR="00D57F24">
              <w:t xml:space="preserve"> of renal tumours which are not cancerous but can lead to major health problems and cause death due to bleeding. </w:t>
            </w:r>
            <w:r>
              <w:t xml:space="preserve">Ultrasound and CT are funded under the MBS for scanning these conditions, but not </w:t>
            </w:r>
            <w:r w:rsidR="5CBDF567">
              <w:t xml:space="preserve">currently </w:t>
            </w:r>
            <w:r>
              <w:t xml:space="preserve">MRI. If a </w:t>
            </w:r>
            <w:r w:rsidR="00DF2E68">
              <w:t>renal</w:t>
            </w:r>
            <w:r>
              <w:t xml:space="preserve"> tumour is identified, these people </w:t>
            </w:r>
            <w:r w:rsidR="00F431F8">
              <w:t>may</w:t>
            </w:r>
            <w:r w:rsidR="00E1396D">
              <w:t xml:space="preserve"> be treated early, </w:t>
            </w:r>
            <w:r w:rsidR="00F431F8">
              <w:t xml:space="preserve">and/or </w:t>
            </w:r>
            <w:r>
              <w:t xml:space="preserve">are then regularly scanned to track the tumour’s size and see if it needs any </w:t>
            </w:r>
            <w:r w:rsidR="00441368">
              <w:t xml:space="preserve">additional </w:t>
            </w:r>
            <w:r>
              <w:t>treatment</w:t>
            </w:r>
            <w:r w:rsidR="5C11ECF8">
              <w:t xml:space="preserve">, and to assess for additional </w:t>
            </w:r>
            <w:r w:rsidR="00F77D18">
              <w:t xml:space="preserve">renal tumour </w:t>
            </w:r>
            <w:r w:rsidR="5C11ECF8">
              <w:t>development</w:t>
            </w:r>
            <w:r>
              <w:t>.</w:t>
            </w:r>
          </w:p>
          <w:p w14:paraId="15535A23" w14:textId="60839479" w:rsidR="00B25D02" w:rsidRDefault="00B25D02" w:rsidP="008B34D8">
            <w:r>
              <w:t xml:space="preserve">All </w:t>
            </w:r>
            <w:r w:rsidR="000D27BD">
              <w:t xml:space="preserve">three </w:t>
            </w:r>
            <w:r>
              <w:t xml:space="preserve">types of scans are effective at finding and tracking </w:t>
            </w:r>
            <w:r w:rsidR="00AB47F7">
              <w:t>renal tumours</w:t>
            </w:r>
            <w:r>
              <w:t>. The main difference between them is that CT exposes the person to</w:t>
            </w:r>
            <w:r w:rsidR="00A524E1">
              <w:t xml:space="preserve"> very low levels of</w:t>
            </w:r>
            <w:r>
              <w:t xml:space="preserve"> radiation, but MRI and ultrasound do not. Being exposed to radiation can increase a person’s risk of developing cancer</w:t>
            </w:r>
            <w:r w:rsidR="39D73427">
              <w:t>, separate to the risk from the underlying condition</w:t>
            </w:r>
            <w:r>
              <w:t xml:space="preserve">. This is an especially important consideration for people who need to have regular scans, because they may </w:t>
            </w:r>
            <w:r w:rsidR="004D3B50">
              <w:t xml:space="preserve">repeatedly </w:t>
            </w:r>
            <w:r>
              <w:t>be exposed to radiation, which increases their risk of developing cancer more</w:t>
            </w:r>
            <w:r w:rsidR="00B04820">
              <w:t xml:space="preserve"> than </w:t>
            </w:r>
            <w:r w:rsidR="00CD499A">
              <w:t xml:space="preserve">the </w:t>
            </w:r>
            <w:r w:rsidR="005A0353">
              <w:t xml:space="preserve">risk from the </w:t>
            </w:r>
            <w:r w:rsidR="00CD499A">
              <w:t xml:space="preserve">very low </w:t>
            </w:r>
            <w:r w:rsidR="006D01BE">
              <w:t>level of radiation</w:t>
            </w:r>
            <w:r w:rsidR="00CD499A">
              <w:t xml:space="preserve"> </w:t>
            </w:r>
            <w:r w:rsidR="009E256F">
              <w:t>from</w:t>
            </w:r>
            <w:r w:rsidR="00CD499A">
              <w:t xml:space="preserve"> a single CT scan</w:t>
            </w:r>
            <w:r>
              <w:t>.</w:t>
            </w:r>
          </w:p>
          <w:p w14:paraId="39B5AE15" w14:textId="5DCB6B45" w:rsidR="00B25D02" w:rsidRDefault="00B25D02" w:rsidP="008B34D8">
            <w:r>
              <w:t xml:space="preserve">MSAC </w:t>
            </w:r>
            <w:r w:rsidR="0093377B">
              <w:t xml:space="preserve">considered </w:t>
            </w:r>
            <w:r>
              <w:t xml:space="preserve">that MRI was just as effective as ultrasound and </w:t>
            </w:r>
            <w:proofErr w:type="gramStart"/>
            <w:r>
              <w:t>CT, and</w:t>
            </w:r>
            <w:proofErr w:type="gramEnd"/>
            <w:r>
              <w:t xml:space="preserve"> was safer than CT for patients with these conditions. Expert guidelines also recommend using MRI for these patients. Listing MRI on the MBS for these conditions would allow clinicians to provide guideline-based care and choose the most appropriate type of scan for their patient. MSAC also thought that MRI was good value for money.</w:t>
            </w:r>
          </w:p>
          <w:p w14:paraId="09E42C68" w14:textId="77777777" w:rsidR="00B25D02" w:rsidRPr="00AF46D8" w:rsidRDefault="00B25D02" w:rsidP="008B34D8">
            <w:pPr>
              <w:pStyle w:val="Heading3"/>
              <w:outlineLvl w:val="2"/>
            </w:pPr>
            <w:r w:rsidRPr="00AF46D8">
              <w:t xml:space="preserve">MSAC’s advice to the </w:t>
            </w:r>
            <w:proofErr w:type="gramStart"/>
            <w:r w:rsidRPr="00AF46D8">
              <w:t>Commonwealth Minister</w:t>
            </w:r>
            <w:proofErr w:type="gramEnd"/>
            <w:r w:rsidRPr="00AF46D8">
              <w:t xml:space="preserve"> for Health</w:t>
            </w:r>
            <w:r w:rsidR="008E7E67">
              <w:t xml:space="preserve"> and Aged Care</w:t>
            </w:r>
          </w:p>
          <w:p w14:paraId="11883DEB" w14:textId="77777777" w:rsidR="00B25D02" w:rsidRPr="00AF46D8" w:rsidRDefault="00B25D02" w:rsidP="008B34D8">
            <w:r w:rsidRPr="00AF46D8">
              <w:t>MSAC supported</w:t>
            </w:r>
            <w:r>
              <w:t xml:space="preserve"> MBS listing of abdominal MRI for rare genetic conditions associated with increased risk of renal tumours, because it is safe, </w:t>
            </w:r>
            <w:proofErr w:type="gramStart"/>
            <w:r>
              <w:t>effective</w:t>
            </w:r>
            <w:proofErr w:type="gramEnd"/>
            <w:r>
              <w:t xml:space="preserve"> and good value for money.</w:t>
            </w:r>
          </w:p>
        </w:tc>
      </w:tr>
    </w:tbl>
    <w:p w14:paraId="743E1E68" w14:textId="77777777" w:rsidR="006224B0" w:rsidRDefault="006224B0" w:rsidP="006224B0">
      <w:pPr>
        <w:pStyle w:val="Heading2"/>
        <w:numPr>
          <w:ilvl w:val="0"/>
          <w:numId w:val="0"/>
        </w:numPr>
      </w:pPr>
      <w:r>
        <w:t>3</w:t>
      </w:r>
      <w:r w:rsidRPr="00D1072A">
        <w:t>.</w:t>
      </w:r>
      <w:r w:rsidRPr="00D1072A">
        <w:tab/>
      </w:r>
      <w:r>
        <w:t>Summary of consideration and rationale for MSAC’s advice</w:t>
      </w:r>
    </w:p>
    <w:p w14:paraId="0E217205" w14:textId="77777777" w:rsidR="00E2325D" w:rsidRDefault="00E2325D" w:rsidP="00E2325D">
      <w:bookmarkStart w:id="2" w:name="_Toc121853575"/>
      <w:bookmarkEnd w:id="1"/>
      <w:r w:rsidRPr="00516D4E">
        <w:t>MSAC</w:t>
      </w:r>
      <w:r>
        <w:t xml:space="preserve"> noted </w:t>
      </w:r>
      <w:r w:rsidRPr="007B22D0">
        <w:t>that the application sought Medicare Benefits Schedule (MBS) listing of</w:t>
      </w:r>
      <w:r>
        <w:t xml:space="preserve"> a</w:t>
      </w:r>
      <w:r w:rsidRPr="00A24F22">
        <w:t xml:space="preserve">bdominal </w:t>
      </w:r>
      <w:r>
        <w:t>magnetic resonance imaging (</w:t>
      </w:r>
      <w:r w:rsidRPr="00A24F22">
        <w:t>MRI</w:t>
      </w:r>
      <w:r>
        <w:t>), using intravenous (IV) contrast where appropriate,</w:t>
      </w:r>
      <w:r w:rsidRPr="00A24F22">
        <w:t xml:space="preserve"> for rare genetic conditions associated with increased risk of renal tumours</w:t>
      </w:r>
      <w:r>
        <w:t>. The item would be used for a</w:t>
      </w:r>
      <w:r w:rsidRPr="00A24F22">
        <w:t>nnual surveillance to detect newly developed renal tumours</w:t>
      </w:r>
      <w:r>
        <w:t>, as well as serial scanning of previously identified renal tumours to assess significant change</w:t>
      </w:r>
      <w:r w:rsidR="00A26480">
        <w:t xml:space="preserve">. </w:t>
      </w:r>
    </w:p>
    <w:p w14:paraId="341FF592" w14:textId="2F5347F2" w:rsidR="00E2325D" w:rsidRDefault="00714281" w:rsidP="00E2325D">
      <w:r>
        <w:t>MSAC noted that g</w:t>
      </w:r>
      <w:r w:rsidRPr="00714281">
        <w:t xml:space="preserve">enetic testing for </w:t>
      </w:r>
      <w:proofErr w:type="gramStart"/>
      <w:r w:rsidRPr="00714281">
        <w:t>a number of</w:t>
      </w:r>
      <w:proofErr w:type="gramEnd"/>
      <w:r w:rsidRPr="00714281">
        <w:t xml:space="preserve"> heritable kidney diseases is already available on the MBS </w:t>
      </w:r>
      <w:r w:rsidR="004C5BBC">
        <w:t>and o</w:t>
      </w:r>
      <w:r w:rsidR="004C5BBC" w:rsidRPr="004C5BBC">
        <w:t>nce these genetic abnormalities are detected patients undergo serial imaging assessment aiming for early detection of tumours</w:t>
      </w:r>
      <w:r w:rsidR="00AF3ABE">
        <w:t>. MSAC noted that t</w:t>
      </w:r>
      <w:r w:rsidR="00FF1E4C">
        <w:t xml:space="preserve">he rationale </w:t>
      </w:r>
      <w:r w:rsidR="00AF3ABE">
        <w:t xml:space="preserve">for this practice </w:t>
      </w:r>
      <w:r w:rsidR="00FF1E4C">
        <w:t xml:space="preserve">is that such </w:t>
      </w:r>
      <w:r w:rsidR="00FF1E4C" w:rsidRPr="00FF1E4C">
        <w:t>early detection improves treatment options and response and hence increases patient utility</w:t>
      </w:r>
      <w:r w:rsidR="00FF1E4C">
        <w:t xml:space="preserve"> (mainly longevity</w:t>
      </w:r>
      <w:proofErr w:type="gramStart"/>
      <w:r w:rsidR="00FF1E4C">
        <w:t>)</w:t>
      </w:r>
      <w:proofErr w:type="gramEnd"/>
      <w:r w:rsidR="00FF1E4C">
        <w:t xml:space="preserve"> and this is </w:t>
      </w:r>
      <w:r w:rsidR="00AF3ABE">
        <w:t xml:space="preserve">supported by real world data. </w:t>
      </w:r>
      <w:r w:rsidR="006B594B" w:rsidRPr="006B594B">
        <w:t>Recently MSAC approved a conceptually similar application</w:t>
      </w:r>
      <w:r w:rsidR="00357114">
        <w:t xml:space="preserve">, namely </w:t>
      </w:r>
      <w:proofErr w:type="gramStart"/>
      <w:r w:rsidR="00357114">
        <w:t>whole body</w:t>
      </w:r>
      <w:proofErr w:type="gramEnd"/>
      <w:r w:rsidR="00357114">
        <w:t xml:space="preserve"> </w:t>
      </w:r>
      <w:r w:rsidR="002544B4">
        <w:t>M</w:t>
      </w:r>
      <w:r w:rsidR="006B594B" w:rsidRPr="006B594B">
        <w:t>RI for a specific genetic abnormality that increases the risk of malignancy at multiple sites</w:t>
      </w:r>
      <w:r w:rsidR="00357114">
        <w:t xml:space="preserve">, which </w:t>
      </w:r>
      <w:r w:rsidR="00974563">
        <w:t xml:space="preserve">became available </w:t>
      </w:r>
      <w:r w:rsidR="005169F2">
        <w:t>on the MBS</w:t>
      </w:r>
      <w:r w:rsidR="00357114">
        <w:t xml:space="preserve"> on 1 </w:t>
      </w:r>
      <w:r w:rsidR="00EF13AA">
        <w:t xml:space="preserve">March </w:t>
      </w:r>
      <w:r w:rsidR="00357114">
        <w:t>2023</w:t>
      </w:r>
      <w:r w:rsidR="00977D52">
        <w:t xml:space="preserve"> (MSAC Application 1668)</w:t>
      </w:r>
      <w:r w:rsidR="00357114">
        <w:t xml:space="preserve">. </w:t>
      </w:r>
      <w:r w:rsidR="00E2325D">
        <w:t xml:space="preserve">MSAC noted that current practice for screening using imaging is highly variable, and typically involves a combination of ultrasound (US), </w:t>
      </w:r>
      <w:r w:rsidR="0067769B" w:rsidRPr="1F3AA03E">
        <w:t xml:space="preserve">computed tomography </w:t>
      </w:r>
      <w:r w:rsidR="0067769B">
        <w:t>(</w:t>
      </w:r>
      <w:r w:rsidR="00E2325D">
        <w:t>CT</w:t>
      </w:r>
      <w:r w:rsidR="0067769B">
        <w:t>)</w:t>
      </w:r>
      <w:r w:rsidR="00E2325D">
        <w:t xml:space="preserve"> and MRI. </w:t>
      </w:r>
    </w:p>
    <w:p w14:paraId="491CAE04" w14:textId="4D47F0ED" w:rsidR="00AB533D" w:rsidRDefault="00E2325D" w:rsidP="00AB533D">
      <w:r>
        <w:lastRenderedPageBreak/>
        <w:t xml:space="preserve">MSAC noted that the application uses tuberous sclerosis complex (TSC) and Von Hippel–Lindau disease (VHL) as exemplars (as these are the most common </w:t>
      </w:r>
      <w:r w:rsidR="0B265D42">
        <w:t xml:space="preserve">of the </w:t>
      </w:r>
      <w:r>
        <w:t xml:space="preserve">conditions), but that at least nine other genetic conditions would also be eligible. </w:t>
      </w:r>
      <w:r w:rsidR="00AB533D">
        <w:t xml:space="preserve"> MSAC noted that there were a wide range of tumours associated with these conditions, many of which carry a mortality risk but not all of which are malignant. For TSC,</w:t>
      </w:r>
      <w:r w:rsidR="00AB533D" w:rsidRPr="00AA2AA6">
        <w:t xml:space="preserve"> 80% of individuals are at risk of developing </w:t>
      </w:r>
      <w:proofErr w:type="spellStart"/>
      <w:r w:rsidR="00AB533D" w:rsidRPr="00AA2AA6">
        <w:t>angiomyolipoma</w:t>
      </w:r>
      <w:r w:rsidR="00AB533D">
        <w:t>s</w:t>
      </w:r>
      <w:proofErr w:type="spellEnd"/>
      <w:r w:rsidR="00AB533D">
        <w:t xml:space="preserve"> </w:t>
      </w:r>
      <w:r w:rsidR="00ED4C28">
        <w:t>(AML)</w:t>
      </w:r>
      <w:r w:rsidR="005771E9">
        <w:t xml:space="preserve"> </w:t>
      </w:r>
      <w:r w:rsidR="00AB533D">
        <w:t xml:space="preserve">which </w:t>
      </w:r>
      <w:r w:rsidR="00AB533D" w:rsidRPr="00BB0C32">
        <w:t xml:space="preserve">appear from </w:t>
      </w:r>
      <w:r w:rsidR="00AB533D">
        <w:t xml:space="preserve">around </w:t>
      </w:r>
      <w:r w:rsidR="00AB533D" w:rsidRPr="00BB0C32">
        <w:t>age 18 and tend to grow rapidly</w:t>
      </w:r>
      <w:r w:rsidR="00AB533D">
        <w:t xml:space="preserve">. </w:t>
      </w:r>
      <w:r w:rsidR="00AB533D" w:rsidRPr="00B17C5D">
        <w:t>For VHL there is increased risk of multiple benign and malignant tumours at multiple sites</w:t>
      </w:r>
      <w:r w:rsidR="00AB533D">
        <w:t xml:space="preserve">. </w:t>
      </w:r>
    </w:p>
    <w:p w14:paraId="6C4CB055" w14:textId="0946571C" w:rsidR="00E2325D" w:rsidRDefault="00E2325D" w:rsidP="00E2325D">
      <w:r>
        <w:t>The combined list of genetic abnormalities account for 4% of all renal tumours</w:t>
      </w:r>
      <w:r w:rsidR="118CF3A6">
        <w:t>, the remainder are not associated with</w:t>
      </w:r>
      <w:r w:rsidR="00F92E56">
        <w:t xml:space="preserve"> known</w:t>
      </w:r>
      <w:r w:rsidR="118CF3A6">
        <w:t xml:space="preserve"> heritable risk</w:t>
      </w:r>
      <w:r>
        <w:t xml:space="preserve">. Other </w:t>
      </w:r>
      <w:r w:rsidRPr="002B6C0A">
        <w:t>genetic conditions</w:t>
      </w:r>
      <w:r>
        <w:t xml:space="preserve"> are</w:t>
      </w:r>
      <w:r w:rsidRPr="002B6C0A">
        <w:t xml:space="preserve"> likely to be identified in the future that would also meet the conditions for the proposed population</w:t>
      </w:r>
      <w:r w:rsidR="47920E9A">
        <w:t xml:space="preserve"> and are encompassed by the proposed item des</w:t>
      </w:r>
      <w:r w:rsidR="00A263C1">
        <w:t>c</w:t>
      </w:r>
      <w:r w:rsidR="47920E9A">
        <w:t>riptor</w:t>
      </w:r>
      <w:r>
        <w:t>.</w:t>
      </w:r>
    </w:p>
    <w:p w14:paraId="5515A7C3" w14:textId="77777777" w:rsidR="00E2325D" w:rsidRDefault="00E2325D" w:rsidP="00E2325D">
      <w:r>
        <w:t>MSAC noted the two populations specified in the PICO:</w:t>
      </w:r>
    </w:p>
    <w:p w14:paraId="3AD1B97C" w14:textId="77777777" w:rsidR="00E2325D" w:rsidRPr="002B6C0A" w:rsidRDefault="00E2325D" w:rsidP="00E2325D">
      <w:pPr>
        <w:pStyle w:val="ListParagraph"/>
        <w:numPr>
          <w:ilvl w:val="0"/>
          <w:numId w:val="31"/>
        </w:numPr>
        <w:spacing w:before="0" w:after="0" w:line="240" w:lineRule="auto"/>
      </w:pPr>
      <w:r w:rsidRPr="002B6C0A">
        <w:t>PICO set 1 (population 1): surveillance of patients with confirmed clinical or molecular diagnosis of a condition that results in a high risk of developing renal tumours</w:t>
      </w:r>
    </w:p>
    <w:p w14:paraId="1AC59521" w14:textId="77777777" w:rsidR="00E2325D" w:rsidRDefault="00E2325D" w:rsidP="00E2325D">
      <w:pPr>
        <w:pStyle w:val="ListParagraph"/>
        <w:numPr>
          <w:ilvl w:val="0"/>
          <w:numId w:val="31"/>
        </w:numPr>
        <w:spacing w:before="0" w:after="0" w:line="240" w:lineRule="auto"/>
      </w:pPr>
      <w:r w:rsidRPr="002B6C0A">
        <w:t>PICO set 2 (population 2): patients diagnosed with a syndrome associated with increased risk of kidney cancer who require monitoring for the purposes of evaluating changes in clinical condition or suspected complications of known renal tumours arising between their annual surveillance MRI, or who have received disease</w:t>
      </w:r>
      <w:r>
        <w:t>-</w:t>
      </w:r>
      <w:r w:rsidRPr="002B6C0A">
        <w:t>specific therapeutic intervention.</w:t>
      </w:r>
    </w:p>
    <w:p w14:paraId="28F6C69E" w14:textId="77777777" w:rsidR="000E6B49" w:rsidRDefault="00E2325D" w:rsidP="00E2325D">
      <w:r>
        <w:t>MSAC confirmed that the comparators</w:t>
      </w:r>
      <w:r w:rsidR="008D6656">
        <w:t xml:space="preserve"> under current surveillance imaging protocols</w:t>
      </w:r>
      <w:r>
        <w:t xml:space="preserve"> of US and CT</w:t>
      </w:r>
      <w:r w:rsidR="00344F1B">
        <w:t xml:space="preserve"> (with and without contrast)</w:t>
      </w:r>
      <w:r>
        <w:t xml:space="preserve"> were appropriate. </w:t>
      </w:r>
    </w:p>
    <w:p w14:paraId="1E2E54A5" w14:textId="28FBEE86" w:rsidR="000E6B49" w:rsidRDefault="000E6B49" w:rsidP="00B54453">
      <w:r>
        <w:t xml:space="preserve">MSAC considered that the MBS item descriptors proposed, and the associated fees, were appropriate. MSAC advised that the list of eligible conditions should be included in an explanatory note rather than the item descriptor itself, to allow the list to be revised over time more easily. MSAC noted that the N% risk in the explanatory note </w:t>
      </w:r>
      <w:r w:rsidRPr="00202F04">
        <w:t xml:space="preserve">will be determined through consultation with </w:t>
      </w:r>
      <w:r>
        <w:t>clinical experts</w:t>
      </w:r>
      <w:r w:rsidRPr="00202F04">
        <w:t xml:space="preserve"> </w:t>
      </w:r>
      <w:r>
        <w:t>before</w:t>
      </w:r>
      <w:r w:rsidRPr="00202F04">
        <w:t xml:space="preserve"> the proposed items</w:t>
      </w:r>
      <w:r>
        <w:t xml:space="preserve"> are implemented.</w:t>
      </w:r>
    </w:p>
    <w:p w14:paraId="72720F16" w14:textId="730F8888" w:rsidR="003C3C71" w:rsidRDefault="00C85C43" w:rsidP="00E2325D">
      <w:r>
        <w:t xml:space="preserve">On the evidence base for effectiveness, MSAC noted that </w:t>
      </w:r>
      <w:r w:rsidR="00BE2074" w:rsidRPr="00BE2074">
        <w:t xml:space="preserve">23 studies and two systematic reviews met </w:t>
      </w:r>
      <w:r w:rsidR="00BE2074">
        <w:t xml:space="preserve">the </w:t>
      </w:r>
      <w:r w:rsidR="00BE2074" w:rsidRPr="00BE2074">
        <w:t>inclusion criteria for</w:t>
      </w:r>
      <w:r w:rsidR="00BE2074">
        <w:t xml:space="preserve"> PICO set 1 looking at the accuracy of MRI against </w:t>
      </w:r>
      <w:r w:rsidR="003746D7">
        <w:t xml:space="preserve">CT or US. For PICO set 2, </w:t>
      </w:r>
      <w:r w:rsidR="00D93CA9">
        <w:t xml:space="preserve">only </w:t>
      </w:r>
      <w:r w:rsidR="00D93CA9" w:rsidRPr="00D93CA9">
        <w:t>2 studies met</w:t>
      </w:r>
      <w:r w:rsidR="00D93CA9">
        <w:t xml:space="preserve"> the</w:t>
      </w:r>
      <w:r w:rsidR="00D93CA9" w:rsidRPr="00D93CA9">
        <w:t xml:space="preserve"> inclusion criteria for assessing accuracy of abdominal MRI </w:t>
      </w:r>
      <w:r w:rsidR="00D93CA9">
        <w:t xml:space="preserve">against </w:t>
      </w:r>
      <w:r w:rsidR="00D93CA9" w:rsidRPr="00D93CA9">
        <w:t>CT. No studies were identified that compared abdominal MRI with US</w:t>
      </w:r>
      <w:r w:rsidR="00D93CA9">
        <w:t xml:space="preserve">. </w:t>
      </w:r>
      <w:r w:rsidR="00BB09A6" w:rsidRPr="00BB09A6">
        <w:t xml:space="preserve">No studies met </w:t>
      </w:r>
      <w:r w:rsidR="00BB09A6">
        <w:t xml:space="preserve">the </w:t>
      </w:r>
      <w:r w:rsidR="00BB09A6" w:rsidRPr="00BB09A6">
        <w:t>inclusion criteria for assessing management change resulting from abdominal MRI compared with abdominal CT or US</w:t>
      </w:r>
      <w:r w:rsidR="00BB09A6">
        <w:t xml:space="preserve">. </w:t>
      </w:r>
      <w:r w:rsidR="00D462AD">
        <w:t>MSAC noted that t</w:t>
      </w:r>
      <w:r w:rsidR="00205232" w:rsidRPr="00205232">
        <w:t xml:space="preserve">he original literature searches identified five studies that did not meet the inclusion criteria because they did not report results according to the imaging modality used but provided information on the effectiveness of treatments for the exemplar populations: TSC-associated AML or </w:t>
      </w:r>
      <w:r w:rsidR="0000162A">
        <w:t>renal cell carcinoma (</w:t>
      </w:r>
      <w:r w:rsidR="00205232" w:rsidRPr="00205232">
        <w:t>RCC</w:t>
      </w:r>
      <w:r w:rsidR="0000162A">
        <w:t>)</w:t>
      </w:r>
      <w:r w:rsidR="00205232" w:rsidRPr="00205232">
        <w:t xml:space="preserve"> and VHL-associated RCC</w:t>
      </w:r>
      <w:r w:rsidR="00D462AD">
        <w:t xml:space="preserve">. </w:t>
      </w:r>
    </w:p>
    <w:p w14:paraId="1CB9B455" w14:textId="7FA3C2AC" w:rsidR="000E6B49" w:rsidRDefault="00033F8D" w:rsidP="00E2325D">
      <w:r>
        <w:t xml:space="preserve">MSAC noted that </w:t>
      </w:r>
      <w:r w:rsidR="00DA02EA">
        <w:t xml:space="preserve">the </w:t>
      </w:r>
      <w:r w:rsidR="00EC712E">
        <w:t xml:space="preserve">evaluation </w:t>
      </w:r>
      <w:r w:rsidR="00DA02EA">
        <w:t xml:space="preserve">also reported on the results of a </w:t>
      </w:r>
      <w:r w:rsidRPr="00033F8D">
        <w:t>literature search, limited to studies published in the last 10 years</w:t>
      </w:r>
      <w:r w:rsidR="00DA02EA">
        <w:t xml:space="preserve"> </w:t>
      </w:r>
      <w:r w:rsidRPr="00033F8D">
        <w:t>to identify additional studies</w:t>
      </w:r>
      <w:r w:rsidR="00304839">
        <w:t>,</w:t>
      </w:r>
      <w:r w:rsidRPr="00033F8D">
        <w:t xml:space="preserve"> </w:t>
      </w:r>
      <w:r w:rsidR="00EE4A05">
        <w:t>and</w:t>
      </w:r>
      <w:r w:rsidRPr="00033F8D">
        <w:t xml:space="preserve"> 11 studies were included</w:t>
      </w:r>
      <w:r w:rsidR="00EE4A05">
        <w:t xml:space="preserve"> from this search. </w:t>
      </w:r>
      <w:r w:rsidR="003C3C71" w:rsidRPr="003C3C71">
        <w:t xml:space="preserve">However, </w:t>
      </w:r>
      <w:r w:rsidR="003C3C71">
        <w:t xml:space="preserve">as </w:t>
      </w:r>
      <w:r w:rsidR="003C3C71" w:rsidRPr="003C3C71">
        <w:t>studies reporting on surgical and ablative outcomes were still underrepresented, two additional studies published since 2000 were also included</w:t>
      </w:r>
      <w:r w:rsidR="003C3C71">
        <w:t xml:space="preserve">. </w:t>
      </w:r>
    </w:p>
    <w:p w14:paraId="1B47E5BE" w14:textId="77777777" w:rsidR="00E2325D" w:rsidRDefault="00E2325D" w:rsidP="00E2325D">
      <w:r>
        <w:t xml:space="preserve">MSAC noted that there were no direct comparative studies relating to safety in this patient cohort, so safety was assessed using general safety data available for MRI, </w:t>
      </w:r>
      <w:proofErr w:type="gramStart"/>
      <w:r>
        <w:t>CT</w:t>
      </w:r>
      <w:proofErr w:type="gramEnd"/>
      <w:r>
        <w:t xml:space="preserve"> and US. US is the safe</w:t>
      </w:r>
      <w:r w:rsidR="003774E4">
        <w:t>st</w:t>
      </w:r>
      <w:r>
        <w:t xml:space="preserve"> imaging modality. CT and MRI have similar safety implications re</w:t>
      </w:r>
      <w:r w:rsidR="00945EB0">
        <w:t>lating to</w:t>
      </w:r>
      <w:r>
        <w:t xml:space="preserve"> the use of contrast agents, but the main difference is that CT exposes patients to ionising radiation, which increases the </w:t>
      </w:r>
      <w:r w:rsidR="4BE94F22">
        <w:t xml:space="preserve">lifetime </w:t>
      </w:r>
      <w:r>
        <w:t xml:space="preserve">risk of radiation-induced cancer. Although modelling of cancer risk from very </w:t>
      </w:r>
      <w:proofErr w:type="gramStart"/>
      <w:r>
        <w:t>low level</w:t>
      </w:r>
      <w:proofErr w:type="gramEnd"/>
      <w:r>
        <w:t xml:space="preserve"> radiation exposure from diagnostic imaging is difficult and controversial, an increased risk is likely to be present in this group of patients who may have screening from a young age and for many years. MSAC therefore considered that MRI has a superior safety profile compared with CT.</w:t>
      </w:r>
    </w:p>
    <w:p w14:paraId="30455ABA" w14:textId="77777777" w:rsidR="00E2325D" w:rsidRDefault="00E2325D" w:rsidP="00E2325D">
      <w:r>
        <w:lastRenderedPageBreak/>
        <w:t>MSAC noted the evidence relating to clinical effectiveness and confirmed that MRI is generally non-inferior compared with CT, but in some circumstances may be superior (such as for lesion characterisation</w:t>
      </w:r>
      <w:r w:rsidR="00CD6DC7">
        <w:t xml:space="preserve"> </w:t>
      </w:r>
      <w:proofErr w:type="gramStart"/>
      <w:r w:rsidR="00CD6DC7">
        <w:t>e.g.</w:t>
      </w:r>
      <w:proofErr w:type="gramEnd"/>
      <w:r w:rsidR="00CD6DC7">
        <w:t xml:space="preserve"> </w:t>
      </w:r>
      <w:r w:rsidR="009A1AB7">
        <w:t>fat poor AMLs</w:t>
      </w:r>
      <w:r>
        <w:t>)</w:t>
      </w:r>
      <w:r w:rsidR="00E3009B">
        <w:t xml:space="preserve">. </w:t>
      </w:r>
      <w:r>
        <w:t xml:space="preserve">MSAC </w:t>
      </w:r>
      <w:r w:rsidR="00E3009B">
        <w:t xml:space="preserve">considered </w:t>
      </w:r>
      <w:r>
        <w:t xml:space="preserve">that the rare nature of these conditions means that high level evidence is unlikely to be generated to resolve these uncertainties, and that consensus guidelines (including </w:t>
      </w:r>
      <w:proofErr w:type="spellStart"/>
      <w:r>
        <w:t>EviQ</w:t>
      </w:r>
      <w:proofErr w:type="spellEnd"/>
      <w:r>
        <w:t xml:space="preserve"> guidelines and international guidelines) recommend MRI for detection and monitoring of renal tumours in these conditions. MSAC noted that listing MRI on the MBS for these conditions would allow clinicians to provide guideline-based care and choose the most appropriate imaging modality for their patient. MSAC considered that it was highly unlikely that MRI would replace US, but it was likely that MRI would replace CT.</w:t>
      </w:r>
    </w:p>
    <w:p w14:paraId="0562DFA5" w14:textId="4D82584E" w:rsidR="00603D39" w:rsidRDefault="00E2325D" w:rsidP="00603D39">
      <w:r>
        <w:t>MSAC noted the economic evaluation</w:t>
      </w:r>
      <w:r w:rsidR="00737EF9">
        <w:t xml:space="preserve"> </w:t>
      </w:r>
      <w:r>
        <w:t>presented a cost-effectiveness analysis</w:t>
      </w:r>
      <w:r w:rsidR="00BC4D18">
        <w:t xml:space="preserve"> </w:t>
      </w:r>
      <w:r w:rsidR="00FC5C6B">
        <w:t>(CEA)</w:t>
      </w:r>
      <w:r w:rsidR="00197366">
        <w:t xml:space="preserve"> with the ICER </w:t>
      </w:r>
      <w:r w:rsidR="005E32DB">
        <w:t>generated as the incremental cost per cancer avoided</w:t>
      </w:r>
      <w:r w:rsidR="00BA2A69">
        <w:t>. MSAC noted that</w:t>
      </w:r>
      <w:r w:rsidR="00BC4D18">
        <w:t xml:space="preserve"> </w:t>
      </w:r>
      <w:r w:rsidR="00603D39">
        <w:t xml:space="preserve">the model could have been extended as per Kang et al (2014) to account for </w:t>
      </w:r>
      <w:proofErr w:type="spellStart"/>
      <w:r w:rsidR="00603D39">
        <w:t>HRQoL</w:t>
      </w:r>
      <w:proofErr w:type="spellEnd"/>
      <w:r w:rsidR="00603D39">
        <w:t xml:space="preserve"> to generate QALYs and a cost utility analysis </w:t>
      </w:r>
      <w:r w:rsidR="00FC5C6B">
        <w:t xml:space="preserve">(CUA) </w:t>
      </w:r>
      <w:r w:rsidR="00603D39">
        <w:t>could have been undertaken to generate an incremental cost per QALY gain</w:t>
      </w:r>
      <w:r w:rsidR="00DF2C04">
        <w:t>, however this had not been undertaken</w:t>
      </w:r>
      <w:r w:rsidR="00603D39">
        <w:t xml:space="preserve">. MSAC noted that the meaning of an ICER generated as the incremental cost per cancer avoided used in this context was not comparable to ICERs typically considered by MSAC which are generated from </w:t>
      </w:r>
      <w:r w:rsidR="00CC380E">
        <w:t>CUAs</w:t>
      </w:r>
      <w:r w:rsidR="00603D39">
        <w:t xml:space="preserve"> (whenever the data allowed) in the form of an incremental cost per QALY gained. The </w:t>
      </w:r>
      <w:r w:rsidR="00565E24">
        <w:t>CEA</w:t>
      </w:r>
      <w:r w:rsidR="00603D39">
        <w:t xml:space="preserve"> undertaken which generated an incremental cost per cancer case avoided led to the need to interpret what a </w:t>
      </w:r>
      <w:r w:rsidR="007952A7">
        <w:t>‘</w:t>
      </w:r>
      <w:r w:rsidR="00603D39">
        <w:t>case of cancer avoided</w:t>
      </w:r>
      <w:r w:rsidR="007952A7">
        <w:t>’</w:t>
      </w:r>
      <w:r w:rsidR="00603D39">
        <w:t xml:space="preserve"> means as ‘cancer avoided’ can be interpreted to refer to either the benefit to the patient experience of avoiding cancer</w:t>
      </w:r>
      <w:r w:rsidR="002D1312">
        <w:t>,</w:t>
      </w:r>
      <w:r w:rsidR="00603D39">
        <w:t xml:space="preserve"> or the benefit of avoiding cancer in its totality including avoiding the resource costs of hospitalisation for the cancer. MSAC noted that under the first interpretation (which only accounts for patient experience) the ICER is $61,888 per cancer avoided but under the second interpretation of avoiding cancer in its totality the ICER is $108,234 per cancer avoided. MSAC considered that a reported ICER of $108,234 per cancer avoided (where this is interpreted as capturing the value of averting cancer in its totality) was cost effective which also meant by implication that a reported ICER of $61,888 per cancer avoided </w:t>
      </w:r>
      <w:r w:rsidR="00CA1F94">
        <w:t>(</w:t>
      </w:r>
      <w:r w:rsidR="00603D39">
        <w:t>which accounted for only the benefit to patient experience</w:t>
      </w:r>
      <w:r w:rsidR="00CA1F94">
        <w:t>)</w:t>
      </w:r>
      <w:r w:rsidR="00603D39">
        <w:t xml:space="preserve"> would also be cost-effective. For transparency, this Public Summary Document has been updated to reflect the reported ICER of $108,234 per cancer avoided (where this is interpreted as capturing the value of averting cancer in its totality)</w:t>
      </w:r>
      <w:r w:rsidR="00FD6AC9">
        <w:t xml:space="preserve"> as the ICER upon which MSAC has based its advice</w:t>
      </w:r>
      <w:r w:rsidR="00603D39">
        <w:t>.</w:t>
      </w:r>
    </w:p>
    <w:p w14:paraId="0811641C" w14:textId="77777777" w:rsidR="00E16457" w:rsidRDefault="00E16457" w:rsidP="00E16457">
      <w:r>
        <w:t>MSAC noted that other limitations of the economic evaluation were that</w:t>
      </w:r>
      <w:r w:rsidR="00167C63">
        <w:t>:</w:t>
      </w:r>
      <w:r>
        <w:t xml:space="preserve"> </w:t>
      </w:r>
    </w:p>
    <w:p w14:paraId="1E3A3AA0" w14:textId="77777777" w:rsidR="00E16457" w:rsidRDefault="00E16457" w:rsidP="00E16457">
      <w:pPr>
        <w:pStyle w:val="ListParagraph"/>
        <w:numPr>
          <w:ilvl w:val="0"/>
          <w:numId w:val="32"/>
        </w:numPr>
      </w:pPr>
      <w:r>
        <w:t xml:space="preserve">the estimation of the number of cancer cases avoided was </w:t>
      </w:r>
      <w:r w:rsidR="00D011F9">
        <w:t xml:space="preserve">unnecessarily </w:t>
      </w:r>
      <w:r>
        <w:t xml:space="preserve">simplistic and did not account for differences in age and sex at the time of radiation exposure, which can be significant. </w:t>
      </w:r>
    </w:p>
    <w:p w14:paraId="3AE7C54C" w14:textId="77777777" w:rsidR="00E16457" w:rsidRDefault="00E16457" w:rsidP="00E16457">
      <w:pPr>
        <w:pStyle w:val="ListParagraph"/>
        <w:numPr>
          <w:ilvl w:val="0"/>
          <w:numId w:val="32"/>
        </w:numPr>
      </w:pPr>
      <w:r>
        <w:t xml:space="preserve">the model starts at age 20, but MSAC noted that surveillance starts at an earlier age as recommended in expert consensus guidelines. The pre-MSAC response acknowledged that lowering the age would have a significant impact on radiosensitivity and therefore a larger impact on cancers avoided by switching to MRI. MSAC considered that the number of cancer cases avoided in the economic evaluation is therefore an </w:t>
      </w:r>
      <w:proofErr w:type="gramStart"/>
      <w:r>
        <w:t>underestimate, but</w:t>
      </w:r>
      <w:proofErr w:type="gramEnd"/>
      <w:r>
        <w:t xml:space="preserve"> is reasonable in the absence of any international benchmark.</w:t>
      </w:r>
    </w:p>
    <w:p w14:paraId="6888BEC9" w14:textId="77777777" w:rsidR="00E16457" w:rsidRDefault="00E16457" w:rsidP="00E16457">
      <w:pPr>
        <w:pStyle w:val="ListParagraph"/>
        <w:numPr>
          <w:ilvl w:val="0"/>
          <w:numId w:val="32"/>
        </w:numPr>
      </w:pPr>
      <w:r>
        <w:t xml:space="preserve">The cost of cancer estimated was </w:t>
      </w:r>
      <w:r w:rsidRPr="006B589A">
        <w:t xml:space="preserve">assumed to </w:t>
      </w:r>
      <w:r>
        <w:t xml:space="preserve">be a </w:t>
      </w:r>
      <w:r w:rsidRPr="006B589A">
        <w:t>one-off excess healthcare cost</w:t>
      </w:r>
      <w:r>
        <w:t xml:space="preserve"> and did not account for differentiations in costs between phase of cancer care or cancer type. </w:t>
      </w:r>
    </w:p>
    <w:p w14:paraId="28FA1905" w14:textId="77777777" w:rsidR="00E16457" w:rsidRDefault="000532CE" w:rsidP="00E16457">
      <w:r>
        <w:t>Overall, w</w:t>
      </w:r>
      <w:r w:rsidRPr="1F3AA03E">
        <w:t>hile noting the limitations of the economic evaluation</w:t>
      </w:r>
      <w:r>
        <w:t xml:space="preserve"> (partly to the limited clinical trial data</w:t>
      </w:r>
      <w:r w:rsidR="00887D1F">
        <w:t>)</w:t>
      </w:r>
      <w:r w:rsidRPr="1F3AA03E">
        <w:t xml:space="preserve">, MSAC considered that abdominal MRI was </w:t>
      </w:r>
      <w:r>
        <w:t>likely</w:t>
      </w:r>
      <w:r w:rsidRPr="1F3AA03E">
        <w:t xml:space="preserve"> cost-effective compared with CT based on the safety outcome of radiation-induced cancer avoided</w:t>
      </w:r>
      <w:r w:rsidR="00887D1F">
        <w:t>.</w:t>
      </w:r>
    </w:p>
    <w:p w14:paraId="1D9EA178" w14:textId="77777777" w:rsidR="00C7110E" w:rsidRDefault="00C7110E" w:rsidP="007F5ACB">
      <w:r>
        <w:t xml:space="preserve">MSAC considered that as the </w:t>
      </w:r>
      <w:r w:rsidRPr="00C7110E">
        <w:t xml:space="preserve">number of individuals </w:t>
      </w:r>
      <w:r>
        <w:t xml:space="preserve">in the target population is </w:t>
      </w:r>
      <w:r w:rsidRPr="00C7110E">
        <w:t>too small for high level evidence to be obtained regarding the “best” surveillance methods</w:t>
      </w:r>
      <w:r>
        <w:t xml:space="preserve"> this imposed a major limitation on the accuracy of any economic modelling. </w:t>
      </w:r>
    </w:p>
    <w:p w14:paraId="69A54B76" w14:textId="27EF3FAA" w:rsidR="00E2325D" w:rsidRDefault="00E2325D" w:rsidP="00E2325D">
      <w:r>
        <w:t xml:space="preserve">MSAC noted the financial and budgetary </w:t>
      </w:r>
      <w:proofErr w:type="gramStart"/>
      <w:r>
        <w:t>impacts, and</w:t>
      </w:r>
      <w:proofErr w:type="gramEnd"/>
      <w:r>
        <w:t xml:space="preserve"> considered that the overall cost to the MBS would be modest (about $250,000 each year). MSAC also noted that, in paediatric </w:t>
      </w:r>
      <w:r>
        <w:lastRenderedPageBreak/>
        <w:t xml:space="preserve">populations, MRI </w:t>
      </w:r>
      <w:r w:rsidR="00926ED5">
        <w:t>is</w:t>
      </w:r>
      <w:r>
        <w:t xml:space="preserve"> often done under general anaesthetic and can be used to scan multiple areas of the body at once, which may result in cost savings.</w:t>
      </w:r>
    </w:p>
    <w:p w14:paraId="054CEA07" w14:textId="00EB6BB7" w:rsidR="00287570" w:rsidRPr="001D759C" w:rsidRDefault="00287570" w:rsidP="00287570">
      <w:r>
        <w:t xml:space="preserve">MSAC noted that people in the target population </w:t>
      </w:r>
      <w:r w:rsidRPr="001D759C">
        <w:t xml:space="preserve">live with the </w:t>
      </w:r>
      <w:r w:rsidR="31A2581F">
        <w:t xml:space="preserve">ongoing </w:t>
      </w:r>
      <w:r w:rsidRPr="001D759C">
        <w:t xml:space="preserve">potential for the development of tumours, </w:t>
      </w:r>
      <w:r w:rsidR="00530655">
        <w:t>which</w:t>
      </w:r>
      <w:r w:rsidRPr="001D759C">
        <w:t xml:space="preserve"> can be distressing for them and their relatives</w:t>
      </w:r>
      <w:r w:rsidR="1718D939">
        <w:t xml:space="preserve">, and </w:t>
      </w:r>
      <w:r w:rsidR="00805287">
        <w:t xml:space="preserve">considered that there was a </w:t>
      </w:r>
      <w:r w:rsidR="1718D939">
        <w:t xml:space="preserve">value of knowing </w:t>
      </w:r>
      <w:r w:rsidR="00562C82">
        <w:t xml:space="preserve">from </w:t>
      </w:r>
      <w:r w:rsidR="1718D939">
        <w:t xml:space="preserve">imaging </w:t>
      </w:r>
      <w:r w:rsidR="00562C82">
        <w:t xml:space="preserve">that </w:t>
      </w:r>
      <w:r w:rsidR="63FE42AA">
        <w:t xml:space="preserve">may be </w:t>
      </w:r>
      <w:r w:rsidR="1718D939">
        <w:t xml:space="preserve">able to identify a lack of </w:t>
      </w:r>
      <w:r w:rsidR="46890371">
        <w:t xml:space="preserve">new </w:t>
      </w:r>
      <w:r w:rsidR="1718D939">
        <w:t>tumour development</w:t>
      </w:r>
      <w:r w:rsidR="09377684">
        <w:t>, or tumour stability</w:t>
      </w:r>
      <w:r>
        <w:t>.</w:t>
      </w:r>
      <w:r w:rsidR="00FF5BB2" w:rsidRPr="00FF5BB2">
        <w:t xml:space="preserve"> </w:t>
      </w:r>
      <w:r w:rsidR="00FF5BB2">
        <w:t>MSAC noted that g</w:t>
      </w:r>
      <w:r w:rsidR="00FF5BB2" w:rsidRPr="00FF5BB2">
        <w:t>iven the rarity of these conditions</w:t>
      </w:r>
      <w:r w:rsidR="00FF5BB2">
        <w:t xml:space="preserve"> in the target population</w:t>
      </w:r>
      <w:r w:rsidR="00530655">
        <w:t>,</w:t>
      </w:r>
      <w:r w:rsidR="00FF5BB2" w:rsidRPr="00FF5BB2">
        <w:t xml:space="preserve"> it is unlikely that more robust evidence will be developed</w:t>
      </w:r>
      <w:r w:rsidR="003742A0">
        <w:t xml:space="preserve"> for the effectiveness of </w:t>
      </w:r>
      <w:r w:rsidR="00042B9A">
        <w:t xml:space="preserve">abdominal MRI surveillance </w:t>
      </w:r>
      <w:r w:rsidR="00124F77">
        <w:t>in this population.</w:t>
      </w:r>
      <w:r>
        <w:t xml:space="preserve"> MSAC considered therefore that these patients sho</w:t>
      </w:r>
      <w:r w:rsidRPr="001D759C">
        <w:t>uld be able to have access to</w:t>
      </w:r>
      <w:r>
        <w:t xml:space="preserve"> the MRI</w:t>
      </w:r>
      <w:r w:rsidRPr="001D759C">
        <w:t xml:space="preserve"> surveillance</w:t>
      </w:r>
      <w:r>
        <w:t xml:space="preserve"> requested in this application as this is </w:t>
      </w:r>
      <w:r w:rsidRPr="001D759C">
        <w:t>recommended by experts in the field</w:t>
      </w:r>
      <w:r w:rsidR="00907903">
        <w:t xml:space="preserve"> in</w:t>
      </w:r>
      <w:r w:rsidRPr="001D759C">
        <w:t xml:space="preserve"> consensus guidelines</w:t>
      </w:r>
      <w:r w:rsidR="00907903">
        <w:t xml:space="preserve"> such as </w:t>
      </w:r>
      <w:r w:rsidR="00A71798">
        <w:t xml:space="preserve">the </w:t>
      </w:r>
      <w:proofErr w:type="spellStart"/>
      <w:r w:rsidR="00907903">
        <w:t>EviQ</w:t>
      </w:r>
      <w:proofErr w:type="spellEnd"/>
      <w:r w:rsidR="001A4338">
        <w:t xml:space="preserve"> Guidelines</w:t>
      </w:r>
      <w:r w:rsidR="00907903">
        <w:t>, n</w:t>
      </w:r>
      <w:r w:rsidRPr="001D759C">
        <w:t>oting that there are currently no limitations on CT or US use</w:t>
      </w:r>
      <w:r w:rsidR="00907903">
        <w:t>.</w:t>
      </w:r>
    </w:p>
    <w:p w14:paraId="72BAC131" w14:textId="77777777" w:rsidR="00E2325D" w:rsidRDefault="00E2325D" w:rsidP="00E2325D">
      <w:r>
        <w:t xml:space="preserve">MSAC noted that implementing this item may raise issues relating to equity of access to MRI for people in regional and remote areas. Patients may also experience out-of-pocket costs for MRI, but the gap for patients was </w:t>
      </w:r>
      <w:r w:rsidR="00325841">
        <w:t>un</w:t>
      </w:r>
      <w:r>
        <w:t>clear.</w:t>
      </w:r>
    </w:p>
    <w:p w14:paraId="01926CEA" w14:textId="77777777" w:rsidR="00E2325D" w:rsidRDefault="00E2325D" w:rsidP="00D768B9">
      <w:pPr>
        <w:pStyle w:val="Heading3"/>
      </w:pPr>
      <w:r>
        <w:t>Other discussion</w:t>
      </w:r>
    </w:p>
    <w:p w14:paraId="69690713" w14:textId="67D0DBF2" w:rsidR="00D768B9" w:rsidRPr="003D6F3B" w:rsidRDefault="00D768B9" w:rsidP="00B54453">
      <w:r>
        <w:t xml:space="preserve">MSAC </w:t>
      </w:r>
      <w:r w:rsidR="003D6F3B">
        <w:t>recognised</w:t>
      </w:r>
      <w:r>
        <w:t xml:space="preserve"> its preference for economic evaluations to be presented as </w:t>
      </w:r>
      <w:r w:rsidR="00CE0E6E">
        <w:t>CUAs</w:t>
      </w:r>
      <w:r>
        <w:t xml:space="preserve"> (whenever the data allowed) rather than CEA</w:t>
      </w:r>
      <w:r w:rsidR="00CE0E6E">
        <w:t>s</w:t>
      </w:r>
      <w:r>
        <w:t xml:space="preserve">, as stated in the MSAC Guidelines, </w:t>
      </w:r>
      <w:proofErr w:type="gramStart"/>
      <w:r>
        <w:t>in order to</w:t>
      </w:r>
      <w:proofErr w:type="gramEnd"/>
      <w:r>
        <w:t xml:space="preserve"> avoid having to undertake complex interpretations of the ICER</w:t>
      </w:r>
      <w:r w:rsidR="008002A8">
        <w:t>, such as in this case</w:t>
      </w:r>
      <w:r>
        <w:t xml:space="preserve">. However, MSAC </w:t>
      </w:r>
      <w:r w:rsidR="00FE3050">
        <w:t xml:space="preserve">also </w:t>
      </w:r>
      <w:r>
        <w:t xml:space="preserve">recognised that CEA </w:t>
      </w:r>
      <w:r w:rsidR="00DF216D">
        <w:t>i</w:t>
      </w:r>
      <w:r>
        <w:t xml:space="preserve">s highly informative in relevant circumstances. </w:t>
      </w:r>
    </w:p>
    <w:p w14:paraId="7D415B56" w14:textId="77777777" w:rsidR="00772829" w:rsidRPr="00D1072A" w:rsidRDefault="006224B0" w:rsidP="002A18BE">
      <w:pPr>
        <w:pStyle w:val="Heading2"/>
        <w:numPr>
          <w:ilvl w:val="0"/>
          <w:numId w:val="0"/>
        </w:numPr>
      </w:pPr>
      <w:r>
        <w:t>4</w:t>
      </w:r>
      <w:r w:rsidR="00C36633" w:rsidRPr="00D1072A">
        <w:t>.</w:t>
      </w:r>
      <w:r w:rsidR="00C36633" w:rsidRPr="00D1072A">
        <w:tab/>
      </w:r>
      <w:r w:rsidR="00772829" w:rsidRPr="00D1072A">
        <w:t>Background</w:t>
      </w:r>
      <w:bookmarkEnd w:id="2"/>
    </w:p>
    <w:p w14:paraId="4F59EC13" w14:textId="77777777" w:rsidR="001B0E7B" w:rsidRPr="00D1072A" w:rsidRDefault="001B0E7B" w:rsidP="001B0E7B">
      <w:bookmarkStart w:id="3" w:name="_Hlk69734494"/>
      <w:r w:rsidRPr="00D1072A">
        <w:t>MSAC has not previously considered abdominal MRI for (</w:t>
      </w:r>
      <w:proofErr w:type="spellStart"/>
      <w:r w:rsidRPr="00D1072A">
        <w:t>i</w:t>
      </w:r>
      <w:proofErr w:type="spellEnd"/>
      <w:r w:rsidRPr="00D1072A">
        <w:t>) annual surveillance to detect newly developed renal tumours, or (ii) assessment of changes over time to the renal tumour in patients with rare inherited conditions associated with an increased risk of renal tumours.</w:t>
      </w:r>
    </w:p>
    <w:p w14:paraId="47C27C3A" w14:textId="77777777" w:rsidR="00772829" w:rsidRPr="00D1072A" w:rsidRDefault="006224B0" w:rsidP="002A18BE">
      <w:pPr>
        <w:pStyle w:val="Heading2"/>
        <w:numPr>
          <w:ilvl w:val="0"/>
          <w:numId w:val="0"/>
        </w:numPr>
      </w:pPr>
      <w:bookmarkStart w:id="4" w:name="_Toc121853576"/>
      <w:bookmarkEnd w:id="3"/>
      <w:r>
        <w:t>5</w:t>
      </w:r>
      <w:r w:rsidR="00C36633" w:rsidRPr="00D1072A">
        <w:t>.</w:t>
      </w:r>
      <w:r w:rsidR="00C36633" w:rsidRPr="00D1072A">
        <w:tab/>
      </w:r>
      <w:r w:rsidR="00772829" w:rsidRPr="00D1072A">
        <w:t>Prerequisites to implementation of any funding advice</w:t>
      </w:r>
      <w:bookmarkEnd w:id="4"/>
    </w:p>
    <w:p w14:paraId="0B24A96C" w14:textId="77777777" w:rsidR="00AC0EFF" w:rsidRDefault="00AC0EFF" w:rsidP="00AC0EFF">
      <w:r w:rsidRPr="00D1072A">
        <w:t>MRI is a well-established diagnostic and monitoring tool used for many conditions.</w:t>
      </w:r>
    </w:p>
    <w:p w14:paraId="18843A60" w14:textId="77777777" w:rsidR="00772829" w:rsidRDefault="006224B0" w:rsidP="002A18BE">
      <w:pPr>
        <w:pStyle w:val="Heading2"/>
        <w:numPr>
          <w:ilvl w:val="0"/>
          <w:numId w:val="0"/>
        </w:numPr>
      </w:pPr>
      <w:bookmarkStart w:id="5" w:name="_Toc121853577"/>
      <w:r>
        <w:t>6</w:t>
      </w:r>
      <w:r w:rsidR="00C36633" w:rsidRPr="00D1072A">
        <w:t>.</w:t>
      </w:r>
      <w:r w:rsidR="00C36633" w:rsidRPr="00D1072A">
        <w:tab/>
      </w:r>
      <w:r w:rsidR="00772829" w:rsidRPr="00D1072A">
        <w:t>Proposal for public funding</w:t>
      </w:r>
      <w:bookmarkEnd w:id="5"/>
    </w:p>
    <w:p w14:paraId="23C039D0" w14:textId="77777777" w:rsidR="00194181" w:rsidRDefault="00194181" w:rsidP="00194181">
      <w:r w:rsidRPr="00251576">
        <w:t>The proposed intervention is MRI of the abdomen using gadolinium-based contrast (where applicable) performed in patients with a confirmed clinical and/or molecular diagnosis of a condition known to carry an increased risk of the development of renal tumours who may or may not be undergoing active treatment, for the purpose of surveillance (to detect new tumours or changes in known tumours) in patients belonging to PICO Set 1, and to determine treatment response or tumour size in patients belonging to PICO Set 2.</w:t>
      </w:r>
      <w:r>
        <w:t xml:space="preserve"> Abdominal MRI is expected to replace abdominal CT in these patients.</w:t>
      </w:r>
    </w:p>
    <w:p w14:paraId="2076983D" w14:textId="77777777" w:rsidR="00FA36F3" w:rsidRPr="00D1072A" w:rsidRDefault="00FA36F3" w:rsidP="00FA36F3">
      <w:r w:rsidRPr="00D1072A">
        <w:t xml:space="preserve">The clinical claim made by the applicants is that the use of abdominal MRI </w:t>
      </w:r>
      <w:r>
        <w:t>i</w:t>
      </w:r>
      <w:r w:rsidRPr="00D1072A">
        <w:t>s:</w:t>
      </w:r>
    </w:p>
    <w:p w14:paraId="00BB0E11" w14:textId="77777777" w:rsidR="00FA36F3" w:rsidRPr="00D1072A" w:rsidRDefault="00FA36F3" w:rsidP="00EE7A08">
      <w:pPr>
        <w:pStyle w:val="ListParagraph"/>
        <w:numPr>
          <w:ilvl w:val="0"/>
          <w:numId w:val="10"/>
        </w:numPr>
        <w:ind w:left="567"/>
      </w:pPr>
      <w:r w:rsidRPr="00D1072A">
        <w:t>A superior diagnostic test compared to existing funded imaging modalities.</w:t>
      </w:r>
    </w:p>
    <w:p w14:paraId="2317549B" w14:textId="77777777" w:rsidR="00FA36F3" w:rsidRPr="00D1072A" w:rsidRDefault="00FA36F3" w:rsidP="00EE7A08">
      <w:pPr>
        <w:pStyle w:val="ListParagraph"/>
        <w:numPr>
          <w:ilvl w:val="0"/>
          <w:numId w:val="10"/>
        </w:numPr>
        <w:ind w:left="567"/>
      </w:pPr>
      <w:r w:rsidRPr="00D1072A">
        <w:t>Superior in terms of safety as it is associated with decreased adverse effects compared to computed tomography (CT).</w:t>
      </w:r>
    </w:p>
    <w:p w14:paraId="51157B27" w14:textId="2304055C" w:rsidR="00FA36F3" w:rsidRPr="00D1072A" w:rsidRDefault="00FA36F3" w:rsidP="00EE7A08">
      <w:pPr>
        <w:pStyle w:val="ListParagraph"/>
        <w:numPr>
          <w:ilvl w:val="0"/>
          <w:numId w:val="10"/>
        </w:numPr>
        <w:ind w:left="567"/>
      </w:pPr>
      <w:r w:rsidRPr="00D1072A">
        <w:t>Superior in terms of effectiveness as it provide</w:t>
      </w:r>
      <w:r>
        <w:t>s</w:t>
      </w:r>
      <w:r w:rsidRPr="00D1072A">
        <w:t xml:space="preserve"> an overall benefit in mortality through reduction in catastrophic bleeding from AMLs and improved outcomes of malignant tumours through early diagnosis.</w:t>
      </w:r>
    </w:p>
    <w:p w14:paraId="40225907" w14:textId="77777777" w:rsidR="00B84662" w:rsidRPr="00D1072A" w:rsidRDefault="00B84662" w:rsidP="00B84662">
      <w:r w:rsidRPr="00D1072A">
        <w:lastRenderedPageBreak/>
        <w:t xml:space="preserve">Contrast-enhanced (CE)-MRI </w:t>
      </w:r>
      <w:r>
        <w:t>is</w:t>
      </w:r>
      <w:r w:rsidRPr="00D1072A">
        <w:t xml:space="preserve"> </w:t>
      </w:r>
      <w:r>
        <w:t xml:space="preserve">commonly </w:t>
      </w:r>
      <w:r w:rsidRPr="00D1072A">
        <w:t>performed</w:t>
      </w:r>
      <w:r>
        <w:t xml:space="preserve"> in Australian clinical practice</w:t>
      </w:r>
      <w:r w:rsidRPr="00D1072A">
        <w:t>.</w:t>
      </w:r>
      <w:r>
        <w:t xml:space="preserve"> </w:t>
      </w:r>
      <w:r w:rsidRPr="00D1072A">
        <w:t xml:space="preserve">Images in corticomedullary phase, nephrographic phase and/or excretory phase </w:t>
      </w:r>
      <w:r>
        <w:t>are</w:t>
      </w:r>
      <w:r w:rsidRPr="00D1072A">
        <w:t xml:space="preserve"> obtained using either a 1.5 T or 3 T machine. Image acquisition sequences often used include:</w:t>
      </w:r>
    </w:p>
    <w:p w14:paraId="00BE3937" w14:textId="77777777" w:rsidR="00B84662" w:rsidRPr="00D1072A" w:rsidRDefault="00B84662" w:rsidP="00EE7A08">
      <w:pPr>
        <w:pStyle w:val="ListParagraph"/>
        <w:numPr>
          <w:ilvl w:val="0"/>
          <w:numId w:val="14"/>
        </w:numPr>
      </w:pPr>
      <w:r w:rsidRPr="00D1072A">
        <w:t xml:space="preserve">T1 or T2-weighted gradient or spin echo </w:t>
      </w:r>
    </w:p>
    <w:p w14:paraId="1CA59407" w14:textId="77777777" w:rsidR="00B84662" w:rsidRPr="00D1072A" w:rsidRDefault="00B84662" w:rsidP="00EE7A08">
      <w:pPr>
        <w:pStyle w:val="ListParagraph"/>
        <w:numPr>
          <w:ilvl w:val="0"/>
          <w:numId w:val="14"/>
        </w:numPr>
      </w:pPr>
      <w:r w:rsidRPr="00D1072A">
        <w:t>T1-weighted gradient or spin echo with contrast</w:t>
      </w:r>
    </w:p>
    <w:p w14:paraId="172C87FE" w14:textId="77777777" w:rsidR="00B84662" w:rsidRPr="00D1072A" w:rsidRDefault="00B84662" w:rsidP="00EE7A08">
      <w:pPr>
        <w:pStyle w:val="ListParagraph"/>
        <w:numPr>
          <w:ilvl w:val="0"/>
          <w:numId w:val="14"/>
        </w:numPr>
      </w:pPr>
      <w:r w:rsidRPr="00D1072A">
        <w:t>T1- or T2 weighted with fat-suppression</w:t>
      </w:r>
    </w:p>
    <w:p w14:paraId="2269EA23" w14:textId="77777777" w:rsidR="00FA36F3" w:rsidRPr="00D1072A" w:rsidRDefault="00B84662" w:rsidP="00EE7A08">
      <w:pPr>
        <w:pStyle w:val="ListParagraph"/>
        <w:numPr>
          <w:ilvl w:val="0"/>
          <w:numId w:val="14"/>
        </w:numPr>
      </w:pPr>
      <w:r w:rsidRPr="00D1072A">
        <w:t>T2-weighted respiratory-gated turbo spin echo (TSE)</w:t>
      </w:r>
      <w:r w:rsidR="0053774E">
        <w:t>.</w:t>
      </w:r>
    </w:p>
    <w:p w14:paraId="54480E27" w14:textId="77777777" w:rsidR="00AC0EFF" w:rsidRPr="00D1072A" w:rsidRDefault="00AC0EFF" w:rsidP="00AC0EFF">
      <w:pPr>
        <w:keepNext/>
        <w:keepLines/>
        <w:spacing w:before="40" w:after="120" w:line="276" w:lineRule="auto"/>
        <w:outlineLvl w:val="3"/>
        <w:rPr>
          <w:rFonts w:asciiTheme="majorHAnsi" w:eastAsiaTheme="majorEastAsia" w:hAnsiTheme="majorHAnsi"/>
          <w:i/>
          <w:u w:val="single"/>
        </w:rPr>
      </w:pPr>
      <w:r w:rsidRPr="00D1072A">
        <w:rPr>
          <w:rFonts w:asciiTheme="majorHAnsi" w:eastAsiaTheme="majorEastAsia" w:hAnsiTheme="majorHAnsi"/>
          <w:i/>
          <w:u w:val="single"/>
        </w:rPr>
        <w:t>PICO Set 1</w:t>
      </w:r>
    </w:p>
    <w:p w14:paraId="6B53D0A9" w14:textId="77777777" w:rsidR="00AC0EFF" w:rsidRDefault="00AC0EFF" w:rsidP="00AC0EFF">
      <w:r w:rsidRPr="00D1072A">
        <w:t>The proposed item descriptor for public funding for abdominal MRI to be used for surveillance of patients with a confirmed clinical and/or molecular diagnosis of a condition known to carry an increased risk of the development of renal tumours, with amendments suggested by PASC, is presented in</w:t>
      </w:r>
      <w:r>
        <w:t xml:space="preserve"> </w:t>
      </w:r>
      <w:r>
        <w:fldChar w:fldCharType="begin"/>
      </w:r>
      <w:r>
        <w:instrText xml:space="preserve"> REF _Ref69481033 \h </w:instrText>
      </w:r>
      <w:r>
        <w:fldChar w:fldCharType="separate"/>
      </w:r>
      <w:r w:rsidR="00CB2A40" w:rsidRPr="00D1072A">
        <w:t>Table</w:t>
      </w:r>
      <w:r w:rsidR="00CB2A40">
        <w:t xml:space="preserve"> </w:t>
      </w:r>
      <w:r w:rsidR="00CB2A40">
        <w:rPr>
          <w:noProof/>
        </w:rPr>
        <w:t>1</w:t>
      </w:r>
      <w:r>
        <w:fldChar w:fldCharType="end"/>
      </w:r>
      <w:r w:rsidRPr="00D1072A">
        <w:t>.</w:t>
      </w:r>
    </w:p>
    <w:p w14:paraId="0978C781" w14:textId="5078D04D" w:rsidR="00B84662" w:rsidRDefault="00B84662" w:rsidP="00B84662">
      <w:r>
        <w:t>Given that TSC, VHL and many other rare heritable syndromes associated with the development of renal tumours are associated with important health risks outside of the kidney which require management, abdominal MRI is proposed to be used in addition to other diagnostic and clinical procedures that constitute standard risk management for patients with these syndromes. Abdominal MRI constitutes one diagnostic tool in a wider approach of surveillance and management that may include other tests, including MRI of other parts of the body.</w:t>
      </w:r>
    </w:p>
    <w:p w14:paraId="798A46BF" w14:textId="6AF31652" w:rsidR="00B84662" w:rsidRDefault="00B84662" w:rsidP="00B84662">
      <w:r>
        <w:t xml:space="preserve">Of note, was that the exclusive use of MRI is not unanimously recommended for this patient group. In patients with VHL and </w:t>
      </w:r>
      <w:r w:rsidRPr="00B84662">
        <w:rPr>
          <w:i/>
        </w:rPr>
        <w:t>BAP1</w:t>
      </w:r>
      <w:r w:rsidRPr="00B84662">
        <w:t xml:space="preserve"> tumour pre-disposition syndrome</w:t>
      </w:r>
      <w:r>
        <w:t xml:space="preserve">, the </w:t>
      </w:r>
      <w:proofErr w:type="spellStart"/>
      <w:r>
        <w:t>eviQ</w:t>
      </w:r>
      <w:proofErr w:type="spellEnd"/>
      <w:r>
        <w:t xml:space="preserve"> guidelines specify that abdominal MRI should be done two yearly with US done in the intervening year. In BDH</w:t>
      </w:r>
      <w:r w:rsidR="00FD0BC4">
        <w:t xml:space="preserve"> </w:t>
      </w:r>
      <w:r w:rsidR="00FD0BC4" w:rsidRPr="00726213">
        <w:rPr>
          <w:bCs/>
        </w:rPr>
        <w:t>syndrome</w:t>
      </w:r>
      <w:r>
        <w:t xml:space="preserve">, the </w:t>
      </w:r>
      <w:proofErr w:type="spellStart"/>
      <w:r>
        <w:t>eviQ</w:t>
      </w:r>
      <w:proofErr w:type="spellEnd"/>
      <w:r>
        <w:t xml:space="preserve"> guidelines recommend either three yearly MRI or two-yearly US if there are no abnormalities. This is discussed below (</w:t>
      </w:r>
      <w:r>
        <w:fldChar w:fldCharType="begin"/>
      </w:r>
      <w:r>
        <w:instrText xml:space="preserve"> REF _Ref118470147 \h </w:instrText>
      </w:r>
      <w:r>
        <w:fldChar w:fldCharType="separate"/>
      </w:r>
      <w:r w:rsidR="00CB2A40" w:rsidRPr="00D1072A">
        <w:t xml:space="preserve">Table </w:t>
      </w:r>
      <w:r w:rsidR="00CB2A40">
        <w:rPr>
          <w:noProof/>
        </w:rPr>
        <w:t>3</w:t>
      </w:r>
      <w:r>
        <w:fldChar w:fldCharType="end"/>
      </w:r>
      <w:r>
        <w:t>).</w:t>
      </w:r>
    </w:p>
    <w:p w14:paraId="48C91801" w14:textId="77777777" w:rsidR="003328A9" w:rsidRPr="00D1072A" w:rsidRDefault="00310C3F" w:rsidP="00730F41">
      <w:pPr>
        <w:pStyle w:val="TableHeading0"/>
      </w:pPr>
      <w:bookmarkStart w:id="6" w:name="_Ref69481033"/>
      <w:r w:rsidRPr="00D1072A">
        <w:t>Table</w:t>
      </w:r>
      <w:r w:rsidR="00AC0EFF">
        <w:t xml:space="preserve"> </w:t>
      </w:r>
      <w:r>
        <w:fldChar w:fldCharType="begin"/>
      </w:r>
      <w:r>
        <w:instrText>SEQ Table \* ARABIC</w:instrText>
      </w:r>
      <w:r>
        <w:fldChar w:fldCharType="separate"/>
      </w:r>
      <w:r w:rsidR="00CB2A40">
        <w:rPr>
          <w:noProof/>
        </w:rPr>
        <w:t>1</w:t>
      </w:r>
      <w:r>
        <w:fldChar w:fldCharType="end"/>
      </w:r>
      <w:bookmarkEnd w:id="6"/>
      <w:r w:rsidR="003328A9" w:rsidRPr="00D1072A">
        <w:tab/>
      </w:r>
      <w:r w:rsidR="0053774E" w:rsidRPr="0053774E">
        <w:t>Proposed MBS item descriptor for PICO set 1</w:t>
      </w:r>
    </w:p>
    <w:tbl>
      <w:tblPr>
        <w:tblStyle w:val="HealthConsult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AC0EFF" w:rsidRPr="00D1072A" w14:paraId="61A2F1F9" w14:textId="77777777" w:rsidTr="00855E27">
        <w:trPr>
          <w:trHeight w:val="351"/>
          <w:tblHeader/>
        </w:trPr>
        <w:tc>
          <w:tcPr>
            <w:tcW w:w="5000" w:type="pct"/>
            <w:hideMark/>
          </w:tcPr>
          <w:p w14:paraId="65AAB9B3" w14:textId="77777777" w:rsidR="00AC0EFF" w:rsidRPr="00D1072A" w:rsidRDefault="00AC0EFF" w:rsidP="00730F41">
            <w:pPr>
              <w:pStyle w:val="TableText"/>
              <w:keepNext/>
              <w:rPr>
                <w:sz w:val="24"/>
              </w:rPr>
            </w:pPr>
            <w:r w:rsidRPr="00D1072A">
              <w:rPr>
                <w:iCs/>
                <w:szCs w:val="20"/>
              </w:rPr>
              <w:t>Category 5 – Diagnostic Imaging Services</w:t>
            </w:r>
          </w:p>
        </w:tc>
      </w:tr>
      <w:tr w:rsidR="00AC0EFF" w:rsidRPr="00D1072A" w14:paraId="24ED1B59" w14:textId="77777777" w:rsidTr="00855E27">
        <w:tc>
          <w:tcPr>
            <w:tcW w:w="5000" w:type="pct"/>
            <w:hideMark/>
          </w:tcPr>
          <w:p w14:paraId="4329D784" w14:textId="77777777" w:rsidR="00AC0EFF" w:rsidRPr="00D1072A" w:rsidRDefault="00AC0EFF" w:rsidP="00292E54">
            <w:pPr>
              <w:keepNext/>
              <w:spacing w:before="40" w:after="240"/>
              <w:rPr>
                <w:rFonts w:ascii="Arial Narrow" w:hAnsi="Arial Narrow"/>
                <w:iCs/>
                <w:sz w:val="20"/>
                <w:szCs w:val="20"/>
              </w:rPr>
            </w:pPr>
            <w:r w:rsidRPr="00D1072A">
              <w:rPr>
                <w:rFonts w:ascii="Arial Narrow" w:hAnsi="Arial Narrow"/>
                <w:iCs/>
                <w:sz w:val="20"/>
                <w:szCs w:val="20"/>
              </w:rPr>
              <w:t>MBS item XXX</w:t>
            </w:r>
          </w:p>
          <w:p w14:paraId="373DB8AC" w14:textId="77777777" w:rsidR="00AC0EFF" w:rsidRPr="00D1072A" w:rsidRDefault="00AC0EFF" w:rsidP="00730F41">
            <w:pPr>
              <w:keepNext/>
              <w:spacing w:before="40" w:after="40"/>
              <w:rPr>
                <w:rFonts w:ascii="Arial Narrow" w:hAnsi="Arial Narrow"/>
                <w:iCs/>
                <w:sz w:val="20"/>
                <w:szCs w:val="20"/>
              </w:rPr>
            </w:pPr>
            <w:r w:rsidRPr="00D1072A">
              <w:rPr>
                <w:rFonts w:ascii="Arial Narrow" w:hAnsi="Arial Narrow"/>
                <w:iCs/>
                <w:sz w:val="20"/>
                <w:szCs w:val="20"/>
              </w:rPr>
              <w:t xml:space="preserve">MRI – scan of the abdomen, </w:t>
            </w:r>
            <w:r w:rsidR="00096C8C" w:rsidRPr="00096C8C">
              <w:rPr>
                <w:rFonts w:ascii="Arial Narrow" w:hAnsi="Arial Narrow"/>
                <w:iCs/>
                <w:sz w:val="20"/>
                <w:szCs w:val="20"/>
              </w:rPr>
              <w:t>requested by a specialist or consultant physician</w:t>
            </w:r>
            <w:r w:rsidR="00096C8C">
              <w:rPr>
                <w:rFonts w:ascii="Arial Narrow" w:hAnsi="Arial Narrow"/>
                <w:iCs/>
                <w:sz w:val="20"/>
                <w:szCs w:val="20"/>
              </w:rPr>
              <w:t>,</w:t>
            </w:r>
            <w:r w:rsidR="00096C8C" w:rsidRPr="00096C8C">
              <w:rPr>
                <w:rFonts w:ascii="Arial Narrow" w:hAnsi="Arial Narrow"/>
                <w:iCs/>
                <w:sz w:val="20"/>
                <w:szCs w:val="20"/>
              </w:rPr>
              <w:t xml:space="preserve"> </w:t>
            </w:r>
            <w:r w:rsidRPr="00D1072A">
              <w:rPr>
                <w:rFonts w:ascii="Arial Narrow" w:hAnsi="Arial Narrow"/>
                <w:iCs/>
                <w:sz w:val="20"/>
                <w:szCs w:val="20"/>
              </w:rPr>
              <w:t>to assess the development and/or growth of renal tumours in patients with a confirmed clinical and/or molecular diagnosis of one of the following conditions:</w:t>
            </w:r>
          </w:p>
          <w:p w14:paraId="55E27088" w14:textId="77777777" w:rsidR="00AC0EFF" w:rsidRPr="00D1072A" w:rsidRDefault="00AC0EFF" w:rsidP="00730F41">
            <w:pPr>
              <w:keepNext/>
              <w:numPr>
                <w:ilvl w:val="0"/>
                <w:numId w:val="13"/>
              </w:numPr>
              <w:spacing w:before="40" w:after="40"/>
              <w:rPr>
                <w:rFonts w:ascii="Arial Narrow" w:hAnsi="Arial Narrow"/>
                <w:iCs/>
                <w:sz w:val="20"/>
                <w:szCs w:val="20"/>
              </w:rPr>
            </w:pPr>
            <w:r w:rsidRPr="00D1072A">
              <w:rPr>
                <w:rFonts w:ascii="Arial Narrow" w:hAnsi="Arial Narrow"/>
                <w:iCs/>
                <w:sz w:val="20"/>
                <w:szCs w:val="20"/>
              </w:rPr>
              <w:t>Tuberous sclerosis complex</w:t>
            </w:r>
          </w:p>
          <w:p w14:paraId="6B03E746" w14:textId="77777777" w:rsidR="00AC0EFF" w:rsidRPr="00D1072A" w:rsidRDefault="00AC0EFF" w:rsidP="00730F41">
            <w:pPr>
              <w:keepNext/>
              <w:numPr>
                <w:ilvl w:val="0"/>
                <w:numId w:val="13"/>
              </w:numPr>
              <w:spacing w:before="40" w:after="40"/>
              <w:rPr>
                <w:rFonts w:ascii="Arial Narrow" w:hAnsi="Arial Narrow"/>
                <w:iCs/>
                <w:sz w:val="20"/>
                <w:szCs w:val="20"/>
              </w:rPr>
            </w:pPr>
            <w:r w:rsidRPr="00D1072A">
              <w:rPr>
                <w:rFonts w:ascii="Arial Narrow" w:hAnsi="Arial Narrow"/>
                <w:iCs/>
                <w:sz w:val="20"/>
                <w:szCs w:val="20"/>
              </w:rPr>
              <w:t>Von Hippel Lindau syndrome</w:t>
            </w:r>
          </w:p>
          <w:p w14:paraId="0FCC486B" w14:textId="77777777" w:rsidR="00AC0EFF" w:rsidRPr="00D1072A" w:rsidRDefault="00AC0EFF" w:rsidP="00730F41">
            <w:pPr>
              <w:keepNext/>
              <w:numPr>
                <w:ilvl w:val="0"/>
                <w:numId w:val="13"/>
              </w:numPr>
              <w:spacing w:before="40" w:after="40"/>
              <w:rPr>
                <w:rFonts w:ascii="Arial Narrow" w:hAnsi="Arial Narrow"/>
                <w:iCs/>
                <w:sz w:val="20"/>
                <w:szCs w:val="20"/>
              </w:rPr>
            </w:pPr>
            <w:proofErr w:type="spellStart"/>
            <w:r w:rsidRPr="00D1072A">
              <w:rPr>
                <w:rFonts w:ascii="Arial Narrow" w:hAnsi="Arial Narrow"/>
                <w:iCs/>
                <w:sz w:val="20"/>
                <w:szCs w:val="20"/>
              </w:rPr>
              <w:t>Birt</w:t>
            </w:r>
            <w:proofErr w:type="spellEnd"/>
            <w:r w:rsidRPr="00D1072A">
              <w:rPr>
                <w:rFonts w:ascii="Arial Narrow" w:hAnsi="Arial Narrow"/>
                <w:iCs/>
                <w:sz w:val="20"/>
                <w:szCs w:val="20"/>
              </w:rPr>
              <w:t>-Hogg-Dube syndrome</w:t>
            </w:r>
          </w:p>
          <w:p w14:paraId="2B02D836" w14:textId="77777777" w:rsidR="00AC0EFF" w:rsidRPr="00D1072A" w:rsidRDefault="00AC0EFF" w:rsidP="00730F41">
            <w:pPr>
              <w:keepNext/>
              <w:numPr>
                <w:ilvl w:val="0"/>
                <w:numId w:val="13"/>
              </w:numPr>
              <w:spacing w:before="40" w:after="40"/>
              <w:rPr>
                <w:rFonts w:ascii="Arial Narrow" w:hAnsi="Arial Narrow"/>
                <w:iCs/>
                <w:sz w:val="20"/>
                <w:szCs w:val="20"/>
              </w:rPr>
            </w:pPr>
            <w:r w:rsidRPr="00D1072A">
              <w:rPr>
                <w:rFonts w:ascii="Arial Narrow" w:hAnsi="Arial Narrow"/>
                <w:iCs/>
                <w:sz w:val="20"/>
                <w:szCs w:val="20"/>
              </w:rPr>
              <w:t xml:space="preserve">Hereditary </w:t>
            </w:r>
            <w:proofErr w:type="spellStart"/>
            <w:r w:rsidRPr="00D1072A">
              <w:rPr>
                <w:rFonts w:ascii="Arial Narrow" w:hAnsi="Arial Narrow"/>
                <w:iCs/>
                <w:sz w:val="20"/>
                <w:szCs w:val="20"/>
              </w:rPr>
              <w:t>leiomyomatosis</w:t>
            </w:r>
            <w:proofErr w:type="spellEnd"/>
            <w:r w:rsidRPr="00D1072A">
              <w:rPr>
                <w:rFonts w:ascii="Arial Narrow" w:hAnsi="Arial Narrow"/>
                <w:iCs/>
                <w:sz w:val="20"/>
                <w:szCs w:val="20"/>
              </w:rPr>
              <w:t xml:space="preserve"> and renal cell carcinoma (HLRCC)</w:t>
            </w:r>
          </w:p>
          <w:p w14:paraId="272D50F5" w14:textId="77777777" w:rsidR="00AC0EFF" w:rsidRPr="00D1072A" w:rsidRDefault="00AC0EFF" w:rsidP="00730F41">
            <w:pPr>
              <w:keepNext/>
              <w:numPr>
                <w:ilvl w:val="0"/>
                <w:numId w:val="13"/>
              </w:numPr>
              <w:spacing w:before="40" w:after="40"/>
              <w:rPr>
                <w:rFonts w:ascii="Arial Narrow" w:hAnsi="Arial Narrow"/>
                <w:iCs/>
                <w:sz w:val="20"/>
                <w:szCs w:val="20"/>
              </w:rPr>
            </w:pPr>
            <w:r w:rsidRPr="00D1072A">
              <w:rPr>
                <w:rFonts w:ascii="Arial Narrow" w:hAnsi="Arial Narrow"/>
                <w:iCs/>
                <w:sz w:val="20"/>
                <w:szCs w:val="20"/>
              </w:rPr>
              <w:t>Cowden syndrome (</w:t>
            </w:r>
            <w:r w:rsidRPr="00D1072A">
              <w:rPr>
                <w:rFonts w:ascii="Arial Narrow" w:hAnsi="Arial Narrow"/>
                <w:i/>
                <w:iCs/>
                <w:sz w:val="20"/>
                <w:szCs w:val="20"/>
              </w:rPr>
              <w:t>PTEN</w:t>
            </w:r>
            <w:r w:rsidRPr="00D1072A">
              <w:rPr>
                <w:rFonts w:ascii="Arial Narrow" w:hAnsi="Arial Narrow"/>
                <w:iCs/>
                <w:sz w:val="20"/>
                <w:szCs w:val="20"/>
              </w:rPr>
              <w:t xml:space="preserve"> Hamartoma Tumour Syndrome spectrum)</w:t>
            </w:r>
          </w:p>
          <w:p w14:paraId="10878978" w14:textId="77777777" w:rsidR="00AC0EFF" w:rsidRPr="00D1072A" w:rsidRDefault="00AC0EFF" w:rsidP="00730F41">
            <w:pPr>
              <w:keepNext/>
              <w:numPr>
                <w:ilvl w:val="0"/>
                <w:numId w:val="13"/>
              </w:numPr>
              <w:spacing w:before="40" w:after="40"/>
              <w:rPr>
                <w:rFonts w:ascii="Arial Narrow" w:hAnsi="Arial Narrow"/>
                <w:iCs/>
                <w:sz w:val="20"/>
                <w:szCs w:val="20"/>
              </w:rPr>
            </w:pPr>
            <w:r w:rsidRPr="00D1072A">
              <w:rPr>
                <w:rFonts w:ascii="Arial Narrow" w:hAnsi="Arial Narrow"/>
                <w:i/>
                <w:iCs/>
                <w:sz w:val="20"/>
                <w:szCs w:val="20"/>
              </w:rPr>
              <w:t>BAP1</w:t>
            </w:r>
            <w:r w:rsidRPr="00D1072A">
              <w:rPr>
                <w:rFonts w:ascii="Arial Narrow" w:hAnsi="Arial Narrow"/>
                <w:iCs/>
                <w:sz w:val="20"/>
                <w:szCs w:val="20"/>
              </w:rPr>
              <w:t>-associated cancer syndrome</w:t>
            </w:r>
          </w:p>
          <w:p w14:paraId="3AB1787E" w14:textId="77777777" w:rsidR="00AC0EFF" w:rsidRPr="00D1072A" w:rsidRDefault="00AC0EFF" w:rsidP="00730F41">
            <w:pPr>
              <w:keepNext/>
              <w:numPr>
                <w:ilvl w:val="0"/>
                <w:numId w:val="13"/>
              </w:numPr>
              <w:spacing w:before="40" w:after="40"/>
              <w:rPr>
                <w:rFonts w:ascii="Arial Narrow" w:hAnsi="Arial Narrow"/>
                <w:iCs/>
                <w:sz w:val="20"/>
                <w:szCs w:val="20"/>
              </w:rPr>
            </w:pPr>
            <w:r w:rsidRPr="00D1072A">
              <w:rPr>
                <w:rFonts w:ascii="Arial Narrow" w:hAnsi="Arial Narrow"/>
                <w:i/>
                <w:iCs/>
                <w:sz w:val="20"/>
                <w:szCs w:val="20"/>
              </w:rPr>
              <w:t>SDH</w:t>
            </w:r>
            <w:r w:rsidRPr="00D1072A">
              <w:rPr>
                <w:rFonts w:ascii="Arial Narrow" w:hAnsi="Arial Narrow"/>
                <w:iCs/>
                <w:sz w:val="20"/>
                <w:szCs w:val="20"/>
              </w:rPr>
              <w:t xml:space="preserve"> associated renal cancer (risk for phaeochromocytoma and paraganglioma)</w:t>
            </w:r>
          </w:p>
          <w:p w14:paraId="45684095" w14:textId="77777777" w:rsidR="00AC0EFF" w:rsidRPr="00D1072A" w:rsidRDefault="00AC0EFF" w:rsidP="00730F41">
            <w:pPr>
              <w:keepNext/>
              <w:numPr>
                <w:ilvl w:val="0"/>
                <w:numId w:val="13"/>
              </w:numPr>
              <w:spacing w:before="40" w:after="40"/>
              <w:rPr>
                <w:rFonts w:ascii="Arial Narrow" w:hAnsi="Arial Narrow"/>
                <w:iCs/>
                <w:sz w:val="20"/>
                <w:szCs w:val="20"/>
              </w:rPr>
            </w:pPr>
            <w:r w:rsidRPr="00D1072A">
              <w:rPr>
                <w:rFonts w:ascii="Arial Narrow" w:hAnsi="Arial Narrow"/>
                <w:iCs/>
                <w:sz w:val="20"/>
                <w:szCs w:val="20"/>
              </w:rPr>
              <w:t xml:space="preserve">Familial clear renal cell carcinoma with chromosome 3 translocation, </w:t>
            </w:r>
          </w:p>
          <w:p w14:paraId="4B82608E" w14:textId="77777777" w:rsidR="00AC0EFF" w:rsidRPr="00D1072A" w:rsidRDefault="00AC0EFF" w:rsidP="00730F41">
            <w:pPr>
              <w:keepNext/>
              <w:spacing w:before="40" w:after="40"/>
              <w:rPr>
                <w:rFonts w:ascii="Arial Narrow" w:hAnsi="Arial Narrow"/>
                <w:iCs/>
                <w:sz w:val="20"/>
                <w:szCs w:val="20"/>
              </w:rPr>
            </w:pPr>
            <w:r w:rsidRPr="00D1072A">
              <w:rPr>
                <w:rFonts w:ascii="Arial Narrow" w:hAnsi="Arial Narrow"/>
                <w:iCs/>
                <w:sz w:val="20"/>
                <w:szCs w:val="20"/>
              </w:rPr>
              <w:t>or</w:t>
            </w:r>
          </w:p>
          <w:p w14:paraId="63BF0BEA" w14:textId="77777777" w:rsidR="00AC0EFF" w:rsidRPr="00D1072A" w:rsidRDefault="00AC0EFF" w:rsidP="00730F41">
            <w:pPr>
              <w:keepNext/>
              <w:spacing w:before="40" w:after="40"/>
              <w:rPr>
                <w:rFonts w:ascii="Arial Narrow" w:hAnsi="Arial Narrow"/>
                <w:iCs/>
                <w:sz w:val="20"/>
                <w:szCs w:val="20"/>
              </w:rPr>
            </w:pPr>
            <w:r w:rsidRPr="00D1072A">
              <w:rPr>
                <w:rFonts w:ascii="Arial Narrow" w:hAnsi="Arial Narrow"/>
                <w:iCs/>
                <w:sz w:val="20"/>
                <w:szCs w:val="20"/>
              </w:rPr>
              <w:t>other rare genetic disorders associated with the increased risk of developing renal tumours.</w:t>
            </w:r>
          </w:p>
          <w:p w14:paraId="3338F22A" w14:textId="77777777" w:rsidR="00AC0EFF" w:rsidRPr="00292E54" w:rsidRDefault="00AC0EFF" w:rsidP="00292E54">
            <w:pPr>
              <w:keepNext/>
              <w:spacing w:before="240" w:after="240"/>
              <w:rPr>
                <w:rFonts w:ascii="Arial Narrow" w:hAnsi="Arial Narrow"/>
                <w:i/>
                <w:iCs/>
                <w:sz w:val="20"/>
                <w:szCs w:val="20"/>
              </w:rPr>
            </w:pPr>
            <w:r w:rsidRPr="00D1072A">
              <w:rPr>
                <w:rFonts w:ascii="Arial Narrow" w:hAnsi="Arial Narrow"/>
                <w:iCs/>
                <w:sz w:val="20"/>
                <w:szCs w:val="20"/>
              </w:rPr>
              <w:t xml:space="preserve">For any particular patient – applicable not more than once in a </w:t>
            </w:r>
            <w:proofErr w:type="gramStart"/>
            <w:r w:rsidRPr="00D1072A">
              <w:rPr>
                <w:rFonts w:ascii="Arial Narrow" w:hAnsi="Arial Narrow"/>
                <w:iCs/>
                <w:sz w:val="20"/>
                <w:szCs w:val="20"/>
              </w:rPr>
              <w:t>12 month</w:t>
            </w:r>
            <w:proofErr w:type="gramEnd"/>
            <w:r w:rsidRPr="00D1072A">
              <w:rPr>
                <w:rFonts w:ascii="Arial Narrow" w:hAnsi="Arial Narrow"/>
                <w:iCs/>
                <w:sz w:val="20"/>
                <w:szCs w:val="20"/>
              </w:rPr>
              <w:t xml:space="preserve"> period. </w:t>
            </w:r>
            <w:r w:rsidRPr="00D1072A">
              <w:rPr>
                <w:rFonts w:ascii="Arial Narrow" w:hAnsi="Arial Narrow"/>
                <w:i/>
                <w:iCs/>
                <w:sz w:val="20"/>
                <w:szCs w:val="20"/>
              </w:rPr>
              <w:t>(R) (</w:t>
            </w:r>
            <w:proofErr w:type="spellStart"/>
            <w:r w:rsidRPr="00D1072A">
              <w:rPr>
                <w:rFonts w:ascii="Arial Narrow" w:hAnsi="Arial Narrow"/>
                <w:i/>
                <w:iCs/>
                <w:sz w:val="20"/>
                <w:szCs w:val="20"/>
              </w:rPr>
              <w:t>Anaes</w:t>
            </w:r>
            <w:proofErr w:type="spellEnd"/>
            <w:r w:rsidRPr="00D1072A">
              <w:rPr>
                <w:rFonts w:ascii="Arial Narrow" w:hAnsi="Arial Narrow"/>
                <w:i/>
                <w:iCs/>
                <w:sz w:val="20"/>
                <w:szCs w:val="20"/>
              </w:rPr>
              <w:t xml:space="preserve">) (Contrast) </w:t>
            </w:r>
          </w:p>
          <w:p w14:paraId="2AAF0D26" w14:textId="77777777" w:rsidR="00AC0EFF" w:rsidRPr="00D1072A" w:rsidRDefault="00E474A9" w:rsidP="00292E54">
            <w:pPr>
              <w:keepNext/>
              <w:spacing w:before="40" w:after="240"/>
              <w:rPr>
                <w:rFonts w:ascii="Arial Narrow" w:hAnsi="Arial Narrow"/>
                <w:iCs/>
                <w:sz w:val="20"/>
                <w:szCs w:val="20"/>
              </w:rPr>
            </w:pPr>
            <w:hyperlink r:id="rId9" w:history="1">
              <w:r w:rsidR="00AC0EFF" w:rsidRPr="00D1072A">
                <w:rPr>
                  <w:rFonts w:ascii="Arial Narrow" w:hAnsi="Arial Narrow"/>
                  <w:iCs/>
                  <w:color w:val="0000FF"/>
                  <w:sz w:val="20"/>
                  <w:szCs w:val="20"/>
                  <w:u w:val="single"/>
                </w:rPr>
                <w:t>Bulk bill incentive</w:t>
              </w:r>
            </w:hyperlink>
          </w:p>
          <w:p w14:paraId="1898471E" w14:textId="77777777" w:rsidR="00AC0EFF" w:rsidRPr="00AC0EFF" w:rsidRDefault="00AC0EFF" w:rsidP="00730F41">
            <w:pPr>
              <w:keepNext/>
              <w:spacing w:before="40" w:after="40"/>
              <w:rPr>
                <w:rFonts w:ascii="Arial Narrow" w:hAnsi="Arial Narrow"/>
                <w:iCs/>
                <w:sz w:val="20"/>
                <w:szCs w:val="20"/>
              </w:rPr>
            </w:pPr>
            <w:r w:rsidRPr="00D1072A">
              <w:rPr>
                <w:rFonts w:ascii="Arial Narrow" w:hAnsi="Arial Narrow"/>
                <w:b/>
                <w:bCs/>
                <w:iCs/>
                <w:sz w:val="20"/>
                <w:szCs w:val="20"/>
              </w:rPr>
              <w:t>Fee:</w:t>
            </w:r>
            <w:r w:rsidRPr="00D1072A">
              <w:rPr>
                <w:rFonts w:ascii="Arial Narrow" w:hAnsi="Arial Narrow"/>
                <w:iCs/>
                <w:sz w:val="20"/>
                <w:szCs w:val="20"/>
              </w:rPr>
              <w:t> $</w:t>
            </w:r>
            <w:r>
              <w:rPr>
                <w:rFonts w:ascii="Arial Narrow" w:hAnsi="Arial Narrow"/>
                <w:iCs/>
                <w:sz w:val="20"/>
                <w:szCs w:val="20"/>
              </w:rPr>
              <w:t>637</w:t>
            </w:r>
            <w:r w:rsidRPr="00D1072A">
              <w:rPr>
                <w:rFonts w:ascii="Arial Narrow" w:hAnsi="Arial Narrow"/>
                <w:iCs/>
                <w:sz w:val="20"/>
                <w:szCs w:val="20"/>
              </w:rPr>
              <w:t>.</w:t>
            </w:r>
            <w:r>
              <w:rPr>
                <w:rFonts w:ascii="Arial Narrow" w:hAnsi="Arial Narrow"/>
                <w:iCs/>
                <w:sz w:val="20"/>
                <w:szCs w:val="20"/>
              </w:rPr>
              <w:t>25</w:t>
            </w:r>
            <w:r w:rsidRPr="00D1072A">
              <w:rPr>
                <w:rFonts w:ascii="Arial Narrow" w:hAnsi="Arial Narrow"/>
                <w:iCs/>
                <w:sz w:val="20"/>
                <w:szCs w:val="20"/>
              </w:rPr>
              <w:t> </w:t>
            </w:r>
            <w:r w:rsidRPr="00D1072A">
              <w:rPr>
                <w:rFonts w:ascii="Arial Narrow" w:hAnsi="Arial Narrow"/>
                <w:b/>
                <w:bCs/>
                <w:iCs/>
                <w:sz w:val="20"/>
                <w:szCs w:val="20"/>
              </w:rPr>
              <w:t>Benefit:</w:t>
            </w:r>
            <w:r w:rsidRPr="00D1072A">
              <w:rPr>
                <w:rFonts w:ascii="Arial Narrow" w:hAnsi="Arial Narrow"/>
                <w:iCs/>
                <w:sz w:val="20"/>
                <w:szCs w:val="20"/>
              </w:rPr>
              <w:t> 75% = $</w:t>
            </w:r>
            <w:r>
              <w:rPr>
                <w:rFonts w:ascii="Arial Narrow" w:hAnsi="Arial Narrow"/>
                <w:iCs/>
                <w:sz w:val="20"/>
                <w:szCs w:val="20"/>
              </w:rPr>
              <w:t>47</w:t>
            </w:r>
            <w:r w:rsidRPr="00D1072A">
              <w:rPr>
                <w:rFonts w:ascii="Arial Narrow" w:hAnsi="Arial Narrow"/>
                <w:iCs/>
                <w:sz w:val="20"/>
                <w:szCs w:val="20"/>
              </w:rPr>
              <w:t>7.</w:t>
            </w:r>
            <w:r>
              <w:rPr>
                <w:rFonts w:ascii="Arial Narrow" w:hAnsi="Arial Narrow"/>
                <w:iCs/>
                <w:sz w:val="20"/>
                <w:szCs w:val="20"/>
              </w:rPr>
              <w:t>9</w:t>
            </w:r>
            <w:r w:rsidRPr="00D1072A">
              <w:rPr>
                <w:rFonts w:ascii="Arial Narrow" w:hAnsi="Arial Narrow"/>
                <w:iCs/>
                <w:sz w:val="20"/>
                <w:szCs w:val="20"/>
              </w:rPr>
              <w:t>5 85% = $</w:t>
            </w:r>
            <w:r>
              <w:rPr>
                <w:rFonts w:ascii="Arial Narrow" w:hAnsi="Arial Narrow"/>
                <w:iCs/>
                <w:sz w:val="20"/>
                <w:szCs w:val="20"/>
              </w:rPr>
              <w:t>549</w:t>
            </w:r>
            <w:r w:rsidRPr="00D1072A">
              <w:rPr>
                <w:rFonts w:ascii="Arial Narrow" w:hAnsi="Arial Narrow"/>
                <w:iCs/>
                <w:sz w:val="20"/>
                <w:szCs w:val="20"/>
              </w:rPr>
              <w:t>.</w:t>
            </w:r>
            <w:r>
              <w:rPr>
                <w:rFonts w:ascii="Arial Narrow" w:hAnsi="Arial Narrow"/>
                <w:iCs/>
                <w:sz w:val="20"/>
                <w:szCs w:val="20"/>
              </w:rPr>
              <w:t>3</w:t>
            </w:r>
            <w:r w:rsidRPr="00D1072A">
              <w:rPr>
                <w:rFonts w:ascii="Arial Narrow" w:hAnsi="Arial Narrow"/>
                <w:iCs/>
                <w:sz w:val="20"/>
                <w:szCs w:val="20"/>
              </w:rPr>
              <w:t>5</w:t>
            </w:r>
          </w:p>
        </w:tc>
      </w:tr>
    </w:tbl>
    <w:p w14:paraId="373EE9D1" w14:textId="77777777" w:rsidR="00AC0EFF" w:rsidRPr="00D1072A" w:rsidRDefault="00AC0EFF" w:rsidP="00292E54">
      <w:pPr>
        <w:keepNext/>
        <w:keepLines/>
        <w:spacing w:before="240" w:after="120" w:line="276" w:lineRule="auto"/>
        <w:outlineLvl w:val="3"/>
        <w:rPr>
          <w:rFonts w:asciiTheme="majorHAnsi" w:eastAsiaTheme="majorEastAsia" w:hAnsiTheme="majorHAnsi"/>
          <w:i/>
          <w:u w:val="single"/>
        </w:rPr>
      </w:pPr>
      <w:r w:rsidRPr="00D1072A">
        <w:rPr>
          <w:rFonts w:asciiTheme="majorHAnsi" w:eastAsiaTheme="majorEastAsia" w:hAnsiTheme="majorHAnsi"/>
          <w:i/>
          <w:u w:val="single"/>
        </w:rPr>
        <w:t>PICO Set 2</w:t>
      </w:r>
    </w:p>
    <w:p w14:paraId="039CD185" w14:textId="77777777" w:rsidR="00B84662" w:rsidRDefault="008033D3" w:rsidP="00B84662">
      <w:r w:rsidRPr="008033D3">
        <w:t xml:space="preserve">The target population for PICO set 2 are patients diagnosed with a syndrome associated with increased risk of kidney cancer who require monitoring for the purposes of evaluating changes in </w:t>
      </w:r>
      <w:r w:rsidRPr="008033D3">
        <w:lastRenderedPageBreak/>
        <w:t>clinical condition or suspected complications of known renal tumours arising between their annual surveillance MRI, or who have received disease specific therapeutic intervention.</w:t>
      </w:r>
      <w:r w:rsidR="00B84662">
        <w:t xml:space="preserve"> </w:t>
      </w:r>
      <w:r w:rsidR="00B84662" w:rsidRPr="00B84662">
        <w:t>In this population, abdominal MRI should be available for each new line of therapy, prior to commencement of therapy and 3-6 months post initiation of therapy, to assess the patient’s response to treatment.</w:t>
      </w:r>
    </w:p>
    <w:p w14:paraId="321E7F95" w14:textId="45DBF95B" w:rsidR="00AC0EFF" w:rsidRPr="00D1072A" w:rsidRDefault="00AC0EFF" w:rsidP="00AC0EFF">
      <w:r w:rsidRPr="00D1072A">
        <w:t xml:space="preserve">However, this is not reflected in the wording of the proposed item number. The wording in </w:t>
      </w:r>
      <w:r w:rsidR="00096C8C">
        <w:t>bold italics</w:t>
      </w:r>
      <w:r w:rsidR="00096C8C" w:rsidRPr="00D1072A">
        <w:t xml:space="preserve"> </w:t>
      </w:r>
      <w:r w:rsidRPr="00D1072A">
        <w:t>has been added to reflect that a few patients may need additional imaging between annual surveillance MRI</w:t>
      </w:r>
      <w:r w:rsidR="00BB4602">
        <w:t xml:space="preserve"> (</w:t>
      </w:r>
      <w:r w:rsidR="00BB4602">
        <w:fldChar w:fldCharType="begin"/>
      </w:r>
      <w:r w:rsidR="00BB4602">
        <w:instrText xml:space="preserve"> REF _Ref118467001 \h </w:instrText>
      </w:r>
      <w:r w:rsidR="00BB4602">
        <w:fldChar w:fldCharType="separate"/>
      </w:r>
      <w:r w:rsidR="00CB2A40" w:rsidRPr="00D1072A">
        <w:t xml:space="preserve">Table </w:t>
      </w:r>
      <w:r w:rsidR="00CB2A40">
        <w:rPr>
          <w:noProof/>
        </w:rPr>
        <w:t>2</w:t>
      </w:r>
      <w:r w:rsidR="00BB4602">
        <w:fldChar w:fldCharType="end"/>
      </w:r>
      <w:r w:rsidR="00BB4602">
        <w:t>)</w:t>
      </w:r>
      <w:r w:rsidRPr="00D1072A">
        <w:t>.</w:t>
      </w:r>
    </w:p>
    <w:p w14:paraId="57114DAC" w14:textId="77777777" w:rsidR="00AC0EFF" w:rsidRPr="00D1072A" w:rsidRDefault="00AC0EFF" w:rsidP="00730F41">
      <w:pPr>
        <w:pStyle w:val="TableHeading0"/>
        <w:rPr>
          <w:rFonts w:ascii="Calibri" w:hAnsi="Calibri"/>
          <w:iCs/>
        </w:rPr>
      </w:pPr>
      <w:bookmarkStart w:id="7" w:name="_Ref118467001"/>
      <w:r w:rsidRPr="00D1072A">
        <w:t xml:space="preserve">Table </w:t>
      </w:r>
      <w:r>
        <w:fldChar w:fldCharType="begin"/>
      </w:r>
      <w:r>
        <w:instrText>SEQ Table \* ARABIC</w:instrText>
      </w:r>
      <w:r>
        <w:fldChar w:fldCharType="separate"/>
      </w:r>
      <w:r w:rsidR="00CB2A40">
        <w:rPr>
          <w:noProof/>
        </w:rPr>
        <w:t>2</w:t>
      </w:r>
      <w:r>
        <w:fldChar w:fldCharType="end"/>
      </w:r>
      <w:bookmarkEnd w:id="7"/>
      <w:r w:rsidRPr="00D1072A">
        <w:tab/>
        <w:t>Proposed MBS item descriptor for PICO set 2</w:t>
      </w:r>
    </w:p>
    <w:tbl>
      <w:tblPr>
        <w:tblStyle w:val="HealthConsult2"/>
        <w:tblW w:w="0" w:type="auto"/>
        <w:tblInd w:w="0" w:type="dxa"/>
        <w:tblLook w:val="04A0" w:firstRow="1" w:lastRow="0" w:firstColumn="1" w:lastColumn="0" w:noHBand="0" w:noVBand="1"/>
      </w:tblPr>
      <w:tblGrid>
        <w:gridCol w:w="9016"/>
      </w:tblGrid>
      <w:tr w:rsidR="00AC0EFF" w:rsidRPr="00D1072A" w14:paraId="48220467" w14:textId="77777777" w:rsidTr="00855E27">
        <w:tc>
          <w:tcPr>
            <w:tcW w:w="9016" w:type="dxa"/>
          </w:tcPr>
          <w:p w14:paraId="4DDD9175" w14:textId="77777777" w:rsidR="00AC0EFF" w:rsidRPr="00D1072A" w:rsidRDefault="00AC0EFF" w:rsidP="00730F41">
            <w:pPr>
              <w:keepNext/>
              <w:spacing w:before="40" w:after="40"/>
              <w:jc w:val="right"/>
              <w:rPr>
                <w:rFonts w:ascii="Arial Narrow" w:hAnsi="Arial Narrow"/>
                <w:iCs/>
                <w:sz w:val="20"/>
                <w:szCs w:val="20"/>
              </w:rPr>
            </w:pPr>
            <w:r w:rsidRPr="00D1072A">
              <w:rPr>
                <w:rFonts w:ascii="Arial Narrow" w:hAnsi="Arial Narrow"/>
                <w:iCs/>
                <w:sz w:val="20"/>
                <w:szCs w:val="20"/>
              </w:rPr>
              <w:t>Category 5 – Diagnostic Imaging Services</w:t>
            </w:r>
          </w:p>
        </w:tc>
      </w:tr>
      <w:tr w:rsidR="00AC0EFF" w:rsidRPr="00D1072A" w14:paraId="267B31B2" w14:textId="77777777" w:rsidTr="001774A5">
        <w:tc>
          <w:tcPr>
            <w:tcW w:w="9016" w:type="dxa"/>
          </w:tcPr>
          <w:p w14:paraId="5C0FC785" w14:textId="77777777" w:rsidR="00AC0EFF" w:rsidRPr="00D1072A" w:rsidRDefault="00AC0EFF" w:rsidP="007A4182">
            <w:pPr>
              <w:keepNext/>
              <w:spacing w:before="40" w:after="240"/>
              <w:rPr>
                <w:rFonts w:ascii="Arial Narrow" w:hAnsi="Arial Narrow"/>
                <w:iCs/>
                <w:sz w:val="20"/>
                <w:szCs w:val="20"/>
              </w:rPr>
            </w:pPr>
            <w:r w:rsidRPr="00D1072A">
              <w:rPr>
                <w:rFonts w:ascii="Arial Narrow" w:hAnsi="Arial Narrow"/>
                <w:iCs/>
                <w:sz w:val="20"/>
                <w:szCs w:val="20"/>
              </w:rPr>
              <w:t>MBS item YYY</w:t>
            </w:r>
          </w:p>
          <w:p w14:paraId="64662CEE" w14:textId="77777777" w:rsidR="00AC0EFF" w:rsidRPr="00D1072A" w:rsidRDefault="00AC0EFF" w:rsidP="00730F41">
            <w:pPr>
              <w:keepNext/>
              <w:spacing w:before="40" w:after="40"/>
              <w:rPr>
                <w:rFonts w:ascii="Arial Narrow" w:hAnsi="Arial Narrow"/>
                <w:iCs/>
                <w:sz w:val="20"/>
                <w:szCs w:val="20"/>
              </w:rPr>
            </w:pPr>
            <w:r w:rsidRPr="00D1072A">
              <w:rPr>
                <w:rFonts w:ascii="Arial Narrow" w:hAnsi="Arial Narrow"/>
                <w:iCs/>
                <w:sz w:val="20"/>
                <w:szCs w:val="20"/>
              </w:rPr>
              <w:t xml:space="preserve">MRI – scan of the abdomen, </w:t>
            </w:r>
            <w:r w:rsidR="00096C8C" w:rsidRPr="00096C8C">
              <w:rPr>
                <w:rFonts w:ascii="Arial Narrow" w:hAnsi="Arial Narrow"/>
                <w:iCs/>
                <w:sz w:val="20"/>
                <w:szCs w:val="20"/>
              </w:rPr>
              <w:t>requested by a specialist or consultant physician</w:t>
            </w:r>
            <w:r w:rsidR="00096C8C">
              <w:rPr>
                <w:rFonts w:ascii="Arial Narrow" w:hAnsi="Arial Narrow"/>
                <w:iCs/>
                <w:sz w:val="20"/>
                <w:szCs w:val="20"/>
              </w:rPr>
              <w:t>,</w:t>
            </w:r>
            <w:r w:rsidR="00096C8C" w:rsidRPr="00096C8C">
              <w:rPr>
                <w:rFonts w:ascii="Arial Narrow" w:hAnsi="Arial Narrow"/>
                <w:iCs/>
                <w:sz w:val="20"/>
                <w:szCs w:val="20"/>
              </w:rPr>
              <w:t xml:space="preserve"> </w:t>
            </w:r>
            <w:r w:rsidRPr="00096C8C">
              <w:rPr>
                <w:rFonts w:ascii="Arial Narrow" w:hAnsi="Arial Narrow"/>
                <w:b/>
                <w:i/>
                <w:iCs/>
                <w:sz w:val="20"/>
                <w:szCs w:val="20"/>
              </w:rPr>
              <w:t xml:space="preserve">to </w:t>
            </w:r>
            <w:r w:rsidR="008033D3" w:rsidRPr="00096C8C">
              <w:rPr>
                <w:rFonts w:ascii="Arial Narrow" w:hAnsi="Arial Narrow"/>
                <w:b/>
                <w:i/>
                <w:iCs/>
                <w:sz w:val="20"/>
                <w:szCs w:val="20"/>
              </w:rPr>
              <w:t>assess a patient with a</w:t>
            </w:r>
            <w:r w:rsidRPr="00096C8C">
              <w:rPr>
                <w:rFonts w:ascii="Arial Narrow" w:hAnsi="Arial Narrow"/>
                <w:b/>
                <w:i/>
                <w:iCs/>
                <w:sz w:val="20"/>
                <w:szCs w:val="20"/>
              </w:rPr>
              <w:t xml:space="preserve"> known renal tumour</w:t>
            </w:r>
            <w:r w:rsidR="008033D3" w:rsidRPr="00096C8C">
              <w:rPr>
                <w:rFonts w:ascii="Arial Narrow" w:hAnsi="Arial Narrow"/>
                <w:b/>
                <w:i/>
                <w:iCs/>
                <w:sz w:val="20"/>
                <w:szCs w:val="20"/>
              </w:rPr>
              <w:t xml:space="preserve"> who has</w:t>
            </w:r>
            <w:r w:rsidRPr="00D1072A">
              <w:rPr>
                <w:rFonts w:ascii="Arial Narrow" w:hAnsi="Arial Narrow"/>
                <w:iCs/>
                <w:sz w:val="20"/>
                <w:szCs w:val="20"/>
              </w:rPr>
              <w:t>:</w:t>
            </w:r>
          </w:p>
          <w:p w14:paraId="3ED68AB7" w14:textId="77777777" w:rsidR="00AC0EFF" w:rsidRPr="00D1072A" w:rsidRDefault="00AC0EFF" w:rsidP="00730F41">
            <w:pPr>
              <w:keepNext/>
              <w:numPr>
                <w:ilvl w:val="0"/>
                <w:numId w:val="11"/>
              </w:numPr>
              <w:spacing w:before="40" w:after="40"/>
              <w:rPr>
                <w:rFonts w:ascii="Arial Narrow" w:hAnsi="Arial Narrow"/>
                <w:iCs/>
                <w:sz w:val="20"/>
                <w:szCs w:val="20"/>
              </w:rPr>
            </w:pPr>
            <w:r w:rsidRPr="00D1072A">
              <w:rPr>
                <w:rFonts w:ascii="Arial Narrow" w:hAnsi="Arial Narrow"/>
                <w:iCs/>
                <w:sz w:val="20"/>
                <w:szCs w:val="20"/>
              </w:rPr>
              <w:t>a confirmed clinical and/or molecular diagnosis of one of the following conditions:</w:t>
            </w:r>
          </w:p>
          <w:p w14:paraId="479469AB" w14:textId="77777777" w:rsidR="00AC0EFF" w:rsidRPr="00D1072A" w:rsidRDefault="00AC0EFF" w:rsidP="00730F41">
            <w:pPr>
              <w:keepNext/>
              <w:numPr>
                <w:ilvl w:val="0"/>
                <w:numId w:val="12"/>
              </w:numPr>
              <w:spacing w:before="40" w:after="40"/>
              <w:rPr>
                <w:rFonts w:ascii="Arial Narrow" w:hAnsi="Arial Narrow"/>
                <w:iCs/>
                <w:sz w:val="20"/>
                <w:szCs w:val="20"/>
              </w:rPr>
            </w:pPr>
            <w:r w:rsidRPr="00D1072A">
              <w:rPr>
                <w:rFonts w:ascii="Arial Narrow" w:hAnsi="Arial Narrow"/>
                <w:iCs/>
                <w:sz w:val="20"/>
                <w:szCs w:val="20"/>
              </w:rPr>
              <w:t>Tuberous sclerosis complex</w:t>
            </w:r>
          </w:p>
          <w:p w14:paraId="23A6A123" w14:textId="77777777" w:rsidR="00AC0EFF" w:rsidRPr="00D1072A" w:rsidRDefault="00AC0EFF" w:rsidP="00730F41">
            <w:pPr>
              <w:keepNext/>
              <w:numPr>
                <w:ilvl w:val="0"/>
                <w:numId w:val="12"/>
              </w:numPr>
              <w:spacing w:before="40" w:after="40"/>
              <w:rPr>
                <w:rFonts w:ascii="Arial Narrow" w:hAnsi="Arial Narrow"/>
                <w:iCs/>
                <w:sz w:val="20"/>
                <w:szCs w:val="20"/>
              </w:rPr>
            </w:pPr>
            <w:r w:rsidRPr="00D1072A">
              <w:rPr>
                <w:rFonts w:ascii="Arial Narrow" w:hAnsi="Arial Narrow"/>
                <w:iCs/>
                <w:sz w:val="20"/>
                <w:szCs w:val="20"/>
              </w:rPr>
              <w:t>Von Hippel Lindau syndrome</w:t>
            </w:r>
          </w:p>
          <w:p w14:paraId="4A80714A" w14:textId="77777777" w:rsidR="00AC0EFF" w:rsidRPr="00D1072A" w:rsidRDefault="00AC0EFF" w:rsidP="00730F41">
            <w:pPr>
              <w:keepNext/>
              <w:numPr>
                <w:ilvl w:val="0"/>
                <w:numId w:val="12"/>
              </w:numPr>
              <w:spacing w:before="40" w:after="40"/>
              <w:rPr>
                <w:rFonts w:ascii="Arial Narrow" w:hAnsi="Arial Narrow"/>
                <w:iCs/>
                <w:sz w:val="20"/>
                <w:szCs w:val="20"/>
              </w:rPr>
            </w:pPr>
            <w:proofErr w:type="spellStart"/>
            <w:r w:rsidRPr="00D1072A">
              <w:rPr>
                <w:rFonts w:ascii="Arial Narrow" w:hAnsi="Arial Narrow"/>
                <w:iCs/>
                <w:sz w:val="20"/>
                <w:szCs w:val="20"/>
              </w:rPr>
              <w:t>Birt</w:t>
            </w:r>
            <w:proofErr w:type="spellEnd"/>
            <w:r w:rsidRPr="00D1072A">
              <w:rPr>
                <w:rFonts w:ascii="Arial Narrow" w:hAnsi="Arial Narrow"/>
                <w:iCs/>
                <w:sz w:val="20"/>
                <w:szCs w:val="20"/>
              </w:rPr>
              <w:t>-Hogg-Dube syndrome</w:t>
            </w:r>
          </w:p>
          <w:p w14:paraId="3C86F8DA" w14:textId="77777777" w:rsidR="00AC0EFF" w:rsidRPr="00D1072A" w:rsidRDefault="00AC0EFF" w:rsidP="00730F41">
            <w:pPr>
              <w:keepNext/>
              <w:numPr>
                <w:ilvl w:val="0"/>
                <w:numId w:val="12"/>
              </w:numPr>
              <w:spacing w:before="40" w:after="40"/>
              <w:rPr>
                <w:rFonts w:ascii="Arial Narrow" w:hAnsi="Arial Narrow"/>
                <w:iCs/>
                <w:sz w:val="20"/>
                <w:szCs w:val="20"/>
              </w:rPr>
            </w:pPr>
            <w:r w:rsidRPr="00D1072A">
              <w:rPr>
                <w:rFonts w:ascii="Arial Narrow" w:hAnsi="Arial Narrow"/>
                <w:iCs/>
                <w:sz w:val="20"/>
                <w:szCs w:val="20"/>
              </w:rPr>
              <w:t xml:space="preserve">Hereditary </w:t>
            </w:r>
            <w:proofErr w:type="spellStart"/>
            <w:r w:rsidRPr="00D1072A">
              <w:rPr>
                <w:rFonts w:ascii="Arial Narrow" w:hAnsi="Arial Narrow"/>
                <w:iCs/>
                <w:sz w:val="20"/>
                <w:szCs w:val="20"/>
              </w:rPr>
              <w:t>leiomyomatosis</w:t>
            </w:r>
            <w:proofErr w:type="spellEnd"/>
            <w:r w:rsidRPr="00D1072A">
              <w:rPr>
                <w:rFonts w:ascii="Arial Narrow" w:hAnsi="Arial Narrow"/>
                <w:iCs/>
                <w:sz w:val="20"/>
                <w:szCs w:val="20"/>
              </w:rPr>
              <w:t xml:space="preserve"> and renal cell carcinoma (HLRCC)</w:t>
            </w:r>
          </w:p>
          <w:p w14:paraId="21059C4A" w14:textId="77777777" w:rsidR="00AC0EFF" w:rsidRPr="00D1072A" w:rsidRDefault="00AC0EFF" w:rsidP="00730F41">
            <w:pPr>
              <w:keepNext/>
              <w:numPr>
                <w:ilvl w:val="0"/>
                <w:numId w:val="12"/>
              </w:numPr>
              <w:spacing w:before="40" w:after="40"/>
              <w:rPr>
                <w:rFonts w:ascii="Arial Narrow" w:hAnsi="Arial Narrow"/>
                <w:iCs/>
                <w:sz w:val="20"/>
                <w:szCs w:val="20"/>
              </w:rPr>
            </w:pPr>
            <w:r w:rsidRPr="00D1072A">
              <w:rPr>
                <w:rFonts w:ascii="Arial Narrow" w:hAnsi="Arial Narrow"/>
                <w:iCs/>
                <w:sz w:val="20"/>
                <w:szCs w:val="20"/>
              </w:rPr>
              <w:t>Cowden syndrome (PTEN Hamartoma Tumour Syndrome spectrum)</w:t>
            </w:r>
          </w:p>
          <w:p w14:paraId="6F49753B" w14:textId="77777777" w:rsidR="00AC0EFF" w:rsidRPr="00D1072A" w:rsidRDefault="00AC0EFF" w:rsidP="00730F41">
            <w:pPr>
              <w:keepNext/>
              <w:numPr>
                <w:ilvl w:val="0"/>
                <w:numId w:val="12"/>
              </w:numPr>
              <w:spacing w:before="40" w:after="40"/>
              <w:rPr>
                <w:rFonts w:ascii="Arial Narrow" w:hAnsi="Arial Narrow"/>
                <w:iCs/>
                <w:sz w:val="20"/>
                <w:szCs w:val="20"/>
              </w:rPr>
            </w:pPr>
            <w:r w:rsidRPr="00D1072A">
              <w:rPr>
                <w:rFonts w:ascii="Arial Narrow" w:hAnsi="Arial Narrow"/>
                <w:i/>
                <w:iCs/>
                <w:sz w:val="20"/>
                <w:szCs w:val="20"/>
              </w:rPr>
              <w:t>BAP1</w:t>
            </w:r>
            <w:r w:rsidRPr="00D1072A">
              <w:rPr>
                <w:rFonts w:ascii="Arial Narrow" w:hAnsi="Arial Narrow"/>
                <w:iCs/>
                <w:sz w:val="20"/>
                <w:szCs w:val="20"/>
              </w:rPr>
              <w:t>-associated cancer syndrome</w:t>
            </w:r>
          </w:p>
          <w:p w14:paraId="70235B08" w14:textId="77777777" w:rsidR="00AC0EFF" w:rsidRPr="00D1072A" w:rsidRDefault="00AC0EFF" w:rsidP="00730F41">
            <w:pPr>
              <w:keepNext/>
              <w:numPr>
                <w:ilvl w:val="0"/>
                <w:numId w:val="12"/>
              </w:numPr>
              <w:spacing w:before="40" w:after="40"/>
              <w:rPr>
                <w:rFonts w:ascii="Arial Narrow" w:hAnsi="Arial Narrow"/>
                <w:iCs/>
                <w:sz w:val="20"/>
                <w:szCs w:val="20"/>
              </w:rPr>
            </w:pPr>
            <w:r w:rsidRPr="00EE4331">
              <w:rPr>
                <w:rFonts w:ascii="Arial Narrow" w:hAnsi="Arial Narrow"/>
                <w:i/>
                <w:iCs/>
                <w:sz w:val="20"/>
                <w:szCs w:val="20"/>
              </w:rPr>
              <w:t>SDH</w:t>
            </w:r>
            <w:r w:rsidRPr="00D1072A">
              <w:rPr>
                <w:rFonts w:ascii="Arial Narrow" w:hAnsi="Arial Narrow"/>
                <w:iCs/>
                <w:sz w:val="20"/>
                <w:szCs w:val="20"/>
              </w:rPr>
              <w:t xml:space="preserve"> associated renal cancer (risk for phaeochromocytoma and paraganglioma)</w:t>
            </w:r>
          </w:p>
          <w:p w14:paraId="176832D3" w14:textId="77777777" w:rsidR="00AC0EFF" w:rsidRPr="00D1072A" w:rsidRDefault="00AC0EFF" w:rsidP="00730F41">
            <w:pPr>
              <w:keepNext/>
              <w:numPr>
                <w:ilvl w:val="0"/>
                <w:numId w:val="12"/>
              </w:numPr>
              <w:spacing w:before="40" w:after="40"/>
              <w:rPr>
                <w:rFonts w:ascii="Arial Narrow" w:hAnsi="Arial Narrow"/>
                <w:iCs/>
                <w:sz w:val="20"/>
                <w:szCs w:val="20"/>
              </w:rPr>
            </w:pPr>
            <w:r w:rsidRPr="00D1072A">
              <w:rPr>
                <w:rFonts w:ascii="Arial Narrow" w:hAnsi="Arial Narrow"/>
                <w:iCs/>
                <w:sz w:val="20"/>
                <w:szCs w:val="20"/>
              </w:rPr>
              <w:t xml:space="preserve">Familial clear renal cell carcinoma with chromosome 3 translocation, or </w:t>
            </w:r>
          </w:p>
          <w:p w14:paraId="1372984E" w14:textId="77777777" w:rsidR="00AC0EFF" w:rsidRPr="00D1072A" w:rsidRDefault="00AC0EFF" w:rsidP="00730F41">
            <w:pPr>
              <w:keepNext/>
              <w:numPr>
                <w:ilvl w:val="0"/>
                <w:numId w:val="12"/>
              </w:numPr>
              <w:spacing w:before="40" w:after="40"/>
              <w:rPr>
                <w:rFonts w:ascii="Arial Narrow" w:hAnsi="Arial Narrow"/>
                <w:iCs/>
                <w:sz w:val="20"/>
                <w:szCs w:val="20"/>
              </w:rPr>
            </w:pPr>
            <w:r w:rsidRPr="00D1072A">
              <w:rPr>
                <w:rFonts w:ascii="Arial Narrow" w:hAnsi="Arial Narrow"/>
                <w:iCs/>
                <w:sz w:val="20"/>
                <w:szCs w:val="20"/>
              </w:rPr>
              <w:t>other rare genetic disorders associated with the increased risk of developing renal tumours, and</w:t>
            </w:r>
          </w:p>
          <w:p w14:paraId="2E499F09" w14:textId="77777777" w:rsidR="00AC0EFF" w:rsidRPr="00D1072A" w:rsidRDefault="00AC0EFF" w:rsidP="00730F41">
            <w:pPr>
              <w:keepNext/>
              <w:numPr>
                <w:ilvl w:val="0"/>
                <w:numId w:val="11"/>
              </w:numPr>
              <w:spacing w:before="40" w:after="40"/>
              <w:rPr>
                <w:rFonts w:ascii="Arial Narrow" w:hAnsi="Arial Narrow"/>
                <w:iCs/>
                <w:sz w:val="20"/>
                <w:szCs w:val="20"/>
              </w:rPr>
            </w:pPr>
            <w:r w:rsidRPr="00D1072A">
              <w:rPr>
                <w:rFonts w:ascii="Arial Narrow" w:hAnsi="Arial Narrow"/>
                <w:iCs/>
                <w:sz w:val="20"/>
                <w:szCs w:val="20"/>
              </w:rPr>
              <w:t>for the purposes of evaluating changes in clinical condition or suspected complications of known renal tumours arising between an annual surveillance MRI claimed under item XXX; or</w:t>
            </w:r>
          </w:p>
          <w:p w14:paraId="5966E6AC" w14:textId="77777777" w:rsidR="00AC0EFF" w:rsidRPr="007A4182" w:rsidRDefault="00AC0EFF" w:rsidP="00730F41">
            <w:pPr>
              <w:keepNext/>
              <w:numPr>
                <w:ilvl w:val="0"/>
                <w:numId w:val="11"/>
              </w:numPr>
              <w:spacing w:before="40" w:after="40"/>
              <w:rPr>
                <w:rFonts w:ascii="Arial Narrow" w:hAnsi="Arial Narrow"/>
                <w:iCs/>
                <w:sz w:val="20"/>
                <w:szCs w:val="20"/>
              </w:rPr>
            </w:pPr>
            <w:r w:rsidRPr="00D1072A">
              <w:rPr>
                <w:rFonts w:ascii="Arial Narrow" w:hAnsi="Arial Narrow"/>
                <w:iCs/>
                <w:sz w:val="20"/>
                <w:szCs w:val="20"/>
              </w:rPr>
              <w:t>where a disease specific line of treatment has been initiated and an assessment of patient responsiveness to this treatment is required</w:t>
            </w:r>
          </w:p>
          <w:p w14:paraId="5BAC3C7C" w14:textId="77777777" w:rsidR="00AC0EFF" w:rsidRPr="007A4182" w:rsidRDefault="00AC0EFF" w:rsidP="007A4182">
            <w:pPr>
              <w:keepNext/>
              <w:spacing w:before="240" w:after="240"/>
              <w:rPr>
                <w:rFonts w:ascii="Arial Narrow" w:hAnsi="Arial Narrow"/>
                <w:i/>
                <w:iCs/>
                <w:sz w:val="20"/>
                <w:szCs w:val="20"/>
              </w:rPr>
            </w:pPr>
            <w:r w:rsidRPr="00D1072A">
              <w:rPr>
                <w:rFonts w:ascii="Arial Narrow" w:hAnsi="Arial Narrow"/>
                <w:iCs/>
                <w:sz w:val="20"/>
                <w:szCs w:val="20"/>
              </w:rPr>
              <w:t xml:space="preserve">For any particular patient – applicable not more than once in a </w:t>
            </w:r>
            <w:proofErr w:type="gramStart"/>
            <w:r w:rsidRPr="00D1072A">
              <w:rPr>
                <w:rFonts w:ascii="Arial Narrow" w:hAnsi="Arial Narrow"/>
                <w:iCs/>
                <w:sz w:val="20"/>
                <w:szCs w:val="20"/>
              </w:rPr>
              <w:t>3 month</w:t>
            </w:r>
            <w:proofErr w:type="gramEnd"/>
            <w:r w:rsidRPr="00D1072A">
              <w:rPr>
                <w:rFonts w:ascii="Arial Narrow" w:hAnsi="Arial Narrow"/>
                <w:iCs/>
                <w:sz w:val="20"/>
                <w:szCs w:val="20"/>
              </w:rPr>
              <w:t xml:space="preserve"> period. </w:t>
            </w:r>
            <w:r w:rsidRPr="00D1072A">
              <w:rPr>
                <w:rFonts w:ascii="Arial Narrow" w:hAnsi="Arial Narrow"/>
                <w:i/>
                <w:iCs/>
                <w:sz w:val="20"/>
                <w:szCs w:val="20"/>
              </w:rPr>
              <w:t>(R) (</w:t>
            </w:r>
            <w:proofErr w:type="spellStart"/>
            <w:r w:rsidRPr="00D1072A">
              <w:rPr>
                <w:rFonts w:ascii="Arial Narrow" w:hAnsi="Arial Narrow"/>
                <w:i/>
                <w:iCs/>
                <w:sz w:val="20"/>
                <w:szCs w:val="20"/>
              </w:rPr>
              <w:t>Anaes</w:t>
            </w:r>
            <w:proofErr w:type="spellEnd"/>
            <w:r w:rsidRPr="00D1072A">
              <w:rPr>
                <w:rFonts w:ascii="Arial Narrow" w:hAnsi="Arial Narrow"/>
                <w:i/>
                <w:iCs/>
                <w:sz w:val="20"/>
                <w:szCs w:val="20"/>
              </w:rPr>
              <w:t xml:space="preserve">) (Contrast) </w:t>
            </w:r>
          </w:p>
          <w:p w14:paraId="79993F61" w14:textId="77777777" w:rsidR="00AC0EFF" w:rsidRPr="00D1072A" w:rsidRDefault="00E474A9" w:rsidP="007A4182">
            <w:pPr>
              <w:keepNext/>
              <w:spacing w:before="40" w:after="240"/>
              <w:rPr>
                <w:rFonts w:ascii="Arial Narrow" w:hAnsi="Arial Narrow"/>
                <w:iCs/>
                <w:sz w:val="20"/>
                <w:szCs w:val="20"/>
              </w:rPr>
            </w:pPr>
            <w:hyperlink r:id="rId10" w:history="1">
              <w:r w:rsidR="00AC0EFF" w:rsidRPr="00D1072A">
                <w:rPr>
                  <w:rFonts w:ascii="Arial Narrow" w:hAnsi="Arial Narrow"/>
                  <w:iCs/>
                  <w:color w:val="0000FF"/>
                  <w:sz w:val="20"/>
                  <w:szCs w:val="20"/>
                  <w:u w:val="single"/>
                </w:rPr>
                <w:t>Bulk bill incentive</w:t>
              </w:r>
            </w:hyperlink>
          </w:p>
          <w:p w14:paraId="07216062" w14:textId="77777777" w:rsidR="00AC0EFF" w:rsidRPr="00D1072A" w:rsidRDefault="00AC0EFF" w:rsidP="00730F41">
            <w:pPr>
              <w:keepNext/>
              <w:spacing w:before="40" w:after="40"/>
              <w:rPr>
                <w:rFonts w:ascii="Arial Narrow" w:hAnsi="Arial Narrow"/>
                <w:iCs/>
                <w:sz w:val="20"/>
                <w:szCs w:val="20"/>
              </w:rPr>
            </w:pPr>
            <w:r w:rsidRPr="00D1072A">
              <w:rPr>
                <w:rFonts w:ascii="Arial Narrow" w:hAnsi="Arial Narrow"/>
                <w:b/>
                <w:bCs/>
                <w:iCs/>
                <w:sz w:val="20"/>
                <w:szCs w:val="20"/>
              </w:rPr>
              <w:t>Fee:</w:t>
            </w:r>
            <w:r w:rsidRPr="00D1072A">
              <w:rPr>
                <w:rFonts w:ascii="Arial Narrow" w:hAnsi="Arial Narrow"/>
                <w:iCs/>
                <w:sz w:val="20"/>
                <w:szCs w:val="20"/>
              </w:rPr>
              <w:t> $</w:t>
            </w:r>
            <w:r>
              <w:rPr>
                <w:rFonts w:ascii="Arial Narrow" w:hAnsi="Arial Narrow"/>
                <w:iCs/>
                <w:sz w:val="20"/>
                <w:szCs w:val="20"/>
              </w:rPr>
              <w:t>637</w:t>
            </w:r>
            <w:r w:rsidRPr="00D1072A">
              <w:rPr>
                <w:rFonts w:ascii="Arial Narrow" w:hAnsi="Arial Narrow"/>
                <w:iCs/>
                <w:sz w:val="20"/>
                <w:szCs w:val="20"/>
              </w:rPr>
              <w:t>.</w:t>
            </w:r>
            <w:r>
              <w:rPr>
                <w:rFonts w:ascii="Arial Narrow" w:hAnsi="Arial Narrow"/>
                <w:iCs/>
                <w:sz w:val="20"/>
                <w:szCs w:val="20"/>
              </w:rPr>
              <w:t>25</w:t>
            </w:r>
            <w:r w:rsidRPr="00D1072A">
              <w:rPr>
                <w:rFonts w:ascii="Arial Narrow" w:hAnsi="Arial Narrow"/>
                <w:iCs/>
                <w:sz w:val="20"/>
                <w:szCs w:val="20"/>
              </w:rPr>
              <w:t> </w:t>
            </w:r>
            <w:r w:rsidRPr="00D1072A">
              <w:rPr>
                <w:rFonts w:ascii="Arial Narrow" w:hAnsi="Arial Narrow"/>
                <w:b/>
                <w:bCs/>
                <w:iCs/>
                <w:sz w:val="20"/>
                <w:szCs w:val="20"/>
              </w:rPr>
              <w:t>Benefit:</w:t>
            </w:r>
            <w:r w:rsidRPr="00D1072A">
              <w:rPr>
                <w:rFonts w:ascii="Arial Narrow" w:hAnsi="Arial Narrow"/>
                <w:iCs/>
                <w:sz w:val="20"/>
                <w:szCs w:val="20"/>
              </w:rPr>
              <w:t> 75% = $</w:t>
            </w:r>
            <w:r>
              <w:rPr>
                <w:rFonts w:ascii="Arial Narrow" w:hAnsi="Arial Narrow"/>
                <w:iCs/>
                <w:sz w:val="20"/>
                <w:szCs w:val="20"/>
              </w:rPr>
              <w:t>47</w:t>
            </w:r>
            <w:r w:rsidRPr="00D1072A">
              <w:rPr>
                <w:rFonts w:ascii="Arial Narrow" w:hAnsi="Arial Narrow"/>
                <w:iCs/>
                <w:sz w:val="20"/>
                <w:szCs w:val="20"/>
              </w:rPr>
              <w:t>7.</w:t>
            </w:r>
            <w:r>
              <w:rPr>
                <w:rFonts w:ascii="Arial Narrow" w:hAnsi="Arial Narrow"/>
                <w:iCs/>
                <w:sz w:val="20"/>
                <w:szCs w:val="20"/>
              </w:rPr>
              <w:t>9</w:t>
            </w:r>
            <w:r w:rsidRPr="00D1072A">
              <w:rPr>
                <w:rFonts w:ascii="Arial Narrow" w:hAnsi="Arial Narrow"/>
                <w:iCs/>
                <w:sz w:val="20"/>
                <w:szCs w:val="20"/>
              </w:rPr>
              <w:t>5 85% = $</w:t>
            </w:r>
            <w:r>
              <w:rPr>
                <w:rFonts w:ascii="Arial Narrow" w:hAnsi="Arial Narrow"/>
                <w:iCs/>
                <w:sz w:val="20"/>
                <w:szCs w:val="20"/>
              </w:rPr>
              <w:t>549</w:t>
            </w:r>
            <w:r w:rsidRPr="00D1072A">
              <w:rPr>
                <w:rFonts w:ascii="Arial Narrow" w:hAnsi="Arial Narrow"/>
                <w:iCs/>
                <w:sz w:val="20"/>
                <w:szCs w:val="20"/>
              </w:rPr>
              <w:t>.</w:t>
            </w:r>
            <w:r>
              <w:rPr>
                <w:rFonts w:ascii="Arial Narrow" w:hAnsi="Arial Narrow"/>
                <w:iCs/>
                <w:sz w:val="20"/>
                <w:szCs w:val="20"/>
              </w:rPr>
              <w:t>3</w:t>
            </w:r>
            <w:r w:rsidRPr="00D1072A">
              <w:rPr>
                <w:rFonts w:ascii="Arial Narrow" w:hAnsi="Arial Narrow"/>
                <w:iCs/>
                <w:sz w:val="20"/>
                <w:szCs w:val="20"/>
              </w:rPr>
              <w:t>5</w:t>
            </w:r>
          </w:p>
        </w:tc>
      </w:tr>
    </w:tbl>
    <w:p w14:paraId="5F2E45F1" w14:textId="77777777" w:rsidR="00AC0EFF" w:rsidRDefault="00AC0EFF" w:rsidP="007A4182">
      <w:pPr>
        <w:spacing w:before="240"/>
      </w:pPr>
      <w:r>
        <w:t xml:space="preserve">As discussed in PASC, the applicant agreed the fee should be aligned with existing MBS items for abdominal MRI to reflect current costs of this service. MBS item 63473 is $627.20 </w:t>
      </w:r>
      <w:r w:rsidRPr="00EE5643">
        <w:t>for an MRI of the pelvis and upper abdomen.</w:t>
      </w:r>
    </w:p>
    <w:p w14:paraId="0D3E04F2" w14:textId="77777777" w:rsidR="00AC0EFF" w:rsidRPr="00D1072A" w:rsidRDefault="00AC0EFF" w:rsidP="00AC0EFF">
      <w:r w:rsidRPr="00D1072A">
        <w:t>To be consistent with most other MBS-listed MRI items, the item descriptors should specify that the service must be requested by a specialist or consultant physician.</w:t>
      </w:r>
    </w:p>
    <w:p w14:paraId="1F507BF4" w14:textId="77777777" w:rsidR="00AC0EFF" w:rsidRPr="00D1072A" w:rsidRDefault="00AC0EFF" w:rsidP="00AC0EFF">
      <w:r w:rsidRPr="00D1072A">
        <w:t xml:space="preserve">The current legislative requirements stipulate that Medicare-eligible MRI items must be reported on by a trained and credentialed specialist in diagnostic radiology. The specialist radiologist must be able to satisfy the Chief Executive Medicare that they are a participant in </w:t>
      </w:r>
      <w:r w:rsidR="00202C25" w:rsidRPr="00202C25">
        <w:t xml:space="preserve">The Royal Australian and New Zealand College of Radiologists </w:t>
      </w:r>
      <w:r w:rsidR="00202C25">
        <w:t>(</w:t>
      </w:r>
      <w:r w:rsidRPr="00D1072A">
        <w:t>RANZCR</w:t>
      </w:r>
      <w:r w:rsidR="00202C25">
        <w:t>)</w:t>
      </w:r>
      <w:r w:rsidRPr="00D1072A">
        <w:t xml:space="preserve"> Quality and Accreditation Program (Health Insurance Regulation 2013 – 2.5.4 – Eligible Providers; Australian Government 2013). The application considers that these legislative requirements will also apply to the proposed MRI item.</w:t>
      </w:r>
    </w:p>
    <w:p w14:paraId="6DAFF06B" w14:textId="77777777" w:rsidR="00AC0EFF" w:rsidRPr="00D1072A" w:rsidRDefault="00AC0EFF" w:rsidP="00AC0EFF">
      <w:r w:rsidRPr="00D1072A">
        <w:t xml:space="preserve">PASC suggested as an alternative to listing all eligible conditions in the item descriptors that the wording could be ‘a genetic disorder associated with an increased risk of developing renal tumours’ with an explanatory note to either specify eligible conditions or refer to ‘rare genetic </w:t>
      </w:r>
      <w:r w:rsidRPr="00D1072A">
        <w:lastRenderedPageBreak/>
        <w:t>disorders associated with a &gt;N% risk of developing renal tumours’ (where the value of the risk threshold N% would be specified).</w:t>
      </w:r>
    </w:p>
    <w:p w14:paraId="11A71C3B" w14:textId="77777777" w:rsidR="00AC0EFF" w:rsidRPr="00D1072A" w:rsidRDefault="00AC0EFF" w:rsidP="00BB4602">
      <w:pPr>
        <w:keepNext/>
        <w:spacing w:before="0" w:after="240" w:line="276" w:lineRule="auto"/>
        <w:rPr>
          <w:rFonts w:ascii="Calibri" w:hAnsi="Calibri"/>
          <w:i/>
          <w:u w:val="single"/>
        </w:rPr>
      </w:pPr>
      <w:r w:rsidRPr="00D1072A">
        <w:rPr>
          <w:rFonts w:ascii="Calibri" w:hAnsi="Calibri"/>
          <w:i/>
          <w:u w:val="single"/>
        </w:rPr>
        <w:t>Separate contrast item</w:t>
      </w:r>
    </w:p>
    <w:p w14:paraId="52F2B183" w14:textId="77777777" w:rsidR="00AC0EFF" w:rsidRPr="007A4182" w:rsidRDefault="00AC0EFF" w:rsidP="007A4182">
      <w:r w:rsidRPr="00EE5643">
        <w:t xml:space="preserve">As contrast would be used for most scans, except those where it is contraindicated, </w:t>
      </w:r>
      <w:proofErr w:type="gramStart"/>
      <w:r w:rsidRPr="00EE5643">
        <w:t>e.g.</w:t>
      </w:r>
      <w:proofErr w:type="gramEnd"/>
      <w:r w:rsidRPr="00EE5643">
        <w:t xml:space="preserve"> e</w:t>
      </w:r>
      <w:r w:rsidR="00A13A14">
        <w:t xml:space="preserve">stimated </w:t>
      </w:r>
      <w:r w:rsidR="00A13A14" w:rsidRPr="00A13A14">
        <w:t xml:space="preserve">glomerular </w:t>
      </w:r>
      <w:r w:rsidR="00A13A14">
        <w:t>filtration rate (e</w:t>
      </w:r>
      <w:r w:rsidRPr="00EE5643">
        <w:t>GFR</w:t>
      </w:r>
      <w:r w:rsidR="00A13A14">
        <w:t>)</w:t>
      </w:r>
      <w:r w:rsidRPr="00EE5643">
        <w:t>&lt;30ml/min/1.73m</w:t>
      </w:r>
      <w:r w:rsidRPr="00EE5643">
        <w:rPr>
          <w:vertAlign w:val="superscript"/>
        </w:rPr>
        <w:t>2</w:t>
      </w:r>
      <w:r w:rsidRPr="00EE5643">
        <w:t xml:space="preserve">; non-compatible medical device in situ; metallic foreign body in situ, etc. </w:t>
      </w:r>
      <w:r w:rsidR="00096C8C">
        <w:t>As discussed in PASC, the applicant agreed following PASC that the existing MBS item for the use of gadolinium-based contrast in conjunction with an MRI service (MBS Item 63491, schedule fee $45.50) should be used for this application.</w:t>
      </w:r>
    </w:p>
    <w:p w14:paraId="4390E3A1" w14:textId="77777777" w:rsidR="00772829" w:rsidRPr="00D1072A" w:rsidRDefault="006224B0" w:rsidP="002A18BE">
      <w:pPr>
        <w:pStyle w:val="Heading2"/>
        <w:numPr>
          <w:ilvl w:val="0"/>
          <w:numId w:val="0"/>
        </w:numPr>
      </w:pPr>
      <w:bookmarkStart w:id="8" w:name="_Toc121853578"/>
      <w:r>
        <w:t>7</w:t>
      </w:r>
      <w:r w:rsidR="00C36633" w:rsidRPr="00D1072A">
        <w:t>.</w:t>
      </w:r>
      <w:r w:rsidR="00C36633" w:rsidRPr="00D1072A">
        <w:tab/>
      </w:r>
      <w:r w:rsidR="00772829" w:rsidRPr="00D1072A">
        <w:t>Population</w:t>
      </w:r>
      <w:bookmarkEnd w:id="8"/>
      <w:r w:rsidR="00772829" w:rsidRPr="00D1072A">
        <w:t xml:space="preserve"> </w:t>
      </w:r>
    </w:p>
    <w:p w14:paraId="287966B0" w14:textId="77777777" w:rsidR="00180189" w:rsidRDefault="00180189" w:rsidP="00180189">
      <w:pPr>
        <w:rPr>
          <w:iCs/>
        </w:rPr>
      </w:pPr>
      <w:r w:rsidRPr="00D1072A">
        <w:t xml:space="preserve">The proposed population </w:t>
      </w:r>
      <w:r w:rsidRPr="00D1072A">
        <w:rPr>
          <w:iCs/>
        </w:rPr>
        <w:t xml:space="preserve">is patients with rare defined genetic conditions that are strongly associated with the development of renal tumours over time, who may or may not be currently undergoing stable, disease-specific therapy. </w:t>
      </w:r>
    </w:p>
    <w:p w14:paraId="5465478D" w14:textId="77777777" w:rsidR="00180189" w:rsidRPr="00180189" w:rsidRDefault="00180189" w:rsidP="00180189">
      <w:pPr>
        <w:rPr>
          <w:iCs/>
        </w:rPr>
      </w:pPr>
      <w:r w:rsidRPr="00180189">
        <w:rPr>
          <w:iCs/>
        </w:rPr>
        <w:t xml:space="preserve">These </w:t>
      </w:r>
      <w:r>
        <w:rPr>
          <w:iCs/>
        </w:rPr>
        <w:t xml:space="preserve">hereditary </w:t>
      </w:r>
      <w:r w:rsidRPr="00180189">
        <w:rPr>
          <w:iCs/>
        </w:rPr>
        <w:t>conditions are currently defined as:</w:t>
      </w:r>
    </w:p>
    <w:p w14:paraId="4C76CF5A" w14:textId="77777777" w:rsidR="00180189" w:rsidRPr="00180189" w:rsidRDefault="00180189" w:rsidP="00EE7A08">
      <w:pPr>
        <w:pStyle w:val="ListParagraph"/>
        <w:numPr>
          <w:ilvl w:val="0"/>
          <w:numId w:val="15"/>
        </w:numPr>
        <w:rPr>
          <w:iCs/>
        </w:rPr>
      </w:pPr>
      <w:r w:rsidRPr="00180189">
        <w:rPr>
          <w:iCs/>
        </w:rPr>
        <w:t>Tuberous Sclerosis Complex (TSC</w:t>
      </w:r>
      <w:proofErr w:type="gramStart"/>
      <w:r w:rsidRPr="00180189">
        <w:rPr>
          <w:iCs/>
        </w:rPr>
        <w:t>);</w:t>
      </w:r>
      <w:proofErr w:type="gramEnd"/>
    </w:p>
    <w:p w14:paraId="04FD9574" w14:textId="77777777" w:rsidR="00180189" w:rsidRPr="00180189" w:rsidRDefault="00180189" w:rsidP="00EE7A08">
      <w:pPr>
        <w:pStyle w:val="ListParagraph"/>
        <w:numPr>
          <w:ilvl w:val="0"/>
          <w:numId w:val="15"/>
        </w:numPr>
        <w:rPr>
          <w:iCs/>
        </w:rPr>
      </w:pPr>
      <w:r w:rsidRPr="00180189">
        <w:rPr>
          <w:iCs/>
        </w:rPr>
        <w:t>Von Hippel-Lindau disease (VHL</w:t>
      </w:r>
      <w:proofErr w:type="gramStart"/>
      <w:r w:rsidRPr="00180189">
        <w:rPr>
          <w:iCs/>
        </w:rPr>
        <w:t>);</w:t>
      </w:r>
      <w:proofErr w:type="gramEnd"/>
      <w:r w:rsidRPr="00180189">
        <w:rPr>
          <w:iCs/>
        </w:rPr>
        <w:t xml:space="preserve"> </w:t>
      </w:r>
    </w:p>
    <w:p w14:paraId="0F5B29E2" w14:textId="77777777" w:rsidR="00180189" w:rsidRPr="00180189" w:rsidRDefault="00180189" w:rsidP="00EE7A08">
      <w:pPr>
        <w:pStyle w:val="ListParagraph"/>
        <w:numPr>
          <w:ilvl w:val="0"/>
          <w:numId w:val="15"/>
        </w:numPr>
        <w:rPr>
          <w:iCs/>
        </w:rPr>
      </w:pPr>
      <w:proofErr w:type="spellStart"/>
      <w:r w:rsidRPr="00180189">
        <w:rPr>
          <w:iCs/>
        </w:rPr>
        <w:t>Birt</w:t>
      </w:r>
      <w:proofErr w:type="spellEnd"/>
      <w:r w:rsidRPr="00180189">
        <w:rPr>
          <w:iCs/>
        </w:rPr>
        <w:t>-Hogg-Dube syndrome (BHD</w:t>
      </w:r>
      <w:proofErr w:type="gramStart"/>
      <w:r w:rsidRPr="00180189">
        <w:rPr>
          <w:iCs/>
        </w:rPr>
        <w:t>);</w:t>
      </w:r>
      <w:proofErr w:type="gramEnd"/>
    </w:p>
    <w:p w14:paraId="3762730E" w14:textId="77777777" w:rsidR="00180189" w:rsidRPr="00180189" w:rsidRDefault="00180189" w:rsidP="00EE7A08">
      <w:pPr>
        <w:pStyle w:val="ListParagraph"/>
        <w:numPr>
          <w:ilvl w:val="0"/>
          <w:numId w:val="15"/>
        </w:numPr>
        <w:rPr>
          <w:iCs/>
        </w:rPr>
      </w:pPr>
      <w:r w:rsidRPr="00180189">
        <w:rPr>
          <w:iCs/>
        </w:rPr>
        <w:t>Hereditary papillary renal carcinoma (Type 1 papillary</w:t>
      </w:r>
      <w:proofErr w:type="gramStart"/>
      <w:r w:rsidRPr="00180189">
        <w:rPr>
          <w:iCs/>
        </w:rPr>
        <w:t>);</w:t>
      </w:r>
      <w:proofErr w:type="gramEnd"/>
    </w:p>
    <w:p w14:paraId="56E4C384" w14:textId="77777777" w:rsidR="00180189" w:rsidRPr="00180189" w:rsidRDefault="00180189" w:rsidP="00EE7A08">
      <w:pPr>
        <w:pStyle w:val="ListParagraph"/>
        <w:numPr>
          <w:ilvl w:val="0"/>
          <w:numId w:val="15"/>
        </w:numPr>
        <w:rPr>
          <w:iCs/>
        </w:rPr>
      </w:pPr>
      <w:r w:rsidRPr="00180189">
        <w:rPr>
          <w:iCs/>
        </w:rPr>
        <w:t xml:space="preserve">Hereditary </w:t>
      </w:r>
      <w:proofErr w:type="spellStart"/>
      <w:r w:rsidRPr="00180189">
        <w:rPr>
          <w:iCs/>
        </w:rPr>
        <w:t>leiomyomatosis</w:t>
      </w:r>
      <w:proofErr w:type="spellEnd"/>
      <w:r w:rsidRPr="00180189">
        <w:rPr>
          <w:iCs/>
        </w:rPr>
        <w:t xml:space="preserve"> and renal cell cancer (HLRCC</w:t>
      </w:r>
      <w:proofErr w:type="gramStart"/>
      <w:r w:rsidRPr="00180189">
        <w:rPr>
          <w:iCs/>
        </w:rPr>
        <w:t>);</w:t>
      </w:r>
      <w:proofErr w:type="gramEnd"/>
    </w:p>
    <w:p w14:paraId="212D7A38" w14:textId="77777777" w:rsidR="00180189" w:rsidRPr="00180189" w:rsidRDefault="00180189" w:rsidP="00EE7A08">
      <w:pPr>
        <w:pStyle w:val="ListParagraph"/>
        <w:numPr>
          <w:ilvl w:val="0"/>
          <w:numId w:val="15"/>
        </w:numPr>
        <w:rPr>
          <w:iCs/>
        </w:rPr>
      </w:pPr>
      <w:r w:rsidRPr="00180189">
        <w:rPr>
          <w:iCs/>
        </w:rPr>
        <w:t xml:space="preserve">Cowden syndrome (PTEN Hamartoma </w:t>
      </w:r>
      <w:proofErr w:type="spellStart"/>
      <w:r w:rsidRPr="00180189">
        <w:rPr>
          <w:iCs/>
        </w:rPr>
        <w:t>Tumor</w:t>
      </w:r>
      <w:proofErr w:type="spellEnd"/>
      <w:r w:rsidRPr="00180189">
        <w:rPr>
          <w:iCs/>
        </w:rPr>
        <w:t xml:space="preserve"> Syndrome spectrum</w:t>
      </w:r>
      <w:proofErr w:type="gramStart"/>
      <w:r w:rsidRPr="00180189">
        <w:rPr>
          <w:iCs/>
        </w:rPr>
        <w:t>);</w:t>
      </w:r>
      <w:proofErr w:type="gramEnd"/>
      <w:r w:rsidRPr="00180189">
        <w:rPr>
          <w:iCs/>
        </w:rPr>
        <w:t xml:space="preserve"> </w:t>
      </w:r>
    </w:p>
    <w:p w14:paraId="68B672F5" w14:textId="77777777" w:rsidR="00180189" w:rsidRPr="00180189" w:rsidRDefault="00180189" w:rsidP="00EE7A08">
      <w:pPr>
        <w:pStyle w:val="ListParagraph"/>
        <w:numPr>
          <w:ilvl w:val="0"/>
          <w:numId w:val="15"/>
        </w:numPr>
        <w:rPr>
          <w:iCs/>
        </w:rPr>
      </w:pPr>
      <w:r w:rsidRPr="00180189">
        <w:rPr>
          <w:i/>
          <w:iCs/>
        </w:rPr>
        <w:t>BAP1</w:t>
      </w:r>
      <w:r w:rsidRPr="00180189">
        <w:rPr>
          <w:iCs/>
        </w:rPr>
        <w:t xml:space="preserve">-associated cancer </w:t>
      </w:r>
      <w:proofErr w:type="gramStart"/>
      <w:r w:rsidRPr="00180189">
        <w:rPr>
          <w:iCs/>
        </w:rPr>
        <w:t>syndrome;</w:t>
      </w:r>
      <w:proofErr w:type="gramEnd"/>
      <w:r w:rsidRPr="00180189">
        <w:rPr>
          <w:iCs/>
        </w:rPr>
        <w:t xml:space="preserve"> </w:t>
      </w:r>
    </w:p>
    <w:p w14:paraId="3A651F2F" w14:textId="77777777" w:rsidR="00180189" w:rsidRPr="00180189" w:rsidRDefault="00180189" w:rsidP="00EE7A08">
      <w:pPr>
        <w:pStyle w:val="ListParagraph"/>
        <w:numPr>
          <w:ilvl w:val="0"/>
          <w:numId w:val="15"/>
        </w:numPr>
        <w:rPr>
          <w:iCs/>
        </w:rPr>
      </w:pPr>
      <w:r w:rsidRPr="00180189">
        <w:rPr>
          <w:i/>
          <w:iCs/>
        </w:rPr>
        <w:t>SDH</w:t>
      </w:r>
      <w:r w:rsidRPr="00180189">
        <w:rPr>
          <w:iCs/>
        </w:rPr>
        <w:t>-associated renal cancer (risk for phaeochromocytoma and paraganglioma</w:t>
      </w:r>
      <w:proofErr w:type="gramStart"/>
      <w:r w:rsidRPr="00180189">
        <w:rPr>
          <w:iCs/>
        </w:rPr>
        <w:t>);</w:t>
      </w:r>
      <w:proofErr w:type="gramEnd"/>
    </w:p>
    <w:p w14:paraId="546A236B" w14:textId="77777777" w:rsidR="00180189" w:rsidRPr="00180189" w:rsidRDefault="00180189" w:rsidP="00EE7A08">
      <w:pPr>
        <w:pStyle w:val="ListParagraph"/>
        <w:numPr>
          <w:ilvl w:val="0"/>
          <w:numId w:val="15"/>
        </w:numPr>
        <w:rPr>
          <w:iCs/>
        </w:rPr>
      </w:pPr>
      <w:r w:rsidRPr="00180189">
        <w:rPr>
          <w:iCs/>
        </w:rPr>
        <w:t>Familial clear renal cell carcinoma with chromosome 3 translocation.</w:t>
      </w:r>
    </w:p>
    <w:p w14:paraId="06DD9571" w14:textId="77777777" w:rsidR="00180189" w:rsidRPr="00180189" w:rsidRDefault="00180189" w:rsidP="00EE7A08">
      <w:pPr>
        <w:pStyle w:val="ListParagraph"/>
        <w:numPr>
          <w:ilvl w:val="0"/>
          <w:numId w:val="15"/>
        </w:numPr>
        <w:rPr>
          <w:iCs/>
        </w:rPr>
      </w:pPr>
      <w:r w:rsidRPr="00180189">
        <w:rPr>
          <w:iCs/>
        </w:rPr>
        <w:t>Microphthalmia-associated transcription factor (</w:t>
      </w:r>
      <w:proofErr w:type="spellStart"/>
      <w:r w:rsidRPr="00180189">
        <w:rPr>
          <w:iCs/>
        </w:rPr>
        <w:t>MiTF</w:t>
      </w:r>
      <w:proofErr w:type="spellEnd"/>
      <w:r w:rsidRPr="00180189">
        <w:rPr>
          <w:iCs/>
        </w:rPr>
        <w:t>)-associated renal cell carcinoma (RCC); and</w:t>
      </w:r>
    </w:p>
    <w:p w14:paraId="7DBAD428" w14:textId="77777777" w:rsidR="00180189" w:rsidRDefault="00180189" w:rsidP="00EE7A08">
      <w:pPr>
        <w:pStyle w:val="ListParagraph"/>
        <w:numPr>
          <w:ilvl w:val="0"/>
          <w:numId w:val="15"/>
        </w:numPr>
        <w:rPr>
          <w:iCs/>
        </w:rPr>
      </w:pPr>
      <w:r w:rsidRPr="00180189">
        <w:rPr>
          <w:iCs/>
        </w:rPr>
        <w:t>Hereditary non-polyposis colon cancer (HNPCC; Lynch syndrome</w:t>
      </w:r>
      <w:r w:rsidR="00F6453D">
        <w:rPr>
          <w:iCs/>
        </w:rPr>
        <w:t>)</w:t>
      </w:r>
      <w:r>
        <w:rPr>
          <w:iCs/>
        </w:rPr>
        <w:t>.</w:t>
      </w:r>
    </w:p>
    <w:p w14:paraId="036A0702" w14:textId="77777777" w:rsidR="00180189" w:rsidRPr="00180189" w:rsidRDefault="00180189" w:rsidP="00180189">
      <w:pPr>
        <w:rPr>
          <w:iCs/>
        </w:rPr>
      </w:pPr>
      <w:r>
        <w:rPr>
          <w:iCs/>
        </w:rPr>
        <w:t xml:space="preserve">However, more genetic conditions may be identified in the future that would also </w:t>
      </w:r>
      <w:r w:rsidR="004440CE">
        <w:rPr>
          <w:iCs/>
        </w:rPr>
        <w:t>meet the conditions for the proposed population.</w:t>
      </w:r>
    </w:p>
    <w:p w14:paraId="159B909A" w14:textId="77777777" w:rsidR="00180189" w:rsidRDefault="00180189" w:rsidP="00180189">
      <w:r w:rsidRPr="00D1072A">
        <w:rPr>
          <w:iCs/>
        </w:rPr>
        <w:t>Because of the diversity of these conditions, the assessment has taken an exemplar approach in line with recommendations in the ratified PICO Confirmation. The two most common genetic conditions associated with renal tumours were selected as exemplars for assessment</w:t>
      </w:r>
      <w:r w:rsidR="00C11CDE">
        <w:rPr>
          <w:iCs/>
        </w:rPr>
        <w:t xml:space="preserve">: </w:t>
      </w:r>
      <w:r w:rsidRPr="00D1072A">
        <w:rPr>
          <w:iCs/>
        </w:rPr>
        <w:t>TSC and VHL. These conditions are described below and the rationale for their selection as exemplars is discussed.</w:t>
      </w:r>
    </w:p>
    <w:p w14:paraId="0C071241" w14:textId="77777777" w:rsidR="004440CE" w:rsidRPr="004440CE" w:rsidRDefault="004440CE" w:rsidP="004440CE">
      <w:pPr>
        <w:pStyle w:val="Heading3"/>
      </w:pPr>
      <w:bookmarkStart w:id="9" w:name="_Toc121853579"/>
      <w:r w:rsidRPr="004440CE">
        <w:t>Tuberous Sclerosis Complex</w:t>
      </w:r>
      <w:bookmarkEnd w:id="9"/>
    </w:p>
    <w:p w14:paraId="065404D5" w14:textId="77777777" w:rsidR="004440CE" w:rsidRPr="00D1072A" w:rsidRDefault="004440CE" w:rsidP="004440CE">
      <w:r w:rsidRPr="00D1072A">
        <w:rPr>
          <w:iCs/>
        </w:rPr>
        <w:t xml:space="preserve">TSC is an autosomal dominant genetic disease caused by </w:t>
      </w:r>
      <w:r>
        <w:rPr>
          <w:iCs/>
        </w:rPr>
        <w:t>pathogenic variants</w:t>
      </w:r>
      <w:r w:rsidRPr="00D1072A">
        <w:rPr>
          <w:iCs/>
        </w:rPr>
        <w:t xml:space="preserve"> in the tumour suppressor genes</w:t>
      </w:r>
      <w:r>
        <w:rPr>
          <w:iCs/>
        </w:rPr>
        <w:t xml:space="preserve">, </w:t>
      </w:r>
      <w:r w:rsidRPr="005C239E">
        <w:rPr>
          <w:iCs/>
        </w:rPr>
        <w:t>Tuberous Sclerosis Complex</w:t>
      </w:r>
      <w:r>
        <w:rPr>
          <w:iCs/>
        </w:rPr>
        <w:t xml:space="preserve"> 1</w:t>
      </w:r>
      <w:r w:rsidRPr="00D1072A">
        <w:rPr>
          <w:iCs/>
        </w:rPr>
        <w:t xml:space="preserve"> </w:t>
      </w:r>
      <w:r>
        <w:rPr>
          <w:iCs/>
        </w:rPr>
        <w:t>(</w:t>
      </w:r>
      <w:r w:rsidRPr="00D1072A">
        <w:rPr>
          <w:i/>
        </w:rPr>
        <w:t>TSC1</w:t>
      </w:r>
      <w:r>
        <w:rPr>
          <w:i/>
        </w:rPr>
        <w:t>)</w:t>
      </w:r>
      <w:r w:rsidRPr="00D1072A">
        <w:rPr>
          <w:iCs/>
        </w:rPr>
        <w:t xml:space="preserve"> and </w:t>
      </w:r>
      <w:r w:rsidRPr="005C239E">
        <w:rPr>
          <w:iCs/>
        </w:rPr>
        <w:t xml:space="preserve">Tuberous Sclerosis Complex </w:t>
      </w:r>
      <w:r>
        <w:rPr>
          <w:iCs/>
        </w:rPr>
        <w:t>2 (</w:t>
      </w:r>
      <w:r w:rsidRPr="00D1072A">
        <w:rPr>
          <w:i/>
        </w:rPr>
        <w:t>TSC2</w:t>
      </w:r>
      <w:r>
        <w:rPr>
          <w:i/>
        </w:rPr>
        <w:t>)</w:t>
      </w:r>
      <w:r w:rsidRPr="00D1072A">
        <w:rPr>
          <w:iCs/>
        </w:rPr>
        <w:t xml:space="preserve">. </w:t>
      </w:r>
      <w:r>
        <w:rPr>
          <w:iCs/>
        </w:rPr>
        <w:t>Pathogenic variants</w:t>
      </w:r>
      <w:r w:rsidRPr="00D1072A">
        <w:rPr>
          <w:iCs/>
        </w:rPr>
        <w:t xml:space="preserve"> in either </w:t>
      </w:r>
      <w:r w:rsidR="00096C8C" w:rsidRPr="00096C8C">
        <w:rPr>
          <w:iCs/>
        </w:rPr>
        <w:t>gene result in inactive proteins that cannot inhibit</w:t>
      </w:r>
      <w:r w:rsidR="00096C8C" w:rsidRPr="00096C8C">
        <w:rPr>
          <w:i/>
          <w:iCs/>
        </w:rPr>
        <w:t xml:space="preserve"> </w:t>
      </w:r>
      <w:r w:rsidRPr="00D1072A">
        <w:rPr>
          <w:iCs/>
        </w:rPr>
        <w:t xml:space="preserve">the </w:t>
      </w:r>
      <w:r w:rsidRPr="00DE64FC">
        <w:rPr>
          <w:iCs/>
        </w:rPr>
        <w:t xml:space="preserve">mammalian target of rapamycin </w:t>
      </w:r>
      <w:r>
        <w:rPr>
          <w:iCs/>
        </w:rPr>
        <w:t>(</w:t>
      </w:r>
      <w:r w:rsidRPr="00D1072A">
        <w:rPr>
          <w:iCs/>
        </w:rPr>
        <w:t>mTOR</w:t>
      </w:r>
      <w:r>
        <w:rPr>
          <w:iCs/>
        </w:rPr>
        <w:t>)</w:t>
      </w:r>
      <w:r w:rsidRPr="00D1072A">
        <w:rPr>
          <w:iCs/>
        </w:rPr>
        <w:t xml:space="preserve"> pathway</w:t>
      </w:r>
      <w:r w:rsidR="00F84C04">
        <w:rPr>
          <w:iCs/>
        </w:rPr>
        <w:t>. This leads to</w:t>
      </w:r>
      <w:r w:rsidRPr="00D1072A">
        <w:rPr>
          <w:iCs/>
        </w:rPr>
        <w:t xml:space="preserve"> relatively uncontrolled cell growth leading to development of benign tumours (hamartomas) in multiple organs, such as the brain, kidneys, skin, heart, </w:t>
      </w:r>
      <w:proofErr w:type="gramStart"/>
      <w:r w:rsidRPr="00D1072A">
        <w:rPr>
          <w:iCs/>
        </w:rPr>
        <w:t>lungs</w:t>
      </w:r>
      <w:proofErr w:type="gramEnd"/>
      <w:r w:rsidRPr="00D1072A">
        <w:rPr>
          <w:iCs/>
        </w:rPr>
        <w:t xml:space="preserve"> and bones. </w:t>
      </w:r>
      <w:r w:rsidRPr="00D1072A">
        <w:t>As TSC manifests across multiple organs, a number of specialties can be involved in the diagnosis and management of patients (</w:t>
      </w:r>
      <w:proofErr w:type="gramStart"/>
      <w:r w:rsidRPr="00D1072A">
        <w:t>e.g.</w:t>
      </w:r>
      <w:proofErr w:type="gramEnd"/>
      <w:r w:rsidRPr="00D1072A">
        <w:t xml:space="preserve"> neurologists, dermatologists).</w:t>
      </w:r>
    </w:p>
    <w:p w14:paraId="604A2237" w14:textId="139E2F81" w:rsidR="00180189" w:rsidRDefault="004440CE" w:rsidP="00180189">
      <w:r w:rsidRPr="004440CE">
        <w:t>Renal involvement is potentially serious and common in TSC. Renal AMLs and cysts are the two characteristic renal lesions of TSC. Approximately 70–90%</w:t>
      </w:r>
      <w:r>
        <w:t xml:space="preserve"> of patients </w:t>
      </w:r>
      <w:r w:rsidRPr="004440CE">
        <w:t xml:space="preserve">with TSC </w:t>
      </w:r>
      <w:r>
        <w:t>have r</w:t>
      </w:r>
      <w:r w:rsidRPr="004440CE">
        <w:t>enal AML</w:t>
      </w:r>
      <w:r>
        <w:t xml:space="preserve">s </w:t>
      </w:r>
      <w:r>
        <w:lastRenderedPageBreak/>
        <w:t xml:space="preserve">and </w:t>
      </w:r>
      <w:r w:rsidRPr="004440CE">
        <w:t>30% have cyst</w:t>
      </w:r>
      <w:r>
        <w:t>s.</w:t>
      </w:r>
      <w:r w:rsidRPr="004440CE">
        <w:t xml:space="preserve"> RCC may also occur in TSC. It has been estimated that the incidence of RCC in TSC is 2–4% and occur in patients at a younger age than sporadic RCC</w:t>
      </w:r>
      <w:r w:rsidR="002E1D2E">
        <w:t>.</w:t>
      </w:r>
    </w:p>
    <w:p w14:paraId="170F72B9" w14:textId="77777777" w:rsidR="002E1D2E" w:rsidRDefault="002E1D2E" w:rsidP="00180189">
      <w:r w:rsidRPr="002E1D2E">
        <w:t>The role of kidney imaging in patients with TSC is to identify and characterize renal lesions, both benign and malignant, and detect any potential complications.</w:t>
      </w:r>
    </w:p>
    <w:p w14:paraId="46B0D569" w14:textId="77777777" w:rsidR="002E1D2E" w:rsidRPr="00D1072A" w:rsidRDefault="002E1D2E" w:rsidP="002E1D2E">
      <w:pPr>
        <w:pStyle w:val="Heading3"/>
      </w:pPr>
      <w:bookmarkStart w:id="10" w:name="_Toc121853580"/>
      <w:r w:rsidRPr="00D1072A">
        <w:t>Von Hippel Lindau</w:t>
      </w:r>
      <w:bookmarkEnd w:id="10"/>
    </w:p>
    <w:p w14:paraId="08F7EB73" w14:textId="77777777" w:rsidR="002E1D2E" w:rsidRPr="00D1072A" w:rsidRDefault="002E1D2E" w:rsidP="002E1D2E">
      <w:r w:rsidRPr="00D1072A">
        <w:t xml:space="preserve">VHL </w:t>
      </w:r>
      <w:r w:rsidR="00C11CDE">
        <w:t xml:space="preserve">disease </w:t>
      </w:r>
      <w:r w:rsidRPr="00D1072A">
        <w:t xml:space="preserve">is an autosomal dominant, multisystem tumour syndrome that results from a variety of germline </w:t>
      </w:r>
      <w:r w:rsidR="00C11CDE">
        <w:t>variant</w:t>
      </w:r>
      <w:r w:rsidR="00C11CDE" w:rsidRPr="00D1072A">
        <w:t xml:space="preserve">s </w:t>
      </w:r>
      <w:r w:rsidRPr="00D1072A">
        <w:t>in the</w:t>
      </w:r>
      <w:r>
        <w:t xml:space="preserve"> von Hippel Lindau</w:t>
      </w:r>
      <w:r w:rsidRPr="00D1072A">
        <w:t xml:space="preserve"> </w:t>
      </w:r>
      <w:r>
        <w:t>(</w:t>
      </w:r>
      <w:r w:rsidRPr="00D1072A">
        <w:rPr>
          <w:i/>
        </w:rPr>
        <w:t>VHL</w:t>
      </w:r>
      <w:r>
        <w:t>)</w:t>
      </w:r>
      <w:r w:rsidRPr="00D1072A">
        <w:t xml:space="preserve"> tumour suppressor gene on chromosome 3p25–26. </w:t>
      </w:r>
      <w:r>
        <w:t xml:space="preserve">The </w:t>
      </w:r>
      <w:r w:rsidRPr="00D1072A">
        <w:t xml:space="preserve">VHL protein interacts with various hypoxia-inducible transcription factors (HIFs) to encourage their degradation. These proteins are hypoxia responsive and are upregulated in hypoxia and become transcription factors for various growth factors. Pathogenic variants of the </w:t>
      </w:r>
      <w:r w:rsidRPr="00D1072A">
        <w:rPr>
          <w:i/>
        </w:rPr>
        <w:t>VHL</w:t>
      </w:r>
      <w:r w:rsidRPr="00D1072A">
        <w:t xml:space="preserve"> gene produce disrupted VHL proteins that allows HIF to accumulate. This leads to increased expression of growth factors </w:t>
      </w:r>
      <w:r>
        <w:t xml:space="preserve">that </w:t>
      </w:r>
      <w:r w:rsidRPr="00D1072A">
        <w:t>have important roles with respect to tumour formation and growth.</w:t>
      </w:r>
    </w:p>
    <w:p w14:paraId="2A104723" w14:textId="77777777" w:rsidR="002E1D2E" w:rsidRPr="00D1072A" w:rsidRDefault="002E1D2E" w:rsidP="002E1D2E">
      <w:r w:rsidRPr="00D1072A">
        <w:t xml:space="preserve">VHL syndrome occurs with a frequency of approximately 1:36,000 and is the most common hereditary </w:t>
      </w:r>
      <w:r w:rsidRPr="004440CE">
        <w:t xml:space="preserve">renal tumour </w:t>
      </w:r>
      <w:r w:rsidRPr="00D1072A">
        <w:t>syndrome. The mean age of onset of VHL disease is 26 years and there is 90% penetrance by age 60 years.</w:t>
      </w:r>
      <w:r w:rsidR="004E1F09">
        <w:t xml:space="preserve"> </w:t>
      </w:r>
      <w:r w:rsidRPr="00D1072A">
        <w:t>VHL is characterised by both benign and malignant tumours in specific organs of the body, including the central nervous system (CNS), eye, inner ear, kidney, pancreas, adrenal gland, and epididymis in the male and broad ligament in the female.</w:t>
      </w:r>
    </w:p>
    <w:p w14:paraId="4D85D192" w14:textId="77777777" w:rsidR="007529B1" w:rsidRDefault="002E1D2E" w:rsidP="002E1D2E">
      <w:r w:rsidRPr="00D1072A">
        <w:t>Renal involvement is characterised by the development of clear cell RCCs in up to 7</w:t>
      </w:r>
      <w:r>
        <w:t>0</w:t>
      </w:r>
      <w:r w:rsidRPr="00D1072A">
        <w:t>% of patients and renal cysts in 20–60% of patients</w:t>
      </w:r>
      <w:r w:rsidR="007529B1">
        <w:t xml:space="preserve">. </w:t>
      </w:r>
      <w:r w:rsidRPr="00D1072A">
        <w:t xml:space="preserve">VHL-related RCCs occur at a mean age of </w:t>
      </w:r>
      <w:r>
        <w:t>40</w:t>
      </w:r>
      <w:r w:rsidRPr="00D1072A">
        <w:t xml:space="preserve"> years</w:t>
      </w:r>
      <w:r w:rsidR="007529B1">
        <w:t xml:space="preserve"> and</w:t>
      </w:r>
      <w:r w:rsidRPr="00D1072A">
        <w:t xml:space="preserve"> are of typically of low nuclear grade (1–2 out of 4), slow growing, and are usually bilateral and multifocal. </w:t>
      </w:r>
    </w:p>
    <w:p w14:paraId="21C5AF4C" w14:textId="77777777" w:rsidR="002E1D2E" w:rsidRDefault="002E1D2E" w:rsidP="002E1D2E">
      <w:r w:rsidRPr="00D1072A">
        <w:t xml:space="preserve">Metastatic RCC is responsible for up to 50% of deaths in patients </w:t>
      </w:r>
      <w:r>
        <w:t xml:space="preserve">with </w:t>
      </w:r>
      <w:r w:rsidRPr="00D1072A">
        <w:t>VHL</w:t>
      </w:r>
      <w:r w:rsidR="007529B1">
        <w:t>.</w:t>
      </w:r>
      <w:r w:rsidRPr="00D1072A">
        <w:t xml:space="preserve"> However, </w:t>
      </w:r>
      <w:proofErr w:type="gramStart"/>
      <w:r w:rsidRPr="00D1072A">
        <w:t>similar to</w:t>
      </w:r>
      <w:proofErr w:type="gramEnd"/>
      <w:r w:rsidRPr="00D1072A">
        <w:t xml:space="preserve"> those with other inherited </w:t>
      </w:r>
      <w:r w:rsidR="007529B1">
        <w:t xml:space="preserve">renal tumour </w:t>
      </w:r>
      <w:r w:rsidRPr="00D1072A">
        <w:t>syndromes, treatment should be a balance between removing the tumour and preserving enough renal parenchyma to maintain renal function. Many of these patients will have multiple tumours during their lifetime.</w:t>
      </w:r>
      <w:r w:rsidRPr="003A09BB">
        <w:t xml:space="preserve"> The repeated surgical treatments </w:t>
      </w:r>
      <w:r>
        <w:t xml:space="preserve">of new </w:t>
      </w:r>
      <w:r w:rsidRPr="003A09BB">
        <w:t>RCC</w:t>
      </w:r>
      <w:r>
        <w:t>s</w:t>
      </w:r>
      <w:r w:rsidRPr="003A09BB">
        <w:t xml:space="preserve"> in these patients will eventually result in chronic kidney disease</w:t>
      </w:r>
      <w:r>
        <w:t>.</w:t>
      </w:r>
      <w:r w:rsidRPr="003A09BB">
        <w:t xml:space="preserve"> </w:t>
      </w:r>
      <w:r>
        <w:t xml:space="preserve">This results in a </w:t>
      </w:r>
      <w:r w:rsidRPr="003A09BB">
        <w:t>higher incidence of cardiovascular events and death</w:t>
      </w:r>
      <w:r>
        <w:t xml:space="preserve">, with a </w:t>
      </w:r>
      <w:r w:rsidRPr="006602FC">
        <w:t xml:space="preserve">median overall survival in these patients </w:t>
      </w:r>
      <w:r>
        <w:t>of</w:t>
      </w:r>
      <w:r w:rsidRPr="006602FC">
        <w:t xml:space="preserve"> around 50 years</w:t>
      </w:r>
      <w:r w:rsidR="007529B1">
        <w:t>.</w:t>
      </w:r>
    </w:p>
    <w:p w14:paraId="37E2C79C" w14:textId="77777777" w:rsidR="007529B1" w:rsidRDefault="007529B1" w:rsidP="007529B1">
      <w:pPr>
        <w:pStyle w:val="Heading4"/>
      </w:pPr>
      <w:r>
        <w:t>The “3-cm rule”</w:t>
      </w:r>
    </w:p>
    <w:p w14:paraId="12106CB6" w14:textId="77777777" w:rsidR="007529B1" w:rsidRDefault="007529B1" w:rsidP="007529B1">
      <w:r>
        <w:t>The</w:t>
      </w:r>
      <w:r w:rsidRPr="00D1072A">
        <w:t xml:space="preserve"> surveillance of large numbers of </w:t>
      </w:r>
      <w:r>
        <w:t>patients</w:t>
      </w:r>
      <w:r w:rsidRPr="00D1072A">
        <w:t xml:space="preserve"> </w:t>
      </w:r>
      <w:r>
        <w:t xml:space="preserve">with </w:t>
      </w:r>
      <w:r w:rsidRPr="00D1072A">
        <w:t xml:space="preserve">VHL has </w:t>
      </w:r>
      <w:r>
        <w:t>resulted in</w:t>
      </w:r>
      <w:r w:rsidRPr="00D1072A">
        <w:t xml:space="preserve"> a broad consensus </w:t>
      </w:r>
      <w:r>
        <w:t>on</w:t>
      </w:r>
      <w:r w:rsidRPr="00D1072A">
        <w:t xml:space="preserve"> how </w:t>
      </w:r>
      <w:r>
        <w:t xml:space="preserve">RCC in </w:t>
      </w:r>
      <w:r w:rsidRPr="00D1072A">
        <w:t>the</w:t>
      </w:r>
      <w:r>
        <w:t>se patients</w:t>
      </w:r>
      <w:r w:rsidRPr="00D1072A">
        <w:t xml:space="preserve"> should be managed</w:t>
      </w:r>
      <w:r>
        <w:t xml:space="preserve"> and has led to the “3-cm rule”, where</w:t>
      </w:r>
      <w:r w:rsidRPr="00D1072A">
        <w:t xml:space="preserve"> small (&lt; 3 cm) </w:t>
      </w:r>
      <w:r>
        <w:t>RCC</w:t>
      </w:r>
      <w:r w:rsidRPr="00D1072A">
        <w:t xml:space="preserve">s </w:t>
      </w:r>
      <w:r>
        <w:t xml:space="preserve">detected by imaging </w:t>
      </w:r>
      <w:r w:rsidRPr="00D1072A">
        <w:t xml:space="preserve">should be managed by active surveillance and then nephron-sparing surgery </w:t>
      </w:r>
      <w:r>
        <w:t xml:space="preserve">or </w:t>
      </w:r>
      <w:r w:rsidRPr="001F3871">
        <w:t>ablative techniques</w:t>
      </w:r>
      <w:r w:rsidRPr="00D1072A">
        <w:t xml:space="preserve"> performed when </w:t>
      </w:r>
      <w:r>
        <w:t>the</w:t>
      </w:r>
      <w:r w:rsidRPr="00D1072A">
        <w:t xml:space="preserve"> solid lesion reaches 3 cm in diameter</w:t>
      </w:r>
      <w:r w:rsidR="00F912BA">
        <w:rPr>
          <w:rStyle w:val="FootnoteReference"/>
        </w:rPr>
        <w:footnoteReference w:id="2"/>
      </w:r>
      <w:r w:rsidRPr="00D1072A">
        <w:t>.</w:t>
      </w:r>
    </w:p>
    <w:p w14:paraId="1B274F12" w14:textId="77777777" w:rsidR="007529B1" w:rsidRDefault="007529B1" w:rsidP="007529B1">
      <w:r>
        <w:t xml:space="preserve">However, the “3-cm rule” is not absolute. </w:t>
      </w:r>
      <w:r w:rsidRPr="003A09BB">
        <w:t>Both</w:t>
      </w:r>
      <w:r>
        <w:t xml:space="preserve"> </w:t>
      </w:r>
      <w:r w:rsidRPr="003A09BB">
        <w:t>tumo</w:t>
      </w:r>
      <w:r>
        <w:t>u</w:t>
      </w:r>
      <w:r w:rsidRPr="003A09BB">
        <w:t>r size and the growth kinetics determine the risk of metastatic disease</w:t>
      </w:r>
      <w:r>
        <w:t xml:space="preserve">, and </w:t>
      </w:r>
      <w:proofErr w:type="gramStart"/>
      <w:r>
        <w:t>both of these</w:t>
      </w:r>
      <w:proofErr w:type="gramEnd"/>
      <w:r>
        <w:t xml:space="preserve"> parameters should guide</w:t>
      </w:r>
      <w:r w:rsidRPr="003A09BB">
        <w:t xml:space="preserve"> </w:t>
      </w:r>
      <w:r>
        <w:t>t</w:t>
      </w:r>
      <w:r w:rsidRPr="003A09BB">
        <w:t xml:space="preserve">he decision </w:t>
      </w:r>
      <w:r>
        <w:t xml:space="preserve">on </w:t>
      </w:r>
      <w:r w:rsidRPr="003A09BB">
        <w:t>when to excise RCCs</w:t>
      </w:r>
      <w:r>
        <w:t xml:space="preserve">. The “3-cm rule” should </w:t>
      </w:r>
      <w:proofErr w:type="gramStart"/>
      <w:r>
        <w:t>be considered to be</w:t>
      </w:r>
      <w:proofErr w:type="gramEnd"/>
      <w:r>
        <w:t xml:space="preserve"> a point at which to balance the risk of metastasis with the potential morbidities of multiple procedures. If the “3-cm rule” is followed, the </w:t>
      </w:r>
      <w:r w:rsidRPr="006602FC">
        <w:t>expected disease progression</w:t>
      </w:r>
      <w:r w:rsidR="00522F89">
        <w:t>-free</w:t>
      </w:r>
      <w:r w:rsidRPr="006602FC">
        <w:t xml:space="preserve"> survival rate </w:t>
      </w:r>
      <w:r w:rsidR="00215D94">
        <w:t xml:space="preserve">for patients with VHL-associated RCC </w:t>
      </w:r>
      <w:r>
        <w:t>was</w:t>
      </w:r>
      <w:r w:rsidRPr="006602FC">
        <w:t xml:space="preserve"> 76% at 5 years and 20% at 8 years.</w:t>
      </w:r>
    </w:p>
    <w:p w14:paraId="4E112DEB" w14:textId="77777777" w:rsidR="00A54095" w:rsidRPr="00D1072A" w:rsidRDefault="00A54095" w:rsidP="00A54095">
      <w:pPr>
        <w:pStyle w:val="Heading3"/>
      </w:pPr>
      <w:bookmarkStart w:id="11" w:name="_Toc121853581"/>
      <w:r w:rsidRPr="00D1072A">
        <w:lastRenderedPageBreak/>
        <w:t xml:space="preserve">PICO Set </w:t>
      </w:r>
      <w:r>
        <w:t>1</w:t>
      </w:r>
      <w:bookmarkEnd w:id="11"/>
    </w:p>
    <w:p w14:paraId="041B7C0C" w14:textId="77777777" w:rsidR="007529B1" w:rsidRPr="00D1072A" w:rsidRDefault="007529B1" w:rsidP="007529B1">
      <w:r w:rsidRPr="00D1072A">
        <w:t>Th</w:t>
      </w:r>
      <w:r>
        <w:t>e “3 cm rule”</w:t>
      </w:r>
      <w:r w:rsidRPr="00D1072A">
        <w:t xml:space="preserve"> approach to the management of RCCs has been extrapolated to</w:t>
      </w:r>
      <w:r>
        <w:t xml:space="preserve"> include</w:t>
      </w:r>
      <w:r w:rsidRPr="00D1072A">
        <w:t xml:space="preserve"> </w:t>
      </w:r>
      <w:r>
        <w:t>patients</w:t>
      </w:r>
      <w:r w:rsidRPr="00D1072A">
        <w:t xml:space="preserve"> with</w:t>
      </w:r>
      <w:r>
        <w:t xml:space="preserve"> TSC, </w:t>
      </w:r>
      <w:proofErr w:type="spellStart"/>
      <w:r w:rsidRPr="00D1072A">
        <w:t>Birt</w:t>
      </w:r>
      <w:proofErr w:type="spellEnd"/>
      <w:r w:rsidRPr="00D1072A">
        <w:t>–Hogg–Dube syndrome</w:t>
      </w:r>
      <w:r>
        <w:t xml:space="preserve"> and other hereditary </w:t>
      </w:r>
      <w:r w:rsidRPr="004440CE">
        <w:t xml:space="preserve">renal tumour </w:t>
      </w:r>
      <w:r>
        <w:t>syndromes with slow growing RCCs</w:t>
      </w:r>
      <w:r w:rsidRPr="00D1072A">
        <w:t xml:space="preserve">. However, the “3 cm rule” is not suitable for </w:t>
      </w:r>
      <w:r>
        <w:t>patients with h</w:t>
      </w:r>
      <w:r w:rsidRPr="008166CC">
        <w:t xml:space="preserve">ereditary </w:t>
      </w:r>
      <w:proofErr w:type="spellStart"/>
      <w:r w:rsidRPr="008166CC">
        <w:t>leiomyomatosis</w:t>
      </w:r>
      <w:proofErr w:type="spellEnd"/>
      <w:r w:rsidRPr="008166CC">
        <w:t xml:space="preserve"> and renal cell carcinoma </w:t>
      </w:r>
      <w:r>
        <w:t>(</w:t>
      </w:r>
      <w:r w:rsidRPr="00D1072A">
        <w:t>HLRCC</w:t>
      </w:r>
      <w:r>
        <w:t xml:space="preserve">) and other hereditary </w:t>
      </w:r>
      <w:r w:rsidRPr="002E1D2E">
        <w:t xml:space="preserve">renal tumour </w:t>
      </w:r>
      <w:r>
        <w:t>syndromes with fast-growing RCC</w:t>
      </w:r>
      <w:r w:rsidRPr="00D1072A">
        <w:t xml:space="preserve">, which can metastasise early and are not reliably detected by renal </w:t>
      </w:r>
      <w:r w:rsidR="001F31C8">
        <w:t>ultrasound (</w:t>
      </w:r>
      <w:r>
        <w:t>US</w:t>
      </w:r>
      <w:r w:rsidR="001F31C8">
        <w:t>)</w:t>
      </w:r>
      <w:r w:rsidRPr="00D1072A">
        <w:t>.</w:t>
      </w:r>
    </w:p>
    <w:p w14:paraId="2D728C83" w14:textId="77777777" w:rsidR="007529B1" w:rsidRPr="00D1072A" w:rsidRDefault="007529B1" w:rsidP="007529B1">
      <w:r w:rsidRPr="00D1072A">
        <w:t xml:space="preserve">The </w:t>
      </w:r>
      <w:r w:rsidR="00215D94">
        <w:t xml:space="preserve">surveillance and </w:t>
      </w:r>
      <w:r w:rsidRPr="00D1072A">
        <w:t>treatment recommendations for individual syndrome</w:t>
      </w:r>
      <w:r w:rsidR="00215D94">
        <w:t>s</w:t>
      </w:r>
      <w:r w:rsidRPr="00D1072A">
        <w:t xml:space="preserve"> is described in </w:t>
      </w:r>
      <w:r w:rsidR="00215D94">
        <w:fldChar w:fldCharType="begin"/>
      </w:r>
      <w:r w:rsidR="00215D94">
        <w:instrText xml:space="preserve"> REF _Ref118470147 \h </w:instrText>
      </w:r>
      <w:r w:rsidR="00215D94">
        <w:fldChar w:fldCharType="separate"/>
      </w:r>
      <w:r w:rsidR="00CB2A40" w:rsidRPr="00D1072A">
        <w:t xml:space="preserve">Table </w:t>
      </w:r>
      <w:r w:rsidR="00CB2A40">
        <w:rPr>
          <w:noProof/>
        </w:rPr>
        <w:t>3</w:t>
      </w:r>
      <w:r w:rsidR="00215D94">
        <w:fldChar w:fldCharType="end"/>
      </w:r>
      <w:r w:rsidR="00215D94">
        <w:t>.</w:t>
      </w:r>
      <w:r w:rsidR="00251576" w:rsidRPr="00251576">
        <w:t xml:space="preserve"> In current Australian clinical practice, </w:t>
      </w:r>
      <w:r w:rsidR="00251576">
        <w:t>surveillance</w:t>
      </w:r>
      <w:r w:rsidR="00251576" w:rsidRPr="00251576">
        <w:t xml:space="preserve"> is most likely to </w:t>
      </w:r>
      <w:r w:rsidR="00251576">
        <w:t>carried out using US</w:t>
      </w:r>
      <w:r w:rsidR="00251576" w:rsidRPr="00251576">
        <w:t xml:space="preserve"> </w:t>
      </w:r>
      <w:r w:rsidR="00251576">
        <w:t>and</w:t>
      </w:r>
      <w:r w:rsidR="00251576" w:rsidRPr="00251576">
        <w:t xml:space="preserve"> CT.</w:t>
      </w:r>
      <w:r w:rsidR="00F912BA">
        <w:t xml:space="preserve"> </w:t>
      </w:r>
      <w:r w:rsidR="002C0832" w:rsidRPr="002C0832">
        <w:t>It is likely that proposed monitoring using abdominal MRI will replace the use of CT</w:t>
      </w:r>
      <w:r w:rsidR="00456AE4">
        <w:t>.</w:t>
      </w:r>
      <w:r w:rsidR="002C0832" w:rsidRPr="002C0832">
        <w:t xml:space="preserve"> </w:t>
      </w:r>
      <w:r w:rsidR="00456AE4">
        <w:t>However, as US is inexpensive and widely available,</w:t>
      </w:r>
      <w:r w:rsidR="00456AE4" w:rsidRPr="002C0832">
        <w:t xml:space="preserve"> </w:t>
      </w:r>
      <w:r w:rsidR="002C0832" w:rsidRPr="002C0832">
        <w:t>it is unlikely to replace US</w:t>
      </w:r>
      <w:r w:rsidR="00456AE4">
        <w:t>. If</w:t>
      </w:r>
      <w:r w:rsidR="00456AE4" w:rsidRPr="00456AE4">
        <w:t xml:space="preserve"> confirmatory imaging is required </w:t>
      </w:r>
      <w:r w:rsidR="00456AE4">
        <w:t xml:space="preserve">following US, </w:t>
      </w:r>
      <w:r w:rsidR="00456AE4" w:rsidRPr="00456AE4">
        <w:t>the test would most likely be MRI instead of CT.</w:t>
      </w:r>
    </w:p>
    <w:p w14:paraId="1E854141" w14:textId="77777777" w:rsidR="007529B1" w:rsidRPr="00D1072A" w:rsidRDefault="007529B1" w:rsidP="007529B1">
      <w:pPr>
        <w:pStyle w:val="TableHeading0"/>
      </w:pPr>
      <w:bookmarkStart w:id="12" w:name="_Ref118470147"/>
      <w:r w:rsidRPr="00D1072A">
        <w:t xml:space="preserve">Table </w:t>
      </w:r>
      <w:r>
        <w:fldChar w:fldCharType="begin"/>
      </w:r>
      <w:r>
        <w:instrText>SEQ Table \* ARABIC</w:instrText>
      </w:r>
      <w:r>
        <w:fldChar w:fldCharType="separate"/>
      </w:r>
      <w:r w:rsidR="00CB2A40">
        <w:rPr>
          <w:noProof/>
        </w:rPr>
        <w:t>3</w:t>
      </w:r>
      <w:r>
        <w:fldChar w:fldCharType="end"/>
      </w:r>
      <w:bookmarkEnd w:id="12"/>
      <w:r w:rsidRPr="00D1072A">
        <w:tab/>
        <w:t xml:space="preserve">Surveillance / treatment initiation recommendations for </w:t>
      </w:r>
      <w:r>
        <w:t>inherited renal tumour</w:t>
      </w:r>
      <w:r w:rsidRPr="00D1072A">
        <w:t xml:space="preserve"> syndromes</w:t>
      </w:r>
    </w:p>
    <w:tbl>
      <w:tblPr>
        <w:tblStyle w:val="HealthConsult1"/>
        <w:tblW w:w="0" w:type="auto"/>
        <w:tblLook w:val="04A0" w:firstRow="1" w:lastRow="0" w:firstColumn="1" w:lastColumn="0" w:noHBand="0" w:noVBand="1"/>
      </w:tblPr>
      <w:tblGrid>
        <w:gridCol w:w="1980"/>
        <w:gridCol w:w="2551"/>
        <w:gridCol w:w="4485"/>
      </w:tblGrid>
      <w:tr w:rsidR="007529B1" w:rsidRPr="00D1072A" w14:paraId="7C27CC26" w14:textId="77777777" w:rsidTr="00855E27">
        <w:trPr>
          <w:tblHeader/>
        </w:trPr>
        <w:tc>
          <w:tcPr>
            <w:tcW w:w="1980" w:type="dxa"/>
          </w:tcPr>
          <w:p w14:paraId="79250EE9" w14:textId="77777777" w:rsidR="007529B1" w:rsidRPr="00D1072A" w:rsidRDefault="007529B1" w:rsidP="00855E27">
            <w:pPr>
              <w:spacing w:before="40" w:after="40"/>
              <w:rPr>
                <w:rFonts w:ascii="Arial Narrow" w:hAnsi="Arial Narrow"/>
                <w:b/>
                <w:sz w:val="20"/>
                <w:szCs w:val="20"/>
              </w:rPr>
            </w:pPr>
            <w:r w:rsidRPr="00D1072A">
              <w:rPr>
                <w:rFonts w:ascii="Arial Narrow" w:hAnsi="Arial Narrow"/>
                <w:b/>
                <w:sz w:val="20"/>
                <w:szCs w:val="20"/>
              </w:rPr>
              <w:t>Disease / genes affected / function</w:t>
            </w:r>
          </w:p>
        </w:tc>
        <w:tc>
          <w:tcPr>
            <w:tcW w:w="2551" w:type="dxa"/>
          </w:tcPr>
          <w:p w14:paraId="1DB9F89B" w14:textId="77777777" w:rsidR="007529B1" w:rsidRPr="00D1072A" w:rsidRDefault="007529B1" w:rsidP="00855E27">
            <w:pPr>
              <w:spacing w:before="40" w:after="40"/>
              <w:rPr>
                <w:rFonts w:ascii="Arial Narrow" w:hAnsi="Arial Narrow"/>
                <w:b/>
                <w:sz w:val="20"/>
                <w:szCs w:val="20"/>
              </w:rPr>
            </w:pPr>
            <w:r w:rsidRPr="00D1072A">
              <w:rPr>
                <w:rFonts w:ascii="Arial Narrow" w:hAnsi="Arial Narrow"/>
                <w:b/>
                <w:sz w:val="20"/>
                <w:szCs w:val="20"/>
              </w:rPr>
              <w:t>Type and frequency of renal tumour</w:t>
            </w:r>
          </w:p>
        </w:tc>
        <w:tc>
          <w:tcPr>
            <w:tcW w:w="4485" w:type="dxa"/>
          </w:tcPr>
          <w:p w14:paraId="028324CF" w14:textId="77777777" w:rsidR="007529B1" w:rsidRPr="00D1072A" w:rsidRDefault="007529B1" w:rsidP="00855E27">
            <w:pPr>
              <w:spacing w:before="40" w:after="40"/>
              <w:rPr>
                <w:rFonts w:ascii="Arial Narrow" w:hAnsi="Arial Narrow"/>
                <w:b/>
                <w:sz w:val="20"/>
                <w:szCs w:val="20"/>
              </w:rPr>
            </w:pPr>
            <w:r w:rsidRPr="00D1072A">
              <w:rPr>
                <w:rFonts w:ascii="Arial Narrow" w:hAnsi="Arial Narrow"/>
                <w:b/>
                <w:sz w:val="20"/>
                <w:szCs w:val="20"/>
              </w:rPr>
              <w:t>Surveillance / treatment initiation recommendations</w:t>
            </w:r>
          </w:p>
        </w:tc>
      </w:tr>
      <w:tr w:rsidR="007529B1" w:rsidRPr="00D1072A" w14:paraId="45562B79" w14:textId="77777777" w:rsidTr="00855E27">
        <w:tc>
          <w:tcPr>
            <w:tcW w:w="9016" w:type="dxa"/>
            <w:gridSpan w:val="3"/>
          </w:tcPr>
          <w:p w14:paraId="1DCFBB6E" w14:textId="77777777" w:rsidR="007529B1" w:rsidRPr="00D1072A" w:rsidRDefault="007529B1" w:rsidP="00855E27">
            <w:pPr>
              <w:keepNext/>
              <w:spacing w:before="40" w:after="40"/>
              <w:rPr>
                <w:rFonts w:ascii="Arial Narrow" w:hAnsi="Arial Narrow"/>
                <w:b/>
                <w:sz w:val="20"/>
                <w:szCs w:val="20"/>
              </w:rPr>
            </w:pPr>
            <w:r w:rsidRPr="00D1072A">
              <w:rPr>
                <w:rFonts w:ascii="Arial Narrow" w:hAnsi="Arial Narrow"/>
                <w:b/>
                <w:sz w:val="20"/>
                <w:szCs w:val="20"/>
              </w:rPr>
              <w:t>Non-RCC tumours</w:t>
            </w:r>
          </w:p>
        </w:tc>
      </w:tr>
      <w:tr w:rsidR="007529B1" w:rsidRPr="00D1072A" w14:paraId="1D72AC16" w14:textId="77777777" w:rsidTr="00855E27">
        <w:tc>
          <w:tcPr>
            <w:tcW w:w="1980" w:type="dxa"/>
          </w:tcPr>
          <w:p w14:paraId="15CEA9DC"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Tuberous Sclerosis Complex (TSC)</w:t>
            </w:r>
          </w:p>
          <w:p w14:paraId="34571BCA" w14:textId="77777777" w:rsidR="007529B1" w:rsidRPr="00D1072A" w:rsidRDefault="007529B1" w:rsidP="00855E27">
            <w:pPr>
              <w:spacing w:before="40" w:after="40"/>
              <w:rPr>
                <w:rFonts w:ascii="Arial Narrow" w:hAnsi="Arial Narrow"/>
                <w:i/>
                <w:sz w:val="20"/>
                <w:szCs w:val="20"/>
              </w:rPr>
            </w:pPr>
            <w:r w:rsidRPr="00D1072A">
              <w:rPr>
                <w:rFonts w:ascii="Arial Narrow" w:hAnsi="Arial Narrow"/>
                <w:i/>
                <w:sz w:val="20"/>
                <w:szCs w:val="20"/>
              </w:rPr>
              <w:t>TSC1, TSC2</w:t>
            </w:r>
          </w:p>
          <w:p w14:paraId="0CD1D713" w14:textId="77777777" w:rsidR="007529B1" w:rsidRDefault="007529B1" w:rsidP="00855E27">
            <w:pPr>
              <w:spacing w:before="40" w:after="40"/>
              <w:rPr>
                <w:rFonts w:ascii="Arial Narrow" w:hAnsi="Arial Narrow"/>
                <w:sz w:val="20"/>
                <w:szCs w:val="20"/>
              </w:rPr>
            </w:pPr>
            <w:r w:rsidRPr="00D1072A">
              <w:rPr>
                <w:rFonts w:ascii="Arial Narrow" w:hAnsi="Arial Narrow"/>
                <w:sz w:val="20"/>
                <w:szCs w:val="20"/>
              </w:rPr>
              <w:t>Activation of the mTOR pathway</w:t>
            </w:r>
          </w:p>
          <w:p w14:paraId="69349A57"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Only 30% of TSC is inherited</w:t>
            </w:r>
          </w:p>
        </w:tc>
        <w:tc>
          <w:tcPr>
            <w:tcW w:w="2551" w:type="dxa"/>
          </w:tcPr>
          <w:p w14:paraId="2211DC6A"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 xml:space="preserve">70–90% of patients </w:t>
            </w:r>
            <w:r w:rsidRPr="00BF7341">
              <w:rPr>
                <w:rFonts w:ascii="Arial Narrow" w:hAnsi="Arial Narrow"/>
                <w:sz w:val="20"/>
                <w:szCs w:val="20"/>
              </w:rPr>
              <w:t xml:space="preserve">with </w:t>
            </w:r>
            <w:r w:rsidRPr="00D1072A">
              <w:rPr>
                <w:rFonts w:ascii="Arial Narrow" w:hAnsi="Arial Narrow"/>
                <w:sz w:val="20"/>
                <w:szCs w:val="20"/>
              </w:rPr>
              <w:t>TSC develop one or more</w:t>
            </w:r>
            <w:r w:rsidRPr="00D1072A">
              <w:t xml:space="preserve"> </w:t>
            </w:r>
            <w:r w:rsidRPr="00D1072A">
              <w:rPr>
                <w:rFonts w:ascii="Arial Narrow" w:hAnsi="Arial Narrow"/>
                <w:sz w:val="20"/>
                <w:szCs w:val="20"/>
              </w:rPr>
              <w:t>AMLs</w:t>
            </w:r>
            <w:r>
              <w:rPr>
                <w:rFonts w:ascii="Arial Narrow" w:hAnsi="Arial Narrow"/>
                <w:sz w:val="20"/>
                <w:szCs w:val="20"/>
              </w:rPr>
              <w:t xml:space="preserve"> </w:t>
            </w:r>
          </w:p>
        </w:tc>
        <w:tc>
          <w:tcPr>
            <w:tcW w:w="4485" w:type="dxa"/>
          </w:tcPr>
          <w:p w14:paraId="22419C10"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MRI or low dose CT is recommended at least every 1–3 years throughout the lifetime of the patient from age 12, to monitor growth of AMLs</w:t>
            </w:r>
          </w:p>
          <w:p w14:paraId="4A0CC537" w14:textId="77777777" w:rsidR="007529B1" w:rsidRDefault="007529B1" w:rsidP="00855E27">
            <w:pPr>
              <w:spacing w:before="40" w:after="40"/>
              <w:rPr>
                <w:rFonts w:ascii="Arial Narrow" w:hAnsi="Arial Narrow"/>
                <w:sz w:val="20"/>
                <w:szCs w:val="20"/>
              </w:rPr>
            </w:pPr>
            <w:r w:rsidRPr="003C3653">
              <w:rPr>
                <w:rFonts w:ascii="Arial Narrow" w:hAnsi="Arial Narrow"/>
                <w:sz w:val="20"/>
                <w:szCs w:val="20"/>
              </w:rPr>
              <w:t xml:space="preserve">First-line therapy </w:t>
            </w:r>
            <w:r>
              <w:rPr>
                <w:rFonts w:ascii="Arial Narrow" w:hAnsi="Arial Narrow"/>
                <w:sz w:val="20"/>
                <w:szCs w:val="20"/>
              </w:rPr>
              <w:t>for AMLs</w:t>
            </w:r>
            <w:r w:rsidRPr="003C3653">
              <w:rPr>
                <w:rFonts w:ascii="Arial Narrow" w:hAnsi="Arial Narrow"/>
                <w:sz w:val="20"/>
                <w:szCs w:val="20"/>
              </w:rPr>
              <w:t xml:space="preserve"> measuring </w:t>
            </w:r>
            <w:r>
              <w:rPr>
                <w:rFonts w:ascii="Arial Narrow" w:hAnsi="Arial Narrow"/>
                <w:sz w:val="20"/>
                <w:szCs w:val="20"/>
              </w:rPr>
              <w:t>&gt;</w:t>
            </w:r>
            <w:r w:rsidRPr="003C3653">
              <w:rPr>
                <w:rFonts w:ascii="Arial Narrow" w:hAnsi="Arial Narrow"/>
                <w:sz w:val="20"/>
                <w:szCs w:val="20"/>
              </w:rPr>
              <w:t xml:space="preserve"> 3 cm, treatment with an mTOR</w:t>
            </w:r>
            <w:r>
              <w:rPr>
                <w:rFonts w:ascii="Arial Narrow" w:hAnsi="Arial Narrow"/>
                <w:sz w:val="20"/>
                <w:szCs w:val="20"/>
              </w:rPr>
              <w:t xml:space="preserve"> </w:t>
            </w:r>
            <w:r w:rsidRPr="003C3653">
              <w:rPr>
                <w:rFonts w:ascii="Arial Narrow" w:hAnsi="Arial Narrow"/>
                <w:sz w:val="20"/>
                <w:szCs w:val="20"/>
              </w:rPr>
              <w:t>i</w:t>
            </w:r>
            <w:r>
              <w:rPr>
                <w:rFonts w:ascii="Arial Narrow" w:hAnsi="Arial Narrow"/>
                <w:sz w:val="20"/>
                <w:szCs w:val="20"/>
              </w:rPr>
              <w:t>nhibitor</w:t>
            </w:r>
            <w:r w:rsidRPr="003C3653">
              <w:rPr>
                <w:rFonts w:ascii="Arial Narrow" w:hAnsi="Arial Narrow"/>
                <w:sz w:val="20"/>
                <w:szCs w:val="20"/>
              </w:rPr>
              <w:t xml:space="preserve"> is recommended.</w:t>
            </w:r>
          </w:p>
          <w:p w14:paraId="66F699AF"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 xml:space="preserve">Treatment by </w:t>
            </w:r>
            <w:proofErr w:type="spellStart"/>
            <w:r w:rsidRPr="00D1072A">
              <w:rPr>
                <w:rFonts w:ascii="Arial Narrow" w:hAnsi="Arial Narrow"/>
                <w:sz w:val="20"/>
                <w:szCs w:val="20"/>
              </w:rPr>
              <w:t>transarterial</w:t>
            </w:r>
            <w:proofErr w:type="spellEnd"/>
            <w:r w:rsidRPr="00D1072A">
              <w:rPr>
                <w:rFonts w:ascii="Arial Narrow" w:hAnsi="Arial Narrow"/>
                <w:sz w:val="20"/>
                <w:szCs w:val="20"/>
              </w:rPr>
              <w:t xml:space="preserve"> </w:t>
            </w:r>
            <w:proofErr w:type="spellStart"/>
            <w:r w:rsidRPr="00D1072A">
              <w:rPr>
                <w:rFonts w:ascii="Arial Narrow" w:hAnsi="Arial Narrow"/>
                <w:sz w:val="20"/>
                <w:szCs w:val="20"/>
              </w:rPr>
              <w:t>emboli</w:t>
            </w:r>
            <w:r>
              <w:rPr>
                <w:rFonts w:ascii="Arial Narrow" w:hAnsi="Arial Narrow"/>
                <w:sz w:val="20"/>
                <w:szCs w:val="20"/>
              </w:rPr>
              <w:t>s</w:t>
            </w:r>
            <w:r w:rsidRPr="00D1072A">
              <w:rPr>
                <w:rFonts w:ascii="Arial Narrow" w:hAnsi="Arial Narrow"/>
                <w:sz w:val="20"/>
                <w:szCs w:val="20"/>
              </w:rPr>
              <w:t>ation</w:t>
            </w:r>
            <w:proofErr w:type="spellEnd"/>
            <w:r w:rsidRPr="00D1072A">
              <w:rPr>
                <w:rFonts w:ascii="Arial Narrow" w:hAnsi="Arial Narrow"/>
                <w:sz w:val="20"/>
                <w:szCs w:val="20"/>
              </w:rPr>
              <w:t xml:space="preserve"> of AML &gt;4cm is primarily focused on the avoidance of acute haemorrhage. Recurrence rate is high</w:t>
            </w:r>
            <w:r w:rsidR="00522F89">
              <w:rPr>
                <w:rFonts w:ascii="Arial Narrow" w:hAnsi="Arial Narrow"/>
                <w:sz w:val="20"/>
                <w:szCs w:val="20"/>
              </w:rPr>
              <w:t>.</w:t>
            </w:r>
          </w:p>
        </w:tc>
      </w:tr>
      <w:tr w:rsidR="007529B1" w:rsidRPr="00D1072A" w14:paraId="6FC14EBE" w14:textId="77777777" w:rsidTr="00855E27">
        <w:tc>
          <w:tcPr>
            <w:tcW w:w="9016" w:type="dxa"/>
            <w:gridSpan w:val="3"/>
          </w:tcPr>
          <w:p w14:paraId="534095D8" w14:textId="77777777" w:rsidR="007529B1" w:rsidRPr="00D1072A" w:rsidRDefault="007529B1" w:rsidP="00855E27">
            <w:pPr>
              <w:spacing w:before="40" w:after="40"/>
              <w:rPr>
                <w:rFonts w:ascii="Arial Narrow" w:hAnsi="Arial Narrow"/>
                <w:b/>
                <w:sz w:val="20"/>
                <w:szCs w:val="20"/>
              </w:rPr>
            </w:pPr>
            <w:r w:rsidRPr="00D1072A">
              <w:rPr>
                <w:rFonts w:ascii="Arial Narrow" w:hAnsi="Arial Narrow"/>
                <w:b/>
                <w:sz w:val="20"/>
                <w:szCs w:val="20"/>
              </w:rPr>
              <w:t>RCC syndromes where the 3cm rule applies</w:t>
            </w:r>
          </w:p>
        </w:tc>
      </w:tr>
      <w:tr w:rsidR="007529B1" w:rsidRPr="00D1072A" w14:paraId="6E9FE6A2" w14:textId="77777777" w:rsidTr="00855E27">
        <w:tc>
          <w:tcPr>
            <w:tcW w:w="1980" w:type="dxa"/>
          </w:tcPr>
          <w:p w14:paraId="65F6AF9B"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Von Hippel Lindau (VHL)</w:t>
            </w:r>
          </w:p>
          <w:p w14:paraId="43BBAC65" w14:textId="77777777" w:rsidR="007529B1" w:rsidRPr="00D1072A" w:rsidRDefault="007529B1" w:rsidP="00855E27">
            <w:pPr>
              <w:spacing w:before="40" w:after="40"/>
              <w:rPr>
                <w:rFonts w:ascii="Arial Narrow" w:hAnsi="Arial Narrow"/>
                <w:i/>
                <w:sz w:val="20"/>
                <w:szCs w:val="20"/>
              </w:rPr>
            </w:pPr>
            <w:r w:rsidRPr="00D1072A">
              <w:rPr>
                <w:rFonts w:ascii="Arial Narrow" w:hAnsi="Arial Narrow"/>
                <w:i/>
                <w:sz w:val="20"/>
                <w:szCs w:val="20"/>
              </w:rPr>
              <w:t>VHL</w:t>
            </w:r>
          </w:p>
          <w:p w14:paraId="11D1656D" w14:textId="77777777" w:rsidR="007529B1" w:rsidRPr="00D1072A" w:rsidRDefault="007529B1" w:rsidP="00855E27">
            <w:pPr>
              <w:spacing w:before="40" w:after="40"/>
              <w:rPr>
                <w:rFonts w:ascii="Arial Narrow" w:hAnsi="Arial Narrow"/>
                <w:i/>
                <w:sz w:val="20"/>
                <w:szCs w:val="20"/>
              </w:rPr>
            </w:pPr>
            <w:r w:rsidRPr="00D1072A">
              <w:rPr>
                <w:rFonts w:ascii="Arial Narrow" w:hAnsi="Arial Narrow"/>
                <w:sz w:val="20"/>
                <w:szCs w:val="20"/>
              </w:rPr>
              <w:t>Activation of hypoxic response pathways</w:t>
            </w:r>
          </w:p>
        </w:tc>
        <w:tc>
          <w:tcPr>
            <w:tcW w:w="2551" w:type="dxa"/>
          </w:tcPr>
          <w:p w14:paraId="292CCC0F" w14:textId="77777777" w:rsidR="007529B1" w:rsidRPr="00D1072A" w:rsidRDefault="007529B1" w:rsidP="00855E27">
            <w:pPr>
              <w:spacing w:before="40" w:after="40"/>
              <w:rPr>
                <w:rFonts w:ascii="Arial Narrow" w:hAnsi="Arial Narrow"/>
                <w:sz w:val="20"/>
                <w:szCs w:val="20"/>
              </w:rPr>
            </w:pPr>
            <w:r>
              <w:rPr>
                <w:rFonts w:ascii="Arial Narrow" w:hAnsi="Arial Narrow"/>
                <w:sz w:val="20"/>
                <w:szCs w:val="20"/>
              </w:rPr>
              <w:t>Up to 7</w:t>
            </w:r>
            <w:r w:rsidRPr="00D1072A">
              <w:rPr>
                <w:rFonts w:ascii="Arial Narrow" w:hAnsi="Arial Narrow"/>
                <w:sz w:val="20"/>
                <w:szCs w:val="20"/>
              </w:rPr>
              <w:t xml:space="preserve">0% of patients with VHL develop clear cell RCC </w:t>
            </w:r>
          </w:p>
        </w:tc>
        <w:tc>
          <w:tcPr>
            <w:tcW w:w="4485" w:type="dxa"/>
          </w:tcPr>
          <w:p w14:paraId="369D1D89"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 xml:space="preserve">Biannual abdominal MRI with abdominal </w:t>
            </w:r>
            <w:r>
              <w:rPr>
                <w:rFonts w:ascii="Arial Narrow" w:hAnsi="Arial Narrow"/>
                <w:sz w:val="20"/>
                <w:szCs w:val="20"/>
              </w:rPr>
              <w:t>US</w:t>
            </w:r>
            <w:r w:rsidRPr="00D1072A">
              <w:rPr>
                <w:rFonts w:ascii="Arial Narrow" w:hAnsi="Arial Narrow"/>
                <w:sz w:val="20"/>
                <w:szCs w:val="20"/>
              </w:rPr>
              <w:t xml:space="preserve"> in intervening years from age 10 (</w:t>
            </w:r>
            <w:proofErr w:type="spellStart"/>
            <w:r w:rsidRPr="00DA65AB">
              <w:rPr>
                <w:rFonts w:ascii="Arial Narrow" w:hAnsi="Arial Narrow"/>
                <w:sz w:val="20"/>
                <w:szCs w:val="20"/>
              </w:rPr>
              <w:t>EviQ</w:t>
            </w:r>
            <w:proofErr w:type="spellEnd"/>
            <w:r>
              <w:rPr>
                <w:rFonts w:ascii="Arial Narrow" w:hAnsi="Arial Narrow"/>
                <w:sz w:val="20"/>
                <w:szCs w:val="20"/>
              </w:rPr>
              <w:t>: VHL – risk management</w:t>
            </w:r>
            <w:r w:rsidRPr="00D1072A">
              <w:rPr>
                <w:rFonts w:ascii="Arial Narrow" w:hAnsi="Arial Narrow"/>
                <w:sz w:val="20"/>
                <w:szCs w:val="20"/>
              </w:rPr>
              <w:t>)</w:t>
            </w:r>
          </w:p>
          <w:p w14:paraId="4482F28D"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Intervention should occur when a lesion reaches 3 cm: the origin of the 3 cm rule</w:t>
            </w:r>
          </w:p>
        </w:tc>
      </w:tr>
      <w:tr w:rsidR="007529B1" w:rsidRPr="00D1072A" w14:paraId="023CC505" w14:textId="77777777" w:rsidTr="00855E27">
        <w:trPr>
          <w:cantSplit/>
        </w:trPr>
        <w:tc>
          <w:tcPr>
            <w:tcW w:w="1980" w:type="dxa"/>
          </w:tcPr>
          <w:p w14:paraId="075FC5C6"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Tuberous Sclerosis Complex (TSC)</w:t>
            </w:r>
          </w:p>
          <w:p w14:paraId="0032E638" w14:textId="77777777" w:rsidR="007529B1" w:rsidRPr="00D1072A" w:rsidRDefault="007529B1" w:rsidP="00855E27">
            <w:pPr>
              <w:spacing w:before="40" w:after="40"/>
              <w:rPr>
                <w:rFonts w:ascii="Arial Narrow" w:hAnsi="Arial Narrow"/>
                <w:i/>
                <w:sz w:val="20"/>
                <w:szCs w:val="20"/>
              </w:rPr>
            </w:pPr>
            <w:r w:rsidRPr="00D1072A">
              <w:rPr>
                <w:rFonts w:ascii="Arial Narrow" w:hAnsi="Arial Narrow"/>
                <w:i/>
                <w:sz w:val="20"/>
                <w:szCs w:val="20"/>
              </w:rPr>
              <w:t>TSC1, TSC2</w:t>
            </w:r>
          </w:p>
          <w:p w14:paraId="3BB6A90B"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Activation of the mTOR pathway</w:t>
            </w:r>
          </w:p>
        </w:tc>
        <w:tc>
          <w:tcPr>
            <w:tcW w:w="2551" w:type="dxa"/>
          </w:tcPr>
          <w:p w14:paraId="697FD566"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1–4% of patients develop RCC of various histological types</w:t>
            </w:r>
          </w:p>
        </w:tc>
        <w:tc>
          <w:tcPr>
            <w:tcW w:w="4485" w:type="dxa"/>
          </w:tcPr>
          <w:p w14:paraId="682AA070"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MRI or low dose CT is recommended at least every 1–3 years throughout the lifetime of the patient from age 12, to provide early detection of renal tumours</w:t>
            </w:r>
          </w:p>
          <w:p w14:paraId="4659E897" w14:textId="77777777" w:rsidR="007529B1" w:rsidRPr="00D1072A" w:rsidRDefault="007529B1" w:rsidP="00855E27">
            <w:pPr>
              <w:spacing w:before="40" w:after="40"/>
              <w:rPr>
                <w:rFonts w:ascii="Arial Narrow" w:hAnsi="Arial Narrow"/>
                <w:sz w:val="20"/>
                <w:szCs w:val="20"/>
              </w:rPr>
            </w:pPr>
            <w:r>
              <w:rPr>
                <w:rFonts w:ascii="Arial Narrow" w:hAnsi="Arial Narrow"/>
                <w:sz w:val="20"/>
                <w:szCs w:val="20"/>
              </w:rPr>
              <w:t xml:space="preserve">The “3-cm rule” applies </w:t>
            </w:r>
          </w:p>
        </w:tc>
      </w:tr>
      <w:tr w:rsidR="007529B1" w:rsidRPr="00D1072A" w14:paraId="4B1E07E6" w14:textId="77777777" w:rsidTr="00855E27">
        <w:tc>
          <w:tcPr>
            <w:tcW w:w="1980" w:type="dxa"/>
          </w:tcPr>
          <w:p w14:paraId="705F1453" w14:textId="77777777" w:rsidR="007529B1" w:rsidRPr="00D1072A" w:rsidRDefault="007529B1" w:rsidP="00855E27">
            <w:pPr>
              <w:spacing w:before="40" w:after="40"/>
              <w:rPr>
                <w:rFonts w:ascii="Arial Narrow" w:hAnsi="Arial Narrow"/>
                <w:sz w:val="20"/>
                <w:szCs w:val="20"/>
              </w:rPr>
            </w:pPr>
            <w:proofErr w:type="spellStart"/>
            <w:r w:rsidRPr="00D1072A">
              <w:rPr>
                <w:rFonts w:ascii="Arial Narrow" w:hAnsi="Arial Narrow"/>
                <w:sz w:val="20"/>
                <w:szCs w:val="20"/>
              </w:rPr>
              <w:t>Birt</w:t>
            </w:r>
            <w:proofErr w:type="spellEnd"/>
            <w:r w:rsidRPr="00D1072A">
              <w:rPr>
                <w:rFonts w:ascii="Arial Narrow" w:hAnsi="Arial Narrow"/>
                <w:sz w:val="20"/>
                <w:szCs w:val="20"/>
              </w:rPr>
              <w:t xml:space="preserve"> Hogg </w:t>
            </w:r>
            <w:proofErr w:type="spellStart"/>
            <w:r w:rsidRPr="00D1072A">
              <w:rPr>
                <w:rFonts w:ascii="Arial Narrow" w:hAnsi="Arial Narrow"/>
                <w:sz w:val="20"/>
                <w:szCs w:val="20"/>
              </w:rPr>
              <w:t>Dubè</w:t>
            </w:r>
            <w:proofErr w:type="spellEnd"/>
            <w:r w:rsidRPr="00D1072A">
              <w:rPr>
                <w:rFonts w:ascii="Arial Narrow" w:hAnsi="Arial Narrow"/>
                <w:sz w:val="20"/>
                <w:szCs w:val="20"/>
              </w:rPr>
              <w:t xml:space="preserve"> (BHD)</w:t>
            </w:r>
          </w:p>
          <w:p w14:paraId="0A9BA740" w14:textId="77777777" w:rsidR="007529B1" w:rsidRPr="00D1072A" w:rsidRDefault="007529B1" w:rsidP="00855E27">
            <w:pPr>
              <w:spacing w:before="40" w:after="40"/>
              <w:rPr>
                <w:rFonts w:ascii="Arial Narrow" w:hAnsi="Arial Narrow"/>
                <w:i/>
                <w:sz w:val="20"/>
                <w:szCs w:val="20"/>
              </w:rPr>
            </w:pPr>
            <w:r w:rsidRPr="00D1072A">
              <w:rPr>
                <w:rFonts w:ascii="Arial Narrow" w:hAnsi="Arial Narrow"/>
                <w:i/>
                <w:sz w:val="20"/>
                <w:szCs w:val="20"/>
              </w:rPr>
              <w:t>FLCN</w:t>
            </w:r>
          </w:p>
          <w:p w14:paraId="106BE672"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Activation of the mTOR pathway</w:t>
            </w:r>
          </w:p>
        </w:tc>
        <w:tc>
          <w:tcPr>
            <w:tcW w:w="2551" w:type="dxa"/>
          </w:tcPr>
          <w:p w14:paraId="16744CA1"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30% of affected patients have RCC of various histological type. They are of intermediate aggressiveness, but some can be aggressive</w:t>
            </w:r>
          </w:p>
        </w:tc>
        <w:tc>
          <w:tcPr>
            <w:tcW w:w="4485" w:type="dxa"/>
          </w:tcPr>
          <w:p w14:paraId="06AC6C39"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Baseline MRI at age 20 years</w:t>
            </w:r>
          </w:p>
          <w:p w14:paraId="1FC06EDF"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Patients without a renal tumour should have an MRI every 3 years</w:t>
            </w:r>
          </w:p>
          <w:p w14:paraId="346A2246" w14:textId="77777777" w:rsidR="007529B1" w:rsidRDefault="007529B1" w:rsidP="00855E27">
            <w:pPr>
              <w:spacing w:before="40" w:after="40"/>
              <w:rPr>
                <w:rFonts w:ascii="Arial Narrow" w:hAnsi="Arial Narrow"/>
                <w:sz w:val="20"/>
                <w:szCs w:val="20"/>
              </w:rPr>
            </w:pPr>
            <w:r w:rsidRPr="00D1072A">
              <w:rPr>
                <w:rFonts w:ascii="Arial Narrow" w:hAnsi="Arial Narrow"/>
                <w:sz w:val="20"/>
                <w:szCs w:val="20"/>
              </w:rPr>
              <w:t>The interval for those with renal tumours &lt;3 cm is dependent on location and growth rate</w:t>
            </w:r>
            <w:r w:rsidR="00522F89">
              <w:rPr>
                <w:rFonts w:ascii="Arial Narrow" w:hAnsi="Arial Narrow"/>
                <w:sz w:val="20"/>
                <w:szCs w:val="20"/>
              </w:rPr>
              <w:t>.</w:t>
            </w:r>
          </w:p>
          <w:p w14:paraId="66B1B949" w14:textId="77777777" w:rsidR="007529B1" w:rsidRPr="00D1072A" w:rsidRDefault="007529B1" w:rsidP="00855E27">
            <w:pPr>
              <w:spacing w:before="40" w:after="40"/>
              <w:rPr>
                <w:rFonts w:ascii="Arial Narrow" w:hAnsi="Arial Narrow"/>
                <w:sz w:val="20"/>
                <w:szCs w:val="20"/>
              </w:rPr>
            </w:pPr>
            <w:r w:rsidRPr="008526C5">
              <w:rPr>
                <w:rFonts w:ascii="Arial Narrow" w:hAnsi="Arial Narrow"/>
                <w:sz w:val="20"/>
                <w:szCs w:val="20"/>
              </w:rPr>
              <w:t>The “3-cm rule” applies</w:t>
            </w:r>
            <w:r>
              <w:rPr>
                <w:rFonts w:ascii="Arial Narrow" w:hAnsi="Arial Narrow"/>
                <w:sz w:val="20"/>
                <w:szCs w:val="20"/>
              </w:rPr>
              <w:t xml:space="preserve"> </w:t>
            </w:r>
          </w:p>
        </w:tc>
      </w:tr>
      <w:tr w:rsidR="007529B1" w:rsidRPr="00D1072A" w14:paraId="23D88A2A" w14:textId="77777777" w:rsidTr="00855E27">
        <w:tc>
          <w:tcPr>
            <w:tcW w:w="1980" w:type="dxa"/>
          </w:tcPr>
          <w:p w14:paraId="5A21EF59"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Hereditary Papillary Renal Cancer (HPRC)</w:t>
            </w:r>
          </w:p>
          <w:p w14:paraId="62E81FA4" w14:textId="77777777" w:rsidR="007529B1" w:rsidRPr="00D1072A" w:rsidRDefault="007529B1" w:rsidP="00855E27">
            <w:pPr>
              <w:spacing w:before="40" w:after="40"/>
              <w:rPr>
                <w:rFonts w:ascii="Arial Narrow" w:hAnsi="Arial Narrow"/>
                <w:i/>
                <w:sz w:val="20"/>
                <w:szCs w:val="20"/>
              </w:rPr>
            </w:pPr>
            <w:r w:rsidRPr="00D1072A">
              <w:rPr>
                <w:rFonts w:ascii="Arial Narrow" w:hAnsi="Arial Narrow"/>
                <w:i/>
                <w:sz w:val="20"/>
                <w:szCs w:val="20"/>
              </w:rPr>
              <w:t>MET</w:t>
            </w:r>
          </w:p>
          <w:p w14:paraId="7E12CF82"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Activation of MET signalling pathway</w:t>
            </w:r>
          </w:p>
        </w:tc>
        <w:tc>
          <w:tcPr>
            <w:tcW w:w="2551" w:type="dxa"/>
          </w:tcPr>
          <w:p w14:paraId="32AFB4E0"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HPRC produces papillary type 1 tumours, with as many as 3400 microscopic tumours per kidney, in all patients</w:t>
            </w:r>
          </w:p>
        </w:tc>
        <w:tc>
          <w:tcPr>
            <w:tcW w:w="4485" w:type="dxa"/>
          </w:tcPr>
          <w:p w14:paraId="19BAB897"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Baseline abdominal MRI at age 30 years.</w:t>
            </w:r>
          </w:p>
          <w:p w14:paraId="2B4829B6" w14:textId="77777777" w:rsidR="007529B1" w:rsidRDefault="007529B1" w:rsidP="00855E27">
            <w:pPr>
              <w:spacing w:before="40" w:after="40"/>
              <w:rPr>
                <w:rFonts w:ascii="Arial Narrow" w:hAnsi="Arial Narrow"/>
                <w:sz w:val="20"/>
                <w:szCs w:val="20"/>
              </w:rPr>
            </w:pPr>
            <w:r w:rsidRPr="00D1072A">
              <w:rPr>
                <w:rFonts w:ascii="Arial Narrow" w:hAnsi="Arial Narrow"/>
                <w:sz w:val="20"/>
                <w:szCs w:val="20"/>
              </w:rPr>
              <w:t>Patients without a renal tumour should have an MRI every 3 years</w:t>
            </w:r>
            <w:r>
              <w:rPr>
                <w:rFonts w:ascii="Arial Narrow" w:hAnsi="Arial Narrow"/>
                <w:sz w:val="20"/>
                <w:szCs w:val="20"/>
              </w:rPr>
              <w:t xml:space="preserve"> </w:t>
            </w:r>
          </w:p>
          <w:p w14:paraId="0A74EF15" w14:textId="77777777" w:rsidR="007529B1" w:rsidRPr="00D1072A" w:rsidRDefault="007529B1" w:rsidP="00855E27">
            <w:pPr>
              <w:spacing w:before="40" w:after="40"/>
              <w:rPr>
                <w:rFonts w:ascii="Arial Narrow" w:hAnsi="Arial Narrow"/>
                <w:sz w:val="20"/>
                <w:szCs w:val="20"/>
              </w:rPr>
            </w:pPr>
            <w:r w:rsidRPr="0004785E">
              <w:rPr>
                <w:rFonts w:ascii="Arial Narrow" w:hAnsi="Arial Narrow"/>
                <w:sz w:val="20"/>
                <w:szCs w:val="20"/>
              </w:rPr>
              <w:t>The interval for those with renal tumours &lt;3 cm is dependent on location and growth rate</w:t>
            </w:r>
          </w:p>
          <w:p w14:paraId="4304A270" w14:textId="77777777" w:rsidR="007529B1" w:rsidRPr="00D1072A" w:rsidRDefault="007529B1" w:rsidP="00855E27">
            <w:pPr>
              <w:spacing w:before="40" w:after="40"/>
              <w:rPr>
                <w:rFonts w:ascii="Arial Narrow" w:hAnsi="Arial Narrow"/>
                <w:sz w:val="20"/>
                <w:szCs w:val="20"/>
              </w:rPr>
            </w:pPr>
            <w:r w:rsidRPr="00394286">
              <w:rPr>
                <w:rFonts w:ascii="Arial Narrow" w:hAnsi="Arial Narrow"/>
                <w:sz w:val="20"/>
                <w:szCs w:val="20"/>
              </w:rPr>
              <w:t>The “3-cm rule” applies</w:t>
            </w:r>
          </w:p>
        </w:tc>
      </w:tr>
      <w:tr w:rsidR="007529B1" w:rsidRPr="00D1072A" w14:paraId="470B6760" w14:textId="77777777" w:rsidTr="00855E27">
        <w:tc>
          <w:tcPr>
            <w:tcW w:w="1980" w:type="dxa"/>
          </w:tcPr>
          <w:p w14:paraId="4539412D"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Microphthalmia-associated transcription factor</w:t>
            </w:r>
          </w:p>
          <w:p w14:paraId="408645F9" w14:textId="77777777" w:rsidR="007529B1" w:rsidRPr="00D1072A" w:rsidRDefault="007529B1" w:rsidP="00855E27">
            <w:pPr>
              <w:spacing w:before="40" w:after="40"/>
              <w:rPr>
                <w:rFonts w:ascii="Arial Narrow" w:hAnsi="Arial Narrow"/>
                <w:i/>
                <w:sz w:val="20"/>
                <w:szCs w:val="20"/>
              </w:rPr>
            </w:pPr>
            <w:proofErr w:type="spellStart"/>
            <w:r w:rsidRPr="00D1072A">
              <w:rPr>
                <w:rFonts w:ascii="Arial Narrow" w:hAnsi="Arial Narrow"/>
                <w:i/>
                <w:sz w:val="20"/>
                <w:szCs w:val="20"/>
              </w:rPr>
              <w:t>M</w:t>
            </w:r>
            <w:r>
              <w:rPr>
                <w:rFonts w:ascii="Arial Narrow" w:hAnsi="Arial Narrow"/>
                <w:i/>
                <w:sz w:val="20"/>
                <w:szCs w:val="20"/>
              </w:rPr>
              <w:t>i</w:t>
            </w:r>
            <w:r w:rsidRPr="00D1072A">
              <w:rPr>
                <w:rFonts w:ascii="Arial Narrow" w:hAnsi="Arial Narrow"/>
                <w:i/>
                <w:sz w:val="20"/>
                <w:szCs w:val="20"/>
              </w:rPr>
              <w:t>TF</w:t>
            </w:r>
            <w:proofErr w:type="spellEnd"/>
          </w:p>
          <w:p w14:paraId="7A372723"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lastRenderedPageBreak/>
              <w:t>Activation of MAPK signalling pathway</w:t>
            </w:r>
          </w:p>
        </w:tc>
        <w:tc>
          <w:tcPr>
            <w:tcW w:w="2551" w:type="dxa"/>
          </w:tcPr>
          <w:p w14:paraId="30E56712"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lastRenderedPageBreak/>
              <w:t>Increased risk of papillary type 1 renal tumours</w:t>
            </w:r>
          </w:p>
        </w:tc>
        <w:tc>
          <w:tcPr>
            <w:tcW w:w="4485" w:type="dxa"/>
          </w:tcPr>
          <w:p w14:paraId="6BAFF308"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No recommendations for screening.</w:t>
            </w:r>
          </w:p>
          <w:p w14:paraId="580B5D69"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 xml:space="preserve">Annual screening for those in whom renal tumours are detected </w:t>
            </w:r>
          </w:p>
        </w:tc>
      </w:tr>
      <w:tr w:rsidR="007529B1" w:rsidRPr="00D1072A" w14:paraId="0BB4807E" w14:textId="77777777" w:rsidTr="00855E27">
        <w:tc>
          <w:tcPr>
            <w:tcW w:w="9016" w:type="dxa"/>
            <w:gridSpan w:val="3"/>
          </w:tcPr>
          <w:p w14:paraId="1B89ACBD" w14:textId="77777777" w:rsidR="007529B1" w:rsidRPr="00D1072A" w:rsidRDefault="007529B1" w:rsidP="00855E27">
            <w:pPr>
              <w:spacing w:before="40" w:after="40"/>
              <w:rPr>
                <w:rFonts w:ascii="Arial Narrow" w:hAnsi="Arial Narrow"/>
                <w:b/>
                <w:sz w:val="20"/>
                <w:szCs w:val="20"/>
              </w:rPr>
            </w:pPr>
            <w:r w:rsidRPr="00D1072A">
              <w:rPr>
                <w:rFonts w:ascii="Arial Narrow" w:hAnsi="Arial Narrow"/>
                <w:b/>
                <w:sz w:val="20"/>
                <w:szCs w:val="20"/>
              </w:rPr>
              <w:t>RCC syndromes where the 3cm rule may not apply</w:t>
            </w:r>
          </w:p>
        </w:tc>
      </w:tr>
      <w:tr w:rsidR="007529B1" w:rsidRPr="00D1072A" w14:paraId="7A64154E" w14:textId="77777777" w:rsidTr="00855E27">
        <w:tc>
          <w:tcPr>
            <w:tcW w:w="1980" w:type="dxa"/>
          </w:tcPr>
          <w:p w14:paraId="26B20D3C"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Hereditary Leiomyoma Renal Cell Carcinoma (HLRCC)</w:t>
            </w:r>
          </w:p>
          <w:p w14:paraId="17B277C3" w14:textId="77777777" w:rsidR="007529B1" w:rsidRPr="00D1072A" w:rsidRDefault="007529B1" w:rsidP="00855E27">
            <w:pPr>
              <w:spacing w:before="40" w:after="40"/>
              <w:rPr>
                <w:rFonts w:ascii="Arial Narrow" w:hAnsi="Arial Narrow"/>
                <w:i/>
                <w:sz w:val="20"/>
                <w:szCs w:val="20"/>
              </w:rPr>
            </w:pPr>
            <w:r w:rsidRPr="00D1072A">
              <w:rPr>
                <w:rFonts w:ascii="Arial Narrow" w:hAnsi="Arial Narrow"/>
                <w:i/>
                <w:sz w:val="20"/>
                <w:szCs w:val="20"/>
              </w:rPr>
              <w:t>FH</w:t>
            </w:r>
          </w:p>
          <w:p w14:paraId="34A939D3"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Activation of hypoxic response pathways</w:t>
            </w:r>
          </w:p>
          <w:p w14:paraId="5B1C2027"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Epigenetic changes</w:t>
            </w:r>
          </w:p>
        </w:tc>
        <w:tc>
          <w:tcPr>
            <w:tcW w:w="2551" w:type="dxa"/>
          </w:tcPr>
          <w:p w14:paraId="610A6377"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 xml:space="preserve">15–32% of patients with an </w:t>
            </w:r>
            <w:r w:rsidRPr="00496734">
              <w:rPr>
                <w:rFonts w:ascii="Arial Narrow" w:hAnsi="Arial Narrow"/>
                <w:i/>
                <w:sz w:val="20"/>
                <w:szCs w:val="20"/>
              </w:rPr>
              <w:t>FH</w:t>
            </w:r>
            <w:r w:rsidRPr="00D1072A">
              <w:rPr>
                <w:rFonts w:ascii="Arial Narrow" w:hAnsi="Arial Narrow"/>
                <w:sz w:val="20"/>
                <w:szCs w:val="20"/>
              </w:rPr>
              <w:t xml:space="preserve"> </w:t>
            </w:r>
            <w:r>
              <w:rPr>
                <w:rFonts w:ascii="Arial Narrow" w:hAnsi="Arial Narrow"/>
                <w:sz w:val="20"/>
                <w:szCs w:val="20"/>
              </w:rPr>
              <w:t>pathogenic variant</w:t>
            </w:r>
            <w:r w:rsidRPr="00D1072A">
              <w:rPr>
                <w:rFonts w:ascii="Arial Narrow" w:hAnsi="Arial Narrow"/>
                <w:sz w:val="20"/>
                <w:szCs w:val="20"/>
              </w:rPr>
              <w:t xml:space="preserve"> develop papillary type II renal tumours</w:t>
            </w:r>
          </w:p>
        </w:tc>
        <w:tc>
          <w:tcPr>
            <w:tcW w:w="4485" w:type="dxa"/>
          </w:tcPr>
          <w:p w14:paraId="6696AA43" w14:textId="77777777" w:rsidR="007529B1" w:rsidRDefault="007529B1" w:rsidP="00855E27">
            <w:pPr>
              <w:spacing w:before="40" w:after="40"/>
              <w:rPr>
                <w:rFonts w:ascii="Arial Narrow" w:hAnsi="Arial Narrow"/>
                <w:sz w:val="20"/>
                <w:szCs w:val="20"/>
              </w:rPr>
            </w:pPr>
            <w:r w:rsidRPr="00D1072A">
              <w:rPr>
                <w:rFonts w:ascii="Arial Narrow" w:hAnsi="Arial Narrow"/>
                <w:sz w:val="20"/>
                <w:szCs w:val="20"/>
              </w:rPr>
              <w:t>Annual MRI for patients from age 18 years.</w:t>
            </w:r>
          </w:p>
          <w:p w14:paraId="3D0ECAF8" w14:textId="77777777" w:rsidR="007529B1" w:rsidRPr="00D1072A" w:rsidRDefault="007529B1" w:rsidP="00855E27">
            <w:pPr>
              <w:spacing w:before="40" w:after="40"/>
              <w:rPr>
                <w:rFonts w:ascii="Arial Narrow" w:hAnsi="Arial Narrow"/>
                <w:sz w:val="20"/>
                <w:szCs w:val="20"/>
              </w:rPr>
            </w:pPr>
            <w:r w:rsidRPr="0004785E">
              <w:rPr>
                <w:rFonts w:ascii="Arial Narrow" w:hAnsi="Arial Narrow"/>
                <w:sz w:val="20"/>
                <w:szCs w:val="20"/>
              </w:rPr>
              <w:t>Surgical resection (with wide margin, or complete nephrectomy)</w:t>
            </w:r>
            <w:r>
              <w:rPr>
                <w:rFonts w:ascii="Arial Narrow" w:hAnsi="Arial Narrow"/>
                <w:sz w:val="20"/>
                <w:szCs w:val="20"/>
              </w:rPr>
              <w:t xml:space="preserve"> if RCC detected</w:t>
            </w:r>
          </w:p>
          <w:p w14:paraId="7B8D64E1"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HLRCC tumours are aggressive and are treated as soon as they are diagnosed</w:t>
            </w:r>
          </w:p>
        </w:tc>
      </w:tr>
      <w:tr w:rsidR="007529B1" w:rsidRPr="00D1072A" w14:paraId="6C98FC2C" w14:textId="77777777" w:rsidTr="00855E27">
        <w:trPr>
          <w:cantSplit/>
        </w:trPr>
        <w:tc>
          <w:tcPr>
            <w:tcW w:w="1980" w:type="dxa"/>
          </w:tcPr>
          <w:p w14:paraId="6C923E0E"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 xml:space="preserve">Hereditary paraganglioma/ </w:t>
            </w:r>
            <w:proofErr w:type="gramStart"/>
            <w:r w:rsidRPr="00D1072A">
              <w:rPr>
                <w:rFonts w:ascii="Arial Narrow" w:hAnsi="Arial Narrow"/>
                <w:sz w:val="20"/>
                <w:szCs w:val="20"/>
              </w:rPr>
              <w:t>pheochromocytoma  syndrome</w:t>
            </w:r>
            <w:proofErr w:type="gramEnd"/>
            <w:r w:rsidRPr="00D1072A">
              <w:rPr>
                <w:rFonts w:ascii="Arial Narrow" w:hAnsi="Arial Narrow"/>
                <w:sz w:val="20"/>
                <w:szCs w:val="20"/>
              </w:rPr>
              <w:t xml:space="preserve"> (HPPS)</w:t>
            </w:r>
          </w:p>
          <w:p w14:paraId="41638E81" w14:textId="77777777" w:rsidR="007529B1" w:rsidRPr="00D1072A" w:rsidRDefault="007529B1" w:rsidP="00855E27">
            <w:pPr>
              <w:spacing w:before="40" w:after="40"/>
              <w:rPr>
                <w:rFonts w:ascii="Arial Narrow" w:hAnsi="Arial Narrow"/>
                <w:i/>
                <w:sz w:val="20"/>
                <w:szCs w:val="20"/>
              </w:rPr>
            </w:pPr>
            <w:r w:rsidRPr="00D1072A">
              <w:rPr>
                <w:rFonts w:ascii="Arial Narrow" w:hAnsi="Arial Narrow"/>
                <w:i/>
                <w:sz w:val="20"/>
                <w:szCs w:val="20"/>
              </w:rPr>
              <w:t>SDHA, SDHB, SDHC, SDHD</w:t>
            </w:r>
          </w:p>
          <w:p w14:paraId="235EC89A"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Activation of hypoxic response pathways</w:t>
            </w:r>
          </w:p>
          <w:p w14:paraId="06427857"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Epigenetic changes</w:t>
            </w:r>
          </w:p>
        </w:tc>
        <w:tc>
          <w:tcPr>
            <w:tcW w:w="2551" w:type="dxa"/>
          </w:tcPr>
          <w:p w14:paraId="3F0F6484"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 xml:space="preserve">The risk of a renal cancer is 10–15% by age 70 for </w:t>
            </w:r>
            <w:r w:rsidRPr="00D1072A">
              <w:rPr>
                <w:rFonts w:ascii="Arial Narrow" w:hAnsi="Arial Narrow"/>
                <w:i/>
                <w:sz w:val="20"/>
                <w:szCs w:val="20"/>
              </w:rPr>
              <w:t>SDHB</w:t>
            </w:r>
            <w:r w:rsidRPr="00D1072A">
              <w:rPr>
                <w:rFonts w:ascii="Arial Narrow" w:hAnsi="Arial Narrow"/>
                <w:sz w:val="20"/>
                <w:szCs w:val="20"/>
              </w:rPr>
              <w:t>. Only slightly increased for other 3 genes. Tumours can exhibit aggressive behaviour and one third of patients developed metastatic disease</w:t>
            </w:r>
          </w:p>
        </w:tc>
        <w:tc>
          <w:tcPr>
            <w:tcW w:w="4485" w:type="dxa"/>
          </w:tcPr>
          <w:p w14:paraId="4C8FFDA9" w14:textId="77777777" w:rsidR="007529B1" w:rsidRPr="00D1072A" w:rsidRDefault="007529B1" w:rsidP="00855E27">
            <w:pPr>
              <w:spacing w:before="40" w:after="40"/>
              <w:rPr>
                <w:rFonts w:ascii="Arial Narrow" w:hAnsi="Arial Narrow"/>
                <w:sz w:val="20"/>
                <w:szCs w:val="20"/>
              </w:rPr>
            </w:pPr>
            <w:r w:rsidRPr="00D1072A">
              <w:rPr>
                <w:rFonts w:ascii="Arial Narrow" w:hAnsi="Arial Narrow"/>
                <w:i/>
                <w:sz w:val="20"/>
                <w:szCs w:val="20"/>
              </w:rPr>
              <w:t>SDHA</w:t>
            </w:r>
            <w:r w:rsidRPr="00D1072A">
              <w:rPr>
                <w:rFonts w:ascii="Arial Narrow" w:hAnsi="Arial Narrow"/>
                <w:sz w:val="20"/>
                <w:szCs w:val="20"/>
              </w:rPr>
              <w:t xml:space="preserve">: abdominal MRI once every 5 years </w:t>
            </w:r>
            <w:r>
              <w:rPr>
                <w:rFonts w:ascii="Arial Narrow" w:hAnsi="Arial Narrow"/>
                <w:sz w:val="20"/>
                <w:szCs w:val="20"/>
              </w:rPr>
              <w:t>from age 18</w:t>
            </w:r>
          </w:p>
          <w:p w14:paraId="4B0310D7" w14:textId="77777777" w:rsidR="007529B1" w:rsidRPr="00D1072A" w:rsidRDefault="007529B1" w:rsidP="00855E27">
            <w:pPr>
              <w:spacing w:before="40" w:after="40"/>
              <w:rPr>
                <w:rFonts w:ascii="Arial Narrow" w:hAnsi="Arial Narrow"/>
                <w:sz w:val="20"/>
                <w:szCs w:val="20"/>
              </w:rPr>
            </w:pPr>
            <w:r w:rsidRPr="00D1072A">
              <w:rPr>
                <w:rFonts w:ascii="Arial Narrow" w:hAnsi="Arial Narrow"/>
                <w:i/>
                <w:sz w:val="20"/>
                <w:szCs w:val="20"/>
              </w:rPr>
              <w:t>SDHB</w:t>
            </w:r>
            <w:r w:rsidRPr="00D1072A">
              <w:rPr>
                <w:rFonts w:ascii="Arial Narrow" w:hAnsi="Arial Narrow"/>
                <w:sz w:val="20"/>
                <w:szCs w:val="20"/>
              </w:rPr>
              <w:t xml:space="preserve">: </w:t>
            </w:r>
            <w:r>
              <w:rPr>
                <w:rFonts w:ascii="Arial Narrow" w:hAnsi="Arial Narrow"/>
                <w:sz w:val="20"/>
                <w:szCs w:val="20"/>
              </w:rPr>
              <w:t>2-yearly</w:t>
            </w:r>
            <w:r w:rsidRPr="00D1072A">
              <w:rPr>
                <w:rFonts w:ascii="Arial Narrow" w:hAnsi="Arial Narrow"/>
                <w:sz w:val="20"/>
                <w:szCs w:val="20"/>
              </w:rPr>
              <w:t xml:space="preserve"> abdominal MRI from age 10</w:t>
            </w:r>
          </w:p>
          <w:p w14:paraId="4FA9D6C8" w14:textId="77777777" w:rsidR="007529B1" w:rsidRDefault="007529B1" w:rsidP="00855E27">
            <w:pPr>
              <w:spacing w:before="40" w:after="40"/>
              <w:rPr>
                <w:rFonts w:ascii="Arial Narrow" w:hAnsi="Arial Narrow"/>
                <w:sz w:val="20"/>
                <w:szCs w:val="20"/>
              </w:rPr>
            </w:pPr>
            <w:r w:rsidRPr="00D1072A">
              <w:rPr>
                <w:rFonts w:ascii="Arial Narrow" w:hAnsi="Arial Narrow"/>
                <w:i/>
                <w:sz w:val="20"/>
                <w:szCs w:val="20"/>
              </w:rPr>
              <w:t>SDHC/D</w:t>
            </w:r>
            <w:r w:rsidRPr="00D1072A">
              <w:rPr>
                <w:rFonts w:ascii="Arial Narrow" w:hAnsi="Arial Narrow"/>
                <w:sz w:val="20"/>
                <w:szCs w:val="20"/>
              </w:rPr>
              <w:t>: abdominal MRI once every 4 years</w:t>
            </w:r>
            <w:r>
              <w:rPr>
                <w:rFonts w:ascii="Arial Narrow" w:hAnsi="Arial Narrow"/>
                <w:sz w:val="20"/>
                <w:szCs w:val="20"/>
              </w:rPr>
              <w:t xml:space="preserve"> from age 18</w:t>
            </w:r>
          </w:p>
          <w:p w14:paraId="41A185DB"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Tumours should be treated expeditiously after diagnosis</w:t>
            </w:r>
          </w:p>
        </w:tc>
      </w:tr>
      <w:tr w:rsidR="007529B1" w:rsidRPr="00D1072A" w14:paraId="1237251E" w14:textId="77777777" w:rsidTr="00855E27">
        <w:tc>
          <w:tcPr>
            <w:tcW w:w="1980" w:type="dxa"/>
          </w:tcPr>
          <w:p w14:paraId="440F071D"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 xml:space="preserve">Translocation of chromosome 3 (involving </w:t>
            </w:r>
            <w:r w:rsidRPr="00D1072A">
              <w:rPr>
                <w:rFonts w:ascii="Arial Narrow" w:hAnsi="Arial Narrow"/>
                <w:i/>
                <w:sz w:val="20"/>
                <w:szCs w:val="20"/>
              </w:rPr>
              <w:t>VHL, PBRM1, BAP1</w:t>
            </w:r>
            <w:r w:rsidRPr="00D1072A">
              <w:rPr>
                <w:rFonts w:ascii="Arial Narrow" w:hAnsi="Arial Narrow"/>
                <w:sz w:val="20"/>
                <w:szCs w:val="20"/>
              </w:rPr>
              <w:t xml:space="preserve">, and/or </w:t>
            </w:r>
            <w:r w:rsidRPr="00D1072A">
              <w:rPr>
                <w:rFonts w:ascii="Arial Narrow" w:hAnsi="Arial Narrow"/>
                <w:i/>
                <w:sz w:val="20"/>
                <w:szCs w:val="20"/>
              </w:rPr>
              <w:t>SETD2</w:t>
            </w:r>
            <w:r w:rsidRPr="00D1072A">
              <w:rPr>
                <w:rFonts w:ascii="Arial Narrow" w:hAnsi="Arial Narrow"/>
                <w:sz w:val="20"/>
                <w:szCs w:val="20"/>
              </w:rPr>
              <w:t>)</w:t>
            </w:r>
          </w:p>
          <w:p w14:paraId="0F90C95E"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Activation of hypoxic response pathways</w:t>
            </w:r>
          </w:p>
        </w:tc>
        <w:tc>
          <w:tcPr>
            <w:tcW w:w="2551" w:type="dxa"/>
          </w:tcPr>
          <w:p w14:paraId="4089C8DB"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Up to 70% of patients develop clear cell RCC</w:t>
            </w:r>
          </w:p>
        </w:tc>
        <w:tc>
          <w:tcPr>
            <w:tcW w:w="4485" w:type="dxa"/>
          </w:tcPr>
          <w:p w14:paraId="00EB4BC2" w14:textId="77777777" w:rsidR="007529B1" w:rsidRDefault="007529B1" w:rsidP="00855E27">
            <w:pPr>
              <w:spacing w:before="40" w:after="40"/>
              <w:rPr>
                <w:rFonts w:ascii="Arial Narrow" w:hAnsi="Arial Narrow"/>
                <w:sz w:val="20"/>
                <w:szCs w:val="20"/>
              </w:rPr>
            </w:pPr>
            <w:r w:rsidRPr="00D1072A">
              <w:rPr>
                <w:rFonts w:ascii="Arial Narrow" w:hAnsi="Arial Narrow"/>
                <w:sz w:val="20"/>
                <w:szCs w:val="20"/>
              </w:rPr>
              <w:t>Annual surveillance is not necessary unless there is a history of renal cancer.</w:t>
            </w:r>
          </w:p>
          <w:p w14:paraId="5DC60EEB" w14:textId="77777777" w:rsidR="007529B1" w:rsidRPr="00D1072A" w:rsidRDefault="007529B1" w:rsidP="00855E27">
            <w:pPr>
              <w:spacing w:before="40" w:after="40"/>
              <w:rPr>
                <w:rFonts w:ascii="Arial Narrow" w:hAnsi="Arial Narrow"/>
                <w:sz w:val="20"/>
                <w:szCs w:val="20"/>
              </w:rPr>
            </w:pPr>
            <w:r w:rsidRPr="00394286">
              <w:rPr>
                <w:rFonts w:ascii="Arial Narrow" w:hAnsi="Arial Narrow"/>
                <w:sz w:val="20"/>
                <w:szCs w:val="20"/>
              </w:rPr>
              <w:t>When lesions are found they should be treated</w:t>
            </w:r>
          </w:p>
        </w:tc>
      </w:tr>
      <w:tr w:rsidR="007529B1" w:rsidRPr="00D1072A" w14:paraId="4B84708B" w14:textId="77777777" w:rsidTr="00855E27">
        <w:tc>
          <w:tcPr>
            <w:tcW w:w="1980" w:type="dxa"/>
          </w:tcPr>
          <w:p w14:paraId="6897A35F"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Lynch Syndrome (LS)</w:t>
            </w:r>
          </w:p>
          <w:p w14:paraId="1C636B8D" w14:textId="77777777" w:rsidR="007529B1" w:rsidRPr="00D1072A" w:rsidRDefault="007529B1" w:rsidP="00855E27">
            <w:pPr>
              <w:spacing w:before="40" w:after="40"/>
              <w:rPr>
                <w:rFonts w:ascii="Arial Narrow" w:hAnsi="Arial Narrow"/>
                <w:i/>
                <w:sz w:val="20"/>
                <w:szCs w:val="20"/>
              </w:rPr>
            </w:pPr>
            <w:r w:rsidRPr="00D1072A">
              <w:rPr>
                <w:rFonts w:ascii="Arial Narrow" w:hAnsi="Arial Narrow"/>
                <w:i/>
                <w:sz w:val="20"/>
                <w:szCs w:val="20"/>
              </w:rPr>
              <w:t>M</w:t>
            </w:r>
            <w:r>
              <w:rPr>
                <w:rFonts w:ascii="Arial Narrow" w:hAnsi="Arial Narrow"/>
                <w:i/>
                <w:sz w:val="20"/>
                <w:szCs w:val="20"/>
              </w:rPr>
              <w:t>L</w:t>
            </w:r>
            <w:r w:rsidRPr="00D1072A">
              <w:rPr>
                <w:rFonts w:ascii="Arial Narrow" w:hAnsi="Arial Narrow"/>
                <w:i/>
                <w:sz w:val="20"/>
                <w:szCs w:val="20"/>
              </w:rPr>
              <w:t>H1, MSH2, MSH6, PMS2, EPCAM</w:t>
            </w:r>
          </w:p>
          <w:p w14:paraId="2D21B340"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Activation of the mismatch DNA repair pathway</w:t>
            </w:r>
          </w:p>
        </w:tc>
        <w:tc>
          <w:tcPr>
            <w:tcW w:w="2551" w:type="dxa"/>
          </w:tcPr>
          <w:p w14:paraId="00E66C7B"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2–</w:t>
            </w:r>
            <w:r>
              <w:rPr>
                <w:rFonts w:ascii="Arial Narrow" w:hAnsi="Arial Narrow"/>
                <w:sz w:val="20"/>
                <w:szCs w:val="20"/>
              </w:rPr>
              <w:t>5</w:t>
            </w:r>
            <w:r w:rsidRPr="00D1072A">
              <w:rPr>
                <w:rFonts w:ascii="Arial Narrow" w:hAnsi="Arial Narrow"/>
                <w:sz w:val="20"/>
                <w:szCs w:val="20"/>
              </w:rPr>
              <w:t>% of patients develop upper urothelial malignancies</w:t>
            </w:r>
          </w:p>
          <w:p w14:paraId="22DC5013"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 xml:space="preserve">1% develop renal cell adenocarcinomas </w:t>
            </w:r>
          </w:p>
        </w:tc>
        <w:tc>
          <w:tcPr>
            <w:tcW w:w="4485" w:type="dxa"/>
          </w:tcPr>
          <w:p w14:paraId="78F8B4E1"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 xml:space="preserve">Annual urinalysis with cytology </w:t>
            </w:r>
            <w:r>
              <w:rPr>
                <w:rFonts w:ascii="Arial Narrow" w:hAnsi="Arial Narrow"/>
                <w:sz w:val="20"/>
                <w:szCs w:val="20"/>
              </w:rPr>
              <w:t>to detect</w:t>
            </w:r>
            <w:r w:rsidRPr="00501EA7">
              <w:rPr>
                <w:rFonts w:ascii="Arial Narrow" w:hAnsi="Arial Narrow"/>
                <w:sz w:val="20"/>
                <w:szCs w:val="20"/>
              </w:rPr>
              <w:t xml:space="preserve"> microscopic h</w:t>
            </w:r>
            <w:r>
              <w:rPr>
                <w:rFonts w:ascii="Arial Narrow" w:hAnsi="Arial Narrow"/>
                <w:sz w:val="20"/>
                <w:szCs w:val="20"/>
              </w:rPr>
              <w:t>a</w:t>
            </w:r>
            <w:r w:rsidRPr="00501EA7">
              <w:rPr>
                <w:rFonts w:ascii="Arial Narrow" w:hAnsi="Arial Narrow"/>
                <w:sz w:val="20"/>
                <w:szCs w:val="20"/>
              </w:rPr>
              <w:t>ematuria</w:t>
            </w:r>
            <w:r>
              <w:rPr>
                <w:rFonts w:ascii="Arial Narrow" w:hAnsi="Arial Narrow"/>
                <w:sz w:val="20"/>
                <w:szCs w:val="20"/>
              </w:rPr>
              <w:t xml:space="preserve"> is</w:t>
            </w:r>
            <w:r w:rsidRPr="00D1072A">
              <w:rPr>
                <w:rFonts w:ascii="Arial Narrow" w:hAnsi="Arial Narrow"/>
                <w:sz w:val="20"/>
                <w:szCs w:val="20"/>
              </w:rPr>
              <w:t xml:space="preserve"> recommended. No recommendations for routine imaging</w:t>
            </w:r>
          </w:p>
          <w:p w14:paraId="7840081E"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 xml:space="preserve">If there are any sign of haematuria, CT Urography is the preferred imaging modality, but MR urography can be helpful </w:t>
            </w:r>
          </w:p>
        </w:tc>
      </w:tr>
      <w:tr w:rsidR="007529B1" w:rsidRPr="00D1072A" w14:paraId="0D22C11E" w14:textId="77777777" w:rsidTr="00855E27">
        <w:tc>
          <w:tcPr>
            <w:tcW w:w="1980" w:type="dxa"/>
          </w:tcPr>
          <w:p w14:paraId="32DE51E6"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Renal Medullary Cancer (RMC) in association with sickle cell trait</w:t>
            </w:r>
          </w:p>
          <w:p w14:paraId="15F8B063" w14:textId="77777777" w:rsidR="007529B1" w:rsidRPr="00D1072A" w:rsidRDefault="007529B1" w:rsidP="00855E27">
            <w:pPr>
              <w:spacing w:before="40" w:after="40"/>
              <w:rPr>
                <w:rFonts w:ascii="Arial Narrow" w:hAnsi="Arial Narrow"/>
                <w:i/>
                <w:sz w:val="20"/>
                <w:szCs w:val="20"/>
              </w:rPr>
            </w:pPr>
            <w:r w:rsidRPr="00D1072A">
              <w:rPr>
                <w:rFonts w:ascii="Arial Narrow" w:hAnsi="Arial Narrow"/>
                <w:i/>
                <w:sz w:val="20"/>
                <w:szCs w:val="20"/>
              </w:rPr>
              <w:t>HBB</w:t>
            </w:r>
          </w:p>
          <w:p w14:paraId="0093728D"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Leads to tissue hypoxia and a secondary erythrocytosis</w:t>
            </w:r>
          </w:p>
        </w:tc>
        <w:tc>
          <w:tcPr>
            <w:tcW w:w="2551" w:type="dxa"/>
          </w:tcPr>
          <w:p w14:paraId="339E419F"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RMC is a highly aggressive type of renal cancer but is very uncommon</w:t>
            </w:r>
          </w:p>
        </w:tc>
        <w:tc>
          <w:tcPr>
            <w:tcW w:w="4485" w:type="dxa"/>
          </w:tcPr>
          <w:p w14:paraId="594845A8"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 xml:space="preserve">No recommendations for </w:t>
            </w:r>
            <w:r>
              <w:rPr>
                <w:rFonts w:ascii="Arial Narrow" w:hAnsi="Arial Narrow"/>
                <w:sz w:val="20"/>
                <w:szCs w:val="20"/>
              </w:rPr>
              <w:t>surveillance</w:t>
            </w:r>
          </w:p>
          <w:p w14:paraId="44A51BA7"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Once a tumour is discovered it should be treated as soon as possible</w:t>
            </w:r>
          </w:p>
        </w:tc>
      </w:tr>
      <w:tr w:rsidR="007529B1" w:rsidRPr="00D1072A" w14:paraId="0F4364AA" w14:textId="77777777" w:rsidTr="00855E27">
        <w:tc>
          <w:tcPr>
            <w:tcW w:w="1980" w:type="dxa"/>
          </w:tcPr>
          <w:p w14:paraId="09576183" w14:textId="77777777" w:rsidR="007529B1" w:rsidRPr="00D1072A" w:rsidRDefault="007529B1" w:rsidP="00855E27">
            <w:pPr>
              <w:spacing w:before="40" w:after="40"/>
              <w:rPr>
                <w:rFonts w:ascii="Arial Narrow" w:hAnsi="Arial Narrow"/>
                <w:sz w:val="20"/>
                <w:szCs w:val="20"/>
              </w:rPr>
            </w:pPr>
            <w:r w:rsidRPr="00FD2173">
              <w:rPr>
                <w:rFonts w:ascii="Arial Narrow" w:hAnsi="Arial Narrow"/>
                <w:i/>
                <w:sz w:val="20"/>
                <w:szCs w:val="20"/>
              </w:rPr>
              <w:t>PTEN</w:t>
            </w:r>
            <w:r w:rsidRPr="00D1072A">
              <w:rPr>
                <w:rFonts w:ascii="Arial Narrow" w:hAnsi="Arial Narrow"/>
                <w:sz w:val="20"/>
                <w:szCs w:val="20"/>
              </w:rPr>
              <w:t xml:space="preserve"> hamartoma tumour syndrome (PHTS)</w:t>
            </w:r>
          </w:p>
          <w:p w14:paraId="7844883F" w14:textId="77777777" w:rsidR="007529B1" w:rsidRPr="00D1072A" w:rsidRDefault="007529B1" w:rsidP="00855E27">
            <w:pPr>
              <w:spacing w:before="40" w:after="40"/>
              <w:rPr>
                <w:rFonts w:ascii="Arial Narrow" w:hAnsi="Arial Narrow"/>
                <w:i/>
                <w:sz w:val="20"/>
                <w:szCs w:val="20"/>
              </w:rPr>
            </w:pPr>
            <w:r w:rsidRPr="00D1072A">
              <w:rPr>
                <w:rFonts w:ascii="Arial Narrow" w:hAnsi="Arial Narrow"/>
                <w:i/>
                <w:sz w:val="20"/>
                <w:szCs w:val="20"/>
              </w:rPr>
              <w:t>PTEN</w:t>
            </w:r>
          </w:p>
          <w:p w14:paraId="782BD8C9"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Activation of phosphoinositide 3-kinase (PI3K) signalling pathway</w:t>
            </w:r>
          </w:p>
        </w:tc>
        <w:tc>
          <w:tcPr>
            <w:tcW w:w="2551" w:type="dxa"/>
          </w:tcPr>
          <w:p w14:paraId="4528999F"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The lifetime risk of RCC is estimated to be 5-35%. Cancers are</w:t>
            </w:r>
            <w:r w:rsidRPr="00D1072A">
              <w:t xml:space="preserve"> </w:t>
            </w:r>
            <w:r w:rsidRPr="00D1072A">
              <w:rPr>
                <w:rFonts w:ascii="Arial Narrow" w:hAnsi="Arial Narrow"/>
                <w:sz w:val="20"/>
                <w:szCs w:val="20"/>
              </w:rPr>
              <w:t>papillary or chromophobe in nature</w:t>
            </w:r>
          </w:p>
        </w:tc>
        <w:tc>
          <w:tcPr>
            <w:tcW w:w="4485" w:type="dxa"/>
          </w:tcPr>
          <w:p w14:paraId="419A3351" w14:textId="77777777" w:rsidR="007529B1" w:rsidRDefault="007529B1" w:rsidP="00855E27">
            <w:pPr>
              <w:spacing w:before="40" w:after="40"/>
              <w:rPr>
                <w:rFonts w:ascii="Arial Narrow" w:hAnsi="Arial Narrow"/>
                <w:sz w:val="20"/>
                <w:szCs w:val="20"/>
              </w:rPr>
            </w:pPr>
            <w:r>
              <w:rPr>
                <w:rFonts w:ascii="Arial Narrow" w:hAnsi="Arial Narrow"/>
                <w:sz w:val="20"/>
                <w:szCs w:val="20"/>
              </w:rPr>
              <w:t>2-yearly</w:t>
            </w:r>
            <w:r w:rsidRPr="00D1072A">
              <w:rPr>
                <w:rFonts w:ascii="Arial Narrow" w:hAnsi="Arial Narrow"/>
                <w:sz w:val="20"/>
                <w:szCs w:val="20"/>
              </w:rPr>
              <w:t xml:space="preserve"> abdominal MRI</w:t>
            </w:r>
            <w:r>
              <w:rPr>
                <w:rFonts w:ascii="Arial Narrow" w:hAnsi="Arial Narrow"/>
                <w:sz w:val="20"/>
                <w:szCs w:val="20"/>
              </w:rPr>
              <w:t xml:space="preserve"> or US</w:t>
            </w:r>
            <w:r w:rsidRPr="00D1072A">
              <w:rPr>
                <w:rFonts w:ascii="Arial Narrow" w:hAnsi="Arial Narrow"/>
                <w:sz w:val="20"/>
                <w:szCs w:val="20"/>
              </w:rPr>
              <w:t xml:space="preserve"> starting at age 40</w:t>
            </w:r>
          </w:p>
          <w:p w14:paraId="53AF7A00" w14:textId="77777777" w:rsidR="007529B1" w:rsidRPr="00D1072A" w:rsidRDefault="007529B1" w:rsidP="00855E27">
            <w:pPr>
              <w:spacing w:before="40" w:after="40"/>
              <w:rPr>
                <w:rFonts w:ascii="Arial Narrow" w:hAnsi="Arial Narrow"/>
                <w:sz w:val="20"/>
                <w:szCs w:val="20"/>
              </w:rPr>
            </w:pPr>
            <w:r>
              <w:rPr>
                <w:rFonts w:ascii="Arial Narrow" w:hAnsi="Arial Narrow"/>
                <w:sz w:val="20"/>
                <w:szCs w:val="20"/>
              </w:rPr>
              <w:t>2-yearly US</w:t>
            </w:r>
          </w:p>
          <w:p w14:paraId="0DE82819"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 xml:space="preserve">The French Cowden Disease Network proposed to begin screening at 30 years </w:t>
            </w:r>
          </w:p>
          <w:p w14:paraId="1E56EF3F"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Annual imaging if family history of renal cancer</w:t>
            </w:r>
          </w:p>
          <w:p w14:paraId="08250527"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Treatment decisions must balance the risk of metastatic RCC with maintenance of kidney function</w:t>
            </w:r>
          </w:p>
        </w:tc>
      </w:tr>
      <w:tr w:rsidR="007529B1" w:rsidRPr="00D1072A" w14:paraId="066748EB" w14:textId="77777777" w:rsidTr="00855E27">
        <w:tc>
          <w:tcPr>
            <w:tcW w:w="1980" w:type="dxa"/>
          </w:tcPr>
          <w:p w14:paraId="277989C7" w14:textId="77777777" w:rsidR="007529B1" w:rsidRPr="00D1072A" w:rsidRDefault="007529B1" w:rsidP="00855E27">
            <w:pPr>
              <w:spacing w:before="40" w:after="40"/>
              <w:rPr>
                <w:rFonts w:ascii="Arial Narrow" w:hAnsi="Arial Narrow"/>
                <w:sz w:val="20"/>
                <w:szCs w:val="20"/>
              </w:rPr>
            </w:pPr>
            <w:r w:rsidRPr="00FD2173">
              <w:rPr>
                <w:rFonts w:ascii="Arial Narrow" w:hAnsi="Arial Narrow"/>
                <w:i/>
                <w:sz w:val="20"/>
                <w:szCs w:val="20"/>
              </w:rPr>
              <w:t>BAP1</w:t>
            </w:r>
            <w:r w:rsidRPr="00D1072A">
              <w:rPr>
                <w:rFonts w:ascii="Arial Narrow" w:hAnsi="Arial Narrow"/>
                <w:sz w:val="20"/>
                <w:szCs w:val="20"/>
              </w:rPr>
              <w:t xml:space="preserve"> tumour pre-disposition syndrome</w:t>
            </w:r>
          </w:p>
          <w:p w14:paraId="7CA75DB9" w14:textId="77777777" w:rsidR="007529B1" w:rsidRPr="00D1072A" w:rsidRDefault="007529B1" w:rsidP="00855E27">
            <w:pPr>
              <w:spacing w:before="40" w:after="40"/>
              <w:rPr>
                <w:rFonts w:ascii="Arial Narrow" w:hAnsi="Arial Narrow"/>
                <w:i/>
                <w:sz w:val="20"/>
                <w:szCs w:val="20"/>
              </w:rPr>
            </w:pPr>
            <w:r w:rsidRPr="00D1072A">
              <w:rPr>
                <w:rFonts w:ascii="Arial Narrow" w:hAnsi="Arial Narrow"/>
                <w:i/>
                <w:sz w:val="20"/>
                <w:szCs w:val="20"/>
              </w:rPr>
              <w:t>BAP1</w:t>
            </w:r>
          </w:p>
          <w:p w14:paraId="3BC37885"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Altered chromatin architecture, DNA damage response and cell cycle regulation</w:t>
            </w:r>
          </w:p>
        </w:tc>
        <w:tc>
          <w:tcPr>
            <w:tcW w:w="2551" w:type="dxa"/>
          </w:tcPr>
          <w:p w14:paraId="54F358F6"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9–13% of patients develop clear cell carcinoma</w:t>
            </w:r>
          </w:p>
        </w:tc>
        <w:tc>
          <w:tcPr>
            <w:tcW w:w="4485" w:type="dxa"/>
          </w:tcPr>
          <w:p w14:paraId="16A8BC9F"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 xml:space="preserve">Annual imaging with alliterating MRI and </w:t>
            </w:r>
            <w:r>
              <w:rPr>
                <w:rFonts w:ascii="Arial Narrow" w:hAnsi="Arial Narrow"/>
                <w:sz w:val="20"/>
                <w:szCs w:val="20"/>
              </w:rPr>
              <w:t>US</w:t>
            </w:r>
            <w:r w:rsidRPr="00D1072A">
              <w:rPr>
                <w:rFonts w:ascii="Arial Narrow" w:hAnsi="Arial Narrow"/>
                <w:sz w:val="20"/>
                <w:szCs w:val="20"/>
              </w:rPr>
              <w:t xml:space="preserve"> from age 30 years (</w:t>
            </w:r>
            <w:proofErr w:type="spellStart"/>
            <w:r w:rsidRPr="00D90305">
              <w:rPr>
                <w:rFonts w:ascii="Arial Narrow" w:hAnsi="Arial Narrow"/>
                <w:sz w:val="20"/>
                <w:szCs w:val="20"/>
              </w:rPr>
              <w:t>EviQ</w:t>
            </w:r>
            <w:proofErr w:type="spellEnd"/>
            <w:r>
              <w:rPr>
                <w:rFonts w:ascii="Arial Narrow" w:hAnsi="Arial Narrow"/>
                <w:sz w:val="20"/>
                <w:szCs w:val="20"/>
              </w:rPr>
              <w:t>: BAP1 – risk management</w:t>
            </w:r>
            <w:r w:rsidRPr="00D1072A">
              <w:rPr>
                <w:rFonts w:ascii="Arial Narrow" w:hAnsi="Arial Narrow"/>
                <w:sz w:val="20"/>
                <w:szCs w:val="20"/>
              </w:rPr>
              <w:t>)</w:t>
            </w:r>
          </w:p>
          <w:p w14:paraId="6258DEC6"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Treatment decisions must balance the risk of metastatic RCC with maintenance of kidney function</w:t>
            </w:r>
            <w:r>
              <w:rPr>
                <w:rFonts w:ascii="Arial Narrow" w:hAnsi="Arial Narrow"/>
                <w:sz w:val="20"/>
                <w:szCs w:val="20"/>
              </w:rPr>
              <w:t xml:space="preserve"> </w:t>
            </w:r>
          </w:p>
        </w:tc>
      </w:tr>
      <w:tr w:rsidR="007529B1" w:rsidRPr="00D1072A" w14:paraId="353A52A7" w14:textId="77777777" w:rsidTr="00855E27">
        <w:tc>
          <w:tcPr>
            <w:tcW w:w="1980" w:type="dxa"/>
          </w:tcPr>
          <w:p w14:paraId="436523EE"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lastRenderedPageBreak/>
              <w:t>Familial non-syndromic Renal Cancer (FRC)</w:t>
            </w:r>
          </w:p>
          <w:p w14:paraId="1A204305"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No identified genetic cause</w:t>
            </w:r>
          </w:p>
          <w:p w14:paraId="62B7DD52" w14:textId="77777777" w:rsidR="007529B1" w:rsidRPr="00D1072A" w:rsidRDefault="007529B1" w:rsidP="00855E27">
            <w:pPr>
              <w:spacing w:before="40" w:after="40"/>
              <w:rPr>
                <w:rFonts w:ascii="Arial Narrow" w:hAnsi="Arial Narrow"/>
                <w:sz w:val="20"/>
                <w:szCs w:val="20"/>
                <w:highlight w:val="yellow"/>
              </w:rPr>
            </w:pPr>
            <w:r w:rsidRPr="00D1072A">
              <w:rPr>
                <w:rFonts w:ascii="Arial Narrow" w:hAnsi="Arial Narrow"/>
                <w:sz w:val="20"/>
                <w:szCs w:val="20"/>
              </w:rPr>
              <w:t xml:space="preserve">Likely to be multigene inheritance </w:t>
            </w:r>
          </w:p>
        </w:tc>
        <w:tc>
          <w:tcPr>
            <w:tcW w:w="2551" w:type="dxa"/>
          </w:tcPr>
          <w:p w14:paraId="42B29012"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Tumours are typically clear cell carcinomas</w:t>
            </w:r>
          </w:p>
        </w:tc>
        <w:tc>
          <w:tcPr>
            <w:tcW w:w="4485" w:type="dxa"/>
          </w:tcPr>
          <w:p w14:paraId="574DD0FD"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No specific recommendations</w:t>
            </w:r>
          </w:p>
          <w:p w14:paraId="5F575A91" w14:textId="77777777" w:rsidR="007529B1" w:rsidRPr="00D1072A" w:rsidRDefault="007529B1" w:rsidP="00855E27">
            <w:pPr>
              <w:spacing w:before="40" w:after="40"/>
              <w:rPr>
                <w:rFonts w:ascii="Arial Narrow" w:hAnsi="Arial Narrow"/>
                <w:sz w:val="20"/>
                <w:szCs w:val="20"/>
              </w:rPr>
            </w:pPr>
            <w:r w:rsidRPr="00D1072A">
              <w:rPr>
                <w:rFonts w:ascii="Arial Narrow" w:hAnsi="Arial Narrow"/>
                <w:sz w:val="20"/>
                <w:szCs w:val="20"/>
              </w:rPr>
              <w:t>Treatment decisions must balance the risk of metastatic RCC with maintenance of kidney function</w:t>
            </w:r>
          </w:p>
        </w:tc>
      </w:tr>
    </w:tbl>
    <w:p w14:paraId="1981B2AD" w14:textId="5292CF5F" w:rsidR="007529B1" w:rsidRDefault="00522F89" w:rsidP="00DA518E">
      <w:pPr>
        <w:pStyle w:val="TableFigureFooter"/>
      </w:pPr>
      <w:r w:rsidRPr="00522F89">
        <w:t xml:space="preserve">Source: </w:t>
      </w:r>
      <w:r w:rsidR="009C650A">
        <w:fldChar w:fldCharType="begin"/>
      </w:r>
      <w:r w:rsidR="009C650A">
        <w:instrText xml:space="preserve"> REF _Ref116895048 \h </w:instrText>
      </w:r>
      <w:r w:rsidR="009C650A">
        <w:fldChar w:fldCharType="separate"/>
      </w:r>
      <w:r w:rsidR="00CB2A40" w:rsidRPr="00D1072A">
        <w:t xml:space="preserve">Table </w:t>
      </w:r>
      <w:r w:rsidR="00CB2A40">
        <w:rPr>
          <w:noProof/>
        </w:rPr>
        <w:t>19</w:t>
      </w:r>
      <w:r w:rsidR="009C650A">
        <w:fldChar w:fldCharType="end"/>
      </w:r>
      <w:r w:rsidR="00906E9D">
        <w:t xml:space="preserve"> in </w:t>
      </w:r>
      <w:r w:rsidR="00730EC1">
        <w:t>DCAR</w:t>
      </w:r>
    </w:p>
    <w:p w14:paraId="1FB060CE" w14:textId="77777777" w:rsidR="007529B1" w:rsidRPr="00D1072A" w:rsidRDefault="007529B1" w:rsidP="00DA518E">
      <w:pPr>
        <w:pStyle w:val="TableFigureFooter"/>
      </w:pPr>
      <w:r w:rsidRPr="00D1072A">
        <w:t>AML = angiomyolipoma;</w:t>
      </w:r>
      <w:r>
        <w:t xml:space="preserve"> CT = computed tomography; DNA = deoxyribonucleic acid; </w:t>
      </w:r>
      <w:r w:rsidRPr="00496734">
        <w:t xml:space="preserve">HLRCC </w:t>
      </w:r>
      <w:r>
        <w:t>= h</w:t>
      </w:r>
      <w:r w:rsidRPr="00496734">
        <w:t xml:space="preserve">ereditary </w:t>
      </w:r>
      <w:r>
        <w:t>l</w:t>
      </w:r>
      <w:r w:rsidRPr="00496734">
        <w:t xml:space="preserve">eiomyoma </w:t>
      </w:r>
      <w:r>
        <w:t>r</w:t>
      </w:r>
      <w:r w:rsidRPr="00496734">
        <w:t xml:space="preserve">enal </w:t>
      </w:r>
      <w:r>
        <w:t>c</w:t>
      </w:r>
      <w:r w:rsidRPr="00496734">
        <w:t xml:space="preserve">ell </w:t>
      </w:r>
      <w:r>
        <w:t>c</w:t>
      </w:r>
      <w:r w:rsidRPr="00496734">
        <w:t>arcinoma</w:t>
      </w:r>
      <w:r>
        <w:t>;</w:t>
      </w:r>
      <w:r w:rsidRPr="00496734">
        <w:t xml:space="preserve"> </w:t>
      </w:r>
      <w:r>
        <w:t>MRI = magnetic resonance imaging;</w:t>
      </w:r>
      <w:r w:rsidRPr="00D1072A">
        <w:t xml:space="preserve"> </w:t>
      </w:r>
      <w:r>
        <w:t xml:space="preserve">mTOR = </w:t>
      </w:r>
      <w:r w:rsidRPr="00DE64FC">
        <w:t>mammalian target of rapamycin</w:t>
      </w:r>
      <w:r>
        <w:t>;</w:t>
      </w:r>
      <w:r w:rsidRPr="00DE64FC">
        <w:t xml:space="preserve"> </w:t>
      </w:r>
      <w:r w:rsidRPr="00D1072A">
        <w:t>RCC = renal cell carcinoma</w:t>
      </w:r>
      <w:r>
        <w:t xml:space="preserve">; </w:t>
      </w:r>
      <w:r w:rsidRPr="00FD2173">
        <w:t xml:space="preserve">RMC </w:t>
      </w:r>
      <w:r>
        <w:t>= r</w:t>
      </w:r>
      <w:r w:rsidRPr="00FD2173">
        <w:t xml:space="preserve">enal </w:t>
      </w:r>
      <w:r>
        <w:t>m</w:t>
      </w:r>
      <w:r w:rsidRPr="00FD2173">
        <w:t xml:space="preserve">edullary </w:t>
      </w:r>
      <w:r>
        <w:t>c</w:t>
      </w:r>
      <w:r w:rsidRPr="00FD2173">
        <w:t>ancer</w:t>
      </w:r>
      <w:r>
        <w:t>;</w:t>
      </w:r>
      <w:r w:rsidRPr="00FD2173">
        <w:t xml:space="preserve"> </w:t>
      </w:r>
      <w:r>
        <w:t>US = ultrasound</w:t>
      </w:r>
    </w:p>
    <w:p w14:paraId="4C7E7D07" w14:textId="77777777" w:rsidR="00215D94" w:rsidRPr="00D1072A" w:rsidRDefault="00215D94" w:rsidP="00215D94">
      <w:pPr>
        <w:pStyle w:val="Heading3"/>
      </w:pPr>
      <w:bookmarkStart w:id="13" w:name="_Toc121853582"/>
      <w:r w:rsidRPr="00D1072A">
        <w:t>PICO Set 2</w:t>
      </w:r>
      <w:bookmarkEnd w:id="13"/>
    </w:p>
    <w:p w14:paraId="2B8F463E" w14:textId="77777777" w:rsidR="00215D94" w:rsidRPr="00D1072A" w:rsidRDefault="00215D94" w:rsidP="00215D94">
      <w:bookmarkStart w:id="14" w:name="_Hlk118820466"/>
      <w:r w:rsidRPr="00FD2173">
        <w:t xml:space="preserve">The target population for PICO set 2 are </w:t>
      </w:r>
      <w:r>
        <w:t>p</w:t>
      </w:r>
      <w:r w:rsidRPr="00D1072A">
        <w:t xml:space="preserve">atients diagnosed with a syndrome associated with increased risk of kidney cancer </w:t>
      </w:r>
      <w:r>
        <w:t xml:space="preserve">who require monitoring </w:t>
      </w:r>
      <w:r w:rsidRPr="00D1072A">
        <w:t xml:space="preserve">for the purposes of evaluating changes in clinical condition or suspected complications of known renal tumours arising between their annual surveillance MRI, or </w:t>
      </w:r>
      <w:r w:rsidR="00D37503">
        <w:t>to assess the effect of</w:t>
      </w:r>
      <w:r w:rsidRPr="00D1072A">
        <w:t xml:space="preserve"> </w:t>
      </w:r>
      <w:r w:rsidR="00D37503">
        <w:t xml:space="preserve">a new </w:t>
      </w:r>
      <w:r w:rsidRPr="00D1072A">
        <w:t>disease specific therapeutic intervention.</w:t>
      </w:r>
    </w:p>
    <w:bookmarkEnd w:id="14"/>
    <w:p w14:paraId="3286840D" w14:textId="77777777" w:rsidR="00215D94" w:rsidRPr="00D1072A" w:rsidRDefault="00215D94" w:rsidP="00215D94">
      <w:r w:rsidRPr="00D1072A">
        <w:t>Given that up to 80% of patients with TSC experience</w:t>
      </w:r>
      <w:r>
        <w:t xml:space="preserve"> AML</w:t>
      </w:r>
      <w:r w:rsidRPr="00D1072A">
        <w:t xml:space="preserve">, it may be reasonable to expect that </w:t>
      </w:r>
      <w:r w:rsidR="00A54095">
        <w:t>a large proportion of</w:t>
      </w:r>
      <w:r w:rsidRPr="00D1072A">
        <w:t xml:space="preserve"> patients accessing MRI for assessment of treatment response, will be those receiving treatment for TSC-related AML. For patients</w:t>
      </w:r>
      <w:r w:rsidRPr="00BF7341">
        <w:t xml:space="preserve"> with </w:t>
      </w:r>
      <w:r w:rsidRPr="00D1072A">
        <w:t>TSC, treatment response assessment would be expected three to six months after initiation of mTOR inhibitor therapy (</w:t>
      </w:r>
      <w:proofErr w:type="spellStart"/>
      <w:r w:rsidRPr="00D1072A">
        <w:t>everolimus</w:t>
      </w:r>
      <w:proofErr w:type="spellEnd"/>
      <w:r w:rsidRPr="00D1072A">
        <w:t>).</w:t>
      </w:r>
    </w:p>
    <w:p w14:paraId="6D84C428" w14:textId="77777777" w:rsidR="00215D94" w:rsidRPr="00D1072A" w:rsidRDefault="00215D94" w:rsidP="00215D94">
      <w:r w:rsidRPr="00D1072A">
        <w:t xml:space="preserve">For patients with </w:t>
      </w:r>
      <w:r>
        <w:t xml:space="preserve">other </w:t>
      </w:r>
      <w:r w:rsidRPr="00D1072A">
        <w:t>hereditary</w:t>
      </w:r>
      <w:r>
        <w:t xml:space="preserve"> </w:t>
      </w:r>
      <w:r w:rsidRPr="002E1D2E">
        <w:t xml:space="preserve">renal tumour </w:t>
      </w:r>
      <w:r w:rsidRPr="00D1072A">
        <w:t xml:space="preserve">syndromes, initial treatment may vary based on syndrome, as well as type, </w:t>
      </w:r>
      <w:proofErr w:type="gramStart"/>
      <w:r w:rsidRPr="00D1072A">
        <w:t>size</w:t>
      </w:r>
      <w:proofErr w:type="gramEnd"/>
      <w:r w:rsidRPr="00D1072A">
        <w:t xml:space="preserve"> and growth of the tumour. Treatment may include pharmacological options, if available, as well as invasive </w:t>
      </w:r>
      <w:r w:rsidR="001D164A" w:rsidRPr="00D1072A">
        <w:t>ablati</w:t>
      </w:r>
      <w:r w:rsidR="001D164A">
        <w:t>ve</w:t>
      </w:r>
      <w:r w:rsidR="001D164A" w:rsidRPr="00D1072A">
        <w:t xml:space="preserve"> </w:t>
      </w:r>
      <w:r w:rsidRPr="00D1072A">
        <w:t xml:space="preserve">procedures and partial </w:t>
      </w:r>
      <w:r w:rsidR="001D164A">
        <w:t xml:space="preserve">or radical </w:t>
      </w:r>
      <w:r w:rsidRPr="00D1072A">
        <w:t>nephrectomy.</w:t>
      </w:r>
    </w:p>
    <w:p w14:paraId="19661FC8" w14:textId="77777777" w:rsidR="00D357FF" w:rsidRDefault="00251576" w:rsidP="00251576">
      <w:r w:rsidRPr="00D1072A">
        <w:t xml:space="preserve">In current Australian clinical practice, </w:t>
      </w:r>
      <w:r w:rsidR="00D357FF">
        <w:t xml:space="preserve">RCC </w:t>
      </w:r>
      <w:r w:rsidRPr="00D1072A">
        <w:t xml:space="preserve">response to treatment is </w:t>
      </w:r>
      <w:r w:rsidR="00325369" w:rsidRPr="00D1072A">
        <w:t>mo</w:t>
      </w:r>
      <w:r w:rsidR="00325369">
        <w:t>re</w:t>
      </w:r>
      <w:r w:rsidR="00325369" w:rsidRPr="00D1072A">
        <w:t xml:space="preserve"> </w:t>
      </w:r>
      <w:r w:rsidRPr="00D1072A">
        <w:t xml:space="preserve">likely to be monitored by CT rather than MRI. </w:t>
      </w:r>
      <w:r w:rsidR="00D357FF">
        <w:t>Thus,</w:t>
      </w:r>
      <w:r w:rsidR="00D357FF" w:rsidRPr="00D357FF">
        <w:t xml:space="preserve"> </w:t>
      </w:r>
      <w:r w:rsidR="00D357FF">
        <w:t>MRI is likely to replace CT to monitor treatment effectiveness in RCC.</w:t>
      </w:r>
    </w:p>
    <w:p w14:paraId="7DDDE8D6" w14:textId="77777777" w:rsidR="00251576" w:rsidRPr="00D1072A" w:rsidRDefault="00D357FF" w:rsidP="00251576">
      <w:r>
        <w:t xml:space="preserve">It is unclear if US is currently used to monitor the response to treatment in Australian clinical practice. It </w:t>
      </w:r>
      <w:r w:rsidR="00456AE4">
        <w:t>may be used</w:t>
      </w:r>
      <w:r>
        <w:t xml:space="preserve"> to monitor the response of AML</w:t>
      </w:r>
      <w:r w:rsidR="00325369">
        <w:t>s</w:t>
      </w:r>
      <w:r>
        <w:t xml:space="preserve"> to mTOR inhibitors.</w:t>
      </w:r>
      <w:r w:rsidR="00325369">
        <w:t xml:space="preserve"> However, it is uncertain if abdominal MRI would replace US for this application.</w:t>
      </w:r>
      <w:r w:rsidR="00325369" w:rsidRPr="00325369">
        <w:t xml:space="preserve"> </w:t>
      </w:r>
      <w:r w:rsidR="00325369">
        <w:t>It is also uncertain if abdominal MRI would be required as an additional test.</w:t>
      </w:r>
      <w:r w:rsidR="00456AE4">
        <w:t xml:space="preserve"> No evidence on the use of MRI compared to US to monitor treatment response was identified in the literature search to answer this question.</w:t>
      </w:r>
    </w:p>
    <w:p w14:paraId="453A47E3" w14:textId="77777777" w:rsidR="00772829" w:rsidRPr="00D1072A" w:rsidRDefault="006224B0" w:rsidP="002A18BE">
      <w:pPr>
        <w:pStyle w:val="Heading2"/>
        <w:numPr>
          <w:ilvl w:val="0"/>
          <w:numId w:val="0"/>
        </w:numPr>
      </w:pPr>
      <w:bookmarkStart w:id="15" w:name="_Toc121853583"/>
      <w:r>
        <w:t>8</w:t>
      </w:r>
      <w:r w:rsidR="00C36633" w:rsidRPr="00D1072A">
        <w:t>.</w:t>
      </w:r>
      <w:r w:rsidR="00C36633" w:rsidRPr="00D1072A">
        <w:tab/>
      </w:r>
      <w:r w:rsidR="00772829" w:rsidRPr="00D1072A">
        <w:t>Comparator</w:t>
      </w:r>
      <w:r w:rsidR="0051415E">
        <w:t>s</w:t>
      </w:r>
      <w:bookmarkEnd w:id="15"/>
    </w:p>
    <w:p w14:paraId="67E4A9E7" w14:textId="77777777" w:rsidR="0051415E" w:rsidRPr="00D1072A" w:rsidRDefault="0051415E" w:rsidP="0051415E">
      <w:pPr>
        <w:pStyle w:val="Heading3"/>
      </w:pPr>
      <w:bookmarkStart w:id="16" w:name="_Toc121853584"/>
      <w:r w:rsidRPr="00D1072A">
        <w:t>Computed tomography</w:t>
      </w:r>
      <w:bookmarkEnd w:id="16"/>
    </w:p>
    <w:p w14:paraId="4A56E5F9" w14:textId="77777777" w:rsidR="0051415E" w:rsidRPr="00D1072A" w:rsidRDefault="0051415E" w:rsidP="0051415E">
      <w:r w:rsidRPr="00D1072A">
        <w:t xml:space="preserve">In Australian clinical practice, multiphase abdominal </w:t>
      </w:r>
      <w:r>
        <w:t>contrast-enhanced CT (</w:t>
      </w:r>
      <w:r w:rsidRPr="00D1072A">
        <w:t>CECT</w:t>
      </w:r>
      <w:r>
        <w:t>)</w:t>
      </w:r>
      <w:r w:rsidRPr="00D1072A">
        <w:t xml:space="preserve"> scans are associated with the MBS items 56407 and 56507. Multiphasic CECT imaging is usually performed in </w:t>
      </w:r>
      <w:r>
        <w:t>three</w:t>
      </w:r>
      <w:r w:rsidRPr="00D1072A">
        <w:t xml:space="preserve"> phases (unenhanced, arterial/corticomedullary phase, and nephrogenic phase with or without the excretory phase). However, some institutions may only do the unenhanced and nephrogenic phases, as the arterial/corticomedullary phase is only required for treatment planning.</w:t>
      </w:r>
      <w:r w:rsidRPr="003A0CD5">
        <w:t xml:space="preserve"> </w:t>
      </w:r>
      <w:r w:rsidR="00521A89">
        <w:t>I</w:t>
      </w:r>
      <w:r w:rsidRPr="003A0CD5">
        <w:t xml:space="preserve">mage acquisition using CT is </w:t>
      </w:r>
      <w:r>
        <w:t>faster</w:t>
      </w:r>
      <w:r w:rsidRPr="003A0CD5">
        <w:t xml:space="preserve"> than for MRI.</w:t>
      </w:r>
    </w:p>
    <w:p w14:paraId="02C1603F" w14:textId="48B242E2" w:rsidR="0051415E" w:rsidRPr="00D1072A" w:rsidRDefault="0051415E" w:rsidP="0051415E">
      <w:r>
        <w:t>R</w:t>
      </w:r>
      <w:r w:rsidRPr="00D1072A">
        <w:t>adiation exposure is still a concern with CT</w:t>
      </w:r>
      <w:r>
        <w:t>, a</w:t>
      </w:r>
      <w:r w:rsidRPr="00D1072A">
        <w:t xml:space="preserve">lthough </w:t>
      </w:r>
      <w:r>
        <w:t xml:space="preserve">the radiation </w:t>
      </w:r>
      <w:r w:rsidRPr="00D1072A">
        <w:t xml:space="preserve">dose has reduced drastically over the years with helical scanners and iterative reconstruction. The nephrogenic phase is often doubled up as a full CT abdomen and pelvis which would increase slices/dose, while the </w:t>
      </w:r>
      <w:r w:rsidRPr="00D1072A">
        <w:lastRenderedPageBreak/>
        <w:t xml:space="preserve">nephrogenic and excretory phases can be combined and imaged at the same time with </w:t>
      </w:r>
      <w:r w:rsidR="006115C6">
        <w:t xml:space="preserve">a </w:t>
      </w:r>
      <w:r w:rsidRPr="00D1072A">
        <w:t>dual bolus technique.</w:t>
      </w:r>
    </w:p>
    <w:p w14:paraId="4F95FBBF" w14:textId="77777777" w:rsidR="0051415E" w:rsidRPr="00D1072A" w:rsidRDefault="0051415E" w:rsidP="0051415E">
      <w:pPr>
        <w:pStyle w:val="Heading3"/>
      </w:pPr>
      <w:bookmarkStart w:id="17" w:name="_Toc121853585"/>
      <w:r w:rsidRPr="00D1072A">
        <w:t>Ultrasound</w:t>
      </w:r>
      <w:bookmarkEnd w:id="17"/>
      <w:r w:rsidRPr="00D1072A">
        <w:t xml:space="preserve"> </w:t>
      </w:r>
    </w:p>
    <w:p w14:paraId="47E7A455" w14:textId="77777777" w:rsidR="0051415E" w:rsidRDefault="0051415E" w:rsidP="0051415E">
      <w:r w:rsidRPr="00D1072A">
        <w:t xml:space="preserve">Abdominal </w:t>
      </w:r>
      <w:r>
        <w:t>US</w:t>
      </w:r>
      <w:r w:rsidRPr="00D1072A">
        <w:t xml:space="preserve"> is associated with MBS item 55036.</w:t>
      </w:r>
      <w:r w:rsidR="000971D7">
        <w:t xml:space="preserve"> </w:t>
      </w:r>
      <w:r w:rsidRPr="00D1072A">
        <w:t>US is an inexpensive and safe methodology that is readily accessible and suitable for initial imaging of the kidneys, especially in children, to determine the presence of any cystic or solid lesions.</w:t>
      </w:r>
    </w:p>
    <w:p w14:paraId="1C982879" w14:textId="77777777" w:rsidR="00325369" w:rsidRPr="00D1072A" w:rsidRDefault="00325369" w:rsidP="0051415E">
      <w:r>
        <w:t xml:space="preserve">Although US </w:t>
      </w:r>
      <w:proofErr w:type="gramStart"/>
      <w:r>
        <w:t>was considered to be</w:t>
      </w:r>
      <w:proofErr w:type="gramEnd"/>
      <w:r>
        <w:t xml:space="preserve"> a comparator in the PICO Confirmation ratified by PASC</w:t>
      </w:r>
      <w:r w:rsidR="005B4A9C">
        <w:t>,</w:t>
      </w:r>
      <w:r>
        <w:t xml:space="preserve"> MBS funding of abdominal MRI is very </w:t>
      </w:r>
      <w:r w:rsidR="003B0DE4">
        <w:t>un</w:t>
      </w:r>
      <w:r>
        <w:t xml:space="preserve">likely to </w:t>
      </w:r>
      <w:r w:rsidR="003B0DE4">
        <w:t>affect</w:t>
      </w:r>
      <w:r>
        <w:t xml:space="preserve"> the current use of US</w:t>
      </w:r>
      <w:r w:rsidR="005B4A9C">
        <w:t>.</w:t>
      </w:r>
      <w:r>
        <w:t xml:space="preserve"> </w:t>
      </w:r>
      <w:r w:rsidR="005B4A9C">
        <w:t>B</w:t>
      </w:r>
      <w:r>
        <w:t xml:space="preserve">ut where confirmatory imaging is </w:t>
      </w:r>
      <w:proofErr w:type="gramStart"/>
      <w:r>
        <w:t>required</w:t>
      </w:r>
      <w:proofErr w:type="gramEnd"/>
      <w:r>
        <w:t xml:space="preserve"> the test would most likely be MRI instead of CT.</w:t>
      </w:r>
    </w:p>
    <w:p w14:paraId="14556A66" w14:textId="77777777" w:rsidR="00772829" w:rsidRPr="00D1072A" w:rsidRDefault="006224B0" w:rsidP="002A18BE">
      <w:pPr>
        <w:pStyle w:val="Heading2"/>
        <w:numPr>
          <w:ilvl w:val="0"/>
          <w:numId w:val="0"/>
        </w:numPr>
      </w:pPr>
      <w:bookmarkStart w:id="18" w:name="_Toc121853586"/>
      <w:r>
        <w:t>9</w:t>
      </w:r>
      <w:r w:rsidR="00C36633" w:rsidRPr="00D1072A">
        <w:t>.</w:t>
      </w:r>
      <w:r w:rsidR="00C36633" w:rsidRPr="00D1072A">
        <w:tab/>
      </w:r>
      <w:r w:rsidR="00772829" w:rsidRPr="00D1072A">
        <w:t xml:space="preserve">Summary of public consultation </w:t>
      </w:r>
      <w:r w:rsidR="0052575D" w:rsidRPr="00D1072A">
        <w:t>input</w:t>
      </w:r>
      <w:bookmarkEnd w:id="18"/>
    </w:p>
    <w:p w14:paraId="2BDF86A0" w14:textId="77777777" w:rsidR="00952F48" w:rsidRPr="001A382A" w:rsidRDefault="00952F48" w:rsidP="00952F48">
      <w:pPr>
        <w:spacing w:after="120"/>
        <w:rPr>
          <w:iCs/>
        </w:rPr>
      </w:pPr>
      <w:bookmarkStart w:id="19" w:name="_Hlk119923872"/>
      <w:r w:rsidRPr="001A382A">
        <w:t xml:space="preserve">Consultation </w:t>
      </w:r>
      <w:r>
        <w:t>input</w:t>
      </w:r>
      <w:r w:rsidRPr="001A382A">
        <w:t xml:space="preserve"> was received from five [5] professional organisations, </w:t>
      </w:r>
      <w:r>
        <w:t>three</w:t>
      </w:r>
      <w:r w:rsidRPr="001A382A">
        <w:t xml:space="preserve"> [</w:t>
      </w:r>
      <w:r>
        <w:t>3</w:t>
      </w:r>
      <w:r w:rsidRPr="001A382A">
        <w:t>] consumer organisations and ten [10] individuals, all c</w:t>
      </w:r>
      <w:r>
        <w:t>are givers</w:t>
      </w:r>
      <w:r w:rsidRPr="001A382A">
        <w:t xml:space="preserve">. The </w:t>
      </w:r>
      <w:r>
        <w:t>eight</w:t>
      </w:r>
      <w:r w:rsidRPr="001A382A">
        <w:t xml:space="preserve"> [</w:t>
      </w:r>
      <w:r>
        <w:t>8</w:t>
      </w:r>
      <w:r w:rsidRPr="001A382A">
        <w:t xml:space="preserve">] organisations that submitted input were: </w:t>
      </w:r>
    </w:p>
    <w:p w14:paraId="393C6B1D" w14:textId="77777777" w:rsidR="00952F48" w:rsidRDefault="00952F48" w:rsidP="00EE7A08">
      <w:pPr>
        <w:pStyle w:val="ListParagraph"/>
        <w:numPr>
          <w:ilvl w:val="0"/>
          <w:numId w:val="16"/>
        </w:numPr>
        <w:spacing w:before="0" w:after="0" w:line="240" w:lineRule="auto"/>
      </w:pPr>
      <w:r>
        <w:t>Australian and New Zealand Society of Nephrology (ANZSN)</w:t>
      </w:r>
    </w:p>
    <w:p w14:paraId="5DE5F9D8" w14:textId="77777777" w:rsidR="00952F48" w:rsidRDefault="00952F48" w:rsidP="00EE7A08">
      <w:pPr>
        <w:pStyle w:val="ListParagraph"/>
        <w:numPr>
          <w:ilvl w:val="0"/>
          <w:numId w:val="16"/>
        </w:numPr>
        <w:spacing w:before="0" w:after="0" w:line="240" w:lineRule="auto"/>
      </w:pPr>
      <w:r>
        <w:t>Australian Society of Medical Imaging and Radiation (ASMIRT)</w:t>
      </w:r>
    </w:p>
    <w:p w14:paraId="5AAECA27" w14:textId="77777777" w:rsidR="00952F48" w:rsidRPr="00966724" w:rsidRDefault="00952F48" w:rsidP="00EE7A08">
      <w:pPr>
        <w:pStyle w:val="ListParagraph"/>
        <w:numPr>
          <w:ilvl w:val="0"/>
          <w:numId w:val="16"/>
        </w:numPr>
        <w:spacing w:before="0" w:after="0" w:line="240" w:lineRule="auto"/>
        <w:rPr>
          <w:color w:val="7030A0"/>
        </w:rPr>
      </w:pPr>
      <w:r>
        <w:t>Kidney Health Australia</w:t>
      </w:r>
    </w:p>
    <w:p w14:paraId="7E8E2F94" w14:textId="77777777" w:rsidR="00952F48" w:rsidRPr="00441CDB" w:rsidRDefault="00952F48" w:rsidP="00EE7A08">
      <w:pPr>
        <w:pStyle w:val="ListParagraph"/>
        <w:numPr>
          <w:ilvl w:val="0"/>
          <w:numId w:val="16"/>
        </w:numPr>
        <w:spacing w:before="0" w:after="0" w:line="240" w:lineRule="auto"/>
        <w:rPr>
          <w:i/>
          <w:iCs/>
          <w:color w:val="7030A0"/>
        </w:rPr>
      </w:pPr>
      <w:r>
        <w:t>Royal Australian and New Zealand College of Radiologists (RANZCR)</w:t>
      </w:r>
    </w:p>
    <w:p w14:paraId="2FC432CF" w14:textId="77777777" w:rsidR="00952F48" w:rsidRPr="006C66B2" w:rsidRDefault="00952F48" w:rsidP="00EE7A08">
      <w:pPr>
        <w:pStyle w:val="ListParagraph"/>
        <w:numPr>
          <w:ilvl w:val="0"/>
          <w:numId w:val="16"/>
        </w:numPr>
        <w:spacing w:before="0" w:after="0" w:line="240" w:lineRule="auto"/>
        <w:rPr>
          <w:color w:val="7030A0"/>
        </w:rPr>
      </w:pPr>
      <w:r w:rsidRPr="006C66B2">
        <w:t xml:space="preserve">Royal College </w:t>
      </w:r>
      <w:r>
        <w:t>of Pathologists of Australasia (RCPA</w:t>
      </w:r>
      <w:r>
        <w:rPr>
          <w:color w:val="7030A0"/>
        </w:rPr>
        <w:t>)</w:t>
      </w:r>
    </w:p>
    <w:p w14:paraId="14DDF45C" w14:textId="77777777" w:rsidR="00952F48" w:rsidRDefault="00952F48" w:rsidP="00EE7A08">
      <w:pPr>
        <w:pStyle w:val="ListParagraph"/>
        <w:numPr>
          <w:ilvl w:val="0"/>
          <w:numId w:val="16"/>
        </w:numPr>
        <w:spacing w:before="0" w:after="0" w:line="240" w:lineRule="auto"/>
      </w:pPr>
      <w:r>
        <w:t>Tuberous Sclerosis Australia (TSA)</w:t>
      </w:r>
    </w:p>
    <w:p w14:paraId="21F43A00" w14:textId="77777777" w:rsidR="00952F48" w:rsidRDefault="00952F48" w:rsidP="00EE7A08">
      <w:pPr>
        <w:pStyle w:val="ListParagraph"/>
        <w:numPr>
          <w:ilvl w:val="0"/>
          <w:numId w:val="16"/>
        </w:numPr>
        <w:spacing w:before="0" w:after="0" w:line="240" w:lineRule="auto"/>
      </w:pPr>
      <w:r>
        <w:t>Urological Society of Australia and New Zealand (USANZ)</w:t>
      </w:r>
    </w:p>
    <w:p w14:paraId="3161DDE7" w14:textId="77777777" w:rsidR="00952F48" w:rsidRDefault="00952F48" w:rsidP="00EE7A08">
      <w:pPr>
        <w:pStyle w:val="ListParagraph"/>
        <w:numPr>
          <w:ilvl w:val="0"/>
          <w:numId w:val="16"/>
        </w:numPr>
        <w:spacing w:before="0" w:after="0" w:line="240" w:lineRule="auto"/>
      </w:pPr>
      <w:r>
        <w:t>Genetic Alliance Australia (GAA)</w:t>
      </w:r>
    </w:p>
    <w:p w14:paraId="128AC0D6" w14:textId="77777777" w:rsidR="00952F48" w:rsidRDefault="00952F48" w:rsidP="005D5B4C">
      <w:pPr>
        <w:spacing w:before="240"/>
      </w:pPr>
      <w:r>
        <w:t xml:space="preserve">All feedback received was supportive of public funding for the service. </w:t>
      </w:r>
    </w:p>
    <w:p w14:paraId="70148404" w14:textId="77777777" w:rsidR="00952F48" w:rsidRDefault="00952F48" w:rsidP="00952F48">
      <w:r>
        <w:t xml:space="preserve">The main benefits of public funding received in the consultation feedback included: </w:t>
      </w:r>
    </w:p>
    <w:p w14:paraId="5E198915" w14:textId="77777777" w:rsidR="00952F48" w:rsidRPr="001A382A" w:rsidRDefault="00952F48" w:rsidP="00EE7A08">
      <w:pPr>
        <w:pStyle w:val="ListParagraph"/>
        <w:numPr>
          <w:ilvl w:val="0"/>
          <w:numId w:val="18"/>
        </w:numPr>
        <w:spacing w:before="0" w:after="240" w:line="276" w:lineRule="auto"/>
        <w:rPr>
          <w:bCs/>
        </w:rPr>
      </w:pPr>
      <w:r>
        <w:t xml:space="preserve">superior imaging sensitivity and specificity </w:t>
      </w:r>
      <w:r w:rsidRPr="00D32A2D">
        <w:t>for early detection and characterisation of renal tumours</w:t>
      </w:r>
      <w:r w:rsidRPr="001A382A">
        <w:t xml:space="preserve"> </w:t>
      </w:r>
      <w:r>
        <w:t>with MRI screening</w:t>
      </w:r>
    </w:p>
    <w:p w14:paraId="14ACDFBF" w14:textId="77777777" w:rsidR="00952F48" w:rsidRDefault="00952F48" w:rsidP="00EE7A08">
      <w:pPr>
        <w:pStyle w:val="ListParagraph"/>
        <w:numPr>
          <w:ilvl w:val="0"/>
          <w:numId w:val="18"/>
        </w:numPr>
        <w:spacing w:before="0" w:after="240" w:line="276" w:lineRule="auto"/>
        <w:rPr>
          <w:bCs/>
        </w:rPr>
      </w:pPr>
      <w:r w:rsidRPr="00380377">
        <w:t>earlier and more accurate diagnosis and resulting targeted therapy</w:t>
      </w:r>
      <w:r>
        <w:t xml:space="preserve">, </w:t>
      </w:r>
      <w:r w:rsidRPr="001A382A">
        <w:rPr>
          <w:bCs/>
        </w:rPr>
        <w:t>which can improve disease outcomes and extend life</w:t>
      </w:r>
      <w:r>
        <w:rPr>
          <w:bCs/>
        </w:rPr>
        <w:t>, and</w:t>
      </w:r>
    </w:p>
    <w:p w14:paraId="47105231" w14:textId="77777777" w:rsidR="00952F48" w:rsidRPr="001A382A" w:rsidRDefault="00952F48" w:rsidP="00EE7A08">
      <w:pPr>
        <w:pStyle w:val="ListParagraph"/>
        <w:numPr>
          <w:ilvl w:val="0"/>
          <w:numId w:val="18"/>
        </w:numPr>
        <w:spacing w:before="0" w:after="240" w:line="276" w:lineRule="auto"/>
        <w:rPr>
          <w:bCs/>
        </w:rPr>
      </w:pPr>
      <w:r>
        <w:rPr>
          <w:bCs/>
        </w:rPr>
        <w:t>increased equity</w:t>
      </w:r>
      <w:r w:rsidRPr="001A382A">
        <w:rPr>
          <w:bCs/>
        </w:rPr>
        <w:t xml:space="preserve"> of access.</w:t>
      </w:r>
    </w:p>
    <w:p w14:paraId="582DF74B" w14:textId="77777777" w:rsidR="00952F48" w:rsidRDefault="00952F48" w:rsidP="00952F48">
      <w:r>
        <w:t>The main disadvantages of public funding received in the consultation feedback included the limited capacity of diagnostic radiology</w:t>
      </w:r>
      <w:r w:rsidRPr="004B3BCB">
        <w:t xml:space="preserve">. One response noted that this may result in a potential disadvantage to the health system, and the other considered </w:t>
      </w:r>
      <w:r>
        <w:t>that</w:t>
      </w:r>
      <w:r w:rsidRPr="004B3BCB">
        <w:t xml:space="preserve"> patients may encounter long waiting lists due to limited capacity of MRI services.</w:t>
      </w:r>
      <w:r>
        <w:t xml:space="preserve"> </w:t>
      </w:r>
    </w:p>
    <w:bookmarkEnd w:id="19"/>
    <w:p w14:paraId="7674DBBF" w14:textId="77777777" w:rsidR="000971D7" w:rsidRPr="00B84662" w:rsidRDefault="000971D7" w:rsidP="000971D7">
      <w:pPr>
        <w:spacing w:before="0"/>
        <w:rPr>
          <w:iCs/>
        </w:rPr>
      </w:pPr>
      <w:r w:rsidRPr="00B84662">
        <w:rPr>
          <w:iCs/>
        </w:rPr>
        <w:t>The consultation feedback identified other services needed to be delivered before or after the intervention, including:</w:t>
      </w:r>
    </w:p>
    <w:p w14:paraId="7C1F36FA" w14:textId="77777777" w:rsidR="000971D7" w:rsidRPr="00B84662" w:rsidRDefault="000971D7" w:rsidP="00EE7A08">
      <w:pPr>
        <w:numPr>
          <w:ilvl w:val="0"/>
          <w:numId w:val="17"/>
        </w:numPr>
        <w:spacing w:before="0" w:after="0" w:line="240" w:lineRule="auto"/>
        <w:contextualSpacing/>
        <w:rPr>
          <w:iCs/>
        </w:rPr>
      </w:pPr>
      <w:r w:rsidRPr="00B84662">
        <w:rPr>
          <w:iCs/>
        </w:rPr>
        <w:t>diagnostic genetic testing utilising MBS item numbers</w:t>
      </w:r>
    </w:p>
    <w:p w14:paraId="548D1A1E" w14:textId="77777777" w:rsidR="000971D7" w:rsidRPr="00B84662" w:rsidRDefault="000971D7" w:rsidP="00EE7A08">
      <w:pPr>
        <w:numPr>
          <w:ilvl w:val="0"/>
          <w:numId w:val="17"/>
        </w:numPr>
        <w:spacing w:before="0" w:after="0" w:line="240" w:lineRule="auto"/>
        <w:contextualSpacing/>
        <w:rPr>
          <w:iCs/>
        </w:rPr>
      </w:pPr>
      <w:r w:rsidRPr="00B84662">
        <w:rPr>
          <w:iCs/>
        </w:rPr>
        <w:t xml:space="preserve">genetic counselling both for patients and their family members </w:t>
      </w:r>
    </w:p>
    <w:p w14:paraId="442FD022" w14:textId="77777777" w:rsidR="000971D7" w:rsidRPr="00B84662" w:rsidRDefault="000971D7" w:rsidP="00EE7A08">
      <w:pPr>
        <w:numPr>
          <w:ilvl w:val="0"/>
          <w:numId w:val="17"/>
        </w:numPr>
        <w:spacing w:before="0" w:after="200" w:line="240" w:lineRule="auto"/>
        <w:ind w:left="714" w:hanging="357"/>
        <w:rPr>
          <w:iCs/>
        </w:rPr>
      </w:pPr>
      <w:r w:rsidRPr="00B84662">
        <w:rPr>
          <w:iCs/>
        </w:rPr>
        <w:t>education and evidence-based guidelines for kidney clinicians on the new service.</w:t>
      </w:r>
    </w:p>
    <w:p w14:paraId="79507D04" w14:textId="77777777" w:rsidR="000971D7" w:rsidRPr="00B84662" w:rsidRDefault="000971D7" w:rsidP="000971D7">
      <w:pPr>
        <w:spacing w:before="200" w:after="240" w:line="276" w:lineRule="auto"/>
        <w:rPr>
          <w:b/>
          <w:bCs/>
          <w:iCs/>
        </w:rPr>
      </w:pPr>
      <w:r w:rsidRPr="00B84662">
        <w:rPr>
          <w:b/>
          <w:bCs/>
          <w:iCs/>
        </w:rPr>
        <w:t>Indication(s) for the proposed medical service and clinical claim</w:t>
      </w:r>
    </w:p>
    <w:p w14:paraId="1FD90C66" w14:textId="77777777" w:rsidR="000971D7" w:rsidRPr="00B84662" w:rsidRDefault="000971D7" w:rsidP="000971D7">
      <w:pPr>
        <w:spacing w:before="0"/>
        <w:rPr>
          <w:iCs/>
        </w:rPr>
      </w:pPr>
      <w:r w:rsidRPr="00B84662">
        <w:rPr>
          <w:iCs/>
        </w:rPr>
        <w:t xml:space="preserve">The consultation feedback ranged from ‘strongly agreeing’ to ‘agreeing’ with the proposed population(s). </w:t>
      </w:r>
    </w:p>
    <w:p w14:paraId="64BD67F7" w14:textId="1CCFE3EF" w:rsidR="001774A5" w:rsidRPr="00B84662" w:rsidRDefault="000971D7" w:rsidP="00EE7A08">
      <w:pPr>
        <w:pStyle w:val="ListParagraph"/>
        <w:numPr>
          <w:ilvl w:val="0"/>
          <w:numId w:val="19"/>
        </w:numPr>
        <w:spacing w:before="0" w:after="0" w:line="240" w:lineRule="auto"/>
        <w:ind w:left="709"/>
        <w:rPr>
          <w:iCs/>
          <w:color w:val="000000" w:themeColor="text1"/>
        </w:rPr>
      </w:pPr>
      <w:r w:rsidRPr="00B84662">
        <w:rPr>
          <w:iCs/>
        </w:rPr>
        <w:lastRenderedPageBreak/>
        <w:t>The RCPA noted that the following genetic conditions/pathogenic variants should be included in the population:</w:t>
      </w:r>
    </w:p>
    <w:p w14:paraId="514A5070" w14:textId="77777777" w:rsidR="000971D7" w:rsidRPr="00B84662" w:rsidRDefault="000971D7" w:rsidP="00EE7A08">
      <w:pPr>
        <w:numPr>
          <w:ilvl w:val="1"/>
          <w:numId w:val="16"/>
        </w:numPr>
        <w:spacing w:before="0" w:after="0" w:line="240" w:lineRule="auto"/>
        <w:ind w:left="1134"/>
        <w:contextualSpacing/>
        <w:rPr>
          <w:iCs/>
        </w:rPr>
      </w:pPr>
      <w:r w:rsidRPr="00B84662">
        <w:rPr>
          <w:iCs/>
        </w:rPr>
        <w:t>Beckwith Wiedemann syndrome</w:t>
      </w:r>
    </w:p>
    <w:p w14:paraId="2AFCAD22" w14:textId="77777777" w:rsidR="000971D7" w:rsidRPr="00B84662" w:rsidRDefault="000971D7" w:rsidP="00EE7A08">
      <w:pPr>
        <w:numPr>
          <w:ilvl w:val="1"/>
          <w:numId w:val="16"/>
        </w:numPr>
        <w:spacing w:before="0" w:after="0" w:line="240" w:lineRule="auto"/>
        <w:ind w:left="1134"/>
        <w:contextualSpacing/>
        <w:rPr>
          <w:iCs/>
        </w:rPr>
      </w:pPr>
      <w:r w:rsidRPr="00B84662">
        <w:rPr>
          <w:iCs/>
        </w:rPr>
        <w:t>WT1 pathogenic variants</w:t>
      </w:r>
    </w:p>
    <w:p w14:paraId="3A8AC007" w14:textId="77777777" w:rsidR="000971D7" w:rsidRPr="00B84662" w:rsidRDefault="000971D7" w:rsidP="00EE7A08">
      <w:pPr>
        <w:numPr>
          <w:ilvl w:val="1"/>
          <w:numId w:val="16"/>
        </w:numPr>
        <w:spacing w:before="0" w:after="0" w:line="240" w:lineRule="auto"/>
        <w:ind w:left="1134"/>
        <w:contextualSpacing/>
        <w:rPr>
          <w:iCs/>
        </w:rPr>
      </w:pPr>
      <w:r w:rsidRPr="00B84662">
        <w:rPr>
          <w:iCs/>
        </w:rPr>
        <w:t xml:space="preserve">Uniparental </w:t>
      </w:r>
      <w:proofErr w:type="spellStart"/>
      <w:r w:rsidRPr="00B84662">
        <w:rPr>
          <w:iCs/>
        </w:rPr>
        <w:t>disomy</w:t>
      </w:r>
      <w:proofErr w:type="spellEnd"/>
      <w:r w:rsidRPr="00B84662">
        <w:rPr>
          <w:iCs/>
        </w:rPr>
        <w:t xml:space="preserve"> (UPD)- chromosome 11</w:t>
      </w:r>
    </w:p>
    <w:p w14:paraId="77F59BBD" w14:textId="77777777" w:rsidR="000971D7" w:rsidRPr="00B84662" w:rsidRDefault="000971D7" w:rsidP="00EE7A08">
      <w:pPr>
        <w:numPr>
          <w:ilvl w:val="1"/>
          <w:numId w:val="16"/>
        </w:numPr>
        <w:spacing w:before="0" w:after="0" w:line="240" w:lineRule="auto"/>
        <w:ind w:left="1134"/>
        <w:contextualSpacing/>
        <w:rPr>
          <w:iCs/>
        </w:rPr>
      </w:pPr>
      <w:r w:rsidRPr="00B84662">
        <w:rPr>
          <w:iCs/>
        </w:rPr>
        <w:t>Copy number variations (CNVs) of that area of chromosome 11</w:t>
      </w:r>
    </w:p>
    <w:p w14:paraId="2464A1A4" w14:textId="77777777" w:rsidR="000971D7" w:rsidRPr="00B84662" w:rsidRDefault="000971D7" w:rsidP="00EE7A08">
      <w:pPr>
        <w:numPr>
          <w:ilvl w:val="1"/>
          <w:numId w:val="16"/>
        </w:numPr>
        <w:spacing w:before="0" w:after="0" w:line="240" w:lineRule="auto"/>
        <w:ind w:left="1134"/>
        <w:contextualSpacing/>
        <w:rPr>
          <w:iCs/>
        </w:rPr>
      </w:pPr>
      <w:r w:rsidRPr="00B84662">
        <w:rPr>
          <w:iCs/>
        </w:rPr>
        <w:t>CDKN1C pathogenic variants.</w:t>
      </w:r>
    </w:p>
    <w:p w14:paraId="4399CD58" w14:textId="77777777" w:rsidR="000971D7" w:rsidRPr="00B84662" w:rsidRDefault="000971D7" w:rsidP="00EE7A08">
      <w:pPr>
        <w:pStyle w:val="ListParagraph"/>
        <w:numPr>
          <w:ilvl w:val="0"/>
          <w:numId w:val="19"/>
        </w:numPr>
        <w:spacing w:before="0" w:after="0" w:line="240" w:lineRule="auto"/>
        <w:ind w:left="709"/>
        <w:rPr>
          <w:iCs/>
        </w:rPr>
      </w:pPr>
      <w:r w:rsidRPr="00B84662">
        <w:rPr>
          <w:iCs/>
        </w:rPr>
        <w:t>The USANZ considered that inclusion of additional relevant syndromes should be clarified (e. g. hereditary papillary type 1 RCC, SDH-</w:t>
      </w:r>
      <w:proofErr w:type="spellStart"/>
      <w:r w:rsidRPr="00B84662">
        <w:rPr>
          <w:iCs/>
        </w:rPr>
        <w:t>srRCC</w:t>
      </w:r>
      <w:proofErr w:type="spellEnd"/>
      <w:r w:rsidRPr="00B84662">
        <w:rPr>
          <w:iCs/>
        </w:rPr>
        <w:t xml:space="preserve">), </w:t>
      </w:r>
      <w:proofErr w:type="gramStart"/>
      <w:r w:rsidRPr="00B84662">
        <w:rPr>
          <w:iCs/>
        </w:rPr>
        <w:t>and also</w:t>
      </w:r>
      <w:proofErr w:type="gramEnd"/>
      <w:r w:rsidRPr="00B84662">
        <w:rPr>
          <w:iCs/>
        </w:rPr>
        <w:t xml:space="preserve"> </w:t>
      </w:r>
      <w:r w:rsidR="00D43D16">
        <w:rPr>
          <w:iCs/>
        </w:rPr>
        <w:t xml:space="preserve">include </w:t>
      </w:r>
      <w:r w:rsidRPr="00B84662">
        <w:rPr>
          <w:iCs/>
        </w:rPr>
        <w:t>coverage for additional new conditions with an increased risk of renal cancers that may be identified in the future. It also noted that urologist</w:t>
      </w:r>
      <w:r w:rsidR="00D43D16">
        <w:rPr>
          <w:iCs/>
        </w:rPr>
        <w:t>s</w:t>
      </w:r>
      <w:r w:rsidRPr="00B84662">
        <w:rPr>
          <w:iCs/>
        </w:rPr>
        <w:t xml:space="preserve"> should be included in the referring specialists.</w:t>
      </w:r>
    </w:p>
    <w:p w14:paraId="7E678EB8" w14:textId="25CA4E87" w:rsidR="000971D7" w:rsidRPr="00B84662" w:rsidRDefault="000971D7" w:rsidP="00EE7A08">
      <w:pPr>
        <w:pStyle w:val="ListParagraph"/>
        <w:numPr>
          <w:ilvl w:val="0"/>
          <w:numId w:val="19"/>
        </w:numPr>
        <w:spacing w:before="0" w:after="0" w:line="240" w:lineRule="auto"/>
        <w:ind w:left="709"/>
        <w:rPr>
          <w:iCs/>
        </w:rPr>
      </w:pPr>
      <w:r w:rsidRPr="00B84662">
        <w:rPr>
          <w:iCs/>
        </w:rPr>
        <w:t xml:space="preserve">The TSA noted that children with TSC who require sedation for MRI, should be able to combine an abdominal MRI with their regular brain MRI. </w:t>
      </w:r>
    </w:p>
    <w:p w14:paraId="65DB1C4E" w14:textId="1A9B367E" w:rsidR="000971D7" w:rsidRPr="00522F89" w:rsidRDefault="000971D7" w:rsidP="000971D7">
      <w:pPr>
        <w:spacing w:before="0"/>
        <w:rPr>
          <w:iCs/>
        </w:rPr>
      </w:pPr>
      <w:r w:rsidRPr="00B84662">
        <w:rPr>
          <w:iCs/>
        </w:rPr>
        <w:t xml:space="preserve">The consultation feedback ranged from ‘strongly agreeing’ to ‘agreeing’ with the proposed comparator(s) and the clinical claim. Consultation feedback considered that MRI would be best imaging technique for recurrent screening, as small lesions may be missed on </w:t>
      </w:r>
      <w:r w:rsidR="00522F89">
        <w:rPr>
          <w:iCs/>
        </w:rPr>
        <w:t>US</w:t>
      </w:r>
      <w:r w:rsidRPr="00522F89">
        <w:rPr>
          <w:iCs/>
        </w:rPr>
        <w:t>; serial monitoring of growth is more accurate on cross sectional MRI imaging; and cumulative radiation dose from recurrent compute</w:t>
      </w:r>
      <w:r w:rsidR="00094A26">
        <w:rPr>
          <w:iCs/>
        </w:rPr>
        <w:t>d</w:t>
      </w:r>
      <w:r w:rsidRPr="00522F89">
        <w:rPr>
          <w:iCs/>
        </w:rPr>
        <w:t xml:space="preserve"> tomography (CT) scans is significant. </w:t>
      </w:r>
    </w:p>
    <w:p w14:paraId="21D9D918" w14:textId="77777777" w:rsidR="000971D7" w:rsidRPr="00522F89" w:rsidRDefault="000971D7" w:rsidP="000971D7">
      <w:pPr>
        <w:spacing w:before="200" w:after="240" w:line="276" w:lineRule="auto"/>
        <w:rPr>
          <w:b/>
          <w:bCs/>
          <w:iCs/>
        </w:rPr>
      </w:pPr>
      <w:r w:rsidRPr="00522F89">
        <w:rPr>
          <w:b/>
          <w:bCs/>
          <w:iCs/>
        </w:rPr>
        <w:t>Cost information for the proposed medical service</w:t>
      </w:r>
    </w:p>
    <w:p w14:paraId="3D6A31C1" w14:textId="77777777" w:rsidR="000971D7" w:rsidRPr="00522F89" w:rsidRDefault="000971D7" w:rsidP="000971D7">
      <w:pPr>
        <w:spacing w:before="0"/>
        <w:rPr>
          <w:iCs/>
        </w:rPr>
      </w:pPr>
      <w:r w:rsidRPr="00522F89">
        <w:rPr>
          <w:iCs/>
        </w:rPr>
        <w:t>The consultation feedback ranged from ‘strongly agreeing’ to ‘agreeing’ with the proposed service descriptor and proposed fee.</w:t>
      </w:r>
    </w:p>
    <w:p w14:paraId="2E039042" w14:textId="77777777" w:rsidR="000971D7" w:rsidRPr="00522F89" w:rsidRDefault="000971D7" w:rsidP="000971D7">
      <w:pPr>
        <w:spacing w:before="0" w:after="240" w:line="276" w:lineRule="auto"/>
        <w:rPr>
          <w:iCs/>
        </w:rPr>
      </w:pPr>
      <w:r w:rsidRPr="00522F89">
        <w:rPr>
          <w:iCs/>
        </w:rPr>
        <w:t>The RANZCR considered that it should be clarified that radiologists would be the providers of the service rather than nephrologists. Kidney Health Australia considered that the proposed fees should be reviewed against current charges from public and private services, and out of pocket cost should be minimised.</w:t>
      </w:r>
    </w:p>
    <w:p w14:paraId="59C1F0F8" w14:textId="77777777" w:rsidR="000971D7" w:rsidRPr="00522F89" w:rsidRDefault="000971D7" w:rsidP="000971D7">
      <w:pPr>
        <w:spacing w:before="200" w:after="240" w:line="276" w:lineRule="auto"/>
        <w:rPr>
          <w:b/>
          <w:bCs/>
          <w:iCs/>
        </w:rPr>
      </w:pPr>
      <w:r w:rsidRPr="00522F89">
        <w:rPr>
          <w:b/>
          <w:bCs/>
          <w:iCs/>
        </w:rPr>
        <w:t>Individual Feedback</w:t>
      </w:r>
    </w:p>
    <w:p w14:paraId="00462E64" w14:textId="77777777" w:rsidR="000971D7" w:rsidRPr="00522F89" w:rsidRDefault="000971D7" w:rsidP="000971D7">
      <w:pPr>
        <w:spacing w:before="0" w:after="240" w:line="276" w:lineRule="auto"/>
        <w:rPr>
          <w:bCs/>
          <w:iCs/>
        </w:rPr>
      </w:pPr>
      <w:r w:rsidRPr="00522F89">
        <w:rPr>
          <w:bCs/>
          <w:iCs/>
        </w:rPr>
        <w:t>Ten individual submissions were received from caregivers of children with tuberous sclerosis complex (TSC), which all supported the application.</w:t>
      </w:r>
    </w:p>
    <w:p w14:paraId="1F6E7312" w14:textId="2EAE4A08" w:rsidR="000971D7" w:rsidRPr="00522F89" w:rsidRDefault="000971D7" w:rsidP="000971D7">
      <w:pPr>
        <w:spacing w:before="0" w:after="240" w:line="276" w:lineRule="auto"/>
        <w:rPr>
          <w:bCs/>
          <w:iCs/>
        </w:rPr>
      </w:pPr>
      <w:r w:rsidRPr="00522F89">
        <w:rPr>
          <w:bCs/>
          <w:iCs/>
        </w:rPr>
        <w:t xml:space="preserve">The consumers considered that abdominal MRI would lead to earlier detection and treatment of tumours, and better health outcomes and are recommended in international guidelines for screening of tumours. Some feedback considered that it would be helpful to combine abdominal MRI with brain MRI where patients require sedation for their MRI. </w:t>
      </w:r>
    </w:p>
    <w:p w14:paraId="6B412A9E" w14:textId="0B6C8AC2" w:rsidR="000971D7" w:rsidRPr="00522F89" w:rsidRDefault="000971D7" w:rsidP="000971D7">
      <w:pPr>
        <w:spacing w:before="0" w:after="240" w:line="276" w:lineRule="auto"/>
        <w:rPr>
          <w:bCs/>
          <w:iCs/>
        </w:rPr>
      </w:pPr>
      <w:r w:rsidRPr="00522F89">
        <w:rPr>
          <w:bCs/>
          <w:iCs/>
        </w:rPr>
        <w:t>The feedback considered that public funding of abdominal MRI would ensure equity of access and pointed out the significant cost of caring for a family member with TSC, where many are unable to afford privately funded abdominal MRI.</w:t>
      </w:r>
    </w:p>
    <w:p w14:paraId="3E0CD6A6" w14:textId="77777777" w:rsidR="00772829" w:rsidRPr="00D1072A" w:rsidRDefault="006224B0" w:rsidP="002A18BE">
      <w:pPr>
        <w:pStyle w:val="Heading2"/>
        <w:numPr>
          <w:ilvl w:val="0"/>
          <w:numId w:val="0"/>
        </w:numPr>
      </w:pPr>
      <w:bookmarkStart w:id="20" w:name="_Toc121853587"/>
      <w:r>
        <w:t>10</w:t>
      </w:r>
      <w:r w:rsidR="00C36633" w:rsidRPr="00D1072A">
        <w:t>.</w:t>
      </w:r>
      <w:r w:rsidR="00C36633" w:rsidRPr="00D1072A">
        <w:tab/>
      </w:r>
      <w:r w:rsidR="00772829" w:rsidRPr="00D1072A">
        <w:t>Characteristics of the evidence base</w:t>
      </w:r>
      <w:bookmarkEnd w:id="20"/>
    </w:p>
    <w:p w14:paraId="0D9383D6" w14:textId="77777777" w:rsidR="001774A5" w:rsidRDefault="001774A5" w:rsidP="001774A5">
      <w:r w:rsidRPr="00D1072A">
        <w:t>A total of 2</w:t>
      </w:r>
      <w:r w:rsidR="00B65EA2">
        <w:t>3</w:t>
      </w:r>
      <w:r w:rsidRPr="00D1072A">
        <w:t xml:space="preserve"> studies </w:t>
      </w:r>
      <w:r w:rsidR="00B65EA2">
        <w:t xml:space="preserve">and two systematic reviews </w:t>
      </w:r>
      <w:r w:rsidRPr="00D1072A">
        <w:t xml:space="preserve">met the inclusion criteria for assessing the test accuracy of abdominal MRI in detection of malignant renal lesions compared to CT </w:t>
      </w:r>
      <w:r>
        <w:t>or</w:t>
      </w:r>
      <w:r w:rsidRPr="00D1072A">
        <w:t xml:space="preserve"> US in PICO Set 1. Two studies met the inclusion criteria for assessing the accuracy of abdominal MRI in </w:t>
      </w:r>
      <w:r>
        <w:t>evaluating</w:t>
      </w:r>
      <w:r w:rsidRPr="00D1072A">
        <w:t xml:space="preserve"> treatment response compared to CT as the reference standard in PICO Set 2.</w:t>
      </w:r>
      <w:r w:rsidR="003B0DE4">
        <w:t xml:space="preserve"> No studies were identified that compared abdominal MRI with US</w:t>
      </w:r>
      <w:r w:rsidR="00286404">
        <w:t xml:space="preserve"> in PICO Set 2.</w:t>
      </w:r>
    </w:p>
    <w:p w14:paraId="6F3560F0" w14:textId="77777777" w:rsidR="001774A5" w:rsidRDefault="001774A5" w:rsidP="001774A5">
      <w:r>
        <w:t xml:space="preserve">No studies met the inclusion criteria for </w:t>
      </w:r>
      <w:r w:rsidR="000712B2">
        <w:t xml:space="preserve">assessing </w:t>
      </w:r>
      <w:r>
        <w:t>the change in management</w:t>
      </w:r>
      <w:r w:rsidR="000712B2">
        <w:t xml:space="preserve"> resulting from abdominal MRI compared with abdominal CT or US.</w:t>
      </w:r>
    </w:p>
    <w:p w14:paraId="6DD4B9DE" w14:textId="77777777" w:rsidR="000712B2" w:rsidRDefault="000712B2" w:rsidP="000712B2">
      <w:r>
        <w:lastRenderedPageBreak/>
        <w:t xml:space="preserve">The original literature searches identified five studies </w:t>
      </w:r>
      <w:r w:rsidR="00B65EA2" w:rsidRPr="00B65EA2">
        <w:t>that did not meet the inclusion criteria</w:t>
      </w:r>
      <w:r w:rsidR="00286404">
        <w:t xml:space="preserve"> because they did not report results according to the imaging modality used</w:t>
      </w:r>
      <w:r w:rsidR="00B65EA2" w:rsidRPr="00B65EA2">
        <w:t xml:space="preserve"> but provided </w:t>
      </w:r>
      <w:r>
        <w:t>information on the effectiveness of treatments for</w:t>
      </w:r>
      <w:r w:rsidR="00064CEB">
        <w:t xml:space="preserve"> the exemplar populations:</w:t>
      </w:r>
      <w:r>
        <w:t xml:space="preserve"> TSC-associated AML or RCC and VHL-associated RCC.</w:t>
      </w:r>
    </w:p>
    <w:p w14:paraId="14EB5C08" w14:textId="77777777" w:rsidR="000712B2" w:rsidRDefault="000712B2" w:rsidP="000712B2">
      <w:r>
        <w:t xml:space="preserve">A quick literature search, limited to studies published in the last 10 years, was conducted to identify additional studies. and 11 studies were included. However, studies reporting on surgical and ablative outcomes were underrepresented, so two </w:t>
      </w:r>
      <w:r w:rsidR="00286404">
        <w:t xml:space="preserve">additional </w:t>
      </w:r>
      <w:r>
        <w:t>studies published since 2000 were also included.</w:t>
      </w:r>
    </w:p>
    <w:p w14:paraId="2436656A" w14:textId="77777777" w:rsidR="002938A7" w:rsidRDefault="002938A7" w:rsidP="000712B2">
      <w:r w:rsidRPr="002938A7">
        <w:t>No</w:t>
      </w:r>
      <w:r>
        <w:t xml:space="preserve"> </w:t>
      </w:r>
      <w:r w:rsidRPr="002938A7">
        <w:t>comparative evidence for safety was identified; safety is discussed further in section 9 below</w:t>
      </w:r>
      <w:r>
        <w:t>.</w:t>
      </w:r>
    </w:p>
    <w:p w14:paraId="55DD6A6C" w14:textId="77777777" w:rsidR="007C36C6" w:rsidRDefault="007C36C6" w:rsidP="000712B2">
      <w:r>
        <w:fldChar w:fldCharType="begin"/>
      </w:r>
      <w:r>
        <w:instrText xml:space="preserve"> REF _Ref69725659 \h </w:instrText>
      </w:r>
      <w:r>
        <w:fldChar w:fldCharType="separate"/>
      </w:r>
      <w:r w:rsidR="00CB2A40" w:rsidRPr="00D1072A">
        <w:t>Table</w:t>
      </w:r>
      <w:r w:rsidR="00CB2A40">
        <w:t xml:space="preserve"> </w:t>
      </w:r>
      <w:r w:rsidR="00CB2A40">
        <w:rPr>
          <w:noProof/>
        </w:rPr>
        <w:t>4</w:t>
      </w:r>
      <w:r>
        <w:fldChar w:fldCharType="end"/>
      </w:r>
      <w:r>
        <w:t xml:space="preserve"> presents a summary of the included evidence.</w:t>
      </w:r>
    </w:p>
    <w:p w14:paraId="2A48A60D" w14:textId="77777777" w:rsidR="00956ACE" w:rsidRPr="00D1072A" w:rsidRDefault="00956ACE" w:rsidP="009A06F4">
      <w:pPr>
        <w:pStyle w:val="Caption"/>
        <w:rPr>
          <w:sz w:val="16"/>
          <w:szCs w:val="16"/>
        </w:rPr>
      </w:pPr>
      <w:bookmarkStart w:id="21" w:name="_Ref69725659"/>
      <w:r w:rsidRPr="00D1072A">
        <w:t>Table</w:t>
      </w:r>
      <w:r w:rsidR="007C36C6">
        <w:t xml:space="preserve"> </w:t>
      </w:r>
      <w:r>
        <w:fldChar w:fldCharType="begin"/>
      </w:r>
      <w:r>
        <w:instrText>SEQ Table \* ARABIC</w:instrText>
      </w:r>
      <w:r>
        <w:fldChar w:fldCharType="separate"/>
      </w:r>
      <w:r w:rsidR="00CB2A40">
        <w:rPr>
          <w:noProof/>
        </w:rPr>
        <w:t>4</w:t>
      </w:r>
      <w:r>
        <w:fldChar w:fldCharType="end"/>
      </w:r>
      <w:bookmarkEnd w:id="21"/>
      <w:r w:rsidRPr="00D1072A">
        <w:tab/>
        <w:t>Key features of the included evidence</w:t>
      </w:r>
      <w:r w:rsidR="00CC4886">
        <w:t xml:space="preserve"> for PICO Set 1</w:t>
      </w:r>
      <w:r w:rsidR="00286404">
        <w:t xml:space="preserve"> and PICO Set 2</w:t>
      </w:r>
    </w:p>
    <w:tbl>
      <w:tblPr>
        <w:tblStyle w:val="HealthConsult4"/>
        <w:tblW w:w="5000" w:type="pct"/>
        <w:tblLayout w:type="fixed"/>
        <w:tblLook w:val="04A0" w:firstRow="1" w:lastRow="0" w:firstColumn="1" w:lastColumn="0" w:noHBand="0" w:noVBand="1"/>
      </w:tblPr>
      <w:tblGrid>
        <w:gridCol w:w="1550"/>
        <w:gridCol w:w="3832"/>
        <w:gridCol w:w="1962"/>
        <w:gridCol w:w="1672"/>
      </w:tblGrid>
      <w:tr w:rsidR="00956ACE" w:rsidRPr="00D1072A" w14:paraId="725EBFFC" w14:textId="77777777" w:rsidTr="008E0532">
        <w:trPr>
          <w:tblHeader/>
        </w:trPr>
        <w:tc>
          <w:tcPr>
            <w:tcW w:w="860" w:type="pct"/>
            <w:vAlign w:val="bottom"/>
          </w:tcPr>
          <w:p w14:paraId="4016FB04" w14:textId="77777777" w:rsidR="00956ACE" w:rsidRPr="00D1072A" w:rsidRDefault="00BC4972" w:rsidP="00670650">
            <w:pPr>
              <w:pStyle w:val="TableText"/>
              <w:keepNext/>
              <w:rPr>
                <w:b/>
              </w:rPr>
            </w:pPr>
            <w:bookmarkStart w:id="22" w:name="ColumnTitle_Table4"/>
            <w:bookmarkStart w:id="23" w:name="_Hlk68276288"/>
            <w:bookmarkEnd w:id="22"/>
            <w:r w:rsidRPr="00D1072A">
              <w:rPr>
                <w:b/>
              </w:rPr>
              <w:t>Criteri</w:t>
            </w:r>
            <w:r w:rsidR="004D4425" w:rsidRPr="00D1072A">
              <w:rPr>
                <w:b/>
              </w:rPr>
              <w:t>on</w:t>
            </w:r>
          </w:p>
        </w:tc>
        <w:tc>
          <w:tcPr>
            <w:tcW w:w="2125" w:type="pct"/>
            <w:vAlign w:val="bottom"/>
            <w:hideMark/>
          </w:tcPr>
          <w:p w14:paraId="4CA8AE6E" w14:textId="77777777" w:rsidR="00956ACE" w:rsidRPr="00D1072A" w:rsidRDefault="00956ACE" w:rsidP="00670650">
            <w:pPr>
              <w:pStyle w:val="TableText"/>
              <w:keepNext/>
              <w:rPr>
                <w:b/>
              </w:rPr>
            </w:pPr>
            <w:r w:rsidRPr="00D1072A">
              <w:rPr>
                <w:b/>
              </w:rPr>
              <w:t>Type of evidence supplied</w:t>
            </w:r>
          </w:p>
        </w:tc>
        <w:tc>
          <w:tcPr>
            <w:tcW w:w="1088" w:type="pct"/>
            <w:vAlign w:val="bottom"/>
            <w:hideMark/>
          </w:tcPr>
          <w:p w14:paraId="7E3893F7" w14:textId="77777777" w:rsidR="00956ACE" w:rsidRPr="00D1072A" w:rsidRDefault="00956ACE" w:rsidP="00670650">
            <w:pPr>
              <w:pStyle w:val="TableText"/>
              <w:keepNext/>
              <w:rPr>
                <w:b/>
              </w:rPr>
            </w:pPr>
            <w:r w:rsidRPr="00D1072A">
              <w:rPr>
                <w:b/>
              </w:rPr>
              <w:t>Extent of evidence supplied</w:t>
            </w:r>
          </w:p>
        </w:tc>
        <w:tc>
          <w:tcPr>
            <w:tcW w:w="928" w:type="pct"/>
            <w:vAlign w:val="bottom"/>
            <w:hideMark/>
          </w:tcPr>
          <w:p w14:paraId="5B915B0C" w14:textId="77777777" w:rsidR="00956ACE" w:rsidRPr="00D1072A" w:rsidRDefault="00956ACE" w:rsidP="00670650">
            <w:pPr>
              <w:pStyle w:val="TableText"/>
              <w:keepNext/>
              <w:rPr>
                <w:b/>
              </w:rPr>
            </w:pPr>
            <w:r w:rsidRPr="00D1072A">
              <w:rPr>
                <w:b/>
              </w:rPr>
              <w:t>Overall risk of bias in evidence base</w:t>
            </w:r>
          </w:p>
        </w:tc>
      </w:tr>
      <w:tr w:rsidR="00956ACE" w:rsidRPr="00D1072A" w14:paraId="643A3419" w14:textId="77777777" w:rsidTr="008E0532">
        <w:tc>
          <w:tcPr>
            <w:tcW w:w="860" w:type="pct"/>
            <w:hideMark/>
          </w:tcPr>
          <w:p w14:paraId="37F82494" w14:textId="77777777" w:rsidR="00956ACE" w:rsidRPr="00D1072A" w:rsidRDefault="00956ACE" w:rsidP="00670650">
            <w:pPr>
              <w:pStyle w:val="TableText"/>
              <w:keepNext/>
            </w:pPr>
            <w:r w:rsidRPr="00D1072A">
              <w:t>Accuracy and performance of the test (cross-sectional accuracy)</w:t>
            </w:r>
          </w:p>
        </w:tc>
        <w:tc>
          <w:tcPr>
            <w:tcW w:w="2125" w:type="pct"/>
            <w:hideMark/>
          </w:tcPr>
          <w:p w14:paraId="45A00952" w14:textId="77777777" w:rsidR="00CC4886" w:rsidRDefault="00CC4886" w:rsidP="00670650">
            <w:pPr>
              <w:pStyle w:val="TableText"/>
              <w:keepNext/>
            </w:pPr>
            <w:r>
              <w:t>2 systematic reviews</w:t>
            </w:r>
            <w:r w:rsidR="00BB4841">
              <w:t xml:space="preserve"> and </w:t>
            </w:r>
            <w:r>
              <w:t>2</w:t>
            </w:r>
            <w:r w:rsidR="00286404">
              <w:t>3</w:t>
            </w:r>
            <w:r>
              <w:t xml:space="preserve"> NHMRC level II to III-2 diagnostic accuracy studies</w:t>
            </w:r>
            <w:r w:rsidR="00DE6D90">
              <w:t xml:space="preserve"> for PICO Set 1</w:t>
            </w:r>
          </w:p>
          <w:p w14:paraId="27927A8A" w14:textId="77777777" w:rsidR="00DE6D90" w:rsidRPr="00D1072A" w:rsidRDefault="00DE6D90" w:rsidP="00670650">
            <w:pPr>
              <w:pStyle w:val="TableText"/>
              <w:keepNext/>
            </w:pPr>
            <w:r w:rsidRPr="00A077E8">
              <w:t>2 small NHMRC level</w:t>
            </w:r>
            <w:r w:rsidR="00B65EA2" w:rsidRPr="00A077E8">
              <w:t xml:space="preserve"> III-1 diagnostic accuracy studies for PICO Set 2</w:t>
            </w:r>
          </w:p>
        </w:tc>
        <w:tc>
          <w:tcPr>
            <w:tcW w:w="1088" w:type="pct"/>
            <w:hideMark/>
          </w:tcPr>
          <w:p w14:paraId="3973BB41" w14:textId="77777777" w:rsidR="00BB4841" w:rsidRDefault="00BB4841" w:rsidP="003C183D">
            <w:pPr>
              <w:pStyle w:val="TableText"/>
              <w:keepNext/>
              <w:tabs>
                <w:tab w:val="left" w:pos="361"/>
                <w:tab w:val="left" w:pos="1088"/>
              </w:tabs>
            </w:pPr>
            <w:r>
              <w:t>PICO Set 1</w:t>
            </w:r>
          </w:p>
          <w:p w14:paraId="27E36C27" w14:textId="77777777" w:rsidR="00956ACE" w:rsidRDefault="00223D53" w:rsidP="003C183D">
            <w:pPr>
              <w:pStyle w:val="TableText"/>
              <w:keepNext/>
              <w:tabs>
                <w:tab w:val="left" w:pos="361"/>
                <w:tab w:val="left" w:pos="1088"/>
              </w:tabs>
            </w:pPr>
            <w:r>
              <w:rPr>
                <w:rFonts w:ascii="MS Gothic" w:eastAsia="MS Gothic" w:hAnsi="MS Gothic" w:hint="eastAsia"/>
              </w:rPr>
              <w:t>☒</w:t>
            </w:r>
            <w:r w:rsidR="00956ACE" w:rsidRPr="00D1072A">
              <w:tab/>
              <w:t>k=</w:t>
            </w:r>
            <w:r w:rsidR="003C183D">
              <w:t>2 SRs</w:t>
            </w:r>
            <w:r w:rsidR="00956ACE" w:rsidRPr="00D1072A">
              <w:tab/>
              <w:t>n=</w:t>
            </w:r>
            <w:r w:rsidR="000B47DB">
              <w:t>3</w:t>
            </w:r>
            <w:r w:rsidR="003C183D">
              <w:t>,</w:t>
            </w:r>
            <w:r w:rsidR="000B47DB">
              <w:t>360</w:t>
            </w:r>
          </w:p>
          <w:p w14:paraId="5AB8EF34" w14:textId="77777777" w:rsidR="00223D53" w:rsidRDefault="00223D53" w:rsidP="003C183D">
            <w:pPr>
              <w:pStyle w:val="TableText"/>
              <w:keepNext/>
              <w:tabs>
                <w:tab w:val="left" w:pos="361"/>
                <w:tab w:val="left" w:pos="1088"/>
              </w:tabs>
            </w:pPr>
            <w:r>
              <w:rPr>
                <w:rFonts w:ascii="MS Gothic" w:eastAsia="MS Gothic" w:hAnsi="MS Gothic" w:hint="eastAsia"/>
              </w:rPr>
              <w:t>☒</w:t>
            </w:r>
            <w:r w:rsidRPr="00D1072A">
              <w:tab/>
              <w:t>k=</w:t>
            </w:r>
            <w:r w:rsidR="003C183D">
              <w:t>2</w:t>
            </w:r>
            <w:r w:rsidR="00BB4841">
              <w:t>3</w:t>
            </w:r>
            <w:r w:rsidRPr="00D1072A">
              <w:tab/>
              <w:t>n=</w:t>
            </w:r>
            <w:r w:rsidR="003C183D">
              <w:t>1,722</w:t>
            </w:r>
          </w:p>
          <w:p w14:paraId="03BD9255" w14:textId="77777777" w:rsidR="00BB4841" w:rsidRDefault="00BB4841" w:rsidP="003C183D">
            <w:pPr>
              <w:pStyle w:val="TableText"/>
              <w:keepNext/>
              <w:tabs>
                <w:tab w:val="left" w:pos="361"/>
                <w:tab w:val="left" w:pos="1088"/>
              </w:tabs>
            </w:pPr>
            <w:r>
              <w:t>PICO Set 2</w:t>
            </w:r>
          </w:p>
          <w:p w14:paraId="1AA384B3" w14:textId="77777777" w:rsidR="00223D53" w:rsidRPr="00D1072A" w:rsidRDefault="00223D53" w:rsidP="003C183D">
            <w:pPr>
              <w:pStyle w:val="TableText"/>
              <w:keepNext/>
              <w:tabs>
                <w:tab w:val="left" w:pos="361"/>
                <w:tab w:val="left" w:pos="1088"/>
              </w:tabs>
            </w:pPr>
            <w:r>
              <w:rPr>
                <w:rFonts w:ascii="MS Gothic" w:eastAsia="MS Gothic" w:hAnsi="MS Gothic" w:hint="eastAsia"/>
              </w:rPr>
              <w:t>☒</w:t>
            </w:r>
            <w:r w:rsidRPr="00D1072A">
              <w:tab/>
              <w:t>k=</w:t>
            </w:r>
            <w:r w:rsidR="003C183D">
              <w:t>2</w:t>
            </w:r>
            <w:r w:rsidRPr="00D1072A">
              <w:tab/>
              <w:t>n=</w:t>
            </w:r>
            <w:r w:rsidR="00945932">
              <w:t>21</w:t>
            </w:r>
          </w:p>
        </w:tc>
        <w:tc>
          <w:tcPr>
            <w:tcW w:w="928" w:type="pct"/>
            <w:hideMark/>
          </w:tcPr>
          <w:p w14:paraId="0E2674E3" w14:textId="77777777" w:rsidR="00223D53" w:rsidRDefault="00223D53" w:rsidP="00670650">
            <w:pPr>
              <w:pStyle w:val="TableText"/>
              <w:keepNext/>
              <w:rPr>
                <w:color w:val="000000" w:themeColor="text1"/>
              </w:rPr>
            </w:pPr>
            <w:r>
              <w:rPr>
                <w:color w:val="000000" w:themeColor="text1"/>
              </w:rPr>
              <w:t>AMSTAR-2 (k=2</w:t>
            </w:r>
            <w:r w:rsidR="00B84662">
              <w:rPr>
                <w:color w:val="000000" w:themeColor="text1"/>
              </w:rPr>
              <w:t xml:space="preserve"> </w:t>
            </w:r>
            <w:r>
              <w:rPr>
                <w:color w:val="000000" w:themeColor="text1"/>
              </w:rPr>
              <w:t>SRs)</w:t>
            </w:r>
          </w:p>
          <w:p w14:paraId="745EE23B" w14:textId="77777777" w:rsidR="00223D53" w:rsidRDefault="00223D53" w:rsidP="00670650">
            <w:pPr>
              <w:pStyle w:val="TableText"/>
              <w:keepNext/>
              <w:rPr>
                <w:color w:val="000000" w:themeColor="text1"/>
              </w:rPr>
            </w:pPr>
            <w:r>
              <w:rPr>
                <w:color w:val="000000" w:themeColor="text1"/>
              </w:rPr>
              <w:t>Low risk of bias</w:t>
            </w:r>
          </w:p>
          <w:p w14:paraId="7719F35B" w14:textId="77777777" w:rsidR="00DE6D90" w:rsidRDefault="00DE6D90" w:rsidP="00670650">
            <w:pPr>
              <w:pStyle w:val="TableText"/>
              <w:keepNext/>
              <w:rPr>
                <w:color w:val="000000" w:themeColor="text1"/>
              </w:rPr>
            </w:pPr>
            <w:r>
              <w:rPr>
                <w:color w:val="000000" w:themeColor="text1"/>
              </w:rPr>
              <w:t>QUADAS-C (k=</w:t>
            </w:r>
            <w:r w:rsidR="00BB4841">
              <w:rPr>
                <w:color w:val="000000" w:themeColor="text1"/>
              </w:rPr>
              <w:t>18)</w:t>
            </w:r>
          </w:p>
          <w:p w14:paraId="3999E910" w14:textId="77777777" w:rsidR="00956ACE" w:rsidRDefault="00956ACE" w:rsidP="00670650">
            <w:pPr>
              <w:pStyle w:val="TableText"/>
              <w:keepNext/>
              <w:rPr>
                <w:color w:val="000000" w:themeColor="text1"/>
              </w:rPr>
            </w:pPr>
            <w:r w:rsidRPr="00DE6D90">
              <w:rPr>
                <w:color w:val="000000" w:themeColor="text1"/>
              </w:rPr>
              <w:t>QUADAS-2</w:t>
            </w:r>
            <w:r w:rsidR="00DE6D90">
              <w:rPr>
                <w:color w:val="000000" w:themeColor="text1"/>
              </w:rPr>
              <w:t xml:space="preserve"> (k=</w:t>
            </w:r>
            <w:r w:rsidR="00BB4841">
              <w:rPr>
                <w:color w:val="000000" w:themeColor="text1"/>
              </w:rPr>
              <w:t>7)</w:t>
            </w:r>
          </w:p>
          <w:p w14:paraId="608EE027" w14:textId="77777777" w:rsidR="00223D53" w:rsidRPr="00DE6D90" w:rsidRDefault="00223D53" w:rsidP="00670650">
            <w:pPr>
              <w:pStyle w:val="TableText"/>
              <w:keepNext/>
              <w:rPr>
                <w:color w:val="000000" w:themeColor="text1"/>
              </w:rPr>
            </w:pPr>
            <w:proofErr w:type="gramStart"/>
            <w:r>
              <w:rPr>
                <w:color w:val="000000" w:themeColor="text1"/>
              </w:rPr>
              <w:t>Overall</w:t>
            </w:r>
            <w:proofErr w:type="gramEnd"/>
            <w:r>
              <w:rPr>
                <w:color w:val="000000" w:themeColor="text1"/>
              </w:rPr>
              <w:t xml:space="preserve"> most studies had a low risk of bias</w:t>
            </w:r>
          </w:p>
        </w:tc>
      </w:tr>
      <w:tr w:rsidR="00956ACE" w:rsidRPr="00D1072A" w14:paraId="39750370" w14:textId="77777777" w:rsidTr="008E0532">
        <w:tc>
          <w:tcPr>
            <w:tcW w:w="860" w:type="pct"/>
            <w:hideMark/>
          </w:tcPr>
          <w:p w14:paraId="27ED8D8F" w14:textId="77777777" w:rsidR="00956ACE" w:rsidRPr="00D1072A" w:rsidRDefault="00956ACE" w:rsidP="00670650">
            <w:pPr>
              <w:pStyle w:val="TableText"/>
              <w:keepNext/>
            </w:pPr>
            <w:r w:rsidRPr="00D1072A">
              <w:t>Prognostic evidence (longitudinal accuracy)</w:t>
            </w:r>
          </w:p>
        </w:tc>
        <w:tc>
          <w:tcPr>
            <w:tcW w:w="2125" w:type="pct"/>
            <w:hideMark/>
          </w:tcPr>
          <w:p w14:paraId="5F5C5EB2" w14:textId="77777777" w:rsidR="00956ACE" w:rsidRPr="00D1072A" w:rsidRDefault="00CC4886" w:rsidP="00670650">
            <w:pPr>
              <w:pStyle w:val="TableText"/>
              <w:keepNext/>
            </w:pPr>
            <w:r>
              <w:t>No studies were identified in the literature search</w:t>
            </w:r>
          </w:p>
        </w:tc>
        <w:tc>
          <w:tcPr>
            <w:tcW w:w="1088" w:type="pct"/>
            <w:hideMark/>
          </w:tcPr>
          <w:p w14:paraId="75A9B1E5" w14:textId="77777777" w:rsidR="00956ACE" w:rsidRPr="00D1072A" w:rsidRDefault="00956ACE" w:rsidP="00DE6D90">
            <w:pPr>
              <w:pStyle w:val="TableText"/>
              <w:keepNext/>
              <w:tabs>
                <w:tab w:val="left" w:pos="450"/>
                <w:tab w:val="left" w:pos="1126"/>
              </w:tabs>
            </w:pPr>
            <w:r w:rsidRPr="00D1072A">
              <w:rPr>
                <w:rFonts w:ascii="MS Gothic" w:eastAsia="MS Gothic" w:hAnsi="MS Gothic" w:hint="eastAsia"/>
              </w:rPr>
              <w:t>☐</w:t>
            </w:r>
            <w:r w:rsidRPr="00D1072A">
              <w:tab/>
              <w:t>k=</w:t>
            </w:r>
            <w:r w:rsidR="00DE6D90">
              <w:t>0</w:t>
            </w:r>
            <w:r w:rsidRPr="00D1072A">
              <w:tab/>
              <w:t>n=</w:t>
            </w:r>
            <w:r w:rsidR="00DE6D90">
              <w:t>0</w:t>
            </w:r>
          </w:p>
        </w:tc>
        <w:tc>
          <w:tcPr>
            <w:tcW w:w="928" w:type="pct"/>
            <w:hideMark/>
          </w:tcPr>
          <w:p w14:paraId="0A1A993A" w14:textId="77777777" w:rsidR="00956ACE" w:rsidRPr="00DE6D90" w:rsidRDefault="00DE6D90" w:rsidP="00670650">
            <w:pPr>
              <w:pStyle w:val="TableText"/>
              <w:keepNext/>
              <w:rPr>
                <w:color w:val="000000" w:themeColor="text1"/>
              </w:rPr>
            </w:pPr>
            <w:r>
              <w:rPr>
                <w:color w:val="000000" w:themeColor="text1"/>
              </w:rPr>
              <w:t>NA</w:t>
            </w:r>
          </w:p>
        </w:tc>
      </w:tr>
      <w:tr w:rsidR="00956ACE" w:rsidRPr="00D1072A" w14:paraId="73CC4B43" w14:textId="77777777" w:rsidTr="008E0532">
        <w:tc>
          <w:tcPr>
            <w:tcW w:w="860" w:type="pct"/>
            <w:hideMark/>
          </w:tcPr>
          <w:p w14:paraId="5911B076" w14:textId="77777777" w:rsidR="00956ACE" w:rsidRPr="00D1072A" w:rsidRDefault="00956ACE" w:rsidP="00670650">
            <w:pPr>
              <w:pStyle w:val="TableText"/>
              <w:keepNext/>
            </w:pPr>
            <w:r w:rsidRPr="00D1072A">
              <w:t xml:space="preserve">Change in patient management </w:t>
            </w:r>
          </w:p>
        </w:tc>
        <w:tc>
          <w:tcPr>
            <w:tcW w:w="2125" w:type="pct"/>
            <w:hideMark/>
          </w:tcPr>
          <w:p w14:paraId="16AB715E" w14:textId="77777777" w:rsidR="00956ACE" w:rsidRPr="00D1072A" w:rsidRDefault="00CC4886" w:rsidP="00670650">
            <w:pPr>
              <w:pStyle w:val="TableText"/>
              <w:keepNext/>
            </w:pPr>
            <w:r w:rsidRPr="00CC4886">
              <w:t xml:space="preserve">No studies </w:t>
            </w:r>
            <w:r>
              <w:t xml:space="preserve">that met the inclusion criteria </w:t>
            </w:r>
            <w:r w:rsidRPr="00CC4886">
              <w:t>were identified in the literature search</w:t>
            </w:r>
          </w:p>
        </w:tc>
        <w:tc>
          <w:tcPr>
            <w:tcW w:w="1088" w:type="pct"/>
            <w:hideMark/>
          </w:tcPr>
          <w:p w14:paraId="4A28D619" w14:textId="77777777" w:rsidR="00956ACE" w:rsidRPr="00D1072A" w:rsidRDefault="00956ACE" w:rsidP="00DE6D90">
            <w:pPr>
              <w:pStyle w:val="TableText"/>
              <w:keepNext/>
              <w:tabs>
                <w:tab w:val="left" w:pos="450"/>
                <w:tab w:val="left" w:pos="1126"/>
              </w:tabs>
            </w:pPr>
            <w:r w:rsidRPr="00D1072A">
              <w:rPr>
                <w:rFonts w:ascii="MS Gothic" w:eastAsia="MS Gothic" w:hAnsi="MS Gothic" w:hint="eastAsia"/>
              </w:rPr>
              <w:t>☐</w:t>
            </w:r>
            <w:r w:rsidRPr="00D1072A">
              <w:tab/>
              <w:t>k=</w:t>
            </w:r>
            <w:r w:rsidR="00DE6D90">
              <w:t>0</w:t>
            </w:r>
            <w:r w:rsidRPr="00D1072A">
              <w:tab/>
              <w:t>n=</w:t>
            </w:r>
            <w:r w:rsidR="00DE6D90">
              <w:t>0</w:t>
            </w:r>
          </w:p>
        </w:tc>
        <w:tc>
          <w:tcPr>
            <w:tcW w:w="928" w:type="pct"/>
            <w:hideMark/>
          </w:tcPr>
          <w:p w14:paraId="1BAA6AB4" w14:textId="77777777" w:rsidR="00956ACE" w:rsidRPr="00DE6D90" w:rsidRDefault="00DE6D90" w:rsidP="00670650">
            <w:pPr>
              <w:pStyle w:val="TableText"/>
              <w:keepNext/>
              <w:rPr>
                <w:color w:val="000000" w:themeColor="text1"/>
              </w:rPr>
            </w:pPr>
            <w:r>
              <w:rPr>
                <w:color w:val="000000" w:themeColor="text1"/>
              </w:rPr>
              <w:t>NA</w:t>
            </w:r>
          </w:p>
        </w:tc>
      </w:tr>
      <w:tr w:rsidR="00956ACE" w:rsidRPr="00D1072A" w14:paraId="63D39E09" w14:textId="77777777" w:rsidTr="008E0532">
        <w:tc>
          <w:tcPr>
            <w:tcW w:w="860" w:type="pct"/>
            <w:tcBorders>
              <w:bottom w:val="nil"/>
            </w:tcBorders>
            <w:hideMark/>
          </w:tcPr>
          <w:p w14:paraId="7F703B4D" w14:textId="77777777" w:rsidR="00956ACE" w:rsidRPr="00D1072A" w:rsidRDefault="00956ACE" w:rsidP="00670650">
            <w:pPr>
              <w:pStyle w:val="TableText"/>
              <w:keepNext/>
            </w:pPr>
            <w:r w:rsidRPr="00D1072A">
              <w:t xml:space="preserve">Health outcomes  </w:t>
            </w:r>
          </w:p>
        </w:tc>
        <w:tc>
          <w:tcPr>
            <w:tcW w:w="2125" w:type="pct"/>
            <w:tcBorders>
              <w:bottom w:val="nil"/>
            </w:tcBorders>
          </w:tcPr>
          <w:p w14:paraId="0FA003D1" w14:textId="77777777" w:rsidR="00956ACE" w:rsidRDefault="00CC4886" w:rsidP="00670650">
            <w:pPr>
              <w:pStyle w:val="TableText"/>
              <w:keepNext/>
              <w:rPr>
                <w:color w:val="000000" w:themeColor="text1"/>
              </w:rPr>
            </w:pPr>
            <w:r w:rsidRPr="00CC4886">
              <w:rPr>
                <w:color w:val="000000" w:themeColor="text1"/>
              </w:rPr>
              <w:t>No studies that met the inclusion criteria were identified in the literature search</w:t>
            </w:r>
          </w:p>
          <w:p w14:paraId="08BF32BC" w14:textId="77777777" w:rsidR="00DE6D90" w:rsidRPr="00D1072A" w:rsidRDefault="00DE6D90" w:rsidP="00670650">
            <w:pPr>
              <w:pStyle w:val="TableText"/>
              <w:keepNext/>
            </w:pPr>
            <w:r>
              <w:t>Eighteen studies were identified from other sources that provide information of treatment effectiveness</w:t>
            </w:r>
          </w:p>
        </w:tc>
        <w:tc>
          <w:tcPr>
            <w:tcW w:w="1088" w:type="pct"/>
            <w:tcBorders>
              <w:bottom w:val="nil"/>
            </w:tcBorders>
          </w:tcPr>
          <w:p w14:paraId="2A0A068D" w14:textId="77777777" w:rsidR="00956ACE" w:rsidRPr="00D1072A" w:rsidRDefault="00945932" w:rsidP="00DE6D90">
            <w:pPr>
              <w:pStyle w:val="TableText"/>
              <w:keepNext/>
              <w:tabs>
                <w:tab w:val="left" w:pos="450"/>
                <w:tab w:val="left" w:pos="1126"/>
              </w:tabs>
            </w:pPr>
            <w:r>
              <w:rPr>
                <w:rFonts w:ascii="MS Gothic" w:eastAsia="MS Gothic" w:hAnsi="MS Gothic" w:hint="eastAsia"/>
              </w:rPr>
              <w:t>☒</w:t>
            </w:r>
            <w:r w:rsidR="00956ACE" w:rsidRPr="00D1072A">
              <w:tab/>
              <w:t>k=</w:t>
            </w:r>
            <w:r w:rsidR="00DE6D90">
              <w:t>18</w:t>
            </w:r>
            <w:r w:rsidR="00956ACE" w:rsidRPr="00D1072A">
              <w:tab/>
              <w:t>n=</w:t>
            </w:r>
            <w:r w:rsidR="0059200F">
              <w:t>1</w:t>
            </w:r>
            <w:r w:rsidR="00DE6D90">
              <w:t>0</w:t>
            </w:r>
            <w:r w:rsidR="0059200F">
              <w:t>.163</w:t>
            </w:r>
          </w:p>
        </w:tc>
        <w:tc>
          <w:tcPr>
            <w:tcW w:w="928" w:type="pct"/>
            <w:tcBorders>
              <w:bottom w:val="nil"/>
            </w:tcBorders>
            <w:hideMark/>
          </w:tcPr>
          <w:p w14:paraId="5DAA2829" w14:textId="77777777" w:rsidR="00956ACE" w:rsidRPr="00D1072A" w:rsidRDefault="00DE6D90" w:rsidP="00670650">
            <w:pPr>
              <w:pStyle w:val="TableText"/>
              <w:keepNext/>
            </w:pPr>
            <w:r w:rsidRPr="00DE6D90">
              <w:rPr>
                <w:color w:val="000000" w:themeColor="text1"/>
              </w:rPr>
              <w:t xml:space="preserve">Not done as studies </w:t>
            </w:r>
            <w:r w:rsidR="000B47DB">
              <w:rPr>
                <w:color w:val="000000" w:themeColor="text1"/>
              </w:rPr>
              <w:t>did not meet inclusion criteria</w:t>
            </w:r>
          </w:p>
        </w:tc>
      </w:tr>
      <w:tr w:rsidR="00956ACE" w:rsidRPr="00D1072A" w14:paraId="1ED560A5" w14:textId="77777777" w:rsidTr="008E0532">
        <w:tc>
          <w:tcPr>
            <w:tcW w:w="860" w:type="pct"/>
            <w:hideMark/>
          </w:tcPr>
          <w:p w14:paraId="4862A3C0" w14:textId="77777777" w:rsidR="00956ACE" w:rsidRPr="00D1072A" w:rsidRDefault="00CC4886" w:rsidP="00670650">
            <w:pPr>
              <w:pStyle w:val="TableText"/>
              <w:keepNext/>
            </w:pPr>
            <w:r>
              <w:t>Safety</w:t>
            </w:r>
          </w:p>
        </w:tc>
        <w:tc>
          <w:tcPr>
            <w:tcW w:w="2125" w:type="pct"/>
          </w:tcPr>
          <w:p w14:paraId="0B30C67C" w14:textId="77777777" w:rsidR="00956ACE" w:rsidRDefault="00DE6D90" w:rsidP="00670650">
            <w:pPr>
              <w:pStyle w:val="TableText"/>
              <w:keepNext/>
            </w:pPr>
            <w:r w:rsidRPr="00DE6D90">
              <w:t>No</w:t>
            </w:r>
            <w:r>
              <w:t xml:space="preserve"> </w:t>
            </w:r>
            <w:r w:rsidRPr="00DE6D90">
              <w:t>comparative safety information</w:t>
            </w:r>
            <w:r>
              <w:t xml:space="preserve"> was identified in the literature search.</w:t>
            </w:r>
          </w:p>
          <w:p w14:paraId="693B2C55" w14:textId="77777777" w:rsidR="00DE6D90" w:rsidRPr="00D1072A" w:rsidRDefault="00DE6D90" w:rsidP="00670650">
            <w:pPr>
              <w:pStyle w:val="TableText"/>
              <w:keepNext/>
            </w:pPr>
            <w:r w:rsidRPr="00DE6D90">
              <w:t>Information</w:t>
            </w:r>
            <w:r>
              <w:t xml:space="preserve"> </w:t>
            </w:r>
            <w:r w:rsidRPr="00DE6D90">
              <w:t>was sourced from authoritative information websites and clinical guidelines, and an additional, non-systematic literature search</w:t>
            </w:r>
            <w:r>
              <w:t xml:space="preserve"> identified </w:t>
            </w:r>
            <w:r w:rsidR="002D5524">
              <w:t xml:space="preserve">6 </w:t>
            </w:r>
            <w:r>
              <w:t>observational studies that provided information</w:t>
            </w:r>
          </w:p>
        </w:tc>
        <w:tc>
          <w:tcPr>
            <w:tcW w:w="1088" w:type="pct"/>
            <w:hideMark/>
          </w:tcPr>
          <w:p w14:paraId="1E2095F1" w14:textId="77777777" w:rsidR="00956ACE" w:rsidRPr="00D1072A" w:rsidRDefault="00945932" w:rsidP="00DE6D90">
            <w:pPr>
              <w:pStyle w:val="TableText"/>
              <w:keepNext/>
              <w:tabs>
                <w:tab w:val="left" w:pos="450"/>
                <w:tab w:val="left" w:pos="1126"/>
              </w:tabs>
            </w:pPr>
            <w:r>
              <w:rPr>
                <w:rFonts w:ascii="MS Gothic" w:eastAsia="MS Gothic" w:hAnsi="MS Gothic" w:hint="eastAsia"/>
              </w:rPr>
              <w:t>☒</w:t>
            </w:r>
            <w:r w:rsidR="00956ACE" w:rsidRPr="00D1072A">
              <w:tab/>
              <w:t>k=</w:t>
            </w:r>
            <w:r w:rsidR="002D5524">
              <w:t>6</w:t>
            </w:r>
            <w:r w:rsidR="008E0532">
              <w:tab/>
            </w:r>
            <w:r w:rsidR="00956ACE" w:rsidRPr="00D1072A">
              <w:t>n=</w:t>
            </w:r>
            <w:r w:rsidR="008E0532">
              <w:t>1,843,963</w:t>
            </w:r>
          </w:p>
        </w:tc>
        <w:tc>
          <w:tcPr>
            <w:tcW w:w="928" w:type="pct"/>
          </w:tcPr>
          <w:p w14:paraId="632508F4" w14:textId="77777777" w:rsidR="00956ACE" w:rsidRPr="00D1072A" w:rsidRDefault="00DE6D90" w:rsidP="00670650">
            <w:pPr>
              <w:pStyle w:val="TableText"/>
              <w:keepNext/>
            </w:pPr>
            <w:r w:rsidRPr="00DE6D90">
              <w:t xml:space="preserve">Not done as studies </w:t>
            </w:r>
            <w:r w:rsidR="000B47DB" w:rsidRPr="000B47DB">
              <w:t>did not meet inclusion criteria</w:t>
            </w:r>
          </w:p>
        </w:tc>
      </w:tr>
    </w:tbl>
    <w:p w14:paraId="7AE951E9" w14:textId="77777777" w:rsidR="00956ACE" w:rsidRPr="00D1072A" w:rsidRDefault="000B47DB" w:rsidP="00DA518E">
      <w:pPr>
        <w:pStyle w:val="TableFigureFooter"/>
      </w:pPr>
      <w:bookmarkStart w:id="24" w:name="_Hlk68276301"/>
      <w:bookmarkEnd w:id="23"/>
      <w:r>
        <w:t>AMSTAR = a measurement tool to assess systematic reviews;</w:t>
      </w:r>
      <w:r w:rsidRPr="00D1072A">
        <w:t xml:space="preserve"> </w:t>
      </w:r>
      <w:r w:rsidR="00956ACE" w:rsidRPr="00D1072A">
        <w:t>k=number of studies, n=number of patients</w:t>
      </w:r>
      <w:r>
        <w:t xml:space="preserve">; NHMRC = </w:t>
      </w:r>
      <w:r w:rsidRPr="000B47DB">
        <w:t>National Health and Medical Research Council</w:t>
      </w:r>
      <w:r>
        <w:t>;</w:t>
      </w:r>
      <w:r w:rsidRPr="000B47DB">
        <w:t xml:space="preserve"> </w:t>
      </w:r>
      <w:r>
        <w:t>PICO = population, intervention, comparator, outcomes; QUADAS</w:t>
      </w:r>
      <w:r w:rsidR="00B84662">
        <w:t>-2</w:t>
      </w:r>
      <w:r>
        <w:t xml:space="preserve"> = q</w:t>
      </w:r>
      <w:r w:rsidRPr="000B47DB">
        <w:t xml:space="preserve">uality </w:t>
      </w:r>
      <w:r>
        <w:t>a</w:t>
      </w:r>
      <w:r w:rsidRPr="000B47DB">
        <w:t xml:space="preserve">ssessment of </w:t>
      </w:r>
      <w:r>
        <w:t>d</w:t>
      </w:r>
      <w:r w:rsidRPr="000B47DB">
        <w:t xml:space="preserve">iagnostic </w:t>
      </w:r>
      <w:r>
        <w:t>a</w:t>
      </w:r>
      <w:r w:rsidRPr="000B47DB">
        <w:t xml:space="preserve">ccuracy </w:t>
      </w:r>
      <w:r>
        <w:t>s</w:t>
      </w:r>
      <w:r w:rsidRPr="000B47DB">
        <w:t>tudies</w:t>
      </w:r>
      <w:r w:rsidR="00B84662">
        <w:t xml:space="preserve"> tool for comparison of an index test with a reference standard</w:t>
      </w:r>
      <w:r w:rsidR="00972205">
        <w:t xml:space="preserve">; </w:t>
      </w:r>
      <w:r w:rsidR="00B84662">
        <w:t>QUADAS-C = q</w:t>
      </w:r>
      <w:r w:rsidR="00B84662" w:rsidRPr="000B47DB">
        <w:t xml:space="preserve">uality </w:t>
      </w:r>
      <w:r w:rsidR="00B84662">
        <w:t>a</w:t>
      </w:r>
      <w:r w:rsidR="00B84662" w:rsidRPr="000B47DB">
        <w:t xml:space="preserve">ssessment of </w:t>
      </w:r>
      <w:r w:rsidR="00B84662">
        <w:t>d</w:t>
      </w:r>
      <w:r w:rsidR="00B84662" w:rsidRPr="000B47DB">
        <w:t xml:space="preserve">iagnostic </w:t>
      </w:r>
      <w:r w:rsidR="00B84662">
        <w:t>a</w:t>
      </w:r>
      <w:r w:rsidR="00B84662" w:rsidRPr="000B47DB">
        <w:t xml:space="preserve">ccuracy </w:t>
      </w:r>
      <w:r w:rsidR="00B84662">
        <w:t>s</w:t>
      </w:r>
      <w:r w:rsidR="00B84662" w:rsidRPr="000B47DB">
        <w:t>tudies</w:t>
      </w:r>
      <w:r w:rsidR="00B84662">
        <w:t xml:space="preserve"> tool for comparison of </w:t>
      </w:r>
      <w:r w:rsidR="009C4EB1">
        <w:t>2 or more</w:t>
      </w:r>
      <w:r w:rsidR="00B84662">
        <w:t xml:space="preserve"> test</w:t>
      </w:r>
      <w:r w:rsidR="009C4EB1">
        <w:t>s</w:t>
      </w:r>
      <w:r w:rsidR="00B84662">
        <w:t xml:space="preserve"> with a reference standard; </w:t>
      </w:r>
      <w:r w:rsidR="00972205">
        <w:t>SR = systematic review</w:t>
      </w:r>
    </w:p>
    <w:p w14:paraId="63F84BC8" w14:textId="77777777" w:rsidR="00772829" w:rsidRPr="00D1072A" w:rsidRDefault="006224B0" w:rsidP="002A18BE">
      <w:pPr>
        <w:pStyle w:val="Heading2"/>
        <w:numPr>
          <w:ilvl w:val="0"/>
          <w:numId w:val="0"/>
        </w:numPr>
      </w:pPr>
      <w:bookmarkStart w:id="25" w:name="_Toc121853588"/>
      <w:bookmarkEnd w:id="24"/>
      <w:r>
        <w:t>11</w:t>
      </w:r>
      <w:r w:rsidR="00C36633" w:rsidRPr="00D1072A">
        <w:t>.</w:t>
      </w:r>
      <w:r w:rsidR="00C36633" w:rsidRPr="00D1072A">
        <w:tab/>
      </w:r>
      <w:r w:rsidR="00772829" w:rsidRPr="00D1072A">
        <w:t>Comparative safety</w:t>
      </w:r>
      <w:bookmarkEnd w:id="25"/>
    </w:p>
    <w:p w14:paraId="4780267A" w14:textId="77777777" w:rsidR="00504EF3" w:rsidRDefault="00504EF3" w:rsidP="00504EF3">
      <w:pPr>
        <w:pStyle w:val="Heading4"/>
      </w:pPr>
      <w:r>
        <w:t>Safety of MRI compared to CT and US</w:t>
      </w:r>
    </w:p>
    <w:p w14:paraId="1A50E29A" w14:textId="77777777" w:rsidR="00286404" w:rsidRDefault="00286404" w:rsidP="00286404">
      <w:r>
        <w:t xml:space="preserve">As there were no </w:t>
      </w:r>
      <w:r w:rsidRPr="00514D4A">
        <w:t>comparative safety</w:t>
      </w:r>
      <w:r>
        <w:t xml:space="preserve"> studies that met the inclusion criteria, </w:t>
      </w:r>
      <w:r w:rsidRPr="00514D4A">
        <w:t>general safety information related to the three imaging modalities (</w:t>
      </w:r>
      <w:r>
        <w:t xml:space="preserve">MRI, </w:t>
      </w:r>
      <w:proofErr w:type="gramStart"/>
      <w:r>
        <w:t>CT</w:t>
      </w:r>
      <w:proofErr w:type="gramEnd"/>
      <w:r>
        <w:t xml:space="preserve"> and US</w:t>
      </w:r>
      <w:r w:rsidRPr="00514D4A">
        <w:t>)</w:t>
      </w:r>
      <w:r>
        <w:t xml:space="preserve"> including information from </w:t>
      </w:r>
      <w:r w:rsidRPr="00514D4A">
        <w:lastRenderedPageBreak/>
        <w:t xml:space="preserve">authoritative information websites and clinical guidelines, and </w:t>
      </w:r>
      <w:r>
        <w:t xml:space="preserve">the results of </w:t>
      </w:r>
      <w:r w:rsidRPr="00514D4A">
        <w:t>an additional</w:t>
      </w:r>
      <w:r>
        <w:t>, non-systematic</w:t>
      </w:r>
      <w:r w:rsidRPr="00514D4A">
        <w:t xml:space="preserve"> literature search</w:t>
      </w:r>
      <w:r>
        <w:t xml:space="preserve"> were considered instead</w:t>
      </w:r>
      <w:r w:rsidRPr="00514D4A">
        <w:t>.</w:t>
      </w:r>
    </w:p>
    <w:p w14:paraId="2C11DDFA" w14:textId="77777777" w:rsidR="00504EF3" w:rsidRDefault="00504EF3" w:rsidP="00504EF3">
      <w:r w:rsidRPr="00B219F3">
        <w:t xml:space="preserve">All three types of imaging are undertaken widely in Australia and the safety profile for them is generally accepted, with individual clinicians responsible for assessing the risk-benefit ratio for their patient’s circumstances. </w:t>
      </w:r>
      <w:r w:rsidR="009C4EB1">
        <w:t>The</w:t>
      </w:r>
      <w:r w:rsidR="003334E9">
        <w:t xml:space="preserve"> </w:t>
      </w:r>
      <w:r w:rsidR="009C4EB1">
        <w:t xml:space="preserve">main safety concern with CT is the exposure to ionising radiation. </w:t>
      </w:r>
      <w:r w:rsidRPr="00B219F3">
        <w:t xml:space="preserve">MRI and CT can both be undertaken without contrast enhancement; in this case, the side effects of MRI are minimal, but the radiation dose received in CT is doubled when the </w:t>
      </w:r>
      <w:r w:rsidR="003D6EC8">
        <w:t xml:space="preserve">same </w:t>
      </w:r>
      <w:r w:rsidRPr="00B219F3">
        <w:t>scan is undertaken both with and without contrast.</w:t>
      </w:r>
      <w:r>
        <w:t xml:space="preserve"> US</w:t>
      </w:r>
      <w:r w:rsidR="003D6EC8">
        <w:t xml:space="preserve"> does not use ionising radiation (</w:t>
      </w:r>
      <w:proofErr w:type="gramStart"/>
      <w:r w:rsidR="003D6EC8">
        <w:t>similar to</w:t>
      </w:r>
      <w:proofErr w:type="gramEnd"/>
      <w:r w:rsidR="003D6EC8">
        <w:t xml:space="preserve"> MRI) and </w:t>
      </w:r>
      <w:r w:rsidRPr="00B219F3">
        <w:t>is a safe procedure and poses no risk to the patient.</w:t>
      </w:r>
    </w:p>
    <w:p w14:paraId="447D83DB" w14:textId="77777777" w:rsidR="002D6EE5" w:rsidRDefault="00A61E2E" w:rsidP="00A61E2E">
      <w:r w:rsidRPr="00A61E2E">
        <w:t xml:space="preserve">There are risks associated with the use of </w:t>
      </w:r>
      <w:r>
        <w:t xml:space="preserve">the contrast agents </w:t>
      </w:r>
      <w:r w:rsidR="002D6EE5">
        <w:t xml:space="preserve">used </w:t>
      </w:r>
      <w:r>
        <w:t>for both MRI and CT</w:t>
      </w:r>
      <w:r w:rsidR="002D6EE5">
        <w:t>, although the risk is low</w:t>
      </w:r>
      <w:r w:rsidR="003334E9">
        <w:t xml:space="preserve"> (</w:t>
      </w:r>
      <w:proofErr w:type="gramStart"/>
      <w:r w:rsidR="003334E9">
        <w:t>in particular with</w:t>
      </w:r>
      <w:proofErr w:type="gramEnd"/>
      <w:r w:rsidR="003334E9">
        <w:t xml:space="preserve"> MRI)</w:t>
      </w:r>
      <w:r w:rsidR="001D07FD">
        <w:t xml:space="preserve">. </w:t>
      </w:r>
      <w:r w:rsidR="002D6EE5">
        <w:t>However, both are associated with higher risks in patients with renal function impairment.</w:t>
      </w:r>
    </w:p>
    <w:p w14:paraId="1E383FB4" w14:textId="77777777" w:rsidR="002D6EE5" w:rsidRDefault="002D6EE5" w:rsidP="002D6EE5">
      <w:r w:rsidRPr="001D07FD">
        <w:t xml:space="preserve">Gadolinium-containing contrast media are associated with a very rare condition called nephrogenic systemic fibrosis (NSF), </w:t>
      </w:r>
      <w:r>
        <w:t xml:space="preserve">that can </w:t>
      </w:r>
      <w:r w:rsidRPr="001D07FD">
        <w:t xml:space="preserve">occur in people with chronic or severe renal disease. </w:t>
      </w:r>
      <w:r w:rsidRPr="002D6EE5">
        <w:t xml:space="preserve">There is no treatment for </w:t>
      </w:r>
      <w:proofErr w:type="gramStart"/>
      <w:r w:rsidRPr="002D6EE5">
        <w:t>NSF</w:t>
      </w:r>
      <w:proofErr w:type="gramEnd"/>
      <w:r w:rsidRPr="002D6EE5">
        <w:t xml:space="preserve"> and it may contribute to patient death</w:t>
      </w:r>
      <w:r>
        <w:t>.</w:t>
      </w:r>
    </w:p>
    <w:p w14:paraId="6EF09961" w14:textId="77777777" w:rsidR="002D6EE5" w:rsidRDefault="002D6EE5" w:rsidP="002D6EE5">
      <w:r>
        <w:t>P</w:t>
      </w:r>
      <w:r w:rsidRPr="002D6EE5">
        <w:t>atients with kidney disease are at greater risk of harm from iodine-containing contrast</w:t>
      </w:r>
      <w:r>
        <w:t xml:space="preserve"> used for CT</w:t>
      </w:r>
      <w:r w:rsidRPr="002D6EE5">
        <w:t>. The contrast media can temporarily worsen kidney function in patients with existing severely impaired kidney function. Occasionally, the damage can be prolonged and may require treatment with dialysis</w:t>
      </w:r>
      <w:r>
        <w:t>.</w:t>
      </w:r>
    </w:p>
    <w:p w14:paraId="1F3918E6" w14:textId="77777777" w:rsidR="00A61E2E" w:rsidRDefault="002D6EE5" w:rsidP="00A61E2E">
      <w:r>
        <w:t>As p</w:t>
      </w:r>
      <w:r w:rsidRPr="002D6EE5">
        <w:t xml:space="preserve">eople with hereditary </w:t>
      </w:r>
      <w:r w:rsidR="004440CE">
        <w:t>renal tumour</w:t>
      </w:r>
      <w:r w:rsidRPr="002D6EE5">
        <w:t xml:space="preserve"> syndromes, such a</w:t>
      </w:r>
      <w:r>
        <w:t>s</w:t>
      </w:r>
      <w:r w:rsidRPr="002D6EE5">
        <w:t xml:space="preserve"> TSC and VHL, are more likely to have renal disease than the general population, these </w:t>
      </w:r>
      <w:proofErr w:type="gramStart"/>
      <w:r w:rsidRPr="002D6EE5">
        <w:t>particular safety</w:t>
      </w:r>
      <w:proofErr w:type="gramEnd"/>
      <w:r w:rsidRPr="002D6EE5">
        <w:t xml:space="preserve"> concern</w:t>
      </w:r>
      <w:r>
        <w:t>s</w:t>
      </w:r>
      <w:r w:rsidRPr="002D6EE5">
        <w:t xml:space="preserve"> </w:t>
      </w:r>
      <w:r>
        <w:t>are</w:t>
      </w:r>
      <w:r w:rsidRPr="002D6EE5">
        <w:t xml:space="preserve"> of relevance to the population of interest</w:t>
      </w:r>
      <w:r w:rsidR="00B8778A">
        <w:t xml:space="preserve">. </w:t>
      </w:r>
      <w:r w:rsidR="0011662B">
        <w:t>However</w:t>
      </w:r>
      <w:r w:rsidR="00C16B80">
        <w:t>,</w:t>
      </w:r>
      <w:r w:rsidR="0011662B">
        <w:t xml:space="preserve"> it is standard practice for a</w:t>
      </w:r>
      <w:r w:rsidR="00A61E2E" w:rsidRPr="00A61E2E">
        <w:t xml:space="preserve">ll patients at risk of kidney disease who are undergoing </w:t>
      </w:r>
      <w:r w:rsidR="00B8778A">
        <w:t xml:space="preserve">CT or </w:t>
      </w:r>
      <w:r w:rsidR="00A61E2E" w:rsidRPr="00A61E2E">
        <w:t xml:space="preserve">MRI </w:t>
      </w:r>
      <w:r w:rsidR="00C16B80">
        <w:t>to</w:t>
      </w:r>
      <w:r w:rsidR="00C16B80" w:rsidRPr="00A61E2E">
        <w:t xml:space="preserve"> </w:t>
      </w:r>
      <w:r w:rsidR="00A61E2E" w:rsidRPr="00A61E2E">
        <w:t>have their kidney function assessed by their clinician prior to receiving contrast.</w:t>
      </w:r>
    </w:p>
    <w:p w14:paraId="6C7CF05E" w14:textId="77777777" w:rsidR="00772829" w:rsidRPr="00D1072A" w:rsidRDefault="00C36633" w:rsidP="002A18BE">
      <w:pPr>
        <w:pStyle w:val="Heading2"/>
        <w:numPr>
          <w:ilvl w:val="0"/>
          <w:numId w:val="0"/>
        </w:numPr>
      </w:pPr>
      <w:bookmarkStart w:id="26" w:name="_Toc121853589"/>
      <w:r w:rsidRPr="00D1072A">
        <w:t>1</w:t>
      </w:r>
      <w:r w:rsidR="006224B0">
        <w:t>2</w:t>
      </w:r>
      <w:r w:rsidRPr="00D1072A">
        <w:t>.</w:t>
      </w:r>
      <w:r w:rsidRPr="00D1072A">
        <w:tab/>
      </w:r>
      <w:r w:rsidR="00772829" w:rsidRPr="00D1072A">
        <w:t>Comparative effectiveness</w:t>
      </w:r>
      <w:bookmarkEnd w:id="26"/>
    </w:p>
    <w:p w14:paraId="101E2490" w14:textId="77777777" w:rsidR="00351AC0" w:rsidRPr="00D1072A" w:rsidRDefault="00351AC0" w:rsidP="00351AC0">
      <w:pPr>
        <w:pStyle w:val="Heading4"/>
      </w:pPr>
      <w:r w:rsidRPr="00D1072A">
        <w:t>PICO Set 1</w:t>
      </w:r>
    </w:p>
    <w:p w14:paraId="6F6D56B1" w14:textId="77777777" w:rsidR="00351AC0" w:rsidRPr="00D1072A" w:rsidRDefault="00351AC0" w:rsidP="00351AC0">
      <w:pPr>
        <w:pStyle w:val="Heading4"/>
      </w:pPr>
      <w:r w:rsidRPr="00D1072A">
        <w:t xml:space="preserve">Diagnostic accuracy of MRI, </w:t>
      </w:r>
      <w:proofErr w:type="gramStart"/>
      <w:r w:rsidRPr="00D1072A">
        <w:t>CT</w:t>
      </w:r>
      <w:proofErr w:type="gramEnd"/>
      <w:r w:rsidRPr="00D1072A">
        <w:t xml:space="preserve"> and US in detecting RCC compared to the histopathology reference standard. </w:t>
      </w:r>
    </w:p>
    <w:p w14:paraId="50A3AED9" w14:textId="77777777" w:rsidR="00351AC0" w:rsidRPr="00D1072A" w:rsidRDefault="00351AC0" w:rsidP="00351AC0">
      <w:r w:rsidRPr="00D1072A">
        <w:t xml:space="preserve">Five studies compared the ability of MRI and CT to detect RCC in patients with renal lesions and three studies compared the ability of MRI and CT to detect any malignant tumour type (68–82% being RCCs) in patients with renal lesions. These studies used mostly CE-MRI with T1 and T2-weighted imaging sequences and CE dynamic or multidetector CT. Five studies investigated the ability of DW-MRI to distinguish between RCC and benign tumours using ADC values. The 2x2 data or </w:t>
      </w:r>
      <w:r w:rsidR="00915FEF">
        <w:t>r</w:t>
      </w:r>
      <w:r w:rsidR="00972205">
        <w:t xml:space="preserve">eceiver </w:t>
      </w:r>
      <w:r w:rsidR="00915FEF">
        <w:t>o</w:t>
      </w:r>
      <w:r w:rsidR="00972205">
        <w:t xml:space="preserve">perating </w:t>
      </w:r>
      <w:r w:rsidR="00915FEF">
        <w:t>c</w:t>
      </w:r>
      <w:r w:rsidR="00972205">
        <w:t>haracteristic (ROC)</w:t>
      </w:r>
      <w:r w:rsidRPr="00D1072A">
        <w:t xml:space="preserve"> analysis data </w:t>
      </w:r>
      <w:r w:rsidR="00972205" w:rsidRPr="00D1072A">
        <w:t>w</w:t>
      </w:r>
      <w:r w:rsidR="00972205">
        <w:t xml:space="preserve">ere </w:t>
      </w:r>
      <w:r w:rsidRPr="00D1072A">
        <w:t xml:space="preserve">extracted from these studies and the sensitivity and specificity calculated. The median (range) sensitivity and specificity values were calculated and are presented in </w:t>
      </w:r>
      <w:r w:rsidR="00906E9D">
        <w:fldChar w:fldCharType="begin"/>
      </w:r>
      <w:r w:rsidR="00906E9D">
        <w:instrText xml:space="preserve"> REF _Ref118884532 \h </w:instrText>
      </w:r>
      <w:r w:rsidR="00906E9D">
        <w:fldChar w:fldCharType="separate"/>
      </w:r>
      <w:r w:rsidR="00CB2A40" w:rsidRPr="00D1072A">
        <w:t xml:space="preserve">Table </w:t>
      </w:r>
      <w:r w:rsidR="00CB2A40">
        <w:rPr>
          <w:noProof/>
        </w:rPr>
        <w:t>5</w:t>
      </w:r>
      <w:r w:rsidR="00906E9D">
        <w:fldChar w:fldCharType="end"/>
      </w:r>
      <w:r w:rsidRPr="00D1072A">
        <w:t>.</w:t>
      </w:r>
    </w:p>
    <w:p w14:paraId="3277A010" w14:textId="77777777" w:rsidR="00351AC0" w:rsidRPr="00D1072A" w:rsidRDefault="00351AC0" w:rsidP="00351AC0">
      <w:r w:rsidRPr="00D1072A">
        <w:t xml:space="preserve">A </w:t>
      </w:r>
      <w:r w:rsidR="00972205">
        <w:t>systematic review (</w:t>
      </w:r>
      <w:r w:rsidRPr="00D1072A">
        <w:t>SR</w:t>
      </w:r>
      <w:r w:rsidR="00972205">
        <w:t>)</w:t>
      </w:r>
      <w:r w:rsidRPr="00D1072A">
        <w:t xml:space="preserve"> comparing the diagnostic accuracy of MRI, CT and US compared to a histopathology reference standard was identified in the literature search. The individual studies included in the SR were mostly single modality studies, where the patients were only imaged once with MRI, </w:t>
      </w:r>
      <w:proofErr w:type="gramStart"/>
      <w:r w:rsidRPr="00D1072A">
        <w:t>CT</w:t>
      </w:r>
      <w:proofErr w:type="gramEnd"/>
      <w:r w:rsidRPr="00D1072A">
        <w:t xml:space="preserve"> or US. This differs from the individual studies included in the report, which compared the accuracy of MRI and CT (and in one case also US), to the histopathology reference standard. The SR calculated the median sensitivity and specificity values for MRI, </w:t>
      </w:r>
      <w:proofErr w:type="gramStart"/>
      <w:r w:rsidRPr="00D1072A">
        <w:t>CT</w:t>
      </w:r>
      <w:proofErr w:type="gramEnd"/>
      <w:r w:rsidRPr="00D1072A">
        <w:t xml:space="preserve"> and US in detecting RCC in patients with renal lesions compared to histological examination. The median (range) sensitivity and specificity values for of CE-MRI and CECT were calculated from the data provided by the SR. The median (range) results are summarised in</w:t>
      </w:r>
      <w:r w:rsidR="009C4EB1">
        <w:t xml:space="preserve"> </w:t>
      </w:r>
      <w:r w:rsidR="009C4EB1">
        <w:fldChar w:fldCharType="begin"/>
      </w:r>
      <w:r w:rsidR="009C4EB1">
        <w:instrText xml:space="preserve"> REF _Ref118884532 \h </w:instrText>
      </w:r>
      <w:r w:rsidR="009C4EB1">
        <w:fldChar w:fldCharType="separate"/>
      </w:r>
      <w:r w:rsidR="00CB2A40" w:rsidRPr="00D1072A">
        <w:t xml:space="preserve">Table </w:t>
      </w:r>
      <w:r w:rsidR="00CB2A40">
        <w:rPr>
          <w:noProof/>
        </w:rPr>
        <w:t>5</w:t>
      </w:r>
      <w:r w:rsidR="009C4EB1">
        <w:fldChar w:fldCharType="end"/>
      </w:r>
      <w:r w:rsidR="009C4EB1">
        <w:t>.</w:t>
      </w:r>
    </w:p>
    <w:p w14:paraId="32444880" w14:textId="77777777" w:rsidR="00351AC0" w:rsidRPr="00D1072A" w:rsidRDefault="00351AC0" w:rsidP="00351AC0">
      <w:pPr>
        <w:pStyle w:val="TableHeading0"/>
      </w:pPr>
      <w:bookmarkStart w:id="27" w:name="_Ref118884532"/>
      <w:r w:rsidRPr="00D1072A">
        <w:lastRenderedPageBreak/>
        <w:t xml:space="preserve">Table </w:t>
      </w:r>
      <w:r>
        <w:fldChar w:fldCharType="begin"/>
      </w:r>
      <w:r>
        <w:instrText>SEQ Table \* ARABIC</w:instrText>
      </w:r>
      <w:r>
        <w:fldChar w:fldCharType="separate"/>
      </w:r>
      <w:r w:rsidR="00CB2A40">
        <w:rPr>
          <w:noProof/>
        </w:rPr>
        <w:t>5</w:t>
      </w:r>
      <w:r>
        <w:fldChar w:fldCharType="end"/>
      </w:r>
      <w:bookmarkEnd w:id="27"/>
      <w:r w:rsidRPr="00D1072A">
        <w:tab/>
        <w:t xml:space="preserve">Median sensitivity and specificity of MRI, </w:t>
      </w:r>
      <w:proofErr w:type="gramStart"/>
      <w:r w:rsidRPr="00D1072A">
        <w:t>CT</w:t>
      </w:r>
      <w:proofErr w:type="gramEnd"/>
      <w:r w:rsidRPr="00D1072A">
        <w:t xml:space="preserve"> and US in detecting RCC and/or other malignant lesions compared to a histopathology reference standard</w:t>
      </w:r>
    </w:p>
    <w:tbl>
      <w:tblPr>
        <w:tblStyle w:val="TableGrid5"/>
        <w:tblW w:w="9001" w:type="dxa"/>
        <w:tblInd w:w="-5" w:type="dxa"/>
        <w:tblLook w:val="04A0" w:firstRow="1" w:lastRow="0" w:firstColumn="1" w:lastColumn="0" w:noHBand="0" w:noVBand="1"/>
      </w:tblPr>
      <w:tblGrid>
        <w:gridCol w:w="2127"/>
        <w:gridCol w:w="1559"/>
        <w:gridCol w:w="2657"/>
        <w:gridCol w:w="2658"/>
      </w:tblGrid>
      <w:tr w:rsidR="00351AC0" w:rsidRPr="00D1072A" w14:paraId="25B230CF" w14:textId="77777777" w:rsidTr="009A0F23">
        <w:trPr>
          <w:tblHeader/>
        </w:trPr>
        <w:tc>
          <w:tcPr>
            <w:tcW w:w="2127" w:type="dxa"/>
          </w:tcPr>
          <w:p w14:paraId="009E234E" w14:textId="77777777" w:rsidR="00351AC0" w:rsidRPr="00D1072A" w:rsidRDefault="00351AC0" w:rsidP="009A0F23">
            <w:pPr>
              <w:spacing w:before="40" w:after="40"/>
              <w:ind w:left="-57" w:right="-57"/>
              <w:rPr>
                <w:rFonts w:ascii="Arial Narrow" w:hAnsi="Arial Narrow" w:cs="Calibri"/>
                <w:b/>
                <w:sz w:val="20"/>
              </w:rPr>
            </w:pPr>
            <w:r w:rsidRPr="00D1072A">
              <w:rPr>
                <w:rFonts w:ascii="Arial Narrow" w:hAnsi="Arial Narrow" w:cs="Calibri"/>
                <w:b/>
                <w:sz w:val="20"/>
              </w:rPr>
              <w:t xml:space="preserve">Comparison </w:t>
            </w:r>
          </w:p>
        </w:tc>
        <w:tc>
          <w:tcPr>
            <w:tcW w:w="1559" w:type="dxa"/>
          </w:tcPr>
          <w:p w14:paraId="4DBD21C8" w14:textId="77777777" w:rsidR="00351AC0" w:rsidRPr="00D1072A" w:rsidRDefault="00351AC0" w:rsidP="009A0F23">
            <w:pPr>
              <w:spacing w:before="40" w:after="40"/>
              <w:ind w:left="-57" w:right="-57"/>
              <w:rPr>
                <w:rFonts w:ascii="Arial Narrow" w:hAnsi="Arial Narrow" w:cs="Calibri"/>
                <w:b/>
                <w:sz w:val="20"/>
              </w:rPr>
            </w:pPr>
            <w:r w:rsidRPr="00D1072A">
              <w:rPr>
                <w:rFonts w:ascii="Arial Narrow" w:hAnsi="Arial Narrow" w:cs="Calibri"/>
                <w:b/>
                <w:sz w:val="20"/>
              </w:rPr>
              <w:t>Imaging mode</w:t>
            </w:r>
          </w:p>
        </w:tc>
        <w:tc>
          <w:tcPr>
            <w:tcW w:w="2657" w:type="dxa"/>
          </w:tcPr>
          <w:p w14:paraId="6BC5C335" w14:textId="77777777" w:rsidR="00351AC0" w:rsidRPr="00D1072A" w:rsidRDefault="00351AC0" w:rsidP="009A0F23">
            <w:pPr>
              <w:spacing w:before="40" w:after="40"/>
              <w:ind w:left="-57" w:right="-57"/>
              <w:jc w:val="center"/>
              <w:rPr>
                <w:rFonts w:ascii="Arial Narrow" w:hAnsi="Arial Narrow" w:cs="Calibri"/>
                <w:b/>
                <w:sz w:val="20"/>
              </w:rPr>
            </w:pPr>
            <w:r w:rsidRPr="00D1072A">
              <w:rPr>
                <w:rFonts w:ascii="Arial Narrow" w:hAnsi="Arial Narrow" w:cs="Calibri"/>
                <w:b/>
                <w:sz w:val="20"/>
              </w:rPr>
              <w:t>Sensitivity: median (range)</w:t>
            </w:r>
          </w:p>
        </w:tc>
        <w:tc>
          <w:tcPr>
            <w:tcW w:w="2658" w:type="dxa"/>
          </w:tcPr>
          <w:p w14:paraId="1CDEAD7C" w14:textId="77777777" w:rsidR="00351AC0" w:rsidRPr="00D1072A" w:rsidRDefault="00351AC0" w:rsidP="009A0F23">
            <w:pPr>
              <w:spacing w:before="40" w:after="40"/>
              <w:ind w:left="-57" w:right="-57"/>
              <w:jc w:val="center"/>
              <w:rPr>
                <w:rFonts w:ascii="Arial Narrow" w:hAnsi="Arial Narrow" w:cs="Calibri"/>
                <w:b/>
                <w:sz w:val="20"/>
              </w:rPr>
            </w:pPr>
            <w:r w:rsidRPr="00D1072A">
              <w:rPr>
                <w:rFonts w:ascii="Arial Narrow" w:hAnsi="Arial Narrow" w:cs="Calibri"/>
                <w:b/>
                <w:sz w:val="20"/>
              </w:rPr>
              <w:t>Specificity: median (range)</w:t>
            </w:r>
          </w:p>
        </w:tc>
      </w:tr>
      <w:tr w:rsidR="00351AC0" w:rsidRPr="00D1072A" w14:paraId="4A45671D" w14:textId="77777777" w:rsidTr="009A0F23">
        <w:trPr>
          <w:cantSplit/>
        </w:trPr>
        <w:tc>
          <w:tcPr>
            <w:tcW w:w="2127" w:type="dxa"/>
          </w:tcPr>
          <w:p w14:paraId="400748F8"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SR by Vogel et</w:t>
            </w:r>
            <w:r w:rsidR="00725555">
              <w:rPr>
                <w:rFonts w:ascii="Arial Narrow" w:hAnsi="Arial Narrow" w:cs="Calibri"/>
                <w:sz w:val="20"/>
              </w:rPr>
              <w:t xml:space="preserve"> al. </w:t>
            </w:r>
            <w:r w:rsidR="00906E9D">
              <w:rPr>
                <w:rFonts w:ascii="Arial Narrow" w:hAnsi="Arial Narrow" w:cs="Calibri"/>
                <w:sz w:val="20"/>
              </w:rPr>
              <w:t>(</w:t>
            </w:r>
            <w:proofErr w:type="gramStart"/>
            <w:r w:rsidR="00725555">
              <w:rPr>
                <w:rFonts w:ascii="Arial Narrow" w:hAnsi="Arial Narrow" w:cs="Calibri"/>
                <w:sz w:val="20"/>
              </w:rPr>
              <w:t>2019</w:t>
            </w:r>
            <w:r w:rsidR="00906E9D">
              <w:rPr>
                <w:rFonts w:ascii="Arial Narrow" w:hAnsi="Arial Narrow" w:cs="Calibri"/>
                <w:sz w:val="20"/>
              </w:rPr>
              <w:t>)*</w:t>
            </w:r>
            <w:proofErr w:type="gramEnd"/>
            <w:r w:rsidRPr="00D1072A">
              <w:rPr>
                <w:rFonts w:ascii="Arial Narrow" w:hAnsi="Arial Narrow" w:cs="Calibri"/>
                <w:sz w:val="20"/>
              </w:rPr>
              <w:t>:</w:t>
            </w:r>
          </w:p>
          <w:p w14:paraId="72872EC7"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 xml:space="preserve">Single modality studies: </w:t>
            </w:r>
          </w:p>
          <w:p w14:paraId="471A7C95"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RCC vs benign:</w:t>
            </w:r>
          </w:p>
        </w:tc>
        <w:tc>
          <w:tcPr>
            <w:tcW w:w="1559" w:type="dxa"/>
          </w:tcPr>
          <w:p w14:paraId="5E2A365F"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MRI (all)</w:t>
            </w:r>
          </w:p>
          <w:p w14:paraId="1474B6FA"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CE-MRI</w:t>
            </w:r>
          </w:p>
          <w:p w14:paraId="5C9C4DD7"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CT (all)</w:t>
            </w:r>
          </w:p>
          <w:p w14:paraId="736313B5"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CECT</w:t>
            </w:r>
          </w:p>
          <w:p w14:paraId="3AF80875"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US</w:t>
            </w:r>
          </w:p>
        </w:tc>
        <w:tc>
          <w:tcPr>
            <w:tcW w:w="2657" w:type="dxa"/>
          </w:tcPr>
          <w:p w14:paraId="5869342A"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87.5% (65–100), k=8</w:t>
            </w:r>
          </w:p>
          <w:p w14:paraId="570309EC"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85% (65–100), k=5</w:t>
            </w:r>
          </w:p>
          <w:p w14:paraId="2AA07455"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88% (67–98), k=14</w:t>
            </w:r>
          </w:p>
          <w:p w14:paraId="689BB34C"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88% (67–98), k=10</w:t>
            </w:r>
          </w:p>
          <w:p w14:paraId="383A6352"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56% (46–60), k=3</w:t>
            </w:r>
          </w:p>
        </w:tc>
        <w:tc>
          <w:tcPr>
            <w:tcW w:w="2658" w:type="dxa"/>
          </w:tcPr>
          <w:p w14:paraId="33010C2B"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89% (33–100), k=8</w:t>
            </w:r>
          </w:p>
          <w:p w14:paraId="4A3C9D1F"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91.5% (65–100), k=5</w:t>
            </w:r>
          </w:p>
          <w:p w14:paraId="12647D64"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75% (25–100), k=14</w:t>
            </w:r>
          </w:p>
          <w:p w14:paraId="342B119D"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74% (47–100), k=10</w:t>
            </w:r>
          </w:p>
          <w:p w14:paraId="734F74EC"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71% (12–73), k=3</w:t>
            </w:r>
          </w:p>
        </w:tc>
      </w:tr>
      <w:tr w:rsidR="00351AC0" w:rsidRPr="00D1072A" w14:paraId="5FA82DCF" w14:textId="77777777" w:rsidTr="009A0F23">
        <w:trPr>
          <w:cantSplit/>
        </w:trPr>
        <w:tc>
          <w:tcPr>
            <w:tcW w:w="2127" w:type="dxa"/>
          </w:tcPr>
          <w:p w14:paraId="6391943B"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Comparative studies:</w:t>
            </w:r>
          </w:p>
          <w:p w14:paraId="62F08D53"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RCC vs benign:</w:t>
            </w:r>
          </w:p>
        </w:tc>
        <w:tc>
          <w:tcPr>
            <w:tcW w:w="1559" w:type="dxa"/>
          </w:tcPr>
          <w:p w14:paraId="416A8697"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DW-MRI</w:t>
            </w:r>
          </w:p>
          <w:p w14:paraId="2EBA15BD"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CE-MRI</w:t>
            </w:r>
          </w:p>
          <w:p w14:paraId="33E0C70E"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CECT</w:t>
            </w:r>
          </w:p>
          <w:p w14:paraId="5141444B"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US</w:t>
            </w:r>
          </w:p>
        </w:tc>
        <w:tc>
          <w:tcPr>
            <w:tcW w:w="2657" w:type="dxa"/>
          </w:tcPr>
          <w:p w14:paraId="4FE5D3C7"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91.7% (71–100), k=5</w:t>
            </w:r>
          </w:p>
          <w:p w14:paraId="3EFA4DAA"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88.9% (71.4–100), k=5</w:t>
            </w:r>
          </w:p>
          <w:p w14:paraId="23823A77"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92.6% (35.7–100), k=5</w:t>
            </w:r>
          </w:p>
          <w:p w14:paraId="5609BA8D"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88.9%, k=1</w:t>
            </w:r>
          </w:p>
        </w:tc>
        <w:tc>
          <w:tcPr>
            <w:tcW w:w="2658" w:type="dxa"/>
          </w:tcPr>
          <w:p w14:paraId="4E468C76"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83.3% (78.1–100), k=5</w:t>
            </w:r>
          </w:p>
          <w:p w14:paraId="03877186"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73.9% (46.7–90.9), k=3</w:t>
            </w:r>
          </w:p>
          <w:p w14:paraId="7E1ACF4F"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68.4% (63.6–75.8), k=3</w:t>
            </w:r>
          </w:p>
          <w:p w14:paraId="658FFB4A"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NA</w:t>
            </w:r>
          </w:p>
        </w:tc>
      </w:tr>
      <w:tr w:rsidR="00351AC0" w:rsidRPr="00D1072A" w14:paraId="6428D362" w14:textId="77777777" w:rsidTr="009A0F23">
        <w:tc>
          <w:tcPr>
            <w:tcW w:w="2127" w:type="dxa"/>
          </w:tcPr>
          <w:p w14:paraId="51F23591"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Comparative studies:</w:t>
            </w:r>
          </w:p>
          <w:p w14:paraId="53FDCD92"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Malignant vs benign:</w:t>
            </w:r>
          </w:p>
        </w:tc>
        <w:tc>
          <w:tcPr>
            <w:tcW w:w="1559" w:type="dxa"/>
          </w:tcPr>
          <w:p w14:paraId="4AC44855"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CE-MRI</w:t>
            </w:r>
          </w:p>
          <w:p w14:paraId="6717CD1A"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CECT</w:t>
            </w:r>
          </w:p>
        </w:tc>
        <w:tc>
          <w:tcPr>
            <w:tcW w:w="2657" w:type="dxa"/>
          </w:tcPr>
          <w:p w14:paraId="172451B0"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91.2% (77.0–100), k=3</w:t>
            </w:r>
          </w:p>
          <w:p w14:paraId="675E8E59"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87.9% (75.7–100), k=3</w:t>
            </w:r>
          </w:p>
        </w:tc>
        <w:tc>
          <w:tcPr>
            <w:tcW w:w="2658" w:type="dxa"/>
          </w:tcPr>
          <w:p w14:paraId="3187DC20"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66.8% (62.5–70.0), k=3</w:t>
            </w:r>
          </w:p>
          <w:p w14:paraId="441491C4"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68.5% (62.5–73.3), k=3</w:t>
            </w:r>
          </w:p>
        </w:tc>
      </w:tr>
    </w:tbl>
    <w:p w14:paraId="0D4245E0" w14:textId="77777777" w:rsidR="00906E9D" w:rsidRDefault="00906E9D" w:rsidP="00DA518E">
      <w:pPr>
        <w:pStyle w:val="TableFigureFooter"/>
      </w:pPr>
      <w:r>
        <w:t xml:space="preserve">* </w:t>
      </w:r>
      <w:r w:rsidRPr="00906E9D">
        <w:t xml:space="preserve">Vogel, C, </w:t>
      </w:r>
      <w:proofErr w:type="spellStart"/>
      <w:r w:rsidRPr="00906E9D">
        <w:t>Ziegelmuller</w:t>
      </w:r>
      <w:proofErr w:type="spellEnd"/>
      <w:r w:rsidRPr="00906E9D">
        <w:t xml:space="preserve">, B, Ljungberg, B, </w:t>
      </w:r>
      <w:proofErr w:type="spellStart"/>
      <w:r w:rsidRPr="00906E9D">
        <w:t>Bensalah</w:t>
      </w:r>
      <w:proofErr w:type="spellEnd"/>
      <w:r w:rsidRPr="00906E9D">
        <w:t xml:space="preserve">, K, Bex, A, Canfield, S, Giles, RH, Hora, M, </w:t>
      </w:r>
      <w:proofErr w:type="spellStart"/>
      <w:r w:rsidRPr="00906E9D">
        <w:t>Kuczyk</w:t>
      </w:r>
      <w:proofErr w:type="spellEnd"/>
      <w:r w:rsidRPr="00906E9D">
        <w:t xml:space="preserve">, MA, </w:t>
      </w:r>
      <w:proofErr w:type="spellStart"/>
      <w:r w:rsidRPr="00906E9D">
        <w:t>Merseburger</w:t>
      </w:r>
      <w:proofErr w:type="spellEnd"/>
      <w:r w:rsidRPr="00906E9D">
        <w:t xml:space="preserve">, AS, Powles, T, </w:t>
      </w:r>
      <w:proofErr w:type="spellStart"/>
      <w:r w:rsidRPr="00906E9D">
        <w:t>Albiges</w:t>
      </w:r>
      <w:proofErr w:type="spellEnd"/>
      <w:r w:rsidRPr="00906E9D">
        <w:t xml:space="preserve">, L, Stewart, F, Volpe, A, </w:t>
      </w:r>
      <w:proofErr w:type="spellStart"/>
      <w:r w:rsidRPr="00906E9D">
        <w:t>Graser</w:t>
      </w:r>
      <w:proofErr w:type="spellEnd"/>
      <w:r w:rsidRPr="00906E9D">
        <w:t xml:space="preserve">, A, Schlemmer, M, Yuan, C, Lam, T &amp; </w:t>
      </w:r>
      <w:proofErr w:type="spellStart"/>
      <w:r w:rsidRPr="00906E9D">
        <w:t>Staehler</w:t>
      </w:r>
      <w:proofErr w:type="spellEnd"/>
      <w:r w:rsidRPr="00906E9D">
        <w:t>, M 2019, 'Imaging in Suspected Renal-Cell Carcinoma: Systematic Review', Clinical Genitourinary Cancer, vol. 17, no. 2, 2019, pp. e345-e355.</w:t>
      </w:r>
    </w:p>
    <w:p w14:paraId="427F4BBC" w14:textId="77777777" w:rsidR="00351AC0" w:rsidRPr="00D1072A" w:rsidRDefault="00351AC0" w:rsidP="00DA518E">
      <w:pPr>
        <w:pStyle w:val="TableFigureFooter"/>
      </w:pPr>
      <w:r w:rsidRPr="00D1072A">
        <w:t>CE = contrast enhanced; CT = computed tomography; DW = diffusion weighted; k = number of studies; MRI = magnetic resonance imaging; NA = not available; RCC = renal cell carcinoma; US = ultrasound</w:t>
      </w:r>
    </w:p>
    <w:p w14:paraId="28894F54" w14:textId="77777777" w:rsidR="00351AC0" w:rsidRPr="00D1072A" w:rsidRDefault="00351AC0" w:rsidP="00351AC0">
      <w:r w:rsidRPr="00D1072A">
        <w:t xml:space="preserve">As the individual studies included in the report </w:t>
      </w:r>
      <w:r w:rsidR="00BB430F">
        <w:t>compared the accuracy of at least two imaging modalities with respect to the reference standard</w:t>
      </w:r>
      <w:r w:rsidRPr="00D1072A">
        <w:t>, reducing the risk of selection bias</w:t>
      </w:r>
      <w:r w:rsidR="00BB430F">
        <w:t>. In contrast</w:t>
      </w:r>
      <w:r w:rsidRPr="00D1072A">
        <w:t xml:space="preserve"> the studies included in the SR mostly</w:t>
      </w:r>
      <w:r w:rsidR="00BB430F">
        <w:t xml:space="preserve"> compared</w:t>
      </w:r>
      <w:r w:rsidRPr="00D1072A">
        <w:t xml:space="preserve"> only one imaging modality</w:t>
      </w:r>
      <w:r w:rsidR="00BB430F">
        <w:t xml:space="preserve"> to the reference standard</w:t>
      </w:r>
      <w:r w:rsidRPr="00D1072A">
        <w:t>, increasing the risk of selection bias</w:t>
      </w:r>
      <w:r w:rsidR="00BB430F">
        <w:t>. Hence,</w:t>
      </w:r>
      <w:r w:rsidRPr="00D1072A">
        <w:t xml:space="preserve"> the median</w:t>
      </w:r>
      <w:r w:rsidR="002E5B69">
        <w:t xml:space="preserve"> (and range)</w:t>
      </w:r>
      <w:r w:rsidRPr="00D1072A">
        <w:t xml:space="preserve"> sensitivity and specificity values calculated from the comparative studies </w:t>
      </w:r>
      <w:r w:rsidR="003219E9">
        <w:t xml:space="preserve">were used in </w:t>
      </w:r>
      <w:r w:rsidR="00FD4E0E">
        <w:t xml:space="preserve">exploratory </w:t>
      </w:r>
      <w:r w:rsidR="00BB430F">
        <w:t xml:space="preserve">scenario </w:t>
      </w:r>
      <w:r w:rsidR="00FD4E0E">
        <w:t xml:space="preserve">analysis in </w:t>
      </w:r>
      <w:r w:rsidR="003219E9">
        <w:t>the</w:t>
      </w:r>
      <w:r w:rsidRPr="00D1072A">
        <w:t xml:space="preserve"> economic model.</w:t>
      </w:r>
    </w:p>
    <w:p w14:paraId="36B50FCD" w14:textId="77777777" w:rsidR="00351AC0" w:rsidRPr="00D1072A" w:rsidRDefault="00351AC0" w:rsidP="00351AC0">
      <w:r w:rsidRPr="00D1072A">
        <w:t>Overall, all imaging modalities were very</w:t>
      </w:r>
      <w:r w:rsidR="00B07C89">
        <w:t xml:space="preserve"> </w:t>
      </w:r>
      <w:r w:rsidRPr="00D1072A">
        <w:t xml:space="preserve">sensitive in distinguishing RCC or any malignant lesion from benign renal lesions compared to the reference </w:t>
      </w:r>
      <w:proofErr w:type="gramStart"/>
      <w:r w:rsidRPr="00D1072A">
        <w:t>standard;</w:t>
      </w:r>
      <w:proofErr w:type="gramEnd"/>
      <w:r w:rsidRPr="00D1072A">
        <w:t xml:space="preserve"> varying from 89% to 93%. However, DW-MRI was more specific in distinguishing RCC from benign renal lesions at 83%, compared with CE-MRI and CECT (74% and 68%, respectively).</w:t>
      </w:r>
    </w:p>
    <w:p w14:paraId="5B2BED7C" w14:textId="77777777" w:rsidR="00351AC0" w:rsidRPr="00D1072A" w:rsidRDefault="00351AC0" w:rsidP="00351AC0">
      <w:pPr>
        <w:pStyle w:val="Heading4"/>
      </w:pPr>
      <w:r w:rsidRPr="00D1072A">
        <w:t xml:space="preserve">Staging of renal lesions using MRI, CT and US compared to a histopathology reference standard </w:t>
      </w:r>
    </w:p>
    <w:p w14:paraId="3F4288DC" w14:textId="77777777" w:rsidR="00351AC0" w:rsidRPr="00D1072A" w:rsidRDefault="00351AC0" w:rsidP="00351AC0">
      <w:r w:rsidRPr="00D1072A">
        <w:t xml:space="preserve">Two studies provided 2x2 data to determine the accuracy of MRI and CT in staging RCC as T1 vs T2 or greater. The median sensitivity and specificity of MRI and CT compared to histopathology did not differ greatly, and the ranges almost completely overlapped. One study provided data to determine the sensitivity and specificity of US in staging RCC compared to the reference standard. </w:t>
      </w:r>
    </w:p>
    <w:p w14:paraId="76893F74" w14:textId="77777777" w:rsidR="00351AC0" w:rsidRPr="00D1072A" w:rsidRDefault="00351AC0" w:rsidP="00351AC0">
      <w:r w:rsidRPr="00D1072A">
        <w:t>This suggests that MRI and CT are equivalent in their ability to distinguish stage T1 RCC from stage T2 or greater. US also appears to be equivalent to MRI and CT in distinguishing stage T1 RCC from stage T2 or greater as the sensitivity and specificity values for US fell within the range of values determined for both CT and MRI.</w:t>
      </w:r>
    </w:p>
    <w:p w14:paraId="0A5435B0" w14:textId="77777777" w:rsidR="00351AC0" w:rsidRPr="00D1072A" w:rsidRDefault="00351AC0" w:rsidP="00351AC0">
      <w:r w:rsidRPr="00D1072A">
        <w:t xml:space="preserve">Three studies reported on the ability of MRI and CT compared to a histopathology reference standard to accurately stage renal cysts as malignant or benign according to the </w:t>
      </w:r>
      <w:proofErr w:type="spellStart"/>
      <w:r w:rsidRPr="00D1072A">
        <w:t>Bosniak</w:t>
      </w:r>
      <w:proofErr w:type="spellEnd"/>
      <w:r w:rsidRPr="00D1072A">
        <w:t xml:space="preserve"> Classification System. All three studies provided 2x2 data so that the accuracy of MRI and CT compared to a histopathology reference standard in distinguishing malignant cysts (</w:t>
      </w:r>
      <w:proofErr w:type="spellStart"/>
      <w:r w:rsidRPr="00D1072A">
        <w:t>Bosniak</w:t>
      </w:r>
      <w:proofErr w:type="spellEnd"/>
      <w:r w:rsidRPr="00D1072A">
        <w:t xml:space="preserve"> ≥3) from benign cysts (</w:t>
      </w:r>
      <w:proofErr w:type="spellStart"/>
      <w:r w:rsidRPr="00D1072A">
        <w:t>Bosniak</w:t>
      </w:r>
      <w:proofErr w:type="spellEnd"/>
      <w:r w:rsidRPr="00D1072A">
        <w:t xml:space="preserve"> ≤2F) could be determined.</w:t>
      </w:r>
    </w:p>
    <w:p w14:paraId="5B9C4DD1" w14:textId="77777777" w:rsidR="00351AC0" w:rsidRPr="00D1072A" w:rsidRDefault="00351AC0" w:rsidP="00351AC0">
      <w:r w:rsidRPr="00D1072A">
        <w:t>F</w:t>
      </w:r>
      <w:r>
        <w:t>ive</w:t>
      </w:r>
      <w:r w:rsidRPr="00D1072A">
        <w:t xml:space="preserve"> studies provided sufficient data for 2x2 tables to determine the accuracy of MRI and CT compared to a clinical reference standard in detecting an </w:t>
      </w:r>
      <w:r w:rsidR="00853575">
        <w:t>inferior vena cava (</w:t>
      </w:r>
      <w:r w:rsidRPr="00D1072A">
        <w:t>IVC</w:t>
      </w:r>
      <w:r w:rsidR="00853575">
        <w:t>)</w:t>
      </w:r>
      <w:r w:rsidRPr="00D1072A">
        <w:t xml:space="preserve"> thrombus versus no thrombus. Both MRI and CT were highly sensitive and </w:t>
      </w:r>
      <w:proofErr w:type="gramStart"/>
      <w:r>
        <w:t>fairly</w:t>
      </w:r>
      <w:r w:rsidRPr="00D1072A">
        <w:t xml:space="preserve"> specific</w:t>
      </w:r>
      <w:proofErr w:type="gramEnd"/>
      <w:r w:rsidRPr="00D1072A">
        <w:t xml:space="preserve"> with a median sensitivity of 100% and a median specificity of </w:t>
      </w:r>
      <w:r>
        <w:t>87</w:t>
      </w:r>
      <w:r w:rsidRPr="00D1072A">
        <w:t xml:space="preserve">%. One study reported that US was able to </w:t>
      </w:r>
      <w:r w:rsidRPr="00D1072A">
        <w:lastRenderedPageBreak/>
        <w:t>detect the thrombus in 88% of cases. As the study only included patients diagnosed with RCC with IVC thrombus, the specificity could not be determined.</w:t>
      </w:r>
      <w:r w:rsidR="00FA1090">
        <w:t xml:space="preserve"> The results are summarised in </w:t>
      </w:r>
      <w:r w:rsidR="00FA1090">
        <w:fldChar w:fldCharType="begin"/>
      </w:r>
      <w:r w:rsidR="00FA1090">
        <w:instrText xml:space="preserve"> REF _Ref120267569 \h </w:instrText>
      </w:r>
      <w:r w:rsidR="00FA1090">
        <w:fldChar w:fldCharType="separate"/>
      </w:r>
      <w:r w:rsidR="00CB2A40" w:rsidRPr="00D1072A">
        <w:t>Table</w:t>
      </w:r>
      <w:r w:rsidR="00CF7F29">
        <w:t> </w:t>
      </w:r>
      <w:r w:rsidR="00CB2A40">
        <w:rPr>
          <w:noProof/>
        </w:rPr>
        <w:t>6</w:t>
      </w:r>
      <w:r w:rsidR="00FA1090">
        <w:fldChar w:fldCharType="end"/>
      </w:r>
      <w:r w:rsidR="00FA1090">
        <w:t>.</w:t>
      </w:r>
    </w:p>
    <w:p w14:paraId="16624390" w14:textId="77777777" w:rsidR="00351AC0" w:rsidRPr="00D1072A" w:rsidRDefault="00FA1090" w:rsidP="00351AC0">
      <w:pPr>
        <w:pStyle w:val="TableHeading0"/>
      </w:pPr>
      <w:bookmarkStart w:id="28" w:name="_Ref120267569"/>
      <w:r w:rsidRPr="00D1072A">
        <w:t>Table</w:t>
      </w:r>
      <w:r>
        <w:t xml:space="preserve"> </w:t>
      </w:r>
      <w:r>
        <w:fldChar w:fldCharType="begin"/>
      </w:r>
      <w:r>
        <w:instrText>SEQ Table \* ARABIC</w:instrText>
      </w:r>
      <w:r>
        <w:fldChar w:fldCharType="separate"/>
      </w:r>
      <w:r w:rsidR="00CB2A40">
        <w:rPr>
          <w:noProof/>
        </w:rPr>
        <w:t>6</w:t>
      </w:r>
      <w:r>
        <w:fldChar w:fldCharType="end"/>
      </w:r>
      <w:bookmarkEnd w:id="28"/>
      <w:r w:rsidR="00351AC0" w:rsidRPr="00D1072A">
        <w:tab/>
        <w:t>Median sensitivity and specificity of accurately staging renal lesions using MRI, CT and US compared to a histopathology reference standard</w:t>
      </w:r>
    </w:p>
    <w:tbl>
      <w:tblPr>
        <w:tblStyle w:val="TableGrid5"/>
        <w:tblW w:w="9001" w:type="dxa"/>
        <w:tblInd w:w="-5" w:type="dxa"/>
        <w:tblLook w:val="04A0" w:firstRow="1" w:lastRow="0" w:firstColumn="1" w:lastColumn="0" w:noHBand="0" w:noVBand="1"/>
      </w:tblPr>
      <w:tblGrid>
        <w:gridCol w:w="2127"/>
        <w:gridCol w:w="1559"/>
        <w:gridCol w:w="2657"/>
        <w:gridCol w:w="2658"/>
      </w:tblGrid>
      <w:tr w:rsidR="00351AC0" w:rsidRPr="00D1072A" w14:paraId="269D5902" w14:textId="77777777" w:rsidTr="009A0F23">
        <w:trPr>
          <w:tblHeader/>
        </w:trPr>
        <w:tc>
          <w:tcPr>
            <w:tcW w:w="2127" w:type="dxa"/>
          </w:tcPr>
          <w:p w14:paraId="52C6AFB9" w14:textId="77777777" w:rsidR="00351AC0" w:rsidRPr="00D1072A" w:rsidRDefault="00351AC0" w:rsidP="009A0F23">
            <w:pPr>
              <w:spacing w:before="40" w:after="40"/>
              <w:ind w:left="-57" w:right="-57"/>
              <w:rPr>
                <w:rFonts w:ascii="Arial Narrow" w:hAnsi="Arial Narrow" w:cs="Calibri"/>
                <w:b/>
                <w:sz w:val="20"/>
              </w:rPr>
            </w:pPr>
            <w:r w:rsidRPr="00D1072A">
              <w:rPr>
                <w:rFonts w:ascii="Arial Narrow" w:hAnsi="Arial Narrow" w:cs="Calibri"/>
                <w:b/>
                <w:sz w:val="20"/>
              </w:rPr>
              <w:t xml:space="preserve">Comparison </w:t>
            </w:r>
          </w:p>
        </w:tc>
        <w:tc>
          <w:tcPr>
            <w:tcW w:w="1559" w:type="dxa"/>
          </w:tcPr>
          <w:p w14:paraId="2B501FD4" w14:textId="77777777" w:rsidR="00351AC0" w:rsidRPr="00D1072A" w:rsidRDefault="00351AC0" w:rsidP="009A0F23">
            <w:pPr>
              <w:spacing w:before="40" w:after="40"/>
              <w:ind w:left="-57" w:right="-57"/>
              <w:rPr>
                <w:rFonts w:ascii="Arial Narrow" w:hAnsi="Arial Narrow" w:cs="Calibri"/>
                <w:b/>
                <w:sz w:val="20"/>
              </w:rPr>
            </w:pPr>
            <w:r w:rsidRPr="00D1072A">
              <w:rPr>
                <w:rFonts w:ascii="Arial Narrow" w:hAnsi="Arial Narrow" w:cs="Calibri"/>
                <w:b/>
                <w:sz w:val="20"/>
              </w:rPr>
              <w:t>Imaging mode</w:t>
            </w:r>
          </w:p>
        </w:tc>
        <w:tc>
          <w:tcPr>
            <w:tcW w:w="2657" w:type="dxa"/>
          </w:tcPr>
          <w:p w14:paraId="3BE1D6C4" w14:textId="77777777" w:rsidR="00351AC0" w:rsidRPr="00D1072A" w:rsidRDefault="00351AC0" w:rsidP="009A0F23">
            <w:pPr>
              <w:spacing w:before="40" w:after="40"/>
              <w:ind w:left="-57" w:right="-57"/>
              <w:jc w:val="center"/>
              <w:rPr>
                <w:rFonts w:ascii="Arial Narrow" w:hAnsi="Arial Narrow" w:cs="Calibri"/>
                <w:b/>
                <w:sz w:val="20"/>
              </w:rPr>
            </w:pPr>
            <w:r w:rsidRPr="00D1072A">
              <w:rPr>
                <w:rFonts w:ascii="Arial Narrow" w:hAnsi="Arial Narrow" w:cs="Calibri"/>
                <w:b/>
                <w:sz w:val="20"/>
              </w:rPr>
              <w:t>Sensitivity: median (range)</w:t>
            </w:r>
          </w:p>
        </w:tc>
        <w:tc>
          <w:tcPr>
            <w:tcW w:w="2658" w:type="dxa"/>
          </w:tcPr>
          <w:p w14:paraId="61F8F35E" w14:textId="77777777" w:rsidR="00351AC0" w:rsidRPr="00D1072A" w:rsidRDefault="00351AC0" w:rsidP="009A0F23">
            <w:pPr>
              <w:spacing w:before="40" w:after="40"/>
              <w:ind w:left="-57" w:right="-57"/>
              <w:jc w:val="center"/>
              <w:rPr>
                <w:rFonts w:ascii="Arial Narrow" w:hAnsi="Arial Narrow" w:cs="Calibri"/>
                <w:b/>
                <w:sz w:val="20"/>
              </w:rPr>
            </w:pPr>
            <w:r w:rsidRPr="00D1072A">
              <w:rPr>
                <w:rFonts w:ascii="Arial Narrow" w:hAnsi="Arial Narrow" w:cs="Calibri"/>
                <w:b/>
                <w:sz w:val="20"/>
              </w:rPr>
              <w:t>Specificity: median (range)</w:t>
            </w:r>
          </w:p>
        </w:tc>
      </w:tr>
      <w:tr w:rsidR="00351AC0" w:rsidRPr="00D1072A" w14:paraId="29BD0764" w14:textId="77777777" w:rsidTr="009A0F23">
        <w:trPr>
          <w:cantSplit/>
        </w:trPr>
        <w:tc>
          <w:tcPr>
            <w:tcW w:w="2127" w:type="dxa"/>
          </w:tcPr>
          <w:p w14:paraId="7D6C5EDD"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T1 versus T2-T4 staging of RCC</w:t>
            </w:r>
          </w:p>
        </w:tc>
        <w:tc>
          <w:tcPr>
            <w:tcW w:w="1559" w:type="dxa"/>
          </w:tcPr>
          <w:p w14:paraId="41804CE1"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CE-MRI</w:t>
            </w:r>
          </w:p>
          <w:p w14:paraId="721232AB"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CECT</w:t>
            </w:r>
          </w:p>
          <w:p w14:paraId="3F2ECFA5"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US</w:t>
            </w:r>
          </w:p>
        </w:tc>
        <w:tc>
          <w:tcPr>
            <w:tcW w:w="2657" w:type="dxa"/>
          </w:tcPr>
          <w:p w14:paraId="01E0BACC"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90.6% (89.0–99.5), k=2</w:t>
            </w:r>
          </w:p>
          <w:p w14:paraId="256ACD06"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87.5% (85.9–97.5), k=2</w:t>
            </w:r>
          </w:p>
          <w:p w14:paraId="0D481968"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96.0%, k=1</w:t>
            </w:r>
          </w:p>
        </w:tc>
        <w:tc>
          <w:tcPr>
            <w:tcW w:w="2658" w:type="dxa"/>
          </w:tcPr>
          <w:p w14:paraId="22035412"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83.3% (66.7–91.9), k=2</w:t>
            </w:r>
          </w:p>
          <w:p w14:paraId="74BCED3C"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77.8% (72.7–89.1), k=2</w:t>
            </w:r>
          </w:p>
          <w:p w14:paraId="0EE60791"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84.2%, k=1</w:t>
            </w:r>
          </w:p>
        </w:tc>
      </w:tr>
      <w:tr w:rsidR="00351AC0" w:rsidRPr="00D1072A" w14:paraId="0FEA3BBF" w14:textId="77777777" w:rsidTr="009A0F23">
        <w:trPr>
          <w:cantSplit/>
        </w:trPr>
        <w:tc>
          <w:tcPr>
            <w:tcW w:w="2127" w:type="dxa"/>
          </w:tcPr>
          <w:p w14:paraId="53D14644" w14:textId="77777777" w:rsidR="00351AC0" w:rsidRPr="00D1072A" w:rsidRDefault="00351AC0" w:rsidP="009A0F23">
            <w:pPr>
              <w:spacing w:before="40" w:after="40"/>
              <w:ind w:left="-57" w:right="-57"/>
              <w:rPr>
                <w:rFonts w:ascii="Arial Narrow" w:hAnsi="Arial Narrow" w:cs="Calibri"/>
                <w:sz w:val="20"/>
              </w:rPr>
            </w:pPr>
            <w:proofErr w:type="spellStart"/>
            <w:r w:rsidRPr="00D1072A">
              <w:rPr>
                <w:rFonts w:ascii="Arial Narrow" w:hAnsi="Arial Narrow" w:cs="Calibri"/>
                <w:sz w:val="20"/>
              </w:rPr>
              <w:t>Bosniak</w:t>
            </w:r>
            <w:proofErr w:type="spellEnd"/>
            <w:r w:rsidRPr="00D1072A">
              <w:rPr>
                <w:rFonts w:ascii="Arial Narrow" w:hAnsi="Arial Narrow" w:cs="Calibri"/>
                <w:sz w:val="20"/>
              </w:rPr>
              <w:t xml:space="preserve"> ≤2F vs ≥3 staging of renal cysts</w:t>
            </w:r>
          </w:p>
        </w:tc>
        <w:tc>
          <w:tcPr>
            <w:tcW w:w="1559" w:type="dxa"/>
          </w:tcPr>
          <w:p w14:paraId="1E818EB9"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CE-MRI</w:t>
            </w:r>
          </w:p>
          <w:p w14:paraId="6B4D17E3"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CECT</w:t>
            </w:r>
          </w:p>
        </w:tc>
        <w:tc>
          <w:tcPr>
            <w:tcW w:w="2657" w:type="dxa"/>
          </w:tcPr>
          <w:p w14:paraId="079A40A7"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90% (71–100), k=3</w:t>
            </w:r>
          </w:p>
          <w:p w14:paraId="43AEEA69"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81% (36–100), k=3</w:t>
            </w:r>
          </w:p>
        </w:tc>
        <w:tc>
          <w:tcPr>
            <w:tcW w:w="2658" w:type="dxa"/>
          </w:tcPr>
          <w:p w14:paraId="28638A46"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66% (40–91), k-3</w:t>
            </w:r>
          </w:p>
          <w:p w14:paraId="0DBC67E4"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64% (50–76), k=3</w:t>
            </w:r>
          </w:p>
        </w:tc>
      </w:tr>
      <w:tr w:rsidR="00351AC0" w:rsidRPr="00D1072A" w14:paraId="64F11781" w14:textId="77777777" w:rsidTr="009A0F23">
        <w:tc>
          <w:tcPr>
            <w:tcW w:w="2127" w:type="dxa"/>
          </w:tcPr>
          <w:p w14:paraId="2802BE6B"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Staging of IVC thrombus compared with no thrombus in RCC</w:t>
            </w:r>
          </w:p>
        </w:tc>
        <w:tc>
          <w:tcPr>
            <w:tcW w:w="1559" w:type="dxa"/>
          </w:tcPr>
          <w:p w14:paraId="0C4FD2E9"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CE-MRI</w:t>
            </w:r>
          </w:p>
          <w:p w14:paraId="6D5AE56C"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CECT</w:t>
            </w:r>
          </w:p>
          <w:p w14:paraId="53204397" w14:textId="77777777" w:rsidR="00351AC0" w:rsidRPr="00D1072A" w:rsidRDefault="00351AC0" w:rsidP="009A0F23">
            <w:pPr>
              <w:spacing w:before="40" w:after="40"/>
              <w:ind w:left="-57" w:right="-57"/>
              <w:rPr>
                <w:rFonts w:ascii="Arial Narrow" w:hAnsi="Arial Narrow" w:cs="Calibri"/>
                <w:sz w:val="20"/>
              </w:rPr>
            </w:pPr>
            <w:r w:rsidRPr="00D1072A">
              <w:rPr>
                <w:rFonts w:ascii="Arial Narrow" w:hAnsi="Arial Narrow" w:cs="Calibri"/>
                <w:sz w:val="20"/>
              </w:rPr>
              <w:t>US</w:t>
            </w:r>
          </w:p>
        </w:tc>
        <w:tc>
          <w:tcPr>
            <w:tcW w:w="2657" w:type="dxa"/>
          </w:tcPr>
          <w:p w14:paraId="17CDCC4D"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100% (25.0–100), k=</w:t>
            </w:r>
            <w:r>
              <w:rPr>
                <w:rFonts w:ascii="Arial Narrow" w:hAnsi="Arial Narrow" w:cs="Calibri"/>
                <w:sz w:val="20"/>
              </w:rPr>
              <w:t>5</w:t>
            </w:r>
          </w:p>
          <w:p w14:paraId="4D2374A6"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100% (25.0–100), k=</w:t>
            </w:r>
            <w:r>
              <w:rPr>
                <w:rFonts w:ascii="Arial Narrow" w:hAnsi="Arial Narrow" w:cs="Calibri"/>
                <w:sz w:val="20"/>
              </w:rPr>
              <w:t>5</w:t>
            </w:r>
          </w:p>
          <w:p w14:paraId="643ED381"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88%, k=1</w:t>
            </w:r>
          </w:p>
        </w:tc>
        <w:tc>
          <w:tcPr>
            <w:tcW w:w="2658" w:type="dxa"/>
          </w:tcPr>
          <w:p w14:paraId="5944D57A"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86</w:t>
            </w:r>
            <w:r>
              <w:rPr>
                <w:rFonts w:ascii="Arial Narrow" w:hAnsi="Arial Narrow" w:cs="Calibri"/>
                <w:sz w:val="20"/>
              </w:rPr>
              <w:t>.8</w:t>
            </w:r>
            <w:r w:rsidRPr="00D1072A">
              <w:rPr>
                <w:rFonts w:ascii="Arial Narrow" w:hAnsi="Arial Narrow" w:cs="Calibri"/>
                <w:sz w:val="20"/>
              </w:rPr>
              <w:t>% (0–100), k=</w:t>
            </w:r>
            <w:r>
              <w:rPr>
                <w:rFonts w:ascii="Arial Narrow" w:hAnsi="Arial Narrow" w:cs="Calibri"/>
                <w:sz w:val="20"/>
              </w:rPr>
              <w:t>4</w:t>
            </w:r>
          </w:p>
          <w:p w14:paraId="40BE8C73" w14:textId="77777777" w:rsidR="00351AC0" w:rsidRPr="00D1072A" w:rsidRDefault="00351AC0" w:rsidP="009A0F23">
            <w:pPr>
              <w:spacing w:before="40" w:after="40"/>
              <w:ind w:left="-57" w:right="-57"/>
              <w:jc w:val="center"/>
              <w:rPr>
                <w:rFonts w:ascii="Arial Narrow" w:hAnsi="Arial Narrow" w:cs="Calibri"/>
                <w:sz w:val="20"/>
              </w:rPr>
            </w:pPr>
            <w:r>
              <w:rPr>
                <w:rFonts w:ascii="Arial Narrow" w:hAnsi="Arial Narrow" w:cs="Calibri"/>
                <w:sz w:val="20"/>
              </w:rPr>
              <w:t>87</w:t>
            </w:r>
            <w:r w:rsidRPr="00D1072A">
              <w:rPr>
                <w:rFonts w:ascii="Arial Narrow" w:hAnsi="Arial Narrow" w:cs="Calibri"/>
                <w:sz w:val="20"/>
              </w:rPr>
              <w:t>.</w:t>
            </w:r>
            <w:r>
              <w:rPr>
                <w:rFonts w:ascii="Arial Narrow" w:hAnsi="Arial Narrow" w:cs="Calibri"/>
                <w:sz w:val="20"/>
              </w:rPr>
              <w:t>3</w:t>
            </w:r>
            <w:r w:rsidRPr="00D1072A">
              <w:rPr>
                <w:rFonts w:ascii="Arial Narrow" w:hAnsi="Arial Narrow" w:cs="Calibri"/>
                <w:sz w:val="20"/>
              </w:rPr>
              <w:t>% (0–100), k=</w:t>
            </w:r>
            <w:r>
              <w:rPr>
                <w:rFonts w:ascii="Arial Narrow" w:hAnsi="Arial Narrow" w:cs="Calibri"/>
                <w:sz w:val="20"/>
              </w:rPr>
              <w:t>4</w:t>
            </w:r>
          </w:p>
          <w:p w14:paraId="691EFD87" w14:textId="77777777" w:rsidR="00351AC0" w:rsidRPr="00D1072A" w:rsidRDefault="00351AC0" w:rsidP="009A0F23">
            <w:pPr>
              <w:spacing w:before="40" w:after="40"/>
              <w:ind w:left="-57" w:right="-57"/>
              <w:jc w:val="center"/>
              <w:rPr>
                <w:rFonts w:ascii="Arial Narrow" w:hAnsi="Arial Narrow" w:cs="Calibri"/>
                <w:sz w:val="20"/>
              </w:rPr>
            </w:pPr>
            <w:r w:rsidRPr="00D1072A">
              <w:rPr>
                <w:rFonts w:ascii="Arial Narrow" w:hAnsi="Arial Narrow" w:cs="Calibri"/>
                <w:sz w:val="20"/>
              </w:rPr>
              <w:t>NA</w:t>
            </w:r>
          </w:p>
        </w:tc>
      </w:tr>
    </w:tbl>
    <w:p w14:paraId="101FAC8C" w14:textId="77777777" w:rsidR="00351AC0" w:rsidRDefault="00351AC0" w:rsidP="00DA518E">
      <w:pPr>
        <w:pStyle w:val="TableFigureFooter"/>
      </w:pPr>
      <w:r w:rsidRPr="00D1072A">
        <w:t>CE = contrast enhanced; CT = computed tomography; k = number of studies; MRI = magnetic resonance imaging; NA = not available; RCC = renal cell carcinoma; US = ultrasound</w:t>
      </w:r>
    </w:p>
    <w:p w14:paraId="2A2B33ED" w14:textId="77777777" w:rsidR="00351AC0" w:rsidRPr="00D1072A" w:rsidRDefault="00351AC0" w:rsidP="00351AC0">
      <w:r w:rsidRPr="00D1072A">
        <w:t xml:space="preserve">Overall, both CE-MRI and CECT are </w:t>
      </w:r>
      <w:r>
        <w:t>very</w:t>
      </w:r>
      <w:r w:rsidRPr="00D1072A">
        <w:t xml:space="preserve"> accurate at detecting IVC thrombus involvement in RCC. CE-MRI, CECT and US all appear to be equally useful in differentiating RCC between stage T1 and stage T2 or higher. Approximately 10% are wrongly classed as T1 and 20% are wrongly classified as stage 2 or higher. The single study reporting on the accuracy of US found little difference in the sensitivities and specificities calculated for all three modalities. However, both CE-MRI and CECT were less able to reliably distinguish between benign and malignant cysts according to the </w:t>
      </w:r>
      <w:proofErr w:type="spellStart"/>
      <w:r w:rsidRPr="00D1072A">
        <w:t>Bosniak</w:t>
      </w:r>
      <w:proofErr w:type="spellEnd"/>
      <w:r w:rsidRPr="00D1072A">
        <w:t xml:space="preserve"> classification scale. Approximately 10% (by CE-MRI) and 20% (by CECT) were determined to be benign (</w:t>
      </w:r>
      <w:proofErr w:type="spellStart"/>
      <w:r w:rsidRPr="00D1072A">
        <w:t>Bosniak</w:t>
      </w:r>
      <w:proofErr w:type="spellEnd"/>
      <w:r w:rsidRPr="00D1072A">
        <w:t xml:space="preserve"> 2F or lower) and later found to be malignant on continued surveillance. Conversely, approximately 35% were thought to be malignant (</w:t>
      </w:r>
      <w:proofErr w:type="spellStart"/>
      <w:r w:rsidRPr="00D1072A">
        <w:t>Bosniak</w:t>
      </w:r>
      <w:proofErr w:type="spellEnd"/>
      <w:r w:rsidRPr="00D1072A">
        <w:t xml:space="preserve"> 3 or higher) and found to be benign by histopathology after surgical intervention.</w:t>
      </w:r>
    </w:p>
    <w:p w14:paraId="5673E65C" w14:textId="77777777" w:rsidR="00351AC0" w:rsidRPr="00D1072A" w:rsidRDefault="00351AC0" w:rsidP="00351AC0">
      <w:pPr>
        <w:pStyle w:val="Heading4"/>
      </w:pPr>
      <w:r w:rsidRPr="00D1072A">
        <w:t>Diagnostic challenges in differentiating RCC from various benign lesions</w:t>
      </w:r>
    </w:p>
    <w:p w14:paraId="37593A67" w14:textId="77777777" w:rsidR="00351AC0" w:rsidRPr="00D1072A" w:rsidRDefault="00351AC0" w:rsidP="00351AC0">
      <w:r w:rsidRPr="00D1072A">
        <w:t xml:space="preserve">Imaging by </w:t>
      </w:r>
      <w:r w:rsidR="00853575">
        <w:t>either</w:t>
      </w:r>
      <w:r w:rsidR="00853575" w:rsidRPr="00D1072A">
        <w:t xml:space="preserve"> </w:t>
      </w:r>
      <w:r w:rsidRPr="00D1072A">
        <w:t>CE-MRI and CECT present difficulties in distinguishing RCCs, without ambiguity, from certain types of benign growths, which include complex cysts, oncocytomas and AMLs</w:t>
      </w:r>
      <w:r w:rsidR="00853575">
        <w:t>.</w:t>
      </w:r>
    </w:p>
    <w:p w14:paraId="7522593B" w14:textId="77777777" w:rsidR="00351AC0" w:rsidRPr="00D1072A" w:rsidRDefault="00351AC0" w:rsidP="00351AC0">
      <w:pPr>
        <w:pStyle w:val="Heading5"/>
      </w:pPr>
      <w:r w:rsidRPr="00D1072A">
        <w:t>AMLs</w:t>
      </w:r>
    </w:p>
    <w:p w14:paraId="41C62824" w14:textId="77777777" w:rsidR="00E6722B" w:rsidRPr="00D1072A" w:rsidRDefault="00E6722B" w:rsidP="00E6722B">
      <w:r w:rsidRPr="00D1072A">
        <w:t>Distinguishing RCC from fat-poor AMLs is an important issue in the clinical management of patients</w:t>
      </w:r>
      <w:r w:rsidRPr="00BF7341">
        <w:t xml:space="preserve"> with </w:t>
      </w:r>
      <w:r w:rsidRPr="00D1072A">
        <w:t>TSC. As these patients are predisposed to renal failure, avoidance of unnecessary surgical removal of benign fat-poor AMLs is essential.</w:t>
      </w:r>
    </w:p>
    <w:p w14:paraId="69FEC2B8" w14:textId="77777777" w:rsidR="00351AC0" w:rsidRPr="00D1072A" w:rsidRDefault="00351AC0" w:rsidP="00351AC0">
      <w:r w:rsidRPr="00D1072A">
        <w:t xml:space="preserve">To date, no imaging sequence has been identified that can reliably distinguish RCC and fat-poor AMLs. Even follow-up imaging may be problematic. </w:t>
      </w:r>
      <w:r w:rsidR="00915FEF">
        <w:t xml:space="preserve">One </w:t>
      </w:r>
      <w:r w:rsidRPr="00D1072A">
        <w:t>study found that out of three indeterminate masses that showed rapid growth (&gt;0.5 cm/year) as determined by regular follow-up with repeat CT or MRI, only one was diagnosed as RCC by histopathology. The other two renal masses were diagnosed as fat-poor AMLs.</w:t>
      </w:r>
    </w:p>
    <w:p w14:paraId="6D80FE48" w14:textId="77777777" w:rsidR="00351AC0" w:rsidRPr="00D1072A" w:rsidRDefault="00351AC0" w:rsidP="00351AC0">
      <w:r w:rsidRPr="00D1072A">
        <w:t>The combined results from one SR and two individual studies indicate that the most sensitive imaging sequence for the distinguishing RCC from fat-poor AML was DW-MRI. Using DW-MRI, 12–16% fewer patients with RCC would be misdiagnosed as having a benign tumour than with using either T2-based MRI sequences or CT. Conversely, T2-based MRI sequences and CT would result in 5–8% fewer patients with benign lesions being misdiagnosed and receiving unnecessary surgery than with DW-MRI.</w:t>
      </w:r>
    </w:p>
    <w:p w14:paraId="08A81083" w14:textId="77777777" w:rsidR="00351AC0" w:rsidRPr="00D1072A" w:rsidRDefault="00351AC0" w:rsidP="00351AC0">
      <w:pPr>
        <w:pStyle w:val="Heading5"/>
      </w:pPr>
      <w:r w:rsidRPr="00D1072A">
        <w:lastRenderedPageBreak/>
        <w:t>Oncocytomas</w:t>
      </w:r>
    </w:p>
    <w:p w14:paraId="328E2AE9" w14:textId="77777777" w:rsidR="00E6722B" w:rsidRPr="00D1072A" w:rsidRDefault="00E6722B" w:rsidP="00E6722B">
      <w:r w:rsidRPr="00D1072A">
        <w:t xml:space="preserve">Distinguishing RCC from oncocytomas is important in patients with </w:t>
      </w:r>
      <w:proofErr w:type="spellStart"/>
      <w:r w:rsidRPr="00D1072A">
        <w:t>Birt</w:t>
      </w:r>
      <w:proofErr w:type="spellEnd"/>
      <w:r w:rsidRPr="00D1072A">
        <w:t>-Hogg-</w:t>
      </w:r>
      <w:proofErr w:type="spellStart"/>
      <w:r w:rsidRPr="00D1072A">
        <w:t>Dubé</w:t>
      </w:r>
      <w:proofErr w:type="spellEnd"/>
      <w:r w:rsidRPr="00D1072A">
        <w:t xml:space="preserve"> syndrome who may present with bilateral, multicentric oncocytomas. Oncocytomas may also be present in patients with TSC or SDH–associated paraganglioma/pheochromocytoma.</w:t>
      </w:r>
    </w:p>
    <w:p w14:paraId="131104C3" w14:textId="77777777" w:rsidR="00351AC0" w:rsidRPr="00D1072A" w:rsidRDefault="00351AC0" w:rsidP="00351AC0">
      <w:r w:rsidRPr="00D1072A">
        <w:t xml:space="preserve">As no </w:t>
      </w:r>
      <w:r w:rsidR="00C16B80">
        <w:t>radiolog</w:t>
      </w:r>
      <w:r w:rsidR="00C16B80" w:rsidRPr="00D1072A">
        <w:t>ically</w:t>
      </w:r>
      <w:r w:rsidRPr="00D1072A">
        <w:t xml:space="preserve"> robust means of discriminating RCCs from oncocytomas has yet been identified, the majority of oncocytoma are diagnosed after the surgical removal. Obtaining a differential clinical diagnosis is complicated by </w:t>
      </w:r>
      <w:r w:rsidR="00853575">
        <w:t>renal mass biopsy (</w:t>
      </w:r>
      <w:r w:rsidRPr="00D1072A">
        <w:t>RMB</w:t>
      </w:r>
      <w:r w:rsidR="00853575">
        <w:t>)</w:t>
      </w:r>
      <w:r w:rsidRPr="00D1072A">
        <w:t xml:space="preserve"> not being definitive because up to 20% of RCCs have </w:t>
      </w:r>
      <w:proofErr w:type="spellStart"/>
      <w:r w:rsidRPr="00D1072A">
        <w:t>oncocytic</w:t>
      </w:r>
      <w:proofErr w:type="spellEnd"/>
      <w:r w:rsidRPr="00D1072A">
        <w:t xml:space="preserve"> features, and the mean growth rate of oncocytomas are equivalent to that of RCCs.</w:t>
      </w:r>
    </w:p>
    <w:p w14:paraId="0EF077B2" w14:textId="77777777" w:rsidR="00351AC0" w:rsidRPr="00D1072A" w:rsidRDefault="00351AC0" w:rsidP="00351AC0">
      <w:r w:rsidRPr="00D1072A">
        <w:t>Out of 110 benign lesions included in the three studies investigating the diagnostic accuracy of MRI and CT in detecting malignant versus benign tumours, 15 were oncocytomas. All 15 were misdiagnosed as RCC by both CECT and CE-MRI. This suggests that the routine sequences for both CT and MRI, with or without enhancement, are not able to differentiate between RCC and oncocytomas. One study found that both CE-MRI and DW-MRI were not able to correctly identify the six oncocytomas included, however, when DW-MRI sequences were added to CE-MRI findings, three out of the six oncocytomas were correctly classified as benign.</w:t>
      </w:r>
    </w:p>
    <w:p w14:paraId="3A2CACC0" w14:textId="77777777" w:rsidR="00351AC0" w:rsidRPr="00D1072A" w:rsidRDefault="00351AC0" w:rsidP="00351AC0">
      <w:pPr>
        <w:pStyle w:val="Heading5"/>
      </w:pPr>
      <w:r w:rsidRPr="00D1072A">
        <w:t>Complex renal cysts</w:t>
      </w:r>
    </w:p>
    <w:p w14:paraId="5EEC075B" w14:textId="77777777" w:rsidR="00E6722B" w:rsidRPr="00D1072A" w:rsidRDefault="00E6722B" w:rsidP="00E6722B">
      <w:r w:rsidRPr="00D1072A">
        <w:t xml:space="preserve">Distinguishing RCC from complex renal cysts is important in patients with VHL or TSC. Approximately 30% of patients with VHL and 14–32% of patients with TSC may present with renal cysts. Patients with TSC may also have polycystic kidney disease as deletions affecting the </w:t>
      </w:r>
      <w:r w:rsidRPr="00D1072A">
        <w:rPr>
          <w:i/>
        </w:rPr>
        <w:t>TSC</w:t>
      </w:r>
      <w:r w:rsidRPr="00D1072A">
        <w:t xml:space="preserve"> genes may also affect the adjacent </w:t>
      </w:r>
      <w:r w:rsidRPr="00D1072A">
        <w:rPr>
          <w:i/>
        </w:rPr>
        <w:t>PKD1</w:t>
      </w:r>
      <w:r w:rsidRPr="00D1072A">
        <w:t xml:space="preserve"> gene, which is responsible for polycystic kidney disease.</w:t>
      </w:r>
    </w:p>
    <w:p w14:paraId="1FE32473" w14:textId="77777777" w:rsidR="00351AC0" w:rsidRPr="00D1072A" w:rsidRDefault="00351AC0" w:rsidP="00351AC0">
      <w:r w:rsidRPr="00D1072A">
        <w:t>Up to 8% of renal cysts do not meet the strict criteria for a simple cyst or a cystic neoplasm and are considered indeterminate, and approximately 10% of RCCs initially appear as a simple or complex cyst. Therefore, identifying complex and multifocal cystic renal lesions that need either surgical intervention or continuous surveillance represents a major challenge.</w:t>
      </w:r>
    </w:p>
    <w:p w14:paraId="67FA02F4" w14:textId="77777777" w:rsidR="00351AC0" w:rsidRPr="00D1072A" w:rsidRDefault="00351AC0" w:rsidP="00351AC0">
      <w:r w:rsidRPr="00D1072A">
        <w:t xml:space="preserve">The </w:t>
      </w:r>
      <w:proofErr w:type="spellStart"/>
      <w:r w:rsidRPr="00D1072A">
        <w:t>Bosniak</w:t>
      </w:r>
      <w:proofErr w:type="spellEnd"/>
      <w:r w:rsidRPr="00D1072A">
        <w:t xml:space="preserve"> Classification System for renal cysts (using CT or MRI) is the most common tool used in clinical practice to predict the likelihood of malignancy. The biggest difficulty lies in distinguishing between a class IIF and a class III cyst. This report concluded above that approximately 35% of patients with </w:t>
      </w:r>
      <w:proofErr w:type="spellStart"/>
      <w:r w:rsidRPr="00D1072A">
        <w:t>Bosniak</w:t>
      </w:r>
      <w:proofErr w:type="spellEnd"/>
      <w:r w:rsidRPr="00D1072A">
        <w:t xml:space="preserve"> III cysts, </w:t>
      </w:r>
      <w:proofErr w:type="gramStart"/>
      <w:r w:rsidRPr="00D1072A">
        <w:t>actually had</w:t>
      </w:r>
      <w:proofErr w:type="gramEnd"/>
      <w:r w:rsidRPr="00D1072A">
        <w:t xml:space="preserve"> a benign cyst and received unnecessary surgery. One study concluded that CE-MRI may better characterize complex, cystic lesions in the kidney compared to CECT as it was able to reliably define an enhancing nodule within a cystic renal lesion.</w:t>
      </w:r>
    </w:p>
    <w:p w14:paraId="7D5026CD" w14:textId="77777777" w:rsidR="00351AC0" w:rsidRPr="00D1072A" w:rsidRDefault="00351AC0" w:rsidP="00351AC0">
      <w:pPr>
        <w:pStyle w:val="Heading4"/>
      </w:pPr>
      <w:r w:rsidRPr="00D1072A">
        <w:t>Tumour sizing and growth rates</w:t>
      </w:r>
    </w:p>
    <w:p w14:paraId="06ED705A" w14:textId="77777777" w:rsidR="00351AC0" w:rsidRPr="00D1072A" w:rsidRDefault="00351AC0" w:rsidP="00351AC0">
      <w:r w:rsidRPr="00D1072A">
        <w:t xml:space="preserve">Accurately determining tumour size via radiographic imaging is an important factor in clinical TNM staging of RCC. One study found that smaller (0–2 cm) tumours were found to be significantly smaller in size and larger (&gt;7 cm) tumours were significantly larger in size on pathology compared to MRI, </w:t>
      </w:r>
      <w:proofErr w:type="gramStart"/>
      <w:r w:rsidRPr="00D1072A">
        <w:t>CT</w:t>
      </w:r>
      <w:proofErr w:type="gramEnd"/>
      <w:r w:rsidRPr="00D1072A">
        <w:t xml:space="preserve"> and US. The difference in tumour size determined by imaging versus pathology led to a change in TNM staging (per size criteria) in 16%, 25% and 16% of cases for MRI, </w:t>
      </w:r>
      <w:proofErr w:type="gramStart"/>
      <w:r w:rsidRPr="00D1072A">
        <w:t>CT</w:t>
      </w:r>
      <w:proofErr w:type="gramEnd"/>
      <w:r w:rsidRPr="00D1072A">
        <w:t xml:space="preserve"> and US, respectively. Among all three modalities, 3–7% of all tumours were upstaged after surgical resection, whereas downstaging </w:t>
      </w:r>
      <w:r w:rsidR="00110E33" w:rsidRPr="00110E33">
        <w:t xml:space="preserve">after surgical resection </w:t>
      </w:r>
      <w:r w:rsidRPr="00D1072A">
        <w:t xml:space="preserve">occurred in 13%, 18% and 11% of cases for MRI, </w:t>
      </w:r>
      <w:proofErr w:type="gramStart"/>
      <w:r w:rsidRPr="00D1072A">
        <w:t>CT</w:t>
      </w:r>
      <w:proofErr w:type="gramEnd"/>
      <w:r w:rsidRPr="00D1072A">
        <w:t xml:space="preserve"> and US, respectively.</w:t>
      </w:r>
    </w:p>
    <w:p w14:paraId="5DFBD322" w14:textId="77777777" w:rsidR="00351AC0" w:rsidRDefault="00351AC0" w:rsidP="00351AC0">
      <w:r w:rsidRPr="00D1072A">
        <w:t xml:space="preserve">The growth rate of renal tumours can be very important in treating patients with hereditary </w:t>
      </w:r>
      <w:r w:rsidR="004440CE" w:rsidRPr="004440CE">
        <w:t xml:space="preserve">renal tumour </w:t>
      </w:r>
      <w:r w:rsidRPr="00D1072A">
        <w:t xml:space="preserve">syndromes if the 3 cm rule applies, as in patients with VHL. Once a potentially malignant renal mass has been identified by imaging, it is important to determine if the tumour requires treatment or further imaging before the next annual or biannual scheduled surveillance occurs. </w:t>
      </w:r>
      <w:r w:rsidRPr="00D1072A">
        <w:lastRenderedPageBreak/>
        <w:t>One study using DW-MRI found that VHL-related RCC tumours with lower baseline ADC values tend to have faster growth rates than tumours with higher ADC values, and that smaller tumours and tumours with lower ADC values tend to have a shorter doubling time.</w:t>
      </w:r>
    </w:p>
    <w:p w14:paraId="20DFA029" w14:textId="77777777" w:rsidR="00351AC0" w:rsidRDefault="00351AC0" w:rsidP="00351AC0">
      <w:pPr>
        <w:pStyle w:val="Heading4"/>
      </w:pPr>
      <w:r>
        <w:t>Change in management</w:t>
      </w:r>
    </w:p>
    <w:p w14:paraId="3E101272" w14:textId="77777777" w:rsidR="00351AC0" w:rsidRDefault="00351AC0" w:rsidP="00351AC0">
      <w:pPr>
        <w:spacing w:line="256" w:lineRule="auto"/>
        <w:rPr>
          <w:bCs/>
          <w:lang w:val="en-GB"/>
        </w:rPr>
      </w:pPr>
      <w:r w:rsidRPr="00844BA1">
        <w:t xml:space="preserve">No evidence was identified for change of management </w:t>
      </w:r>
      <w:r w:rsidRPr="00844BA1">
        <w:rPr>
          <w:bCs/>
          <w:lang w:val="en-GB"/>
        </w:rPr>
        <w:t>associated with use of MRI (either with or without contrast) in comparison to CT and</w:t>
      </w:r>
      <w:r>
        <w:rPr>
          <w:bCs/>
          <w:lang w:val="en-GB"/>
        </w:rPr>
        <w:t>/or</w:t>
      </w:r>
      <w:r w:rsidRPr="00844BA1">
        <w:rPr>
          <w:bCs/>
          <w:lang w:val="en-GB"/>
        </w:rPr>
        <w:t xml:space="preserve"> US</w:t>
      </w:r>
      <w:r w:rsidR="003D337C" w:rsidRPr="003D337C">
        <w:t xml:space="preserve"> </w:t>
      </w:r>
      <w:r w:rsidR="003D337C" w:rsidRPr="003D337C">
        <w:rPr>
          <w:bCs/>
          <w:lang w:val="en-GB"/>
        </w:rPr>
        <w:t>that met the inclusion criteria</w:t>
      </w:r>
      <w:r>
        <w:rPr>
          <w:bCs/>
          <w:lang w:val="en-GB"/>
        </w:rPr>
        <w:t xml:space="preserve">. </w:t>
      </w:r>
      <w:r w:rsidRPr="00844BA1">
        <w:rPr>
          <w:bCs/>
          <w:lang w:val="en-GB"/>
        </w:rPr>
        <w:t>Therefore, the impact of MRI over CT or US on the clinical management of patients with TSC or VHL is uncertain.</w:t>
      </w:r>
    </w:p>
    <w:p w14:paraId="09A0792F" w14:textId="77777777" w:rsidR="003D337C" w:rsidRDefault="003D337C" w:rsidP="003D337C">
      <w:pPr>
        <w:spacing w:line="256" w:lineRule="auto"/>
        <w:rPr>
          <w:bCs/>
          <w:lang w:val="en-GB"/>
        </w:rPr>
      </w:pPr>
      <w:r>
        <w:rPr>
          <w:bCs/>
          <w:lang w:val="en-GB"/>
        </w:rPr>
        <w:t>As the diagnostic accuracy of MRI was noninferior to CT, only a small number of patients would be expected to have a change in diagnosis with respect to RCC or AML at risk of causing complications. Thus, few patients would be expected to have a change in management with the proposed introduction of MRI.</w:t>
      </w:r>
    </w:p>
    <w:p w14:paraId="6C55A469" w14:textId="77777777" w:rsidR="00351AC0" w:rsidRDefault="00351AC0" w:rsidP="00351AC0">
      <w:pPr>
        <w:pStyle w:val="Heading4"/>
      </w:pPr>
      <w:r>
        <w:t>Treatment effectiveness</w:t>
      </w:r>
    </w:p>
    <w:p w14:paraId="2C915405" w14:textId="77777777" w:rsidR="003D337C" w:rsidRPr="00004116" w:rsidRDefault="003D337C" w:rsidP="003D337C">
      <w:bookmarkStart w:id="29" w:name="_Hlk118884784"/>
      <w:r>
        <w:t xml:space="preserve">When renal tumours are correctly identified and characterised, they may be appropriately treated. </w:t>
      </w:r>
      <w:r w:rsidR="004536DE">
        <w:t xml:space="preserve">The clinical claim suggested that MRI was more accurate at detecting and characterising tumours than CT or US, so it was expected that MRI would result in earlier </w:t>
      </w:r>
      <w:r w:rsidR="00310E84">
        <w:t xml:space="preserve">treatment in some patients. </w:t>
      </w:r>
      <w:r>
        <w:t xml:space="preserve">The safety and effectiveness of treatments for AMLs and RCCs was </w:t>
      </w:r>
      <w:r w:rsidR="00310E84">
        <w:t xml:space="preserve">therefore </w:t>
      </w:r>
      <w:r>
        <w:t>evaluated</w:t>
      </w:r>
      <w:r w:rsidR="00310E84">
        <w:t>, to determine if earlier treatment would result in superior health outcomes. H</w:t>
      </w:r>
      <w:r>
        <w:t xml:space="preserve">owever, given the uncertainty regarding any incremental difference in the accuracy of MRI over CT or US, or any documented alteration in the management of patients </w:t>
      </w:r>
      <w:proofErr w:type="gramStart"/>
      <w:r>
        <w:t>on the basis of</w:t>
      </w:r>
      <w:proofErr w:type="gramEnd"/>
      <w:r>
        <w:t xml:space="preserve"> MRI rather than CT or US, the last step of the linked evidence approach does not contribute to the conclusions</w:t>
      </w:r>
      <w:r w:rsidR="00310E84">
        <w:t>, and has therefore not been presented</w:t>
      </w:r>
      <w:r>
        <w:t xml:space="preserve">. </w:t>
      </w:r>
    </w:p>
    <w:bookmarkEnd w:id="29"/>
    <w:p w14:paraId="5E5111AA" w14:textId="77777777" w:rsidR="00351AC0" w:rsidRPr="00D1072A" w:rsidRDefault="00351AC0" w:rsidP="00351AC0">
      <w:pPr>
        <w:pStyle w:val="Heading4"/>
      </w:pPr>
      <w:r w:rsidRPr="00D1072A">
        <w:t>PICO Set 2</w:t>
      </w:r>
    </w:p>
    <w:p w14:paraId="671F9C65" w14:textId="77777777" w:rsidR="00351AC0" w:rsidRPr="00D1072A" w:rsidRDefault="00351AC0" w:rsidP="00351AC0">
      <w:pPr>
        <w:pStyle w:val="Heading4"/>
      </w:pPr>
      <w:r w:rsidRPr="00D1072A">
        <w:t>Effectiveness of MRI and CT in measuring the treatment response in RCC patients</w:t>
      </w:r>
    </w:p>
    <w:p w14:paraId="42BFAF46" w14:textId="77777777" w:rsidR="00351AC0" w:rsidRPr="00D1072A" w:rsidRDefault="00351AC0" w:rsidP="00351AC0">
      <w:r w:rsidRPr="00D1072A">
        <w:t xml:space="preserve">Two </w:t>
      </w:r>
      <w:r w:rsidR="00310E84">
        <w:t xml:space="preserve">very </w:t>
      </w:r>
      <w:r w:rsidR="00014DB3">
        <w:t xml:space="preserve">small </w:t>
      </w:r>
      <w:r w:rsidRPr="00D1072A">
        <w:t xml:space="preserve">studies provided data comparing the effectiveness of CE-MRI and CECT in measuring the response </w:t>
      </w:r>
      <w:r w:rsidR="00014DB3">
        <w:t xml:space="preserve">to ablative </w:t>
      </w:r>
      <w:r w:rsidR="00014DB3" w:rsidRPr="00D1072A">
        <w:t xml:space="preserve">treatment </w:t>
      </w:r>
      <w:r w:rsidRPr="00D1072A">
        <w:t>in patients with RCC.</w:t>
      </w:r>
    </w:p>
    <w:p w14:paraId="4EB3EF70" w14:textId="77777777" w:rsidR="00014DB3" w:rsidRDefault="00014DB3" w:rsidP="00014DB3">
      <w:r>
        <w:t xml:space="preserve">One study found that CE-MRI had an advantage over CECT in monitoring response to ablation procedures as CE-MRI subtraction images </w:t>
      </w:r>
      <w:r w:rsidR="005C3DB4">
        <w:t>are better able to</w:t>
      </w:r>
      <w:r>
        <w:t xml:space="preserve"> confirm non-enhancement of the inflammation tissue and reactive oedema; the presence of residual or recurrent tumours would be detected by tumour enhancement. </w:t>
      </w:r>
    </w:p>
    <w:p w14:paraId="67F581D0" w14:textId="77777777" w:rsidR="00A84524" w:rsidRDefault="00014DB3" w:rsidP="00014DB3">
      <w:r>
        <w:t>The second study found a strong association between DCE parameters that are dependent on the tumour tissue permeability and perfusion and the percentage change in tumour volume from the 12-month CT scan onwards. The authors hypothesised that patients who experienced tumour growth after ablative therapy still had viable tumour vasculature while patients whose tumours reduced in size likely did not.</w:t>
      </w:r>
    </w:p>
    <w:p w14:paraId="5081F881" w14:textId="77777777" w:rsidR="00310E84" w:rsidRDefault="00310E84" w:rsidP="00014DB3">
      <w:r>
        <w:t xml:space="preserve">The small volume of evidence on the use of MRI for monitoring changes to renal tumours over time was considered insufficient to make any conclusions on the comparative effectiveness of one imaging modality compared over another.  </w:t>
      </w:r>
    </w:p>
    <w:p w14:paraId="252754F1" w14:textId="77777777" w:rsidR="00772829" w:rsidRPr="00D1072A" w:rsidRDefault="00772829" w:rsidP="00223664">
      <w:pPr>
        <w:tabs>
          <w:tab w:val="left" w:pos="720"/>
          <w:tab w:val="left" w:pos="1140"/>
        </w:tabs>
        <w:spacing w:before="240" w:after="120"/>
        <w:rPr>
          <w:b/>
          <w:bCs/>
        </w:rPr>
      </w:pPr>
      <w:r w:rsidRPr="00D1072A">
        <w:rPr>
          <w:b/>
          <w:bCs/>
        </w:rPr>
        <w:t>Clinical claim</w:t>
      </w:r>
    </w:p>
    <w:p w14:paraId="70F2607D" w14:textId="77777777" w:rsidR="00BB45C1" w:rsidRPr="00BB45C1" w:rsidRDefault="00B65EA2" w:rsidP="00BB45C1">
      <w:r w:rsidRPr="00B65EA2">
        <w:t xml:space="preserve">Given the absence of any clear difference in the accuracy of MRI compared to CT at imaging AMLs and RCCs, and the absence of any literature demonstrating a difference in clinical management </w:t>
      </w:r>
      <w:proofErr w:type="gramStart"/>
      <w:r w:rsidRPr="00B65EA2">
        <w:t>subsequent to</w:t>
      </w:r>
      <w:proofErr w:type="gramEnd"/>
      <w:r w:rsidRPr="00B65EA2">
        <w:t xml:space="preserve"> MRI versus CT or US, the evidence suggests that the use of abdominal MRI results in noninferior effectiveness compared with abdominal CT. The evidence </w:t>
      </w:r>
      <w:r w:rsidRPr="00B65EA2">
        <w:lastRenderedPageBreak/>
        <w:t>was insufficient to make any conclusions on the comparison between MRI and US. The clinical claim of superior effectiveness of MRI was therefore not met.</w:t>
      </w:r>
      <w:r w:rsidR="00BB45C1">
        <w:t xml:space="preserve"> </w:t>
      </w:r>
    </w:p>
    <w:p w14:paraId="1D6C8B6E" w14:textId="77777777" w:rsidR="00B65EA2" w:rsidRDefault="00B65EA2" w:rsidP="00B65EA2">
      <w:r w:rsidRPr="00B65EA2">
        <w:t xml:space="preserve">However, the </w:t>
      </w:r>
      <w:bookmarkStart w:id="30" w:name="_Hlk120200619"/>
      <w:r w:rsidR="007E6A26">
        <w:t xml:space="preserve">information considered from </w:t>
      </w:r>
      <w:r w:rsidR="007E6A26" w:rsidRPr="00E30618">
        <w:t xml:space="preserve">authoritative websites and clinical guidelines, and </w:t>
      </w:r>
      <w:r w:rsidR="007E6A26">
        <w:t>evidence from</w:t>
      </w:r>
      <w:r w:rsidR="00C600F7">
        <w:t xml:space="preserve"> </w:t>
      </w:r>
      <w:r w:rsidR="00110E33">
        <w:t>five</w:t>
      </w:r>
      <w:r w:rsidR="00131F85">
        <w:t xml:space="preserve"> </w:t>
      </w:r>
      <w:r w:rsidR="007E6A26">
        <w:t>studies found in an</w:t>
      </w:r>
      <w:r w:rsidR="007E6A26" w:rsidRPr="00E30618">
        <w:t xml:space="preserve"> additional, non-systematic literature search</w:t>
      </w:r>
      <w:bookmarkEnd w:id="30"/>
      <w:r w:rsidR="007E6A26" w:rsidRPr="00E30618">
        <w:t xml:space="preserve"> </w:t>
      </w:r>
      <w:r w:rsidRPr="00B65EA2">
        <w:t>supported the claim of superior safety of abdominal MRI compared with abdominal CT</w:t>
      </w:r>
      <w:r w:rsidR="00310E84">
        <w:t>.</w:t>
      </w:r>
    </w:p>
    <w:p w14:paraId="682DC3B7" w14:textId="77777777" w:rsidR="00BB45C1" w:rsidRPr="00B65EA2" w:rsidRDefault="00BB45C1" w:rsidP="00B65EA2">
      <w:r>
        <w:t xml:space="preserve">While the applicant’s pre-ESC response argued that </w:t>
      </w:r>
      <w:r w:rsidRPr="00BB45C1">
        <w:t>expert clinical consensus guidelines agree that MRI is superior to other forms of surveillance for this population</w:t>
      </w:r>
      <w:r>
        <w:t>, the rejoinder noted that a</w:t>
      </w:r>
      <w:r w:rsidRPr="00BB45C1">
        <w:t>ssessment of the accuracy of diagnostic technologies is always based on the evidence of test performance</w:t>
      </w:r>
      <w:r>
        <w:t xml:space="preserve"> </w:t>
      </w:r>
      <w:r w:rsidRPr="00BB45C1">
        <w:t>reported in the literature and not on consensus guidelines</w:t>
      </w:r>
      <w:r>
        <w:t xml:space="preserve"> as c</w:t>
      </w:r>
      <w:r w:rsidRPr="00BB45C1">
        <w:t>onsensus guidelines are based on expert</w:t>
      </w:r>
      <w:r>
        <w:t xml:space="preserve"> </w:t>
      </w:r>
      <w:r w:rsidRPr="00BB45C1">
        <w:t>opinion rather than on a thorough analysis of the data</w:t>
      </w:r>
      <w:r>
        <w:t>.</w:t>
      </w:r>
    </w:p>
    <w:p w14:paraId="3EBA2BA2" w14:textId="77777777" w:rsidR="00772829" w:rsidRDefault="00C36633" w:rsidP="002A18BE">
      <w:pPr>
        <w:pStyle w:val="Heading2"/>
        <w:numPr>
          <w:ilvl w:val="0"/>
          <w:numId w:val="0"/>
        </w:numPr>
      </w:pPr>
      <w:bookmarkStart w:id="31" w:name="_Toc121853590"/>
      <w:r w:rsidRPr="00D1072A">
        <w:t>1</w:t>
      </w:r>
      <w:r w:rsidR="006224B0">
        <w:t>3</w:t>
      </w:r>
      <w:r w:rsidRPr="00D1072A">
        <w:t>.</w:t>
      </w:r>
      <w:r w:rsidRPr="00D1072A">
        <w:tab/>
      </w:r>
      <w:r w:rsidR="00772829" w:rsidRPr="00D1072A">
        <w:t>Economic evaluation</w:t>
      </w:r>
      <w:bookmarkEnd w:id="31"/>
    </w:p>
    <w:p w14:paraId="0728ABC3" w14:textId="77777777" w:rsidR="0088779E" w:rsidRDefault="0088779E" w:rsidP="0088779E">
      <w:r w:rsidRPr="00AE3130">
        <w:t>Based on the interpretation of the clin</w:t>
      </w:r>
      <w:r>
        <w:t>ical evidence given in Section 2</w:t>
      </w:r>
      <w:r w:rsidRPr="00AE3130">
        <w:t xml:space="preserve">, </w:t>
      </w:r>
      <w:r>
        <w:t>t</w:t>
      </w:r>
      <w:r w:rsidRPr="00CD281F">
        <w:t>he use of abdominal MRI results in noninferior effectiveness and superior safety compared with abdominal CT</w:t>
      </w:r>
      <w:r w:rsidR="00F5659C">
        <w:t xml:space="preserve"> for PICO set 1 (annual surveillance)</w:t>
      </w:r>
      <w:r w:rsidRPr="00CD281F">
        <w:t>.</w:t>
      </w:r>
      <w:r>
        <w:t xml:space="preserve"> The claim of superior safety was made on the basis that CT imaging exposes patients to </w:t>
      </w:r>
      <w:r w:rsidRPr="00CD281F">
        <w:t xml:space="preserve">ionising radiation which can lead to excess cancer based on </w:t>
      </w:r>
      <w:r>
        <w:t xml:space="preserve">a </w:t>
      </w:r>
      <w:r w:rsidRPr="00CD281F">
        <w:t>dose-response relationship.</w:t>
      </w:r>
      <w:r w:rsidR="00F5659C">
        <w:t xml:space="preserve"> There was insufficient evidence to make conclusions on the comparative effectiveness of one imaging modality over another for monitoring changes to renal tumours over time.</w:t>
      </w:r>
    </w:p>
    <w:p w14:paraId="3E521D60" w14:textId="28FAD554" w:rsidR="001038EE" w:rsidRDefault="0088779E" w:rsidP="0088779E">
      <w:r w:rsidRPr="009F58F1">
        <w:t xml:space="preserve">A cost-effectiveness analysis estimating the </w:t>
      </w:r>
      <w:r w:rsidRPr="00BC079D">
        <w:t>incremental cost per radiation induced cancer avoided</w:t>
      </w:r>
      <w:r>
        <w:t xml:space="preserve"> </w:t>
      </w:r>
      <w:r w:rsidR="00DD55FF">
        <w:t>was originally</w:t>
      </w:r>
      <w:r>
        <w:t xml:space="preserve"> presented</w:t>
      </w:r>
      <w:r w:rsidR="002803E6">
        <w:t xml:space="preserve"> </w:t>
      </w:r>
      <w:r w:rsidR="00F5659C">
        <w:t xml:space="preserve">for proposed use of abdominal MRI versus CT scan for the </w:t>
      </w:r>
      <w:r w:rsidR="00CC7363">
        <w:t>periodic</w:t>
      </w:r>
      <w:r w:rsidR="00F5659C">
        <w:t xml:space="preserve"> surveillance</w:t>
      </w:r>
      <w:r w:rsidR="0020005D">
        <w:t xml:space="preserve">, with the </w:t>
      </w:r>
      <w:r w:rsidR="00044B5F">
        <w:t>interpretation of ‘ca</w:t>
      </w:r>
      <w:r w:rsidR="00582D87">
        <w:t>se of cancer avoided’</w:t>
      </w:r>
      <w:r w:rsidR="006416F7">
        <w:t xml:space="preserve"> restricted to </w:t>
      </w:r>
      <w:r w:rsidR="006D0EE9">
        <w:t>the benefit of the patient experience</w:t>
      </w:r>
      <w:r w:rsidR="00E53505">
        <w:t xml:space="preserve"> in calculating the ICER</w:t>
      </w:r>
      <w:r w:rsidR="00F5659C">
        <w:t>.</w:t>
      </w:r>
      <w:r w:rsidR="00DD55FF">
        <w:t xml:space="preserve"> </w:t>
      </w:r>
      <w:r w:rsidR="00241A95">
        <w:t xml:space="preserve">The analysis was subsequently revised to </w:t>
      </w:r>
      <w:r w:rsidR="00A539AA">
        <w:t xml:space="preserve">broaden the interpretation of </w:t>
      </w:r>
      <w:r w:rsidR="008662BE">
        <w:t xml:space="preserve">‘case of cancer avoided’ to include the benefit of avoiding </w:t>
      </w:r>
      <w:r w:rsidR="005C46F7">
        <w:t>cancer in its totality including avoiding the resource use costs of hospitalisation for the cancer, as w</w:t>
      </w:r>
      <w:r w:rsidR="005D0D02">
        <w:t>as</w:t>
      </w:r>
      <w:r w:rsidR="00610570">
        <w:t xml:space="preserve"> </w:t>
      </w:r>
      <w:r w:rsidR="008B0B8C">
        <w:t>rec</w:t>
      </w:r>
      <w:r w:rsidR="003A3277">
        <w:t>ommended</w:t>
      </w:r>
      <w:r w:rsidR="00610570">
        <w:t xml:space="preserve"> by </w:t>
      </w:r>
      <w:proofErr w:type="gramStart"/>
      <w:r w:rsidR="00C62A81">
        <w:t>ESC</w:t>
      </w:r>
      <w:proofErr w:type="gramEnd"/>
      <w:r w:rsidR="00C62A81">
        <w:t xml:space="preserve"> </w:t>
      </w:r>
      <w:r w:rsidR="005D0D02">
        <w:t xml:space="preserve">and </w:t>
      </w:r>
      <w:r w:rsidR="005F7694">
        <w:t>subsequently</w:t>
      </w:r>
      <w:r w:rsidR="009C0B3D">
        <w:t xml:space="preserve"> supported by MSAC</w:t>
      </w:r>
      <w:r w:rsidR="008B0B8C">
        <w:t xml:space="preserve"> in considering its advice</w:t>
      </w:r>
      <w:r w:rsidR="00765C6F">
        <w:t>.</w:t>
      </w:r>
      <w:r w:rsidR="00174CD2">
        <w:t xml:space="preserve"> </w:t>
      </w:r>
      <w:r w:rsidR="00CC7363">
        <w:t>The recommended screening frequency for TSC is 1-3 years and for VHL is every 2 years</w:t>
      </w:r>
      <w:r w:rsidR="00A64B89">
        <w:rPr>
          <w:rStyle w:val="FootnoteReference"/>
        </w:rPr>
        <w:footnoteReference w:id="3"/>
      </w:r>
      <w:r w:rsidR="00CC7363">
        <w:t xml:space="preserve">. Therefore, the base case evaluation assumes that </w:t>
      </w:r>
      <w:r w:rsidR="00B2259C">
        <w:t xml:space="preserve">the </w:t>
      </w:r>
      <w:r w:rsidR="00CC7363">
        <w:t xml:space="preserve">target population has </w:t>
      </w:r>
      <w:r w:rsidR="00B2259C">
        <w:t>two-yearly</w:t>
      </w:r>
      <w:r w:rsidR="001038EE">
        <w:t xml:space="preserve"> </w:t>
      </w:r>
      <w:r w:rsidR="00CC7363">
        <w:t xml:space="preserve">imaging. </w:t>
      </w:r>
      <w:r w:rsidRPr="00842B19">
        <w:t>The economic evaluation takes the form of decision tree analysis followed by a Markov cohort simulation transitioning between the two-health states</w:t>
      </w:r>
      <w:r>
        <w:t xml:space="preserve"> (</w:t>
      </w:r>
      <w:r w:rsidRPr="00842B19">
        <w:t>alive and dead</w:t>
      </w:r>
      <w:r>
        <w:t>)</w:t>
      </w:r>
      <w:r w:rsidRPr="00842B19">
        <w:t xml:space="preserve"> over a time horizon of 50 years, and a 1-year cycle length. Costs and outcomes </w:t>
      </w:r>
      <w:r w:rsidR="00B2259C">
        <w:t>a</w:t>
      </w:r>
      <w:r w:rsidR="00B2259C" w:rsidRPr="00842B19">
        <w:t xml:space="preserve">re </w:t>
      </w:r>
      <w:r w:rsidRPr="00842B19">
        <w:t xml:space="preserve">discounted at 5% per annum. The individuals entering the model are first divided into separate pathways based on the surveillance options </w:t>
      </w:r>
      <w:proofErr w:type="gramStart"/>
      <w:r w:rsidRPr="00842B19">
        <w:t>available</w:t>
      </w:r>
      <w:r w:rsidR="00FD4E0E">
        <w:t>;</w:t>
      </w:r>
      <w:proofErr w:type="gramEnd"/>
      <w:r w:rsidRPr="00842B19">
        <w:t xml:space="preserve"> MRI or CT scan</w:t>
      </w:r>
      <w:r>
        <w:t>.</w:t>
      </w:r>
      <w:r w:rsidRPr="00842B19">
        <w:t xml:space="preserve"> Radiation induced cancer risk associated with CT scans is then </w:t>
      </w:r>
      <w:r w:rsidR="00FD4E0E">
        <w:t>added</w:t>
      </w:r>
      <w:r w:rsidR="00FD4E0E" w:rsidRPr="00842B19">
        <w:t xml:space="preserve"> </w:t>
      </w:r>
      <w:r w:rsidRPr="00842B19">
        <w:t>in</w:t>
      </w:r>
      <w:r w:rsidR="00FD4E0E">
        <w:t>to</w:t>
      </w:r>
      <w:r w:rsidRPr="00842B19">
        <w:t xml:space="preserve"> the model based on the cumulative number of CT scans performed. </w:t>
      </w:r>
    </w:p>
    <w:p w14:paraId="6F3DB4ED" w14:textId="77777777" w:rsidR="0088779E" w:rsidRDefault="0088779E" w:rsidP="0088779E">
      <w:r w:rsidRPr="00842B19">
        <w:t>A</w:t>
      </w:r>
      <w:r w:rsidR="001038EE">
        <w:t>n exploratory</w:t>
      </w:r>
      <w:r>
        <w:t xml:space="preserve"> scenario </w:t>
      </w:r>
      <w:r w:rsidRPr="00842B19">
        <w:t xml:space="preserve">analysis integrates </w:t>
      </w:r>
      <w:r w:rsidR="00FD4E0E">
        <w:t>no</w:t>
      </w:r>
      <w:r w:rsidR="00BD5C6D">
        <w:t>tional</w:t>
      </w:r>
      <w:r w:rsidR="00FD4E0E">
        <w:t xml:space="preserve"> estimates of </w:t>
      </w:r>
      <w:r w:rsidRPr="00842B19">
        <w:t xml:space="preserve">sensitivity and specificity </w:t>
      </w:r>
      <w:r w:rsidR="00FD4E0E">
        <w:t>for</w:t>
      </w:r>
      <w:r w:rsidR="00FD4E0E" w:rsidRPr="00842B19">
        <w:t xml:space="preserve"> </w:t>
      </w:r>
      <w:r w:rsidRPr="00842B19">
        <w:t>MRI and CT scan</w:t>
      </w:r>
      <w:r w:rsidR="001038EE">
        <w:t>ning and b</w:t>
      </w:r>
      <w:r w:rsidRPr="00842B19">
        <w:t>ased on the test outcomes, further costs associated with confirmatory testing and treatment.</w:t>
      </w:r>
    </w:p>
    <w:p w14:paraId="2D52EC1F" w14:textId="77777777" w:rsidR="00F5659C" w:rsidRDefault="00F5659C" w:rsidP="0088779E">
      <w:r>
        <w:t>No comparative evidence was found related to the proposed use of</w:t>
      </w:r>
      <w:r w:rsidRPr="00D3306C">
        <w:t xml:space="preserve"> </w:t>
      </w:r>
      <w:r>
        <w:t xml:space="preserve">abdominal </w:t>
      </w:r>
      <w:r w:rsidRPr="00D3306C">
        <w:t>MRI</w:t>
      </w:r>
      <w:r>
        <w:t xml:space="preserve"> versus CT scan </w:t>
      </w:r>
      <w:r w:rsidRPr="00D3306C">
        <w:t xml:space="preserve">for </w:t>
      </w:r>
      <w:r>
        <w:t xml:space="preserve">the </w:t>
      </w:r>
      <w:r w:rsidRPr="00D3306C">
        <w:t>assessment of response to treatment or tumour growth three to six months post initiation of treatment</w:t>
      </w:r>
      <w:r w:rsidR="004F4226">
        <w:t xml:space="preserve"> (PICO set 2)</w:t>
      </w:r>
      <w:r>
        <w:t>. Hence, no economic analysis is presented for this listing.</w:t>
      </w:r>
    </w:p>
    <w:p w14:paraId="61393D32" w14:textId="77777777" w:rsidR="0088779E" w:rsidRPr="006B4F89" w:rsidRDefault="0088779E" w:rsidP="0088779E">
      <w:r w:rsidRPr="00FC31AA">
        <w:t xml:space="preserve">A summary of the key components of the economic evaluation is presented </w:t>
      </w:r>
      <w:r>
        <w:t xml:space="preserve">in </w:t>
      </w:r>
      <w:r w:rsidR="00035B35">
        <w:fldChar w:fldCharType="begin"/>
      </w:r>
      <w:r w:rsidR="00035B35">
        <w:instrText xml:space="preserve"> REF _Ref118915205 \h </w:instrText>
      </w:r>
      <w:r w:rsidR="00035B35">
        <w:fldChar w:fldCharType="separate"/>
      </w:r>
      <w:r w:rsidR="0030465F" w:rsidRPr="00CE28E3">
        <w:t>Table</w:t>
      </w:r>
      <w:r w:rsidR="0030465F">
        <w:t xml:space="preserve"> </w:t>
      </w:r>
      <w:r w:rsidR="0030465F">
        <w:rPr>
          <w:noProof/>
        </w:rPr>
        <w:t>7</w:t>
      </w:r>
      <w:r w:rsidR="00035B35">
        <w:fldChar w:fldCharType="end"/>
      </w:r>
      <w:r w:rsidR="00035B35">
        <w:t>.</w:t>
      </w:r>
    </w:p>
    <w:p w14:paraId="6BEDA27E" w14:textId="77777777" w:rsidR="0088779E" w:rsidRPr="00CE28E3" w:rsidRDefault="0088779E" w:rsidP="00035B35">
      <w:pPr>
        <w:pStyle w:val="TableHeading0"/>
      </w:pPr>
      <w:bookmarkStart w:id="32" w:name="_Ref118915205"/>
      <w:r w:rsidRPr="00CE28E3">
        <w:lastRenderedPageBreak/>
        <w:t>Table</w:t>
      </w:r>
      <w:r w:rsidR="00035B35">
        <w:t xml:space="preserve"> </w:t>
      </w:r>
      <w:r>
        <w:fldChar w:fldCharType="begin"/>
      </w:r>
      <w:r>
        <w:instrText>SEQ Table \* ARABIC</w:instrText>
      </w:r>
      <w:r>
        <w:fldChar w:fldCharType="separate"/>
      </w:r>
      <w:r w:rsidR="0030465F">
        <w:rPr>
          <w:noProof/>
        </w:rPr>
        <w:t>7</w:t>
      </w:r>
      <w:r>
        <w:fldChar w:fldCharType="end"/>
      </w:r>
      <w:bookmarkEnd w:id="32"/>
      <w:r w:rsidRPr="00CE28E3">
        <w:tab/>
        <w:t xml:space="preserve">Summary of the economic evaluation </w:t>
      </w:r>
      <w:r w:rsidR="00313735">
        <w:t xml:space="preserve">for proposed use of abdominal MRI versus CT scan for the </w:t>
      </w:r>
      <w:r w:rsidR="0059369F">
        <w:t>periodic</w:t>
      </w:r>
      <w:r w:rsidR="00313735">
        <w:t xml:space="preserve"> surveillance</w:t>
      </w:r>
    </w:p>
    <w:tbl>
      <w:tblPr>
        <w:tblStyle w:val="HealthConsult4"/>
        <w:tblW w:w="5000" w:type="pct"/>
        <w:tblLook w:val="04A0" w:firstRow="1" w:lastRow="0" w:firstColumn="1" w:lastColumn="0" w:noHBand="0" w:noVBand="1"/>
      </w:tblPr>
      <w:tblGrid>
        <w:gridCol w:w="2317"/>
        <w:gridCol w:w="6699"/>
      </w:tblGrid>
      <w:tr w:rsidR="0088779E" w:rsidRPr="00CE28E3" w14:paraId="20AF7321" w14:textId="77777777" w:rsidTr="00972C57">
        <w:trPr>
          <w:tblHeader/>
        </w:trPr>
        <w:tc>
          <w:tcPr>
            <w:tcW w:w="1285" w:type="pct"/>
          </w:tcPr>
          <w:p w14:paraId="167FBB3B" w14:textId="77777777" w:rsidR="0088779E" w:rsidRPr="000449D1" w:rsidRDefault="0088779E" w:rsidP="00972C57">
            <w:pPr>
              <w:pStyle w:val="TableHeading"/>
              <w:keepNext w:val="0"/>
              <w:widowControl w:val="0"/>
              <w:rPr>
                <w:rFonts w:cs="Courier New"/>
                <w:szCs w:val="20"/>
              </w:rPr>
            </w:pPr>
            <w:r w:rsidRPr="000449D1">
              <w:rPr>
                <w:rFonts w:cs="Courier New"/>
                <w:szCs w:val="20"/>
              </w:rPr>
              <w:t>Component</w:t>
            </w:r>
          </w:p>
        </w:tc>
        <w:tc>
          <w:tcPr>
            <w:tcW w:w="3715" w:type="pct"/>
          </w:tcPr>
          <w:p w14:paraId="3D3E78DC" w14:textId="77777777" w:rsidR="0088779E" w:rsidRPr="000449D1" w:rsidRDefault="0088779E" w:rsidP="00972C57">
            <w:pPr>
              <w:pStyle w:val="TableHeading"/>
              <w:keepNext w:val="0"/>
              <w:widowControl w:val="0"/>
              <w:rPr>
                <w:rFonts w:cs="Courier New"/>
                <w:szCs w:val="20"/>
              </w:rPr>
            </w:pPr>
            <w:r w:rsidRPr="000449D1">
              <w:rPr>
                <w:rFonts w:cs="Courier New"/>
                <w:szCs w:val="20"/>
              </w:rPr>
              <w:t>Description</w:t>
            </w:r>
          </w:p>
        </w:tc>
      </w:tr>
      <w:tr w:rsidR="0088779E" w:rsidRPr="000449D1" w14:paraId="7036CDC0" w14:textId="77777777" w:rsidTr="00972C57">
        <w:tc>
          <w:tcPr>
            <w:tcW w:w="1285" w:type="pct"/>
          </w:tcPr>
          <w:p w14:paraId="05E07F5A" w14:textId="77777777" w:rsidR="0088779E" w:rsidRPr="000449D1" w:rsidRDefault="0088779E" w:rsidP="00972C57">
            <w:pPr>
              <w:pStyle w:val="TableText"/>
              <w:widowControl w:val="0"/>
              <w:rPr>
                <w:rFonts w:cs="Courier New"/>
                <w:szCs w:val="20"/>
              </w:rPr>
            </w:pPr>
            <w:r w:rsidRPr="000449D1">
              <w:rPr>
                <w:rFonts w:cs="Courier New"/>
                <w:szCs w:val="20"/>
              </w:rPr>
              <w:t>Perspective</w:t>
            </w:r>
          </w:p>
        </w:tc>
        <w:tc>
          <w:tcPr>
            <w:tcW w:w="3715" w:type="pct"/>
          </w:tcPr>
          <w:p w14:paraId="10824251" w14:textId="77777777" w:rsidR="0088779E" w:rsidRPr="000449D1" w:rsidRDefault="0088779E" w:rsidP="00972C57">
            <w:pPr>
              <w:pStyle w:val="TableText"/>
              <w:widowControl w:val="0"/>
              <w:rPr>
                <w:rFonts w:cs="Courier New"/>
                <w:szCs w:val="20"/>
              </w:rPr>
            </w:pPr>
            <w:r w:rsidRPr="00367095">
              <w:t>Australian health care system</w:t>
            </w:r>
          </w:p>
        </w:tc>
      </w:tr>
      <w:tr w:rsidR="0088779E" w:rsidRPr="000449D1" w14:paraId="52539F99" w14:textId="77777777" w:rsidTr="00972C57">
        <w:tc>
          <w:tcPr>
            <w:tcW w:w="1285" w:type="pct"/>
          </w:tcPr>
          <w:p w14:paraId="01804507" w14:textId="77777777" w:rsidR="0088779E" w:rsidRPr="000449D1" w:rsidRDefault="0088779E" w:rsidP="00972C57">
            <w:pPr>
              <w:pStyle w:val="TableText"/>
              <w:widowControl w:val="0"/>
              <w:rPr>
                <w:rFonts w:cs="Courier New"/>
                <w:szCs w:val="20"/>
              </w:rPr>
            </w:pPr>
            <w:r w:rsidRPr="000449D1">
              <w:rPr>
                <w:rFonts w:cs="Courier New"/>
                <w:szCs w:val="20"/>
              </w:rPr>
              <w:t>Population</w:t>
            </w:r>
          </w:p>
        </w:tc>
        <w:tc>
          <w:tcPr>
            <w:tcW w:w="3715" w:type="pct"/>
          </w:tcPr>
          <w:p w14:paraId="30E4BDD7" w14:textId="77777777" w:rsidR="0088779E" w:rsidRPr="00D56DFA" w:rsidRDefault="0088779E" w:rsidP="00972C57">
            <w:pPr>
              <w:pStyle w:val="TableText"/>
              <w:widowControl w:val="0"/>
              <w:rPr>
                <w:rFonts w:cs="Courier New"/>
                <w:color w:val="258221"/>
                <w:szCs w:val="20"/>
              </w:rPr>
            </w:pPr>
            <w:r w:rsidRPr="00367095">
              <w:t>Patients with rare heritable genetic conditions that are strongly associated with the development of renal tumours over time, who may or may not be currently undergoing stable, disease-specific therapy.</w:t>
            </w:r>
          </w:p>
        </w:tc>
      </w:tr>
      <w:tr w:rsidR="0088779E" w:rsidRPr="000449D1" w14:paraId="34BE8678" w14:textId="77777777" w:rsidTr="00972C57">
        <w:tc>
          <w:tcPr>
            <w:tcW w:w="1285" w:type="pct"/>
          </w:tcPr>
          <w:p w14:paraId="6D1E824A" w14:textId="77777777" w:rsidR="0088779E" w:rsidRPr="000449D1" w:rsidRDefault="0088779E" w:rsidP="00972C57">
            <w:pPr>
              <w:pStyle w:val="TableText"/>
              <w:widowControl w:val="0"/>
              <w:rPr>
                <w:rFonts w:cs="Courier New"/>
                <w:szCs w:val="20"/>
              </w:rPr>
            </w:pPr>
            <w:r w:rsidRPr="000449D1">
              <w:rPr>
                <w:rFonts w:cs="Courier New"/>
                <w:szCs w:val="20"/>
              </w:rPr>
              <w:t>Prior testing</w:t>
            </w:r>
          </w:p>
        </w:tc>
        <w:tc>
          <w:tcPr>
            <w:tcW w:w="3715" w:type="pct"/>
          </w:tcPr>
          <w:p w14:paraId="467940FA" w14:textId="77777777" w:rsidR="0088779E" w:rsidRPr="000449D1" w:rsidRDefault="0088779E" w:rsidP="00972C57">
            <w:pPr>
              <w:pStyle w:val="TableText"/>
              <w:widowControl w:val="0"/>
              <w:rPr>
                <w:rFonts w:cs="Courier New"/>
                <w:szCs w:val="20"/>
              </w:rPr>
            </w:pPr>
            <w:r w:rsidRPr="00367095">
              <w:t>Genetic testing to confirm germline pathogenic variants of the genes associated with the condition in question. However, the diagnosis may not require confirmatory genetic testing and may be a clinical diagnosis alone, where there are standardised phenotypic diagnostic criteria applicable.</w:t>
            </w:r>
          </w:p>
        </w:tc>
      </w:tr>
      <w:tr w:rsidR="0088779E" w:rsidRPr="000449D1" w14:paraId="25AA7B54" w14:textId="77777777" w:rsidTr="00972C57">
        <w:tc>
          <w:tcPr>
            <w:tcW w:w="1285" w:type="pct"/>
          </w:tcPr>
          <w:p w14:paraId="0C3986A8" w14:textId="77777777" w:rsidR="0088779E" w:rsidRPr="000449D1" w:rsidRDefault="0088779E" w:rsidP="00972C57">
            <w:pPr>
              <w:pStyle w:val="TableText"/>
              <w:widowControl w:val="0"/>
              <w:rPr>
                <w:rFonts w:cs="Courier New"/>
                <w:szCs w:val="20"/>
              </w:rPr>
            </w:pPr>
            <w:r w:rsidRPr="00923246">
              <w:rPr>
                <w:rFonts w:cs="Courier New"/>
                <w:szCs w:val="20"/>
              </w:rPr>
              <w:t>Intervention</w:t>
            </w:r>
          </w:p>
        </w:tc>
        <w:tc>
          <w:tcPr>
            <w:tcW w:w="3715" w:type="pct"/>
          </w:tcPr>
          <w:p w14:paraId="15EFA570" w14:textId="77777777" w:rsidR="0088779E" w:rsidRPr="000449D1" w:rsidRDefault="0088779E" w:rsidP="00972C57">
            <w:pPr>
              <w:pStyle w:val="TableText"/>
              <w:widowControl w:val="0"/>
              <w:rPr>
                <w:rFonts w:cs="Courier New"/>
                <w:szCs w:val="20"/>
              </w:rPr>
            </w:pPr>
            <w:r w:rsidRPr="00367095">
              <w:t>Magnetic Resonance Imaging</w:t>
            </w:r>
            <w:r>
              <w:t xml:space="preserve"> (MRI)</w:t>
            </w:r>
            <w:r w:rsidRPr="00367095">
              <w:t xml:space="preserve"> of the abdomen using gadolinium-based contrast (where applicable); </w:t>
            </w:r>
            <w:r w:rsidR="0059369F">
              <w:t>periodic</w:t>
            </w:r>
            <w:r w:rsidR="00B87278" w:rsidRPr="00367095">
              <w:t xml:space="preserve"> </w:t>
            </w:r>
            <w:r w:rsidRPr="00367095">
              <w:t>surveillance.</w:t>
            </w:r>
          </w:p>
        </w:tc>
      </w:tr>
      <w:tr w:rsidR="0088779E" w:rsidRPr="000449D1" w14:paraId="18BF63BF" w14:textId="77777777" w:rsidTr="00972C57">
        <w:tc>
          <w:tcPr>
            <w:tcW w:w="1285" w:type="pct"/>
          </w:tcPr>
          <w:p w14:paraId="1849FD7D" w14:textId="77777777" w:rsidR="0088779E" w:rsidRPr="000449D1" w:rsidRDefault="0088779E" w:rsidP="00972C57">
            <w:pPr>
              <w:pStyle w:val="TableText"/>
              <w:widowControl w:val="0"/>
              <w:rPr>
                <w:rFonts w:cs="Courier New"/>
                <w:szCs w:val="20"/>
              </w:rPr>
            </w:pPr>
            <w:r w:rsidRPr="000449D1">
              <w:rPr>
                <w:rFonts w:cs="Courier New"/>
                <w:szCs w:val="20"/>
              </w:rPr>
              <w:t>Comparator</w:t>
            </w:r>
          </w:p>
        </w:tc>
        <w:tc>
          <w:tcPr>
            <w:tcW w:w="3715" w:type="pct"/>
          </w:tcPr>
          <w:p w14:paraId="698E722F" w14:textId="77777777" w:rsidR="0088779E" w:rsidRPr="000449D1" w:rsidRDefault="0088779E" w:rsidP="00972C57">
            <w:pPr>
              <w:pStyle w:val="TableText"/>
              <w:widowControl w:val="0"/>
              <w:rPr>
                <w:rFonts w:cs="Courier New"/>
                <w:szCs w:val="20"/>
              </w:rPr>
            </w:pPr>
            <w:r w:rsidRPr="00367095">
              <w:t>Computed tomography</w:t>
            </w:r>
            <w:r>
              <w:t xml:space="preserve"> (CT) with or without contrast agent</w:t>
            </w:r>
          </w:p>
        </w:tc>
      </w:tr>
      <w:tr w:rsidR="0088779E" w:rsidRPr="000449D1" w14:paraId="5F4DAE8A" w14:textId="77777777" w:rsidTr="00972C57">
        <w:tc>
          <w:tcPr>
            <w:tcW w:w="1285" w:type="pct"/>
          </w:tcPr>
          <w:p w14:paraId="016254BB" w14:textId="77777777" w:rsidR="0088779E" w:rsidRPr="000449D1" w:rsidRDefault="0088779E" w:rsidP="00972C57">
            <w:pPr>
              <w:pStyle w:val="TableText"/>
              <w:widowControl w:val="0"/>
              <w:rPr>
                <w:rFonts w:cs="Courier New"/>
                <w:szCs w:val="20"/>
              </w:rPr>
            </w:pPr>
            <w:r w:rsidRPr="000449D1">
              <w:rPr>
                <w:rFonts w:cs="Courier New"/>
                <w:szCs w:val="20"/>
              </w:rPr>
              <w:t>Type(s) of analysis</w:t>
            </w:r>
          </w:p>
        </w:tc>
        <w:tc>
          <w:tcPr>
            <w:tcW w:w="3715" w:type="pct"/>
          </w:tcPr>
          <w:p w14:paraId="34594235" w14:textId="77777777" w:rsidR="0088779E" w:rsidRPr="000449D1" w:rsidRDefault="0088779E" w:rsidP="00972C57">
            <w:pPr>
              <w:pStyle w:val="TableText"/>
              <w:widowControl w:val="0"/>
              <w:rPr>
                <w:rFonts w:cs="Courier New"/>
                <w:szCs w:val="20"/>
              </w:rPr>
            </w:pPr>
            <w:r>
              <w:rPr>
                <w:rFonts w:cs="Courier New"/>
                <w:szCs w:val="20"/>
              </w:rPr>
              <w:t>C</w:t>
            </w:r>
            <w:r w:rsidRPr="000449D1">
              <w:rPr>
                <w:rFonts w:cs="Courier New"/>
                <w:szCs w:val="20"/>
              </w:rPr>
              <w:t>ost-effectiveness analysis</w:t>
            </w:r>
          </w:p>
        </w:tc>
      </w:tr>
      <w:tr w:rsidR="0088779E" w:rsidRPr="000449D1" w14:paraId="45F47630" w14:textId="77777777" w:rsidTr="00972C57">
        <w:tc>
          <w:tcPr>
            <w:tcW w:w="1285" w:type="pct"/>
          </w:tcPr>
          <w:p w14:paraId="422DCDD2" w14:textId="77777777" w:rsidR="0088779E" w:rsidRPr="000449D1" w:rsidRDefault="0088779E" w:rsidP="00972C57">
            <w:pPr>
              <w:pStyle w:val="TableText"/>
              <w:widowControl w:val="0"/>
              <w:rPr>
                <w:rFonts w:cs="Courier New"/>
                <w:szCs w:val="20"/>
              </w:rPr>
            </w:pPr>
            <w:r w:rsidRPr="000449D1">
              <w:rPr>
                <w:rFonts w:cs="Courier New"/>
                <w:szCs w:val="20"/>
              </w:rPr>
              <w:t>Outcomes</w:t>
            </w:r>
          </w:p>
        </w:tc>
        <w:tc>
          <w:tcPr>
            <w:tcW w:w="3715" w:type="pct"/>
          </w:tcPr>
          <w:p w14:paraId="723DBFD0" w14:textId="1A806A72" w:rsidR="0088779E" w:rsidRPr="000449D1" w:rsidRDefault="009A761B" w:rsidP="00972C57">
            <w:pPr>
              <w:pStyle w:val="TableText"/>
              <w:widowControl w:val="0"/>
              <w:rPr>
                <w:rFonts w:cs="Courier New"/>
                <w:szCs w:val="20"/>
              </w:rPr>
            </w:pPr>
            <w:r>
              <w:rPr>
                <w:rFonts w:cs="Courier New"/>
                <w:szCs w:val="20"/>
              </w:rPr>
              <w:t>R</w:t>
            </w:r>
            <w:r w:rsidR="0088779E">
              <w:rPr>
                <w:rFonts w:cs="Courier New"/>
                <w:szCs w:val="20"/>
              </w:rPr>
              <w:t xml:space="preserve">adiation induced cancers </w:t>
            </w:r>
            <w:r w:rsidR="0088779E" w:rsidRPr="000449D1">
              <w:rPr>
                <w:rFonts w:cs="Courier New"/>
                <w:szCs w:val="20"/>
              </w:rPr>
              <w:t>avoided</w:t>
            </w:r>
            <w:r w:rsidR="00446B0F">
              <w:rPr>
                <w:rFonts w:cs="Courier New"/>
                <w:szCs w:val="20"/>
              </w:rPr>
              <w:t xml:space="preserve"> (interpreted as </w:t>
            </w:r>
            <w:r w:rsidR="00CD0D34">
              <w:t>the benefit of avoiding cancer in its totality including avoiding the resource costs of hospitalisation for the cancer)</w:t>
            </w:r>
          </w:p>
        </w:tc>
      </w:tr>
      <w:tr w:rsidR="0088779E" w:rsidRPr="000449D1" w14:paraId="5388CCD0" w14:textId="77777777" w:rsidTr="00972C57">
        <w:tc>
          <w:tcPr>
            <w:tcW w:w="1285" w:type="pct"/>
          </w:tcPr>
          <w:p w14:paraId="4E66F15E" w14:textId="77777777" w:rsidR="0088779E" w:rsidRPr="000449D1" w:rsidRDefault="0088779E" w:rsidP="00972C57">
            <w:pPr>
              <w:pStyle w:val="TableText"/>
              <w:widowControl w:val="0"/>
              <w:rPr>
                <w:rFonts w:cs="Courier New"/>
                <w:szCs w:val="20"/>
              </w:rPr>
            </w:pPr>
            <w:r w:rsidRPr="000449D1">
              <w:rPr>
                <w:rFonts w:cs="Courier New"/>
                <w:szCs w:val="20"/>
              </w:rPr>
              <w:t>Time horizon</w:t>
            </w:r>
          </w:p>
        </w:tc>
        <w:tc>
          <w:tcPr>
            <w:tcW w:w="3715" w:type="pct"/>
          </w:tcPr>
          <w:p w14:paraId="5E468C7F" w14:textId="77777777" w:rsidR="0088779E" w:rsidRPr="000449D1" w:rsidRDefault="0088779E" w:rsidP="00972C57">
            <w:pPr>
              <w:pStyle w:val="TableText"/>
              <w:widowControl w:val="0"/>
              <w:rPr>
                <w:rFonts w:cs="Courier New"/>
                <w:szCs w:val="20"/>
              </w:rPr>
            </w:pPr>
            <w:r>
              <w:rPr>
                <w:rFonts w:cs="Courier New"/>
                <w:szCs w:val="20"/>
              </w:rPr>
              <w:t>50 years in the modelled base case</w:t>
            </w:r>
          </w:p>
        </w:tc>
      </w:tr>
      <w:tr w:rsidR="0088779E" w:rsidRPr="000449D1" w14:paraId="265849A2" w14:textId="77777777" w:rsidTr="00972C57">
        <w:tc>
          <w:tcPr>
            <w:tcW w:w="1285" w:type="pct"/>
          </w:tcPr>
          <w:p w14:paraId="422617E3" w14:textId="77777777" w:rsidR="0088779E" w:rsidRPr="000449D1" w:rsidRDefault="0088779E" w:rsidP="00972C57">
            <w:pPr>
              <w:pStyle w:val="TableText"/>
              <w:widowControl w:val="0"/>
              <w:rPr>
                <w:rFonts w:cs="Courier New"/>
                <w:szCs w:val="20"/>
              </w:rPr>
            </w:pPr>
            <w:r w:rsidRPr="000449D1">
              <w:rPr>
                <w:rFonts w:cs="Courier New"/>
                <w:szCs w:val="20"/>
              </w:rPr>
              <w:t>Computational method</w:t>
            </w:r>
          </w:p>
        </w:tc>
        <w:tc>
          <w:tcPr>
            <w:tcW w:w="3715" w:type="pct"/>
          </w:tcPr>
          <w:p w14:paraId="4A6F2E84" w14:textId="77777777" w:rsidR="0088779E" w:rsidRPr="000449D1" w:rsidRDefault="0088779E" w:rsidP="00972C57">
            <w:pPr>
              <w:pStyle w:val="TableText"/>
              <w:widowControl w:val="0"/>
              <w:rPr>
                <w:rFonts w:cs="Courier New"/>
                <w:szCs w:val="20"/>
              </w:rPr>
            </w:pPr>
            <w:r>
              <w:rPr>
                <w:rFonts w:cs="Courier New"/>
                <w:szCs w:val="20"/>
              </w:rPr>
              <w:t>M</w:t>
            </w:r>
            <w:r w:rsidRPr="000449D1">
              <w:rPr>
                <w:rFonts w:cs="Courier New"/>
                <w:szCs w:val="20"/>
              </w:rPr>
              <w:t>arkov</w:t>
            </w:r>
            <w:r>
              <w:rPr>
                <w:rFonts w:cs="Courier New"/>
                <w:szCs w:val="20"/>
              </w:rPr>
              <w:t xml:space="preserve"> model</w:t>
            </w:r>
          </w:p>
        </w:tc>
      </w:tr>
      <w:tr w:rsidR="0088779E" w:rsidRPr="000449D1" w14:paraId="40373B77" w14:textId="77777777" w:rsidTr="00972C57">
        <w:tc>
          <w:tcPr>
            <w:tcW w:w="1285" w:type="pct"/>
          </w:tcPr>
          <w:p w14:paraId="240D90DD" w14:textId="77777777" w:rsidR="0088779E" w:rsidRPr="000449D1" w:rsidRDefault="0088779E" w:rsidP="00972C57">
            <w:pPr>
              <w:pStyle w:val="TableText"/>
              <w:widowControl w:val="0"/>
              <w:rPr>
                <w:rFonts w:cs="Courier New"/>
                <w:szCs w:val="20"/>
              </w:rPr>
            </w:pPr>
            <w:r w:rsidRPr="000449D1">
              <w:rPr>
                <w:rFonts w:cs="Courier New"/>
                <w:szCs w:val="20"/>
              </w:rPr>
              <w:t>Generation of the base case</w:t>
            </w:r>
          </w:p>
        </w:tc>
        <w:tc>
          <w:tcPr>
            <w:tcW w:w="3715" w:type="pct"/>
          </w:tcPr>
          <w:p w14:paraId="377B2CED" w14:textId="77777777" w:rsidR="0088779E" w:rsidRDefault="0088779E" w:rsidP="00972C57">
            <w:pPr>
              <w:pStyle w:val="TableText"/>
              <w:widowControl w:val="0"/>
              <w:rPr>
                <w:rFonts w:cs="Courier New"/>
                <w:szCs w:val="20"/>
              </w:rPr>
            </w:pPr>
            <w:r>
              <w:rPr>
                <w:rFonts w:cs="Courier New"/>
                <w:szCs w:val="20"/>
              </w:rPr>
              <w:t>M</w:t>
            </w:r>
            <w:r w:rsidRPr="000449D1">
              <w:rPr>
                <w:rFonts w:cs="Courier New"/>
                <w:szCs w:val="20"/>
              </w:rPr>
              <w:t>odelled</w:t>
            </w:r>
            <w:r>
              <w:rPr>
                <w:rFonts w:cs="Courier New"/>
                <w:szCs w:val="20"/>
              </w:rPr>
              <w:t xml:space="preserve"> stepped economic evaluation:</w:t>
            </w:r>
          </w:p>
          <w:p w14:paraId="0B77543F" w14:textId="43E135C8" w:rsidR="0088779E" w:rsidRDefault="0088779E" w:rsidP="00972C57">
            <w:pPr>
              <w:pStyle w:val="TableText"/>
              <w:widowControl w:val="0"/>
              <w:rPr>
                <w:rFonts w:cs="Courier New"/>
                <w:szCs w:val="20"/>
              </w:rPr>
            </w:pPr>
            <w:r w:rsidRPr="0031546D">
              <w:rPr>
                <w:rFonts w:cs="Courier New"/>
                <w:szCs w:val="20"/>
                <w:u w:val="single"/>
              </w:rPr>
              <w:t>Step 1</w:t>
            </w:r>
            <w:r>
              <w:rPr>
                <w:rFonts w:cs="Courier New"/>
                <w:szCs w:val="20"/>
              </w:rPr>
              <w:t xml:space="preserve">: </w:t>
            </w:r>
            <w:r w:rsidR="00726890" w:rsidRPr="00726890">
              <w:rPr>
                <w:rFonts w:cs="Courier New"/>
                <w:szCs w:val="20"/>
              </w:rPr>
              <w:t>Cost comparison of direct imaging costs only</w:t>
            </w:r>
          </w:p>
          <w:p w14:paraId="0118EAA0" w14:textId="39D6CB49" w:rsidR="00453DCA" w:rsidRDefault="00453DCA" w:rsidP="00972C57">
            <w:pPr>
              <w:pStyle w:val="TableText"/>
              <w:widowControl w:val="0"/>
              <w:rPr>
                <w:rFonts w:cs="Courier New"/>
                <w:szCs w:val="20"/>
              </w:rPr>
            </w:pPr>
            <w:r w:rsidRPr="00453DCA">
              <w:rPr>
                <w:rFonts w:cs="Courier New"/>
                <w:szCs w:val="20"/>
                <w:u w:val="single"/>
              </w:rPr>
              <w:t xml:space="preserve">Step </w:t>
            </w:r>
            <w:r w:rsidR="00427094">
              <w:rPr>
                <w:rFonts w:cs="Courier New"/>
                <w:szCs w:val="20"/>
                <w:u w:val="single"/>
              </w:rPr>
              <w:t>2</w:t>
            </w:r>
            <w:r>
              <w:rPr>
                <w:rFonts w:cs="Courier New"/>
                <w:szCs w:val="20"/>
              </w:rPr>
              <w:t xml:space="preserve">: </w:t>
            </w:r>
            <w:r w:rsidR="006F45C0" w:rsidRPr="006F45C0">
              <w:rPr>
                <w:rFonts w:cs="Courier New"/>
                <w:szCs w:val="20"/>
              </w:rPr>
              <w:t xml:space="preserve">Cost effectiveness analysis (Healthcare system </w:t>
            </w:r>
            <w:r w:rsidR="006F45C0">
              <w:rPr>
                <w:rFonts w:cs="Courier New"/>
                <w:szCs w:val="20"/>
              </w:rPr>
              <w:t>perspective) -</w:t>
            </w:r>
            <w:r w:rsidR="004A087D">
              <w:t xml:space="preserve"> </w:t>
            </w:r>
            <w:r w:rsidR="00C92C6F" w:rsidRPr="00C92C6F">
              <w:rPr>
                <w:rFonts w:cs="Courier New"/>
                <w:szCs w:val="20"/>
              </w:rPr>
              <w:t>Estimates the ICER by calculating the ratio of incremental direct imaging costs to incremental cancers developed</w:t>
            </w:r>
            <w:r w:rsidR="006F45C0">
              <w:rPr>
                <w:rFonts w:cs="Courier New"/>
                <w:szCs w:val="20"/>
              </w:rPr>
              <w:t xml:space="preserve"> </w:t>
            </w:r>
          </w:p>
          <w:p w14:paraId="33EDADF4" w14:textId="77777777" w:rsidR="0088779E" w:rsidRPr="000449D1" w:rsidRDefault="0088779E" w:rsidP="00972C57">
            <w:pPr>
              <w:pStyle w:val="TableText"/>
              <w:widowControl w:val="0"/>
              <w:rPr>
                <w:rFonts w:cs="Courier New"/>
                <w:szCs w:val="20"/>
              </w:rPr>
            </w:pPr>
            <w:r>
              <w:rPr>
                <w:rFonts w:cs="Courier New"/>
                <w:szCs w:val="20"/>
                <w:u w:val="single"/>
              </w:rPr>
              <w:t>Scenario analysis:</w:t>
            </w:r>
            <w:r>
              <w:rPr>
                <w:rFonts w:cs="Courier New"/>
                <w:szCs w:val="20"/>
              </w:rPr>
              <w:t xml:space="preserve"> Step </w:t>
            </w:r>
            <w:r w:rsidR="0090517A">
              <w:rPr>
                <w:rFonts w:cs="Courier New"/>
                <w:szCs w:val="20"/>
              </w:rPr>
              <w:t>2</w:t>
            </w:r>
            <w:r>
              <w:rPr>
                <w:rFonts w:cs="Courier New"/>
                <w:szCs w:val="20"/>
              </w:rPr>
              <w:t xml:space="preserve"> + inclusion of </w:t>
            </w:r>
            <w:r w:rsidR="001038EE">
              <w:rPr>
                <w:rFonts w:cs="Courier New"/>
                <w:szCs w:val="20"/>
              </w:rPr>
              <w:t xml:space="preserve">notional differential </w:t>
            </w:r>
            <w:r>
              <w:rPr>
                <w:rFonts w:cs="Courier New"/>
                <w:szCs w:val="20"/>
              </w:rPr>
              <w:t>imaging accuracy</w:t>
            </w:r>
            <w:r w:rsidR="001038EE">
              <w:rPr>
                <w:rFonts w:cs="Courier New"/>
                <w:szCs w:val="20"/>
              </w:rPr>
              <w:t xml:space="preserve"> and confirmatory testing</w:t>
            </w:r>
            <w:r>
              <w:rPr>
                <w:rFonts w:cs="Courier New"/>
                <w:szCs w:val="20"/>
              </w:rPr>
              <w:t xml:space="preserve"> to differentiate between malignant and benign RCCs</w:t>
            </w:r>
            <w:r w:rsidR="001038EE">
              <w:rPr>
                <w:rFonts w:cs="Courier New"/>
                <w:szCs w:val="20"/>
              </w:rPr>
              <w:t xml:space="preserve"> and treatment</w:t>
            </w:r>
            <w:r>
              <w:rPr>
                <w:rFonts w:cs="Courier New"/>
                <w:szCs w:val="20"/>
              </w:rPr>
              <w:t>.</w:t>
            </w:r>
          </w:p>
        </w:tc>
      </w:tr>
      <w:tr w:rsidR="0088779E" w:rsidRPr="000449D1" w14:paraId="64AF0D75" w14:textId="77777777" w:rsidTr="00972C57">
        <w:tc>
          <w:tcPr>
            <w:tcW w:w="1285" w:type="pct"/>
          </w:tcPr>
          <w:p w14:paraId="21F110B2" w14:textId="77777777" w:rsidR="0088779E" w:rsidRPr="000449D1" w:rsidRDefault="0088779E" w:rsidP="00972C57">
            <w:pPr>
              <w:pStyle w:val="TableText"/>
              <w:widowControl w:val="0"/>
              <w:rPr>
                <w:rFonts w:cs="Courier New"/>
                <w:szCs w:val="20"/>
              </w:rPr>
            </w:pPr>
            <w:r w:rsidRPr="000449D1">
              <w:rPr>
                <w:rFonts w:cs="Courier New"/>
                <w:szCs w:val="20"/>
              </w:rPr>
              <w:t>Health states</w:t>
            </w:r>
          </w:p>
        </w:tc>
        <w:tc>
          <w:tcPr>
            <w:tcW w:w="3715" w:type="pct"/>
          </w:tcPr>
          <w:p w14:paraId="381A5155" w14:textId="77777777" w:rsidR="0088779E" w:rsidRPr="000449D1" w:rsidRDefault="0088779E" w:rsidP="00972C57">
            <w:pPr>
              <w:pStyle w:val="TableText"/>
              <w:widowControl w:val="0"/>
              <w:rPr>
                <w:rFonts w:cs="Courier New"/>
                <w:szCs w:val="20"/>
              </w:rPr>
            </w:pPr>
            <w:r>
              <w:rPr>
                <w:rFonts w:cs="Courier New"/>
                <w:szCs w:val="20"/>
              </w:rPr>
              <w:t>Alive (with regular surveillance) and dead</w:t>
            </w:r>
          </w:p>
        </w:tc>
      </w:tr>
      <w:tr w:rsidR="0088779E" w:rsidRPr="000449D1" w14:paraId="65E8C88D" w14:textId="77777777" w:rsidTr="00972C57">
        <w:tc>
          <w:tcPr>
            <w:tcW w:w="1285" w:type="pct"/>
          </w:tcPr>
          <w:p w14:paraId="2AA42AB4" w14:textId="77777777" w:rsidR="0088779E" w:rsidRPr="000449D1" w:rsidRDefault="0088779E" w:rsidP="00972C57">
            <w:pPr>
              <w:pStyle w:val="TableText"/>
              <w:widowControl w:val="0"/>
              <w:rPr>
                <w:rFonts w:cs="Courier New"/>
                <w:szCs w:val="20"/>
              </w:rPr>
            </w:pPr>
            <w:r w:rsidRPr="000449D1">
              <w:rPr>
                <w:rFonts w:cs="Courier New"/>
                <w:szCs w:val="20"/>
              </w:rPr>
              <w:t>Cycle length</w:t>
            </w:r>
          </w:p>
        </w:tc>
        <w:tc>
          <w:tcPr>
            <w:tcW w:w="3715" w:type="pct"/>
          </w:tcPr>
          <w:p w14:paraId="77071620" w14:textId="77777777" w:rsidR="0088779E" w:rsidRPr="000449D1" w:rsidRDefault="0088779E" w:rsidP="00972C57">
            <w:pPr>
              <w:pStyle w:val="TableText"/>
              <w:widowControl w:val="0"/>
              <w:rPr>
                <w:rFonts w:cs="Courier New"/>
                <w:szCs w:val="20"/>
              </w:rPr>
            </w:pPr>
            <w:r>
              <w:rPr>
                <w:rFonts w:cs="Courier New"/>
                <w:szCs w:val="20"/>
              </w:rPr>
              <w:t>1 </w:t>
            </w:r>
            <w:r w:rsidRPr="000449D1">
              <w:rPr>
                <w:rFonts w:cs="Courier New"/>
                <w:szCs w:val="20"/>
              </w:rPr>
              <w:t>year</w:t>
            </w:r>
          </w:p>
        </w:tc>
      </w:tr>
      <w:tr w:rsidR="0088779E" w:rsidRPr="000449D1" w14:paraId="3E64AA1C" w14:textId="77777777" w:rsidTr="00972C57">
        <w:tc>
          <w:tcPr>
            <w:tcW w:w="1285" w:type="pct"/>
          </w:tcPr>
          <w:p w14:paraId="2E62BE0A" w14:textId="77777777" w:rsidR="0088779E" w:rsidRPr="000449D1" w:rsidRDefault="0088779E" w:rsidP="00972C57">
            <w:pPr>
              <w:pStyle w:val="TableText"/>
              <w:widowControl w:val="0"/>
              <w:rPr>
                <w:rFonts w:cs="Courier New"/>
                <w:szCs w:val="20"/>
              </w:rPr>
            </w:pPr>
            <w:r w:rsidRPr="000449D1">
              <w:rPr>
                <w:rFonts w:cs="Courier New"/>
                <w:szCs w:val="20"/>
              </w:rPr>
              <w:t>Transition probabilities</w:t>
            </w:r>
          </w:p>
        </w:tc>
        <w:tc>
          <w:tcPr>
            <w:tcW w:w="3715" w:type="pct"/>
          </w:tcPr>
          <w:p w14:paraId="1D213FEE" w14:textId="77777777" w:rsidR="0088779E" w:rsidRDefault="0088779E" w:rsidP="00972C57">
            <w:pPr>
              <w:pStyle w:val="TableText"/>
              <w:widowControl w:val="0"/>
              <w:rPr>
                <w:rFonts w:cs="Courier New"/>
                <w:szCs w:val="20"/>
              </w:rPr>
            </w:pPr>
            <w:r>
              <w:rPr>
                <w:rFonts w:cs="Courier New"/>
                <w:szCs w:val="20"/>
              </w:rPr>
              <w:t>All analyses:</w:t>
            </w:r>
          </w:p>
          <w:p w14:paraId="1F9E4D14" w14:textId="77777777" w:rsidR="0088779E" w:rsidRDefault="0088779E" w:rsidP="00EE7A08">
            <w:pPr>
              <w:pStyle w:val="TableText"/>
              <w:widowControl w:val="0"/>
              <w:numPr>
                <w:ilvl w:val="0"/>
                <w:numId w:val="21"/>
              </w:numPr>
              <w:rPr>
                <w:rFonts w:cs="Courier New"/>
                <w:szCs w:val="20"/>
              </w:rPr>
            </w:pPr>
            <w:r>
              <w:rPr>
                <w:rFonts w:cs="Courier New"/>
                <w:szCs w:val="20"/>
              </w:rPr>
              <w:t>Excess cancer risk associated with cumulative radiation exposure</w:t>
            </w:r>
          </w:p>
          <w:p w14:paraId="16FFB3E9" w14:textId="77777777" w:rsidR="0088779E" w:rsidRDefault="0088779E" w:rsidP="00EE7A08">
            <w:pPr>
              <w:pStyle w:val="TableText"/>
              <w:widowControl w:val="0"/>
              <w:numPr>
                <w:ilvl w:val="0"/>
                <w:numId w:val="21"/>
              </w:numPr>
              <w:rPr>
                <w:rFonts w:cs="Courier New"/>
                <w:szCs w:val="20"/>
              </w:rPr>
            </w:pPr>
            <w:r>
              <w:rPr>
                <w:rFonts w:cs="Courier New"/>
                <w:szCs w:val="20"/>
              </w:rPr>
              <w:t>Disease specific background mortality</w:t>
            </w:r>
          </w:p>
          <w:p w14:paraId="6AA5BB99" w14:textId="77777777" w:rsidR="0088779E" w:rsidRDefault="0052766D" w:rsidP="00972C57">
            <w:pPr>
              <w:pStyle w:val="TableText"/>
              <w:widowControl w:val="0"/>
              <w:rPr>
                <w:rFonts w:cs="Courier New"/>
                <w:szCs w:val="20"/>
              </w:rPr>
            </w:pPr>
            <w:r>
              <w:rPr>
                <w:rFonts w:cs="Courier New"/>
                <w:szCs w:val="20"/>
              </w:rPr>
              <w:t>Used in scenario</w:t>
            </w:r>
            <w:r w:rsidR="0088779E">
              <w:rPr>
                <w:rFonts w:cs="Courier New"/>
                <w:szCs w:val="20"/>
              </w:rPr>
              <w:t xml:space="preserve"> analysis </w:t>
            </w:r>
          </w:p>
          <w:p w14:paraId="731AC122" w14:textId="77777777" w:rsidR="0088779E" w:rsidRDefault="0088779E" w:rsidP="00EE7A08">
            <w:pPr>
              <w:pStyle w:val="TableText"/>
              <w:widowControl w:val="0"/>
              <w:numPr>
                <w:ilvl w:val="0"/>
                <w:numId w:val="21"/>
              </w:numPr>
              <w:rPr>
                <w:rFonts w:cs="Courier New"/>
                <w:szCs w:val="20"/>
              </w:rPr>
            </w:pPr>
            <w:r>
              <w:rPr>
                <w:rFonts w:cs="Courier New"/>
                <w:szCs w:val="20"/>
              </w:rPr>
              <w:t>Diagnostic accuracy (sensitivity and specificity of the imaging modality</w:t>
            </w:r>
          </w:p>
          <w:p w14:paraId="64702C69" w14:textId="77777777" w:rsidR="0088779E" w:rsidRPr="002D4AF6" w:rsidRDefault="0088779E" w:rsidP="00EE7A08">
            <w:pPr>
              <w:pStyle w:val="TableText"/>
              <w:widowControl w:val="0"/>
              <w:numPr>
                <w:ilvl w:val="0"/>
                <w:numId w:val="21"/>
              </w:numPr>
              <w:rPr>
                <w:rFonts w:cs="Courier New"/>
                <w:szCs w:val="20"/>
              </w:rPr>
            </w:pPr>
            <w:r>
              <w:rPr>
                <w:rFonts w:cs="Courier New"/>
                <w:szCs w:val="20"/>
              </w:rPr>
              <w:t>Incidence of RCC in target population (lifetime risk converted to annual probability)</w:t>
            </w:r>
          </w:p>
        </w:tc>
      </w:tr>
      <w:tr w:rsidR="0088779E" w:rsidRPr="000449D1" w14:paraId="68E1D6D0" w14:textId="77777777" w:rsidTr="00972C57">
        <w:tc>
          <w:tcPr>
            <w:tcW w:w="1285" w:type="pct"/>
          </w:tcPr>
          <w:p w14:paraId="36DED894" w14:textId="77777777" w:rsidR="0088779E" w:rsidRPr="000449D1" w:rsidRDefault="0088779E" w:rsidP="00972C57">
            <w:pPr>
              <w:pStyle w:val="TableText"/>
              <w:widowControl w:val="0"/>
              <w:rPr>
                <w:rFonts w:cs="Courier New"/>
                <w:szCs w:val="20"/>
              </w:rPr>
            </w:pPr>
            <w:r w:rsidRPr="000449D1">
              <w:rPr>
                <w:rFonts w:cs="Courier New"/>
                <w:szCs w:val="20"/>
              </w:rPr>
              <w:t>Discount rate</w:t>
            </w:r>
          </w:p>
        </w:tc>
        <w:tc>
          <w:tcPr>
            <w:tcW w:w="3715" w:type="pct"/>
          </w:tcPr>
          <w:p w14:paraId="1E276887" w14:textId="77777777" w:rsidR="0088779E" w:rsidRPr="000449D1" w:rsidRDefault="0088779E" w:rsidP="00972C57">
            <w:pPr>
              <w:pStyle w:val="TableText"/>
              <w:widowControl w:val="0"/>
              <w:rPr>
                <w:rFonts w:cs="Courier New"/>
                <w:szCs w:val="20"/>
              </w:rPr>
            </w:pPr>
            <w:r>
              <w:rPr>
                <w:rFonts w:cs="Courier New"/>
                <w:szCs w:val="20"/>
              </w:rPr>
              <w:t>5% for both costs and outcomes</w:t>
            </w:r>
          </w:p>
        </w:tc>
      </w:tr>
      <w:tr w:rsidR="0088779E" w:rsidRPr="000449D1" w14:paraId="7247BB96" w14:textId="77777777" w:rsidTr="00972C57">
        <w:tc>
          <w:tcPr>
            <w:tcW w:w="1285" w:type="pct"/>
          </w:tcPr>
          <w:p w14:paraId="3AFAC640" w14:textId="77777777" w:rsidR="0088779E" w:rsidRPr="000449D1" w:rsidRDefault="0088779E" w:rsidP="00972C57">
            <w:pPr>
              <w:pStyle w:val="TableText"/>
              <w:widowControl w:val="0"/>
              <w:rPr>
                <w:rFonts w:cs="Courier New"/>
                <w:szCs w:val="20"/>
              </w:rPr>
            </w:pPr>
            <w:r w:rsidRPr="000449D1">
              <w:rPr>
                <w:rFonts w:cs="Courier New"/>
                <w:szCs w:val="20"/>
              </w:rPr>
              <w:t>Software</w:t>
            </w:r>
          </w:p>
        </w:tc>
        <w:tc>
          <w:tcPr>
            <w:tcW w:w="3715" w:type="pct"/>
          </w:tcPr>
          <w:p w14:paraId="4194532D" w14:textId="77777777" w:rsidR="0088779E" w:rsidRPr="000449D1" w:rsidRDefault="0088779E" w:rsidP="00972C57">
            <w:pPr>
              <w:pStyle w:val="TableText"/>
              <w:widowControl w:val="0"/>
              <w:rPr>
                <w:rFonts w:cs="Courier New"/>
                <w:szCs w:val="20"/>
              </w:rPr>
            </w:pPr>
            <w:r w:rsidRPr="000449D1">
              <w:rPr>
                <w:rFonts w:cs="Courier New"/>
                <w:szCs w:val="20"/>
              </w:rPr>
              <w:t>TreeAge Pro</w:t>
            </w:r>
            <w:r>
              <w:rPr>
                <w:rFonts w:cs="Courier New"/>
                <w:szCs w:val="20"/>
              </w:rPr>
              <w:t> 2022 and Microsoft Excel 2019</w:t>
            </w:r>
          </w:p>
        </w:tc>
      </w:tr>
    </w:tbl>
    <w:p w14:paraId="44F46C51" w14:textId="77777777" w:rsidR="0088779E" w:rsidRDefault="0088779E" w:rsidP="00035B35">
      <w:pPr>
        <w:pStyle w:val="TableFigureFooter"/>
      </w:pPr>
      <w:r w:rsidRPr="004D24F1">
        <w:t>CT = computed tomography; MRI = magnetic resonance imaging; RCC = renal cell carcinoma</w:t>
      </w:r>
    </w:p>
    <w:p w14:paraId="6FEC3EF5" w14:textId="77777777" w:rsidR="00FC62F7" w:rsidRDefault="00FC62F7" w:rsidP="00035B35">
      <w:pPr>
        <w:pStyle w:val="TableFigureFooter"/>
      </w:pPr>
      <w:r w:rsidRPr="00247605">
        <w:rPr>
          <w:rFonts w:cs="Times New Roman"/>
          <w:vertAlign w:val="superscript"/>
        </w:rPr>
        <w:t>1</w:t>
      </w:r>
      <w:r>
        <w:rPr>
          <w:rFonts w:cs="Times New Roman"/>
        </w:rPr>
        <w:t xml:space="preserve"> </w:t>
      </w:r>
      <w:r w:rsidRPr="00247605">
        <w:rPr>
          <w:rFonts w:cs="Times New Roman"/>
        </w:rPr>
        <w:t>Given</w:t>
      </w:r>
      <w:r w:rsidRPr="00B65EA2">
        <w:rPr>
          <w:rFonts w:cs="Times New Roman"/>
        </w:rPr>
        <w:t xml:space="preserve"> the absence of any clear difference in the accuracy of MRI compared to CT at imaging AMLs and RCCs, and the absence of any literature demonstrating a difference in clinical management </w:t>
      </w:r>
      <w:proofErr w:type="gramStart"/>
      <w:r w:rsidRPr="00B65EA2">
        <w:rPr>
          <w:rFonts w:cs="Times New Roman"/>
        </w:rPr>
        <w:t>subsequent to</w:t>
      </w:r>
      <w:proofErr w:type="gramEnd"/>
      <w:r w:rsidRPr="00B65EA2">
        <w:rPr>
          <w:rFonts w:cs="Times New Roman"/>
        </w:rPr>
        <w:t xml:space="preserve"> MRI versus CT or US, the evidence suggests that the use of abdominal MRI results in noninferior effectiveness compared with abdominal CT. </w:t>
      </w:r>
      <w:r>
        <w:rPr>
          <w:rFonts w:cs="Times New Roman"/>
        </w:rPr>
        <w:t xml:space="preserve">However, abdominal MRI results in superior safety compared with abdominal CT. </w:t>
      </w:r>
      <w:r>
        <w:t xml:space="preserve">Therefore, </w:t>
      </w:r>
      <w:r w:rsidR="00F12D3A">
        <w:t xml:space="preserve">the </w:t>
      </w:r>
      <w:r>
        <w:t xml:space="preserve">base case analysis assumes equivalent clinical effectiveness (that is both MRI and CT have 100% sensitivity and 100% specificity) and only </w:t>
      </w:r>
      <w:r w:rsidR="001038EE">
        <w:t xml:space="preserve">a </w:t>
      </w:r>
      <w:r>
        <w:t>safety</w:t>
      </w:r>
      <w:r w:rsidR="001038EE">
        <w:t xml:space="preserve"> difference</w:t>
      </w:r>
      <w:r>
        <w:t xml:space="preserve"> is modelled.</w:t>
      </w:r>
    </w:p>
    <w:p w14:paraId="55382D8C" w14:textId="0C49E9FF" w:rsidR="009A761B" w:rsidRPr="004D24F1" w:rsidRDefault="009A761B" w:rsidP="00035B35">
      <w:pPr>
        <w:pStyle w:val="TableFigureFooter"/>
      </w:pPr>
      <w:r>
        <w:t xml:space="preserve">Note </w:t>
      </w:r>
      <w:r w:rsidR="00EB26F5">
        <w:t xml:space="preserve">table </w:t>
      </w:r>
      <w:r w:rsidR="002132FC">
        <w:t>updated based on MSAC</w:t>
      </w:r>
      <w:r w:rsidR="00823910">
        <w:t>’s advice</w:t>
      </w:r>
    </w:p>
    <w:p w14:paraId="1A9B0EBA" w14:textId="4990A766" w:rsidR="00144C76" w:rsidRPr="00144C76" w:rsidRDefault="0088779E" w:rsidP="00144C76">
      <w:r>
        <w:t xml:space="preserve">A summary of the sources of data used in the economic analysis is presented in </w:t>
      </w:r>
      <w:r>
        <w:fldChar w:fldCharType="begin"/>
      </w:r>
      <w:r>
        <w:instrText xml:space="preserve"> REF _Ref118897708 \h </w:instrText>
      </w:r>
      <w:r>
        <w:fldChar w:fldCharType="separate"/>
      </w:r>
      <w:r w:rsidR="00CB2A40" w:rsidRPr="00CE28E3">
        <w:t>Table</w:t>
      </w:r>
      <w:r w:rsidR="00CB2A40">
        <w:t xml:space="preserve"> </w:t>
      </w:r>
      <w:r w:rsidR="00CB2A40">
        <w:rPr>
          <w:noProof/>
        </w:rPr>
        <w:t>8</w:t>
      </w:r>
      <w:r>
        <w:fldChar w:fldCharType="end"/>
      </w:r>
      <w:r>
        <w:t>.</w:t>
      </w:r>
      <w:bookmarkStart w:id="33" w:name="_Ref118897708"/>
      <w:r w:rsidR="00144C76">
        <w:br w:type="page"/>
      </w:r>
    </w:p>
    <w:p w14:paraId="70410914" w14:textId="0AA29782" w:rsidR="0088779E" w:rsidRPr="00CE28E3" w:rsidRDefault="0088779E" w:rsidP="00DA518E">
      <w:pPr>
        <w:pStyle w:val="TableHeading0"/>
      </w:pPr>
      <w:r w:rsidRPr="00CE28E3">
        <w:lastRenderedPageBreak/>
        <w:t>Table</w:t>
      </w:r>
      <w:r w:rsidR="00DA518E">
        <w:t xml:space="preserve"> </w:t>
      </w:r>
      <w:r>
        <w:fldChar w:fldCharType="begin"/>
      </w:r>
      <w:r>
        <w:instrText>SEQ Table \* ARABIC</w:instrText>
      </w:r>
      <w:r>
        <w:fldChar w:fldCharType="separate"/>
      </w:r>
      <w:r w:rsidR="00CB2A40">
        <w:rPr>
          <w:noProof/>
        </w:rPr>
        <w:t>8</w:t>
      </w:r>
      <w:r>
        <w:fldChar w:fldCharType="end"/>
      </w:r>
      <w:bookmarkEnd w:id="33"/>
      <w:r w:rsidRPr="00CE28E3">
        <w:tab/>
        <w:t xml:space="preserve">Summary of the inputs used in the economic evaluation </w:t>
      </w:r>
    </w:p>
    <w:tbl>
      <w:tblPr>
        <w:tblStyle w:val="TableGrid1"/>
        <w:tblW w:w="8926" w:type="dxa"/>
        <w:tblLayout w:type="fixed"/>
        <w:tblLook w:val="04A0" w:firstRow="1" w:lastRow="0" w:firstColumn="1" w:lastColumn="0" w:noHBand="0" w:noVBand="1"/>
      </w:tblPr>
      <w:tblGrid>
        <w:gridCol w:w="3222"/>
        <w:gridCol w:w="1735"/>
        <w:gridCol w:w="3969"/>
      </w:tblGrid>
      <w:tr w:rsidR="0088779E" w:rsidRPr="00CE28E3" w14:paraId="3BB721D8" w14:textId="77777777" w:rsidTr="0030465F">
        <w:trPr>
          <w:cnfStyle w:val="100000000000" w:firstRow="1" w:lastRow="0" w:firstColumn="0" w:lastColumn="0" w:oddVBand="0" w:evenVBand="0" w:oddHBand="0" w:evenHBand="0" w:firstRowFirstColumn="0" w:firstRowLastColumn="0" w:lastRowFirstColumn="0" w:lastRowLastColumn="0"/>
          <w:tblHeader/>
        </w:trPr>
        <w:tc>
          <w:tcPr>
            <w:tcW w:w="3222" w:type="dxa"/>
          </w:tcPr>
          <w:p w14:paraId="0A062F0B" w14:textId="77777777" w:rsidR="0088779E" w:rsidRPr="00CE28E3" w:rsidRDefault="0088779E" w:rsidP="00972C57">
            <w:pPr>
              <w:pStyle w:val="TableHeading"/>
            </w:pPr>
            <w:r w:rsidRPr="00CE28E3">
              <w:t>Parameter</w:t>
            </w:r>
          </w:p>
        </w:tc>
        <w:tc>
          <w:tcPr>
            <w:tcW w:w="1735" w:type="dxa"/>
          </w:tcPr>
          <w:p w14:paraId="2A476654" w14:textId="77777777" w:rsidR="0088779E" w:rsidRPr="00CE28E3" w:rsidRDefault="0088779E" w:rsidP="00972C57">
            <w:pPr>
              <w:pStyle w:val="TableHeading"/>
            </w:pPr>
            <w:r>
              <w:t>Reference</w:t>
            </w:r>
          </w:p>
        </w:tc>
        <w:tc>
          <w:tcPr>
            <w:tcW w:w="3969" w:type="dxa"/>
          </w:tcPr>
          <w:p w14:paraId="102D7A3D" w14:textId="77777777" w:rsidR="0088779E" w:rsidRPr="00CE28E3" w:rsidRDefault="0088779E" w:rsidP="00972C57">
            <w:pPr>
              <w:pStyle w:val="TableHeading"/>
            </w:pPr>
            <w:r w:rsidRPr="00CE28E3">
              <w:t>Source</w:t>
            </w:r>
          </w:p>
        </w:tc>
      </w:tr>
      <w:tr w:rsidR="0088779E" w:rsidRPr="00CE28E3" w14:paraId="2F294345" w14:textId="77777777" w:rsidTr="0030465F">
        <w:tc>
          <w:tcPr>
            <w:tcW w:w="3222" w:type="dxa"/>
            <w:tcBorders>
              <w:right w:val="nil"/>
            </w:tcBorders>
          </w:tcPr>
          <w:p w14:paraId="7B9A3155" w14:textId="77777777" w:rsidR="0088779E" w:rsidRPr="00277521" w:rsidRDefault="0088779E" w:rsidP="00972C57">
            <w:pPr>
              <w:pStyle w:val="TableText"/>
              <w:rPr>
                <w:b/>
              </w:rPr>
            </w:pPr>
            <w:r w:rsidRPr="00277521">
              <w:rPr>
                <w:b/>
              </w:rPr>
              <w:t>Transition probabilities</w:t>
            </w:r>
          </w:p>
        </w:tc>
        <w:tc>
          <w:tcPr>
            <w:tcW w:w="1735" w:type="dxa"/>
            <w:tcBorders>
              <w:left w:val="nil"/>
              <w:right w:val="nil"/>
            </w:tcBorders>
          </w:tcPr>
          <w:p w14:paraId="65639039" w14:textId="77777777" w:rsidR="0088779E" w:rsidRPr="00CE28E3" w:rsidRDefault="0088779E" w:rsidP="00972C57">
            <w:pPr>
              <w:pStyle w:val="TableText"/>
            </w:pPr>
          </w:p>
        </w:tc>
        <w:tc>
          <w:tcPr>
            <w:tcW w:w="3969" w:type="dxa"/>
            <w:tcBorders>
              <w:left w:val="nil"/>
            </w:tcBorders>
          </w:tcPr>
          <w:p w14:paraId="37A0CEC6" w14:textId="77777777" w:rsidR="0088779E" w:rsidRPr="00CE28E3" w:rsidRDefault="0088779E" w:rsidP="00972C57">
            <w:pPr>
              <w:pStyle w:val="TableText"/>
            </w:pPr>
          </w:p>
        </w:tc>
      </w:tr>
      <w:tr w:rsidR="0088779E" w:rsidRPr="00CE28E3" w14:paraId="50511FFA" w14:textId="77777777" w:rsidTr="0030465F">
        <w:tc>
          <w:tcPr>
            <w:tcW w:w="3222" w:type="dxa"/>
          </w:tcPr>
          <w:p w14:paraId="5D067087" w14:textId="77777777" w:rsidR="0088779E" w:rsidRDefault="0088779E" w:rsidP="00972C57">
            <w:pPr>
              <w:pStyle w:val="TableText"/>
            </w:pPr>
            <w:r>
              <w:t>Excess cancer risk associated with the cumulative radiation exposure</w:t>
            </w:r>
          </w:p>
        </w:tc>
        <w:tc>
          <w:tcPr>
            <w:tcW w:w="1735" w:type="dxa"/>
          </w:tcPr>
          <w:p w14:paraId="5B17C94D" w14:textId="77777777" w:rsidR="0088779E" w:rsidRDefault="0088779E" w:rsidP="00972C57">
            <w:pPr>
              <w:pStyle w:val="TableText"/>
            </w:pPr>
            <w:r>
              <w:t xml:space="preserve">Calculated using formula: </w:t>
            </w:r>
            <w:r w:rsidRPr="003D454D">
              <w:t>age-specific background cancer × (IRR</w:t>
            </w:r>
            <w:r>
              <w:t> – </w:t>
            </w:r>
            <w:r w:rsidRPr="003D454D">
              <w:t>1).</w:t>
            </w:r>
          </w:p>
        </w:tc>
        <w:tc>
          <w:tcPr>
            <w:tcW w:w="3969" w:type="dxa"/>
          </w:tcPr>
          <w:p w14:paraId="3A927C25" w14:textId="77777777" w:rsidR="0088779E" w:rsidRDefault="0088779E" w:rsidP="00972C57">
            <w:pPr>
              <w:pStyle w:val="TableText"/>
            </w:pPr>
            <w:r>
              <w:t xml:space="preserve">Calculated using the IRR for exposed versus unexposed </w:t>
            </w:r>
            <w:r w:rsidR="00F0151A">
              <w:t xml:space="preserve">Australian patients </w:t>
            </w:r>
            <w:r>
              <w:t xml:space="preserve">reported by </w:t>
            </w:r>
            <w:r w:rsidR="0018789C">
              <w:t>Mathews (2013)</w:t>
            </w:r>
            <w:proofErr w:type="gramStart"/>
            <w:r w:rsidR="0018789C">
              <w:rPr>
                <w:vertAlign w:val="superscript"/>
              </w:rPr>
              <w:t>1</w:t>
            </w:r>
            <w:r w:rsidR="0018789C">
              <w:t>.</w:t>
            </w:r>
            <w:r w:rsidR="00F0151A">
              <w:t>which</w:t>
            </w:r>
            <w:proofErr w:type="gramEnd"/>
            <w:r w:rsidR="00F0151A">
              <w:t xml:space="preserve"> included abdominal CT. </w:t>
            </w:r>
            <w:r>
              <w:t xml:space="preserve"> The IRR (1.24) and increment per scan (0.16) reported over mean follow-up of 9.5 years were annualised (annualised IRR and increment per scan estimated as 1.0285 and 0.018 respectively)</w:t>
            </w:r>
            <w:r w:rsidR="005E25A1">
              <w:t xml:space="preserve">. </w:t>
            </w:r>
          </w:p>
          <w:p w14:paraId="20B163DF" w14:textId="77777777" w:rsidR="005E25A1" w:rsidRPr="00CE28E3" w:rsidRDefault="00F835AB" w:rsidP="00972C57">
            <w:pPr>
              <w:pStyle w:val="TableText"/>
            </w:pPr>
            <w:r>
              <w:t>The b</w:t>
            </w:r>
            <w:r w:rsidR="005E25A1">
              <w:t xml:space="preserve">ackground cancer risk </w:t>
            </w:r>
            <w:r>
              <w:t xml:space="preserve">is </w:t>
            </w:r>
            <w:r w:rsidR="005E25A1">
              <w:t>based on AIHW</w:t>
            </w:r>
            <w:r>
              <w:t xml:space="preserve"> (2022)</w:t>
            </w:r>
            <w:r w:rsidR="00F97C4B">
              <w:t xml:space="preserve"> </w:t>
            </w:r>
            <w:r w:rsidR="00F97C4B">
              <w:rPr>
                <w:vertAlign w:val="superscript"/>
              </w:rPr>
              <w:t>2</w:t>
            </w:r>
            <w:r w:rsidR="005E25A1">
              <w:t xml:space="preserve"> data.</w:t>
            </w:r>
          </w:p>
        </w:tc>
      </w:tr>
      <w:tr w:rsidR="0088779E" w:rsidRPr="00CE28E3" w14:paraId="1841EC69" w14:textId="77777777" w:rsidTr="0030465F">
        <w:tc>
          <w:tcPr>
            <w:tcW w:w="3222" w:type="dxa"/>
          </w:tcPr>
          <w:p w14:paraId="53449BFA" w14:textId="77777777" w:rsidR="0088779E" w:rsidRDefault="0088779E" w:rsidP="00972C57">
            <w:pPr>
              <w:pStyle w:val="TableText"/>
            </w:pPr>
            <w:r>
              <w:t>Disease specific mortality risk</w:t>
            </w:r>
          </w:p>
        </w:tc>
        <w:tc>
          <w:tcPr>
            <w:tcW w:w="1735" w:type="dxa"/>
          </w:tcPr>
          <w:p w14:paraId="0A209DB7" w14:textId="77777777" w:rsidR="0088779E" w:rsidRDefault="0088779E" w:rsidP="00972C57">
            <w:pPr>
              <w:pStyle w:val="TableText"/>
            </w:pPr>
            <w:proofErr w:type="spellStart"/>
            <w:r>
              <w:t>SMR</w:t>
            </w:r>
            <w:r w:rsidR="00B83692">
              <w:t>×</w:t>
            </w:r>
            <w:r>
              <w:t>background</w:t>
            </w:r>
            <w:proofErr w:type="spellEnd"/>
            <w:r>
              <w:t xml:space="preserve"> mortality</w:t>
            </w:r>
          </w:p>
        </w:tc>
        <w:tc>
          <w:tcPr>
            <w:tcW w:w="3969" w:type="dxa"/>
          </w:tcPr>
          <w:p w14:paraId="204F2B6E" w14:textId="77777777" w:rsidR="0088779E" w:rsidRPr="00B83692" w:rsidRDefault="0088779E" w:rsidP="00972C57">
            <w:pPr>
              <w:pStyle w:val="TableText"/>
              <w:rPr>
                <w:vertAlign w:val="superscript"/>
              </w:rPr>
            </w:pPr>
            <w:r>
              <w:t xml:space="preserve">Age-specific background mortality risk from Life tables </w:t>
            </w:r>
            <w:r w:rsidR="009015D7">
              <w:t>ABS</w:t>
            </w:r>
            <w:r>
              <w:t>; average of SMRs reported in</w:t>
            </w:r>
            <w:r w:rsidR="009015D7">
              <w:t xml:space="preserve"> </w:t>
            </w:r>
            <w:r w:rsidR="009015D7">
              <w:rPr>
                <w:noProof/>
              </w:rPr>
              <w:t>Eijkemans (2015) and Peng (2021)</w:t>
            </w:r>
            <w:r>
              <w:t xml:space="preserve"> </w:t>
            </w:r>
            <w:r w:rsidR="009015D7">
              <w:rPr>
                <w:vertAlign w:val="superscript"/>
              </w:rPr>
              <w:t>3</w:t>
            </w:r>
          </w:p>
        </w:tc>
      </w:tr>
      <w:tr w:rsidR="0088779E" w:rsidRPr="00CE28E3" w14:paraId="496D6BBC" w14:textId="77777777" w:rsidTr="0030465F">
        <w:tc>
          <w:tcPr>
            <w:tcW w:w="3222" w:type="dxa"/>
            <w:tcBorders>
              <w:right w:val="nil"/>
            </w:tcBorders>
          </w:tcPr>
          <w:p w14:paraId="34173CA1" w14:textId="77777777" w:rsidR="0088779E" w:rsidRDefault="0088779E" w:rsidP="00972C57">
            <w:pPr>
              <w:pStyle w:val="TableText"/>
            </w:pPr>
            <w:r>
              <w:rPr>
                <w:i/>
              </w:rPr>
              <w:t>Used in scenario analysis only</w:t>
            </w:r>
          </w:p>
        </w:tc>
        <w:tc>
          <w:tcPr>
            <w:tcW w:w="1735" w:type="dxa"/>
            <w:tcBorders>
              <w:left w:val="nil"/>
              <w:right w:val="nil"/>
            </w:tcBorders>
          </w:tcPr>
          <w:p w14:paraId="7A7DC713" w14:textId="77777777" w:rsidR="0088779E" w:rsidRDefault="0088779E" w:rsidP="00972C57">
            <w:pPr>
              <w:pStyle w:val="TableText"/>
            </w:pPr>
          </w:p>
        </w:tc>
        <w:tc>
          <w:tcPr>
            <w:tcW w:w="3969" w:type="dxa"/>
            <w:tcBorders>
              <w:left w:val="nil"/>
            </w:tcBorders>
          </w:tcPr>
          <w:p w14:paraId="464B14E5" w14:textId="77777777" w:rsidR="0088779E" w:rsidRDefault="0088779E" w:rsidP="00972C57">
            <w:pPr>
              <w:pStyle w:val="TableText"/>
            </w:pPr>
          </w:p>
        </w:tc>
      </w:tr>
      <w:tr w:rsidR="0088779E" w:rsidRPr="00CE28E3" w14:paraId="1BB327FF" w14:textId="77777777" w:rsidTr="0030465F">
        <w:tc>
          <w:tcPr>
            <w:tcW w:w="3222" w:type="dxa"/>
          </w:tcPr>
          <w:p w14:paraId="05CADD46" w14:textId="77777777" w:rsidR="0088779E" w:rsidRPr="00CE28E3" w:rsidRDefault="0088779E" w:rsidP="00972C57">
            <w:pPr>
              <w:pStyle w:val="TableText"/>
            </w:pPr>
            <w:r>
              <w:t>Sensitivity and specificity of imaging test</w:t>
            </w:r>
          </w:p>
        </w:tc>
        <w:tc>
          <w:tcPr>
            <w:tcW w:w="1735" w:type="dxa"/>
          </w:tcPr>
          <w:p w14:paraId="52976EF7" w14:textId="1A32D857" w:rsidR="0088779E" w:rsidRDefault="001D0CE6" w:rsidP="00972C57">
            <w:pPr>
              <w:pStyle w:val="TableText"/>
            </w:pPr>
            <w:r>
              <w:t>Table 5</w:t>
            </w:r>
          </w:p>
        </w:tc>
        <w:tc>
          <w:tcPr>
            <w:tcW w:w="3969" w:type="dxa"/>
          </w:tcPr>
          <w:p w14:paraId="1688DDD6" w14:textId="78069151" w:rsidR="0088779E" w:rsidRPr="00CE28E3" w:rsidRDefault="0088779E" w:rsidP="00972C57">
            <w:pPr>
              <w:pStyle w:val="TableText"/>
            </w:pPr>
            <w:r>
              <w:t xml:space="preserve">Section </w:t>
            </w:r>
            <w:r w:rsidR="001D0CE6">
              <w:t>1</w:t>
            </w:r>
            <w:r>
              <w:t>2.</w:t>
            </w:r>
          </w:p>
        </w:tc>
      </w:tr>
      <w:tr w:rsidR="0088779E" w:rsidRPr="00CE28E3" w14:paraId="535CD95A" w14:textId="77777777" w:rsidTr="0030465F">
        <w:tc>
          <w:tcPr>
            <w:tcW w:w="3222" w:type="dxa"/>
          </w:tcPr>
          <w:p w14:paraId="43121F87" w14:textId="2BA2348F" w:rsidR="0088779E" w:rsidRPr="00891A92" w:rsidRDefault="00D869C8" w:rsidP="00972C57">
            <w:pPr>
              <w:pStyle w:val="TableText"/>
              <w:rPr>
                <w:vertAlign w:val="superscript"/>
              </w:rPr>
            </w:pPr>
            <w:r>
              <w:t xml:space="preserve">Lifetime </w:t>
            </w:r>
            <w:proofErr w:type="spellStart"/>
            <w:r>
              <w:t>r</w:t>
            </w:r>
            <w:r w:rsidR="0088779E">
              <w:t>isk</w:t>
            </w:r>
            <w:r w:rsidR="00C954B0">
              <w:rPr>
                <w:vertAlign w:val="superscript"/>
              </w:rPr>
              <w:t>a</w:t>
            </w:r>
            <w:proofErr w:type="spellEnd"/>
            <w:r w:rsidR="0088779E">
              <w:t xml:space="preserve"> of renal cancer associated with the syndrome</w:t>
            </w:r>
          </w:p>
        </w:tc>
        <w:tc>
          <w:tcPr>
            <w:tcW w:w="1735" w:type="dxa"/>
          </w:tcPr>
          <w:p w14:paraId="2F5F2CF5" w14:textId="0A9BFBC7" w:rsidR="000905DE" w:rsidRDefault="00183975" w:rsidP="00972C57">
            <w:pPr>
              <w:pStyle w:val="TableText"/>
            </w:pPr>
            <w:proofErr w:type="spellStart"/>
            <w:r w:rsidRPr="00183975">
              <w:t>Birt</w:t>
            </w:r>
            <w:proofErr w:type="spellEnd"/>
            <w:r w:rsidRPr="00183975">
              <w:t>-Hogg-</w:t>
            </w:r>
            <w:proofErr w:type="spellStart"/>
            <w:r w:rsidRPr="00183975">
              <w:t>Dubé</w:t>
            </w:r>
            <w:proofErr w:type="spellEnd"/>
            <w:r w:rsidRPr="00183975">
              <w:t xml:space="preserve"> syndrome</w:t>
            </w:r>
            <w:r w:rsidR="00096B04">
              <w:t>: 25%</w:t>
            </w:r>
          </w:p>
          <w:p w14:paraId="761022DA" w14:textId="62431E34" w:rsidR="00096B04" w:rsidRDefault="003C570C" w:rsidP="00972C57">
            <w:pPr>
              <w:pStyle w:val="TableText"/>
            </w:pPr>
            <w:r w:rsidRPr="003C570C">
              <w:t xml:space="preserve">Hereditary </w:t>
            </w:r>
            <w:proofErr w:type="spellStart"/>
            <w:r w:rsidRPr="003C570C">
              <w:t>leiomyomatosis</w:t>
            </w:r>
            <w:proofErr w:type="spellEnd"/>
            <w:r w:rsidRPr="003C570C">
              <w:t xml:space="preserve"> and RCC</w:t>
            </w:r>
            <w:r w:rsidR="00096B04">
              <w:t xml:space="preserve">: </w:t>
            </w:r>
            <w:r w:rsidR="004F1E24">
              <w:t>24%</w:t>
            </w:r>
          </w:p>
          <w:p w14:paraId="0DF330DF" w14:textId="073A86FE" w:rsidR="004F1E24" w:rsidRDefault="00AD1963" w:rsidP="00972C57">
            <w:pPr>
              <w:pStyle w:val="TableText"/>
            </w:pPr>
            <w:r w:rsidRPr="00AD1963">
              <w:t>Tuberous Sclerosis Complex</w:t>
            </w:r>
            <w:r w:rsidR="004F1E24">
              <w:t>: 3%</w:t>
            </w:r>
          </w:p>
          <w:p w14:paraId="68C4BD0B" w14:textId="12448B0E" w:rsidR="004F1E24" w:rsidRDefault="00D752CF" w:rsidP="00972C57">
            <w:pPr>
              <w:pStyle w:val="TableText"/>
            </w:pPr>
            <w:r w:rsidRPr="00D752CF">
              <w:t>Von Hippel- Lindau</w:t>
            </w:r>
            <w:r w:rsidR="004F1E24">
              <w:t>: 50%</w:t>
            </w:r>
          </w:p>
          <w:p w14:paraId="2950593B" w14:textId="11CA09F5" w:rsidR="0088779E" w:rsidRDefault="00CF3F9F" w:rsidP="00972C57">
            <w:pPr>
              <w:pStyle w:val="TableText"/>
            </w:pPr>
            <w:r w:rsidRPr="00AD1963">
              <w:t>Tuberous Sclerosis Complex</w:t>
            </w:r>
            <w:r>
              <w:t xml:space="preserve"> </w:t>
            </w:r>
            <w:r w:rsidR="000541B5">
              <w:t>related</w:t>
            </w:r>
            <w:r>
              <w:t xml:space="preserve"> </w:t>
            </w:r>
            <w:r w:rsidRPr="00CF3F9F">
              <w:t>angiomyolipoma</w:t>
            </w:r>
            <w:r w:rsidR="004F1E24">
              <w:t>: 80%</w:t>
            </w:r>
            <w:r w:rsidR="001B1C7C">
              <w:fldChar w:fldCharType="begin"/>
            </w:r>
            <w:r w:rsidR="001B1C7C">
              <w:instrText xml:space="preserve"> REF _Ref118819840 \h </w:instrText>
            </w:r>
            <w:r w:rsidR="001B1C7C">
              <w:fldChar w:fldCharType="end"/>
            </w:r>
          </w:p>
        </w:tc>
        <w:tc>
          <w:tcPr>
            <w:tcW w:w="3969" w:type="dxa"/>
          </w:tcPr>
          <w:p w14:paraId="0A7C0873" w14:textId="7B06548A" w:rsidR="0088779E" w:rsidRPr="00CE28E3" w:rsidRDefault="0027653F" w:rsidP="00972C57">
            <w:pPr>
              <w:pStyle w:val="TableText"/>
            </w:pPr>
            <w:r>
              <w:t>Published literature</w:t>
            </w:r>
            <w:r w:rsidR="002639F8">
              <w:t xml:space="preserve"> and Table</w:t>
            </w:r>
            <w:r w:rsidR="00D47ECF">
              <w:t xml:space="preserve"> 3</w:t>
            </w:r>
          </w:p>
        </w:tc>
      </w:tr>
      <w:tr w:rsidR="0088779E" w:rsidRPr="00CE28E3" w14:paraId="63F2C018" w14:textId="77777777" w:rsidTr="0030465F">
        <w:tc>
          <w:tcPr>
            <w:tcW w:w="3222" w:type="dxa"/>
            <w:tcBorders>
              <w:right w:val="nil"/>
            </w:tcBorders>
          </w:tcPr>
          <w:p w14:paraId="2C0B26AA" w14:textId="77777777" w:rsidR="0088779E" w:rsidRPr="00277521" w:rsidRDefault="0088779E" w:rsidP="00972C57">
            <w:pPr>
              <w:pStyle w:val="TableText"/>
              <w:rPr>
                <w:b/>
              </w:rPr>
            </w:pPr>
            <w:r w:rsidRPr="00277521">
              <w:rPr>
                <w:b/>
              </w:rPr>
              <w:t>Costs</w:t>
            </w:r>
          </w:p>
        </w:tc>
        <w:tc>
          <w:tcPr>
            <w:tcW w:w="1735" w:type="dxa"/>
            <w:tcBorders>
              <w:left w:val="nil"/>
              <w:right w:val="nil"/>
            </w:tcBorders>
          </w:tcPr>
          <w:p w14:paraId="42D720D9" w14:textId="77777777" w:rsidR="0088779E" w:rsidRPr="00CE28E3" w:rsidRDefault="0088779E" w:rsidP="00972C57">
            <w:pPr>
              <w:pStyle w:val="TableText"/>
            </w:pPr>
          </w:p>
        </w:tc>
        <w:tc>
          <w:tcPr>
            <w:tcW w:w="3969" w:type="dxa"/>
            <w:tcBorders>
              <w:left w:val="nil"/>
            </w:tcBorders>
          </w:tcPr>
          <w:p w14:paraId="5213FD8C" w14:textId="77777777" w:rsidR="0088779E" w:rsidRPr="00CE28E3" w:rsidRDefault="0088779E" w:rsidP="00972C57">
            <w:pPr>
              <w:pStyle w:val="TableText"/>
            </w:pPr>
          </w:p>
        </w:tc>
      </w:tr>
      <w:tr w:rsidR="0088779E" w:rsidRPr="003F4A52" w14:paraId="0FD1FE84" w14:textId="77777777" w:rsidTr="0030465F">
        <w:tc>
          <w:tcPr>
            <w:tcW w:w="3222" w:type="dxa"/>
          </w:tcPr>
          <w:p w14:paraId="72C0498F" w14:textId="77777777" w:rsidR="0088779E" w:rsidRPr="003F4A52" w:rsidRDefault="0088779E" w:rsidP="00972C57">
            <w:pPr>
              <w:pStyle w:val="TableText"/>
            </w:pPr>
            <w:r>
              <w:t>Costs associated with surveillance</w:t>
            </w:r>
          </w:p>
        </w:tc>
        <w:tc>
          <w:tcPr>
            <w:tcW w:w="1735" w:type="dxa"/>
          </w:tcPr>
          <w:p w14:paraId="55D2E1EB" w14:textId="7ADA21D3" w:rsidR="0088779E" w:rsidRPr="003F4A52" w:rsidRDefault="00513ED1" w:rsidP="00972C57">
            <w:pPr>
              <w:pStyle w:val="TableText"/>
            </w:pPr>
            <w:r>
              <w:t xml:space="preserve">Cost per </w:t>
            </w:r>
            <w:r w:rsidR="00191004">
              <w:t>MR</w:t>
            </w:r>
            <w:r w:rsidR="00840DF0">
              <w:t>I</w:t>
            </w:r>
            <w:r w:rsidR="00191004">
              <w:t xml:space="preserve"> scan </w:t>
            </w:r>
            <w:r w:rsidR="00C53A21">
              <w:t xml:space="preserve">of </w:t>
            </w:r>
            <w:r w:rsidR="00CE4622" w:rsidRPr="00CE4622">
              <w:t>$678.20</w:t>
            </w:r>
            <w:r w:rsidR="00CE4622">
              <w:t xml:space="preserve"> comprising MRI cost of </w:t>
            </w:r>
            <w:r w:rsidR="000A6524">
              <w:t xml:space="preserve">$637.25 and </w:t>
            </w:r>
            <w:r w:rsidR="00D85355">
              <w:t xml:space="preserve">contrast agent cost of </w:t>
            </w:r>
            <w:r w:rsidR="00840DF0">
              <w:t>$45.50</w:t>
            </w:r>
            <w:r w:rsidR="00F30FFE">
              <w:t xml:space="preserve"> (</w:t>
            </w:r>
            <w:r w:rsidR="00CD67BC">
              <w:t xml:space="preserve">for </w:t>
            </w:r>
            <w:r w:rsidR="00F30FFE">
              <w:t>90%</w:t>
            </w:r>
            <w:r w:rsidR="00CD67BC">
              <w:t xml:space="preserve"> of services</w:t>
            </w:r>
            <w:r w:rsidR="00F30FFE">
              <w:t>)</w:t>
            </w:r>
            <w:r w:rsidR="00840DF0">
              <w:t xml:space="preserve">; </w:t>
            </w:r>
            <w:r w:rsidR="002B2B75">
              <w:t xml:space="preserve">cost per CT scan of </w:t>
            </w:r>
            <w:r w:rsidR="00C53A21">
              <w:t>$481</w:t>
            </w:r>
          </w:p>
        </w:tc>
        <w:tc>
          <w:tcPr>
            <w:tcW w:w="3969" w:type="dxa"/>
          </w:tcPr>
          <w:p w14:paraId="1631CEAA" w14:textId="363F67C7" w:rsidR="0088779E" w:rsidRPr="003F4A52" w:rsidRDefault="0088779E" w:rsidP="00972C57">
            <w:pPr>
              <w:pStyle w:val="TableText"/>
            </w:pPr>
            <w:r>
              <w:t>Proposed fee for abdominal MRI</w:t>
            </w:r>
            <w:r w:rsidR="00296AC0">
              <w:t xml:space="preserve"> comprising </w:t>
            </w:r>
            <w:r w:rsidR="00DC44C7" w:rsidRPr="00DC44C7">
              <w:t>MBS item 63473 (fee updated July 2022)</w:t>
            </w:r>
            <w:r w:rsidR="00DC44C7">
              <w:t xml:space="preserve"> and</w:t>
            </w:r>
            <w:r w:rsidR="00857F39">
              <w:t xml:space="preserve"> </w:t>
            </w:r>
            <w:r w:rsidR="00857F39" w:rsidRPr="00857F39">
              <w:t>MBS item 63491 (fee updated July 2022)</w:t>
            </w:r>
            <w:r w:rsidR="00857F39">
              <w:t xml:space="preserve">; </w:t>
            </w:r>
            <w:r>
              <w:t>w</w:t>
            </w:r>
            <w:r w:rsidRPr="00F15308">
              <w:t xml:space="preserve">eighted </w:t>
            </w:r>
            <w:r>
              <w:t>fee</w:t>
            </w:r>
            <w:r w:rsidRPr="00F15308">
              <w:t xml:space="preserve"> </w:t>
            </w:r>
            <w:r>
              <w:t>for</w:t>
            </w:r>
            <w:r w:rsidRPr="00F15308">
              <w:t xml:space="preserve"> MBS </w:t>
            </w:r>
            <w:r>
              <w:t xml:space="preserve">items </w:t>
            </w:r>
            <w:r w:rsidRPr="00F15308">
              <w:t xml:space="preserve">56407 and </w:t>
            </w:r>
            <w:r>
              <w:t xml:space="preserve">56507 for </w:t>
            </w:r>
            <w:r w:rsidRPr="00411951">
              <w:t>CT</w:t>
            </w:r>
            <w:r>
              <w:t xml:space="preserve">– </w:t>
            </w:r>
            <w:r w:rsidRPr="00411951">
              <w:t>scan of upper abdomen and pelvis</w:t>
            </w:r>
            <w:r>
              <w:t xml:space="preserve"> </w:t>
            </w:r>
          </w:p>
        </w:tc>
      </w:tr>
      <w:tr w:rsidR="0088779E" w:rsidRPr="00CE28E3" w14:paraId="78D8DFE4" w14:textId="77777777" w:rsidTr="0030465F">
        <w:tc>
          <w:tcPr>
            <w:tcW w:w="3222" w:type="dxa"/>
            <w:tcBorders>
              <w:right w:val="nil"/>
            </w:tcBorders>
          </w:tcPr>
          <w:p w14:paraId="5AC68C72" w14:textId="77777777" w:rsidR="0088779E" w:rsidRPr="0024420A" w:rsidRDefault="0088779E" w:rsidP="00972C57">
            <w:pPr>
              <w:pStyle w:val="TableText"/>
              <w:rPr>
                <w:i/>
              </w:rPr>
            </w:pPr>
            <w:r>
              <w:rPr>
                <w:i/>
              </w:rPr>
              <w:t>Used in scenario analysis only</w:t>
            </w:r>
          </w:p>
        </w:tc>
        <w:tc>
          <w:tcPr>
            <w:tcW w:w="1735" w:type="dxa"/>
            <w:tcBorders>
              <w:left w:val="nil"/>
              <w:right w:val="nil"/>
            </w:tcBorders>
          </w:tcPr>
          <w:p w14:paraId="0E06CF61" w14:textId="77777777" w:rsidR="0088779E" w:rsidRPr="0042755A" w:rsidRDefault="0088779E" w:rsidP="00972C57">
            <w:pPr>
              <w:pStyle w:val="TableText"/>
            </w:pPr>
          </w:p>
        </w:tc>
        <w:tc>
          <w:tcPr>
            <w:tcW w:w="3969" w:type="dxa"/>
            <w:tcBorders>
              <w:left w:val="nil"/>
            </w:tcBorders>
          </w:tcPr>
          <w:p w14:paraId="364E672C" w14:textId="77777777" w:rsidR="0088779E" w:rsidRDefault="0088779E" w:rsidP="00972C57">
            <w:pPr>
              <w:pStyle w:val="TableText"/>
            </w:pPr>
          </w:p>
        </w:tc>
      </w:tr>
      <w:tr w:rsidR="0088779E" w:rsidRPr="00CE28E3" w14:paraId="542263FA" w14:textId="77777777" w:rsidTr="0030465F">
        <w:tc>
          <w:tcPr>
            <w:tcW w:w="3222" w:type="dxa"/>
          </w:tcPr>
          <w:p w14:paraId="33123706" w14:textId="77777777" w:rsidR="0088779E" w:rsidRPr="00CE28E3" w:rsidRDefault="0088779E" w:rsidP="00972C57">
            <w:pPr>
              <w:pStyle w:val="TableText"/>
            </w:pPr>
            <w:r>
              <w:t>Cost of surgical removal of renal tumours</w:t>
            </w:r>
          </w:p>
        </w:tc>
        <w:tc>
          <w:tcPr>
            <w:tcW w:w="1735" w:type="dxa"/>
          </w:tcPr>
          <w:p w14:paraId="5CD5AB22" w14:textId="77777777" w:rsidR="0088779E" w:rsidRDefault="0088779E" w:rsidP="00972C57">
            <w:pPr>
              <w:pStyle w:val="TableText"/>
            </w:pPr>
            <w:r w:rsidRPr="00A35066">
              <w:t>$21,844.15</w:t>
            </w:r>
          </w:p>
        </w:tc>
        <w:tc>
          <w:tcPr>
            <w:tcW w:w="3969" w:type="dxa"/>
          </w:tcPr>
          <w:p w14:paraId="0C131BE9" w14:textId="77777777" w:rsidR="0088779E" w:rsidRPr="00CE28E3" w:rsidRDefault="0088779E" w:rsidP="00972C57">
            <w:pPr>
              <w:pStyle w:val="TableText"/>
            </w:pPr>
            <w:r>
              <w:t>Weighted average cost of AR-DRGs L03B and L03C</w:t>
            </w:r>
            <w:r w:rsidR="009B759E">
              <w:rPr>
                <w:vertAlign w:val="superscript"/>
              </w:rPr>
              <w:t>5</w:t>
            </w:r>
          </w:p>
        </w:tc>
      </w:tr>
      <w:tr w:rsidR="0088779E" w:rsidRPr="00CE28E3" w14:paraId="1D103AFE" w14:textId="77777777" w:rsidTr="0030465F">
        <w:tc>
          <w:tcPr>
            <w:tcW w:w="3222" w:type="dxa"/>
          </w:tcPr>
          <w:p w14:paraId="46625FB6" w14:textId="77777777" w:rsidR="0088779E" w:rsidRPr="00CE28E3" w:rsidRDefault="0088779E" w:rsidP="00972C57">
            <w:pPr>
              <w:pStyle w:val="TableText"/>
            </w:pPr>
            <w:r>
              <w:t>Annual cost of treating benign tumours with mTOR inhibitors</w:t>
            </w:r>
          </w:p>
        </w:tc>
        <w:tc>
          <w:tcPr>
            <w:tcW w:w="1735" w:type="dxa"/>
          </w:tcPr>
          <w:p w14:paraId="46FEA68D" w14:textId="77777777" w:rsidR="0088779E" w:rsidRDefault="0088779E" w:rsidP="00972C57">
            <w:pPr>
              <w:pStyle w:val="TableText"/>
            </w:pPr>
            <w:r w:rsidRPr="00A35066">
              <w:t>$21,148.71</w:t>
            </w:r>
          </w:p>
        </w:tc>
        <w:tc>
          <w:tcPr>
            <w:tcW w:w="3969" w:type="dxa"/>
          </w:tcPr>
          <w:p w14:paraId="32485C78" w14:textId="77777777" w:rsidR="0088779E" w:rsidRPr="00CE28E3" w:rsidRDefault="0088779E" w:rsidP="00972C57">
            <w:pPr>
              <w:pStyle w:val="TableText"/>
            </w:pPr>
            <w:r w:rsidRPr="00A35066">
              <w:t>PBS item 2985D</w:t>
            </w:r>
            <w:r>
              <w:t xml:space="preserve"> for </w:t>
            </w:r>
            <w:proofErr w:type="spellStart"/>
            <w:r w:rsidRPr="0024420A">
              <w:t>everolimus</w:t>
            </w:r>
            <w:proofErr w:type="spellEnd"/>
            <w:r w:rsidRPr="0024420A">
              <w:t xml:space="preserve"> 10 mg tablet </w:t>
            </w:r>
            <w:r>
              <w:t xml:space="preserve">(pack of </w:t>
            </w:r>
            <w:r w:rsidRPr="0024420A">
              <w:t xml:space="preserve">30 </w:t>
            </w:r>
            <w:r>
              <w:t>with DPMQ $</w:t>
            </w:r>
            <w:r w:rsidRPr="0024420A">
              <w:t>1</w:t>
            </w:r>
            <w:r>
              <w:t>,</w:t>
            </w:r>
            <w:r w:rsidRPr="0024420A">
              <w:t>737.06</w:t>
            </w:r>
            <w:r>
              <w:t>)</w:t>
            </w:r>
          </w:p>
        </w:tc>
      </w:tr>
      <w:tr w:rsidR="0088779E" w:rsidRPr="00CE28E3" w14:paraId="78450995" w14:textId="77777777" w:rsidTr="0030465F">
        <w:tc>
          <w:tcPr>
            <w:tcW w:w="3222" w:type="dxa"/>
          </w:tcPr>
          <w:p w14:paraId="12B3DC1F" w14:textId="77777777" w:rsidR="0088779E" w:rsidRDefault="0088779E" w:rsidP="00972C57">
            <w:pPr>
              <w:pStyle w:val="TableText"/>
            </w:pPr>
            <w:r>
              <w:t>Cost of confirmatory testing</w:t>
            </w:r>
          </w:p>
        </w:tc>
        <w:tc>
          <w:tcPr>
            <w:tcW w:w="1735" w:type="dxa"/>
          </w:tcPr>
          <w:p w14:paraId="2B8130A0" w14:textId="09C66F14" w:rsidR="00741FC7" w:rsidRDefault="00BC0495" w:rsidP="00972C57">
            <w:pPr>
              <w:pStyle w:val="TableText"/>
            </w:pPr>
            <w:r>
              <w:t xml:space="preserve">Cost </w:t>
            </w:r>
            <w:r w:rsidR="00741FC7" w:rsidRPr="00741FC7">
              <w:t>associated with biopsy and histopathology of the sample</w:t>
            </w:r>
            <w:r w:rsidR="00741FC7" w:rsidRPr="00741FC7" w:rsidDel="00BC0495">
              <w:t xml:space="preserve"> </w:t>
            </w:r>
            <w:r w:rsidR="00A51654">
              <w:t>of $1255.90</w:t>
            </w:r>
            <w:r w:rsidR="00741FC7">
              <w:t xml:space="preserve"> comprising:</w:t>
            </w:r>
          </w:p>
          <w:p w14:paraId="19104D6F" w14:textId="291C9372" w:rsidR="0088779E" w:rsidRDefault="0064690F" w:rsidP="00004DD8">
            <w:pPr>
              <w:pStyle w:val="TableText"/>
            </w:pPr>
            <w:r w:rsidRPr="0064690F">
              <w:t>Initiation of a patient episode -outpatient</w:t>
            </w:r>
            <w:r w:rsidRPr="0064690F" w:rsidDel="00BC0495">
              <w:t xml:space="preserve"> </w:t>
            </w:r>
            <w:r w:rsidR="00F87AB1">
              <w:t>($</w:t>
            </w:r>
            <w:r w:rsidR="000E4F2E">
              <w:t>8.20</w:t>
            </w:r>
            <w:r w:rsidR="001D7EE0">
              <w:t xml:space="preserve">); </w:t>
            </w:r>
            <w:r w:rsidR="00EF06D2" w:rsidRPr="00EF06D2">
              <w:t xml:space="preserve">Renal biopsy, under image </w:t>
            </w:r>
            <w:proofErr w:type="gramStart"/>
            <w:r w:rsidR="00EF06D2" w:rsidRPr="00EF06D2">
              <w:t>guidance</w:t>
            </w:r>
            <w:r w:rsidR="00EF06D2" w:rsidRPr="00EF06D2" w:rsidDel="00BC0495">
              <w:t xml:space="preserve"> </w:t>
            </w:r>
            <w:r w:rsidR="00EF06D2">
              <w:t xml:space="preserve"> (</w:t>
            </w:r>
            <w:proofErr w:type="gramEnd"/>
            <w:r w:rsidR="001D3146" w:rsidRPr="001D3146">
              <w:t>$182.35</w:t>
            </w:r>
            <w:r w:rsidR="005C72F9">
              <w:t xml:space="preserve">); </w:t>
            </w:r>
            <w:r w:rsidR="00BA3630" w:rsidRPr="00BA3630">
              <w:t>Guidance imaging</w:t>
            </w:r>
            <w:r w:rsidR="00BA3630" w:rsidRPr="00BA3630" w:rsidDel="00BC0495">
              <w:t xml:space="preserve"> </w:t>
            </w:r>
            <w:r w:rsidR="000B4BAC">
              <w:t xml:space="preserve">($115.75); </w:t>
            </w:r>
            <w:r w:rsidR="00217CA7" w:rsidRPr="00217CA7">
              <w:lastRenderedPageBreak/>
              <w:t>Immunohistochemical examination of biopsy material</w:t>
            </w:r>
            <w:r w:rsidR="00217CA7" w:rsidRPr="00217CA7" w:rsidDel="00BC0495">
              <w:t xml:space="preserve"> </w:t>
            </w:r>
            <w:r w:rsidR="00217CA7">
              <w:t>($59.60)</w:t>
            </w:r>
            <w:r w:rsidR="00AF2070">
              <w:t xml:space="preserve">; </w:t>
            </w:r>
            <w:r w:rsidR="00AF2070" w:rsidRPr="00AF2070">
              <w:t>Light microscopy</w:t>
            </w:r>
            <w:r w:rsidR="00AF2070" w:rsidRPr="00AF2070" w:rsidDel="00BC0495">
              <w:t xml:space="preserve"> </w:t>
            </w:r>
            <w:r w:rsidR="00130A20">
              <w:t xml:space="preserve">($71.50); </w:t>
            </w:r>
            <w:r w:rsidR="00F4713E" w:rsidRPr="00F4713E">
              <w:t>Theatre and other surgical costs (4-6 hours hospital stay</w:t>
            </w:r>
            <w:r w:rsidR="00F4713E" w:rsidRPr="00F4713E" w:rsidDel="00BC0495">
              <w:t xml:space="preserve"> </w:t>
            </w:r>
            <w:r w:rsidR="004203CC">
              <w:t xml:space="preserve"> ($609)); </w:t>
            </w:r>
            <w:r w:rsidR="00CC6700" w:rsidRPr="00CC6700">
              <w:t>Initiation of management of anaesthesia, renal procedures</w:t>
            </w:r>
            <w:r w:rsidR="00CC6700" w:rsidRPr="00CC6700" w:rsidDel="00BC0495">
              <w:t xml:space="preserve"> </w:t>
            </w:r>
            <w:r w:rsidR="00CC6700">
              <w:t xml:space="preserve">($146.65); </w:t>
            </w:r>
            <w:r w:rsidR="00FF0F79" w:rsidRPr="00FF0F79">
              <w:t>Time units, 3 basic units (30-45 min)</w:t>
            </w:r>
            <w:r w:rsidR="00FF0F79">
              <w:t xml:space="preserve"> ($62.85)</w:t>
            </w:r>
          </w:p>
        </w:tc>
        <w:tc>
          <w:tcPr>
            <w:tcW w:w="3969" w:type="dxa"/>
          </w:tcPr>
          <w:p w14:paraId="20DDAD5C" w14:textId="6AC2AF6C" w:rsidR="00FF0F79" w:rsidRDefault="0088779E" w:rsidP="00972C57">
            <w:pPr>
              <w:pStyle w:val="TableText"/>
            </w:pPr>
            <w:r>
              <w:lastRenderedPageBreak/>
              <w:t xml:space="preserve">Estimated using </w:t>
            </w:r>
            <w:r w:rsidR="00FF0F79">
              <w:t>following</w:t>
            </w:r>
            <w:r w:rsidR="00F2137A">
              <w:t xml:space="preserve"> </w:t>
            </w:r>
            <w:r>
              <w:t>MBS items and day hospital admission</w:t>
            </w:r>
            <w:r w:rsidR="00FF0F79">
              <w:t>:</w:t>
            </w:r>
          </w:p>
          <w:p w14:paraId="7E8EDACE" w14:textId="77777777" w:rsidR="00FF0F79" w:rsidRDefault="00771564" w:rsidP="00FF0F79">
            <w:pPr>
              <w:pStyle w:val="TableText"/>
              <w:numPr>
                <w:ilvl w:val="0"/>
                <w:numId w:val="12"/>
              </w:numPr>
            </w:pPr>
            <w:r w:rsidRPr="00771564">
              <w:t>MBS item 73926</w:t>
            </w:r>
          </w:p>
          <w:p w14:paraId="64BA4B18" w14:textId="77777777" w:rsidR="00771564" w:rsidRDefault="00C367C1" w:rsidP="00FF0F79">
            <w:pPr>
              <w:pStyle w:val="TableText"/>
              <w:numPr>
                <w:ilvl w:val="0"/>
                <w:numId w:val="12"/>
              </w:numPr>
            </w:pPr>
            <w:r w:rsidRPr="00C367C1">
              <w:t>MBS item 36561</w:t>
            </w:r>
          </w:p>
          <w:p w14:paraId="66A3B97D" w14:textId="77777777" w:rsidR="00C367C1" w:rsidRDefault="00EF48E2" w:rsidP="00FF0F79">
            <w:pPr>
              <w:pStyle w:val="TableText"/>
              <w:numPr>
                <w:ilvl w:val="0"/>
                <w:numId w:val="12"/>
              </w:numPr>
            </w:pPr>
            <w:r w:rsidRPr="00EF48E2">
              <w:t>MBS item 55036</w:t>
            </w:r>
          </w:p>
          <w:p w14:paraId="4FCD73CA" w14:textId="77777777" w:rsidR="00EF48E2" w:rsidRDefault="00D774CE" w:rsidP="00FF0F79">
            <w:pPr>
              <w:pStyle w:val="TableText"/>
              <w:numPr>
                <w:ilvl w:val="0"/>
                <w:numId w:val="12"/>
              </w:numPr>
            </w:pPr>
            <w:r w:rsidRPr="00D774CE">
              <w:t>MBS item 72846</w:t>
            </w:r>
          </w:p>
          <w:p w14:paraId="7F95EE8A" w14:textId="77777777" w:rsidR="00D774CE" w:rsidRDefault="00595914" w:rsidP="00FF0F79">
            <w:pPr>
              <w:pStyle w:val="TableText"/>
              <w:numPr>
                <w:ilvl w:val="0"/>
                <w:numId w:val="12"/>
              </w:numPr>
            </w:pPr>
            <w:r w:rsidRPr="00595914">
              <w:t>MBS item 72813</w:t>
            </w:r>
          </w:p>
          <w:p w14:paraId="2D167D75" w14:textId="77777777" w:rsidR="00595914" w:rsidRDefault="0030580B" w:rsidP="00FF0F79">
            <w:pPr>
              <w:pStyle w:val="TableText"/>
              <w:numPr>
                <w:ilvl w:val="0"/>
                <w:numId w:val="12"/>
              </w:numPr>
            </w:pPr>
            <w:r w:rsidRPr="0030580B">
              <w:t>Tier 2 1003 (IHPA 2022a)</w:t>
            </w:r>
          </w:p>
          <w:p w14:paraId="65792650" w14:textId="77777777" w:rsidR="0030580B" w:rsidRDefault="000F772E" w:rsidP="00FF0F79">
            <w:pPr>
              <w:pStyle w:val="TableText"/>
              <w:numPr>
                <w:ilvl w:val="0"/>
                <w:numId w:val="12"/>
              </w:numPr>
            </w:pPr>
            <w:r w:rsidRPr="000F772E">
              <w:t>MBS item 20862</w:t>
            </w:r>
          </w:p>
          <w:p w14:paraId="21774955" w14:textId="0CD2CA2B" w:rsidR="000F772E" w:rsidRDefault="00FC7BDC" w:rsidP="00891A92">
            <w:pPr>
              <w:pStyle w:val="TableText"/>
              <w:numPr>
                <w:ilvl w:val="0"/>
                <w:numId w:val="12"/>
              </w:numPr>
            </w:pPr>
            <w:r w:rsidRPr="00FC7BDC">
              <w:t>MBS item 23035</w:t>
            </w:r>
          </w:p>
        </w:tc>
      </w:tr>
    </w:tbl>
    <w:p w14:paraId="0B8D92D1" w14:textId="77777777" w:rsidR="0088779E" w:rsidRPr="00DA518E" w:rsidRDefault="0088779E" w:rsidP="00DA518E">
      <w:pPr>
        <w:pStyle w:val="TableFigureFooter"/>
      </w:pPr>
      <w:r w:rsidRPr="00DA518E">
        <w:t xml:space="preserve">ABS = Australian Bureau of Statistics; </w:t>
      </w:r>
      <w:r w:rsidR="005E25A1">
        <w:t xml:space="preserve">AIHW = </w:t>
      </w:r>
      <w:r w:rsidR="005E25A1" w:rsidRPr="005E25A1">
        <w:t>Australian Institute of Health and Welfare</w:t>
      </w:r>
      <w:r w:rsidR="005E25A1">
        <w:t xml:space="preserve">; </w:t>
      </w:r>
      <w:r w:rsidRPr="00DA518E">
        <w:t>AR-DRGs = Australian Defined diagnosis-related groups; CT = computed tomography; DPMQ = dispensed price for maximum quantity; IRR = incidence rate ratio; MBS = Medicare Benefits Schedule; PBS = Pharmaceutical Benefits Scheme; SMR = standardised mortality ratio</w:t>
      </w:r>
    </w:p>
    <w:p w14:paraId="51460ECD" w14:textId="77777777" w:rsidR="0018789C" w:rsidRPr="0018789C" w:rsidRDefault="0088779E" w:rsidP="00DA518E">
      <w:pPr>
        <w:pStyle w:val="TableFigureFooter"/>
      </w:pPr>
      <w:r w:rsidRPr="0018789C">
        <w:rPr>
          <w:vertAlign w:val="superscript"/>
        </w:rPr>
        <w:t>1</w:t>
      </w:r>
      <w:r w:rsidR="0018789C">
        <w:rPr>
          <w:vertAlign w:val="superscript"/>
        </w:rPr>
        <w:t xml:space="preserve"> </w:t>
      </w:r>
      <w:r w:rsidR="0018789C" w:rsidRPr="0018789C">
        <w:t xml:space="preserve">Mathews, JD, Forsythe, AV, Brady, Z, Butler, MW, </w:t>
      </w:r>
      <w:proofErr w:type="spellStart"/>
      <w:r w:rsidR="0018789C" w:rsidRPr="0018789C">
        <w:t>Goergen</w:t>
      </w:r>
      <w:proofErr w:type="spellEnd"/>
      <w:r w:rsidR="0018789C" w:rsidRPr="0018789C">
        <w:t xml:space="preserve">, SK, Byrnes, GB, Giles, GG, Wallace, AB, Anderson, PR, </w:t>
      </w:r>
      <w:proofErr w:type="spellStart"/>
      <w:r w:rsidR="0018789C" w:rsidRPr="0018789C">
        <w:t>Guiver</w:t>
      </w:r>
      <w:proofErr w:type="spellEnd"/>
      <w:r w:rsidR="0018789C" w:rsidRPr="0018789C">
        <w:t xml:space="preserve">, TA, </w:t>
      </w:r>
      <w:proofErr w:type="spellStart"/>
      <w:r w:rsidR="0018789C" w:rsidRPr="0018789C">
        <w:t>McGale</w:t>
      </w:r>
      <w:proofErr w:type="spellEnd"/>
      <w:r w:rsidR="0018789C" w:rsidRPr="0018789C">
        <w:t xml:space="preserve">, P, Cain, TM, </w:t>
      </w:r>
      <w:proofErr w:type="spellStart"/>
      <w:r w:rsidR="0018789C" w:rsidRPr="0018789C">
        <w:t>Dowty</w:t>
      </w:r>
      <w:proofErr w:type="spellEnd"/>
      <w:r w:rsidR="0018789C" w:rsidRPr="0018789C">
        <w:t xml:space="preserve">, JG, Bickerstaffe, AC &amp; Darby, SC 2013, 'Cancer risk in 680,000 people exposed to computed tomography scans in childhood or adolescence: data linkage study of 11 million Australians', </w:t>
      </w:r>
      <w:proofErr w:type="spellStart"/>
      <w:r w:rsidR="0018789C" w:rsidRPr="0018789C">
        <w:t>Bmj</w:t>
      </w:r>
      <w:proofErr w:type="spellEnd"/>
      <w:r w:rsidR="0018789C" w:rsidRPr="0018789C">
        <w:t>, vol. 346, May 21, p. f2360</w:t>
      </w:r>
      <w:r w:rsidR="0018789C" w:rsidRPr="0018789C">
        <w:rPr>
          <w:vertAlign w:val="superscript"/>
        </w:rPr>
        <w:t>.</w:t>
      </w:r>
    </w:p>
    <w:p w14:paraId="07B2B521" w14:textId="77777777" w:rsidR="009015D7" w:rsidRDefault="0018789C" w:rsidP="009015D7">
      <w:pPr>
        <w:pStyle w:val="TableFigureFooter"/>
      </w:pPr>
      <w:r>
        <w:rPr>
          <w:vertAlign w:val="superscript"/>
        </w:rPr>
        <w:t>2</w:t>
      </w:r>
      <w:r w:rsidR="0088779E" w:rsidRPr="00DA518E">
        <w:t xml:space="preserve"> </w:t>
      </w:r>
      <w:r w:rsidR="009015D7" w:rsidRPr="00DD543F">
        <w:t xml:space="preserve">AIHW 2022, </w:t>
      </w:r>
      <w:r w:rsidR="009015D7" w:rsidRPr="00DD543F">
        <w:rPr>
          <w:i/>
        </w:rPr>
        <w:t>Table S1b.1: Cancer incidence by 10-year age groups (00–09, 10–19, …, 80–89, 90+), by sex, actual data from 1982 to 2018 with projections to 2022, Cancer Data in Australia</w:t>
      </w:r>
      <w:r w:rsidR="009015D7" w:rsidRPr="00DD543F">
        <w:t>, Australian Institute of Health and Welfare, Canberra.</w:t>
      </w:r>
    </w:p>
    <w:p w14:paraId="6DDB609E" w14:textId="77777777" w:rsidR="009015D7" w:rsidRDefault="009015D7" w:rsidP="00DA518E">
      <w:pPr>
        <w:pStyle w:val="TableFigureFooter"/>
      </w:pPr>
      <w:r>
        <w:rPr>
          <w:vertAlign w:val="superscript"/>
        </w:rPr>
        <w:t xml:space="preserve">3 </w:t>
      </w:r>
      <w:r w:rsidRPr="00DD543F">
        <w:t xml:space="preserve">ABS 2021, </w:t>
      </w:r>
      <w:r w:rsidRPr="00DD543F">
        <w:rPr>
          <w:i/>
        </w:rPr>
        <w:t xml:space="preserve">Table 1.9 Life Tables, Australia, 2018–2020, </w:t>
      </w:r>
      <w:proofErr w:type="spellStart"/>
      <w:r w:rsidRPr="00DD543F">
        <w:rPr>
          <w:i/>
        </w:rPr>
        <w:t>Catalog</w:t>
      </w:r>
      <w:proofErr w:type="spellEnd"/>
      <w:r w:rsidRPr="00DD543F">
        <w:rPr>
          <w:i/>
        </w:rPr>
        <w:t xml:space="preserve"> no. 3302055001DO001_20182020 Life Tables, 2018-2020</w:t>
      </w:r>
      <w:r w:rsidRPr="00DD543F">
        <w:t>,</w:t>
      </w:r>
      <w:r>
        <w:t xml:space="preserve">; </w:t>
      </w:r>
      <w:proofErr w:type="spellStart"/>
      <w:r w:rsidRPr="00DD543F">
        <w:t>Eijkemans</w:t>
      </w:r>
      <w:proofErr w:type="spellEnd"/>
      <w:r w:rsidRPr="00DD543F">
        <w:t>, MJC</w:t>
      </w:r>
      <w:r>
        <w:t xml:space="preserve"> </w:t>
      </w:r>
      <w:r w:rsidRPr="00DD543F">
        <w:t xml:space="preserve">2015, 'Long-term Follow-up Assessing Renal Angiomyolipoma Treatment Patterns, Morbidity, and Mortality: An Observational Study in Tuberous Sclerosis Complex Patients in the Netherlands', </w:t>
      </w:r>
      <w:r w:rsidRPr="00DD543F">
        <w:rPr>
          <w:i/>
        </w:rPr>
        <w:t>American Journal of Kidney Diseases</w:t>
      </w:r>
      <w:r w:rsidRPr="00DD543F">
        <w:t>, vol. 66, no. 4, 2015/10/01/, pp. 638-645</w:t>
      </w:r>
      <w:r>
        <w:t xml:space="preserve">, </w:t>
      </w:r>
      <w:r w:rsidRPr="00DD543F">
        <w:t xml:space="preserve">Peng, JH, Tu, HP &amp; Hong, CH 2021, 'A population-based study to estimate survival and standardized mortality of tuberous sclerosis complex (TSC) in Taiwan', </w:t>
      </w:r>
      <w:proofErr w:type="spellStart"/>
      <w:r w:rsidRPr="00DD543F">
        <w:rPr>
          <w:i/>
        </w:rPr>
        <w:t>Orphanet</w:t>
      </w:r>
      <w:proofErr w:type="spellEnd"/>
      <w:r w:rsidRPr="00DD543F">
        <w:rPr>
          <w:i/>
        </w:rPr>
        <w:t xml:space="preserve"> J Rare Dis</w:t>
      </w:r>
      <w:r w:rsidRPr="00DD543F">
        <w:t>, vol. 16, no. 1, Aug 3, p. 335.</w:t>
      </w:r>
    </w:p>
    <w:p w14:paraId="14167EFE" w14:textId="77777777" w:rsidR="009015D7" w:rsidRPr="009015D7" w:rsidRDefault="009B759E" w:rsidP="00DA518E">
      <w:pPr>
        <w:pStyle w:val="TableFigureFooter"/>
      </w:pPr>
      <w:r>
        <w:rPr>
          <w:vertAlign w:val="superscript"/>
        </w:rPr>
        <w:t>4</w:t>
      </w:r>
      <w:r w:rsidR="009015D7">
        <w:rPr>
          <w:vertAlign w:val="superscript"/>
        </w:rPr>
        <w:t xml:space="preserve"> </w:t>
      </w:r>
      <w:proofErr w:type="spellStart"/>
      <w:r w:rsidR="009015D7" w:rsidRPr="00DD543F">
        <w:t>Goldsbury</w:t>
      </w:r>
      <w:proofErr w:type="spellEnd"/>
      <w:r w:rsidR="009015D7" w:rsidRPr="00DD543F">
        <w:t xml:space="preserve">, DE, Yap, S, Weber, MF, </w:t>
      </w:r>
      <w:proofErr w:type="spellStart"/>
      <w:r w:rsidR="009015D7" w:rsidRPr="00DD543F">
        <w:t>Veerman</w:t>
      </w:r>
      <w:proofErr w:type="spellEnd"/>
      <w:r w:rsidR="009015D7" w:rsidRPr="00DD543F">
        <w:t xml:space="preserve">, L, Rankin, N, Banks, E, </w:t>
      </w:r>
      <w:proofErr w:type="spellStart"/>
      <w:r w:rsidR="009015D7" w:rsidRPr="00DD543F">
        <w:t>Canfell</w:t>
      </w:r>
      <w:proofErr w:type="spellEnd"/>
      <w:r w:rsidR="009015D7" w:rsidRPr="00DD543F">
        <w:t xml:space="preserve">, K &amp; O'Connell, DL 2018, 'Health services costs for cancer care in Australia: Estimates from the 45 and Up Study', </w:t>
      </w:r>
      <w:proofErr w:type="spellStart"/>
      <w:r w:rsidR="009015D7" w:rsidRPr="00DD543F">
        <w:rPr>
          <w:i/>
        </w:rPr>
        <w:t>PLoS</w:t>
      </w:r>
      <w:proofErr w:type="spellEnd"/>
      <w:r w:rsidR="009015D7" w:rsidRPr="00DD543F">
        <w:rPr>
          <w:i/>
        </w:rPr>
        <w:t xml:space="preserve"> One</w:t>
      </w:r>
      <w:r w:rsidR="009015D7" w:rsidRPr="00DD543F">
        <w:t>, vol. 13, no. 7, p. e0201552.</w:t>
      </w:r>
    </w:p>
    <w:p w14:paraId="342151C7" w14:textId="6AF8637F" w:rsidR="00C954B0" w:rsidRPr="00DA518E" w:rsidRDefault="009B759E" w:rsidP="00DA518E">
      <w:pPr>
        <w:pStyle w:val="TableFigureFooter"/>
      </w:pPr>
      <w:r>
        <w:rPr>
          <w:vertAlign w:val="superscript"/>
        </w:rPr>
        <w:t>5</w:t>
      </w:r>
      <w:r w:rsidR="00BC079D">
        <w:rPr>
          <w:vertAlign w:val="superscript"/>
        </w:rPr>
        <w:t xml:space="preserve"> </w:t>
      </w:r>
      <w:r w:rsidR="0088779E" w:rsidRPr="00DA518E">
        <w:t>AR-DRGs L03B and L03C (surgical DRG codes for kidney, ureter and major bladder interventions for neoplasm; intermediate and minor Complexities, respectively)</w:t>
      </w:r>
      <w:r w:rsidR="004E7BB3">
        <w:t xml:space="preserve">; </w:t>
      </w:r>
      <w:r w:rsidR="004E7BB3" w:rsidRPr="00DD543F">
        <w:t xml:space="preserve">IHPA 2022b, </w:t>
      </w:r>
      <w:r w:rsidR="004E7BB3" w:rsidRPr="00DD543F">
        <w:rPr>
          <w:i/>
        </w:rPr>
        <w:t>Table 3 Cost Weights for AR-DRG Version 10.0, Round 24 (2019-20), National Hospital Cost Data Collection, Public Sector Cost Report</w:t>
      </w:r>
      <w:r w:rsidR="004E7BB3">
        <w:t>.</w:t>
      </w:r>
      <w:r w:rsidR="0088779E" w:rsidRPr="00DA518E">
        <w:t xml:space="preserve"> </w:t>
      </w:r>
      <w:r w:rsidR="00A5289E" w:rsidRPr="00DA518E">
        <w:fldChar w:fldCharType="begin"/>
      </w:r>
      <w:r w:rsidR="00A5289E" w:rsidRPr="00DA518E">
        <w:instrText xml:space="preserve"> ADDIN EN.CITE &lt;EndNote&gt;&lt;Cite&gt;&lt;Author&gt;IHPA&lt;/Author&gt;&lt;Year&gt;2022&lt;/Year&gt;&lt;RecNum&gt;238&lt;/RecNum&gt;&lt;DisplayText&gt;(IHPA 2022b)&lt;/DisplayText&gt;&lt;record&gt;&lt;rec-number&gt;238&lt;/rec-number&gt;&lt;foreign-keys&gt;&lt;key app="EN" db-id="9de9tv5r4e5w2fezpebvxffdf2fp9dpt2995" timestamp="1667466461"&gt;238&lt;/key&gt;&lt;/foreign-keys&gt;&lt;ref-type name="Report"&gt;27&lt;/ref-type&gt;&lt;contributors&gt;&lt;authors&gt;&lt;author&gt;IHPA&lt;/author&gt;&lt;/authors&gt;&lt;/contributors&gt;&lt;titles&gt;&lt;title&gt;Table 3 Cost Weights for AR-DRG Version 10.0, Round 24 (2019-20), National Hospital Cost Data Collection, Public Sector Cost Report&lt;/title&gt;&lt;/titles&gt;&lt;dates&gt;&lt;year&gt;2022&lt;/year&gt;&lt;/dates&gt;&lt;urls&gt;&lt;/urls&gt;&lt;/record&gt;&lt;/Cite&gt;&lt;/EndNote&gt;</w:instrText>
      </w:r>
      <w:r w:rsidR="00A5289E" w:rsidRPr="00DA518E">
        <w:fldChar w:fldCharType="end"/>
      </w:r>
    </w:p>
    <w:p w14:paraId="6D6E875F" w14:textId="77777777" w:rsidR="00322D74" w:rsidRDefault="00C954B0" w:rsidP="00891A92">
      <w:pPr>
        <w:pStyle w:val="TableFigureFooter"/>
      </w:pPr>
      <w:r>
        <w:rPr>
          <w:vertAlign w:val="superscript"/>
        </w:rPr>
        <w:t xml:space="preserve">a </w:t>
      </w:r>
      <w:r w:rsidRPr="00891A92">
        <w:t xml:space="preserve">Lifetime risks reported in the literature converted to biennial probabilities using probability to rate to probability conversion formulas. Lifetime risk is assumed between 20 to 70 years, that is over 50 years. Formula used </w:t>
      </w:r>
      <w:proofErr w:type="gramStart"/>
      <w:r w:rsidRPr="00891A92">
        <w:t>are:</w:t>
      </w:r>
      <w:proofErr w:type="gramEnd"/>
      <w:r w:rsidRPr="00891A92">
        <w:t xml:space="preserve"> r = -ln(1-p)/t and p = 1-exp(-rt); where r is the rate of event, p is the probability and t is the time period</w:t>
      </w:r>
    </w:p>
    <w:p w14:paraId="14FC23CF" w14:textId="3CE63E79" w:rsidR="00C954B0" w:rsidRPr="000B6E6B" w:rsidRDefault="00322D74" w:rsidP="00443577">
      <w:pPr>
        <w:pStyle w:val="TableFigureFooter"/>
        <w:keepNext/>
      </w:pPr>
      <w:r>
        <w:t>Note table updated based on MSAC’s advice</w:t>
      </w:r>
    </w:p>
    <w:p w14:paraId="6A57C41B" w14:textId="67F78A09" w:rsidR="0088779E" w:rsidRDefault="0088779E" w:rsidP="00891A92">
      <w:pPr>
        <w:spacing w:after="0"/>
      </w:pPr>
      <w:r w:rsidRPr="005B11FA">
        <w:t xml:space="preserve">A stepped approach is used to generate the base case analysis </w:t>
      </w:r>
      <w:proofErr w:type="gramStart"/>
      <w:r w:rsidRPr="005B11FA">
        <w:t>in order to</w:t>
      </w:r>
      <w:proofErr w:type="gramEnd"/>
      <w:r w:rsidRPr="005B11FA">
        <w:t xml:space="preserve"> incorporate the translations of the clinical evidence and other key model assumptions separately to distinguish the effect of each of these on the results.</w:t>
      </w:r>
      <w:r w:rsidR="0018789C">
        <w:t xml:space="preserve"> CECT is associated with exposure to ionising radiation that can cause cancer. While the model captures the number of excess cancers due to radiation exposure, </w:t>
      </w:r>
      <w:r w:rsidR="00F835AB">
        <w:t xml:space="preserve">detailed and final </w:t>
      </w:r>
      <w:r w:rsidR="0018789C">
        <w:t>health outcomes related to these are not included in the model. It is assumed that the average rate of surveillance is one imaging scan every 24 months in the modelled population across both intervention and comparator arms</w:t>
      </w:r>
      <w:r w:rsidR="00F835AB">
        <w:t>; i</w:t>
      </w:r>
      <w:r w:rsidR="0018789C">
        <w:t>n practice, this may vary based on the patient medical history</w:t>
      </w:r>
      <w:r w:rsidR="00F835AB">
        <w:t>,</w:t>
      </w:r>
      <w:r w:rsidR="00B8690F">
        <w:t xml:space="preserve"> symptom presentation</w:t>
      </w:r>
      <w:r w:rsidR="00F835AB">
        <w:t xml:space="preserve"> and </w:t>
      </w:r>
      <w:r w:rsidR="00560895">
        <w:t>compliance</w:t>
      </w:r>
      <w:r w:rsidR="00F835AB">
        <w:t xml:space="preserve"> to recommendations</w:t>
      </w:r>
      <w:r w:rsidR="0018789C">
        <w:t>.</w:t>
      </w:r>
    </w:p>
    <w:p w14:paraId="09E7A29D" w14:textId="7C95033D" w:rsidR="009D6C2C" w:rsidRDefault="0088779E" w:rsidP="0088779E">
      <w:r>
        <w:t>The modelled results</w:t>
      </w:r>
      <w:r w:rsidR="00BB6A18">
        <w:t xml:space="preserve"> with the final ICER outcome of ‘</w:t>
      </w:r>
      <w:r w:rsidR="00BB6A18" w:rsidRPr="00FD6FC5">
        <w:t>radiation induced cancer</w:t>
      </w:r>
      <w:r w:rsidR="00BB6A18">
        <w:t xml:space="preserve"> avoided’ </w:t>
      </w:r>
      <w:r>
        <w:t xml:space="preserve">are presented in a stepped manner in </w:t>
      </w:r>
      <w:r>
        <w:fldChar w:fldCharType="begin"/>
      </w:r>
      <w:r>
        <w:instrText xml:space="preserve"> REF _Ref118897957 \h </w:instrText>
      </w:r>
      <w:r>
        <w:fldChar w:fldCharType="separate"/>
      </w:r>
      <w:r w:rsidR="00CB2A40">
        <w:t xml:space="preserve">Table </w:t>
      </w:r>
      <w:r w:rsidR="00CB2A40">
        <w:rPr>
          <w:noProof/>
        </w:rPr>
        <w:t>9</w:t>
      </w:r>
      <w:r>
        <w:fldChar w:fldCharType="end"/>
      </w:r>
      <w:r>
        <w:t>.</w:t>
      </w:r>
      <w:r w:rsidR="00362F8D">
        <w:t xml:space="preserve"> The stepped analysis results in a final ICER outcome of </w:t>
      </w:r>
      <w:r w:rsidR="00585AEC">
        <w:t xml:space="preserve">$108,234 </w:t>
      </w:r>
      <w:r w:rsidR="00362F8D">
        <w:t>per radiation-induced cancer avoided</w:t>
      </w:r>
      <w:r w:rsidR="00585AEC">
        <w:t>.</w:t>
      </w:r>
    </w:p>
    <w:p w14:paraId="7D72D278" w14:textId="77777777" w:rsidR="00A26770" w:rsidRDefault="00A26770" w:rsidP="00A26770">
      <w:pPr>
        <w:pStyle w:val="TableHeading0"/>
      </w:pPr>
      <w:r>
        <w:lastRenderedPageBreak/>
        <w:t xml:space="preserve">Table </w:t>
      </w:r>
      <w:r w:rsidR="00FC4648">
        <w:t>9</w:t>
      </w:r>
      <w:r>
        <w:tab/>
        <w:t>Stepped economic evaluation (undiscounted and discounted costs and outcomes)</w:t>
      </w:r>
    </w:p>
    <w:tbl>
      <w:tblPr>
        <w:tblStyle w:val="TableGrid"/>
        <w:tblW w:w="0" w:type="auto"/>
        <w:tblLook w:val="04A0" w:firstRow="1" w:lastRow="0" w:firstColumn="1" w:lastColumn="0" w:noHBand="0" w:noVBand="1"/>
      </w:tblPr>
      <w:tblGrid>
        <w:gridCol w:w="4448"/>
        <w:gridCol w:w="1246"/>
        <w:gridCol w:w="1113"/>
        <w:gridCol w:w="1872"/>
      </w:tblGrid>
      <w:tr w:rsidR="00A26770" w:rsidRPr="0099528A" w14:paraId="2738381D" w14:textId="77777777" w:rsidTr="00443577">
        <w:trPr>
          <w:cantSplit/>
        </w:trPr>
        <w:tc>
          <w:tcPr>
            <w:tcW w:w="4448" w:type="dxa"/>
            <w:tcBorders>
              <w:bottom w:val="double" w:sz="4" w:space="0" w:color="auto"/>
            </w:tcBorders>
          </w:tcPr>
          <w:p w14:paraId="39012DD2" w14:textId="77777777" w:rsidR="00A26770" w:rsidRPr="0099528A" w:rsidRDefault="00A26770" w:rsidP="00730F41">
            <w:pPr>
              <w:pStyle w:val="TableText"/>
              <w:keepNext/>
              <w:rPr>
                <w:b/>
              </w:rPr>
            </w:pPr>
            <w:r w:rsidRPr="0099528A">
              <w:rPr>
                <w:b/>
              </w:rPr>
              <w:t>Stepped analysis</w:t>
            </w:r>
          </w:p>
        </w:tc>
        <w:tc>
          <w:tcPr>
            <w:tcW w:w="1246" w:type="dxa"/>
            <w:tcBorders>
              <w:bottom w:val="double" w:sz="4" w:space="0" w:color="auto"/>
            </w:tcBorders>
          </w:tcPr>
          <w:p w14:paraId="7D479E3D" w14:textId="77777777" w:rsidR="00A26770" w:rsidRPr="0099528A" w:rsidRDefault="00A26770" w:rsidP="00730F41">
            <w:pPr>
              <w:pStyle w:val="TableText"/>
              <w:keepNext/>
              <w:rPr>
                <w:b/>
              </w:rPr>
            </w:pPr>
            <w:r>
              <w:rPr>
                <w:b/>
              </w:rPr>
              <w:t>MRI</w:t>
            </w:r>
          </w:p>
        </w:tc>
        <w:tc>
          <w:tcPr>
            <w:tcW w:w="1113" w:type="dxa"/>
            <w:tcBorders>
              <w:bottom w:val="double" w:sz="4" w:space="0" w:color="auto"/>
            </w:tcBorders>
          </w:tcPr>
          <w:p w14:paraId="3F8E78E8" w14:textId="77777777" w:rsidR="00A26770" w:rsidRPr="0099528A" w:rsidRDefault="00A26770" w:rsidP="00730F41">
            <w:pPr>
              <w:pStyle w:val="TableText"/>
              <w:keepNext/>
              <w:rPr>
                <w:b/>
              </w:rPr>
            </w:pPr>
            <w:r>
              <w:rPr>
                <w:b/>
              </w:rPr>
              <w:t>CT</w:t>
            </w:r>
          </w:p>
        </w:tc>
        <w:tc>
          <w:tcPr>
            <w:tcW w:w="1872" w:type="dxa"/>
            <w:tcBorders>
              <w:bottom w:val="double" w:sz="4" w:space="0" w:color="auto"/>
            </w:tcBorders>
          </w:tcPr>
          <w:p w14:paraId="57C121BD" w14:textId="77777777" w:rsidR="00A26770" w:rsidRPr="0099528A" w:rsidRDefault="00A26770" w:rsidP="00730F41">
            <w:pPr>
              <w:pStyle w:val="TableText"/>
              <w:keepNext/>
              <w:rPr>
                <w:b/>
              </w:rPr>
            </w:pPr>
            <w:r>
              <w:rPr>
                <w:b/>
              </w:rPr>
              <w:t>Increment</w:t>
            </w:r>
          </w:p>
        </w:tc>
      </w:tr>
      <w:tr w:rsidR="00A26770" w:rsidRPr="0099528A" w14:paraId="0DB34B0E" w14:textId="77777777" w:rsidTr="00443577">
        <w:trPr>
          <w:tblHeader/>
        </w:trPr>
        <w:tc>
          <w:tcPr>
            <w:tcW w:w="8679" w:type="dxa"/>
            <w:gridSpan w:val="4"/>
            <w:tcBorders>
              <w:top w:val="double" w:sz="4" w:space="0" w:color="auto"/>
            </w:tcBorders>
          </w:tcPr>
          <w:p w14:paraId="32CD6BF4" w14:textId="6AD45AF7" w:rsidR="00A26770" w:rsidRDefault="00A26770" w:rsidP="00891A92">
            <w:pPr>
              <w:pStyle w:val="TableText"/>
              <w:keepNext/>
              <w:rPr>
                <w:b/>
              </w:rPr>
            </w:pPr>
            <w:r w:rsidRPr="00236F7E">
              <w:rPr>
                <w:b/>
              </w:rPr>
              <w:t>Step 1</w:t>
            </w:r>
            <w:r>
              <w:rPr>
                <w:b/>
              </w:rPr>
              <w:t xml:space="preserve">: Cost comparison of direct imaging costs only </w:t>
            </w:r>
          </w:p>
        </w:tc>
      </w:tr>
      <w:tr w:rsidR="00A26770" w14:paraId="3A64BD27" w14:textId="77777777" w:rsidTr="00443577">
        <w:tc>
          <w:tcPr>
            <w:tcW w:w="8679" w:type="dxa"/>
            <w:gridSpan w:val="4"/>
          </w:tcPr>
          <w:p w14:paraId="325322A4" w14:textId="77777777" w:rsidR="00A26770" w:rsidRDefault="00A26770" w:rsidP="00891A92">
            <w:pPr>
              <w:pStyle w:val="TableText"/>
              <w:keepNext/>
            </w:pPr>
            <w:r>
              <w:t>(Biannual imaging in people with hereditary syndromes with predisposition to RCC, and includes cost associated with imaging over the 50-year modelled time horizon (undiscounted). Outcome presented is cost comparison.</w:t>
            </w:r>
          </w:p>
        </w:tc>
      </w:tr>
      <w:tr w:rsidR="00A26770" w:rsidRPr="00662B93" w14:paraId="30740693" w14:textId="77777777" w:rsidTr="00443577">
        <w:tc>
          <w:tcPr>
            <w:tcW w:w="4448" w:type="dxa"/>
          </w:tcPr>
          <w:p w14:paraId="45B95743" w14:textId="77777777" w:rsidR="00A26770" w:rsidRDefault="00A26770" w:rsidP="00891A92">
            <w:pPr>
              <w:pStyle w:val="TableText"/>
              <w:keepNext/>
            </w:pPr>
            <w:r>
              <w:t>Undiscounted Results</w:t>
            </w:r>
          </w:p>
          <w:p w14:paraId="725573DD" w14:textId="77777777" w:rsidR="00A26770" w:rsidRPr="00662B93" w:rsidRDefault="00A26770" w:rsidP="00891A92">
            <w:pPr>
              <w:pStyle w:val="TableText"/>
              <w:keepNext/>
            </w:pPr>
            <w:r w:rsidRPr="00662B93">
              <w:t xml:space="preserve">Total </w:t>
            </w:r>
            <w:r>
              <w:t xml:space="preserve">direct </w:t>
            </w:r>
            <w:r w:rsidRPr="00662B93">
              <w:t>cost</w:t>
            </w:r>
            <w:r>
              <w:t xml:space="preserve"> difference over 50 years.</w:t>
            </w:r>
          </w:p>
        </w:tc>
        <w:tc>
          <w:tcPr>
            <w:tcW w:w="1246" w:type="dxa"/>
            <w:vAlign w:val="bottom"/>
          </w:tcPr>
          <w:p w14:paraId="534ACCE9" w14:textId="77777777" w:rsidR="00A26770" w:rsidRPr="00662B93" w:rsidRDefault="00A26770" w:rsidP="00891A92">
            <w:pPr>
              <w:pStyle w:val="TableText"/>
              <w:keepNext/>
              <w:jc w:val="right"/>
            </w:pPr>
            <w:r>
              <w:rPr>
                <w:rFonts w:cs="Calibri"/>
                <w:color w:val="000000"/>
                <w:szCs w:val="20"/>
              </w:rPr>
              <w:t>$14,814</w:t>
            </w:r>
          </w:p>
        </w:tc>
        <w:tc>
          <w:tcPr>
            <w:tcW w:w="1113" w:type="dxa"/>
            <w:vAlign w:val="bottom"/>
          </w:tcPr>
          <w:p w14:paraId="77A3E893" w14:textId="77777777" w:rsidR="00A26770" w:rsidRPr="00662B93" w:rsidRDefault="00A26770" w:rsidP="00891A92">
            <w:pPr>
              <w:pStyle w:val="TableText"/>
              <w:keepNext/>
              <w:jc w:val="right"/>
            </w:pPr>
            <w:r>
              <w:rPr>
                <w:rFonts w:cs="Calibri"/>
                <w:color w:val="000000"/>
                <w:szCs w:val="20"/>
              </w:rPr>
              <w:t>$10,497</w:t>
            </w:r>
          </w:p>
        </w:tc>
        <w:tc>
          <w:tcPr>
            <w:tcW w:w="1872" w:type="dxa"/>
            <w:vAlign w:val="bottom"/>
          </w:tcPr>
          <w:p w14:paraId="661E38C0" w14:textId="77777777" w:rsidR="00A26770" w:rsidRPr="008F599D" w:rsidRDefault="00A26770" w:rsidP="00891A92">
            <w:pPr>
              <w:pStyle w:val="TableText"/>
              <w:keepNext/>
              <w:jc w:val="right"/>
            </w:pPr>
            <w:r>
              <w:rPr>
                <w:rFonts w:cs="Calibri"/>
                <w:color w:val="000000"/>
                <w:szCs w:val="20"/>
              </w:rPr>
              <w:t>$4,317</w:t>
            </w:r>
          </w:p>
        </w:tc>
      </w:tr>
      <w:tr w:rsidR="00A26770" w:rsidRPr="00662B93" w14:paraId="41465529" w14:textId="77777777" w:rsidTr="00443577">
        <w:tc>
          <w:tcPr>
            <w:tcW w:w="4448" w:type="dxa"/>
            <w:tcBorders>
              <w:bottom w:val="double" w:sz="4" w:space="0" w:color="auto"/>
            </w:tcBorders>
            <w:shd w:val="clear" w:color="auto" w:fill="E7E6E6" w:themeFill="background2"/>
          </w:tcPr>
          <w:p w14:paraId="6E2D13A9" w14:textId="77777777" w:rsidR="00A26770" w:rsidRDefault="00A26770" w:rsidP="00891A92">
            <w:pPr>
              <w:pStyle w:val="TableText"/>
              <w:keepNext/>
            </w:pPr>
            <w:r>
              <w:t>Discounted Results</w:t>
            </w:r>
          </w:p>
          <w:p w14:paraId="52582790" w14:textId="77777777" w:rsidR="00A26770" w:rsidRDefault="00A26770" w:rsidP="00891A92">
            <w:pPr>
              <w:pStyle w:val="TableText"/>
              <w:keepNext/>
            </w:pPr>
            <w:r w:rsidRPr="00662B93">
              <w:t xml:space="preserve">Total </w:t>
            </w:r>
            <w:r>
              <w:t xml:space="preserve">direct </w:t>
            </w:r>
            <w:r w:rsidRPr="00662B93">
              <w:t>cost</w:t>
            </w:r>
            <w:r>
              <w:t xml:space="preserve"> difference over 50 years.</w:t>
            </w:r>
          </w:p>
        </w:tc>
        <w:tc>
          <w:tcPr>
            <w:tcW w:w="1246" w:type="dxa"/>
            <w:tcBorders>
              <w:bottom w:val="double" w:sz="4" w:space="0" w:color="auto"/>
            </w:tcBorders>
            <w:shd w:val="clear" w:color="auto" w:fill="E7E6E6" w:themeFill="background2"/>
            <w:vAlign w:val="bottom"/>
          </w:tcPr>
          <w:p w14:paraId="1AF2B22E" w14:textId="77777777" w:rsidR="00A26770" w:rsidRDefault="00A26770" w:rsidP="00891A92">
            <w:pPr>
              <w:pStyle w:val="TableText"/>
              <w:keepNext/>
              <w:jc w:val="right"/>
              <w:rPr>
                <w:rFonts w:cs="Calibri"/>
                <w:color w:val="000000"/>
                <w:szCs w:val="20"/>
              </w:rPr>
            </w:pPr>
            <w:r>
              <w:rPr>
                <w:color w:val="000000"/>
              </w:rPr>
              <w:t>$6,261</w:t>
            </w:r>
          </w:p>
        </w:tc>
        <w:tc>
          <w:tcPr>
            <w:tcW w:w="1113" w:type="dxa"/>
            <w:tcBorders>
              <w:bottom w:val="double" w:sz="4" w:space="0" w:color="auto"/>
            </w:tcBorders>
            <w:shd w:val="clear" w:color="auto" w:fill="E7E6E6" w:themeFill="background2"/>
            <w:vAlign w:val="bottom"/>
          </w:tcPr>
          <w:p w14:paraId="6BAA53A5" w14:textId="77777777" w:rsidR="00A26770" w:rsidRDefault="00A26770" w:rsidP="00891A92">
            <w:pPr>
              <w:pStyle w:val="TableText"/>
              <w:keepNext/>
              <w:jc w:val="right"/>
              <w:rPr>
                <w:rFonts w:cs="Calibri"/>
                <w:color w:val="000000"/>
                <w:szCs w:val="20"/>
              </w:rPr>
            </w:pPr>
            <w:r>
              <w:rPr>
                <w:color w:val="000000"/>
              </w:rPr>
              <w:t>$4,436</w:t>
            </w:r>
          </w:p>
        </w:tc>
        <w:tc>
          <w:tcPr>
            <w:tcW w:w="1872" w:type="dxa"/>
            <w:tcBorders>
              <w:bottom w:val="double" w:sz="4" w:space="0" w:color="auto"/>
            </w:tcBorders>
            <w:shd w:val="clear" w:color="auto" w:fill="E7E6E6" w:themeFill="background2"/>
            <w:vAlign w:val="bottom"/>
          </w:tcPr>
          <w:p w14:paraId="0057BEFB" w14:textId="77777777" w:rsidR="00A26770" w:rsidRDefault="00A26770" w:rsidP="00891A92">
            <w:pPr>
              <w:pStyle w:val="TableText"/>
              <w:keepNext/>
              <w:jc w:val="right"/>
              <w:rPr>
                <w:rFonts w:cs="Calibri"/>
                <w:color w:val="000000"/>
                <w:szCs w:val="20"/>
              </w:rPr>
            </w:pPr>
            <w:r>
              <w:rPr>
                <w:color w:val="000000"/>
              </w:rPr>
              <w:t>$1,824</w:t>
            </w:r>
          </w:p>
        </w:tc>
      </w:tr>
      <w:tr w:rsidR="00A26770" w14:paraId="5BA02523" w14:textId="77777777" w:rsidTr="00443577">
        <w:tc>
          <w:tcPr>
            <w:tcW w:w="8679" w:type="dxa"/>
            <w:gridSpan w:val="4"/>
            <w:tcBorders>
              <w:top w:val="double" w:sz="4" w:space="0" w:color="auto"/>
            </w:tcBorders>
            <w:shd w:val="clear" w:color="auto" w:fill="DEEAF6" w:themeFill="accent1" w:themeFillTint="33"/>
          </w:tcPr>
          <w:p w14:paraId="423DE5A8" w14:textId="5A56DB14" w:rsidR="00A26770" w:rsidRPr="000E047E" w:rsidRDefault="00A26770" w:rsidP="00891A92">
            <w:pPr>
              <w:pStyle w:val="TableText"/>
              <w:keepNext/>
            </w:pPr>
            <w:r>
              <w:rPr>
                <w:b/>
              </w:rPr>
              <w:t xml:space="preserve">Step </w:t>
            </w:r>
            <w:r w:rsidR="003D2F27">
              <w:rPr>
                <w:b/>
              </w:rPr>
              <w:t>2 Cost effectiveness analysis (Healthcare system perspective)</w:t>
            </w:r>
          </w:p>
        </w:tc>
      </w:tr>
      <w:tr w:rsidR="00A26770" w14:paraId="697DA54C" w14:textId="77777777" w:rsidTr="00443577">
        <w:tc>
          <w:tcPr>
            <w:tcW w:w="8679" w:type="dxa"/>
            <w:gridSpan w:val="4"/>
            <w:shd w:val="clear" w:color="auto" w:fill="DEEAF6" w:themeFill="accent1" w:themeFillTint="33"/>
          </w:tcPr>
          <w:p w14:paraId="29BD9804" w14:textId="1E77728F" w:rsidR="00A26770" w:rsidRDefault="00342413" w:rsidP="00891A92">
            <w:pPr>
              <w:pStyle w:val="TableText"/>
              <w:keepNext/>
              <w:rPr>
                <w:b/>
              </w:rPr>
            </w:pPr>
            <w:r>
              <w:t xml:space="preserve">Estimates the ICER </w:t>
            </w:r>
            <w:r w:rsidR="003D2F27">
              <w:t xml:space="preserve">by modelling excess cancer risk associated with </w:t>
            </w:r>
            <w:r w:rsidR="008C1FF1">
              <w:t xml:space="preserve">CT </w:t>
            </w:r>
            <w:r w:rsidR="003D2F27">
              <w:t xml:space="preserve">radiation </w:t>
            </w:r>
            <w:r w:rsidR="00940E74">
              <w:t>to</w:t>
            </w:r>
            <w:r w:rsidR="003D2F27">
              <w:t xml:space="preserve"> identi</w:t>
            </w:r>
            <w:r w:rsidR="00940E74">
              <w:t>fy</w:t>
            </w:r>
            <w:r w:rsidR="003D2F27">
              <w:t xml:space="preserve"> the number of cancer cases </w:t>
            </w:r>
            <w:r w:rsidR="00732645">
              <w:t>associated</w:t>
            </w:r>
            <w:r w:rsidR="003D2F27">
              <w:t xml:space="preserve"> with CT over the 50-year time horizon </w:t>
            </w:r>
            <w:r w:rsidR="00940E74">
              <w:t>and calc</w:t>
            </w:r>
            <w:r w:rsidR="0091376D">
              <w:t xml:space="preserve">ulating the ratio of incremental direct imaging costs to </w:t>
            </w:r>
            <w:r w:rsidR="001817E1">
              <w:t xml:space="preserve">incremental cancers developed </w:t>
            </w:r>
          </w:p>
        </w:tc>
      </w:tr>
      <w:tr w:rsidR="00A26770" w:rsidRPr="007B1FE3" w14:paraId="20F89A57" w14:textId="77777777" w:rsidTr="00443577">
        <w:tc>
          <w:tcPr>
            <w:tcW w:w="4448" w:type="dxa"/>
            <w:shd w:val="clear" w:color="auto" w:fill="DEEAF6" w:themeFill="accent1" w:themeFillTint="33"/>
          </w:tcPr>
          <w:p w14:paraId="143B3844" w14:textId="77777777" w:rsidR="00A26770" w:rsidRDefault="00A26770" w:rsidP="00891A92">
            <w:pPr>
              <w:pStyle w:val="TableText"/>
              <w:keepNext/>
            </w:pPr>
            <w:r>
              <w:t xml:space="preserve">Undiscounted imaging </w:t>
            </w:r>
            <w:r w:rsidRPr="00662B93">
              <w:t>cost</w:t>
            </w:r>
            <w:r>
              <w:t>s</w:t>
            </w:r>
          </w:p>
          <w:p w14:paraId="3EEA5282" w14:textId="77777777" w:rsidR="00A26770" w:rsidRPr="00662B93" w:rsidRDefault="00A26770" w:rsidP="00891A92">
            <w:pPr>
              <w:pStyle w:val="TableText"/>
              <w:keepNext/>
            </w:pPr>
            <w:r>
              <w:t>Undiscounted radiation-induced cancers</w:t>
            </w:r>
          </w:p>
        </w:tc>
        <w:tc>
          <w:tcPr>
            <w:tcW w:w="1246" w:type="dxa"/>
            <w:shd w:val="clear" w:color="auto" w:fill="DEEAF6" w:themeFill="accent1" w:themeFillTint="33"/>
            <w:vAlign w:val="center"/>
          </w:tcPr>
          <w:p w14:paraId="3E6C1BD8" w14:textId="77777777" w:rsidR="00A26770" w:rsidRPr="007B1FE3" w:rsidRDefault="00A26770" w:rsidP="00891A92">
            <w:pPr>
              <w:pStyle w:val="TableText"/>
              <w:keepNext/>
              <w:jc w:val="right"/>
            </w:pPr>
            <w:r w:rsidRPr="007B1FE3">
              <w:t>$14,814</w:t>
            </w:r>
          </w:p>
          <w:p w14:paraId="54750668" w14:textId="77777777" w:rsidR="00A26770" w:rsidRPr="007B1FE3" w:rsidRDefault="00A26770" w:rsidP="00891A92">
            <w:pPr>
              <w:pStyle w:val="TableText"/>
              <w:keepNext/>
              <w:jc w:val="right"/>
            </w:pPr>
            <w:r>
              <w:t>0.000</w:t>
            </w:r>
          </w:p>
        </w:tc>
        <w:tc>
          <w:tcPr>
            <w:tcW w:w="1113" w:type="dxa"/>
            <w:shd w:val="clear" w:color="auto" w:fill="DEEAF6" w:themeFill="accent1" w:themeFillTint="33"/>
            <w:vAlign w:val="center"/>
          </w:tcPr>
          <w:p w14:paraId="2883B4ED" w14:textId="77777777" w:rsidR="00A26770" w:rsidRPr="007B1FE3" w:rsidRDefault="00A26770" w:rsidP="00891A92">
            <w:pPr>
              <w:pStyle w:val="TableText"/>
              <w:keepNext/>
              <w:jc w:val="right"/>
            </w:pPr>
            <w:r w:rsidRPr="007B1FE3">
              <w:t>$10,497</w:t>
            </w:r>
          </w:p>
          <w:p w14:paraId="5FC0A636" w14:textId="77777777" w:rsidR="00A26770" w:rsidRPr="007B1FE3" w:rsidRDefault="00A26770" w:rsidP="00891A92">
            <w:pPr>
              <w:pStyle w:val="TableText"/>
              <w:keepNext/>
              <w:jc w:val="right"/>
            </w:pPr>
            <w:r>
              <w:t>0.0971</w:t>
            </w:r>
          </w:p>
        </w:tc>
        <w:tc>
          <w:tcPr>
            <w:tcW w:w="1872" w:type="dxa"/>
            <w:shd w:val="clear" w:color="auto" w:fill="DEEAF6" w:themeFill="accent1" w:themeFillTint="33"/>
            <w:vAlign w:val="center"/>
          </w:tcPr>
          <w:p w14:paraId="7CB555B5" w14:textId="77777777" w:rsidR="00A26770" w:rsidRPr="007B1FE3" w:rsidRDefault="00A26770" w:rsidP="00891A92">
            <w:pPr>
              <w:pStyle w:val="TableText"/>
              <w:keepNext/>
              <w:jc w:val="right"/>
            </w:pPr>
            <w:r w:rsidRPr="007B1FE3">
              <w:t>$4,317</w:t>
            </w:r>
          </w:p>
          <w:p w14:paraId="53A5F6C4" w14:textId="77777777" w:rsidR="00A26770" w:rsidRPr="007B1FE3" w:rsidRDefault="00A26770" w:rsidP="00891A92">
            <w:pPr>
              <w:pStyle w:val="TableText"/>
              <w:keepNext/>
              <w:jc w:val="right"/>
            </w:pPr>
            <w:r>
              <w:t>–0.0971</w:t>
            </w:r>
          </w:p>
        </w:tc>
      </w:tr>
      <w:tr w:rsidR="00A26770" w14:paraId="46BFC7F6" w14:textId="77777777" w:rsidTr="00443577">
        <w:tc>
          <w:tcPr>
            <w:tcW w:w="6807" w:type="dxa"/>
            <w:gridSpan w:val="3"/>
            <w:tcBorders>
              <w:bottom w:val="double" w:sz="4" w:space="0" w:color="auto"/>
            </w:tcBorders>
            <w:shd w:val="clear" w:color="auto" w:fill="DEEAF6" w:themeFill="accent1" w:themeFillTint="33"/>
          </w:tcPr>
          <w:p w14:paraId="1CD576B4" w14:textId="2E503858" w:rsidR="00A26770" w:rsidRDefault="008C1FF1" w:rsidP="00891A92">
            <w:pPr>
              <w:pStyle w:val="TableText"/>
              <w:keepNext/>
            </w:pPr>
            <w:r>
              <w:t>Undiscounted Result: ICER, per radiation induced cancer avoided</w:t>
            </w:r>
          </w:p>
        </w:tc>
        <w:tc>
          <w:tcPr>
            <w:tcW w:w="1872" w:type="dxa"/>
            <w:tcBorders>
              <w:bottom w:val="double" w:sz="4" w:space="0" w:color="auto"/>
            </w:tcBorders>
            <w:shd w:val="clear" w:color="auto" w:fill="DEEAF6" w:themeFill="accent1" w:themeFillTint="33"/>
          </w:tcPr>
          <w:p w14:paraId="44378FD0" w14:textId="77777777" w:rsidR="006130AB" w:rsidRDefault="006130AB" w:rsidP="00891A92">
            <w:pPr>
              <w:pStyle w:val="TableText"/>
              <w:keepNext/>
              <w:jc w:val="right"/>
            </w:pPr>
            <w:r>
              <w:t xml:space="preserve">MRI is </w:t>
            </w:r>
            <w:r w:rsidR="00D435A4">
              <w:t>more</w:t>
            </w:r>
            <w:r>
              <w:t xml:space="preserve"> costly and more effective than CT</w:t>
            </w:r>
          </w:p>
          <w:p w14:paraId="2294EFC9" w14:textId="77777777" w:rsidR="00A26770" w:rsidRDefault="00A26770" w:rsidP="00891A92">
            <w:pPr>
              <w:pStyle w:val="TableText"/>
              <w:keepNext/>
              <w:jc w:val="right"/>
            </w:pPr>
            <w:r>
              <w:t>$44,458 per cancer case avoided</w:t>
            </w:r>
          </w:p>
        </w:tc>
      </w:tr>
      <w:tr w:rsidR="00A26770" w:rsidRPr="007B1FE3" w14:paraId="63E46044" w14:textId="77777777" w:rsidTr="00443577">
        <w:tc>
          <w:tcPr>
            <w:tcW w:w="4448" w:type="dxa"/>
            <w:shd w:val="clear" w:color="auto" w:fill="DEEAF6" w:themeFill="accent1" w:themeFillTint="33"/>
          </w:tcPr>
          <w:p w14:paraId="46670F52" w14:textId="77777777" w:rsidR="00A26770" w:rsidRDefault="00A26770" w:rsidP="00891A92">
            <w:pPr>
              <w:pStyle w:val="TableText"/>
              <w:keepNext/>
            </w:pPr>
            <w:r>
              <w:t xml:space="preserve">Discounted imaging </w:t>
            </w:r>
            <w:r w:rsidRPr="00662B93">
              <w:t>cost</w:t>
            </w:r>
            <w:r>
              <w:t>s</w:t>
            </w:r>
          </w:p>
          <w:p w14:paraId="7AC3864A" w14:textId="77777777" w:rsidR="00A26770" w:rsidRPr="00662B93" w:rsidRDefault="00A26770" w:rsidP="00891A92">
            <w:pPr>
              <w:pStyle w:val="TableText"/>
              <w:keepNext/>
            </w:pPr>
            <w:r>
              <w:t>Discounted radiation-induced cancers*</w:t>
            </w:r>
          </w:p>
        </w:tc>
        <w:tc>
          <w:tcPr>
            <w:tcW w:w="1246" w:type="dxa"/>
            <w:shd w:val="clear" w:color="auto" w:fill="DEEAF6" w:themeFill="accent1" w:themeFillTint="33"/>
            <w:vAlign w:val="center"/>
          </w:tcPr>
          <w:p w14:paraId="3A03CC5B" w14:textId="77777777" w:rsidR="00A26770" w:rsidRPr="007B1FE3" w:rsidRDefault="00A26770" w:rsidP="00891A92">
            <w:pPr>
              <w:pStyle w:val="TableText"/>
              <w:keepNext/>
              <w:jc w:val="right"/>
            </w:pPr>
            <w:r w:rsidRPr="007B1FE3">
              <w:t>$</w:t>
            </w:r>
            <w:r>
              <w:t>6</w:t>
            </w:r>
            <w:r w:rsidRPr="007B1FE3">
              <w:t>,</w:t>
            </w:r>
            <w:r>
              <w:t>261</w:t>
            </w:r>
          </w:p>
          <w:p w14:paraId="3EC3821F" w14:textId="77777777" w:rsidR="00A26770" w:rsidRPr="007B1FE3" w:rsidRDefault="00A26770" w:rsidP="00891A92">
            <w:pPr>
              <w:pStyle w:val="TableText"/>
              <w:keepNext/>
              <w:jc w:val="right"/>
            </w:pPr>
            <w:r>
              <w:t>0.00</w:t>
            </w:r>
          </w:p>
        </w:tc>
        <w:tc>
          <w:tcPr>
            <w:tcW w:w="1113" w:type="dxa"/>
            <w:shd w:val="clear" w:color="auto" w:fill="DEEAF6" w:themeFill="accent1" w:themeFillTint="33"/>
            <w:vAlign w:val="center"/>
          </w:tcPr>
          <w:p w14:paraId="6D63A88A" w14:textId="77777777" w:rsidR="00A26770" w:rsidRPr="007B1FE3" w:rsidRDefault="00A26770" w:rsidP="00891A92">
            <w:pPr>
              <w:pStyle w:val="TableText"/>
              <w:keepNext/>
              <w:jc w:val="right"/>
            </w:pPr>
            <w:r w:rsidRPr="007B1FE3">
              <w:t>$</w:t>
            </w:r>
            <w:r>
              <w:t>4</w:t>
            </w:r>
            <w:r w:rsidRPr="007B1FE3">
              <w:t>,</w:t>
            </w:r>
            <w:r>
              <w:t>436</w:t>
            </w:r>
          </w:p>
          <w:p w14:paraId="2345A8B3" w14:textId="77777777" w:rsidR="00A26770" w:rsidRPr="007B1FE3" w:rsidRDefault="00A26770" w:rsidP="00891A92">
            <w:pPr>
              <w:pStyle w:val="TableText"/>
              <w:keepNext/>
              <w:jc w:val="right"/>
            </w:pPr>
            <w:r>
              <w:t>0.0169</w:t>
            </w:r>
          </w:p>
        </w:tc>
        <w:tc>
          <w:tcPr>
            <w:tcW w:w="1872" w:type="dxa"/>
            <w:shd w:val="clear" w:color="auto" w:fill="DEEAF6" w:themeFill="accent1" w:themeFillTint="33"/>
            <w:vAlign w:val="center"/>
          </w:tcPr>
          <w:p w14:paraId="4265AA87" w14:textId="77777777" w:rsidR="00A26770" w:rsidRPr="007B1FE3" w:rsidRDefault="00A26770" w:rsidP="00891A92">
            <w:pPr>
              <w:pStyle w:val="TableText"/>
              <w:keepNext/>
              <w:jc w:val="right"/>
            </w:pPr>
            <w:r w:rsidRPr="007B1FE3">
              <w:t>$</w:t>
            </w:r>
            <w:r>
              <w:t>1,82</w:t>
            </w:r>
            <w:r w:rsidRPr="007B1FE3">
              <w:t>4</w:t>
            </w:r>
          </w:p>
          <w:p w14:paraId="514BCC2B" w14:textId="77777777" w:rsidR="00A26770" w:rsidRPr="007B1FE3" w:rsidRDefault="00A26770" w:rsidP="00891A92">
            <w:pPr>
              <w:pStyle w:val="TableText"/>
              <w:keepNext/>
              <w:jc w:val="right"/>
            </w:pPr>
            <w:r>
              <w:t>–0.0169</w:t>
            </w:r>
          </w:p>
        </w:tc>
      </w:tr>
      <w:tr w:rsidR="00A26770" w14:paraId="50DC7C9C" w14:textId="77777777" w:rsidTr="00443577">
        <w:tc>
          <w:tcPr>
            <w:tcW w:w="6807" w:type="dxa"/>
            <w:gridSpan w:val="3"/>
            <w:tcBorders>
              <w:bottom w:val="double" w:sz="4" w:space="0" w:color="auto"/>
            </w:tcBorders>
            <w:shd w:val="clear" w:color="auto" w:fill="DEEAF6" w:themeFill="accent1" w:themeFillTint="33"/>
          </w:tcPr>
          <w:p w14:paraId="092E3106" w14:textId="2A675A59" w:rsidR="00A26770" w:rsidRDefault="006130AB" w:rsidP="00891A92">
            <w:pPr>
              <w:pStyle w:val="TableText"/>
              <w:keepNext/>
            </w:pPr>
            <w:r>
              <w:t xml:space="preserve">Discounted Result: ICER </w:t>
            </w:r>
            <w:r w:rsidRPr="00FD6FC5">
              <w:t>per radiation induced cancer avoided</w:t>
            </w:r>
            <w:r w:rsidR="00A26770">
              <w:t xml:space="preserve">. </w:t>
            </w:r>
          </w:p>
        </w:tc>
        <w:tc>
          <w:tcPr>
            <w:tcW w:w="1872" w:type="dxa"/>
            <w:tcBorders>
              <w:bottom w:val="double" w:sz="4" w:space="0" w:color="auto"/>
            </w:tcBorders>
            <w:shd w:val="clear" w:color="auto" w:fill="DEEAF6" w:themeFill="accent1" w:themeFillTint="33"/>
          </w:tcPr>
          <w:p w14:paraId="4C1B5D70" w14:textId="77777777" w:rsidR="00A26770" w:rsidRDefault="00A26770" w:rsidP="00891A92">
            <w:pPr>
              <w:pStyle w:val="TableText"/>
              <w:keepNext/>
              <w:jc w:val="right"/>
            </w:pPr>
            <w:r>
              <w:t>$108,234 per cancer case avoided</w:t>
            </w:r>
          </w:p>
        </w:tc>
      </w:tr>
    </w:tbl>
    <w:p w14:paraId="71E95595" w14:textId="77777777" w:rsidR="00A26770" w:rsidRDefault="00A26770" w:rsidP="00891A92">
      <w:pPr>
        <w:pStyle w:val="TableFigureFooter"/>
        <w:keepNext/>
      </w:pPr>
      <w:r>
        <w:t>CT = computed tomography; ICER = incremental cost effectiveness ratio; MRI = magnetic resonance imaging; RCC = renal cell carcinoma</w:t>
      </w:r>
    </w:p>
    <w:p w14:paraId="1F852C6B" w14:textId="7B424EC9" w:rsidR="00A26770" w:rsidRDefault="00A26770" w:rsidP="00891A92">
      <w:pPr>
        <w:pStyle w:val="TableFigureFooter"/>
        <w:keepNext/>
      </w:pPr>
      <w:r>
        <w:t xml:space="preserve">*Discounting of radiation-induced cancer events is an abstract conceptualisation; </w:t>
      </w:r>
      <w:r w:rsidR="00220CEA">
        <w:t>T</w:t>
      </w:r>
      <w:r>
        <w:t xml:space="preserve">he discounting factor can be applied to either the event rate or the cost, but not both.  </w:t>
      </w:r>
    </w:p>
    <w:p w14:paraId="5305BEF1" w14:textId="77777777" w:rsidR="00A26770" w:rsidRDefault="00A26770" w:rsidP="00891A92">
      <w:pPr>
        <w:pStyle w:val="TableFigureFooter"/>
        <w:keepNext/>
      </w:pPr>
      <w:r>
        <w:t>Note: Discounting applied to costs and outcome at 5%p.a.</w:t>
      </w:r>
    </w:p>
    <w:p w14:paraId="1E7AF4A0" w14:textId="1C768712" w:rsidR="005E4D88" w:rsidRPr="004D24F1" w:rsidRDefault="005E4D88" w:rsidP="00891A92">
      <w:pPr>
        <w:pStyle w:val="TableFigureFooter"/>
        <w:keepNext/>
      </w:pPr>
      <w:r>
        <w:t xml:space="preserve">Note </w:t>
      </w:r>
      <w:r w:rsidR="002A1C54">
        <w:t xml:space="preserve">table </w:t>
      </w:r>
      <w:r>
        <w:t>updated based on MSAC</w:t>
      </w:r>
      <w:r w:rsidR="00823910">
        <w:t>’s advice</w:t>
      </w:r>
    </w:p>
    <w:p w14:paraId="01BF5B35" w14:textId="58CAD18D" w:rsidR="0088779E" w:rsidRDefault="0088779E" w:rsidP="0088779E">
      <w:r>
        <w:t xml:space="preserve">The base case result (discounted) indicates that compared with CT, proposed abdominal MRI costs </w:t>
      </w:r>
      <w:r w:rsidR="00A0155E">
        <w:t xml:space="preserve">an </w:t>
      </w:r>
      <w:r>
        <w:t>additional $1,</w:t>
      </w:r>
      <w:r w:rsidR="007003C8">
        <w:t>824</w:t>
      </w:r>
      <w:r>
        <w:t xml:space="preserve"> and results in 1.7% radiation induced cancers avoided. This result</w:t>
      </w:r>
      <w:r w:rsidR="00DA539D">
        <w:t>s</w:t>
      </w:r>
      <w:r>
        <w:t xml:space="preserve"> in </w:t>
      </w:r>
      <w:r w:rsidR="00DA539D">
        <w:t>an</w:t>
      </w:r>
      <w:r>
        <w:t xml:space="preserve"> incremental cost effectiveness ratio (ICER) of $</w:t>
      </w:r>
      <w:r w:rsidR="000344EB">
        <w:t>108,234</w:t>
      </w:r>
      <w:r>
        <w:t xml:space="preserve"> per radiation induced cancer avoided. </w:t>
      </w:r>
    </w:p>
    <w:p w14:paraId="251AAF50" w14:textId="7A444237" w:rsidR="00AF7DC2" w:rsidRDefault="00E759D5" w:rsidP="007F012A">
      <w:r>
        <w:t>The</w:t>
      </w:r>
      <w:r w:rsidR="009830BD">
        <w:t xml:space="preserve"> results are not influenced by the disease specific risk of renal cancers (AMLs or RCCs), diagnostic accuracy of tests</w:t>
      </w:r>
      <w:r w:rsidR="009830BD" w:rsidRPr="00A0155E">
        <w:t xml:space="preserve">, </w:t>
      </w:r>
      <w:r w:rsidR="009E4291" w:rsidRPr="00467FAF">
        <w:t>or</w:t>
      </w:r>
      <w:r w:rsidR="009830BD" w:rsidRPr="00467FAF">
        <w:t xml:space="preserve"> </w:t>
      </w:r>
      <w:r w:rsidR="00467FAF" w:rsidRPr="00A077E8">
        <w:t xml:space="preserve">treatment </w:t>
      </w:r>
      <w:r w:rsidR="00467FAF" w:rsidRPr="00467FAF">
        <w:t>costs associated with disease specific risk of renal cancers</w:t>
      </w:r>
      <w:r w:rsidR="00467FAF" w:rsidRPr="00F118B6">
        <w:t xml:space="preserve"> </w:t>
      </w:r>
      <w:r w:rsidR="009830BD">
        <w:t xml:space="preserve">as the inputs in these analyses are test costs, and risk and costs associated with cancers due to exposure to ionising radiation. </w:t>
      </w:r>
      <w:r w:rsidR="0088779E">
        <w:t xml:space="preserve">Scenario analysis </w:t>
      </w:r>
      <w:r w:rsidR="00817BA3">
        <w:t xml:space="preserve">was conducted </w:t>
      </w:r>
      <w:r w:rsidR="005B30FC">
        <w:t>integrat</w:t>
      </w:r>
      <w:r w:rsidR="000E57ED">
        <w:t>ing median values</w:t>
      </w:r>
      <w:r w:rsidR="0088779E">
        <w:t xml:space="preserve"> for sensitivity and specificity for CT and MRI and treatment costs (using VHL as an exemplar) </w:t>
      </w:r>
      <w:r w:rsidR="00642262">
        <w:t>into</w:t>
      </w:r>
      <w:r w:rsidR="00817BA3">
        <w:t xml:space="preserve"> </w:t>
      </w:r>
      <w:r w:rsidR="0088779E">
        <w:t>the base case</w:t>
      </w:r>
      <w:r w:rsidR="00642262">
        <w:t xml:space="preserve"> model</w:t>
      </w:r>
      <w:r w:rsidR="00AF7DC2">
        <w:t xml:space="preserve">. </w:t>
      </w:r>
      <w:r w:rsidR="00817BA3">
        <w:t>This analysis is exploratory because</w:t>
      </w:r>
      <w:r w:rsidR="00642262">
        <w:t xml:space="preserve"> th</w:t>
      </w:r>
      <w:r w:rsidR="00817BA3">
        <w:t>ese values are notional</w:t>
      </w:r>
      <w:r w:rsidR="00642262">
        <w:t xml:space="preserve">; </w:t>
      </w:r>
      <w:r w:rsidR="00817BA3">
        <w:t>the data is associated with wide and overlapping confidence intervals and comes from disparate sources</w:t>
      </w:r>
      <w:r w:rsidR="00642262">
        <w:t>, such that the clinical assessment considered the diagnostic effectiveness of each as similar</w:t>
      </w:r>
      <w:r w:rsidR="00817BA3">
        <w:t>.</w:t>
      </w:r>
      <w:r w:rsidR="00642262" w:rsidRPr="00642262">
        <w:t xml:space="preserve"> </w:t>
      </w:r>
      <w:r w:rsidR="00642262">
        <w:t xml:space="preserve">Health outcomes associated with </w:t>
      </w:r>
      <w:r w:rsidR="00642262" w:rsidRPr="00E9611A">
        <w:t>diagnosis</w:t>
      </w:r>
      <w:r w:rsidR="00642262">
        <w:t xml:space="preserve">, </w:t>
      </w:r>
      <w:r w:rsidR="00642262" w:rsidRPr="00E9611A">
        <w:t>surveillance</w:t>
      </w:r>
      <w:r w:rsidR="00642262">
        <w:t>, treatment delay or over treatment</w:t>
      </w:r>
      <w:r w:rsidR="00A20DD8">
        <w:t xml:space="preserve"> </w:t>
      </w:r>
      <w:r w:rsidR="00642262">
        <w:t>are not captured in the model</w:t>
      </w:r>
      <w:r w:rsidR="00A20DD8">
        <w:t>, but cost implications of additional testing and management are included</w:t>
      </w:r>
      <w:r w:rsidR="00642262">
        <w:t xml:space="preserve">. </w:t>
      </w:r>
      <w:r w:rsidR="005B30FC">
        <w:t>Key assumptions in the scenario analyses are:</w:t>
      </w:r>
    </w:p>
    <w:p w14:paraId="0BC4463E" w14:textId="77777777" w:rsidR="00A20DD8" w:rsidRDefault="00A20DD8" w:rsidP="00EE7A08">
      <w:pPr>
        <w:pStyle w:val="ListParagraph"/>
        <w:numPr>
          <w:ilvl w:val="0"/>
          <w:numId w:val="22"/>
        </w:numPr>
      </w:pPr>
      <w:r>
        <w:t>Patients with true RCCs (disease positive) will have nephron sparing surgery irrespective of the test results (both true positive and false negative).</w:t>
      </w:r>
    </w:p>
    <w:p w14:paraId="03C76928" w14:textId="77777777" w:rsidR="0077213A" w:rsidRDefault="0077213A" w:rsidP="00EE7A08">
      <w:pPr>
        <w:pStyle w:val="ListParagraph"/>
        <w:numPr>
          <w:ilvl w:val="0"/>
          <w:numId w:val="22"/>
        </w:numPr>
      </w:pPr>
      <w:r>
        <w:t xml:space="preserve">Patients who are disease negative but test positive (false positive, benign </w:t>
      </w:r>
      <w:r w:rsidR="00BB45C1">
        <w:t>renal tumours</w:t>
      </w:r>
      <w:r>
        <w:t xml:space="preserve">) are assumed to be managed as indeterminate results and incur cost associated with confirmatory testing (biopsy and histopathology of the sample). </w:t>
      </w:r>
    </w:p>
    <w:p w14:paraId="1419D297" w14:textId="77777777" w:rsidR="005B30FC" w:rsidRDefault="00A20DD8" w:rsidP="00EE7A08">
      <w:pPr>
        <w:pStyle w:val="ListParagraph"/>
        <w:numPr>
          <w:ilvl w:val="0"/>
          <w:numId w:val="22"/>
        </w:numPr>
      </w:pPr>
      <w:r>
        <w:lastRenderedPageBreak/>
        <w:t xml:space="preserve">Due to ongoing routine monitoring, detection of interval cancers in false negative patients will not be delayed long enough to impact final outcomes - </w:t>
      </w:r>
      <w:proofErr w:type="gramStart"/>
      <w:r>
        <w:t>i.e.</w:t>
      </w:r>
      <w:proofErr w:type="gramEnd"/>
      <w:r w:rsidR="0077213A">
        <w:t xml:space="preserve"> they </w:t>
      </w:r>
      <w:r>
        <w:t>will ultimately be diagnosed and receive effective</w:t>
      </w:r>
      <w:r w:rsidR="0077213A">
        <w:t xml:space="preserve"> treatment</w:t>
      </w:r>
      <w:r>
        <w:t>.</w:t>
      </w:r>
    </w:p>
    <w:p w14:paraId="3DB0A107" w14:textId="62C13542" w:rsidR="00797EB1" w:rsidRDefault="00797EB1" w:rsidP="00797EB1">
      <w:r>
        <w:t>Due to lack of evidence</w:t>
      </w:r>
      <w:r w:rsidR="002766F6">
        <w:t>,</w:t>
      </w:r>
      <w:r>
        <w:t xml:space="preserve"> it was not possible to quantify the impact of delayed treatment </w:t>
      </w:r>
      <w:r w:rsidR="002766F6">
        <w:t xml:space="preserve">and </w:t>
      </w:r>
      <w:r>
        <w:t xml:space="preserve">the assumption of no </w:t>
      </w:r>
      <w:r w:rsidR="00A20DD8">
        <w:t xml:space="preserve">detrimental health </w:t>
      </w:r>
      <w:r>
        <w:t xml:space="preserve">effect is conservative. </w:t>
      </w:r>
    </w:p>
    <w:p w14:paraId="3C1E6FE5" w14:textId="67729204" w:rsidR="007F012A" w:rsidRDefault="0077213A" w:rsidP="007F012A">
      <w:r>
        <w:t>The results of the s</w:t>
      </w:r>
      <w:r w:rsidR="005B30FC">
        <w:t xml:space="preserve">cenario analysis </w:t>
      </w:r>
      <w:r>
        <w:t>estimated that, when including notional sensitivity and specificity, MRI was associated with a</w:t>
      </w:r>
      <w:r w:rsidR="0049441D">
        <w:t xml:space="preserve"> reduced </w:t>
      </w:r>
      <w:r w:rsidR="0088779E">
        <w:t>incremental cost of $</w:t>
      </w:r>
      <w:r w:rsidR="00AE6892">
        <w:t>72,036</w:t>
      </w:r>
      <w:r w:rsidR="0088779E">
        <w:t xml:space="preserve"> per radiation induced cancer avoided.</w:t>
      </w:r>
      <w:r w:rsidR="00F0151A">
        <w:t xml:space="preserve"> This analysis adds</w:t>
      </w:r>
      <w:r w:rsidR="00EA2A4E">
        <w:t xml:space="preserve"> the</w:t>
      </w:r>
      <w:r w:rsidR="00F0151A">
        <w:t xml:space="preserve"> additional </w:t>
      </w:r>
      <w:r w:rsidR="00EA2A4E">
        <w:t xml:space="preserve">short-term </w:t>
      </w:r>
      <w:r w:rsidR="00F0151A">
        <w:t xml:space="preserve">costs associated with </w:t>
      </w:r>
      <w:r w:rsidR="00EA2A4E">
        <w:t xml:space="preserve">correctly or incorrectly </w:t>
      </w:r>
      <w:r w:rsidR="00095AC6">
        <w:t>identifying RCCs</w:t>
      </w:r>
      <w:r w:rsidR="00EA2A4E">
        <w:t xml:space="preserve"> and short-term management (these costs would ‘cancel out’ in the base case where accuracy is assumed equivalent).</w:t>
      </w:r>
      <w:r w:rsidR="0088779E">
        <w:t xml:space="preserve"> </w:t>
      </w:r>
      <w:r w:rsidR="00C72F7D">
        <w:t>Table 10</w:t>
      </w:r>
      <w:r w:rsidR="00386A66">
        <w:t xml:space="preserve"> </w:t>
      </w:r>
      <w:r w:rsidR="007F012A">
        <w:t>presents the results (discounted) for the scenario analyses.</w:t>
      </w:r>
    </w:p>
    <w:p w14:paraId="76B782AC" w14:textId="03B30842" w:rsidR="007F012A" w:rsidRDefault="007F012A" w:rsidP="007F012A">
      <w:pPr>
        <w:pStyle w:val="TableHeading0"/>
      </w:pPr>
      <w:bookmarkStart w:id="34" w:name="_Ref118912049"/>
      <w:r>
        <w:t>Table</w:t>
      </w:r>
      <w:r w:rsidR="00C72F7D">
        <w:t>10</w:t>
      </w:r>
      <w:bookmarkEnd w:id="34"/>
      <w:r>
        <w:tab/>
        <w:t xml:space="preserve">Scenario analysis integrating test accuracy for MRI and CT using </w:t>
      </w:r>
      <w:r>
        <w:rPr>
          <w:rFonts w:cs="Calibri"/>
          <w:color w:val="000000"/>
          <w:szCs w:val="20"/>
        </w:rPr>
        <w:t>VHL as an exemplar</w:t>
      </w:r>
    </w:p>
    <w:tbl>
      <w:tblPr>
        <w:tblStyle w:val="TableGrid"/>
        <w:tblW w:w="0" w:type="auto"/>
        <w:tblLook w:val="04A0" w:firstRow="1" w:lastRow="0" w:firstColumn="1" w:lastColumn="0" w:noHBand="0" w:noVBand="1"/>
      </w:tblPr>
      <w:tblGrid>
        <w:gridCol w:w="4248"/>
        <w:gridCol w:w="1417"/>
        <w:gridCol w:w="1276"/>
        <w:gridCol w:w="2075"/>
      </w:tblGrid>
      <w:tr w:rsidR="007F012A" w:rsidRPr="0099528A" w14:paraId="2E442081" w14:textId="77777777" w:rsidTr="00A5289E">
        <w:trPr>
          <w:tblHeader/>
        </w:trPr>
        <w:tc>
          <w:tcPr>
            <w:tcW w:w="4248" w:type="dxa"/>
          </w:tcPr>
          <w:p w14:paraId="791D028F" w14:textId="77777777" w:rsidR="007F012A" w:rsidRPr="0099528A" w:rsidRDefault="007F012A" w:rsidP="00A5289E">
            <w:pPr>
              <w:pStyle w:val="TableText"/>
              <w:rPr>
                <w:b/>
              </w:rPr>
            </w:pPr>
          </w:p>
        </w:tc>
        <w:tc>
          <w:tcPr>
            <w:tcW w:w="1417" w:type="dxa"/>
          </w:tcPr>
          <w:p w14:paraId="68F80E60" w14:textId="77777777" w:rsidR="007F012A" w:rsidRPr="0099528A" w:rsidRDefault="007F012A" w:rsidP="00A5289E">
            <w:pPr>
              <w:pStyle w:val="TableText"/>
              <w:rPr>
                <w:b/>
              </w:rPr>
            </w:pPr>
            <w:r>
              <w:rPr>
                <w:b/>
              </w:rPr>
              <w:t>∆cost</w:t>
            </w:r>
          </w:p>
        </w:tc>
        <w:tc>
          <w:tcPr>
            <w:tcW w:w="1276" w:type="dxa"/>
          </w:tcPr>
          <w:p w14:paraId="0F4C5E68" w14:textId="77777777" w:rsidR="007F012A" w:rsidRPr="0099528A" w:rsidRDefault="007F012A" w:rsidP="00A5289E">
            <w:pPr>
              <w:pStyle w:val="TableText"/>
              <w:rPr>
                <w:b/>
              </w:rPr>
            </w:pPr>
            <w:r>
              <w:rPr>
                <w:b/>
              </w:rPr>
              <w:t>∆radiation-induced cancers</w:t>
            </w:r>
          </w:p>
        </w:tc>
        <w:tc>
          <w:tcPr>
            <w:tcW w:w="2075" w:type="dxa"/>
          </w:tcPr>
          <w:p w14:paraId="7FCE73F9" w14:textId="77777777" w:rsidR="007F012A" w:rsidRPr="0099528A" w:rsidRDefault="007F012A" w:rsidP="00A5289E">
            <w:pPr>
              <w:pStyle w:val="TableText"/>
              <w:rPr>
                <w:b/>
              </w:rPr>
            </w:pPr>
            <w:r>
              <w:rPr>
                <w:b/>
              </w:rPr>
              <w:t>Incremental cost per radiation induced cancer avoided</w:t>
            </w:r>
          </w:p>
        </w:tc>
      </w:tr>
      <w:tr w:rsidR="007F012A" w14:paraId="1767A6CB" w14:textId="77777777" w:rsidTr="00A5289E">
        <w:tc>
          <w:tcPr>
            <w:tcW w:w="4248" w:type="dxa"/>
            <w:vAlign w:val="center"/>
          </w:tcPr>
          <w:p w14:paraId="069FB0E2" w14:textId="77777777" w:rsidR="007F012A" w:rsidRPr="0023286E" w:rsidRDefault="007F012A" w:rsidP="00A5289E">
            <w:pPr>
              <w:pStyle w:val="TableText"/>
            </w:pPr>
            <w:r>
              <w:rPr>
                <w:rFonts w:cs="Calibri"/>
                <w:color w:val="000000"/>
                <w:szCs w:val="20"/>
              </w:rPr>
              <w:t>Median values for sensitivity and specificity for MRI (89%, 74%) and CT (93%, 68%)</w:t>
            </w:r>
          </w:p>
        </w:tc>
        <w:tc>
          <w:tcPr>
            <w:tcW w:w="1417" w:type="dxa"/>
            <w:vAlign w:val="center"/>
          </w:tcPr>
          <w:p w14:paraId="37519489" w14:textId="31589AE4" w:rsidR="007F012A" w:rsidRDefault="007F012A" w:rsidP="00A5289E">
            <w:pPr>
              <w:pStyle w:val="TableText"/>
              <w:jc w:val="right"/>
            </w:pPr>
            <w:r>
              <w:rPr>
                <w:rFonts w:cs="Calibri"/>
                <w:color w:val="000000"/>
                <w:szCs w:val="20"/>
              </w:rPr>
              <w:t>$</w:t>
            </w:r>
            <w:r w:rsidR="00AE6892">
              <w:rPr>
                <w:rFonts w:cs="Calibri"/>
                <w:color w:val="000000"/>
                <w:szCs w:val="20"/>
              </w:rPr>
              <w:t>1,214.28</w:t>
            </w:r>
          </w:p>
        </w:tc>
        <w:tc>
          <w:tcPr>
            <w:tcW w:w="1276" w:type="dxa"/>
            <w:vAlign w:val="center"/>
          </w:tcPr>
          <w:p w14:paraId="4FBC1BB8" w14:textId="77777777" w:rsidR="007F012A" w:rsidRDefault="007F012A" w:rsidP="00A5289E">
            <w:pPr>
              <w:pStyle w:val="TableText"/>
              <w:jc w:val="right"/>
            </w:pPr>
            <w:r>
              <w:rPr>
                <w:rFonts w:cs="Calibri"/>
                <w:color w:val="000000"/>
                <w:szCs w:val="20"/>
              </w:rPr>
              <w:t>0.0169</w:t>
            </w:r>
          </w:p>
        </w:tc>
        <w:tc>
          <w:tcPr>
            <w:tcW w:w="2075" w:type="dxa"/>
            <w:vAlign w:val="center"/>
          </w:tcPr>
          <w:p w14:paraId="7E803469" w14:textId="2F3AE4D6" w:rsidR="007F012A" w:rsidRDefault="007F012A" w:rsidP="00A5289E">
            <w:pPr>
              <w:pStyle w:val="TableText"/>
              <w:jc w:val="right"/>
            </w:pPr>
            <w:r>
              <w:rPr>
                <w:rFonts w:cs="Calibri"/>
                <w:color w:val="000000"/>
                <w:szCs w:val="20"/>
              </w:rPr>
              <w:t>$</w:t>
            </w:r>
            <w:r w:rsidR="00AE6892">
              <w:rPr>
                <w:rFonts w:cs="Calibri"/>
                <w:color w:val="000000"/>
                <w:szCs w:val="20"/>
              </w:rPr>
              <w:t>72,036</w:t>
            </w:r>
          </w:p>
        </w:tc>
      </w:tr>
      <w:tr w:rsidR="007F012A" w:rsidRPr="0023286E" w14:paraId="108614BA" w14:textId="77777777" w:rsidTr="00A5289E">
        <w:tc>
          <w:tcPr>
            <w:tcW w:w="4248" w:type="dxa"/>
            <w:vAlign w:val="center"/>
          </w:tcPr>
          <w:p w14:paraId="7E767CF4" w14:textId="77777777" w:rsidR="007F012A" w:rsidRPr="0023286E" w:rsidRDefault="007F012A" w:rsidP="00A5289E">
            <w:pPr>
              <w:pStyle w:val="TableText"/>
            </w:pPr>
            <w:r>
              <w:rPr>
                <w:rFonts w:cs="Calibri"/>
                <w:color w:val="000000"/>
                <w:szCs w:val="20"/>
              </w:rPr>
              <w:t>Lower value (71%) for MRI sensitivity</w:t>
            </w:r>
          </w:p>
        </w:tc>
        <w:tc>
          <w:tcPr>
            <w:tcW w:w="1417" w:type="dxa"/>
            <w:vAlign w:val="center"/>
          </w:tcPr>
          <w:p w14:paraId="22A49A39" w14:textId="0169AE94" w:rsidR="007F012A" w:rsidRPr="0023286E" w:rsidRDefault="007F012A" w:rsidP="00A5289E">
            <w:pPr>
              <w:pStyle w:val="TableText"/>
              <w:jc w:val="right"/>
            </w:pPr>
            <w:r>
              <w:rPr>
                <w:rFonts w:cs="Calibri"/>
                <w:color w:val="000000"/>
                <w:szCs w:val="20"/>
              </w:rPr>
              <w:t>$</w:t>
            </w:r>
            <w:r w:rsidR="00AE6892">
              <w:rPr>
                <w:rFonts w:cs="Calibri"/>
                <w:color w:val="000000"/>
                <w:szCs w:val="20"/>
              </w:rPr>
              <w:t>1,244.24</w:t>
            </w:r>
          </w:p>
        </w:tc>
        <w:tc>
          <w:tcPr>
            <w:tcW w:w="1276" w:type="dxa"/>
            <w:vAlign w:val="center"/>
          </w:tcPr>
          <w:p w14:paraId="1FBD40AB" w14:textId="77777777" w:rsidR="007F012A" w:rsidRPr="0023286E" w:rsidRDefault="007F012A" w:rsidP="00A5289E">
            <w:pPr>
              <w:pStyle w:val="TableText"/>
              <w:jc w:val="right"/>
            </w:pPr>
            <w:r>
              <w:rPr>
                <w:rFonts w:cs="Calibri"/>
                <w:color w:val="000000"/>
                <w:szCs w:val="20"/>
              </w:rPr>
              <w:t>0.0169</w:t>
            </w:r>
          </w:p>
        </w:tc>
        <w:tc>
          <w:tcPr>
            <w:tcW w:w="2075" w:type="dxa"/>
            <w:vAlign w:val="center"/>
          </w:tcPr>
          <w:p w14:paraId="3A66B04C" w14:textId="4E5B0628" w:rsidR="007F012A" w:rsidRPr="0023286E" w:rsidRDefault="007F012A" w:rsidP="00A5289E">
            <w:pPr>
              <w:pStyle w:val="TableText"/>
              <w:jc w:val="right"/>
            </w:pPr>
            <w:r>
              <w:rPr>
                <w:rFonts w:cs="Calibri"/>
                <w:color w:val="000000"/>
                <w:szCs w:val="20"/>
              </w:rPr>
              <w:t>$</w:t>
            </w:r>
            <w:r w:rsidR="00AE6892">
              <w:rPr>
                <w:rFonts w:cs="Calibri"/>
                <w:color w:val="000000"/>
                <w:szCs w:val="20"/>
              </w:rPr>
              <w:t>73,813</w:t>
            </w:r>
          </w:p>
        </w:tc>
      </w:tr>
      <w:tr w:rsidR="007F012A" w:rsidRPr="0023286E" w14:paraId="79BEB5A3" w14:textId="77777777" w:rsidTr="00A5289E">
        <w:tc>
          <w:tcPr>
            <w:tcW w:w="4248" w:type="dxa"/>
            <w:vAlign w:val="center"/>
          </w:tcPr>
          <w:p w14:paraId="02D5D121" w14:textId="77777777" w:rsidR="007F012A" w:rsidRPr="0023286E" w:rsidRDefault="007F012A" w:rsidP="00A5289E">
            <w:pPr>
              <w:pStyle w:val="TableText"/>
            </w:pPr>
            <w:r>
              <w:rPr>
                <w:rFonts w:cs="Calibri"/>
                <w:color w:val="000000"/>
                <w:szCs w:val="20"/>
              </w:rPr>
              <w:t>Higher value (100%) for MRI sensitivity</w:t>
            </w:r>
          </w:p>
        </w:tc>
        <w:tc>
          <w:tcPr>
            <w:tcW w:w="1417" w:type="dxa"/>
            <w:vAlign w:val="center"/>
          </w:tcPr>
          <w:p w14:paraId="5FC4A33F" w14:textId="150814B0" w:rsidR="007F012A" w:rsidRPr="0023286E" w:rsidRDefault="00AE6892" w:rsidP="00A5289E">
            <w:pPr>
              <w:pStyle w:val="TableText"/>
              <w:jc w:val="right"/>
            </w:pPr>
            <w:r>
              <w:rPr>
                <w:rFonts w:cs="Calibri"/>
                <w:color w:val="000000"/>
                <w:szCs w:val="20"/>
              </w:rPr>
              <w:t>$1,195.28</w:t>
            </w:r>
          </w:p>
        </w:tc>
        <w:tc>
          <w:tcPr>
            <w:tcW w:w="1276" w:type="dxa"/>
            <w:vAlign w:val="center"/>
          </w:tcPr>
          <w:p w14:paraId="15B793F0" w14:textId="77777777" w:rsidR="007F012A" w:rsidRPr="0023286E" w:rsidRDefault="007F012A" w:rsidP="00A5289E">
            <w:pPr>
              <w:pStyle w:val="TableText"/>
              <w:jc w:val="right"/>
            </w:pPr>
            <w:r>
              <w:rPr>
                <w:rFonts w:cs="Calibri"/>
                <w:color w:val="000000"/>
                <w:szCs w:val="20"/>
              </w:rPr>
              <w:t>0.0169</w:t>
            </w:r>
          </w:p>
        </w:tc>
        <w:tc>
          <w:tcPr>
            <w:tcW w:w="2075" w:type="dxa"/>
            <w:vAlign w:val="center"/>
          </w:tcPr>
          <w:p w14:paraId="3EB325D2" w14:textId="720E4EF2" w:rsidR="007F012A" w:rsidRPr="0023286E" w:rsidRDefault="007F012A" w:rsidP="00A5289E">
            <w:pPr>
              <w:pStyle w:val="TableText"/>
              <w:jc w:val="right"/>
            </w:pPr>
            <w:r>
              <w:rPr>
                <w:rFonts w:cs="Calibri"/>
                <w:color w:val="000000"/>
                <w:szCs w:val="20"/>
              </w:rPr>
              <w:t>$</w:t>
            </w:r>
            <w:r w:rsidR="00AE6892">
              <w:rPr>
                <w:rFonts w:cs="Calibri"/>
                <w:color w:val="000000"/>
                <w:szCs w:val="20"/>
              </w:rPr>
              <w:t>70,909</w:t>
            </w:r>
          </w:p>
        </w:tc>
      </w:tr>
      <w:tr w:rsidR="007F012A" w:rsidRPr="0023286E" w14:paraId="4A682B8B" w14:textId="77777777" w:rsidTr="00A5289E">
        <w:tc>
          <w:tcPr>
            <w:tcW w:w="4248" w:type="dxa"/>
            <w:vAlign w:val="center"/>
          </w:tcPr>
          <w:p w14:paraId="244B31F1" w14:textId="77777777" w:rsidR="007F012A" w:rsidRPr="0023286E" w:rsidRDefault="007F012A" w:rsidP="00A5289E">
            <w:pPr>
              <w:pStyle w:val="TableText"/>
            </w:pPr>
            <w:r>
              <w:rPr>
                <w:rFonts w:cs="Calibri"/>
                <w:color w:val="000000"/>
                <w:szCs w:val="20"/>
              </w:rPr>
              <w:t>Lower value (46.7%) for MRI specificity</w:t>
            </w:r>
          </w:p>
        </w:tc>
        <w:tc>
          <w:tcPr>
            <w:tcW w:w="1417" w:type="dxa"/>
            <w:vAlign w:val="center"/>
          </w:tcPr>
          <w:p w14:paraId="73C7AA9D" w14:textId="29F77DCC" w:rsidR="007F012A" w:rsidRPr="0023286E" w:rsidRDefault="007F012A" w:rsidP="00A5289E">
            <w:pPr>
              <w:pStyle w:val="TableText"/>
              <w:jc w:val="right"/>
            </w:pPr>
            <w:r>
              <w:rPr>
                <w:rFonts w:cs="Calibri"/>
                <w:color w:val="000000"/>
                <w:szCs w:val="20"/>
              </w:rPr>
              <w:t>$</w:t>
            </w:r>
            <w:r w:rsidR="00AE6892">
              <w:rPr>
                <w:rFonts w:cs="Calibri"/>
                <w:color w:val="000000"/>
                <w:szCs w:val="20"/>
              </w:rPr>
              <w:t>4,</w:t>
            </w:r>
            <w:r w:rsidR="00A63CAF">
              <w:rPr>
                <w:rFonts w:cs="Calibri"/>
                <w:color w:val="000000"/>
                <w:szCs w:val="20"/>
              </w:rPr>
              <w:t>281.44</w:t>
            </w:r>
          </w:p>
        </w:tc>
        <w:tc>
          <w:tcPr>
            <w:tcW w:w="1276" w:type="dxa"/>
            <w:vAlign w:val="center"/>
          </w:tcPr>
          <w:p w14:paraId="4DE92E7D" w14:textId="77777777" w:rsidR="007F012A" w:rsidRPr="0023286E" w:rsidRDefault="007F012A" w:rsidP="00A5289E">
            <w:pPr>
              <w:pStyle w:val="TableText"/>
              <w:jc w:val="right"/>
            </w:pPr>
            <w:r>
              <w:rPr>
                <w:rFonts w:cs="Calibri"/>
                <w:color w:val="000000"/>
                <w:szCs w:val="20"/>
              </w:rPr>
              <w:t>0.0169</w:t>
            </w:r>
          </w:p>
        </w:tc>
        <w:tc>
          <w:tcPr>
            <w:tcW w:w="2075" w:type="dxa"/>
            <w:vAlign w:val="center"/>
          </w:tcPr>
          <w:p w14:paraId="05A94928" w14:textId="16A1B389" w:rsidR="007F012A" w:rsidRPr="0023286E" w:rsidRDefault="007F012A" w:rsidP="00A5289E">
            <w:pPr>
              <w:pStyle w:val="TableText"/>
              <w:jc w:val="right"/>
            </w:pPr>
            <w:r>
              <w:rPr>
                <w:rFonts w:cs="Calibri"/>
                <w:color w:val="000000"/>
                <w:szCs w:val="20"/>
              </w:rPr>
              <w:t>$</w:t>
            </w:r>
            <w:r w:rsidR="00A63CAF">
              <w:rPr>
                <w:rFonts w:cs="Calibri"/>
                <w:color w:val="000000"/>
                <w:szCs w:val="20"/>
              </w:rPr>
              <w:t>253,992</w:t>
            </w:r>
          </w:p>
        </w:tc>
      </w:tr>
      <w:tr w:rsidR="007F012A" w:rsidRPr="0023286E" w14:paraId="687A5D2B" w14:textId="77777777" w:rsidTr="00A5289E">
        <w:tc>
          <w:tcPr>
            <w:tcW w:w="4248" w:type="dxa"/>
            <w:vAlign w:val="center"/>
          </w:tcPr>
          <w:p w14:paraId="195B4D30" w14:textId="77777777" w:rsidR="007F012A" w:rsidRPr="0023286E" w:rsidRDefault="007F012A" w:rsidP="00A5289E">
            <w:pPr>
              <w:pStyle w:val="TableText"/>
            </w:pPr>
            <w:r>
              <w:rPr>
                <w:rFonts w:cs="Calibri"/>
                <w:color w:val="000000"/>
                <w:szCs w:val="20"/>
              </w:rPr>
              <w:t>Higher value (90.9%) for MRI specificity</w:t>
            </w:r>
          </w:p>
        </w:tc>
        <w:tc>
          <w:tcPr>
            <w:tcW w:w="1417" w:type="dxa"/>
            <w:vAlign w:val="center"/>
          </w:tcPr>
          <w:p w14:paraId="5EACEE2C" w14:textId="547139A1" w:rsidR="007F012A" w:rsidRPr="0023286E" w:rsidRDefault="007F012A" w:rsidP="00A5289E">
            <w:pPr>
              <w:pStyle w:val="TableText"/>
              <w:jc w:val="right"/>
            </w:pPr>
            <w:r>
              <w:rPr>
                <w:rFonts w:cs="Calibri"/>
                <w:szCs w:val="20"/>
              </w:rPr>
              <w:t>–</w:t>
            </w:r>
            <w:r w:rsidRPr="00BA1C89">
              <w:rPr>
                <w:rFonts w:cs="Calibri"/>
                <w:szCs w:val="20"/>
              </w:rPr>
              <w:t>$</w:t>
            </w:r>
            <w:r w:rsidR="00A63CAF">
              <w:rPr>
                <w:rFonts w:cs="Calibri"/>
                <w:szCs w:val="20"/>
              </w:rPr>
              <w:t>702.70</w:t>
            </w:r>
          </w:p>
        </w:tc>
        <w:tc>
          <w:tcPr>
            <w:tcW w:w="1276" w:type="dxa"/>
            <w:vAlign w:val="center"/>
          </w:tcPr>
          <w:p w14:paraId="2B39EF9E" w14:textId="77777777" w:rsidR="007F012A" w:rsidRPr="0023286E" w:rsidRDefault="007F012A" w:rsidP="00A5289E">
            <w:pPr>
              <w:pStyle w:val="TableText"/>
              <w:jc w:val="right"/>
            </w:pPr>
            <w:r>
              <w:rPr>
                <w:rFonts w:cs="Calibri"/>
                <w:color w:val="000000"/>
                <w:szCs w:val="20"/>
              </w:rPr>
              <w:t>0.0169</w:t>
            </w:r>
          </w:p>
        </w:tc>
        <w:tc>
          <w:tcPr>
            <w:tcW w:w="2075" w:type="dxa"/>
            <w:vAlign w:val="center"/>
          </w:tcPr>
          <w:p w14:paraId="68AA4DDF" w14:textId="77777777" w:rsidR="007F012A" w:rsidRPr="0023286E" w:rsidRDefault="007F012A" w:rsidP="00A5289E">
            <w:pPr>
              <w:pStyle w:val="TableText"/>
              <w:jc w:val="right"/>
            </w:pPr>
            <w:r>
              <w:rPr>
                <w:rFonts w:cs="Calibri"/>
                <w:color w:val="000000"/>
                <w:szCs w:val="20"/>
              </w:rPr>
              <w:t>ICER in SE-quadrant; MRI dominates CT</w:t>
            </w:r>
          </w:p>
        </w:tc>
      </w:tr>
      <w:tr w:rsidR="007F012A" w:rsidRPr="0023286E" w14:paraId="77188ECA" w14:textId="77777777" w:rsidTr="00A5289E">
        <w:tc>
          <w:tcPr>
            <w:tcW w:w="4248" w:type="dxa"/>
            <w:vAlign w:val="center"/>
          </w:tcPr>
          <w:p w14:paraId="39552FCF" w14:textId="77777777" w:rsidR="007F012A" w:rsidRPr="0023286E" w:rsidRDefault="007F012A" w:rsidP="00A5289E">
            <w:pPr>
              <w:pStyle w:val="TableText"/>
            </w:pPr>
            <w:r>
              <w:rPr>
                <w:rFonts w:cs="Calibri"/>
                <w:color w:val="000000"/>
                <w:szCs w:val="20"/>
              </w:rPr>
              <w:t>Lower value (35.7%) for CT sensitivity</w:t>
            </w:r>
          </w:p>
        </w:tc>
        <w:tc>
          <w:tcPr>
            <w:tcW w:w="1417" w:type="dxa"/>
            <w:vAlign w:val="center"/>
          </w:tcPr>
          <w:p w14:paraId="1417F557" w14:textId="16BCAB6F" w:rsidR="007F012A" w:rsidRPr="0023286E" w:rsidRDefault="007F012A" w:rsidP="00A5289E">
            <w:pPr>
              <w:pStyle w:val="TableText"/>
              <w:jc w:val="right"/>
            </w:pPr>
            <w:r>
              <w:rPr>
                <w:rFonts w:cs="Calibri"/>
                <w:color w:val="000000"/>
                <w:szCs w:val="20"/>
              </w:rPr>
              <w:t>$</w:t>
            </w:r>
            <w:r w:rsidR="00A63CAF">
              <w:rPr>
                <w:rFonts w:cs="Calibri"/>
                <w:color w:val="000000"/>
                <w:szCs w:val="20"/>
              </w:rPr>
              <w:t>1,145.26</w:t>
            </w:r>
          </w:p>
        </w:tc>
        <w:tc>
          <w:tcPr>
            <w:tcW w:w="1276" w:type="dxa"/>
            <w:vAlign w:val="center"/>
          </w:tcPr>
          <w:p w14:paraId="762BB59D" w14:textId="77777777" w:rsidR="007F012A" w:rsidRPr="0023286E" w:rsidRDefault="007F012A" w:rsidP="00A5289E">
            <w:pPr>
              <w:pStyle w:val="TableText"/>
              <w:jc w:val="right"/>
            </w:pPr>
            <w:r>
              <w:rPr>
                <w:rFonts w:cs="Calibri"/>
                <w:color w:val="000000"/>
                <w:szCs w:val="20"/>
              </w:rPr>
              <w:t>0.0169</w:t>
            </w:r>
          </w:p>
        </w:tc>
        <w:tc>
          <w:tcPr>
            <w:tcW w:w="2075" w:type="dxa"/>
            <w:vAlign w:val="center"/>
          </w:tcPr>
          <w:p w14:paraId="05E32BEB" w14:textId="5F0981E9" w:rsidR="007F012A" w:rsidRPr="0023286E" w:rsidRDefault="007F012A" w:rsidP="00A5289E">
            <w:pPr>
              <w:pStyle w:val="TableText"/>
              <w:jc w:val="right"/>
            </w:pPr>
            <w:r>
              <w:rPr>
                <w:rFonts w:cs="Calibri"/>
                <w:color w:val="000000"/>
                <w:szCs w:val="20"/>
              </w:rPr>
              <w:t>$</w:t>
            </w:r>
            <w:r w:rsidR="00A63CAF">
              <w:rPr>
                <w:rFonts w:cs="Calibri"/>
                <w:color w:val="000000"/>
                <w:szCs w:val="20"/>
              </w:rPr>
              <w:t>67,941</w:t>
            </w:r>
          </w:p>
        </w:tc>
      </w:tr>
      <w:tr w:rsidR="007F012A" w:rsidRPr="0023286E" w14:paraId="192FEE8B" w14:textId="77777777" w:rsidTr="00A5289E">
        <w:tc>
          <w:tcPr>
            <w:tcW w:w="4248" w:type="dxa"/>
            <w:vAlign w:val="center"/>
          </w:tcPr>
          <w:p w14:paraId="042AD2F9" w14:textId="77777777" w:rsidR="007F012A" w:rsidRPr="0023286E" w:rsidRDefault="007F012A" w:rsidP="00A5289E">
            <w:pPr>
              <w:pStyle w:val="TableText"/>
            </w:pPr>
            <w:r>
              <w:rPr>
                <w:rFonts w:cs="Calibri"/>
                <w:color w:val="000000"/>
                <w:szCs w:val="20"/>
              </w:rPr>
              <w:t>Higher value (100%) for CT sensitivity</w:t>
            </w:r>
          </w:p>
        </w:tc>
        <w:tc>
          <w:tcPr>
            <w:tcW w:w="1417" w:type="dxa"/>
            <w:vAlign w:val="center"/>
          </w:tcPr>
          <w:p w14:paraId="79EC4A09" w14:textId="0AC9B784" w:rsidR="007F012A" w:rsidRPr="0023286E" w:rsidRDefault="007F012A" w:rsidP="00A5289E">
            <w:pPr>
              <w:pStyle w:val="TableText"/>
              <w:jc w:val="right"/>
            </w:pPr>
            <w:r>
              <w:rPr>
                <w:rFonts w:cs="Calibri"/>
                <w:color w:val="000000"/>
                <w:szCs w:val="20"/>
              </w:rPr>
              <w:t>$</w:t>
            </w:r>
            <w:r w:rsidR="00A63CAF">
              <w:rPr>
                <w:rFonts w:cs="Calibri"/>
                <w:color w:val="000000"/>
                <w:szCs w:val="20"/>
              </w:rPr>
              <w:t>1,223.26</w:t>
            </w:r>
          </w:p>
        </w:tc>
        <w:tc>
          <w:tcPr>
            <w:tcW w:w="1276" w:type="dxa"/>
            <w:vAlign w:val="center"/>
          </w:tcPr>
          <w:p w14:paraId="78E12238" w14:textId="77777777" w:rsidR="007F012A" w:rsidRPr="0023286E" w:rsidRDefault="007F012A" w:rsidP="00A5289E">
            <w:pPr>
              <w:pStyle w:val="TableText"/>
              <w:jc w:val="right"/>
            </w:pPr>
            <w:r>
              <w:rPr>
                <w:rFonts w:cs="Calibri"/>
                <w:color w:val="000000"/>
                <w:szCs w:val="20"/>
              </w:rPr>
              <w:t>0.0169</w:t>
            </w:r>
          </w:p>
        </w:tc>
        <w:tc>
          <w:tcPr>
            <w:tcW w:w="2075" w:type="dxa"/>
            <w:vAlign w:val="center"/>
          </w:tcPr>
          <w:p w14:paraId="6FEAAE5C" w14:textId="7791FDB2" w:rsidR="007F012A" w:rsidRPr="0023286E" w:rsidRDefault="007F012A" w:rsidP="00A5289E">
            <w:pPr>
              <w:pStyle w:val="TableText"/>
              <w:jc w:val="right"/>
            </w:pPr>
            <w:r>
              <w:rPr>
                <w:rFonts w:cs="Calibri"/>
                <w:color w:val="000000"/>
                <w:szCs w:val="20"/>
              </w:rPr>
              <w:t>$</w:t>
            </w:r>
            <w:r w:rsidR="00A63CAF">
              <w:rPr>
                <w:rFonts w:cs="Calibri"/>
                <w:color w:val="000000"/>
                <w:szCs w:val="20"/>
              </w:rPr>
              <w:t>72,568</w:t>
            </w:r>
          </w:p>
        </w:tc>
      </w:tr>
      <w:tr w:rsidR="007F012A" w:rsidRPr="0023286E" w14:paraId="58D25CD5" w14:textId="77777777" w:rsidTr="00A5289E">
        <w:tc>
          <w:tcPr>
            <w:tcW w:w="4248" w:type="dxa"/>
            <w:vAlign w:val="center"/>
          </w:tcPr>
          <w:p w14:paraId="5EDF0C5B" w14:textId="77777777" w:rsidR="007F012A" w:rsidRPr="0023286E" w:rsidRDefault="007F012A" w:rsidP="00A5289E">
            <w:pPr>
              <w:pStyle w:val="TableText"/>
            </w:pPr>
            <w:r>
              <w:rPr>
                <w:rFonts w:cs="Calibri"/>
                <w:color w:val="000000"/>
                <w:szCs w:val="20"/>
              </w:rPr>
              <w:t>Lower value (63.6%) for CT specificity</w:t>
            </w:r>
          </w:p>
        </w:tc>
        <w:tc>
          <w:tcPr>
            <w:tcW w:w="1417" w:type="dxa"/>
            <w:vAlign w:val="center"/>
          </w:tcPr>
          <w:p w14:paraId="2DE9F24D" w14:textId="36BE7F17" w:rsidR="007F012A" w:rsidRPr="0023286E" w:rsidRDefault="00A63CAF" w:rsidP="00A5289E">
            <w:pPr>
              <w:pStyle w:val="TableText"/>
              <w:jc w:val="right"/>
            </w:pPr>
            <w:r>
              <w:rPr>
                <w:rFonts w:cs="Calibri"/>
                <w:szCs w:val="20"/>
              </w:rPr>
              <w:t>$673.02</w:t>
            </w:r>
          </w:p>
        </w:tc>
        <w:tc>
          <w:tcPr>
            <w:tcW w:w="1276" w:type="dxa"/>
            <w:vAlign w:val="center"/>
          </w:tcPr>
          <w:p w14:paraId="03013564" w14:textId="77777777" w:rsidR="007F012A" w:rsidRPr="0023286E" w:rsidRDefault="007F012A" w:rsidP="00A5289E">
            <w:pPr>
              <w:pStyle w:val="TableText"/>
              <w:jc w:val="right"/>
            </w:pPr>
            <w:r>
              <w:rPr>
                <w:rFonts w:cs="Calibri"/>
                <w:color w:val="000000"/>
                <w:szCs w:val="20"/>
              </w:rPr>
              <w:t>0.0169</w:t>
            </w:r>
          </w:p>
        </w:tc>
        <w:tc>
          <w:tcPr>
            <w:tcW w:w="2075" w:type="dxa"/>
            <w:vAlign w:val="center"/>
          </w:tcPr>
          <w:p w14:paraId="6069E065" w14:textId="451E5EB6" w:rsidR="007F012A" w:rsidRPr="0023286E" w:rsidRDefault="00A63CAF" w:rsidP="00A5289E">
            <w:pPr>
              <w:pStyle w:val="TableText"/>
              <w:jc w:val="right"/>
            </w:pPr>
            <w:r>
              <w:rPr>
                <w:rFonts w:cs="Calibri"/>
                <w:color w:val="000000"/>
                <w:szCs w:val="20"/>
              </w:rPr>
              <w:t>$39,926</w:t>
            </w:r>
          </w:p>
        </w:tc>
      </w:tr>
      <w:tr w:rsidR="007F012A" w:rsidRPr="0023286E" w14:paraId="14FAD0D2" w14:textId="77777777" w:rsidTr="00A5289E">
        <w:tc>
          <w:tcPr>
            <w:tcW w:w="4248" w:type="dxa"/>
            <w:vAlign w:val="center"/>
          </w:tcPr>
          <w:p w14:paraId="19403591" w14:textId="77777777" w:rsidR="007F012A" w:rsidRPr="0023286E" w:rsidRDefault="007F012A" w:rsidP="00A5289E">
            <w:pPr>
              <w:pStyle w:val="TableText"/>
            </w:pPr>
            <w:r>
              <w:rPr>
                <w:rFonts w:cs="Calibri"/>
                <w:color w:val="000000"/>
                <w:szCs w:val="20"/>
              </w:rPr>
              <w:t>Higher value (75.8%) for CT specificity</w:t>
            </w:r>
          </w:p>
        </w:tc>
        <w:tc>
          <w:tcPr>
            <w:tcW w:w="1417" w:type="dxa"/>
            <w:vAlign w:val="center"/>
          </w:tcPr>
          <w:p w14:paraId="4F53BB84" w14:textId="39243F4A" w:rsidR="007F012A" w:rsidRPr="0023286E" w:rsidRDefault="007F012A" w:rsidP="00A5289E">
            <w:pPr>
              <w:pStyle w:val="TableText"/>
              <w:jc w:val="right"/>
            </w:pPr>
            <w:r>
              <w:rPr>
                <w:rFonts w:cs="Calibri"/>
                <w:color w:val="000000"/>
                <w:szCs w:val="20"/>
              </w:rPr>
              <w:t>$</w:t>
            </w:r>
            <w:r w:rsidR="00A63CAF">
              <w:rPr>
                <w:rFonts w:cs="Calibri"/>
                <w:color w:val="000000"/>
                <w:szCs w:val="20"/>
              </w:rPr>
              <w:t>2,048.73</w:t>
            </w:r>
          </w:p>
        </w:tc>
        <w:tc>
          <w:tcPr>
            <w:tcW w:w="1276" w:type="dxa"/>
            <w:vAlign w:val="center"/>
          </w:tcPr>
          <w:p w14:paraId="5A4D8780" w14:textId="77777777" w:rsidR="007F012A" w:rsidRPr="0023286E" w:rsidRDefault="007F012A" w:rsidP="00A5289E">
            <w:pPr>
              <w:pStyle w:val="TableText"/>
              <w:jc w:val="right"/>
            </w:pPr>
            <w:r>
              <w:rPr>
                <w:rFonts w:cs="Calibri"/>
                <w:color w:val="000000"/>
                <w:szCs w:val="20"/>
              </w:rPr>
              <w:t>0.0169</w:t>
            </w:r>
          </w:p>
        </w:tc>
        <w:tc>
          <w:tcPr>
            <w:tcW w:w="2075" w:type="dxa"/>
            <w:vAlign w:val="center"/>
          </w:tcPr>
          <w:p w14:paraId="6B541D74" w14:textId="3E9CC530" w:rsidR="007F012A" w:rsidRPr="0023286E" w:rsidRDefault="007F012A" w:rsidP="00A5289E">
            <w:pPr>
              <w:pStyle w:val="TableText"/>
              <w:jc w:val="right"/>
            </w:pPr>
            <w:r>
              <w:rPr>
                <w:rFonts w:cs="Calibri"/>
                <w:color w:val="000000"/>
                <w:szCs w:val="20"/>
              </w:rPr>
              <w:t>$</w:t>
            </w:r>
            <w:r w:rsidR="00A63CAF">
              <w:rPr>
                <w:rFonts w:cs="Calibri"/>
                <w:color w:val="000000"/>
                <w:szCs w:val="20"/>
              </w:rPr>
              <w:t>121,539</w:t>
            </w:r>
          </w:p>
        </w:tc>
      </w:tr>
    </w:tbl>
    <w:p w14:paraId="7529CE7E" w14:textId="20B2BF3B" w:rsidR="007F012A" w:rsidRDefault="007F012A" w:rsidP="00035B35">
      <w:pPr>
        <w:pStyle w:val="TableFigureFooter"/>
      </w:pPr>
      <w:r>
        <w:t xml:space="preserve">∆ = difference in cost or outcome for MRI compared with CT; CT = computed tomography; ICER = incremental cost effectiveness ratio; MRI = magnetic resonance imaging; RCC = renal cell carcinoma; SE = south-east; VHL = </w:t>
      </w:r>
      <w:r w:rsidRPr="00893630">
        <w:t>von Hippel-Lindau</w:t>
      </w:r>
    </w:p>
    <w:p w14:paraId="045F073D" w14:textId="73B2CDAF" w:rsidR="00322D74" w:rsidRDefault="00322D74" w:rsidP="00443577">
      <w:pPr>
        <w:pStyle w:val="TableFigureFooter"/>
        <w:keepNext/>
      </w:pPr>
      <w:r>
        <w:t>Note table updated based on MSAC’s advice</w:t>
      </w:r>
    </w:p>
    <w:p w14:paraId="5FE3BF8B" w14:textId="77777777" w:rsidR="0088779E" w:rsidRDefault="0088779E" w:rsidP="0088779E">
      <w:r>
        <w:t xml:space="preserve">Univariate sensitivity analyses were </w:t>
      </w:r>
      <w:r w:rsidRPr="00990E24">
        <w:t>conducted around</w:t>
      </w:r>
      <w:r>
        <w:t xml:space="preserve"> key</w:t>
      </w:r>
      <w:r w:rsidRPr="00990E24">
        <w:t xml:space="preserve"> parameters</w:t>
      </w:r>
      <w:r w:rsidR="00964831">
        <w:t xml:space="preserve"> for the cost-effectiveness analysis</w:t>
      </w:r>
      <w:r>
        <w:t>. The analyses were most sensitive to the cost of MRI and increment in cancer incidence rate ratio (IRR) (exposed vs unexposed) per CT scan. The analysis was not sensitive to the screening interval or baseline IRR used in the model.</w:t>
      </w:r>
    </w:p>
    <w:p w14:paraId="3F38166E" w14:textId="280D9897" w:rsidR="0088779E" w:rsidRPr="00D1072A" w:rsidRDefault="0088779E" w:rsidP="00730F41">
      <w:pPr>
        <w:pStyle w:val="TableHeading0"/>
      </w:pPr>
      <w:r w:rsidRPr="00D1072A">
        <w:lastRenderedPageBreak/>
        <w:t>Table</w:t>
      </w:r>
      <w:r w:rsidR="0039302F">
        <w:t xml:space="preserve"> 11</w:t>
      </w:r>
      <w:r w:rsidRPr="00D1072A">
        <w:tab/>
        <w:t>Key drivers of the model</w:t>
      </w:r>
    </w:p>
    <w:tbl>
      <w:tblPr>
        <w:tblStyle w:val="HealthConsult4"/>
        <w:tblW w:w="5000" w:type="pct"/>
        <w:tblLayout w:type="fixed"/>
        <w:tblCellMar>
          <w:left w:w="28" w:type="dxa"/>
          <w:right w:w="28" w:type="dxa"/>
        </w:tblCellMar>
        <w:tblLook w:val="04A0" w:firstRow="1" w:lastRow="0" w:firstColumn="1" w:lastColumn="0" w:noHBand="0" w:noVBand="1"/>
      </w:tblPr>
      <w:tblGrid>
        <w:gridCol w:w="1414"/>
        <w:gridCol w:w="4109"/>
        <w:gridCol w:w="3493"/>
      </w:tblGrid>
      <w:tr w:rsidR="0088779E" w:rsidRPr="00D1072A" w14:paraId="6A9CEF42" w14:textId="77777777" w:rsidTr="00972C57">
        <w:trPr>
          <w:tblHeader/>
        </w:trPr>
        <w:tc>
          <w:tcPr>
            <w:tcW w:w="784" w:type="pct"/>
            <w:vAlign w:val="center"/>
          </w:tcPr>
          <w:p w14:paraId="65C1591E" w14:textId="77777777" w:rsidR="0088779E" w:rsidRPr="00D1072A" w:rsidRDefault="0088779E" w:rsidP="00730F41">
            <w:pPr>
              <w:pStyle w:val="In-tableHeading"/>
              <w:rPr>
                <w:lang w:val="en-AU"/>
              </w:rPr>
            </w:pPr>
            <w:r w:rsidRPr="00D1072A">
              <w:rPr>
                <w:lang w:val="en-AU"/>
              </w:rPr>
              <w:t>Description</w:t>
            </w:r>
          </w:p>
        </w:tc>
        <w:tc>
          <w:tcPr>
            <w:tcW w:w="2279" w:type="pct"/>
            <w:vAlign w:val="center"/>
          </w:tcPr>
          <w:p w14:paraId="4584C7F6" w14:textId="77777777" w:rsidR="0088779E" w:rsidRPr="00D1072A" w:rsidRDefault="0088779E" w:rsidP="00730F41">
            <w:pPr>
              <w:pStyle w:val="In-tableHeading"/>
              <w:rPr>
                <w:lang w:val="en-AU"/>
              </w:rPr>
            </w:pPr>
            <w:r w:rsidRPr="00D1072A">
              <w:rPr>
                <w:lang w:val="en-AU"/>
              </w:rPr>
              <w:t>Method/Value</w:t>
            </w:r>
          </w:p>
        </w:tc>
        <w:tc>
          <w:tcPr>
            <w:tcW w:w="1937" w:type="pct"/>
            <w:vAlign w:val="center"/>
          </w:tcPr>
          <w:p w14:paraId="11F81012" w14:textId="77777777" w:rsidR="0088779E" w:rsidRPr="00D1072A" w:rsidRDefault="0088779E" w:rsidP="00730F41">
            <w:pPr>
              <w:pStyle w:val="In-tableHeading"/>
              <w:rPr>
                <w:lang w:val="en-AU"/>
              </w:rPr>
            </w:pPr>
            <w:r w:rsidRPr="00D1072A">
              <w:rPr>
                <w:lang w:val="en-AU"/>
              </w:rPr>
              <w:t>Impact</w:t>
            </w:r>
          </w:p>
          <w:p w14:paraId="748D44FF" w14:textId="2CA39792" w:rsidR="0088779E" w:rsidRPr="00D1072A" w:rsidRDefault="0088779E" w:rsidP="00730F41">
            <w:pPr>
              <w:pStyle w:val="In-tableHeading"/>
              <w:spacing w:after="160"/>
              <w:rPr>
                <w:lang w:val="en-AU"/>
              </w:rPr>
            </w:pPr>
            <w:r w:rsidRPr="00D1072A">
              <w:rPr>
                <w:rFonts w:cs="Arial"/>
                <w:szCs w:val="20"/>
                <w:lang w:val="en-AU"/>
              </w:rPr>
              <w:t>Base case: $</w:t>
            </w:r>
            <w:r w:rsidR="00587083">
              <w:rPr>
                <w:rFonts w:cs="Arial"/>
                <w:szCs w:val="20"/>
                <w:lang w:val="en-AU"/>
              </w:rPr>
              <w:t>108,234</w:t>
            </w:r>
            <w:r w:rsidRPr="00D1072A">
              <w:rPr>
                <w:rFonts w:cs="Arial"/>
                <w:szCs w:val="20"/>
                <w:lang w:val="en-AU"/>
              </w:rPr>
              <w:t>/</w:t>
            </w:r>
            <w:r>
              <w:rPr>
                <w:rFonts w:cs="Arial"/>
                <w:szCs w:val="20"/>
                <w:lang w:val="en-AU"/>
              </w:rPr>
              <w:t>radiation induced cancer avoided</w:t>
            </w:r>
          </w:p>
        </w:tc>
      </w:tr>
      <w:tr w:rsidR="0088779E" w:rsidRPr="00D1072A" w14:paraId="48F6CC67" w14:textId="77777777" w:rsidTr="00972C57">
        <w:tc>
          <w:tcPr>
            <w:tcW w:w="784" w:type="pct"/>
          </w:tcPr>
          <w:p w14:paraId="2193A44D" w14:textId="77777777" w:rsidR="0088779E" w:rsidRPr="00D1072A" w:rsidRDefault="0088779E" w:rsidP="00730F41">
            <w:pPr>
              <w:pStyle w:val="TableText"/>
              <w:keepNext/>
            </w:pPr>
            <w:r>
              <w:t>Increment in cancer IRR (exposed versus unexposed)</w:t>
            </w:r>
          </w:p>
        </w:tc>
        <w:tc>
          <w:tcPr>
            <w:tcW w:w="2279" w:type="pct"/>
          </w:tcPr>
          <w:p w14:paraId="3812D1F9" w14:textId="77777777" w:rsidR="0088779E" w:rsidRPr="00D1072A" w:rsidRDefault="0088779E" w:rsidP="00730F41">
            <w:pPr>
              <w:pStyle w:val="TableText"/>
              <w:keepNext/>
            </w:pPr>
            <w:r>
              <w:t xml:space="preserve">Estimates for cancer IRR and increment in IRR per scan </w:t>
            </w:r>
            <w:r w:rsidRPr="00424AA8">
              <w:t>w</w:t>
            </w:r>
            <w:r>
              <w:t>ere</w:t>
            </w:r>
            <w:r w:rsidRPr="00424AA8">
              <w:t xml:space="preserve"> based on a retrospective analysis of</w:t>
            </w:r>
            <w:r>
              <w:t xml:space="preserve"> </w:t>
            </w:r>
            <w:r w:rsidRPr="00424AA8">
              <w:t>Australian Medicare records</w:t>
            </w:r>
            <w:r w:rsidR="005A7A3A">
              <w:t xml:space="preserve"> </w:t>
            </w:r>
            <w:r w:rsidR="00DA518E">
              <w:fldChar w:fldCharType="begin">
                <w:fldData xml:space="preserve">PEVuZE5vdGU+PENpdGU+PEF1dGhvcj5NYXRoZXdzPC9BdXRob3I+PFllYXI+MjAxMzwvWWVhcj48
UmVjTnVtPjEzODwvUmVjTnVtPjxEaXNwbGF5VGV4dD4oTWF0aGV3cyBldCBhbC4gMjAxMyk8L0Rp
c3BsYXlUZXh0PjxyZWNvcmQ+PHJlYy1udW1iZXI+MTM4PC9yZWMtbnVtYmVyPjxmb3JlaWduLWtl
eXM+PGtleSBhcHA9IkVOIiBkYi1pZD0iemZ4ZGRwZTlkYXp4d3FleHN4bDV0YWR2dGZ4YXJ3OXN4
MjJlIiB0aW1lc3RhbXA9IjE2NjY4Mzk1NDUiPjEzODwva2V5PjwvZm9yZWlnbi1rZXlzPjxyZWYt
dHlwZSBuYW1lPSJKb3VybmFsIEFydGljbGUiPjE3PC9yZWYtdHlwZT48Y29udHJpYnV0b3JzPjxh
dXRob3JzPjxhdXRob3I+TWF0aGV3cywgSi4gRC48L2F1dGhvcj48YXV0aG9yPkZvcnN5dGhlLCBB
LiBWLjwvYXV0aG9yPjxhdXRob3I+QnJhZHksIFouPC9hdXRob3I+PGF1dGhvcj5CdXRsZXIsIE0u
IFcuPC9hdXRob3I+PGF1dGhvcj5Hb2VyZ2VuLCBTLiBLLjwvYXV0aG9yPjxhdXRob3I+QnlybmVz
LCBHLiBCLjwvYXV0aG9yPjxhdXRob3I+R2lsZXMsIEcuIEcuPC9hdXRob3I+PGF1dGhvcj5XYWxs
YWNlLCBBLiBCLjwvYXV0aG9yPjxhdXRob3I+QW5kZXJzb24sIFAuIFIuPC9hdXRob3I+PGF1dGhv
cj5HdWl2ZXIsIFQuIEEuPC9hdXRob3I+PGF1dGhvcj5NY0dhbGUsIFAuPC9hdXRob3I+PGF1dGhv
cj5DYWluLCBULiBNLjwvYXV0aG9yPjxhdXRob3I+RG93dHksIEouIEcuPC9hdXRob3I+PGF1dGhv
cj5CaWNrZXJzdGFmZmUsIEEuIEMuPC9hdXRob3I+PGF1dGhvcj5EYXJieSwgUy4gQy48L2F1dGhv
cj48L2F1dGhvcnM+PC9jb250cmlidXRvcnM+PGF1dGgtYWRkcmVzcz5TY2hvb2wgb2YgUG9wdWxh
dGlvbiBhbmQgR2xvYmFsIEhlYWx0aCwgVW5pdmVyc2l0eSBvZiBNZWxib3VybmUsIENhcmx0b24s
IFZpYyAzMDUzLCBBdXN0cmFsaWEuPC9hdXRoLWFkZHJlc3M+PHRpdGxlcz48dGl0bGU+Q2FuY2Vy
IHJpc2sgaW4gNjgwLDAwMCBwZW9wbGUgZXhwb3NlZCB0byBjb21wdXRlZCB0b21vZ3JhcGh5IHNj
YW5zIGluIGNoaWxkaG9vZCBvciBhZG9sZXNjZW5jZTogZGF0YSBsaW5rYWdlIHN0dWR5IG9mIDEx
IG1pbGxpb24gQXVzdHJhbGlhbnM8L3RpdGxlPjxzZWNvbmRhcnktdGl0bGU+Qm1qPC9zZWNvbmRh
cnktdGl0bGU+PC90aXRsZXM+PHBlcmlvZGljYWw+PGZ1bGwtdGl0bGU+Qm1qPC9mdWxsLXRpdGxl
PjwvcGVyaW9kaWNhbD48cGFnZXM+ZjIzNjA8L3BhZ2VzPjx2b2x1bWU+MzQ2PC92b2x1bWU+PGVk
aXRpb24+MjAxMy8wNS8yMzwvZWRpdGlvbj48a2V5d29yZHM+PGtleXdvcmQ+QWRvbGVzY2VudDwv
a2V5d29yZD48a2V5d29yZD5BZ2UgRGlzdHJpYnV0aW9uPC9rZXl3b3JkPjxrZXl3b3JkPkF1c3Ry
YWxpYS9lcGlkZW1pb2xvZ3k8L2tleXdvcmQ+PGtleXdvcmQ+Q2hpbGQ8L2tleXdvcmQ+PGtleXdv
cmQ+Q2hpbGQsIFByZXNjaG9vbDwva2V5d29yZD48a2V5d29yZD5FcGlkZW1pb2xvZ2ljIE1ldGhv
ZHM8L2tleXdvcmQ+PGtleXdvcmQ+RmVtYWxlPC9rZXl3b3JkPjxrZXl3b3JkPkh1bWFuczwva2V5
d29yZD48a2V5d29yZD5JbmZhbnQ8L2tleXdvcmQ+PGtleXdvcmQ+TWFsZTwva2V5d29yZD48a2V5
d29yZD5OZW9wbGFzbXMsIFJhZGlhdGlvbi1JbmR1Y2VkLyplcGlkZW1pb2xvZ3k8L2tleXdvcmQ+
PGtleXdvcmQ+UmFkaWF0aW9uIERvc2FnZTwva2V5d29yZD48a2V5d29yZD5TZXggRGlzdHJpYnV0
aW9uPC9rZXl3b3JkPjxrZXl3b3JkPlNvY2lvZWNvbm9taWMgRmFjdG9yczwva2V5d29yZD48a2V5
d29yZD5UaW1lIEZhY3RvcnM8L2tleXdvcmQ+PGtleXdvcmQ+VG9tb2dyYXBoeSwgWC1SYXkgQ29t
cHV0ZWQvKmFkdmVyc2UgZWZmZWN0cy9zdGF0aXN0aWNzICZhbXA7IG51bWVyaWNhbCBkYXRhPC9r
ZXl3b3JkPjxrZXl3b3JkPllvdW5nIEFkdWx0PC9rZXl3b3JkPjwva2V5d29yZHM+PGRhdGVzPjx5
ZWFyPjIwMTM8L3llYXI+PHB1Yi1kYXRlcz48ZGF0ZT5NYXkgMjE8L2RhdGU+PC9wdWItZGF0ZXM+
PC9kYXRlcz48aXNibj4wOTU5LTgxMzggKFByaW50KSYjeEQ7MDk1OS04MTM4PC9pc2JuPjxhY2Nl
c3Npb24tbnVtPjIzNjk0Njg3PC9hY2Nlc3Npb24tbnVtPjx1cmxzPjxyZWxhdGVkLXVybHM+PHVy
bD5odHRwczovL3d3dy5ibWouY29tL2NvbnRlbnQvYm1qLzM0Ni9ibWouZjIzNjAuZnVsbC5wZGY8
L3VybD48L3JlbGF0ZWQtdXJscz48L3VybHM+PGN1c3RvbTI+UE1DMzY2MDYxOSBhdCB3d3cuaWNt
amUub3JnL2NvaV9kaXNjbG9zdXJlLnBkZiBhbmQgZGVjbGFyZTogc3VwcG9ydCBmcm9tIHRoZSBB
dXN0cmFsaWFuIGdvdmVybm1lbnQgKHZpYSB0aGUgTmF0aW9uYWwgSGVhbHRoIGFuZCBNZWRpY2Fs
IFJlc2VhcmNoIENvdW5jaWwsIHNhbGFyeSBzdXBwb3J0IGZyb20gdGhlIENhbmNlciBSZXNlYXJj
aCBDYW1wYWlnbiBVSyBhbmQgb3RoZXIgYWdlbmNpZXMpIGZvciB0aGUgc3VibWl0dGVkIHdvcms7
IG5vIGZpbmFuY2lhbCByZWxhdGlvbnNoaXBzIHdpdGggYW55IG9yZ2FuaXNhdGlvbnMgdGhhdCBt
aWdodCBoYXZlIGFuIGludGVyZXN0IGluIHRoZSBzdWJtaXR0ZWQgd29yayBpbiB0aGUgcHJldmlv
dXMgdGhyZWUgeWVhcnM7IG5vIG90aGVyIHJlbGF0aW9uc2hpcHMgb3IgYWN0aXZpdGllcyB0aGF0
IGNvdWxkIGFwcGVhciB0byBoYXZlIGluZmx1ZW5jZWQgdGhlIHN1Ym1pdHRlZCB3b3JrLjwvY3Vz
dG9tMj48ZWxlY3Ryb25pYy1yZXNvdXJjZS1udW0+MTAuMTEzNi9ibWouZjIzNjA8L2VsZWN0cm9u
aWMtcmVzb3VyY2UtbnVtPjxyZW1vdGUtZGF0YWJhc2UtcHJvdmlkZXI+TkxNPC9yZW1vdGUtZGF0
YWJhc2UtcHJvdmlkZXI+PGxhbmd1YWdlPmVuZzwvbGFuZ3VhZ2U+PC9yZWNvcmQ+PC9DaXRlPjwv
RW5kTm90ZT4AAAA=
</w:fldData>
              </w:fldChar>
            </w:r>
            <w:r w:rsidR="00DA518E">
              <w:instrText xml:space="preserve"> ADDIN EN.CITE </w:instrText>
            </w:r>
            <w:r w:rsidR="00DA518E">
              <w:fldChar w:fldCharType="begin">
                <w:fldData xml:space="preserve">PEVuZE5vdGU+PENpdGU+PEF1dGhvcj5NYXRoZXdzPC9BdXRob3I+PFllYXI+MjAxMzwvWWVhcj48
UmVjTnVtPjEzODwvUmVjTnVtPjxEaXNwbGF5VGV4dD4oTWF0aGV3cyBldCBhbC4gMjAxMyk8L0Rp
c3BsYXlUZXh0PjxyZWNvcmQ+PHJlYy1udW1iZXI+MTM4PC9yZWMtbnVtYmVyPjxmb3JlaWduLWtl
eXM+PGtleSBhcHA9IkVOIiBkYi1pZD0iemZ4ZGRwZTlkYXp4d3FleHN4bDV0YWR2dGZ4YXJ3OXN4
MjJlIiB0aW1lc3RhbXA9IjE2NjY4Mzk1NDUiPjEzODwva2V5PjwvZm9yZWlnbi1rZXlzPjxyZWYt
dHlwZSBuYW1lPSJKb3VybmFsIEFydGljbGUiPjE3PC9yZWYtdHlwZT48Y29udHJpYnV0b3JzPjxh
dXRob3JzPjxhdXRob3I+TWF0aGV3cywgSi4gRC48L2F1dGhvcj48YXV0aG9yPkZvcnN5dGhlLCBB
LiBWLjwvYXV0aG9yPjxhdXRob3I+QnJhZHksIFouPC9hdXRob3I+PGF1dGhvcj5CdXRsZXIsIE0u
IFcuPC9hdXRob3I+PGF1dGhvcj5Hb2VyZ2VuLCBTLiBLLjwvYXV0aG9yPjxhdXRob3I+QnlybmVz
LCBHLiBCLjwvYXV0aG9yPjxhdXRob3I+R2lsZXMsIEcuIEcuPC9hdXRob3I+PGF1dGhvcj5XYWxs
YWNlLCBBLiBCLjwvYXV0aG9yPjxhdXRob3I+QW5kZXJzb24sIFAuIFIuPC9hdXRob3I+PGF1dGhv
cj5HdWl2ZXIsIFQuIEEuPC9hdXRob3I+PGF1dGhvcj5NY0dhbGUsIFAuPC9hdXRob3I+PGF1dGhv
cj5DYWluLCBULiBNLjwvYXV0aG9yPjxhdXRob3I+RG93dHksIEouIEcuPC9hdXRob3I+PGF1dGhv
cj5CaWNrZXJzdGFmZmUsIEEuIEMuPC9hdXRob3I+PGF1dGhvcj5EYXJieSwgUy4gQy48L2F1dGhv
cj48L2F1dGhvcnM+PC9jb250cmlidXRvcnM+PGF1dGgtYWRkcmVzcz5TY2hvb2wgb2YgUG9wdWxh
dGlvbiBhbmQgR2xvYmFsIEhlYWx0aCwgVW5pdmVyc2l0eSBvZiBNZWxib3VybmUsIENhcmx0b24s
IFZpYyAzMDUzLCBBdXN0cmFsaWEuPC9hdXRoLWFkZHJlc3M+PHRpdGxlcz48dGl0bGU+Q2FuY2Vy
IHJpc2sgaW4gNjgwLDAwMCBwZW9wbGUgZXhwb3NlZCB0byBjb21wdXRlZCB0b21vZ3JhcGh5IHNj
YW5zIGluIGNoaWxkaG9vZCBvciBhZG9sZXNjZW5jZTogZGF0YSBsaW5rYWdlIHN0dWR5IG9mIDEx
IG1pbGxpb24gQXVzdHJhbGlhbnM8L3RpdGxlPjxzZWNvbmRhcnktdGl0bGU+Qm1qPC9zZWNvbmRh
cnktdGl0bGU+PC90aXRsZXM+PHBlcmlvZGljYWw+PGZ1bGwtdGl0bGU+Qm1qPC9mdWxsLXRpdGxl
PjwvcGVyaW9kaWNhbD48cGFnZXM+ZjIzNjA8L3BhZ2VzPjx2b2x1bWU+MzQ2PC92b2x1bWU+PGVk
aXRpb24+MjAxMy8wNS8yMzwvZWRpdGlvbj48a2V5d29yZHM+PGtleXdvcmQ+QWRvbGVzY2VudDwv
a2V5d29yZD48a2V5d29yZD5BZ2UgRGlzdHJpYnV0aW9uPC9rZXl3b3JkPjxrZXl3b3JkPkF1c3Ry
YWxpYS9lcGlkZW1pb2xvZ3k8L2tleXdvcmQ+PGtleXdvcmQ+Q2hpbGQ8L2tleXdvcmQ+PGtleXdv
cmQ+Q2hpbGQsIFByZXNjaG9vbDwva2V5d29yZD48a2V5d29yZD5FcGlkZW1pb2xvZ2ljIE1ldGhv
ZHM8L2tleXdvcmQ+PGtleXdvcmQ+RmVtYWxlPC9rZXl3b3JkPjxrZXl3b3JkPkh1bWFuczwva2V5
d29yZD48a2V5d29yZD5JbmZhbnQ8L2tleXdvcmQ+PGtleXdvcmQ+TWFsZTwva2V5d29yZD48a2V5
d29yZD5OZW9wbGFzbXMsIFJhZGlhdGlvbi1JbmR1Y2VkLyplcGlkZW1pb2xvZ3k8L2tleXdvcmQ+
PGtleXdvcmQ+UmFkaWF0aW9uIERvc2FnZTwva2V5d29yZD48a2V5d29yZD5TZXggRGlzdHJpYnV0
aW9uPC9rZXl3b3JkPjxrZXl3b3JkPlNvY2lvZWNvbm9taWMgRmFjdG9yczwva2V5d29yZD48a2V5
d29yZD5UaW1lIEZhY3RvcnM8L2tleXdvcmQ+PGtleXdvcmQ+VG9tb2dyYXBoeSwgWC1SYXkgQ29t
cHV0ZWQvKmFkdmVyc2UgZWZmZWN0cy9zdGF0aXN0aWNzICZhbXA7IG51bWVyaWNhbCBkYXRhPC9r
ZXl3b3JkPjxrZXl3b3JkPllvdW5nIEFkdWx0PC9rZXl3b3JkPjwva2V5d29yZHM+PGRhdGVzPjx5
ZWFyPjIwMTM8L3llYXI+PHB1Yi1kYXRlcz48ZGF0ZT5NYXkgMjE8L2RhdGU+PC9wdWItZGF0ZXM+
PC9kYXRlcz48aXNibj4wOTU5LTgxMzggKFByaW50KSYjeEQ7MDk1OS04MTM4PC9pc2JuPjxhY2Nl
c3Npb24tbnVtPjIzNjk0Njg3PC9hY2Nlc3Npb24tbnVtPjx1cmxzPjxyZWxhdGVkLXVybHM+PHVy
bD5odHRwczovL3d3dy5ibWouY29tL2NvbnRlbnQvYm1qLzM0Ni9ibWouZjIzNjAuZnVsbC5wZGY8
L3VybD48L3JlbGF0ZWQtdXJscz48L3VybHM+PGN1c3RvbTI+UE1DMzY2MDYxOSBhdCB3d3cuaWNt
amUub3JnL2NvaV9kaXNjbG9zdXJlLnBkZiBhbmQgZGVjbGFyZTogc3VwcG9ydCBmcm9tIHRoZSBB
dXN0cmFsaWFuIGdvdmVybm1lbnQgKHZpYSB0aGUgTmF0aW9uYWwgSGVhbHRoIGFuZCBNZWRpY2Fs
IFJlc2VhcmNoIENvdW5jaWwsIHNhbGFyeSBzdXBwb3J0IGZyb20gdGhlIENhbmNlciBSZXNlYXJj
aCBDYW1wYWlnbiBVSyBhbmQgb3RoZXIgYWdlbmNpZXMpIGZvciB0aGUgc3VibWl0dGVkIHdvcms7
IG5vIGZpbmFuY2lhbCByZWxhdGlvbnNoaXBzIHdpdGggYW55IG9yZ2FuaXNhdGlvbnMgdGhhdCBt
aWdodCBoYXZlIGFuIGludGVyZXN0IGluIHRoZSBzdWJtaXR0ZWQgd29yayBpbiB0aGUgcHJldmlv
dXMgdGhyZWUgeWVhcnM7IG5vIG90aGVyIHJlbGF0aW9uc2hpcHMgb3IgYWN0aXZpdGllcyB0aGF0
IGNvdWxkIGFwcGVhciB0byBoYXZlIGluZmx1ZW5jZWQgdGhlIHN1Ym1pdHRlZCB3b3JrLjwvY3Vz
dG9tMj48ZWxlY3Ryb25pYy1yZXNvdXJjZS1udW0+MTAuMTEzNi9ibWouZjIzNjA8L2VsZWN0cm9u
aWMtcmVzb3VyY2UtbnVtPjxyZW1vdGUtZGF0YWJhc2UtcHJvdmlkZXI+TkxNPC9yZW1vdGUtZGF0
YWJhc2UtcHJvdmlkZXI+PGxhbmd1YWdlPmVuZzwvbGFuZ3VhZ2U+PC9yZWNvcmQ+PC9DaXRlPjwv
RW5kTm90ZT4BAAA=
</w:fldData>
              </w:fldChar>
            </w:r>
            <w:r w:rsidR="00DA518E">
              <w:instrText xml:space="preserve"> ADDIN EN.CITE.DATA </w:instrText>
            </w:r>
            <w:r w:rsidR="00DA518E">
              <w:fldChar w:fldCharType="end"/>
            </w:r>
            <w:r w:rsidR="00DA518E">
              <w:fldChar w:fldCharType="separate"/>
            </w:r>
            <w:r w:rsidR="00DA518E">
              <w:rPr>
                <w:noProof/>
              </w:rPr>
              <w:t>(Mathews et al. 2013)</w:t>
            </w:r>
            <w:r w:rsidR="00DA518E">
              <w:fldChar w:fldCharType="end"/>
            </w:r>
            <w:r>
              <w:t>. T</w:t>
            </w:r>
            <w:r w:rsidRPr="000D6FA2">
              <w:t xml:space="preserve">he study found that over a mean follow-up of 9.5 years, overall cancer incidence was 24% </w:t>
            </w:r>
            <w:r>
              <w:t xml:space="preserve">(CI 95% </w:t>
            </w:r>
            <w:r w:rsidR="005A7A3A">
              <w:t>20%, 29%</w:t>
            </w:r>
            <w:r>
              <w:t xml:space="preserve">) </w:t>
            </w:r>
            <w:r w:rsidRPr="000D6FA2">
              <w:t>greater for exposed than for unexposed people</w:t>
            </w:r>
            <w:r>
              <w:t xml:space="preserve">, </w:t>
            </w:r>
            <w:r w:rsidRPr="00F36204">
              <w:t xml:space="preserve">and the </w:t>
            </w:r>
            <w:r>
              <w:t>IRR</w:t>
            </w:r>
            <w:r w:rsidRPr="00F36204">
              <w:t xml:space="preserve"> increased by 0.16</w:t>
            </w:r>
            <w:r>
              <w:t xml:space="preserve"> (95</w:t>
            </w:r>
            <w:r w:rsidR="003F4BB4">
              <w:t>% CI</w:t>
            </w:r>
            <w:r w:rsidR="005A7A3A">
              <w:t>, 0.13 to 0.19</w:t>
            </w:r>
            <w:r>
              <w:t>) (annually; 0.0185 (</w:t>
            </w:r>
            <w:r w:rsidR="003F4BB4">
              <w:t xml:space="preserve">95% </w:t>
            </w:r>
            <w:r>
              <w:t>CI</w:t>
            </w:r>
            <w:r w:rsidR="005A7A3A">
              <w:t>, 0.0146, 0.0219</w:t>
            </w:r>
            <w:r>
              <w:t>)</w:t>
            </w:r>
            <w:r w:rsidRPr="00F36204">
              <w:t xml:space="preserve"> for each additional CT scan</w:t>
            </w:r>
            <w:r w:rsidR="003F4BB4">
              <w:t>.</w:t>
            </w:r>
          </w:p>
        </w:tc>
        <w:tc>
          <w:tcPr>
            <w:tcW w:w="1937" w:type="pct"/>
          </w:tcPr>
          <w:p w14:paraId="450E198B" w14:textId="49F11F57" w:rsidR="0088779E" w:rsidRPr="00D1072A" w:rsidRDefault="0088779E" w:rsidP="00730F41">
            <w:pPr>
              <w:pStyle w:val="TableText"/>
              <w:keepNext/>
              <w:spacing w:after="160"/>
              <w:rPr>
                <w:i/>
              </w:rPr>
            </w:pPr>
            <w:r>
              <w:rPr>
                <w:i/>
              </w:rPr>
              <w:t xml:space="preserve">This estimate is uncertain, therefore </w:t>
            </w:r>
            <w:proofErr w:type="gramStart"/>
            <w:r>
              <w:rPr>
                <w:i/>
              </w:rPr>
              <w:t>upper</w:t>
            </w:r>
            <w:proofErr w:type="gramEnd"/>
            <w:r>
              <w:rPr>
                <w:i/>
              </w:rPr>
              <w:t xml:space="preserve"> and lower confidence bounds of the estimate were tested. Increasing the increment in IRR per scan to 0.0219, decreased the ICER by </w:t>
            </w:r>
            <w:r w:rsidR="00A63CAF">
              <w:rPr>
                <w:i/>
              </w:rPr>
              <w:t>16</w:t>
            </w:r>
            <w:r>
              <w:rPr>
                <w:i/>
              </w:rPr>
              <w:t xml:space="preserve">%, whereas decreasing this estimate to 0.0146, increased the ICER by </w:t>
            </w:r>
            <w:r w:rsidR="00A63CAF">
              <w:rPr>
                <w:i/>
              </w:rPr>
              <w:t>22</w:t>
            </w:r>
            <w:r>
              <w:rPr>
                <w:i/>
              </w:rPr>
              <w:t>%. The ICER is highly sensitive to changes in this estimate</w:t>
            </w:r>
          </w:p>
        </w:tc>
      </w:tr>
      <w:tr w:rsidR="000F72CF" w:rsidRPr="00D1072A" w14:paraId="42272D8F" w14:textId="77777777" w:rsidTr="00972C57">
        <w:tc>
          <w:tcPr>
            <w:tcW w:w="784" w:type="pct"/>
          </w:tcPr>
          <w:p w14:paraId="3F0C5C44" w14:textId="77777777" w:rsidR="000F72CF" w:rsidRDefault="000F72CF" w:rsidP="00730F41">
            <w:pPr>
              <w:pStyle w:val="TableText"/>
              <w:keepNext/>
            </w:pPr>
            <w:r>
              <w:t>Modelled time horizon</w:t>
            </w:r>
          </w:p>
        </w:tc>
        <w:tc>
          <w:tcPr>
            <w:tcW w:w="2279" w:type="pct"/>
          </w:tcPr>
          <w:p w14:paraId="583C762B" w14:textId="77777777" w:rsidR="000F72CF" w:rsidRDefault="000F72CF" w:rsidP="00730F41">
            <w:pPr>
              <w:pStyle w:val="TableText"/>
              <w:keepNext/>
            </w:pPr>
            <w:r>
              <w:t>Time horizon of 50 years was chosen in the modelled base-case to capture the impact of lifelong surveillance in the proposed population.</w:t>
            </w:r>
          </w:p>
        </w:tc>
        <w:tc>
          <w:tcPr>
            <w:tcW w:w="1937" w:type="pct"/>
          </w:tcPr>
          <w:p w14:paraId="228E24D1" w14:textId="77777777" w:rsidR="000F72CF" w:rsidRDefault="000F72CF" w:rsidP="00730F41">
            <w:pPr>
              <w:pStyle w:val="TableText"/>
              <w:keepNext/>
              <w:spacing w:after="160"/>
              <w:rPr>
                <w:i/>
              </w:rPr>
            </w:pPr>
            <w:r>
              <w:rPr>
                <w:i/>
              </w:rPr>
              <w:t>The ICER is highly sensitive to the time horizon</w:t>
            </w:r>
            <w:r w:rsidR="005C4F13">
              <w:rPr>
                <w:i/>
              </w:rPr>
              <w:t>.</w:t>
            </w:r>
            <w:r>
              <w:rPr>
                <w:i/>
              </w:rPr>
              <w:t xml:space="preserve"> When shorter time horizon is used ICER increases significantly. The </w:t>
            </w:r>
            <w:r w:rsidRPr="000F72CF">
              <w:rPr>
                <w:i/>
              </w:rPr>
              <w:t>excess cancer risk and costs are higher towards the later years due to increase in the cumulative dose of CT scan</w:t>
            </w:r>
            <w:r w:rsidR="00AC7364">
              <w:rPr>
                <w:i/>
              </w:rPr>
              <w:t>,</w:t>
            </w:r>
            <w:r>
              <w:rPr>
                <w:i/>
              </w:rPr>
              <w:t xml:space="preserve"> and these may not be captured with the shorter time horizon.</w:t>
            </w:r>
          </w:p>
        </w:tc>
      </w:tr>
    </w:tbl>
    <w:p w14:paraId="740B934C" w14:textId="2D89A3A5" w:rsidR="0088779E" w:rsidRDefault="005A7A3A" w:rsidP="00DA518E">
      <w:pPr>
        <w:pStyle w:val="TableFigureFooter"/>
      </w:pPr>
      <w:r>
        <w:t xml:space="preserve">CI = confidence interval; </w:t>
      </w:r>
      <w:r w:rsidR="0088779E">
        <w:t>CT = computed tomography; ICER = incremental cost effectiveness ratio; IRR = inciden</w:t>
      </w:r>
      <w:r w:rsidR="00647C9C">
        <w:t>ce</w:t>
      </w:r>
      <w:r w:rsidR="0088779E">
        <w:t xml:space="preserve"> rate ratio; MRI = magnetic resonance imaging; RCC = renal cell carcinoma</w:t>
      </w:r>
    </w:p>
    <w:p w14:paraId="1457B3B5" w14:textId="25F90595" w:rsidR="00322D74" w:rsidRDefault="00322D74" w:rsidP="00443577">
      <w:pPr>
        <w:pStyle w:val="TableFigureFooter"/>
        <w:keepNext/>
      </w:pPr>
      <w:r>
        <w:t>Note table updated based on MSAC’s advice</w:t>
      </w:r>
    </w:p>
    <w:p w14:paraId="7B1ECE54" w14:textId="1A858837" w:rsidR="0088779E" w:rsidRDefault="0039302F" w:rsidP="0088779E">
      <w:r>
        <w:t xml:space="preserve">Table 12 </w:t>
      </w:r>
      <w:r w:rsidR="0088779E">
        <w:t>presents results for key u</w:t>
      </w:r>
      <w:r w:rsidR="0088779E" w:rsidRPr="00990E24">
        <w:t>nivariate sensitivity analyses</w:t>
      </w:r>
      <w:r w:rsidR="0088779E">
        <w:t>.</w:t>
      </w:r>
    </w:p>
    <w:p w14:paraId="67DE794E" w14:textId="6EAE4470" w:rsidR="0088779E" w:rsidRDefault="0088779E" w:rsidP="00035B35">
      <w:pPr>
        <w:pStyle w:val="TableHeading0"/>
      </w:pPr>
      <w:bookmarkStart w:id="35" w:name="_Ref118900309"/>
      <w:r>
        <w:t>Table</w:t>
      </w:r>
      <w:r w:rsidR="0039302F">
        <w:t xml:space="preserve"> 12</w:t>
      </w:r>
      <w:bookmarkEnd w:id="35"/>
      <w:r>
        <w:tab/>
        <w:t>Results of the key sensitivity analyses</w:t>
      </w:r>
    </w:p>
    <w:tbl>
      <w:tblPr>
        <w:tblStyle w:val="TableGrid"/>
        <w:tblW w:w="0" w:type="auto"/>
        <w:tblLook w:val="04A0" w:firstRow="1" w:lastRow="0" w:firstColumn="1" w:lastColumn="0" w:noHBand="0" w:noVBand="1"/>
      </w:tblPr>
      <w:tblGrid>
        <w:gridCol w:w="1995"/>
        <w:gridCol w:w="1918"/>
        <w:gridCol w:w="1707"/>
        <w:gridCol w:w="1885"/>
        <w:gridCol w:w="1511"/>
      </w:tblGrid>
      <w:tr w:rsidR="0088779E" w14:paraId="327D8325" w14:textId="77777777" w:rsidTr="00400CC7">
        <w:tc>
          <w:tcPr>
            <w:tcW w:w="1995" w:type="dxa"/>
          </w:tcPr>
          <w:p w14:paraId="5CE08ADD" w14:textId="77777777" w:rsidR="0088779E" w:rsidRDefault="0088779E" w:rsidP="00972C57">
            <w:pPr>
              <w:pStyle w:val="TableFigureHeading"/>
            </w:pPr>
          </w:p>
        </w:tc>
        <w:tc>
          <w:tcPr>
            <w:tcW w:w="1918" w:type="dxa"/>
          </w:tcPr>
          <w:p w14:paraId="2D3C1ED9" w14:textId="77777777" w:rsidR="0088779E" w:rsidRDefault="0088779E" w:rsidP="00972C57">
            <w:pPr>
              <w:pStyle w:val="TableFigureHeading"/>
            </w:pPr>
            <w:r w:rsidRPr="00170A59">
              <w:t>∆cost</w:t>
            </w:r>
          </w:p>
        </w:tc>
        <w:tc>
          <w:tcPr>
            <w:tcW w:w="1707" w:type="dxa"/>
          </w:tcPr>
          <w:p w14:paraId="76782725" w14:textId="77777777" w:rsidR="0088779E" w:rsidRDefault="0088779E" w:rsidP="00972C57">
            <w:pPr>
              <w:pStyle w:val="TableFigureHeading"/>
            </w:pPr>
            <w:r w:rsidRPr="00170A59">
              <w:t>∆radiation-induced cancers</w:t>
            </w:r>
          </w:p>
        </w:tc>
        <w:tc>
          <w:tcPr>
            <w:tcW w:w="1885" w:type="dxa"/>
          </w:tcPr>
          <w:p w14:paraId="7A82BF1B" w14:textId="77777777" w:rsidR="0088779E" w:rsidRDefault="0088779E" w:rsidP="00972C57">
            <w:pPr>
              <w:pStyle w:val="TableFigureHeading"/>
            </w:pPr>
            <w:r>
              <w:t>ICER</w:t>
            </w:r>
          </w:p>
        </w:tc>
        <w:tc>
          <w:tcPr>
            <w:tcW w:w="1511" w:type="dxa"/>
          </w:tcPr>
          <w:p w14:paraId="04EA7B01" w14:textId="77777777" w:rsidR="0088779E" w:rsidRDefault="0088779E" w:rsidP="00972C57">
            <w:pPr>
              <w:pStyle w:val="TableFigureHeading"/>
            </w:pPr>
            <w:r>
              <w:t xml:space="preserve">% </w:t>
            </w:r>
            <w:proofErr w:type="gramStart"/>
            <w:r>
              <w:t>change</w:t>
            </w:r>
            <w:proofErr w:type="gramEnd"/>
          </w:p>
        </w:tc>
      </w:tr>
      <w:tr w:rsidR="0088779E" w:rsidRPr="0071356D" w14:paraId="7ACE0980" w14:textId="77777777" w:rsidTr="00400CC7">
        <w:tc>
          <w:tcPr>
            <w:tcW w:w="1995" w:type="dxa"/>
            <w:vAlign w:val="center"/>
          </w:tcPr>
          <w:p w14:paraId="141CFB9C" w14:textId="77777777" w:rsidR="0088779E" w:rsidRPr="0071356D" w:rsidRDefault="0088779E" w:rsidP="00972C57">
            <w:pPr>
              <w:pStyle w:val="TableText"/>
              <w:rPr>
                <w:b/>
              </w:rPr>
            </w:pPr>
            <w:r w:rsidRPr="00A8114B">
              <w:rPr>
                <w:rFonts w:cs="Calibri"/>
                <w:b/>
                <w:bCs/>
                <w:color w:val="000000"/>
                <w:szCs w:val="20"/>
                <w:lang w:eastAsia="en-AU"/>
              </w:rPr>
              <w:t>Base case</w:t>
            </w:r>
          </w:p>
        </w:tc>
        <w:tc>
          <w:tcPr>
            <w:tcW w:w="1918" w:type="dxa"/>
            <w:vAlign w:val="bottom"/>
          </w:tcPr>
          <w:p w14:paraId="36ED48FE" w14:textId="2C2263B7" w:rsidR="0088779E" w:rsidRPr="0071356D" w:rsidRDefault="0088779E" w:rsidP="00972C57">
            <w:pPr>
              <w:pStyle w:val="TableText"/>
              <w:jc w:val="right"/>
              <w:rPr>
                <w:b/>
              </w:rPr>
            </w:pPr>
            <w:r w:rsidRPr="00A8114B">
              <w:rPr>
                <w:rFonts w:cs="Calibri"/>
                <w:color w:val="000000"/>
                <w:szCs w:val="20"/>
                <w:lang w:eastAsia="en-AU"/>
              </w:rPr>
              <w:t>$1,</w:t>
            </w:r>
            <w:r w:rsidR="0023325C">
              <w:rPr>
                <w:rFonts w:cs="Calibri"/>
                <w:color w:val="000000"/>
                <w:szCs w:val="20"/>
                <w:lang w:eastAsia="en-AU"/>
              </w:rPr>
              <w:t>824</w:t>
            </w:r>
          </w:p>
        </w:tc>
        <w:tc>
          <w:tcPr>
            <w:tcW w:w="1707" w:type="dxa"/>
            <w:vAlign w:val="bottom"/>
          </w:tcPr>
          <w:p w14:paraId="48161064" w14:textId="77777777" w:rsidR="0088779E" w:rsidRPr="0071356D" w:rsidRDefault="0088779E" w:rsidP="00972C57">
            <w:pPr>
              <w:pStyle w:val="TableText"/>
              <w:jc w:val="right"/>
              <w:rPr>
                <w:b/>
              </w:rPr>
            </w:pPr>
            <w:r w:rsidRPr="00A8114B">
              <w:rPr>
                <w:rFonts w:cs="Calibri"/>
                <w:color w:val="000000"/>
                <w:szCs w:val="20"/>
                <w:lang w:eastAsia="en-AU"/>
              </w:rPr>
              <w:t>0.0169</w:t>
            </w:r>
          </w:p>
        </w:tc>
        <w:tc>
          <w:tcPr>
            <w:tcW w:w="1885" w:type="dxa"/>
            <w:vAlign w:val="bottom"/>
          </w:tcPr>
          <w:p w14:paraId="117F972F" w14:textId="424C1EE0" w:rsidR="0088779E" w:rsidRPr="0071356D" w:rsidRDefault="0088779E" w:rsidP="00972C57">
            <w:pPr>
              <w:pStyle w:val="TableText"/>
              <w:jc w:val="right"/>
              <w:rPr>
                <w:b/>
              </w:rPr>
            </w:pPr>
            <w:r w:rsidRPr="00A8114B">
              <w:rPr>
                <w:rFonts w:cs="Calibri"/>
                <w:color w:val="000000"/>
                <w:szCs w:val="20"/>
                <w:lang w:eastAsia="en-AU"/>
              </w:rPr>
              <w:t>$</w:t>
            </w:r>
            <w:r w:rsidR="00F36D48">
              <w:rPr>
                <w:rFonts w:cs="Calibri"/>
                <w:color w:val="000000"/>
                <w:szCs w:val="20"/>
                <w:lang w:eastAsia="en-AU"/>
              </w:rPr>
              <w:t>108,234</w:t>
            </w:r>
          </w:p>
        </w:tc>
        <w:tc>
          <w:tcPr>
            <w:tcW w:w="1511" w:type="dxa"/>
            <w:vAlign w:val="center"/>
          </w:tcPr>
          <w:p w14:paraId="66D7AB28" w14:textId="77777777" w:rsidR="0088779E" w:rsidRPr="0071356D" w:rsidRDefault="0088779E" w:rsidP="00972C57">
            <w:pPr>
              <w:pStyle w:val="TableText"/>
              <w:jc w:val="right"/>
              <w:rPr>
                <w:b/>
              </w:rPr>
            </w:pPr>
            <w:r w:rsidRPr="00A8114B">
              <w:rPr>
                <w:rFonts w:cs="Calibri"/>
                <w:b/>
                <w:bCs/>
                <w:color w:val="000000"/>
                <w:szCs w:val="20"/>
                <w:lang w:eastAsia="en-AU"/>
              </w:rPr>
              <w:t>-</w:t>
            </w:r>
          </w:p>
        </w:tc>
      </w:tr>
      <w:tr w:rsidR="0088779E" w:rsidRPr="000F36CB" w14:paraId="7A9E0300" w14:textId="77777777" w:rsidTr="00972C57">
        <w:tc>
          <w:tcPr>
            <w:tcW w:w="9016" w:type="dxa"/>
            <w:gridSpan w:val="5"/>
            <w:vAlign w:val="bottom"/>
          </w:tcPr>
          <w:p w14:paraId="4D4F69E3" w14:textId="77777777" w:rsidR="0088779E" w:rsidRPr="000F36CB" w:rsidRDefault="0088779E" w:rsidP="00972C57">
            <w:pPr>
              <w:pStyle w:val="TableText"/>
              <w:rPr>
                <w:i/>
              </w:rPr>
            </w:pPr>
            <w:r w:rsidRPr="00A8114B">
              <w:rPr>
                <w:rFonts w:cs="Calibri"/>
                <w:i/>
                <w:color w:val="000000"/>
                <w:szCs w:val="20"/>
                <w:lang w:eastAsia="en-AU"/>
              </w:rPr>
              <w:t>Increment in IRR</w:t>
            </w:r>
            <w:r w:rsidR="00DE023C">
              <w:rPr>
                <w:rFonts w:cs="Calibri"/>
                <w:i/>
                <w:color w:val="000000"/>
                <w:szCs w:val="20"/>
                <w:lang w:eastAsia="en-AU"/>
              </w:rPr>
              <w:t xml:space="preserve"> of cancer</w:t>
            </w:r>
            <w:r w:rsidRPr="00A8114B">
              <w:rPr>
                <w:rFonts w:cs="Calibri"/>
                <w:i/>
                <w:color w:val="000000"/>
                <w:szCs w:val="20"/>
                <w:lang w:eastAsia="en-AU"/>
              </w:rPr>
              <w:t xml:space="preserve"> per scan - (base case: 1.82%) </w:t>
            </w:r>
          </w:p>
        </w:tc>
      </w:tr>
      <w:tr w:rsidR="00400CC7" w14:paraId="08658011" w14:textId="77777777" w:rsidTr="00400CC7">
        <w:tc>
          <w:tcPr>
            <w:tcW w:w="1995" w:type="dxa"/>
            <w:vAlign w:val="bottom"/>
          </w:tcPr>
          <w:p w14:paraId="1AE61987" w14:textId="77777777" w:rsidR="00400CC7" w:rsidRDefault="00400CC7" w:rsidP="00400CC7">
            <w:pPr>
              <w:pStyle w:val="TableText"/>
            </w:pPr>
            <w:r w:rsidRPr="00A8114B">
              <w:rPr>
                <w:rFonts w:cs="Calibri"/>
                <w:color w:val="000000"/>
                <w:szCs w:val="20"/>
                <w:lang w:eastAsia="en-AU"/>
              </w:rPr>
              <w:t> </w:t>
            </w:r>
            <w:r>
              <w:rPr>
                <w:rFonts w:cs="Calibri"/>
                <w:color w:val="000000"/>
                <w:szCs w:val="20"/>
                <w:lang w:eastAsia="en-AU"/>
              </w:rPr>
              <w:t xml:space="preserve">Increment: </w:t>
            </w:r>
            <w:r w:rsidRPr="00A8114B">
              <w:rPr>
                <w:rFonts w:cs="Calibri"/>
                <w:color w:val="000000"/>
                <w:szCs w:val="20"/>
                <w:lang w:eastAsia="en-AU"/>
              </w:rPr>
              <w:t>1.46%</w:t>
            </w:r>
          </w:p>
        </w:tc>
        <w:tc>
          <w:tcPr>
            <w:tcW w:w="1918" w:type="dxa"/>
            <w:vAlign w:val="bottom"/>
          </w:tcPr>
          <w:p w14:paraId="086E13B5" w14:textId="7D496225" w:rsidR="00400CC7" w:rsidRDefault="00400CC7" w:rsidP="00400CC7">
            <w:pPr>
              <w:pStyle w:val="TableText"/>
              <w:jc w:val="right"/>
            </w:pPr>
            <w:r>
              <w:rPr>
                <w:rFonts w:cs="Calibri"/>
                <w:color w:val="000000"/>
                <w:szCs w:val="20"/>
              </w:rPr>
              <w:t>$1,824.45</w:t>
            </w:r>
          </w:p>
        </w:tc>
        <w:tc>
          <w:tcPr>
            <w:tcW w:w="1707" w:type="dxa"/>
            <w:vAlign w:val="bottom"/>
          </w:tcPr>
          <w:p w14:paraId="01F6BB0F" w14:textId="03471F6E" w:rsidR="00400CC7" w:rsidRDefault="00400CC7" w:rsidP="00400CC7">
            <w:pPr>
              <w:pStyle w:val="TableText"/>
              <w:jc w:val="right"/>
            </w:pPr>
            <w:r>
              <w:rPr>
                <w:rFonts w:cs="Calibri"/>
                <w:color w:val="000000"/>
                <w:szCs w:val="20"/>
              </w:rPr>
              <w:t>0.0138</w:t>
            </w:r>
          </w:p>
        </w:tc>
        <w:tc>
          <w:tcPr>
            <w:tcW w:w="1885" w:type="dxa"/>
            <w:vAlign w:val="bottom"/>
          </w:tcPr>
          <w:p w14:paraId="7172D9AE" w14:textId="5A8D6759" w:rsidR="00400CC7" w:rsidRDefault="00400CC7" w:rsidP="00400CC7">
            <w:pPr>
              <w:pStyle w:val="TableText"/>
              <w:jc w:val="right"/>
            </w:pPr>
            <w:r>
              <w:rPr>
                <w:rFonts w:cs="Calibri"/>
                <w:color w:val="000000"/>
                <w:szCs w:val="20"/>
              </w:rPr>
              <w:t>$131,885</w:t>
            </w:r>
          </w:p>
        </w:tc>
        <w:tc>
          <w:tcPr>
            <w:tcW w:w="1511" w:type="dxa"/>
            <w:vAlign w:val="bottom"/>
          </w:tcPr>
          <w:p w14:paraId="5E15E0FF" w14:textId="7DC29780" w:rsidR="00400CC7" w:rsidRDefault="00400CC7" w:rsidP="00400CC7">
            <w:pPr>
              <w:pStyle w:val="TableText"/>
              <w:jc w:val="right"/>
            </w:pPr>
            <w:r>
              <w:rPr>
                <w:rFonts w:cs="Calibri"/>
                <w:color w:val="000000"/>
                <w:szCs w:val="20"/>
              </w:rPr>
              <w:t>21.85%</w:t>
            </w:r>
          </w:p>
        </w:tc>
      </w:tr>
      <w:tr w:rsidR="00400CC7" w14:paraId="115C444A" w14:textId="77777777" w:rsidTr="00400CC7">
        <w:tc>
          <w:tcPr>
            <w:tcW w:w="1995" w:type="dxa"/>
            <w:vAlign w:val="bottom"/>
          </w:tcPr>
          <w:p w14:paraId="38EEAF18" w14:textId="77777777" w:rsidR="00400CC7" w:rsidRDefault="00400CC7" w:rsidP="00400CC7">
            <w:pPr>
              <w:pStyle w:val="TableText"/>
            </w:pPr>
            <w:r w:rsidRPr="00A8114B">
              <w:rPr>
                <w:rFonts w:cs="Calibri"/>
                <w:color w:val="000000"/>
                <w:szCs w:val="20"/>
                <w:lang w:eastAsia="en-AU"/>
              </w:rPr>
              <w:t>Increment</w:t>
            </w:r>
            <w:r>
              <w:rPr>
                <w:rFonts w:cs="Calibri"/>
                <w:color w:val="000000"/>
                <w:szCs w:val="20"/>
                <w:lang w:eastAsia="en-AU"/>
              </w:rPr>
              <w:t>: 2.19</w:t>
            </w:r>
            <w:r w:rsidRPr="00A8114B">
              <w:rPr>
                <w:rFonts w:cs="Calibri"/>
                <w:color w:val="000000"/>
                <w:szCs w:val="20"/>
                <w:lang w:eastAsia="en-AU"/>
              </w:rPr>
              <w:t>%</w:t>
            </w:r>
          </w:p>
        </w:tc>
        <w:tc>
          <w:tcPr>
            <w:tcW w:w="1918" w:type="dxa"/>
            <w:vAlign w:val="bottom"/>
          </w:tcPr>
          <w:p w14:paraId="37BFF7EC" w14:textId="2D3AF5FF" w:rsidR="00400CC7" w:rsidRDefault="00400CC7" w:rsidP="00400CC7">
            <w:pPr>
              <w:pStyle w:val="TableText"/>
              <w:jc w:val="right"/>
            </w:pPr>
            <w:r>
              <w:rPr>
                <w:rFonts w:cs="Calibri"/>
                <w:color w:val="000000"/>
                <w:szCs w:val="20"/>
              </w:rPr>
              <w:t>$1,824.45</w:t>
            </w:r>
          </w:p>
        </w:tc>
        <w:tc>
          <w:tcPr>
            <w:tcW w:w="1707" w:type="dxa"/>
            <w:vAlign w:val="bottom"/>
          </w:tcPr>
          <w:p w14:paraId="5A96E828" w14:textId="49FC1213" w:rsidR="00400CC7" w:rsidRDefault="00400CC7" w:rsidP="00400CC7">
            <w:pPr>
              <w:pStyle w:val="TableText"/>
              <w:jc w:val="right"/>
            </w:pPr>
            <w:r>
              <w:rPr>
                <w:rFonts w:cs="Calibri"/>
                <w:color w:val="000000"/>
                <w:szCs w:val="20"/>
              </w:rPr>
              <w:t>0.0200</w:t>
            </w:r>
          </w:p>
        </w:tc>
        <w:tc>
          <w:tcPr>
            <w:tcW w:w="1885" w:type="dxa"/>
            <w:vAlign w:val="bottom"/>
          </w:tcPr>
          <w:p w14:paraId="6A55350C" w14:textId="664E45F5" w:rsidR="00400CC7" w:rsidRDefault="00400CC7" w:rsidP="00400CC7">
            <w:pPr>
              <w:pStyle w:val="TableText"/>
              <w:jc w:val="right"/>
            </w:pPr>
            <w:r>
              <w:rPr>
                <w:rFonts w:cs="Calibri"/>
                <w:color w:val="000000"/>
                <w:szCs w:val="20"/>
              </w:rPr>
              <w:t>$91,324</w:t>
            </w:r>
          </w:p>
        </w:tc>
        <w:tc>
          <w:tcPr>
            <w:tcW w:w="1511" w:type="dxa"/>
            <w:vAlign w:val="bottom"/>
          </w:tcPr>
          <w:p w14:paraId="61E10A7D" w14:textId="6FB1649A" w:rsidR="00400CC7" w:rsidRDefault="00400CC7" w:rsidP="00400CC7">
            <w:pPr>
              <w:pStyle w:val="TableText"/>
              <w:jc w:val="right"/>
            </w:pPr>
            <w:r>
              <w:rPr>
                <w:rFonts w:cs="Calibri"/>
                <w:color w:val="000000"/>
                <w:szCs w:val="20"/>
              </w:rPr>
              <w:t>–15.62%</w:t>
            </w:r>
          </w:p>
        </w:tc>
      </w:tr>
      <w:tr w:rsidR="00997540" w:rsidRPr="00997540" w14:paraId="78A22719" w14:textId="77777777" w:rsidTr="00972C57">
        <w:tc>
          <w:tcPr>
            <w:tcW w:w="9016" w:type="dxa"/>
            <w:gridSpan w:val="5"/>
            <w:vAlign w:val="bottom"/>
          </w:tcPr>
          <w:p w14:paraId="1BB48D6C" w14:textId="77777777" w:rsidR="00997540" w:rsidRPr="00997540" w:rsidRDefault="00997540" w:rsidP="00997540">
            <w:pPr>
              <w:pStyle w:val="TableText"/>
              <w:rPr>
                <w:rFonts w:cs="Calibri"/>
                <w:i/>
                <w:color w:val="000000"/>
                <w:szCs w:val="20"/>
                <w:lang w:eastAsia="en-AU"/>
              </w:rPr>
            </w:pPr>
            <w:r w:rsidRPr="00997540">
              <w:rPr>
                <w:rFonts w:cs="Calibri"/>
                <w:i/>
                <w:color w:val="000000"/>
                <w:szCs w:val="20"/>
              </w:rPr>
              <w:t>Time horizon (base case: 50 years)</w:t>
            </w:r>
          </w:p>
        </w:tc>
      </w:tr>
      <w:tr w:rsidR="00400CC7" w14:paraId="2AE01D54" w14:textId="77777777" w:rsidTr="00400CC7">
        <w:tc>
          <w:tcPr>
            <w:tcW w:w="1995" w:type="dxa"/>
            <w:vAlign w:val="bottom"/>
          </w:tcPr>
          <w:p w14:paraId="7FC2D321" w14:textId="77777777" w:rsidR="00400CC7" w:rsidRPr="00A8114B" w:rsidRDefault="00400CC7" w:rsidP="00400CC7">
            <w:pPr>
              <w:pStyle w:val="TableText"/>
              <w:rPr>
                <w:rFonts w:cs="Calibri"/>
                <w:color w:val="000000"/>
                <w:szCs w:val="20"/>
                <w:lang w:eastAsia="en-AU"/>
              </w:rPr>
            </w:pPr>
            <w:r>
              <w:rPr>
                <w:rFonts w:cs="Calibri"/>
                <w:color w:val="000000"/>
                <w:szCs w:val="20"/>
              </w:rPr>
              <w:t>20 years</w:t>
            </w:r>
          </w:p>
        </w:tc>
        <w:tc>
          <w:tcPr>
            <w:tcW w:w="1918" w:type="dxa"/>
            <w:vAlign w:val="bottom"/>
          </w:tcPr>
          <w:p w14:paraId="702A8C4D" w14:textId="036D6441" w:rsidR="00400CC7" w:rsidRPr="00A8114B" w:rsidRDefault="00400CC7" w:rsidP="00400CC7">
            <w:pPr>
              <w:pStyle w:val="TableText"/>
              <w:jc w:val="right"/>
              <w:rPr>
                <w:rFonts w:cs="Calibri"/>
                <w:color w:val="000000"/>
                <w:szCs w:val="20"/>
                <w:lang w:eastAsia="en-AU"/>
              </w:rPr>
            </w:pPr>
            <w:r>
              <w:rPr>
                <w:rFonts w:cs="Calibri"/>
                <w:color w:val="000000"/>
                <w:szCs w:val="20"/>
              </w:rPr>
              <w:t>$1,302.17</w:t>
            </w:r>
          </w:p>
        </w:tc>
        <w:tc>
          <w:tcPr>
            <w:tcW w:w="1707" w:type="dxa"/>
            <w:vAlign w:val="bottom"/>
          </w:tcPr>
          <w:p w14:paraId="2B5554CB" w14:textId="16ABD247" w:rsidR="00400CC7" w:rsidRPr="00A8114B" w:rsidRDefault="00400CC7" w:rsidP="00400CC7">
            <w:pPr>
              <w:pStyle w:val="TableText"/>
              <w:jc w:val="right"/>
              <w:rPr>
                <w:rFonts w:cs="Calibri"/>
                <w:color w:val="000000"/>
                <w:szCs w:val="20"/>
                <w:lang w:eastAsia="en-AU"/>
              </w:rPr>
            </w:pPr>
            <w:r>
              <w:rPr>
                <w:rFonts w:cs="Calibri"/>
                <w:color w:val="000000"/>
                <w:szCs w:val="20"/>
              </w:rPr>
              <w:t>0.0021</w:t>
            </w:r>
          </w:p>
        </w:tc>
        <w:tc>
          <w:tcPr>
            <w:tcW w:w="1885" w:type="dxa"/>
            <w:vAlign w:val="bottom"/>
          </w:tcPr>
          <w:p w14:paraId="03A2BC1A" w14:textId="58AEBE44" w:rsidR="00400CC7" w:rsidRPr="00A8114B" w:rsidRDefault="00400CC7" w:rsidP="00400CC7">
            <w:pPr>
              <w:pStyle w:val="TableText"/>
              <w:jc w:val="right"/>
              <w:rPr>
                <w:rFonts w:cs="Calibri"/>
                <w:color w:val="000000"/>
                <w:szCs w:val="20"/>
                <w:lang w:eastAsia="en-AU"/>
              </w:rPr>
            </w:pPr>
            <w:r>
              <w:rPr>
                <w:rFonts w:cs="Calibri"/>
                <w:color w:val="000000"/>
                <w:szCs w:val="20"/>
              </w:rPr>
              <w:t>$620,609</w:t>
            </w:r>
          </w:p>
        </w:tc>
        <w:tc>
          <w:tcPr>
            <w:tcW w:w="1511" w:type="dxa"/>
            <w:vAlign w:val="bottom"/>
          </w:tcPr>
          <w:p w14:paraId="1516E872" w14:textId="42C613B0" w:rsidR="00400CC7" w:rsidRPr="00A8114B" w:rsidRDefault="00400CC7" w:rsidP="00400CC7">
            <w:pPr>
              <w:pStyle w:val="TableText"/>
              <w:jc w:val="right"/>
              <w:rPr>
                <w:rFonts w:cs="Calibri"/>
                <w:color w:val="000000"/>
                <w:szCs w:val="20"/>
                <w:lang w:eastAsia="en-AU"/>
              </w:rPr>
            </w:pPr>
            <w:r>
              <w:rPr>
                <w:rFonts w:cs="Calibri"/>
                <w:color w:val="000000"/>
                <w:szCs w:val="20"/>
              </w:rPr>
              <w:t>473.40%</w:t>
            </w:r>
          </w:p>
        </w:tc>
      </w:tr>
      <w:tr w:rsidR="00400CC7" w14:paraId="20EC221F" w14:textId="77777777" w:rsidTr="00400CC7">
        <w:tc>
          <w:tcPr>
            <w:tcW w:w="1995" w:type="dxa"/>
            <w:vAlign w:val="bottom"/>
          </w:tcPr>
          <w:p w14:paraId="72D1F707" w14:textId="77777777" w:rsidR="00400CC7" w:rsidRPr="00A8114B" w:rsidRDefault="00400CC7" w:rsidP="00400CC7">
            <w:pPr>
              <w:pStyle w:val="TableText"/>
              <w:rPr>
                <w:rFonts w:cs="Calibri"/>
                <w:color w:val="000000"/>
                <w:szCs w:val="20"/>
                <w:lang w:eastAsia="en-AU"/>
              </w:rPr>
            </w:pPr>
            <w:r>
              <w:rPr>
                <w:rFonts w:cs="Calibri"/>
                <w:color w:val="000000"/>
                <w:szCs w:val="20"/>
              </w:rPr>
              <w:t>30 years</w:t>
            </w:r>
          </w:p>
        </w:tc>
        <w:tc>
          <w:tcPr>
            <w:tcW w:w="1918" w:type="dxa"/>
            <w:vAlign w:val="bottom"/>
          </w:tcPr>
          <w:p w14:paraId="7BFECDBC" w14:textId="43EE30BD" w:rsidR="00400CC7" w:rsidRPr="00A8114B" w:rsidRDefault="00400CC7" w:rsidP="00400CC7">
            <w:pPr>
              <w:pStyle w:val="TableText"/>
              <w:jc w:val="right"/>
              <w:rPr>
                <w:rFonts w:cs="Calibri"/>
                <w:color w:val="000000"/>
                <w:szCs w:val="20"/>
                <w:lang w:eastAsia="en-AU"/>
              </w:rPr>
            </w:pPr>
            <w:r>
              <w:rPr>
                <w:rFonts w:cs="Calibri"/>
                <w:color w:val="000000"/>
                <w:szCs w:val="20"/>
              </w:rPr>
              <w:t>$1,588.00</w:t>
            </w:r>
          </w:p>
        </w:tc>
        <w:tc>
          <w:tcPr>
            <w:tcW w:w="1707" w:type="dxa"/>
            <w:vAlign w:val="bottom"/>
          </w:tcPr>
          <w:p w14:paraId="7927B1C9" w14:textId="23D0886C" w:rsidR="00400CC7" w:rsidRPr="00A8114B" w:rsidRDefault="00400CC7" w:rsidP="00400CC7">
            <w:pPr>
              <w:pStyle w:val="TableText"/>
              <w:jc w:val="right"/>
              <w:rPr>
                <w:rFonts w:cs="Calibri"/>
                <w:color w:val="000000"/>
                <w:szCs w:val="20"/>
                <w:lang w:eastAsia="en-AU"/>
              </w:rPr>
            </w:pPr>
            <w:r>
              <w:rPr>
                <w:rFonts w:cs="Calibri"/>
                <w:color w:val="000000"/>
                <w:szCs w:val="20"/>
              </w:rPr>
              <w:t>0.0056</w:t>
            </w:r>
          </w:p>
        </w:tc>
        <w:tc>
          <w:tcPr>
            <w:tcW w:w="1885" w:type="dxa"/>
            <w:vAlign w:val="bottom"/>
          </w:tcPr>
          <w:p w14:paraId="02DC5C0B" w14:textId="120E4ED6" w:rsidR="00400CC7" w:rsidRPr="00A8114B" w:rsidRDefault="00400CC7" w:rsidP="00400CC7">
            <w:pPr>
              <w:pStyle w:val="TableText"/>
              <w:jc w:val="right"/>
              <w:rPr>
                <w:rFonts w:cs="Calibri"/>
                <w:color w:val="000000"/>
                <w:szCs w:val="20"/>
                <w:lang w:eastAsia="en-AU"/>
              </w:rPr>
            </w:pPr>
            <w:r>
              <w:rPr>
                <w:rFonts w:cs="Calibri"/>
                <w:color w:val="000000"/>
                <w:szCs w:val="20"/>
              </w:rPr>
              <w:t>$285,096</w:t>
            </w:r>
          </w:p>
        </w:tc>
        <w:tc>
          <w:tcPr>
            <w:tcW w:w="1511" w:type="dxa"/>
            <w:vAlign w:val="bottom"/>
          </w:tcPr>
          <w:p w14:paraId="5AC3B463" w14:textId="49F312AD" w:rsidR="00400CC7" w:rsidRPr="00A8114B" w:rsidRDefault="00400CC7" w:rsidP="00400CC7">
            <w:pPr>
              <w:pStyle w:val="TableText"/>
              <w:jc w:val="right"/>
              <w:rPr>
                <w:rFonts w:cs="Calibri"/>
                <w:color w:val="000000"/>
                <w:szCs w:val="20"/>
                <w:lang w:eastAsia="en-AU"/>
              </w:rPr>
            </w:pPr>
            <w:r>
              <w:rPr>
                <w:rFonts w:cs="Calibri"/>
                <w:color w:val="000000"/>
                <w:szCs w:val="20"/>
              </w:rPr>
              <w:t>163.41%</w:t>
            </w:r>
          </w:p>
        </w:tc>
      </w:tr>
      <w:tr w:rsidR="00400CC7" w14:paraId="4C1BF124" w14:textId="77777777" w:rsidTr="00400CC7">
        <w:tc>
          <w:tcPr>
            <w:tcW w:w="1995" w:type="dxa"/>
            <w:vAlign w:val="bottom"/>
          </w:tcPr>
          <w:p w14:paraId="1DE5B5D0" w14:textId="77777777" w:rsidR="00400CC7" w:rsidRPr="00A8114B" w:rsidRDefault="00400CC7" w:rsidP="00400CC7">
            <w:pPr>
              <w:pStyle w:val="TableText"/>
              <w:rPr>
                <w:rFonts w:cs="Calibri"/>
                <w:color w:val="000000"/>
                <w:szCs w:val="20"/>
                <w:lang w:eastAsia="en-AU"/>
              </w:rPr>
            </w:pPr>
            <w:r>
              <w:rPr>
                <w:rFonts w:cs="Calibri"/>
                <w:color w:val="000000"/>
                <w:szCs w:val="20"/>
              </w:rPr>
              <w:t>40 years</w:t>
            </w:r>
          </w:p>
        </w:tc>
        <w:tc>
          <w:tcPr>
            <w:tcW w:w="1918" w:type="dxa"/>
            <w:vAlign w:val="bottom"/>
          </w:tcPr>
          <w:p w14:paraId="107CA908" w14:textId="0D2053C3" w:rsidR="00400CC7" w:rsidRPr="00A8114B" w:rsidRDefault="00400CC7" w:rsidP="00400CC7">
            <w:pPr>
              <w:pStyle w:val="TableText"/>
              <w:jc w:val="right"/>
              <w:rPr>
                <w:rFonts w:cs="Calibri"/>
                <w:color w:val="000000"/>
                <w:szCs w:val="20"/>
                <w:lang w:eastAsia="en-AU"/>
              </w:rPr>
            </w:pPr>
            <w:r>
              <w:rPr>
                <w:rFonts w:cs="Calibri"/>
                <w:color w:val="000000"/>
                <w:szCs w:val="20"/>
              </w:rPr>
              <w:t>$1,746.76</w:t>
            </w:r>
          </w:p>
        </w:tc>
        <w:tc>
          <w:tcPr>
            <w:tcW w:w="1707" w:type="dxa"/>
            <w:vAlign w:val="bottom"/>
          </w:tcPr>
          <w:p w14:paraId="196D61CA" w14:textId="2C3A1C4F" w:rsidR="00400CC7" w:rsidRPr="00A8114B" w:rsidRDefault="00400CC7" w:rsidP="00400CC7">
            <w:pPr>
              <w:pStyle w:val="TableText"/>
              <w:jc w:val="right"/>
              <w:rPr>
                <w:rFonts w:cs="Calibri"/>
                <w:color w:val="000000"/>
                <w:szCs w:val="20"/>
                <w:lang w:eastAsia="en-AU"/>
              </w:rPr>
            </w:pPr>
            <w:r>
              <w:rPr>
                <w:rFonts w:cs="Calibri"/>
                <w:color w:val="000000"/>
                <w:szCs w:val="20"/>
              </w:rPr>
              <w:t>0.0111</w:t>
            </w:r>
          </w:p>
        </w:tc>
        <w:tc>
          <w:tcPr>
            <w:tcW w:w="1885" w:type="dxa"/>
            <w:vAlign w:val="bottom"/>
          </w:tcPr>
          <w:p w14:paraId="144D399C" w14:textId="4C5CCC94" w:rsidR="00400CC7" w:rsidRPr="00A8114B" w:rsidRDefault="00400CC7" w:rsidP="00400CC7">
            <w:pPr>
              <w:pStyle w:val="TableText"/>
              <w:jc w:val="right"/>
              <w:rPr>
                <w:rFonts w:cs="Calibri"/>
                <w:color w:val="000000"/>
                <w:szCs w:val="20"/>
                <w:lang w:eastAsia="en-AU"/>
              </w:rPr>
            </w:pPr>
            <w:r>
              <w:rPr>
                <w:rFonts w:cs="Calibri"/>
                <w:color w:val="000000"/>
                <w:szCs w:val="20"/>
              </w:rPr>
              <w:t>$157,949</w:t>
            </w:r>
          </w:p>
        </w:tc>
        <w:tc>
          <w:tcPr>
            <w:tcW w:w="1511" w:type="dxa"/>
            <w:vAlign w:val="bottom"/>
          </w:tcPr>
          <w:p w14:paraId="71A7C420" w14:textId="1F21275A" w:rsidR="00400CC7" w:rsidRPr="00A8114B" w:rsidRDefault="00400CC7" w:rsidP="00400CC7">
            <w:pPr>
              <w:pStyle w:val="TableText"/>
              <w:jc w:val="right"/>
              <w:rPr>
                <w:rFonts w:cs="Calibri"/>
                <w:color w:val="000000"/>
                <w:szCs w:val="20"/>
                <w:lang w:eastAsia="en-AU"/>
              </w:rPr>
            </w:pPr>
            <w:r>
              <w:rPr>
                <w:rFonts w:cs="Calibri"/>
                <w:color w:val="000000"/>
                <w:szCs w:val="20"/>
              </w:rPr>
              <w:t>45.93%</w:t>
            </w:r>
          </w:p>
        </w:tc>
      </w:tr>
      <w:tr w:rsidR="002A392E" w:rsidRPr="00997540" w14:paraId="58F5BBA0" w14:textId="77777777" w:rsidTr="002803E6">
        <w:tc>
          <w:tcPr>
            <w:tcW w:w="9016" w:type="dxa"/>
            <w:gridSpan w:val="5"/>
            <w:vAlign w:val="bottom"/>
          </w:tcPr>
          <w:p w14:paraId="66FED31C" w14:textId="77777777" w:rsidR="002A392E" w:rsidRPr="00997540" w:rsidRDefault="002A392E" w:rsidP="002803E6">
            <w:pPr>
              <w:pStyle w:val="TableText"/>
              <w:rPr>
                <w:rFonts w:cs="Calibri"/>
                <w:i/>
                <w:color w:val="000000"/>
                <w:szCs w:val="20"/>
                <w:lang w:eastAsia="en-AU"/>
              </w:rPr>
            </w:pPr>
            <w:r>
              <w:rPr>
                <w:rFonts w:cs="Calibri"/>
                <w:i/>
                <w:color w:val="000000"/>
                <w:szCs w:val="20"/>
              </w:rPr>
              <w:t>D</w:t>
            </w:r>
            <w:r>
              <w:rPr>
                <w:rFonts w:cs="Calibri"/>
                <w:i/>
                <w:color w:val="000000"/>
              </w:rPr>
              <w:t>iscounting rate</w:t>
            </w:r>
            <w:r w:rsidRPr="00997540">
              <w:rPr>
                <w:rFonts w:cs="Calibri"/>
                <w:i/>
                <w:color w:val="000000"/>
                <w:szCs w:val="20"/>
              </w:rPr>
              <w:t xml:space="preserve"> (base case: 5</w:t>
            </w:r>
            <w:r>
              <w:rPr>
                <w:rFonts w:cs="Calibri"/>
                <w:i/>
                <w:color w:val="000000"/>
                <w:szCs w:val="20"/>
              </w:rPr>
              <w:t>% per annum</w:t>
            </w:r>
            <w:r w:rsidRPr="00997540">
              <w:rPr>
                <w:rFonts w:cs="Calibri"/>
                <w:i/>
                <w:color w:val="000000"/>
                <w:szCs w:val="20"/>
              </w:rPr>
              <w:t>)</w:t>
            </w:r>
          </w:p>
        </w:tc>
      </w:tr>
      <w:tr w:rsidR="00400CC7" w14:paraId="2C25454D" w14:textId="77777777" w:rsidTr="00400CC7">
        <w:tc>
          <w:tcPr>
            <w:tcW w:w="1995" w:type="dxa"/>
            <w:vAlign w:val="bottom"/>
          </w:tcPr>
          <w:p w14:paraId="662BDCE3" w14:textId="77777777" w:rsidR="00400CC7" w:rsidRPr="00A8114B" w:rsidRDefault="00400CC7" w:rsidP="00400CC7">
            <w:pPr>
              <w:pStyle w:val="TableText"/>
              <w:rPr>
                <w:rFonts w:cs="Calibri"/>
                <w:color w:val="000000"/>
                <w:szCs w:val="20"/>
                <w:lang w:eastAsia="en-AU"/>
              </w:rPr>
            </w:pPr>
            <w:r>
              <w:rPr>
                <w:rFonts w:cs="Calibri"/>
                <w:color w:val="000000"/>
                <w:szCs w:val="20"/>
              </w:rPr>
              <w:t>0%</w:t>
            </w:r>
          </w:p>
        </w:tc>
        <w:tc>
          <w:tcPr>
            <w:tcW w:w="1918" w:type="dxa"/>
            <w:vAlign w:val="bottom"/>
          </w:tcPr>
          <w:p w14:paraId="3BC5E2A8" w14:textId="55EF7C83" w:rsidR="00400CC7" w:rsidRPr="00A8114B" w:rsidRDefault="00400CC7" w:rsidP="00400CC7">
            <w:pPr>
              <w:pStyle w:val="TableText"/>
              <w:jc w:val="right"/>
              <w:rPr>
                <w:rFonts w:cs="Calibri"/>
                <w:color w:val="000000"/>
                <w:szCs w:val="20"/>
                <w:lang w:eastAsia="en-AU"/>
              </w:rPr>
            </w:pPr>
            <w:r>
              <w:rPr>
                <w:rFonts w:cs="Calibri"/>
                <w:color w:val="000000"/>
                <w:szCs w:val="20"/>
              </w:rPr>
              <w:t>$4,317.11</w:t>
            </w:r>
          </w:p>
        </w:tc>
        <w:tc>
          <w:tcPr>
            <w:tcW w:w="1707" w:type="dxa"/>
            <w:vAlign w:val="bottom"/>
          </w:tcPr>
          <w:p w14:paraId="319519FA" w14:textId="5F889F1B" w:rsidR="00400CC7" w:rsidRPr="00A8114B" w:rsidRDefault="00400CC7" w:rsidP="00400CC7">
            <w:pPr>
              <w:pStyle w:val="TableText"/>
              <w:jc w:val="right"/>
              <w:rPr>
                <w:rFonts w:cs="Calibri"/>
                <w:color w:val="000000"/>
                <w:szCs w:val="20"/>
                <w:lang w:eastAsia="en-AU"/>
              </w:rPr>
            </w:pPr>
            <w:r>
              <w:rPr>
                <w:rFonts w:cs="Calibri"/>
                <w:color w:val="000000"/>
                <w:szCs w:val="20"/>
              </w:rPr>
              <w:t>0.0971</w:t>
            </w:r>
          </w:p>
        </w:tc>
        <w:tc>
          <w:tcPr>
            <w:tcW w:w="1885" w:type="dxa"/>
            <w:vAlign w:val="bottom"/>
          </w:tcPr>
          <w:p w14:paraId="40126895" w14:textId="174CAFC5" w:rsidR="00400CC7" w:rsidRPr="00A8114B" w:rsidRDefault="00400CC7" w:rsidP="00400CC7">
            <w:pPr>
              <w:pStyle w:val="TableText"/>
              <w:jc w:val="right"/>
              <w:rPr>
                <w:rFonts w:cs="Calibri"/>
                <w:color w:val="000000"/>
                <w:szCs w:val="20"/>
                <w:lang w:eastAsia="en-AU"/>
              </w:rPr>
            </w:pPr>
            <w:r>
              <w:rPr>
                <w:rFonts w:cs="Calibri"/>
                <w:color w:val="000000"/>
                <w:szCs w:val="20"/>
              </w:rPr>
              <w:t>$44,458</w:t>
            </w:r>
          </w:p>
        </w:tc>
        <w:tc>
          <w:tcPr>
            <w:tcW w:w="1511" w:type="dxa"/>
            <w:vAlign w:val="bottom"/>
          </w:tcPr>
          <w:p w14:paraId="1D42F106" w14:textId="73FFCDB0" w:rsidR="00400CC7" w:rsidRPr="00A8114B" w:rsidRDefault="00400CC7" w:rsidP="00400CC7">
            <w:pPr>
              <w:pStyle w:val="TableText"/>
              <w:jc w:val="right"/>
              <w:rPr>
                <w:rFonts w:cs="Calibri"/>
                <w:color w:val="000000"/>
                <w:szCs w:val="20"/>
                <w:lang w:eastAsia="en-AU"/>
              </w:rPr>
            </w:pPr>
            <w:r>
              <w:rPr>
                <w:rFonts w:cs="Calibri"/>
                <w:color w:val="000000"/>
                <w:szCs w:val="20"/>
              </w:rPr>
              <w:t>–58.92%</w:t>
            </w:r>
          </w:p>
        </w:tc>
      </w:tr>
      <w:tr w:rsidR="00400CC7" w14:paraId="444B4DD3" w14:textId="77777777" w:rsidTr="00400CC7">
        <w:tc>
          <w:tcPr>
            <w:tcW w:w="1995" w:type="dxa"/>
            <w:vAlign w:val="bottom"/>
          </w:tcPr>
          <w:p w14:paraId="2CE077CF" w14:textId="77777777" w:rsidR="00400CC7" w:rsidRPr="00A8114B" w:rsidRDefault="00400CC7" w:rsidP="00400CC7">
            <w:pPr>
              <w:pStyle w:val="TableText"/>
              <w:rPr>
                <w:rFonts w:cs="Calibri"/>
                <w:color w:val="000000"/>
                <w:szCs w:val="20"/>
                <w:lang w:eastAsia="en-AU"/>
              </w:rPr>
            </w:pPr>
            <w:r>
              <w:rPr>
                <w:rFonts w:cs="Calibri"/>
                <w:color w:val="000000"/>
                <w:szCs w:val="20"/>
              </w:rPr>
              <w:t>3.50%</w:t>
            </w:r>
          </w:p>
        </w:tc>
        <w:tc>
          <w:tcPr>
            <w:tcW w:w="1918" w:type="dxa"/>
            <w:vAlign w:val="bottom"/>
          </w:tcPr>
          <w:p w14:paraId="3A611C10" w14:textId="3782D0D3" w:rsidR="00400CC7" w:rsidRPr="00A8114B" w:rsidRDefault="00400CC7" w:rsidP="00400CC7">
            <w:pPr>
              <w:pStyle w:val="TableText"/>
              <w:jc w:val="right"/>
              <w:rPr>
                <w:rFonts w:cs="Calibri"/>
                <w:color w:val="000000"/>
                <w:szCs w:val="20"/>
                <w:lang w:eastAsia="en-AU"/>
              </w:rPr>
            </w:pPr>
            <w:r>
              <w:rPr>
                <w:rFonts w:cs="Calibri"/>
                <w:color w:val="000000"/>
                <w:szCs w:val="20"/>
              </w:rPr>
              <w:t>$2,255.72</w:t>
            </w:r>
          </w:p>
        </w:tc>
        <w:tc>
          <w:tcPr>
            <w:tcW w:w="1707" w:type="dxa"/>
            <w:vAlign w:val="bottom"/>
          </w:tcPr>
          <w:p w14:paraId="3A7E5FD0" w14:textId="3091FA1B" w:rsidR="00400CC7" w:rsidRPr="00A8114B" w:rsidRDefault="00400CC7" w:rsidP="00400CC7">
            <w:pPr>
              <w:pStyle w:val="TableText"/>
              <w:jc w:val="right"/>
              <w:rPr>
                <w:rFonts w:cs="Calibri"/>
                <w:color w:val="000000"/>
                <w:szCs w:val="20"/>
                <w:lang w:eastAsia="en-AU"/>
              </w:rPr>
            </w:pPr>
            <w:r>
              <w:rPr>
                <w:rFonts w:cs="Calibri"/>
                <w:color w:val="000000"/>
                <w:szCs w:val="20"/>
              </w:rPr>
              <w:t>0.0276</w:t>
            </w:r>
          </w:p>
        </w:tc>
        <w:tc>
          <w:tcPr>
            <w:tcW w:w="1885" w:type="dxa"/>
            <w:vAlign w:val="bottom"/>
          </w:tcPr>
          <w:p w14:paraId="1D2E8BC7" w14:textId="6B34B446" w:rsidR="00400CC7" w:rsidRPr="00A8114B" w:rsidRDefault="00400CC7" w:rsidP="00400CC7">
            <w:pPr>
              <w:pStyle w:val="TableText"/>
              <w:jc w:val="right"/>
              <w:rPr>
                <w:rFonts w:cs="Calibri"/>
                <w:color w:val="000000"/>
                <w:szCs w:val="20"/>
                <w:lang w:eastAsia="en-AU"/>
              </w:rPr>
            </w:pPr>
            <w:r>
              <w:rPr>
                <w:rFonts w:cs="Calibri"/>
                <w:color w:val="000000"/>
                <w:szCs w:val="20"/>
              </w:rPr>
              <w:t>$81,836</w:t>
            </w:r>
          </w:p>
        </w:tc>
        <w:tc>
          <w:tcPr>
            <w:tcW w:w="1511" w:type="dxa"/>
            <w:vAlign w:val="bottom"/>
          </w:tcPr>
          <w:p w14:paraId="1DB50346" w14:textId="5FF4D2CB" w:rsidR="00400CC7" w:rsidRPr="00A8114B" w:rsidRDefault="00400CC7" w:rsidP="00400CC7">
            <w:pPr>
              <w:pStyle w:val="TableText"/>
              <w:jc w:val="right"/>
              <w:rPr>
                <w:rFonts w:cs="Calibri"/>
                <w:color w:val="000000"/>
                <w:szCs w:val="20"/>
                <w:lang w:eastAsia="en-AU"/>
              </w:rPr>
            </w:pPr>
            <w:r>
              <w:rPr>
                <w:rFonts w:cs="Calibri"/>
                <w:color w:val="000000"/>
                <w:szCs w:val="20"/>
              </w:rPr>
              <w:t>–24.39%</w:t>
            </w:r>
          </w:p>
        </w:tc>
      </w:tr>
    </w:tbl>
    <w:p w14:paraId="17F576BD" w14:textId="5D57F30E" w:rsidR="0088779E" w:rsidRDefault="0088779E" w:rsidP="00035B35">
      <w:pPr>
        <w:pStyle w:val="TableFigureFooter"/>
      </w:pPr>
      <w:r>
        <w:t>∆ = difference in cost or outcome for MRI compared with CT; CT = computed tomography; ICER = incremental cost effectiveness ratio; IRR = inciden</w:t>
      </w:r>
      <w:r w:rsidR="00647C9C">
        <w:t>ce</w:t>
      </w:r>
      <w:r>
        <w:t xml:space="preserve"> rate ratio; MRI = magnetic resonance imaging; RCC = renal cell carcinoma; SE = South-East</w:t>
      </w:r>
    </w:p>
    <w:p w14:paraId="12143655" w14:textId="22192635" w:rsidR="00322D74" w:rsidRDefault="00322D74" w:rsidP="00443577">
      <w:pPr>
        <w:pStyle w:val="TableFigureFooter"/>
        <w:keepNext/>
      </w:pPr>
      <w:r>
        <w:t>Note table updated based on MSAC’s advice</w:t>
      </w:r>
    </w:p>
    <w:p w14:paraId="3ED8F765" w14:textId="77777777" w:rsidR="0088779E" w:rsidRPr="00D1072A" w:rsidRDefault="0088779E" w:rsidP="0088779E">
      <w:r>
        <w:t>The analyses were most sensitive to the increment in cancer incidence rate ratio (IRR) (exposed vs unexposed) per CT scan</w:t>
      </w:r>
      <w:r w:rsidR="00B64EAE">
        <w:t>, discounting rate applied to costs and outcomes</w:t>
      </w:r>
      <w:r w:rsidR="00F6055B">
        <w:t xml:space="preserve"> and modelled time horizon</w:t>
      </w:r>
      <w:r>
        <w:t xml:space="preserve">. </w:t>
      </w:r>
    </w:p>
    <w:p w14:paraId="2497A327" w14:textId="77777777" w:rsidR="0088779E" w:rsidRDefault="0088779E" w:rsidP="0088779E">
      <w:pPr>
        <w:pStyle w:val="Heading2"/>
        <w:numPr>
          <w:ilvl w:val="0"/>
          <w:numId w:val="0"/>
        </w:numPr>
      </w:pPr>
      <w:bookmarkStart w:id="36" w:name="_Toc118814548"/>
      <w:bookmarkStart w:id="37" w:name="_Toc121853591"/>
      <w:r w:rsidRPr="00D1072A">
        <w:t>1</w:t>
      </w:r>
      <w:r w:rsidR="006224B0">
        <w:t>4</w:t>
      </w:r>
      <w:r w:rsidRPr="00D1072A">
        <w:t>.</w:t>
      </w:r>
      <w:r w:rsidRPr="00D1072A">
        <w:tab/>
        <w:t>Financial/budgetary impacts</w:t>
      </w:r>
      <w:bookmarkEnd w:id="36"/>
      <w:bookmarkEnd w:id="37"/>
    </w:p>
    <w:p w14:paraId="685AD141" w14:textId="77777777" w:rsidR="004D1E84" w:rsidRPr="004D1E84" w:rsidRDefault="004D1E84" w:rsidP="0088779E">
      <w:pPr>
        <w:rPr>
          <w:i/>
        </w:rPr>
      </w:pPr>
      <w:r>
        <w:rPr>
          <w:i/>
        </w:rPr>
        <w:t xml:space="preserve">Note: The financial impact analysis presented in the DCAR reflects the Greatest Permissible Gap (GPG) that applied until 31 October 2022 ($87.90). The GPG increased to $93.20 on 1 November 2022. </w:t>
      </w:r>
      <w:r w:rsidR="00461CCC" w:rsidRPr="00461CCC">
        <w:rPr>
          <w:i/>
        </w:rPr>
        <w:t xml:space="preserve">The increase does not impact the total cost of MBS services, however results </w:t>
      </w:r>
      <w:r w:rsidR="00461CCC" w:rsidRPr="00461CCC">
        <w:rPr>
          <w:i/>
        </w:rPr>
        <w:lastRenderedPageBreak/>
        <w:t>in an approximate increase of $5.30 per service funded by patient gap payments, and an equivalent reduction in cost to the MBS.</w:t>
      </w:r>
      <w:r w:rsidR="00461CCC">
        <w:rPr>
          <w:i/>
        </w:rPr>
        <w:t xml:space="preserve"> </w:t>
      </w:r>
      <w:r>
        <w:rPr>
          <w:i/>
        </w:rPr>
        <w:t xml:space="preserve">This change resulted in a &lt;2% decrease in the estimated net financial impact to the MBS (as explored in a sensitivity analysis presented in the </w:t>
      </w:r>
      <w:r w:rsidR="00C55CBC">
        <w:rPr>
          <w:i/>
        </w:rPr>
        <w:t>Table 16</w:t>
      </w:r>
      <w:r>
        <w:rPr>
          <w:i/>
        </w:rPr>
        <w:t xml:space="preserve">). </w:t>
      </w:r>
    </w:p>
    <w:p w14:paraId="7F1A8C64" w14:textId="77777777" w:rsidR="0088779E" w:rsidRDefault="0088779E" w:rsidP="0088779E">
      <w:r>
        <w:t xml:space="preserve">Periodic surveillance using ultrasound (US) and computed tomography (CT) with/without contrast is a current clinical practice in persons with rare genetic </w:t>
      </w:r>
      <w:r w:rsidRPr="00DA3E08">
        <w:t xml:space="preserve">syndromes with a predisposition to </w:t>
      </w:r>
      <w:r>
        <w:t>benign/</w:t>
      </w:r>
      <w:r w:rsidRPr="00DA3E08">
        <w:t>malignant renal tumours</w:t>
      </w:r>
      <w:r>
        <w:t xml:space="preserve">. However, these services either are performed in the </w:t>
      </w:r>
      <w:r w:rsidR="00894353">
        <w:t>p</w:t>
      </w:r>
      <w:r>
        <w:t>ublic hospitals or are claimed using general MBS items for CT and US services. In the absence of current usage data for the comparator services, an epidemiological approach is used to estimate the financial implications of funding proposed MRI services.</w:t>
      </w:r>
    </w:p>
    <w:p w14:paraId="3888DA1B" w14:textId="3E583DD8" w:rsidR="009A3F23" w:rsidRDefault="00387E2B" w:rsidP="009A3F23">
      <w:r>
        <w:t>Table 13</w:t>
      </w:r>
      <w:r w:rsidR="009A3F23">
        <w:t xml:space="preserve"> summarises the e</w:t>
      </w:r>
      <w:r w:rsidR="009A3F23" w:rsidRPr="00007868">
        <w:t xml:space="preserve">stimated costs associated with the listing of proposed </w:t>
      </w:r>
      <w:r w:rsidR="009A3F23">
        <w:t xml:space="preserve">MRI </w:t>
      </w:r>
      <w:r w:rsidR="009A3F23" w:rsidRPr="00007868">
        <w:t>services</w:t>
      </w:r>
      <w:r w:rsidR="009A3F23">
        <w:t xml:space="preserve"> for annual surveillance and treatment monitoring. Proposed abdominal MRI will cost approximately $522,000 annually to the MBS by the sixth year of MBS listing. </w:t>
      </w:r>
    </w:p>
    <w:p w14:paraId="7524085C" w14:textId="4C7D217E" w:rsidR="009A3F23" w:rsidRDefault="009A3F23" w:rsidP="009A3F23">
      <w:pPr>
        <w:pStyle w:val="TableHeading0"/>
      </w:pPr>
      <w:bookmarkStart w:id="38" w:name="_Ref120539757"/>
      <w:r>
        <w:t>Table</w:t>
      </w:r>
      <w:r w:rsidR="00387E2B">
        <w:t xml:space="preserve"> 13</w:t>
      </w:r>
      <w:bookmarkEnd w:id="38"/>
      <w:r>
        <w:tab/>
        <w:t>Estimated costs associated with the listing of proposed services</w:t>
      </w:r>
    </w:p>
    <w:tbl>
      <w:tblPr>
        <w:tblStyle w:val="HealthConsult4"/>
        <w:tblW w:w="5000" w:type="pct"/>
        <w:tblLayout w:type="fixed"/>
        <w:tblLook w:val="04A0" w:firstRow="1" w:lastRow="0" w:firstColumn="1" w:lastColumn="0" w:noHBand="0" w:noVBand="1"/>
      </w:tblPr>
      <w:tblGrid>
        <w:gridCol w:w="2688"/>
        <w:gridCol w:w="283"/>
        <w:gridCol w:w="851"/>
        <w:gridCol w:w="1134"/>
        <w:gridCol w:w="992"/>
        <w:gridCol w:w="992"/>
        <w:gridCol w:w="992"/>
        <w:gridCol w:w="1084"/>
      </w:tblGrid>
      <w:tr w:rsidR="00D11182" w:rsidRPr="004B0BC1" w14:paraId="6959833A" w14:textId="77777777" w:rsidTr="00C77582">
        <w:trPr>
          <w:trHeight w:val="255"/>
        </w:trPr>
        <w:tc>
          <w:tcPr>
            <w:tcW w:w="1491" w:type="pct"/>
            <w:noWrap/>
            <w:vAlign w:val="bottom"/>
            <w:hideMark/>
          </w:tcPr>
          <w:p w14:paraId="0261A75D" w14:textId="77777777" w:rsidR="00D11182" w:rsidRPr="004B0BC1" w:rsidRDefault="00D11182" w:rsidP="002938A7">
            <w:pPr>
              <w:pStyle w:val="TableText"/>
              <w:rPr>
                <w:lang w:eastAsia="en-AU"/>
              </w:rPr>
            </w:pPr>
            <w:r w:rsidRPr="004B0BC1">
              <w:rPr>
                <w:lang w:eastAsia="en-AU"/>
              </w:rPr>
              <w:t> </w:t>
            </w:r>
          </w:p>
        </w:tc>
        <w:tc>
          <w:tcPr>
            <w:tcW w:w="629" w:type="pct"/>
            <w:gridSpan w:val="2"/>
            <w:noWrap/>
            <w:vAlign w:val="bottom"/>
            <w:hideMark/>
          </w:tcPr>
          <w:p w14:paraId="775E4AA9" w14:textId="77777777" w:rsidR="00D11182" w:rsidRPr="004B0BC1" w:rsidRDefault="00D11182" w:rsidP="002938A7">
            <w:pPr>
              <w:pStyle w:val="TableText"/>
              <w:rPr>
                <w:b/>
                <w:bCs/>
                <w:lang w:eastAsia="en-AU"/>
              </w:rPr>
            </w:pPr>
            <w:r w:rsidRPr="004B0BC1">
              <w:rPr>
                <w:b/>
                <w:bCs/>
                <w:lang w:eastAsia="en-AU"/>
              </w:rPr>
              <w:t>2023</w:t>
            </w:r>
          </w:p>
        </w:tc>
        <w:tc>
          <w:tcPr>
            <w:tcW w:w="629" w:type="pct"/>
            <w:noWrap/>
            <w:vAlign w:val="bottom"/>
            <w:hideMark/>
          </w:tcPr>
          <w:p w14:paraId="77633838" w14:textId="77777777" w:rsidR="00D11182" w:rsidRPr="004B0BC1" w:rsidRDefault="00D11182" w:rsidP="002938A7">
            <w:pPr>
              <w:pStyle w:val="TableText"/>
              <w:rPr>
                <w:b/>
                <w:bCs/>
                <w:lang w:eastAsia="en-AU"/>
              </w:rPr>
            </w:pPr>
            <w:r w:rsidRPr="004B0BC1">
              <w:rPr>
                <w:b/>
                <w:bCs/>
                <w:lang w:eastAsia="en-AU"/>
              </w:rPr>
              <w:t>2024</w:t>
            </w:r>
          </w:p>
        </w:tc>
        <w:tc>
          <w:tcPr>
            <w:tcW w:w="550" w:type="pct"/>
            <w:noWrap/>
            <w:vAlign w:val="bottom"/>
            <w:hideMark/>
          </w:tcPr>
          <w:p w14:paraId="3470B2CE" w14:textId="77777777" w:rsidR="00D11182" w:rsidRPr="004B0BC1" w:rsidRDefault="00D11182" w:rsidP="002938A7">
            <w:pPr>
              <w:pStyle w:val="TableText"/>
              <w:rPr>
                <w:b/>
                <w:bCs/>
                <w:lang w:eastAsia="en-AU"/>
              </w:rPr>
            </w:pPr>
            <w:r w:rsidRPr="004B0BC1">
              <w:rPr>
                <w:b/>
                <w:bCs/>
                <w:lang w:eastAsia="en-AU"/>
              </w:rPr>
              <w:t>2025</w:t>
            </w:r>
          </w:p>
        </w:tc>
        <w:tc>
          <w:tcPr>
            <w:tcW w:w="550" w:type="pct"/>
            <w:noWrap/>
            <w:vAlign w:val="bottom"/>
            <w:hideMark/>
          </w:tcPr>
          <w:p w14:paraId="6288696B" w14:textId="77777777" w:rsidR="00D11182" w:rsidRPr="004B0BC1" w:rsidRDefault="00D11182" w:rsidP="002938A7">
            <w:pPr>
              <w:pStyle w:val="TableText"/>
              <w:rPr>
                <w:b/>
                <w:bCs/>
                <w:lang w:eastAsia="en-AU"/>
              </w:rPr>
            </w:pPr>
            <w:r w:rsidRPr="004B0BC1">
              <w:rPr>
                <w:b/>
                <w:bCs/>
                <w:lang w:eastAsia="en-AU"/>
              </w:rPr>
              <w:t>2026</w:t>
            </w:r>
          </w:p>
        </w:tc>
        <w:tc>
          <w:tcPr>
            <w:tcW w:w="550" w:type="pct"/>
            <w:noWrap/>
            <w:vAlign w:val="bottom"/>
            <w:hideMark/>
          </w:tcPr>
          <w:p w14:paraId="26410CE2" w14:textId="77777777" w:rsidR="00D11182" w:rsidRPr="004B0BC1" w:rsidRDefault="00D11182" w:rsidP="002938A7">
            <w:pPr>
              <w:pStyle w:val="TableText"/>
              <w:rPr>
                <w:b/>
                <w:bCs/>
                <w:lang w:eastAsia="en-AU"/>
              </w:rPr>
            </w:pPr>
            <w:r w:rsidRPr="004B0BC1">
              <w:rPr>
                <w:b/>
                <w:bCs/>
                <w:lang w:eastAsia="en-AU"/>
              </w:rPr>
              <w:t>2027</w:t>
            </w:r>
          </w:p>
        </w:tc>
        <w:tc>
          <w:tcPr>
            <w:tcW w:w="601" w:type="pct"/>
            <w:noWrap/>
            <w:vAlign w:val="bottom"/>
            <w:hideMark/>
          </w:tcPr>
          <w:p w14:paraId="2897F9DE" w14:textId="77777777" w:rsidR="00D11182" w:rsidRPr="004B0BC1" w:rsidRDefault="00D11182" w:rsidP="002938A7">
            <w:pPr>
              <w:pStyle w:val="TableText"/>
              <w:rPr>
                <w:b/>
                <w:bCs/>
                <w:lang w:eastAsia="en-AU"/>
              </w:rPr>
            </w:pPr>
            <w:r w:rsidRPr="004B0BC1">
              <w:rPr>
                <w:b/>
                <w:bCs/>
                <w:lang w:eastAsia="en-AU"/>
              </w:rPr>
              <w:t>2028</w:t>
            </w:r>
          </w:p>
        </w:tc>
      </w:tr>
      <w:tr w:rsidR="00C77582" w:rsidRPr="004B0BC1" w14:paraId="4B2A50F6" w14:textId="77777777" w:rsidTr="00B76D30">
        <w:trPr>
          <w:trHeight w:val="255"/>
        </w:trPr>
        <w:tc>
          <w:tcPr>
            <w:tcW w:w="1648" w:type="pct"/>
            <w:gridSpan w:val="2"/>
            <w:tcBorders>
              <w:right w:val="nil"/>
            </w:tcBorders>
            <w:noWrap/>
            <w:vAlign w:val="bottom"/>
          </w:tcPr>
          <w:p w14:paraId="2A0C3026" w14:textId="77777777" w:rsidR="00C77582" w:rsidRPr="004B0BC1" w:rsidRDefault="00B76D30" w:rsidP="002938A7">
            <w:pPr>
              <w:pStyle w:val="TableText"/>
              <w:rPr>
                <w:lang w:eastAsia="en-AU"/>
              </w:rPr>
            </w:pPr>
            <w:r>
              <w:rPr>
                <w:lang w:eastAsia="en-AU"/>
              </w:rPr>
              <w:t xml:space="preserve">Proposed MRI service in </w:t>
            </w:r>
            <w:r w:rsidR="00C77582">
              <w:rPr>
                <w:lang w:eastAsia="en-AU"/>
              </w:rPr>
              <w:t>PICO set 1</w:t>
            </w:r>
          </w:p>
        </w:tc>
        <w:tc>
          <w:tcPr>
            <w:tcW w:w="472" w:type="pct"/>
            <w:tcBorders>
              <w:left w:val="nil"/>
              <w:right w:val="nil"/>
            </w:tcBorders>
            <w:noWrap/>
            <w:vAlign w:val="bottom"/>
          </w:tcPr>
          <w:p w14:paraId="309FE0BF" w14:textId="77777777" w:rsidR="00C77582" w:rsidRPr="004B0BC1" w:rsidRDefault="00C77582" w:rsidP="002938A7">
            <w:pPr>
              <w:pStyle w:val="TableText"/>
              <w:rPr>
                <w:b/>
                <w:bCs/>
                <w:lang w:eastAsia="en-AU"/>
              </w:rPr>
            </w:pPr>
          </w:p>
        </w:tc>
        <w:tc>
          <w:tcPr>
            <w:tcW w:w="629" w:type="pct"/>
            <w:tcBorders>
              <w:left w:val="nil"/>
              <w:right w:val="nil"/>
            </w:tcBorders>
            <w:noWrap/>
            <w:vAlign w:val="bottom"/>
          </w:tcPr>
          <w:p w14:paraId="007DC90C" w14:textId="77777777" w:rsidR="00C77582" w:rsidRPr="004B0BC1" w:rsidRDefault="00C77582" w:rsidP="002938A7">
            <w:pPr>
              <w:pStyle w:val="TableText"/>
              <w:rPr>
                <w:b/>
                <w:bCs/>
                <w:lang w:eastAsia="en-AU"/>
              </w:rPr>
            </w:pPr>
          </w:p>
        </w:tc>
        <w:tc>
          <w:tcPr>
            <w:tcW w:w="550" w:type="pct"/>
            <w:tcBorders>
              <w:left w:val="nil"/>
              <w:right w:val="nil"/>
            </w:tcBorders>
            <w:noWrap/>
            <w:vAlign w:val="bottom"/>
          </w:tcPr>
          <w:p w14:paraId="749673AC" w14:textId="77777777" w:rsidR="00C77582" w:rsidRPr="004B0BC1" w:rsidRDefault="00C77582" w:rsidP="002938A7">
            <w:pPr>
              <w:pStyle w:val="TableText"/>
              <w:rPr>
                <w:b/>
                <w:bCs/>
                <w:lang w:eastAsia="en-AU"/>
              </w:rPr>
            </w:pPr>
          </w:p>
        </w:tc>
        <w:tc>
          <w:tcPr>
            <w:tcW w:w="550" w:type="pct"/>
            <w:tcBorders>
              <w:left w:val="nil"/>
              <w:right w:val="nil"/>
            </w:tcBorders>
            <w:noWrap/>
            <w:vAlign w:val="bottom"/>
          </w:tcPr>
          <w:p w14:paraId="4AE09508" w14:textId="77777777" w:rsidR="00C77582" w:rsidRPr="004B0BC1" w:rsidRDefault="00C77582" w:rsidP="002938A7">
            <w:pPr>
              <w:pStyle w:val="TableText"/>
              <w:rPr>
                <w:b/>
                <w:bCs/>
                <w:lang w:eastAsia="en-AU"/>
              </w:rPr>
            </w:pPr>
          </w:p>
        </w:tc>
        <w:tc>
          <w:tcPr>
            <w:tcW w:w="550" w:type="pct"/>
            <w:tcBorders>
              <w:left w:val="nil"/>
              <w:right w:val="nil"/>
            </w:tcBorders>
            <w:noWrap/>
            <w:vAlign w:val="bottom"/>
          </w:tcPr>
          <w:p w14:paraId="24C2298D" w14:textId="77777777" w:rsidR="00C77582" w:rsidRPr="004B0BC1" w:rsidRDefault="00C77582" w:rsidP="002938A7">
            <w:pPr>
              <w:pStyle w:val="TableText"/>
              <w:rPr>
                <w:b/>
                <w:bCs/>
                <w:lang w:eastAsia="en-AU"/>
              </w:rPr>
            </w:pPr>
          </w:p>
        </w:tc>
        <w:tc>
          <w:tcPr>
            <w:tcW w:w="601" w:type="pct"/>
            <w:tcBorders>
              <w:left w:val="nil"/>
            </w:tcBorders>
            <w:noWrap/>
            <w:vAlign w:val="bottom"/>
          </w:tcPr>
          <w:p w14:paraId="47C0D14D" w14:textId="77777777" w:rsidR="00C77582" w:rsidRPr="004B0BC1" w:rsidRDefault="00C77582" w:rsidP="002938A7">
            <w:pPr>
              <w:pStyle w:val="TableText"/>
              <w:rPr>
                <w:b/>
                <w:bCs/>
                <w:lang w:eastAsia="en-AU"/>
              </w:rPr>
            </w:pPr>
          </w:p>
        </w:tc>
      </w:tr>
      <w:tr w:rsidR="00D11182" w:rsidRPr="004B0BC1" w14:paraId="60E0E2D5" w14:textId="77777777" w:rsidTr="002938A7">
        <w:trPr>
          <w:trHeight w:val="255"/>
        </w:trPr>
        <w:tc>
          <w:tcPr>
            <w:tcW w:w="1491" w:type="pct"/>
            <w:noWrap/>
            <w:vAlign w:val="bottom"/>
            <w:hideMark/>
          </w:tcPr>
          <w:p w14:paraId="3170CCFA" w14:textId="77777777" w:rsidR="00D11182" w:rsidRPr="00AC04C2" w:rsidRDefault="00D11182" w:rsidP="002938A7">
            <w:pPr>
              <w:pStyle w:val="TableText"/>
              <w:rPr>
                <w:vertAlign w:val="superscript"/>
                <w:lang w:eastAsia="en-AU"/>
              </w:rPr>
            </w:pPr>
            <w:r w:rsidRPr="004B0BC1">
              <w:rPr>
                <w:lang w:eastAsia="en-AU"/>
              </w:rPr>
              <w:t>Estimated number of MRI services for surveillance</w:t>
            </w:r>
            <w:r>
              <w:rPr>
                <w:lang w:eastAsia="en-AU"/>
              </w:rPr>
              <w:t xml:space="preserve"> </w:t>
            </w:r>
            <w:r w:rsidRPr="00C77582">
              <w:rPr>
                <w:i/>
                <w:lang w:eastAsia="en-AU"/>
              </w:rPr>
              <w:t>(A)</w:t>
            </w:r>
          </w:p>
        </w:tc>
        <w:tc>
          <w:tcPr>
            <w:tcW w:w="629" w:type="pct"/>
            <w:gridSpan w:val="2"/>
            <w:noWrap/>
            <w:vAlign w:val="bottom"/>
            <w:hideMark/>
          </w:tcPr>
          <w:p w14:paraId="4F7463F8" w14:textId="77777777" w:rsidR="00D11182" w:rsidRPr="004B0BC1" w:rsidRDefault="00D11182" w:rsidP="002938A7">
            <w:pPr>
              <w:pStyle w:val="TableText"/>
              <w:jc w:val="right"/>
              <w:rPr>
                <w:lang w:eastAsia="en-AU"/>
              </w:rPr>
            </w:pPr>
            <w:r>
              <w:rPr>
                <w:rFonts w:cs="Calibri"/>
                <w:color w:val="000000"/>
                <w:szCs w:val="20"/>
              </w:rPr>
              <w:t>765</w:t>
            </w:r>
          </w:p>
        </w:tc>
        <w:tc>
          <w:tcPr>
            <w:tcW w:w="629" w:type="pct"/>
            <w:noWrap/>
            <w:vAlign w:val="bottom"/>
            <w:hideMark/>
          </w:tcPr>
          <w:p w14:paraId="3F2BF012" w14:textId="77777777" w:rsidR="00D11182" w:rsidRPr="004B0BC1" w:rsidRDefault="00D11182" w:rsidP="002938A7">
            <w:pPr>
              <w:pStyle w:val="TableText"/>
              <w:jc w:val="right"/>
              <w:rPr>
                <w:lang w:eastAsia="en-AU"/>
              </w:rPr>
            </w:pPr>
            <w:r>
              <w:rPr>
                <w:rFonts w:cs="Calibri"/>
                <w:color w:val="000000"/>
                <w:szCs w:val="20"/>
              </w:rPr>
              <w:t>775</w:t>
            </w:r>
          </w:p>
        </w:tc>
        <w:tc>
          <w:tcPr>
            <w:tcW w:w="550" w:type="pct"/>
            <w:noWrap/>
            <w:vAlign w:val="bottom"/>
            <w:hideMark/>
          </w:tcPr>
          <w:p w14:paraId="13A5A740" w14:textId="77777777" w:rsidR="00D11182" w:rsidRPr="004B0BC1" w:rsidRDefault="00D11182" w:rsidP="002938A7">
            <w:pPr>
              <w:pStyle w:val="TableText"/>
              <w:jc w:val="right"/>
              <w:rPr>
                <w:lang w:eastAsia="en-AU"/>
              </w:rPr>
            </w:pPr>
            <w:r>
              <w:rPr>
                <w:rFonts w:cs="Calibri"/>
                <w:color w:val="000000"/>
                <w:szCs w:val="20"/>
              </w:rPr>
              <w:t>785</w:t>
            </w:r>
          </w:p>
        </w:tc>
        <w:tc>
          <w:tcPr>
            <w:tcW w:w="550" w:type="pct"/>
            <w:noWrap/>
            <w:vAlign w:val="bottom"/>
            <w:hideMark/>
          </w:tcPr>
          <w:p w14:paraId="550E0B61" w14:textId="77777777" w:rsidR="00D11182" w:rsidRPr="004B0BC1" w:rsidRDefault="00D11182" w:rsidP="002938A7">
            <w:pPr>
              <w:pStyle w:val="TableText"/>
              <w:jc w:val="right"/>
              <w:rPr>
                <w:lang w:eastAsia="en-AU"/>
              </w:rPr>
            </w:pPr>
            <w:r>
              <w:rPr>
                <w:rFonts w:cs="Calibri"/>
                <w:color w:val="000000"/>
                <w:szCs w:val="20"/>
              </w:rPr>
              <w:t>795</w:t>
            </w:r>
          </w:p>
        </w:tc>
        <w:tc>
          <w:tcPr>
            <w:tcW w:w="550" w:type="pct"/>
            <w:noWrap/>
            <w:vAlign w:val="bottom"/>
            <w:hideMark/>
          </w:tcPr>
          <w:p w14:paraId="16D76CDF" w14:textId="77777777" w:rsidR="00D11182" w:rsidRPr="004B0BC1" w:rsidRDefault="00D11182" w:rsidP="002938A7">
            <w:pPr>
              <w:pStyle w:val="TableText"/>
              <w:jc w:val="right"/>
              <w:rPr>
                <w:lang w:eastAsia="en-AU"/>
              </w:rPr>
            </w:pPr>
            <w:r>
              <w:rPr>
                <w:rFonts w:cs="Calibri"/>
                <w:color w:val="000000"/>
                <w:szCs w:val="20"/>
              </w:rPr>
              <w:t>804</w:t>
            </w:r>
          </w:p>
        </w:tc>
        <w:tc>
          <w:tcPr>
            <w:tcW w:w="601" w:type="pct"/>
            <w:noWrap/>
            <w:vAlign w:val="bottom"/>
            <w:hideMark/>
          </w:tcPr>
          <w:p w14:paraId="61785850" w14:textId="77777777" w:rsidR="00D11182" w:rsidRPr="004B0BC1" w:rsidRDefault="00D11182" w:rsidP="002938A7">
            <w:pPr>
              <w:pStyle w:val="TableText"/>
              <w:jc w:val="right"/>
              <w:rPr>
                <w:lang w:eastAsia="en-AU"/>
              </w:rPr>
            </w:pPr>
            <w:r>
              <w:rPr>
                <w:rFonts w:cs="Calibri"/>
                <w:color w:val="000000"/>
                <w:szCs w:val="20"/>
              </w:rPr>
              <w:t>813</w:t>
            </w:r>
          </w:p>
        </w:tc>
      </w:tr>
      <w:tr w:rsidR="00D11182" w:rsidRPr="004B0BC1" w14:paraId="41D591ED" w14:textId="77777777" w:rsidTr="002938A7">
        <w:trPr>
          <w:trHeight w:val="255"/>
        </w:trPr>
        <w:tc>
          <w:tcPr>
            <w:tcW w:w="1491" w:type="pct"/>
            <w:noWrap/>
            <w:vAlign w:val="bottom"/>
            <w:hideMark/>
          </w:tcPr>
          <w:p w14:paraId="2E6AE331" w14:textId="77777777" w:rsidR="00D11182" w:rsidRPr="004E51C0" w:rsidRDefault="00D11182" w:rsidP="002938A7">
            <w:pPr>
              <w:pStyle w:val="TableText"/>
              <w:rPr>
                <w:bCs/>
                <w:i/>
                <w:lang w:eastAsia="en-AU"/>
              </w:rPr>
            </w:pPr>
            <w:r w:rsidRPr="004E51C0">
              <w:rPr>
                <w:bCs/>
                <w:i/>
                <w:lang w:eastAsia="en-AU"/>
              </w:rPr>
              <w:t>Cost to MBS</w:t>
            </w:r>
            <w:r>
              <w:rPr>
                <w:bCs/>
                <w:i/>
                <w:lang w:eastAsia="en-AU"/>
              </w:rPr>
              <w:t xml:space="preserve"> (B + C)</w:t>
            </w:r>
          </w:p>
        </w:tc>
        <w:tc>
          <w:tcPr>
            <w:tcW w:w="629" w:type="pct"/>
            <w:gridSpan w:val="2"/>
            <w:noWrap/>
            <w:vAlign w:val="bottom"/>
            <w:hideMark/>
          </w:tcPr>
          <w:p w14:paraId="559A9229" w14:textId="77777777" w:rsidR="00D11182" w:rsidRPr="004B0BC1" w:rsidRDefault="00D11182" w:rsidP="002938A7">
            <w:pPr>
              <w:pStyle w:val="TableText"/>
              <w:jc w:val="right"/>
              <w:rPr>
                <w:i/>
                <w:iCs/>
                <w:lang w:eastAsia="en-AU"/>
              </w:rPr>
            </w:pPr>
            <w:r>
              <w:rPr>
                <w:rFonts w:cs="Calibri"/>
                <w:i/>
                <w:iCs/>
                <w:color w:val="000000"/>
                <w:szCs w:val="20"/>
              </w:rPr>
              <w:t>$447,073</w:t>
            </w:r>
          </w:p>
        </w:tc>
        <w:tc>
          <w:tcPr>
            <w:tcW w:w="629" w:type="pct"/>
            <w:noWrap/>
            <w:vAlign w:val="bottom"/>
            <w:hideMark/>
          </w:tcPr>
          <w:p w14:paraId="25E6140D" w14:textId="77777777" w:rsidR="00D11182" w:rsidRPr="004B0BC1" w:rsidRDefault="00D11182" w:rsidP="002938A7">
            <w:pPr>
              <w:pStyle w:val="TableText"/>
              <w:jc w:val="right"/>
              <w:rPr>
                <w:i/>
                <w:iCs/>
                <w:lang w:eastAsia="en-AU"/>
              </w:rPr>
            </w:pPr>
            <w:r>
              <w:rPr>
                <w:rFonts w:cs="Calibri"/>
                <w:i/>
                <w:iCs/>
                <w:color w:val="000000"/>
                <w:szCs w:val="20"/>
              </w:rPr>
              <w:t>$452,916</w:t>
            </w:r>
          </w:p>
        </w:tc>
        <w:tc>
          <w:tcPr>
            <w:tcW w:w="550" w:type="pct"/>
            <w:noWrap/>
            <w:vAlign w:val="bottom"/>
            <w:hideMark/>
          </w:tcPr>
          <w:p w14:paraId="069BF272" w14:textId="77777777" w:rsidR="00D11182" w:rsidRPr="004B0BC1" w:rsidRDefault="00D11182" w:rsidP="002938A7">
            <w:pPr>
              <w:pStyle w:val="TableText"/>
              <w:jc w:val="right"/>
              <w:rPr>
                <w:i/>
                <w:iCs/>
                <w:lang w:eastAsia="en-AU"/>
              </w:rPr>
            </w:pPr>
            <w:r>
              <w:rPr>
                <w:rFonts w:cs="Calibri"/>
                <w:i/>
                <w:iCs/>
                <w:color w:val="000000"/>
                <w:szCs w:val="20"/>
              </w:rPr>
              <w:t>$458,706</w:t>
            </w:r>
          </w:p>
        </w:tc>
        <w:tc>
          <w:tcPr>
            <w:tcW w:w="550" w:type="pct"/>
            <w:noWrap/>
            <w:vAlign w:val="bottom"/>
            <w:hideMark/>
          </w:tcPr>
          <w:p w14:paraId="27B0A9FA" w14:textId="77777777" w:rsidR="00D11182" w:rsidRPr="004B0BC1" w:rsidRDefault="00D11182" w:rsidP="002938A7">
            <w:pPr>
              <w:pStyle w:val="TableText"/>
              <w:jc w:val="right"/>
              <w:rPr>
                <w:i/>
                <w:iCs/>
                <w:lang w:eastAsia="en-AU"/>
              </w:rPr>
            </w:pPr>
            <w:r>
              <w:rPr>
                <w:rFonts w:cs="Calibri"/>
                <w:i/>
                <w:iCs/>
                <w:color w:val="000000"/>
                <w:szCs w:val="20"/>
              </w:rPr>
              <w:t>$464,242</w:t>
            </w:r>
          </w:p>
        </w:tc>
        <w:tc>
          <w:tcPr>
            <w:tcW w:w="550" w:type="pct"/>
            <w:noWrap/>
            <w:vAlign w:val="bottom"/>
            <w:hideMark/>
          </w:tcPr>
          <w:p w14:paraId="3F7595E4" w14:textId="77777777" w:rsidR="00D11182" w:rsidRPr="004B0BC1" w:rsidRDefault="00D11182" w:rsidP="002938A7">
            <w:pPr>
              <w:pStyle w:val="TableText"/>
              <w:jc w:val="right"/>
              <w:rPr>
                <w:i/>
                <w:iCs/>
                <w:lang w:eastAsia="en-AU"/>
              </w:rPr>
            </w:pPr>
            <w:r>
              <w:rPr>
                <w:rFonts w:cs="Calibri"/>
                <w:i/>
                <w:iCs/>
                <w:color w:val="000000"/>
                <w:szCs w:val="20"/>
              </w:rPr>
              <w:t>$469,506</w:t>
            </w:r>
          </w:p>
        </w:tc>
        <w:tc>
          <w:tcPr>
            <w:tcW w:w="601" w:type="pct"/>
            <w:noWrap/>
            <w:vAlign w:val="bottom"/>
            <w:hideMark/>
          </w:tcPr>
          <w:p w14:paraId="1D041CE7" w14:textId="77777777" w:rsidR="00D11182" w:rsidRPr="004B0BC1" w:rsidRDefault="00D11182" w:rsidP="002938A7">
            <w:pPr>
              <w:pStyle w:val="TableText"/>
              <w:jc w:val="right"/>
              <w:rPr>
                <w:i/>
                <w:iCs/>
                <w:lang w:eastAsia="en-AU"/>
              </w:rPr>
            </w:pPr>
            <w:r>
              <w:rPr>
                <w:rFonts w:cs="Calibri"/>
                <w:i/>
                <w:iCs/>
                <w:color w:val="000000"/>
                <w:szCs w:val="20"/>
              </w:rPr>
              <w:t>$474,875</w:t>
            </w:r>
          </w:p>
        </w:tc>
      </w:tr>
      <w:tr w:rsidR="00D11182" w:rsidRPr="004B0BC1" w14:paraId="5DA9AD7E" w14:textId="77777777" w:rsidTr="002938A7">
        <w:trPr>
          <w:trHeight w:val="255"/>
        </w:trPr>
        <w:tc>
          <w:tcPr>
            <w:tcW w:w="1491" w:type="pct"/>
            <w:noWrap/>
            <w:vAlign w:val="bottom"/>
            <w:hideMark/>
          </w:tcPr>
          <w:p w14:paraId="394BF9EE" w14:textId="77777777" w:rsidR="00D11182" w:rsidRPr="00AC04C2" w:rsidRDefault="00D11182" w:rsidP="002938A7">
            <w:pPr>
              <w:pStyle w:val="TableText"/>
              <w:rPr>
                <w:vertAlign w:val="superscript"/>
                <w:lang w:eastAsia="en-AU"/>
              </w:rPr>
            </w:pPr>
            <w:r w:rsidRPr="004B0BC1">
              <w:rPr>
                <w:lang w:eastAsia="en-AU"/>
              </w:rPr>
              <w:t>MRI</w:t>
            </w:r>
            <w:r>
              <w:rPr>
                <w:lang w:eastAsia="en-AU"/>
              </w:rPr>
              <w:t xml:space="preserve"> </w:t>
            </w:r>
            <w:r>
              <w:rPr>
                <w:bCs/>
                <w:i/>
                <w:lang w:eastAsia="en-AU"/>
              </w:rPr>
              <w:t xml:space="preserve">(B = A × $549.35) </w:t>
            </w:r>
            <w:r>
              <w:rPr>
                <w:bCs/>
                <w:i/>
                <w:vertAlign w:val="superscript"/>
                <w:lang w:eastAsia="en-AU"/>
              </w:rPr>
              <w:t>2</w:t>
            </w:r>
          </w:p>
        </w:tc>
        <w:tc>
          <w:tcPr>
            <w:tcW w:w="629" w:type="pct"/>
            <w:gridSpan w:val="2"/>
            <w:noWrap/>
            <w:vAlign w:val="bottom"/>
            <w:hideMark/>
          </w:tcPr>
          <w:p w14:paraId="32BFE838" w14:textId="77777777" w:rsidR="00D11182" w:rsidRPr="004B0BC1" w:rsidRDefault="00D11182" w:rsidP="002938A7">
            <w:pPr>
              <w:pStyle w:val="TableText"/>
              <w:jc w:val="right"/>
              <w:rPr>
                <w:lang w:eastAsia="en-AU"/>
              </w:rPr>
            </w:pPr>
            <w:r>
              <w:rPr>
                <w:rFonts w:cs="Calibri"/>
                <w:color w:val="000000"/>
                <w:szCs w:val="20"/>
              </w:rPr>
              <w:t>$420,450</w:t>
            </w:r>
          </w:p>
        </w:tc>
        <w:tc>
          <w:tcPr>
            <w:tcW w:w="629" w:type="pct"/>
            <w:noWrap/>
            <w:vAlign w:val="bottom"/>
            <w:hideMark/>
          </w:tcPr>
          <w:p w14:paraId="073C6E22" w14:textId="77777777" w:rsidR="00D11182" w:rsidRPr="004B0BC1" w:rsidRDefault="00D11182" w:rsidP="002938A7">
            <w:pPr>
              <w:pStyle w:val="TableText"/>
              <w:jc w:val="right"/>
              <w:rPr>
                <w:lang w:eastAsia="en-AU"/>
              </w:rPr>
            </w:pPr>
            <w:r>
              <w:rPr>
                <w:rFonts w:cs="Calibri"/>
                <w:color w:val="000000"/>
                <w:szCs w:val="20"/>
              </w:rPr>
              <w:t>$425,945</w:t>
            </w:r>
          </w:p>
        </w:tc>
        <w:tc>
          <w:tcPr>
            <w:tcW w:w="550" w:type="pct"/>
            <w:noWrap/>
            <w:vAlign w:val="bottom"/>
            <w:hideMark/>
          </w:tcPr>
          <w:p w14:paraId="3459D443" w14:textId="77777777" w:rsidR="00D11182" w:rsidRPr="004B0BC1" w:rsidRDefault="00D11182" w:rsidP="002938A7">
            <w:pPr>
              <w:pStyle w:val="TableText"/>
              <w:jc w:val="right"/>
              <w:rPr>
                <w:lang w:eastAsia="en-AU"/>
              </w:rPr>
            </w:pPr>
            <w:r>
              <w:rPr>
                <w:rFonts w:cs="Calibri"/>
                <w:color w:val="000000"/>
                <w:szCs w:val="20"/>
              </w:rPr>
              <w:t>$431,391</w:t>
            </w:r>
          </w:p>
        </w:tc>
        <w:tc>
          <w:tcPr>
            <w:tcW w:w="550" w:type="pct"/>
            <w:noWrap/>
            <w:vAlign w:val="bottom"/>
            <w:hideMark/>
          </w:tcPr>
          <w:p w14:paraId="7530D3DF" w14:textId="77777777" w:rsidR="00D11182" w:rsidRPr="004B0BC1" w:rsidRDefault="00D11182" w:rsidP="002938A7">
            <w:pPr>
              <w:pStyle w:val="TableText"/>
              <w:jc w:val="right"/>
              <w:rPr>
                <w:lang w:eastAsia="en-AU"/>
              </w:rPr>
            </w:pPr>
            <w:r>
              <w:rPr>
                <w:rFonts w:cs="Calibri"/>
                <w:color w:val="000000"/>
                <w:szCs w:val="20"/>
              </w:rPr>
              <w:t>$436,597</w:t>
            </w:r>
          </w:p>
        </w:tc>
        <w:tc>
          <w:tcPr>
            <w:tcW w:w="550" w:type="pct"/>
            <w:noWrap/>
            <w:vAlign w:val="bottom"/>
            <w:hideMark/>
          </w:tcPr>
          <w:p w14:paraId="6D3D016D" w14:textId="77777777" w:rsidR="00D11182" w:rsidRPr="004B0BC1" w:rsidRDefault="00D11182" w:rsidP="002938A7">
            <w:pPr>
              <w:pStyle w:val="TableText"/>
              <w:jc w:val="right"/>
              <w:rPr>
                <w:lang w:eastAsia="en-AU"/>
              </w:rPr>
            </w:pPr>
            <w:r>
              <w:rPr>
                <w:rFonts w:cs="Calibri"/>
                <w:color w:val="000000"/>
                <w:szCs w:val="20"/>
              </w:rPr>
              <w:t>$441,547</w:t>
            </w:r>
          </w:p>
        </w:tc>
        <w:tc>
          <w:tcPr>
            <w:tcW w:w="601" w:type="pct"/>
            <w:noWrap/>
            <w:vAlign w:val="bottom"/>
            <w:hideMark/>
          </w:tcPr>
          <w:p w14:paraId="586CB6B2" w14:textId="77777777" w:rsidR="00D11182" w:rsidRPr="004B0BC1" w:rsidRDefault="00D11182" w:rsidP="002938A7">
            <w:pPr>
              <w:pStyle w:val="TableText"/>
              <w:jc w:val="right"/>
              <w:rPr>
                <w:lang w:eastAsia="en-AU"/>
              </w:rPr>
            </w:pPr>
            <w:r>
              <w:rPr>
                <w:rFonts w:cs="Calibri"/>
                <w:color w:val="000000"/>
                <w:szCs w:val="20"/>
              </w:rPr>
              <w:t>$446,596</w:t>
            </w:r>
          </w:p>
        </w:tc>
      </w:tr>
      <w:tr w:rsidR="00D11182" w:rsidRPr="004B0BC1" w14:paraId="33ECC94B" w14:textId="77777777" w:rsidTr="002938A7">
        <w:trPr>
          <w:trHeight w:val="255"/>
        </w:trPr>
        <w:tc>
          <w:tcPr>
            <w:tcW w:w="1491" w:type="pct"/>
            <w:noWrap/>
            <w:vAlign w:val="bottom"/>
            <w:hideMark/>
          </w:tcPr>
          <w:p w14:paraId="5171AB04" w14:textId="77777777" w:rsidR="00D11182" w:rsidRPr="004B0BC1" w:rsidRDefault="00D11182" w:rsidP="002938A7">
            <w:pPr>
              <w:pStyle w:val="TableText"/>
              <w:rPr>
                <w:lang w:eastAsia="en-AU"/>
              </w:rPr>
            </w:pPr>
            <w:r w:rsidRPr="004B0BC1">
              <w:rPr>
                <w:lang w:eastAsia="en-AU"/>
              </w:rPr>
              <w:t>Contrast</w:t>
            </w:r>
            <w:r>
              <w:rPr>
                <w:lang w:eastAsia="en-AU"/>
              </w:rPr>
              <w:t xml:space="preserve"> </w:t>
            </w:r>
            <w:r>
              <w:rPr>
                <w:bCs/>
                <w:i/>
                <w:lang w:eastAsia="en-AU"/>
              </w:rPr>
              <w:t>(C = A × $38.65 × 90%)</w:t>
            </w:r>
            <w:r w:rsidRPr="00AC04C2">
              <w:rPr>
                <w:bCs/>
                <w:i/>
                <w:vertAlign w:val="superscript"/>
                <w:lang w:eastAsia="en-AU"/>
              </w:rPr>
              <w:t>2</w:t>
            </w:r>
          </w:p>
        </w:tc>
        <w:tc>
          <w:tcPr>
            <w:tcW w:w="629" w:type="pct"/>
            <w:gridSpan w:val="2"/>
            <w:noWrap/>
            <w:vAlign w:val="bottom"/>
            <w:hideMark/>
          </w:tcPr>
          <w:p w14:paraId="10BA960B" w14:textId="77777777" w:rsidR="00D11182" w:rsidRPr="004B0BC1" w:rsidRDefault="00D11182" w:rsidP="002938A7">
            <w:pPr>
              <w:pStyle w:val="TableText"/>
              <w:jc w:val="right"/>
              <w:rPr>
                <w:lang w:eastAsia="en-AU"/>
              </w:rPr>
            </w:pPr>
            <w:r>
              <w:rPr>
                <w:rFonts w:cs="Calibri"/>
                <w:color w:val="000000"/>
                <w:szCs w:val="20"/>
              </w:rPr>
              <w:t>$26,623</w:t>
            </w:r>
          </w:p>
        </w:tc>
        <w:tc>
          <w:tcPr>
            <w:tcW w:w="629" w:type="pct"/>
            <w:noWrap/>
            <w:vAlign w:val="bottom"/>
            <w:hideMark/>
          </w:tcPr>
          <w:p w14:paraId="611AD273" w14:textId="77777777" w:rsidR="00D11182" w:rsidRPr="004B0BC1" w:rsidRDefault="00D11182" w:rsidP="002938A7">
            <w:pPr>
              <w:pStyle w:val="TableText"/>
              <w:jc w:val="right"/>
              <w:rPr>
                <w:lang w:eastAsia="en-AU"/>
              </w:rPr>
            </w:pPr>
            <w:r>
              <w:rPr>
                <w:rFonts w:cs="Calibri"/>
                <w:color w:val="000000"/>
                <w:szCs w:val="20"/>
              </w:rPr>
              <w:t>$26,971</w:t>
            </w:r>
          </w:p>
        </w:tc>
        <w:tc>
          <w:tcPr>
            <w:tcW w:w="550" w:type="pct"/>
            <w:noWrap/>
            <w:vAlign w:val="bottom"/>
            <w:hideMark/>
          </w:tcPr>
          <w:p w14:paraId="5D08774B" w14:textId="77777777" w:rsidR="00D11182" w:rsidRPr="004B0BC1" w:rsidRDefault="00D11182" w:rsidP="002938A7">
            <w:pPr>
              <w:pStyle w:val="TableText"/>
              <w:jc w:val="right"/>
              <w:rPr>
                <w:lang w:eastAsia="en-AU"/>
              </w:rPr>
            </w:pPr>
            <w:r>
              <w:rPr>
                <w:rFonts w:cs="Calibri"/>
                <w:color w:val="000000"/>
                <w:szCs w:val="20"/>
              </w:rPr>
              <w:t>$27,316</w:t>
            </w:r>
          </w:p>
        </w:tc>
        <w:tc>
          <w:tcPr>
            <w:tcW w:w="550" w:type="pct"/>
            <w:noWrap/>
            <w:vAlign w:val="bottom"/>
            <w:hideMark/>
          </w:tcPr>
          <w:p w14:paraId="28D55934" w14:textId="77777777" w:rsidR="00D11182" w:rsidRPr="004B0BC1" w:rsidRDefault="00D11182" w:rsidP="002938A7">
            <w:pPr>
              <w:pStyle w:val="TableText"/>
              <w:jc w:val="right"/>
              <w:rPr>
                <w:lang w:eastAsia="en-AU"/>
              </w:rPr>
            </w:pPr>
            <w:r>
              <w:rPr>
                <w:rFonts w:cs="Calibri"/>
                <w:color w:val="000000"/>
                <w:szCs w:val="20"/>
              </w:rPr>
              <w:t>$27,645</w:t>
            </w:r>
          </w:p>
        </w:tc>
        <w:tc>
          <w:tcPr>
            <w:tcW w:w="550" w:type="pct"/>
            <w:noWrap/>
            <w:vAlign w:val="bottom"/>
            <w:hideMark/>
          </w:tcPr>
          <w:p w14:paraId="1BCBFB61" w14:textId="77777777" w:rsidR="00D11182" w:rsidRPr="004B0BC1" w:rsidRDefault="00D11182" w:rsidP="002938A7">
            <w:pPr>
              <w:pStyle w:val="TableText"/>
              <w:jc w:val="right"/>
              <w:rPr>
                <w:lang w:eastAsia="en-AU"/>
              </w:rPr>
            </w:pPr>
            <w:r>
              <w:rPr>
                <w:rFonts w:cs="Calibri"/>
                <w:color w:val="000000"/>
                <w:szCs w:val="20"/>
              </w:rPr>
              <w:t>$27,959</w:t>
            </w:r>
          </w:p>
        </w:tc>
        <w:tc>
          <w:tcPr>
            <w:tcW w:w="601" w:type="pct"/>
            <w:noWrap/>
            <w:vAlign w:val="bottom"/>
            <w:hideMark/>
          </w:tcPr>
          <w:p w14:paraId="7B7789C2" w14:textId="77777777" w:rsidR="00D11182" w:rsidRPr="004B0BC1" w:rsidRDefault="00D11182" w:rsidP="002938A7">
            <w:pPr>
              <w:pStyle w:val="TableText"/>
              <w:jc w:val="right"/>
              <w:rPr>
                <w:lang w:eastAsia="en-AU"/>
              </w:rPr>
            </w:pPr>
            <w:r>
              <w:rPr>
                <w:rFonts w:cs="Calibri"/>
                <w:color w:val="000000"/>
                <w:szCs w:val="20"/>
              </w:rPr>
              <w:t>$28,279</w:t>
            </w:r>
          </w:p>
        </w:tc>
      </w:tr>
      <w:tr w:rsidR="00D11182" w:rsidRPr="004B0BC1" w14:paraId="6D20F67B" w14:textId="77777777" w:rsidTr="002938A7">
        <w:trPr>
          <w:trHeight w:val="255"/>
        </w:trPr>
        <w:tc>
          <w:tcPr>
            <w:tcW w:w="1491" w:type="pct"/>
            <w:noWrap/>
            <w:vAlign w:val="bottom"/>
            <w:hideMark/>
          </w:tcPr>
          <w:p w14:paraId="1DF318CA" w14:textId="77777777" w:rsidR="00D11182" w:rsidRPr="00AC04C2" w:rsidRDefault="00D11182" w:rsidP="002938A7">
            <w:pPr>
              <w:pStyle w:val="TableText"/>
              <w:rPr>
                <w:bCs/>
                <w:i/>
                <w:vertAlign w:val="superscript"/>
                <w:lang w:eastAsia="en-AU"/>
              </w:rPr>
            </w:pPr>
            <w:proofErr w:type="spellStart"/>
            <w:r w:rsidRPr="004E51C0">
              <w:rPr>
                <w:bCs/>
                <w:i/>
                <w:lang w:eastAsia="en-AU"/>
              </w:rPr>
              <w:t>Copayment</w:t>
            </w:r>
            <w:proofErr w:type="spellEnd"/>
            <w:r>
              <w:rPr>
                <w:bCs/>
                <w:i/>
                <w:lang w:eastAsia="en-AU"/>
              </w:rPr>
              <w:t xml:space="preserve"> (D + E)</w:t>
            </w:r>
          </w:p>
        </w:tc>
        <w:tc>
          <w:tcPr>
            <w:tcW w:w="629" w:type="pct"/>
            <w:gridSpan w:val="2"/>
            <w:noWrap/>
            <w:vAlign w:val="bottom"/>
            <w:hideMark/>
          </w:tcPr>
          <w:p w14:paraId="120ACF5C" w14:textId="77777777" w:rsidR="00D11182" w:rsidRPr="004B0BC1" w:rsidRDefault="00D11182" w:rsidP="002938A7">
            <w:pPr>
              <w:pStyle w:val="TableText"/>
              <w:jc w:val="right"/>
              <w:rPr>
                <w:i/>
                <w:iCs/>
                <w:lang w:eastAsia="en-AU"/>
              </w:rPr>
            </w:pPr>
            <w:r>
              <w:rPr>
                <w:rFonts w:cs="Calibri"/>
                <w:i/>
                <w:iCs/>
                <w:color w:val="000000"/>
                <w:szCs w:val="20"/>
              </w:rPr>
              <w:t>$71,994</w:t>
            </w:r>
          </w:p>
        </w:tc>
        <w:tc>
          <w:tcPr>
            <w:tcW w:w="629" w:type="pct"/>
            <w:noWrap/>
            <w:vAlign w:val="bottom"/>
            <w:hideMark/>
          </w:tcPr>
          <w:p w14:paraId="43C1A4F5" w14:textId="77777777" w:rsidR="00D11182" w:rsidRPr="004B0BC1" w:rsidRDefault="00D11182" w:rsidP="002938A7">
            <w:pPr>
              <w:pStyle w:val="TableText"/>
              <w:jc w:val="right"/>
              <w:rPr>
                <w:i/>
                <w:iCs/>
                <w:lang w:eastAsia="en-AU"/>
              </w:rPr>
            </w:pPr>
            <w:r>
              <w:rPr>
                <w:rFonts w:cs="Calibri"/>
                <w:i/>
                <w:iCs/>
                <w:color w:val="000000"/>
                <w:szCs w:val="20"/>
              </w:rPr>
              <w:t>$72,934</w:t>
            </w:r>
          </w:p>
        </w:tc>
        <w:tc>
          <w:tcPr>
            <w:tcW w:w="550" w:type="pct"/>
            <w:noWrap/>
            <w:vAlign w:val="bottom"/>
            <w:hideMark/>
          </w:tcPr>
          <w:p w14:paraId="76E22F1B" w14:textId="77777777" w:rsidR="00D11182" w:rsidRPr="004B0BC1" w:rsidRDefault="00D11182" w:rsidP="002938A7">
            <w:pPr>
              <w:pStyle w:val="TableText"/>
              <w:jc w:val="right"/>
              <w:rPr>
                <w:i/>
                <w:iCs/>
                <w:lang w:eastAsia="en-AU"/>
              </w:rPr>
            </w:pPr>
            <w:r>
              <w:rPr>
                <w:rFonts w:cs="Calibri"/>
                <w:i/>
                <w:iCs/>
                <w:color w:val="000000"/>
                <w:szCs w:val="20"/>
              </w:rPr>
              <w:t>$73,867</w:t>
            </w:r>
          </w:p>
        </w:tc>
        <w:tc>
          <w:tcPr>
            <w:tcW w:w="550" w:type="pct"/>
            <w:noWrap/>
            <w:vAlign w:val="bottom"/>
            <w:hideMark/>
          </w:tcPr>
          <w:p w14:paraId="5E36126C" w14:textId="77777777" w:rsidR="00D11182" w:rsidRPr="004B0BC1" w:rsidRDefault="00D11182" w:rsidP="002938A7">
            <w:pPr>
              <w:pStyle w:val="TableText"/>
              <w:jc w:val="right"/>
              <w:rPr>
                <w:i/>
                <w:iCs/>
                <w:lang w:eastAsia="en-AU"/>
              </w:rPr>
            </w:pPr>
            <w:r>
              <w:rPr>
                <w:rFonts w:cs="Calibri"/>
                <w:i/>
                <w:iCs/>
                <w:color w:val="000000"/>
                <w:szCs w:val="20"/>
              </w:rPr>
              <w:t>$74,758</w:t>
            </w:r>
          </w:p>
        </w:tc>
        <w:tc>
          <w:tcPr>
            <w:tcW w:w="550" w:type="pct"/>
            <w:noWrap/>
            <w:vAlign w:val="bottom"/>
            <w:hideMark/>
          </w:tcPr>
          <w:p w14:paraId="5B6D9D90" w14:textId="77777777" w:rsidR="00D11182" w:rsidRPr="004B0BC1" w:rsidRDefault="00D11182" w:rsidP="002938A7">
            <w:pPr>
              <w:pStyle w:val="TableText"/>
              <w:jc w:val="right"/>
              <w:rPr>
                <w:i/>
                <w:iCs/>
                <w:lang w:eastAsia="en-AU"/>
              </w:rPr>
            </w:pPr>
            <w:r>
              <w:rPr>
                <w:rFonts w:cs="Calibri"/>
                <w:i/>
                <w:iCs/>
                <w:color w:val="000000"/>
                <w:szCs w:val="20"/>
              </w:rPr>
              <w:t>$75,606</w:t>
            </w:r>
          </w:p>
        </w:tc>
        <w:tc>
          <w:tcPr>
            <w:tcW w:w="601" w:type="pct"/>
            <w:noWrap/>
            <w:vAlign w:val="bottom"/>
            <w:hideMark/>
          </w:tcPr>
          <w:p w14:paraId="17427F79" w14:textId="77777777" w:rsidR="00D11182" w:rsidRPr="004B0BC1" w:rsidRDefault="00D11182" w:rsidP="002938A7">
            <w:pPr>
              <w:pStyle w:val="TableText"/>
              <w:jc w:val="right"/>
              <w:rPr>
                <w:i/>
                <w:iCs/>
                <w:lang w:eastAsia="en-AU"/>
              </w:rPr>
            </w:pPr>
            <w:r>
              <w:rPr>
                <w:rFonts w:cs="Calibri"/>
                <w:i/>
                <w:iCs/>
                <w:color w:val="000000"/>
                <w:szCs w:val="20"/>
              </w:rPr>
              <w:t>$76,470</w:t>
            </w:r>
          </w:p>
        </w:tc>
      </w:tr>
      <w:tr w:rsidR="00D11182" w:rsidRPr="004B0BC1" w14:paraId="378C537D" w14:textId="77777777" w:rsidTr="002938A7">
        <w:trPr>
          <w:trHeight w:val="255"/>
        </w:trPr>
        <w:tc>
          <w:tcPr>
            <w:tcW w:w="1491" w:type="pct"/>
            <w:noWrap/>
            <w:vAlign w:val="bottom"/>
            <w:hideMark/>
          </w:tcPr>
          <w:p w14:paraId="249CCF5C" w14:textId="77777777" w:rsidR="00D11182" w:rsidRPr="004B0BC1" w:rsidRDefault="00D11182" w:rsidP="002938A7">
            <w:pPr>
              <w:pStyle w:val="TableText"/>
              <w:rPr>
                <w:lang w:eastAsia="en-AU"/>
              </w:rPr>
            </w:pPr>
            <w:r w:rsidRPr="004B0BC1">
              <w:rPr>
                <w:lang w:eastAsia="en-AU"/>
              </w:rPr>
              <w:t>MRI</w:t>
            </w:r>
            <w:r>
              <w:rPr>
                <w:lang w:eastAsia="en-AU"/>
              </w:rPr>
              <w:t xml:space="preserve"> </w:t>
            </w:r>
            <w:r>
              <w:rPr>
                <w:bCs/>
                <w:i/>
                <w:lang w:eastAsia="en-AU"/>
              </w:rPr>
              <w:t xml:space="preserve">(D = A × $87.90) </w:t>
            </w:r>
            <w:r>
              <w:rPr>
                <w:bCs/>
                <w:i/>
                <w:vertAlign w:val="superscript"/>
                <w:lang w:eastAsia="en-AU"/>
              </w:rPr>
              <w:t>2</w:t>
            </w:r>
          </w:p>
        </w:tc>
        <w:tc>
          <w:tcPr>
            <w:tcW w:w="629" w:type="pct"/>
            <w:gridSpan w:val="2"/>
            <w:noWrap/>
            <w:vAlign w:val="bottom"/>
            <w:hideMark/>
          </w:tcPr>
          <w:p w14:paraId="2ECBCDDF" w14:textId="77777777" w:rsidR="00D11182" w:rsidRPr="004B0BC1" w:rsidRDefault="00D11182" w:rsidP="002938A7">
            <w:pPr>
              <w:pStyle w:val="TableText"/>
              <w:jc w:val="right"/>
              <w:rPr>
                <w:lang w:eastAsia="en-AU"/>
              </w:rPr>
            </w:pPr>
            <w:r>
              <w:rPr>
                <w:rFonts w:cs="Calibri"/>
                <w:color w:val="000000"/>
                <w:szCs w:val="20"/>
              </w:rPr>
              <w:t>$67,275</w:t>
            </w:r>
          </w:p>
        </w:tc>
        <w:tc>
          <w:tcPr>
            <w:tcW w:w="629" w:type="pct"/>
            <w:noWrap/>
            <w:vAlign w:val="bottom"/>
            <w:hideMark/>
          </w:tcPr>
          <w:p w14:paraId="5BA5A87F" w14:textId="77777777" w:rsidR="00D11182" w:rsidRPr="004B0BC1" w:rsidRDefault="00D11182" w:rsidP="002938A7">
            <w:pPr>
              <w:pStyle w:val="TableText"/>
              <w:jc w:val="right"/>
              <w:rPr>
                <w:lang w:eastAsia="en-AU"/>
              </w:rPr>
            </w:pPr>
            <w:r>
              <w:rPr>
                <w:rFonts w:cs="Calibri"/>
                <w:color w:val="000000"/>
                <w:szCs w:val="20"/>
              </w:rPr>
              <w:t>$68,154</w:t>
            </w:r>
          </w:p>
        </w:tc>
        <w:tc>
          <w:tcPr>
            <w:tcW w:w="550" w:type="pct"/>
            <w:noWrap/>
            <w:vAlign w:val="bottom"/>
            <w:hideMark/>
          </w:tcPr>
          <w:p w14:paraId="7D3DEAB9" w14:textId="77777777" w:rsidR="00D11182" w:rsidRPr="004B0BC1" w:rsidRDefault="00D11182" w:rsidP="002938A7">
            <w:pPr>
              <w:pStyle w:val="TableText"/>
              <w:jc w:val="right"/>
              <w:rPr>
                <w:lang w:eastAsia="en-AU"/>
              </w:rPr>
            </w:pPr>
            <w:r>
              <w:rPr>
                <w:rFonts w:cs="Calibri"/>
                <w:color w:val="000000"/>
                <w:szCs w:val="20"/>
              </w:rPr>
              <w:t>$69,026</w:t>
            </w:r>
          </w:p>
        </w:tc>
        <w:tc>
          <w:tcPr>
            <w:tcW w:w="550" w:type="pct"/>
            <w:noWrap/>
            <w:vAlign w:val="bottom"/>
            <w:hideMark/>
          </w:tcPr>
          <w:p w14:paraId="4B62AC33" w14:textId="77777777" w:rsidR="00D11182" w:rsidRPr="004B0BC1" w:rsidRDefault="00D11182" w:rsidP="002938A7">
            <w:pPr>
              <w:pStyle w:val="TableText"/>
              <w:jc w:val="right"/>
              <w:rPr>
                <w:lang w:eastAsia="en-AU"/>
              </w:rPr>
            </w:pPr>
            <w:r>
              <w:rPr>
                <w:rFonts w:cs="Calibri"/>
                <w:color w:val="000000"/>
                <w:szCs w:val="20"/>
              </w:rPr>
              <w:t>$69,859</w:t>
            </w:r>
          </w:p>
        </w:tc>
        <w:tc>
          <w:tcPr>
            <w:tcW w:w="550" w:type="pct"/>
            <w:noWrap/>
            <w:vAlign w:val="bottom"/>
            <w:hideMark/>
          </w:tcPr>
          <w:p w14:paraId="2374F712" w14:textId="77777777" w:rsidR="00D11182" w:rsidRPr="004B0BC1" w:rsidRDefault="00D11182" w:rsidP="002938A7">
            <w:pPr>
              <w:pStyle w:val="TableText"/>
              <w:jc w:val="right"/>
              <w:rPr>
                <w:lang w:eastAsia="en-AU"/>
              </w:rPr>
            </w:pPr>
            <w:r>
              <w:rPr>
                <w:rFonts w:cs="Calibri"/>
                <w:color w:val="000000"/>
                <w:szCs w:val="20"/>
              </w:rPr>
              <w:t>$70,651</w:t>
            </w:r>
          </w:p>
        </w:tc>
        <w:tc>
          <w:tcPr>
            <w:tcW w:w="601" w:type="pct"/>
            <w:noWrap/>
            <w:vAlign w:val="bottom"/>
            <w:hideMark/>
          </w:tcPr>
          <w:p w14:paraId="59373F82" w14:textId="77777777" w:rsidR="00D11182" w:rsidRPr="004B0BC1" w:rsidRDefault="00D11182" w:rsidP="002938A7">
            <w:pPr>
              <w:pStyle w:val="TableText"/>
              <w:jc w:val="right"/>
              <w:rPr>
                <w:lang w:eastAsia="en-AU"/>
              </w:rPr>
            </w:pPr>
            <w:r>
              <w:rPr>
                <w:rFonts w:cs="Calibri"/>
                <w:color w:val="000000"/>
                <w:szCs w:val="20"/>
              </w:rPr>
              <w:t>$71,459</w:t>
            </w:r>
          </w:p>
        </w:tc>
      </w:tr>
      <w:tr w:rsidR="00D11182" w:rsidRPr="004B0BC1" w14:paraId="0FFB2546" w14:textId="77777777" w:rsidTr="00C77582">
        <w:trPr>
          <w:trHeight w:val="255"/>
        </w:trPr>
        <w:tc>
          <w:tcPr>
            <w:tcW w:w="1491" w:type="pct"/>
            <w:noWrap/>
            <w:vAlign w:val="bottom"/>
            <w:hideMark/>
          </w:tcPr>
          <w:p w14:paraId="1D6BC684" w14:textId="77777777" w:rsidR="00D11182" w:rsidRPr="00851D6C" w:rsidRDefault="00D11182" w:rsidP="002938A7">
            <w:pPr>
              <w:pStyle w:val="TableText"/>
              <w:rPr>
                <w:vertAlign w:val="superscript"/>
                <w:lang w:eastAsia="en-AU"/>
              </w:rPr>
            </w:pPr>
            <w:r w:rsidRPr="004B0BC1">
              <w:rPr>
                <w:lang w:eastAsia="en-AU"/>
              </w:rPr>
              <w:t>Contrast</w:t>
            </w:r>
            <w:r>
              <w:rPr>
                <w:lang w:eastAsia="en-AU"/>
              </w:rPr>
              <w:t xml:space="preserve"> </w:t>
            </w:r>
            <w:r>
              <w:rPr>
                <w:bCs/>
                <w:i/>
                <w:lang w:eastAsia="en-AU"/>
              </w:rPr>
              <w:t>(E = A × $6.85 × 90%)</w:t>
            </w:r>
            <w:r>
              <w:rPr>
                <w:bCs/>
                <w:i/>
                <w:vertAlign w:val="superscript"/>
                <w:lang w:eastAsia="en-AU"/>
              </w:rPr>
              <w:t>2</w:t>
            </w:r>
          </w:p>
        </w:tc>
        <w:tc>
          <w:tcPr>
            <w:tcW w:w="629" w:type="pct"/>
            <w:gridSpan w:val="2"/>
            <w:noWrap/>
            <w:vAlign w:val="bottom"/>
            <w:hideMark/>
          </w:tcPr>
          <w:p w14:paraId="4AAB8334" w14:textId="77777777" w:rsidR="00D11182" w:rsidRPr="004B0BC1" w:rsidRDefault="00D11182" w:rsidP="002938A7">
            <w:pPr>
              <w:pStyle w:val="TableText"/>
              <w:jc w:val="right"/>
              <w:rPr>
                <w:lang w:eastAsia="en-AU"/>
              </w:rPr>
            </w:pPr>
            <w:r>
              <w:rPr>
                <w:rFonts w:cs="Calibri"/>
                <w:color w:val="000000"/>
                <w:szCs w:val="20"/>
              </w:rPr>
              <w:t>$4,718</w:t>
            </w:r>
          </w:p>
        </w:tc>
        <w:tc>
          <w:tcPr>
            <w:tcW w:w="629" w:type="pct"/>
            <w:noWrap/>
            <w:vAlign w:val="bottom"/>
            <w:hideMark/>
          </w:tcPr>
          <w:p w14:paraId="30D54625" w14:textId="77777777" w:rsidR="00D11182" w:rsidRPr="004B0BC1" w:rsidRDefault="00D11182" w:rsidP="002938A7">
            <w:pPr>
              <w:pStyle w:val="TableText"/>
              <w:jc w:val="right"/>
              <w:rPr>
                <w:lang w:eastAsia="en-AU"/>
              </w:rPr>
            </w:pPr>
            <w:r>
              <w:rPr>
                <w:rFonts w:cs="Calibri"/>
                <w:color w:val="000000"/>
                <w:szCs w:val="20"/>
              </w:rPr>
              <w:t>$4,780</w:t>
            </w:r>
          </w:p>
        </w:tc>
        <w:tc>
          <w:tcPr>
            <w:tcW w:w="550" w:type="pct"/>
            <w:noWrap/>
            <w:vAlign w:val="bottom"/>
            <w:hideMark/>
          </w:tcPr>
          <w:p w14:paraId="00F0D4A2" w14:textId="77777777" w:rsidR="00D11182" w:rsidRPr="004B0BC1" w:rsidRDefault="00D11182" w:rsidP="002938A7">
            <w:pPr>
              <w:pStyle w:val="TableText"/>
              <w:jc w:val="right"/>
              <w:rPr>
                <w:lang w:eastAsia="en-AU"/>
              </w:rPr>
            </w:pPr>
            <w:r>
              <w:rPr>
                <w:rFonts w:cs="Calibri"/>
                <w:color w:val="000000"/>
                <w:szCs w:val="20"/>
              </w:rPr>
              <w:t>$4,841</w:t>
            </w:r>
          </w:p>
        </w:tc>
        <w:tc>
          <w:tcPr>
            <w:tcW w:w="550" w:type="pct"/>
            <w:noWrap/>
            <w:vAlign w:val="bottom"/>
            <w:hideMark/>
          </w:tcPr>
          <w:p w14:paraId="321A0080" w14:textId="77777777" w:rsidR="00D11182" w:rsidRPr="004B0BC1" w:rsidRDefault="00D11182" w:rsidP="002938A7">
            <w:pPr>
              <w:pStyle w:val="TableText"/>
              <w:jc w:val="right"/>
              <w:rPr>
                <w:lang w:eastAsia="en-AU"/>
              </w:rPr>
            </w:pPr>
            <w:r>
              <w:rPr>
                <w:rFonts w:cs="Calibri"/>
                <w:color w:val="000000"/>
                <w:szCs w:val="20"/>
              </w:rPr>
              <w:t>$4,900</w:t>
            </w:r>
          </w:p>
        </w:tc>
        <w:tc>
          <w:tcPr>
            <w:tcW w:w="550" w:type="pct"/>
            <w:noWrap/>
            <w:vAlign w:val="bottom"/>
            <w:hideMark/>
          </w:tcPr>
          <w:p w14:paraId="2A920A71" w14:textId="77777777" w:rsidR="00D11182" w:rsidRPr="004B0BC1" w:rsidRDefault="00D11182" w:rsidP="002938A7">
            <w:pPr>
              <w:pStyle w:val="TableText"/>
              <w:jc w:val="right"/>
              <w:rPr>
                <w:lang w:eastAsia="en-AU"/>
              </w:rPr>
            </w:pPr>
            <w:r>
              <w:rPr>
                <w:rFonts w:cs="Calibri"/>
                <w:color w:val="000000"/>
                <w:szCs w:val="20"/>
              </w:rPr>
              <w:t>$4,955</w:t>
            </w:r>
          </w:p>
        </w:tc>
        <w:tc>
          <w:tcPr>
            <w:tcW w:w="601" w:type="pct"/>
            <w:noWrap/>
            <w:vAlign w:val="bottom"/>
            <w:hideMark/>
          </w:tcPr>
          <w:p w14:paraId="3FA74B28" w14:textId="77777777" w:rsidR="00D11182" w:rsidRPr="004B0BC1" w:rsidRDefault="00D11182" w:rsidP="002938A7">
            <w:pPr>
              <w:pStyle w:val="TableText"/>
              <w:jc w:val="right"/>
              <w:rPr>
                <w:lang w:eastAsia="en-AU"/>
              </w:rPr>
            </w:pPr>
            <w:r>
              <w:rPr>
                <w:rFonts w:cs="Calibri"/>
                <w:color w:val="000000"/>
                <w:szCs w:val="20"/>
              </w:rPr>
              <w:t>$5,012</w:t>
            </w:r>
          </w:p>
        </w:tc>
      </w:tr>
      <w:tr w:rsidR="00C77582" w:rsidRPr="004B0BC1" w14:paraId="048BF922" w14:textId="77777777" w:rsidTr="00B76D30">
        <w:trPr>
          <w:trHeight w:val="255"/>
        </w:trPr>
        <w:tc>
          <w:tcPr>
            <w:tcW w:w="1648" w:type="pct"/>
            <w:gridSpan w:val="2"/>
            <w:tcBorders>
              <w:right w:val="nil"/>
            </w:tcBorders>
            <w:noWrap/>
            <w:vAlign w:val="bottom"/>
          </w:tcPr>
          <w:p w14:paraId="30D1A13B" w14:textId="77777777" w:rsidR="00C77582" w:rsidRPr="004B0BC1" w:rsidRDefault="00B76D30" w:rsidP="002938A7">
            <w:pPr>
              <w:pStyle w:val="TableText"/>
              <w:rPr>
                <w:lang w:eastAsia="en-AU"/>
              </w:rPr>
            </w:pPr>
            <w:r>
              <w:rPr>
                <w:lang w:eastAsia="en-AU"/>
              </w:rPr>
              <w:t xml:space="preserve">Proposed MRI service in </w:t>
            </w:r>
            <w:r w:rsidR="00C77582">
              <w:rPr>
                <w:lang w:eastAsia="en-AU"/>
              </w:rPr>
              <w:t>PICO set 2</w:t>
            </w:r>
          </w:p>
        </w:tc>
        <w:tc>
          <w:tcPr>
            <w:tcW w:w="471" w:type="pct"/>
            <w:tcBorders>
              <w:left w:val="nil"/>
              <w:right w:val="nil"/>
            </w:tcBorders>
            <w:noWrap/>
            <w:vAlign w:val="bottom"/>
          </w:tcPr>
          <w:p w14:paraId="7523341D" w14:textId="77777777" w:rsidR="00C77582" w:rsidRDefault="00C77582" w:rsidP="002938A7">
            <w:pPr>
              <w:pStyle w:val="TableText"/>
              <w:jc w:val="right"/>
              <w:rPr>
                <w:rFonts w:cs="Calibri"/>
                <w:color w:val="000000"/>
                <w:szCs w:val="20"/>
              </w:rPr>
            </w:pPr>
          </w:p>
        </w:tc>
        <w:tc>
          <w:tcPr>
            <w:tcW w:w="629" w:type="pct"/>
            <w:tcBorders>
              <w:left w:val="nil"/>
              <w:right w:val="nil"/>
            </w:tcBorders>
            <w:noWrap/>
            <w:vAlign w:val="bottom"/>
          </w:tcPr>
          <w:p w14:paraId="62933B03" w14:textId="77777777" w:rsidR="00C77582" w:rsidRDefault="00C77582" w:rsidP="002938A7">
            <w:pPr>
              <w:pStyle w:val="TableText"/>
              <w:jc w:val="right"/>
              <w:rPr>
                <w:rFonts w:cs="Calibri"/>
                <w:color w:val="000000"/>
                <w:szCs w:val="20"/>
              </w:rPr>
            </w:pPr>
          </w:p>
        </w:tc>
        <w:tc>
          <w:tcPr>
            <w:tcW w:w="550" w:type="pct"/>
            <w:tcBorders>
              <w:left w:val="nil"/>
              <w:right w:val="nil"/>
            </w:tcBorders>
            <w:noWrap/>
            <w:vAlign w:val="bottom"/>
          </w:tcPr>
          <w:p w14:paraId="454BD34E" w14:textId="77777777" w:rsidR="00C77582" w:rsidRDefault="00C77582" w:rsidP="002938A7">
            <w:pPr>
              <w:pStyle w:val="TableText"/>
              <w:jc w:val="right"/>
              <w:rPr>
                <w:rFonts w:cs="Calibri"/>
                <w:color w:val="000000"/>
                <w:szCs w:val="20"/>
              </w:rPr>
            </w:pPr>
          </w:p>
        </w:tc>
        <w:tc>
          <w:tcPr>
            <w:tcW w:w="550" w:type="pct"/>
            <w:tcBorders>
              <w:left w:val="nil"/>
              <w:right w:val="nil"/>
            </w:tcBorders>
            <w:noWrap/>
            <w:vAlign w:val="bottom"/>
          </w:tcPr>
          <w:p w14:paraId="08F642C9" w14:textId="77777777" w:rsidR="00C77582" w:rsidRDefault="00C77582" w:rsidP="002938A7">
            <w:pPr>
              <w:pStyle w:val="TableText"/>
              <w:jc w:val="right"/>
              <w:rPr>
                <w:rFonts w:cs="Calibri"/>
                <w:color w:val="000000"/>
                <w:szCs w:val="20"/>
              </w:rPr>
            </w:pPr>
          </w:p>
        </w:tc>
        <w:tc>
          <w:tcPr>
            <w:tcW w:w="550" w:type="pct"/>
            <w:tcBorders>
              <w:left w:val="nil"/>
              <w:right w:val="nil"/>
            </w:tcBorders>
            <w:noWrap/>
            <w:vAlign w:val="bottom"/>
          </w:tcPr>
          <w:p w14:paraId="6A6CDEA0" w14:textId="77777777" w:rsidR="00C77582" w:rsidRDefault="00C77582" w:rsidP="002938A7">
            <w:pPr>
              <w:pStyle w:val="TableText"/>
              <w:jc w:val="right"/>
              <w:rPr>
                <w:rFonts w:cs="Calibri"/>
                <w:color w:val="000000"/>
                <w:szCs w:val="20"/>
              </w:rPr>
            </w:pPr>
          </w:p>
        </w:tc>
        <w:tc>
          <w:tcPr>
            <w:tcW w:w="601" w:type="pct"/>
            <w:tcBorders>
              <w:left w:val="nil"/>
            </w:tcBorders>
            <w:noWrap/>
            <w:vAlign w:val="bottom"/>
          </w:tcPr>
          <w:p w14:paraId="6DA59682" w14:textId="77777777" w:rsidR="00C77582" w:rsidRDefault="00C77582" w:rsidP="002938A7">
            <w:pPr>
              <w:pStyle w:val="TableText"/>
              <w:jc w:val="right"/>
              <w:rPr>
                <w:rFonts w:cs="Calibri"/>
                <w:color w:val="000000"/>
                <w:szCs w:val="20"/>
              </w:rPr>
            </w:pPr>
          </w:p>
        </w:tc>
      </w:tr>
      <w:tr w:rsidR="00D11182" w:rsidRPr="004B0BC1" w14:paraId="57618869" w14:textId="77777777" w:rsidTr="002938A7">
        <w:trPr>
          <w:trHeight w:val="255"/>
        </w:trPr>
        <w:tc>
          <w:tcPr>
            <w:tcW w:w="1491" w:type="pct"/>
            <w:noWrap/>
            <w:vAlign w:val="bottom"/>
            <w:hideMark/>
          </w:tcPr>
          <w:p w14:paraId="08E1433B" w14:textId="77777777" w:rsidR="00D11182" w:rsidRPr="00AC04C2" w:rsidRDefault="00D11182" w:rsidP="002938A7">
            <w:pPr>
              <w:pStyle w:val="TableText"/>
              <w:rPr>
                <w:vertAlign w:val="superscript"/>
                <w:lang w:eastAsia="en-AU"/>
              </w:rPr>
            </w:pPr>
            <w:r w:rsidRPr="004B0BC1">
              <w:rPr>
                <w:lang w:eastAsia="en-AU"/>
              </w:rPr>
              <w:t>Estimated number of MRI services for monitoring</w:t>
            </w:r>
            <w:r w:rsidR="00176D2F">
              <w:rPr>
                <w:lang w:eastAsia="en-AU"/>
              </w:rPr>
              <w:t xml:space="preserve"> </w:t>
            </w:r>
            <w:r w:rsidRPr="00003418">
              <w:rPr>
                <w:i/>
                <w:lang w:eastAsia="en-AU"/>
              </w:rPr>
              <w:t>(F</w:t>
            </w:r>
            <w:r w:rsidR="0030465F">
              <w:rPr>
                <w:bCs/>
                <w:i/>
                <w:lang w:eastAsia="en-AU"/>
              </w:rPr>
              <w:t>= A × 10%</w:t>
            </w:r>
            <w:r w:rsidRPr="00003418">
              <w:rPr>
                <w:i/>
                <w:lang w:eastAsia="en-AU"/>
              </w:rPr>
              <w:t>)</w:t>
            </w:r>
            <w:r>
              <w:rPr>
                <w:lang w:eastAsia="en-AU"/>
              </w:rPr>
              <w:t xml:space="preserve"> </w:t>
            </w:r>
            <w:r>
              <w:rPr>
                <w:vertAlign w:val="superscript"/>
                <w:lang w:eastAsia="en-AU"/>
              </w:rPr>
              <w:t>1</w:t>
            </w:r>
          </w:p>
        </w:tc>
        <w:tc>
          <w:tcPr>
            <w:tcW w:w="629" w:type="pct"/>
            <w:gridSpan w:val="2"/>
            <w:noWrap/>
            <w:vAlign w:val="bottom"/>
            <w:hideMark/>
          </w:tcPr>
          <w:p w14:paraId="44DCD28D" w14:textId="77777777" w:rsidR="00D11182" w:rsidRPr="004B0BC1" w:rsidRDefault="00D11182" w:rsidP="002938A7">
            <w:pPr>
              <w:pStyle w:val="TableText"/>
              <w:jc w:val="right"/>
              <w:rPr>
                <w:lang w:eastAsia="en-AU"/>
              </w:rPr>
            </w:pPr>
            <w:r>
              <w:rPr>
                <w:rFonts w:cs="Calibri"/>
                <w:color w:val="000000"/>
                <w:szCs w:val="20"/>
              </w:rPr>
              <w:t>77</w:t>
            </w:r>
          </w:p>
        </w:tc>
        <w:tc>
          <w:tcPr>
            <w:tcW w:w="629" w:type="pct"/>
            <w:noWrap/>
            <w:vAlign w:val="bottom"/>
            <w:hideMark/>
          </w:tcPr>
          <w:p w14:paraId="668633D3" w14:textId="77777777" w:rsidR="00D11182" w:rsidRPr="004B0BC1" w:rsidRDefault="00D11182" w:rsidP="002938A7">
            <w:pPr>
              <w:pStyle w:val="TableText"/>
              <w:jc w:val="right"/>
              <w:rPr>
                <w:lang w:eastAsia="en-AU"/>
              </w:rPr>
            </w:pPr>
            <w:r>
              <w:rPr>
                <w:rFonts w:cs="Calibri"/>
                <w:color w:val="000000"/>
                <w:szCs w:val="20"/>
              </w:rPr>
              <w:t>78</w:t>
            </w:r>
          </w:p>
        </w:tc>
        <w:tc>
          <w:tcPr>
            <w:tcW w:w="550" w:type="pct"/>
            <w:noWrap/>
            <w:vAlign w:val="bottom"/>
            <w:hideMark/>
          </w:tcPr>
          <w:p w14:paraId="457F263B" w14:textId="77777777" w:rsidR="00D11182" w:rsidRPr="004B0BC1" w:rsidRDefault="00D11182" w:rsidP="002938A7">
            <w:pPr>
              <w:pStyle w:val="TableText"/>
              <w:jc w:val="right"/>
              <w:rPr>
                <w:lang w:eastAsia="en-AU"/>
              </w:rPr>
            </w:pPr>
            <w:r>
              <w:rPr>
                <w:rFonts w:cs="Calibri"/>
                <w:color w:val="000000"/>
                <w:szCs w:val="20"/>
              </w:rPr>
              <w:t>79</w:t>
            </w:r>
          </w:p>
        </w:tc>
        <w:tc>
          <w:tcPr>
            <w:tcW w:w="550" w:type="pct"/>
            <w:noWrap/>
            <w:vAlign w:val="bottom"/>
            <w:hideMark/>
          </w:tcPr>
          <w:p w14:paraId="39EA7396" w14:textId="77777777" w:rsidR="00D11182" w:rsidRPr="004B0BC1" w:rsidRDefault="00D11182" w:rsidP="002938A7">
            <w:pPr>
              <w:pStyle w:val="TableText"/>
              <w:jc w:val="right"/>
              <w:rPr>
                <w:lang w:eastAsia="en-AU"/>
              </w:rPr>
            </w:pPr>
            <w:r>
              <w:rPr>
                <w:rFonts w:cs="Calibri"/>
                <w:color w:val="000000"/>
                <w:szCs w:val="20"/>
              </w:rPr>
              <w:t>79</w:t>
            </w:r>
          </w:p>
        </w:tc>
        <w:tc>
          <w:tcPr>
            <w:tcW w:w="550" w:type="pct"/>
            <w:noWrap/>
            <w:vAlign w:val="bottom"/>
            <w:hideMark/>
          </w:tcPr>
          <w:p w14:paraId="72610646" w14:textId="77777777" w:rsidR="00D11182" w:rsidRPr="004B0BC1" w:rsidRDefault="00D11182" w:rsidP="002938A7">
            <w:pPr>
              <w:pStyle w:val="TableText"/>
              <w:jc w:val="right"/>
              <w:rPr>
                <w:lang w:eastAsia="en-AU"/>
              </w:rPr>
            </w:pPr>
            <w:r>
              <w:rPr>
                <w:rFonts w:cs="Calibri"/>
                <w:color w:val="000000"/>
                <w:szCs w:val="20"/>
              </w:rPr>
              <w:t>80</w:t>
            </w:r>
          </w:p>
        </w:tc>
        <w:tc>
          <w:tcPr>
            <w:tcW w:w="601" w:type="pct"/>
            <w:noWrap/>
            <w:vAlign w:val="bottom"/>
            <w:hideMark/>
          </w:tcPr>
          <w:p w14:paraId="0F3AA1E5" w14:textId="77777777" w:rsidR="00D11182" w:rsidRPr="004B0BC1" w:rsidRDefault="00D11182" w:rsidP="002938A7">
            <w:pPr>
              <w:pStyle w:val="TableText"/>
              <w:jc w:val="right"/>
              <w:rPr>
                <w:lang w:eastAsia="en-AU"/>
              </w:rPr>
            </w:pPr>
            <w:r>
              <w:rPr>
                <w:rFonts w:cs="Calibri"/>
                <w:color w:val="000000"/>
                <w:szCs w:val="20"/>
              </w:rPr>
              <w:t>81</w:t>
            </w:r>
          </w:p>
        </w:tc>
      </w:tr>
      <w:tr w:rsidR="00D11182" w:rsidRPr="004B0BC1" w14:paraId="01E162C7" w14:textId="77777777" w:rsidTr="002938A7">
        <w:trPr>
          <w:trHeight w:val="255"/>
        </w:trPr>
        <w:tc>
          <w:tcPr>
            <w:tcW w:w="1491" w:type="pct"/>
            <w:noWrap/>
            <w:vAlign w:val="bottom"/>
            <w:hideMark/>
          </w:tcPr>
          <w:p w14:paraId="53BB0327" w14:textId="77777777" w:rsidR="00D11182" w:rsidRPr="004E51C0" w:rsidRDefault="00D11182" w:rsidP="002938A7">
            <w:pPr>
              <w:pStyle w:val="TableText"/>
              <w:rPr>
                <w:bCs/>
                <w:i/>
                <w:lang w:eastAsia="en-AU"/>
              </w:rPr>
            </w:pPr>
            <w:r w:rsidRPr="004E51C0">
              <w:rPr>
                <w:bCs/>
                <w:i/>
                <w:lang w:eastAsia="en-AU"/>
              </w:rPr>
              <w:t>Cost to MBS</w:t>
            </w:r>
            <w:r>
              <w:rPr>
                <w:bCs/>
                <w:i/>
                <w:lang w:eastAsia="en-AU"/>
              </w:rPr>
              <w:t xml:space="preserve"> (G+ H)</w:t>
            </w:r>
          </w:p>
        </w:tc>
        <w:tc>
          <w:tcPr>
            <w:tcW w:w="629" w:type="pct"/>
            <w:gridSpan w:val="2"/>
            <w:noWrap/>
            <w:vAlign w:val="bottom"/>
            <w:hideMark/>
          </w:tcPr>
          <w:p w14:paraId="4874D54C" w14:textId="77777777" w:rsidR="00D11182" w:rsidRPr="004B0BC1" w:rsidRDefault="00D11182" w:rsidP="002938A7">
            <w:pPr>
              <w:pStyle w:val="TableText"/>
              <w:jc w:val="right"/>
              <w:rPr>
                <w:i/>
                <w:iCs/>
                <w:lang w:eastAsia="en-AU"/>
              </w:rPr>
            </w:pPr>
            <w:r>
              <w:rPr>
                <w:rFonts w:cs="Calibri"/>
                <w:i/>
                <w:iCs/>
                <w:color w:val="000000"/>
                <w:szCs w:val="20"/>
              </w:rPr>
              <w:t>$44,707</w:t>
            </w:r>
          </w:p>
        </w:tc>
        <w:tc>
          <w:tcPr>
            <w:tcW w:w="629" w:type="pct"/>
            <w:noWrap/>
            <w:vAlign w:val="bottom"/>
            <w:hideMark/>
          </w:tcPr>
          <w:p w14:paraId="45278E30" w14:textId="77777777" w:rsidR="00D11182" w:rsidRPr="004B0BC1" w:rsidRDefault="00D11182" w:rsidP="002938A7">
            <w:pPr>
              <w:pStyle w:val="TableText"/>
              <w:jc w:val="right"/>
              <w:rPr>
                <w:i/>
                <w:iCs/>
                <w:lang w:eastAsia="en-AU"/>
              </w:rPr>
            </w:pPr>
            <w:r>
              <w:rPr>
                <w:rFonts w:cs="Calibri"/>
                <w:i/>
                <w:iCs/>
                <w:color w:val="000000"/>
                <w:szCs w:val="20"/>
              </w:rPr>
              <w:t>$45,292</w:t>
            </w:r>
          </w:p>
        </w:tc>
        <w:tc>
          <w:tcPr>
            <w:tcW w:w="550" w:type="pct"/>
            <w:noWrap/>
            <w:vAlign w:val="bottom"/>
            <w:hideMark/>
          </w:tcPr>
          <w:p w14:paraId="1986AF84" w14:textId="77777777" w:rsidR="00D11182" w:rsidRPr="004B0BC1" w:rsidRDefault="00D11182" w:rsidP="002938A7">
            <w:pPr>
              <w:pStyle w:val="TableText"/>
              <w:jc w:val="right"/>
              <w:rPr>
                <w:i/>
                <w:iCs/>
                <w:lang w:eastAsia="en-AU"/>
              </w:rPr>
            </w:pPr>
            <w:r>
              <w:rPr>
                <w:rFonts w:cs="Calibri"/>
                <w:i/>
                <w:iCs/>
                <w:color w:val="000000"/>
                <w:szCs w:val="20"/>
              </w:rPr>
              <w:t>$45,871</w:t>
            </w:r>
          </w:p>
        </w:tc>
        <w:tc>
          <w:tcPr>
            <w:tcW w:w="550" w:type="pct"/>
            <w:noWrap/>
            <w:vAlign w:val="bottom"/>
            <w:hideMark/>
          </w:tcPr>
          <w:p w14:paraId="5F0819E4" w14:textId="77777777" w:rsidR="00D11182" w:rsidRPr="004B0BC1" w:rsidRDefault="00D11182" w:rsidP="002938A7">
            <w:pPr>
              <w:pStyle w:val="TableText"/>
              <w:jc w:val="right"/>
              <w:rPr>
                <w:i/>
                <w:iCs/>
                <w:lang w:eastAsia="en-AU"/>
              </w:rPr>
            </w:pPr>
            <w:r>
              <w:rPr>
                <w:rFonts w:cs="Calibri"/>
                <w:i/>
                <w:iCs/>
                <w:color w:val="000000"/>
                <w:szCs w:val="20"/>
              </w:rPr>
              <w:t>$46,424</w:t>
            </w:r>
          </w:p>
        </w:tc>
        <w:tc>
          <w:tcPr>
            <w:tcW w:w="550" w:type="pct"/>
            <w:noWrap/>
            <w:vAlign w:val="bottom"/>
            <w:hideMark/>
          </w:tcPr>
          <w:p w14:paraId="54D62FD8" w14:textId="77777777" w:rsidR="00D11182" w:rsidRPr="004B0BC1" w:rsidRDefault="00D11182" w:rsidP="002938A7">
            <w:pPr>
              <w:pStyle w:val="TableText"/>
              <w:jc w:val="right"/>
              <w:rPr>
                <w:i/>
                <w:iCs/>
                <w:lang w:eastAsia="en-AU"/>
              </w:rPr>
            </w:pPr>
            <w:r>
              <w:rPr>
                <w:rFonts w:cs="Calibri"/>
                <w:i/>
                <w:iCs/>
                <w:color w:val="000000"/>
                <w:szCs w:val="20"/>
              </w:rPr>
              <w:t>$46,951</w:t>
            </w:r>
          </w:p>
        </w:tc>
        <w:tc>
          <w:tcPr>
            <w:tcW w:w="601" w:type="pct"/>
            <w:noWrap/>
            <w:vAlign w:val="bottom"/>
            <w:hideMark/>
          </w:tcPr>
          <w:p w14:paraId="37F66083" w14:textId="77777777" w:rsidR="00D11182" w:rsidRPr="004B0BC1" w:rsidRDefault="00D11182" w:rsidP="002938A7">
            <w:pPr>
              <w:pStyle w:val="TableText"/>
              <w:jc w:val="right"/>
              <w:rPr>
                <w:i/>
                <w:iCs/>
                <w:lang w:eastAsia="en-AU"/>
              </w:rPr>
            </w:pPr>
            <w:r>
              <w:rPr>
                <w:rFonts w:cs="Calibri"/>
                <w:i/>
                <w:iCs/>
                <w:color w:val="000000"/>
                <w:szCs w:val="20"/>
              </w:rPr>
              <w:t>$47,487</w:t>
            </w:r>
          </w:p>
        </w:tc>
      </w:tr>
      <w:tr w:rsidR="00D11182" w:rsidRPr="004B0BC1" w14:paraId="035A4913" w14:textId="77777777" w:rsidTr="002938A7">
        <w:trPr>
          <w:trHeight w:val="255"/>
        </w:trPr>
        <w:tc>
          <w:tcPr>
            <w:tcW w:w="1491" w:type="pct"/>
            <w:noWrap/>
            <w:vAlign w:val="bottom"/>
            <w:hideMark/>
          </w:tcPr>
          <w:p w14:paraId="3E970FF6" w14:textId="77777777" w:rsidR="00D11182" w:rsidRPr="004B0BC1" w:rsidRDefault="00D11182" w:rsidP="002938A7">
            <w:pPr>
              <w:pStyle w:val="TableText"/>
              <w:rPr>
                <w:lang w:eastAsia="en-AU"/>
              </w:rPr>
            </w:pPr>
            <w:r w:rsidRPr="004B0BC1">
              <w:rPr>
                <w:lang w:eastAsia="en-AU"/>
              </w:rPr>
              <w:t>MRI</w:t>
            </w:r>
            <w:r>
              <w:rPr>
                <w:lang w:eastAsia="en-AU"/>
              </w:rPr>
              <w:t xml:space="preserve"> </w:t>
            </w:r>
            <w:r>
              <w:rPr>
                <w:bCs/>
                <w:i/>
                <w:lang w:eastAsia="en-AU"/>
              </w:rPr>
              <w:t xml:space="preserve">(G = F × $549.35) </w:t>
            </w:r>
            <w:r>
              <w:rPr>
                <w:bCs/>
                <w:i/>
                <w:vertAlign w:val="superscript"/>
                <w:lang w:eastAsia="en-AU"/>
              </w:rPr>
              <w:t>2</w:t>
            </w:r>
          </w:p>
        </w:tc>
        <w:tc>
          <w:tcPr>
            <w:tcW w:w="629" w:type="pct"/>
            <w:gridSpan w:val="2"/>
            <w:noWrap/>
            <w:vAlign w:val="bottom"/>
            <w:hideMark/>
          </w:tcPr>
          <w:p w14:paraId="444C1587" w14:textId="77777777" w:rsidR="00D11182" w:rsidRPr="004B0BC1" w:rsidRDefault="00D11182" w:rsidP="002938A7">
            <w:pPr>
              <w:pStyle w:val="TableText"/>
              <w:jc w:val="right"/>
              <w:rPr>
                <w:lang w:eastAsia="en-AU"/>
              </w:rPr>
            </w:pPr>
            <w:r>
              <w:rPr>
                <w:rFonts w:cs="Calibri"/>
                <w:color w:val="000000"/>
                <w:szCs w:val="20"/>
              </w:rPr>
              <w:t>$42,045</w:t>
            </w:r>
          </w:p>
        </w:tc>
        <w:tc>
          <w:tcPr>
            <w:tcW w:w="629" w:type="pct"/>
            <w:noWrap/>
            <w:vAlign w:val="bottom"/>
            <w:hideMark/>
          </w:tcPr>
          <w:p w14:paraId="35E2BFA0" w14:textId="77777777" w:rsidR="00D11182" w:rsidRPr="004B0BC1" w:rsidRDefault="00D11182" w:rsidP="002938A7">
            <w:pPr>
              <w:pStyle w:val="TableText"/>
              <w:jc w:val="right"/>
              <w:rPr>
                <w:lang w:eastAsia="en-AU"/>
              </w:rPr>
            </w:pPr>
            <w:r>
              <w:rPr>
                <w:rFonts w:cs="Calibri"/>
                <w:color w:val="000000"/>
                <w:szCs w:val="20"/>
              </w:rPr>
              <w:t>$42,595</w:t>
            </w:r>
          </w:p>
        </w:tc>
        <w:tc>
          <w:tcPr>
            <w:tcW w:w="550" w:type="pct"/>
            <w:noWrap/>
            <w:vAlign w:val="bottom"/>
            <w:hideMark/>
          </w:tcPr>
          <w:p w14:paraId="56DE1FF6" w14:textId="77777777" w:rsidR="00D11182" w:rsidRPr="004B0BC1" w:rsidRDefault="00D11182" w:rsidP="002938A7">
            <w:pPr>
              <w:pStyle w:val="TableText"/>
              <w:jc w:val="right"/>
              <w:rPr>
                <w:lang w:eastAsia="en-AU"/>
              </w:rPr>
            </w:pPr>
            <w:r>
              <w:rPr>
                <w:rFonts w:cs="Calibri"/>
                <w:color w:val="000000"/>
                <w:szCs w:val="20"/>
              </w:rPr>
              <w:t>$43,139</w:t>
            </w:r>
          </w:p>
        </w:tc>
        <w:tc>
          <w:tcPr>
            <w:tcW w:w="550" w:type="pct"/>
            <w:noWrap/>
            <w:vAlign w:val="bottom"/>
            <w:hideMark/>
          </w:tcPr>
          <w:p w14:paraId="227CFB1C" w14:textId="77777777" w:rsidR="00D11182" w:rsidRPr="004B0BC1" w:rsidRDefault="00D11182" w:rsidP="002938A7">
            <w:pPr>
              <w:pStyle w:val="TableText"/>
              <w:jc w:val="right"/>
              <w:rPr>
                <w:lang w:eastAsia="en-AU"/>
              </w:rPr>
            </w:pPr>
            <w:r>
              <w:rPr>
                <w:rFonts w:cs="Calibri"/>
                <w:color w:val="000000"/>
                <w:szCs w:val="20"/>
              </w:rPr>
              <w:t>$43,660</w:t>
            </w:r>
          </w:p>
        </w:tc>
        <w:tc>
          <w:tcPr>
            <w:tcW w:w="550" w:type="pct"/>
            <w:noWrap/>
            <w:vAlign w:val="bottom"/>
            <w:hideMark/>
          </w:tcPr>
          <w:p w14:paraId="2FBA1360" w14:textId="77777777" w:rsidR="00D11182" w:rsidRPr="004B0BC1" w:rsidRDefault="00D11182" w:rsidP="002938A7">
            <w:pPr>
              <w:pStyle w:val="TableText"/>
              <w:jc w:val="right"/>
              <w:rPr>
                <w:lang w:eastAsia="en-AU"/>
              </w:rPr>
            </w:pPr>
            <w:r>
              <w:rPr>
                <w:rFonts w:cs="Calibri"/>
                <w:color w:val="000000"/>
                <w:szCs w:val="20"/>
              </w:rPr>
              <w:t>$44,155</w:t>
            </w:r>
          </w:p>
        </w:tc>
        <w:tc>
          <w:tcPr>
            <w:tcW w:w="601" w:type="pct"/>
            <w:noWrap/>
            <w:vAlign w:val="bottom"/>
            <w:hideMark/>
          </w:tcPr>
          <w:p w14:paraId="1086182E" w14:textId="77777777" w:rsidR="00D11182" w:rsidRPr="004B0BC1" w:rsidRDefault="00D11182" w:rsidP="002938A7">
            <w:pPr>
              <w:pStyle w:val="TableText"/>
              <w:jc w:val="right"/>
              <w:rPr>
                <w:lang w:eastAsia="en-AU"/>
              </w:rPr>
            </w:pPr>
            <w:r>
              <w:rPr>
                <w:rFonts w:cs="Calibri"/>
                <w:color w:val="000000"/>
                <w:szCs w:val="20"/>
              </w:rPr>
              <w:t>$44,660</w:t>
            </w:r>
          </w:p>
        </w:tc>
      </w:tr>
      <w:tr w:rsidR="00D11182" w:rsidRPr="004B0BC1" w14:paraId="6A57432F" w14:textId="77777777" w:rsidTr="002938A7">
        <w:trPr>
          <w:trHeight w:val="255"/>
        </w:trPr>
        <w:tc>
          <w:tcPr>
            <w:tcW w:w="1491" w:type="pct"/>
            <w:noWrap/>
            <w:vAlign w:val="bottom"/>
            <w:hideMark/>
          </w:tcPr>
          <w:p w14:paraId="39B1FF65" w14:textId="77777777" w:rsidR="00D11182" w:rsidRPr="004B0BC1" w:rsidRDefault="00D11182" w:rsidP="002938A7">
            <w:pPr>
              <w:pStyle w:val="TableText"/>
              <w:rPr>
                <w:lang w:eastAsia="en-AU"/>
              </w:rPr>
            </w:pPr>
            <w:r w:rsidRPr="004B0BC1">
              <w:rPr>
                <w:lang w:eastAsia="en-AU"/>
              </w:rPr>
              <w:t>Contrast</w:t>
            </w:r>
            <w:r>
              <w:rPr>
                <w:lang w:eastAsia="en-AU"/>
              </w:rPr>
              <w:t xml:space="preserve"> </w:t>
            </w:r>
            <w:r>
              <w:rPr>
                <w:bCs/>
                <w:i/>
                <w:lang w:eastAsia="en-AU"/>
              </w:rPr>
              <w:t>(H = F × $38.65 × 90%)</w:t>
            </w:r>
            <w:r w:rsidRPr="00AC04C2">
              <w:rPr>
                <w:bCs/>
                <w:i/>
                <w:vertAlign w:val="superscript"/>
                <w:lang w:eastAsia="en-AU"/>
              </w:rPr>
              <w:t>2</w:t>
            </w:r>
          </w:p>
        </w:tc>
        <w:tc>
          <w:tcPr>
            <w:tcW w:w="629" w:type="pct"/>
            <w:gridSpan w:val="2"/>
            <w:noWrap/>
            <w:vAlign w:val="bottom"/>
            <w:hideMark/>
          </w:tcPr>
          <w:p w14:paraId="7C9FA6F2" w14:textId="77777777" w:rsidR="00D11182" w:rsidRPr="004B0BC1" w:rsidRDefault="00D11182" w:rsidP="002938A7">
            <w:pPr>
              <w:pStyle w:val="TableText"/>
              <w:jc w:val="right"/>
              <w:rPr>
                <w:lang w:eastAsia="en-AU"/>
              </w:rPr>
            </w:pPr>
            <w:r>
              <w:rPr>
                <w:rFonts w:cs="Calibri"/>
                <w:color w:val="000000"/>
                <w:szCs w:val="20"/>
              </w:rPr>
              <w:t>$2,662</w:t>
            </w:r>
          </w:p>
        </w:tc>
        <w:tc>
          <w:tcPr>
            <w:tcW w:w="629" w:type="pct"/>
            <w:noWrap/>
            <w:vAlign w:val="bottom"/>
            <w:hideMark/>
          </w:tcPr>
          <w:p w14:paraId="13D48947" w14:textId="77777777" w:rsidR="00D11182" w:rsidRPr="004B0BC1" w:rsidRDefault="00D11182" w:rsidP="002938A7">
            <w:pPr>
              <w:pStyle w:val="TableText"/>
              <w:jc w:val="right"/>
              <w:rPr>
                <w:lang w:eastAsia="en-AU"/>
              </w:rPr>
            </w:pPr>
            <w:r>
              <w:rPr>
                <w:rFonts w:cs="Calibri"/>
                <w:color w:val="000000"/>
                <w:szCs w:val="20"/>
              </w:rPr>
              <w:t>$2,697</w:t>
            </w:r>
          </w:p>
        </w:tc>
        <w:tc>
          <w:tcPr>
            <w:tcW w:w="550" w:type="pct"/>
            <w:noWrap/>
            <w:vAlign w:val="bottom"/>
            <w:hideMark/>
          </w:tcPr>
          <w:p w14:paraId="5BA329E7" w14:textId="77777777" w:rsidR="00D11182" w:rsidRPr="004B0BC1" w:rsidRDefault="00D11182" w:rsidP="002938A7">
            <w:pPr>
              <w:pStyle w:val="TableText"/>
              <w:jc w:val="right"/>
              <w:rPr>
                <w:lang w:eastAsia="en-AU"/>
              </w:rPr>
            </w:pPr>
            <w:r>
              <w:rPr>
                <w:rFonts w:cs="Calibri"/>
                <w:color w:val="000000"/>
                <w:szCs w:val="20"/>
              </w:rPr>
              <w:t>$2,732</w:t>
            </w:r>
          </w:p>
        </w:tc>
        <w:tc>
          <w:tcPr>
            <w:tcW w:w="550" w:type="pct"/>
            <w:noWrap/>
            <w:vAlign w:val="bottom"/>
            <w:hideMark/>
          </w:tcPr>
          <w:p w14:paraId="1D8B7D34" w14:textId="77777777" w:rsidR="00D11182" w:rsidRPr="004B0BC1" w:rsidRDefault="00D11182" w:rsidP="002938A7">
            <w:pPr>
              <w:pStyle w:val="TableText"/>
              <w:jc w:val="right"/>
              <w:rPr>
                <w:lang w:eastAsia="en-AU"/>
              </w:rPr>
            </w:pPr>
            <w:r>
              <w:rPr>
                <w:rFonts w:cs="Calibri"/>
                <w:color w:val="000000"/>
                <w:szCs w:val="20"/>
              </w:rPr>
              <w:t>$2,765</w:t>
            </w:r>
          </w:p>
        </w:tc>
        <w:tc>
          <w:tcPr>
            <w:tcW w:w="550" w:type="pct"/>
            <w:noWrap/>
            <w:vAlign w:val="bottom"/>
            <w:hideMark/>
          </w:tcPr>
          <w:p w14:paraId="0B4EF827" w14:textId="77777777" w:rsidR="00D11182" w:rsidRPr="004B0BC1" w:rsidRDefault="00D11182" w:rsidP="002938A7">
            <w:pPr>
              <w:pStyle w:val="TableText"/>
              <w:jc w:val="right"/>
              <w:rPr>
                <w:lang w:eastAsia="en-AU"/>
              </w:rPr>
            </w:pPr>
            <w:r>
              <w:rPr>
                <w:rFonts w:cs="Calibri"/>
                <w:color w:val="000000"/>
                <w:szCs w:val="20"/>
              </w:rPr>
              <w:t>$2,796</w:t>
            </w:r>
          </w:p>
        </w:tc>
        <w:tc>
          <w:tcPr>
            <w:tcW w:w="601" w:type="pct"/>
            <w:noWrap/>
            <w:vAlign w:val="bottom"/>
            <w:hideMark/>
          </w:tcPr>
          <w:p w14:paraId="6F92B5D9" w14:textId="77777777" w:rsidR="00D11182" w:rsidRPr="004B0BC1" w:rsidRDefault="00D11182" w:rsidP="002938A7">
            <w:pPr>
              <w:pStyle w:val="TableText"/>
              <w:jc w:val="right"/>
              <w:rPr>
                <w:lang w:eastAsia="en-AU"/>
              </w:rPr>
            </w:pPr>
            <w:r>
              <w:rPr>
                <w:rFonts w:cs="Calibri"/>
                <w:color w:val="000000"/>
                <w:szCs w:val="20"/>
              </w:rPr>
              <w:t>$2,828</w:t>
            </w:r>
          </w:p>
        </w:tc>
      </w:tr>
      <w:tr w:rsidR="00D11182" w:rsidRPr="004B0BC1" w14:paraId="0F6BF8B1" w14:textId="77777777" w:rsidTr="002938A7">
        <w:trPr>
          <w:trHeight w:val="255"/>
        </w:trPr>
        <w:tc>
          <w:tcPr>
            <w:tcW w:w="1491" w:type="pct"/>
            <w:noWrap/>
            <w:vAlign w:val="bottom"/>
            <w:hideMark/>
          </w:tcPr>
          <w:p w14:paraId="30B95DEF" w14:textId="77777777" w:rsidR="00D11182" w:rsidRPr="004E51C0" w:rsidRDefault="00D11182" w:rsidP="002938A7">
            <w:pPr>
              <w:pStyle w:val="TableText"/>
              <w:rPr>
                <w:bCs/>
                <w:i/>
                <w:lang w:eastAsia="en-AU"/>
              </w:rPr>
            </w:pPr>
            <w:proofErr w:type="spellStart"/>
            <w:r w:rsidRPr="004E51C0">
              <w:rPr>
                <w:bCs/>
                <w:i/>
                <w:lang w:eastAsia="en-AU"/>
              </w:rPr>
              <w:t>Copayment</w:t>
            </w:r>
            <w:proofErr w:type="spellEnd"/>
            <w:r>
              <w:rPr>
                <w:bCs/>
                <w:i/>
                <w:lang w:eastAsia="en-AU"/>
              </w:rPr>
              <w:t xml:space="preserve"> (I + J)</w:t>
            </w:r>
          </w:p>
        </w:tc>
        <w:tc>
          <w:tcPr>
            <w:tcW w:w="629" w:type="pct"/>
            <w:gridSpan w:val="2"/>
            <w:noWrap/>
            <w:vAlign w:val="bottom"/>
            <w:hideMark/>
          </w:tcPr>
          <w:p w14:paraId="525556F7" w14:textId="77777777" w:rsidR="00D11182" w:rsidRPr="004B0BC1" w:rsidRDefault="00D11182" w:rsidP="002938A7">
            <w:pPr>
              <w:pStyle w:val="TableText"/>
              <w:jc w:val="right"/>
              <w:rPr>
                <w:i/>
                <w:iCs/>
                <w:lang w:eastAsia="en-AU"/>
              </w:rPr>
            </w:pPr>
            <w:r>
              <w:rPr>
                <w:rFonts w:cs="Calibri"/>
                <w:i/>
                <w:iCs/>
                <w:color w:val="000000"/>
                <w:szCs w:val="20"/>
              </w:rPr>
              <w:t>$7,199</w:t>
            </w:r>
          </w:p>
        </w:tc>
        <w:tc>
          <w:tcPr>
            <w:tcW w:w="629" w:type="pct"/>
            <w:noWrap/>
            <w:vAlign w:val="bottom"/>
            <w:hideMark/>
          </w:tcPr>
          <w:p w14:paraId="2EF623F6" w14:textId="77777777" w:rsidR="00D11182" w:rsidRPr="004B0BC1" w:rsidRDefault="00D11182" w:rsidP="002938A7">
            <w:pPr>
              <w:pStyle w:val="TableText"/>
              <w:jc w:val="right"/>
              <w:rPr>
                <w:i/>
                <w:iCs/>
                <w:lang w:eastAsia="en-AU"/>
              </w:rPr>
            </w:pPr>
            <w:r>
              <w:rPr>
                <w:rFonts w:cs="Calibri"/>
                <w:i/>
                <w:iCs/>
                <w:color w:val="000000"/>
                <w:szCs w:val="20"/>
              </w:rPr>
              <w:t>$7,293</w:t>
            </w:r>
          </w:p>
        </w:tc>
        <w:tc>
          <w:tcPr>
            <w:tcW w:w="550" w:type="pct"/>
            <w:noWrap/>
            <w:vAlign w:val="bottom"/>
            <w:hideMark/>
          </w:tcPr>
          <w:p w14:paraId="33CE733A" w14:textId="77777777" w:rsidR="00D11182" w:rsidRPr="004B0BC1" w:rsidRDefault="00D11182" w:rsidP="002938A7">
            <w:pPr>
              <w:pStyle w:val="TableText"/>
              <w:jc w:val="right"/>
              <w:rPr>
                <w:i/>
                <w:iCs/>
                <w:lang w:eastAsia="en-AU"/>
              </w:rPr>
            </w:pPr>
            <w:r>
              <w:rPr>
                <w:rFonts w:cs="Calibri"/>
                <w:i/>
                <w:iCs/>
                <w:color w:val="000000"/>
                <w:szCs w:val="20"/>
              </w:rPr>
              <w:t>$7,387</w:t>
            </w:r>
          </w:p>
        </w:tc>
        <w:tc>
          <w:tcPr>
            <w:tcW w:w="550" w:type="pct"/>
            <w:noWrap/>
            <w:vAlign w:val="bottom"/>
            <w:hideMark/>
          </w:tcPr>
          <w:p w14:paraId="12275044" w14:textId="77777777" w:rsidR="00D11182" w:rsidRPr="004B0BC1" w:rsidRDefault="00D11182" w:rsidP="002938A7">
            <w:pPr>
              <w:pStyle w:val="TableText"/>
              <w:jc w:val="right"/>
              <w:rPr>
                <w:i/>
                <w:iCs/>
                <w:lang w:eastAsia="en-AU"/>
              </w:rPr>
            </w:pPr>
            <w:r>
              <w:rPr>
                <w:rFonts w:cs="Calibri"/>
                <w:i/>
                <w:iCs/>
                <w:color w:val="000000"/>
                <w:szCs w:val="20"/>
              </w:rPr>
              <w:t>$7,476</w:t>
            </w:r>
          </w:p>
        </w:tc>
        <w:tc>
          <w:tcPr>
            <w:tcW w:w="550" w:type="pct"/>
            <w:noWrap/>
            <w:vAlign w:val="bottom"/>
            <w:hideMark/>
          </w:tcPr>
          <w:p w14:paraId="093EEC2A" w14:textId="77777777" w:rsidR="00D11182" w:rsidRPr="004B0BC1" w:rsidRDefault="00D11182" w:rsidP="002938A7">
            <w:pPr>
              <w:pStyle w:val="TableText"/>
              <w:jc w:val="right"/>
              <w:rPr>
                <w:i/>
                <w:iCs/>
                <w:lang w:eastAsia="en-AU"/>
              </w:rPr>
            </w:pPr>
            <w:r>
              <w:rPr>
                <w:rFonts w:cs="Calibri"/>
                <w:i/>
                <w:iCs/>
                <w:color w:val="000000"/>
                <w:szCs w:val="20"/>
              </w:rPr>
              <w:t>$7,561</w:t>
            </w:r>
          </w:p>
        </w:tc>
        <w:tc>
          <w:tcPr>
            <w:tcW w:w="601" w:type="pct"/>
            <w:noWrap/>
            <w:vAlign w:val="bottom"/>
            <w:hideMark/>
          </w:tcPr>
          <w:p w14:paraId="4DF6C838" w14:textId="77777777" w:rsidR="00D11182" w:rsidRPr="004B0BC1" w:rsidRDefault="00D11182" w:rsidP="002938A7">
            <w:pPr>
              <w:pStyle w:val="TableText"/>
              <w:jc w:val="right"/>
              <w:rPr>
                <w:i/>
                <w:iCs/>
                <w:lang w:eastAsia="en-AU"/>
              </w:rPr>
            </w:pPr>
            <w:r>
              <w:rPr>
                <w:rFonts w:cs="Calibri"/>
                <w:i/>
                <w:iCs/>
                <w:color w:val="000000"/>
                <w:szCs w:val="20"/>
              </w:rPr>
              <w:t>$7,647</w:t>
            </w:r>
          </w:p>
        </w:tc>
      </w:tr>
      <w:tr w:rsidR="00D11182" w:rsidRPr="004B0BC1" w14:paraId="6416E80B" w14:textId="77777777" w:rsidTr="002938A7">
        <w:trPr>
          <w:trHeight w:val="255"/>
        </w:trPr>
        <w:tc>
          <w:tcPr>
            <w:tcW w:w="1491" w:type="pct"/>
            <w:noWrap/>
            <w:vAlign w:val="bottom"/>
            <w:hideMark/>
          </w:tcPr>
          <w:p w14:paraId="3C306ACE" w14:textId="77777777" w:rsidR="00D11182" w:rsidRPr="004B0BC1" w:rsidRDefault="00D11182" w:rsidP="002938A7">
            <w:pPr>
              <w:pStyle w:val="TableText"/>
              <w:rPr>
                <w:lang w:eastAsia="en-AU"/>
              </w:rPr>
            </w:pPr>
            <w:r w:rsidRPr="004B0BC1">
              <w:rPr>
                <w:lang w:eastAsia="en-AU"/>
              </w:rPr>
              <w:t>MRI</w:t>
            </w:r>
            <w:r>
              <w:rPr>
                <w:lang w:eastAsia="en-AU"/>
              </w:rPr>
              <w:t xml:space="preserve"> </w:t>
            </w:r>
            <w:r>
              <w:rPr>
                <w:bCs/>
                <w:i/>
                <w:lang w:eastAsia="en-AU"/>
              </w:rPr>
              <w:t xml:space="preserve">(I = F × $87.90) </w:t>
            </w:r>
            <w:r>
              <w:rPr>
                <w:bCs/>
                <w:i/>
                <w:vertAlign w:val="superscript"/>
                <w:lang w:eastAsia="en-AU"/>
              </w:rPr>
              <w:t>2</w:t>
            </w:r>
          </w:p>
        </w:tc>
        <w:tc>
          <w:tcPr>
            <w:tcW w:w="629" w:type="pct"/>
            <w:gridSpan w:val="2"/>
            <w:noWrap/>
            <w:vAlign w:val="bottom"/>
            <w:hideMark/>
          </w:tcPr>
          <w:p w14:paraId="287E25C6" w14:textId="77777777" w:rsidR="00D11182" w:rsidRPr="004B0BC1" w:rsidRDefault="00D11182" w:rsidP="002938A7">
            <w:pPr>
              <w:pStyle w:val="TableText"/>
              <w:jc w:val="right"/>
              <w:rPr>
                <w:lang w:eastAsia="en-AU"/>
              </w:rPr>
            </w:pPr>
            <w:r>
              <w:rPr>
                <w:rFonts w:cs="Calibri"/>
                <w:color w:val="000000"/>
                <w:szCs w:val="20"/>
              </w:rPr>
              <w:t>$6,728</w:t>
            </w:r>
          </w:p>
        </w:tc>
        <w:tc>
          <w:tcPr>
            <w:tcW w:w="629" w:type="pct"/>
            <w:noWrap/>
            <w:vAlign w:val="bottom"/>
            <w:hideMark/>
          </w:tcPr>
          <w:p w14:paraId="0A7BD49B" w14:textId="77777777" w:rsidR="00D11182" w:rsidRPr="004B0BC1" w:rsidRDefault="00D11182" w:rsidP="002938A7">
            <w:pPr>
              <w:pStyle w:val="TableText"/>
              <w:jc w:val="right"/>
              <w:rPr>
                <w:lang w:eastAsia="en-AU"/>
              </w:rPr>
            </w:pPr>
            <w:r>
              <w:rPr>
                <w:rFonts w:cs="Calibri"/>
                <w:color w:val="000000"/>
                <w:szCs w:val="20"/>
              </w:rPr>
              <w:t>$6,815</w:t>
            </w:r>
          </w:p>
        </w:tc>
        <w:tc>
          <w:tcPr>
            <w:tcW w:w="550" w:type="pct"/>
            <w:noWrap/>
            <w:vAlign w:val="bottom"/>
            <w:hideMark/>
          </w:tcPr>
          <w:p w14:paraId="4B97F036" w14:textId="77777777" w:rsidR="00D11182" w:rsidRPr="004B0BC1" w:rsidRDefault="00D11182" w:rsidP="002938A7">
            <w:pPr>
              <w:pStyle w:val="TableText"/>
              <w:jc w:val="right"/>
              <w:rPr>
                <w:lang w:eastAsia="en-AU"/>
              </w:rPr>
            </w:pPr>
            <w:r>
              <w:rPr>
                <w:rFonts w:cs="Calibri"/>
                <w:color w:val="000000"/>
                <w:szCs w:val="20"/>
              </w:rPr>
              <w:t>$6,903</w:t>
            </w:r>
          </w:p>
        </w:tc>
        <w:tc>
          <w:tcPr>
            <w:tcW w:w="550" w:type="pct"/>
            <w:noWrap/>
            <w:vAlign w:val="bottom"/>
            <w:hideMark/>
          </w:tcPr>
          <w:p w14:paraId="1EE72069" w14:textId="77777777" w:rsidR="00D11182" w:rsidRPr="004B0BC1" w:rsidRDefault="00D11182" w:rsidP="002938A7">
            <w:pPr>
              <w:pStyle w:val="TableText"/>
              <w:jc w:val="right"/>
              <w:rPr>
                <w:lang w:eastAsia="en-AU"/>
              </w:rPr>
            </w:pPr>
            <w:r>
              <w:rPr>
                <w:rFonts w:cs="Calibri"/>
                <w:color w:val="000000"/>
                <w:szCs w:val="20"/>
              </w:rPr>
              <w:t>$6,986</w:t>
            </w:r>
          </w:p>
        </w:tc>
        <w:tc>
          <w:tcPr>
            <w:tcW w:w="550" w:type="pct"/>
            <w:noWrap/>
            <w:vAlign w:val="bottom"/>
            <w:hideMark/>
          </w:tcPr>
          <w:p w14:paraId="23D318FD" w14:textId="77777777" w:rsidR="00D11182" w:rsidRPr="004B0BC1" w:rsidRDefault="00D11182" w:rsidP="002938A7">
            <w:pPr>
              <w:pStyle w:val="TableText"/>
              <w:jc w:val="right"/>
              <w:rPr>
                <w:lang w:eastAsia="en-AU"/>
              </w:rPr>
            </w:pPr>
            <w:r>
              <w:rPr>
                <w:rFonts w:cs="Calibri"/>
                <w:color w:val="000000"/>
                <w:szCs w:val="20"/>
              </w:rPr>
              <w:t>$7,065</w:t>
            </w:r>
          </w:p>
        </w:tc>
        <w:tc>
          <w:tcPr>
            <w:tcW w:w="601" w:type="pct"/>
            <w:noWrap/>
            <w:vAlign w:val="bottom"/>
            <w:hideMark/>
          </w:tcPr>
          <w:p w14:paraId="74726844" w14:textId="77777777" w:rsidR="00D11182" w:rsidRPr="004B0BC1" w:rsidRDefault="00D11182" w:rsidP="002938A7">
            <w:pPr>
              <w:pStyle w:val="TableText"/>
              <w:jc w:val="right"/>
              <w:rPr>
                <w:lang w:eastAsia="en-AU"/>
              </w:rPr>
            </w:pPr>
            <w:r>
              <w:rPr>
                <w:rFonts w:cs="Calibri"/>
                <w:color w:val="000000"/>
                <w:szCs w:val="20"/>
              </w:rPr>
              <w:t>$7,146</w:t>
            </w:r>
          </w:p>
        </w:tc>
      </w:tr>
      <w:tr w:rsidR="00D11182" w:rsidRPr="004B0BC1" w14:paraId="0FA26FAB" w14:textId="77777777" w:rsidTr="002938A7">
        <w:trPr>
          <w:trHeight w:val="255"/>
        </w:trPr>
        <w:tc>
          <w:tcPr>
            <w:tcW w:w="1491" w:type="pct"/>
            <w:noWrap/>
            <w:vAlign w:val="bottom"/>
            <w:hideMark/>
          </w:tcPr>
          <w:p w14:paraId="5DD0EB33" w14:textId="77777777" w:rsidR="00D11182" w:rsidRPr="004B0BC1" w:rsidRDefault="00D11182" w:rsidP="002938A7">
            <w:pPr>
              <w:pStyle w:val="TableText"/>
              <w:rPr>
                <w:lang w:eastAsia="en-AU"/>
              </w:rPr>
            </w:pPr>
            <w:r w:rsidRPr="004B0BC1">
              <w:rPr>
                <w:lang w:eastAsia="en-AU"/>
              </w:rPr>
              <w:t>Contrast</w:t>
            </w:r>
            <w:r>
              <w:rPr>
                <w:lang w:eastAsia="en-AU"/>
              </w:rPr>
              <w:t xml:space="preserve"> </w:t>
            </w:r>
            <w:r>
              <w:rPr>
                <w:bCs/>
                <w:i/>
                <w:lang w:eastAsia="en-AU"/>
              </w:rPr>
              <w:t>(J = F × $6.85 × 90%)</w:t>
            </w:r>
            <w:r>
              <w:rPr>
                <w:bCs/>
                <w:i/>
                <w:vertAlign w:val="superscript"/>
                <w:lang w:eastAsia="en-AU"/>
              </w:rPr>
              <w:t>2</w:t>
            </w:r>
          </w:p>
        </w:tc>
        <w:tc>
          <w:tcPr>
            <w:tcW w:w="629" w:type="pct"/>
            <w:gridSpan w:val="2"/>
            <w:noWrap/>
            <w:vAlign w:val="bottom"/>
            <w:hideMark/>
          </w:tcPr>
          <w:p w14:paraId="32DBF160" w14:textId="77777777" w:rsidR="00D11182" w:rsidRPr="004B0BC1" w:rsidRDefault="00D11182" w:rsidP="002938A7">
            <w:pPr>
              <w:pStyle w:val="TableText"/>
              <w:jc w:val="right"/>
              <w:rPr>
                <w:lang w:eastAsia="en-AU"/>
              </w:rPr>
            </w:pPr>
            <w:r>
              <w:rPr>
                <w:rFonts w:cs="Calibri"/>
                <w:color w:val="000000"/>
                <w:szCs w:val="20"/>
              </w:rPr>
              <w:t>$472</w:t>
            </w:r>
          </w:p>
        </w:tc>
        <w:tc>
          <w:tcPr>
            <w:tcW w:w="629" w:type="pct"/>
            <w:noWrap/>
            <w:vAlign w:val="bottom"/>
            <w:hideMark/>
          </w:tcPr>
          <w:p w14:paraId="3AC7AE4A" w14:textId="77777777" w:rsidR="00D11182" w:rsidRPr="004B0BC1" w:rsidRDefault="00D11182" w:rsidP="002938A7">
            <w:pPr>
              <w:pStyle w:val="TableText"/>
              <w:jc w:val="right"/>
              <w:rPr>
                <w:lang w:eastAsia="en-AU"/>
              </w:rPr>
            </w:pPr>
            <w:r>
              <w:rPr>
                <w:rFonts w:cs="Calibri"/>
                <w:color w:val="000000"/>
                <w:szCs w:val="20"/>
              </w:rPr>
              <w:t>$478</w:t>
            </w:r>
          </w:p>
        </w:tc>
        <w:tc>
          <w:tcPr>
            <w:tcW w:w="550" w:type="pct"/>
            <w:noWrap/>
            <w:vAlign w:val="bottom"/>
            <w:hideMark/>
          </w:tcPr>
          <w:p w14:paraId="1976327D" w14:textId="77777777" w:rsidR="00D11182" w:rsidRPr="004B0BC1" w:rsidRDefault="00D11182" w:rsidP="002938A7">
            <w:pPr>
              <w:pStyle w:val="TableText"/>
              <w:jc w:val="right"/>
              <w:rPr>
                <w:lang w:eastAsia="en-AU"/>
              </w:rPr>
            </w:pPr>
            <w:r>
              <w:rPr>
                <w:rFonts w:cs="Calibri"/>
                <w:color w:val="000000"/>
                <w:szCs w:val="20"/>
              </w:rPr>
              <w:t>$484</w:t>
            </w:r>
          </w:p>
        </w:tc>
        <w:tc>
          <w:tcPr>
            <w:tcW w:w="550" w:type="pct"/>
            <w:noWrap/>
            <w:vAlign w:val="bottom"/>
            <w:hideMark/>
          </w:tcPr>
          <w:p w14:paraId="667BA493" w14:textId="77777777" w:rsidR="00D11182" w:rsidRPr="004B0BC1" w:rsidRDefault="00D11182" w:rsidP="002938A7">
            <w:pPr>
              <w:pStyle w:val="TableText"/>
              <w:jc w:val="right"/>
              <w:rPr>
                <w:lang w:eastAsia="en-AU"/>
              </w:rPr>
            </w:pPr>
            <w:r>
              <w:rPr>
                <w:rFonts w:cs="Calibri"/>
                <w:color w:val="000000"/>
                <w:szCs w:val="20"/>
              </w:rPr>
              <w:t>$490</w:t>
            </w:r>
          </w:p>
        </w:tc>
        <w:tc>
          <w:tcPr>
            <w:tcW w:w="550" w:type="pct"/>
            <w:noWrap/>
            <w:vAlign w:val="bottom"/>
            <w:hideMark/>
          </w:tcPr>
          <w:p w14:paraId="306579F7" w14:textId="77777777" w:rsidR="00D11182" w:rsidRPr="004B0BC1" w:rsidRDefault="00D11182" w:rsidP="002938A7">
            <w:pPr>
              <w:pStyle w:val="TableText"/>
              <w:jc w:val="right"/>
              <w:rPr>
                <w:lang w:eastAsia="en-AU"/>
              </w:rPr>
            </w:pPr>
            <w:r>
              <w:rPr>
                <w:rFonts w:cs="Calibri"/>
                <w:color w:val="000000"/>
                <w:szCs w:val="20"/>
              </w:rPr>
              <w:t>$496</w:t>
            </w:r>
          </w:p>
        </w:tc>
        <w:tc>
          <w:tcPr>
            <w:tcW w:w="601" w:type="pct"/>
            <w:noWrap/>
            <w:vAlign w:val="bottom"/>
            <w:hideMark/>
          </w:tcPr>
          <w:p w14:paraId="4004B50C" w14:textId="77777777" w:rsidR="00D11182" w:rsidRPr="004B0BC1" w:rsidRDefault="00D11182" w:rsidP="002938A7">
            <w:pPr>
              <w:pStyle w:val="TableText"/>
              <w:jc w:val="right"/>
              <w:rPr>
                <w:lang w:eastAsia="en-AU"/>
              </w:rPr>
            </w:pPr>
            <w:r>
              <w:rPr>
                <w:rFonts w:cs="Calibri"/>
                <w:color w:val="000000"/>
                <w:szCs w:val="20"/>
              </w:rPr>
              <w:t>$501</w:t>
            </w:r>
          </w:p>
        </w:tc>
      </w:tr>
      <w:tr w:rsidR="00D11182" w:rsidRPr="004B0BC1" w14:paraId="07438C8C" w14:textId="77777777" w:rsidTr="002938A7">
        <w:trPr>
          <w:trHeight w:val="255"/>
        </w:trPr>
        <w:tc>
          <w:tcPr>
            <w:tcW w:w="1491" w:type="pct"/>
            <w:noWrap/>
            <w:vAlign w:val="bottom"/>
            <w:hideMark/>
          </w:tcPr>
          <w:p w14:paraId="65A2B295" w14:textId="77777777" w:rsidR="00D11182" w:rsidRPr="004B0BC1" w:rsidRDefault="00D11182" w:rsidP="002938A7">
            <w:pPr>
              <w:pStyle w:val="TableText"/>
              <w:rPr>
                <w:b/>
                <w:bCs/>
                <w:lang w:eastAsia="en-AU"/>
              </w:rPr>
            </w:pPr>
            <w:r w:rsidRPr="004B0BC1">
              <w:rPr>
                <w:b/>
                <w:bCs/>
                <w:lang w:eastAsia="en-AU"/>
              </w:rPr>
              <w:t>Total cost to MBS</w:t>
            </w:r>
          </w:p>
        </w:tc>
        <w:tc>
          <w:tcPr>
            <w:tcW w:w="629" w:type="pct"/>
            <w:gridSpan w:val="2"/>
            <w:noWrap/>
            <w:vAlign w:val="bottom"/>
            <w:hideMark/>
          </w:tcPr>
          <w:p w14:paraId="2DA9F890" w14:textId="77777777" w:rsidR="00D11182" w:rsidRPr="004B0BC1" w:rsidRDefault="00D11182" w:rsidP="002938A7">
            <w:pPr>
              <w:pStyle w:val="TableText"/>
              <w:jc w:val="right"/>
              <w:rPr>
                <w:b/>
                <w:bCs/>
                <w:lang w:eastAsia="en-AU"/>
              </w:rPr>
            </w:pPr>
            <w:r>
              <w:rPr>
                <w:rFonts w:cs="Calibri"/>
                <w:b/>
                <w:bCs/>
                <w:color w:val="000000"/>
                <w:szCs w:val="20"/>
              </w:rPr>
              <w:t>$491,780</w:t>
            </w:r>
          </w:p>
        </w:tc>
        <w:tc>
          <w:tcPr>
            <w:tcW w:w="629" w:type="pct"/>
            <w:noWrap/>
            <w:vAlign w:val="bottom"/>
            <w:hideMark/>
          </w:tcPr>
          <w:p w14:paraId="6CB17E82" w14:textId="77777777" w:rsidR="00D11182" w:rsidRPr="004B0BC1" w:rsidRDefault="00D11182" w:rsidP="002938A7">
            <w:pPr>
              <w:pStyle w:val="TableText"/>
              <w:jc w:val="right"/>
              <w:rPr>
                <w:b/>
                <w:bCs/>
                <w:lang w:eastAsia="en-AU"/>
              </w:rPr>
            </w:pPr>
            <w:r>
              <w:rPr>
                <w:rFonts w:cs="Calibri"/>
                <w:b/>
                <w:bCs/>
                <w:color w:val="000000"/>
                <w:szCs w:val="20"/>
              </w:rPr>
              <w:t>$498,208</w:t>
            </w:r>
          </w:p>
        </w:tc>
        <w:tc>
          <w:tcPr>
            <w:tcW w:w="550" w:type="pct"/>
            <w:noWrap/>
            <w:vAlign w:val="bottom"/>
            <w:hideMark/>
          </w:tcPr>
          <w:p w14:paraId="704F2507" w14:textId="77777777" w:rsidR="00D11182" w:rsidRPr="004B0BC1" w:rsidRDefault="00D11182" w:rsidP="002938A7">
            <w:pPr>
              <w:pStyle w:val="TableText"/>
              <w:jc w:val="right"/>
              <w:rPr>
                <w:b/>
                <w:bCs/>
                <w:lang w:eastAsia="en-AU"/>
              </w:rPr>
            </w:pPr>
            <w:r>
              <w:rPr>
                <w:rFonts w:cs="Calibri"/>
                <w:b/>
                <w:bCs/>
                <w:color w:val="000000"/>
                <w:szCs w:val="20"/>
              </w:rPr>
              <w:t>$504,577</w:t>
            </w:r>
          </w:p>
        </w:tc>
        <w:tc>
          <w:tcPr>
            <w:tcW w:w="550" w:type="pct"/>
            <w:noWrap/>
            <w:vAlign w:val="bottom"/>
            <w:hideMark/>
          </w:tcPr>
          <w:p w14:paraId="274C7BA6" w14:textId="77777777" w:rsidR="00D11182" w:rsidRPr="004B0BC1" w:rsidRDefault="00D11182" w:rsidP="002938A7">
            <w:pPr>
              <w:pStyle w:val="TableText"/>
              <w:jc w:val="right"/>
              <w:rPr>
                <w:b/>
                <w:bCs/>
                <w:lang w:eastAsia="en-AU"/>
              </w:rPr>
            </w:pPr>
            <w:r>
              <w:rPr>
                <w:rFonts w:cs="Calibri"/>
                <w:b/>
                <w:bCs/>
                <w:color w:val="000000"/>
                <w:szCs w:val="20"/>
              </w:rPr>
              <w:t>$510,666</w:t>
            </w:r>
          </w:p>
        </w:tc>
        <w:tc>
          <w:tcPr>
            <w:tcW w:w="550" w:type="pct"/>
            <w:noWrap/>
            <w:vAlign w:val="bottom"/>
            <w:hideMark/>
          </w:tcPr>
          <w:p w14:paraId="3C305DC1" w14:textId="77777777" w:rsidR="00D11182" w:rsidRPr="004B0BC1" w:rsidRDefault="00D11182" w:rsidP="002938A7">
            <w:pPr>
              <w:pStyle w:val="TableText"/>
              <w:jc w:val="right"/>
              <w:rPr>
                <w:b/>
                <w:bCs/>
                <w:lang w:eastAsia="en-AU"/>
              </w:rPr>
            </w:pPr>
            <w:r>
              <w:rPr>
                <w:rFonts w:cs="Calibri"/>
                <w:b/>
                <w:bCs/>
                <w:color w:val="000000"/>
                <w:szCs w:val="20"/>
              </w:rPr>
              <w:t>$516,457</w:t>
            </w:r>
          </w:p>
        </w:tc>
        <w:tc>
          <w:tcPr>
            <w:tcW w:w="601" w:type="pct"/>
            <w:noWrap/>
            <w:vAlign w:val="bottom"/>
            <w:hideMark/>
          </w:tcPr>
          <w:p w14:paraId="268995C6" w14:textId="77777777" w:rsidR="00D11182" w:rsidRPr="004B0BC1" w:rsidRDefault="00D11182" w:rsidP="002938A7">
            <w:pPr>
              <w:pStyle w:val="TableText"/>
              <w:jc w:val="right"/>
              <w:rPr>
                <w:b/>
                <w:bCs/>
                <w:lang w:eastAsia="en-AU"/>
              </w:rPr>
            </w:pPr>
            <w:r>
              <w:rPr>
                <w:rFonts w:cs="Calibri"/>
                <w:b/>
                <w:bCs/>
                <w:color w:val="000000"/>
                <w:szCs w:val="20"/>
              </w:rPr>
              <w:t>$522,362</w:t>
            </w:r>
          </w:p>
        </w:tc>
      </w:tr>
      <w:tr w:rsidR="00D11182" w:rsidRPr="004B0BC1" w14:paraId="667A5C40" w14:textId="77777777" w:rsidTr="002938A7">
        <w:trPr>
          <w:trHeight w:val="255"/>
        </w:trPr>
        <w:tc>
          <w:tcPr>
            <w:tcW w:w="1491" w:type="pct"/>
            <w:noWrap/>
            <w:vAlign w:val="bottom"/>
            <w:hideMark/>
          </w:tcPr>
          <w:p w14:paraId="45739281" w14:textId="77777777" w:rsidR="00D11182" w:rsidRPr="004B0BC1" w:rsidRDefault="00D11182" w:rsidP="002938A7">
            <w:pPr>
              <w:pStyle w:val="TableText"/>
              <w:rPr>
                <w:lang w:eastAsia="en-AU"/>
              </w:rPr>
            </w:pPr>
            <w:r w:rsidRPr="004B0BC1">
              <w:rPr>
                <w:lang w:eastAsia="en-AU"/>
              </w:rPr>
              <w:t xml:space="preserve">Total </w:t>
            </w:r>
            <w:proofErr w:type="spellStart"/>
            <w:r w:rsidRPr="004B0BC1">
              <w:rPr>
                <w:lang w:eastAsia="en-AU"/>
              </w:rPr>
              <w:t>copayment</w:t>
            </w:r>
            <w:proofErr w:type="spellEnd"/>
          </w:p>
        </w:tc>
        <w:tc>
          <w:tcPr>
            <w:tcW w:w="629" w:type="pct"/>
            <w:gridSpan w:val="2"/>
            <w:noWrap/>
            <w:vAlign w:val="bottom"/>
            <w:hideMark/>
          </w:tcPr>
          <w:p w14:paraId="7DC828D0" w14:textId="77777777" w:rsidR="00D11182" w:rsidRPr="004B0BC1" w:rsidRDefault="00D11182" w:rsidP="002938A7">
            <w:pPr>
              <w:pStyle w:val="TableText"/>
              <w:jc w:val="right"/>
              <w:rPr>
                <w:lang w:eastAsia="en-AU"/>
              </w:rPr>
            </w:pPr>
            <w:r>
              <w:rPr>
                <w:rFonts w:cs="Calibri"/>
                <w:color w:val="000000"/>
                <w:szCs w:val="20"/>
              </w:rPr>
              <w:t>$79,193</w:t>
            </w:r>
          </w:p>
        </w:tc>
        <w:tc>
          <w:tcPr>
            <w:tcW w:w="629" w:type="pct"/>
            <w:noWrap/>
            <w:vAlign w:val="bottom"/>
            <w:hideMark/>
          </w:tcPr>
          <w:p w14:paraId="02D2BE7C" w14:textId="77777777" w:rsidR="00D11182" w:rsidRPr="004B0BC1" w:rsidRDefault="00D11182" w:rsidP="002938A7">
            <w:pPr>
              <w:pStyle w:val="TableText"/>
              <w:jc w:val="right"/>
              <w:rPr>
                <w:lang w:eastAsia="en-AU"/>
              </w:rPr>
            </w:pPr>
            <w:r>
              <w:rPr>
                <w:rFonts w:cs="Calibri"/>
                <w:color w:val="000000"/>
                <w:szCs w:val="20"/>
              </w:rPr>
              <w:t>$80,228</w:t>
            </w:r>
          </w:p>
        </w:tc>
        <w:tc>
          <w:tcPr>
            <w:tcW w:w="550" w:type="pct"/>
            <w:noWrap/>
            <w:vAlign w:val="bottom"/>
            <w:hideMark/>
          </w:tcPr>
          <w:p w14:paraId="69E24587" w14:textId="77777777" w:rsidR="00D11182" w:rsidRPr="004B0BC1" w:rsidRDefault="00D11182" w:rsidP="002938A7">
            <w:pPr>
              <w:pStyle w:val="TableText"/>
              <w:jc w:val="right"/>
              <w:rPr>
                <w:lang w:eastAsia="en-AU"/>
              </w:rPr>
            </w:pPr>
            <w:r>
              <w:rPr>
                <w:rFonts w:cs="Calibri"/>
                <w:color w:val="000000"/>
                <w:szCs w:val="20"/>
              </w:rPr>
              <w:t>$81,254</w:t>
            </w:r>
          </w:p>
        </w:tc>
        <w:tc>
          <w:tcPr>
            <w:tcW w:w="550" w:type="pct"/>
            <w:noWrap/>
            <w:vAlign w:val="bottom"/>
            <w:hideMark/>
          </w:tcPr>
          <w:p w14:paraId="28924BE0" w14:textId="77777777" w:rsidR="00D11182" w:rsidRPr="004B0BC1" w:rsidRDefault="00D11182" w:rsidP="002938A7">
            <w:pPr>
              <w:pStyle w:val="TableText"/>
              <w:jc w:val="right"/>
              <w:rPr>
                <w:lang w:eastAsia="en-AU"/>
              </w:rPr>
            </w:pPr>
            <w:r>
              <w:rPr>
                <w:rFonts w:cs="Calibri"/>
                <w:color w:val="000000"/>
                <w:szCs w:val="20"/>
              </w:rPr>
              <w:t>$82,234</w:t>
            </w:r>
          </w:p>
        </w:tc>
        <w:tc>
          <w:tcPr>
            <w:tcW w:w="550" w:type="pct"/>
            <w:noWrap/>
            <w:vAlign w:val="bottom"/>
            <w:hideMark/>
          </w:tcPr>
          <w:p w14:paraId="0F759636" w14:textId="77777777" w:rsidR="00D11182" w:rsidRPr="004B0BC1" w:rsidRDefault="00D11182" w:rsidP="002938A7">
            <w:pPr>
              <w:pStyle w:val="TableText"/>
              <w:jc w:val="right"/>
              <w:rPr>
                <w:lang w:eastAsia="en-AU"/>
              </w:rPr>
            </w:pPr>
            <w:r>
              <w:rPr>
                <w:rFonts w:cs="Calibri"/>
                <w:color w:val="000000"/>
                <w:szCs w:val="20"/>
              </w:rPr>
              <w:t>$83,167</w:t>
            </w:r>
          </w:p>
        </w:tc>
        <w:tc>
          <w:tcPr>
            <w:tcW w:w="601" w:type="pct"/>
            <w:noWrap/>
            <w:vAlign w:val="bottom"/>
            <w:hideMark/>
          </w:tcPr>
          <w:p w14:paraId="2D10542F" w14:textId="77777777" w:rsidR="00D11182" w:rsidRPr="004B0BC1" w:rsidRDefault="00D11182" w:rsidP="002938A7">
            <w:pPr>
              <w:pStyle w:val="TableText"/>
              <w:jc w:val="right"/>
              <w:rPr>
                <w:lang w:eastAsia="en-AU"/>
              </w:rPr>
            </w:pPr>
            <w:r>
              <w:rPr>
                <w:rFonts w:cs="Calibri"/>
                <w:color w:val="000000"/>
                <w:szCs w:val="20"/>
              </w:rPr>
              <w:t>$84,118</w:t>
            </w:r>
          </w:p>
        </w:tc>
      </w:tr>
    </w:tbl>
    <w:p w14:paraId="7F31E088" w14:textId="77777777" w:rsidR="00D11182" w:rsidRDefault="00D11182" w:rsidP="00D11182">
      <w:pPr>
        <w:pStyle w:val="TableFigureFooter"/>
        <w:rPr>
          <w:rStyle w:val="TablenotesChar0"/>
        </w:rPr>
      </w:pPr>
      <w:r>
        <w:rPr>
          <w:rStyle w:val="TablenotesChar0"/>
        </w:rPr>
        <w:t>CT = computed tomography; MBS = Medicare Benefits Schedule; MRI = magnetic resonance imaging</w:t>
      </w:r>
    </w:p>
    <w:p w14:paraId="377FC714" w14:textId="77777777" w:rsidR="000A24FC" w:rsidRPr="00831672" w:rsidRDefault="00D11182" w:rsidP="000A24FC">
      <w:pPr>
        <w:pStyle w:val="TableFigureFooter"/>
      </w:pPr>
      <w:r>
        <w:rPr>
          <w:rStyle w:val="TablenotesChar0"/>
          <w:vertAlign w:val="superscript"/>
        </w:rPr>
        <w:t xml:space="preserve">1 </w:t>
      </w:r>
      <w:r w:rsidR="000A24FC" w:rsidRPr="00737532">
        <w:t xml:space="preserve">For patients requiring MRI for the assessment of treatment response, there is a general sparseness of evidence across </w:t>
      </w:r>
      <w:proofErr w:type="gramStart"/>
      <w:r w:rsidR="000A24FC" w:rsidRPr="00737532">
        <w:t>all of</w:t>
      </w:r>
      <w:proofErr w:type="gramEnd"/>
      <w:r w:rsidR="000A24FC" w:rsidRPr="00737532">
        <w:t xml:space="preserve"> the kidney cancer syndromes. </w:t>
      </w:r>
      <w:r w:rsidR="000A24FC">
        <w:t>It was assumed that 10% of the persons undergoing surveillance imaging will have treatment monitoring.</w:t>
      </w:r>
    </w:p>
    <w:p w14:paraId="3C0525E7" w14:textId="77777777" w:rsidR="00A71322" w:rsidRDefault="00D11182" w:rsidP="009A3F23">
      <w:pPr>
        <w:pStyle w:val="TableFigureFooter"/>
        <w:rPr>
          <w:rStyle w:val="TablenotesChar0"/>
        </w:rPr>
      </w:pPr>
      <w:r>
        <w:rPr>
          <w:rStyle w:val="TablenotesChar0"/>
          <w:vertAlign w:val="superscript"/>
        </w:rPr>
        <w:t xml:space="preserve">2 </w:t>
      </w:r>
      <w:r w:rsidRPr="004E51C0">
        <w:rPr>
          <w:rStyle w:val="TablenotesChar0"/>
        </w:rPr>
        <w:t>Source: PICO; proposed fee for the MRI service $637.25 (85% rebate: $549.35</w:t>
      </w:r>
      <w:r w:rsidR="006E1E79">
        <w:rPr>
          <w:rStyle w:val="TablenotesChar0"/>
        </w:rPr>
        <w:t xml:space="preserve"> </w:t>
      </w:r>
      <w:r w:rsidRPr="004E51C0">
        <w:rPr>
          <w:rStyle w:val="TablenotesChar0"/>
        </w:rPr>
        <w:t xml:space="preserve">and </w:t>
      </w:r>
      <w:proofErr w:type="spellStart"/>
      <w:r w:rsidRPr="004E51C0">
        <w:rPr>
          <w:rStyle w:val="TablenotesChar0"/>
        </w:rPr>
        <w:t>copayment</w:t>
      </w:r>
      <w:proofErr w:type="spellEnd"/>
      <w:r w:rsidRPr="004E51C0">
        <w:rPr>
          <w:rStyle w:val="TablenotesChar0"/>
        </w:rPr>
        <w:t xml:space="preserve"> $87.90)</w:t>
      </w:r>
      <w:r w:rsidR="006E1E79" w:rsidRPr="006E1E79">
        <w:rPr>
          <w:rStyle w:val="TablenotesChar0"/>
        </w:rPr>
        <w:t xml:space="preserve"> </w:t>
      </w:r>
      <w:r w:rsidR="006E1E79">
        <w:rPr>
          <w:rStyle w:val="TablenotesChar0"/>
        </w:rPr>
        <w:t>(note: the greatest permissible gap of $87.90 is applied to this item)</w:t>
      </w:r>
      <w:r w:rsidRPr="004E51C0">
        <w:rPr>
          <w:rStyle w:val="TablenotesChar0"/>
        </w:rPr>
        <w:t xml:space="preserve">, Scheduled fee for contrast use, MBS item 63491, is $45.50 (85% rebate: $38.65 and </w:t>
      </w:r>
      <w:proofErr w:type="spellStart"/>
      <w:r w:rsidRPr="004E51C0">
        <w:rPr>
          <w:rStyle w:val="TablenotesChar0"/>
        </w:rPr>
        <w:t>copayment</w:t>
      </w:r>
      <w:proofErr w:type="spellEnd"/>
      <w:r w:rsidRPr="004E51C0">
        <w:rPr>
          <w:rStyle w:val="TablenotesChar0"/>
        </w:rPr>
        <w:t>: $6.85). It is assumed only 90% of the services will use contrast agent due to</w:t>
      </w:r>
      <w:r>
        <w:t xml:space="preserve"> </w:t>
      </w:r>
      <w:r w:rsidRPr="004E51C0">
        <w:rPr>
          <w:rStyle w:val="TablenotesChar0"/>
        </w:rPr>
        <w:t>contraindications.</w:t>
      </w:r>
      <w:r>
        <w:t xml:space="preserve"> </w:t>
      </w:r>
    </w:p>
    <w:p w14:paraId="2C8BEE61" w14:textId="26F3E462" w:rsidR="0088779E" w:rsidRDefault="0088779E" w:rsidP="0088779E">
      <w:r w:rsidRPr="00D1072A">
        <w:t xml:space="preserve">The </w:t>
      </w:r>
      <w:r w:rsidR="000E67FA">
        <w:t xml:space="preserve">net </w:t>
      </w:r>
      <w:r w:rsidRPr="00D1072A">
        <w:t>financial implications to the</w:t>
      </w:r>
      <w:r>
        <w:t xml:space="preserve"> MBS</w:t>
      </w:r>
      <w:r w:rsidRPr="00D1072A">
        <w:t xml:space="preserve"> resulting from the proposed listing of </w:t>
      </w:r>
      <w:r>
        <w:t>abdominal MRI</w:t>
      </w:r>
      <w:r w:rsidRPr="00D1072A">
        <w:t xml:space="preserve"> are summarised in</w:t>
      </w:r>
      <w:r w:rsidR="00387E2B">
        <w:t xml:space="preserve"> Table 14</w:t>
      </w:r>
      <w:r w:rsidRPr="00D1072A">
        <w:t xml:space="preserve">. </w:t>
      </w:r>
    </w:p>
    <w:p w14:paraId="0F44C274" w14:textId="491BC2AF" w:rsidR="0088779E" w:rsidRPr="00D1072A" w:rsidRDefault="0088779E" w:rsidP="00730F41">
      <w:pPr>
        <w:pStyle w:val="TableHeading0"/>
      </w:pPr>
      <w:bookmarkStart w:id="39" w:name="_Ref118914786"/>
      <w:r w:rsidRPr="00D46063">
        <w:lastRenderedPageBreak/>
        <w:t>Table</w:t>
      </w:r>
      <w:r w:rsidR="00387E2B">
        <w:t xml:space="preserve"> 14 </w:t>
      </w:r>
      <w:bookmarkEnd w:id="39"/>
      <w:r w:rsidRPr="00D46063">
        <w:tab/>
        <w:t>Net financial implications of abdominal MRI to the MBS</w:t>
      </w:r>
    </w:p>
    <w:tbl>
      <w:tblPr>
        <w:tblStyle w:val="HealthConsult4"/>
        <w:tblW w:w="0" w:type="auto"/>
        <w:tblCellMar>
          <w:left w:w="0" w:type="dxa"/>
          <w:right w:w="0" w:type="dxa"/>
        </w:tblCellMar>
        <w:tblLook w:val="04A0" w:firstRow="1" w:lastRow="0" w:firstColumn="1" w:lastColumn="0" w:noHBand="0" w:noVBand="1"/>
      </w:tblPr>
      <w:tblGrid>
        <w:gridCol w:w="3600"/>
        <w:gridCol w:w="901"/>
        <w:gridCol w:w="901"/>
        <w:gridCol w:w="901"/>
        <w:gridCol w:w="901"/>
        <w:gridCol w:w="901"/>
        <w:gridCol w:w="901"/>
      </w:tblGrid>
      <w:tr w:rsidR="0088779E" w:rsidRPr="00D1072A" w14:paraId="45DD130F" w14:textId="77777777" w:rsidTr="00A60074">
        <w:trPr>
          <w:tblHeader/>
        </w:trPr>
        <w:tc>
          <w:tcPr>
            <w:tcW w:w="3600" w:type="dxa"/>
            <w:tcMar>
              <w:top w:w="0" w:type="dxa"/>
              <w:left w:w="108" w:type="dxa"/>
              <w:bottom w:w="0" w:type="dxa"/>
              <w:right w:w="108" w:type="dxa"/>
            </w:tcMar>
          </w:tcPr>
          <w:p w14:paraId="5BE48CFE" w14:textId="77777777" w:rsidR="0088779E" w:rsidRPr="00D1072A" w:rsidRDefault="0088779E" w:rsidP="00730F41">
            <w:pPr>
              <w:pStyle w:val="TableText"/>
              <w:keepNext/>
              <w:rPr>
                <w:b/>
                <w:bCs/>
              </w:rPr>
            </w:pPr>
            <w:r w:rsidRPr="00D1072A">
              <w:rPr>
                <w:b/>
                <w:bCs/>
              </w:rPr>
              <w:t xml:space="preserve">Parameter </w:t>
            </w:r>
          </w:p>
        </w:tc>
        <w:tc>
          <w:tcPr>
            <w:tcW w:w="901" w:type="dxa"/>
            <w:tcMar>
              <w:top w:w="0" w:type="dxa"/>
              <w:left w:w="108" w:type="dxa"/>
              <w:bottom w:w="0" w:type="dxa"/>
              <w:right w:w="108" w:type="dxa"/>
            </w:tcMar>
            <w:hideMark/>
          </w:tcPr>
          <w:p w14:paraId="6A01D698" w14:textId="77777777" w:rsidR="0088779E" w:rsidRPr="00D1072A" w:rsidRDefault="0088779E" w:rsidP="00730F41">
            <w:pPr>
              <w:pStyle w:val="TableText"/>
              <w:keepNext/>
              <w:rPr>
                <w:b/>
                <w:bCs/>
              </w:rPr>
            </w:pPr>
            <w:r w:rsidRPr="00D1072A">
              <w:rPr>
                <w:b/>
                <w:bCs/>
              </w:rPr>
              <w:t>Year 1</w:t>
            </w:r>
          </w:p>
        </w:tc>
        <w:tc>
          <w:tcPr>
            <w:tcW w:w="901" w:type="dxa"/>
            <w:tcMar>
              <w:top w:w="0" w:type="dxa"/>
              <w:left w:w="108" w:type="dxa"/>
              <w:bottom w:w="0" w:type="dxa"/>
              <w:right w:w="108" w:type="dxa"/>
            </w:tcMar>
            <w:hideMark/>
          </w:tcPr>
          <w:p w14:paraId="63927BC1" w14:textId="77777777" w:rsidR="0088779E" w:rsidRPr="00D1072A" w:rsidRDefault="0088779E" w:rsidP="00730F41">
            <w:pPr>
              <w:pStyle w:val="TableText"/>
              <w:keepNext/>
              <w:rPr>
                <w:b/>
                <w:bCs/>
              </w:rPr>
            </w:pPr>
            <w:r w:rsidRPr="00D1072A">
              <w:rPr>
                <w:b/>
                <w:bCs/>
              </w:rPr>
              <w:t>Year 2</w:t>
            </w:r>
          </w:p>
        </w:tc>
        <w:tc>
          <w:tcPr>
            <w:tcW w:w="901" w:type="dxa"/>
            <w:tcMar>
              <w:top w:w="0" w:type="dxa"/>
              <w:left w:w="108" w:type="dxa"/>
              <w:bottom w:w="0" w:type="dxa"/>
              <w:right w:w="108" w:type="dxa"/>
            </w:tcMar>
            <w:hideMark/>
          </w:tcPr>
          <w:p w14:paraId="05A28298" w14:textId="77777777" w:rsidR="0088779E" w:rsidRPr="00D1072A" w:rsidRDefault="0088779E" w:rsidP="00730F41">
            <w:pPr>
              <w:pStyle w:val="TableText"/>
              <w:keepNext/>
              <w:rPr>
                <w:b/>
                <w:bCs/>
              </w:rPr>
            </w:pPr>
            <w:r w:rsidRPr="00D1072A">
              <w:rPr>
                <w:b/>
                <w:bCs/>
              </w:rPr>
              <w:t>Year 3</w:t>
            </w:r>
          </w:p>
        </w:tc>
        <w:tc>
          <w:tcPr>
            <w:tcW w:w="901" w:type="dxa"/>
            <w:tcMar>
              <w:top w:w="0" w:type="dxa"/>
              <w:left w:w="108" w:type="dxa"/>
              <w:bottom w:w="0" w:type="dxa"/>
              <w:right w:w="108" w:type="dxa"/>
            </w:tcMar>
            <w:hideMark/>
          </w:tcPr>
          <w:p w14:paraId="4678AEC6" w14:textId="77777777" w:rsidR="0088779E" w:rsidRPr="00D1072A" w:rsidRDefault="0088779E" w:rsidP="00730F41">
            <w:pPr>
              <w:pStyle w:val="TableText"/>
              <w:keepNext/>
              <w:rPr>
                <w:b/>
                <w:bCs/>
              </w:rPr>
            </w:pPr>
            <w:r w:rsidRPr="00D1072A">
              <w:rPr>
                <w:b/>
                <w:bCs/>
              </w:rPr>
              <w:t>Year 4</w:t>
            </w:r>
          </w:p>
        </w:tc>
        <w:tc>
          <w:tcPr>
            <w:tcW w:w="901" w:type="dxa"/>
            <w:tcMar>
              <w:top w:w="0" w:type="dxa"/>
              <w:left w:w="108" w:type="dxa"/>
              <w:bottom w:w="0" w:type="dxa"/>
              <w:right w:w="108" w:type="dxa"/>
            </w:tcMar>
            <w:hideMark/>
          </w:tcPr>
          <w:p w14:paraId="1ED5CC8E" w14:textId="77777777" w:rsidR="0088779E" w:rsidRPr="00D1072A" w:rsidRDefault="0088779E" w:rsidP="00730F41">
            <w:pPr>
              <w:pStyle w:val="TableText"/>
              <w:keepNext/>
              <w:rPr>
                <w:b/>
                <w:bCs/>
              </w:rPr>
            </w:pPr>
            <w:r w:rsidRPr="00D1072A">
              <w:rPr>
                <w:b/>
                <w:bCs/>
              </w:rPr>
              <w:t>Year 5</w:t>
            </w:r>
          </w:p>
        </w:tc>
        <w:tc>
          <w:tcPr>
            <w:tcW w:w="901" w:type="dxa"/>
            <w:tcMar>
              <w:top w:w="0" w:type="dxa"/>
              <w:left w:w="108" w:type="dxa"/>
              <w:bottom w:w="0" w:type="dxa"/>
              <w:right w:w="108" w:type="dxa"/>
            </w:tcMar>
            <w:hideMark/>
          </w:tcPr>
          <w:p w14:paraId="0B152946" w14:textId="77777777" w:rsidR="0088779E" w:rsidRPr="00D1072A" w:rsidRDefault="0088779E" w:rsidP="00730F41">
            <w:pPr>
              <w:pStyle w:val="TableText"/>
              <w:keepNext/>
              <w:rPr>
                <w:b/>
                <w:bCs/>
              </w:rPr>
            </w:pPr>
            <w:r w:rsidRPr="00D1072A">
              <w:rPr>
                <w:b/>
                <w:bCs/>
              </w:rPr>
              <w:t>Year 6</w:t>
            </w:r>
          </w:p>
        </w:tc>
      </w:tr>
      <w:tr w:rsidR="0088779E" w:rsidRPr="00D1072A" w14:paraId="6B3B502F" w14:textId="77777777" w:rsidTr="00A60074">
        <w:tc>
          <w:tcPr>
            <w:tcW w:w="9006" w:type="dxa"/>
            <w:gridSpan w:val="7"/>
            <w:tcMar>
              <w:top w:w="0" w:type="dxa"/>
              <w:left w:w="108" w:type="dxa"/>
              <w:bottom w:w="0" w:type="dxa"/>
              <w:right w:w="108" w:type="dxa"/>
            </w:tcMar>
            <w:hideMark/>
          </w:tcPr>
          <w:p w14:paraId="4D30FBDE" w14:textId="77777777" w:rsidR="0088779E" w:rsidRPr="00D1072A" w:rsidRDefault="0088779E" w:rsidP="00730F41">
            <w:pPr>
              <w:pStyle w:val="TableText"/>
              <w:keepNext/>
              <w:rPr>
                <w:b/>
                <w:bCs/>
              </w:rPr>
            </w:pPr>
            <w:r w:rsidRPr="00D1072A">
              <w:rPr>
                <w:b/>
                <w:bCs/>
              </w:rPr>
              <w:t>Estimated use and cost of the proposed health technology</w:t>
            </w:r>
          </w:p>
        </w:tc>
      </w:tr>
      <w:tr w:rsidR="0088779E" w:rsidRPr="00D1072A" w14:paraId="4FF98329" w14:textId="77777777" w:rsidTr="00A60074">
        <w:tc>
          <w:tcPr>
            <w:tcW w:w="3600" w:type="dxa"/>
            <w:tcMar>
              <w:top w:w="0" w:type="dxa"/>
              <w:left w:w="108" w:type="dxa"/>
              <w:bottom w:w="0" w:type="dxa"/>
              <w:right w:w="108" w:type="dxa"/>
            </w:tcMar>
            <w:hideMark/>
          </w:tcPr>
          <w:p w14:paraId="5D80016D" w14:textId="77777777" w:rsidR="0088779E" w:rsidRPr="00D1072A" w:rsidRDefault="0088779E" w:rsidP="00730F41">
            <w:pPr>
              <w:pStyle w:val="TableText"/>
              <w:keepNext/>
            </w:pPr>
            <w:r w:rsidRPr="00F841C8">
              <w:rPr>
                <w:szCs w:val="20"/>
              </w:rPr>
              <w:t xml:space="preserve">Number of people eligible for </w:t>
            </w:r>
            <w:r>
              <w:rPr>
                <w:szCs w:val="20"/>
              </w:rPr>
              <w:t>MRI</w:t>
            </w:r>
          </w:p>
        </w:tc>
        <w:tc>
          <w:tcPr>
            <w:tcW w:w="901" w:type="dxa"/>
            <w:tcMar>
              <w:top w:w="0" w:type="dxa"/>
              <w:left w:w="108" w:type="dxa"/>
              <w:bottom w:w="0" w:type="dxa"/>
              <w:right w:w="108" w:type="dxa"/>
            </w:tcMar>
            <w:vAlign w:val="center"/>
          </w:tcPr>
          <w:p w14:paraId="12C3913C" w14:textId="77777777" w:rsidR="0088779E" w:rsidRPr="00D1072A" w:rsidRDefault="0088779E" w:rsidP="00730F41">
            <w:pPr>
              <w:pStyle w:val="TableText"/>
              <w:keepNext/>
              <w:jc w:val="right"/>
            </w:pPr>
            <w:r>
              <w:rPr>
                <w:rFonts w:cs="Calibri"/>
                <w:color w:val="000000"/>
                <w:szCs w:val="20"/>
              </w:rPr>
              <w:t>2,122</w:t>
            </w:r>
          </w:p>
        </w:tc>
        <w:tc>
          <w:tcPr>
            <w:tcW w:w="901" w:type="dxa"/>
            <w:tcMar>
              <w:top w:w="0" w:type="dxa"/>
              <w:left w:w="108" w:type="dxa"/>
              <w:bottom w:w="0" w:type="dxa"/>
              <w:right w:w="108" w:type="dxa"/>
            </w:tcMar>
            <w:vAlign w:val="center"/>
          </w:tcPr>
          <w:p w14:paraId="73A76E14" w14:textId="77777777" w:rsidR="0088779E" w:rsidRPr="00D1072A" w:rsidRDefault="0088779E" w:rsidP="00730F41">
            <w:pPr>
              <w:pStyle w:val="TableText"/>
              <w:keepNext/>
              <w:jc w:val="right"/>
            </w:pPr>
            <w:r>
              <w:rPr>
                <w:rFonts w:cs="Calibri"/>
                <w:color w:val="000000"/>
                <w:szCs w:val="20"/>
              </w:rPr>
              <w:t>2,150</w:t>
            </w:r>
          </w:p>
        </w:tc>
        <w:tc>
          <w:tcPr>
            <w:tcW w:w="901" w:type="dxa"/>
            <w:tcMar>
              <w:top w:w="0" w:type="dxa"/>
              <w:left w:w="108" w:type="dxa"/>
              <w:bottom w:w="0" w:type="dxa"/>
              <w:right w:w="108" w:type="dxa"/>
            </w:tcMar>
            <w:vAlign w:val="center"/>
          </w:tcPr>
          <w:p w14:paraId="7936F9D0" w14:textId="77777777" w:rsidR="0088779E" w:rsidRPr="00D1072A" w:rsidRDefault="0088779E" w:rsidP="00730F41">
            <w:pPr>
              <w:pStyle w:val="TableText"/>
              <w:keepNext/>
              <w:jc w:val="right"/>
            </w:pPr>
            <w:r>
              <w:rPr>
                <w:rFonts w:cs="Calibri"/>
                <w:color w:val="000000"/>
                <w:szCs w:val="20"/>
              </w:rPr>
              <w:t>2,177</w:t>
            </w:r>
          </w:p>
        </w:tc>
        <w:tc>
          <w:tcPr>
            <w:tcW w:w="901" w:type="dxa"/>
            <w:tcMar>
              <w:top w:w="0" w:type="dxa"/>
              <w:left w:w="108" w:type="dxa"/>
              <w:bottom w:w="0" w:type="dxa"/>
              <w:right w:w="108" w:type="dxa"/>
            </w:tcMar>
            <w:vAlign w:val="center"/>
          </w:tcPr>
          <w:p w14:paraId="4D1A86D7" w14:textId="77777777" w:rsidR="0088779E" w:rsidRPr="00D1072A" w:rsidRDefault="0088779E" w:rsidP="00730F41">
            <w:pPr>
              <w:pStyle w:val="TableText"/>
              <w:keepNext/>
              <w:jc w:val="right"/>
            </w:pPr>
            <w:r>
              <w:rPr>
                <w:rFonts w:cs="Calibri"/>
                <w:color w:val="000000"/>
                <w:szCs w:val="20"/>
              </w:rPr>
              <w:t>2,204</w:t>
            </w:r>
          </w:p>
        </w:tc>
        <w:tc>
          <w:tcPr>
            <w:tcW w:w="901" w:type="dxa"/>
            <w:tcMar>
              <w:top w:w="0" w:type="dxa"/>
              <w:left w:w="108" w:type="dxa"/>
              <w:bottom w:w="0" w:type="dxa"/>
              <w:right w:w="108" w:type="dxa"/>
            </w:tcMar>
            <w:vAlign w:val="center"/>
          </w:tcPr>
          <w:p w14:paraId="0DB3BDB3" w14:textId="77777777" w:rsidR="0088779E" w:rsidRPr="00D1072A" w:rsidRDefault="0088779E" w:rsidP="00730F41">
            <w:pPr>
              <w:pStyle w:val="TableText"/>
              <w:keepNext/>
              <w:jc w:val="right"/>
            </w:pPr>
            <w:r>
              <w:rPr>
                <w:rFonts w:cs="Calibri"/>
                <w:color w:val="000000"/>
                <w:szCs w:val="20"/>
              </w:rPr>
              <w:t>2,229</w:t>
            </w:r>
          </w:p>
        </w:tc>
        <w:tc>
          <w:tcPr>
            <w:tcW w:w="901" w:type="dxa"/>
            <w:tcMar>
              <w:top w:w="0" w:type="dxa"/>
              <w:left w:w="108" w:type="dxa"/>
              <w:bottom w:w="0" w:type="dxa"/>
              <w:right w:w="108" w:type="dxa"/>
            </w:tcMar>
            <w:vAlign w:val="center"/>
          </w:tcPr>
          <w:p w14:paraId="43813C77" w14:textId="77777777" w:rsidR="0088779E" w:rsidRPr="00D1072A" w:rsidRDefault="0088779E" w:rsidP="00730F41">
            <w:pPr>
              <w:pStyle w:val="TableText"/>
              <w:keepNext/>
              <w:jc w:val="right"/>
            </w:pPr>
            <w:r>
              <w:rPr>
                <w:rFonts w:cs="Calibri"/>
                <w:color w:val="000000"/>
                <w:szCs w:val="20"/>
              </w:rPr>
              <w:t>2,254</w:t>
            </w:r>
          </w:p>
        </w:tc>
      </w:tr>
      <w:tr w:rsidR="0088779E" w:rsidRPr="00D1072A" w14:paraId="6CBF7B28" w14:textId="77777777" w:rsidTr="00A60074">
        <w:tc>
          <w:tcPr>
            <w:tcW w:w="3600" w:type="dxa"/>
            <w:tcMar>
              <w:top w:w="0" w:type="dxa"/>
              <w:left w:w="108" w:type="dxa"/>
              <w:bottom w:w="0" w:type="dxa"/>
              <w:right w:w="108" w:type="dxa"/>
            </w:tcMar>
            <w:hideMark/>
          </w:tcPr>
          <w:p w14:paraId="3229A53F" w14:textId="77777777" w:rsidR="0088779E" w:rsidRPr="00D1072A" w:rsidRDefault="0088779E" w:rsidP="00730F41">
            <w:pPr>
              <w:pStyle w:val="TableText"/>
              <w:keepNext/>
            </w:pPr>
            <w:r w:rsidRPr="00F841C8">
              <w:rPr>
                <w:szCs w:val="20"/>
              </w:rPr>
              <w:t xml:space="preserve">Number of people who receive </w:t>
            </w:r>
            <w:r>
              <w:rPr>
                <w:szCs w:val="20"/>
              </w:rPr>
              <w:t>MRI</w:t>
            </w:r>
          </w:p>
        </w:tc>
        <w:tc>
          <w:tcPr>
            <w:tcW w:w="901" w:type="dxa"/>
            <w:tcMar>
              <w:top w:w="0" w:type="dxa"/>
              <w:left w:w="108" w:type="dxa"/>
              <w:bottom w:w="0" w:type="dxa"/>
              <w:right w:w="108" w:type="dxa"/>
            </w:tcMar>
            <w:vAlign w:val="center"/>
          </w:tcPr>
          <w:p w14:paraId="02B52434" w14:textId="77777777" w:rsidR="0088779E" w:rsidRPr="00D1072A" w:rsidRDefault="0088779E" w:rsidP="00730F41">
            <w:pPr>
              <w:pStyle w:val="TableText"/>
              <w:keepNext/>
              <w:jc w:val="right"/>
            </w:pPr>
            <w:r>
              <w:rPr>
                <w:rFonts w:cs="Calibri"/>
                <w:color w:val="000000"/>
                <w:szCs w:val="20"/>
              </w:rPr>
              <w:t>842</w:t>
            </w:r>
          </w:p>
        </w:tc>
        <w:tc>
          <w:tcPr>
            <w:tcW w:w="901" w:type="dxa"/>
            <w:tcMar>
              <w:top w:w="0" w:type="dxa"/>
              <w:left w:w="108" w:type="dxa"/>
              <w:bottom w:w="0" w:type="dxa"/>
              <w:right w:w="108" w:type="dxa"/>
            </w:tcMar>
            <w:vAlign w:val="center"/>
          </w:tcPr>
          <w:p w14:paraId="7A3A88D9" w14:textId="77777777" w:rsidR="0088779E" w:rsidRPr="00D1072A" w:rsidRDefault="0088779E" w:rsidP="00730F41">
            <w:pPr>
              <w:pStyle w:val="TableText"/>
              <w:keepNext/>
              <w:jc w:val="right"/>
            </w:pPr>
            <w:r>
              <w:rPr>
                <w:rFonts w:cs="Calibri"/>
                <w:color w:val="000000"/>
                <w:szCs w:val="20"/>
              </w:rPr>
              <w:t>853</w:t>
            </w:r>
          </w:p>
        </w:tc>
        <w:tc>
          <w:tcPr>
            <w:tcW w:w="901" w:type="dxa"/>
            <w:tcMar>
              <w:top w:w="0" w:type="dxa"/>
              <w:left w:w="108" w:type="dxa"/>
              <w:bottom w:w="0" w:type="dxa"/>
              <w:right w:w="108" w:type="dxa"/>
            </w:tcMar>
            <w:vAlign w:val="center"/>
          </w:tcPr>
          <w:p w14:paraId="32A0E240" w14:textId="77777777" w:rsidR="0088779E" w:rsidRPr="00D1072A" w:rsidRDefault="0088779E" w:rsidP="00730F41">
            <w:pPr>
              <w:pStyle w:val="TableText"/>
              <w:keepNext/>
              <w:jc w:val="right"/>
            </w:pPr>
            <w:r>
              <w:rPr>
                <w:rFonts w:cs="Calibri"/>
                <w:color w:val="000000"/>
                <w:szCs w:val="20"/>
              </w:rPr>
              <w:t>864</w:t>
            </w:r>
          </w:p>
        </w:tc>
        <w:tc>
          <w:tcPr>
            <w:tcW w:w="901" w:type="dxa"/>
            <w:tcMar>
              <w:top w:w="0" w:type="dxa"/>
              <w:left w:w="108" w:type="dxa"/>
              <w:bottom w:w="0" w:type="dxa"/>
              <w:right w:w="108" w:type="dxa"/>
            </w:tcMar>
            <w:vAlign w:val="center"/>
          </w:tcPr>
          <w:p w14:paraId="61146D91" w14:textId="77777777" w:rsidR="0088779E" w:rsidRPr="00D1072A" w:rsidRDefault="0088779E" w:rsidP="00730F41">
            <w:pPr>
              <w:pStyle w:val="TableText"/>
              <w:keepNext/>
              <w:jc w:val="right"/>
            </w:pPr>
            <w:r>
              <w:rPr>
                <w:rFonts w:cs="Calibri"/>
                <w:color w:val="000000"/>
                <w:szCs w:val="20"/>
              </w:rPr>
              <w:t>874</w:t>
            </w:r>
          </w:p>
        </w:tc>
        <w:tc>
          <w:tcPr>
            <w:tcW w:w="901" w:type="dxa"/>
            <w:tcMar>
              <w:top w:w="0" w:type="dxa"/>
              <w:left w:w="108" w:type="dxa"/>
              <w:bottom w:w="0" w:type="dxa"/>
              <w:right w:w="108" w:type="dxa"/>
            </w:tcMar>
            <w:vAlign w:val="center"/>
          </w:tcPr>
          <w:p w14:paraId="67BC35FB" w14:textId="77777777" w:rsidR="0088779E" w:rsidRPr="00D1072A" w:rsidRDefault="0088779E" w:rsidP="00730F41">
            <w:pPr>
              <w:pStyle w:val="TableText"/>
              <w:keepNext/>
              <w:jc w:val="right"/>
            </w:pPr>
            <w:r>
              <w:rPr>
                <w:rFonts w:cs="Calibri"/>
                <w:color w:val="000000"/>
                <w:szCs w:val="20"/>
              </w:rPr>
              <w:t>884</w:t>
            </w:r>
          </w:p>
        </w:tc>
        <w:tc>
          <w:tcPr>
            <w:tcW w:w="901" w:type="dxa"/>
            <w:tcMar>
              <w:top w:w="0" w:type="dxa"/>
              <w:left w:w="108" w:type="dxa"/>
              <w:bottom w:w="0" w:type="dxa"/>
              <w:right w:w="108" w:type="dxa"/>
            </w:tcMar>
            <w:vAlign w:val="center"/>
          </w:tcPr>
          <w:p w14:paraId="3A6FC403" w14:textId="77777777" w:rsidR="0088779E" w:rsidRPr="00D1072A" w:rsidRDefault="0088779E" w:rsidP="00730F41">
            <w:pPr>
              <w:pStyle w:val="TableText"/>
              <w:keepNext/>
              <w:jc w:val="right"/>
            </w:pPr>
            <w:r>
              <w:rPr>
                <w:rFonts w:cs="Calibri"/>
                <w:color w:val="000000"/>
                <w:szCs w:val="20"/>
              </w:rPr>
              <w:t>894</w:t>
            </w:r>
          </w:p>
        </w:tc>
      </w:tr>
      <w:tr w:rsidR="000A24FC" w:rsidRPr="00633A50" w14:paraId="1B4054D7" w14:textId="77777777" w:rsidTr="004D1E84">
        <w:tc>
          <w:tcPr>
            <w:tcW w:w="3600" w:type="dxa"/>
            <w:tcMar>
              <w:top w:w="0" w:type="dxa"/>
              <w:left w:w="108" w:type="dxa"/>
              <w:bottom w:w="0" w:type="dxa"/>
              <w:right w:w="108" w:type="dxa"/>
            </w:tcMar>
          </w:tcPr>
          <w:p w14:paraId="08E4A618" w14:textId="77777777" w:rsidR="000A24FC" w:rsidRPr="00633A50" w:rsidRDefault="000A24FC" w:rsidP="00730F41">
            <w:pPr>
              <w:pStyle w:val="TableText"/>
              <w:keepNext/>
              <w:rPr>
                <w:i/>
                <w:szCs w:val="20"/>
              </w:rPr>
            </w:pPr>
            <w:r w:rsidRPr="00633A50">
              <w:rPr>
                <w:i/>
                <w:szCs w:val="20"/>
              </w:rPr>
              <w:t>PICO set 1 (for surveillance)</w:t>
            </w:r>
          </w:p>
        </w:tc>
        <w:tc>
          <w:tcPr>
            <w:tcW w:w="901" w:type="dxa"/>
            <w:tcMar>
              <w:top w:w="0" w:type="dxa"/>
              <w:left w:w="108" w:type="dxa"/>
              <w:bottom w:w="0" w:type="dxa"/>
              <w:right w:w="108" w:type="dxa"/>
            </w:tcMar>
            <w:vAlign w:val="bottom"/>
          </w:tcPr>
          <w:p w14:paraId="46C4A43C" w14:textId="77777777" w:rsidR="000A24FC" w:rsidRPr="00633A50" w:rsidRDefault="000A24FC" w:rsidP="00730F41">
            <w:pPr>
              <w:pStyle w:val="TableText"/>
              <w:keepNext/>
              <w:jc w:val="right"/>
              <w:rPr>
                <w:i/>
                <w:szCs w:val="20"/>
              </w:rPr>
            </w:pPr>
            <w:r w:rsidRPr="00633A50">
              <w:rPr>
                <w:rFonts w:cs="Calibri"/>
                <w:i/>
                <w:color w:val="000000"/>
                <w:szCs w:val="20"/>
              </w:rPr>
              <w:t>765</w:t>
            </w:r>
          </w:p>
        </w:tc>
        <w:tc>
          <w:tcPr>
            <w:tcW w:w="901" w:type="dxa"/>
            <w:tcMar>
              <w:top w:w="0" w:type="dxa"/>
              <w:left w:w="108" w:type="dxa"/>
              <w:bottom w:w="0" w:type="dxa"/>
              <w:right w:w="108" w:type="dxa"/>
            </w:tcMar>
            <w:vAlign w:val="bottom"/>
          </w:tcPr>
          <w:p w14:paraId="00DD7083" w14:textId="77777777" w:rsidR="000A24FC" w:rsidRPr="00633A50" w:rsidRDefault="000A24FC" w:rsidP="00730F41">
            <w:pPr>
              <w:pStyle w:val="TableText"/>
              <w:keepNext/>
              <w:jc w:val="right"/>
              <w:rPr>
                <w:i/>
                <w:szCs w:val="20"/>
              </w:rPr>
            </w:pPr>
            <w:r w:rsidRPr="00633A50">
              <w:rPr>
                <w:rFonts w:cs="Calibri"/>
                <w:i/>
                <w:color w:val="000000"/>
                <w:szCs w:val="20"/>
              </w:rPr>
              <w:t>775</w:t>
            </w:r>
          </w:p>
        </w:tc>
        <w:tc>
          <w:tcPr>
            <w:tcW w:w="901" w:type="dxa"/>
            <w:tcMar>
              <w:top w:w="0" w:type="dxa"/>
              <w:left w:w="108" w:type="dxa"/>
              <w:bottom w:w="0" w:type="dxa"/>
              <w:right w:w="108" w:type="dxa"/>
            </w:tcMar>
            <w:vAlign w:val="bottom"/>
          </w:tcPr>
          <w:p w14:paraId="4A31F57B" w14:textId="77777777" w:rsidR="000A24FC" w:rsidRPr="00633A50" w:rsidRDefault="000A24FC" w:rsidP="00730F41">
            <w:pPr>
              <w:pStyle w:val="TableText"/>
              <w:keepNext/>
              <w:jc w:val="right"/>
              <w:rPr>
                <w:i/>
                <w:szCs w:val="20"/>
              </w:rPr>
            </w:pPr>
            <w:r w:rsidRPr="00633A50">
              <w:rPr>
                <w:rFonts w:cs="Calibri"/>
                <w:i/>
                <w:color w:val="000000"/>
                <w:szCs w:val="20"/>
              </w:rPr>
              <w:t>785</w:t>
            </w:r>
          </w:p>
        </w:tc>
        <w:tc>
          <w:tcPr>
            <w:tcW w:w="901" w:type="dxa"/>
            <w:tcMar>
              <w:top w:w="0" w:type="dxa"/>
              <w:left w:w="108" w:type="dxa"/>
              <w:bottom w:w="0" w:type="dxa"/>
              <w:right w:w="108" w:type="dxa"/>
            </w:tcMar>
            <w:vAlign w:val="bottom"/>
          </w:tcPr>
          <w:p w14:paraId="79A349BF" w14:textId="77777777" w:rsidR="000A24FC" w:rsidRPr="00633A50" w:rsidRDefault="000A24FC" w:rsidP="00730F41">
            <w:pPr>
              <w:pStyle w:val="TableText"/>
              <w:keepNext/>
              <w:jc w:val="right"/>
              <w:rPr>
                <w:i/>
                <w:szCs w:val="20"/>
              </w:rPr>
            </w:pPr>
            <w:r w:rsidRPr="00633A50">
              <w:rPr>
                <w:rFonts w:cs="Calibri"/>
                <w:i/>
                <w:color w:val="000000"/>
                <w:szCs w:val="20"/>
              </w:rPr>
              <w:t>795</w:t>
            </w:r>
          </w:p>
        </w:tc>
        <w:tc>
          <w:tcPr>
            <w:tcW w:w="901" w:type="dxa"/>
            <w:tcMar>
              <w:top w:w="0" w:type="dxa"/>
              <w:left w:w="108" w:type="dxa"/>
              <w:bottom w:w="0" w:type="dxa"/>
              <w:right w:w="108" w:type="dxa"/>
            </w:tcMar>
            <w:vAlign w:val="bottom"/>
          </w:tcPr>
          <w:p w14:paraId="0851166E" w14:textId="77777777" w:rsidR="000A24FC" w:rsidRPr="00633A50" w:rsidRDefault="000A24FC" w:rsidP="00730F41">
            <w:pPr>
              <w:pStyle w:val="TableText"/>
              <w:keepNext/>
              <w:jc w:val="right"/>
              <w:rPr>
                <w:i/>
                <w:szCs w:val="20"/>
              </w:rPr>
            </w:pPr>
            <w:r w:rsidRPr="00633A50">
              <w:rPr>
                <w:rFonts w:cs="Calibri"/>
                <w:i/>
                <w:color w:val="000000"/>
                <w:szCs w:val="20"/>
              </w:rPr>
              <w:t>804</w:t>
            </w:r>
          </w:p>
        </w:tc>
        <w:tc>
          <w:tcPr>
            <w:tcW w:w="901" w:type="dxa"/>
            <w:tcMar>
              <w:top w:w="0" w:type="dxa"/>
              <w:left w:w="108" w:type="dxa"/>
              <w:bottom w:w="0" w:type="dxa"/>
              <w:right w:w="108" w:type="dxa"/>
            </w:tcMar>
            <w:vAlign w:val="bottom"/>
          </w:tcPr>
          <w:p w14:paraId="29D63F1F" w14:textId="77777777" w:rsidR="000A24FC" w:rsidRPr="00633A50" w:rsidRDefault="000A24FC" w:rsidP="00730F41">
            <w:pPr>
              <w:pStyle w:val="TableText"/>
              <w:keepNext/>
              <w:jc w:val="right"/>
              <w:rPr>
                <w:i/>
                <w:szCs w:val="20"/>
              </w:rPr>
            </w:pPr>
            <w:r w:rsidRPr="00633A50">
              <w:rPr>
                <w:rFonts w:cs="Calibri"/>
                <w:i/>
                <w:color w:val="000000"/>
                <w:szCs w:val="20"/>
              </w:rPr>
              <w:t>813</w:t>
            </w:r>
          </w:p>
        </w:tc>
      </w:tr>
      <w:tr w:rsidR="000A24FC" w:rsidRPr="00633A50" w14:paraId="41FC8EDB" w14:textId="77777777" w:rsidTr="004D1E84">
        <w:tc>
          <w:tcPr>
            <w:tcW w:w="3600" w:type="dxa"/>
            <w:tcMar>
              <w:top w:w="0" w:type="dxa"/>
              <w:left w:w="108" w:type="dxa"/>
              <w:bottom w:w="0" w:type="dxa"/>
              <w:right w:w="108" w:type="dxa"/>
            </w:tcMar>
          </w:tcPr>
          <w:p w14:paraId="0E038803" w14:textId="77777777" w:rsidR="000A24FC" w:rsidRPr="00A077E8" w:rsidRDefault="000A24FC" w:rsidP="00730F41">
            <w:pPr>
              <w:pStyle w:val="TableText"/>
              <w:keepNext/>
              <w:rPr>
                <w:i/>
                <w:szCs w:val="20"/>
                <w:vertAlign w:val="superscript"/>
              </w:rPr>
            </w:pPr>
            <w:r w:rsidRPr="00633A50">
              <w:rPr>
                <w:i/>
                <w:szCs w:val="20"/>
              </w:rPr>
              <w:t>PICO set 2 (for treatment monitoring)</w:t>
            </w:r>
            <w:r>
              <w:rPr>
                <w:i/>
                <w:szCs w:val="20"/>
                <w:vertAlign w:val="superscript"/>
              </w:rPr>
              <w:t>1</w:t>
            </w:r>
          </w:p>
        </w:tc>
        <w:tc>
          <w:tcPr>
            <w:tcW w:w="901" w:type="dxa"/>
            <w:tcMar>
              <w:top w:w="0" w:type="dxa"/>
              <w:left w:w="108" w:type="dxa"/>
              <w:bottom w:w="0" w:type="dxa"/>
              <w:right w:w="108" w:type="dxa"/>
            </w:tcMar>
            <w:vAlign w:val="bottom"/>
          </w:tcPr>
          <w:p w14:paraId="38858EA4" w14:textId="77777777" w:rsidR="000A24FC" w:rsidRPr="00633A50" w:rsidRDefault="000A24FC" w:rsidP="00730F41">
            <w:pPr>
              <w:pStyle w:val="TableText"/>
              <w:keepNext/>
              <w:jc w:val="right"/>
              <w:rPr>
                <w:i/>
                <w:szCs w:val="20"/>
              </w:rPr>
            </w:pPr>
            <w:r w:rsidRPr="00633A50">
              <w:rPr>
                <w:rFonts w:cs="Calibri"/>
                <w:i/>
                <w:color w:val="000000"/>
                <w:szCs w:val="20"/>
              </w:rPr>
              <w:t>77</w:t>
            </w:r>
          </w:p>
        </w:tc>
        <w:tc>
          <w:tcPr>
            <w:tcW w:w="901" w:type="dxa"/>
            <w:tcMar>
              <w:top w:w="0" w:type="dxa"/>
              <w:left w:w="108" w:type="dxa"/>
              <w:bottom w:w="0" w:type="dxa"/>
              <w:right w:w="108" w:type="dxa"/>
            </w:tcMar>
            <w:vAlign w:val="bottom"/>
          </w:tcPr>
          <w:p w14:paraId="76BE0237" w14:textId="77777777" w:rsidR="000A24FC" w:rsidRPr="00633A50" w:rsidRDefault="000A24FC" w:rsidP="00730F41">
            <w:pPr>
              <w:pStyle w:val="TableText"/>
              <w:keepNext/>
              <w:jc w:val="right"/>
              <w:rPr>
                <w:i/>
                <w:szCs w:val="20"/>
              </w:rPr>
            </w:pPr>
            <w:r w:rsidRPr="00633A50">
              <w:rPr>
                <w:rFonts w:cs="Calibri"/>
                <w:i/>
                <w:color w:val="000000"/>
                <w:szCs w:val="20"/>
              </w:rPr>
              <w:t>78</w:t>
            </w:r>
          </w:p>
        </w:tc>
        <w:tc>
          <w:tcPr>
            <w:tcW w:w="901" w:type="dxa"/>
            <w:tcMar>
              <w:top w:w="0" w:type="dxa"/>
              <w:left w:w="108" w:type="dxa"/>
              <w:bottom w:w="0" w:type="dxa"/>
              <w:right w:w="108" w:type="dxa"/>
            </w:tcMar>
            <w:vAlign w:val="bottom"/>
          </w:tcPr>
          <w:p w14:paraId="7267F39C" w14:textId="77777777" w:rsidR="000A24FC" w:rsidRPr="00633A50" w:rsidRDefault="000A24FC" w:rsidP="00730F41">
            <w:pPr>
              <w:pStyle w:val="TableText"/>
              <w:keepNext/>
              <w:jc w:val="right"/>
              <w:rPr>
                <w:i/>
                <w:szCs w:val="20"/>
              </w:rPr>
            </w:pPr>
            <w:r w:rsidRPr="00633A50">
              <w:rPr>
                <w:rFonts w:cs="Calibri"/>
                <w:i/>
                <w:color w:val="000000"/>
                <w:szCs w:val="20"/>
              </w:rPr>
              <w:t>79</w:t>
            </w:r>
          </w:p>
        </w:tc>
        <w:tc>
          <w:tcPr>
            <w:tcW w:w="901" w:type="dxa"/>
            <w:tcMar>
              <w:top w:w="0" w:type="dxa"/>
              <w:left w:w="108" w:type="dxa"/>
              <w:bottom w:w="0" w:type="dxa"/>
              <w:right w:w="108" w:type="dxa"/>
            </w:tcMar>
            <w:vAlign w:val="bottom"/>
          </w:tcPr>
          <w:p w14:paraId="18F99CCA" w14:textId="77777777" w:rsidR="000A24FC" w:rsidRPr="00633A50" w:rsidRDefault="000A24FC" w:rsidP="00730F41">
            <w:pPr>
              <w:pStyle w:val="TableText"/>
              <w:keepNext/>
              <w:jc w:val="right"/>
              <w:rPr>
                <w:i/>
                <w:szCs w:val="20"/>
              </w:rPr>
            </w:pPr>
            <w:r w:rsidRPr="00633A50">
              <w:rPr>
                <w:rFonts w:cs="Calibri"/>
                <w:i/>
                <w:color w:val="000000"/>
                <w:szCs w:val="20"/>
              </w:rPr>
              <w:t>79</w:t>
            </w:r>
          </w:p>
        </w:tc>
        <w:tc>
          <w:tcPr>
            <w:tcW w:w="901" w:type="dxa"/>
            <w:tcMar>
              <w:top w:w="0" w:type="dxa"/>
              <w:left w:w="108" w:type="dxa"/>
              <w:bottom w:w="0" w:type="dxa"/>
              <w:right w:w="108" w:type="dxa"/>
            </w:tcMar>
            <w:vAlign w:val="bottom"/>
          </w:tcPr>
          <w:p w14:paraId="3B00A143" w14:textId="77777777" w:rsidR="000A24FC" w:rsidRPr="00633A50" w:rsidRDefault="000A24FC" w:rsidP="00730F41">
            <w:pPr>
              <w:pStyle w:val="TableText"/>
              <w:keepNext/>
              <w:jc w:val="right"/>
              <w:rPr>
                <w:i/>
                <w:szCs w:val="20"/>
              </w:rPr>
            </w:pPr>
            <w:r w:rsidRPr="00633A50">
              <w:rPr>
                <w:rFonts w:cs="Calibri"/>
                <w:i/>
                <w:color w:val="000000"/>
                <w:szCs w:val="20"/>
              </w:rPr>
              <w:t>80</w:t>
            </w:r>
          </w:p>
        </w:tc>
        <w:tc>
          <w:tcPr>
            <w:tcW w:w="901" w:type="dxa"/>
            <w:tcMar>
              <w:top w:w="0" w:type="dxa"/>
              <w:left w:w="108" w:type="dxa"/>
              <w:bottom w:w="0" w:type="dxa"/>
              <w:right w:w="108" w:type="dxa"/>
            </w:tcMar>
            <w:vAlign w:val="bottom"/>
          </w:tcPr>
          <w:p w14:paraId="223763CE" w14:textId="77777777" w:rsidR="000A24FC" w:rsidRPr="00633A50" w:rsidRDefault="000A24FC" w:rsidP="00730F41">
            <w:pPr>
              <w:pStyle w:val="TableText"/>
              <w:keepNext/>
              <w:jc w:val="right"/>
              <w:rPr>
                <w:i/>
                <w:szCs w:val="20"/>
              </w:rPr>
            </w:pPr>
            <w:r w:rsidRPr="00633A50">
              <w:rPr>
                <w:rFonts w:cs="Calibri"/>
                <w:i/>
                <w:color w:val="000000"/>
                <w:szCs w:val="20"/>
              </w:rPr>
              <w:t>81</w:t>
            </w:r>
          </w:p>
        </w:tc>
      </w:tr>
      <w:tr w:rsidR="0088779E" w:rsidRPr="00D1072A" w14:paraId="06A79B63" w14:textId="77777777" w:rsidTr="00A60074">
        <w:tc>
          <w:tcPr>
            <w:tcW w:w="3600" w:type="dxa"/>
            <w:tcMar>
              <w:top w:w="0" w:type="dxa"/>
              <w:left w:w="108" w:type="dxa"/>
              <w:bottom w:w="0" w:type="dxa"/>
              <w:right w:w="108" w:type="dxa"/>
            </w:tcMar>
            <w:hideMark/>
          </w:tcPr>
          <w:p w14:paraId="11014A2B" w14:textId="77777777" w:rsidR="0088779E" w:rsidRPr="00D1072A" w:rsidRDefault="0088779E" w:rsidP="00730F41">
            <w:pPr>
              <w:pStyle w:val="TableText"/>
              <w:keepNext/>
            </w:pPr>
            <w:r w:rsidRPr="00F841C8">
              <w:rPr>
                <w:szCs w:val="20"/>
              </w:rPr>
              <w:t xml:space="preserve">Number of services of </w:t>
            </w:r>
            <w:r>
              <w:rPr>
                <w:szCs w:val="20"/>
              </w:rPr>
              <w:t>MRI with contrast agent</w:t>
            </w:r>
          </w:p>
        </w:tc>
        <w:tc>
          <w:tcPr>
            <w:tcW w:w="901" w:type="dxa"/>
            <w:tcMar>
              <w:top w:w="0" w:type="dxa"/>
              <w:left w:w="108" w:type="dxa"/>
              <w:bottom w:w="0" w:type="dxa"/>
              <w:right w:w="108" w:type="dxa"/>
            </w:tcMar>
            <w:vAlign w:val="center"/>
          </w:tcPr>
          <w:p w14:paraId="79870898" w14:textId="77777777" w:rsidR="0088779E" w:rsidRPr="00D1072A" w:rsidRDefault="0088779E" w:rsidP="00730F41">
            <w:pPr>
              <w:pStyle w:val="TableText"/>
              <w:keepNext/>
              <w:jc w:val="right"/>
            </w:pPr>
            <w:r>
              <w:rPr>
                <w:rFonts w:cs="Calibri"/>
                <w:color w:val="000000"/>
                <w:szCs w:val="20"/>
              </w:rPr>
              <w:t>758</w:t>
            </w:r>
          </w:p>
        </w:tc>
        <w:tc>
          <w:tcPr>
            <w:tcW w:w="901" w:type="dxa"/>
            <w:tcMar>
              <w:top w:w="0" w:type="dxa"/>
              <w:left w:w="108" w:type="dxa"/>
              <w:bottom w:w="0" w:type="dxa"/>
              <w:right w:w="108" w:type="dxa"/>
            </w:tcMar>
            <w:vAlign w:val="center"/>
          </w:tcPr>
          <w:p w14:paraId="4C61992B" w14:textId="77777777" w:rsidR="0088779E" w:rsidRPr="00D1072A" w:rsidRDefault="0088779E" w:rsidP="00730F41">
            <w:pPr>
              <w:pStyle w:val="TableText"/>
              <w:keepNext/>
              <w:jc w:val="right"/>
            </w:pPr>
            <w:r>
              <w:rPr>
                <w:rFonts w:cs="Calibri"/>
                <w:color w:val="000000"/>
                <w:szCs w:val="20"/>
              </w:rPr>
              <w:t>768</w:t>
            </w:r>
          </w:p>
        </w:tc>
        <w:tc>
          <w:tcPr>
            <w:tcW w:w="901" w:type="dxa"/>
            <w:tcMar>
              <w:top w:w="0" w:type="dxa"/>
              <w:left w:w="108" w:type="dxa"/>
              <w:bottom w:w="0" w:type="dxa"/>
              <w:right w:w="108" w:type="dxa"/>
            </w:tcMar>
            <w:vAlign w:val="center"/>
          </w:tcPr>
          <w:p w14:paraId="573DDA77" w14:textId="77777777" w:rsidR="0088779E" w:rsidRPr="00D1072A" w:rsidRDefault="0088779E" w:rsidP="00730F41">
            <w:pPr>
              <w:pStyle w:val="TableText"/>
              <w:keepNext/>
              <w:jc w:val="right"/>
            </w:pPr>
            <w:r>
              <w:rPr>
                <w:rFonts w:cs="Calibri"/>
                <w:color w:val="000000"/>
                <w:szCs w:val="20"/>
              </w:rPr>
              <w:t>777</w:t>
            </w:r>
          </w:p>
        </w:tc>
        <w:tc>
          <w:tcPr>
            <w:tcW w:w="901" w:type="dxa"/>
            <w:tcMar>
              <w:top w:w="0" w:type="dxa"/>
              <w:left w:w="108" w:type="dxa"/>
              <w:bottom w:w="0" w:type="dxa"/>
              <w:right w:w="108" w:type="dxa"/>
            </w:tcMar>
            <w:vAlign w:val="center"/>
          </w:tcPr>
          <w:p w14:paraId="7AF2EAE2" w14:textId="77777777" w:rsidR="0088779E" w:rsidRPr="00D1072A" w:rsidRDefault="0088779E" w:rsidP="00730F41">
            <w:pPr>
              <w:pStyle w:val="TableText"/>
              <w:keepNext/>
              <w:jc w:val="right"/>
            </w:pPr>
            <w:r>
              <w:rPr>
                <w:rFonts w:cs="Calibri"/>
                <w:color w:val="000000"/>
                <w:szCs w:val="20"/>
              </w:rPr>
              <w:t>787</w:t>
            </w:r>
          </w:p>
        </w:tc>
        <w:tc>
          <w:tcPr>
            <w:tcW w:w="901" w:type="dxa"/>
            <w:tcMar>
              <w:top w:w="0" w:type="dxa"/>
              <w:left w:w="108" w:type="dxa"/>
              <w:bottom w:w="0" w:type="dxa"/>
              <w:right w:w="108" w:type="dxa"/>
            </w:tcMar>
            <w:vAlign w:val="center"/>
          </w:tcPr>
          <w:p w14:paraId="5429D045" w14:textId="77777777" w:rsidR="0088779E" w:rsidRPr="00D1072A" w:rsidRDefault="0088779E" w:rsidP="00730F41">
            <w:pPr>
              <w:pStyle w:val="TableText"/>
              <w:keepNext/>
              <w:jc w:val="right"/>
            </w:pPr>
            <w:r>
              <w:rPr>
                <w:rFonts w:cs="Calibri"/>
                <w:color w:val="000000"/>
                <w:szCs w:val="20"/>
              </w:rPr>
              <w:t>796</w:t>
            </w:r>
          </w:p>
        </w:tc>
        <w:tc>
          <w:tcPr>
            <w:tcW w:w="901" w:type="dxa"/>
            <w:tcMar>
              <w:top w:w="0" w:type="dxa"/>
              <w:left w:w="108" w:type="dxa"/>
              <w:bottom w:w="0" w:type="dxa"/>
              <w:right w:w="108" w:type="dxa"/>
            </w:tcMar>
            <w:vAlign w:val="center"/>
          </w:tcPr>
          <w:p w14:paraId="6327BDC2" w14:textId="77777777" w:rsidR="0088779E" w:rsidRPr="00D1072A" w:rsidRDefault="0088779E" w:rsidP="00730F41">
            <w:pPr>
              <w:pStyle w:val="TableText"/>
              <w:keepNext/>
              <w:jc w:val="right"/>
            </w:pPr>
            <w:r>
              <w:rPr>
                <w:rFonts w:cs="Calibri"/>
                <w:color w:val="000000"/>
                <w:szCs w:val="20"/>
              </w:rPr>
              <w:t>805</w:t>
            </w:r>
          </w:p>
        </w:tc>
      </w:tr>
      <w:tr w:rsidR="0088779E" w:rsidRPr="00D1072A" w14:paraId="5F4023E1" w14:textId="77777777" w:rsidTr="00A60074">
        <w:tc>
          <w:tcPr>
            <w:tcW w:w="3600" w:type="dxa"/>
            <w:tcMar>
              <w:top w:w="0" w:type="dxa"/>
              <w:left w:w="108" w:type="dxa"/>
              <w:bottom w:w="0" w:type="dxa"/>
              <w:right w:w="108" w:type="dxa"/>
            </w:tcMar>
            <w:hideMark/>
          </w:tcPr>
          <w:p w14:paraId="6700EB9F" w14:textId="77777777" w:rsidR="0088779E" w:rsidRPr="00D1072A" w:rsidRDefault="0088779E" w:rsidP="00730F41">
            <w:pPr>
              <w:pStyle w:val="TableText"/>
              <w:keepNext/>
            </w:pPr>
            <w:r w:rsidRPr="00F841C8">
              <w:rPr>
                <w:szCs w:val="20"/>
              </w:rPr>
              <w:t xml:space="preserve">Cost to the </w:t>
            </w:r>
            <w:r>
              <w:rPr>
                <w:szCs w:val="20"/>
              </w:rPr>
              <w:t xml:space="preserve">MBS </w:t>
            </w:r>
            <w:r w:rsidRPr="00F841C8">
              <w:rPr>
                <w:szCs w:val="20"/>
              </w:rPr>
              <w:t>(</w:t>
            </w:r>
            <w:proofErr w:type="spellStart"/>
            <w:r w:rsidRPr="00F841C8">
              <w:rPr>
                <w:szCs w:val="20"/>
              </w:rPr>
              <w:t>copayments</w:t>
            </w:r>
            <w:proofErr w:type="spellEnd"/>
            <w:r w:rsidRPr="00F841C8">
              <w:rPr>
                <w:szCs w:val="20"/>
              </w:rPr>
              <w:t xml:space="preserve"> excluded)</w:t>
            </w:r>
          </w:p>
        </w:tc>
        <w:tc>
          <w:tcPr>
            <w:tcW w:w="901" w:type="dxa"/>
            <w:tcMar>
              <w:top w:w="0" w:type="dxa"/>
              <w:left w:w="108" w:type="dxa"/>
              <w:bottom w:w="0" w:type="dxa"/>
              <w:right w:w="108" w:type="dxa"/>
            </w:tcMar>
            <w:vAlign w:val="center"/>
          </w:tcPr>
          <w:p w14:paraId="295C179E" w14:textId="77777777" w:rsidR="0088779E" w:rsidRPr="00D1072A" w:rsidRDefault="0088779E" w:rsidP="00730F41">
            <w:pPr>
              <w:pStyle w:val="TableText"/>
              <w:keepNext/>
              <w:jc w:val="right"/>
            </w:pPr>
            <w:r>
              <w:rPr>
                <w:rFonts w:cs="Calibri"/>
                <w:color w:val="000000"/>
                <w:szCs w:val="20"/>
              </w:rPr>
              <w:t>$491,780</w:t>
            </w:r>
          </w:p>
        </w:tc>
        <w:tc>
          <w:tcPr>
            <w:tcW w:w="901" w:type="dxa"/>
            <w:tcMar>
              <w:top w:w="0" w:type="dxa"/>
              <w:left w:w="108" w:type="dxa"/>
              <w:bottom w:w="0" w:type="dxa"/>
              <w:right w:w="108" w:type="dxa"/>
            </w:tcMar>
            <w:vAlign w:val="center"/>
          </w:tcPr>
          <w:p w14:paraId="4D02CE9B" w14:textId="77777777" w:rsidR="0088779E" w:rsidRPr="00D1072A" w:rsidRDefault="0088779E" w:rsidP="00730F41">
            <w:pPr>
              <w:pStyle w:val="TableText"/>
              <w:keepNext/>
              <w:jc w:val="right"/>
            </w:pPr>
            <w:r>
              <w:rPr>
                <w:rFonts w:cs="Calibri"/>
                <w:color w:val="000000"/>
                <w:szCs w:val="20"/>
              </w:rPr>
              <w:t>$498,208</w:t>
            </w:r>
          </w:p>
        </w:tc>
        <w:tc>
          <w:tcPr>
            <w:tcW w:w="901" w:type="dxa"/>
            <w:tcMar>
              <w:top w:w="0" w:type="dxa"/>
              <w:left w:w="108" w:type="dxa"/>
              <w:bottom w:w="0" w:type="dxa"/>
              <w:right w:w="108" w:type="dxa"/>
            </w:tcMar>
            <w:vAlign w:val="center"/>
          </w:tcPr>
          <w:p w14:paraId="7FBCF1B6" w14:textId="77777777" w:rsidR="0088779E" w:rsidRPr="00D1072A" w:rsidRDefault="0088779E" w:rsidP="00730F41">
            <w:pPr>
              <w:pStyle w:val="TableText"/>
              <w:keepNext/>
              <w:jc w:val="right"/>
            </w:pPr>
            <w:r>
              <w:rPr>
                <w:rFonts w:cs="Calibri"/>
                <w:color w:val="000000"/>
                <w:szCs w:val="20"/>
              </w:rPr>
              <w:t>$504,577</w:t>
            </w:r>
          </w:p>
        </w:tc>
        <w:tc>
          <w:tcPr>
            <w:tcW w:w="901" w:type="dxa"/>
            <w:tcMar>
              <w:top w:w="0" w:type="dxa"/>
              <w:left w:w="108" w:type="dxa"/>
              <w:bottom w:w="0" w:type="dxa"/>
              <w:right w:w="108" w:type="dxa"/>
            </w:tcMar>
            <w:vAlign w:val="center"/>
          </w:tcPr>
          <w:p w14:paraId="0E91D86B" w14:textId="77777777" w:rsidR="0088779E" w:rsidRPr="00D1072A" w:rsidRDefault="0088779E" w:rsidP="00730F41">
            <w:pPr>
              <w:pStyle w:val="TableText"/>
              <w:keepNext/>
              <w:jc w:val="right"/>
            </w:pPr>
            <w:r>
              <w:rPr>
                <w:rFonts w:cs="Calibri"/>
                <w:color w:val="000000"/>
                <w:szCs w:val="20"/>
              </w:rPr>
              <w:t>$510,666</w:t>
            </w:r>
          </w:p>
        </w:tc>
        <w:tc>
          <w:tcPr>
            <w:tcW w:w="901" w:type="dxa"/>
            <w:tcMar>
              <w:top w:w="0" w:type="dxa"/>
              <w:left w:w="108" w:type="dxa"/>
              <w:bottom w:w="0" w:type="dxa"/>
              <w:right w:w="108" w:type="dxa"/>
            </w:tcMar>
            <w:vAlign w:val="center"/>
          </w:tcPr>
          <w:p w14:paraId="0C2839BF" w14:textId="77777777" w:rsidR="0088779E" w:rsidRPr="00D1072A" w:rsidRDefault="0088779E" w:rsidP="00730F41">
            <w:pPr>
              <w:pStyle w:val="TableText"/>
              <w:keepNext/>
              <w:jc w:val="right"/>
            </w:pPr>
            <w:r>
              <w:rPr>
                <w:rFonts w:cs="Calibri"/>
                <w:color w:val="000000"/>
                <w:szCs w:val="20"/>
              </w:rPr>
              <w:t>$516,457</w:t>
            </w:r>
          </w:p>
        </w:tc>
        <w:tc>
          <w:tcPr>
            <w:tcW w:w="901" w:type="dxa"/>
            <w:tcMar>
              <w:top w:w="0" w:type="dxa"/>
              <w:left w:w="108" w:type="dxa"/>
              <w:bottom w:w="0" w:type="dxa"/>
              <w:right w:w="108" w:type="dxa"/>
            </w:tcMar>
            <w:vAlign w:val="center"/>
          </w:tcPr>
          <w:p w14:paraId="7E3C02B0" w14:textId="77777777" w:rsidR="0088779E" w:rsidRPr="00D1072A" w:rsidRDefault="0088779E" w:rsidP="00730F41">
            <w:pPr>
              <w:pStyle w:val="TableText"/>
              <w:keepNext/>
              <w:jc w:val="right"/>
            </w:pPr>
            <w:r>
              <w:rPr>
                <w:rFonts w:cs="Calibri"/>
                <w:color w:val="000000"/>
                <w:szCs w:val="20"/>
              </w:rPr>
              <w:t>$522,362</w:t>
            </w:r>
          </w:p>
        </w:tc>
      </w:tr>
      <w:tr w:rsidR="0088779E" w:rsidRPr="00D1072A" w14:paraId="27164CCC" w14:textId="77777777" w:rsidTr="00A60074">
        <w:tc>
          <w:tcPr>
            <w:tcW w:w="9006" w:type="dxa"/>
            <w:gridSpan w:val="7"/>
            <w:tcMar>
              <w:top w:w="0" w:type="dxa"/>
              <w:left w:w="108" w:type="dxa"/>
              <w:bottom w:w="0" w:type="dxa"/>
              <w:right w:w="108" w:type="dxa"/>
            </w:tcMar>
            <w:hideMark/>
          </w:tcPr>
          <w:p w14:paraId="3AAD5803" w14:textId="77777777" w:rsidR="0088779E" w:rsidRPr="00D1072A" w:rsidRDefault="0088779E" w:rsidP="00730F41">
            <w:pPr>
              <w:pStyle w:val="TableText"/>
              <w:keepNext/>
              <w:rPr>
                <w:b/>
                <w:bCs/>
              </w:rPr>
            </w:pPr>
            <w:r w:rsidRPr="00D1072A">
              <w:rPr>
                <w:b/>
                <w:bCs/>
              </w:rPr>
              <w:t>Change in use and cost of other health technologies</w:t>
            </w:r>
          </w:p>
        </w:tc>
      </w:tr>
      <w:tr w:rsidR="0088779E" w:rsidRPr="00D1072A" w14:paraId="140D2EE1" w14:textId="77777777" w:rsidTr="00A60074">
        <w:tc>
          <w:tcPr>
            <w:tcW w:w="3600" w:type="dxa"/>
            <w:tcMar>
              <w:top w:w="0" w:type="dxa"/>
              <w:left w:w="108" w:type="dxa"/>
              <w:bottom w:w="0" w:type="dxa"/>
              <w:right w:w="108" w:type="dxa"/>
            </w:tcMar>
            <w:hideMark/>
          </w:tcPr>
          <w:p w14:paraId="1D8D028E" w14:textId="77777777" w:rsidR="0088779E" w:rsidRPr="0042764E" w:rsidRDefault="0088779E" w:rsidP="00730F41">
            <w:pPr>
              <w:pStyle w:val="TableText"/>
              <w:keepNext/>
              <w:rPr>
                <w:vertAlign w:val="superscript"/>
              </w:rPr>
            </w:pPr>
            <w:r w:rsidRPr="00F841C8">
              <w:rPr>
                <w:szCs w:val="20"/>
              </w:rPr>
              <w:t xml:space="preserve">Change in use of </w:t>
            </w:r>
            <w:r>
              <w:rPr>
                <w:szCs w:val="20"/>
              </w:rPr>
              <w:t>CT scan</w:t>
            </w:r>
            <w:r w:rsidR="0042764E">
              <w:rPr>
                <w:szCs w:val="20"/>
              </w:rPr>
              <w:t xml:space="preserve"> </w:t>
            </w:r>
            <w:r w:rsidR="000A24FC">
              <w:rPr>
                <w:szCs w:val="20"/>
                <w:vertAlign w:val="superscript"/>
              </w:rPr>
              <w:t>2</w:t>
            </w:r>
          </w:p>
        </w:tc>
        <w:tc>
          <w:tcPr>
            <w:tcW w:w="901" w:type="dxa"/>
            <w:tcMar>
              <w:top w:w="0" w:type="dxa"/>
              <w:left w:w="108" w:type="dxa"/>
              <w:bottom w:w="0" w:type="dxa"/>
              <w:right w:w="108" w:type="dxa"/>
            </w:tcMar>
            <w:vAlign w:val="center"/>
          </w:tcPr>
          <w:p w14:paraId="45A7D043" w14:textId="77777777" w:rsidR="0088779E" w:rsidRPr="00D1072A" w:rsidRDefault="0088779E" w:rsidP="00730F41">
            <w:pPr>
              <w:pStyle w:val="TableText"/>
              <w:keepNext/>
              <w:jc w:val="right"/>
            </w:pPr>
            <w:r>
              <w:rPr>
                <w:rFonts w:cs="Calibri"/>
                <w:color w:val="000000"/>
                <w:szCs w:val="20"/>
              </w:rPr>
              <w:t>–584</w:t>
            </w:r>
          </w:p>
        </w:tc>
        <w:tc>
          <w:tcPr>
            <w:tcW w:w="901" w:type="dxa"/>
            <w:tcMar>
              <w:top w:w="0" w:type="dxa"/>
              <w:left w:w="108" w:type="dxa"/>
              <w:bottom w:w="0" w:type="dxa"/>
              <w:right w:w="108" w:type="dxa"/>
            </w:tcMar>
            <w:vAlign w:val="center"/>
          </w:tcPr>
          <w:p w14:paraId="51ED698A" w14:textId="77777777" w:rsidR="0088779E" w:rsidRPr="00D1072A" w:rsidRDefault="0088779E" w:rsidP="00730F41">
            <w:pPr>
              <w:pStyle w:val="TableText"/>
              <w:keepNext/>
              <w:jc w:val="right"/>
            </w:pPr>
            <w:r>
              <w:rPr>
                <w:rFonts w:cs="Calibri"/>
                <w:color w:val="000000"/>
                <w:szCs w:val="20"/>
              </w:rPr>
              <w:t>–591</w:t>
            </w:r>
          </w:p>
        </w:tc>
        <w:tc>
          <w:tcPr>
            <w:tcW w:w="901" w:type="dxa"/>
            <w:tcMar>
              <w:top w:w="0" w:type="dxa"/>
              <w:left w:w="108" w:type="dxa"/>
              <w:bottom w:w="0" w:type="dxa"/>
              <w:right w:w="108" w:type="dxa"/>
            </w:tcMar>
            <w:vAlign w:val="center"/>
          </w:tcPr>
          <w:p w14:paraId="1BF6ACC0" w14:textId="77777777" w:rsidR="0088779E" w:rsidRPr="00D1072A" w:rsidRDefault="0088779E" w:rsidP="00730F41">
            <w:pPr>
              <w:pStyle w:val="TableText"/>
              <w:keepNext/>
              <w:jc w:val="right"/>
            </w:pPr>
            <w:r>
              <w:rPr>
                <w:rFonts w:cs="Calibri"/>
                <w:color w:val="000000"/>
                <w:szCs w:val="20"/>
              </w:rPr>
              <w:t>–599</w:t>
            </w:r>
          </w:p>
        </w:tc>
        <w:tc>
          <w:tcPr>
            <w:tcW w:w="901" w:type="dxa"/>
            <w:tcMar>
              <w:top w:w="0" w:type="dxa"/>
              <w:left w:w="108" w:type="dxa"/>
              <w:bottom w:w="0" w:type="dxa"/>
              <w:right w:w="108" w:type="dxa"/>
            </w:tcMar>
            <w:vAlign w:val="center"/>
          </w:tcPr>
          <w:p w14:paraId="614DFE84" w14:textId="77777777" w:rsidR="0088779E" w:rsidRPr="00D1072A" w:rsidRDefault="0088779E" w:rsidP="00730F41">
            <w:pPr>
              <w:pStyle w:val="TableText"/>
              <w:keepNext/>
              <w:jc w:val="right"/>
            </w:pPr>
            <w:r>
              <w:rPr>
                <w:rFonts w:cs="Calibri"/>
                <w:color w:val="000000"/>
                <w:szCs w:val="20"/>
              </w:rPr>
              <w:t>–606</w:t>
            </w:r>
          </w:p>
        </w:tc>
        <w:tc>
          <w:tcPr>
            <w:tcW w:w="901" w:type="dxa"/>
            <w:tcMar>
              <w:top w:w="0" w:type="dxa"/>
              <w:left w:w="108" w:type="dxa"/>
              <w:bottom w:w="0" w:type="dxa"/>
              <w:right w:w="108" w:type="dxa"/>
            </w:tcMar>
            <w:vAlign w:val="center"/>
          </w:tcPr>
          <w:p w14:paraId="0829F3B6" w14:textId="77777777" w:rsidR="0088779E" w:rsidRPr="00D1072A" w:rsidRDefault="0088779E" w:rsidP="00730F41">
            <w:pPr>
              <w:pStyle w:val="TableText"/>
              <w:keepNext/>
              <w:jc w:val="right"/>
            </w:pPr>
            <w:r>
              <w:rPr>
                <w:rFonts w:cs="Calibri"/>
                <w:color w:val="000000"/>
                <w:szCs w:val="20"/>
              </w:rPr>
              <w:t>–613</w:t>
            </w:r>
          </w:p>
        </w:tc>
        <w:tc>
          <w:tcPr>
            <w:tcW w:w="901" w:type="dxa"/>
            <w:tcMar>
              <w:top w:w="0" w:type="dxa"/>
              <w:left w:w="108" w:type="dxa"/>
              <w:bottom w:w="0" w:type="dxa"/>
              <w:right w:w="108" w:type="dxa"/>
            </w:tcMar>
            <w:vAlign w:val="center"/>
          </w:tcPr>
          <w:p w14:paraId="4C7733DB" w14:textId="77777777" w:rsidR="0088779E" w:rsidRPr="00D1072A" w:rsidRDefault="0088779E" w:rsidP="00730F41">
            <w:pPr>
              <w:pStyle w:val="TableText"/>
              <w:keepNext/>
              <w:jc w:val="right"/>
            </w:pPr>
            <w:r>
              <w:rPr>
                <w:rFonts w:cs="Calibri"/>
                <w:color w:val="000000"/>
                <w:szCs w:val="20"/>
              </w:rPr>
              <w:t>–620</w:t>
            </w:r>
          </w:p>
        </w:tc>
      </w:tr>
      <w:tr w:rsidR="000A24FC" w:rsidRPr="00633A50" w14:paraId="134B15D2" w14:textId="77777777" w:rsidTr="004D1E84">
        <w:tc>
          <w:tcPr>
            <w:tcW w:w="3600" w:type="dxa"/>
            <w:tcMar>
              <w:top w:w="0" w:type="dxa"/>
              <w:left w:w="108" w:type="dxa"/>
              <w:bottom w:w="0" w:type="dxa"/>
              <w:right w:w="108" w:type="dxa"/>
            </w:tcMar>
          </w:tcPr>
          <w:p w14:paraId="58CC2ACE" w14:textId="77777777" w:rsidR="000A24FC" w:rsidRPr="00633A50" w:rsidRDefault="000A24FC" w:rsidP="00730F41">
            <w:pPr>
              <w:pStyle w:val="TableText"/>
              <w:keepNext/>
              <w:rPr>
                <w:i/>
                <w:szCs w:val="20"/>
              </w:rPr>
            </w:pPr>
            <w:r w:rsidRPr="00633A50">
              <w:rPr>
                <w:i/>
                <w:szCs w:val="20"/>
              </w:rPr>
              <w:t>Surveillance</w:t>
            </w:r>
          </w:p>
        </w:tc>
        <w:tc>
          <w:tcPr>
            <w:tcW w:w="901" w:type="dxa"/>
            <w:tcMar>
              <w:top w:w="0" w:type="dxa"/>
              <w:left w:w="108" w:type="dxa"/>
              <w:bottom w:w="0" w:type="dxa"/>
              <w:right w:w="108" w:type="dxa"/>
            </w:tcMar>
          </w:tcPr>
          <w:p w14:paraId="2B92FC1A" w14:textId="77777777" w:rsidR="000A24FC" w:rsidRPr="00633A50" w:rsidRDefault="000A24FC" w:rsidP="00730F41">
            <w:pPr>
              <w:pStyle w:val="TableText"/>
              <w:keepNext/>
              <w:jc w:val="right"/>
              <w:rPr>
                <w:rFonts w:cs="Calibri"/>
                <w:i/>
                <w:color w:val="000000"/>
                <w:szCs w:val="20"/>
              </w:rPr>
            </w:pPr>
            <w:r>
              <w:rPr>
                <w:rFonts w:cs="Calibri"/>
                <w:color w:val="000000"/>
                <w:szCs w:val="20"/>
              </w:rPr>
              <w:t>–</w:t>
            </w:r>
            <w:r w:rsidRPr="00633A50">
              <w:rPr>
                <w:i/>
              </w:rPr>
              <w:t>531</w:t>
            </w:r>
          </w:p>
        </w:tc>
        <w:tc>
          <w:tcPr>
            <w:tcW w:w="901" w:type="dxa"/>
            <w:tcMar>
              <w:top w:w="0" w:type="dxa"/>
              <w:left w:w="108" w:type="dxa"/>
              <w:bottom w:w="0" w:type="dxa"/>
              <w:right w:w="108" w:type="dxa"/>
            </w:tcMar>
          </w:tcPr>
          <w:p w14:paraId="40DE2E10" w14:textId="77777777" w:rsidR="000A24FC" w:rsidRPr="00633A50" w:rsidRDefault="000A24FC" w:rsidP="00730F41">
            <w:pPr>
              <w:pStyle w:val="TableText"/>
              <w:keepNext/>
              <w:jc w:val="right"/>
              <w:rPr>
                <w:rFonts w:cs="Calibri"/>
                <w:i/>
                <w:color w:val="000000"/>
                <w:szCs w:val="20"/>
              </w:rPr>
            </w:pPr>
            <w:r>
              <w:rPr>
                <w:rFonts w:cs="Calibri"/>
                <w:color w:val="000000"/>
                <w:szCs w:val="20"/>
              </w:rPr>
              <w:t>–</w:t>
            </w:r>
            <w:r w:rsidRPr="00633A50">
              <w:rPr>
                <w:i/>
              </w:rPr>
              <w:t>537</w:t>
            </w:r>
          </w:p>
        </w:tc>
        <w:tc>
          <w:tcPr>
            <w:tcW w:w="901" w:type="dxa"/>
            <w:tcMar>
              <w:top w:w="0" w:type="dxa"/>
              <w:left w:w="108" w:type="dxa"/>
              <w:bottom w:w="0" w:type="dxa"/>
              <w:right w:w="108" w:type="dxa"/>
            </w:tcMar>
          </w:tcPr>
          <w:p w14:paraId="2699F3A1" w14:textId="77777777" w:rsidR="000A24FC" w:rsidRPr="00633A50" w:rsidRDefault="000A24FC" w:rsidP="00730F41">
            <w:pPr>
              <w:pStyle w:val="TableText"/>
              <w:keepNext/>
              <w:jc w:val="right"/>
              <w:rPr>
                <w:rFonts w:cs="Calibri"/>
                <w:i/>
                <w:color w:val="000000"/>
                <w:szCs w:val="20"/>
              </w:rPr>
            </w:pPr>
            <w:r>
              <w:rPr>
                <w:rFonts w:cs="Calibri"/>
                <w:color w:val="000000"/>
                <w:szCs w:val="20"/>
              </w:rPr>
              <w:t>–</w:t>
            </w:r>
            <w:r w:rsidRPr="00633A50">
              <w:rPr>
                <w:i/>
              </w:rPr>
              <w:t>544</w:t>
            </w:r>
          </w:p>
        </w:tc>
        <w:tc>
          <w:tcPr>
            <w:tcW w:w="901" w:type="dxa"/>
            <w:tcMar>
              <w:top w:w="0" w:type="dxa"/>
              <w:left w:w="108" w:type="dxa"/>
              <w:bottom w:w="0" w:type="dxa"/>
              <w:right w:w="108" w:type="dxa"/>
            </w:tcMar>
          </w:tcPr>
          <w:p w14:paraId="7B243CD4" w14:textId="77777777" w:rsidR="000A24FC" w:rsidRPr="00633A50" w:rsidRDefault="000A24FC" w:rsidP="00730F41">
            <w:pPr>
              <w:pStyle w:val="TableText"/>
              <w:keepNext/>
              <w:jc w:val="right"/>
              <w:rPr>
                <w:rFonts w:cs="Calibri"/>
                <w:i/>
                <w:color w:val="000000"/>
                <w:szCs w:val="20"/>
              </w:rPr>
            </w:pPr>
            <w:r>
              <w:rPr>
                <w:rFonts w:cs="Calibri"/>
                <w:color w:val="000000"/>
                <w:szCs w:val="20"/>
              </w:rPr>
              <w:t>–</w:t>
            </w:r>
            <w:r w:rsidRPr="00633A50">
              <w:rPr>
                <w:i/>
              </w:rPr>
              <w:t>551</w:t>
            </w:r>
          </w:p>
        </w:tc>
        <w:tc>
          <w:tcPr>
            <w:tcW w:w="901" w:type="dxa"/>
            <w:tcMar>
              <w:top w:w="0" w:type="dxa"/>
              <w:left w:w="108" w:type="dxa"/>
              <w:bottom w:w="0" w:type="dxa"/>
              <w:right w:w="108" w:type="dxa"/>
            </w:tcMar>
          </w:tcPr>
          <w:p w14:paraId="383E8CF3" w14:textId="77777777" w:rsidR="000A24FC" w:rsidRPr="00633A50" w:rsidRDefault="000A24FC" w:rsidP="00730F41">
            <w:pPr>
              <w:pStyle w:val="TableText"/>
              <w:keepNext/>
              <w:jc w:val="right"/>
              <w:rPr>
                <w:rFonts w:cs="Calibri"/>
                <w:i/>
                <w:color w:val="000000"/>
                <w:szCs w:val="20"/>
              </w:rPr>
            </w:pPr>
            <w:r>
              <w:rPr>
                <w:rFonts w:cs="Calibri"/>
                <w:color w:val="000000"/>
                <w:szCs w:val="20"/>
              </w:rPr>
              <w:t>–</w:t>
            </w:r>
            <w:r w:rsidRPr="00633A50">
              <w:rPr>
                <w:i/>
              </w:rPr>
              <w:t>557</w:t>
            </w:r>
          </w:p>
        </w:tc>
        <w:tc>
          <w:tcPr>
            <w:tcW w:w="901" w:type="dxa"/>
            <w:tcMar>
              <w:top w:w="0" w:type="dxa"/>
              <w:left w:w="108" w:type="dxa"/>
              <w:bottom w:w="0" w:type="dxa"/>
              <w:right w:w="108" w:type="dxa"/>
            </w:tcMar>
          </w:tcPr>
          <w:p w14:paraId="52B20A89" w14:textId="77777777" w:rsidR="000A24FC" w:rsidRPr="00633A50" w:rsidRDefault="000A24FC" w:rsidP="00730F41">
            <w:pPr>
              <w:pStyle w:val="TableText"/>
              <w:keepNext/>
              <w:jc w:val="right"/>
              <w:rPr>
                <w:rFonts w:cs="Calibri"/>
                <w:i/>
                <w:color w:val="000000"/>
                <w:szCs w:val="20"/>
              </w:rPr>
            </w:pPr>
            <w:r>
              <w:rPr>
                <w:rFonts w:cs="Calibri"/>
                <w:color w:val="000000"/>
                <w:szCs w:val="20"/>
              </w:rPr>
              <w:t>–</w:t>
            </w:r>
            <w:r w:rsidRPr="00633A50">
              <w:rPr>
                <w:i/>
              </w:rPr>
              <w:t>564</w:t>
            </w:r>
          </w:p>
        </w:tc>
      </w:tr>
      <w:tr w:rsidR="000A24FC" w:rsidRPr="00633A50" w14:paraId="20ADCA69" w14:textId="77777777" w:rsidTr="004D1E84">
        <w:tc>
          <w:tcPr>
            <w:tcW w:w="3600" w:type="dxa"/>
            <w:tcMar>
              <w:top w:w="0" w:type="dxa"/>
              <w:left w:w="108" w:type="dxa"/>
              <w:bottom w:w="0" w:type="dxa"/>
              <w:right w:w="108" w:type="dxa"/>
            </w:tcMar>
          </w:tcPr>
          <w:p w14:paraId="4290C9EB" w14:textId="77777777" w:rsidR="000A24FC" w:rsidRPr="00A077E8" w:rsidRDefault="000A24FC" w:rsidP="00730F41">
            <w:pPr>
              <w:pStyle w:val="TableText"/>
              <w:keepNext/>
              <w:rPr>
                <w:i/>
                <w:szCs w:val="20"/>
                <w:vertAlign w:val="superscript"/>
              </w:rPr>
            </w:pPr>
            <w:r w:rsidRPr="00633A50">
              <w:rPr>
                <w:i/>
                <w:szCs w:val="20"/>
              </w:rPr>
              <w:t>Treatment monitoring</w:t>
            </w:r>
            <w:r>
              <w:rPr>
                <w:i/>
                <w:szCs w:val="20"/>
              </w:rPr>
              <w:t xml:space="preserve"> </w:t>
            </w:r>
            <w:r>
              <w:rPr>
                <w:i/>
                <w:szCs w:val="20"/>
                <w:vertAlign w:val="superscript"/>
              </w:rPr>
              <w:t>1</w:t>
            </w:r>
          </w:p>
        </w:tc>
        <w:tc>
          <w:tcPr>
            <w:tcW w:w="901" w:type="dxa"/>
            <w:tcMar>
              <w:top w:w="0" w:type="dxa"/>
              <w:left w:w="108" w:type="dxa"/>
              <w:bottom w:w="0" w:type="dxa"/>
              <w:right w:w="108" w:type="dxa"/>
            </w:tcMar>
            <w:vAlign w:val="bottom"/>
          </w:tcPr>
          <w:p w14:paraId="479F11CA" w14:textId="77777777" w:rsidR="000A24FC" w:rsidRPr="00633A50" w:rsidRDefault="000A24FC" w:rsidP="00730F41">
            <w:pPr>
              <w:pStyle w:val="TableText"/>
              <w:keepNext/>
              <w:jc w:val="right"/>
              <w:rPr>
                <w:rFonts w:cs="Calibri"/>
                <w:i/>
                <w:color w:val="000000"/>
                <w:szCs w:val="20"/>
              </w:rPr>
            </w:pPr>
            <w:r>
              <w:rPr>
                <w:rFonts w:cs="Calibri"/>
                <w:color w:val="000000"/>
                <w:szCs w:val="20"/>
              </w:rPr>
              <w:t>–</w:t>
            </w:r>
            <w:r w:rsidRPr="00633A50">
              <w:rPr>
                <w:rFonts w:cs="Calibri"/>
                <w:i/>
                <w:color w:val="000000"/>
                <w:szCs w:val="20"/>
              </w:rPr>
              <w:t>53</w:t>
            </w:r>
          </w:p>
        </w:tc>
        <w:tc>
          <w:tcPr>
            <w:tcW w:w="901" w:type="dxa"/>
            <w:tcMar>
              <w:top w:w="0" w:type="dxa"/>
              <w:left w:w="108" w:type="dxa"/>
              <w:bottom w:w="0" w:type="dxa"/>
              <w:right w:w="108" w:type="dxa"/>
            </w:tcMar>
            <w:vAlign w:val="bottom"/>
          </w:tcPr>
          <w:p w14:paraId="3C7A4EEB" w14:textId="77777777" w:rsidR="000A24FC" w:rsidRPr="00633A50" w:rsidRDefault="000A24FC" w:rsidP="00730F41">
            <w:pPr>
              <w:pStyle w:val="TableText"/>
              <w:keepNext/>
              <w:jc w:val="right"/>
              <w:rPr>
                <w:rFonts w:cs="Calibri"/>
                <w:i/>
                <w:color w:val="000000"/>
                <w:szCs w:val="20"/>
              </w:rPr>
            </w:pPr>
            <w:r>
              <w:rPr>
                <w:rFonts w:cs="Calibri"/>
                <w:color w:val="000000"/>
                <w:szCs w:val="20"/>
              </w:rPr>
              <w:t>–</w:t>
            </w:r>
            <w:r w:rsidRPr="00633A50">
              <w:rPr>
                <w:rFonts w:cs="Calibri"/>
                <w:i/>
                <w:color w:val="000000"/>
                <w:szCs w:val="20"/>
              </w:rPr>
              <w:t>54</w:t>
            </w:r>
          </w:p>
        </w:tc>
        <w:tc>
          <w:tcPr>
            <w:tcW w:w="901" w:type="dxa"/>
            <w:tcMar>
              <w:top w:w="0" w:type="dxa"/>
              <w:left w:w="108" w:type="dxa"/>
              <w:bottom w:w="0" w:type="dxa"/>
              <w:right w:w="108" w:type="dxa"/>
            </w:tcMar>
            <w:vAlign w:val="bottom"/>
          </w:tcPr>
          <w:p w14:paraId="3B3273B9" w14:textId="77777777" w:rsidR="000A24FC" w:rsidRPr="00633A50" w:rsidRDefault="000A24FC" w:rsidP="00730F41">
            <w:pPr>
              <w:pStyle w:val="TableText"/>
              <w:keepNext/>
              <w:jc w:val="right"/>
              <w:rPr>
                <w:rFonts w:cs="Calibri"/>
                <w:i/>
                <w:color w:val="000000"/>
                <w:szCs w:val="20"/>
              </w:rPr>
            </w:pPr>
            <w:r>
              <w:rPr>
                <w:rFonts w:cs="Calibri"/>
                <w:color w:val="000000"/>
                <w:szCs w:val="20"/>
              </w:rPr>
              <w:t>–</w:t>
            </w:r>
            <w:r w:rsidRPr="00633A50">
              <w:rPr>
                <w:rFonts w:cs="Calibri"/>
                <w:i/>
                <w:color w:val="000000"/>
                <w:szCs w:val="20"/>
              </w:rPr>
              <w:t>54</w:t>
            </w:r>
          </w:p>
        </w:tc>
        <w:tc>
          <w:tcPr>
            <w:tcW w:w="901" w:type="dxa"/>
            <w:tcMar>
              <w:top w:w="0" w:type="dxa"/>
              <w:left w:w="108" w:type="dxa"/>
              <w:bottom w:w="0" w:type="dxa"/>
              <w:right w:w="108" w:type="dxa"/>
            </w:tcMar>
            <w:vAlign w:val="bottom"/>
          </w:tcPr>
          <w:p w14:paraId="198E5EB2" w14:textId="77777777" w:rsidR="000A24FC" w:rsidRPr="00633A50" w:rsidRDefault="000A24FC" w:rsidP="00730F41">
            <w:pPr>
              <w:pStyle w:val="TableText"/>
              <w:keepNext/>
              <w:jc w:val="right"/>
              <w:rPr>
                <w:rFonts w:cs="Calibri"/>
                <w:i/>
                <w:color w:val="000000"/>
                <w:szCs w:val="20"/>
              </w:rPr>
            </w:pPr>
            <w:r>
              <w:rPr>
                <w:rFonts w:cs="Calibri"/>
                <w:color w:val="000000"/>
                <w:szCs w:val="20"/>
              </w:rPr>
              <w:t>–</w:t>
            </w:r>
            <w:r w:rsidRPr="00633A50">
              <w:rPr>
                <w:rFonts w:cs="Calibri"/>
                <w:i/>
                <w:color w:val="000000"/>
                <w:szCs w:val="20"/>
              </w:rPr>
              <w:t>55</w:t>
            </w:r>
          </w:p>
        </w:tc>
        <w:tc>
          <w:tcPr>
            <w:tcW w:w="901" w:type="dxa"/>
            <w:tcMar>
              <w:top w:w="0" w:type="dxa"/>
              <w:left w:w="108" w:type="dxa"/>
              <w:bottom w:w="0" w:type="dxa"/>
              <w:right w:w="108" w:type="dxa"/>
            </w:tcMar>
            <w:vAlign w:val="bottom"/>
          </w:tcPr>
          <w:p w14:paraId="05D38804" w14:textId="77777777" w:rsidR="000A24FC" w:rsidRPr="00633A50" w:rsidRDefault="000A24FC" w:rsidP="00730F41">
            <w:pPr>
              <w:pStyle w:val="TableText"/>
              <w:keepNext/>
              <w:jc w:val="right"/>
              <w:rPr>
                <w:rFonts w:cs="Calibri"/>
                <w:i/>
                <w:color w:val="000000"/>
                <w:szCs w:val="20"/>
              </w:rPr>
            </w:pPr>
            <w:r>
              <w:rPr>
                <w:rFonts w:cs="Calibri"/>
                <w:color w:val="000000"/>
                <w:szCs w:val="20"/>
              </w:rPr>
              <w:t>–</w:t>
            </w:r>
            <w:r w:rsidRPr="00633A50">
              <w:rPr>
                <w:rFonts w:cs="Calibri"/>
                <w:i/>
                <w:color w:val="000000"/>
                <w:szCs w:val="20"/>
              </w:rPr>
              <w:t>56</w:t>
            </w:r>
          </w:p>
        </w:tc>
        <w:tc>
          <w:tcPr>
            <w:tcW w:w="901" w:type="dxa"/>
            <w:tcMar>
              <w:top w:w="0" w:type="dxa"/>
              <w:left w:w="108" w:type="dxa"/>
              <w:bottom w:w="0" w:type="dxa"/>
              <w:right w:w="108" w:type="dxa"/>
            </w:tcMar>
            <w:vAlign w:val="bottom"/>
          </w:tcPr>
          <w:p w14:paraId="1F15C185" w14:textId="77777777" w:rsidR="000A24FC" w:rsidRPr="00633A50" w:rsidRDefault="000A24FC" w:rsidP="00730F41">
            <w:pPr>
              <w:pStyle w:val="TableText"/>
              <w:keepNext/>
              <w:jc w:val="right"/>
              <w:rPr>
                <w:rFonts w:cs="Calibri"/>
                <w:i/>
                <w:color w:val="000000"/>
                <w:szCs w:val="20"/>
              </w:rPr>
            </w:pPr>
            <w:r>
              <w:rPr>
                <w:rFonts w:cs="Calibri"/>
                <w:color w:val="000000"/>
                <w:szCs w:val="20"/>
              </w:rPr>
              <w:t>–</w:t>
            </w:r>
            <w:r w:rsidRPr="00633A50">
              <w:rPr>
                <w:rFonts w:cs="Calibri"/>
                <w:i/>
                <w:color w:val="000000"/>
                <w:szCs w:val="20"/>
              </w:rPr>
              <w:t>56</w:t>
            </w:r>
          </w:p>
        </w:tc>
      </w:tr>
      <w:tr w:rsidR="0088779E" w:rsidRPr="00D1072A" w14:paraId="46DDB468" w14:textId="77777777" w:rsidTr="00A60074">
        <w:tc>
          <w:tcPr>
            <w:tcW w:w="3600" w:type="dxa"/>
            <w:tcMar>
              <w:top w:w="0" w:type="dxa"/>
              <w:left w:w="108" w:type="dxa"/>
              <w:bottom w:w="0" w:type="dxa"/>
              <w:right w:w="108" w:type="dxa"/>
            </w:tcMar>
            <w:hideMark/>
          </w:tcPr>
          <w:p w14:paraId="463ACF5F" w14:textId="77777777" w:rsidR="0088779E" w:rsidRPr="00D1072A" w:rsidRDefault="0088779E" w:rsidP="00730F41">
            <w:pPr>
              <w:pStyle w:val="TableText"/>
              <w:keepNext/>
            </w:pPr>
            <w:r w:rsidRPr="00F841C8">
              <w:rPr>
                <w:szCs w:val="20"/>
              </w:rPr>
              <w:t xml:space="preserve">Change in use of </w:t>
            </w:r>
            <w:r>
              <w:rPr>
                <w:szCs w:val="20"/>
              </w:rPr>
              <w:t>ultrasound</w:t>
            </w:r>
          </w:p>
        </w:tc>
        <w:tc>
          <w:tcPr>
            <w:tcW w:w="901" w:type="dxa"/>
            <w:tcMar>
              <w:top w:w="0" w:type="dxa"/>
              <w:left w:w="108" w:type="dxa"/>
              <w:bottom w:w="0" w:type="dxa"/>
              <w:right w:w="108" w:type="dxa"/>
            </w:tcMar>
            <w:vAlign w:val="center"/>
          </w:tcPr>
          <w:p w14:paraId="59325650" w14:textId="77777777" w:rsidR="0088779E" w:rsidRPr="00D1072A" w:rsidRDefault="0088779E" w:rsidP="00730F41">
            <w:pPr>
              <w:pStyle w:val="TableText"/>
              <w:keepNext/>
              <w:jc w:val="right"/>
            </w:pPr>
            <w:r>
              <w:rPr>
                <w:rFonts w:cs="Calibri"/>
                <w:color w:val="000000"/>
                <w:szCs w:val="20"/>
              </w:rPr>
              <w:t>0</w:t>
            </w:r>
          </w:p>
        </w:tc>
        <w:tc>
          <w:tcPr>
            <w:tcW w:w="901" w:type="dxa"/>
            <w:tcMar>
              <w:top w:w="0" w:type="dxa"/>
              <w:left w:w="108" w:type="dxa"/>
              <w:bottom w:w="0" w:type="dxa"/>
              <w:right w:w="108" w:type="dxa"/>
            </w:tcMar>
            <w:vAlign w:val="center"/>
          </w:tcPr>
          <w:p w14:paraId="7B261CFE" w14:textId="77777777" w:rsidR="0088779E" w:rsidRPr="00D1072A" w:rsidRDefault="0088779E" w:rsidP="00730F41">
            <w:pPr>
              <w:pStyle w:val="TableText"/>
              <w:keepNext/>
              <w:jc w:val="right"/>
            </w:pPr>
            <w:r>
              <w:rPr>
                <w:rFonts w:cs="Calibri"/>
                <w:color w:val="000000"/>
                <w:szCs w:val="20"/>
              </w:rPr>
              <w:t>0</w:t>
            </w:r>
          </w:p>
        </w:tc>
        <w:tc>
          <w:tcPr>
            <w:tcW w:w="901" w:type="dxa"/>
            <w:tcMar>
              <w:top w:w="0" w:type="dxa"/>
              <w:left w:w="108" w:type="dxa"/>
              <w:bottom w:w="0" w:type="dxa"/>
              <w:right w:w="108" w:type="dxa"/>
            </w:tcMar>
            <w:vAlign w:val="center"/>
          </w:tcPr>
          <w:p w14:paraId="003325A0" w14:textId="77777777" w:rsidR="0088779E" w:rsidRPr="00D1072A" w:rsidRDefault="0088779E" w:rsidP="00730F41">
            <w:pPr>
              <w:pStyle w:val="TableText"/>
              <w:keepNext/>
              <w:jc w:val="right"/>
            </w:pPr>
            <w:r>
              <w:rPr>
                <w:rFonts w:cs="Calibri"/>
                <w:color w:val="000000"/>
                <w:szCs w:val="20"/>
              </w:rPr>
              <w:t>0</w:t>
            </w:r>
          </w:p>
        </w:tc>
        <w:tc>
          <w:tcPr>
            <w:tcW w:w="901" w:type="dxa"/>
            <w:tcMar>
              <w:top w:w="0" w:type="dxa"/>
              <w:left w:w="108" w:type="dxa"/>
              <w:bottom w:w="0" w:type="dxa"/>
              <w:right w:w="108" w:type="dxa"/>
            </w:tcMar>
            <w:vAlign w:val="center"/>
          </w:tcPr>
          <w:p w14:paraId="45372D96" w14:textId="77777777" w:rsidR="0088779E" w:rsidRPr="00D1072A" w:rsidRDefault="0088779E" w:rsidP="00730F41">
            <w:pPr>
              <w:pStyle w:val="TableText"/>
              <w:keepNext/>
              <w:jc w:val="right"/>
            </w:pPr>
            <w:r>
              <w:rPr>
                <w:rFonts w:cs="Calibri"/>
                <w:color w:val="000000"/>
                <w:szCs w:val="20"/>
              </w:rPr>
              <w:t>0</w:t>
            </w:r>
          </w:p>
        </w:tc>
        <w:tc>
          <w:tcPr>
            <w:tcW w:w="901" w:type="dxa"/>
            <w:tcMar>
              <w:top w:w="0" w:type="dxa"/>
              <w:left w:w="108" w:type="dxa"/>
              <w:bottom w:w="0" w:type="dxa"/>
              <w:right w:w="108" w:type="dxa"/>
            </w:tcMar>
            <w:vAlign w:val="center"/>
          </w:tcPr>
          <w:p w14:paraId="70DCB1C0" w14:textId="77777777" w:rsidR="0088779E" w:rsidRPr="00D1072A" w:rsidRDefault="0088779E" w:rsidP="00730F41">
            <w:pPr>
              <w:pStyle w:val="TableText"/>
              <w:keepNext/>
              <w:jc w:val="right"/>
            </w:pPr>
            <w:r>
              <w:rPr>
                <w:rFonts w:cs="Calibri"/>
                <w:color w:val="000000"/>
                <w:szCs w:val="20"/>
              </w:rPr>
              <w:t>0</w:t>
            </w:r>
          </w:p>
        </w:tc>
        <w:tc>
          <w:tcPr>
            <w:tcW w:w="901" w:type="dxa"/>
            <w:tcMar>
              <w:top w:w="0" w:type="dxa"/>
              <w:left w:w="108" w:type="dxa"/>
              <w:bottom w:w="0" w:type="dxa"/>
              <w:right w:w="108" w:type="dxa"/>
            </w:tcMar>
            <w:vAlign w:val="center"/>
          </w:tcPr>
          <w:p w14:paraId="5D9C0E4E" w14:textId="77777777" w:rsidR="0088779E" w:rsidRPr="00D1072A" w:rsidRDefault="0088779E" w:rsidP="00730F41">
            <w:pPr>
              <w:pStyle w:val="TableText"/>
              <w:keepNext/>
              <w:jc w:val="right"/>
            </w:pPr>
            <w:r>
              <w:rPr>
                <w:rFonts w:cs="Calibri"/>
                <w:color w:val="000000"/>
                <w:szCs w:val="20"/>
              </w:rPr>
              <w:t>0</w:t>
            </w:r>
          </w:p>
        </w:tc>
      </w:tr>
      <w:tr w:rsidR="0088779E" w:rsidRPr="00D1072A" w14:paraId="44C4903B" w14:textId="77777777" w:rsidTr="00A60074">
        <w:tc>
          <w:tcPr>
            <w:tcW w:w="3600" w:type="dxa"/>
            <w:tcMar>
              <w:top w:w="0" w:type="dxa"/>
              <w:left w:w="108" w:type="dxa"/>
              <w:bottom w:w="0" w:type="dxa"/>
              <w:right w:w="108" w:type="dxa"/>
            </w:tcMar>
            <w:hideMark/>
          </w:tcPr>
          <w:p w14:paraId="425ECD1A" w14:textId="77777777" w:rsidR="0088779E" w:rsidRPr="00D1072A" w:rsidRDefault="0088779E" w:rsidP="00730F41">
            <w:pPr>
              <w:pStyle w:val="TableText"/>
              <w:keepNext/>
            </w:pPr>
            <w:r w:rsidRPr="00F841C8">
              <w:rPr>
                <w:szCs w:val="20"/>
              </w:rPr>
              <w:t xml:space="preserve">Net change in costs to the </w:t>
            </w:r>
            <w:r>
              <w:rPr>
                <w:szCs w:val="20"/>
              </w:rPr>
              <w:t>MBS</w:t>
            </w:r>
            <w:r w:rsidRPr="00F841C8">
              <w:rPr>
                <w:szCs w:val="20"/>
              </w:rPr>
              <w:t xml:space="preserve"> (</w:t>
            </w:r>
            <w:proofErr w:type="spellStart"/>
            <w:r w:rsidRPr="00F841C8">
              <w:rPr>
                <w:szCs w:val="20"/>
              </w:rPr>
              <w:t>copayments</w:t>
            </w:r>
            <w:proofErr w:type="spellEnd"/>
            <w:r w:rsidRPr="00F841C8">
              <w:rPr>
                <w:szCs w:val="20"/>
              </w:rPr>
              <w:t xml:space="preserve"> excluded)</w:t>
            </w:r>
          </w:p>
        </w:tc>
        <w:tc>
          <w:tcPr>
            <w:tcW w:w="901" w:type="dxa"/>
            <w:tcMar>
              <w:top w:w="0" w:type="dxa"/>
              <w:left w:w="108" w:type="dxa"/>
              <w:bottom w:w="0" w:type="dxa"/>
              <w:right w:w="108" w:type="dxa"/>
            </w:tcMar>
            <w:vAlign w:val="center"/>
          </w:tcPr>
          <w:p w14:paraId="49EF37AF" w14:textId="77777777" w:rsidR="0088779E" w:rsidRPr="00D1072A" w:rsidRDefault="0088779E" w:rsidP="00730F41">
            <w:pPr>
              <w:pStyle w:val="TableText"/>
              <w:keepNext/>
              <w:jc w:val="right"/>
            </w:pPr>
            <w:r>
              <w:rPr>
                <w:rFonts w:cs="Calibri"/>
                <w:color w:val="000000"/>
                <w:szCs w:val="20"/>
              </w:rPr>
              <w:t>$238,359</w:t>
            </w:r>
          </w:p>
        </w:tc>
        <w:tc>
          <w:tcPr>
            <w:tcW w:w="901" w:type="dxa"/>
            <w:tcMar>
              <w:top w:w="0" w:type="dxa"/>
              <w:left w:w="108" w:type="dxa"/>
              <w:bottom w:w="0" w:type="dxa"/>
              <w:right w:w="108" w:type="dxa"/>
            </w:tcMar>
            <w:vAlign w:val="center"/>
          </w:tcPr>
          <w:p w14:paraId="79381B39" w14:textId="77777777" w:rsidR="0088779E" w:rsidRPr="00D1072A" w:rsidRDefault="0088779E" w:rsidP="00730F41">
            <w:pPr>
              <w:pStyle w:val="TableText"/>
              <w:keepNext/>
              <w:jc w:val="right"/>
            </w:pPr>
            <w:r>
              <w:rPr>
                <w:rFonts w:cs="Calibri"/>
                <w:color w:val="000000"/>
                <w:szCs w:val="20"/>
              </w:rPr>
              <w:t>$241,474</w:t>
            </w:r>
          </w:p>
        </w:tc>
        <w:tc>
          <w:tcPr>
            <w:tcW w:w="901" w:type="dxa"/>
            <w:tcMar>
              <w:top w:w="0" w:type="dxa"/>
              <w:left w:w="108" w:type="dxa"/>
              <w:bottom w:w="0" w:type="dxa"/>
              <w:right w:w="108" w:type="dxa"/>
            </w:tcMar>
            <w:vAlign w:val="center"/>
          </w:tcPr>
          <w:p w14:paraId="78795410" w14:textId="77777777" w:rsidR="0088779E" w:rsidRPr="00D1072A" w:rsidRDefault="0088779E" w:rsidP="00730F41">
            <w:pPr>
              <w:pStyle w:val="TableText"/>
              <w:keepNext/>
              <w:jc w:val="right"/>
            </w:pPr>
            <w:r>
              <w:rPr>
                <w:rFonts w:cs="Calibri"/>
                <w:color w:val="000000"/>
                <w:szCs w:val="20"/>
              </w:rPr>
              <w:t>$244,561</w:t>
            </w:r>
          </w:p>
        </w:tc>
        <w:tc>
          <w:tcPr>
            <w:tcW w:w="901" w:type="dxa"/>
            <w:tcMar>
              <w:top w:w="0" w:type="dxa"/>
              <w:left w:w="108" w:type="dxa"/>
              <w:bottom w:w="0" w:type="dxa"/>
              <w:right w:w="108" w:type="dxa"/>
            </w:tcMar>
            <w:vAlign w:val="center"/>
          </w:tcPr>
          <w:p w14:paraId="619ADB7A" w14:textId="77777777" w:rsidR="0088779E" w:rsidRPr="00D1072A" w:rsidRDefault="0088779E" w:rsidP="00730F41">
            <w:pPr>
              <w:pStyle w:val="TableText"/>
              <w:keepNext/>
              <w:jc w:val="right"/>
            </w:pPr>
            <w:r>
              <w:rPr>
                <w:rFonts w:cs="Calibri"/>
                <w:color w:val="000000"/>
                <w:szCs w:val="20"/>
              </w:rPr>
              <w:t>$247,513</w:t>
            </w:r>
          </w:p>
        </w:tc>
        <w:tc>
          <w:tcPr>
            <w:tcW w:w="901" w:type="dxa"/>
            <w:tcMar>
              <w:top w:w="0" w:type="dxa"/>
              <w:left w:w="108" w:type="dxa"/>
              <w:bottom w:w="0" w:type="dxa"/>
              <w:right w:w="108" w:type="dxa"/>
            </w:tcMar>
            <w:vAlign w:val="center"/>
          </w:tcPr>
          <w:p w14:paraId="0CE2C64B" w14:textId="77777777" w:rsidR="0088779E" w:rsidRPr="00D1072A" w:rsidRDefault="0088779E" w:rsidP="00730F41">
            <w:pPr>
              <w:pStyle w:val="TableText"/>
              <w:keepNext/>
              <w:jc w:val="right"/>
            </w:pPr>
            <w:r>
              <w:rPr>
                <w:rFonts w:cs="Calibri"/>
                <w:color w:val="000000"/>
                <w:szCs w:val="20"/>
              </w:rPr>
              <w:t>$250,319</w:t>
            </w:r>
          </w:p>
        </w:tc>
        <w:tc>
          <w:tcPr>
            <w:tcW w:w="901" w:type="dxa"/>
            <w:tcMar>
              <w:top w:w="0" w:type="dxa"/>
              <w:left w:w="108" w:type="dxa"/>
              <w:bottom w:w="0" w:type="dxa"/>
              <w:right w:w="108" w:type="dxa"/>
            </w:tcMar>
            <w:vAlign w:val="center"/>
          </w:tcPr>
          <w:p w14:paraId="72DDDF18" w14:textId="77777777" w:rsidR="0088779E" w:rsidRPr="00D1072A" w:rsidRDefault="0088779E" w:rsidP="00730F41">
            <w:pPr>
              <w:pStyle w:val="TableText"/>
              <w:keepNext/>
              <w:jc w:val="right"/>
            </w:pPr>
            <w:r>
              <w:rPr>
                <w:rFonts w:cs="Calibri"/>
                <w:color w:val="000000"/>
                <w:szCs w:val="20"/>
              </w:rPr>
              <w:t>$253,181</w:t>
            </w:r>
          </w:p>
        </w:tc>
      </w:tr>
      <w:tr w:rsidR="0088779E" w:rsidRPr="00D1072A" w14:paraId="3B060259" w14:textId="77777777" w:rsidTr="00A60074">
        <w:tc>
          <w:tcPr>
            <w:tcW w:w="3600" w:type="dxa"/>
            <w:tcMar>
              <w:top w:w="0" w:type="dxa"/>
              <w:left w:w="108" w:type="dxa"/>
              <w:bottom w:w="0" w:type="dxa"/>
              <w:right w:w="108" w:type="dxa"/>
            </w:tcMar>
            <w:hideMark/>
          </w:tcPr>
          <w:p w14:paraId="43DE12A8" w14:textId="77777777" w:rsidR="0088779E" w:rsidRPr="00D1072A" w:rsidRDefault="0088779E" w:rsidP="00730F41">
            <w:pPr>
              <w:pStyle w:val="TableText"/>
              <w:keepNext/>
              <w:rPr>
                <w:b/>
                <w:bCs/>
              </w:rPr>
            </w:pPr>
            <w:r w:rsidRPr="00F841C8">
              <w:rPr>
                <w:b/>
                <w:bCs/>
                <w:szCs w:val="20"/>
              </w:rPr>
              <w:t xml:space="preserve">Net financial impact to the </w:t>
            </w:r>
            <w:r>
              <w:rPr>
                <w:b/>
                <w:bCs/>
                <w:szCs w:val="20"/>
              </w:rPr>
              <w:t>MBS</w:t>
            </w:r>
          </w:p>
        </w:tc>
        <w:tc>
          <w:tcPr>
            <w:tcW w:w="901" w:type="dxa"/>
            <w:tcMar>
              <w:top w:w="0" w:type="dxa"/>
              <w:left w:w="108" w:type="dxa"/>
              <w:bottom w:w="0" w:type="dxa"/>
              <w:right w:w="108" w:type="dxa"/>
            </w:tcMar>
            <w:vAlign w:val="center"/>
          </w:tcPr>
          <w:p w14:paraId="397E8E19" w14:textId="77777777" w:rsidR="0088779E" w:rsidRPr="00D1072A" w:rsidRDefault="0088779E" w:rsidP="00730F41">
            <w:pPr>
              <w:pStyle w:val="TableText"/>
              <w:keepNext/>
              <w:jc w:val="right"/>
              <w:rPr>
                <w:b/>
                <w:bCs/>
              </w:rPr>
            </w:pPr>
            <w:r>
              <w:rPr>
                <w:rFonts w:cs="Calibri"/>
                <w:b/>
                <w:bCs/>
                <w:color w:val="000000"/>
                <w:szCs w:val="20"/>
              </w:rPr>
              <w:t>$253,421</w:t>
            </w:r>
          </w:p>
        </w:tc>
        <w:tc>
          <w:tcPr>
            <w:tcW w:w="901" w:type="dxa"/>
            <w:tcMar>
              <w:top w:w="0" w:type="dxa"/>
              <w:left w:w="108" w:type="dxa"/>
              <w:bottom w:w="0" w:type="dxa"/>
              <w:right w:w="108" w:type="dxa"/>
            </w:tcMar>
            <w:vAlign w:val="center"/>
          </w:tcPr>
          <w:p w14:paraId="471E3178" w14:textId="77777777" w:rsidR="0088779E" w:rsidRPr="00D1072A" w:rsidRDefault="0088779E" w:rsidP="00730F41">
            <w:pPr>
              <w:pStyle w:val="TableText"/>
              <w:keepNext/>
              <w:jc w:val="right"/>
              <w:rPr>
                <w:b/>
                <w:bCs/>
              </w:rPr>
            </w:pPr>
            <w:r>
              <w:rPr>
                <w:rFonts w:cs="Calibri"/>
                <w:b/>
                <w:bCs/>
                <w:color w:val="000000"/>
                <w:szCs w:val="20"/>
              </w:rPr>
              <w:t>$256,734</w:t>
            </w:r>
          </w:p>
        </w:tc>
        <w:tc>
          <w:tcPr>
            <w:tcW w:w="901" w:type="dxa"/>
            <w:tcMar>
              <w:top w:w="0" w:type="dxa"/>
              <w:left w:w="108" w:type="dxa"/>
              <w:bottom w:w="0" w:type="dxa"/>
              <w:right w:w="108" w:type="dxa"/>
            </w:tcMar>
            <w:vAlign w:val="center"/>
          </w:tcPr>
          <w:p w14:paraId="6C5CA102" w14:textId="77777777" w:rsidR="0088779E" w:rsidRPr="00D1072A" w:rsidRDefault="0088779E" w:rsidP="00730F41">
            <w:pPr>
              <w:pStyle w:val="TableText"/>
              <w:keepNext/>
              <w:jc w:val="right"/>
              <w:rPr>
                <w:b/>
                <w:bCs/>
              </w:rPr>
            </w:pPr>
            <w:r>
              <w:rPr>
                <w:rFonts w:cs="Calibri"/>
                <w:b/>
                <w:bCs/>
                <w:color w:val="000000"/>
                <w:szCs w:val="20"/>
              </w:rPr>
              <w:t>$260,016</w:t>
            </w:r>
          </w:p>
        </w:tc>
        <w:tc>
          <w:tcPr>
            <w:tcW w:w="901" w:type="dxa"/>
            <w:tcMar>
              <w:top w:w="0" w:type="dxa"/>
              <w:left w:w="108" w:type="dxa"/>
              <w:bottom w:w="0" w:type="dxa"/>
              <w:right w:w="108" w:type="dxa"/>
            </w:tcMar>
            <w:vAlign w:val="center"/>
          </w:tcPr>
          <w:p w14:paraId="3899B074" w14:textId="77777777" w:rsidR="0088779E" w:rsidRPr="00D1072A" w:rsidRDefault="0088779E" w:rsidP="00730F41">
            <w:pPr>
              <w:pStyle w:val="TableText"/>
              <w:keepNext/>
              <w:jc w:val="right"/>
              <w:rPr>
                <w:b/>
                <w:bCs/>
              </w:rPr>
            </w:pPr>
            <w:r>
              <w:rPr>
                <w:rFonts w:cs="Calibri"/>
                <w:b/>
                <w:bCs/>
                <w:color w:val="000000"/>
                <w:szCs w:val="20"/>
              </w:rPr>
              <w:t>$263,154</w:t>
            </w:r>
          </w:p>
        </w:tc>
        <w:tc>
          <w:tcPr>
            <w:tcW w:w="901" w:type="dxa"/>
            <w:tcMar>
              <w:top w:w="0" w:type="dxa"/>
              <w:left w:w="108" w:type="dxa"/>
              <w:bottom w:w="0" w:type="dxa"/>
              <w:right w:w="108" w:type="dxa"/>
            </w:tcMar>
            <w:vAlign w:val="center"/>
          </w:tcPr>
          <w:p w14:paraId="7B132D2D" w14:textId="77777777" w:rsidR="0088779E" w:rsidRPr="00D1072A" w:rsidRDefault="0088779E" w:rsidP="00730F41">
            <w:pPr>
              <w:pStyle w:val="TableText"/>
              <w:keepNext/>
              <w:jc w:val="right"/>
              <w:rPr>
                <w:b/>
                <w:bCs/>
              </w:rPr>
            </w:pPr>
            <w:r>
              <w:rPr>
                <w:rFonts w:cs="Calibri"/>
                <w:b/>
                <w:bCs/>
                <w:color w:val="000000"/>
                <w:szCs w:val="20"/>
              </w:rPr>
              <w:t>$266,138</w:t>
            </w:r>
          </w:p>
        </w:tc>
        <w:tc>
          <w:tcPr>
            <w:tcW w:w="901" w:type="dxa"/>
            <w:tcMar>
              <w:top w:w="0" w:type="dxa"/>
              <w:left w:w="108" w:type="dxa"/>
              <w:bottom w:w="0" w:type="dxa"/>
              <w:right w:w="108" w:type="dxa"/>
            </w:tcMar>
            <w:vAlign w:val="center"/>
          </w:tcPr>
          <w:p w14:paraId="29B90BCA" w14:textId="77777777" w:rsidR="0088779E" w:rsidRPr="00D1072A" w:rsidRDefault="0088779E" w:rsidP="00730F41">
            <w:pPr>
              <w:pStyle w:val="TableText"/>
              <w:keepNext/>
              <w:jc w:val="right"/>
              <w:rPr>
                <w:b/>
                <w:bCs/>
              </w:rPr>
            </w:pPr>
            <w:r>
              <w:rPr>
                <w:rFonts w:cs="Calibri"/>
                <w:b/>
                <w:bCs/>
                <w:color w:val="000000"/>
                <w:szCs w:val="20"/>
              </w:rPr>
              <w:t>$269,181</w:t>
            </w:r>
          </w:p>
        </w:tc>
      </w:tr>
    </w:tbl>
    <w:p w14:paraId="7094F27C" w14:textId="77777777" w:rsidR="0088779E" w:rsidRDefault="0088779E" w:rsidP="00730F41">
      <w:pPr>
        <w:pStyle w:val="TableFigureFooter"/>
        <w:keepNext/>
      </w:pPr>
      <w:r>
        <w:t>CT = computed tomography; MBS = Medicare Benefits Schedule; MRI = magnetic resonance imaging</w:t>
      </w:r>
    </w:p>
    <w:p w14:paraId="1D277D4E" w14:textId="77777777" w:rsidR="000A24FC" w:rsidRPr="00A077E8" w:rsidRDefault="0042764E" w:rsidP="00730F41">
      <w:pPr>
        <w:pStyle w:val="TableFigureFooter"/>
        <w:keepNext/>
      </w:pPr>
      <w:r>
        <w:rPr>
          <w:vertAlign w:val="superscript"/>
        </w:rPr>
        <w:t xml:space="preserve">1 </w:t>
      </w:r>
      <w:r w:rsidR="000A24FC" w:rsidRPr="00737532">
        <w:t xml:space="preserve">For patients requiring MRI for the assessment of treatment response, there is a general sparseness of evidence across </w:t>
      </w:r>
      <w:proofErr w:type="gramStart"/>
      <w:r w:rsidR="000A24FC" w:rsidRPr="00737532">
        <w:t>all of</w:t>
      </w:r>
      <w:proofErr w:type="gramEnd"/>
      <w:r w:rsidR="000A24FC" w:rsidRPr="00737532">
        <w:t xml:space="preserve"> the kidney cancer syndromes. </w:t>
      </w:r>
      <w:r w:rsidR="000A24FC">
        <w:t>It was assumed that 10% of the persons undergoing surveillance imaging will have treatment monitoring.</w:t>
      </w:r>
    </w:p>
    <w:p w14:paraId="0EFECF5D" w14:textId="77777777" w:rsidR="0042764E" w:rsidRPr="009803CB" w:rsidRDefault="000A24FC" w:rsidP="00730F41">
      <w:pPr>
        <w:pStyle w:val="TableFigureFooter"/>
        <w:keepNext/>
      </w:pPr>
      <w:r>
        <w:rPr>
          <w:vertAlign w:val="superscript"/>
        </w:rPr>
        <w:t xml:space="preserve">2 </w:t>
      </w:r>
      <w:r w:rsidR="0042764E">
        <w:t>Due to the radiation exposure associated with the CT scan, base case analysis assumes that the annualised usage of surveillance with CT scan is lower in the current practice than recommended</w:t>
      </w:r>
      <w:r w:rsidR="00E70E1F">
        <w:t xml:space="preserve"> </w:t>
      </w:r>
      <w:r w:rsidR="000B611D">
        <w:t>in</w:t>
      </w:r>
      <w:r w:rsidR="00E70E1F">
        <w:t xml:space="preserve"> the clinical guidelines</w:t>
      </w:r>
      <w:r w:rsidR="00DA3988">
        <w:t xml:space="preserve"> such as </w:t>
      </w:r>
      <w:proofErr w:type="spellStart"/>
      <w:r w:rsidR="00DA3988">
        <w:t>EviQ</w:t>
      </w:r>
      <w:proofErr w:type="spellEnd"/>
      <w:r w:rsidR="00870C39">
        <w:t xml:space="preserve"> (</w:t>
      </w:r>
      <w:hyperlink r:id="rId11" w:history="1">
        <w:r w:rsidR="00870C39" w:rsidRPr="00782776">
          <w:rPr>
            <w:rStyle w:val="Hyperlink"/>
            <w:rFonts w:cs="Arial"/>
          </w:rPr>
          <w:t>https://www.eviq.org.au/</w:t>
        </w:r>
      </w:hyperlink>
      <w:r w:rsidR="00870C39">
        <w:t>)</w:t>
      </w:r>
      <w:r w:rsidR="0042764E">
        <w:t>.</w:t>
      </w:r>
    </w:p>
    <w:p w14:paraId="6065D4D6" w14:textId="77777777" w:rsidR="002A657A" w:rsidRDefault="002A657A" w:rsidP="00841672">
      <w:r>
        <w:t>The applicant’s pre-ESC response requested clarification regarding why</w:t>
      </w:r>
      <w:r w:rsidR="00841672">
        <w:t xml:space="preserve"> in Table 15</w:t>
      </w:r>
      <w:r>
        <w:t xml:space="preserve"> </w:t>
      </w:r>
      <w:r w:rsidR="00841672">
        <w:t>the reduction in the number of CT</w:t>
      </w:r>
      <w:r w:rsidR="00C46A09">
        <w:t xml:space="preserve"> scan</w:t>
      </w:r>
      <w:r w:rsidR="00841672">
        <w:t>s performed is lower than the estimated number of MRI</w:t>
      </w:r>
      <w:r w:rsidR="00C46A09">
        <w:t xml:space="preserve"> scan</w:t>
      </w:r>
      <w:r w:rsidR="00841672">
        <w:t xml:space="preserve">s that would be performed under this item number (for example, 584 vs 842 in year 1). The rejoinder clarified that this was because the DCAR assumed that due to the radiation exposure associated with CT scans, the annual usage of surveillance with CT scan would likely be lower than the current practice recommended in clinical guidelines such as </w:t>
      </w:r>
      <w:proofErr w:type="spellStart"/>
      <w:r w:rsidR="00841672">
        <w:t>EviQ</w:t>
      </w:r>
      <w:proofErr w:type="spellEnd"/>
      <w:r w:rsidR="00841672">
        <w:t xml:space="preserve"> because of concerns about the potential lifetime accumulation of</w:t>
      </w:r>
      <w:r w:rsidR="00841672" w:rsidRPr="00841672">
        <w:t xml:space="preserve"> </w:t>
      </w:r>
      <w:r w:rsidR="00841672">
        <w:t xml:space="preserve">radiation. </w:t>
      </w:r>
      <w:proofErr w:type="gramStart"/>
      <w:r w:rsidR="00841672">
        <w:t>Therefore</w:t>
      </w:r>
      <w:proofErr w:type="gramEnd"/>
      <w:r w:rsidR="00841672">
        <w:t xml:space="preserve"> the DCAR does not assume a direct 1:1 relationship between the number of people who could access the proposed items and the number of people who currently receive CT surveillance scans, but that a proportion of the people who will access the MRI items will have been accessing CT scans in the past, and in this case, these CT scans will be replaced by MRI into the future. </w:t>
      </w:r>
    </w:p>
    <w:p w14:paraId="3DA2FC78" w14:textId="1A268BA1" w:rsidR="0088779E" w:rsidRDefault="0088779E" w:rsidP="0088779E">
      <w:r>
        <w:t>S</w:t>
      </w:r>
      <w:r w:rsidRPr="00ED7E3A">
        <w:t xml:space="preserve">ensitivity analyses </w:t>
      </w:r>
      <w:r>
        <w:t xml:space="preserve">were performed </w:t>
      </w:r>
      <w:r w:rsidRPr="00ED7E3A">
        <w:t>to test the impact of the uncertainties</w:t>
      </w:r>
      <w:r w:rsidR="00C55CBC">
        <w:t xml:space="preserve"> (Table </w:t>
      </w:r>
      <w:r w:rsidR="00387E2B">
        <w:t>15</w:t>
      </w:r>
      <w:r w:rsidR="00C55CBC">
        <w:t>)</w:t>
      </w:r>
      <w:r w:rsidRPr="00ED7E3A">
        <w:t xml:space="preserve">. Results </w:t>
      </w:r>
      <w:r>
        <w:t>were</w:t>
      </w:r>
      <w:r w:rsidRPr="00ED7E3A">
        <w:t xml:space="preserve"> sensitive to the annual </w:t>
      </w:r>
      <w:r>
        <w:t>usage</w:t>
      </w:r>
      <w:r w:rsidRPr="00ED7E3A">
        <w:t xml:space="preserve">; higher </w:t>
      </w:r>
      <w:r w:rsidR="00EB2514">
        <w:t>usage value</w:t>
      </w:r>
      <w:r w:rsidRPr="00ED7E3A">
        <w:t xml:space="preserve"> resulting in higher costs to the MBS.</w:t>
      </w:r>
    </w:p>
    <w:p w14:paraId="30BC628F" w14:textId="53C76DCA" w:rsidR="00C55CBC" w:rsidRDefault="00C55CBC" w:rsidP="00EE7A08">
      <w:pPr>
        <w:pStyle w:val="TableHeading0"/>
      </w:pPr>
      <w:r w:rsidRPr="00D46063">
        <w:t>Table</w:t>
      </w:r>
      <w:r>
        <w:t xml:space="preserve"> </w:t>
      </w:r>
      <w:r w:rsidR="00387E2B">
        <w:t>15</w:t>
      </w:r>
      <w:r w:rsidRPr="00D46063">
        <w:tab/>
      </w:r>
      <w:r>
        <w:t>Sensitivity analysis</w:t>
      </w:r>
    </w:p>
    <w:tbl>
      <w:tblPr>
        <w:tblStyle w:val="HealthConsult4"/>
        <w:tblW w:w="9365" w:type="dxa"/>
        <w:tblLook w:val="04A0" w:firstRow="1" w:lastRow="0" w:firstColumn="1" w:lastColumn="0" w:noHBand="0" w:noVBand="1"/>
      </w:tblPr>
      <w:tblGrid>
        <w:gridCol w:w="3527"/>
        <w:gridCol w:w="973"/>
        <w:gridCol w:w="972"/>
        <w:gridCol w:w="972"/>
        <w:gridCol w:w="972"/>
        <w:gridCol w:w="972"/>
        <w:gridCol w:w="977"/>
      </w:tblGrid>
      <w:tr w:rsidR="00C55CBC" w:rsidRPr="00EC1C0A" w14:paraId="36277645" w14:textId="77777777" w:rsidTr="008B34D8">
        <w:trPr>
          <w:trHeight w:val="300"/>
          <w:tblHeader/>
        </w:trPr>
        <w:tc>
          <w:tcPr>
            <w:tcW w:w="3527" w:type="dxa"/>
            <w:noWrap/>
            <w:hideMark/>
          </w:tcPr>
          <w:p w14:paraId="461DCF0E" w14:textId="77777777" w:rsidR="00C55CBC" w:rsidRPr="00EC1C0A" w:rsidRDefault="00C55CBC" w:rsidP="008B34D8">
            <w:pPr>
              <w:spacing w:before="0"/>
              <w:rPr>
                <w:rFonts w:ascii="Arial Narrow" w:hAnsi="Arial Narrow"/>
                <w:sz w:val="20"/>
                <w:szCs w:val="20"/>
                <w:lang w:eastAsia="en-AU"/>
              </w:rPr>
            </w:pPr>
          </w:p>
        </w:tc>
        <w:tc>
          <w:tcPr>
            <w:tcW w:w="973" w:type="dxa"/>
            <w:noWrap/>
            <w:hideMark/>
          </w:tcPr>
          <w:p w14:paraId="009D3464" w14:textId="77777777" w:rsidR="00C55CBC" w:rsidRPr="00EC1C0A" w:rsidRDefault="00C55CBC" w:rsidP="008B34D8">
            <w:pPr>
              <w:spacing w:before="0"/>
              <w:jc w:val="right"/>
              <w:rPr>
                <w:rFonts w:ascii="Arial Narrow" w:hAnsi="Arial Narrow" w:cs="Calibri"/>
                <w:b/>
                <w:bCs/>
                <w:color w:val="000000"/>
                <w:sz w:val="20"/>
                <w:szCs w:val="20"/>
                <w:lang w:eastAsia="en-AU"/>
              </w:rPr>
            </w:pPr>
            <w:r w:rsidRPr="00EC1C0A">
              <w:rPr>
                <w:rFonts w:ascii="Arial Narrow" w:hAnsi="Arial Narrow" w:cs="Calibri"/>
                <w:b/>
                <w:bCs/>
                <w:color w:val="000000"/>
                <w:sz w:val="20"/>
                <w:szCs w:val="20"/>
                <w:lang w:eastAsia="en-AU"/>
              </w:rPr>
              <w:t>2023</w:t>
            </w:r>
          </w:p>
        </w:tc>
        <w:tc>
          <w:tcPr>
            <w:tcW w:w="972" w:type="dxa"/>
            <w:noWrap/>
            <w:hideMark/>
          </w:tcPr>
          <w:p w14:paraId="29EF8DD0" w14:textId="77777777" w:rsidR="00C55CBC" w:rsidRPr="00EC1C0A" w:rsidRDefault="00C55CBC" w:rsidP="008B34D8">
            <w:pPr>
              <w:spacing w:before="0"/>
              <w:jc w:val="right"/>
              <w:rPr>
                <w:rFonts w:ascii="Arial Narrow" w:hAnsi="Arial Narrow" w:cs="Calibri"/>
                <w:b/>
                <w:bCs/>
                <w:color w:val="000000"/>
                <w:sz w:val="20"/>
                <w:szCs w:val="20"/>
                <w:lang w:eastAsia="en-AU"/>
              </w:rPr>
            </w:pPr>
            <w:r w:rsidRPr="00EC1C0A">
              <w:rPr>
                <w:rFonts w:ascii="Arial Narrow" w:hAnsi="Arial Narrow" w:cs="Calibri"/>
                <w:b/>
                <w:bCs/>
                <w:color w:val="000000"/>
                <w:sz w:val="20"/>
                <w:szCs w:val="20"/>
                <w:lang w:eastAsia="en-AU"/>
              </w:rPr>
              <w:t>2024</w:t>
            </w:r>
          </w:p>
        </w:tc>
        <w:tc>
          <w:tcPr>
            <w:tcW w:w="972" w:type="dxa"/>
            <w:noWrap/>
            <w:hideMark/>
          </w:tcPr>
          <w:p w14:paraId="662021DA" w14:textId="77777777" w:rsidR="00C55CBC" w:rsidRPr="00EC1C0A" w:rsidRDefault="00C55CBC" w:rsidP="008B34D8">
            <w:pPr>
              <w:spacing w:before="0"/>
              <w:jc w:val="right"/>
              <w:rPr>
                <w:rFonts w:ascii="Arial Narrow" w:hAnsi="Arial Narrow" w:cs="Calibri"/>
                <w:b/>
                <w:bCs/>
                <w:color w:val="000000"/>
                <w:sz w:val="20"/>
                <w:szCs w:val="20"/>
                <w:lang w:eastAsia="en-AU"/>
              </w:rPr>
            </w:pPr>
            <w:r w:rsidRPr="00EC1C0A">
              <w:rPr>
                <w:rFonts w:ascii="Arial Narrow" w:hAnsi="Arial Narrow" w:cs="Calibri"/>
                <w:b/>
                <w:bCs/>
                <w:color w:val="000000"/>
                <w:sz w:val="20"/>
                <w:szCs w:val="20"/>
                <w:lang w:eastAsia="en-AU"/>
              </w:rPr>
              <w:t>2025</w:t>
            </w:r>
          </w:p>
        </w:tc>
        <w:tc>
          <w:tcPr>
            <w:tcW w:w="972" w:type="dxa"/>
            <w:noWrap/>
            <w:hideMark/>
          </w:tcPr>
          <w:p w14:paraId="79BFA3DC" w14:textId="77777777" w:rsidR="00C55CBC" w:rsidRPr="00EC1C0A" w:rsidRDefault="00C55CBC" w:rsidP="008B34D8">
            <w:pPr>
              <w:spacing w:before="0"/>
              <w:jc w:val="right"/>
              <w:rPr>
                <w:rFonts w:ascii="Arial Narrow" w:hAnsi="Arial Narrow" w:cs="Calibri"/>
                <w:b/>
                <w:bCs/>
                <w:color w:val="000000"/>
                <w:sz w:val="20"/>
                <w:szCs w:val="20"/>
                <w:lang w:eastAsia="en-AU"/>
              </w:rPr>
            </w:pPr>
            <w:r w:rsidRPr="00EC1C0A">
              <w:rPr>
                <w:rFonts w:ascii="Arial Narrow" w:hAnsi="Arial Narrow" w:cs="Calibri"/>
                <w:b/>
                <w:bCs/>
                <w:color w:val="000000"/>
                <w:sz w:val="20"/>
                <w:szCs w:val="20"/>
                <w:lang w:eastAsia="en-AU"/>
              </w:rPr>
              <w:t>2026</w:t>
            </w:r>
          </w:p>
        </w:tc>
        <w:tc>
          <w:tcPr>
            <w:tcW w:w="972" w:type="dxa"/>
            <w:noWrap/>
            <w:hideMark/>
          </w:tcPr>
          <w:p w14:paraId="47FE3A97" w14:textId="77777777" w:rsidR="00C55CBC" w:rsidRPr="00EC1C0A" w:rsidRDefault="00C55CBC" w:rsidP="008B34D8">
            <w:pPr>
              <w:spacing w:before="0"/>
              <w:jc w:val="right"/>
              <w:rPr>
                <w:rFonts w:ascii="Arial Narrow" w:hAnsi="Arial Narrow" w:cs="Calibri"/>
                <w:b/>
                <w:bCs/>
                <w:color w:val="000000"/>
                <w:sz w:val="20"/>
                <w:szCs w:val="20"/>
                <w:lang w:eastAsia="en-AU"/>
              </w:rPr>
            </w:pPr>
            <w:r w:rsidRPr="00EC1C0A">
              <w:rPr>
                <w:rFonts w:ascii="Arial Narrow" w:hAnsi="Arial Narrow" w:cs="Calibri"/>
                <w:b/>
                <w:bCs/>
                <w:color w:val="000000"/>
                <w:sz w:val="20"/>
                <w:szCs w:val="20"/>
                <w:lang w:eastAsia="en-AU"/>
              </w:rPr>
              <w:t>2027</w:t>
            </w:r>
          </w:p>
        </w:tc>
        <w:tc>
          <w:tcPr>
            <w:tcW w:w="977" w:type="dxa"/>
            <w:noWrap/>
            <w:hideMark/>
          </w:tcPr>
          <w:p w14:paraId="7F1A7C82" w14:textId="77777777" w:rsidR="00C55CBC" w:rsidRPr="00EC1C0A" w:rsidRDefault="00C55CBC" w:rsidP="008B34D8">
            <w:pPr>
              <w:spacing w:before="0"/>
              <w:jc w:val="right"/>
              <w:rPr>
                <w:rFonts w:ascii="Arial Narrow" w:hAnsi="Arial Narrow" w:cs="Calibri"/>
                <w:b/>
                <w:bCs/>
                <w:color w:val="000000"/>
                <w:sz w:val="20"/>
                <w:szCs w:val="20"/>
                <w:lang w:eastAsia="en-AU"/>
              </w:rPr>
            </w:pPr>
            <w:r w:rsidRPr="00EC1C0A">
              <w:rPr>
                <w:rFonts w:ascii="Arial Narrow" w:hAnsi="Arial Narrow" w:cs="Calibri"/>
                <w:b/>
                <w:bCs/>
                <w:color w:val="000000"/>
                <w:sz w:val="20"/>
                <w:szCs w:val="20"/>
                <w:lang w:eastAsia="en-AU"/>
              </w:rPr>
              <w:t>2028</w:t>
            </w:r>
          </w:p>
        </w:tc>
      </w:tr>
      <w:tr w:rsidR="00C55CBC" w:rsidRPr="00EC1C0A" w14:paraId="096F8AC0" w14:textId="77777777" w:rsidTr="008B34D8">
        <w:trPr>
          <w:trHeight w:val="300"/>
          <w:tblHeader/>
        </w:trPr>
        <w:tc>
          <w:tcPr>
            <w:tcW w:w="3527" w:type="dxa"/>
            <w:noWrap/>
            <w:hideMark/>
          </w:tcPr>
          <w:p w14:paraId="22F11666" w14:textId="77777777" w:rsidR="00C55CBC" w:rsidRPr="00EC1C0A" w:rsidRDefault="00C55CBC" w:rsidP="008B34D8">
            <w:pPr>
              <w:spacing w:before="0"/>
              <w:rPr>
                <w:rFonts w:ascii="Arial Narrow" w:hAnsi="Arial Narrow" w:cs="Calibri"/>
                <w:b/>
                <w:bCs/>
                <w:color w:val="000000"/>
                <w:sz w:val="20"/>
                <w:szCs w:val="20"/>
                <w:lang w:eastAsia="en-AU"/>
              </w:rPr>
            </w:pPr>
            <w:r w:rsidRPr="00EC1C0A">
              <w:rPr>
                <w:rFonts w:ascii="Arial Narrow" w:hAnsi="Arial Narrow" w:cs="Calibri"/>
                <w:b/>
                <w:bCs/>
                <w:color w:val="000000"/>
                <w:sz w:val="20"/>
                <w:szCs w:val="20"/>
                <w:lang w:eastAsia="en-AU"/>
              </w:rPr>
              <w:t>Base case</w:t>
            </w:r>
          </w:p>
        </w:tc>
        <w:tc>
          <w:tcPr>
            <w:tcW w:w="973" w:type="dxa"/>
            <w:noWrap/>
            <w:hideMark/>
          </w:tcPr>
          <w:p w14:paraId="15F51F06" w14:textId="77777777" w:rsidR="00C55CBC" w:rsidRPr="00EC1C0A" w:rsidRDefault="00C55CBC" w:rsidP="008B34D8">
            <w:pPr>
              <w:spacing w:before="0"/>
              <w:rPr>
                <w:rFonts w:ascii="Arial Narrow" w:hAnsi="Arial Narrow" w:cs="Calibri"/>
                <w:b/>
                <w:bCs/>
                <w:color w:val="000000"/>
                <w:sz w:val="20"/>
                <w:szCs w:val="20"/>
                <w:lang w:eastAsia="en-AU"/>
              </w:rPr>
            </w:pPr>
          </w:p>
        </w:tc>
        <w:tc>
          <w:tcPr>
            <w:tcW w:w="972" w:type="dxa"/>
            <w:noWrap/>
            <w:hideMark/>
          </w:tcPr>
          <w:p w14:paraId="77B3E618" w14:textId="77777777" w:rsidR="00C55CBC" w:rsidRPr="00EC1C0A" w:rsidRDefault="00C55CBC" w:rsidP="008B34D8">
            <w:pPr>
              <w:spacing w:before="0"/>
              <w:rPr>
                <w:rFonts w:ascii="Arial Narrow" w:hAnsi="Arial Narrow"/>
                <w:sz w:val="20"/>
                <w:szCs w:val="20"/>
                <w:lang w:eastAsia="en-AU"/>
              </w:rPr>
            </w:pPr>
          </w:p>
        </w:tc>
        <w:tc>
          <w:tcPr>
            <w:tcW w:w="972" w:type="dxa"/>
            <w:noWrap/>
            <w:hideMark/>
          </w:tcPr>
          <w:p w14:paraId="4B8F1A68" w14:textId="77777777" w:rsidR="00C55CBC" w:rsidRPr="00EC1C0A" w:rsidRDefault="00C55CBC" w:rsidP="008B34D8">
            <w:pPr>
              <w:spacing w:before="0"/>
              <w:rPr>
                <w:rFonts w:ascii="Arial Narrow" w:hAnsi="Arial Narrow"/>
                <w:sz w:val="20"/>
                <w:szCs w:val="20"/>
                <w:lang w:eastAsia="en-AU"/>
              </w:rPr>
            </w:pPr>
          </w:p>
        </w:tc>
        <w:tc>
          <w:tcPr>
            <w:tcW w:w="972" w:type="dxa"/>
            <w:noWrap/>
            <w:hideMark/>
          </w:tcPr>
          <w:p w14:paraId="4BF4F301" w14:textId="77777777" w:rsidR="00C55CBC" w:rsidRPr="00EC1C0A" w:rsidRDefault="00C55CBC" w:rsidP="008B34D8">
            <w:pPr>
              <w:spacing w:before="0"/>
              <w:rPr>
                <w:rFonts w:ascii="Arial Narrow" w:hAnsi="Arial Narrow"/>
                <w:sz w:val="20"/>
                <w:szCs w:val="20"/>
                <w:lang w:eastAsia="en-AU"/>
              </w:rPr>
            </w:pPr>
          </w:p>
        </w:tc>
        <w:tc>
          <w:tcPr>
            <w:tcW w:w="972" w:type="dxa"/>
            <w:noWrap/>
            <w:hideMark/>
          </w:tcPr>
          <w:p w14:paraId="0F1B446F" w14:textId="77777777" w:rsidR="00C55CBC" w:rsidRPr="00EC1C0A" w:rsidRDefault="00C55CBC" w:rsidP="008B34D8">
            <w:pPr>
              <w:spacing w:before="0"/>
              <w:rPr>
                <w:rFonts w:ascii="Arial Narrow" w:hAnsi="Arial Narrow"/>
                <w:sz w:val="20"/>
                <w:szCs w:val="20"/>
                <w:lang w:eastAsia="en-AU"/>
              </w:rPr>
            </w:pPr>
          </w:p>
        </w:tc>
        <w:tc>
          <w:tcPr>
            <w:tcW w:w="977" w:type="dxa"/>
            <w:noWrap/>
            <w:hideMark/>
          </w:tcPr>
          <w:p w14:paraId="241D0C59" w14:textId="77777777" w:rsidR="00C55CBC" w:rsidRPr="00EC1C0A" w:rsidRDefault="00C55CBC" w:rsidP="008B34D8">
            <w:pPr>
              <w:spacing w:before="0"/>
              <w:rPr>
                <w:rFonts w:ascii="Arial Narrow" w:hAnsi="Arial Narrow"/>
                <w:sz w:val="20"/>
                <w:szCs w:val="20"/>
                <w:lang w:eastAsia="en-AU"/>
              </w:rPr>
            </w:pPr>
          </w:p>
        </w:tc>
      </w:tr>
      <w:tr w:rsidR="00C55CBC" w:rsidRPr="00EC1C0A" w14:paraId="2A2467FB" w14:textId="77777777" w:rsidTr="008B34D8">
        <w:trPr>
          <w:trHeight w:val="300"/>
          <w:tblHeader/>
        </w:trPr>
        <w:tc>
          <w:tcPr>
            <w:tcW w:w="3527" w:type="dxa"/>
            <w:noWrap/>
            <w:hideMark/>
          </w:tcPr>
          <w:p w14:paraId="172AA81E" w14:textId="77777777" w:rsidR="00C55CBC" w:rsidRPr="00EC1C0A" w:rsidRDefault="00C55CBC" w:rsidP="008B34D8">
            <w:pPr>
              <w:spacing w:before="0"/>
              <w:rPr>
                <w:rFonts w:ascii="Arial Narrow" w:hAnsi="Arial Narrow" w:cs="Calibri"/>
                <w:b/>
                <w:bCs/>
                <w:color w:val="000000"/>
                <w:sz w:val="20"/>
                <w:szCs w:val="20"/>
                <w:lang w:eastAsia="en-AU"/>
              </w:rPr>
            </w:pPr>
            <w:r w:rsidRPr="00EC1C0A">
              <w:rPr>
                <w:rFonts w:ascii="Arial Narrow" w:hAnsi="Arial Narrow" w:cs="Calibri"/>
                <w:b/>
                <w:bCs/>
                <w:color w:val="000000"/>
                <w:sz w:val="20"/>
                <w:szCs w:val="20"/>
                <w:lang w:eastAsia="en-AU"/>
              </w:rPr>
              <w:t>Net costs to MBS</w:t>
            </w:r>
          </w:p>
        </w:tc>
        <w:tc>
          <w:tcPr>
            <w:tcW w:w="973" w:type="dxa"/>
            <w:noWrap/>
            <w:vAlign w:val="bottom"/>
            <w:hideMark/>
          </w:tcPr>
          <w:p w14:paraId="5A803B7F" w14:textId="77777777" w:rsidR="00C55CBC" w:rsidRPr="008C4F3C" w:rsidRDefault="00C55CBC" w:rsidP="008B34D8">
            <w:pPr>
              <w:spacing w:before="0"/>
              <w:jc w:val="right"/>
              <w:rPr>
                <w:rFonts w:ascii="Arial Narrow" w:hAnsi="Arial Narrow" w:cs="Calibri"/>
                <w:b/>
                <w:bCs/>
                <w:color w:val="000000"/>
                <w:sz w:val="20"/>
                <w:szCs w:val="20"/>
                <w:lang w:eastAsia="en-AU"/>
              </w:rPr>
            </w:pPr>
            <w:r w:rsidRPr="008C4F3C">
              <w:rPr>
                <w:rFonts w:ascii="Arial Narrow" w:hAnsi="Arial Narrow" w:cs="Calibri"/>
                <w:b/>
                <w:color w:val="000000"/>
                <w:sz w:val="20"/>
                <w:szCs w:val="20"/>
              </w:rPr>
              <w:t>$253,421</w:t>
            </w:r>
          </w:p>
        </w:tc>
        <w:tc>
          <w:tcPr>
            <w:tcW w:w="972" w:type="dxa"/>
            <w:noWrap/>
            <w:vAlign w:val="bottom"/>
            <w:hideMark/>
          </w:tcPr>
          <w:p w14:paraId="0477649C" w14:textId="77777777" w:rsidR="00C55CBC" w:rsidRPr="008C4F3C" w:rsidRDefault="00C55CBC" w:rsidP="008B34D8">
            <w:pPr>
              <w:spacing w:before="0"/>
              <w:jc w:val="right"/>
              <w:rPr>
                <w:rFonts w:ascii="Arial Narrow" w:hAnsi="Arial Narrow" w:cs="Calibri"/>
                <w:b/>
                <w:bCs/>
                <w:color w:val="000000"/>
                <w:sz w:val="20"/>
                <w:szCs w:val="20"/>
                <w:lang w:eastAsia="en-AU"/>
              </w:rPr>
            </w:pPr>
            <w:r w:rsidRPr="008C4F3C">
              <w:rPr>
                <w:rFonts w:ascii="Arial Narrow" w:hAnsi="Arial Narrow" w:cs="Calibri"/>
                <w:b/>
                <w:color w:val="000000"/>
                <w:sz w:val="20"/>
                <w:szCs w:val="20"/>
              </w:rPr>
              <w:t>$256,734</w:t>
            </w:r>
          </w:p>
        </w:tc>
        <w:tc>
          <w:tcPr>
            <w:tcW w:w="972" w:type="dxa"/>
            <w:noWrap/>
            <w:vAlign w:val="bottom"/>
            <w:hideMark/>
          </w:tcPr>
          <w:p w14:paraId="735B769B" w14:textId="77777777" w:rsidR="00C55CBC" w:rsidRPr="008C4F3C" w:rsidRDefault="00C55CBC" w:rsidP="008B34D8">
            <w:pPr>
              <w:spacing w:before="0"/>
              <w:jc w:val="right"/>
              <w:rPr>
                <w:rFonts w:ascii="Arial Narrow" w:hAnsi="Arial Narrow" w:cs="Calibri"/>
                <w:b/>
                <w:bCs/>
                <w:color w:val="000000"/>
                <w:sz w:val="20"/>
                <w:szCs w:val="20"/>
                <w:lang w:eastAsia="en-AU"/>
              </w:rPr>
            </w:pPr>
            <w:r w:rsidRPr="008C4F3C">
              <w:rPr>
                <w:rFonts w:ascii="Arial Narrow" w:hAnsi="Arial Narrow" w:cs="Calibri"/>
                <w:b/>
                <w:color w:val="000000"/>
                <w:sz w:val="20"/>
                <w:szCs w:val="20"/>
              </w:rPr>
              <w:t>$260,016</w:t>
            </w:r>
          </w:p>
        </w:tc>
        <w:tc>
          <w:tcPr>
            <w:tcW w:w="972" w:type="dxa"/>
            <w:noWrap/>
            <w:vAlign w:val="bottom"/>
            <w:hideMark/>
          </w:tcPr>
          <w:p w14:paraId="16E21285" w14:textId="77777777" w:rsidR="00C55CBC" w:rsidRPr="008C4F3C" w:rsidRDefault="00C55CBC" w:rsidP="008B34D8">
            <w:pPr>
              <w:spacing w:before="0"/>
              <w:jc w:val="right"/>
              <w:rPr>
                <w:rFonts w:ascii="Arial Narrow" w:hAnsi="Arial Narrow" w:cs="Calibri"/>
                <w:b/>
                <w:bCs/>
                <w:color w:val="000000"/>
                <w:sz w:val="20"/>
                <w:szCs w:val="20"/>
                <w:lang w:eastAsia="en-AU"/>
              </w:rPr>
            </w:pPr>
            <w:r w:rsidRPr="008C4F3C">
              <w:rPr>
                <w:rFonts w:ascii="Arial Narrow" w:hAnsi="Arial Narrow" w:cs="Calibri"/>
                <w:b/>
                <w:color w:val="000000"/>
                <w:sz w:val="20"/>
                <w:szCs w:val="20"/>
              </w:rPr>
              <w:t>$263,154</w:t>
            </w:r>
          </w:p>
        </w:tc>
        <w:tc>
          <w:tcPr>
            <w:tcW w:w="972" w:type="dxa"/>
            <w:noWrap/>
            <w:vAlign w:val="bottom"/>
            <w:hideMark/>
          </w:tcPr>
          <w:p w14:paraId="79ED35AE" w14:textId="77777777" w:rsidR="00C55CBC" w:rsidRPr="008C4F3C" w:rsidRDefault="00C55CBC" w:rsidP="008B34D8">
            <w:pPr>
              <w:spacing w:before="0"/>
              <w:jc w:val="right"/>
              <w:rPr>
                <w:rFonts w:ascii="Arial Narrow" w:hAnsi="Arial Narrow" w:cs="Calibri"/>
                <w:b/>
                <w:bCs/>
                <w:color w:val="000000"/>
                <w:sz w:val="20"/>
                <w:szCs w:val="20"/>
                <w:lang w:eastAsia="en-AU"/>
              </w:rPr>
            </w:pPr>
            <w:r w:rsidRPr="008C4F3C">
              <w:rPr>
                <w:rFonts w:ascii="Arial Narrow" w:hAnsi="Arial Narrow" w:cs="Calibri"/>
                <w:b/>
                <w:color w:val="000000"/>
                <w:sz w:val="20"/>
                <w:szCs w:val="20"/>
              </w:rPr>
              <w:t>$266,138</w:t>
            </w:r>
          </w:p>
        </w:tc>
        <w:tc>
          <w:tcPr>
            <w:tcW w:w="977" w:type="dxa"/>
            <w:noWrap/>
            <w:vAlign w:val="bottom"/>
            <w:hideMark/>
          </w:tcPr>
          <w:p w14:paraId="1C314B59" w14:textId="77777777" w:rsidR="00C55CBC" w:rsidRPr="008C4F3C" w:rsidRDefault="00C55CBC" w:rsidP="008B34D8">
            <w:pPr>
              <w:spacing w:before="0"/>
              <w:jc w:val="right"/>
              <w:rPr>
                <w:rFonts w:ascii="Arial Narrow" w:hAnsi="Arial Narrow" w:cs="Calibri"/>
                <w:b/>
                <w:bCs/>
                <w:color w:val="000000"/>
                <w:sz w:val="20"/>
                <w:szCs w:val="20"/>
                <w:lang w:eastAsia="en-AU"/>
              </w:rPr>
            </w:pPr>
            <w:r w:rsidRPr="008C4F3C">
              <w:rPr>
                <w:rFonts w:ascii="Arial Narrow" w:hAnsi="Arial Narrow" w:cs="Calibri"/>
                <w:b/>
                <w:color w:val="000000"/>
                <w:sz w:val="20"/>
                <w:szCs w:val="20"/>
              </w:rPr>
              <w:t>$269,181</w:t>
            </w:r>
          </w:p>
        </w:tc>
      </w:tr>
      <w:tr w:rsidR="00C55CBC" w:rsidRPr="00EC1C0A" w14:paraId="0437A282" w14:textId="77777777" w:rsidTr="008B34D8">
        <w:trPr>
          <w:trHeight w:val="300"/>
          <w:tblHeader/>
        </w:trPr>
        <w:tc>
          <w:tcPr>
            <w:tcW w:w="3527" w:type="dxa"/>
            <w:noWrap/>
            <w:hideMark/>
          </w:tcPr>
          <w:p w14:paraId="51B5C912" w14:textId="77777777" w:rsidR="00C55CBC" w:rsidRPr="00EC1C0A" w:rsidRDefault="00C55CBC" w:rsidP="008B34D8">
            <w:pPr>
              <w:spacing w:before="0"/>
              <w:rPr>
                <w:rFonts w:ascii="Arial Narrow" w:hAnsi="Arial Narrow" w:cs="Calibri"/>
                <w:b/>
                <w:bCs/>
                <w:color w:val="000000"/>
                <w:sz w:val="20"/>
                <w:szCs w:val="20"/>
                <w:lang w:eastAsia="en-AU"/>
              </w:rPr>
            </w:pPr>
            <w:r w:rsidRPr="00EC1C0A">
              <w:rPr>
                <w:rFonts w:ascii="Arial Narrow" w:hAnsi="Arial Narrow" w:cs="Calibri"/>
                <w:b/>
                <w:bCs/>
                <w:color w:val="000000"/>
                <w:sz w:val="20"/>
                <w:szCs w:val="20"/>
                <w:lang w:eastAsia="en-AU"/>
              </w:rPr>
              <w:t xml:space="preserve">Net </w:t>
            </w:r>
            <w:proofErr w:type="spellStart"/>
            <w:r w:rsidRPr="00EC1C0A">
              <w:rPr>
                <w:rFonts w:ascii="Arial Narrow" w:hAnsi="Arial Narrow" w:cs="Calibri"/>
                <w:b/>
                <w:bCs/>
                <w:color w:val="000000"/>
                <w:sz w:val="20"/>
                <w:szCs w:val="20"/>
                <w:lang w:eastAsia="en-AU"/>
              </w:rPr>
              <w:t>copayments</w:t>
            </w:r>
            <w:proofErr w:type="spellEnd"/>
          </w:p>
        </w:tc>
        <w:tc>
          <w:tcPr>
            <w:tcW w:w="973" w:type="dxa"/>
            <w:noWrap/>
            <w:vAlign w:val="bottom"/>
            <w:hideMark/>
          </w:tcPr>
          <w:p w14:paraId="45EF9CEB" w14:textId="77777777" w:rsidR="00C55CBC" w:rsidRPr="008C4F3C" w:rsidRDefault="00C55CBC" w:rsidP="008B34D8">
            <w:pPr>
              <w:spacing w:before="0"/>
              <w:jc w:val="right"/>
              <w:rPr>
                <w:rFonts w:ascii="Arial Narrow" w:hAnsi="Arial Narrow" w:cs="Calibri"/>
                <w:b/>
                <w:bCs/>
                <w:color w:val="000000"/>
                <w:sz w:val="20"/>
                <w:szCs w:val="20"/>
                <w:lang w:eastAsia="en-AU"/>
              </w:rPr>
            </w:pPr>
            <w:r w:rsidRPr="008C4F3C">
              <w:rPr>
                <w:rFonts w:ascii="Arial Narrow" w:hAnsi="Arial Narrow" w:cs="Calibri"/>
                <w:b/>
                <w:color w:val="000000"/>
                <w:sz w:val="20"/>
                <w:szCs w:val="20"/>
              </w:rPr>
              <w:t>$37,113</w:t>
            </w:r>
          </w:p>
        </w:tc>
        <w:tc>
          <w:tcPr>
            <w:tcW w:w="972" w:type="dxa"/>
            <w:noWrap/>
            <w:vAlign w:val="bottom"/>
            <w:hideMark/>
          </w:tcPr>
          <w:p w14:paraId="1463B3FF" w14:textId="77777777" w:rsidR="00C55CBC" w:rsidRPr="008C4F3C" w:rsidRDefault="00C55CBC" w:rsidP="008B34D8">
            <w:pPr>
              <w:spacing w:before="0"/>
              <w:jc w:val="right"/>
              <w:rPr>
                <w:rFonts w:ascii="Arial Narrow" w:hAnsi="Arial Narrow" w:cs="Calibri"/>
                <w:b/>
                <w:bCs/>
                <w:color w:val="000000"/>
                <w:sz w:val="20"/>
                <w:szCs w:val="20"/>
                <w:lang w:eastAsia="en-AU"/>
              </w:rPr>
            </w:pPr>
            <w:r w:rsidRPr="008C4F3C">
              <w:rPr>
                <w:rFonts w:ascii="Arial Narrow" w:hAnsi="Arial Narrow" w:cs="Calibri"/>
                <w:b/>
                <w:color w:val="000000"/>
                <w:sz w:val="20"/>
                <w:szCs w:val="20"/>
              </w:rPr>
              <w:t>$37,598</w:t>
            </w:r>
          </w:p>
        </w:tc>
        <w:tc>
          <w:tcPr>
            <w:tcW w:w="972" w:type="dxa"/>
            <w:noWrap/>
            <w:vAlign w:val="bottom"/>
            <w:hideMark/>
          </w:tcPr>
          <w:p w14:paraId="4FFD0232" w14:textId="77777777" w:rsidR="00C55CBC" w:rsidRPr="008C4F3C" w:rsidRDefault="00C55CBC" w:rsidP="008B34D8">
            <w:pPr>
              <w:spacing w:before="0"/>
              <w:jc w:val="right"/>
              <w:rPr>
                <w:rFonts w:ascii="Arial Narrow" w:hAnsi="Arial Narrow" w:cs="Calibri"/>
                <w:b/>
                <w:bCs/>
                <w:color w:val="000000"/>
                <w:sz w:val="20"/>
                <w:szCs w:val="20"/>
                <w:lang w:eastAsia="en-AU"/>
              </w:rPr>
            </w:pPr>
            <w:r w:rsidRPr="008C4F3C">
              <w:rPr>
                <w:rFonts w:ascii="Arial Narrow" w:hAnsi="Arial Narrow" w:cs="Calibri"/>
                <w:b/>
                <w:color w:val="000000"/>
                <w:sz w:val="20"/>
                <w:szCs w:val="20"/>
              </w:rPr>
              <w:t>$38,078</w:t>
            </w:r>
          </w:p>
        </w:tc>
        <w:tc>
          <w:tcPr>
            <w:tcW w:w="972" w:type="dxa"/>
            <w:noWrap/>
            <w:vAlign w:val="bottom"/>
            <w:hideMark/>
          </w:tcPr>
          <w:p w14:paraId="384A19B9" w14:textId="77777777" w:rsidR="00C55CBC" w:rsidRPr="008C4F3C" w:rsidRDefault="00C55CBC" w:rsidP="008B34D8">
            <w:pPr>
              <w:spacing w:before="0"/>
              <w:jc w:val="right"/>
              <w:rPr>
                <w:rFonts w:ascii="Arial Narrow" w:hAnsi="Arial Narrow" w:cs="Calibri"/>
                <w:b/>
                <w:bCs/>
                <w:color w:val="000000"/>
                <w:sz w:val="20"/>
                <w:szCs w:val="20"/>
                <w:lang w:eastAsia="en-AU"/>
              </w:rPr>
            </w:pPr>
            <w:r w:rsidRPr="008C4F3C">
              <w:rPr>
                <w:rFonts w:ascii="Arial Narrow" w:hAnsi="Arial Narrow" w:cs="Calibri"/>
                <w:b/>
                <w:color w:val="000000"/>
                <w:sz w:val="20"/>
                <w:szCs w:val="20"/>
              </w:rPr>
              <w:t>$38,538</w:t>
            </w:r>
          </w:p>
        </w:tc>
        <w:tc>
          <w:tcPr>
            <w:tcW w:w="972" w:type="dxa"/>
            <w:noWrap/>
            <w:vAlign w:val="bottom"/>
            <w:hideMark/>
          </w:tcPr>
          <w:p w14:paraId="0DC994B8" w14:textId="77777777" w:rsidR="00C55CBC" w:rsidRPr="008C4F3C" w:rsidRDefault="00C55CBC" w:rsidP="008B34D8">
            <w:pPr>
              <w:spacing w:before="0"/>
              <w:jc w:val="right"/>
              <w:rPr>
                <w:rFonts w:ascii="Arial Narrow" w:hAnsi="Arial Narrow" w:cs="Calibri"/>
                <w:b/>
                <w:bCs/>
                <w:color w:val="000000"/>
                <w:sz w:val="20"/>
                <w:szCs w:val="20"/>
                <w:lang w:eastAsia="en-AU"/>
              </w:rPr>
            </w:pPr>
            <w:r w:rsidRPr="008C4F3C">
              <w:rPr>
                <w:rFonts w:ascii="Arial Narrow" w:hAnsi="Arial Narrow" w:cs="Calibri"/>
                <w:b/>
                <w:color w:val="000000"/>
                <w:sz w:val="20"/>
                <w:szCs w:val="20"/>
              </w:rPr>
              <w:t>$38,975</w:t>
            </w:r>
          </w:p>
        </w:tc>
        <w:tc>
          <w:tcPr>
            <w:tcW w:w="977" w:type="dxa"/>
            <w:noWrap/>
            <w:vAlign w:val="bottom"/>
            <w:hideMark/>
          </w:tcPr>
          <w:p w14:paraId="095B0767" w14:textId="77777777" w:rsidR="00C55CBC" w:rsidRPr="008C4F3C" w:rsidRDefault="00C55CBC" w:rsidP="008B34D8">
            <w:pPr>
              <w:spacing w:before="0"/>
              <w:jc w:val="right"/>
              <w:rPr>
                <w:rFonts w:ascii="Arial Narrow" w:hAnsi="Arial Narrow" w:cs="Calibri"/>
                <w:b/>
                <w:bCs/>
                <w:color w:val="000000"/>
                <w:sz w:val="20"/>
                <w:szCs w:val="20"/>
                <w:lang w:eastAsia="en-AU"/>
              </w:rPr>
            </w:pPr>
            <w:r w:rsidRPr="008C4F3C">
              <w:rPr>
                <w:rFonts w:ascii="Arial Narrow" w:hAnsi="Arial Narrow" w:cs="Calibri"/>
                <w:b/>
                <w:color w:val="000000"/>
                <w:sz w:val="20"/>
                <w:szCs w:val="20"/>
              </w:rPr>
              <w:t>$39,420</w:t>
            </w:r>
          </w:p>
        </w:tc>
      </w:tr>
      <w:tr w:rsidR="00C55CBC" w:rsidRPr="00EC1C0A" w14:paraId="1233FC22" w14:textId="77777777" w:rsidTr="008B34D8">
        <w:trPr>
          <w:trHeight w:val="300"/>
        </w:trPr>
        <w:tc>
          <w:tcPr>
            <w:tcW w:w="5472" w:type="dxa"/>
            <w:gridSpan w:val="3"/>
            <w:noWrap/>
          </w:tcPr>
          <w:p w14:paraId="65620F85" w14:textId="77777777" w:rsidR="00C55CBC" w:rsidRPr="00EC1C0A" w:rsidRDefault="00C55CBC" w:rsidP="008B34D8">
            <w:pPr>
              <w:spacing w:before="0"/>
              <w:rPr>
                <w:rFonts w:ascii="Arial Narrow" w:hAnsi="Arial Narrow" w:cs="Calibri"/>
                <w:i/>
                <w:iCs/>
                <w:color w:val="000000"/>
                <w:sz w:val="20"/>
                <w:szCs w:val="20"/>
                <w:lang w:eastAsia="en-AU"/>
              </w:rPr>
            </w:pPr>
            <w:r>
              <w:rPr>
                <w:rFonts w:ascii="Arial Narrow" w:hAnsi="Arial Narrow" w:cs="Calibri"/>
                <w:i/>
                <w:iCs/>
                <w:color w:val="000000"/>
                <w:sz w:val="20"/>
                <w:szCs w:val="20"/>
                <w:lang w:eastAsia="en-AU"/>
              </w:rPr>
              <w:t>Annual usage</w:t>
            </w:r>
            <w:r w:rsidRPr="00EC1C0A">
              <w:rPr>
                <w:rFonts w:ascii="Arial Narrow" w:hAnsi="Arial Narrow" w:cs="Calibri"/>
                <w:i/>
                <w:iCs/>
                <w:color w:val="000000"/>
                <w:sz w:val="20"/>
                <w:szCs w:val="20"/>
                <w:lang w:eastAsia="en-AU"/>
              </w:rPr>
              <w:t xml:space="preserve">: </w:t>
            </w:r>
            <w:r>
              <w:rPr>
                <w:rFonts w:ascii="Arial Narrow" w:hAnsi="Arial Narrow" w:cs="Calibri"/>
                <w:i/>
                <w:iCs/>
                <w:color w:val="000000"/>
                <w:sz w:val="20"/>
                <w:szCs w:val="20"/>
                <w:lang w:eastAsia="en-AU"/>
              </w:rPr>
              <w:t>18</w:t>
            </w:r>
            <w:r w:rsidRPr="00EC1C0A">
              <w:rPr>
                <w:rFonts w:ascii="Arial Narrow" w:hAnsi="Arial Narrow" w:cs="Calibri"/>
                <w:i/>
                <w:iCs/>
                <w:color w:val="000000"/>
                <w:sz w:val="20"/>
                <w:szCs w:val="20"/>
                <w:lang w:eastAsia="en-AU"/>
              </w:rPr>
              <w:t>% (base case 36%)</w:t>
            </w:r>
          </w:p>
        </w:tc>
        <w:tc>
          <w:tcPr>
            <w:tcW w:w="972" w:type="dxa"/>
            <w:noWrap/>
          </w:tcPr>
          <w:p w14:paraId="7DFA474A" w14:textId="77777777" w:rsidR="00C55CBC" w:rsidRPr="00EC1C0A" w:rsidRDefault="00C55CBC" w:rsidP="008B34D8">
            <w:pPr>
              <w:spacing w:before="0"/>
              <w:rPr>
                <w:rFonts w:ascii="Arial Narrow" w:hAnsi="Arial Narrow" w:cs="Calibri"/>
                <w:i/>
                <w:iCs/>
                <w:color w:val="000000"/>
                <w:sz w:val="20"/>
                <w:szCs w:val="20"/>
                <w:lang w:eastAsia="en-AU"/>
              </w:rPr>
            </w:pPr>
          </w:p>
        </w:tc>
        <w:tc>
          <w:tcPr>
            <w:tcW w:w="972" w:type="dxa"/>
            <w:noWrap/>
          </w:tcPr>
          <w:p w14:paraId="058DEA42" w14:textId="77777777" w:rsidR="00C55CBC" w:rsidRPr="00EC1C0A" w:rsidRDefault="00C55CBC" w:rsidP="008B34D8">
            <w:pPr>
              <w:spacing w:before="0"/>
              <w:rPr>
                <w:rFonts w:ascii="Arial Narrow" w:hAnsi="Arial Narrow"/>
                <w:sz w:val="20"/>
                <w:szCs w:val="20"/>
                <w:lang w:eastAsia="en-AU"/>
              </w:rPr>
            </w:pPr>
          </w:p>
        </w:tc>
        <w:tc>
          <w:tcPr>
            <w:tcW w:w="972" w:type="dxa"/>
            <w:noWrap/>
          </w:tcPr>
          <w:p w14:paraId="30608992" w14:textId="77777777" w:rsidR="00C55CBC" w:rsidRPr="00EC1C0A" w:rsidRDefault="00C55CBC" w:rsidP="008B34D8">
            <w:pPr>
              <w:spacing w:before="0"/>
              <w:rPr>
                <w:rFonts w:ascii="Arial Narrow" w:hAnsi="Arial Narrow"/>
                <w:sz w:val="20"/>
                <w:szCs w:val="20"/>
                <w:lang w:eastAsia="en-AU"/>
              </w:rPr>
            </w:pPr>
          </w:p>
        </w:tc>
        <w:tc>
          <w:tcPr>
            <w:tcW w:w="977" w:type="dxa"/>
            <w:noWrap/>
          </w:tcPr>
          <w:p w14:paraId="028A643C" w14:textId="77777777" w:rsidR="00C55CBC" w:rsidRPr="00EC1C0A" w:rsidRDefault="00C55CBC" w:rsidP="008B34D8">
            <w:pPr>
              <w:spacing w:before="0"/>
              <w:rPr>
                <w:rFonts w:ascii="Arial Narrow" w:hAnsi="Arial Narrow"/>
                <w:sz w:val="20"/>
                <w:szCs w:val="20"/>
                <w:lang w:eastAsia="en-AU"/>
              </w:rPr>
            </w:pPr>
          </w:p>
        </w:tc>
      </w:tr>
      <w:tr w:rsidR="00C55CBC" w:rsidRPr="00EC1C0A" w14:paraId="22F49759" w14:textId="77777777" w:rsidTr="008B34D8">
        <w:trPr>
          <w:trHeight w:val="300"/>
        </w:trPr>
        <w:tc>
          <w:tcPr>
            <w:tcW w:w="3527" w:type="dxa"/>
            <w:noWrap/>
          </w:tcPr>
          <w:p w14:paraId="6F5C6FE1"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Net costs to MBS</w:t>
            </w:r>
          </w:p>
        </w:tc>
        <w:tc>
          <w:tcPr>
            <w:tcW w:w="973" w:type="dxa"/>
            <w:noWrap/>
            <w:vAlign w:val="bottom"/>
          </w:tcPr>
          <w:p w14:paraId="483CFF2D"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$73,818</w:t>
            </w:r>
          </w:p>
        </w:tc>
        <w:tc>
          <w:tcPr>
            <w:tcW w:w="972" w:type="dxa"/>
            <w:noWrap/>
            <w:vAlign w:val="bottom"/>
          </w:tcPr>
          <w:p w14:paraId="671645AD"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$74,782</w:t>
            </w:r>
          </w:p>
        </w:tc>
        <w:tc>
          <w:tcPr>
            <w:tcW w:w="972" w:type="dxa"/>
            <w:noWrap/>
            <w:vAlign w:val="bottom"/>
          </w:tcPr>
          <w:p w14:paraId="5C7BE001"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$75,738</w:t>
            </w:r>
          </w:p>
        </w:tc>
        <w:tc>
          <w:tcPr>
            <w:tcW w:w="972" w:type="dxa"/>
            <w:noWrap/>
            <w:vAlign w:val="bottom"/>
          </w:tcPr>
          <w:p w14:paraId="174D5E42"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$76,652</w:t>
            </w:r>
          </w:p>
        </w:tc>
        <w:tc>
          <w:tcPr>
            <w:tcW w:w="972" w:type="dxa"/>
            <w:noWrap/>
            <w:vAlign w:val="bottom"/>
          </w:tcPr>
          <w:p w14:paraId="0E25BFEE"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$77,522</w:t>
            </w:r>
          </w:p>
        </w:tc>
        <w:tc>
          <w:tcPr>
            <w:tcW w:w="977" w:type="dxa"/>
            <w:noWrap/>
            <w:vAlign w:val="bottom"/>
          </w:tcPr>
          <w:p w14:paraId="5940B88B"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$78,408</w:t>
            </w:r>
          </w:p>
        </w:tc>
      </w:tr>
      <w:tr w:rsidR="00C55CBC" w:rsidRPr="00EC1C0A" w14:paraId="569F3FC4" w14:textId="77777777" w:rsidTr="008B34D8">
        <w:trPr>
          <w:trHeight w:val="300"/>
        </w:trPr>
        <w:tc>
          <w:tcPr>
            <w:tcW w:w="3527" w:type="dxa"/>
            <w:noWrap/>
          </w:tcPr>
          <w:p w14:paraId="1C5EE58F"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 xml:space="preserve">Net </w:t>
            </w:r>
            <w:proofErr w:type="spellStart"/>
            <w:r w:rsidRPr="00EC1C0A">
              <w:rPr>
                <w:rFonts w:ascii="Arial Narrow" w:hAnsi="Arial Narrow" w:cs="Calibri"/>
                <w:color w:val="000000"/>
                <w:sz w:val="20"/>
                <w:szCs w:val="20"/>
                <w:lang w:eastAsia="en-AU"/>
              </w:rPr>
              <w:t>copayments</w:t>
            </w:r>
            <w:proofErr w:type="spellEnd"/>
          </w:p>
        </w:tc>
        <w:tc>
          <w:tcPr>
            <w:tcW w:w="973" w:type="dxa"/>
            <w:noWrap/>
            <w:vAlign w:val="bottom"/>
          </w:tcPr>
          <w:p w14:paraId="7F996993"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$9,225</w:t>
            </w:r>
          </w:p>
        </w:tc>
        <w:tc>
          <w:tcPr>
            <w:tcW w:w="972" w:type="dxa"/>
            <w:noWrap/>
            <w:vAlign w:val="bottom"/>
          </w:tcPr>
          <w:p w14:paraId="3B74294F"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$9,346</w:t>
            </w:r>
          </w:p>
        </w:tc>
        <w:tc>
          <w:tcPr>
            <w:tcW w:w="972" w:type="dxa"/>
            <w:noWrap/>
            <w:vAlign w:val="bottom"/>
          </w:tcPr>
          <w:p w14:paraId="72618DBE"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$9,465</w:t>
            </w:r>
          </w:p>
        </w:tc>
        <w:tc>
          <w:tcPr>
            <w:tcW w:w="972" w:type="dxa"/>
            <w:noWrap/>
            <w:vAlign w:val="bottom"/>
          </w:tcPr>
          <w:p w14:paraId="2387AE42"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$9,580</w:t>
            </w:r>
          </w:p>
        </w:tc>
        <w:tc>
          <w:tcPr>
            <w:tcW w:w="972" w:type="dxa"/>
            <w:noWrap/>
            <w:vAlign w:val="bottom"/>
          </w:tcPr>
          <w:p w14:paraId="2734D3C0"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$9,688</w:t>
            </w:r>
          </w:p>
        </w:tc>
        <w:tc>
          <w:tcPr>
            <w:tcW w:w="977" w:type="dxa"/>
            <w:noWrap/>
            <w:vAlign w:val="bottom"/>
          </w:tcPr>
          <w:p w14:paraId="30AC21F3"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$9,799</w:t>
            </w:r>
          </w:p>
        </w:tc>
      </w:tr>
      <w:tr w:rsidR="00C55CBC" w:rsidRPr="00EC1C0A" w14:paraId="1B694166" w14:textId="77777777" w:rsidTr="008B34D8">
        <w:trPr>
          <w:trHeight w:val="300"/>
        </w:trPr>
        <w:tc>
          <w:tcPr>
            <w:tcW w:w="5472" w:type="dxa"/>
            <w:gridSpan w:val="3"/>
            <w:noWrap/>
            <w:hideMark/>
          </w:tcPr>
          <w:p w14:paraId="365E2FE6" w14:textId="77777777" w:rsidR="00C55CBC" w:rsidRPr="00EC1C0A" w:rsidRDefault="00C55CBC" w:rsidP="008B34D8">
            <w:pPr>
              <w:spacing w:before="0"/>
              <w:rPr>
                <w:rFonts w:ascii="Arial Narrow" w:hAnsi="Arial Narrow" w:cs="Calibri"/>
                <w:i/>
                <w:iCs/>
                <w:color w:val="000000"/>
                <w:sz w:val="20"/>
                <w:szCs w:val="20"/>
                <w:lang w:eastAsia="en-AU"/>
              </w:rPr>
            </w:pPr>
            <w:r>
              <w:rPr>
                <w:rFonts w:ascii="Arial Narrow" w:hAnsi="Arial Narrow" w:cs="Calibri"/>
                <w:i/>
                <w:iCs/>
                <w:color w:val="000000"/>
                <w:sz w:val="20"/>
                <w:szCs w:val="20"/>
                <w:lang w:eastAsia="en-AU"/>
              </w:rPr>
              <w:t>Annual usage</w:t>
            </w:r>
            <w:r w:rsidRPr="00EC1C0A">
              <w:rPr>
                <w:rFonts w:ascii="Arial Narrow" w:hAnsi="Arial Narrow" w:cs="Calibri"/>
                <w:i/>
                <w:iCs/>
                <w:color w:val="000000"/>
                <w:sz w:val="20"/>
                <w:szCs w:val="20"/>
                <w:lang w:eastAsia="en-AU"/>
              </w:rPr>
              <w:t>: 25% (base case 36%)</w:t>
            </w:r>
          </w:p>
        </w:tc>
        <w:tc>
          <w:tcPr>
            <w:tcW w:w="972" w:type="dxa"/>
            <w:noWrap/>
            <w:hideMark/>
          </w:tcPr>
          <w:p w14:paraId="56606165" w14:textId="77777777" w:rsidR="00C55CBC" w:rsidRPr="00EC1C0A" w:rsidRDefault="00C55CBC" w:rsidP="008B34D8">
            <w:pPr>
              <w:spacing w:before="0"/>
              <w:rPr>
                <w:rFonts w:ascii="Arial Narrow" w:hAnsi="Arial Narrow" w:cs="Calibri"/>
                <w:i/>
                <w:iCs/>
                <w:color w:val="000000"/>
                <w:sz w:val="20"/>
                <w:szCs w:val="20"/>
                <w:lang w:eastAsia="en-AU"/>
              </w:rPr>
            </w:pPr>
          </w:p>
        </w:tc>
        <w:tc>
          <w:tcPr>
            <w:tcW w:w="972" w:type="dxa"/>
            <w:noWrap/>
            <w:hideMark/>
          </w:tcPr>
          <w:p w14:paraId="4A854D89" w14:textId="77777777" w:rsidR="00C55CBC" w:rsidRPr="00EC1C0A" w:rsidRDefault="00C55CBC" w:rsidP="008B34D8">
            <w:pPr>
              <w:spacing w:before="0"/>
              <w:rPr>
                <w:rFonts w:ascii="Arial Narrow" w:hAnsi="Arial Narrow"/>
                <w:sz w:val="20"/>
                <w:szCs w:val="20"/>
                <w:lang w:eastAsia="en-AU"/>
              </w:rPr>
            </w:pPr>
          </w:p>
        </w:tc>
        <w:tc>
          <w:tcPr>
            <w:tcW w:w="972" w:type="dxa"/>
            <w:noWrap/>
            <w:hideMark/>
          </w:tcPr>
          <w:p w14:paraId="76FC658C" w14:textId="77777777" w:rsidR="00C55CBC" w:rsidRPr="00EC1C0A" w:rsidRDefault="00C55CBC" w:rsidP="008B34D8">
            <w:pPr>
              <w:spacing w:before="0"/>
              <w:rPr>
                <w:rFonts w:ascii="Arial Narrow" w:hAnsi="Arial Narrow"/>
                <w:sz w:val="20"/>
                <w:szCs w:val="20"/>
                <w:lang w:eastAsia="en-AU"/>
              </w:rPr>
            </w:pPr>
          </w:p>
        </w:tc>
        <w:tc>
          <w:tcPr>
            <w:tcW w:w="977" w:type="dxa"/>
            <w:noWrap/>
            <w:hideMark/>
          </w:tcPr>
          <w:p w14:paraId="4BD09176" w14:textId="77777777" w:rsidR="00C55CBC" w:rsidRPr="00EC1C0A" w:rsidRDefault="00C55CBC" w:rsidP="008B34D8">
            <w:pPr>
              <w:spacing w:before="0"/>
              <w:rPr>
                <w:rFonts w:ascii="Arial Narrow" w:hAnsi="Arial Narrow"/>
                <w:sz w:val="20"/>
                <w:szCs w:val="20"/>
                <w:lang w:eastAsia="en-AU"/>
              </w:rPr>
            </w:pPr>
          </w:p>
        </w:tc>
      </w:tr>
      <w:tr w:rsidR="00C55CBC" w:rsidRPr="00EC1C0A" w14:paraId="600F4BB7" w14:textId="77777777" w:rsidTr="008B34D8">
        <w:trPr>
          <w:trHeight w:val="300"/>
        </w:trPr>
        <w:tc>
          <w:tcPr>
            <w:tcW w:w="3527" w:type="dxa"/>
            <w:noWrap/>
            <w:hideMark/>
          </w:tcPr>
          <w:p w14:paraId="2FFE9E41"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Net costs to MBS</w:t>
            </w:r>
          </w:p>
        </w:tc>
        <w:tc>
          <w:tcPr>
            <w:tcW w:w="973" w:type="dxa"/>
            <w:noWrap/>
            <w:vAlign w:val="bottom"/>
          </w:tcPr>
          <w:p w14:paraId="5609DFEE"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$102,524</w:t>
            </w:r>
          </w:p>
        </w:tc>
        <w:tc>
          <w:tcPr>
            <w:tcW w:w="972" w:type="dxa"/>
            <w:noWrap/>
            <w:vAlign w:val="bottom"/>
          </w:tcPr>
          <w:p w14:paraId="53E08FC4"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$103,864</w:t>
            </w:r>
          </w:p>
        </w:tc>
        <w:tc>
          <w:tcPr>
            <w:tcW w:w="972" w:type="dxa"/>
            <w:noWrap/>
            <w:vAlign w:val="bottom"/>
          </w:tcPr>
          <w:p w14:paraId="68F83807"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$105,192</w:t>
            </w:r>
          </w:p>
        </w:tc>
        <w:tc>
          <w:tcPr>
            <w:tcW w:w="972" w:type="dxa"/>
            <w:noWrap/>
            <w:vAlign w:val="bottom"/>
          </w:tcPr>
          <w:p w14:paraId="158A5EFB"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$106,462</w:t>
            </w:r>
          </w:p>
        </w:tc>
        <w:tc>
          <w:tcPr>
            <w:tcW w:w="972" w:type="dxa"/>
            <w:noWrap/>
            <w:vAlign w:val="bottom"/>
          </w:tcPr>
          <w:p w14:paraId="786A6F03"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$107,669</w:t>
            </w:r>
          </w:p>
        </w:tc>
        <w:tc>
          <w:tcPr>
            <w:tcW w:w="977" w:type="dxa"/>
            <w:noWrap/>
            <w:vAlign w:val="bottom"/>
          </w:tcPr>
          <w:p w14:paraId="2631D042"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$108,900</w:t>
            </w:r>
          </w:p>
        </w:tc>
      </w:tr>
      <w:tr w:rsidR="00C55CBC" w:rsidRPr="00EC1C0A" w14:paraId="73D2EA86" w14:textId="77777777" w:rsidTr="008B34D8">
        <w:trPr>
          <w:trHeight w:val="300"/>
        </w:trPr>
        <w:tc>
          <w:tcPr>
            <w:tcW w:w="3527" w:type="dxa"/>
            <w:noWrap/>
            <w:hideMark/>
          </w:tcPr>
          <w:p w14:paraId="45D8A038"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 xml:space="preserve">Net </w:t>
            </w:r>
            <w:proofErr w:type="spellStart"/>
            <w:r w:rsidRPr="00EC1C0A">
              <w:rPr>
                <w:rFonts w:ascii="Arial Narrow" w:hAnsi="Arial Narrow" w:cs="Calibri"/>
                <w:color w:val="000000"/>
                <w:sz w:val="20"/>
                <w:szCs w:val="20"/>
                <w:lang w:eastAsia="en-AU"/>
              </w:rPr>
              <w:t>copayments</w:t>
            </w:r>
            <w:proofErr w:type="spellEnd"/>
          </w:p>
        </w:tc>
        <w:tc>
          <w:tcPr>
            <w:tcW w:w="973" w:type="dxa"/>
            <w:noWrap/>
            <w:vAlign w:val="bottom"/>
          </w:tcPr>
          <w:p w14:paraId="22875E09"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$12,813</w:t>
            </w:r>
          </w:p>
        </w:tc>
        <w:tc>
          <w:tcPr>
            <w:tcW w:w="972" w:type="dxa"/>
            <w:noWrap/>
            <w:vAlign w:val="bottom"/>
          </w:tcPr>
          <w:p w14:paraId="3E2F4301"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$12,981</w:t>
            </w:r>
          </w:p>
        </w:tc>
        <w:tc>
          <w:tcPr>
            <w:tcW w:w="972" w:type="dxa"/>
            <w:noWrap/>
            <w:vAlign w:val="bottom"/>
          </w:tcPr>
          <w:p w14:paraId="362A5EFF"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$13,147</w:t>
            </w:r>
          </w:p>
        </w:tc>
        <w:tc>
          <w:tcPr>
            <w:tcW w:w="972" w:type="dxa"/>
            <w:noWrap/>
            <w:vAlign w:val="bottom"/>
          </w:tcPr>
          <w:p w14:paraId="128B2A1E"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$13,305</w:t>
            </w:r>
          </w:p>
        </w:tc>
        <w:tc>
          <w:tcPr>
            <w:tcW w:w="972" w:type="dxa"/>
            <w:noWrap/>
            <w:vAlign w:val="bottom"/>
          </w:tcPr>
          <w:p w14:paraId="7FDB6D54"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$13,456</w:t>
            </w:r>
          </w:p>
        </w:tc>
        <w:tc>
          <w:tcPr>
            <w:tcW w:w="977" w:type="dxa"/>
            <w:noWrap/>
            <w:vAlign w:val="bottom"/>
          </w:tcPr>
          <w:p w14:paraId="1FFE24B5"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$13,610</w:t>
            </w:r>
          </w:p>
        </w:tc>
      </w:tr>
      <w:tr w:rsidR="00C55CBC" w:rsidRPr="00EC1C0A" w14:paraId="351192BF" w14:textId="77777777" w:rsidTr="008B34D8">
        <w:trPr>
          <w:trHeight w:val="300"/>
        </w:trPr>
        <w:tc>
          <w:tcPr>
            <w:tcW w:w="5472" w:type="dxa"/>
            <w:gridSpan w:val="3"/>
            <w:noWrap/>
            <w:hideMark/>
          </w:tcPr>
          <w:p w14:paraId="7D7C0E69" w14:textId="77777777" w:rsidR="00C55CBC" w:rsidRPr="00EC1C0A" w:rsidRDefault="00C55CBC" w:rsidP="008B34D8">
            <w:pPr>
              <w:spacing w:before="0"/>
              <w:rPr>
                <w:rFonts w:ascii="Arial Narrow" w:hAnsi="Arial Narrow" w:cs="Calibri"/>
                <w:i/>
                <w:iCs/>
                <w:color w:val="000000"/>
                <w:sz w:val="20"/>
                <w:szCs w:val="20"/>
                <w:lang w:eastAsia="en-AU"/>
              </w:rPr>
            </w:pPr>
            <w:r>
              <w:rPr>
                <w:rFonts w:ascii="Arial Narrow" w:hAnsi="Arial Narrow" w:cs="Calibri"/>
                <w:i/>
                <w:iCs/>
                <w:color w:val="000000"/>
                <w:sz w:val="20"/>
                <w:szCs w:val="20"/>
                <w:lang w:eastAsia="en-AU"/>
              </w:rPr>
              <w:t>Annual usage</w:t>
            </w:r>
            <w:r w:rsidRPr="00EC1C0A">
              <w:rPr>
                <w:rFonts w:ascii="Arial Narrow" w:hAnsi="Arial Narrow" w:cs="Calibri"/>
                <w:i/>
                <w:iCs/>
                <w:color w:val="000000"/>
                <w:sz w:val="20"/>
                <w:szCs w:val="20"/>
                <w:lang w:eastAsia="en-AU"/>
              </w:rPr>
              <w:t>: 50% (base case: 36%)</w:t>
            </w:r>
          </w:p>
        </w:tc>
        <w:tc>
          <w:tcPr>
            <w:tcW w:w="972" w:type="dxa"/>
            <w:noWrap/>
            <w:hideMark/>
          </w:tcPr>
          <w:p w14:paraId="1B41DC8A" w14:textId="77777777" w:rsidR="00C55CBC" w:rsidRPr="00EC1C0A" w:rsidRDefault="00C55CBC" w:rsidP="008B34D8">
            <w:pPr>
              <w:spacing w:before="0"/>
              <w:rPr>
                <w:rFonts w:ascii="Arial Narrow" w:hAnsi="Arial Narrow" w:cs="Calibri"/>
                <w:i/>
                <w:iCs/>
                <w:color w:val="000000"/>
                <w:sz w:val="20"/>
                <w:szCs w:val="20"/>
                <w:lang w:eastAsia="en-AU"/>
              </w:rPr>
            </w:pPr>
          </w:p>
        </w:tc>
        <w:tc>
          <w:tcPr>
            <w:tcW w:w="972" w:type="dxa"/>
            <w:noWrap/>
            <w:hideMark/>
          </w:tcPr>
          <w:p w14:paraId="48B6607E" w14:textId="77777777" w:rsidR="00C55CBC" w:rsidRPr="00EC1C0A" w:rsidRDefault="00C55CBC" w:rsidP="008B34D8">
            <w:pPr>
              <w:spacing w:before="0"/>
              <w:rPr>
                <w:rFonts w:ascii="Arial Narrow" w:hAnsi="Arial Narrow"/>
                <w:sz w:val="20"/>
                <w:szCs w:val="20"/>
                <w:lang w:eastAsia="en-AU"/>
              </w:rPr>
            </w:pPr>
          </w:p>
        </w:tc>
        <w:tc>
          <w:tcPr>
            <w:tcW w:w="972" w:type="dxa"/>
            <w:noWrap/>
            <w:hideMark/>
          </w:tcPr>
          <w:p w14:paraId="17A08AC2" w14:textId="77777777" w:rsidR="00C55CBC" w:rsidRPr="00EC1C0A" w:rsidRDefault="00C55CBC" w:rsidP="008B34D8">
            <w:pPr>
              <w:spacing w:before="0"/>
              <w:rPr>
                <w:rFonts w:ascii="Arial Narrow" w:hAnsi="Arial Narrow"/>
                <w:sz w:val="20"/>
                <w:szCs w:val="20"/>
                <w:lang w:eastAsia="en-AU"/>
              </w:rPr>
            </w:pPr>
          </w:p>
        </w:tc>
        <w:tc>
          <w:tcPr>
            <w:tcW w:w="977" w:type="dxa"/>
            <w:noWrap/>
            <w:hideMark/>
          </w:tcPr>
          <w:p w14:paraId="04F7E4CF" w14:textId="77777777" w:rsidR="00C55CBC" w:rsidRPr="00EC1C0A" w:rsidRDefault="00C55CBC" w:rsidP="008B34D8">
            <w:pPr>
              <w:spacing w:before="0"/>
              <w:rPr>
                <w:rFonts w:ascii="Arial Narrow" w:hAnsi="Arial Narrow"/>
                <w:sz w:val="20"/>
                <w:szCs w:val="20"/>
                <w:lang w:eastAsia="en-AU"/>
              </w:rPr>
            </w:pPr>
          </w:p>
        </w:tc>
      </w:tr>
      <w:tr w:rsidR="00C55CBC" w:rsidRPr="00EC1C0A" w14:paraId="3E1C70AA" w14:textId="77777777" w:rsidTr="008B34D8">
        <w:trPr>
          <w:trHeight w:val="300"/>
        </w:trPr>
        <w:tc>
          <w:tcPr>
            <w:tcW w:w="3527" w:type="dxa"/>
            <w:noWrap/>
            <w:hideMark/>
          </w:tcPr>
          <w:p w14:paraId="7E37700A"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lastRenderedPageBreak/>
              <w:t>Net costs to MBS</w:t>
            </w:r>
          </w:p>
        </w:tc>
        <w:tc>
          <w:tcPr>
            <w:tcW w:w="973" w:type="dxa"/>
            <w:noWrap/>
            <w:vAlign w:val="bottom"/>
          </w:tcPr>
          <w:p w14:paraId="2FD23ADA"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$443,408</w:t>
            </w:r>
          </w:p>
        </w:tc>
        <w:tc>
          <w:tcPr>
            <w:tcW w:w="972" w:type="dxa"/>
            <w:noWrap/>
            <w:vAlign w:val="bottom"/>
          </w:tcPr>
          <w:p w14:paraId="2F28838E"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$449,203</w:t>
            </w:r>
          </w:p>
        </w:tc>
        <w:tc>
          <w:tcPr>
            <w:tcW w:w="972" w:type="dxa"/>
            <w:noWrap/>
            <w:vAlign w:val="bottom"/>
          </w:tcPr>
          <w:p w14:paraId="404BA791"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$454,945</w:t>
            </w:r>
          </w:p>
        </w:tc>
        <w:tc>
          <w:tcPr>
            <w:tcW w:w="972" w:type="dxa"/>
            <w:noWrap/>
            <w:vAlign w:val="bottom"/>
          </w:tcPr>
          <w:p w14:paraId="31683C5E"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$460,436</w:t>
            </w:r>
          </w:p>
        </w:tc>
        <w:tc>
          <w:tcPr>
            <w:tcW w:w="972" w:type="dxa"/>
            <w:noWrap/>
            <w:vAlign w:val="bottom"/>
          </w:tcPr>
          <w:p w14:paraId="06E0C20F"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$465,657</w:t>
            </w:r>
          </w:p>
        </w:tc>
        <w:tc>
          <w:tcPr>
            <w:tcW w:w="977" w:type="dxa"/>
            <w:noWrap/>
            <w:vAlign w:val="bottom"/>
          </w:tcPr>
          <w:p w14:paraId="7781801B"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$470,981</w:t>
            </w:r>
          </w:p>
        </w:tc>
      </w:tr>
      <w:tr w:rsidR="00C55CBC" w:rsidRPr="00EC1C0A" w14:paraId="7E78E751" w14:textId="77777777" w:rsidTr="008B34D8">
        <w:trPr>
          <w:trHeight w:val="300"/>
        </w:trPr>
        <w:tc>
          <w:tcPr>
            <w:tcW w:w="3527" w:type="dxa"/>
            <w:noWrap/>
            <w:hideMark/>
          </w:tcPr>
          <w:p w14:paraId="641AF01D"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 xml:space="preserve">Net </w:t>
            </w:r>
            <w:proofErr w:type="spellStart"/>
            <w:r w:rsidRPr="00EC1C0A">
              <w:rPr>
                <w:rFonts w:ascii="Arial Narrow" w:hAnsi="Arial Narrow" w:cs="Calibri"/>
                <w:color w:val="000000"/>
                <w:sz w:val="20"/>
                <w:szCs w:val="20"/>
                <w:lang w:eastAsia="en-AU"/>
              </w:rPr>
              <w:t>copayments</w:t>
            </w:r>
            <w:proofErr w:type="spellEnd"/>
          </w:p>
        </w:tc>
        <w:tc>
          <w:tcPr>
            <w:tcW w:w="973" w:type="dxa"/>
            <w:noWrap/>
            <w:vAlign w:val="bottom"/>
          </w:tcPr>
          <w:p w14:paraId="787A77E0"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$67,707</w:t>
            </w:r>
          </w:p>
        </w:tc>
        <w:tc>
          <w:tcPr>
            <w:tcW w:w="972" w:type="dxa"/>
            <w:noWrap/>
            <w:vAlign w:val="bottom"/>
          </w:tcPr>
          <w:p w14:paraId="0D55C96F"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$68,592</w:t>
            </w:r>
          </w:p>
        </w:tc>
        <w:tc>
          <w:tcPr>
            <w:tcW w:w="972" w:type="dxa"/>
            <w:noWrap/>
            <w:vAlign w:val="bottom"/>
          </w:tcPr>
          <w:p w14:paraId="2F1D60F2"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$69,468</w:t>
            </w:r>
          </w:p>
        </w:tc>
        <w:tc>
          <w:tcPr>
            <w:tcW w:w="972" w:type="dxa"/>
            <w:noWrap/>
            <w:vAlign w:val="bottom"/>
          </w:tcPr>
          <w:p w14:paraId="151CF18B"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$70,307</w:t>
            </w:r>
          </w:p>
        </w:tc>
        <w:tc>
          <w:tcPr>
            <w:tcW w:w="972" w:type="dxa"/>
            <w:noWrap/>
            <w:vAlign w:val="bottom"/>
          </w:tcPr>
          <w:p w14:paraId="126B1BDE"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$71,104</w:t>
            </w:r>
          </w:p>
        </w:tc>
        <w:tc>
          <w:tcPr>
            <w:tcW w:w="977" w:type="dxa"/>
            <w:noWrap/>
            <w:vAlign w:val="bottom"/>
          </w:tcPr>
          <w:p w14:paraId="3218DA3B"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$71,917</w:t>
            </w:r>
          </w:p>
        </w:tc>
      </w:tr>
      <w:tr w:rsidR="00C55CBC" w:rsidRPr="00EC1C0A" w14:paraId="1354F2A1" w14:textId="77777777" w:rsidTr="008B34D8">
        <w:trPr>
          <w:trHeight w:val="300"/>
        </w:trPr>
        <w:tc>
          <w:tcPr>
            <w:tcW w:w="5472" w:type="dxa"/>
            <w:gridSpan w:val="3"/>
            <w:noWrap/>
            <w:hideMark/>
          </w:tcPr>
          <w:p w14:paraId="7F4EFF1D" w14:textId="77777777" w:rsidR="00C55CBC" w:rsidRPr="00EC1C0A" w:rsidRDefault="00C55CBC" w:rsidP="008B34D8">
            <w:pPr>
              <w:spacing w:before="0"/>
              <w:rPr>
                <w:rFonts w:ascii="Arial Narrow" w:hAnsi="Arial Narrow" w:cs="Calibri"/>
                <w:i/>
                <w:iCs/>
                <w:color w:val="000000"/>
                <w:sz w:val="20"/>
                <w:szCs w:val="20"/>
                <w:lang w:eastAsia="en-AU"/>
              </w:rPr>
            </w:pPr>
            <w:r>
              <w:rPr>
                <w:rFonts w:ascii="Arial Narrow" w:hAnsi="Arial Narrow" w:cs="Calibri"/>
                <w:i/>
                <w:iCs/>
                <w:color w:val="000000"/>
                <w:sz w:val="20"/>
                <w:szCs w:val="20"/>
                <w:lang w:eastAsia="en-AU"/>
              </w:rPr>
              <w:t>Annual usage</w:t>
            </w:r>
            <w:r w:rsidRPr="00EC1C0A">
              <w:rPr>
                <w:rFonts w:ascii="Arial Narrow" w:hAnsi="Arial Narrow" w:cs="Calibri"/>
                <w:i/>
                <w:iCs/>
                <w:color w:val="000000"/>
                <w:sz w:val="20"/>
                <w:szCs w:val="20"/>
                <w:lang w:eastAsia="en-AU"/>
              </w:rPr>
              <w:t xml:space="preserve">: </w:t>
            </w:r>
            <w:r>
              <w:rPr>
                <w:rFonts w:ascii="Arial Narrow" w:hAnsi="Arial Narrow" w:cs="Calibri"/>
                <w:i/>
                <w:iCs/>
                <w:color w:val="000000"/>
                <w:sz w:val="20"/>
                <w:szCs w:val="20"/>
                <w:lang w:eastAsia="en-AU"/>
              </w:rPr>
              <w:t>72</w:t>
            </w:r>
            <w:r w:rsidRPr="00EC1C0A">
              <w:rPr>
                <w:rFonts w:ascii="Arial Narrow" w:hAnsi="Arial Narrow" w:cs="Calibri"/>
                <w:i/>
                <w:iCs/>
                <w:color w:val="000000"/>
                <w:sz w:val="20"/>
                <w:szCs w:val="20"/>
                <w:lang w:eastAsia="en-AU"/>
              </w:rPr>
              <w:t>% (base case: 36%)</w:t>
            </w:r>
          </w:p>
        </w:tc>
        <w:tc>
          <w:tcPr>
            <w:tcW w:w="972" w:type="dxa"/>
            <w:noWrap/>
            <w:hideMark/>
          </w:tcPr>
          <w:p w14:paraId="149E02EF" w14:textId="77777777" w:rsidR="00C55CBC" w:rsidRPr="00EC1C0A" w:rsidRDefault="00C55CBC" w:rsidP="008B34D8">
            <w:pPr>
              <w:spacing w:before="0"/>
              <w:rPr>
                <w:rFonts w:ascii="Arial Narrow" w:hAnsi="Arial Narrow" w:cs="Calibri"/>
                <w:i/>
                <w:iCs/>
                <w:color w:val="000000"/>
                <w:sz w:val="20"/>
                <w:szCs w:val="20"/>
                <w:lang w:eastAsia="en-AU"/>
              </w:rPr>
            </w:pPr>
          </w:p>
        </w:tc>
        <w:tc>
          <w:tcPr>
            <w:tcW w:w="972" w:type="dxa"/>
            <w:noWrap/>
            <w:hideMark/>
          </w:tcPr>
          <w:p w14:paraId="0CE346FF" w14:textId="77777777" w:rsidR="00C55CBC" w:rsidRPr="00EC1C0A" w:rsidRDefault="00C55CBC" w:rsidP="008B34D8">
            <w:pPr>
              <w:spacing w:before="0"/>
              <w:rPr>
                <w:rFonts w:ascii="Arial Narrow" w:hAnsi="Arial Narrow"/>
                <w:sz w:val="20"/>
                <w:szCs w:val="20"/>
                <w:lang w:eastAsia="en-AU"/>
              </w:rPr>
            </w:pPr>
          </w:p>
        </w:tc>
        <w:tc>
          <w:tcPr>
            <w:tcW w:w="972" w:type="dxa"/>
            <w:noWrap/>
            <w:hideMark/>
          </w:tcPr>
          <w:p w14:paraId="062752A6" w14:textId="77777777" w:rsidR="00C55CBC" w:rsidRPr="00EC1C0A" w:rsidRDefault="00C55CBC" w:rsidP="008B34D8">
            <w:pPr>
              <w:spacing w:before="0"/>
              <w:rPr>
                <w:rFonts w:ascii="Arial Narrow" w:hAnsi="Arial Narrow"/>
                <w:sz w:val="20"/>
                <w:szCs w:val="20"/>
                <w:lang w:eastAsia="en-AU"/>
              </w:rPr>
            </w:pPr>
          </w:p>
        </w:tc>
        <w:tc>
          <w:tcPr>
            <w:tcW w:w="977" w:type="dxa"/>
            <w:noWrap/>
            <w:hideMark/>
          </w:tcPr>
          <w:p w14:paraId="2D9A4BA6" w14:textId="77777777" w:rsidR="00C55CBC" w:rsidRPr="00EC1C0A" w:rsidRDefault="00C55CBC" w:rsidP="008B34D8">
            <w:pPr>
              <w:spacing w:before="0"/>
              <w:rPr>
                <w:rFonts w:ascii="Arial Narrow" w:hAnsi="Arial Narrow"/>
                <w:sz w:val="20"/>
                <w:szCs w:val="20"/>
                <w:lang w:eastAsia="en-AU"/>
              </w:rPr>
            </w:pPr>
          </w:p>
        </w:tc>
      </w:tr>
      <w:tr w:rsidR="00C55CBC" w:rsidRPr="00EC1C0A" w14:paraId="19FD9449" w14:textId="77777777" w:rsidTr="008B34D8">
        <w:trPr>
          <w:trHeight w:val="300"/>
        </w:trPr>
        <w:tc>
          <w:tcPr>
            <w:tcW w:w="3527" w:type="dxa"/>
            <w:noWrap/>
            <w:vAlign w:val="bottom"/>
          </w:tcPr>
          <w:p w14:paraId="3CECBD5D" w14:textId="77777777" w:rsidR="00C55CBC" w:rsidRPr="00EC1C0A" w:rsidRDefault="00C55CBC" w:rsidP="008B34D8">
            <w:pPr>
              <w:spacing w:before="0"/>
              <w:rPr>
                <w:rFonts w:ascii="Arial Narrow" w:hAnsi="Arial Narrow" w:cs="Calibri"/>
                <w:color w:val="000000"/>
                <w:sz w:val="20"/>
                <w:szCs w:val="20"/>
                <w:lang w:eastAsia="en-AU"/>
              </w:rPr>
            </w:pPr>
            <w:r>
              <w:rPr>
                <w:rFonts w:ascii="Arial Narrow" w:hAnsi="Arial Narrow" w:cs="Calibri"/>
                <w:color w:val="000000"/>
                <w:sz w:val="20"/>
                <w:szCs w:val="20"/>
              </w:rPr>
              <w:t>Net costs to MBS</w:t>
            </w:r>
          </w:p>
        </w:tc>
        <w:tc>
          <w:tcPr>
            <w:tcW w:w="973" w:type="dxa"/>
            <w:noWrap/>
            <w:vAlign w:val="bottom"/>
          </w:tcPr>
          <w:p w14:paraId="61297F6F"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$743,385</w:t>
            </w:r>
          </w:p>
        </w:tc>
        <w:tc>
          <w:tcPr>
            <w:tcW w:w="972" w:type="dxa"/>
            <w:noWrap/>
            <w:vAlign w:val="bottom"/>
          </w:tcPr>
          <w:p w14:paraId="100ABFAF"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$753,101</w:t>
            </w:r>
          </w:p>
        </w:tc>
        <w:tc>
          <w:tcPr>
            <w:tcW w:w="972" w:type="dxa"/>
            <w:noWrap/>
            <w:vAlign w:val="bottom"/>
          </w:tcPr>
          <w:p w14:paraId="076867CE"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$762,728</w:t>
            </w:r>
          </w:p>
        </w:tc>
        <w:tc>
          <w:tcPr>
            <w:tcW w:w="972" w:type="dxa"/>
            <w:noWrap/>
            <w:vAlign w:val="bottom"/>
          </w:tcPr>
          <w:p w14:paraId="4B630B66"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$771,933</w:t>
            </w:r>
          </w:p>
        </w:tc>
        <w:tc>
          <w:tcPr>
            <w:tcW w:w="972" w:type="dxa"/>
            <w:noWrap/>
            <w:vAlign w:val="bottom"/>
          </w:tcPr>
          <w:p w14:paraId="31B91F6C"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$780,687</w:t>
            </w:r>
          </w:p>
        </w:tc>
        <w:tc>
          <w:tcPr>
            <w:tcW w:w="977" w:type="dxa"/>
            <w:noWrap/>
            <w:vAlign w:val="bottom"/>
          </w:tcPr>
          <w:p w14:paraId="25F74422"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$789,613</w:t>
            </w:r>
          </w:p>
        </w:tc>
      </w:tr>
      <w:tr w:rsidR="00C55CBC" w:rsidRPr="00EC1C0A" w14:paraId="7C5A45A5" w14:textId="77777777" w:rsidTr="008B34D8">
        <w:trPr>
          <w:trHeight w:val="300"/>
        </w:trPr>
        <w:tc>
          <w:tcPr>
            <w:tcW w:w="3527" w:type="dxa"/>
            <w:noWrap/>
            <w:vAlign w:val="bottom"/>
          </w:tcPr>
          <w:p w14:paraId="302E7662" w14:textId="77777777" w:rsidR="00C55CBC" w:rsidRPr="00EC1C0A" w:rsidRDefault="00C55CBC" w:rsidP="008B34D8">
            <w:pPr>
              <w:spacing w:before="0"/>
              <w:rPr>
                <w:rFonts w:ascii="Arial Narrow" w:hAnsi="Arial Narrow" w:cs="Calibri"/>
                <w:color w:val="000000"/>
                <w:sz w:val="20"/>
                <w:szCs w:val="20"/>
                <w:lang w:eastAsia="en-AU"/>
              </w:rPr>
            </w:pPr>
            <w:r>
              <w:rPr>
                <w:rFonts w:ascii="Arial Narrow" w:hAnsi="Arial Narrow" w:cs="Calibri"/>
                <w:color w:val="000000"/>
                <w:sz w:val="20"/>
                <w:szCs w:val="20"/>
              </w:rPr>
              <w:t xml:space="preserve">Net </w:t>
            </w:r>
            <w:proofErr w:type="spellStart"/>
            <w:r>
              <w:rPr>
                <w:rFonts w:ascii="Arial Narrow" w:hAnsi="Arial Narrow" w:cs="Calibri"/>
                <w:color w:val="000000"/>
                <w:sz w:val="20"/>
                <w:szCs w:val="20"/>
              </w:rPr>
              <w:t>copayments</w:t>
            </w:r>
            <w:proofErr w:type="spellEnd"/>
          </w:p>
        </w:tc>
        <w:tc>
          <w:tcPr>
            <w:tcW w:w="973" w:type="dxa"/>
            <w:noWrap/>
            <w:vAlign w:val="bottom"/>
          </w:tcPr>
          <w:p w14:paraId="01805A7B"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$116,013</w:t>
            </w:r>
          </w:p>
        </w:tc>
        <w:tc>
          <w:tcPr>
            <w:tcW w:w="972" w:type="dxa"/>
            <w:noWrap/>
            <w:vAlign w:val="bottom"/>
          </w:tcPr>
          <w:p w14:paraId="341BE219"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$117,529</w:t>
            </w:r>
          </w:p>
        </w:tc>
        <w:tc>
          <w:tcPr>
            <w:tcW w:w="972" w:type="dxa"/>
            <w:noWrap/>
            <w:vAlign w:val="bottom"/>
          </w:tcPr>
          <w:p w14:paraId="2CBDA284"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$119,032</w:t>
            </w:r>
          </w:p>
        </w:tc>
        <w:tc>
          <w:tcPr>
            <w:tcW w:w="972" w:type="dxa"/>
            <w:noWrap/>
            <w:vAlign w:val="bottom"/>
          </w:tcPr>
          <w:p w14:paraId="0210613C"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$120,468</w:t>
            </w:r>
          </w:p>
        </w:tc>
        <w:tc>
          <w:tcPr>
            <w:tcW w:w="972" w:type="dxa"/>
            <w:noWrap/>
            <w:vAlign w:val="bottom"/>
          </w:tcPr>
          <w:p w14:paraId="496EEA44"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$121,834</w:t>
            </w:r>
          </w:p>
        </w:tc>
        <w:tc>
          <w:tcPr>
            <w:tcW w:w="977" w:type="dxa"/>
            <w:noWrap/>
            <w:vAlign w:val="bottom"/>
          </w:tcPr>
          <w:p w14:paraId="3F1DFC06" w14:textId="77777777" w:rsidR="00C55CBC" w:rsidRDefault="00C55CBC" w:rsidP="008B34D8">
            <w:pPr>
              <w:spacing w:before="0"/>
              <w:jc w:val="right"/>
              <w:rPr>
                <w:rFonts w:ascii="Arial Narrow" w:hAnsi="Arial Narrow" w:cs="Calibri"/>
                <w:color w:val="000000"/>
                <w:sz w:val="20"/>
                <w:szCs w:val="20"/>
              </w:rPr>
            </w:pPr>
            <w:r>
              <w:rPr>
                <w:rFonts w:ascii="Arial Narrow" w:hAnsi="Arial Narrow" w:cs="Calibri"/>
                <w:color w:val="000000"/>
                <w:sz w:val="20"/>
                <w:szCs w:val="20"/>
              </w:rPr>
              <w:t>$123,227</w:t>
            </w:r>
          </w:p>
        </w:tc>
      </w:tr>
      <w:tr w:rsidR="00C55CBC" w:rsidRPr="00EC1C0A" w14:paraId="36861ACA" w14:textId="77777777" w:rsidTr="008B34D8">
        <w:trPr>
          <w:trHeight w:val="300"/>
        </w:trPr>
        <w:tc>
          <w:tcPr>
            <w:tcW w:w="6444" w:type="dxa"/>
            <w:gridSpan w:val="4"/>
            <w:noWrap/>
            <w:hideMark/>
          </w:tcPr>
          <w:p w14:paraId="2E2ED87B" w14:textId="77777777" w:rsidR="00C55CBC" w:rsidRPr="00EC1C0A" w:rsidRDefault="00C55CBC" w:rsidP="008B34D8">
            <w:pPr>
              <w:spacing w:before="0"/>
              <w:rPr>
                <w:rFonts w:ascii="Arial Narrow" w:hAnsi="Arial Narrow" w:cs="Calibri"/>
                <w:i/>
                <w:iCs/>
                <w:color w:val="000000"/>
                <w:sz w:val="20"/>
                <w:szCs w:val="20"/>
                <w:lang w:eastAsia="en-AU"/>
              </w:rPr>
            </w:pPr>
            <w:r w:rsidRPr="00EC1C0A">
              <w:rPr>
                <w:rFonts w:ascii="Arial Narrow" w:hAnsi="Arial Narrow" w:cs="Calibri"/>
                <w:i/>
                <w:iCs/>
                <w:color w:val="000000"/>
                <w:sz w:val="20"/>
                <w:szCs w:val="20"/>
                <w:lang w:eastAsia="en-AU"/>
              </w:rPr>
              <w:t>Proportion of patients receiving treatment: 5% (base case 10%)</w:t>
            </w:r>
          </w:p>
        </w:tc>
        <w:tc>
          <w:tcPr>
            <w:tcW w:w="972" w:type="dxa"/>
            <w:noWrap/>
            <w:hideMark/>
          </w:tcPr>
          <w:p w14:paraId="5633C52B" w14:textId="77777777" w:rsidR="00C55CBC" w:rsidRPr="00EC1C0A" w:rsidRDefault="00C55CBC" w:rsidP="008B34D8">
            <w:pPr>
              <w:spacing w:before="0"/>
              <w:rPr>
                <w:rFonts w:ascii="Arial Narrow" w:hAnsi="Arial Narrow" w:cs="Calibri"/>
                <w:i/>
                <w:iCs/>
                <w:color w:val="000000"/>
                <w:sz w:val="20"/>
                <w:szCs w:val="20"/>
                <w:lang w:eastAsia="en-AU"/>
              </w:rPr>
            </w:pPr>
          </w:p>
        </w:tc>
        <w:tc>
          <w:tcPr>
            <w:tcW w:w="972" w:type="dxa"/>
            <w:noWrap/>
            <w:hideMark/>
          </w:tcPr>
          <w:p w14:paraId="1B1FDE56" w14:textId="77777777" w:rsidR="00C55CBC" w:rsidRPr="00EC1C0A" w:rsidRDefault="00C55CBC" w:rsidP="008B34D8">
            <w:pPr>
              <w:spacing w:before="0"/>
              <w:rPr>
                <w:rFonts w:ascii="Arial Narrow" w:hAnsi="Arial Narrow"/>
                <w:sz w:val="20"/>
                <w:szCs w:val="20"/>
                <w:lang w:eastAsia="en-AU"/>
              </w:rPr>
            </w:pPr>
          </w:p>
        </w:tc>
        <w:tc>
          <w:tcPr>
            <w:tcW w:w="977" w:type="dxa"/>
            <w:noWrap/>
            <w:hideMark/>
          </w:tcPr>
          <w:p w14:paraId="30A1494F" w14:textId="77777777" w:rsidR="00C55CBC" w:rsidRPr="00EC1C0A" w:rsidRDefault="00C55CBC" w:rsidP="008B34D8">
            <w:pPr>
              <w:spacing w:before="0"/>
              <w:rPr>
                <w:rFonts w:ascii="Arial Narrow" w:hAnsi="Arial Narrow"/>
                <w:sz w:val="20"/>
                <w:szCs w:val="20"/>
                <w:lang w:eastAsia="en-AU"/>
              </w:rPr>
            </w:pPr>
          </w:p>
        </w:tc>
      </w:tr>
      <w:tr w:rsidR="00C55CBC" w:rsidRPr="00EC1C0A" w14:paraId="4F0C6A63" w14:textId="77777777" w:rsidTr="008B34D8">
        <w:trPr>
          <w:trHeight w:val="300"/>
        </w:trPr>
        <w:tc>
          <w:tcPr>
            <w:tcW w:w="3527" w:type="dxa"/>
            <w:noWrap/>
            <w:hideMark/>
          </w:tcPr>
          <w:p w14:paraId="51BE8EF9"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Net costs to MBS</w:t>
            </w:r>
          </w:p>
        </w:tc>
        <w:tc>
          <w:tcPr>
            <w:tcW w:w="973" w:type="dxa"/>
            <w:noWrap/>
            <w:vAlign w:val="bottom"/>
          </w:tcPr>
          <w:p w14:paraId="167FCD43"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$241,902</w:t>
            </w:r>
          </w:p>
        </w:tc>
        <w:tc>
          <w:tcPr>
            <w:tcW w:w="972" w:type="dxa"/>
            <w:noWrap/>
            <w:vAlign w:val="bottom"/>
          </w:tcPr>
          <w:p w14:paraId="3FF23EE8"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$245,064</w:t>
            </w:r>
          </w:p>
        </w:tc>
        <w:tc>
          <w:tcPr>
            <w:tcW w:w="972" w:type="dxa"/>
            <w:noWrap/>
            <w:vAlign w:val="bottom"/>
          </w:tcPr>
          <w:p w14:paraId="4B6433A1"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$248,197</w:t>
            </w:r>
          </w:p>
        </w:tc>
        <w:tc>
          <w:tcPr>
            <w:tcW w:w="972" w:type="dxa"/>
            <w:noWrap/>
            <w:vAlign w:val="bottom"/>
          </w:tcPr>
          <w:p w14:paraId="5E1D9029"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$251,192</w:t>
            </w:r>
          </w:p>
        </w:tc>
        <w:tc>
          <w:tcPr>
            <w:tcW w:w="972" w:type="dxa"/>
            <w:noWrap/>
            <w:vAlign w:val="bottom"/>
          </w:tcPr>
          <w:p w14:paraId="2F306B95"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$254,041</w:t>
            </w:r>
          </w:p>
        </w:tc>
        <w:tc>
          <w:tcPr>
            <w:tcW w:w="977" w:type="dxa"/>
            <w:noWrap/>
            <w:vAlign w:val="bottom"/>
          </w:tcPr>
          <w:p w14:paraId="6F9C022D"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$256,945</w:t>
            </w:r>
          </w:p>
        </w:tc>
      </w:tr>
      <w:tr w:rsidR="00C55CBC" w:rsidRPr="00EC1C0A" w14:paraId="40283F28" w14:textId="77777777" w:rsidTr="008B34D8">
        <w:trPr>
          <w:trHeight w:val="300"/>
        </w:trPr>
        <w:tc>
          <w:tcPr>
            <w:tcW w:w="3527" w:type="dxa"/>
            <w:noWrap/>
            <w:hideMark/>
          </w:tcPr>
          <w:p w14:paraId="2A5A437D"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 xml:space="preserve">Net </w:t>
            </w:r>
            <w:proofErr w:type="spellStart"/>
            <w:r w:rsidRPr="00EC1C0A">
              <w:rPr>
                <w:rFonts w:ascii="Arial Narrow" w:hAnsi="Arial Narrow" w:cs="Calibri"/>
                <w:color w:val="000000"/>
                <w:sz w:val="20"/>
                <w:szCs w:val="20"/>
                <w:lang w:eastAsia="en-AU"/>
              </w:rPr>
              <w:t>copayments</w:t>
            </w:r>
            <w:proofErr w:type="spellEnd"/>
          </w:p>
        </w:tc>
        <w:tc>
          <w:tcPr>
            <w:tcW w:w="973" w:type="dxa"/>
            <w:noWrap/>
            <w:vAlign w:val="bottom"/>
          </w:tcPr>
          <w:p w14:paraId="63DBDEFC"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$35,426</w:t>
            </w:r>
          </w:p>
        </w:tc>
        <w:tc>
          <w:tcPr>
            <w:tcW w:w="972" w:type="dxa"/>
            <w:noWrap/>
            <w:vAlign w:val="bottom"/>
          </w:tcPr>
          <w:p w14:paraId="05065BD1"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$35,889</w:t>
            </w:r>
          </w:p>
        </w:tc>
        <w:tc>
          <w:tcPr>
            <w:tcW w:w="972" w:type="dxa"/>
            <w:noWrap/>
            <w:vAlign w:val="bottom"/>
          </w:tcPr>
          <w:p w14:paraId="5FFD147A"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$36,347</w:t>
            </w:r>
          </w:p>
        </w:tc>
        <w:tc>
          <w:tcPr>
            <w:tcW w:w="972" w:type="dxa"/>
            <w:noWrap/>
            <w:vAlign w:val="bottom"/>
          </w:tcPr>
          <w:p w14:paraId="0B0764F7"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$36,786</w:t>
            </w:r>
          </w:p>
        </w:tc>
        <w:tc>
          <w:tcPr>
            <w:tcW w:w="972" w:type="dxa"/>
            <w:noWrap/>
            <w:vAlign w:val="bottom"/>
          </w:tcPr>
          <w:p w14:paraId="35B906A3"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$37,203</w:t>
            </w:r>
          </w:p>
        </w:tc>
        <w:tc>
          <w:tcPr>
            <w:tcW w:w="977" w:type="dxa"/>
            <w:noWrap/>
            <w:vAlign w:val="bottom"/>
          </w:tcPr>
          <w:p w14:paraId="164069D1"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$37,629</w:t>
            </w:r>
          </w:p>
        </w:tc>
      </w:tr>
      <w:tr w:rsidR="00C55CBC" w:rsidRPr="00EC1C0A" w14:paraId="11573F73" w14:textId="77777777" w:rsidTr="008B34D8">
        <w:trPr>
          <w:trHeight w:val="300"/>
        </w:trPr>
        <w:tc>
          <w:tcPr>
            <w:tcW w:w="6444" w:type="dxa"/>
            <w:gridSpan w:val="4"/>
            <w:noWrap/>
            <w:hideMark/>
          </w:tcPr>
          <w:p w14:paraId="630BBF44" w14:textId="77777777" w:rsidR="00C55CBC" w:rsidRPr="00EC1C0A" w:rsidRDefault="00C55CBC" w:rsidP="008B34D8">
            <w:pPr>
              <w:spacing w:before="0"/>
              <w:rPr>
                <w:rFonts w:ascii="Arial Narrow" w:hAnsi="Arial Narrow" w:cs="Calibri"/>
                <w:i/>
                <w:iCs/>
                <w:color w:val="000000"/>
                <w:sz w:val="20"/>
                <w:szCs w:val="20"/>
                <w:lang w:eastAsia="en-AU"/>
              </w:rPr>
            </w:pPr>
            <w:r w:rsidRPr="00EC1C0A">
              <w:rPr>
                <w:rFonts w:ascii="Arial Narrow" w:hAnsi="Arial Narrow" w:cs="Calibri"/>
                <w:i/>
                <w:iCs/>
                <w:color w:val="000000"/>
                <w:sz w:val="20"/>
                <w:szCs w:val="20"/>
                <w:lang w:eastAsia="en-AU"/>
              </w:rPr>
              <w:t>Proportion of patients receiving treatment: 15% (base case 10%)</w:t>
            </w:r>
          </w:p>
        </w:tc>
        <w:tc>
          <w:tcPr>
            <w:tcW w:w="972" w:type="dxa"/>
            <w:noWrap/>
            <w:hideMark/>
          </w:tcPr>
          <w:p w14:paraId="54B57675" w14:textId="77777777" w:rsidR="00C55CBC" w:rsidRPr="00EC1C0A" w:rsidRDefault="00C55CBC" w:rsidP="008B34D8">
            <w:pPr>
              <w:spacing w:before="0"/>
              <w:rPr>
                <w:rFonts w:ascii="Arial Narrow" w:hAnsi="Arial Narrow" w:cs="Calibri"/>
                <w:i/>
                <w:iCs/>
                <w:color w:val="000000"/>
                <w:sz w:val="20"/>
                <w:szCs w:val="20"/>
                <w:lang w:eastAsia="en-AU"/>
              </w:rPr>
            </w:pPr>
          </w:p>
        </w:tc>
        <w:tc>
          <w:tcPr>
            <w:tcW w:w="972" w:type="dxa"/>
            <w:noWrap/>
            <w:hideMark/>
          </w:tcPr>
          <w:p w14:paraId="508E4FC7" w14:textId="77777777" w:rsidR="00C55CBC" w:rsidRPr="00EC1C0A" w:rsidRDefault="00C55CBC" w:rsidP="008B34D8">
            <w:pPr>
              <w:spacing w:before="0"/>
              <w:rPr>
                <w:rFonts w:ascii="Arial Narrow" w:hAnsi="Arial Narrow"/>
                <w:sz w:val="20"/>
                <w:szCs w:val="20"/>
                <w:lang w:eastAsia="en-AU"/>
              </w:rPr>
            </w:pPr>
          </w:p>
        </w:tc>
        <w:tc>
          <w:tcPr>
            <w:tcW w:w="977" w:type="dxa"/>
            <w:noWrap/>
            <w:hideMark/>
          </w:tcPr>
          <w:p w14:paraId="7E9766FF" w14:textId="77777777" w:rsidR="00C55CBC" w:rsidRPr="00EC1C0A" w:rsidRDefault="00C55CBC" w:rsidP="008B34D8">
            <w:pPr>
              <w:spacing w:before="0"/>
              <w:rPr>
                <w:rFonts w:ascii="Arial Narrow" w:hAnsi="Arial Narrow"/>
                <w:sz w:val="20"/>
                <w:szCs w:val="20"/>
                <w:lang w:eastAsia="en-AU"/>
              </w:rPr>
            </w:pPr>
          </w:p>
        </w:tc>
      </w:tr>
      <w:tr w:rsidR="00C55CBC" w:rsidRPr="00EC1C0A" w14:paraId="67515AA3" w14:textId="77777777" w:rsidTr="008B34D8">
        <w:trPr>
          <w:trHeight w:val="300"/>
        </w:trPr>
        <w:tc>
          <w:tcPr>
            <w:tcW w:w="3527" w:type="dxa"/>
            <w:noWrap/>
            <w:hideMark/>
          </w:tcPr>
          <w:p w14:paraId="5B29C72A"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Net costs to MBS</w:t>
            </w:r>
          </w:p>
        </w:tc>
        <w:tc>
          <w:tcPr>
            <w:tcW w:w="973" w:type="dxa"/>
            <w:noWrap/>
            <w:vAlign w:val="bottom"/>
          </w:tcPr>
          <w:p w14:paraId="6CCA6C6C"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$264,941</w:t>
            </w:r>
          </w:p>
        </w:tc>
        <w:tc>
          <w:tcPr>
            <w:tcW w:w="972" w:type="dxa"/>
            <w:noWrap/>
            <w:vAlign w:val="bottom"/>
          </w:tcPr>
          <w:p w14:paraId="2CAE6718"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$268,403</w:t>
            </w:r>
          </w:p>
        </w:tc>
        <w:tc>
          <w:tcPr>
            <w:tcW w:w="972" w:type="dxa"/>
            <w:noWrap/>
            <w:vAlign w:val="bottom"/>
          </w:tcPr>
          <w:p w14:paraId="39B5C0F0"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$271,835</w:t>
            </w:r>
          </w:p>
        </w:tc>
        <w:tc>
          <w:tcPr>
            <w:tcW w:w="972" w:type="dxa"/>
            <w:noWrap/>
            <w:vAlign w:val="bottom"/>
          </w:tcPr>
          <w:p w14:paraId="0CB77A07"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$275,115</w:t>
            </w:r>
          </w:p>
        </w:tc>
        <w:tc>
          <w:tcPr>
            <w:tcW w:w="972" w:type="dxa"/>
            <w:noWrap/>
            <w:vAlign w:val="bottom"/>
          </w:tcPr>
          <w:p w14:paraId="75D112EA"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$278,235</w:t>
            </w:r>
          </w:p>
        </w:tc>
        <w:tc>
          <w:tcPr>
            <w:tcW w:w="977" w:type="dxa"/>
            <w:noWrap/>
            <w:vAlign w:val="bottom"/>
          </w:tcPr>
          <w:p w14:paraId="70CF99EF"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$281,416</w:t>
            </w:r>
          </w:p>
        </w:tc>
      </w:tr>
      <w:tr w:rsidR="00C55CBC" w:rsidRPr="00EC1C0A" w14:paraId="3BADD239" w14:textId="77777777" w:rsidTr="008B34D8">
        <w:trPr>
          <w:trHeight w:val="300"/>
        </w:trPr>
        <w:tc>
          <w:tcPr>
            <w:tcW w:w="3527" w:type="dxa"/>
            <w:noWrap/>
            <w:hideMark/>
          </w:tcPr>
          <w:p w14:paraId="370EFFF3"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 xml:space="preserve">Net </w:t>
            </w:r>
            <w:proofErr w:type="spellStart"/>
            <w:r w:rsidRPr="00EC1C0A">
              <w:rPr>
                <w:rFonts w:ascii="Arial Narrow" w:hAnsi="Arial Narrow" w:cs="Calibri"/>
                <w:color w:val="000000"/>
                <w:sz w:val="20"/>
                <w:szCs w:val="20"/>
                <w:lang w:eastAsia="en-AU"/>
              </w:rPr>
              <w:t>copayments</w:t>
            </w:r>
            <w:proofErr w:type="spellEnd"/>
          </w:p>
        </w:tc>
        <w:tc>
          <w:tcPr>
            <w:tcW w:w="973" w:type="dxa"/>
            <w:noWrap/>
            <w:vAlign w:val="bottom"/>
          </w:tcPr>
          <w:p w14:paraId="557DD3DC"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$38,799</w:t>
            </w:r>
          </w:p>
        </w:tc>
        <w:tc>
          <w:tcPr>
            <w:tcW w:w="972" w:type="dxa"/>
            <w:noWrap/>
            <w:vAlign w:val="bottom"/>
          </w:tcPr>
          <w:p w14:paraId="57357CCE"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$39,307</w:t>
            </w:r>
          </w:p>
        </w:tc>
        <w:tc>
          <w:tcPr>
            <w:tcW w:w="972" w:type="dxa"/>
            <w:noWrap/>
            <w:vAlign w:val="bottom"/>
          </w:tcPr>
          <w:p w14:paraId="3A01DB87"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$39,809</w:t>
            </w:r>
          </w:p>
        </w:tc>
        <w:tc>
          <w:tcPr>
            <w:tcW w:w="972" w:type="dxa"/>
            <w:noWrap/>
            <w:vAlign w:val="bottom"/>
          </w:tcPr>
          <w:p w14:paraId="744FAB12"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$40,289</w:t>
            </w:r>
          </w:p>
        </w:tc>
        <w:tc>
          <w:tcPr>
            <w:tcW w:w="972" w:type="dxa"/>
            <w:noWrap/>
            <w:vAlign w:val="bottom"/>
          </w:tcPr>
          <w:p w14:paraId="2F62DA5C"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$40,746</w:t>
            </w:r>
          </w:p>
        </w:tc>
        <w:tc>
          <w:tcPr>
            <w:tcW w:w="977" w:type="dxa"/>
            <w:noWrap/>
            <w:vAlign w:val="bottom"/>
          </w:tcPr>
          <w:p w14:paraId="7E5FC8F8"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$41,212</w:t>
            </w:r>
          </w:p>
        </w:tc>
      </w:tr>
      <w:tr w:rsidR="00C55CBC" w:rsidRPr="00EC1C0A" w14:paraId="637E053A" w14:textId="77777777" w:rsidTr="008B34D8">
        <w:trPr>
          <w:trHeight w:val="300"/>
        </w:trPr>
        <w:tc>
          <w:tcPr>
            <w:tcW w:w="4500" w:type="dxa"/>
            <w:gridSpan w:val="2"/>
            <w:noWrap/>
            <w:hideMark/>
          </w:tcPr>
          <w:p w14:paraId="16669F90" w14:textId="77777777" w:rsidR="00C55CBC" w:rsidRPr="00EC1C0A" w:rsidRDefault="00C55CBC" w:rsidP="008B34D8">
            <w:pPr>
              <w:spacing w:before="0"/>
              <w:rPr>
                <w:rFonts w:ascii="Arial Narrow" w:hAnsi="Arial Narrow" w:cs="Calibri"/>
                <w:i/>
                <w:iCs/>
                <w:color w:val="000000"/>
                <w:sz w:val="20"/>
                <w:szCs w:val="20"/>
                <w:lang w:eastAsia="en-AU"/>
              </w:rPr>
            </w:pPr>
            <w:r w:rsidRPr="00EC1C0A">
              <w:rPr>
                <w:rFonts w:ascii="Arial Narrow" w:hAnsi="Arial Narrow" w:cs="Calibri"/>
                <w:i/>
                <w:iCs/>
                <w:color w:val="000000"/>
                <w:sz w:val="20"/>
                <w:szCs w:val="20"/>
                <w:lang w:eastAsia="en-AU"/>
              </w:rPr>
              <w:t xml:space="preserve">Current </w:t>
            </w:r>
            <w:bookmarkStart w:id="40" w:name="_Hlk118912176"/>
            <w:r>
              <w:rPr>
                <w:rFonts w:ascii="Arial Narrow" w:hAnsi="Arial Narrow" w:cs="Calibri"/>
                <w:i/>
                <w:iCs/>
                <w:color w:val="000000"/>
                <w:sz w:val="20"/>
                <w:szCs w:val="20"/>
                <w:lang w:eastAsia="en-AU"/>
              </w:rPr>
              <w:t>annualised usage</w:t>
            </w:r>
            <w:r w:rsidRPr="00EC1C0A">
              <w:rPr>
                <w:rFonts w:ascii="Arial Narrow" w:hAnsi="Arial Narrow" w:cs="Calibri"/>
                <w:i/>
                <w:iCs/>
                <w:color w:val="000000"/>
                <w:sz w:val="20"/>
                <w:szCs w:val="20"/>
                <w:lang w:eastAsia="en-AU"/>
              </w:rPr>
              <w:t xml:space="preserve"> </w:t>
            </w:r>
            <w:bookmarkEnd w:id="40"/>
            <w:r w:rsidRPr="00EC1C0A">
              <w:rPr>
                <w:rFonts w:ascii="Arial Narrow" w:hAnsi="Arial Narrow" w:cs="Calibri"/>
                <w:i/>
                <w:iCs/>
                <w:color w:val="000000"/>
                <w:sz w:val="20"/>
                <w:szCs w:val="20"/>
                <w:lang w:eastAsia="en-AU"/>
              </w:rPr>
              <w:t>of CT scan: 15% (base case 25%)</w:t>
            </w:r>
          </w:p>
        </w:tc>
        <w:tc>
          <w:tcPr>
            <w:tcW w:w="972" w:type="dxa"/>
            <w:noWrap/>
            <w:hideMark/>
          </w:tcPr>
          <w:p w14:paraId="7A041C65" w14:textId="77777777" w:rsidR="00C55CBC" w:rsidRPr="00EC1C0A" w:rsidRDefault="00C55CBC" w:rsidP="008B34D8">
            <w:pPr>
              <w:spacing w:before="0"/>
              <w:rPr>
                <w:rFonts w:ascii="Arial Narrow" w:hAnsi="Arial Narrow" w:cs="Calibri"/>
                <w:i/>
                <w:iCs/>
                <w:color w:val="000000"/>
                <w:sz w:val="20"/>
                <w:szCs w:val="20"/>
                <w:lang w:eastAsia="en-AU"/>
              </w:rPr>
            </w:pPr>
          </w:p>
        </w:tc>
        <w:tc>
          <w:tcPr>
            <w:tcW w:w="972" w:type="dxa"/>
            <w:noWrap/>
            <w:hideMark/>
          </w:tcPr>
          <w:p w14:paraId="0AC23AAB" w14:textId="77777777" w:rsidR="00C55CBC" w:rsidRPr="00EC1C0A" w:rsidRDefault="00C55CBC" w:rsidP="008B34D8">
            <w:pPr>
              <w:spacing w:before="0"/>
              <w:rPr>
                <w:rFonts w:ascii="Arial Narrow" w:hAnsi="Arial Narrow"/>
                <w:sz w:val="20"/>
                <w:szCs w:val="20"/>
                <w:lang w:eastAsia="en-AU"/>
              </w:rPr>
            </w:pPr>
          </w:p>
        </w:tc>
        <w:tc>
          <w:tcPr>
            <w:tcW w:w="972" w:type="dxa"/>
            <w:noWrap/>
            <w:hideMark/>
          </w:tcPr>
          <w:p w14:paraId="58515BDB" w14:textId="77777777" w:rsidR="00C55CBC" w:rsidRPr="00EC1C0A" w:rsidRDefault="00C55CBC" w:rsidP="008B34D8">
            <w:pPr>
              <w:spacing w:before="0"/>
              <w:rPr>
                <w:rFonts w:ascii="Arial Narrow" w:hAnsi="Arial Narrow"/>
                <w:sz w:val="20"/>
                <w:szCs w:val="20"/>
                <w:lang w:eastAsia="en-AU"/>
              </w:rPr>
            </w:pPr>
          </w:p>
        </w:tc>
        <w:tc>
          <w:tcPr>
            <w:tcW w:w="972" w:type="dxa"/>
            <w:noWrap/>
            <w:hideMark/>
          </w:tcPr>
          <w:p w14:paraId="443DC111" w14:textId="77777777" w:rsidR="00C55CBC" w:rsidRPr="00EC1C0A" w:rsidRDefault="00C55CBC" w:rsidP="008B34D8">
            <w:pPr>
              <w:spacing w:before="0"/>
              <w:rPr>
                <w:rFonts w:ascii="Arial Narrow" w:hAnsi="Arial Narrow"/>
                <w:sz w:val="20"/>
                <w:szCs w:val="20"/>
                <w:lang w:eastAsia="en-AU"/>
              </w:rPr>
            </w:pPr>
          </w:p>
        </w:tc>
        <w:tc>
          <w:tcPr>
            <w:tcW w:w="977" w:type="dxa"/>
            <w:noWrap/>
            <w:hideMark/>
          </w:tcPr>
          <w:p w14:paraId="10248138" w14:textId="77777777" w:rsidR="00C55CBC" w:rsidRPr="00EC1C0A" w:rsidRDefault="00C55CBC" w:rsidP="008B34D8">
            <w:pPr>
              <w:spacing w:before="0"/>
              <w:rPr>
                <w:rFonts w:ascii="Arial Narrow" w:hAnsi="Arial Narrow"/>
                <w:sz w:val="20"/>
                <w:szCs w:val="20"/>
                <w:lang w:eastAsia="en-AU"/>
              </w:rPr>
            </w:pPr>
          </w:p>
        </w:tc>
      </w:tr>
      <w:tr w:rsidR="00C55CBC" w:rsidRPr="00EC1C0A" w14:paraId="294D8239" w14:textId="77777777" w:rsidTr="008B34D8">
        <w:trPr>
          <w:trHeight w:val="300"/>
        </w:trPr>
        <w:tc>
          <w:tcPr>
            <w:tcW w:w="3527" w:type="dxa"/>
            <w:noWrap/>
            <w:hideMark/>
          </w:tcPr>
          <w:p w14:paraId="749B71A3"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Net costs to MBS</w:t>
            </w:r>
          </w:p>
        </w:tc>
        <w:tc>
          <w:tcPr>
            <w:tcW w:w="973" w:type="dxa"/>
            <w:noWrap/>
            <w:vAlign w:val="bottom"/>
          </w:tcPr>
          <w:p w14:paraId="0A6365D1"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$348,765</w:t>
            </w:r>
          </w:p>
        </w:tc>
        <w:tc>
          <w:tcPr>
            <w:tcW w:w="972" w:type="dxa"/>
            <w:noWrap/>
            <w:vAlign w:val="bottom"/>
          </w:tcPr>
          <w:p w14:paraId="2245B01C"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$353,323</w:t>
            </w:r>
          </w:p>
        </w:tc>
        <w:tc>
          <w:tcPr>
            <w:tcW w:w="972" w:type="dxa"/>
            <w:noWrap/>
            <w:vAlign w:val="bottom"/>
          </w:tcPr>
          <w:p w14:paraId="6681E9F3"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$357,840</w:t>
            </w:r>
          </w:p>
        </w:tc>
        <w:tc>
          <w:tcPr>
            <w:tcW w:w="972" w:type="dxa"/>
            <w:noWrap/>
            <w:vAlign w:val="bottom"/>
          </w:tcPr>
          <w:p w14:paraId="20F90FEE"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$362,159</w:t>
            </w:r>
          </w:p>
        </w:tc>
        <w:tc>
          <w:tcPr>
            <w:tcW w:w="972" w:type="dxa"/>
            <w:noWrap/>
            <w:vAlign w:val="bottom"/>
          </w:tcPr>
          <w:p w14:paraId="0DE4F295"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$366,265</w:t>
            </w:r>
          </w:p>
        </w:tc>
        <w:tc>
          <w:tcPr>
            <w:tcW w:w="977" w:type="dxa"/>
            <w:noWrap/>
            <w:vAlign w:val="bottom"/>
          </w:tcPr>
          <w:p w14:paraId="233AFECB"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$370,453</w:t>
            </w:r>
          </w:p>
        </w:tc>
      </w:tr>
      <w:tr w:rsidR="00C55CBC" w:rsidRPr="00EC1C0A" w14:paraId="215FE909" w14:textId="77777777" w:rsidTr="008B34D8">
        <w:trPr>
          <w:trHeight w:val="300"/>
        </w:trPr>
        <w:tc>
          <w:tcPr>
            <w:tcW w:w="3527" w:type="dxa"/>
            <w:noWrap/>
            <w:hideMark/>
          </w:tcPr>
          <w:p w14:paraId="1D897B55"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 xml:space="preserve">Net </w:t>
            </w:r>
            <w:proofErr w:type="spellStart"/>
            <w:r w:rsidRPr="00EC1C0A">
              <w:rPr>
                <w:rFonts w:ascii="Arial Narrow" w:hAnsi="Arial Narrow" w:cs="Calibri"/>
                <w:color w:val="000000"/>
                <w:sz w:val="20"/>
                <w:szCs w:val="20"/>
                <w:lang w:eastAsia="en-AU"/>
              </w:rPr>
              <w:t>copayments</w:t>
            </w:r>
            <w:proofErr w:type="spellEnd"/>
          </w:p>
        </w:tc>
        <w:tc>
          <w:tcPr>
            <w:tcW w:w="973" w:type="dxa"/>
            <w:noWrap/>
            <w:vAlign w:val="bottom"/>
          </w:tcPr>
          <w:p w14:paraId="3E4D2F51"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$53,945</w:t>
            </w:r>
          </w:p>
        </w:tc>
        <w:tc>
          <w:tcPr>
            <w:tcW w:w="972" w:type="dxa"/>
            <w:noWrap/>
            <w:vAlign w:val="bottom"/>
          </w:tcPr>
          <w:p w14:paraId="321CFC2F"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$54,650</w:t>
            </w:r>
          </w:p>
        </w:tc>
        <w:tc>
          <w:tcPr>
            <w:tcW w:w="972" w:type="dxa"/>
            <w:noWrap/>
            <w:vAlign w:val="bottom"/>
          </w:tcPr>
          <w:p w14:paraId="1D037509"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$55,348</w:t>
            </w:r>
          </w:p>
        </w:tc>
        <w:tc>
          <w:tcPr>
            <w:tcW w:w="972" w:type="dxa"/>
            <w:noWrap/>
            <w:vAlign w:val="bottom"/>
          </w:tcPr>
          <w:p w14:paraId="28ADAB92"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$56,016</w:t>
            </w:r>
          </w:p>
        </w:tc>
        <w:tc>
          <w:tcPr>
            <w:tcW w:w="972" w:type="dxa"/>
            <w:noWrap/>
            <w:vAlign w:val="bottom"/>
          </w:tcPr>
          <w:p w14:paraId="299BB697"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$56,652</w:t>
            </w:r>
          </w:p>
        </w:tc>
        <w:tc>
          <w:tcPr>
            <w:tcW w:w="977" w:type="dxa"/>
            <w:noWrap/>
            <w:vAlign w:val="bottom"/>
          </w:tcPr>
          <w:p w14:paraId="55B87B52"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$57,299</w:t>
            </w:r>
          </w:p>
        </w:tc>
      </w:tr>
      <w:tr w:rsidR="00C55CBC" w:rsidRPr="00EC1C0A" w14:paraId="4432D827" w14:textId="77777777" w:rsidTr="008B34D8">
        <w:trPr>
          <w:trHeight w:val="300"/>
        </w:trPr>
        <w:tc>
          <w:tcPr>
            <w:tcW w:w="5472" w:type="dxa"/>
            <w:gridSpan w:val="3"/>
            <w:noWrap/>
            <w:hideMark/>
          </w:tcPr>
          <w:p w14:paraId="777BB57D" w14:textId="77777777" w:rsidR="00C55CBC" w:rsidRPr="00EC1C0A" w:rsidRDefault="00C55CBC" w:rsidP="008B34D8">
            <w:pPr>
              <w:spacing w:before="0"/>
              <w:rPr>
                <w:rFonts w:ascii="Arial Narrow" w:hAnsi="Arial Narrow" w:cs="Calibri"/>
                <w:i/>
                <w:iCs/>
                <w:color w:val="000000"/>
                <w:sz w:val="20"/>
                <w:szCs w:val="20"/>
                <w:lang w:eastAsia="en-AU"/>
              </w:rPr>
            </w:pPr>
            <w:r w:rsidRPr="00EC1C0A">
              <w:rPr>
                <w:rFonts w:ascii="Arial Narrow" w:hAnsi="Arial Narrow" w:cs="Calibri"/>
                <w:i/>
                <w:iCs/>
                <w:color w:val="000000"/>
                <w:sz w:val="20"/>
                <w:szCs w:val="20"/>
                <w:lang w:eastAsia="en-AU"/>
              </w:rPr>
              <w:t xml:space="preserve">Current </w:t>
            </w:r>
            <w:r>
              <w:rPr>
                <w:rFonts w:ascii="Arial Narrow" w:hAnsi="Arial Narrow" w:cs="Calibri"/>
                <w:i/>
                <w:iCs/>
                <w:color w:val="000000"/>
                <w:sz w:val="20"/>
                <w:szCs w:val="20"/>
                <w:lang w:eastAsia="en-AU"/>
              </w:rPr>
              <w:t>annualised usage</w:t>
            </w:r>
            <w:r w:rsidRPr="00EC1C0A">
              <w:rPr>
                <w:rFonts w:ascii="Arial Narrow" w:hAnsi="Arial Narrow" w:cs="Calibri"/>
                <w:i/>
                <w:iCs/>
                <w:color w:val="000000"/>
                <w:sz w:val="20"/>
                <w:szCs w:val="20"/>
                <w:lang w:eastAsia="en-AU"/>
              </w:rPr>
              <w:t xml:space="preserve"> of CT scan: 36.27% (base case 25%)</w:t>
            </w:r>
          </w:p>
        </w:tc>
        <w:tc>
          <w:tcPr>
            <w:tcW w:w="972" w:type="dxa"/>
            <w:noWrap/>
            <w:hideMark/>
          </w:tcPr>
          <w:p w14:paraId="5FEE7797" w14:textId="77777777" w:rsidR="00C55CBC" w:rsidRPr="00EC1C0A" w:rsidRDefault="00C55CBC" w:rsidP="008B34D8">
            <w:pPr>
              <w:spacing w:before="0"/>
              <w:rPr>
                <w:rFonts w:ascii="Arial Narrow" w:hAnsi="Arial Narrow" w:cs="Calibri"/>
                <w:i/>
                <w:iCs/>
                <w:color w:val="000000"/>
                <w:sz w:val="20"/>
                <w:szCs w:val="20"/>
                <w:lang w:eastAsia="en-AU"/>
              </w:rPr>
            </w:pPr>
          </w:p>
        </w:tc>
        <w:tc>
          <w:tcPr>
            <w:tcW w:w="972" w:type="dxa"/>
            <w:noWrap/>
            <w:hideMark/>
          </w:tcPr>
          <w:p w14:paraId="5A6ECD5F" w14:textId="77777777" w:rsidR="00C55CBC" w:rsidRPr="00EC1C0A" w:rsidRDefault="00C55CBC" w:rsidP="008B34D8">
            <w:pPr>
              <w:spacing w:before="0"/>
              <w:rPr>
                <w:rFonts w:ascii="Arial Narrow" w:hAnsi="Arial Narrow"/>
                <w:sz w:val="20"/>
                <w:szCs w:val="20"/>
                <w:lang w:eastAsia="en-AU"/>
              </w:rPr>
            </w:pPr>
          </w:p>
        </w:tc>
        <w:tc>
          <w:tcPr>
            <w:tcW w:w="972" w:type="dxa"/>
            <w:noWrap/>
            <w:hideMark/>
          </w:tcPr>
          <w:p w14:paraId="67C99678" w14:textId="77777777" w:rsidR="00C55CBC" w:rsidRPr="00EC1C0A" w:rsidRDefault="00C55CBC" w:rsidP="008B34D8">
            <w:pPr>
              <w:spacing w:before="0"/>
              <w:rPr>
                <w:rFonts w:ascii="Arial Narrow" w:hAnsi="Arial Narrow"/>
                <w:sz w:val="20"/>
                <w:szCs w:val="20"/>
                <w:lang w:eastAsia="en-AU"/>
              </w:rPr>
            </w:pPr>
          </w:p>
        </w:tc>
        <w:tc>
          <w:tcPr>
            <w:tcW w:w="977" w:type="dxa"/>
            <w:noWrap/>
            <w:hideMark/>
          </w:tcPr>
          <w:p w14:paraId="3B9E5515" w14:textId="77777777" w:rsidR="00C55CBC" w:rsidRPr="00EC1C0A" w:rsidRDefault="00C55CBC" w:rsidP="008B34D8">
            <w:pPr>
              <w:spacing w:before="0"/>
              <w:rPr>
                <w:rFonts w:ascii="Arial Narrow" w:hAnsi="Arial Narrow"/>
                <w:sz w:val="20"/>
                <w:szCs w:val="20"/>
                <w:lang w:eastAsia="en-AU"/>
              </w:rPr>
            </w:pPr>
          </w:p>
        </w:tc>
      </w:tr>
      <w:tr w:rsidR="00C55CBC" w:rsidRPr="00EC1C0A" w14:paraId="34D9BD4D" w14:textId="77777777" w:rsidTr="008B34D8">
        <w:trPr>
          <w:trHeight w:val="300"/>
        </w:trPr>
        <w:tc>
          <w:tcPr>
            <w:tcW w:w="3527" w:type="dxa"/>
            <w:noWrap/>
            <w:hideMark/>
          </w:tcPr>
          <w:p w14:paraId="6D9B1B9E"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Net costs to MBS</w:t>
            </w:r>
          </w:p>
        </w:tc>
        <w:tc>
          <w:tcPr>
            <w:tcW w:w="973" w:type="dxa"/>
            <w:noWrap/>
            <w:vAlign w:val="bottom"/>
          </w:tcPr>
          <w:p w14:paraId="727F793A"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$145,969</w:t>
            </w:r>
          </w:p>
        </w:tc>
        <w:tc>
          <w:tcPr>
            <w:tcW w:w="972" w:type="dxa"/>
            <w:noWrap/>
            <w:vAlign w:val="bottom"/>
          </w:tcPr>
          <w:p w14:paraId="1F5A9797"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$147,877</w:t>
            </w:r>
          </w:p>
        </w:tc>
        <w:tc>
          <w:tcPr>
            <w:tcW w:w="972" w:type="dxa"/>
            <w:noWrap/>
            <w:vAlign w:val="bottom"/>
          </w:tcPr>
          <w:p w14:paraId="71763686"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$149,768</w:t>
            </w:r>
          </w:p>
        </w:tc>
        <w:tc>
          <w:tcPr>
            <w:tcW w:w="972" w:type="dxa"/>
            <w:noWrap/>
            <w:vAlign w:val="bottom"/>
          </w:tcPr>
          <w:p w14:paraId="5F169522"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$151,575</w:t>
            </w:r>
          </w:p>
        </w:tc>
        <w:tc>
          <w:tcPr>
            <w:tcW w:w="972" w:type="dxa"/>
            <w:noWrap/>
            <w:vAlign w:val="bottom"/>
          </w:tcPr>
          <w:p w14:paraId="00642D45"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$153,294</w:t>
            </w:r>
          </w:p>
        </w:tc>
        <w:tc>
          <w:tcPr>
            <w:tcW w:w="977" w:type="dxa"/>
            <w:noWrap/>
            <w:vAlign w:val="bottom"/>
          </w:tcPr>
          <w:p w14:paraId="1E296378"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$155,046</w:t>
            </w:r>
          </w:p>
        </w:tc>
      </w:tr>
      <w:tr w:rsidR="00C55CBC" w:rsidRPr="00EC1C0A" w14:paraId="058D5C50" w14:textId="77777777" w:rsidTr="008B34D8">
        <w:trPr>
          <w:trHeight w:val="300"/>
        </w:trPr>
        <w:tc>
          <w:tcPr>
            <w:tcW w:w="3527" w:type="dxa"/>
            <w:noWrap/>
            <w:hideMark/>
          </w:tcPr>
          <w:p w14:paraId="203FF882"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 xml:space="preserve">Net </w:t>
            </w:r>
            <w:proofErr w:type="spellStart"/>
            <w:r w:rsidRPr="00EC1C0A">
              <w:rPr>
                <w:rFonts w:ascii="Arial Narrow" w:hAnsi="Arial Narrow" w:cs="Calibri"/>
                <w:color w:val="000000"/>
                <w:sz w:val="20"/>
                <w:szCs w:val="20"/>
                <w:lang w:eastAsia="en-AU"/>
              </w:rPr>
              <w:t>copayments</w:t>
            </w:r>
            <w:proofErr w:type="spellEnd"/>
          </w:p>
        </w:tc>
        <w:tc>
          <w:tcPr>
            <w:tcW w:w="973" w:type="dxa"/>
            <w:noWrap/>
            <w:vAlign w:val="bottom"/>
          </w:tcPr>
          <w:p w14:paraId="512D5C48"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$18,143</w:t>
            </w:r>
          </w:p>
        </w:tc>
        <w:tc>
          <w:tcPr>
            <w:tcW w:w="972" w:type="dxa"/>
            <w:noWrap/>
            <w:vAlign w:val="bottom"/>
          </w:tcPr>
          <w:p w14:paraId="543A13D1"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$18,380</w:t>
            </w:r>
          </w:p>
        </w:tc>
        <w:tc>
          <w:tcPr>
            <w:tcW w:w="972" w:type="dxa"/>
            <w:noWrap/>
            <w:vAlign w:val="bottom"/>
          </w:tcPr>
          <w:p w14:paraId="531714B6"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$18,615</w:t>
            </w:r>
          </w:p>
        </w:tc>
        <w:tc>
          <w:tcPr>
            <w:tcW w:w="972" w:type="dxa"/>
            <w:noWrap/>
            <w:vAlign w:val="bottom"/>
          </w:tcPr>
          <w:p w14:paraId="37827783"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$18,839</w:t>
            </w:r>
          </w:p>
        </w:tc>
        <w:tc>
          <w:tcPr>
            <w:tcW w:w="972" w:type="dxa"/>
            <w:noWrap/>
            <w:vAlign w:val="bottom"/>
          </w:tcPr>
          <w:p w14:paraId="232FBDEC"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$19,053</w:t>
            </w:r>
          </w:p>
        </w:tc>
        <w:tc>
          <w:tcPr>
            <w:tcW w:w="977" w:type="dxa"/>
            <w:noWrap/>
            <w:vAlign w:val="bottom"/>
          </w:tcPr>
          <w:p w14:paraId="7995DEB2"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$19,271</w:t>
            </w:r>
          </w:p>
        </w:tc>
      </w:tr>
      <w:tr w:rsidR="00C55CBC" w:rsidRPr="00EC1C0A" w14:paraId="23E959FB" w14:textId="77777777" w:rsidTr="008B34D8">
        <w:trPr>
          <w:trHeight w:val="300"/>
        </w:trPr>
        <w:tc>
          <w:tcPr>
            <w:tcW w:w="6444" w:type="dxa"/>
            <w:gridSpan w:val="4"/>
            <w:noWrap/>
            <w:hideMark/>
          </w:tcPr>
          <w:p w14:paraId="1B1B101A" w14:textId="77777777" w:rsidR="00C55CBC" w:rsidRPr="00EC1C0A" w:rsidRDefault="00C55CBC" w:rsidP="008B34D8">
            <w:pPr>
              <w:spacing w:before="0"/>
              <w:rPr>
                <w:rFonts w:ascii="Arial Narrow" w:hAnsi="Arial Narrow" w:cs="Calibri"/>
                <w:i/>
                <w:iCs/>
                <w:color w:val="000000"/>
                <w:sz w:val="20"/>
                <w:szCs w:val="20"/>
                <w:lang w:eastAsia="en-AU"/>
              </w:rPr>
            </w:pPr>
            <w:r w:rsidRPr="00EC1C0A">
              <w:rPr>
                <w:rFonts w:ascii="Arial Narrow" w:hAnsi="Arial Narrow" w:cs="Calibri"/>
                <w:i/>
                <w:iCs/>
                <w:color w:val="000000"/>
                <w:sz w:val="20"/>
                <w:szCs w:val="20"/>
                <w:lang w:eastAsia="en-AU"/>
              </w:rPr>
              <w:t>Proportion of ultrasound services offset by MRI: 10% (base case 0%)</w:t>
            </w:r>
          </w:p>
        </w:tc>
        <w:tc>
          <w:tcPr>
            <w:tcW w:w="972" w:type="dxa"/>
            <w:noWrap/>
            <w:hideMark/>
          </w:tcPr>
          <w:p w14:paraId="78458145" w14:textId="77777777" w:rsidR="00C55CBC" w:rsidRPr="00EC1C0A" w:rsidRDefault="00C55CBC" w:rsidP="008B34D8">
            <w:pPr>
              <w:spacing w:before="0"/>
              <w:rPr>
                <w:rFonts w:ascii="Arial Narrow" w:hAnsi="Arial Narrow" w:cs="Calibri"/>
                <w:i/>
                <w:iCs/>
                <w:color w:val="000000"/>
                <w:sz w:val="20"/>
                <w:szCs w:val="20"/>
                <w:lang w:eastAsia="en-AU"/>
              </w:rPr>
            </w:pPr>
          </w:p>
        </w:tc>
        <w:tc>
          <w:tcPr>
            <w:tcW w:w="972" w:type="dxa"/>
            <w:noWrap/>
            <w:hideMark/>
          </w:tcPr>
          <w:p w14:paraId="1D7D2D61" w14:textId="77777777" w:rsidR="00C55CBC" w:rsidRPr="00EC1C0A" w:rsidRDefault="00C55CBC" w:rsidP="008B34D8">
            <w:pPr>
              <w:spacing w:before="0"/>
              <w:rPr>
                <w:rFonts w:ascii="Arial Narrow" w:hAnsi="Arial Narrow"/>
                <w:sz w:val="20"/>
                <w:szCs w:val="20"/>
                <w:lang w:eastAsia="en-AU"/>
              </w:rPr>
            </w:pPr>
          </w:p>
        </w:tc>
        <w:tc>
          <w:tcPr>
            <w:tcW w:w="977" w:type="dxa"/>
            <w:noWrap/>
            <w:hideMark/>
          </w:tcPr>
          <w:p w14:paraId="664298B6" w14:textId="77777777" w:rsidR="00C55CBC" w:rsidRPr="00EC1C0A" w:rsidRDefault="00C55CBC" w:rsidP="008B34D8">
            <w:pPr>
              <w:spacing w:before="0"/>
              <w:rPr>
                <w:rFonts w:ascii="Arial Narrow" w:hAnsi="Arial Narrow"/>
                <w:sz w:val="20"/>
                <w:szCs w:val="20"/>
                <w:lang w:eastAsia="en-AU"/>
              </w:rPr>
            </w:pPr>
          </w:p>
        </w:tc>
      </w:tr>
      <w:tr w:rsidR="00C55CBC" w:rsidRPr="00EC1C0A" w14:paraId="254173F1" w14:textId="77777777" w:rsidTr="008B34D8">
        <w:trPr>
          <w:trHeight w:val="300"/>
        </w:trPr>
        <w:tc>
          <w:tcPr>
            <w:tcW w:w="3527" w:type="dxa"/>
            <w:noWrap/>
            <w:hideMark/>
          </w:tcPr>
          <w:p w14:paraId="4A2DC02F"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Net costs to MBS</w:t>
            </w:r>
          </w:p>
        </w:tc>
        <w:tc>
          <w:tcPr>
            <w:tcW w:w="973" w:type="dxa"/>
            <w:noWrap/>
            <w:vAlign w:val="bottom"/>
          </w:tcPr>
          <w:p w14:paraId="5832A849"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$236,717</w:t>
            </w:r>
          </w:p>
        </w:tc>
        <w:tc>
          <w:tcPr>
            <w:tcW w:w="972" w:type="dxa"/>
            <w:noWrap/>
            <w:vAlign w:val="bottom"/>
          </w:tcPr>
          <w:p w14:paraId="2A6ED0DD"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$239,810</w:t>
            </w:r>
          </w:p>
        </w:tc>
        <w:tc>
          <w:tcPr>
            <w:tcW w:w="972" w:type="dxa"/>
            <w:noWrap/>
            <w:vAlign w:val="bottom"/>
          </w:tcPr>
          <w:p w14:paraId="784F67AD"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$242,876</w:t>
            </w:r>
          </w:p>
        </w:tc>
        <w:tc>
          <w:tcPr>
            <w:tcW w:w="972" w:type="dxa"/>
            <w:noWrap/>
            <w:vAlign w:val="bottom"/>
          </w:tcPr>
          <w:p w14:paraId="19495D4C"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$245,807</w:t>
            </w:r>
          </w:p>
        </w:tc>
        <w:tc>
          <w:tcPr>
            <w:tcW w:w="972" w:type="dxa"/>
            <w:noWrap/>
            <w:vAlign w:val="bottom"/>
          </w:tcPr>
          <w:p w14:paraId="2E8CF36B"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$248,595</w:t>
            </w:r>
          </w:p>
        </w:tc>
        <w:tc>
          <w:tcPr>
            <w:tcW w:w="977" w:type="dxa"/>
            <w:noWrap/>
            <w:vAlign w:val="bottom"/>
          </w:tcPr>
          <w:p w14:paraId="70631C4C"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$251,437</w:t>
            </w:r>
          </w:p>
        </w:tc>
      </w:tr>
      <w:tr w:rsidR="00C55CBC" w:rsidRPr="00EC1C0A" w14:paraId="40FF7671" w14:textId="77777777" w:rsidTr="008B34D8">
        <w:trPr>
          <w:trHeight w:val="300"/>
        </w:trPr>
        <w:tc>
          <w:tcPr>
            <w:tcW w:w="3527" w:type="dxa"/>
            <w:noWrap/>
            <w:hideMark/>
          </w:tcPr>
          <w:p w14:paraId="5B09A06B"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 xml:space="preserve">Net </w:t>
            </w:r>
            <w:proofErr w:type="spellStart"/>
            <w:r w:rsidRPr="00EC1C0A">
              <w:rPr>
                <w:rFonts w:ascii="Arial Narrow" w:hAnsi="Arial Narrow" w:cs="Calibri"/>
                <w:color w:val="000000"/>
                <w:sz w:val="20"/>
                <w:szCs w:val="20"/>
                <w:lang w:eastAsia="en-AU"/>
              </w:rPr>
              <w:t>copayments</w:t>
            </w:r>
            <w:proofErr w:type="spellEnd"/>
          </w:p>
        </w:tc>
        <w:tc>
          <w:tcPr>
            <w:tcW w:w="973" w:type="dxa"/>
            <w:noWrap/>
            <w:vAlign w:val="bottom"/>
          </w:tcPr>
          <w:p w14:paraId="1B5C07BC"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$34,167</w:t>
            </w:r>
          </w:p>
        </w:tc>
        <w:tc>
          <w:tcPr>
            <w:tcW w:w="972" w:type="dxa"/>
            <w:noWrap/>
            <w:vAlign w:val="bottom"/>
          </w:tcPr>
          <w:p w14:paraId="34A16920"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$34,614</w:t>
            </w:r>
          </w:p>
        </w:tc>
        <w:tc>
          <w:tcPr>
            <w:tcW w:w="972" w:type="dxa"/>
            <w:noWrap/>
            <w:vAlign w:val="bottom"/>
          </w:tcPr>
          <w:p w14:paraId="2F4AC273"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$35,056</w:t>
            </w:r>
          </w:p>
        </w:tc>
        <w:tc>
          <w:tcPr>
            <w:tcW w:w="972" w:type="dxa"/>
            <w:noWrap/>
            <w:vAlign w:val="bottom"/>
          </w:tcPr>
          <w:p w14:paraId="621276BD"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$35,479</w:t>
            </w:r>
          </w:p>
        </w:tc>
        <w:tc>
          <w:tcPr>
            <w:tcW w:w="972" w:type="dxa"/>
            <w:noWrap/>
            <w:vAlign w:val="bottom"/>
          </w:tcPr>
          <w:p w14:paraId="79621D01"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$35,882</w:t>
            </w:r>
          </w:p>
        </w:tc>
        <w:tc>
          <w:tcPr>
            <w:tcW w:w="977" w:type="dxa"/>
            <w:noWrap/>
            <w:vAlign w:val="bottom"/>
          </w:tcPr>
          <w:p w14:paraId="43FFA23A"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$36,292</w:t>
            </w:r>
          </w:p>
        </w:tc>
      </w:tr>
      <w:tr w:rsidR="00C55CBC" w:rsidRPr="00EC1C0A" w14:paraId="04BEA4D3" w14:textId="77777777" w:rsidTr="008B34D8">
        <w:trPr>
          <w:trHeight w:val="300"/>
        </w:trPr>
        <w:tc>
          <w:tcPr>
            <w:tcW w:w="6444" w:type="dxa"/>
            <w:gridSpan w:val="4"/>
            <w:noWrap/>
            <w:hideMark/>
          </w:tcPr>
          <w:p w14:paraId="236FB20E" w14:textId="77777777" w:rsidR="00C55CBC" w:rsidRPr="00EC1C0A" w:rsidRDefault="00C55CBC" w:rsidP="008B34D8">
            <w:pPr>
              <w:spacing w:before="0"/>
              <w:rPr>
                <w:rFonts w:ascii="Arial Narrow" w:hAnsi="Arial Narrow" w:cs="Calibri"/>
                <w:i/>
                <w:iCs/>
                <w:color w:val="000000"/>
                <w:sz w:val="20"/>
                <w:szCs w:val="20"/>
                <w:lang w:eastAsia="en-AU"/>
              </w:rPr>
            </w:pPr>
            <w:r w:rsidRPr="00EC1C0A">
              <w:rPr>
                <w:rFonts w:ascii="Arial Narrow" w:hAnsi="Arial Narrow" w:cs="Calibri"/>
                <w:i/>
                <w:iCs/>
                <w:color w:val="000000"/>
                <w:sz w:val="20"/>
                <w:szCs w:val="20"/>
                <w:lang w:eastAsia="en-AU"/>
              </w:rPr>
              <w:t>Proportion of ultrasound services offset by MRI: 20% (base case 0%)</w:t>
            </w:r>
          </w:p>
        </w:tc>
        <w:tc>
          <w:tcPr>
            <w:tcW w:w="972" w:type="dxa"/>
            <w:noWrap/>
            <w:hideMark/>
          </w:tcPr>
          <w:p w14:paraId="0F0E973C" w14:textId="77777777" w:rsidR="00C55CBC" w:rsidRPr="00EC1C0A" w:rsidRDefault="00C55CBC" w:rsidP="008B34D8">
            <w:pPr>
              <w:spacing w:before="0"/>
              <w:rPr>
                <w:rFonts w:ascii="Arial Narrow" w:hAnsi="Arial Narrow" w:cs="Calibri"/>
                <w:i/>
                <w:iCs/>
                <w:color w:val="000000"/>
                <w:sz w:val="20"/>
                <w:szCs w:val="20"/>
                <w:lang w:eastAsia="en-AU"/>
              </w:rPr>
            </w:pPr>
          </w:p>
        </w:tc>
        <w:tc>
          <w:tcPr>
            <w:tcW w:w="972" w:type="dxa"/>
            <w:noWrap/>
            <w:hideMark/>
          </w:tcPr>
          <w:p w14:paraId="3DCC8B99" w14:textId="77777777" w:rsidR="00C55CBC" w:rsidRPr="00EC1C0A" w:rsidRDefault="00C55CBC" w:rsidP="008B34D8">
            <w:pPr>
              <w:spacing w:before="0"/>
              <w:rPr>
                <w:rFonts w:ascii="Arial Narrow" w:hAnsi="Arial Narrow"/>
                <w:sz w:val="20"/>
                <w:szCs w:val="20"/>
                <w:lang w:eastAsia="en-AU"/>
              </w:rPr>
            </w:pPr>
          </w:p>
        </w:tc>
        <w:tc>
          <w:tcPr>
            <w:tcW w:w="977" w:type="dxa"/>
            <w:noWrap/>
            <w:hideMark/>
          </w:tcPr>
          <w:p w14:paraId="6B144C43" w14:textId="77777777" w:rsidR="00C55CBC" w:rsidRPr="00EC1C0A" w:rsidRDefault="00C55CBC" w:rsidP="008B34D8">
            <w:pPr>
              <w:spacing w:before="0"/>
              <w:rPr>
                <w:rFonts w:ascii="Arial Narrow" w:hAnsi="Arial Narrow"/>
                <w:sz w:val="20"/>
                <w:szCs w:val="20"/>
                <w:lang w:eastAsia="en-AU"/>
              </w:rPr>
            </w:pPr>
          </w:p>
        </w:tc>
      </w:tr>
      <w:tr w:rsidR="00C55CBC" w:rsidRPr="00EC1C0A" w14:paraId="5171247E" w14:textId="77777777" w:rsidTr="008B34D8">
        <w:trPr>
          <w:trHeight w:val="300"/>
        </w:trPr>
        <w:tc>
          <w:tcPr>
            <w:tcW w:w="3527" w:type="dxa"/>
            <w:noWrap/>
            <w:hideMark/>
          </w:tcPr>
          <w:p w14:paraId="20C5D725"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Net costs to MBS</w:t>
            </w:r>
          </w:p>
        </w:tc>
        <w:tc>
          <w:tcPr>
            <w:tcW w:w="973" w:type="dxa"/>
            <w:noWrap/>
            <w:vAlign w:val="bottom"/>
          </w:tcPr>
          <w:p w14:paraId="60DB6B86"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$220,012</w:t>
            </w:r>
          </w:p>
        </w:tc>
        <w:tc>
          <w:tcPr>
            <w:tcW w:w="972" w:type="dxa"/>
            <w:noWrap/>
            <w:vAlign w:val="bottom"/>
          </w:tcPr>
          <w:p w14:paraId="5CB8DFA6"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$222,887</w:t>
            </w:r>
          </w:p>
        </w:tc>
        <w:tc>
          <w:tcPr>
            <w:tcW w:w="972" w:type="dxa"/>
            <w:noWrap/>
            <w:vAlign w:val="bottom"/>
          </w:tcPr>
          <w:p w14:paraId="3B68D9B1"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$225,737</w:t>
            </w:r>
          </w:p>
        </w:tc>
        <w:tc>
          <w:tcPr>
            <w:tcW w:w="972" w:type="dxa"/>
            <w:noWrap/>
            <w:vAlign w:val="bottom"/>
          </w:tcPr>
          <w:p w14:paraId="407434D7"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$228,461</w:t>
            </w:r>
          </w:p>
        </w:tc>
        <w:tc>
          <w:tcPr>
            <w:tcW w:w="972" w:type="dxa"/>
            <w:noWrap/>
            <w:vAlign w:val="bottom"/>
          </w:tcPr>
          <w:p w14:paraId="451BF844"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$231,051</w:t>
            </w:r>
          </w:p>
        </w:tc>
        <w:tc>
          <w:tcPr>
            <w:tcW w:w="977" w:type="dxa"/>
            <w:noWrap/>
            <w:vAlign w:val="bottom"/>
          </w:tcPr>
          <w:p w14:paraId="5D103293"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$233,693</w:t>
            </w:r>
          </w:p>
        </w:tc>
      </w:tr>
      <w:tr w:rsidR="00C55CBC" w:rsidRPr="00EC1C0A" w14:paraId="0DE01D20" w14:textId="77777777" w:rsidTr="008B34D8">
        <w:trPr>
          <w:trHeight w:val="300"/>
        </w:trPr>
        <w:tc>
          <w:tcPr>
            <w:tcW w:w="3527" w:type="dxa"/>
            <w:noWrap/>
            <w:hideMark/>
          </w:tcPr>
          <w:p w14:paraId="7C91CF9C"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 xml:space="preserve">Net </w:t>
            </w:r>
            <w:proofErr w:type="spellStart"/>
            <w:r w:rsidRPr="00EC1C0A">
              <w:rPr>
                <w:rFonts w:ascii="Arial Narrow" w:hAnsi="Arial Narrow" w:cs="Calibri"/>
                <w:color w:val="000000"/>
                <w:sz w:val="20"/>
                <w:szCs w:val="20"/>
                <w:lang w:eastAsia="en-AU"/>
              </w:rPr>
              <w:t>copayments</w:t>
            </w:r>
            <w:proofErr w:type="spellEnd"/>
          </w:p>
        </w:tc>
        <w:tc>
          <w:tcPr>
            <w:tcW w:w="973" w:type="dxa"/>
            <w:noWrap/>
            <w:vAlign w:val="bottom"/>
          </w:tcPr>
          <w:p w14:paraId="00D68BB6"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$31,222</w:t>
            </w:r>
          </w:p>
        </w:tc>
        <w:tc>
          <w:tcPr>
            <w:tcW w:w="972" w:type="dxa"/>
            <w:noWrap/>
            <w:vAlign w:val="bottom"/>
          </w:tcPr>
          <w:p w14:paraId="41BA784B"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$31,630</w:t>
            </w:r>
          </w:p>
        </w:tc>
        <w:tc>
          <w:tcPr>
            <w:tcW w:w="972" w:type="dxa"/>
            <w:noWrap/>
            <w:vAlign w:val="bottom"/>
          </w:tcPr>
          <w:p w14:paraId="29A5B169"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$32,034</w:t>
            </w:r>
          </w:p>
        </w:tc>
        <w:tc>
          <w:tcPr>
            <w:tcW w:w="972" w:type="dxa"/>
            <w:noWrap/>
            <w:vAlign w:val="bottom"/>
          </w:tcPr>
          <w:p w14:paraId="5493D81E"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$32,421</w:t>
            </w:r>
          </w:p>
        </w:tc>
        <w:tc>
          <w:tcPr>
            <w:tcW w:w="972" w:type="dxa"/>
            <w:noWrap/>
            <w:vAlign w:val="bottom"/>
          </w:tcPr>
          <w:p w14:paraId="46D6E1F9"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$32,788</w:t>
            </w:r>
          </w:p>
        </w:tc>
        <w:tc>
          <w:tcPr>
            <w:tcW w:w="977" w:type="dxa"/>
            <w:noWrap/>
            <w:vAlign w:val="bottom"/>
          </w:tcPr>
          <w:p w14:paraId="3CA7D696"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$33,163</w:t>
            </w:r>
          </w:p>
        </w:tc>
      </w:tr>
      <w:tr w:rsidR="00C55CBC" w:rsidRPr="00EC1C0A" w14:paraId="078EFC3A" w14:textId="77777777" w:rsidTr="008B34D8">
        <w:trPr>
          <w:trHeight w:val="300"/>
        </w:trPr>
        <w:tc>
          <w:tcPr>
            <w:tcW w:w="6444" w:type="dxa"/>
            <w:gridSpan w:val="4"/>
            <w:noWrap/>
            <w:hideMark/>
          </w:tcPr>
          <w:p w14:paraId="69CA05ED" w14:textId="77777777" w:rsidR="00C55CBC" w:rsidRPr="00EC1C0A" w:rsidRDefault="00C55CBC" w:rsidP="008B34D8">
            <w:pPr>
              <w:spacing w:before="0"/>
              <w:rPr>
                <w:rFonts w:ascii="Arial Narrow" w:hAnsi="Arial Narrow" w:cs="Calibri"/>
                <w:i/>
                <w:iCs/>
                <w:color w:val="000000"/>
                <w:sz w:val="20"/>
                <w:szCs w:val="20"/>
                <w:lang w:eastAsia="en-AU"/>
              </w:rPr>
            </w:pPr>
            <w:r w:rsidRPr="00EC1C0A">
              <w:rPr>
                <w:rFonts w:ascii="Arial Narrow" w:hAnsi="Arial Narrow" w:cs="Calibri"/>
                <w:i/>
                <w:iCs/>
                <w:color w:val="000000"/>
                <w:sz w:val="20"/>
                <w:szCs w:val="20"/>
                <w:lang w:eastAsia="en-AU"/>
              </w:rPr>
              <w:t>Proportion of CT scans offset by MRI: 80% (base case 100%)</w:t>
            </w:r>
            <w:r>
              <w:rPr>
                <w:rFonts w:ascii="Arial Narrow" w:hAnsi="Arial Narrow" w:cs="Calibri"/>
                <w:i/>
                <w:iCs/>
                <w:color w:val="000000"/>
                <w:sz w:val="20"/>
                <w:szCs w:val="20"/>
                <w:lang w:eastAsia="en-AU"/>
              </w:rPr>
              <w:t xml:space="preserve"> </w:t>
            </w:r>
            <w:r w:rsidRPr="00D71BB4">
              <w:rPr>
                <w:vertAlign w:val="superscript"/>
              </w:rPr>
              <w:t>1</w:t>
            </w:r>
          </w:p>
        </w:tc>
        <w:tc>
          <w:tcPr>
            <w:tcW w:w="972" w:type="dxa"/>
            <w:noWrap/>
            <w:hideMark/>
          </w:tcPr>
          <w:p w14:paraId="065242DF" w14:textId="77777777" w:rsidR="00C55CBC" w:rsidRPr="00EC1C0A" w:rsidRDefault="00C55CBC" w:rsidP="008B34D8">
            <w:pPr>
              <w:spacing w:before="0"/>
              <w:rPr>
                <w:rFonts w:ascii="Arial Narrow" w:hAnsi="Arial Narrow" w:cs="Calibri"/>
                <w:i/>
                <w:iCs/>
                <w:color w:val="000000"/>
                <w:sz w:val="20"/>
                <w:szCs w:val="20"/>
                <w:lang w:eastAsia="en-AU"/>
              </w:rPr>
            </w:pPr>
          </w:p>
        </w:tc>
        <w:tc>
          <w:tcPr>
            <w:tcW w:w="972" w:type="dxa"/>
            <w:noWrap/>
            <w:hideMark/>
          </w:tcPr>
          <w:p w14:paraId="1CDC1C76" w14:textId="77777777" w:rsidR="00C55CBC" w:rsidRPr="00EC1C0A" w:rsidRDefault="00C55CBC" w:rsidP="008B34D8">
            <w:pPr>
              <w:spacing w:before="0"/>
              <w:rPr>
                <w:rFonts w:ascii="Arial Narrow" w:hAnsi="Arial Narrow"/>
                <w:sz w:val="20"/>
                <w:szCs w:val="20"/>
                <w:lang w:eastAsia="en-AU"/>
              </w:rPr>
            </w:pPr>
          </w:p>
        </w:tc>
        <w:tc>
          <w:tcPr>
            <w:tcW w:w="977" w:type="dxa"/>
            <w:noWrap/>
            <w:hideMark/>
          </w:tcPr>
          <w:p w14:paraId="433C9E3A" w14:textId="77777777" w:rsidR="00C55CBC" w:rsidRPr="00EC1C0A" w:rsidRDefault="00C55CBC" w:rsidP="008B34D8">
            <w:pPr>
              <w:spacing w:before="0"/>
              <w:rPr>
                <w:rFonts w:ascii="Arial Narrow" w:hAnsi="Arial Narrow"/>
                <w:sz w:val="20"/>
                <w:szCs w:val="20"/>
                <w:lang w:eastAsia="en-AU"/>
              </w:rPr>
            </w:pPr>
          </w:p>
        </w:tc>
      </w:tr>
      <w:tr w:rsidR="00C55CBC" w:rsidRPr="00EC1C0A" w14:paraId="21016A82" w14:textId="77777777" w:rsidTr="008B34D8">
        <w:trPr>
          <w:trHeight w:val="300"/>
        </w:trPr>
        <w:tc>
          <w:tcPr>
            <w:tcW w:w="3527" w:type="dxa"/>
            <w:noWrap/>
            <w:hideMark/>
          </w:tcPr>
          <w:p w14:paraId="136EF8CB"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Net costs to MBS</w:t>
            </w:r>
          </w:p>
        </w:tc>
        <w:tc>
          <w:tcPr>
            <w:tcW w:w="973" w:type="dxa"/>
            <w:noWrap/>
            <w:vAlign w:val="bottom"/>
          </w:tcPr>
          <w:p w14:paraId="234B2E4F"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$218,373</w:t>
            </w:r>
          </w:p>
        </w:tc>
        <w:tc>
          <w:tcPr>
            <w:tcW w:w="972" w:type="dxa"/>
            <w:noWrap/>
            <w:vAlign w:val="bottom"/>
          </w:tcPr>
          <w:p w14:paraId="163C46C6"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$221,227</w:t>
            </w:r>
          </w:p>
        </w:tc>
        <w:tc>
          <w:tcPr>
            <w:tcW w:w="972" w:type="dxa"/>
            <w:noWrap/>
            <w:vAlign w:val="bottom"/>
          </w:tcPr>
          <w:p w14:paraId="2173C4A4"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$224,055</w:t>
            </w:r>
          </w:p>
        </w:tc>
        <w:tc>
          <w:tcPr>
            <w:tcW w:w="972" w:type="dxa"/>
            <w:noWrap/>
            <w:vAlign w:val="bottom"/>
          </w:tcPr>
          <w:p w14:paraId="714B8F95"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$226,759</w:t>
            </w:r>
          </w:p>
        </w:tc>
        <w:tc>
          <w:tcPr>
            <w:tcW w:w="972" w:type="dxa"/>
            <w:noWrap/>
            <w:vAlign w:val="bottom"/>
          </w:tcPr>
          <w:p w14:paraId="7AD03652"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$229,330</w:t>
            </w:r>
          </w:p>
        </w:tc>
        <w:tc>
          <w:tcPr>
            <w:tcW w:w="977" w:type="dxa"/>
            <w:noWrap/>
            <w:vAlign w:val="bottom"/>
          </w:tcPr>
          <w:p w14:paraId="20C0D6E9"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$231,952</w:t>
            </w:r>
          </w:p>
        </w:tc>
      </w:tr>
      <w:tr w:rsidR="00C55CBC" w:rsidRPr="00EC1C0A" w14:paraId="6313351A" w14:textId="77777777" w:rsidTr="008B34D8">
        <w:trPr>
          <w:trHeight w:val="300"/>
        </w:trPr>
        <w:tc>
          <w:tcPr>
            <w:tcW w:w="3527" w:type="dxa"/>
            <w:noWrap/>
            <w:hideMark/>
          </w:tcPr>
          <w:p w14:paraId="4E5FCA1A"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 xml:space="preserve">Net </w:t>
            </w:r>
            <w:proofErr w:type="spellStart"/>
            <w:r w:rsidRPr="00EC1C0A">
              <w:rPr>
                <w:rFonts w:ascii="Arial Narrow" w:hAnsi="Arial Narrow" w:cs="Calibri"/>
                <w:color w:val="000000"/>
                <w:sz w:val="20"/>
                <w:szCs w:val="20"/>
                <w:lang w:eastAsia="en-AU"/>
              </w:rPr>
              <w:t>copayments</w:t>
            </w:r>
            <w:proofErr w:type="spellEnd"/>
          </w:p>
        </w:tc>
        <w:tc>
          <w:tcPr>
            <w:tcW w:w="973" w:type="dxa"/>
            <w:noWrap/>
            <w:vAlign w:val="bottom"/>
          </w:tcPr>
          <w:p w14:paraId="4BD92F38"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$32,208</w:t>
            </w:r>
          </w:p>
        </w:tc>
        <w:tc>
          <w:tcPr>
            <w:tcW w:w="972" w:type="dxa"/>
            <w:noWrap/>
            <w:vAlign w:val="bottom"/>
          </w:tcPr>
          <w:p w14:paraId="65F56723"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$32,629</w:t>
            </w:r>
          </w:p>
        </w:tc>
        <w:tc>
          <w:tcPr>
            <w:tcW w:w="972" w:type="dxa"/>
            <w:noWrap/>
            <w:vAlign w:val="bottom"/>
          </w:tcPr>
          <w:p w14:paraId="128283DB"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$33,046</w:t>
            </w:r>
          </w:p>
        </w:tc>
        <w:tc>
          <w:tcPr>
            <w:tcW w:w="972" w:type="dxa"/>
            <w:noWrap/>
            <w:vAlign w:val="bottom"/>
          </w:tcPr>
          <w:p w14:paraId="34092FBE"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$33,445</w:t>
            </w:r>
          </w:p>
        </w:tc>
        <w:tc>
          <w:tcPr>
            <w:tcW w:w="972" w:type="dxa"/>
            <w:noWrap/>
            <w:vAlign w:val="bottom"/>
          </w:tcPr>
          <w:p w14:paraId="5F7954ED"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$33,824</w:t>
            </w:r>
          </w:p>
        </w:tc>
        <w:tc>
          <w:tcPr>
            <w:tcW w:w="977" w:type="dxa"/>
            <w:noWrap/>
            <w:vAlign w:val="bottom"/>
          </w:tcPr>
          <w:p w14:paraId="4CBBFE2F"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$34,211</w:t>
            </w:r>
          </w:p>
        </w:tc>
      </w:tr>
      <w:tr w:rsidR="00C55CBC" w:rsidRPr="00EC1C0A" w14:paraId="23475CAD" w14:textId="77777777" w:rsidTr="008B34D8">
        <w:trPr>
          <w:trHeight w:val="300"/>
        </w:trPr>
        <w:tc>
          <w:tcPr>
            <w:tcW w:w="6444" w:type="dxa"/>
            <w:gridSpan w:val="4"/>
            <w:noWrap/>
            <w:hideMark/>
          </w:tcPr>
          <w:p w14:paraId="72E91317" w14:textId="77777777" w:rsidR="00C55CBC" w:rsidRPr="00EC1C0A" w:rsidRDefault="00C55CBC" w:rsidP="008B34D8">
            <w:pPr>
              <w:spacing w:before="0"/>
              <w:rPr>
                <w:rFonts w:ascii="Arial Narrow" w:hAnsi="Arial Narrow" w:cs="Calibri"/>
                <w:i/>
                <w:iCs/>
                <w:color w:val="000000"/>
                <w:sz w:val="20"/>
                <w:szCs w:val="20"/>
                <w:lang w:eastAsia="en-AU"/>
              </w:rPr>
            </w:pPr>
            <w:r w:rsidRPr="00EC1C0A">
              <w:rPr>
                <w:rFonts w:ascii="Arial Narrow" w:hAnsi="Arial Narrow" w:cs="Calibri"/>
                <w:i/>
                <w:iCs/>
                <w:color w:val="000000"/>
                <w:sz w:val="20"/>
                <w:szCs w:val="20"/>
                <w:lang w:eastAsia="en-AU"/>
              </w:rPr>
              <w:t>Proportion of CT scans offset by MRI: 60% (base case 100%)</w:t>
            </w:r>
            <w:r>
              <w:rPr>
                <w:rFonts w:ascii="Arial Narrow" w:hAnsi="Arial Narrow" w:cs="Calibri"/>
                <w:i/>
                <w:iCs/>
                <w:color w:val="000000"/>
                <w:sz w:val="20"/>
                <w:szCs w:val="20"/>
                <w:lang w:eastAsia="en-AU"/>
              </w:rPr>
              <w:t xml:space="preserve"> </w:t>
            </w:r>
            <w:r w:rsidRPr="00D71BB4">
              <w:rPr>
                <w:vertAlign w:val="superscript"/>
              </w:rPr>
              <w:t>1</w:t>
            </w:r>
          </w:p>
        </w:tc>
        <w:tc>
          <w:tcPr>
            <w:tcW w:w="972" w:type="dxa"/>
            <w:noWrap/>
            <w:hideMark/>
          </w:tcPr>
          <w:p w14:paraId="728E41BA" w14:textId="77777777" w:rsidR="00C55CBC" w:rsidRPr="00EC1C0A" w:rsidRDefault="00C55CBC" w:rsidP="008B34D8">
            <w:pPr>
              <w:spacing w:before="0"/>
              <w:rPr>
                <w:rFonts w:ascii="Arial Narrow" w:hAnsi="Arial Narrow" w:cs="Calibri"/>
                <w:i/>
                <w:iCs/>
                <w:color w:val="000000"/>
                <w:sz w:val="20"/>
                <w:szCs w:val="20"/>
                <w:lang w:eastAsia="en-AU"/>
              </w:rPr>
            </w:pPr>
          </w:p>
        </w:tc>
        <w:tc>
          <w:tcPr>
            <w:tcW w:w="972" w:type="dxa"/>
            <w:noWrap/>
            <w:hideMark/>
          </w:tcPr>
          <w:p w14:paraId="567C7DD2" w14:textId="77777777" w:rsidR="00C55CBC" w:rsidRPr="00EC1C0A" w:rsidRDefault="00C55CBC" w:rsidP="008B34D8">
            <w:pPr>
              <w:spacing w:before="0"/>
              <w:rPr>
                <w:rFonts w:ascii="Arial Narrow" w:hAnsi="Arial Narrow"/>
                <w:sz w:val="20"/>
                <w:szCs w:val="20"/>
                <w:lang w:eastAsia="en-AU"/>
              </w:rPr>
            </w:pPr>
          </w:p>
        </w:tc>
        <w:tc>
          <w:tcPr>
            <w:tcW w:w="977" w:type="dxa"/>
            <w:noWrap/>
            <w:hideMark/>
          </w:tcPr>
          <w:p w14:paraId="00F3C7DF" w14:textId="77777777" w:rsidR="00C55CBC" w:rsidRPr="00EC1C0A" w:rsidRDefault="00C55CBC" w:rsidP="008B34D8">
            <w:pPr>
              <w:spacing w:before="0"/>
              <w:rPr>
                <w:rFonts w:ascii="Arial Narrow" w:hAnsi="Arial Narrow"/>
                <w:sz w:val="20"/>
                <w:szCs w:val="20"/>
                <w:lang w:eastAsia="en-AU"/>
              </w:rPr>
            </w:pPr>
          </w:p>
        </w:tc>
      </w:tr>
      <w:tr w:rsidR="00C55CBC" w:rsidRPr="00EC1C0A" w14:paraId="40EF249F" w14:textId="77777777" w:rsidTr="008B34D8">
        <w:trPr>
          <w:trHeight w:val="300"/>
        </w:trPr>
        <w:tc>
          <w:tcPr>
            <w:tcW w:w="3527" w:type="dxa"/>
            <w:noWrap/>
            <w:hideMark/>
          </w:tcPr>
          <w:p w14:paraId="03BB2834"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Net costs to MBS</w:t>
            </w:r>
          </w:p>
        </w:tc>
        <w:tc>
          <w:tcPr>
            <w:tcW w:w="973" w:type="dxa"/>
            <w:noWrap/>
            <w:vAlign w:val="bottom"/>
          </w:tcPr>
          <w:p w14:paraId="3E01F938"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$197,868</w:t>
            </w:r>
          </w:p>
        </w:tc>
        <w:tc>
          <w:tcPr>
            <w:tcW w:w="972" w:type="dxa"/>
            <w:noWrap/>
            <w:vAlign w:val="bottom"/>
          </w:tcPr>
          <w:p w14:paraId="6CC29C84"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$200,454</w:t>
            </w:r>
          </w:p>
        </w:tc>
        <w:tc>
          <w:tcPr>
            <w:tcW w:w="972" w:type="dxa"/>
            <w:noWrap/>
            <w:vAlign w:val="bottom"/>
          </w:tcPr>
          <w:p w14:paraId="00FB5AE9"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$203,017</w:t>
            </w:r>
          </w:p>
        </w:tc>
        <w:tc>
          <w:tcPr>
            <w:tcW w:w="972" w:type="dxa"/>
            <w:noWrap/>
            <w:vAlign w:val="bottom"/>
          </w:tcPr>
          <w:p w14:paraId="45DB3FF0"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$205,467</w:t>
            </w:r>
          </w:p>
        </w:tc>
        <w:tc>
          <w:tcPr>
            <w:tcW w:w="972" w:type="dxa"/>
            <w:noWrap/>
            <w:vAlign w:val="bottom"/>
          </w:tcPr>
          <w:p w14:paraId="0730A2DF"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$207,797</w:t>
            </w:r>
          </w:p>
        </w:tc>
        <w:tc>
          <w:tcPr>
            <w:tcW w:w="977" w:type="dxa"/>
            <w:noWrap/>
            <w:vAlign w:val="bottom"/>
          </w:tcPr>
          <w:p w14:paraId="6FE50B4B"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$210,172</w:t>
            </w:r>
          </w:p>
        </w:tc>
      </w:tr>
      <w:tr w:rsidR="00C55CBC" w:rsidRPr="00EC1C0A" w14:paraId="182609F7" w14:textId="77777777" w:rsidTr="008B34D8">
        <w:trPr>
          <w:trHeight w:val="300"/>
        </w:trPr>
        <w:tc>
          <w:tcPr>
            <w:tcW w:w="3527" w:type="dxa"/>
            <w:noWrap/>
            <w:hideMark/>
          </w:tcPr>
          <w:p w14:paraId="315CC2A7"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 xml:space="preserve">Net </w:t>
            </w:r>
            <w:proofErr w:type="spellStart"/>
            <w:r w:rsidRPr="00EC1C0A">
              <w:rPr>
                <w:rFonts w:ascii="Arial Narrow" w:hAnsi="Arial Narrow" w:cs="Calibri"/>
                <w:color w:val="000000"/>
                <w:sz w:val="20"/>
                <w:szCs w:val="20"/>
                <w:lang w:eastAsia="en-AU"/>
              </w:rPr>
              <w:t>copayments</w:t>
            </w:r>
            <w:proofErr w:type="spellEnd"/>
          </w:p>
        </w:tc>
        <w:tc>
          <w:tcPr>
            <w:tcW w:w="973" w:type="dxa"/>
            <w:noWrap/>
            <w:vAlign w:val="bottom"/>
          </w:tcPr>
          <w:p w14:paraId="4EA440CE"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$29,645</w:t>
            </w:r>
          </w:p>
        </w:tc>
        <w:tc>
          <w:tcPr>
            <w:tcW w:w="972" w:type="dxa"/>
            <w:noWrap/>
            <w:vAlign w:val="bottom"/>
          </w:tcPr>
          <w:p w14:paraId="0E570B43"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$30,033</w:t>
            </w:r>
          </w:p>
        </w:tc>
        <w:tc>
          <w:tcPr>
            <w:tcW w:w="972" w:type="dxa"/>
            <w:noWrap/>
            <w:vAlign w:val="bottom"/>
          </w:tcPr>
          <w:p w14:paraId="3C57B672"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$30,417</w:t>
            </w:r>
          </w:p>
        </w:tc>
        <w:tc>
          <w:tcPr>
            <w:tcW w:w="972" w:type="dxa"/>
            <w:noWrap/>
            <w:vAlign w:val="bottom"/>
          </w:tcPr>
          <w:p w14:paraId="0BFF1A98"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$30,784</w:t>
            </w:r>
          </w:p>
        </w:tc>
        <w:tc>
          <w:tcPr>
            <w:tcW w:w="972" w:type="dxa"/>
            <w:noWrap/>
            <w:vAlign w:val="bottom"/>
          </w:tcPr>
          <w:p w14:paraId="54ABF144"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$31,133</w:t>
            </w:r>
          </w:p>
        </w:tc>
        <w:tc>
          <w:tcPr>
            <w:tcW w:w="977" w:type="dxa"/>
            <w:noWrap/>
            <w:vAlign w:val="bottom"/>
          </w:tcPr>
          <w:p w14:paraId="63539272"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$31,489</w:t>
            </w:r>
          </w:p>
        </w:tc>
      </w:tr>
      <w:tr w:rsidR="00C55CBC" w:rsidRPr="00EC1C0A" w14:paraId="79205096" w14:textId="77777777" w:rsidTr="008B34D8">
        <w:trPr>
          <w:trHeight w:val="300"/>
        </w:trPr>
        <w:tc>
          <w:tcPr>
            <w:tcW w:w="4500" w:type="dxa"/>
            <w:gridSpan w:val="2"/>
            <w:tcBorders>
              <w:right w:val="nil"/>
            </w:tcBorders>
            <w:noWrap/>
            <w:hideMark/>
          </w:tcPr>
          <w:p w14:paraId="06590773" w14:textId="77777777" w:rsidR="00C55CBC" w:rsidRPr="00EC1C0A" w:rsidRDefault="00C55CBC" w:rsidP="008B34D8">
            <w:pPr>
              <w:spacing w:before="0"/>
              <w:rPr>
                <w:rFonts w:ascii="Arial Narrow" w:hAnsi="Arial Narrow" w:cs="Calibri"/>
                <w:i/>
                <w:iCs/>
                <w:color w:val="000000"/>
                <w:sz w:val="20"/>
                <w:szCs w:val="20"/>
                <w:lang w:eastAsia="en-AU"/>
              </w:rPr>
            </w:pPr>
            <w:r w:rsidRPr="00EC1C0A">
              <w:rPr>
                <w:rFonts w:ascii="Arial Narrow" w:hAnsi="Arial Narrow" w:cs="Calibri"/>
                <w:i/>
                <w:iCs/>
                <w:color w:val="000000"/>
                <w:sz w:val="20"/>
                <w:szCs w:val="20"/>
                <w:lang w:eastAsia="en-AU"/>
              </w:rPr>
              <w:t>Fee per MRI: $450 (base case: $637.25)</w:t>
            </w:r>
          </w:p>
        </w:tc>
        <w:tc>
          <w:tcPr>
            <w:tcW w:w="972" w:type="dxa"/>
            <w:tcBorders>
              <w:left w:val="nil"/>
              <w:right w:val="nil"/>
            </w:tcBorders>
            <w:noWrap/>
            <w:hideMark/>
          </w:tcPr>
          <w:p w14:paraId="207F7B87" w14:textId="77777777" w:rsidR="00C55CBC" w:rsidRPr="00EC1C0A" w:rsidRDefault="00C55CBC" w:rsidP="008B34D8">
            <w:pPr>
              <w:spacing w:before="0"/>
              <w:rPr>
                <w:rFonts w:ascii="Arial Narrow" w:hAnsi="Arial Narrow" w:cs="Calibri"/>
                <w:i/>
                <w:iCs/>
                <w:color w:val="000000"/>
                <w:sz w:val="20"/>
                <w:szCs w:val="20"/>
                <w:lang w:eastAsia="en-AU"/>
              </w:rPr>
            </w:pPr>
          </w:p>
        </w:tc>
        <w:tc>
          <w:tcPr>
            <w:tcW w:w="972" w:type="dxa"/>
            <w:tcBorders>
              <w:left w:val="nil"/>
              <w:right w:val="nil"/>
            </w:tcBorders>
            <w:noWrap/>
            <w:hideMark/>
          </w:tcPr>
          <w:p w14:paraId="55B2BF16" w14:textId="77777777" w:rsidR="00C55CBC" w:rsidRPr="00EC1C0A" w:rsidRDefault="00C55CBC" w:rsidP="008B34D8">
            <w:pPr>
              <w:spacing w:before="0"/>
              <w:rPr>
                <w:rFonts w:ascii="Arial Narrow" w:hAnsi="Arial Narrow"/>
                <w:sz w:val="20"/>
                <w:szCs w:val="20"/>
                <w:lang w:eastAsia="en-AU"/>
              </w:rPr>
            </w:pPr>
          </w:p>
        </w:tc>
        <w:tc>
          <w:tcPr>
            <w:tcW w:w="972" w:type="dxa"/>
            <w:tcBorders>
              <w:left w:val="nil"/>
              <w:right w:val="nil"/>
            </w:tcBorders>
            <w:noWrap/>
            <w:hideMark/>
          </w:tcPr>
          <w:p w14:paraId="45598F0D" w14:textId="77777777" w:rsidR="00C55CBC" w:rsidRPr="00EC1C0A" w:rsidRDefault="00C55CBC" w:rsidP="008B34D8">
            <w:pPr>
              <w:spacing w:before="0"/>
              <w:rPr>
                <w:rFonts w:ascii="Arial Narrow" w:hAnsi="Arial Narrow"/>
                <w:sz w:val="20"/>
                <w:szCs w:val="20"/>
                <w:lang w:eastAsia="en-AU"/>
              </w:rPr>
            </w:pPr>
          </w:p>
        </w:tc>
        <w:tc>
          <w:tcPr>
            <w:tcW w:w="972" w:type="dxa"/>
            <w:tcBorders>
              <w:left w:val="nil"/>
              <w:right w:val="nil"/>
            </w:tcBorders>
            <w:noWrap/>
            <w:hideMark/>
          </w:tcPr>
          <w:p w14:paraId="17D1BA52" w14:textId="77777777" w:rsidR="00C55CBC" w:rsidRPr="00EC1C0A" w:rsidRDefault="00C55CBC" w:rsidP="008B34D8">
            <w:pPr>
              <w:spacing w:before="0"/>
              <w:rPr>
                <w:rFonts w:ascii="Arial Narrow" w:hAnsi="Arial Narrow"/>
                <w:sz w:val="20"/>
                <w:szCs w:val="20"/>
                <w:lang w:eastAsia="en-AU"/>
              </w:rPr>
            </w:pPr>
          </w:p>
        </w:tc>
        <w:tc>
          <w:tcPr>
            <w:tcW w:w="977" w:type="dxa"/>
            <w:tcBorders>
              <w:left w:val="nil"/>
            </w:tcBorders>
            <w:noWrap/>
            <w:hideMark/>
          </w:tcPr>
          <w:p w14:paraId="63E59209" w14:textId="77777777" w:rsidR="00C55CBC" w:rsidRPr="00EC1C0A" w:rsidRDefault="00C55CBC" w:rsidP="008B34D8">
            <w:pPr>
              <w:spacing w:before="0"/>
              <w:rPr>
                <w:rFonts w:ascii="Arial Narrow" w:hAnsi="Arial Narrow"/>
                <w:sz w:val="20"/>
                <w:szCs w:val="20"/>
                <w:lang w:eastAsia="en-AU"/>
              </w:rPr>
            </w:pPr>
          </w:p>
        </w:tc>
      </w:tr>
      <w:tr w:rsidR="00C55CBC" w:rsidRPr="00EC1C0A" w14:paraId="296C06FC" w14:textId="77777777" w:rsidTr="008B34D8">
        <w:trPr>
          <w:trHeight w:val="300"/>
        </w:trPr>
        <w:tc>
          <w:tcPr>
            <w:tcW w:w="3527" w:type="dxa"/>
            <w:noWrap/>
            <w:hideMark/>
          </w:tcPr>
          <w:p w14:paraId="67C08B38"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Net costs to MBS</w:t>
            </w:r>
          </w:p>
        </w:tc>
        <w:tc>
          <w:tcPr>
            <w:tcW w:w="973" w:type="dxa"/>
            <w:noWrap/>
            <w:vAlign w:val="bottom"/>
          </w:tcPr>
          <w:p w14:paraId="60A9BF94"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$112,951</w:t>
            </w:r>
          </w:p>
        </w:tc>
        <w:tc>
          <w:tcPr>
            <w:tcW w:w="972" w:type="dxa"/>
            <w:noWrap/>
            <w:vAlign w:val="bottom"/>
          </w:tcPr>
          <w:p w14:paraId="6B27819B"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$114,428</w:t>
            </w:r>
          </w:p>
        </w:tc>
        <w:tc>
          <w:tcPr>
            <w:tcW w:w="972" w:type="dxa"/>
            <w:noWrap/>
            <w:vAlign w:val="bottom"/>
          </w:tcPr>
          <w:p w14:paraId="65A40647"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$115,890</w:t>
            </w:r>
          </w:p>
        </w:tc>
        <w:tc>
          <w:tcPr>
            <w:tcW w:w="972" w:type="dxa"/>
            <w:noWrap/>
            <w:vAlign w:val="bottom"/>
          </w:tcPr>
          <w:p w14:paraId="6091AC14"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$117,289</w:t>
            </w:r>
          </w:p>
        </w:tc>
        <w:tc>
          <w:tcPr>
            <w:tcW w:w="972" w:type="dxa"/>
            <w:noWrap/>
            <w:vAlign w:val="bottom"/>
          </w:tcPr>
          <w:p w14:paraId="4F8376BF"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$118,619</w:t>
            </w:r>
          </w:p>
        </w:tc>
        <w:tc>
          <w:tcPr>
            <w:tcW w:w="977" w:type="dxa"/>
            <w:noWrap/>
            <w:vAlign w:val="bottom"/>
          </w:tcPr>
          <w:p w14:paraId="016F646B"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$119,975</w:t>
            </w:r>
          </w:p>
        </w:tc>
      </w:tr>
      <w:tr w:rsidR="00C55CBC" w:rsidRPr="00EC1C0A" w14:paraId="09A29311" w14:textId="77777777" w:rsidTr="008B34D8">
        <w:trPr>
          <w:trHeight w:val="300"/>
        </w:trPr>
        <w:tc>
          <w:tcPr>
            <w:tcW w:w="3527" w:type="dxa"/>
            <w:noWrap/>
            <w:hideMark/>
          </w:tcPr>
          <w:p w14:paraId="3054A82C"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 xml:space="preserve">Net </w:t>
            </w:r>
            <w:proofErr w:type="spellStart"/>
            <w:r w:rsidRPr="00EC1C0A">
              <w:rPr>
                <w:rFonts w:ascii="Arial Narrow" w:hAnsi="Arial Narrow" w:cs="Calibri"/>
                <w:color w:val="000000"/>
                <w:sz w:val="20"/>
                <w:szCs w:val="20"/>
                <w:lang w:eastAsia="en-AU"/>
              </w:rPr>
              <w:t>copayments</w:t>
            </w:r>
            <w:proofErr w:type="spellEnd"/>
          </w:p>
        </w:tc>
        <w:tc>
          <w:tcPr>
            <w:tcW w:w="973" w:type="dxa"/>
            <w:noWrap/>
            <w:vAlign w:val="bottom"/>
          </w:tcPr>
          <w:p w14:paraId="3AC46EEC"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$19,938</w:t>
            </w:r>
          </w:p>
        </w:tc>
        <w:tc>
          <w:tcPr>
            <w:tcW w:w="972" w:type="dxa"/>
            <w:noWrap/>
            <w:vAlign w:val="bottom"/>
          </w:tcPr>
          <w:p w14:paraId="1CE02825"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$20,198</w:t>
            </w:r>
          </w:p>
        </w:tc>
        <w:tc>
          <w:tcPr>
            <w:tcW w:w="972" w:type="dxa"/>
            <w:noWrap/>
            <w:vAlign w:val="bottom"/>
          </w:tcPr>
          <w:p w14:paraId="5E70CB7C"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$20,457</w:t>
            </w:r>
          </w:p>
        </w:tc>
        <w:tc>
          <w:tcPr>
            <w:tcW w:w="972" w:type="dxa"/>
            <w:noWrap/>
            <w:vAlign w:val="bottom"/>
          </w:tcPr>
          <w:p w14:paraId="283B4F28"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$20,704</w:t>
            </w:r>
          </w:p>
        </w:tc>
        <w:tc>
          <w:tcPr>
            <w:tcW w:w="972" w:type="dxa"/>
            <w:noWrap/>
            <w:vAlign w:val="bottom"/>
          </w:tcPr>
          <w:p w14:paraId="065875B8"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$20,938</w:t>
            </w:r>
          </w:p>
        </w:tc>
        <w:tc>
          <w:tcPr>
            <w:tcW w:w="977" w:type="dxa"/>
            <w:noWrap/>
            <w:vAlign w:val="bottom"/>
          </w:tcPr>
          <w:p w14:paraId="0AA8D290"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$21,178</w:t>
            </w:r>
          </w:p>
        </w:tc>
      </w:tr>
      <w:tr w:rsidR="00C55CBC" w:rsidRPr="00EC1C0A" w14:paraId="0D9A44E0" w14:textId="77777777" w:rsidTr="008B34D8">
        <w:trPr>
          <w:trHeight w:val="300"/>
        </w:trPr>
        <w:tc>
          <w:tcPr>
            <w:tcW w:w="4500" w:type="dxa"/>
            <w:gridSpan w:val="2"/>
            <w:tcBorders>
              <w:right w:val="nil"/>
            </w:tcBorders>
            <w:noWrap/>
            <w:hideMark/>
          </w:tcPr>
          <w:p w14:paraId="3CF0A1DB" w14:textId="77777777" w:rsidR="00C55CBC" w:rsidRPr="00EC1C0A" w:rsidRDefault="00C55CBC" w:rsidP="008B34D8">
            <w:pPr>
              <w:spacing w:before="0"/>
              <w:rPr>
                <w:rFonts w:ascii="Arial Narrow" w:hAnsi="Arial Narrow" w:cs="Calibri"/>
                <w:i/>
                <w:iCs/>
                <w:color w:val="000000"/>
                <w:sz w:val="20"/>
                <w:szCs w:val="20"/>
                <w:lang w:eastAsia="en-AU"/>
              </w:rPr>
            </w:pPr>
            <w:r w:rsidRPr="00EC1C0A">
              <w:rPr>
                <w:rFonts w:ascii="Arial Narrow" w:hAnsi="Arial Narrow" w:cs="Calibri"/>
                <w:i/>
                <w:iCs/>
                <w:color w:val="000000"/>
                <w:sz w:val="20"/>
                <w:szCs w:val="20"/>
                <w:lang w:eastAsia="en-AU"/>
              </w:rPr>
              <w:t>Fee per MRI: $900 (base case: $637.25)</w:t>
            </w:r>
          </w:p>
        </w:tc>
        <w:tc>
          <w:tcPr>
            <w:tcW w:w="972" w:type="dxa"/>
            <w:tcBorders>
              <w:left w:val="nil"/>
              <w:right w:val="nil"/>
            </w:tcBorders>
            <w:noWrap/>
            <w:hideMark/>
          </w:tcPr>
          <w:p w14:paraId="767E2E9D" w14:textId="77777777" w:rsidR="00C55CBC" w:rsidRPr="00EC1C0A" w:rsidRDefault="00C55CBC" w:rsidP="008B34D8">
            <w:pPr>
              <w:spacing w:before="0"/>
              <w:rPr>
                <w:rFonts w:ascii="Arial Narrow" w:hAnsi="Arial Narrow" w:cs="Calibri"/>
                <w:i/>
                <w:iCs/>
                <w:color w:val="000000"/>
                <w:sz w:val="20"/>
                <w:szCs w:val="20"/>
                <w:lang w:eastAsia="en-AU"/>
              </w:rPr>
            </w:pPr>
          </w:p>
        </w:tc>
        <w:tc>
          <w:tcPr>
            <w:tcW w:w="972" w:type="dxa"/>
            <w:tcBorders>
              <w:left w:val="nil"/>
              <w:right w:val="nil"/>
            </w:tcBorders>
            <w:noWrap/>
            <w:hideMark/>
          </w:tcPr>
          <w:p w14:paraId="61CF37FE" w14:textId="77777777" w:rsidR="00C55CBC" w:rsidRPr="00EC1C0A" w:rsidRDefault="00C55CBC" w:rsidP="008B34D8">
            <w:pPr>
              <w:spacing w:before="0"/>
              <w:rPr>
                <w:rFonts w:ascii="Arial Narrow" w:hAnsi="Arial Narrow"/>
                <w:sz w:val="20"/>
                <w:szCs w:val="20"/>
                <w:lang w:eastAsia="en-AU"/>
              </w:rPr>
            </w:pPr>
          </w:p>
        </w:tc>
        <w:tc>
          <w:tcPr>
            <w:tcW w:w="972" w:type="dxa"/>
            <w:tcBorders>
              <w:left w:val="nil"/>
              <w:right w:val="nil"/>
            </w:tcBorders>
            <w:noWrap/>
            <w:hideMark/>
          </w:tcPr>
          <w:p w14:paraId="65A3E7F5" w14:textId="77777777" w:rsidR="00C55CBC" w:rsidRPr="00EC1C0A" w:rsidRDefault="00C55CBC" w:rsidP="008B34D8">
            <w:pPr>
              <w:spacing w:before="0"/>
              <w:rPr>
                <w:rFonts w:ascii="Arial Narrow" w:hAnsi="Arial Narrow"/>
                <w:sz w:val="20"/>
                <w:szCs w:val="20"/>
                <w:lang w:eastAsia="en-AU"/>
              </w:rPr>
            </w:pPr>
          </w:p>
        </w:tc>
        <w:tc>
          <w:tcPr>
            <w:tcW w:w="972" w:type="dxa"/>
            <w:tcBorders>
              <w:left w:val="nil"/>
              <w:right w:val="nil"/>
            </w:tcBorders>
            <w:noWrap/>
            <w:hideMark/>
          </w:tcPr>
          <w:p w14:paraId="5C06964B" w14:textId="77777777" w:rsidR="00C55CBC" w:rsidRPr="00EC1C0A" w:rsidRDefault="00C55CBC" w:rsidP="008B34D8">
            <w:pPr>
              <w:spacing w:before="0"/>
              <w:rPr>
                <w:rFonts w:ascii="Arial Narrow" w:hAnsi="Arial Narrow"/>
                <w:sz w:val="20"/>
                <w:szCs w:val="20"/>
                <w:lang w:eastAsia="en-AU"/>
              </w:rPr>
            </w:pPr>
          </w:p>
        </w:tc>
        <w:tc>
          <w:tcPr>
            <w:tcW w:w="977" w:type="dxa"/>
            <w:tcBorders>
              <w:left w:val="nil"/>
            </w:tcBorders>
            <w:noWrap/>
            <w:hideMark/>
          </w:tcPr>
          <w:p w14:paraId="03C0917E" w14:textId="77777777" w:rsidR="00C55CBC" w:rsidRPr="00EC1C0A" w:rsidRDefault="00C55CBC" w:rsidP="008B34D8">
            <w:pPr>
              <w:spacing w:before="0"/>
              <w:rPr>
                <w:rFonts w:ascii="Arial Narrow" w:hAnsi="Arial Narrow"/>
                <w:sz w:val="20"/>
                <w:szCs w:val="20"/>
                <w:lang w:eastAsia="en-AU"/>
              </w:rPr>
            </w:pPr>
          </w:p>
        </w:tc>
      </w:tr>
      <w:tr w:rsidR="00C55CBC" w:rsidRPr="00EC1C0A" w14:paraId="40E7D999" w14:textId="77777777" w:rsidTr="008B34D8">
        <w:trPr>
          <w:trHeight w:val="300"/>
        </w:trPr>
        <w:tc>
          <w:tcPr>
            <w:tcW w:w="3527" w:type="dxa"/>
            <w:noWrap/>
            <w:hideMark/>
          </w:tcPr>
          <w:p w14:paraId="7250FE65"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Net costs to MBS</w:t>
            </w:r>
          </w:p>
        </w:tc>
        <w:tc>
          <w:tcPr>
            <w:tcW w:w="973" w:type="dxa"/>
            <w:noWrap/>
            <w:vAlign w:val="bottom"/>
          </w:tcPr>
          <w:p w14:paraId="283C4B4C"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$474,629</w:t>
            </w:r>
          </w:p>
        </w:tc>
        <w:tc>
          <w:tcPr>
            <w:tcW w:w="972" w:type="dxa"/>
            <w:noWrap/>
            <w:vAlign w:val="bottom"/>
          </w:tcPr>
          <w:p w14:paraId="2C217DF3"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$480,833</w:t>
            </w:r>
          </w:p>
        </w:tc>
        <w:tc>
          <w:tcPr>
            <w:tcW w:w="972" w:type="dxa"/>
            <w:noWrap/>
            <w:vAlign w:val="bottom"/>
          </w:tcPr>
          <w:p w14:paraId="1BE996DD"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$486,980</w:t>
            </w:r>
          </w:p>
        </w:tc>
        <w:tc>
          <w:tcPr>
            <w:tcW w:w="972" w:type="dxa"/>
            <w:noWrap/>
            <w:vAlign w:val="bottom"/>
          </w:tcPr>
          <w:p w14:paraId="6B4D6FFA"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$492,857</w:t>
            </w:r>
          </w:p>
        </w:tc>
        <w:tc>
          <w:tcPr>
            <w:tcW w:w="972" w:type="dxa"/>
            <w:noWrap/>
            <w:vAlign w:val="bottom"/>
          </w:tcPr>
          <w:p w14:paraId="14CDC5E8"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$498,445</w:t>
            </w:r>
          </w:p>
        </w:tc>
        <w:tc>
          <w:tcPr>
            <w:tcW w:w="977" w:type="dxa"/>
            <w:noWrap/>
            <w:vAlign w:val="bottom"/>
          </w:tcPr>
          <w:p w14:paraId="352E00F7"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$504,144</w:t>
            </w:r>
          </w:p>
        </w:tc>
      </w:tr>
      <w:tr w:rsidR="00C55CBC" w:rsidRPr="00EC1C0A" w14:paraId="0D56B9F7" w14:textId="77777777" w:rsidTr="008B34D8">
        <w:trPr>
          <w:trHeight w:val="300"/>
        </w:trPr>
        <w:tc>
          <w:tcPr>
            <w:tcW w:w="3527" w:type="dxa"/>
            <w:noWrap/>
            <w:hideMark/>
          </w:tcPr>
          <w:p w14:paraId="1993A291"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 xml:space="preserve">Net </w:t>
            </w:r>
            <w:proofErr w:type="spellStart"/>
            <w:r w:rsidRPr="00EC1C0A">
              <w:rPr>
                <w:rFonts w:ascii="Arial Narrow" w:hAnsi="Arial Narrow" w:cs="Calibri"/>
                <w:color w:val="000000"/>
                <w:sz w:val="20"/>
                <w:szCs w:val="20"/>
                <w:lang w:eastAsia="en-AU"/>
              </w:rPr>
              <w:t>copayments</w:t>
            </w:r>
            <w:proofErr w:type="spellEnd"/>
          </w:p>
        </w:tc>
        <w:tc>
          <w:tcPr>
            <w:tcW w:w="973" w:type="dxa"/>
            <w:noWrap/>
            <w:vAlign w:val="bottom"/>
          </w:tcPr>
          <w:p w14:paraId="4FD0624D"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$37,113</w:t>
            </w:r>
          </w:p>
        </w:tc>
        <w:tc>
          <w:tcPr>
            <w:tcW w:w="972" w:type="dxa"/>
            <w:noWrap/>
            <w:vAlign w:val="bottom"/>
          </w:tcPr>
          <w:p w14:paraId="085804B5"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$37,598</w:t>
            </w:r>
          </w:p>
        </w:tc>
        <w:tc>
          <w:tcPr>
            <w:tcW w:w="972" w:type="dxa"/>
            <w:noWrap/>
            <w:vAlign w:val="bottom"/>
          </w:tcPr>
          <w:p w14:paraId="33B95A56"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$38,078</w:t>
            </w:r>
          </w:p>
        </w:tc>
        <w:tc>
          <w:tcPr>
            <w:tcW w:w="972" w:type="dxa"/>
            <w:noWrap/>
            <w:vAlign w:val="bottom"/>
          </w:tcPr>
          <w:p w14:paraId="68CB7320"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$38,538</w:t>
            </w:r>
          </w:p>
        </w:tc>
        <w:tc>
          <w:tcPr>
            <w:tcW w:w="972" w:type="dxa"/>
            <w:noWrap/>
            <w:vAlign w:val="bottom"/>
          </w:tcPr>
          <w:p w14:paraId="600C8351"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$38,975</w:t>
            </w:r>
          </w:p>
        </w:tc>
        <w:tc>
          <w:tcPr>
            <w:tcW w:w="977" w:type="dxa"/>
            <w:noWrap/>
            <w:vAlign w:val="bottom"/>
          </w:tcPr>
          <w:p w14:paraId="5B169B75"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$39,420</w:t>
            </w:r>
          </w:p>
        </w:tc>
      </w:tr>
      <w:tr w:rsidR="00C55CBC" w:rsidRPr="00EC1C0A" w14:paraId="2ED46FA7" w14:textId="77777777" w:rsidTr="008B34D8">
        <w:trPr>
          <w:trHeight w:val="300"/>
        </w:trPr>
        <w:tc>
          <w:tcPr>
            <w:tcW w:w="4500" w:type="dxa"/>
            <w:gridSpan w:val="2"/>
            <w:tcBorders>
              <w:right w:val="nil"/>
            </w:tcBorders>
            <w:noWrap/>
            <w:hideMark/>
          </w:tcPr>
          <w:p w14:paraId="5328DFC4" w14:textId="77777777" w:rsidR="00C55CBC" w:rsidRPr="00EC1C0A" w:rsidRDefault="00C55CBC" w:rsidP="008B34D8">
            <w:pPr>
              <w:spacing w:before="0"/>
              <w:rPr>
                <w:rFonts w:ascii="Arial Narrow" w:hAnsi="Arial Narrow" w:cs="Calibri"/>
                <w:i/>
                <w:iCs/>
                <w:color w:val="000000"/>
                <w:sz w:val="20"/>
                <w:szCs w:val="20"/>
                <w:lang w:eastAsia="en-AU"/>
              </w:rPr>
            </w:pPr>
            <w:r w:rsidRPr="00EC1C0A">
              <w:rPr>
                <w:rFonts w:ascii="Arial Narrow" w:hAnsi="Arial Narrow" w:cs="Calibri"/>
                <w:i/>
                <w:iCs/>
                <w:color w:val="000000"/>
                <w:sz w:val="20"/>
                <w:szCs w:val="20"/>
                <w:lang w:eastAsia="en-AU"/>
              </w:rPr>
              <w:t>Fee for contrast: $120 (base case: $45.50)</w:t>
            </w:r>
          </w:p>
        </w:tc>
        <w:tc>
          <w:tcPr>
            <w:tcW w:w="972" w:type="dxa"/>
            <w:tcBorders>
              <w:left w:val="nil"/>
              <w:right w:val="nil"/>
            </w:tcBorders>
            <w:noWrap/>
            <w:hideMark/>
          </w:tcPr>
          <w:p w14:paraId="621D5464" w14:textId="77777777" w:rsidR="00C55CBC" w:rsidRPr="00EC1C0A" w:rsidRDefault="00C55CBC" w:rsidP="008B34D8">
            <w:pPr>
              <w:spacing w:before="0"/>
              <w:rPr>
                <w:rFonts w:ascii="Arial Narrow" w:hAnsi="Arial Narrow" w:cs="Calibri"/>
                <w:i/>
                <w:iCs/>
                <w:color w:val="000000"/>
                <w:sz w:val="20"/>
                <w:szCs w:val="20"/>
                <w:lang w:eastAsia="en-AU"/>
              </w:rPr>
            </w:pPr>
          </w:p>
        </w:tc>
        <w:tc>
          <w:tcPr>
            <w:tcW w:w="972" w:type="dxa"/>
            <w:tcBorders>
              <w:left w:val="nil"/>
              <w:right w:val="nil"/>
            </w:tcBorders>
            <w:noWrap/>
            <w:hideMark/>
          </w:tcPr>
          <w:p w14:paraId="1A3B79A4" w14:textId="77777777" w:rsidR="00C55CBC" w:rsidRPr="00EC1C0A" w:rsidRDefault="00C55CBC" w:rsidP="008B34D8">
            <w:pPr>
              <w:spacing w:before="0"/>
              <w:rPr>
                <w:rFonts w:ascii="Arial Narrow" w:hAnsi="Arial Narrow"/>
                <w:sz w:val="20"/>
                <w:szCs w:val="20"/>
                <w:lang w:eastAsia="en-AU"/>
              </w:rPr>
            </w:pPr>
          </w:p>
        </w:tc>
        <w:tc>
          <w:tcPr>
            <w:tcW w:w="972" w:type="dxa"/>
            <w:tcBorders>
              <w:left w:val="nil"/>
              <w:right w:val="nil"/>
            </w:tcBorders>
            <w:noWrap/>
            <w:hideMark/>
          </w:tcPr>
          <w:p w14:paraId="76B63EF9" w14:textId="77777777" w:rsidR="00C55CBC" w:rsidRPr="00EC1C0A" w:rsidRDefault="00C55CBC" w:rsidP="008B34D8">
            <w:pPr>
              <w:spacing w:before="0"/>
              <w:rPr>
                <w:rFonts w:ascii="Arial Narrow" w:hAnsi="Arial Narrow"/>
                <w:sz w:val="20"/>
                <w:szCs w:val="20"/>
                <w:lang w:eastAsia="en-AU"/>
              </w:rPr>
            </w:pPr>
          </w:p>
        </w:tc>
        <w:tc>
          <w:tcPr>
            <w:tcW w:w="972" w:type="dxa"/>
            <w:tcBorders>
              <w:left w:val="nil"/>
              <w:right w:val="nil"/>
            </w:tcBorders>
            <w:noWrap/>
            <w:hideMark/>
          </w:tcPr>
          <w:p w14:paraId="489AD1B7" w14:textId="77777777" w:rsidR="00C55CBC" w:rsidRPr="00EC1C0A" w:rsidRDefault="00C55CBC" w:rsidP="008B34D8">
            <w:pPr>
              <w:spacing w:before="0"/>
              <w:rPr>
                <w:rFonts w:ascii="Arial Narrow" w:hAnsi="Arial Narrow"/>
                <w:sz w:val="20"/>
                <w:szCs w:val="20"/>
                <w:lang w:eastAsia="en-AU"/>
              </w:rPr>
            </w:pPr>
          </w:p>
        </w:tc>
        <w:tc>
          <w:tcPr>
            <w:tcW w:w="977" w:type="dxa"/>
            <w:tcBorders>
              <w:left w:val="nil"/>
            </w:tcBorders>
            <w:noWrap/>
            <w:hideMark/>
          </w:tcPr>
          <w:p w14:paraId="766C2BAC" w14:textId="77777777" w:rsidR="00C55CBC" w:rsidRPr="00EC1C0A" w:rsidRDefault="00C55CBC" w:rsidP="008B34D8">
            <w:pPr>
              <w:spacing w:before="0"/>
              <w:rPr>
                <w:rFonts w:ascii="Arial Narrow" w:hAnsi="Arial Narrow"/>
                <w:sz w:val="20"/>
                <w:szCs w:val="20"/>
                <w:lang w:eastAsia="en-AU"/>
              </w:rPr>
            </w:pPr>
          </w:p>
        </w:tc>
      </w:tr>
      <w:tr w:rsidR="00C55CBC" w:rsidRPr="00EC1C0A" w14:paraId="61AF19AC" w14:textId="77777777" w:rsidTr="008B34D8">
        <w:trPr>
          <w:trHeight w:val="300"/>
        </w:trPr>
        <w:tc>
          <w:tcPr>
            <w:tcW w:w="3527" w:type="dxa"/>
            <w:noWrap/>
            <w:hideMark/>
          </w:tcPr>
          <w:p w14:paraId="26CC3169"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Net costs to MBS</w:t>
            </w:r>
          </w:p>
        </w:tc>
        <w:tc>
          <w:tcPr>
            <w:tcW w:w="973" w:type="dxa"/>
            <w:noWrap/>
            <w:vAlign w:val="bottom"/>
          </w:tcPr>
          <w:p w14:paraId="02905786"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$301,422</w:t>
            </w:r>
          </w:p>
        </w:tc>
        <w:tc>
          <w:tcPr>
            <w:tcW w:w="972" w:type="dxa"/>
            <w:noWrap/>
            <w:vAlign w:val="bottom"/>
          </w:tcPr>
          <w:p w14:paraId="767A6301"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$305,362</w:t>
            </w:r>
          </w:p>
        </w:tc>
        <w:tc>
          <w:tcPr>
            <w:tcW w:w="972" w:type="dxa"/>
            <w:noWrap/>
            <w:vAlign w:val="bottom"/>
          </w:tcPr>
          <w:p w14:paraId="50350777"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$309,265</w:t>
            </w:r>
          </w:p>
        </w:tc>
        <w:tc>
          <w:tcPr>
            <w:tcW w:w="972" w:type="dxa"/>
            <w:noWrap/>
            <w:vAlign w:val="bottom"/>
          </w:tcPr>
          <w:p w14:paraId="1D6C3294"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$312,998</w:t>
            </w:r>
          </w:p>
        </w:tc>
        <w:tc>
          <w:tcPr>
            <w:tcW w:w="972" w:type="dxa"/>
            <w:noWrap/>
            <w:vAlign w:val="bottom"/>
          </w:tcPr>
          <w:p w14:paraId="5ADD2324"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$316,547</w:t>
            </w:r>
          </w:p>
        </w:tc>
        <w:tc>
          <w:tcPr>
            <w:tcW w:w="977" w:type="dxa"/>
            <w:noWrap/>
            <w:vAlign w:val="bottom"/>
          </w:tcPr>
          <w:p w14:paraId="709A11F0"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$320,166</w:t>
            </w:r>
          </w:p>
        </w:tc>
      </w:tr>
      <w:tr w:rsidR="00C55CBC" w:rsidRPr="00EC1C0A" w14:paraId="4AC4AA3A" w14:textId="77777777" w:rsidTr="008B34D8">
        <w:trPr>
          <w:trHeight w:val="300"/>
        </w:trPr>
        <w:tc>
          <w:tcPr>
            <w:tcW w:w="3527" w:type="dxa"/>
            <w:noWrap/>
            <w:hideMark/>
          </w:tcPr>
          <w:p w14:paraId="1578D47F"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 xml:space="preserve">Net </w:t>
            </w:r>
            <w:proofErr w:type="spellStart"/>
            <w:r w:rsidRPr="00EC1C0A">
              <w:rPr>
                <w:rFonts w:ascii="Arial Narrow" w:hAnsi="Arial Narrow" w:cs="Calibri"/>
                <w:color w:val="000000"/>
                <w:sz w:val="20"/>
                <w:szCs w:val="20"/>
                <w:lang w:eastAsia="en-AU"/>
              </w:rPr>
              <w:t>copayments</w:t>
            </w:r>
            <w:proofErr w:type="spellEnd"/>
          </w:p>
        </w:tc>
        <w:tc>
          <w:tcPr>
            <w:tcW w:w="973" w:type="dxa"/>
            <w:noWrap/>
            <w:vAlign w:val="bottom"/>
          </w:tcPr>
          <w:p w14:paraId="577CCD06"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$45,561</w:t>
            </w:r>
          </w:p>
        </w:tc>
        <w:tc>
          <w:tcPr>
            <w:tcW w:w="972" w:type="dxa"/>
            <w:noWrap/>
            <w:vAlign w:val="bottom"/>
          </w:tcPr>
          <w:p w14:paraId="69D2448E"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$46,156</w:t>
            </w:r>
          </w:p>
        </w:tc>
        <w:tc>
          <w:tcPr>
            <w:tcW w:w="972" w:type="dxa"/>
            <w:noWrap/>
            <w:vAlign w:val="bottom"/>
          </w:tcPr>
          <w:p w14:paraId="429CF292"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$46,746</w:t>
            </w:r>
          </w:p>
        </w:tc>
        <w:tc>
          <w:tcPr>
            <w:tcW w:w="972" w:type="dxa"/>
            <w:noWrap/>
            <w:vAlign w:val="bottom"/>
          </w:tcPr>
          <w:p w14:paraId="1A12B5F7"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$47,311</w:t>
            </w:r>
          </w:p>
        </w:tc>
        <w:tc>
          <w:tcPr>
            <w:tcW w:w="972" w:type="dxa"/>
            <w:noWrap/>
            <w:vAlign w:val="bottom"/>
          </w:tcPr>
          <w:p w14:paraId="5ADB7FEC"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$47,847</w:t>
            </w:r>
          </w:p>
        </w:tc>
        <w:tc>
          <w:tcPr>
            <w:tcW w:w="977" w:type="dxa"/>
            <w:noWrap/>
            <w:vAlign w:val="bottom"/>
          </w:tcPr>
          <w:p w14:paraId="31C76D9B"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$48,394</w:t>
            </w:r>
          </w:p>
        </w:tc>
      </w:tr>
      <w:tr w:rsidR="00C55CBC" w:rsidRPr="00EC1C0A" w14:paraId="50EC460A" w14:textId="77777777" w:rsidTr="008B34D8">
        <w:trPr>
          <w:trHeight w:val="300"/>
        </w:trPr>
        <w:tc>
          <w:tcPr>
            <w:tcW w:w="4500" w:type="dxa"/>
            <w:gridSpan w:val="2"/>
            <w:tcBorders>
              <w:right w:val="nil"/>
            </w:tcBorders>
            <w:noWrap/>
            <w:hideMark/>
          </w:tcPr>
          <w:p w14:paraId="75C34184" w14:textId="77777777" w:rsidR="00C55CBC" w:rsidRPr="00EC1C0A" w:rsidRDefault="00C55CBC" w:rsidP="008B34D8">
            <w:pPr>
              <w:spacing w:before="0"/>
              <w:rPr>
                <w:rFonts w:ascii="Arial Narrow" w:hAnsi="Arial Narrow" w:cs="Calibri"/>
                <w:i/>
                <w:iCs/>
                <w:color w:val="000000"/>
                <w:sz w:val="20"/>
                <w:szCs w:val="20"/>
                <w:lang w:eastAsia="en-AU"/>
              </w:rPr>
            </w:pPr>
            <w:r w:rsidRPr="00EC1C0A">
              <w:rPr>
                <w:rFonts w:ascii="Arial Narrow" w:hAnsi="Arial Narrow" w:cs="Calibri"/>
                <w:i/>
                <w:iCs/>
                <w:color w:val="000000"/>
                <w:sz w:val="20"/>
                <w:szCs w:val="20"/>
                <w:lang w:eastAsia="en-AU"/>
              </w:rPr>
              <w:t>Fee per CT scan: $374.60 (base case: $480.56)</w:t>
            </w:r>
          </w:p>
        </w:tc>
        <w:tc>
          <w:tcPr>
            <w:tcW w:w="972" w:type="dxa"/>
            <w:tcBorders>
              <w:left w:val="nil"/>
              <w:right w:val="nil"/>
            </w:tcBorders>
            <w:noWrap/>
            <w:hideMark/>
          </w:tcPr>
          <w:p w14:paraId="5EB56BF9" w14:textId="77777777" w:rsidR="00C55CBC" w:rsidRPr="00EC1C0A" w:rsidRDefault="00C55CBC" w:rsidP="008B34D8">
            <w:pPr>
              <w:spacing w:before="0"/>
              <w:rPr>
                <w:rFonts w:ascii="Arial Narrow" w:hAnsi="Arial Narrow" w:cs="Calibri"/>
                <w:i/>
                <w:iCs/>
                <w:color w:val="000000"/>
                <w:sz w:val="20"/>
                <w:szCs w:val="20"/>
                <w:lang w:eastAsia="en-AU"/>
              </w:rPr>
            </w:pPr>
          </w:p>
        </w:tc>
        <w:tc>
          <w:tcPr>
            <w:tcW w:w="972" w:type="dxa"/>
            <w:tcBorders>
              <w:left w:val="nil"/>
              <w:right w:val="nil"/>
            </w:tcBorders>
            <w:noWrap/>
            <w:hideMark/>
          </w:tcPr>
          <w:p w14:paraId="70FC1595" w14:textId="77777777" w:rsidR="00C55CBC" w:rsidRPr="00EC1C0A" w:rsidRDefault="00C55CBC" w:rsidP="008B34D8">
            <w:pPr>
              <w:spacing w:before="0"/>
              <w:rPr>
                <w:rFonts w:ascii="Arial Narrow" w:hAnsi="Arial Narrow"/>
                <w:sz w:val="20"/>
                <w:szCs w:val="20"/>
                <w:lang w:eastAsia="en-AU"/>
              </w:rPr>
            </w:pPr>
          </w:p>
        </w:tc>
        <w:tc>
          <w:tcPr>
            <w:tcW w:w="972" w:type="dxa"/>
            <w:tcBorders>
              <w:left w:val="nil"/>
              <w:right w:val="nil"/>
            </w:tcBorders>
            <w:noWrap/>
            <w:hideMark/>
          </w:tcPr>
          <w:p w14:paraId="11D4E513" w14:textId="77777777" w:rsidR="00C55CBC" w:rsidRPr="00EC1C0A" w:rsidRDefault="00C55CBC" w:rsidP="008B34D8">
            <w:pPr>
              <w:spacing w:before="0"/>
              <w:rPr>
                <w:rFonts w:ascii="Arial Narrow" w:hAnsi="Arial Narrow"/>
                <w:sz w:val="20"/>
                <w:szCs w:val="20"/>
                <w:lang w:eastAsia="en-AU"/>
              </w:rPr>
            </w:pPr>
          </w:p>
        </w:tc>
        <w:tc>
          <w:tcPr>
            <w:tcW w:w="972" w:type="dxa"/>
            <w:tcBorders>
              <w:left w:val="nil"/>
              <w:right w:val="nil"/>
            </w:tcBorders>
            <w:noWrap/>
            <w:hideMark/>
          </w:tcPr>
          <w:p w14:paraId="2F64CBC4" w14:textId="77777777" w:rsidR="00C55CBC" w:rsidRPr="00EC1C0A" w:rsidRDefault="00C55CBC" w:rsidP="008B34D8">
            <w:pPr>
              <w:spacing w:before="0"/>
              <w:rPr>
                <w:rFonts w:ascii="Arial Narrow" w:hAnsi="Arial Narrow"/>
                <w:sz w:val="20"/>
                <w:szCs w:val="20"/>
                <w:lang w:eastAsia="en-AU"/>
              </w:rPr>
            </w:pPr>
          </w:p>
        </w:tc>
        <w:tc>
          <w:tcPr>
            <w:tcW w:w="977" w:type="dxa"/>
            <w:tcBorders>
              <w:left w:val="nil"/>
            </w:tcBorders>
            <w:noWrap/>
            <w:hideMark/>
          </w:tcPr>
          <w:p w14:paraId="48E9EB14" w14:textId="77777777" w:rsidR="00C55CBC" w:rsidRPr="00EC1C0A" w:rsidRDefault="00C55CBC" w:rsidP="008B34D8">
            <w:pPr>
              <w:spacing w:before="0"/>
              <w:rPr>
                <w:rFonts w:ascii="Arial Narrow" w:hAnsi="Arial Narrow"/>
                <w:sz w:val="20"/>
                <w:szCs w:val="20"/>
                <w:lang w:eastAsia="en-AU"/>
              </w:rPr>
            </w:pPr>
          </w:p>
        </w:tc>
      </w:tr>
      <w:tr w:rsidR="00C55CBC" w:rsidRPr="00EC1C0A" w14:paraId="1BD2CBCE" w14:textId="77777777" w:rsidTr="008B34D8">
        <w:trPr>
          <w:trHeight w:val="300"/>
        </w:trPr>
        <w:tc>
          <w:tcPr>
            <w:tcW w:w="3527" w:type="dxa"/>
            <w:noWrap/>
            <w:hideMark/>
          </w:tcPr>
          <w:p w14:paraId="1347DD6E"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Net costs to MBS</w:t>
            </w:r>
          </w:p>
        </w:tc>
        <w:tc>
          <w:tcPr>
            <w:tcW w:w="973" w:type="dxa"/>
            <w:noWrap/>
            <w:vAlign w:val="bottom"/>
          </w:tcPr>
          <w:p w14:paraId="470678BC"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$305,972</w:t>
            </w:r>
          </w:p>
        </w:tc>
        <w:tc>
          <w:tcPr>
            <w:tcW w:w="972" w:type="dxa"/>
            <w:noWrap/>
            <w:vAlign w:val="bottom"/>
          </w:tcPr>
          <w:p w14:paraId="5E52B1D7"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$309,971</w:t>
            </w:r>
          </w:p>
        </w:tc>
        <w:tc>
          <w:tcPr>
            <w:tcW w:w="972" w:type="dxa"/>
            <w:noWrap/>
            <w:vAlign w:val="bottom"/>
          </w:tcPr>
          <w:p w14:paraId="257D7460"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$313,934</w:t>
            </w:r>
          </w:p>
        </w:tc>
        <w:tc>
          <w:tcPr>
            <w:tcW w:w="972" w:type="dxa"/>
            <w:noWrap/>
            <w:vAlign w:val="bottom"/>
          </w:tcPr>
          <w:p w14:paraId="58E65699"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$317,722</w:t>
            </w:r>
          </w:p>
        </w:tc>
        <w:tc>
          <w:tcPr>
            <w:tcW w:w="972" w:type="dxa"/>
            <w:noWrap/>
            <w:vAlign w:val="bottom"/>
          </w:tcPr>
          <w:p w14:paraId="17950F9D"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$321,325</w:t>
            </w:r>
          </w:p>
        </w:tc>
        <w:tc>
          <w:tcPr>
            <w:tcW w:w="977" w:type="dxa"/>
            <w:noWrap/>
            <w:vAlign w:val="bottom"/>
          </w:tcPr>
          <w:p w14:paraId="4C84C051"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$324,999</w:t>
            </w:r>
          </w:p>
        </w:tc>
      </w:tr>
      <w:tr w:rsidR="00C55CBC" w:rsidRPr="00EC1C0A" w14:paraId="3270086D" w14:textId="77777777" w:rsidTr="008B34D8">
        <w:trPr>
          <w:trHeight w:val="300"/>
        </w:trPr>
        <w:tc>
          <w:tcPr>
            <w:tcW w:w="3527" w:type="dxa"/>
            <w:noWrap/>
            <w:hideMark/>
          </w:tcPr>
          <w:p w14:paraId="00E1524A"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 xml:space="preserve">Net </w:t>
            </w:r>
            <w:proofErr w:type="spellStart"/>
            <w:r w:rsidRPr="00EC1C0A">
              <w:rPr>
                <w:rFonts w:ascii="Arial Narrow" w:hAnsi="Arial Narrow" w:cs="Calibri"/>
                <w:color w:val="000000"/>
                <w:sz w:val="20"/>
                <w:szCs w:val="20"/>
                <w:lang w:eastAsia="en-AU"/>
              </w:rPr>
              <w:t>copayments</w:t>
            </w:r>
            <w:proofErr w:type="spellEnd"/>
          </w:p>
        </w:tc>
        <w:tc>
          <w:tcPr>
            <w:tcW w:w="973" w:type="dxa"/>
            <w:noWrap/>
            <w:vAlign w:val="bottom"/>
          </w:tcPr>
          <w:p w14:paraId="5F1E9A0D"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$46,396</w:t>
            </w:r>
          </w:p>
        </w:tc>
        <w:tc>
          <w:tcPr>
            <w:tcW w:w="972" w:type="dxa"/>
            <w:noWrap/>
            <w:vAlign w:val="bottom"/>
          </w:tcPr>
          <w:p w14:paraId="3408D544"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$47,003</w:t>
            </w:r>
          </w:p>
        </w:tc>
        <w:tc>
          <w:tcPr>
            <w:tcW w:w="972" w:type="dxa"/>
            <w:noWrap/>
            <w:vAlign w:val="bottom"/>
          </w:tcPr>
          <w:p w14:paraId="51EA7043"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$47,604</w:t>
            </w:r>
          </w:p>
        </w:tc>
        <w:tc>
          <w:tcPr>
            <w:tcW w:w="972" w:type="dxa"/>
            <w:noWrap/>
            <w:vAlign w:val="bottom"/>
          </w:tcPr>
          <w:p w14:paraId="29E19D06"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$48,178</w:t>
            </w:r>
          </w:p>
        </w:tc>
        <w:tc>
          <w:tcPr>
            <w:tcW w:w="972" w:type="dxa"/>
            <w:noWrap/>
            <w:vAlign w:val="bottom"/>
          </w:tcPr>
          <w:p w14:paraId="4F51AB1F"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$48,724</w:t>
            </w:r>
          </w:p>
        </w:tc>
        <w:tc>
          <w:tcPr>
            <w:tcW w:w="977" w:type="dxa"/>
            <w:noWrap/>
            <w:vAlign w:val="bottom"/>
          </w:tcPr>
          <w:p w14:paraId="0B1EAA18"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$49,281</w:t>
            </w:r>
          </w:p>
        </w:tc>
      </w:tr>
      <w:tr w:rsidR="00C55CBC" w:rsidRPr="00EC1C0A" w14:paraId="18CEA24D" w14:textId="77777777" w:rsidTr="008B34D8">
        <w:trPr>
          <w:trHeight w:val="300"/>
        </w:trPr>
        <w:tc>
          <w:tcPr>
            <w:tcW w:w="4500" w:type="dxa"/>
            <w:gridSpan w:val="2"/>
            <w:tcBorders>
              <w:right w:val="nil"/>
            </w:tcBorders>
            <w:noWrap/>
            <w:hideMark/>
          </w:tcPr>
          <w:p w14:paraId="0F000FCC" w14:textId="77777777" w:rsidR="00C55CBC" w:rsidRPr="00EC1C0A" w:rsidRDefault="00C55CBC" w:rsidP="008B34D8">
            <w:pPr>
              <w:spacing w:before="0"/>
              <w:rPr>
                <w:rFonts w:ascii="Arial Narrow" w:hAnsi="Arial Narrow" w:cs="Calibri"/>
                <w:i/>
                <w:iCs/>
                <w:color w:val="000000"/>
                <w:sz w:val="20"/>
                <w:szCs w:val="20"/>
                <w:lang w:eastAsia="en-AU"/>
              </w:rPr>
            </w:pPr>
            <w:r w:rsidRPr="00EC1C0A">
              <w:rPr>
                <w:rFonts w:ascii="Arial Narrow" w:hAnsi="Arial Narrow" w:cs="Calibri"/>
                <w:i/>
                <w:iCs/>
                <w:color w:val="000000"/>
                <w:sz w:val="20"/>
                <w:szCs w:val="20"/>
                <w:lang w:eastAsia="en-AU"/>
              </w:rPr>
              <w:lastRenderedPageBreak/>
              <w:t>Fee per CT scan: $499.50 (base case: $480.56)</w:t>
            </w:r>
          </w:p>
        </w:tc>
        <w:tc>
          <w:tcPr>
            <w:tcW w:w="972" w:type="dxa"/>
            <w:tcBorders>
              <w:left w:val="nil"/>
              <w:right w:val="nil"/>
            </w:tcBorders>
            <w:noWrap/>
            <w:hideMark/>
          </w:tcPr>
          <w:p w14:paraId="106AC28E" w14:textId="77777777" w:rsidR="00C55CBC" w:rsidRPr="00EC1C0A" w:rsidRDefault="00C55CBC" w:rsidP="008B34D8">
            <w:pPr>
              <w:spacing w:before="0"/>
              <w:rPr>
                <w:rFonts w:ascii="Arial Narrow" w:hAnsi="Arial Narrow" w:cs="Calibri"/>
                <w:i/>
                <w:iCs/>
                <w:color w:val="000000"/>
                <w:sz w:val="20"/>
                <w:szCs w:val="20"/>
                <w:lang w:eastAsia="en-AU"/>
              </w:rPr>
            </w:pPr>
          </w:p>
        </w:tc>
        <w:tc>
          <w:tcPr>
            <w:tcW w:w="972" w:type="dxa"/>
            <w:tcBorders>
              <w:left w:val="nil"/>
              <w:right w:val="nil"/>
            </w:tcBorders>
            <w:noWrap/>
            <w:hideMark/>
          </w:tcPr>
          <w:p w14:paraId="6AB672F6" w14:textId="77777777" w:rsidR="00C55CBC" w:rsidRPr="00EC1C0A" w:rsidRDefault="00C55CBC" w:rsidP="008B34D8">
            <w:pPr>
              <w:spacing w:before="0"/>
              <w:rPr>
                <w:rFonts w:ascii="Arial Narrow" w:hAnsi="Arial Narrow"/>
                <w:sz w:val="20"/>
                <w:szCs w:val="20"/>
                <w:lang w:eastAsia="en-AU"/>
              </w:rPr>
            </w:pPr>
          </w:p>
        </w:tc>
        <w:tc>
          <w:tcPr>
            <w:tcW w:w="972" w:type="dxa"/>
            <w:tcBorders>
              <w:left w:val="nil"/>
              <w:right w:val="nil"/>
            </w:tcBorders>
            <w:noWrap/>
            <w:hideMark/>
          </w:tcPr>
          <w:p w14:paraId="74653C1A" w14:textId="77777777" w:rsidR="00C55CBC" w:rsidRPr="00EC1C0A" w:rsidRDefault="00C55CBC" w:rsidP="008B34D8">
            <w:pPr>
              <w:spacing w:before="0"/>
              <w:rPr>
                <w:rFonts w:ascii="Arial Narrow" w:hAnsi="Arial Narrow"/>
                <w:sz w:val="20"/>
                <w:szCs w:val="20"/>
                <w:lang w:eastAsia="en-AU"/>
              </w:rPr>
            </w:pPr>
          </w:p>
        </w:tc>
        <w:tc>
          <w:tcPr>
            <w:tcW w:w="972" w:type="dxa"/>
            <w:tcBorders>
              <w:left w:val="nil"/>
              <w:right w:val="nil"/>
            </w:tcBorders>
            <w:noWrap/>
            <w:hideMark/>
          </w:tcPr>
          <w:p w14:paraId="6ABFB17F" w14:textId="77777777" w:rsidR="00C55CBC" w:rsidRPr="00EC1C0A" w:rsidRDefault="00C55CBC" w:rsidP="008B34D8">
            <w:pPr>
              <w:spacing w:before="0"/>
              <w:rPr>
                <w:rFonts w:ascii="Arial Narrow" w:hAnsi="Arial Narrow"/>
                <w:sz w:val="20"/>
                <w:szCs w:val="20"/>
                <w:lang w:eastAsia="en-AU"/>
              </w:rPr>
            </w:pPr>
          </w:p>
        </w:tc>
        <w:tc>
          <w:tcPr>
            <w:tcW w:w="977" w:type="dxa"/>
            <w:tcBorders>
              <w:left w:val="nil"/>
            </w:tcBorders>
            <w:noWrap/>
            <w:hideMark/>
          </w:tcPr>
          <w:p w14:paraId="57093F4F" w14:textId="77777777" w:rsidR="00C55CBC" w:rsidRPr="00EC1C0A" w:rsidRDefault="00C55CBC" w:rsidP="008B34D8">
            <w:pPr>
              <w:spacing w:before="0"/>
              <w:rPr>
                <w:rFonts w:ascii="Arial Narrow" w:hAnsi="Arial Narrow"/>
                <w:sz w:val="20"/>
                <w:szCs w:val="20"/>
                <w:lang w:eastAsia="en-AU"/>
              </w:rPr>
            </w:pPr>
          </w:p>
        </w:tc>
      </w:tr>
      <w:tr w:rsidR="00C55CBC" w:rsidRPr="00EC1C0A" w14:paraId="1B89ABC2" w14:textId="77777777" w:rsidTr="008B34D8">
        <w:trPr>
          <w:trHeight w:val="300"/>
        </w:trPr>
        <w:tc>
          <w:tcPr>
            <w:tcW w:w="3527" w:type="dxa"/>
            <w:noWrap/>
            <w:hideMark/>
          </w:tcPr>
          <w:p w14:paraId="4A352D54"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Net costs to MBS</w:t>
            </w:r>
          </w:p>
        </w:tc>
        <w:tc>
          <w:tcPr>
            <w:tcW w:w="973" w:type="dxa"/>
            <w:noWrap/>
            <w:vAlign w:val="bottom"/>
          </w:tcPr>
          <w:p w14:paraId="7518C2AF"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$243,997</w:t>
            </w:r>
          </w:p>
        </w:tc>
        <w:tc>
          <w:tcPr>
            <w:tcW w:w="972" w:type="dxa"/>
            <w:noWrap/>
            <w:vAlign w:val="bottom"/>
          </w:tcPr>
          <w:p w14:paraId="51F1A53D"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$247,186</w:t>
            </w:r>
          </w:p>
        </w:tc>
        <w:tc>
          <w:tcPr>
            <w:tcW w:w="972" w:type="dxa"/>
            <w:noWrap/>
            <w:vAlign w:val="bottom"/>
          </w:tcPr>
          <w:p w14:paraId="3E5D0421"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$250,346</w:t>
            </w:r>
          </w:p>
        </w:tc>
        <w:tc>
          <w:tcPr>
            <w:tcW w:w="972" w:type="dxa"/>
            <w:noWrap/>
            <w:vAlign w:val="bottom"/>
          </w:tcPr>
          <w:p w14:paraId="11744035"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$253,367</w:t>
            </w:r>
          </w:p>
        </w:tc>
        <w:tc>
          <w:tcPr>
            <w:tcW w:w="972" w:type="dxa"/>
            <w:noWrap/>
            <w:vAlign w:val="bottom"/>
          </w:tcPr>
          <w:p w14:paraId="33CFD90B"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$256,240</w:t>
            </w:r>
          </w:p>
        </w:tc>
        <w:tc>
          <w:tcPr>
            <w:tcW w:w="977" w:type="dxa"/>
            <w:noWrap/>
            <w:vAlign w:val="bottom"/>
          </w:tcPr>
          <w:p w14:paraId="47C63FC8"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$259,170</w:t>
            </w:r>
          </w:p>
        </w:tc>
      </w:tr>
      <w:tr w:rsidR="00C55CBC" w:rsidRPr="00EC1C0A" w14:paraId="0BC35F95" w14:textId="77777777" w:rsidTr="008B34D8">
        <w:trPr>
          <w:trHeight w:val="300"/>
        </w:trPr>
        <w:tc>
          <w:tcPr>
            <w:tcW w:w="3527" w:type="dxa"/>
            <w:noWrap/>
            <w:hideMark/>
          </w:tcPr>
          <w:p w14:paraId="0B8EEBA0"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 xml:space="preserve">Net </w:t>
            </w:r>
            <w:proofErr w:type="spellStart"/>
            <w:r w:rsidRPr="00EC1C0A">
              <w:rPr>
                <w:rFonts w:ascii="Arial Narrow" w:hAnsi="Arial Narrow" w:cs="Calibri"/>
                <w:color w:val="000000"/>
                <w:sz w:val="20"/>
                <w:szCs w:val="20"/>
                <w:lang w:eastAsia="en-AU"/>
              </w:rPr>
              <w:t>copayments</w:t>
            </w:r>
            <w:proofErr w:type="spellEnd"/>
          </w:p>
        </w:tc>
        <w:tc>
          <w:tcPr>
            <w:tcW w:w="973" w:type="dxa"/>
            <w:noWrap/>
            <w:vAlign w:val="bottom"/>
          </w:tcPr>
          <w:p w14:paraId="04F20ACE"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$35,484</w:t>
            </w:r>
          </w:p>
        </w:tc>
        <w:tc>
          <w:tcPr>
            <w:tcW w:w="972" w:type="dxa"/>
            <w:noWrap/>
            <w:vAlign w:val="bottom"/>
          </w:tcPr>
          <w:p w14:paraId="549544B8"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$35,947</w:t>
            </w:r>
          </w:p>
        </w:tc>
        <w:tc>
          <w:tcPr>
            <w:tcW w:w="972" w:type="dxa"/>
            <w:noWrap/>
            <w:vAlign w:val="bottom"/>
          </w:tcPr>
          <w:p w14:paraId="7D7A3669"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$36,407</w:t>
            </w:r>
          </w:p>
        </w:tc>
        <w:tc>
          <w:tcPr>
            <w:tcW w:w="972" w:type="dxa"/>
            <w:noWrap/>
            <w:vAlign w:val="bottom"/>
          </w:tcPr>
          <w:p w14:paraId="548645BE"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$36,846</w:t>
            </w:r>
          </w:p>
        </w:tc>
        <w:tc>
          <w:tcPr>
            <w:tcW w:w="972" w:type="dxa"/>
            <w:noWrap/>
            <w:vAlign w:val="bottom"/>
          </w:tcPr>
          <w:p w14:paraId="3E2E5D92"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$37,264</w:t>
            </w:r>
          </w:p>
        </w:tc>
        <w:tc>
          <w:tcPr>
            <w:tcW w:w="977" w:type="dxa"/>
            <w:noWrap/>
            <w:vAlign w:val="bottom"/>
          </w:tcPr>
          <w:p w14:paraId="13C871D3"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$37,690</w:t>
            </w:r>
          </w:p>
        </w:tc>
      </w:tr>
      <w:tr w:rsidR="00C55CBC" w:rsidRPr="00EC1C0A" w14:paraId="76EAD3FE" w14:textId="77777777" w:rsidTr="008B34D8">
        <w:trPr>
          <w:trHeight w:val="300"/>
        </w:trPr>
        <w:tc>
          <w:tcPr>
            <w:tcW w:w="6444" w:type="dxa"/>
            <w:gridSpan w:val="4"/>
            <w:tcBorders>
              <w:right w:val="nil"/>
            </w:tcBorders>
            <w:noWrap/>
            <w:hideMark/>
          </w:tcPr>
          <w:p w14:paraId="613685E2" w14:textId="77777777" w:rsidR="00C55CBC" w:rsidRPr="00EC1C0A" w:rsidRDefault="00C55CBC" w:rsidP="008B34D8">
            <w:pPr>
              <w:spacing w:before="0"/>
              <w:rPr>
                <w:rFonts w:ascii="Arial Narrow" w:hAnsi="Arial Narrow" w:cs="Calibri"/>
                <w:i/>
                <w:iCs/>
                <w:color w:val="000000"/>
                <w:sz w:val="20"/>
                <w:szCs w:val="20"/>
                <w:lang w:eastAsia="en-AU"/>
              </w:rPr>
            </w:pPr>
            <w:r w:rsidRPr="00EC1C0A">
              <w:rPr>
                <w:rFonts w:ascii="Arial Narrow" w:hAnsi="Arial Narrow" w:cs="Calibri"/>
                <w:i/>
                <w:iCs/>
                <w:color w:val="000000"/>
                <w:sz w:val="20"/>
                <w:szCs w:val="20"/>
                <w:lang w:eastAsia="en-AU"/>
              </w:rPr>
              <w:t>Proportion of MRI</w:t>
            </w:r>
            <w:r w:rsidR="000A0F7B">
              <w:rPr>
                <w:rFonts w:ascii="Arial Narrow" w:hAnsi="Arial Narrow" w:cs="Calibri"/>
                <w:i/>
                <w:iCs/>
                <w:color w:val="000000"/>
                <w:sz w:val="20"/>
                <w:szCs w:val="20"/>
                <w:lang w:eastAsia="en-AU"/>
              </w:rPr>
              <w:t xml:space="preserve"> scan</w:t>
            </w:r>
            <w:r w:rsidRPr="00EC1C0A">
              <w:rPr>
                <w:rFonts w:ascii="Arial Narrow" w:hAnsi="Arial Narrow" w:cs="Calibri"/>
                <w:i/>
                <w:iCs/>
                <w:color w:val="000000"/>
                <w:sz w:val="20"/>
                <w:szCs w:val="20"/>
                <w:lang w:eastAsia="en-AU"/>
              </w:rPr>
              <w:t>s using contrast agent: 70% (base case: 90%)</w:t>
            </w:r>
          </w:p>
        </w:tc>
        <w:tc>
          <w:tcPr>
            <w:tcW w:w="972" w:type="dxa"/>
            <w:tcBorders>
              <w:left w:val="nil"/>
              <w:right w:val="nil"/>
            </w:tcBorders>
            <w:noWrap/>
            <w:hideMark/>
          </w:tcPr>
          <w:p w14:paraId="03BB1622" w14:textId="77777777" w:rsidR="00C55CBC" w:rsidRPr="00EC1C0A" w:rsidRDefault="00C55CBC" w:rsidP="008B34D8">
            <w:pPr>
              <w:spacing w:before="0"/>
              <w:rPr>
                <w:rFonts w:ascii="Arial Narrow" w:hAnsi="Arial Narrow" w:cs="Calibri"/>
                <w:i/>
                <w:iCs/>
                <w:color w:val="000000"/>
                <w:sz w:val="20"/>
                <w:szCs w:val="20"/>
                <w:lang w:eastAsia="en-AU"/>
              </w:rPr>
            </w:pPr>
          </w:p>
        </w:tc>
        <w:tc>
          <w:tcPr>
            <w:tcW w:w="972" w:type="dxa"/>
            <w:tcBorders>
              <w:left w:val="nil"/>
              <w:right w:val="nil"/>
            </w:tcBorders>
            <w:noWrap/>
            <w:hideMark/>
          </w:tcPr>
          <w:p w14:paraId="3B4CC076" w14:textId="77777777" w:rsidR="00C55CBC" w:rsidRPr="00EC1C0A" w:rsidRDefault="00C55CBC" w:rsidP="008B34D8">
            <w:pPr>
              <w:spacing w:before="0"/>
              <w:rPr>
                <w:rFonts w:ascii="Arial Narrow" w:hAnsi="Arial Narrow"/>
                <w:sz w:val="20"/>
                <w:szCs w:val="20"/>
                <w:lang w:eastAsia="en-AU"/>
              </w:rPr>
            </w:pPr>
          </w:p>
        </w:tc>
        <w:tc>
          <w:tcPr>
            <w:tcW w:w="977" w:type="dxa"/>
            <w:tcBorders>
              <w:left w:val="nil"/>
            </w:tcBorders>
            <w:noWrap/>
            <w:hideMark/>
          </w:tcPr>
          <w:p w14:paraId="0A804BDB" w14:textId="77777777" w:rsidR="00C55CBC" w:rsidRPr="00EC1C0A" w:rsidRDefault="00C55CBC" w:rsidP="008B34D8">
            <w:pPr>
              <w:spacing w:before="0"/>
              <w:rPr>
                <w:rFonts w:ascii="Arial Narrow" w:hAnsi="Arial Narrow"/>
                <w:sz w:val="20"/>
                <w:szCs w:val="20"/>
                <w:lang w:eastAsia="en-AU"/>
              </w:rPr>
            </w:pPr>
          </w:p>
        </w:tc>
      </w:tr>
      <w:tr w:rsidR="00C55CBC" w:rsidRPr="00EC1C0A" w14:paraId="4B989953" w14:textId="77777777" w:rsidTr="008B34D8">
        <w:trPr>
          <w:trHeight w:val="300"/>
        </w:trPr>
        <w:tc>
          <w:tcPr>
            <w:tcW w:w="3527" w:type="dxa"/>
            <w:noWrap/>
            <w:hideMark/>
          </w:tcPr>
          <w:p w14:paraId="29D3A366"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Net costs to MBS</w:t>
            </w:r>
          </w:p>
        </w:tc>
        <w:tc>
          <w:tcPr>
            <w:tcW w:w="973" w:type="dxa"/>
            <w:noWrap/>
            <w:vAlign w:val="bottom"/>
          </w:tcPr>
          <w:p w14:paraId="373037BA"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$246,914</w:t>
            </w:r>
          </w:p>
        </w:tc>
        <w:tc>
          <w:tcPr>
            <w:tcW w:w="972" w:type="dxa"/>
            <w:noWrap/>
            <w:vAlign w:val="bottom"/>
          </w:tcPr>
          <w:p w14:paraId="4FD6B2D6"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$250,141</w:t>
            </w:r>
          </w:p>
        </w:tc>
        <w:tc>
          <w:tcPr>
            <w:tcW w:w="972" w:type="dxa"/>
            <w:noWrap/>
            <w:vAlign w:val="bottom"/>
          </w:tcPr>
          <w:p w14:paraId="7A979487"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$253,339</w:t>
            </w:r>
          </w:p>
        </w:tc>
        <w:tc>
          <w:tcPr>
            <w:tcW w:w="972" w:type="dxa"/>
            <w:noWrap/>
            <w:vAlign w:val="bottom"/>
          </w:tcPr>
          <w:p w14:paraId="242A089D"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$256,396</w:t>
            </w:r>
          </w:p>
        </w:tc>
        <w:tc>
          <w:tcPr>
            <w:tcW w:w="972" w:type="dxa"/>
            <w:noWrap/>
            <w:vAlign w:val="bottom"/>
          </w:tcPr>
          <w:p w14:paraId="7B993564"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$259,303</w:t>
            </w:r>
          </w:p>
        </w:tc>
        <w:tc>
          <w:tcPr>
            <w:tcW w:w="977" w:type="dxa"/>
            <w:noWrap/>
            <w:vAlign w:val="bottom"/>
          </w:tcPr>
          <w:p w14:paraId="3FA22CAC"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$262,268</w:t>
            </w:r>
          </w:p>
        </w:tc>
      </w:tr>
      <w:tr w:rsidR="00C55CBC" w:rsidRPr="00EC1C0A" w14:paraId="54451495" w14:textId="77777777" w:rsidTr="008B34D8">
        <w:trPr>
          <w:trHeight w:val="300"/>
        </w:trPr>
        <w:tc>
          <w:tcPr>
            <w:tcW w:w="3527" w:type="dxa"/>
            <w:noWrap/>
            <w:hideMark/>
          </w:tcPr>
          <w:p w14:paraId="383EF2FF"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 xml:space="preserve">Net </w:t>
            </w:r>
            <w:proofErr w:type="spellStart"/>
            <w:r w:rsidRPr="00EC1C0A">
              <w:rPr>
                <w:rFonts w:ascii="Arial Narrow" w:hAnsi="Arial Narrow" w:cs="Calibri"/>
                <w:color w:val="000000"/>
                <w:sz w:val="20"/>
                <w:szCs w:val="20"/>
                <w:lang w:eastAsia="en-AU"/>
              </w:rPr>
              <w:t>copayments</w:t>
            </w:r>
            <w:proofErr w:type="spellEnd"/>
          </w:p>
        </w:tc>
        <w:tc>
          <w:tcPr>
            <w:tcW w:w="973" w:type="dxa"/>
            <w:noWrap/>
            <w:vAlign w:val="bottom"/>
          </w:tcPr>
          <w:p w14:paraId="61FD056A"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$35,959</w:t>
            </w:r>
          </w:p>
        </w:tc>
        <w:tc>
          <w:tcPr>
            <w:tcW w:w="972" w:type="dxa"/>
            <w:noWrap/>
            <w:vAlign w:val="bottom"/>
          </w:tcPr>
          <w:p w14:paraId="42C5991C"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$36,429</w:t>
            </w:r>
          </w:p>
        </w:tc>
        <w:tc>
          <w:tcPr>
            <w:tcW w:w="972" w:type="dxa"/>
            <w:noWrap/>
            <w:vAlign w:val="bottom"/>
          </w:tcPr>
          <w:p w14:paraId="318FACB3"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$36,895</w:t>
            </w:r>
          </w:p>
        </w:tc>
        <w:tc>
          <w:tcPr>
            <w:tcW w:w="972" w:type="dxa"/>
            <w:noWrap/>
            <w:vAlign w:val="bottom"/>
          </w:tcPr>
          <w:p w14:paraId="6FE12D96"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$37,340</w:t>
            </w:r>
          </w:p>
        </w:tc>
        <w:tc>
          <w:tcPr>
            <w:tcW w:w="972" w:type="dxa"/>
            <w:noWrap/>
            <w:vAlign w:val="bottom"/>
          </w:tcPr>
          <w:p w14:paraId="2C9EB62D"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$37,763</w:t>
            </w:r>
          </w:p>
        </w:tc>
        <w:tc>
          <w:tcPr>
            <w:tcW w:w="977" w:type="dxa"/>
            <w:noWrap/>
            <w:vAlign w:val="bottom"/>
          </w:tcPr>
          <w:p w14:paraId="5FBF985D"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$38,195</w:t>
            </w:r>
          </w:p>
        </w:tc>
      </w:tr>
      <w:tr w:rsidR="00C55CBC" w:rsidRPr="00EC1C0A" w14:paraId="32CCE964" w14:textId="77777777" w:rsidTr="008B34D8">
        <w:trPr>
          <w:trHeight w:val="300"/>
        </w:trPr>
        <w:tc>
          <w:tcPr>
            <w:tcW w:w="6444" w:type="dxa"/>
            <w:gridSpan w:val="4"/>
            <w:tcBorders>
              <w:right w:val="nil"/>
            </w:tcBorders>
            <w:noWrap/>
            <w:hideMark/>
          </w:tcPr>
          <w:p w14:paraId="79336813" w14:textId="77777777" w:rsidR="00C55CBC" w:rsidRPr="00EC1C0A" w:rsidRDefault="00C55CBC" w:rsidP="008B34D8">
            <w:pPr>
              <w:spacing w:before="0"/>
              <w:rPr>
                <w:rFonts w:ascii="Arial Narrow" w:hAnsi="Arial Narrow" w:cs="Calibri"/>
                <w:i/>
                <w:iCs/>
                <w:color w:val="000000"/>
                <w:sz w:val="20"/>
                <w:szCs w:val="20"/>
                <w:lang w:eastAsia="en-AU"/>
              </w:rPr>
            </w:pPr>
            <w:r w:rsidRPr="00EC1C0A">
              <w:rPr>
                <w:rFonts w:ascii="Arial Narrow" w:hAnsi="Arial Narrow" w:cs="Calibri"/>
                <w:i/>
                <w:iCs/>
                <w:color w:val="000000"/>
                <w:sz w:val="20"/>
                <w:szCs w:val="20"/>
                <w:lang w:eastAsia="en-AU"/>
              </w:rPr>
              <w:t>Proportion of MRI</w:t>
            </w:r>
            <w:r w:rsidR="000A0F7B">
              <w:rPr>
                <w:rFonts w:ascii="Arial Narrow" w:hAnsi="Arial Narrow" w:cs="Calibri"/>
                <w:i/>
                <w:iCs/>
                <w:color w:val="000000"/>
                <w:sz w:val="20"/>
                <w:szCs w:val="20"/>
                <w:lang w:eastAsia="en-AU"/>
              </w:rPr>
              <w:t xml:space="preserve"> scan</w:t>
            </w:r>
            <w:r w:rsidRPr="00EC1C0A">
              <w:rPr>
                <w:rFonts w:ascii="Arial Narrow" w:hAnsi="Arial Narrow" w:cs="Calibri"/>
                <w:i/>
                <w:iCs/>
                <w:color w:val="000000"/>
                <w:sz w:val="20"/>
                <w:szCs w:val="20"/>
                <w:lang w:eastAsia="en-AU"/>
              </w:rPr>
              <w:t>s using contrast agent: 100% (base case: 90%)</w:t>
            </w:r>
          </w:p>
        </w:tc>
        <w:tc>
          <w:tcPr>
            <w:tcW w:w="972" w:type="dxa"/>
            <w:tcBorders>
              <w:left w:val="nil"/>
              <w:right w:val="nil"/>
            </w:tcBorders>
            <w:noWrap/>
            <w:hideMark/>
          </w:tcPr>
          <w:p w14:paraId="442C99D6" w14:textId="77777777" w:rsidR="00C55CBC" w:rsidRPr="00EC1C0A" w:rsidRDefault="00C55CBC" w:rsidP="008B34D8">
            <w:pPr>
              <w:spacing w:before="0"/>
              <w:rPr>
                <w:rFonts w:ascii="Arial Narrow" w:hAnsi="Arial Narrow" w:cs="Calibri"/>
                <w:i/>
                <w:iCs/>
                <w:color w:val="000000"/>
                <w:sz w:val="20"/>
                <w:szCs w:val="20"/>
                <w:lang w:eastAsia="en-AU"/>
              </w:rPr>
            </w:pPr>
          </w:p>
        </w:tc>
        <w:tc>
          <w:tcPr>
            <w:tcW w:w="972" w:type="dxa"/>
            <w:tcBorders>
              <w:left w:val="nil"/>
              <w:right w:val="nil"/>
            </w:tcBorders>
            <w:noWrap/>
            <w:hideMark/>
          </w:tcPr>
          <w:p w14:paraId="7E16872C" w14:textId="77777777" w:rsidR="00C55CBC" w:rsidRPr="00EC1C0A" w:rsidRDefault="00C55CBC" w:rsidP="008B34D8">
            <w:pPr>
              <w:spacing w:before="0"/>
              <w:rPr>
                <w:rFonts w:ascii="Arial Narrow" w:hAnsi="Arial Narrow"/>
                <w:sz w:val="20"/>
                <w:szCs w:val="20"/>
                <w:lang w:eastAsia="en-AU"/>
              </w:rPr>
            </w:pPr>
          </w:p>
        </w:tc>
        <w:tc>
          <w:tcPr>
            <w:tcW w:w="977" w:type="dxa"/>
            <w:tcBorders>
              <w:left w:val="nil"/>
            </w:tcBorders>
            <w:noWrap/>
            <w:hideMark/>
          </w:tcPr>
          <w:p w14:paraId="414C9A6C" w14:textId="77777777" w:rsidR="00C55CBC" w:rsidRPr="00EC1C0A" w:rsidRDefault="00C55CBC" w:rsidP="008B34D8">
            <w:pPr>
              <w:spacing w:before="0"/>
              <w:rPr>
                <w:rFonts w:ascii="Arial Narrow" w:hAnsi="Arial Narrow"/>
                <w:sz w:val="20"/>
                <w:szCs w:val="20"/>
                <w:lang w:eastAsia="en-AU"/>
              </w:rPr>
            </w:pPr>
          </w:p>
        </w:tc>
      </w:tr>
      <w:tr w:rsidR="00C55CBC" w:rsidRPr="00EC1C0A" w14:paraId="3E2A1DFE" w14:textId="77777777" w:rsidTr="008B34D8">
        <w:trPr>
          <w:trHeight w:val="300"/>
        </w:trPr>
        <w:tc>
          <w:tcPr>
            <w:tcW w:w="3527" w:type="dxa"/>
            <w:noWrap/>
            <w:hideMark/>
          </w:tcPr>
          <w:p w14:paraId="7A227818"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Net costs to MBS</w:t>
            </w:r>
          </w:p>
        </w:tc>
        <w:tc>
          <w:tcPr>
            <w:tcW w:w="973" w:type="dxa"/>
            <w:noWrap/>
            <w:vAlign w:val="bottom"/>
          </w:tcPr>
          <w:p w14:paraId="17661799"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$256,675</w:t>
            </w:r>
          </w:p>
        </w:tc>
        <w:tc>
          <w:tcPr>
            <w:tcW w:w="972" w:type="dxa"/>
            <w:noWrap/>
            <w:vAlign w:val="bottom"/>
          </w:tcPr>
          <w:p w14:paraId="42A40B32"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$260,030</w:t>
            </w:r>
          </w:p>
        </w:tc>
        <w:tc>
          <w:tcPr>
            <w:tcW w:w="972" w:type="dxa"/>
            <w:noWrap/>
            <w:vAlign w:val="bottom"/>
          </w:tcPr>
          <w:p w14:paraId="2A4E4300"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$263,354</w:t>
            </w:r>
          </w:p>
        </w:tc>
        <w:tc>
          <w:tcPr>
            <w:tcW w:w="972" w:type="dxa"/>
            <w:noWrap/>
            <w:vAlign w:val="bottom"/>
          </w:tcPr>
          <w:p w14:paraId="176D1591"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$266,532</w:t>
            </w:r>
          </w:p>
        </w:tc>
        <w:tc>
          <w:tcPr>
            <w:tcW w:w="972" w:type="dxa"/>
            <w:noWrap/>
            <w:vAlign w:val="bottom"/>
          </w:tcPr>
          <w:p w14:paraId="4EE128DA"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$269,555</w:t>
            </w:r>
          </w:p>
        </w:tc>
        <w:tc>
          <w:tcPr>
            <w:tcW w:w="977" w:type="dxa"/>
            <w:noWrap/>
            <w:vAlign w:val="bottom"/>
          </w:tcPr>
          <w:p w14:paraId="2EE9107B"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$272,637</w:t>
            </w:r>
          </w:p>
        </w:tc>
      </w:tr>
      <w:tr w:rsidR="00C55CBC" w:rsidRPr="00EC1C0A" w14:paraId="4F154DC0" w14:textId="77777777" w:rsidTr="008B34D8">
        <w:trPr>
          <w:trHeight w:val="300"/>
        </w:trPr>
        <w:tc>
          <w:tcPr>
            <w:tcW w:w="3527" w:type="dxa"/>
            <w:noWrap/>
            <w:hideMark/>
          </w:tcPr>
          <w:p w14:paraId="70CD74E8"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 xml:space="preserve">Net </w:t>
            </w:r>
            <w:proofErr w:type="spellStart"/>
            <w:r w:rsidRPr="00EC1C0A">
              <w:rPr>
                <w:rFonts w:ascii="Arial Narrow" w:hAnsi="Arial Narrow" w:cs="Calibri"/>
                <w:color w:val="000000"/>
                <w:sz w:val="20"/>
                <w:szCs w:val="20"/>
                <w:lang w:eastAsia="en-AU"/>
              </w:rPr>
              <w:t>copayments</w:t>
            </w:r>
            <w:proofErr w:type="spellEnd"/>
          </w:p>
        </w:tc>
        <w:tc>
          <w:tcPr>
            <w:tcW w:w="973" w:type="dxa"/>
            <w:noWrap/>
            <w:vAlign w:val="bottom"/>
          </w:tcPr>
          <w:p w14:paraId="150AEE1B"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$37,689</w:t>
            </w:r>
          </w:p>
        </w:tc>
        <w:tc>
          <w:tcPr>
            <w:tcW w:w="972" w:type="dxa"/>
            <w:noWrap/>
            <w:vAlign w:val="bottom"/>
          </w:tcPr>
          <w:p w14:paraId="5F5D452B"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$38,182</w:t>
            </w:r>
          </w:p>
        </w:tc>
        <w:tc>
          <w:tcPr>
            <w:tcW w:w="972" w:type="dxa"/>
            <w:noWrap/>
            <w:vAlign w:val="bottom"/>
          </w:tcPr>
          <w:p w14:paraId="183367C7"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$38,670</w:t>
            </w:r>
          </w:p>
        </w:tc>
        <w:tc>
          <w:tcPr>
            <w:tcW w:w="972" w:type="dxa"/>
            <w:noWrap/>
            <w:vAlign w:val="bottom"/>
          </w:tcPr>
          <w:p w14:paraId="0720F904"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$39,137</w:t>
            </w:r>
          </w:p>
        </w:tc>
        <w:tc>
          <w:tcPr>
            <w:tcW w:w="972" w:type="dxa"/>
            <w:noWrap/>
            <w:vAlign w:val="bottom"/>
          </w:tcPr>
          <w:p w14:paraId="16FDB904"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$39,580</w:t>
            </w:r>
          </w:p>
        </w:tc>
        <w:tc>
          <w:tcPr>
            <w:tcW w:w="977" w:type="dxa"/>
            <w:noWrap/>
            <w:vAlign w:val="bottom"/>
          </w:tcPr>
          <w:p w14:paraId="1EAF8886"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$40,033</w:t>
            </w:r>
          </w:p>
        </w:tc>
      </w:tr>
      <w:tr w:rsidR="00C55CBC" w:rsidRPr="00EC1C0A" w14:paraId="3C5305F4" w14:textId="77777777" w:rsidTr="008B34D8">
        <w:trPr>
          <w:trHeight w:val="300"/>
        </w:trPr>
        <w:tc>
          <w:tcPr>
            <w:tcW w:w="6444" w:type="dxa"/>
            <w:gridSpan w:val="4"/>
            <w:tcBorders>
              <w:right w:val="nil"/>
            </w:tcBorders>
            <w:noWrap/>
            <w:hideMark/>
          </w:tcPr>
          <w:p w14:paraId="7F54AD1E" w14:textId="77777777" w:rsidR="00C55CBC" w:rsidRPr="00EC1C0A" w:rsidRDefault="00C55CBC" w:rsidP="008B34D8">
            <w:pPr>
              <w:spacing w:before="0"/>
              <w:rPr>
                <w:rFonts w:ascii="Arial Narrow" w:hAnsi="Arial Narrow" w:cs="Calibri"/>
                <w:i/>
                <w:iCs/>
                <w:color w:val="000000"/>
                <w:sz w:val="20"/>
                <w:szCs w:val="20"/>
                <w:lang w:eastAsia="en-AU"/>
              </w:rPr>
            </w:pPr>
            <w:r>
              <w:rPr>
                <w:rFonts w:ascii="Arial Narrow" w:hAnsi="Arial Narrow" w:cs="Calibri"/>
                <w:i/>
                <w:iCs/>
                <w:color w:val="000000"/>
                <w:sz w:val="20"/>
                <w:szCs w:val="20"/>
                <w:lang w:eastAsia="en-AU"/>
              </w:rPr>
              <w:t>GPG set on 1 November 2022</w:t>
            </w:r>
            <w:r w:rsidRPr="00EC1C0A">
              <w:rPr>
                <w:rFonts w:ascii="Arial Narrow" w:hAnsi="Arial Narrow" w:cs="Calibri"/>
                <w:i/>
                <w:iCs/>
                <w:color w:val="000000"/>
                <w:sz w:val="20"/>
                <w:szCs w:val="20"/>
                <w:lang w:eastAsia="en-AU"/>
              </w:rPr>
              <w:t xml:space="preserve">: </w:t>
            </w:r>
            <w:r>
              <w:rPr>
                <w:rFonts w:ascii="Arial Narrow" w:hAnsi="Arial Narrow" w:cs="Calibri"/>
                <w:i/>
                <w:iCs/>
                <w:color w:val="000000"/>
                <w:sz w:val="20"/>
                <w:szCs w:val="20"/>
                <w:lang w:eastAsia="en-AU"/>
              </w:rPr>
              <w:t>$93.20</w:t>
            </w:r>
            <w:r w:rsidRPr="00EC1C0A">
              <w:rPr>
                <w:rFonts w:ascii="Arial Narrow" w:hAnsi="Arial Narrow" w:cs="Calibri"/>
                <w:i/>
                <w:iCs/>
                <w:color w:val="000000"/>
                <w:sz w:val="20"/>
                <w:szCs w:val="20"/>
                <w:lang w:eastAsia="en-AU"/>
              </w:rPr>
              <w:t xml:space="preserve"> (base case: </w:t>
            </w:r>
            <w:r>
              <w:rPr>
                <w:rFonts w:ascii="Arial Narrow" w:hAnsi="Arial Narrow" w:cs="Calibri"/>
                <w:i/>
                <w:iCs/>
                <w:color w:val="000000"/>
                <w:sz w:val="20"/>
                <w:szCs w:val="20"/>
                <w:lang w:eastAsia="en-AU"/>
              </w:rPr>
              <w:t>$87.20 set on 1 November 2021)</w:t>
            </w:r>
          </w:p>
        </w:tc>
        <w:tc>
          <w:tcPr>
            <w:tcW w:w="972" w:type="dxa"/>
            <w:tcBorders>
              <w:left w:val="nil"/>
              <w:right w:val="nil"/>
            </w:tcBorders>
            <w:noWrap/>
            <w:hideMark/>
          </w:tcPr>
          <w:p w14:paraId="6E824717" w14:textId="77777777" w:rsidR="00C55CBC" w:rsidRPr="00EC1C0A" w:rsidRDefault="00C55CBC" w:rsidP="008B34D8">
            <w:pPr>
              <w:spacing w:before="0"/>
              <w:rPr>
                <w:rFonts w:ascii="Arial Narrow" w:hAnsi="Arial Narrow" w:cs="Calibri"/>
                <w:i/>
                <w:iCs/>
                <w:color w:val="000000"/>
                <w:sz w:val="20"/>
                <w:szCs w:val="20"/>
                <w:lang w:eastAsia="en-AU"/>
              </w:rPr>
            </w:pPr>
          </w:p>
        </w:tc>
        <w:tc>
          <w:tcPr>
            <w:tcW w:w="972" w:type="dxa"/>
            <w:tcBorders>
              <w:left w:val="nil"/>
              <w:right w:val="nil"/>
            </w:tcBorders>
            <w:noWrap/>
            <w:hideMark/>
          </w:tcPr>
          <w:p w14:paraId="16EE2C7A" w14:textId="77777777" w:rsidR="00C55CBC" w:rsidRPr="00EC1C0A" w:rsidRDefault="00C55CBC" w:rsidP="008B34D8">
            <w:pPr>
              <w:spacing w:before="0"/>
              <w:rPr>
                <w:rFonts w:ascii="Arial Narrow" w:hAnsi="Arial Narrow"/>
                <w:sz w:val="20"/>
                <w:szCs w:val="20"/>
                <w:lang w:eastAsia="en-AU"/>
              </w:rPr>
            </w:pPr>
          </w:p>
        </w:tc>
        <w:tc>
          <w:tcPr>
            <w:tcW w:w="977" w:type="dxa"/>
            <w:tcBorders>
              <w:left w:val="nil"/>
            </w:tcBorders>
            <w:noWrap/>
            <w:hideMark/>
          </w:tcPr>
          <w:p w14:paraId="4A2D062F" w14:textId="77777777" w:rsidR="00C55CBC" w:rsidRPr="00EC1C0A" w:rsidRDefault="00C55CBC" w:rsidP="008B34D8">
            <w:pPr>
              <w:spacing w:before="0"/>
              <w:rPr>
                <w:rFonts w:ascii="Arial Narrow" w:hAnsi="Arial Narrow"/>
                <w:sz w:val="20"/>
                <w:szCs w:val="20"/>
                <w:lang w:eastAsia="en-AU"/>
              </w:rPr>
            </w:pPr>
          </w:p>
        </w:tc>
      </w:tr>
      <w:tr w:rsidR="00C55CBC" w:rsidRPr="00EC1C0A" w14:paraId="68D1CE90" w14:textId="77777777" w:rsidTr="008B34D8">
        <w:trPr>
          <w:trHeight w:val="300"/>
        </w:trPr>
        <w:tc>
          <w:tcPr>
            <w:tcW w:w="3527" w:type="dxa"/>
            <w:noWrap/>
            <w:hideMark/>
          </w:tcPr>
          <w:p w14:paraId="5818230D"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Net costs to MBS</w:t>
            </w:r>
          </w:p>
        </w:tc>
        <w:tc>
          <w:tcPr>
            <w:tcW w:w="973" w:type="dxa"/>
            <w:noWrap/>
            <w:vAlign w:val="bottom"/>
          </w:tcPr>
          <w:p w14:paraId="31059984"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$248,959</w:t>
            </w:r>
          </w:p>
        </w:tc>
        <w:tc>
          <w:tcPr>
            <w:tcW w:w="972" w:type="dxa"/>
            <w:noWrap/>
            <w:vAlign w:val="bottom"/>
          </w:tcPr>
          <w:p w14:paraId="3EDF3718"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$252,213</w:t>
            </w:r>
          </w:p>
        </w:tc>
        <w:tc>
          <w:tcPr>
            <w:tcW w:w="972" w:type="dxa"/>
            <w:noWrap/>
            <w:vAlign w:val="bottom"/>
          </w:tcPr>
          <w:p w14:paraId="14515AE7"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$255,438</w:t>
            </w:r>
          </w:p>
        </w:tc>
        <w:tc>
          <w:tcPr>
            <w:tcW w:w="972" w:type="dxa"/>
            <w:noWrap/>
            <w:vAlign w:val="bottom"/>
          </w:tcPr>
          <w:p w14:paraId="101918D4"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$258,520</w:t>
            </w:r>
          </w:p>
        </w:tc>
        <w:tc>
          <w:tcPr>
            <w:tcW w:w="972" w:type="dxa"/>
            <w:noWrap/>
            <w:vAlign w:val="bottom"/>
          </w:tcPr>
          <w:p w14:paraId="2DDA2661"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$261,452</w:t>
            </w:r>
          </w:p>
        </w:tc>
        <w:tc>
          <w:tcPr>
            <w:tcW w:w="977" w:type="dxa"/>
            <w:noWrap/>
            <w:vAlign w:val="bottom"/>
          </w:tcPr>
          <w:p w14:paraId="24FF14E8"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$264,441</w:t>
            </w:r>
          </w:p>
        </w:tc>
      </w:tr>
      <w:tr w:rsidR="00C55CBC" w:rsidRPr="00EC1C0A" w14:paraId="7E85B00D" w14:textId="77777777" w:rsidTr="008B34D8">
        <w:trPr>
          <w:trHeight w:val="300"/>
        </w:trPr>
        <w:tc>
          <w:tcPr>
            <w:tcW w:w="3527" w:type="dxa"/>
            <w:noWrap/>
            <w:hideMark/>
          </w:tcPr>
          <w:p w14:paraId="53EE52B0" w14:textId="77777777" w:rsidR="00C55CBC" w:rsidRPr="00EC1C0A" w:rsidRDefault="00C55CBC" w:rsidP="008B34D8">
            <w:pPr>
              <w:spacing w:before="0"/>
              <w:rPr>
                <w:rFonts w:ascii="Arial Narrow" w:hAnsi="Arial Narrow" w:cs="Calibri"/>
                <w:color w:val="000000"/>
                <w:sz w:val="20"/>
                <w:szCs w:val="20"/>
                <w:lang w:eastAsia="en-AU"/>
              </w:rPr>
            </w:pPr>
            <w:r w:rsidRPr="00EC1C0A">
              <w:rPr>
                <w:rFonts w:ascii="Arial Narrow" w:hAnsi="Arial Narrow" w:cs="Calibri"/>
                <w:color w:val="000000"/>
                <w:sz w:val="20"/>
                <w:szCs w:val="20"/>
                <w:lang w:eastAsia="en-AU"/>
              </w:rPr>
              <w:t xml:space="preserve">Net </w:t>
            </w:r>
            <w:proofErr w:type="spellStart"/>
            <w:r w:rsidRPr="00EC1C0A">
              <w:rPr>
                <w:rFonts w:ascii="Arial Narrow" w:hAnsi="Arial Narrow" w:cs="Calibri"/>
                <w:color w:val="000000"/>
                <w:sz w:val="20"/>
                <w:szCs w:val="20"/>
                <w:lang w:eastAsia="en-AU"/>
              </w:rPr>
              <w:t>copayments</w:t>
            </w:r>
            <w:proofErr w:type="spellEnd"/>
          </w:p>
        </w:tc>
        <w:tc>
          <w:tcPr>
            <w:tcW w:w="973" w:type="dxa"/>
            <w:noWrap/>
            <w:vAlign w:val="bottom"/>
          </w:tcPr>
          <w:p w14:paraId="78E704BF"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$41,575</w:t>
            </w:r>
          </w:p>
        </w:tc>
        <w:tc>
          <w:tcPr>
            <w:tcW w:w="972" w:type="dxa"/>
            <w:noWrap/>
            <w:vAlign w:val="bottom"/>
          </w:tcPr>
          <w:p w14:paraId="51AE1948"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$42,118</w:t>
            </w:r>
          </w:p>
        </w:tc>
        <w:tc>
          <w:tcPr>
            <w:tcW w:w="972" w:type="dxa"/>
            <w:noWrap/>
            <w:vAlign w:val="bottom"/>
          </w:tcPr>
          <w:p w14:paraId="1F0CCFC7"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$42,656</w:t>
            </w:r>
          </w:p>
        </w:tc>
        <w:tc>
          <w:tcPr>
            <w:tcW w:w="972" w:type="dxa"/>
            <w:noWrap/>
            <w:vAlign w:val="bottom"/>
          </w:tcPr>
          <w:p w14:paraId="498BB8FE"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$43,171</w:t>
            </w:r>
          </w:p>
        </w:tc>
        <w:tc>
          <w:tcPr>
            <w:tcW w:w="972" w:type="dxa"/>
            <w:noWrap/>
            <w:vAlign w:val="bottom"/>
          </w:tcPr>
          <w:p w14:paraId="1044CEDA"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$43,661</w:t>
            </w:r>
          </w:p>
        </w:tc>
        <w:tc>
          <w:tcPr>
            <w:tcW w:w="977" w:type="dxa"/>
            <w:noWrap/>
            <w:vAlign w:val="bottom"/>
          </w:tcPr>
          <w:p w14:paraId="3AC04E39" w14:textId="77777777" w:rsidR="00C55CBC" w:rsidRPr="00EC1C0A" w:rsidRDefault="00C55CBC" w:rsidP="008B34D8">
            <w:pPr>
              <w:spacing w:before="0"/>
              <w:jc w:val="right"/>
              <w:rPr>
                <w:rFonts w:ascii="Arial Narrow" w:hAnsi="Arial Narrow" w:cs="Calibri"/>
                <w:color w:val="000000"/>
                <w:sz w:val="20"/>
                <w:szCs w:val="20"/>
                <w:lang w:eastAsia="en-AU"/>
              </w:rPr>
            </w:pPr>
            <w:r>
              <w:rPr>
                <w:rFonts w:ascii="Arial Narrow" w:hAnsi="Arial Narrow" w:cs="Calibri"/>
                <w:color w:val="000000"/>
                <w:sz w:val="20"/>
                <w:szCs w:val="20"/>
              </w:rPr>
              <w:t>$44,160</w:t>
            </w:r>
          </w:p>
        </w:tc>
      </w:tr>
    </w:tbl>
    <w:p w14:paraId="69BFF0A2" w14:textId="77777777" w:rsidR="00C55CBC" w:rsidRPr="00D1072A" w:rsidRDefault="00C55CBC" w:rsidP="005505FA">
      <w:pPr>
        <w:pStyle w:val="TableFigureFooter"/>
      </w:pPr>
      <w:r>
        <w:t>CT = computed tomography; GPG = greatest permissible gap; MBS = Medicare Benefits Schedule; MRI = magnetic resonance imaging</w:t>
      </w:r>
    </w:p>
    <w:p w14:paraId="037F7842" w14:textId="77777777" w:rsidR="00772829" w:rsidRPr="00D1072A" w:rsidRDefault="00C36633" w:rsidP="002A18BE">
      <w:pPr>
        <w:pStyle w:val="Heading2"/>
        <w:numPr>
          <w:ilvl w:val="0"/>
          <w:numId w:val="0"/>
        </w:numPr>
      </w:pPr>
      <w:bookmarkStart w:id="41" w:name="_Toc121853592"/>
      <w:r w:rsidRPr="00D1072A">
        <w:t>1</w:t>
      </w:r>
      <w:r w:rsidR="006224B0">
        <w:t>5</w:t>
      </w:r>
      <w:r w:rsidRPr="00D1072A">
        <w:t>.</w:t>
      </w:r>
      <w:r w:rsidRPr="00D1072A">
        <w:tab/>
      </w:r>
      <w:r w:rsidR="00772829" w:rsidRPr="00D1072A">
        <w:t xml:space="preserve">Other relevant </w:t>
      </w:r>
      <w:r w:rsidR="00FA5766" w:rsidRPr="00D1072A">
        <w:t>information</w:t>
      </w:r>
      <w:bookmarkEnd w:id="41"/>
    </w:p>
    <w:p w14:paraId="4C3523B0" w14:textId="77777777" w:rsidR="00B65EA2" w:rsidRPr="00B65EA2" w:rsidRDefault="00B65EA2" w:rsidP="00B65EA2">
      <w:pPr>
        <w:pStyle w:val="Heading3"/>
      </w:pPr>
      <w:bookmarkStart w:id="42" w:name="_Toc121853593"/>
      <w:r w:rsidRPr="00B65EA2">
        <w:t>Contrast-enhanced ultrasound (CEUS)</w:t>
      </w:r>
      <w:bookmarkEnd w:id="42"/>
    </w:p>
    <w:p w14:paraId="2DA6FB1E" w14:textId="471E09B3" w:rsidR="00B65EA2" w:rsidRPr="00B65EA2" w:rsidRDefault="00B65EA2" w:rsidP="00B65EA2">
      <w:r w:rsidRPr="00B65EA2">
        <w:t xml:space="preserve">CEUS is not </w:t>
      </w:r>
      <w:r w:rsidR="00310E84">
        <w:t xml:space="preserve">widely </w:t>
      </w:r>
      <w:r w:rsidRPr="00B65EA2">
        <w:t xml:space="preserve">used in Australia, however, considering the low risk of nephrotoxicity and at least </w:t>
      </w:r>
      <w:r w:rsidR="00B72A8F">
        <w:t>noninferior</w:t>
      </w:r>
      <w:r w:rsidRPr="00B65EA2">
        <w:t xml:space="preserve"> diagnostic accuracy to CECT and CE-MRI, CEUS can be an effective alternative for differential diagnosis of RCC</w:t>
      </w:r>
      <w:r w:rsidR="00666ABF">
        <w:t xml:space="preserve"> (see section 5 in the main body of the report)</w:t>
      </w:r>
      <w:r w:rsidRPr="00B65EA2">
        <w:t xml:space="preserve">. However, some important limitations to the use of CEUS are time and resource constraints due to it being more time consuming and labour intensive than CT and being </w:t>
      </w:r>
      <w:proofErr w:type="gramStart"/>
      <w:r w:rsidRPr="00B65EA2">
        <w:t>operator-dependent</w:t>
      </w:r>
      <w:proofErr w:type="gramEnd"/>
      <w:r w:rsidRPr="00B65EA2">
        <w:t>. With the shortage of sonographers in Australia, access</w:t>
      </w:r>
      <w:r w:rsidR="009D7F0A">
        <w:t xml:space="preserve"> to CEUS</w:t>
      </w:r>
      <w:r w:rsidRPr="00B65EA2">
        <w:t xml:space="preserve"> is currently limited. </w:t>
      </w:r>
    </w:p>
    <w:p w14:paraId="79FC821D" w14:textId="77777777" w:rsidR="00B65EA2" w:rsidRPr="00B65EA2" w:rsidRDefault="00B65EA2" w:rsidP="00B65EA2">
      <w:r w:rsidRPr="00B65EA2">
        <w:t xml:space="preserve">However, MRI may also not be readily accessible in the emergent setting. There are </w:t>
      </w:r>
      <w:proofErr w:type="gramStart"/>
      <w:r w:rsidRPr="00B65EA2">
        <w:t>a number of</w:t>
      </w:r>
      <w:proofErr w:type="gramEnd"/>
      <w:r w:rsidRPr="00B65EA2">
        <w:t xml:space="preserve"> reasons that are likely to limit the number of MRI</w:t>
      </w:r>
      <w:r w:rsidR="000A0F7B">
        <w:t xml:space="preserve"> service</w:t>
      </w:r>
      <w:r w:rsidRPr="00B65EA2">
        <w:t>s conducted in Australian clinical practice including:</w:t>
      </w:r>
    </w:p>
    <w:p w14:paraId="67189908" w14:textId="77777777" w:rsidR="00B65EA2" w:rsidRPr="00B65EA2" w:rsidRDefault="00B65EA2" w:rsidP="00EE7A08">
      <w:pPr>
        <w:numPr>
          <w:ilvl w:val="0"/>
          <w:numId w:val="20"/>
        </w:numPr>
        <w:spacing w:before="0" w:after="240" w:line="240" w:lineRule="auto"/>
        <w:ind w:left="709" w:hanging="349"/>
        <w:contextualSpacing/>
      </w:pPr>
      <w:r w:rsidRPr="00B65EA2">
        <w:t>Image acquisition is slower than CT</w:t>
      </w:r>
    </w:p>
    <w:p w14:paraId="35B3A38B" w14:textId="77777777" w:rsidR="00B65EA2" w:rsidRPr="00B65EA2" w:rsidRDefault="00B65EA2" w:rsidP="00EE7A08">
      <w:pPr>
        <w:numPr>
          <w:ilvl w:val="0"/>
          <w:numId w:val="20"/>
        </w:numPr>
        <w:spacing w:before="0" w:after="240" w:line="240" w:lineRule="auto"/>
        <w:ind w:left="709" w:hanging="349"/>
        <w:contextualSpacing/>
      </w:pPr>
      <w:r w:rsidRPr="00B65EA2">
        <w:t>There is a requirement for safety screening</w:t>
      </w:r>
    </w:p>
    <w:p w14:paraId="4795EAF4" w14:textId="77777777" w:rsidR="00B65EA2" w:rsidRPr="00B65EA2" w:rsidRDefault="00B65EA2" w:rsidP="00EE7A08">
      <w:pPr>
        <w:numPr>
          <w:ilvl w:val="0"/>
          <w:numId w:val="20"/>
        </w:numPr>
        <w:spacing w:before="0" w:after="240" w:line="240" w:lineRule="auto"/>
        <w:ind w:left="709" w:hanging="349"/>
        <w:contextualSpacing/>
      </w:pPr>
      <w:r w:rsidRPr="00B65EA2">
        <w:t>There is a paucity of MRI scanners and slow image acquisition.</w:t>
      </w:r>
    </w:p>
    <w:p w14:paraId="5D637C37" w14:textId="77777777" w:rsidR="00B65EA2" w:rsidRPr="00B65EA2" w:rsidRDefault="00B65EA2" w:rsidP="00B65EA2">
      <w:pPr>
        <w:pStyle w:val="Heading3"/>
      </w:pPr>
      <w:bookmarkStart w:id="43" w:name="_Toc121853594"/>
      <w:r w:rsidRPr="00B65EA2">
        <w:t>Sustainability of MRI and CT</w:t>
      </w:r>
      <w:bookmarkEnd w:id="43"/>
    </w:p>
    <w:p w14:paraId="4CA12132" w14:textId="77777777" w:rsidR="00B65EA2" w:rsidRPr="00B65EA2" w:rsidRDefault="00B65EA2" w:rsidP="00B65EA2">
      <w:r w:rsidRPr="00B65EA2">
        <w:t>Both MRI and CT have much higher carbon emissions than US, with MRI responsible for nearly twice as much carbon emission per scan as CT. Much of the energy consumption comes from standby mode and from the associated cooling mechanisms required to run the machines. The contamination of the environment by the contrast agents used in imaging (gadolinium and iodine) is also a consideration, although the health effects of this are still somewhat unclear.</w:t>
      </w:r>
    </w:p>
    <w:p w14:paraId="5C83657C" w14:textId="77777777" w:rsidR="006224B0" w:rsidRDefault="00B65EA2">
      <w:r w:rsidRPr="00B65EA2">
        <w:t>The proposed MBS item will increase demand for MRI such that more MRI machines may be required; this will increase the environmental impact, which comes from the energy used for the scan, including the machine itself and the associated cooling systems.</w:t>
      </w:r>
    </w:p>
    <w:p w14:paraId="37D93C96" w14:textId="77777777" w:rsidR="006224B0" w:rsidRPr="00D1072A" w:rsidRDefault="006224B0" w:rsidP="006224B0">
      <w:pPr>
        <w:pStyle w:val="Heading2"/>
        <w:numPr>
          <w:ilvl w:val="0"/>
          <w:numId w:val="0"/>
        </w:numPr>
      </w:pPr>
      <w:r w:rsidRPr="00D1072A">
        <w:lastRenderedPageBreak/>
        <w:t>1</w:t>
      </w:r>
      <w:r>
        <w:t>6</w:t>
      </w:r>
      <w:r w:rsidRPr="00D1072A">
        <w:t>.</w:t>
      </w:r>
      <w:r w:rsidRPr="00D1072A">
        <w:tab/>
      </w:r>
      <w:r>
        <w:t>Key issues from ESC to MSAC</w:t>
      </w:r>
    </w:p>
    <w:tbl>
      <w:tblPr>
        <w:tblStyle w:val="TableGrid"/>
        <w:tblW w:w="0" w:type="auto"/>
        <w:tblLook w:val="04A0" w:firstRow="1" w:lastRow="0" w:firstColumn="1" w:lastColumn="0" w:noHBand="0" w:noVBand="1"/>
      </w:tblPr>
      <w:tblGrid>
        <w:gridCol w:w="9016"/>
      </w:tblGrid>
      <w:tr w:rsidR="006224B0" w:rsidRPr="00CE28E3" w14:paraId="2F1A5858" w14:textId="77777777" w:rsidTr="008B34D8">
        <w:tc>
          <w:tcPr>
            <w:tcW w:w="9016" w:type="dxa"/>
          </w:tcPr>
          <w:p w14:paraId="23F6079B" w14:textId="77777777" w:rsidR="006224B0" w:rsidRPr="008A0FB3" w:rsidRDefault="006224B0" w:rsidP="008B34D8">
            <w:pPr>
              <w:spacing w:before="240" w:after="240"/>
              <w:rPr>
                <w:b/>
                <w:bCs/>
                <w:sz w:val="24"/>
                <w:szCs w:val="24"/>
              </w:rPr>
            </w:pPr>
            <w:bookmarkStart w:id="44" w:name="_Hlk69734340"/>
            <w:r w:rsidRPr="008A0FB3">
              <w:rPr>
                <w:b/>
                <w:bCs/>
                <w:sz w:val="24"/>
                <w:szCs w:val="24"/>
              </w:rPr>
              <w:t xml:space="preserve">Main issues for MSAC consideration </w:t>
            </w:r>
          </w:p>
          <w:p w14:paraId="308E993B" w14:textId="77777777" w:rsidR="006224B0" w:rsidRPr="008A0FB3" w:rsidRDefault="006224B0" w:rsidP="008B34D8">
            <w:pPr>
              <w:rPr>
                <w:b/>
              </w:rPr>
            </w:pPr>
            <w:r w:rsidRPr="008A0FB3">
              <w:rPr>
                <w:b/>
              </w:rPr>
              <w:t>Clinical</w:t>
            </w:r>
            <w:r>
              <w:rPr>
                <w:b/>
              </w:rPr>
              <w:t xml:space="preserve"> and item descriptor</w:t>
            </w:r>
            <w:r w:rsidRPr="008A0FB3">
              <w:rPr>
                <w:b/>
              </w:rPr>
              <w:t xml:space="preserve"> issues:</w:t>
            </w:r>
          </w:p>
          <w:p w14:paraId="699930B1" w14:textId="77777777" w:rsidR="006224B0" w:rsidRPr="00EE7A08" w:rsidRDefault="006224B0" w:rsidP="008B34D8">
            <w:pPr>
              <w:pStyle w:val="Instructionaltext-bullet"/>
              <w:rPr>
                <w:color w:val="auto"/>
              </w:rPr>
            </w:pPr>
            <w:r w:rsidRPr="00EE7A08">
              <w:rPr>
                <w:color w:val="auto"/>
              </w:rPr>
              <w:t>ESC agreed that</w:t>
            </w:r>
            <w:r>
              <w:rPr>
                <w:color w:val="auto"/>
              </w:rPr>
              <w:t xml:space="preserve"> </w:t>
            </w:r>
            <w:r w:rsidRPr="00542CDB">
              <w:rPr>
                <w:color w:val="auto"/>
              </w:rPr>
              <w:t>rather than listing eligible genetic conditions in the item descriptor, as proposed by the applicant, the item descriptor should be generic with an accompanying explanatory note to assist clinicians in determining patient eligibility</w:t>
            </w:r>
            <w:r w:rsidRPr="00EE7A08">
              <w:rPr>
                <w:color w:val="auto"/>
              </w:rPr>
              <w:t>.</w:t>
            </w:r>
          </w:p>
          <w:p w14:paraId="34EDE259" w14:textId="77777777" w:rsidR="006224B0" w:rsidRPr="00EE7A08" w:rsidRDefault="006224B0" w:rsidP="008B34D8">
            <w:pPr>
              <w:pStyle w:val="Instructionaltext-bullet"/>
              <w:rPr>
                <w:color w:val="auto"/>
              </w:rPr>
            </w:pPr>
            <w:r w:rsidRPr="00EE7A08">
              <w:rPr>
                <w:color w:val="auto"/>
                <w:lang w:val="en-US"/>
              </w:rPr>
              <w:t xml:space="preserve">There was insufficient evidence to draw any conclusions on the comparative accuracy of MRI and ultrasound (US) or the change in clinical management for MRI vs CT or US. </w:t>
            </w:r>
          </w:p>
          <w:p w14:paraId="25114753" w14:textId="77777777" w:rsidR="006224B0" w:rsidRPr="006D627F" w:rsidRDefault="006224B0" w:rsidP="008B34D8">
            <w:pPr>
              <w:pStyle w:val="Instructionaltext-bullet"/>
              <w:rPr>
                <w:color w:val="auto"/>
              </w:rPr>
            </w:pPr>
            <w:r w:rsidRPr="001B1FEB">
              <w:rPr>
                <w:color w:val="auto"/>
                <w:lang w:val="en-US"/>
              </w:rPr>
              <w:t>A non-systematic literature search supported the claim of superior safety of abdominal MRI compared with abdominal CT. </w:t>
            </w:r>
            <w:r w:rsidRPr="001B1FEB">
              <w:rPr>
                <w:color w:val="auto"/>
              </w:rPr>
              <w:t xml:space="preserve">MRI </w:t>
            </w:r>
            <w:r>
              <w:rPr>
                <w:color w:val="auto"/>
              </w:rPr>
              <w:t>likely</w:t>
            </w:r>
            <w:r w:rsidRPr="001B1FEB">
              <w:rPr>
                <w:color w:val="auto"/>
              </w:rPr>
              <w:t xml:space="preserve"> has superior safety to CT, and clinicians are recommending MRI</w:t>
            </w:r>
            <w:r w:rsidR="000A0F7B">
              <w:rPr>
                <w:color w:val="auto"/>
              </w:rPr>
              <w:t xml:space="preserve"> scan</w:t>
            </w:r>
            <w:r w:rsidRPr="001B1FEB">
              <w:rPr>
                <w:color w:val="auto"/>
              </w:rPr>
              <w:t>s for patients in preference to CT</w:t>
            </w:r>
            <w:r w:rsidR="000A0F7B">
              <w:rPr>
                <w:color w:val="auto"/>
              </w:rPr>
              <w:t xml:space="preserve"> </w:t>
            </w:r>
            <w:r w:rsidRPr="001B1FEB">
              <w:rPr>
                <w:color w:val="auto"/>
              </w:rPr>
              <w:t>s</w:t>
            </w:r>
            <w:r w:rsidR="000A0F7B">
              <w:rPr>
                <w:color w:val="auto"/>
              </w:rPr>
              <w:t>cans</w:t>
            </w:r>
            <w:r w:rsidRPr="001B1FEB">
              <w:rPr>
                <w:color w:val="auto"/>
              </w:rPr>
              <w:t xml:space="preserve">. </w:t>
            </w:r>
          </w:p>
          <w:p w14:paraId="22EA1093" w14:textId="77777777" w:rsidR="006224B0" w:rsidRPr="00B51C63" w:rsidRDefault="006224B0" w:rsidP="008B34D8">
            <w:pPr>
              <w:pStyle w:val="Instructionaltext-bullet"/>
              <w:rPr>
                <w:color w:val="auto"/>
              </w:rPr>
            </w:pPr>
            <w:r>
              <w:rPr>
                <w:color w:val="auto"/>
              </w:rPr>
              <w:t xml:space="preserve">The </w:t>
            </w:r>
            <w:r w:rsidRPr="00425FD2">
              <w:rPr>
                <w:color w:val="auto"/>
              </w:rPr>
              <w:t xml:space="preserve">evidence did not show a significant difference in the accuracy of MRI, either with or without contrast, compared to CT in imaging </w:t>
            </w:r>
            <w:proofErr w:type="spellStart"/>
            <w:r w:rsidRPr="00B3427E">
              <w:rPr>
                <w:color w:val="auto"/>
              </w:rPr>
              <w:t>angiomyolipomas</w:t>
            </w:r>
            <w:proofErr w:type="spellEnd"/>
            <w:r w:rsidRPr="00425FD2">
              <w:rPr>
                <w:color w:val="auto"/>
              </w:rPr>
              <w:t xml:space="preserve"> and renal cell carcinomas</w:t>
            </w:r>
            <w:r>
              <w:rPr>
                <w:color w:val="auto"/>
              </w:rPr>
              <w:t xml:space="preserve">. This combined with the lack of evidence </w:t>
            </w:r>
            <w:r w:rsidRPr="0018652C">
              <w:rPr>
                <w:color w:val="auto"/>
              </w:rPr>
              <w:t xml:space="preserve">on </w:t>
            </w:r>
            <w:r w:rsidRPr="00EE7A08">
              <w:rPr>
                <w:color w:val="auto"/>
                <w:lang w:val="en-US"/>
              </w:rPr>
              <w:t xml:space="preserve">the comparative accuracy of MRI </w:t>
            </w:r>
            <w:r>
              <w:rPr>
                <w:color w:val="auto"/>
                <w:lang w:val="en-US"/>
              </w:rPr>
              <w:t>vs</w:t>
            </w:r>
            <w:r w:rsidRPr="00EE7A08">
              <w:rPr>
                <w:color w:val="auto"/>
                <w:lang w:val="en-US"/>
              </w:rPr>
              <w:t xml:space="preserve"> US or the change in clinical management for MRI vs CT or US meant that </w:t>
            </w:r>
            <w:proofErr w:type="gramStart"/>
            <w:r>
              <w:rPr>
                <w:color w:val="auto"/>
                <w:lang w:val="en-US"/>
              </w:rPr>
              <w:t>o</w:t>
            </w:r>
            <w:proofErr w:type="spellStart"/>
            <w:r>
              <w:rPr>
                <w:color w:val="auto"/>
              </w:rPr>
              <w:t>verall</w:t>
            </w:r>
            <w:proofErr w:type="spellEnd"/>
            <w:proofErr w:type="gramEnd"/>
            <w:r>
              <w:rPr>
                <w:color w:val="auto"/>
              </w:rPr>
              <w:t xml:space="preserve"> </w:t>
            </w:r>
            <w:r w:rsidRPr="00425FD2">
              <w:rPr>
                <w:color w:val="auto"/>
              </w:rPr>
              <w:t xml:space="preserve">the impact of MRI over CT or US </w:t>
            </w:r>
            <w:r>
              <w:rPr>
                <w:color w:val="auto"/>
              </w:rPr>
              <w:t>i</w:t>
            </w:r>
            <w:r w:rsidRPr="00425FD2">
              <w:rPr>
                <w:color w:val="auto"/>
              </w:rPr>
              <w:t>n the clinical management of patients with the exemplar syndromes of Tuberous Sclerosis Complex or Von Hippel-Lindau disease is uncertain</w:t>
            </w:r>
            <w:r>
              <w:rPr>
                <w:color w:val="auto"/>
              </w:rPr>
              <w:t>.</w:t>
            </w:r>
          </w:p>
          <w:p w14:paraId="088A8D94" w14:textId="77777777" w:rsidR="006224B0" w:rsidRPr="005505FA" w:rsidRDefault="006224B0" w:rsidP="005505FA">
            <w:pPr>
              <w:pStyle w:val="Instructionaltext-bullet"/>
              <w:rPr>
                <w:color w:val="auto"/>
              </w:rPr>
            </w:pPr>
            <w:r w:rsidRPr="001B1FEB">
              <w:rPr>
                <w:color w:val="auto"/>
              </w:rPr>
              <w:t>Abdominal MRI is likely to replace CT but not US in clinical practice. US is an inexpensive and safe methodology that is readily accessible and suitable for initial imaging of the kidneys, especially in children. </w:t>
            </w:r>
          </w:p>
          <w:p w14:paraId="466626C1" w14:textId="77777777" w:rsidR="006224B0" w:rsidRPr="001B1FEB" w:rsidRDefault="006224B0" w:rsidP="005505FA">
            <w:pPr>
              <w:pStyle w:val="Instructionaltext-bullet"/>
              <w:numPr>
                <w:ilvl w:val="0"/>
                <w:numId w:val="0"/>
              </w:numPr>
              <w:spacing w:before="240"/>
              <w:rPr>
                <w:b/>
                <w:color w:val="auto"/>
              </w:rPr>
            </w:pPr>
            <w:r w:rsidRPr="001B1FEB">
              <w:rPr>
                <w:b/>
                <w:color w:val="auto"/>
              </w:rPr>
              <w:t>Economic issues:</w:t>
            </w:r>
          </w:p>
          <w:p w14:paraId="57E99899" w14:textId="77777777" w:rsidR="006224B0" w:rsidRDefault="006224B0" w:rsidP="008B34D8">
            <w:pPr>
              <w:pStyle w:val="Instructionaltext-bullet"/>
              <w:rPr>
                <w:color w:val="auto"/>
              </w:rPr>
            </w:pPr>
            <w:r>
              <w:rPr>
                <w:color w:val="auto"/>
              </w:rPr>
              <w:t xml:space="preserve">The model assumes that surveillance starts at age 20 but surveillance guidelines recommend starting surveillance at an earlier age. Specifying a lower starting age in the model will have </w:t>
            </w:r>
            <w:r w:rsidRPr="00B8224B">
              <w:rPr>
                <w:color w:val="auto"/>
              </w:rPr>
              <w:t>significant impact on radiosensitivity</w:t>
            </w:r>
            <w:r>
              <w:rPr>
                <w:color w:val="auto"/>
              </w:rPr>
              <w:t xml:space="preserve"> and therefore a </w:t>
            </w:r>
            <w:r w:rsidRPr="00B8224B">
              <w:rPr>
                <w:color w:val="auto"/>
              </w:rPr>
              <w:t>larger impact on cancers averted by switching to MRI</w:t>
            </w:r>
            <w:r>
              <w:rPr>
                <w:color w:val="auto"/>
              </w:rPr>
              <w:t>.</w:t>
            </w:r>
          </w:p>
          <w:p w14:paraId="3790014C" w14:textId="77777777" w:rsidR="006224B0" w:rsidRPr="001B1FEB" w:rsidRDefault="006224B0" w:rsidP="008B34D8">
            <w:pPr>
              <w:pStyle w:val="Instructionaltext-bullet"/>
              <w:rPr>
                <w:color w:val="auto"/>
              </w:rPr>
            </w:pPr>
            <w:r w:rsidRPr="001B1FEB">
              <w:rPr>
                <w:color w:val="auto"/>
              </w:rPr>
              <w:t xml:space="preserve">The </w:t>
            </w:r>
            <w:r>
              <w:rPr>
                <w:color w:val="auto"/>
              </w:rPr>
              <w:t xml:space="preserve">approach used to </w:t>
            </w:r>
            <w:r w:rsidRPr="001B1FEB">
              <w:rPr>
                <w:color w:val="auto"/>
              </w:rPr>
              <w:t>estimat</w:t>
            </w:r>
            <w:r>
              <w:rPr>
                <w:color w:val="auto"/>
              </w:rPr>
              <w:t>e</w:t>
            </w:r>
            <w:r w:rsidRPr="001B1FEB">
              <w:rPr>
                <w:color w:val="auto"/>
              </w:rPr>
              <w:t xml:space="preserve"> radiation-induced cancers</w:t>
            </w:r>
            <w:r>
              <w:rPr>
                <w:color w:val="auto"/>
              </w:rPr>
              <w:t xml:space="preserve"> based on an incidence rate ratio</w:t>
            </w:r>
            <w:r w:rsidRPr="001B1FEB">
              <w:rPr>
                <w:color w:val="auto"/>
              </w:rPr>
              <w:t xml:space="preserve"> probably </w:t>
            </w:r>
            <w:r>
              <w:rPr>
                <w:color w:val="auto"/>
              </w:rPr>
              <w:t xml:space="preserve">results in an </w:t>
            </w:r>
            <w:r w:rsidRPr="001B1FEB">
              <w:rPr>
                <w:color w:val="auto"/>
              </w:rPr>
              <w:t>underestimate</w:t>
            </w:r>
            <w:r>
              <w:rPr>
                <w:color w:val="auto"/>
              </w:rPr>
              <w:t xml:space="preserve">. </w:t>
            </w:r>
            <w:r w:rsidRPr="001B1FEB">
              <w:rPr>
                <w:color w:val="auto"/>
              </w:rPr>
              <w:t xml:space="preserve">A biological effects of ionising radiation (BEIR) VII coefficient estimates approach may be more appropriate. However, it was </w:t>
            </w:r>
            <w:r>
              <w:rPr>
                <w:color w:val="auto"/>
              </w:rPr>
              <w:t xml:space="preserve">acknowledged </w:t>
            </w:r>
            <w:r w:rsidRPr="00AC536E">
              <w:rPr>
                <w:color w:val="auto"/>
              </w:rPr>
              <w:t xml:space="preserve">that developing a more complex model was unnecessary as it would </w:t>
            </w:r>
            <w:r>
              <w:rPr>
                <w:color w:val="auto"/>
              </w:rPr>
              <w:t xml:space="preserve">be </w:t>
            </w:r>
            <w:r w:rsidRPr="00AC536E">
              <w:rPr>
                <w:color w:val="auto"/>
              </w:rPr>
              <w:t>unlikely</w:t>
            </w:r>
            <w:r>
              <w:rPr>
                <w:color w:val="auto"/>
              </w:rPr>
              <w:t xml:space="preserve"> to</w:t>
            </w:r>
            <w:r w:rsidRPr="00AC536E">
              <w:rPr>
                <w:color w:val="auto"/>
              </w:rPr>
              <w:t xml:space="preserve"> change the interpretation of the ICER</w:t>
            </w:r>
            <w:r w:rsidRPr="001B1FEB">
              <w:rPr>
                <w:color w:val="auto"/>
              </w:rPr>
              <w:t>.</w:t>
            </w:r>
            <w:r w:rsidRPr="001B1FEB" w:rsidDel="00B51C63">
              <w:rPr>
                <w:color w:val="auto"/>
              </w:rPr>
              <w:t xml:space="preserve"> </w:t>
            </w:r>
          </w:p>
          <w:p w14:paraId="2A8E80AD" w14:textId="78029581" w:rsidR="006224B0" w:rsidRPr="00891A92" w:rsidRDefault="006224B0" w:rsidP="008B34D8">
            <w:pPr>
              <w:pStyle w:val="Instructionaltext-bullet"/>
              <w:rPr>
                <w:i/>
                <w:iCs/>
                <w:color w:val="auto"/>
              </w:rPr>
            </w:pPr>
            <w:r w:rsidRPr="00B8224B">
              <w:rPr>
                <w:color w:val="auto"/>
              </w:rPr>
              <w:t xml:space="preserve">The </w:t>
            </w:r>
            <w:r>
              <w:rPr>
                <w:color w:val="auto"/>
              </w:rPr>
              <w:t xml:space="preserve">economic </w:t>
            </w:r>
            <w:r w:rsidRPr="00B8224B">
              <w:rPr>
                <w:color w:val="auto"/>
              </w:rPr>
              <w:t xml:space="preserve">model counts </w:t>
            </w:r>
            <w:r>
              <w:rPr>
                <w:color w:val="auto"/>
              </w:rPr>
              <w:t xml:space="preserve">the </w:t>
            </w:r>
            <w:r w:rsidRPr="00B8224B">
              <w:rPr>
                <w:color w:val="auto"/>
              </w:rPr>
              <w:t xml:space="preserve">number of </w:t>
            </w:r>
            <w:proofErr w:type="gramStart"/>
            <w:r w:rsidRPr="00B8224B">
              <w:rPr>
                <w:color w:val="auto"/>
              </w:rPr>
              <w:t>radiation</w:t>
            </w:r>
            <w:proofErr w:type="gramEnd"/>
            <w:r w:rsidRPr="00B8224B">
              <w:rPr>
                <w:color w:val="auto"/>
              </w:rPr>
              <w:t xml:space="preserve"> induced cancers avoided</w:t>
            </w:r>
            <w:r>
              <w:rPr>
                <w:color w:val="auto"/>
              </w:rPr>
              <w:t xml:space="preserve"> in the ICER denominator</w:t>
            </w:r>
            <w:r w:rsidRPr="00B8224B">
              <w:rPr>
                <w:color w:val="auto"/>
              </w:rPr>
              <w:t xml:space="preserve"> and also offsets the </w:t>
            </w:r>
            <w:r>
              <w:rPr>
                <w:color w:val="auto"/>
              </w:rPr>
              <w:t>excess health</w:t>
            </w:r>
            <w:r w:rsidRPr="00B8224B">
              <w:rPr>
                <w:color w:val="auto"/>
              </w:rPr>
              <w:t>care costs of these avoided cancer</w:t>
            </w:r>
            <w:r>
              <w:rPr>
                <w:color w:val="auto"/>
              </w:rPr>
              <w:t>s</w:t>
            </w:r>
            <w:r w:rsidRPr="00B8224B">
              <w:rPr>
                <w:color w:val="auto"/>
              </w:rPr>
              <w:t xml:space="preserve"> in</w:t>
            </w:r>
            <w:r>
              <w:rPr>
                <w:color w:val="auto"/>
              </w:rPr>
              <w:t xml:space="preserve"> the ICER numerator. </w:t>
            </w:r>
            <w:r w:rsidR="002C48B3">
              <w:rPr>
                <w:color w:val="auto"/>
              </w:rPr>
              <w:t>ESC preferred that</w:t>
            </w:r>
            <w:r>
              <w:rPr>
                <w:color w:val="auto"/>
              </w:rPr>
              <w:t xml:space="preserve"> ‘radiation induced cancer avoided’ is interpreted as an event bundle of both </w:t>
            </w:r>
            <w:r w:rsidRPr="00B8224B">
              <w:rPr>
                <w:color w:val="auto"/>
              </w:rPr>
              <w:t>health resource cost</w:t>
            </w:r>
            <w:r>
              <w:rPr>
                <w:color w:val="auto"/>
              </w:rPr>
              <w:t>s</w:t>
            </w:r>
            <w:r w:rsidRPr="00B8224B">
              <w:rPr>
                <w:color w:val="auto"/>
              </w:rPr>
              <w:t xml:space="preserve"> and health </w:t>
            </w:r>
            <w:r>
              <w:rPr>
                <w:color w:val="auto"/>
              </w:rPr>
              <w:t xml:space="preserve">outcomes. </w:t>
            </w:r>
            <w:proofErr w:type="gramStart"/>
            <w:r>
              <w:rPr>
                <w:color w:val="auto"/>
              </w:rPr>
              <w:t>However</w:t>
            </w:r>
            <w:proofErr w:type="gramEnd"/>
            <w:r>
              <w:rPr>
                <w:color w:val="auto"/>
              </w:rPr>
              <w:t xml:space="preserve"> the Assessment Group </w:t>
            </w:r>
            <w:r w:rsidR="000E40CB">
              <w:rPr>
                <w:color w:val="auto"/>
              </w:rPr>
              <w:t>noted</w:t>
            </w:r>
            <w:r>
              <w:rPr>
                <w:color w:val="auto"/>
              </w:rPr>
              <w:t xml:space="preserve"> that they intended ‘radiation induced cancer avoided’ to be interpreted as constituting only health outcomes and have produced an Addendum to clarify these issues. </w:t>
            </w:r>
            <w:r w:rsidR="007804A5" w:rsidRPr="00891A92">
              <w:rPr>
                <w:i/>
                <w:iCs/>
                <w:color w:val="auto"/>
              </w:rPr>
              <w:t xml:space="preserve">Note: </w:t>
            </w:r>
            <w:r w:rsidR="003A2511" w:rsidRPr="00891A92">
              <w:rPr>
                <w:i/>
                <w:iCs/>
                <w:color w:val="auto"/>
              </w:rPr>
              <w:t>Reflecting MSAC advice, the Addendum referred to here has been removed from this publication.</w:t>
            </w:r>
          </w:p>
          <w:p w14:paraId="37EB2BF0" w14:textId="77777777" w:rsidR="006224B0" w:rsidRDefault="006224B0" w:rsidP="008B34D8">
            <w:pPr>
              <w:pStyle w:val="Instructionaltext-bullet"/>
            </w:pPr>
            <w:r>
              <w:rPr>
                <w:color w:val="auto"/>
              </w:rPr>
              <w:t xml:space="preserve">The results of the model </w:t>
            </w:r>
            <w:r w:rsidRPr="00B875C2">
              <w:rPr>
                <w:color w:val="auto"/>
              </w:rPr>
              <w:t xml:space="preserve">are very sensitive to the modelled time horizon and discounting as the costs and outcomes associated with the radiation induced cancers are over a lifetime and </w:t>
            </w:r>
            <w:r>
              <w:rPr>
                <w:color w:val="auto"/>
              </w:rPr>
              <w:t xml:space="preserve">a </w:t>
            </w:r>
            <w:r w:rsidRPr="00B875C2">
              <w:rPr>
                <w:color w:val="auto"/>
              </w:rPr>
              <w:t>shorter time horizon cannot capture these</w:t>
            </w:r>
            <w:r>
              <w:rPr>
                <w:color w:val="auto"/>
              </w:rPr>
              <w:t xml:space="preserve"> impacts</w:t>
            </w:r>
            <w:r w:rsidRPr="00B875C2">
              <w:rPr>
                <w:color w:val="auto"/>
              </w:rPr>
              <w:t xml:space="preserve">. </w:t>
            </w:r>
            <w:r>
              <w:rPr>
                <w:color w:val="auto"/>
              </w:rPr>
              <w:t>This is because e</w:t>
            </w:r>
            <w:r w:rsidRPr="00B875C2">
              <w:rPr>
                <w:color w:val="auto"/>
              </w:rPr>
              <w:t xml:space="preserve">xcess cancer risk and costs are higher towards the later years due to increase in the cumulative dose of CT scan </w:t>
            </w:r>
            <w:r>
              <w:rPr>
                <w:color w:val="auto"/>
              </w:rPr>
              <w:t xml:space="preserve">radiation </w:t>
            </w:r>
            <w:r w:rsidRPr="00B875C2">
              <w:rPr>
                <w:color w:val="auto"/>
              </w:rPr>
              <w:t xml:space="preserve">and </w:t>
            </w:r>
            <w:r>
              <w:rPr>
                <w:color w:val="auto"/>
              </w:rPr>
              <w:t>l</w:t>
            </w:r>
            <w:r w:rsidRPr="00B875C2">
              <w:rPr>
                <w:color w:val="auto"/>
              </w:rPr>
              <w:t>ag</w:t>
            </w:r>
            <w:r>
              <w:rPr>
                <w:color w:val="auto"/>
              </w:rPr>
              <w:t>s</w:t>
            </w:r>
            <w:r w:rsidRPr="00B875C2">
              <w:rPr>
                <w:color w:val="auto"/>
              </w:rPr>
              <w:t xml:space="preserve"> in </w:t>
            </w:r>
            <w:r>
              <w:rPr>
                <w:color w:val="auto"/>
              </w:rPr>
              <w:t xml:space="preserve">the </w:t>
            </w:r>
            <w:r w:rsidRPr="00B875C2">
              <w:rPr>
                <w:color w:val="auto"/>
              </w:rPr>
              <w:t>dose</w:t>
            </w:r>
            <w:r>
              <w:rPr>
                <w:color w:val="auto"/>
              </w:rPr>
              <w:t>-</w:t>
            </w:r>
            <w:r w:rsidRPr="00B875C2">
              <w:rPr>
                <w:color w:val="auto"/>
              </w:rPr>
              <w:t>cancer induction</w:t>
            </w:r>
            <w:r>
              <w:rPr>
                <w:color w:val="auto"/>
              </w:rPr>
              <w:t>.</w:t>
            </w:r>
          </w:p>
          <w:p w14:paraId="54016DC7" w14:textId="77777777" w:rsidR="006224B0" w:rsidRPr="001B1FEB" w:rsidRDefault="006224B0" w:rsidP="005505FA">
            <w:pPr>
              <w:pStyle w:val="Instructionaltext-bullet"/>
              <w:numPr>
                <w:ilvl w:val="0"/>
                <w:numId w:val="0"/>
              </w:numPr>
              <w:spacing w:before="240"/>
              <w:rPr>
                <w:b/>
                <w:color w:val="auto"/>
              </w:rPr>
            </w:pPr>
            <w:r w:rsidRPr="001B1FEB">
              <w:rPr>
                <w:b/>
                <w:color w:val="auto"/>
              </w:rPr>
              <w:t>Financial issues:</w:t>
            </w:r>
          </w:p>
          <w:p w14:paraId="55DD5218" w14:textId="77777777" w:rsidR="006224B0" w:rsidRPr="00B875C2" w:rsidRDefault="006224B0" w:rsidP="008B34D8">
            <w:pPr>
              <w:pStyle w:val="Instructionaltext-bullet"/>
              <w:numPr>
                <w:ilvl w:val="0"/>
                <w:numId w:val="26"/>
              </w:numPr>
              <w:rPr>
                <w:color w:val="auto"/>
              </w:rPr>
            </w:pPr>
            <w:r w:rsidRPr="00B875C2">
              <w:rPr>
                <w:color w:val="auto"/>
              </w:rPr>
              <w:t xml:space="preserve">There is </w:t>
            </w:r>
            <w:r>
              <w:rPr>
                <w:color w:val="auto"/>
              </w:rPr>
              <w:t>no c</w:t>
            </w:r>
            <w:r w:rsidRPr="00B875C2">
              <w:rPr>
                <w:color w:val="auto"/>
              </w:rPr>
              <w:t>urrent usage</w:t>
            </w:r>
            <w:r>
              <w:rPr>
                <w:color w:val="auto"/>
              </w:rPr>
              <w:t xml:space="preserve"> data </w:t>
            </w:r>
            <w:r w:rsidRPr="00B875C2">
              <w:rPr>
                <w:color w:val="auto"/>
              </w:rPr>
              <w:t xml:space="preserve">of </w:t>
            </w:r>
            <w:r>
              <w:rPr>
                <w:color w:val="auto"/>
              </w:rPr>
              <w:t xml:space="preserve">the specific form of </w:t>
            </w:r>
            <w:r w:rsidRPr="00B875C2">
              <w:rPr>
                <w:color w:val="auto"/>
              </w:rPr>
              <w:t xml:space="preserve">CT scanning </w:t>
            </w:r>
            <w:r>
              <w:rPr>
                <w:color w:val="auto"/>
              </w:rPr>
              <w:t xml:space="preserve">that would be replaced by this new service </w:t>
            </w:r>
            <w:r w:rsidRPr="00B875C2">
              <w:rPr>
                <w:color w:val="auto"/>
              </w:rPr>
              <w:t>since the relevant MBS item is generic</w:t>
            </w:r>
            <w:r>
              <w:rPr>
                <w:color w:val="auto"/>
              </w:rPr>
              <w:t>,</w:t>
            </w:r>
            <w:r w:rsidRPr="00FA3FCD">
              <w:rPr>
                <w:color w:val="auto"/>
              </w:rPr>
              <w:t xml:space="preserve"> so the financial model</w:t>
            </w:r>
            <w:r w:rsidRPr="00E9662F">
              <w:rPr>
                <w:color w:val="auto"/>
              </w:rPr>
              <w:t>ling had to rely on an epidemiological approach.</w:t>
            </w:r>
          </w:p>
          <w:p w14:paraId="191FA361" w14:textId="77777777" w:rsidR="00144C76" w:rsidRDefault="00144C76" w:rsidP="005505FA">
            <w:pPr>
              <w:pStyle w:val="Instructionaltext-bullet"/>
              <w:numPr>
                <w:ilvl w:val="0"/>
                <w:numId w:val="0"/>
              </w:numPr>
              <w:spacing w:before="240"/>
              <w:rPr>
                <w:b/>
                <w:color w:val="auto"/>
              </w:rPr>
            </w:pPr>
          </w:p>
          <w:p w14:paraId="26A344A7" w14:textId="6667045F" w:rsidR="006224B0" w:rsidRPr="001B1FEB" w:rsidRDefault="006224B0" w:rsidP="005505FA">
            <w:pPr>
              <w:pStyle w:val="Instructionaltext-bullet"/>
              <w:numPr>
                <w:ilvl w:val="0"/>
                <w:numId w:val="0"/>
              </w:numPr>
              <w:spacing w:before="240"/>
              <w:rPr>
                <w:b/>
                <w:color w:val="auto"/>
              </w:rPr>
            </w:pPr>
            <w:r w:rsidRPr="001B1FEB">
              <w:rPr>
                <w:b/>
                <w:color w:val="auto"/>
              </w:rPr>
              <w:lastRenderedPageBreak/>
              <w:t>Other relevant information:</w:t>
            </w:r>
          </w:p>
          <w:p w14:paraId="608D7DA7" w14:textId="77777777" w:rsidR="006224B0" w:rsidRPr="001B1FEB" w:rsidRDefault="006224B0" w:rsidP="008B34D8">
            <w:pPr>
              <w:pStyle w:val="Instructionaltext-bullet"/>
              <w:ind w:left="714" w:hanging="357"/>
              <w:rPr>
                <w:color w:val="auto"/>
              </w:rPr>
            </w:pPr>
            <w:r w:rsidRPr="00B875C2">
              <w:rPr>
                <w:color w:val="auto"/>
              </w:rPr>
              <w:t>The proposed items are for a small, defined population diagnosed with a rare genetic condition</w:t>
            </w:r>
            <w:r>
              <w:rPr>
                <w:color w:val="auto"/>
              </w:rPr>
              <w:t xml:space="preserve"> with a significant clinical need for the proposed service and where there was low availability of high-quality data on effectiveness. This is </w:t>
            </w:r>
            <w:proofErr w:type="gramStart"/>
            <w:r>
              <w:rPr>
                <w:color w:val="auto"/>
              </w:rPr>
              <w:t>similar to</w:t>
            </w:r>
            <w:proofErr w:type="gramEnd"/>
            <w:r>
              <w:rPr>
                <w:color w:val="auto"/>
              </w:rPr>
              <w:t xml:space="preserve"> Application 1668 where g</w:t>
            </w:r>
            <w:r w:rsidRPr="001B1FEB">
              <w:rPr>
                <w:color w:val="auto"/>
              </w:rPr>
              <w:t>reater weight was placed on consideration of the international and domestic guidelines for management of the target population, and the relatively small and highly targeted financial impacts of the application</w:t>
            </w:r>
            <w:r>
              <w:rPr>
                <w:color w:val="auto"/>
              </w:rPr>
              <w:t>.</w:t>
            </w:r>
          </w:p>
        </w:tc>
      </w:tr>
    </w:tbl>
    <w:bookmarkEnd w:id="44"/>
    <w:p w14:paraId="20BBF84B" w14:textId="77777777" w:rsidR="00C47012" w:rsidRDefault="00C47012" w:rsidP="005505FA">
      <w:pPr>
        <w:spacing w:before="240"/>
        <w:rPr>
          <w:rFonts w:cs="Arial"/>
          <w:b/>
          <w:bCs/>
          <w:iCs/>
          <w:color w:val="000000"/>
          <w:sz w:val="24"/>
          <w:szCs w:val="28"/>
          <w:lang w:eastAsia="en-AU"/>
        </w:rPr>
      </w:pPr>
      <w:r>
        <w:rPr>
          <w:rFonts w:cs="Arial"/>
          <w:b/>
          <w:bCs/>
          <w:iCs/>
          <w:color w:val="000000"/>
          <w:sz w:val="24"/>
          <w:szCs w:val="28"/>
          <w:lang w:eastAsia="en-AU"/>
        </w:rPr>
        <w:lastRenderedPageBreak/>
        <w:t>ESC discussion</w:t>
      </w:r>
    </w:p>
    <w:p w14:paraId="6631244B" w14:textId="77777777" w:rsidR="006224B0" w:rsidRDefault="006224B0" w:rsidP="006224B0">
      <w:r>
        <w:t>ESC noted that this was an application from Rare Voices Australia requesting a Medicare Benefits Schedule (MBS) listing of abdominal magnetic resonance imaging (MRI) for the purposes of annual surveillance to detect newly developed renal tumours and the assessment of changes over time to the renal tumour in patients with rare inherited conditions associated with an increased risk of renal tumours.</w:t>
      </w:r>
    </w:p>
    <w:p w14:paraId="064A434A" w14:textId="77777777" w:rsidR="006224B0" w:rsidRDefault="006224B0" w:rsidP="006224B0">
      <w:r>
        <w:t>ESC noted that the proposed population for this application is a heterogenous group of patients with rare heritable genetic conditions that are strongly associated with the development of renal tumours over time, who may or may not be currently undergoing stable, disease-specific therapy. There are eight identified conditions, but ESC noted that patients with other rare genetic disorders associated with the increased risk of developing renal tumours are also intended to be eligible for this service. ESC noted that genetic testing for heritable kidney diseases, including those in scope for this application, is currently available through Medicare. </w:t>
      </w:r>
    </w:p>
    <w:p w14:paraId="6A0432E4" w14:textId="77777777" w:rsidR="006224B0" w:rsidRDefault="006224B0" w:rsidP="006224B0">
      <w:r>
        <w:t xml:space="preserve">ESC noted the consumer feedback and recognised there may be equity of access issues to MRI for people in remote and regional areas. ESC also noted that many international guidelines recommend MRI as the imaging modality for the proposed services. ESC noted that improved monitoring and surveillance can result in peace of mind for families and aids in planning for support services, and that there is also value in identifying the absence of disease, or disease stabilisation. </w:t>
      </w:r>
    </w:p>
    <w:p w14:paraId="3E2139D5" w14:textId="77777777" w:rsidR="006224B0" w:rsidRDefault="006224B0" w:rsidP="006224B0">
      <w:r>
        <w:t>ESC also noted consultation feedback that requested multiple organ surveillance, not just kidneys. ESC noted that the proposed conditions comprise 5% of benign and malignant renal tumours, and that the proposed MBS descriptor covers other conditions with increased risk of renal tumours, not just the eight specific conditions listed. ESC also noted that there is an MRI item (63440) that allows for MRI scanning of the abdomen in children under 16 years of age for a pelvic or abdominal mass. Genetic testing for these conditions is also on the MBS, and many patients that require surveillance will have already been identified, either through genetic testing or by clinical phenotype.</w:t>
      </w:r>
    </w:p>
    <w:p w14:paraId="1BB47487" w14:textId="77777777" w:rsidR="006224B0" w:rsidRDefault="006224B0" w:rsidP="006224B0">
      <w:pPr>
        <w:pStyle w:val="NormalBeforeBullet0"/>
      </w:pPr>
      <w:r>
        <w:t>ESC noted that the application proposes two new MBS items for two distinct populations:</w:t>
      </w:r>
    </w:p>
    <w:p w14:paraId="74E711D7" w14:textId="77777777" w:rsidR="006224B0" w:rsidRPr="001B1FEB" w:rsidRDefault="006224B0" w:rsidP="006224B0">
      <w:pPr>
        <w:pStyle w:val="Bullet"/>
        <w:numPr>
          <w:ilvl w:val="0"/>
          <w:numId w:val="24"/>
        </w:numPr>
        <w:spacing w:before="0"/>
        <w:rPr>
          <w:rFonts w:ascii="Franklin Gothic Book" w:hAnsi="Franklin Gothic Book"/>
        </w:rPr>
      </w:pPr>
      <w:r>
        <w:rPr>
          <w:rFonts w:ascii="Franklin Gothic Book" w:hAnsi="Franklin Gothic Book"/>
        </w:rPr>
        <w:t>PICO set 1 (population 1)</w:t>
      </w:r>
      <w:r w:rsidRPr="001B1FEB">
        <w:rPr>
          <w:rFonts w:ascii="Franklin Gothic Book" w:hAnsi="Franklin Gothic Book"/>
        </w:rPr>
        <w:t>, for surveillance of patients with confirmed clinical or molecular diagnosis of a condition that results in a high risk of developing renal tumours</w:t>
      </w:r>
    </w:p>
    <w:p w14:paraId="5FA46B27" w14:textId="77777777" w:rsidR="006224B0" w:rsidRPr="001B1FEB" w:rsidRDefault="006224B0" w:rsidP="006224B0">
      <w:pPr>
        <w:pStyle w:val="BulletLast"/>
        <w:numPr>
          <w:ilvl w:val="0"/>
          <w:numId w:val="24"/>
        </w:numPr>
      </w:pPr>
      <w:r>
        <w:t>PICO set 2 (population 2)</w:t>
      </w:r>
      <w:r w:rsidRPr="001B1FEB">
        <w:t xml:space="preserve">, for patients </w:t>
      </w:r>
      <w:r w:rsidRPr="00DF4FE5">
        <w:t>diagnosed with a syndrome associated with increased risk of kidney cancer who require monitoring for the purposes of evaluating changes in clinical condition or suspected complications of known renal tumours arising between their annual surveillance MRI, or who have received disease specific therapeutic interventio</w:t>
      </w:r>
      <w:r>
        <w:t>n</w:t>
      </w:r>
      <w:r w:rsidRPr="001B1FEB">
        <w:t>.</w:t>
      </w:r>
    </w:p>
    <w:p w14:paraId="41AF8F5C" w14:textId="77777777" w:rsidR="006224B0" w:rsidRDefault="006224B0" w:rsidP="006224B0">
      <w:r w:rsidRPr="001B1FEB">
        <w:t>ESC noted that the descriptors’ frequency of testing of every 12 months for population 1 and every 3 months for population 2 is appropriate and aligns with clinical guidelines on monitoring recommendations.</w:t>
      </w:r>
    </w:p>
    <w:p w14:paraId="071B8E3F" w14:textId="77777777" w:rsidR="006224B0" w:rsidRPr="00B71B2D" w:rsidRDefault="006224B0" w:rsidP="006224B0">
      <w:pPr>
        <w:tabs>
          <w:tab w:val="num" w:pos="426"/>
        </w:tabs>
        <w:rPr>
          <w:bCs/>
        </w:rPr>
      </w:pPr>
      <w:r>
        <w:t xml:space="preserve">ESC agreed with the suggestion that instead of defining access to these items in terms of an exclusive list of rare genetic conditions access be defined as being for patients with a confirmed clinical and/or molecular diagnosis of a rare genetic disorder associated with a &gt;N% risk of </w:t>
      </w:r>
      <w:r>
        <w:lastRenderedPageBreak/>
        <w:t>developing renal tumours where the v</w:t>
      </w:r>
      <w:r w:rsidRPr="00202F04">
        <w:t xml:space="preserve">alue of the risk threshold (N%) will be determined through consultation with </w:t>
      </w:r>
      <w:r>
        <w:t>clinical experts</w:t>
      </w:r>
      <w:r w:rsidRPr="00202F04">
        <w:t xml:space="preserve"> prior to implementation of the proposed items</w:t>
      </w:r>
      <w:r>
        <w:t xml:space="preserve">. ESC noted the generic item descriptor would be accompanied with an explanatory note to assist clinicians in determining patient eligibility. </w:t>
      </w:r>
      <w:r>
        <w:rPr>
          <w:bCs/>
        </w:rPr>
        <w:t xml:space="preserve">Figures 1-3 show the draft </w:t>
      </w:r>
      <w:r w:rsidRPr="00B71B2D">
        <w:rPr>
          <w:bCs/>
        </w:rPr>
        <w:t>item descriptions and associated explanatory note</w:t>
      </w:r>
      <w:r>
        <w:rPr>
          <w:bCs/>
        </w:rPr>
        <w:t xml:space="preserve"> as supported by ESC.</w:t>
      </w:r>
      <w:r w:rsidRPr="00B71B2D">
        <w:rPr>
          <w:bCs/>
        </w:rPr>
        <w:t xml:space="preserve"> </w:t>
      </w:r>
    </w:p>
    <w:p w14:paraId="472CC7D9" w14:textId="77777777" w:rsidR="006224B0" w:rsidRPr="00ED58ED" w:rsidRDefault="006224B0" w:rsidP="006224B0">
      <w:pPr>
        <w:pStyle w:val="TableHeading0"/>
      </w:pPr>
      <w:r w:rsidRPr="00ED58ED">
        <w:t xml:space="preserve">Figure 1 - </w:t>
      </w:r>
      <w:r>
        <w:t>Proposed</w:t>
      </w:r>
      <w:r w:rsidRPr="00ED58ED">
        <w:t xml:space="preserve"> annual surveillance item</w:t>
      </w:r>
      <w:r>
        <w:t xml:space="preserve"> (PICO set 1)</w:t>
      </w:r>
    </w:p>
    <w:tbl>
      <w:tblPr>
        <w:tblStyle w:val="TableGrid"/>
        <w:tblW w:w="5000" w:type="pct"/>
        <w:tblLook w:val="04A0" w:firstRow="1" w:lastRow="0" w:firstColumn="1" w:lastColumn="0" w:noHBand="0" w:noVBand="1"/>
      </w:tblPr>
      <w:tblGrid>
        <w:gridCol w:w="9016"/>
      </w:tblGrid>
      <w:tr w:rsidR="006224B0" w:rsidRPr="00AB4EA5" w14:paraId="236EFD37" w14:textId="77777777" w:rsidTr="008B34D8">
        <w:trPr>
          <w:cantSplit/>
          <w:tblHeader/>
        </w:trPr>
        <w:tc>
          <w:tcPr>
            <w:tcW w:w="5000" w:type="pct"/>
          </w:tcPr>
          <w:p w14:paraId="1BFBBC2E" w14:textId="77777777" w:rsidR="006224B0" w:rsidRPr="00AB4EA5" w:rsidRDefault="006224B0" w:rsidP="008B34D8">
            <w:pPr>
              <w:tabs>
                <w:tab w:val="num" w:pos="426"/>
                <w:tab w:val="left" w:pos="4782"/>
              </w:tabs>
              <w:rPr>
                <w:rFonts w:ascii="Arial Narrow" w:hAnsi="Arial Narrow"/>
                <w:b/>
                <w:sz w:val="20"/>
                <w:szCs w:val="20"/>
              </w:rPr>
            </w:pPr>
            <w:r w:rsidRPr="00AB4EA5">
              <w:rPr>
                <w:rFonts w:ascii="Arial Narrow" w:hAnsi="Arial Narrow"/>
                <w:b/>
                <w:sz w:val="20"/>
                <w:szCs w:val="20"/>
              </w:rPr>
              <w:t xml:space="preserve">Category 5 – Diagnostic Imaging Services </w:t>
            </w:r>
          </w:p>
        </w:tc>
      </w:tr>
      <w:tr w:rsidR="006224B0" w:rsidRPr="00AB4EA5" w14:paraId="378B08E6" w14:textId="77777777" w:rsidTr="008B34D8">
        <w:trPr>
          <w:cantSplit/>
          <w:tblHeader/>
        </w:trPr>
        <w:tc>
          <w:tcPr>
            <w:tcW w:w="5000" w:type="pct"/>
          </w:tcPr>
          <w:p w14:paraId="73F4EBE9" w14:textId="77777777" w:rsidR="006224B0" w:rsidRPr="00AB4EA5" w:rsidRDefault="006224B0" w:rsidP="008B34D8">
            <w:pPr>
              <w:tabs>
                <w:tab w:val="num" w:pos="426"/>
              </w:tabs>
              <w:rPr>
                <w:rFonts w:ascii="Arial Narrow" w:hAnsi="Arial Narrow"/>
                <w:bCs/>
                <w:sz w:val="20"/>
                <w:szCs w:val="20"/>
              </w:rPr>
            </w:pPr>
            <w:r w:rsidRPr="00AB4EA5">
              <w:rPr>
                <w:rFonts w:ascii="Arial Narrow" w:hAnsi="Arial Narrow"/>
                <w:bCs/>
                <w:sz w:val="20"/>
                <w:szCs w:val="20"/>
              </w:rPr>
              <w:t>Item XXXX</w:t>
            </w:r>
          </w:p>
          <w:p w14:paraId="160B4E0C" w14:textId="77777777" w:rsidR="006224B0" w:rsidRPr="00AB4EA5" w:rsidRDefault="006224B0" w:rsidP="008B34D8">
            <w:pPr>
              <w:tabs>
                <w:tab w:val="num" w:pos="426"/>
              </w:tabs>
              <w:rPr>
                <w:rFonts w:ascii="Arial Narrow" w:hAnsi="Arial Narrow"/>
                <w:bCs/>
                <w:sz w:val="20"/>
                <w:szCs w:val="20"/>
              </w:rPr>
            </w:pPr>
            <w:r w:rsidRPr="00AB4EA5">
              <w:rPr>
                <w:rFonts w:ascii="Arial Narrow" w:hAnsi="Arial Narrow"/>
                <w:bCs/>
                <w:sz w:val="20"/>
                <w:szCs w:val="20"/>
              </w:rPr>
              <w:t>MRI – scan of the abdomen, requested by a specialist or consultant physician, to assess the development and/or growth of renal tumours in patients with a confirmed clinical and/or molecular diagnosis of a genetic disorder associated with an increased risk of developing renal tumours.</w:t>
            </w:r>
          </w:p>
          <w:p w14:paraId="4ABDD456" w14:textId="77777777" w:rsidR="006224B0" w:rsidRPr="00AB4EA5" w:rsidRDefault="006224B0" w:rsidP="005505FA">
            <w:pPr>
              <w:tabs>
                <w:tab w:val="num" w:pos="426"/>
              </w:tabs>
              <w:spacing w:before="240" w:after="240"/>
              <w:rPr>
                <w:rFonts w:ascii="Arial Narrow" w:hAnsi="Arial Narrow"/>
                <w:bCs/>
                <w:sz w:val="20"/>
                <w:szCs w:val="20"/>
              </w:rPr>
            </w:pPr>
            <w:r w:rsidRPr="00AB4EA5">
              <w:rPr>
                <w:rFonts w:ascii="Arial Narrow" w:hAnsi="Arial Narrow"/>
                <w:bCs/>
                <w:sz w:val="20"/>
                <w:szCs w:val="20"/>
              </w:rPr>
              <w:t xml:space="preserve">For any particular patient – applicable not more than once in a </w:t>
            </w:r>
            <w:proofErr w:type="gramStart"/>
            <w:r w:rsidRPr="00AB4EA5">
              <w:rPr>
                <w:rFonts w:ascii="Arial Narrow" w:hAnsi="Arial Narrow"/>
                <w:bCs/>
                <w:sz w:val="20"/>
                <w:szCs w:val="20"/>
              </w:rPr>
              <w:t>12 month</w:t>
            </w:r>
            <w:proofErr w:type="gramEnd"/>
            <w:r w:rsidRPr="00AB4EA5">
              <w:rPr>
                <w:rFonts w:ascii="Arial Narrow" w:hAnsi="Arial Narrow"/>
                <w:bCs/>
                <w:sz w:val="20"/>
                <w:szCs w:val="20"/>
              </w:rPr>
              <w:t xml:space="preserve"> period. </w:t>
            </w:r>
          </w:p>
          <w:p w14:paraId="6F87C6FF" w14:textId="77777777" w:rsidR="006224B0" w:rsidRPr="00AB4EA5" w:rsidRDefault="006224B0" w:rsidP="008B34D8">
            <w:pPr>
              <w:tabs>
                <w:tab w:val="num" w:pos="426"/>
              </w:tabs>
              <w:rPr>
                <w:rFonts w:ascii="Arial Narrow" w:hAnsi="Arial Narrow"/>
                <w:bCs/>
                <w:i/>
                <w:iCs/>
                <w:sz w:val="20"/>
                <w:szCs w:val="20"/>
              </w:rPr>
            </w:pPr>
            <w:r w:rsidRPr="00AB4EA5">
              <w:rPr>
                <w:rFonts w:ascii="Arial Narrow" w:hAnsi="Arial Narrow"/>
                <w:bCs/>
                <w:i/>
                <w:iCs/>
                <w:sz w:val="20"/>
                <w:szCs w:val="20"/>
              </w:rPr>
              <w:t>Restricted to one scan per 12 months.</w:t>
            </w:r>
          </w:p>
          <w:p w14:paraId="46EA2A15" w14:textId="77777777" w:rsidR="006224B0" w:rsidRPr="00AB4EA5" w:rsidRDefault="006224B0" w:rsidP="005505FA">
            <w:pPr>
              <w:tabs>
                <w:tab w:val="num" w:pos="426"/>
              </w:tabs>
              <w:spacing w:after="240"/>
              <w:rPr>
                <w:rFonts w:ascii="Arial Narrow" w:hAnsi="Arial Narrow"/>
                <w:bCs/>
                <w:sz w:val="20"/>
                <w:szCs w:val="20"/>
              </w:rPr>
            </w:pPr>
            <w:r w:rsidRPr="00AB4EA5">
              <w:rPr>
                <w:rFonts w:ascii="Arial Narrow" w:hAnsi="Arial Narrow"/>
                <w:bCs/>
                <w:sz w:val="20"/>
                <w:szCs w:val="20"/>
              </w:rPr>
              <w:t>(R) (</w:t>
            </w:r>
            <w:proofErr w:type="spellStart"/>
            <w:r w:rsidRPr="00AB4EA5">
              <w:rPr>
                <w:rFonts w:ascii="Arial Narrow" w:hAnsi="Arial Narrow"/>
                <w:bCs/>
                <w:sz w:val="20"/>
                <w:szCs w:val="20"/>
              </w:rPr>
              <w:t>Anaes</w:t>
            </w:r>
            <w:proofErr w:type="spellEnd"/>
            <w:r w:rsidRPr="00AB4EA5">
              <w:rPr>
                <w:rFonts w:ascii="Arial Narrow" w:hAnsi="Arial Narrow"/>
                <w:bCs/>
                <w:sz w:val="20"/>
                <w:szCs w:val="20"/>
              </w:rPr>
              <w:t xml:space="preserve">) (Contrast) </w:t>
            </w:r>
          </w:p>
          <w:p w14:paraId="205D54CD" w14:textId="77777777" w:rsidR="006224B0" w:rsidRPr="00AB4EA5" w:rsidRDefault="006224B0" w:rsidP="008B34D8">
            <w:pPr>
              <w:tabs>
                <w:tab w:val="num" w:pos="426"/>
              </w:tabs>
              <w:rPr>
                <w:rFonts w:ascii="Arial Narrow" w:hAnsi="Arial Narrow"/>
                <w:b/>
                <w:sz w:val="20"/>
                <w:szCs w:val="20"/>
              </w:rPr>
            </w:pPr>
            <w:r w:rsidRPr="00AB4EA5">
              <w:rPr>
                <w:rFonts w:ascii="Arial Narrow" w:hAnsi="Arial Narrow"/>
                <w:b/>
                <w:sz w:val="20"/>
                <w:szCs w:val="20"/>
              </w:rPr>
              <w:t xml:space="preserve">Fee: </w:t>
            </w:r>
            <w:r w:rsidRPr="00AB4EA5">
              <w:rPr>
                <w:rFonts w:ascii="Arial Narrow" w:hAnsi="Arial Narrow"/>
                <w:bCs/>
                <w:sz w:val="20"/>
                <w:szCs w:val="20"/>
              </w:rPr>
              <w:t>$637.25</w:t>
            </w:r>
          </w:p>
        </w:tc>
      </w:tr>
    </w:tbl>
    <w:p w14:paraId="6BE143E2" w14:textId="77777777" w:rsidR="006224B0" w:rsidRPr="00ED58ED" w:rsidRDefault="006224B0" w:rsidP="005505FA">
      <w:pPr>
        <w:pStyle w:val="TableHeading0"/>
        <w:spacing w:before="240"/>
        <w:ind w:left="992" w:hanging="992"/>
      </w:pPr>
      <w:r w:rsidRPr="00ED58ED">
        <w:t xml:space="preserve">Figure 2 - </w:t>
      </w:r>
      <w:r>
        <w:t>Proposed</w:t>
      </w:r>
      <w:r w:rsidRPr="00ED58ED">
        <w:t xml:space="preserve"> tumour monitoring item</w:t>
      </w:r>
      <w:r>
        <w:t xml:space="preserve"> (PICO set 2)</w:t>
      </w:r>
    </w:p>
    <w:tbl>
      <w:tblPr>
        <w:tblStyle w:val="TableGrid"/>
        <w:tblW w:w="5000" w:type="pct"/>
        <w:tblLook w:val="04A0" w:firstRow="1" w:lastRow="0" w:firstColumn="1" w:lastColumn="0" w:noHBand="0" w:noVBand="1"/>
      </w:tblPr>
      <w:tblGrid>
        <w:gridCol w:w="9016"/>
      </w:tblGrid>
      <w:tr w:rsidR="006224B0" w:rsidRPr="00AB4EA5" w14:paraId="6AE71704" w14:textId="77777777" w:rsidTr="008B34D8">
        <w:tc>
          <w:tcPr>
            <w:tcW w:w="5000" w:type="pct"/>
          </w:tcPr>
          <w:p w14:paraId="3BF61742" w14:textId="77777777" w:rsidR="006224B0" w:rsidRPr="00AB4EA5" w:rsidRDefault="006224B0" w:rsidP="008B34D8">
            <w:pPr>
              <w:tabs>
                <w:tab w:val="num" w:pos="426"/>
              </w:tabs>
              <w:rPr>
                <w:rFonts w:ascii="Arial Narrow" w:hAnsi="Arial Narrow"/>
                <w:b/>
                <w:sz w:val="20"/>
                <w:szCs w:val="20"/>
              </w:rPr>
            </w:pPr>
            <w:r w:rsidRPr="00AB4EA5">
              <w:rPr>
                <w:rFonts w:ascii="Arial Narrow" w:hAnsi="Arial Narrow"/>
                <w:b/>
                <w:sz w:val="20"/>
                <w:szCs w:val="20"/>
              </w:rPr>
              <w:t>Category 5 – Diagnostic Imaging Services</w:t>
            </w:r>
          </w:p>
        </w:tc>
      </w:tr>
      <w:tr w:rsidR="006224B0" w:rsidRPr="00AB4EA5" w14:paraId="07F0B92B" w14:textId="77777777" w:rsidTr="008B34D8">
        <w:tc>
          <w:tcPr>
            <w:tcW w:w="5000" w:type="pct"/>
          </w:tcPr>
          <w:p w14:paraId="3E6ADEB4" w14:textId="77777777" w:rsidR="006224B0" w:rsidRPr="00AB4EA5" w:rsidRDefault="006224B0" w:rsidP="008B34D8">
            <w:pPr>
              <w:tabs>
                <w:tab w:val="num" w:pos="426"/>
              </w:tabs>
              <w:rPr>
                <w:rFonts w:ascii="Arial Narrow" w:hAnsi="Arial Narrow"/>
                <w:bCs/>
                <w:sz w:val="20"/>
                <w:szCs w:val="20"/>
              </w:rPr>
            </w:pPr>
            <w:r w:rsidRPr="00AB4EA5">
              <w:rPr>
                <w:rFonts w:ascii="Arial Narrow" w:hAnsi="Arial Narrow"/>
                <w:bCs/>
                <w:sz w:val="20"/>
                <w:szCs w:val="20"/>
              </w:rPr>
              <w:t>Item YYYY</w:t>
            </w:r>
          </w:p>
          <w:p w14:paraId="24EE68BF" w14:textId="77777777" w:rsidR="006224B0" w:rsidRPr="00AB4EA5" w:rsidRDefault="006224B0" w:rsidP="008B34D8">
            <w:pPr>
              <w:tabs>
                <w:tab w:val="num" w:pos="426"/>
              </w:tabs>
              <w:rPr>
                <w:rFonts w:ascii="Arial Narrow" w:hAnsi="Arial Narrow"/>
                <w:bCs/>
                <w:sz w:val="20"/>
                <w:szCs w:val="20"/>
              </w:rPr>
            </w:pPr>
            <w:r w:rsidRPr="00AB4EA5">
              <w:rPr>
                <w:rFonts w:ascii="Arial Narrow" w:hAnsi="Arial Narrow"/>
                <w:bCs/>
                <w:sz w:val="20"/>
                <w:szCs w:val="20"/>
              </w:rPr>
              <w:t>MRI – scan of the abdomen, requested by a specialist or consultant physician, to assess a patient with a known renal tumour who has:</w:t>
            </w:r>
          </w:p>
          <w:p w14:paraId="69353A8E" w14:textId="77777777" w:rsidR="006224B0" w:rsidRPr="00AB4EA5" w:rsidRDefault="006224B0" w:rsidP="008B34D8">
            <w:pPr>
              <w:pStyle w:val="ListParagraph"/>
              <w:numPr>
                <w:ilvl w:val="0"/>
                <w:numId w:val="27"/>
              </w:numPr>
              <w:spacing w:before="0"/>
              <w:rPr>
                <w:rFonts w:ascii="Arial Narrow" w:hAnsi="Arial Narrow"/>
                <w:bCs/>
                <w:sz w:val="20"/>
                <w:szCs w:val="20"/>
              </w:rPr>
            </w:pPr>
            <w:r w:rsidRPr="00AB4EA5">
              <w:rPr>
                <w:rFonts w:ascii="Arial Narrow" w:hAnsi="Arial Narrow"/>
                <w:bCs/>
                <w:sz w:val="20"/>
                <w:szCs w:val="20"/>
              </w:rPr>
              <w:t>a confirmed clinical and/or molecular diagnosis of a genetic disorder associated with an increased risk of developing renal tumours, and</w:t>
            </w:r>
          </w:p>
          <w:p w14:paraId="3A144B41" w14:textId="77777777" w:rsidR="006224B0" w:rsidRPr="00AB4EA5" w:rsidRDefault="006224B0" w:rsidP="008B34D8">
            <w:pPr>
              <w:pStyle w:val="ListParagraph"/>
              <w:numPr>
                <w:ilvl w:val="0"/>
                <w:numId w:val="27"/>
              </w:numPr>
              <w:tabs>
                <w:tab w:val="num" w:pos="426"/>
              </w:tabs>
              <w:spacing w:before="0"/>
              <w:rPr>
                <w:rFonts w:ascii="Arial Narrow" w:hAnsi="Arial Narrow"/>
                <w:bCs/>
                <w:sz w:val="20"/>
                <w:szCs w:val="20"/>
              </w:rPr>
            </w:pPr>
            <w:r w:rsidRPr="00AB4EA5">
              <w:rPr>
                <w:rFonts w:ascii="Arial Narrow" w:hAnsi="Arial Narrow"/>
                <w:bCs/>
                <w:sz w:val="20"/>
                <w:szCs w:val="20"/>
              </w:rPr>
              <w:t>for the purposes of evaluating changes in clinical condition or suspected complications of known renal tumours arising between an annual surveillance MRI claimed under item XXXX; or</w:t>
            </w:r>
          </w:p>
          <w:p w14:paraId="3797C525" w14:textId="77777777" w:rsidR="006224B0" w:rsidRPr="005505FA" w:rsidRDefault="006224B0" w:rsidP="008B34D8">
            <w:pPr>
              <w:pStyle w:val="ListParagraph"/>
              <w:numPr>
                <w:ilvl w:val="0"/>
                <w:numId w:val="27"/>
              </w:numPr>
              <w:tabs>
                <w:tab w:val="num" w:pos="426"/>
              </w:tabs>
              <w:spacing w:before="0"/>
              <w:rPr>
                <w:rFonts w:ascii="Arial Narrow" w:hAnsi="Arial Narrow"/>
                <w:bCs/>
                <w:sz w:val="20"/>
                <w:szCs w:val="20"/>
              </w:rPr>
            </w:pPr>
            <w:r w:rsidRPr="00AB4EA5">
              <w:rPr>
                <w:rFonts w:ascii="Arial Narrow" w:hAnsi="Arial Narrow"/>
                <w:bCs/>
                <w:sz w:val="20"/>
                <w:szCs w:val="20"/>
              </w:rPr>
              <w:t>where a disease specific line of treatment has been initiated and an assessment of patient responsiveness to this treatment is required.</w:t>
            </w:r>
          </w:p>
          <w:p w14:paraId="5472EFB0" w14:textId="77777777" w:rsidR="006224B0" w:rsidRPr="00AB4EA5" w:rsidRDefault="006224B0" w:rsidP="005505FA">
            <w:pPr>
              <w:tabs>
                <w:tab w:val="num" w:pos="426"/>
              </w:tabs>
              <w:spacing w:before="240"/>
              <w:rPr>
                <w:rFonts w:ascii="Arial Narrow" w:hAnsi="Arial Narrow"/>
                <w:bCs/>
                <w:i/>
                <w:iCs/>
                <w:sz w:val="20"/>
                <w:szCs w:val="20"/>
              </w:rPr>
            </w:pPr>
            <w:r w:rsidRPr="00AB4EA5">
              <w:rPr>
                <w:rFonts w:ascii="Arial Narrow" w:hAnsi="Arial Narrow"/>
                <w:bCs/>
                <w:i/>
                <w:iCs/>
                <w:sz w:val="20"/>
                <w:szCs w:val="20"/>
              </w:rPr>
              <w:t xml:space="preserve">For any particular patient – applicable not more than once in a </w:t>
            </w:r>
            <w:proofErr w:type="gramStart"/>
            <w:r w:rsidRPr="00AB4EA5">
              <w:rPr>
                <w:rFonts w:ascii="Arial Narrow" w:hAnsi="Arial Narrow"/>
                <w:bCs/>
                <w:i/>
                <w:iCs/>
                <w:sz w:val="20"/>
                <w:szCs w:val="20"/>
              </w:rPr>
              <w:t>3 month</w:t>
            </w:r>
            <w:proofErr w:type="gramEnd"/>
            <w:r w:rsidRPr="00AB4EA5">
              <w:rPr>
                <w:rFonts w:ascii="Arial Narrow" w:hAnsi="Arial Narrow"/>
                <w:bCs/>
                <w:i/>
                <w:iCs/>
                <w:sz w:val="20"/>
                <w:szCs w:val="20"/>
              </w:rPr>
              <w:t xml:space="preserve"> period. </w:t>
            </w:r>
          </w:p>
          <w:p w14:paraId="58620535" w14:textId="77777777" w:rsidR="006224B0" w:rsidRPr="00AB4EA5" w:rsidRDefault="006224B0" w:rsidP="005505FA">
            <w:pPr>
              <w:tabs>
                <w:tab w:val="num" w:pos="426"/>
              </w:tabs>
              <w:spacing w:after="240"/>
              <w:rPr>
                <w:rFonts w:ascii="Arial Narrow" w:hAnsi="Arial Narrow"/>
                <w:bCs/>
                <w:sz w:val="20"/>
                <w:szCs w:val="20"/>
              </w:rPr>
            </w:pPr>
            <w:r w:rsidRPr="00AB4EA5">
              <w:rPr>
                <w:rFonts w:ascii="Arial Narrow" w:hAnsi="Arial Narrow"/>
                <w:bCs/>
                <w:sz w:val="20"/>
                <w:szCs w:val="20"/>
              </w:rPr>
              <w:t>(R) (</w:t>
            </w:r>
            <w:proofErr w:type="spellStart"/>
            <w:r w:rsidRPr="00AB4EA5">
              <w:rPr>
                <w:rFonts w:ascii="Arial Narrow" w:hAnsi="Arial Narrow"/>
                <w:bCs/>
                <w:sz w:val="20"/>
                <w:szCs w:val="20"/>
              </w:rPr>
              <w:t>Anaes</w:t>
            </w:r>
            <w:proofErr w:type="spellEnd"/>
            <w:r w:rsidRPr="00AB4EA5">
              <w:rPr>
                <w:rFonts w:ascii="Arial Narrow" w:hAnsi="Arial Narrow"/>
                <w:bCs/>
                <w:sz w:val="20"/>
                <w:szCs w:val="20"/>
              </w:rPr>
              <w:t>) (Contrast)</w:t>
            </w:r>
          </w:p>
          <w:p w14:paraId="436EAD07" w14:textId="77777777" w:rsidR="006224B0" w:rsidRPr="00AB4EA5" w:rsidRDefault="006224B0" w:rsidP="008B34D8">
            <w:pPr>
              <w:tabs>
                <w:tab w:val="num" w:pos="426"/>
              </w:tabs>
              <w:rPr>
                <w:rFonts w:ascii="Arial Narrow" w:hAnsi="Arial Narrow"/>
                <w:b/>
                <w:sz w:val="20"/>
                <w:szCs w:val="20"/>
              </w:rPr>
            </w:pPr>
            <w:r w:rsidRPr="00AB4EA5">
              <w:rPr>
                <w:rFonts w:ascii="Arial Narrow" w:hAnsi="Arial Narrow"/>
                <w:b/>
                <w:sz w:val="20"/>
                <w:szCs w:val="20"/>
              </w:rPr>
              <w:t xml:space="preserve">Fee: </w:t>
            </w:r>
            <w:r w:rsidRPr="00AB4EA5">
              <w:rPr>
                <w:rFonts w:ascii="Arial Narrow" w:hAnsi="Arial Narrow"/>
                <w:bCs/>
                <w:sz w:val="20"/>
                <w:szCs w:val="20"/>
              </w:rPr>
              <w:t>$637.25</w:t>
            </w:r>
          </w:p>
        </w:tc>
      </w:tr>
    </w:tbl>
    <w:p w14:paraId="38FC4F02" w14:textId="77777777" w:rsidR="006224B0" w:rsidRPr="00ED58ED" w:rsidRDefault="006224B0" w:rsidP="005505FA">
      <w:pPr>
        <w:pStyle w:val="TableHeading0"/>
        <w:spacing w:before="240"/>
        <w:ind w:left="992" w:hanging="992"/>
      </w:pPr>
      <w:r w:rsidRPr="00ED58ED">
        <w:t xml:space="preserve">Figure 3 - </w:t>
      </w:r>
      <w:r>
        <w:t>Proposed</w:t>
      </w:r>
      <w:r w:rsidRPr="00ED58ED">
        <w:t xml:space="preserve"> explanatory note</w:t>
      </w:r>
      <w:r>
        <w:t xml:space="preserve"> to accompany items XXXX and YYYY</w:t>
      </w:r>
    </w:p>
    <w:tbl>
      <w:tblPr>
        <w:tblStyle w:val="TableGrid"/>
        <w:tblW w:w="5000" w:type="pct"/>
        <w:tblLook w:val="04A0" w:firstRow="1" w:lastRow="0" w:firstColumn="1" w:lastColumn="0" w:noHBand="0" w:noVBand="1"/>
      </w:tblPr>
      <w:tblGrid>
        <w:gridCol w:w="9016"/>
      </w:tblGrid>
      <w:tr w:rsidR="006224B0" w:rsidRPr="00AB4EA5" w14:paraId="5419FBEB" w14:textId="77777777" w:rsidTr="008B34D8">
        <w:tc>
          <w:tcPr>
            <w:tcW w:w="5000" w:type="pct"/>
          </w:tcPr>
          <w:p w14:paraId="426FD5E5" w14:textId="77777777" w:rsidR="006224B0" w:rsidRPr="00AB4EA5" w:rsidRDefault="006224B0" w:rsidP="008B34D8">
            <w:pPr>
              <w:tabs>
                <w:tab w:val="num" w:pos="426"/>
              </w:tabs>
              <w:rPr>
                <w:rFonts w:ascii="Arial Narrow" w:hAnsi="Arial Narrow"/>
                <w:bCs/>
                <w:sz w:val="20"/>
                <w:szCs w:val="20"/>
              </w:rPr>
            </w:pPr>
            <w:r w:rsidRPr="00AB4EA5">
              <w:rPr>
                <w:rFonts w:ascii="Arial Narrow" w:hAnsi="Arial Narrow"/>
                <w:bCs/>
                <w:sz w:val="20"/>
                <w:szCs w:val="20"/>
              </w:rPr>
              <w:t>For Items XXXX and YYYY, access to these items is for patients with a confirmed clinical and/or molecular diagnosis of a rare genetic disorder associated with a &gt;N% risk of developing renal tumours. Examples of such disorders could include:</w:t>
            </w:r>
          </w:p>
          <w:p w14:paraId="576D87AF" w14:textId="77777777" w:rsidR="006224B0" w:rsidRPr="00AB4EA5" w:rsidRDefault="006224B0" w:rsidP="008B34D8">
            <w:pPr>
              <w:pStyle w:val="ListParagraph"/>
              <w:numPr>
                <w:ilvl w:val="0"/>
                <w:numId w:val="26"/>
              </w:numPr>
              <w:spacing w:before="0"/>
              <w:rPr>
                <w:rFonts w:ascii="Arial Narrow" w:hAnsi="Arial Narrow"/>
                <w:bCs/>
                <w:sz w:val="20"/>
                <w:szCs w:val="20"/>
              </w:rPr>
            </w:pPr>
            <w:r w:rsidRPr="00AB4EA5">
              <w:rPr>
                <w:rFonts w:ascii="Arial Narrow" w:hAnsi="Arial Narrow"/>
                <w:bCs/>
                <w:sz w:val="20"/>
                <w:szCs w:val="20"/>
              </w:rPr>
              <w:t>Tuberous sclerosis complex</w:t>
            </w:r>
          </w:p>
          <w:p w14:paraId="1FFB2815" w14:textId="77777777" w:rsidR="006224B0" w:rsidRPr="00AB4EA5" w:rsidRDefault="006224B0" w:rsidP="008B34D8">
            <w:pPr>
              <w:pStyle w:val="ListParagraph"/>
              <w:numPr>
                <w:ilvl w:val="0"/>
                <w:numId w:val="26"/>
              </w:numPr>
              <w:spacing w:before="0"/>
              <w:rPr>
                <w:rFonts w:ascii="Arial Narrow" w:hAnsi="Arial Narrow"/>
                <w:bCs/>
                <w:sz w:val="20"/>
                <w:szCs w:val="20"/>
              </w:rPr>
            </w:pPr>
            <w:r w:rsidRPr="00AB4EA5">
              <w:rPr>
                <w:rFonts w:ascii="Arial Narrow" w:hAnsi="Arial Narrow"/>
                <w:bCs/>
                <w:sz w:val="20"/>
                <w:szCs w:val="20"/>
              </w:rPr>
              <w:t>Von Hippel Lindau syndrome</w:t>
            </w:r>
          </w:p>
          <w:p w14:paraId="013D6980" w14:textId="77777777" w:rsidR="006224B0" w:rsidRPr="00AB4EA5" w:rsidRDefault="006224B0" w:rsidP="008B34D8">
            <w:pPr>
              <w:pStyle w:val="ListParagraph"/>
              <w:numPr>
                <w:ilvl w:val="0"/>
                <w:numId w:val="26"/>
              </w:numPr>
              <w:spacing w:before="0"/>
              <w:rPr>
                <w:rFonts w:ascii="Arial Narrow" w:hAnsi="Arial Narrow"/>
                <w:bCs/>
                <w:sz w:val="20"/>
                <w:szCs w:val="20"/>
              </w:rPr>
            </w:pPr>
            <w:proofErr w:type="spellStart"/>
            <w:r w:rsidRPr="00AB4EA5">
              <w:rPr>
                <w:rFonts w:ascii="Arial Narrow" w:hAnsi="Arial Narrow"/>
                <w:bCs/>
                <w:sz w:val="20"/>
                <w:szCs w:val="20"/>
              </w:rPr>
              <w:t>Birt</w:t>
            </w:r>
            <w:proofErr w:type="spellEnd"/>
            <w:r w:rsidRPr="00AB4EA5">
              <w:rPr>
                <w:rFonts w:ascii="Arial Narrow" w:hAnsi="Arial Narrow"/>
                <w:bCs/>
                <w:sz w:val="20"/>
                <w:szCs w:val="20"/>
              </w:rPr>
              <w:t>-Hogg-Dube syndrome</w:t>
            </w:r>
          </w:p>
          <w:p w14:paraId="2C050BFF" w14:textId="77777777" w:rsidR="006224B0" w:rsidRPr="00AB4EA5" w:rsidRDefault="006224B0" w:rsidP="008B34D8">
            <w:pPr>
              <w:pStyle w:val="ListParagraph"/>
              <w:numPr>
                <w:ilvl w:val="0"/>
                <w:numId w:val="26"/>
              </w:numPr>
              <w:spacing w:before="0"/>
              <w:rPr>
                <w:rFonts w:ascii="Arial Narrow" w:hAnsi="Arial Narrow"/>
                <w:bCs/>
                <w:sz w:val="20"/>
                <w:szCs w:val="20"/>
              </w:rPr>
            </w:pPr>
            <w:r w:rsidRPr="00AB4EA5">
              <w:rPr>
                <w:rFonts w:ascii="Arial Narrow" w:hAnsi="Arial Narrow"/>
                <w:bCs/>
                <w:sz w:val="20"/>
                <w:szCs w:val="20"/>
              </w:rPr>
              <w:t xml:space="preserve">Hereditary </w:t>
            </w:r>
            <w:proofErr w:type="spellStart"/>
            <w:r w:rsidRPr="00AB4EA5">
              <w:rPr>
                <w:rFonts w:ascii="Arial Narrow" w:hAnsi="Arial Narrow"/>
                <w:bCs/>
                <w:sz w:val="20"/>
                <w:szCs w:val="20"/>
              </w:rPr>
              <w:t>leiomyomatosis</w:t>
            </w:r>
            <w:proofErr w:type="spellEnd"/>
            <w:r w:rsidRPr="00AB4EA5">
              <w:rPr>
                <w:rFonts w:ascii="Arial Narrow" w:hAnsi="Arial Narrow"/>
                <w:bCs/>
                <w:sz w:val="20"/>
                <w:szCs w:val="20"/>
              </w:rPr>
              <w:t xml:space="preserve"> and renal cell carcinoma (HLRCC)</w:t>
            </w:r>
          </w:p>
          <w:p w14:paraId="58AA0DD4" w14:textId="77777777" w:rsidR="006224B0" w:rsidRPr="00AB4EA5" w:rsidRDefault="006224B0" w:rsidP="008B34D8">
            <w:pPr>
              <w:pStyle w:val="ListParagraph"/>
              <w:numPr>
                <w:ilvl w:val="0"/>
                <w:numId w:val="26"/>
              </w:numPr>
              <w:spacing w:before="0"/>
              <w:rPr>
                <w:rFonts w:ascii="Arial Narrow" w:hAnsi="Arial Narrow"/>
                <w:bCs/>
                <w:sz w:val="20"/>
                <w:szCs w:val="20"/>
              </w:rPr>
            </w:pPr>
            <w:r w:rsidRPr="00AB4EA5">
              <w:rPr>
                <w:rFonts w:ascii="Arial Narrow" w:hAnsi="Arial Narrow"/>
                <w:bCs/>
                <w:sz w:val="20"/>
                <w:szCs w:val="20"/>
              </w:rPr>
              <w:t>Cowden syndrome (PTEN Hamartoma Tumour Syndrome spectrum)</w:t>
            </w:r>
          </w:p>
          <w:p w14:paraId="0EE15B58" w14:textId="77777777" w:rsidR="006224B0" w:rsidRPr="00AB4EA5" w:rsidRDefault="006224B0" w:rsidP="008B34D8">
            <w:pPr>
              <w:pStyle w:val="ListParagraph"/>
              <w:numPr>
                <w:ilvl w:val="0"/>
                <w:numId w:val="26"/>
              </w:numPr>
              <w:spacing w:before="0"/>
              <w:rPr>
                <w:rFonts w:ascii="Arial Narrow" w:hAnsi="Arial Narrow"/>
                <w:bCs/>
                <w:sz w:val="20"/>
                <w:szCs w:val="20"/>
              </w:rPr>
            </w:pPr>
            <w:r w:rsidRPr="00AB4EA5">
              <w:rPr>
                <w:rFonts w:ascii="Arial Narrow" w:hAnsi="Arial Narrow"/>
                <w:bCs/>
                <w:sz w:val="20"/>
                <w:szCs w:val="20"/>
              </w:rPr>
              <w:t>BAP1-associated cancer syndrome</w:t>
            </w:r>
          </w:p>
          <w:p w14:paraId="7679E82D" w14:textId="77777777" w:rsidR="006224B0" w:rsidRPr="00AB4EA5" w:rsidRDefault="006224B0" w:rsidP="008B34D8">
            <w:pPr>
              <w:pStyle w:val="ListParagraph"/>
              <w:numPr>
                <w:ilvl w:val="0"/>
                <w:numId w:val="26"/>
              </w:numPr>
              <w:spacing w:before="0"/>
              <w:rPr>
                <w:rFonts w:ascii="Arial Narrow" w:hAnsi="Arial Narrow"/>
                <w:bCs/>
                <w:sz w:val="20"/>
                <w:szCs w:val="20"/>
              </w:rPr>
            </w:pPr>
            <w:r w:rsidRPr="00AB4EA5">
              <w:rPr>
                <w:rFonts w:ascii="Arial Narrow" w:hAnsi="Arial Narrow"/>
                <w:bCs/>
                <w:sz w:val="20"/>
                <w:szCs w:val="20"/>
              </w:rPr>
              <w:t>SDH associated renal cancer (risk for phaeochromocytoma and paraganglioma)</w:t>
            </w:r>
          </w:p>
          <w:p w14:paraId="3DCD02CE" w14:textId="77777777" w:rsidR="006224B0" w:rsidRPr="00AB4EA5" w:rsidRDefault="006224B0" w:rsidP="008B34D8">
            <w:pPr>
              <w:pStyle w:val="ListParagraph"/>
              <w:numPr>
                <w:ilvl w:val="0"/>
                <w:numId w:val="26"/>
              </w:numPr>
              <w:spacing w:before="0"/>
              <w:rPr>
                <w:rFonts w:ascii="Arial Narrow" w:hAnsi="Arial Narrow"/>
                <w:bCs/>
                <w:sz w:val="20"/>
                <w:szCs w:val="20"/>
              </w:rPr>
            </w:pPr>
            <w:r w:rsidRPr="00AB4EA5">
              <w:rPr>
                <w:rFonts w:ascii="Arial Narrow" w:hAnsi="Arial Narrow"/>
                <w:bCs/>
                <w:sz w:val="20"/>
                <w:szCs w:val="20"/>
              </w:rPr>
              <w:t xml:space="preserve">Familial clear renal cell carcinoma with chromosome 3 translocation, or </w:t>
            </w:r>
          </w:p>
          <w:p w14:paraId="7CF1676F" w14:textId="77777777" w:rsidR="006224B0" w:rsidRPr="00AB4EA5" w:rsidRDefault="006224B0" w:rsidP="008B34D8">
            <w:pPr>
              <w:pStyle w:val="ListParagraph"/>
              <w:numPr>
                <w:ilvl w:val="0"/>
                <w:numId w:val="26"/>
              </w:numPr>
              <w:spacing w:before="0"/>
              <w:rPr>
                <w:rFonts w:ascii="Arial Narrow" w:hAnsi="Arial Narrow"/>
                <w:bCs/>
                <w:i/>
                <w:iCs/>
                <w:sz w:val="20"/>
                <w:szCs w:val="20"/>
              </w:rPr>
            </w:pPr>
            <w:r w:rsidRPr="00AB4EA5">
              <w:rPr>
                <w:rFonts w:ascii="Arial Narrow" w:hAnsi="Arial Narrow"/>
                <w:bCs/>
                <w:sz w:val="20"/>
                <w:szCs w:val="20"/>
              </w:rPr>
              <w:t>other rare genetic disorders associated with the increased risk of developing renal tumours.</w:t>
            </w:r>
          </w:p>
        </w:tc>
      </w:tr>
    </w:tbl>
    <w:p w14:paraId="03E2441C" w14:textId="77777777" w:rsidR="006224B0" w:rsidRDefault="006224B0" w:rsidP="00144C76">
      <w:pPr>
        <w:spacing w:before="240"/>
      </w:pPr>
      <w:r>
        <w:t xml:space="preserve">ESC noted that the current clinical management algorithm for screening the populations is highly variable; there are differing guidelines for the different groups and they currently all use a combination of MRI, computed tomography (CT) scanning and ultrasound (US) across differing periodic surveillance (dependent on the condition). ESC noted that abdominal US (MBS item </w:t>
      </w:r>
      <w:r>
        <w:lastRenderedPageBreak/>
        <w:t>55036) is an inexpensive and safe methodology that is readily accessible and suitable for initial imaging of the kidneys, especially in children, to determine the presence of any cystic or solid lesions. Although US was a comparator in the PICO Confirmation ratified by PASC, ESC considered that MBS funding of abdominal MRI is very unlikely to affect the current use of US. But, where confirmatory imaging is required after an US, ESC considered that the test would most likely be MRI instead of CT.</w:t>
      </w:r>
      <w:r w:rsidRPr="00975B67">
        <w:t xml:space="preserve"> </w:t>
      </w:r>
      <w:r>
        <w:t>ESC concluded that abdominal MRI is likely to replace CT but not US in clinical practice</w:t>
      </w:r>
      <w:r w:rsidRPr="0009331F">
        <w:t>. </w:t>
      </w:r>
      <w:r>
        <w:t>  </w:t>
      </w:r>
    </w:p>
    <w:p w14:paraId="1A5BA291" w14:textId="77777777" w:rsidR="006224B0" w:rsidRDefault="006224B0" w:rsidP="006224B0">
      <w:pPr>
        <w:pStyle w:val="NormalBeforeBullet0"/>
      </w:pPr>
      <w:r>
        <w:t>The clinical claim made by the applicants is that the use of abdominal MRI is:</w:t>
      </w:r>
    </w:p>
    <w:p w14:paraId="48785796" w14:textId="77777777" w:rsidR="006224B0" w:rsidRDefault="006224B0" w:rsidP="006224B0">
      <w:pPr>
        <w:pStyle w:val="BulletLast"/>
        <w:numPr>
          <w:ilvl w:val="0"/>
          <w:numId w:val="24"/>
        </w:numPr>
      </w:pPr>
      <w:r>
        <w:t>superior in terms of safety as it is associated with decreased adverse effects compared to CT</w:t>
      </w:r>
    </w:p>
    <w:p w14:paraId="4BC4F733" w14:textId="77777777" w:rsidR="006224B0" w:rsidRDefault="006224B0" w:rsidP="006224B0">
      <w:pPr>
        <w:pStyle w:val="BulletLast"/>
        <w:numPr>
          <w:ilvl w:val="0"/>
          <w:numId w:val="24"/>
        </w:numPr>
      </w:pPr>
      <w:r>
        <w:t xml:space="preserve">superior in terms of effectiveness as it provides an overall benefit in mortality through reduction in catastrophic bleeding from </w:t>
      </w:r>
      <w:proofErr w:type="spellStart"/>
      <w:r>
        <w:t>angiomyolipomas</w:t>
      </w:r>
      <w:proofErr w:type="spellEnd"/>
      <w:r>
        <w:t xml:space="preserve"> (AMLs) and improved outcomes from malignant tumours through early diagnosis.</w:t>
      </w:r>
    </w:p>
    <w:p w14:paraId="5E4C33F8" w14:textId="77777777" w:rsidR="006224B0" w:rsidRDefault="006224B0" w:rsidP="006224B0">
      <w:r>
        <w:t xml:space="preserve">ESC noted that the clinical evidence for population 1 was from 23 studies and 2 systematic reviews for assessing MRI accuracy in detecting renal tumours compared to US or CT. For population 2, the evidence was from two studies that compared MRI to CT, but no studies were found that compared MRI and US. No studies were identified that assessed the change in clinical management for MRI compared with either US or CT for either population. </w:t>
      </w:r>
      <w:r w:rsidRPr="0026510E">
        <w:t xml:space="preserve">There was </w:t>
      </w:r>
      <w:r>
        <w:t xml:space="preserve">also </w:t>
      </w:r>
      <w:r w:rsidRPr="0026510E">
        <w:t>insufficient evidence to</w:t>
      </w:r>
      <w:r>
        <w:t xml:space="preserve"> draw</w:t>
      </w:r>
      <w:r w:rsidRPr="0026510E">
        <w:t xml:space="preserve"> any conclusions on the comparative accuracy of MRI and US</w:t>
      </w:r>
      <w:r>
        <w:t xml:space="preserve">. </w:t>
      </w:r>
    </w:p>
    <w:p w14:paraId="2C72A622" w14:textId="16562E09" w:rsidR="006224B0" w:rsidRDefault="006224B0" w:rsidP="006224B0">
      <w:r>
        <w:t xml:space="preserve">As no comparative safety studies were identified, ESC noted that general safety information related to the three imaging modalities (MRI, </w:t>
      </w:r>
      <w:proofErr w:type="gramStart"/>
      <w:r>
        <w:t>CT</w:t>
      </w:r>
      <w:proofErr w:type="gramEnd"/>
      <w:r>
        <w:t xml:space="preserve"> and US), including information from authoritative information websites and clinical guidelines, and the results of an additional, non-systematic literature search, were considered instead. ESC noted that there is a known risk of radiation exposure with CT. ESC also noted that there are known risks associated with the contrast agents used for both MRI and CT, although the risk is low (</w:t>
      </w:r>
      <w:proofErr w:type="gramStart"/>
      <w:r>
        <w:t>in particular with</w:t>
      </w:r>
      <w:proofErr w:type="gramEnd"/>
      <w:r>
        <w:t xml:space="preserve"> MRI). However, ESC noted that patients with kidney disease are at greater risk of harm from iodine-containing contrast used for CT. The contrast media can temporarily worsen kidney function in patients with existing severely impaired kidney function. Occasionally, the damage can be prolonged and may require treatment with dialysis. ESC considered that, since the target populations are more likely to have renal disease than the general population, these safety concerns are relevant. ESC also noted that it is standard practice for all patients at risk of kidney disease who are undergoing CT or MRI to have their kidney function assessed by their clinician prior to receiving contrast. ESC considered that MRI likely has superior safety to </w:t>
      </w:r>
      <w:proofErr w:type="gramStart"/>
      <w:r>
        <w:t>CT, and</w:t>
      </w:r>
      <w:proofErr w:type="gramEnd"/>
      <w:r>
        <w:t xml:space="preserve"> noted that clinicians are recommending MRI for patients in preference to CTs. </w:t>
      </w:r>
    </w:p>
    <w:p w14:paraId="455C358D" w14:textId="77777777" w:rsidR="006224B0" w:rsidRDefault="006224B0" w:rsidP="006224B0">
      <w:r>
        <w:t xml:space="preserve">For population 1, ESC noted the pre-ESC response, in which the applicant stated that some evidence of superiority for MRI does exist for specific circumstances, particularly in the assessment of fat-poor AMLs (with </w:t>
      </w:r>
      <w:r w:rsidRPr="00D1072A">
        <w:t>diffusion weighted magnetic resonance imaging</w:t>
      </w:r>
      <w:r>
        <w:t>). In clinical practice, these differences in AMLs help avoid the need for biopsy or surgical intervention.</w:t>
      </w:r>
      <w:r>
        <w:rPr>
          <w:rStyle w:val="FootnoteReference"/>
        </w:rPr>
        <w:footnoteReference w:id="4"/>
      </w:r>
      <w:r>
        <w:t xml:space="preserve"> However, overall ESC considered that the evidence did not show a significant difference in the accuracy of MRI, either with or without contrast, compared to CT in imaging AMLs and renal cell carcinomas (RCCs). As noted previously, there was also insufficient evidence to draw any conclusions on change in clinical management for MRI compared with either US or CT. As the diagnostic accuracy of MRI was noninferior to CT, ESC considered that only a small number of patients would be expected to have a change in diagnosis leading to a change of management with respect to RCC or AML at risk of causing complications. Thus, ESC considered that the impact of MRI over CT or US on the clinical management of patients with the exemplar </w:t>
      </w:r>
      <w:r>
        <w:lastRenderedPageBreak/>
        <w:t>syndromes of tuberous sclerosis complex (TSC) or Von Hippel-Lindau disease (VHL) and associated health outcomes to be uncertain. </w:t>
      </w:r>
    </w:p>
    <w:p w14:paraId="7D7F3BD5" w14:textId="77777777" w:rsidR="006224B0" w:rsidRDefault="006224B0" w:rsidP="006224B0">
      <w:r>
        <w:t>Similarly for population 2, ESC considered that t</w:t>
      </w:r>
      <w:r w:rsidRPr="00A82CC8">
        <w:t xml:space="preserve">he small volume of evidence on the use of MRI for monitoring changes to renal tumours over time was considered insufficient to </w:t>
      </w:r>
      <w:r>
        <w:t>draw</w:t>
      </w:r>
      <w:r w:rsidRPr="00A82CC8">
        <w:t xml:space="preserve"> any conclusions on the comparative effectiveness of one imaging modality compared over another</w:t>
      </w:r>
      <w:r>
        <w:t>.</w:t>
      </w:r>
    </w:p>
    <w:p w14:paraId="152763E0" w14:textId="77777777" w:rsidR="006224B0" w:rsidRDefault="006224B0" w:rsidP="006224B0">
      <w:r>
        <w:t>Overall, ESC therefore considered that the claim of superior effectiveness of MRI compared to US or CT was not met. However, ESC recognised that information from authoritative websites and clinical guidelines, and evidence from five studies found in an additional, non-systematic literature search, supported the claim of superior safety of abdominal MRI compared with abdominal CT. </w:t>
      </w:r>
    </w:p>
    <w:p w14:paraId="232F47D7" w14:textId="77777777" w:rsidR="006224B0" w:rsidRDefault="006224B0" w:rsidP="006224B0">
      <w:r>
        <w:t>ESC noted that as n</w:t>
      </w:r>
      <w:r w:rsidRPr="008D6A7D">
        <w:t>o comparative evidence was found related to the proposed use of abdominal MRI versus CT scan for the assessment of response to treatment or tumour growth</w:t>
      </w:r>
      <w:r>
        <w:t xml:space="preserve">, the economic evaluation did not extend to population 2 but only considered population 1. ESC also noted that due to the sparseness of evidence using the two exemplar conditions (TSC and VHL) US was not included as a comparator in the economic evaluation. ESC considered that these two limitations in the economic modelling </w:t>
      </w:r>
      <w:proofErr w:type="gramStart"/>
      <w:r>
        <w:t>in light of</w:t>
      </w:r>
      <w:proofErr w:type="gramEnd"/>
      <w:r>
        <w:t xml:space="preserve"> the sparseness of evidence were reasonable.</w:t>
      </w:r>
    </w:p>
    <w:p w14:paraId="67E3D72C" w14:textId="77777777" w:rsidR="006224B0" w:rsidRDefault="006224B0" w:rsidP="006224B0">
      <w:r>
        <w:t xml:space="preserve">For population 1, the economic evaluation was a cost-effectiveness analysis with a Markov model which relied on the superior safety claim of MRI when compared to CT, due to a reduced exposure to ionising radiation associated with CT scans. This resulted in an ICER outcome that estimated the cost per radiation-induced cancer avoided. </w:t>
      </w:r>
    </w:p>
    <w:p w14:paraId="2AC2AB8C" w14:textId="77777777" w:rsidR="006224B0" w:rsidRDefault="006224B0" w:rsidP="006224B0">
      <w:r>
        <w:t xml:space="preserve">ESC noted that the economic model </w:t>
      </w:r>
      <w:r w:rsidRPr="0061494D">
        <w:t>compare</w:t>
      </w:r>
      <w:r>
        <w:t>d</w:t>
      </w:r>
      <w:r w:rsidRPr="0061494D">
        <w:t xml:space="preserve"> the scenarios where lifetime active surveillance is performed using abdominal MRI, to </w:t>
      </w:r>
      <w:r>
        <w:t xml:space="preserve">scenarios </w:t>
      </w:r>
      <w:r w:rsidRPr="0061494D">
        <w:t xml:space="preserve">where CT </w:t>
      </w:r>
      <w:r>
        <w:t>imaging</w:t>
      </w:r>
      <w:r w:rsidRPr="0061494D">
        <w:t xml:space="preserve"> is used</w:t>
      </w:r>
      <w:r>
        <w:t xml:space="preserve"> and a</w:t>
      </w:r>
      <w:r w:rsidRPr="0061494D">
        <w:t>ssumed that the average rate of surveillance is one imaging scan every 24 months</w:t>
      </w:r>
      <w:r>
        <w:t>. The r</w:t>
      </w:r>
      <w:r w:rsidRPr="0061494D">
        <w:t xml:space="preserve">isk associated with the exposure to ionising radiation with CT scans is included as </w:t>
      </w:r>
      <w:r>
        <w:t xml:space="preserve">the </w:t>
      </w:r>
      <w:r w:rsidRPr="0061494D">
        <w:t>incidence of radiation-induced cancer in the model</w:t>
      </w:r>
      <w:r>
        <w:t xml:space="preserve"> (for MRI this exposure is assumed to be zero). ESC noted that the model estimated this e</w:t>
      </w:r>
      <w:r w:rsidRPr="0061494D">
        <w:t>xcess cancer risk associated with the cumulative radiation exposure</w:t>
      </w:r>
      <w:r>
        <w:t xml:space="preserve"> from CT imaging based on an incidence rate ratio (IRR) for those exposed versus unexposed to CT imaging as reported by Mathews (2013)</w:t>
      </w:r>
      <w:r>
        <w:rPr>
          <w:rStyle w:val="FootnoteReference"/>
        </w:rPr>
        <w:footnoteReference w:id="5"/>
      </w:r>
      <w:r>
        <w:t>. ESC queried whether the imaging techniques in this study reflected contemporary CT practice which lowers radiation dose with iterative reconstruction methods.</w:t>
      </w:r>
    </w:p>
    <w:p w14:paraId="093BD74E" w14:textId="77777777" w:rsidR="006224B0" w:rsidRDefault="006224B0" w:rsidP="006224B0">
      <w:r>
        <w:t xml:space="preserve">The base case was generated by a stepped evaluation, with two health states – alive or dead from radiation-induced cancer – over a 50-year time horizon. ESC noted that the model generated a base case incremental cost-effectiveness ratio (ICER) of $61,888 per radiation-induced cancer avoided. </w:t>
      </w:r>
    </w:p>
    <w:p w14:paraId="57BF7CB6" w14:textId="77777777" w:rsidR="006224B0" w:rsidRDefault="006224B0" w:rsidP="006224B0">
      <w:r>
        <w:t>ESC considered the approach used to estimate e</w:t>
      </w:r>
      <w:r w:rsidRPr="0061494D">
        <w:t>xcess cancer risk associated with the cumulative radiation exposure</w:t>
      </w:r>
      <w:r>
        <w:t xml:space="preserve"> from CT imaging may result in an underestimate because radiation dose, age or gender were not considered, but relies on the incidence rate ratio (IRR) derived from one study. ESC noted that the model used an entry age of 20 years, which it considered to be too high</w:t>
      </w:r>
      <w:r w:rsidRPr="00165416">
        <w:t xml:space="preserve"> </w:t>
      </w:r>
      <w:r>
        <w:t xml:space="preserve">given that </w:t>
      </w:r>
      <w:r w:rsidRPr="00165416">
        <w:t>surveillance guidelines recommend starting surveillance at an earlier age. Specifying a lower starting age in the model will have significant impact on radiosensitivity and therefore a larger impact on cancers averted by switching to MRI.</w:t>
      </w:r>
    </w:p>
    <w:p w14:paraId="682046DA" w14:textId="77777777" w:rsidR="006224B0" w:rsidRDefault="006224B0" w:rsidP="006224B0">
      <w:r>
        <w:lastRenderedPageBreak/>
        <w:t>ESC considered that a biological effects of ionising radiation (BEIR) VII coefficient estimates approach</w:t>
      </w:r>
      <w:r>
        <w:rPr>
          <w:rStyle w:val="FootnoteReference"/>
        </w:rPr>
        <w:footnoteReference w:id="6"/>
      </w:r>
      <w:r>
        <w:t xml:space="preserve"> would have been a more appropriate means of estimating excess cancer risk associated with cumulative radiation exposure as this method can determine the number of cancers directly attributable to a single abdominal or pelvic CT scan for males and females, by age at scan, as well as differentiate by organ, to determine excess cancers. This approach demonstrates a significant increase in cancers when CT scanning is initiated at younger ages. ESC acknowledged this approach would have been more complicated but more </w:t>
      </w:r>
      <w:proofErr w:type="gramStart"/>
      <w:r>
        <w:t>accurate, and</w:t>
      </w:r>
      <w:proofErr w:type="gramEnd"/>
      <w:r>
        <w:t xml:space="preserve"> considered that the approach used in the Department-contracted assessment report (DCAR) potentially underestimated the risk of cancers. ESC noted that the BEIR VII method was extensively used in the literature. For </w:t>
      </w:r>
      <w:proofErr w:type="gramStart"/>
      <w:r>
        <w:t>example</w:t>
      </w:r>
      <w:proofErr w:type="gramEnd"/>
      <w:r>
        <w:t xml:space="preserve"> ESC noted that in Kang et al. (2014)</w:t>
      </w:r>
      <w:r>
        <w:rPr>
          <w:rStyle w:val="FootnoteReference"/>
        </w:rPr>
        <w:footnoteReference w:id="7"/>
      </w:r>
      <w:r>
        <w:t xml:space="preserve"> an organ-specific radiation-risk model based on BEIR VII methods was used to determine life expectancy losses attributable to radiation-induced cancers in hypothetical patients undergoing CT versus MRI surveillance of </w:t>
      </w:r>
      <w:proofErr w:type="spellStart"/>
      <w:r>
        <w:t>Bosniak</w:t>
      </w:r>
      <w:proofErr w:type="spellEnd"/>
      <w:r>
        <w:t xml:space="preserve"> IIF lesions for up to 5 years, accounting for potential lesion progression and treatment. This model had more states than the DCAR model. However, ESC acknowledged that developing a more complex model was unnecessary as it would be unlikely to change the interpretation of the ICER.</w:t>
      </w:r>
    </w:p>
    <w:p w14:paraId="394B1940" w14:textId="77777777" w:rsidR="006224B0" w:rsidRDefault="006224B0" w:rsidP="006224B0">
      <w:r>
        <w:t>ESC noted that other features of the model were:</w:t>
      </w:r>
    </w:p>
    <w:p w14:paraId="11146FFD" w14:textId="77777777" w:rsidR="006224B0" w:rsidRDefault="006224B0" w:rsidP="006224B0">
      <w:pPr>
        <w:pStyle w:val="ListParagraph"/>
        <w:numPr>
          <w:ilvl w:val="0"/>
          <w:numId w:val="25"/>
        </w:numPr>
      </w:pPr>
      <w:r>
        <w:t xml:space="preserve">diagnostic accuracy of the two forms of imaging was not included in the base case given the evidence found no </w:t>
      </w:r>
      <w:r w:rsidRPr="003D2A73">
        <w:t>conclusive difference in the accuracy of MRI compared to CT at imaging AMLs and RCCs</w:t>
      </w:r>
    </w:p>
    <w:p w14:paraId="5818F82D" w14:textId="77777777" w:rsidR="006224B0" w:rsidRDefault="006224B0" w:rsidP="006224B0">
      <w:pPr>
        <w:pStyle w:val="ListParagraph"/>
        <w:numPr>
          <w:ilvl w:val="0"/>
          <w:numId w:val="25"/>
        </w:numPr>
      </w:pPr>
      <w:r>
        <w:t>p</w:t>
      </w:r>
      <w:r w:rsidRPr="003D2A73">
        <w:t>atients</w:t>
      </w:r>
      <w:r>
        <w:t xml:space="preserve"> were assumed to </w:t>
      </w:r>
      <w:proofErr w:type="gramStart"/>
      <w:r>
        <w:t>be</w:t>
      </w:r>
      <w:r w:rsidRPr="003D2A73">
        <w:t xml:space="preserve"> susceptible to death from background and disease-specific causes at all times</w:t>
      </w:r>
      <w:proofErr w:type="gramEnd"/>
      <w:r>
        <w:t xml:space="preserve"> which ESC considered to be appropriate</w:t>
      </w:r>
    </w:p>
    <w:p w14:paraId="50F5CA30" w14:textId="77777777" w:rsidR="006224B0" w:rsidRDefault="006224B0" w:rsidP="006224B0">
      <w:pPr>
        <w:pStyle w:val="ListParagraph"/>
        <w:numPr>
          <w:ilvl w:val="0"/>
          <w:numId w:val="25"/>
        </w:numPr>
      </w:pPr>
      <w:r>
        <w:t>p</w:t>
      </w:r>
      <w:r w:rsidRPr="003D2A73">
        <w:t xml:space="preserve">rior investigations </w:t>
      </w:r>
      <w:r>
        <w:t xml:space="preserve">were assumed to be the </w:t>
      </w:r>
      <w:r w:rsidRPr="003D2A73">
        <w:t>same irrespective of the diagnostic pathway chosen</w:t>
      </w:r>
      <w:r>
        <w:t xml:space="preserve"> in the base case</w:t>
      </w:r>
    </w:p>
    <w:p w14:paraId="005A663D" w14:textId="77777777" w:rsidR="006224B0" w:rsidRDefault="006224B0" w:rsidP="006224B0">
      <w:r>
        <w:t xml:space="preserve">ESC also noted that in the model, CT-exposed patients were </w:t>
      </w:r>
      <w:r w:rsidRPr="008F3D1B">
        <w:t xml:space="preserve">assumed to incur a one-off excess healthcare cost of $46,346 associated with </w:t>
      </w:r>
      <w:r>
        <w:t xml:space="preserve">radiation induced cancers in the first year of imaging based on the </w:t>
      </w:r>
      <w:r w:rsidRPr="008F3D1B">
        <w:t>average cost for</w:t>
      </w:r>
      <w:r>
        <w:t xml:space="preserve"> the</w:t>
      </w:r>
      <w:r w:rsidRPr="008F3D1B">
        <w:t xml:space="preserve"> initial phase</w:t>
      </w:r>
      <w:r>
        <w:t xml:space="preserve"> of cancer</w:t>
      </w:r>
      <w:r w:rsidRPr="008F3D1B">
        <w:t xml:space="preserve"> reported by </w:t>
      </w:r>
      <w:proofErr w:type="spellStart"/>
      <w:r w:rsidRPr="008F3D1B">
        <w:t>Goldsbury</w:t>
      </w:r>
      <w:proofErr w:type="spellEnd"/>
      <w:r w:rsidRPr="008F3D1B">
        <w:t xml:space="preserve"> et al. (2018</w:t>
      </w:r>
      <w:r>
        <w:t>)</w:t>
      </w:r>
      <w:r>
        <w:rPr>
          <w:rStyle w:val="FootnoteReference"/>
        </w:rPr>
        <w:footnoteReference w:id="8"/>
      </w:r>
      <w:r>
        <w:t>. ESC noted that there were problems associated with this one-off excess healthcare cost as it did not allow for:</w:t>
      </w:r>
    </w:p>
    <w:p w14:paraId="2710DAA0" w14:textId="77777777" w:rsidR="006224B0" w:rsidRDefault="006224B0" w:rsidP="006224B0">
      <w:pPr>
        <w:pStyle w:val="ListParagraph"/>
        <w:numPr>
          <w:ilvl w:val="0"/>
          <w:numId w:val="25"/>
        </w:numPr>
      </w:pPr>
      <w:r>
        <w:t>D</w:t>
      </w:r>
      <w:r w:rsidRPr="008F3D1B">
        <w:t>ifferentiation in phase of care phase (initial, continuing, terminal</w:t>
      </w:r>
      <w:r>
        <w:t>)</w:t>
      </w:r>
    </w:p>
    <w:p w14:paraId="4C9FE2E6" w14:textId="77777777" w:rsidR="006224B0" w:rsidRDefault="006224B0" w:rsidP="006224B0">
      <w:pPr>
        <w:pStyle w:val="ListParagraph"/>
        <w:numPr>
          <w:ilvl w:val="0"/>
          <w:numId w:val="25"/>
        </w:numPr>
      </w:pPr>
      <w:r>
        <w:t>Radiation induced cancers in subsequent years of imaging</w:t>
      </w:r>
    </w:p>
    <w:p w14:paraId="2CD07151" w14:textId="77777777" w:rsidR="006224B0" w:rsidRDefault="006224B0" w:rsidP="006224B0">
      <w:pPr>
        <w:pStyle w:val="ListParagraph"/>
        <w:numPr>
          <w:ilvl w:val="0"/>
          <w:numId w:val="25"/>
        </w:numPr>
      </w:pPr>
      <w:r>
        <w:t>D</w:t>
      </w:r>
      <w:r w:rsidRPr="00180658">
        <w:t>ifferentiation by type of cancer</w:t>
      </w:r>
      <w:r>
        <w:t xml:space="preserve"> (</w:t>
      </w:r>
      <w:proofErr w:type="spellStart"/>
      <w:r w:rsidRPr="00147787">
        <w:t>Goldsbury</w:t>
      </w:r>
      <w:proofErr w:type="spellEnd"/>
      <w:r w:rsidRPr="00147787">
        <w:t xml:space="preserve"> reported considerable variation by cancer type (range: $9,708–$66,316 2021 AUD)</w:t>
      </w:r>
      <w:r>
        <w:t>).</w:t>
      </w:r>
    </w:p>
    <w:p w14:paraId="5397E925" w14:textId="7529AA21" w:rsidR="006224B0" w:rsidRDefault="006224B0" w:rsidP="006224B0">
      <w:proofErr w:type="gramStart"/>
      <w:r>
        <w:t>However</w:t>
      </w:r>
      <w:proofErr w:type="gramEnd"/>
      <w:r>
        <w:t xml:space="preserve"> ESC questioned the inclusion of the excess healthcare cost associated with radiation-induced cancer in the ICER estimate as a cost which was avoided in the MRI arm of the model leading to a lower cost being reported in the numerator of the ICER. ESC’s concern was motivated by the framing of the ICER measure in the model </w:t>
      </w:r>
      <w:proofErr w:type="gramStart"/>
      <w:r>
        <w:t>as ”cost</w:t>
      </w:r>
      <w:proofErr w:type="gramEnd"/>
      <w:r>
        <w:t xml:space="preserve"> per radiation-induced cancer avoided” as ESC considered whether ‘radiation-induced cancer avoided’ should be an event bundle inclusive of all resource costs associated with the cancer as well as the health outcomes of the cancer or just the health outcomes. ESC considered that if ‘radiation-induced cancer avoided’ was defined to be inclusive of resource costs as well as health outcomes then it should </w:t>
      </w:r>
      <w:r>
        <w:lastRenderedPageBreak/>
        <w:t xml:space="preserve">be inclusive of excess healthcare costs, which therefore should not be treated as a cost avoided </w:t>
      </w:r>
      <w:proofErr w:type="gramStart"/>
      <w:r>
        <w:t>by the use of</w:t>
      </w:r>
      <w:proofErr w:type="gramEnd"/>
      <w:r>
        <w:t xml:space="preserve"> MRI, creating a cost offset in the ICER’s numerator.</w:t>
      </w:r>
    </w:p>
    <w:tbl>
      <w:tblPr>
        <w:tblStyle w:val="TableGrid"/>
        <w:tblW w:w="0" w:type="auto"/>
        <w:tblLook w:val="04A0" w:firstRow="1" w:lastRow="0" w:firstColumn="1" w:lastColumn="0" w:noHBand="0" w:noVBand="1"/>
      </w:tblPr>
      <w:tblGrid>
        <w:gridCol w:w="9016"/>
      </w:tblGrid>
      <w:tr w:rsidR="006224B0" w14:paraId="4EF1FC97" w14:textId="77777777" w:rsidTr="008B34D8">
        <w:tc>
          <w:tcPr>
            <w:tcW w:w="9016" w:type="dxa"/>
          </w:tcPr>
          <w:p w14:paraId="00A8819B" w14:textId="77777777" w:rsidR="001A76A4" w:rsidRDefault="006224B0" w:rsidP="008B34D8">
            <w:pPr>
              <w:spacing w:after="120"/>
            </w:pPr>
            <w:r>
              <w:t xml:space="preserve">Note: </w:t>
            </w:r>
          </w:p>
          <w:p w14:paraId="05D81D8A" w14:textId="04DCD309" w:rsidR="006224B0" w:rsidRDefault="001A76A4" w:rsidP="008B34D8">
            <w:pPr>
              <w:spacing w:after="120"/>
            </w:pPr>
            <w:r w:rsidRPr="00891A92">
              <w:rPr>
                <w:i/>
                <w:iCs/>
              </w:rPr>
              <w:t xml:space="preserve">In line with MSAC advice </w:t>
            </w:r>
            <w:r w:rsidR="007804A5" w:rsidRPr="00891A92">
              <w:rPr>
                <w:i/>
                <w:iCs/>
              </w:rPr>
              <w:t>this section has been amended</w:t>
            </w:r>
            <w:r w:rsidR="00205135">
              <w:rPr>
                <w:i/>
                <w:iCs/>
              </w:rPr>
              <w:t xml:space="preserve">. The details of the reanalysis </w:t>
            </w:r>
            <w:r w:rsidR="00414418">
              <w:rPr>
                <w:i/>
                <w:iCs/>
              </w:rPr>
              <w:t xml:space="preserve">requested by ESC </w:t>
            </w:r>
            <w:r w:rsidR="00EE111A">
              <w:rPr>
                <w:i/>
                <w:iCs/>
              </w:rPr>
              <w:t xml:space="preserve">originally </w:t>
            </w:r>
            <w:r w:rsidR="00205135">
              <w:rPr>
                <w:i/>
                <w:iCs/>
              </w:rPr>
              <w:t>described</w:t>
            </w:r>
            <w:r w:rsidR="007804A5" w:rsidRPr="00891A92">
              <w:rPr>
                <w:i/>
                <w:iCs/>
              </w:rPr>
              <w:t xml:space="preserve"> in this box </w:t>
            </w:r>
            <w:r w:rsidR="008243B9">
              <w:rPr>
                <w:i/>
                <w:iCs/>
              </w:rPr>
              <w:t>including an</w:t>
            </w:r>
            <w:r w:rsidR="007804A5" w:rsidRPr="00891A92">
              <w:rPr>
                <w:i/>
                <w:iCs/>
              </w:rPr>
              <w:t xml:space="preserve"> Attachment </w:t>
            </w:r>
            <w:r w:rsidR="008243B9">
              <w:rPr>
                <w:i/>
                <w:iCs/>
              </w:rPr>
              <w:t>have been removed and have been incorporated into Section 1</w:t>
            </w:r>
            <w:r w:rsidR="00FA3BBD">
              <w:rPr>
                <w:i/>
                <w:iCs/>
              </w:rPr>
              <w:t>3</w:t>
            </w:r>
            <w:r w:rsidR="008243B9">
              <w:rPr>
                <w:i/>
                <w:iCs/>
              </w:rPr>
              <w:t xml:space="preserve"> of this document</w:t>
            </w:r>
            <w:r w:rsidR="007804A5" w:rsidRPr="00891A92">
              <w:rPr>
                <w:i/>
                <w:iCs/>
              </w:rPr>
              <w:t xml:space="preserve">. </w:t>
            </w:r>
          </w:p>
        </w:tc>
      </w:tr>
    </w:tbl>
    <w:p w14:paraId="3474154E" w14:textId="639A430D" w:rsidR="006224B0" w:rsidRDefault="006224B0" w:rsidP="00ED2C3A">
      <w:pPr>
        <w:spacing w:before="240"/>
      </w:pPr>
      <w:r>
        <w:t>ESC noted that t</w:t>
      </w:r>
      <w:r w:rsidRPr="00DA728F">
        <w:t xml:space="preserve">he results of the model are very sensitive to the modelled time horizon and discounting as the costs and outcomes associated with the radiation induced cancers are over a lifetime and a shorter time horizon cannot </w:t>
      </w:r>
      <w:r>
        <w:t>capture the impacts of these cancers adequately.</w:t>
      </w:r>
      <w:r w:rsidRPr="00DA728F">
        <w:t xml:space="preserve"> </w:t>
      </w:r>
      <w:r>
        <w:t xml:space="preserve">For </w:t>
      </w:r>
      <w:proofErr w:type="gramStart"/>
      <w:r>
        <w:t>example</w:t>
      </w:r>
      <w:proofErr w:type="gramEnd"/>
      <w:r>
        <w:t xml:space="preserve"> ESC noted that a reduction in the time horizon to 20 years led to a much higher ICER of $574,263 while a 0% discount rate led to MRI dominating CT. </w:t>
      </w:r>
      <w:r w:rsidRPr="00DA728F">
        <w:t>This is because excess cancer risk and costs are higher towards the later years due to increase</w:t>
      </w:r>
      <w:r>
        <w:t>s</w:t>
      </w:r>
      <w:r w:rsidRPr="00DA728F">
        <w:t xml:space="preserve"> in the cumulative dose of CT scan and lags in the dose-cancer induction</w:t>
      </w:r>
      <w:r>
        <w:t xml:space="preserve">. </w:t>
      </w:r>
    </w:p>
    <w:p w14:paraId="6462331E" w14:textId="77777777" w:rsidR="006224B0" w:rsidRDefault="006224B0" w:rsidP="006224B0">
      <w:r>
        <w:t xml:space="preserve">ESC noted the scenario analysis where imaging accuracy was included to differentiate malignant and benign RCCs, which produced a </w:t>
      </w:r>
      <w:proofErr w:type="gramStart"/>
      <w:r>
        <w:t>much reduced</w:t>
      </w:r>
      <w:proofErr w:type="gramEnd"/>
      <w:r>
        <w:t xml:space="preserve"> ICER of $25,690 per radiation-induced cancer avoided. This analysis integrates median values for sensitivity and specificity for CT and MRI and subsequent diagnostic and treatment costs (VHL as an exemplar). ESC noted that test performance estimates are from mixed sources and are imprecise, with overlapping confidence intervals; therefore, ESC considered these findings to be highly uncertain and should be interpreted with caution.</w:t>
      </w:r>
    </w:p>
    <w:p w14:paraId="264FE150" w14:textId="77777777" w:rsidR="006224B0" w:rsidRDefault="006224B0" w:rsidP="006224B0">
      <w:r>
        <w:t xml:space="preserve">ESC noted that, since there are no current usage data available for the comparator services due to the generic nature of the item for CT scans, an epidemiological approach was used to estimate the financial implications of funding the proposed MRI services.  The financial analysis assumed that routine screening </w:t>
      </w:r>
      <w:proofErr w:type="gramStart"/>
      <w:r>
        <w:t>will</w:t>
      </w:r>
      <w:proofErr w:type="gramEnd"/>
      <w:r>
        <w:t xml:space="preserve"> end by the time the patients turn 70 years of age. ESC considered that the assumptions underlying the financial analysis were reasonable and clearly justified. ESC noted that the current applicable greatest permissible gap (GPG) as of November 2022 was $93.20 which would result in an out-of-hospital benefit for the two proposed services of $544.05 ($637.25–$93.20) whereas the GPG applied in the base case in the DCAR was $87.90. The GPG is indexed annually in November and MRI services are indexed annually in July. However, due to the small population sizes, ESC considered that these changes will not significantly impact the financials. This was demonstrated in the DCAR’s sensitivity analysis which accounted for the current greatest permissible gap (GPG), resulting in the cost of MRI services to the MBS being $248,959 in Year 1 to $264,441 in Year 5 (see Table 16).</w:t>
      </w:r>
    </w:p>
    <w:p w14:paraId="6183849D" w14:textId="77777777" w:rsidR="006224B0" w:rsidRDefault="006224B0" w:rsidP="006224B0">
      <w:r>
        <w:t>ESC noted that contrast-enhanced ultrasound (CEUS) could address concerns about the intravenous contrast agent. CEUS is at least non-inferior and possibly superior to CT with contrast and MRI with contrast in terms of accurately diagnosing malignant versus benign renal lesions when compared to a histopathology reference standard. However, ESC noted that CEUS is not widely used in Australia due to a lack of availability of sonographers.</w:t>
      </w:r>
    </w:p>
    <w:p w14:paraId="0D8370FA" w14:textId="77777777" w:rsidR="006224B0" w:rsidRDefault="006224B0" w:rsidP="006224B0">
      <w:r>
        <w:t>ESC noted that the limited availability of MRI in some settings could lead to equity of access issues. ESC noted that the carbon footprint of MRI is greater than that for CT or US.</w:t>
      </w:r>
    </w:p>
    <w:p w14:paraId="0691D68E" w14:textId="77777777" w:rsidR="006224B0" w:rsidRDefault="006224B0" w:rsidP="006224B0">
      <w:r>
        <w:t>In addition, ESC noted that MSAC has previously considered and supported a similar MSAC application (</w:t>
      </w:r>
      <w:hyperlink r:id="rId12" w:history="1">
        <w:r>
          <w:rPr>
            <w:rStyle w:val="Hyperlink"/>
          </w:rPr>
          <w:t>PSD, Application</w:t>
        </w:r>
        <w:r>
          <w:rPr>
            <w:rStyle w:val="Hyperlink"/>
            <w:rFonts w:ascii="Arial" w:hAnsi="Arial" w:cs="Arial"/>
          </w:rPr>
          <w:t> </w:t>
        </w:r>
        <w:r>
          <w:rPr>
            <w:rStyle w:val="Hyperlink"/>
          </w:rPr>
          <w:t>1668</w:t>
        </w:r>
      </w:hyperlink>
      <w:r>
        <w:t>) for whole body MRI in individuals with 17p deletion syndrome in July 2022. At that time, MSAC had considered that, as there was a low availability of high-quality data due to the small patient population, an accurate estimate of cost-effectiveness was not possible. Greater weight was therefore placed on consideration of the international and domestic guidelines for management of the target population, and the relatively small and highly targeted financial impacts of the application.</w:t>
      </w:r>
    </w:p>
    <w:p w14:paraId="23E0ADC0" w14:textId="77777777" w:rsidR="00C47012" w:rsidRDefault="00C47012" w:rsidP="00C47012">
      <w:pPr>
        <w:pStyle w:val="Heading2"/>
        <w:numPr>
          <w:ilvl w:val="0"/>
          <w:numId w:val="0"/>
        </w:numPr>
      </w:pPr>
      <w:r>
        <w:lastRenderedPageBreak/>
        <w:t>17.</w:t>
      </w:r>
      <w:r>
        <w:tab/>
        <w:t>Applicant comments on MSAC’s Public Summary Document</w:t>
      </w:r>
    </w:p>
    <w:p w14:paraId="7D766002" w14:textId="48DE1EA1" w:rsidR="008F2C37" w:rsidRPr="00144C76" w:rsidRDefault="00E21BD4" w:rsidP="008F2C37">
      <w:pPr>
        <w:spacing w:after="240"/>
        <w:rPr>
          <w:szCs w:val="24"/>
        </w:rPr>
      </w:pPr>
      <w:r w:rsidRPr="00144C76">
        <w:t>We are pleased with the outcome of this application and the recognition of the challenges for Australians living with a rare disease.  The outcome will make a positive difference for families living with these rare and ultra-rare conditions and the approach of the Committee in responding to nature of rare conditions is welcomed</w:t>
      </w:r>
      <w:r>
        <w:t>.</w:t>
      </w:r>
    </w:p>
    <w:p w14:paraId="414E34F2" w14:textId="77777777" w:rsidR="00C47012" w:rsidRDefault="00C47012" w:rsidP="00C47012">
      <w:pPr>
        <w:pStyle w:val="Heading2"/>
        <w:numPr>
          <w:ilvl w:val="0"/>
          <w:numId w:val="0"/>
        </w:numPr>
      </w:pPr>
      <w:r>
        <w:t>18.</w:t>
      </w:r>
      <w:r>
        <w:tab/>
        <w:t>Further information on MSAC</w:t>
      </w:r>
    </w:p>
    <w:p w14:paraId="2F567383" w14:textId="7171AED3" w:rsidR="004008AF" w:rsidRPr="00144C76" w:rsidRDefault="00C47012" w:rsidP="00144C76">
      <w:pPr>
        <w:pStyle w:val="BodyText"/>
        <w:rPr>
          <w:rFonts w:ascii="Franklin Gothic Book" w:hAnsi="Franklin Gothic Book" w:cs="Times New Roman"/>
          <w:b w:val="0"/>
          <w:bCs/>
          <w:i w:val="0"/>
          <w:iCs/>
          <w:sz w:val="22"/>
        </w:rPr>
      </w:pPr>
      <w:r w:rsidRPr="00F309FA">
        <w:rPr>
          <w:rFonts w:ascii="Franklin Gothic Book" w:hAnsi="Franklin Gothic Book"/>
          <w:b w:val="0"/>
          <w:bCs/>
          <w:i w:val="0"/>
          <w:iCs/>
          <w:sz w:val="22"/>
        </w:rPr>
        <w:t xml:space="preserve">MSAC Terms of Reference and other information are available on the MSAC Website: </w:t>
      </w:r>
      <w:hyperlink r:id="rId13" w:tooltip="Link to the MSAC website" w:history="1">
        <w:r w:rsidRPr="00F309FA">
          <w:rPr>
            <w:rStyle w:val="Hyperlink"/>
            <w:rFonts w:ascii="Franklin Gothic Book" w:hAnsi="Franklin Gothic Book" w:cs="Tahoma"/>
            <w:b w:val="0"/>
            <w:bCs/>
            <w:i w:val="0"/>
            <w:iCs/>
            <w:sz w:val="22"/>
          </w:rPr>
          <w:t>visit the MSAC website</w:t>
        </w:r>
      </w:hyperlink>
    </w:p>
    <w:sectPr w:rsidR="004008AF" w:rsidRPr="00144C76" w:rsidSect="009264A1">
      <w:footerReference w:type="even" r:id="rId14"/>
      <w:footerReference w:type="default" r:id="rId1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29BC" w14:textId="77777777" w:rsidR="00FD55DF" w:rsidRDefault="00FD55DF" w:rsidP="00B62DF2">
      <w:pPr>
        <w:spacing w:after="0" w:line="240" w:lineRule="auto"/>
      </w:pPr>
      <w:r>
        <w:separator/>
      </w:r>
    </w:p>
  </w:endnote>
  <w:endnote w:type="continuationSeparator" w:id="0">
    <w:p w14:paraId="560F184F" w14:textId="77777777" w:rsidR="00FD55DF" w:rsidRDefault="00FD55DF" w:rsidP="00B62DF2">
      <w:pPr>
        <w:spacing w:after="0" w:line="240" w:lineRule="auto"/>
      </w:pPr>
      <w:r>
        <w:continuationSeparator/>
      </w:r>
    </w:p>
  </w:endnote>
  <w:endnote w:type="continuationNotice" w:id="1">
    <w:p w14:paraId="3E188D4B" w14:textId="77777777" w:rsidR="00FD55DF" w:rsidRDefault="00FD55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ExtB">
    <w:charset w:val="86"/>
    <w:family w:val="modern"/>
    <w:pitch w:val="fixed"/>
    <w:sig w:usb0="00000003" w:usb1="0A0E0000" w:usb2="00000010" w:usb3="00000000" w:csb0="00040001" w:csb1="00000000"/>
  </w:font>
  <w:font w:name="Helv">
    <w:altName w:val="Arial"/>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DD4F" w14:textId="77777777" w:rsidR="00765C6F" w:rsidRDefault="00765C6F" w:rsidP="005D5B4C">
    <w:pPr>
      <w:pStyle w:val="Footer"/>
      <w:tabs>
        <w:tab w:val="clear" w:pos="4513"/>
        <w:tab w:val="center" w:pos="3828"/>
      </w:tabs>
      <w:jc w:val="right"/>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B383" w14:textId="77777777" w:rsidR="00765C6F" w:rsidRDefault="00765C6F" w:rsidP="005D5B4C">
    <w:pPr>
      <w:pStyle w:val="Footer"/>
      <w:tabs>
        <w:tab w:val="clear" w:pos="4513"/>
        <w:tab w:val="center" w:pos="3828"/>
      </w:tabs>
      <w:jc w:val="right"/>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92611" w14:textId="77777777" w:rsidR="00FD55DF" w:rsidRDefault="00FD55DF" w:rsidP="00B62DF2">
      <w:pPr>
        <w:spacing w:after="0" w:line="240" w:lineRule="auto"/>
      </w:pPr>
      <w:r>
        <w:separator/>
      </w:r>
    </w:p>
  </w:footnote>
  <w:footnote w:type="continuationSeparator" w:id="0">
    <w:p w14:paraId="16885D80" w14:textId="77777777" w:rsidR="00FD55DF" w:rsidRDefault="00FD55DF" w:rsidP="00B62DF2">
      <w:pPr>
        <w:spacing w:after="0" w:line="240" w:lineRule="auto"/>
      </w:pPr>
      <w:r>
        <w:continuationSeparator/>
      </w:r>
    </w:p>
  </w:footnote>
  <w:footnote w:type="continuationNotice" w:id="1">
    <w:p w14:paraId="7265904D" w14:textId="77777777" w:rsidR="00FD55DF" w:rsidRDefault="00FD55DF">
      <w:pPr>
        <w:spacing w:before="0" w:after="0" w:line="240" w:lineRule="auto"/>
      </w:pPr>
    </w:p>
  </w:footnote>
  <w:footnote w:id="2">
    <w:p w14:paraId="1733F80E" w14:textId="77777777" w:rsidR="00765C6F" w:rsidRDefault="00765C6F">
      <w:pPr>
        <w:pStyle w:val="FootnoteText"/>
      </w:pPr>
      <w:r>
        <w:rPr>
          <w:rStyle w:val="FootnoteReference"/>
        </w:rPr>
        <w:footnoteRef/>
      </w:r>
      <w:r>
        <w:t xml:space="preserve"> </w:t>
      </w:r>
      <w:r w:rsidRPr="00F912BA">
        <w:t>Carrion D</w:t>
      </w:r>
      <w:r>
        <w:t xml:space="preserve">, et al. </w:t>
      </w:r>
      <w:r w:rsidRPr="00F912BA">
        <w:t xml:space="preserve"> </w:t>
      </w:r>
      <w:r>
        <w:t>(</w:t>
      </w:r>
      <w:r w:rsidRPr="00F912BA">
        <w:t>2020</w:t>
      </w:r>
      <w:r>
        <w:t xml:space="preserve">). </w:t>
      </w:r>
      <w:r w:rsidRPr="00F912BA">
        <w:t>Invasive management of renal cell carcinoma in von Hippel-Lindau disease</w:t>
      </w:r>
      <w:r>
        <w:t>.</w:t>
      </w:r>
      <w:r w:rsidRPr="00F912BA">
        <w:t xml:space="preserve"> </w:t>
      </w:r>
      <w:r w:rsidRPr="00EE7A08">
        <w:rPr>
          <w:i/>
          <w:iCs/>
        </w:rPr>
        <w:t>Cent European J Urol</w:t>
      </w:r>
      <w:r w:rsidRPr="00F912BA">
        <w:t xml:space="preserve">, </w:t>
      </w:r>
      <w:r>
        <w:t>73(2):</w:t>
      </w:r>
      <w:r w:rsidRPr="00F912BA">
        <w:t xml:space="preserve"> 167-172.</w:t>
      </w:r>
    </w:p>
    <w:p w14:paraId="3FBFEEE7" w14:textId="77777777" w:rsidR="00765C6F" w:rsidRDefault="00765C6F">
      <w:pPr>
        <w:pStyle w:val="FootnoteText"/>
      </w:pPr>
      <w:r w:rsidRPr="00F912BA">
        <w:t>Maher, E</w:t>
      </w:r>
      <w:r>
        <w:t>.</w:t>
      </w:r>
      <w:r w:rsidRPr="00F912BA">
        <w:t xml:space="preserve"> </w:t>
      </w:r>
      <w:r>
        <w:t xml:space="preserve"> (</w:t>
      </w:r>
      <w:r w:rsidRPr="00F912BA">
        <w:t>2018</w:t>
      </w:r>
      <w:r>
        <w:t xml:space="preserve">). </w:t>
      </w:r>
      <w:r w:rsidRPr="00F912BA">
        <w:t>Hereditary renal cell carcinoma syndromes: diagnosis, surveillance and management</w:t>
      </w:r>
      <w:r>
        <w:t>.</w:t>
      </w:r>
      <w:r w:rsidRPr="00F912BA">
        <w:t xml:space="preserve"> </w:t>
      </w:r>
      <w:r w:rsidRPr="00EE7A08">
        <w:rPr>
          <w:i/>
          <w:iCs/>
        </w:rPr>
        <w:t>World J Urol</w:t>
      </w:r>
      <w:r w:rsidRPr="00F912BA">
        <w:t xml:space="preserve">, </w:t>
      </w:r>
      <w:r>
        <w:t>36(12):</w:t>
      </w:r>
      <w:r w:rsidRPr="00F912BA">
        <w:t xml:space="preserve"> 1891-1898.</w:t>
      </w:r>
    </w:p>
  </w:footnote>
  <w:footnote w:id="3">
    <w:p w14:paraId="413CE823" w14:textId="77777777" w:rsidR="00765C6F" w:rsidRDefault="00765C6F">
      <w:pPr>
        <w:pStyle w:val="FootnoteText"/>
      </w:pPr>
      <w:r>
        <w:rPr>
          <w:rStyle w:val="FootnoteReference"/>
        </w:rPr>
        <w:footnoteRef/>
      </w:r>
      <w:r>
        <w:t xml:space="preserve"> EviQ guidelines: URL:</w:t>
      </w:r>
      <w:hyperlink r:id="rId1" w:history="1">
        <w:r w:rsidRPr="006A405B">
          <w:rPr>
            <w:rStyle w:val="Hyperlink"/>
          </w:rPr>
          <w:t>https://www.eviq.org.au/</w:t>
        </w:r>
      </w:hyperlink>
      <w:r>
        <w:t xml:space="preserve"> (accessed 25 October 2022) and </w:t>
      </w:r>
      <w:r w:rsidRPr="00973F33">
        <w:t>National Comprehensive Cancer Network</w:t>
      </w:r>
      <w:r>
        <w:t xml:space="preserve"> (NCCN) panel recommendations (</w:t>
      </w:r>
      <w:r w:rsidRPr="00A64B89">
        <w:t xml:space="preserve">Motzer, </w:t>
      </w:r>
      <w:r>
        <w:t xml:space="preserve">R </w:t>
      </w:r>
      <w:r w:rsidRPr="00A64B89">
        <w:t xml:space="preserve">2020, 'NCCN Guidelines Insights: Kidney Cancer, Version 1.2021', </w:t>
      </w:r>
      <w:r w:rsidRPr="001F77F3">
        <w:rPr>
          <w:i/>
          <w:iCs/>
        </w:rPr>
        <w:t>J Natl Compr Canc Netw</w:t>
      </w:r>
      <w:r w:rsidRPr="00A64B89">
        <w:t xml:space="preserve">, </w:t>
      </w:r>
      <w:r>
        <w:t xml:space="preserve">18(9): </w:t>
      </w:r>
      <w:r w:rsidRPr="00A64B89">
        <w:t>1160-1170.</w:t>
      </w:r>
    </w:p>
  </w:footnote>
  <w:footnote w:id="4">
    <w:p w14:paraId="58A266D9" w14:textId="77777777" w:rsidR="00765C6F" w:rsidRDefault="00765C6F" w:rsidP="006224B0">
      <w:pPr>
        <w:pStyle w:val="FootnoteText"/>
      </w:pPr>
      <w:r>
        <w:rPr>
          <w:rStyle w:val="FootnoteReference"/>
        </w:rPr>
        <w:footnoteRef/>
      </w:r>
      <w:r>
        <w:t xml:space="preserve"> Northrup H, et al. (2021). </w:t>
      </w:r>
      <w:hyperlink r:id="rId2" w:history="1">
        <w:r>
          <w:rPr>
            <w:rStyle w:val="Hyperlink"/>
          </w:rPr>
          <w:t>Updated international tuberous sclerosis complex diagnostic criteria and surveillance and management recommendations</w:t>
        </w:r>
      </w:hyperlink>
      <w:r>
        <w:t>.</w:t>
      </w:r>
      <w:r>
        <w:rPr>
          <w:rFonts w:ascii="Arial" w:hAnsi="Arial" w:cs="Arial"/>
          <w:i/>
          <w:iCs/>
        </w:rPr>
        <w:t> </w:t>
      </w:r>
      <w:r>
        <w:rPr>
          <w:i/>
          <w:iCs/>
        </w:rPr>
        <w:t>Pediatric Neurology,</w:t>
      </w:r>
      <w:r>
        <w:rPr>
          <w:rFonts w:ascii="Arial" w:hAnsi="Arial" w:cs="Arial"/>
        </w:rPr>
        <w:t> </w:t>
      </w:r>
      <w:r>
        <w:t>123:50–66.</w:t>
      </w:r>
    </w:p>
  </w:footnote>
  <w:footnote w:id="5">
    <w:p w14:paraId="69506E64" w14:textId="77777777" w:rsidR="00765C6F" w:rsidRDefault="00765C6F" w:rsidP="006224B0">
      <w:pPr>
        <w:pStyle w:val="FootnoteText"/>
      </w:pPr>
      <w:r>
        <w:rPr>
          <w:rStyle w:val="FootnoteReference"/>
        </w:rPr>
        <w:footnoteRef/>
      </w:r>
      <w:r>
        <w:t xml:space="preserve"> </w:t>
      </w:r>
      <w:r w:rsidRPr="00C05DEF">
        <w:t>Mathews</w:t>
      </w:r>
      <w:r>
        <w:t xml:space="preserve"> J, et al. (</w:t>
      </w:r>
      <w:r w:rsidRPr="00C05DEF">
        <w:t>2013</w:t>
      </w:r>
      <w:r>
        <w:t xml:space="preserve">). </w:t>
      </w:r>
      <w:r w:rsidRPr="00C05DEF">
        <w:t xml:space="preserve"> Cancer risk in 680,000 people exposed to computed tomography scans in childhood or adolescence: data linkage study of 11 million Australians</w:t>
      </w:r>
      <w:r>
        <w:t>.</w:t>
      </w:r>
      <w:r w:rsidRPr="00C05DEF">
        <w:t xml:space="preserve"> </w:t>
      </w:r>
      <w:r w:rsidRPr="001F77F3">
        <w:rPr>
          <w:i/>
          <w:iCs/>
        </w:rPr>
        <w:t>BMJ</w:t>
      </w:r>
      <w:r w:rsidRPr="00C05DEF">
        <w:t>, vol. 346, May 21</w:t>
      </w:r>
      <w:r>
        <w:t xml:space="preserve">: </w:t>
      </w:r>
      <w:r w:rsidRPr="00C05DEF">
        <w:t>f2360.</w:t>
      </w:r>
    </w:p>
  </w:footnote>
  <w:footnote w:id="6">
    <w:p w14:paraId="4DA7F12E" w14:textId="77777777" w:rsidR="00765C6F" w:rsidRDefault="00765C6F" w:rsidP="006224B0">
      <w:pPr>
        <w:pStyle w:val="FootnoteText"/>
      </w:pPr>
      <w:r>
        <w:rPr>
          <w:rStyle w:val="FootnoteReference"/>
        </w:rPr>
        <w:footnoteRef/>
      </w:r>
      <w:r>
        <w:t xml:space="preserve"> Maxwell S, et al. (2019). </w:t>
      </w:r>
      <w:hyperlink r:id="rId3" w:history="1">
        <w:r>
          <w:rPr>
            <w:rStyle w:val="Hyperlink"/>
          </w:rPr>
          <w:t>How have advances in CT dosimetry software impacted estimates of CT radiation dose and cancer incidence? A comparison of CT dosimetry software: Implications for past and future research</w:t>
        </w:r>
      </w:hyperlink>
      <w:r>
        <w:t xml:space="preserve">. </w:t>
      </w:r>
      <w:r w:rsidRPr="001F77F3">
        <w:rPr>
          <w:i/>
          <w:iCs/>
        </w:rPr>
        <w:t>PLoS One</w:t>
      </w:r>
      <w:r>
        <w:t xml:space="preserve"> Aug 14;14(8):e0217816.</w:t>
      </w:r>
    </w:p>
  </w:footnote>
  <w:footnote w:id="7">
    <w:p w14:paraId="3EDC5F68" w14:textId="77777777" w:rsidR="00765C6F" w:rsidRDefault="00765C6F" w:rsidP="006224B0">
      <w:pPr>
        <w:pStyle w:val="FootnoteText"/>
      </w:pPr>
      <w:r>
        <w:rPr>
          <w:rStyle w:val="FootnoteReference"/>
        </w:rPr>
        <w:footnoteRef/>
      </w:r>
      <w:r>
        <w:t xml:space="preserve"> </w:t>
      </w:r>
      <w:r w:rsidRPr="00C05DEF">
        <w:t>Kang</w:t>
      </w:r>
      <w:r>
        <w:t xml:space="preserve"> S, et al. (</w:t>
      </w:r>
      <w:r w:rsidRPr="00C05DEF">
        <w:t>2014</w:t>
      </w:r>
      <w:r>
        <w:t>).</w:t>
      </w:r>
      <w:r w:rsidRPr="00C05DEF">
        <w:t xml:space="preserve"> Microsimulation model of CT versus MRI surveillance of Bosniak IIF renal cystic lesions: should effects of radiation exposure affect selection of imaging strategy? </w:t>
      </w:r>
      <w:r w:rsidRPr="001F77F3">
        <w:rPr>
          <w:i/>
          <w:iCs/>
        </w:rPr>
        <w:t>AJR Am J Roentgenol</w:t>
      </w:r>
      <w:r w:rsidRPr="00C05DEF">
        <w:t>, 203</w:t>
      </w:r>
      <w:r>
        <w:t xml:space="preserve">(6): </w:t>
      </w:r>
      <w:r w:rsidRPr="00C05DEF">
        <w:t>W629-636</w:t>
      </w:r>
      <w:r>
        <w:t>.</w:t>
      </w:r>
    </w:p>
  </w:footnote>
  <w:footnote w:id="8">
    <w:p w14:paraId="2744EFA0" w14:textId="77777777" w:rsidR="00765C6F" w:rsidRDefault="00765C6F" w:rsidP="006224B0">
      <w:pPr>
        <w:pStyle w:val="FootnoteText"/>
      </w:pPr>
      <w:r>
        <w:rPr>
          <w:rStyle w:val="FootnoteReference"/>
        </w:rPr>
        <w:footnoteRef/>
      </w:r>
      <w:r>
        <w:t xml:space="preserve"> </w:t>
      </w:r>
      <w:r w:rsidRPr="000072F3">
        <w:t>Goldsbury</w:t>
      </w:r>
      <w:r>
        <w:t xml:space="preserve"> D, et al.</w:t>
      </w:r>
      <w:r w:rsidRPr="000072F3">
        <w:t xml:space="preserve"> Health services costs for cancer care in Australia: Estimates from the 45 and Up Study</w:t>
      </w:r>
      <w:r>
        <w:t xml:space="preserve">. </w:t>
      </w:r>
      <w:r w:rsidRPr="000072F3">
        <w:t xml:space="preserve"> </w:t>
      </w:r>
      <w:r w:rsidRPr="001F77F3">
        <w:rPr>
          <w:i/>
          <w:iCs/>
        </w:rPr>
        <w:t>PLoS One</w:t>
      </w:r>
      <w:r>
        <w:t xml:space="preserve"> Jul 30; 13(7):</w:t>
      </w:r>
      <w:r w:rsidRPr="000072F3">
        <w:t xml:space="preserve"> e0201552</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8F4"/>
    <w:multiLevelType w:val="hybridMultilevel"/>
    <w:tmpl w:val="D8BE81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961667"/>
    <w:multiLevelType w:val="hybridMultilevel"/>
    <w:tmpl w:val="4E6E2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6F0652"/>
    <w:multiLevelType w:val="hybridMultilevel"/>
    <w:tmpl w:val="EB384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311899"/>
    <w:multiLevelType w:val="hybridMultilevel"/>
    <w:tmpl w:val="18028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EF6CF7"/>
    <w:multiLevelType w:val="hybridMultilevel"/>
    <w:tmpl w:val="2B604FC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21AA3C52"/>
    <w:multiLevelType w:val="hybridMultilevel"/>
    <w:tmpl w:val="07D4CA90"/>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cs="Times New Roman" w:hint="default"/>
        <w:b/>
        <w:i w:val="0"/>
        <w:color w:val="auto"/>
        <w:sz w:val="24"/>
      </w:rPr>
    </w:lvl>
    <w:lvl w:ilvl="1">
      <w:start w:val="1"/>
      <w:numFmt w:val="decimal"/>
      <w:lvlText w:val="B.%2."/>
      <w:lvlJc w:val="left"/>
      <w:pPr>
        <w:ind w:left="1134" w:hanging="1134"/>
      </w:pPr>
      <w:rPr>
        <w:rFonts w:ascii="Calibri" w:hAnsi="Calibri" w:cs="Times New Roman" w:hint="default"/>
        <w:b/>
        <w:i w:val="0"/>
        <w:sz w:val="24"/>
      </w:rPr>
    </w:lvl>
    <w:lvl w:ilvl="2">
      <w:start w:val="1"/>
      <w:numFmt w:val="decimal"/>
      <w:lvlText w:val="C.%3."/>
      <w:lvlJc w:val="left"/>
      <w:pPr>
        <w:ind w:left="1134" w:hanging="1134"/>
      </w:pPr>
      <w:rPr>
        <w:rFonts w:ascii="Calibri" w:hAnsi="Calibri" w:cs="Times New Roman" w:hint="default"/>
        <w:b/>
        <w:i w:val="0"/>
        <w:sz w:val="24"/>
      </w:rPr>
    </w:lvl>
    <w:lvl w:ilvl="3">
      <w:start w:val="1"/>
      <w:numFmt w:val="decimal"/>
      <w:lvlText w:val="D.%4."/>
      <w:lvlJc w:val="left"/>
      <w:pPr>
        <w:ind w:left="1134" w:hanging="1134"/>
      </w:pPr>
      <w:rPr>
        <w:rFonts w:ascii="Calibri" w:hAnsi="Calibri" w:cs="Times New Roman" w:hint="default"/>
        <w:b/>
        <w:i w:val="0"/>
        <w:sz w:val="24"/>
      </w:rPr>
    </w:lvl>
    <w:lvl w:ilvl="4">
      <w:start w:val="1"/>
      <w:numFmt w:val="decimal"/>
      <w:lvlText w:val="E.%5."/>
      <w:lvlJc w:val="left"/>
      <w:pPr>
        <w:ind w:left="1134" w:hanging="1134"/>
      </w:pPr>
      <w:rPr>
        <w:rFonts w:ascii="Calibri" w:hAnsi="Calibri" w:cs="Times New Roman" w:hint="default"/>
        <w:b/>
        <w:i w:val="0"/>
        <w:sz w:val="24"/>
      </w:rPr>
    </w:lvl>
    <w:lvl w:ilvl="5">
      <w:start w:val="1"/>
      <w:numFmt w:val="decimal"/>
      <w:lvlText w:val="A.%6"/>
      <w:lvlJc w:val="left"/>
      <w:pPr>
        <w:ind w:left="1134" w:hanging="1134"/>
      </w:pPr>
      <w:rPr>
        <w:rFonts w:ascii="Calibri" w:hAnsi="Calibri" w:cs="Times New Roman" w:hint="default"/>
        <w:b/>
        <w:i w:val="0"/>
        <w:color w:val="auto"/>
        <w:sz w:val="24"/>
      </w:rPr>
    </w:lvl>
    <w:lvl w:ilvl="6">
      <w:start w:val="1"/>
      <w:numFmt w:val="none"/>
      <w:lvlText w:val=""/>
      <w:lvlJc w:val="left"/>
      <w:pPr>
        <w:ind w:left="1134" w:hanging="1134"/>
      </w:pPr>
      <w:rPr>
        <w:rFonts w:ascii="Calibri" w:hAnsi="Calibri" w:cs="Times New Roman" w:hint="default"/>
        <w:b/>
        <w:i w:val="0"/>
        <w:sz w:val="24"/>
      </w:rPr>
    </w:lvl>
    <w:lvl w:ilvl="7">
      <w:start w:val="1"/>
      <w:numFmt w:val="none"/>
      <w:lvlText w:val="%8"/>
      <w:lvlJc w:val="left"/>
      <w:pPr>
        <w:ind w:left="1134" w:hanging="1134"/>
      </w:pPr>
      <w:rPr>
        <w:rFonts w:cs="Times New Roman" w:hint="default"/>
      </w:rPr>
    </w:lvl>
    <w:lvl w:ilvl="8">
      <w:start w:val="1"/>
      <w:numFmt w:val="none"/>
      <w:lvlText w:val="%9"/>
      <w:lvlJc w:val="right"/>
      <w:pPr>
        <w:ind w:left="1134" w:hanging="1134"/>
      </w:pPr>
      <w:rPr>
        <w:rFonts w:cs="Times New Roman" w:hint="default"/>
      </w:rPr>
    </w:lvl>
  </w:abstractNum>
  <w:abstractNum w:abstractNumId="9" w15:restartNumberingAfterBreak="0">
    <w:nsid w:val="24074F32"/>
    <w:multiLevelType w:val="hybridMultilevel"/>
    <w:tmpl w:val="B7025864"/>
    <w:lvl w:ilvl="0" w:tplc="36EE98F6">
      <w:start w:val="3"/>
      <w:numFmt w:val="bullet"/>
      <w:lvlText w:val="-"/>
      <w:lvlJc w:val="left"/>
      <w:pPr>
        <w:ind w:left="720" w:hanging="360"/>
      </w:pPr>
      <w:rPr>
        <w:rFonts w:ascii="Franklin Gothic Book" w:eastAsia="Times New Roman" w:hAnsi="Franklin Gothic Book"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5E246B"/>
    <w:multiLevelType w:val="hybridMultilevel"/>
    <w:tmpl w:val="C4F2253C"/>
    <w:lvl w:ilvl="0" w:tplc="B0E28340">
      <w:start w:val="1"/>
      <w:numFmt w:val="decimal"/>
      <w:pStyle w:val="ESHeading1"/>
      <w:lvlText w:val="%1."/>
      <w:lvlJc w:val="left"/>
      <w:pPr>
        <w:ind w:left="2160" w:hanging="360"/>
      </w:pPr>
      <w:rPr>
        <w:rFonts w:cs="Times New Roman"/>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2"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4371DC"/>
    <w:multiLevelType w:val="multilevel"/>
    <w:tmpl w:val="75BE9B46"/>
    <w:lvl w:ilvl="0">
      <w:start w:val="1"/>
      <w:numFmt w:val="decimal"/>
      <w:pStyle w:val="BulletLast"/>
      <w:lvlText w:val="Section %1"/>
      <w:lvlJc w:val="left"/>
      <w:pPr>
        <w:ind w:left="786" w:hanging="360"/>
      </w:pPr>
      <w:rPr>
        <w:rFonts w:cs="Times New Roman" w:hint="default"/>
      </w:rPr>
    </w:lvl>
    <w:lvl w:ilvl="1">
      <w:start w:val="1"/>
      <w:numFmt w:val="decimal"/>
      <w:pStyle w:val="Heading2"/>
      <w:lvlText w:val="%1.%2"/>
      <w:lvlJc w:val="left"/>
      <w:pPr>
        <w:ind w:left="720" w:hanging="360"/>
      </w:pPr>
      <w:rPr>
        <w:rFonts w:cs="Times New Roman" w:hint="default"/>
        <w:b w:val="0"/>
        <w:bCs w:val="0"/>
        <w:i w:val="0"/>
        <w:iCs w:val="0"/>
        <w:caps w:val="0"/>
        <w:smallCaps w:val="0"/>
        <w:strike w:val="0"/>
        <w:dstrike w:val="0"/>
        <w:vanish w:val="0"/>
        <w:spacing w:val="0"/>
        <w:kern w:val="0"/>
        <w:position w:val="0"/>
        <w:u w:val="none"/>
        <w:effect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35B10B81"/>
    <w:multiLevelType w:val="hybridMultilevel"/>
    <w:tmpl w:val="02BE9CA8"/>
    <w:lvl w:ilvl="0" w:tplc="175EC440">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4F368B"/>
    <w:multiLevelType w:val="hybridMultilevel"/>
    <w:tmpl w:val="7F36D186"/>
    <w:lvl w:ilvl="0" w:tplc="A86E38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1B16A1E"/>
    <w:multiLevelType w:val="hybridMultilevel"/>
    <w:tmpl w:val="75B07BCE"/>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44146342"/>
    <w:multiLevelType w:val="hybridMultilevel"/>
    <w:tmpl w:val="C950A760"/>
    <w:lvl w:ilvl="0" w:tplc="0C090001">
      <w:start w:val="1"/>
      <w:numFmt w:val="bullet"/>
      <w:lvlText w:val=""/>
      <w:lvlJc w:val="left"/>
      <w:pPr>
        <w:ind w:left="720" w:hanging="360"/>
      </w:pPr>
      <w:rPr>
        <w:rFonts w:ascii="Symbol" w:hAnsi="Symbol" w:hint="default"/>
      </w:rPr>
    </w:lvl>
    <w:lvl w:ilvl="1" w:tplc="7DF23A82">
      <w:numFmt w:val="bullet"/>
      <w:lvlText w:val="•"/>
      <w:lvlJc w:val="left"/>
      <w:pPr>
        <w:ind w:left="1800" w:hanging="720"/>
      </w:pPr>
      <w:rPr>
        <w:rFonts w:ascii="Arial Narrow" w:eastAsia="Times New Roman" w:hAnsi="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DB3F96"/>
    <w:multiLevelType w:val="hybridMultilevel"/>
    <w:tmpl w:val="C432268C"/>
    <w:lvl w:ilvl="0" w:tplc="DFDA6CDC">
      <w:numFmt w:val="bullet"/>
      <w:lvlText w:val="-"/>
      <w:lvlJc w:val="left"/>
      <w:pPr>
        <w:ind w:left="720" w:hanging="360"/>
      </w:pPr>
      <w:rPr>
        <w:rFonts w:ascii="Franklin Gothic Book" w:eastAsia="Times New Roman" w:hAnsi="Franklin Gothic Book"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095746"/>
    <w:multiLevelType w:val="hybridMultilevel"/>
    <w:tmpl w:val="81C26C14"/>
    <w:lvl w:ilvl="0" w:tplc="94982FB0">
      <w:start w:val="1"/>
      <w:numFmt w:val="bullet"/>
      <w:pStyle w:val="Instructionaltext-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BF0C33"/>
    <w:multiLevelType w:val="hybridMultilevel"/>
    <w:tmpl w:val="B142C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9B721A"/>
    <w:multiLevelType w:val="hybridMultilevel"/>
    <w:tmpl w:val="3702C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3331D1"/>
    <w:multiLevelType w:val="hybridMultilevel"/>
    <w:tmpl w:val="4B764B92"/>
    <w:lvl w:ilvl="0" w:tplc="9FD8BD30">
      <w:start w:val="1"/>
      <w:numFmt w:val="bullet"/>
      <w:lvlText w:val=""/>
      <w:lvlJc w:val="left"/>
      <w:pPr>
        <w:ind w:left="1135" w:hanging="360"/>
      </w:pPr>
      <w:rPr>
        <w:rFonts w:ascii="Symbol" w:hAnsi="Symbol" w:hint="default"/>
        <w:color w:val="auto"/>
      </w:rPr>
    </w:lvl>
    <w:lvl w:ilvl="1" w:tplc="0C090003" w:tentative="1">
      <w:start w:val="1"/>
      <w:numFmt w:val="bullet"/>
      <w:lvlText w:val="o"/>
      <w:lvlJc w:val="left"/>
      <w:pPr>
        <w:ind w:left="1855" w:hanging="360"/>
      </w:pPr>
      <w:rPr>
        <w:rFonts w:ascii="Courier New" w:hAnsi="Courier New" w:hint="default"/>
      </w:rPr>
    </w:lvl>
    <w:lvl w:ilvl="2" w:tplc="0C090005" w:tentative="1">
      <w:start w:val="1"/>
      <w:numFmt w:val="bullet"/>
      <w:lvlText w:val=""/>
      <w:lvlJc w:val="left"/>
      <w:pPr>
        <w:ind w:left="2575" w:hanging="360"/>
      </w:pPr>
      <w:rPr>
        <w:rFonts w:ascii="Wingdings" w:hAnsi="Wingdings" w:hint="default"/>
      </w:rPr>
    </w:lvl>
    <w:lvl w:ilvl="3" w:tplc="0C090001" w:tentative="1">
      <w:start w:val="1"/>
      <w:numFmt w:val="bullet"/>
      <w:lvlText w:val=""/>
      <w:lvlJc w:val="left"/>
      <w:pPr>
        <w:ind w:left="3295" w:hanging="360"/>
      </w:pPr>
      <w:rPr>
        <w:rFonts w:ascii="Symbol" w:hAnsi="Symbol" w:hint="default"/>
      </w:rPr>
    </w:lvl>
    <w:lvl w:ilvl="4" w:tplc="0C090003" w:tentative="1">
      <w:start w:val="1"/>
      <w:numFmt w:val="bullet"/>
      <w:lvlText w:val="o"/>
      <w:lvlJc w:val="left"/>
      <w:pPr>
        <w:ind w:left="4015" w:hanging="360"/>
      </w:pPr>
      <w:rPr>
        <w:rFonts w:ascii="Courier New" w:hAnsi="Courier New" w:hint="default"/>
      </w:rPr>
    </w:lvl>
    <w:lvl w:ilvl="5" w:tplc="0C090005" w:tentative="1">
      <w:start w:val="1"/>
      <w:numFmt w:val="bullet"/>
      <w:lvlText w:val=""/>
      <w:lvlJc w:val="left"/>
      <w:pPr>
        <w:ind w:left="4735" w:hanging="360"/>
      </w:pPr>
      <w:rPr>
        <w:rFonts w:ascii="Wingdings" w:hAnsi="Wingdings" w:hint="default"/>
      </w:rPr>
    </w:lvl>
    <w:lvl w:ilvl="6" w:tplc="0C090001" w:tentative="1">
      <w:start w:val="1"/>
      <w:numFmt w:val="bullet"/>
      <w:lvlText w:val=""/>
      <w:lvlJc w:val="left"/>
      <w:pPr>
        <w:ind w:left="5455" w:hanging="360"/>
      </w:pPr>
      <w:rPr>
        <w:rFonts w:ascii="Symbol" w:hAnsi="Symbol" w:hint="default"/>
      </w:rPr>
    </w:lvl>
    <w:lvl w:ilvl="7" w:tplc="0C090003" w:tentative="1">
      <w:start w:val="1"/>
      <w:numFmt w:val="bullet"/>
      <w:lvlText w:val="o"/>
      <w:lvlJc w:val="left"/>
      <w:pPr>
        <w:ind w:left="6175" w:hanging="360"/>
      </w:pPr>
      <w:rPr>
        <w:rFonts w:ascii="Courier New" w:hAnsi="Courier New" w:hint="default"/>
      </w:rPr>
    </w:lvl>
    <w:lvl w:ilvl="8" w:tplc="0C090005" w:tentative="1">
      <w:start w:val="1"/>
      <w:numFmt w:val="bullet"/>
      <w:lvlText w:val=""/>
      <w:lvlJc w:val="left"/>
      <w:pPr>
        <w:ind w:left="6895" w:hanging="360"/>
      </w:pPr>
      <w:rPr>
        <w:rFonts w:ascii="Wingdings" w:hAnsi="Wingdings" w:hint="default"/>
      </w:rPr>
    </w:lvl>
  </w:abstractNum>
  <w:abstractNum w:abstractNumId="23" w15:restartNumberingAfterBreak="0">
    <w:nsid w:val="692160C5"/>
    <w:multiLevelType w:val="hybridMultilevel"/>
    <w:tmpl w:val="7B248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6273D4"/>
    <w:multiLevelType w:val="hybridMultilevel"/>
    <w:tmpl w:val="130C2414"/>
    <w:lvl w:ilvl="0" w:tplc="175EC440">
      <w:numFmt w:val="bullet"/>
      <w:lvlText w:val="-"/>
      <w:lvlJc w:val="left"/>
      <w:pPr>
        <w:ind w:left="720" w:hanging="360"/>
      </w:pPr>
      <w:rPr>
        <w:rFonts w:ascii="Calibri" w:eastAsia="Times New Roman" w:hAnsi="Calibri" w:hint="default"/>
      </w:rPr>
    </w:lvl>
    <w:lvl w:ilvl="1" w:tplc="85E2D704">
      <w:numFmt w:val="bullet"/>
      <w:lvlText w:val="•"/>
      <w:lvlJc w:val="left"/>
      <w:pPr>
        <w:ind w:left="1800" w:hanging="720"/>
      </w:pPr>
      <w:rPr>
        <w:rFonts w:ascii="Franklin Gothic Book" w:eastAsia="Times New Roman" w:hAnsi="Franklin Gothic Book"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4D033C"/>
    <w:multiLevelType w:val="multilevel"/>
    <w:tmpl w:val="45FC285E"/>
    <w:lvl w:ilvl="0">
      <w:start w:val="1"/>
      <w:numFmt w:val="decimal"/>
      <w:pStyle w:val="2-SectionHeading"/>
      <w:lvlText w:val="%1"/>
      <w:lvlJc w:val="left"/>
      <w:pPr>
        <w:ind w:left="720" w:hanging="720"/>
      </w:pPr>
      <w:rPr>
        <w:rFonts w:cs="Times New Roman" w:hint="default"/>
        <w:b/>
      </w:rPr>
    </w:lvl>
    <w:lvl w:ilvl="1">
      <w:start w:val="1"/>
      <w:numFmt w:val="decimal"/>
      <w:pStyle w:val="3-BodyText"/>
      <w:lvlText w:val="%1.%2"/>
      <w:lvlJc w:val="left"/>
      <w:pPr>
        <w:ind w:left="720" w:hanging="720"/>
      </w:pPr>
      <w:rPr>
        <w:rFonts w:asciiTheme="minorHAnsi" w:hAnsiTheme="minorHAnsi" w:cs="Calibri" w:hint="default"/>
        <w:b w:val="0"/>
        <w:bCs w:val="0"/>
        <w:i w:val="0"/>
        <w:iCs w:val="0"/>
        <w:caps w:val="0"/>
        <w:smallCaps w:val="0"/>
        <w:strike w:val="0"/>
        <w:dstrike w:val="0"/>
        <w:vanish w:val="0"/>
        <w:color w:val="auto"/>
        <w:spacing w:val="0"/>
        <w:kern w:val="0"/>
        <w:position w:val="0"/>
        <w:sz w:val="24"/>
        <w:szCs w:val="24"/>
        <w:u w:val="none"/>
        <w:effect w:val="none"/>
        <w:vertAlign w:val="baseline"/>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EB69D0"/>
    <w:multiLevelType w:val="hybridMultilevel"/>
    <w:tmpl w:val="1B4A5F2E"/>
    <w:lvl w:ilvl="0" w:tplc="D5D01E22">
      <w:start w:val="1"/>
      <w:numFmt w:val="bullet"/>
      <w:lvlText w:val=""/>
      <w:lvlJc w:val="left"/>
      <w:pPr>
        <w:tabs>
          <w:tab w:val="num" w:pos="720"/>
        </w:tabs>
        <w:ind w:left="720" w:hanging="360"/>
      </w:pPr>
      <w:rPr>
        <w:rFonts w:ascii="Wingdings" w:hAnsi="Wingdings" w:hint="default"/>
      </w:rPr>
    </w:lvl>
    <w:lvl w:ilvl="1" w:tplc="77405786" w:tentative="1">
      <w:start w:val="1"/>
      <w:numFmt w:val="bullet"/>
      <w:lvlText w:val=""/>
      <w:lvlJc w:val="left"/>
      <w:pPr>
        <w:tabs>
          <w:tab w:val="num" w:pos="1440"/>
        </w:tabs>
        <w:ind w:left="1440" w:hanging="360"/>
      </w:pPr>
      <w:rPr>
        <w:rFonts w:ascii="Wingdings" w:hAnsi="Wingdings" w:hint="default"/>
      </w:rPr>
    </w:lvl>
    <w:lvl w:ilvl="2" w:tplc="11A6913A" w:tentative="1">
      <w:start w:val="1"/>
      <w:numFmt w:val="bullet"/>
      <w:lvlText w:val=""/>
      <w:lvlJc w:val="left"/>
      <w:pPr>
        <w:tabs>
          <w:tab w:val="num" w:pos="2160"/>
        </w:tabs>
        <w:ind w:left="2160" w:hanging="360"/>
      </w:pPr>
      <w:rPr>
        <w:rFonts w:ascii="Wingdings" w:hAnsi="Wingdings" w:hint="default"/>
      </w:rPr>
    </w:lvl>
    <w:lvl w:ilvl="3" w:tplc="EC46D85C" w:tentative="1">
      <w:start w:val="1"/>
      <w:numFmt w:val="bullet"/>
      <w:lvlText w:val=""/>
      <w:lvlJc w:val="left"/>
      <w:pPr>
        <w:tabs>
          <w:tab w:val="num" w:pos="2880"/>
        </w:tabs>
        <w:ind w:left="2880" w:hanging="360"/>
      </w:pPr>
      <w:rPr>
        <w:rFonts w:ascii="Wingdings" w:hAnsi="Wingdings" w:hint="default"/>
      </w:rPr>
    </w:lvl>
    <w:lvl w:ilvl="4" w:tplc="FA5AEF70" w:tentative="1">
      <w:start w:val="1"/>
      <w:numFmt w:val="bullet"/>
      <w:lvlText w:val=""/>
      <w:lvlJc w:val="left"/>
      <w:pPr>
        <w:tabs>
          <w:tab w:val="num" w:pos="3600"/>
        </w:tabs>
        <w:ind w:left="3600" w:hanging="360"/>
      </w:pPr>
      <w:rPr>
        <w:rFonts w:ascii="Wingdings" w:hAnsi="Wingdings" w:hint="default"/>
      </w:rPr>
    </w:lvl>
    <w:lvl w:ilvl="5" w:tplc="53F2BBCC" w:tentative="1">
      <w:start w:val="1"/>
      <w:numFmt w:val="bullet"/>
      <w:lvlText w:val=""/>
      <w:lvlJc w:val="left"/>
      <w:pPr>
        <w:tabs>
          <w:tab w:val="num" w:pos="4320"/>
        </w:tabs>
        <w:ind w:left="4320" w:hanging="360"/>
      </w:pPr>
      <w:rPr>
        <w:rFonts w:ascii="Wingdings" w:hAnsi="Wingdings" w:hint="default"/>
      </w:rPr>
    </w:lvl>
    <w:lvl w:ilvl="6" w:tplc="FE721B7A" w:tentative="1">
      <w:start w:val="1"/>
      <w:numFmt w:val="bullet"/>
      <w:lvlText w:val=""/>
      <w:lvlJc w:val="left"/>
      <w:pPr>
        <w:tabs>
          <w:tab w:val="num" w:pos="5040"/>
        </w:tabs>
        <w:ind w:left="5040" w:hanging="360"/>
      </w:pPr>
      <w:rPr>
        <w:rFonts w:ascii="Wingdings" w:hAnsi="Wingdings" w:hint="default"/>
      </w:rPr>
    </w:lvl>
    <w:lvl w:ilvl="7" w:tplc="9AD4283A" w:tentative="1">
      <w:start w:val="1"/>
      <w:numFmt w:val="bullet"/>
      <w:lvlText w:val=""/>
      <w:lvlJc w:val="left"/>
      <w:pPr>
        <w:tabs>
          <w:tab w:val="num" w:pos="5760"/>
        </w:tabs>
        <w:ind w:left="5760" w:hanging="360"/>
      </w:pPr>
      <w:rPr>
        <w:rFonts w:ascii="Wingdings" w:hAnsi="Wingdings" w:hint="default"/>
      </w:rPr>
    </w:lvl>
    <w:lvl w:ilvl="8" w:tplc="B206414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315E51"/>
    <w:multiLevelType w:val="hybridMultilevel"/>
    <w:tmpl w:val="4636EAC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406F1D"/>
    <w:multiLevelType w:val="hybridMultilevel"/>
    <w:tmpl w:val="DD8E0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rPr>
        <w:rFonts w:cs="Times New Roman"/>
      </w:rPr>
    </w:lvl>
    <w:lvl w:ilvl="1" w:tplc="389C2200" w:tentative="1">
      <w:start w:val="1"/>
      <w:numFmt w:val="lowerLetter"/>
      <w:lvlText w:val="%2."/>
      <w:lvlJc w:val="left"/>
      <w:pPr>
        <w:tabs>
          <w:tab w:val="num" w:pos="2160"/>
        </w:tabs>
        <w:ind w:left="2160" w:hanging="360"/>
      </w:pPr>
      <w:rPr>
        <w:rFonts w:cs="Times New Roman"/>
      </w:rPr>
    </w:lvl>
    <w:lvl w:ilvl="2" w:tplc="C3F8B188" w:tentative="1">
      <w:start w:val="1"/>
      <w:numFmt w:val="lowerRoman"/>
      <w:lvlText w:val="%3."/>
      <w:lvlJc w:val="right"/>
      <w:pPr>
        <w:tabs>
          <w:tab w:val="num" w:pos="2880"/>
        </w:tabs>
        <w:ind w:left="2880" w:hanging="180"/>
      </w:pPr>
      <w:rPr>
        <w:rFonts w:cs="Times New Roman"/>
      </w:rPr>
    </w:lvl>
    <w:lvl w:ilvl="3" w:tplc="391E97F0" w:tentative="1">
      <w:start w:val="1"/>
      <w:numFmt w:val="decimal"/>
      <w:lvlText w:val="%4."/>
      <w:lvlJc w:val="left"/>
      <w:pPr>
        <w:tabs>
          <w:tab w:val="num" w:pos="3600"/>
        </w:tabs>
        <w:ind w:left="3600" w:hanging="360"/>
      </w:pPr>
      <w:rPr>
        <w:rFonts w:cs="Times New Roman"/>
      </w:rPr>
    </w:lvl>
    <w:lvl w:ilvl="4" w:tplc="4F42265E" w:tentative="1">
      <w:start w:val="1"/>
      <w:numFmt w:val="lowerLetter"/>
      <w:lvlText w:val="%5."/>
      <w:lvlJc w:val="left"/>
      <w:pPr>
        <w:tabs>
          <w:tab w:val="num" w:pos="4320"/>
        </w:tabs>
        <w:ind w:left="4320" w:hanging="360"/>
      </w:pPr>
      <w:rPr>
        <w:rFonts w:cs="Times New Roman"/>
      </w:rPr>
    </w:lvl>
    <w:lvl w:ilvl="5" w:tplc="30546058" w:tentative="1">
      <w:start w:val="1"/>
      <w:numFmt w:val="lowerRoman"/>
      <w:lvlText w:val="%6."/>
      <w:lvlJc w:val="right"/>
      <w:pPr>
        <w:tabs>
          <w:tab w:val="num" w:pos="5040"/>
        </w:tabs>
        <w:ind w:left="5040" w:hanging="180"/>
      </w:pPr>
      <w:rPr>
        <w:rFonts w:cs="Times New Roman"/>
      </w:rPr>
    </w:lvl>
    <w:lvl w:ilvl="6" w:tplc="6E10F0C6" w:tentative="1">
      <w:start w:val="1"/>
      <w:numFmt w:val="decimal"/>
      <w:lvlText w:val="%7."/>
      <w:lvlJc w:val="left"/>
      <w:pPr>
        <w:tabs>
          <w:tab w:val="num" w:pos="5760"/>
        </w:tabs>
        <w:ind w:left="5760" w:hanging="360"/>
      </w:pPr>
      <w:rPr>
        <w:rFonts w:cs="Times New Roman"/>
      </w:rPr>
    </w:lvl>
    <w:lvl w:ilvl="7" w:tplc="70B07B9C" w:tentative="1">
      <w:start w:val="1"/>
      <w:numFmt w:val="lowerLetter"/>
      <w:lvlText w:val="%8."/>
      <w:lvlJc w:val="left"/>
      <w:pPr>
        <w:tabs>
          <w:tab w:val="num" w:pos="6480"/>
        </w:tabs>
        <w:ind w:left="6480" w:hanging="360"/>
      </w:pPr>
      <w:rPr>
        <w:rFonts w:cs="Times New Roman"/>
      </w:rPr>
    </w:lvl>
    <w:lvl w:ilvl="8" w:tplc="9BF48AAC" w:tentative="1">
      <w:start w:val="1"/>
      <w:numFmt w:val="lowerRoman"/>
      <w:lvlText w:val="%9."/>
      <w:lvlJc w:val="right"/>
      <w:pPr>
        <w:tabs>
          <w:tab w:val="num" w:pos="7200"/>
        </w:tabs>
        <w:ind w:left="7200" w:hanging="180"/>
      </w:pPr>
      <w:rPr>
        <w:rFonts w:cs="Times New Roman"/>
      </w:rPr>
    </w:lvl>
  </w:abstractNum>
  <w:abstractNum w:abstractNumId="31" w15:restartNumberingAfterBreak="0">
    <w:nsid w:val="7FA76FA5"/>
    <w:multiLevelType w:val="hybridMultilevel"/>
    <w:tmpl w:val="C2280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1"/>
  </w:num>
  <w:num w:numId="4">
    <w:abstractNumId w:val="8"/>
  </w:num>
  <w:num w:numId="5">
    <w:abstractNumId w:val="25"/>
  </w:num>
  <w:num w:numId="6">
    <w:abstractNumId w:val="10"/>
  </w:num>
  <w:num w:numId="7">
    <w:abstractNumId w:val="11"/>
  </w:num>
  <w:num w:numId="8">
    <w:abstractNumId w:val="12"/>
  </w:num>
  <w:num w:numId="9">
    <w:abstractNumId w:val="19"/>
  </w:num>
  <w:num w:numId="10">
    <w:abstractNumId w:val="17"/>
  </w:num>
  <w:num w:numId="11">
    <w:abstractNumId w:val="7"/>
  </w:num>
  <w:num w:numId="12">
    <w:abstractNumId w:val="24"/>
  </w:num>
  <w:num w:numId="13">
    <w:abstractNumId w:val="14"/>
  </w:num>
  <w:num w:numId="14">
    <w:abstractNumId w:val="2"/>
  </w:num>
  <w:num w:numId="15">
    <w:abstractNumId w:val="4"/>
  </w:num>
  <w:num w:numId="16">
    <w:abstractNumId w:val="20"/>
  </w:num>
  <w:num w:numId="17">
    <w:abstractNumId w:val="0"/>
  </w:num>
  <w:num w:numId="18">
    <w:abstractNumId w:val="23"/>
  </w:num>
  <w:num w:numId="19">
    <w:abstractNumId w:val="22"/>
  </w:num>
  <w:num w:numId="20">
    <w:abstractNumId w:val="28"/>
  </w:num>
  <w:num w:numId="21">
    <w:abstractNumId w:val="31"/>
  </w:num>
  <w:num w:numId="22">
    <w:abstractNumId w:val="21"/>
  </w:num>
  <w:num w:numId="23">
    <w:abstractNumId w:val="5"/>
  </w:num>
  <w:num w:numId="24">
    <w:abstractNumId w:val="26"/>
  </w:num>
  <w:num w:numId="25">
    <w:abstractNumId w:val="18"/>
  </w:num>
  <w:num w:numId="26">
    <w:abstractNumId w:val="3"/>
  </w:num>
  <w:num w:numId="27">
    <w:abstractNumId w:val="16"/>
  </w:num>
  <w:num w:numId="28">
    <w:abstractNumId w:val="6"/>
  </w:num>
  <w:num w:numId="29">
    <w:abstractNumId w:val="13"/>
  </w:num>
  <w:num w:numId="30">
    <w:abstractNumId w:val="15"/>
  </w:num>
  <w:num w:numId="31">
    <w:abstractNumId w:val="29"/>
  </w:num>
  <w:num w:numId="32">
    <w:abstractNumId w:val="9"/>
  </w:num>
  <w:num w:numId="33">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e9tv5r4e5w2fezpebvxffdf2fp9dpt2995&quot;&gt;DCAR 1702 - Economics - Library&lt;record-ids&gt;&lt;item&gt;8&lt;/item&gt;&lt;item&gt;13&lt;/item&gt;&lt;item&gt;95&lt;/item&gt;&lt;item&gt;118&lt;/item&gt;&lt;item&gt;183&lt;/item&gt;&lt;item&gt;185&lt;/item&gt;&lt;item&gt;186&lt;/item&gt;&lt;item&gt;195&lt;/item&gt;&lt;item&gt;196&lt;/item&gt;&lt;item&gt;198&lt;/item&gt;&lt;item&gt;199&lt;/item&gt;&lt;item&gt;202&lt;/item&gt;&lt;item&gt;203&lt;/item&gt;&lt;item&gt;209&lt;/item&gt;&lt;item&gt;210&lt;/item&gt;&lt;item&gt;212&lt;/item&gt;&lt;item&gt;213&lt;/item&gt;&lt;item&gt;217&lt;/item&gt;&lt;item&gt;219&lt;/item&gt;&lt;item&gt;226&lt;/item&gt;&lt;item&gt;227&lt;/item&gt;&lt;item&gt;228&lt;/item&gt;&lt;item&gt;229&lt;/item&gt;&lt;item&gt;232&lt;/item&gt;&lt;item&gt;233&lt;/item&gt;&lt;item&gt;235&lt;/item&gt;&lt;item&gt;236&lt;/item&gt;&lt;item&gt;238&lt;/item&gt;&lt;item&gt;239&lt;/item&gt;&lt;item&gt;240&lt;/item&gt;&lt;item&gt;241&lt;/item&gt;&lt;/record-ids&gt;&lt;/item&gt;&lt;item db-id=&quot;zfxddpe9dazxwqexsxl5tadvtfxarw9sx22e&quot;&gt;MSAC 1702 MRI renal tumours&lt;record-ids&gt;&lt;item&gt;2&lt;/item&gt;&lt;item&gt;3&lt;/item&gt;&lt;item&gt;4&lt;/item&gt;&lt;item&gt;5&lt;/item&gt;&lt;item&gt;9&lt;/item&gt;&lt;item&gt;12&lt;/item&gt;&lt;item&gt;14&lt;/item&gt;&lt;item&gt;17&lt;/item&gt;&lt;item&gt;18&lt;/item&gt;&lt;item&gt;19&lt;/item&gt;&lt;item&gt;20&lt;/item&gt;&lt;item&gt;21&lt;/item&gt;&lt;item&gt;22&lt;/item&gt;&lt;item&gt;23&lt;/item&gt;&lt;item&gt;25&lt;/item&gt;&lt;item&gt;26&lt;/item&gt;&lt;item&gt;29&lt;/item&gt;&lt;item&gt;30&lt;/item&gt;&lt;item&gt;31&lt;/item&gt;&lt;item&gt;32&lt;/item&gt;&lt;item&gt;34&lt;/item&gt;&lt;item&gt;41&lt;/item&gt;&lt;item&gt;42&lt;/item&gt;&lt;item&gt;43&lt;/item&gt;&lt;item&gt;48&lt;/item&gt;&lt;item&gt;49&lt;/item&gt;&lt;item&gt;55&lt;/item&gt;&lt;item&gt;60&lt;/item&gt;&lt;item&gt;61&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8&lt;/item&gt;&lt;item&gt;119&lt;/item&gt;&lt;item&gt;120&lt;/item&gt;&lt;item&gt;121&lt;/item&gt;&lt;item&gt;124&lt;/item&gt;&lt;item&gt;126&lt;/item&gt;&lt;item&gt;127&lt;/item&gt;&lt;item&gt;128&lt;/item&gt;&lt;item&gt;129&lt;/item&gt;&lt;item&gt;130&lt;/item&gt;&lt;item&gt;131&lt;/item&gt;&lt;item&gt;132&lt;/item&gt;&lt;item&gt;133&lt;/item&gt;&lt;item&gt;134&lt;/item&gt;&lt;item&gt;135&lt;/item&gt;&lt;item&gt;136&lt;/item&gt;&lt;item&gt;137&lt;/item&gt;&lt;item&gt;138&lt;/item&gt;&lt;item&gt;139&lt;/item&gt;&lt;item&gt;140&lt;/item&gt;&lt;item&gt;141&lt;/item&gt;&lt;item&gt;143&lt;/item&gt;&lt;item&gt;144&lt;/item&gt;&lt;item&gt;145&lt;/item&gt;&lt;item&gt;146&lt;/item&gt;&lt;item&gt;147&lt;/item&gt;&lt;item&gt;148&lt;/item&gt;&lt;item&gt;149&lt;/item&gt;&lt;item&gt;150&lt;/item&gt;&lt;item&gt;151&lt;/item&gt;&lt;item&gt;152&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70&lt;/item&gt;&lt;item&gt;171&lt;/item&gt;&lt;item&gt;172&lt;/item&gt;&lt;item&gt;173&lt;/item&gt;&lt;item&gt;176&lt;/item&gt;&lt;item&gt;177&lt;/item&gt;&lt;item&gt;178&lt;/item&gt;&lt;item&gt;180&lt;/item&gt;&lt;item&gt;181&lt;/item&gt;&lt;item&gt;182&lt;/item&gt;&lt;item&gt;185&lt;/item&gt;&lt;item&gt;186&lt;/item&gt;&lt;item&gt;187&lt;/item&gt;&lt;item&gt;188&lt;/item&gt;&lt;item&gt;190&lt;/item&gt;&lt;item&gt;192&lt;/item&gt;&lt;item&gt;193&lt;/item&gt;&lt;item&gt;194&lt;/item&gt;&lt;item&gt;195&lt;/item&gt;&lt;/record-ids&gt;&lt;/item&gt;&lt;/Libraries&gt;"/>
  </w:docVars>
  <w:rsids>
    <w:rsidRoot w:val="008157F1"/>
    <w:rsid w:val="000004FA"/>
    <w:rsid w:val="000009BA"/>
    <w:rsid w:val="0000109A"/>
    <w:rsid w:val="0000162A"/>
    <w:rsid w:val="00001AE6"/>
    <w:rsid w:val="000025F1"/>
    <w:rsid w:val="000027BC"/>
    <w:rsid w:val="00003418"/>
    <w:rsid w:val="00003656"/>
    <w:rsid w:val="00004116"/>
    <w:rsid w:val="000043EC"/>
    <w:rsid w:val="00004D69"/>
    <w:rsid w:val="00004DD8"/>
    <w:rsid w:val="00004F62"/>
    <w:rsid w:val="00004F7F"/>
    <w:rsid w:val="000054C9"/>
    <w:rsid w:val="00006FFC"/>
    <w:rsid w:val="000072F3"/>
    <w:rsid w:val="00007615"/>
    <w:rsid w:val="0000772F"/>
    <w:rsid w:val="00007868"/>
    <w:rsid w:val="00007F59"/>
    <w:rsid w:val="00011568"/>
    <w:rsid w:val="00013D18"/>
    <w:rsid w:val="00014974"/>
    <w:rsid w:val="00014DB3"/>
    <w:rsid w:val="000170BD"/>
    <w:rsid w:val="000175C8"/>
    <w:rsid w:val="0001760F"/>
    <w:rsid w:val="0002072F"/>
    <w:rsid w:val="00021813"/>
    <w:rsid w:val="00021D3D"/>
    <w:rsid w:val="000225C2"/>
    <w:rsid w:val="000227C0"/>
    <w:rsid w:val="000228B8"/>
    <w:rsid w:val="00022AF3"/>
    <w:rsid w:val="0002381B"/>
    <w:rsid w:val="00023CA5"/>
    <w:rsid w:val="00024EA5"/>
    <w:rsid w:val="0002507F"/>
    <w:rsid w:val="000253CF"/>
    <w:rsid w:val="00026EE5"/>
    <w:rsid w:val="0002755F"/>
    <w:rsid w:val="00027EC2"/>
    <w:rsid w:val="000318E8"/>
    <w:rsid w:val="00032294"/>
    <w:rsid w:val="00033F8D"/>
    <w:rsid w:val="0003423A"/>
    <w:rsid w:val="000344EB"/>
    <w:rsid w:val="0003460A"/>
    <w:rsid w:val="0003477F"/>
    <w:rsid w:val="00034CCC"/>
    <w:rsid w:val="00034FBA"/>
    <w:rsid w:val="00035B35"/>
    <w:rsid w:val="00036AD8"/>
    <w:rsid w:val="00037037"/>
    <w:rsid w:val="00037302"/>
    <w:rsid w:val="000375E3"/>
    <w:rsid w:val="0004005D"/>
    <w:rsid w:val="00040ADF"/>
    <w:rsid w:val="00040FB4"/>
    <w:rsid w:val="00041469"/>
    <w:rsid w:val="0004178C"/>
    <w:rsid w:val="00041F5D"/>
    <w:rsid w:val="00042B9A"/>
    <w:rsid w:val="00043C72"/>
    <w:rsid w:val="000443A6"/>
    <w:rsid w:val="0004474F"/>
    <w:rsid w:val="000449D1"/>
    <w:rsid w:val="00044B5F"/>
    <w:rsid w:val="00044C9C"/>
    <w:rsid w:val="0004544D"/>
    <w:rsid w:val="00045B8D"/>
    <w:rsid w:val="00045CC5"/>
    <w:rsid w:val="00046B6A"/>
    <w:rsid w:val="00046F80"/>
    <w:rsid w:val="000472D4"/>
    <w:rsid w:val="00047748"/>
    <w:rsid w:val="0004785E"/>
    <w:rsid w:val="00047DAD"/>
    <w:rsid w:val="00050BDC"/>
    <w:rsid w:val="000523DA"/>
    <w:rsid w:val="00052DD3"/>
    <w:rsid w:val="00053073"/>
    <w:rsid w:val="0005326D"/>
    <w:rsid w:val="000532CE"/>
    <w:rsid w:val="00053F6C"/>
    <w:rsid w:val="000541B5"/>
    <w:rsid w:val="00054A6C"/>
    <w:rsid w:val="000556C1"/>
    <w:rsid w:val="00055C9C"/>
    <w:rsid w:val="00057334"/>
    <w:rsid w:val="000573E1"/>
    <w:rsid w:val="000601F8"/>
    <w:rsid w:val="0006025C"/>
    <w:rsid w:val="00060742"/>
    <w:rsid w:val="0006133E"/>
    <w:rsid w:val="00061939"/>
    <w:rsid w:val="000622E7"/>
    <w:rsid w:val="000623DE"/>
    <w:rsid w:val="00062B4B"/>
    <w:rsid w:val="0006339C"/>
    <w:rsid w:val="000636B6"/>
    <w:rsid w:val="00064783"/>
    <w:rsid w:val="000647C2"/>
    <w:rsid w:val="00064CEB"/>
    <w:rsid w:val="00065910"/>
    <w:rsid w:val="0006603D"/>
    <w:rsid w:val="0007021F"/>
    <w:rsid w:val="000709A0"/>
    <w:rsid w:val="000712B2"/>
    <w:rsid w:val="00071DE0"/>
    <w:rsid w:val="00072D09"/>
    <w:rsid w:val="00073544"/>
    <w:rsid w:val="00074199"/>
    <w:rsid w:val="00074AEA"/>
    <w:rsid w:val="00076BAD"/>
    <w:rsid w:val="00077F22"/>
    <w:rsid w:val="00080241"/>
    <w:rsid w:val="00081778"/>
    <w:rsid w:val="00086336"/>
    <w:rsid w:val="000870B6"/>
    <w:rsid w:val="00087A59"/>
    <w:rsid w:val="000905DE"/>
    <w:rsid w:val="00090613"/>
    <w:rsid w:val="00090BD1"/>
    <w:rsid w:val="00091857"/>
    <w:rsid w:val="00091C59"/>
    <w:rsid w:val="00092A21"/>
    <w:rsid w:val="00093132"/>
    <w:rsid w:val="0009331F"/>
    <w:rsid w:val="00093366"/>
    <w:rsid w:val="00093D9A"/>
    <w:rsid w:val="00093F26"/>
    <w:rsid w:val="00093F43"/>
    <w:rsid w:val="00094656"/>
    <w:rsid w:val="00094A26"/>
    <w:rsid w:val="00095128"/>
    <w:rsid w:val="00095AC6"/>
    <w:rsid w:val="00095C5F"/>
    <w:rsid w:val="00095C62"/>
    <w:rsid w:val="00095E34"/>
    <w:rsid w:val="00096729"/>
    <w:rsid w:val="00096B04"/>
    <w:rsid w:val="00096B52"/>
    <w:rsid w:val="00096C8C"/>
    <w:rsid w:val="000971D7"/>
    <w:rsid w:val="000A01CA"/>
    <w:rsid w:val="000A0F7B"/>
    <w:rsid w:val="000A10BF"/>
    <w:rsid w:val="000A1960"/>
    <w:rsid w:val="000A24FC"/>
    <w:rsid w:val="000A2ACD"/>
    <w:rsid w:val="000A2AE7"/>
    <w:rsid w:val="000A2B65"/>
    <w:rsid w:val="000A2DA8"/>
    <w:rsid w:val="000A3237"/>
    <w:rsid w:val="000A3B6D"/>
    <w:rsid w:val="000A489A"/>
    <w:rsid w:val="000A4D79"/>
    <w:rsid w:val="000A4E2F"/>
    <w:rsid w:val="000A4EA2"/>
    <w:rsid w:val="000A50EA"/>
    <w:rsid w:val="000A59AD"/>
    <w:rsid w:val="000A5C47"/>
    <w:rsid w:val="000A6107"/>
    <w:rsid w:val="000A629E"/>
    <w:rsid w:val="000A644E"/>
    <w:rsid w:val="000A6524"/>
    <w:rsid w:val="000A6B30"/>
    <w:rsid w:val="000A6E8F"/>
    <w:rsid w:val="000A719D"/>
    <w:rsid w:val="000A78DE"/>
    <w:rsid w:val="000B0E28"/>
    <w:rsid w:val="000B1EDC"/>
    <w:rsid w:val="000B2501"/>
    <w:rsid w:val="000B2613"/>
    <w:rsid w:val="000B305B"/>
    <w:rsid w:val="000B3330"/>
    <w:rsid w:val="000B3558"/>
    <w:rsid w:val="000B47DB"/>
    <w:rsid w:val="000B4B63"/>
    <w:rsid w:val="000B4BAC"/>
    <w:rsid w:val="000B5BB4"/>
    <w:rsid w:val="000B611D"/>
    <w:rsid w:val="000B6454"/>
    <w:rsid w:val="000B6462"/>
    <w:rsid w:val="000B6466"/>
    <w:rsid w:val="000B6CF0"/>
    <w:rsid w:val="000B6E6B"/>
    <w:rsid w:val="000B720C"/>
    <w:rsid w:val="000B725B"/>
    <w:rsid w:val="000B735D"/>
    <w:rsid w:val="000B7665"/>
    <w:rsid w:val="000B7A62"/>
    <w:rsid w:val="000B7D53"/>
    <w:rsid w:val="000C00B2"/>
    <w:rsid w:val="000C36BB"/>
    <w:rsid w:val="000C4713"/>
    <w:rsid w:val="000C62D4"/>
    <w:rsid w:val="000C7C46"/>
    <w:rsid w:val="000D141F"/>
    <w:rsid w:val="000D1B52"/>
    <w:rsid w:val="000D27BD"/>
    <w:rsid w:val="000D4240"/>
    <w:rsid w:val="000D4C1B"/>
    <w:rsid w:val="000D5523"/>
    <w:rsid w:val="000D6FA2"/>
    <w:rsid w:val="000D76EF"/>
    <w:rsid w:val="000D7991"/>
    <w:rsid w:val="000E002D"/>
    <w:rsid w:val="000E0236"/>
    <w:rsid w:val="000E03DC"/>
    <w:rsid w:val="000E047E"/>
    <w:rsid w:val="000E1124"/>
    <w:rsid w:val="000E1176"/>
    <w:rsid w:val="000E1C93"/>
    <w:rsid w:val="000E27F8"/>
    <w:rsid w:val="000E2F52"/>
    <w:rsid w:val="000E40CB"/>
    <w:rsid w:val="000E4706"/>
    <w:rsid w:val="000E4B57"/>
    <w:rsid w:val="000E4F2E"/>
    <w:rsid w:val="000E4F7A"/>
    <w:rsid w:val="000E5531"/>
    <w:rsid w:val="000E57ED"/>
    <w:rsid w:val="000E6126"/>
    <w:rsid w:val="000E63FD"/>
    <w:rsid w:val="000E6410"/>
    <w:rsid w:val="000E668E"/>
    <w:rsid w:val="000E678B"/>
    <w:rsid w:val="000E67FA"/>
    <w:rsid w:val="000E6A7F"/>
    <w:rsid w:val="000E6B49"/>
    <w:rsid w:val="000E6CD9"/>
    <w:rsid w:val="000E7C2E"/>
    <w:rsid w:val="000F1190"/>
    <w:rsid w:val="000F2B48"/>
    <w:rsid w:val="000F2E01"/>
    <w:rsid w:val="000F36CB"/>
    <w:rsid w:val="000F4AE0"/>
    <w:rsid w:val="000F4F16"/>
    <w:rsid w:val="000F4F59"/>
    <w:rsid w:val="000F5A54"/>
    <w:rsid w:val="000F72BA"/>
    <w:rsid w:val="000F72CF"/>
    <w:rsid w:val="000F772E"/>
    <w:rsid w:val="000F7772"/>
    <w:rsid w:val="000F7987"/>
    <w:rsid w:val="0010051C"/>
    <w:rsid w:val="00100522"/>
    <w:rsid w:val="0010077B"/>
    <w:rsid w:val="0010105F"/>
    <w:rsid w:val="001031F9"/>
    <w:rsid w:val="001038EE"/>
    <w:rsid w:val="0010448B"/>
    <w:rsid w:val="00104757"/>
    <w:rsid w:val="0010521F"/>
    <w:rsid w:val="0010625A"/>
    <w:rsid w:val="0010643D"/>
    <w:rsid w:val="00107524"/>
    <w:rsid w:val="00107DCD"/>
    <w:rsid w:val="00107ED4"/>
    <w:rsid w:val="00107EF0"/>
    <w:rsid w:val="00110E33"/>
    <w:rsid w:val="00111417"/>
    <w:rsid w:val="00112FA0"/>
    <w:rsid w:val="00113265"/>
    <w:rsid w:val="001136E7"/>
    <w:rsid w:val="00113A07"/>
    <w:rsid w:val="00113C60"/>
    <w:rsid w:val="00114C3B"/>
    <w:rsid w:val="00114E8D"/>
    <w:rsid w:val="00114FB8"/>
    <w:rsid w:val="00115151"/>
    <w:rsid w:val="00115691"/>
    <w:rsid w:val="0011662B"/>
    <w:rsid w:val="00117039"/>
    <w:rsid w:val="00117F04"/>
    <w:rsid w:val="00120851"/>
    <w:rsid w:val="001227FC"/>
    <w:rsid w:val="00122AE3"/>
    <w:rsid w:val="00122EE1"/>
    <w:rsid w:val="00123658"/>
    <w:rsid w:val="001237AF"/>
    <w:rsid w:val="0012398B"/>
    <w:rsid w:val="001247EB"/>
    <w:rsid w:val="00124F3C"/>
    <w:rsid w:val="00124F77"/>
    <w:rsid w:val="00124FCE"/>
    <w:rsid w:val="00125B61"/>
    <w:rsid w:val="00126122"/>
    <w:rsid w:val="001261D4"/>
    <w:rsid w:val="00130A20"/>
    <w:rsid w:val="00131737"/>
    <w:rsid w:val="00131D45"/>
    <w:rsid w:val="00131F85"/>
    <w:rsid w:val="001320F0"/>
    <w:rsid w:val="001331A1"/>
    <w:rsid w:val="001336E0"/>
    <w:rsid w:val="00133F2A"/>
    <w:rsid w:val="00133F34"/>
    <w:rsid w:val="00134EB3"/>
    <w:rsid w:val="00135273"/>
    <w:rsid w:val="001356D5"/>
    <w:rsid w:val="00135815"/>
    <w:rsid w:val="00135FC9"/>
    <w:rsid w:val="00140188"/>
    <w:rsid w:val="0014125B"/>
    <w:rsid w:val="0014128A"/>
    <w:rsid w:val="00141D4D"/>
    <w:rsid w:val="00143199"/>
    <w:rsid w:val="00143478"/>
    <w:rsid w:val="00143F2F"/>
    <w:rsid w:val="00144C76"/>
    <w:rsid w:val="00145250"/>
    <w:rsid w:val="001455DC"/>
    <w:rsid w:val="0014657D"/>
    <w:rsid w:val="00146624"/>
    <w:rsid w:val="00147787"/>
    <w:rsid w:val="00147DE0"/>
    <w:rsid w:val="00150376"/>
    <w:rsid w:val="001513A4"/>
    <w:rsid w:val="00151DBD"/>
    <w:rsid w:val="0015270D"/>
    <w:rsid w:val="001531D6"/>
    <w:rsid w:val="00153D63"/>
    <w:rsid w:val="00155434"/>
    <w:rsid w:val="0015550D"/>
    <w:rsid w:val="00155BDA"/>
    <w:rsid w:val="001563C8"/>
    <w:rsid w:val="00156FA7"/>
    <w:rsid w:val="0016023A"/>
    <w:rsid w:val="001620F3"/>
    <w:rsid w:val="00162421"/>
    <w:rsid w:val="00162542"/>
    <w:rsid w:val="00162DBF"/>
    <w:rsid w:val="00164989"/>
    <w:rsid w:val="00164CF8"/>
    <w:rsid w:val="00164E8E"/>
    <w:rsid w:val="00164EEC"/>
    <w:rsid w:val="0016507E"/>
    <w:rsid w:val="001653AE"/>
    <w:rsid w:val="00165416"/>
    <w:rsid w:val="00167080"/>
    <w:rsid w:val="00167C63"/>
    <w:rsid w:val="00170215"/>
    <w:rsid w:val="00170932"/>
    <w:rsid w:val="00170A59"/>
    <w:rsid w:val="00170D5B"/>
    <w:rsid w:val="00171009"/>
    <w:rsid w:val="001721FD"/>
    <w:rsid w:val="00172B8F"/>
    <w:rsid w:val="001732F1"/>
    <w:rsid w:val="001736F8"/>
    <w:rsid w:val="00173D85"/>
    <w:rsid w:val="00174CD2"/>
    <w:rsid w:val="00174FD4"/>
    <w:rsid w:val="00176D2F"/>
    <w:rsid w:val="001774A5"/>
    <w:rsid w:val="00180189"/>
    <w:rsid w:val="00180658"/>
    <w:rsid w:val="001817E1"/>
    <w:rsid w:val="0018293A"/>
    <w:rsid w:val="00183975"/>
    <w:rsid w:val="00184BAE"/>
    <w:rsid w:val="00184C80"/>
    <w:rsid w:val="00184CA5"/>
    <w:rsid w:val="00184E34"/>
    <w:rsid w:val="00186198"/>
    <w:rsid w:val="0018652C"/>
    <w:rsid w:val="0018789C"/>
    <w:rsid w:val="00190965"/>
    <w:rsid w:val="00191004"/>
    <w:rsid w:val="00192423"/>
    <w:rsid w:val="001924EE"/>
    <w:rsid w:val="0019362A"/>
    <w:rsid w:val="00193BBC"/>
    <w:rsid w:val="00193C98"/>
    <w:rsid w:val="00194181"/>
    <w:rsid w:val="001944DF"/>
    <w:rsid w:val="0019453C"/>
    <w:rsid w:val="001946E3"/>
    <w:rsid w:val="0019474E"/>
    <w:rsid w:val="001954FD"/>
    <w:rsid w:val="00195728"/>
    <w:rsid w:val="00196E82"/>
    <w:rsid w:val="001970C0"/>
    <w:rsid w:val="00197366"/>
    <w:rsid w:val="001A0A96"/>
    <w:rsid w:val="001A1CB7"/>
    <w:rsid w:val="001A232F"/>
    <w:rsid w:val="001A382A"/>
    <w:rsid w:val="001A3CC7"/>
    <w:rsid w:val="001A40B2"/>
    <w:rsid w:val="001A420B"/>
    <w:rsid w:val="001A4338"/>
    <w:rsid w:val="001A444D"/>
    <w:rsid w:val="001A4B7E"/>
    <w:rsid w:val="001A4B97"/>
    <w:rsid w:val="001A4F7D"/>
    <w:rsid w:val="001A5D85"/>
    <w:rsid w:val="001A6E22"/>
    <w:rsid w:val="001A76A4"/>
    <w:rsid w:val="001A7B42"/>
    <w:rsid w:val="001A7D8F"/>
    <w:rsid w:val="001A7DDF"/>
    <w:rsid w:val="001B0E7B"/>
    <w:rsid w:val="001B1C7C"/>
    <w:rsid w:val="001B1FEB"/>
    <w:rsid w:val="001B2034"/>
    <w:rsid w:val="001B2A97"/>
    <w:rsid w:val="001B2B18"/>
    <w:rsid w:val="001B2CD4"/>
    <w:rsid w:val="001B3AEB"/>
    <w:rsid w:val="001B564F"/>
    <w:rsid w:val="001B6634"/>
    <w:rsid w:val="001B7329"/>
    <w:rsid w:val="001C174A"/>
    <w:rsid w:val="001C1D05"/>
    <w:rsid w:val="001C2786"/>
    <w:rsid w:val="001C2A48"/>
    <w:rsid w:val="001C30E8"/>
    <w:rsid w:val="001C43D9"/>
    <w:rsid w:val="001C4450"/>
    <w:rsid w:val="001C5167"/>
    <w:rsid w:val="001C5DEA"/>
    <w:rsid w:val="001C6293"/>
    <w:rsid w:val="001C69E3"/>
    <w:rsid w:val="001C6DFD"/>
    <w:rsid w:val="001C7486"/>
    <w:rsid w:val="001D07FD"/>
    <w:rsid w:val="001D0CE6"/>
    <w:rsid w:val="001D0E25"/>
    <w:rsid w:val="001D164A"/>
    <w:rsid w:val="001D1F1B"/>
    <w:rsid w:val="001D2416"/>
    <w:rsid w:val="001D3146"/>
    <w:rsid w:val="001D32C0"/>
    <w:rsid w:val="001D3A64"/>
    <w:rsid w:val="001D5516"/>
    <w:rsid w:val="001D5793"/>
    <w:rsid w:val="001D5E68"/>
    <w:rsid w:val="001D65D6"/>
    <w:rsid w:val="001D74A7"/>
    <w:rsid w:val="001D759C"/>
    <w:rsid w:val="001D7842"/>
    <w:rsid w:val="001D7A6A"/>
    <w:rsid w:val="001D7EE0"/>
    <w:rsid w:val="001E0D26"/>
    <w:rsid w:val="001E13F0"/>
    <w:rsid w:val="001E15F2"/>
    <w:rsid w:val="001E22F7"/>
    <w:rsid w:val="001E36CA"/>
    <w:rsid w:val="001E3801"/>
    <w:rsid w:val="001E465F"/>
    <w:rsid w:val="001E5E63"/>
    <w:rsid w:val="001E7DFB"/>
    <w:rsid w:val="001F0B6F"/>
    <w:rsid w:val="001F1EE4"/>
    <w:rsid w:val="001F278C"/>
    <w:rsid w:val="001F2902"/>
    <w:rsid w:val="001F2B4F"/>
    <w:rsid w:val="001F31C8"/>
    <w:rsid w:val="001F3871"/>
    <w:rsid w:val="001F3926"/>
    <w:rsid w:val="001F3F23"/>
    <w:rsid w:val="001F3F36"/>
    <w:rsid w:val="001F4E8C"/>
    <w:rsid w:val="001F5127"/>
    <w:rsid w:val="001F5858"/>
    <w:rsid w:val="001F647E"/>
    <w:rsid w:val="001F658C"/>
    <w:rsid w:val="001F675C"/>
    <w:rsid w:val="001F6F44"/>
    <w:rsid w:val="001F7563"/>
    <w:rsid w:val="001F77F3"/>
    <w:rsid w:val="0020005D"/>
    <w:rsid w:val="00202302"/>
    <w:rsid w:val="00202C25"/>
    <w:rsid w:val="00202F04"/>
    <w:rsid w:val="00203584"/>
    <w:rsid w:val="00203AB4"/>
    <w:rsid w:val="00204155"/>
    <w:rsid w:val="00204CCE"/>
    <w:rsid w:val="00205135"/>
    <w:rsid w:val="00205232"/>
    <w:rsid w:val="00205520"/>
    <w:rsid w:val="0020586B"/>
    <w:rsid w:val="00205F05"/>
    <w:rsid w:val="002064B9"/>
    <w:rsid w:val="0020799B"/>
    <w:rsid w:val="00207F59"/>
    <w:rsid w:val="00210213"/>
    <w:rsid w:val="00211DC3"/>
    <w:rsid w:val="00212404"/>
    <w:rsid w:val="00212800"/>
    <w:rsid w:val="002132FC"/>
    <w:rsid w:val="00213811"/>
    <w:rsid w:val="00214ED3"/>
    <w:rsid w:val="002155B6"/>
    <w:rsid w:val="002157E4"/>
    <w:rsid w:val="00215AFB"/>
    <w:rsid w:val="00215D94"/>
    <w:rsid w:val="00215DEA"/>
    <w:rsid w:val="00216053"/>
    <w:rsid w:val="0021792D"/>
    <w:rsid w:val="00217CA7"/>
    <w:rsid w:val="00217CAE"/>
    <w:rsid w:val="002200D8"/>
    <w:rsid w:val="00220CEA"/>
    <w:rsid w:val="00221D77"/>
    <w:rsid w:val="00223186"/>
    <w:rsid w:val="00223664"/>
    <w:rsid w:val="00223A56"/>
    <w:rsid w:val="00223BBD"/>
    <w:rsid w:val="00223D53"/>
    <w:rsid w:val="002243A5"/>
    <w:rsid w:val="00225833"/>
    <w:rsid w:val="00225C15"/>
    <w:rsid w:val="00226095"/>
    <w:rsid w:val="00227113"/>
    <w:rsid w:val="00227B89"/>
    <w:rsid w:val="00227F43"/>
    <w:rsid w:val="00232076"/>
    <w:rsid w:val="0023286E"/>
    <w:rsid w:val="00232EB3"/>
    <w:rsid w:val="0023325C"/>
    <w:rsid w:val="0023346D"/>
    <w:rsid w:val="00233B60"/>
    <w:rsid w:val="0023455F"/>
    <w:rsid w:val="00234640"/>
    <w:rsid w:val="00234E54"/>
    <w:rsid w:val="002354EA"/>
    <w:rsid w:val="00235C49"/>
    <w:rsid w:val="0023628F"/>
    <w:rsid w:val="00236F7E"/>
    <w:rsid w:val="00237881"/>
    <w:rsid w:val="00240106"/>
    <w:rsid w:val="0024114B"/>
    <w:rsid w:val="002411C7"/>
    <w:rsid w:val="00241A95"/>
    <w:rsid w:val="002426B6"/>
    <w:rsid w:val="00242F4E"/>
    <w:rsid w:val="00243A89"/>
    <w:rsid w:val="0024420A"/>
    <w:rsid w:val="002449EF"/>
    <w:rsid w:val="002452A0"/>
    <w:rsid w:val="002463A6"/>
    <w:rsid w:val="00246ADB"/>
    <w:rsid w:val="002470D1"/>
    <w:rsid w:val="00247605"/>
    <w:rsid w:val="00247E15"/>
    <w:rsid w:val="002509BC"/>
    <w:rsid w:val="00250DFC"/>
    <w:rsid w:val="00251576"/>
    <w:rsid w:val="002517A5"/>
    <w:rsid w:val="002518DF"/>
    <w:rsid w:val="00251F6C"/>
    <w:rsid w:val="0025249C"/>
    <w:rsid w:val="002539ED"/>
    <w:rsid w:val="0025440D"/>
    <w:rsid w:val="002544B4"/>
    <w:rsid w:val="0025450E"/>
    <w:rsid w:val="00255152"/>
    <w:rsid w:val="0025554E"/>
    <w:rsid w:val="0025670B"/>
    <w:rsid w:val="00257B7D"/>
    <w:rsid w:val="00261454"/>
    <w:rsid w:val="00261519"/>
    <w:rsid w:val="002638F4"/>
    <w:rsid w:val="002639F8"/>
    <w:rsid w:val="00263D48"/>
    <w:rsid w:val="0026510E"/>
    <w:rsid w:val="002654FA"/>
    <w:rsid w:val="00267134"/>
    <w:rsid w:val="00267135"/>
    <w:rsid w:val="00267BA1"/>
    <w:rsid w:val="0027033A"/>
    <w:rsid w:val="002709F6"/>
    <w:rsid w:val="0027160C"/>
    <w:rsid w:val="00272E31"/>
    <w:rsid w:val="002751D1"/>
    <w:rsid w:val="00275209"/>
    <w:rsid w:val="00275AD3"/>
    <w:rsid w:val="00275F8F"/>
    <w:rsid w:val="0027639A"/>
    <w:rsid w:val="0027653F"/>
    <w:rsid w:val="002766F6"/>
    <w:rsid w:val="00276B3F"/>
    <w:rsid w:val="00276C64"/>
    <w:rsid w:val="00277521"/>
    <w:rsid w:val="002803E6"/>
    <w:rsid w:val="002819B3"/>
    <w:rsid w:val="00281EB9"/>
    <w:rsid w:val="0028291A"/>
    <w:rsid w:val="00282F82"/>
    <w:rsid w:val="00284340"/>
    <w:rsid w:val="00284A26"/>
    <w:rsid w:val="00285A51"/>
    <w:rsid w:val="00285BC7"/>
    <w:rsid w:val="00286404"/>
    <w:rsid w:val="00287570"/>
    <w:rsid w:val="002877F0"/>
    <w:rsid w:val="00287E78"/>
    <w:rsid w:val="00290676"/>
    <w:rsid w:val="00291462"/>
    <w:rsid w:val="00291572"/>
    <w:rsid w:val="00292E54"/>
    <w:rsid w:val="002933DD"/>
    <w:rsid w:val="002938A7"/>
    <w:rsid w:val="00295795"/>
    <w:rsid w:val="00295A19"/>
    <w:rsid w:val="00296AC0"/>
    <w:rsid w:val="00296BE4"/>
    <w:rsid w:val="002A04B4"/>
    <w:rsid w:val="002A145B"/>
    <w:rsid w:val="002A18BE"/>
    <w:rsid w:val="002A1C54"/>
    <w:rsid w:val="002A2FE3"/>
    <w:rsid w:val="002A3059"/>
    <w:rsid w:val="002A36F6"/>
    <w:rsid w:val="002A392E"/>
    <w:rsid w:val="002A3936"/>
    <w:rsid w:val="002A4084"/>
    <w:rsid w:val="002A4AD6"/>
    <w:rsid w:val="002A5532"/>
    <w:rsid w:val="002A5DA1"/>
    <w:rsid w:val="002A657A"/>
    <w:rsid w:val="002A7196"/>
    <w:rsid w:val="002A76AE"/>
    <w:rsid w:val="002A7B39"/>
    <w:rsid w:val="002B020D"/>
    <w:rsid w:val="002B0D9B"/>
    <w:rsid w:val="002B1384"/>
    <w:rsid w:val="002B20A6"/>
    <w:rsid w:val="002B2B75"/>
    <w:rsid w:val="002B2F65"/>
    <w:rsid w:val="002B3315"/>
    <w:rsid w:val="002B3350"/>
    <w:rsid w:val="002B3681"/>
    <w:rsid w:val="002B3AEB"/>
    <w:rsid w:val="002B3FD0"/>
    <w:rsid w:val="002B667C"/>
    <w:rsid w:val="002B6C0A"/>
    <w:rsid w:val="002B79AA"/>
    <w:rsid w:val="002B7A57"/>
    <w:rsid w:val="002B7AAC"/>
    <w:rsid w:val="002C0832"/>
    <w:rsid w:val="002C11CA"/>
    <w:rsid w:val="002C4170"/>
    <w:rsid w:val="002C45E8"/>
    <w:rsid w:val="002C47B9"/>
    <w:rsid w:val="002C48B3"/>
    <w:rsid w:val="002C4980"/>
    <w:rsid w:val="002C5990"/>
    <w:rsid w:val="002C6B22"/>
    <w:rsid w:val="002C70CE"/>
    <w:rsid w:val="002D12C0"/>
    <w:rsid w:val="002D1312"/>
    <w:rsid w:val="002D188D"/>
    <w:rsid w:val="002D19C9"/>
    <w:rsid w:val="002D1EF8"/>
    <w:rsid w:val="002D2AE5"/>
    <w:rsid w:val="002D2C1F"/>
    <w:rsid w:val="002D3E3A"/>
    <w:rsid w:val="002D45ED"/>
    <w:rsid w:val="002D4A31"/>
    <w:rsid w:val="002D4AF6"/>
    <w:rsid w:val="002D5097"/>
    <w:rsid w:val="002D5524"/>
    <w:rsid w:val="002D55E4"/>
    <w:rsid w:val="002D65FD"/>
    <w:rsid w:val="002D690D"/>
    <w:rsid w:val="002D6EE5"/>
    <w:rsid w:val="002D74F7"/>
    <w:rsid w:val="002D7E1B"/>
    <w:rsid w:val="002E05B3"/>
    <w:rsid w:val="002E1D2E"/>
    <w:rsid w:val="002E3617"/>
    <w:rsid w:val="002E5B69"/>
    <w:rsid w:val="002E645E"/>
    <w:rsid w:val="002E7775"/>
    <w:rsid w:val="002E7AD2"/>
    <w:rsid w:val="002F12B5"/>
    <w:rsid w:val="002F1399"/>
    <w:rsid w:val="002F1FA9"/>
    <w:rsid w:val="002F2608"/>
    <w:rsid w:val="002F26C3"/>
    <w:rsid w:val="002F32FB"/>
    <w:rsid w:val="002F525B"/>
    <w:rsid w:val="002F5459"/>
    <w:rsid w:val="002F5611"/>
    <w:rsid w:val="002F5F5E"/>
    <w:rsid w:val="002F5F85"/>
    <w:rsid w:val="002F693F"/>
    <w:rsid w:val="002F6A98"/>
    <w:rsid w:val="002F6F06"/>
    <w:rsid w:val="002F7510"/>
    <w:rsid w:val="002F7DF5"/>
    <w:rsid w:val="003008CC"/>
    <w:rsid w:val="0030162A"/>
    <w:rsid w:val="00301763"/>
    <w:rsid w:val="00301B05"/>
    <w:rsid w:val="00302252"/>
    <w:rsid w:val="00303711"/>
    <w:rsid w:val="00303C60"/>
    <w:rsid w:val="003042D9"/>
    <w:rsid w:val="0030443F"/>
    <w:rsid w:val="0030465F"/>
    <w:rsid w:val="00304839"/>
    <w:rsid w:val="00304FB8"/>
    <w:rsid w:val="0030580B"/>
    <w:rsid w:val="00306F38"/>
    <w:rsid w:val="00307299"/>
    <w:rsid w:val="00310B9B"/>
    <w:rsid w:val="00310C3F"/>
    <w:rsid w:val="00310E84"/>
    <w:rsid w:val="00310F59"/>
    <w:rsid w:val="003111D1"/>
    <w:rsid w:val="00312974"/>
    <w:rsid w:val="00312A10"/>
    <w:rsid w:val="00312B4C"/>
    <w:rsid w:val="003134E5"/>
    <w:rsid w:val="00313735"/>
    <w:rsid w:val="00313B22"/>
    <w:rsid w:val="003140D2"/>
    <w:rsid w:val="0031546D"/>
    <w:rsid w:val="00316202"/>
    <w:rsid w:val="0031660E"/>
    <w:rsid w:val="0031663F"/>
    <w:rsid w:val="00316E38"/>
    <w:rsid w:val="00317714"/>
    <w:rsid w:val="00317DCE"/>
    <w:rsid w:val="00320A17"/>
    <w:rsid w:val="003216EA"/>
    <w:rsid w:val="003219E9"/>
    <w:rsid w:val="00321A78"/>
    <w:rsid w:val="00322D74"/>
    <w:rsid w:val="00322DA9"/>
    <w:rsid w:val="00323AF6"/>
    <w:rsid w:val="00323DBE"/>
    <w:rsid w:val="003251C2"/>
    <w:rsid w:val="00325369"/>
    <w:rsid w:val="0032572D"/>
    <w:rsid w:val="00325747"/>
    <w:rsid w:val="00325841"/>
    <w:rsid w:val="00325FA0"/>
    <w:rsid w:val="003262C2"/>
    <w:rsid w:val="003262E6"/>
    <w:rsid w:val="00326C1E"/>
    <w:rsid w:val="00326F1C"/>
    <w:rsid w:val="00327162"/>
    <w:rsid w:val="003275C7"/>
    <w:rsid w:val="00327803"/>
    <w:rsid w:val="0033002B"/>
    <w:rsid w:val="00330A0A"/>
    <w:rsid w:val="00330DC0"/>
    <w:rsid w:val="00331359"/>
    <w:rsid w:val="003328A9"/>
    <w:rsid w:val="00332B4B"/>
    <w:rsid w:val="003332CD"/>
    <w:rsid w:val="003334E9"/>
    <w:rsid w:val="0033652A"/>
    <w:rsid w:val="00336BCB"/>
    <w:rsid w:val="003371B5"/>
    <w:rsid w:val="00337BAF"/>
    <w:rsid w:val="00340341"/>
    <w:rsid w:val="00340CEF"/>
    <w:rsid w:val="003417CB"/>
    <w:rsid w:val="00342413"/>
    <w:rsid w:val="003432F6"/>
    <w:rsid w:val="003435A9"/>
    <w:rsid w:val="00343A24"/>
    <w:rsid w:val="00344649"/>
    <w:rsid w:val="00344D19"/>
    <w:rsid w:val="00344F1B"/>
    <w:rsid w:val="00344FD7"/>
    <w:rsid w:val="00345496"/>
    <w:rsid w:val="00345BCF"/>
    <w:rsid w:val="003466F9"/>
    <w:rsid w:val="00346EBD"/>
    <w:rsid w:val="00350092"/>
    <w:rsid w:val="003508D3"/>
    <w:rsid w:val="00350C67"/>
    <w:rsid w:val="003515C0"/>
    <w:rsid w:val="003519AD"/>
    <w:rsid w:val="00351AC0"/>
    <w:rsid w:val="00351C7F"/>
    <w:rsid w:val="00351E0E"/>
    <w:rsid w:val="00351E13"/>
    <w:rsid w:val="003520DE"/>
    <w:rsid w:val="003522EC"/>
    <w:rsid w:val="003526B8"/>
    <w:rsid w:val="003533E2"/>
    <w:rsid w:val="00353EE8"/>
    <w:rsid w:val="00354EB4"/>
    <w:rsid w:val="00356D29"/>
    <w:rsid w:val="00356D5D"/>
    <w:rsid w:val="00357114"/>
    <w:rsid w:val="003571C2"/>
    <w:rsid w:val="003572D2"/>
    <w:rsid w:val="00360A7B"/>
    <w:rsid w:val="0036182E"/>
    <w:rsid w:val="003621F4"/>
    <w:rsid w:val="00362B37"/>
    <w:rsid w:val="00362BC3"/>
    <w:rsid w:val="00362D8F"/>
    <w:rsid w:val="00362F8D"/>
    <w:rsid w:val="00363364"/>
    <w:rsid w:val="00363E32"/>
    <w:rsid w:val="003640A7"/>
    <w:rsid w:val="00364EFA"/>
    <w:rsid w:val="00365447"/>
    <w:rsid w:val="00366223"/>
    <w:rsid w:val="00366624"/>
    <w:rsid w:val="00367095"/>
    <w:rsid w:val="0036794E"/>
    <w:rsid w:val="003717C8"/>
    <w:rsid w:val="00371D83"/>
    <w:rsid w:val="003742A0"/>
    <w:rsid w:val="003746D7"/>
    <w:rsid w:val="00375C2B"/>
    <w:rsid w:val="003764E5"/>
    <w:rsid w:val="00376ACA"/>
    <w:rsid w:val="003774E4"/>
    <w:rsid w:val="00380377"/>
    <w:rsid w:val="003807A1"/>
    <w:rsid w:val="00380C03"/>
    <w:rsid w:val="0038146C"/>
    <w:rsid w:val="00382609"/>
    <w:rsid w:val="00382F3D"/>
    <w:rsid w:val="00383BAF"/>
    <w:rsid w:val="00383C5D"/>
    <w:rsid w:val="0038442F"/>
    <w:rsid w:val="00384679"/>
    <w:rsid w:val="00384D0E"/>
    <w:rsid w:val="00384D7A"/>
    <w:rsid w:val="003856A8"/>
    <w:rsid w:val="00386124"/>
    <w:rsid w:val="003864D5"/>
    <w:rsid w:val="00386A66"/>
    <w:rsid w:val="00387E2B"/>
    <w:rsid w:val="00390567"/>
    <w:rsid w:val="00391768"/>
    <w:rsid w:val="00391B0F"/>
    <w:rsid w:val="00391F30"/>
    <w:rsid w:val="0039302F"/>
    <w:rsid w:val="00394286"/>
    <w:rsid w:val="00395F57"/>
    <w:rsid w:val="003966F6"/>
    <w:rsid w:val="0039677D"/>
    <w:rsid w:val="00396BB5"/>
    <w:rsid w:val="003A0660"/>
    <w:rsid w:val="003A09BB"/>
    <w:rsid w:val="003A0CD5"/>
    <w:rsid w:val="003A0D52"/>
    <w:rsid w:val="003A2511"/>
    <w:rsid w:val="003A2720"/>
    <w:rsid w:val="003A2795"/>
    <w:rsid w:val="003A2ED1"/>
    <w:rsid w:val="003A3277"/>
    <w:rsid w:val="003A3740"/>
    <w:rsid w:val="003A4C47"/>
    <w:rsid w:val="003A6724"/>
    <w:rsid w:val="003A6E1A"/>
    <w:rsid w:val="003B0BA1"/>
    <w:rsid w:val="003B0DE4"/>
    <w:rsid w:val="003B1A12"/>
    <w:rsid w:val="003B233E"/>
    <w:rsid w:val="003B28D6"/>
    <w:rsid w:val="003B2DBB"/>
    <w:rsid w:val="003B3390"/>
    <w:rsid w:val="003B4599"/>
    <w:rsid w:val="003B61B7"/>
    <w:rsid w:val="003C0CE0"/>
    <w:rsid w:val="003C183D"/>
    <w:rsid w:val="003C1AE2"/>
    <w:rsid w:val="003C22FF"/>
    <w:rsid w:val="003C3415"/>
    <w:rsid w:val="003C3653"/>
    <w:rsid w:val="003C3B0B"/>
    <w:rsid w:val="003C3C71"/>
    <w:rsid w:val="003C48BC"/>
    <w:rsid w:val="003C4F8F"/>
    <w:rsid w:val="003C570C"/>
    <w:rsid w:val="003C6291"/>
    <w:rsid w:val="003C6B59"/>
    <w:rsid w:val="003D080A"/>
    <w:rsid w:val="003D12C4"/>
    <w:rsid w:val="003D27B1"/>
    <w:rsid w:val="003D299E"/>
    <w:rsid w:val="003D2A73"/>
    <w:rsid w:val="003D2F27"/>
    <w:rsid w:val="003D337C"/>
    <w:rsid w:val="003D3C21"/>
    <w:rsid w:val="003D4182"/>
    <w:rsid w:val="003D44C0"/>
    <w:rsid w:val="003D454D"/>
    <w:rsid w:val="003D4CB2"/>
    <w:rsid w:val="003D5587"/>
    <w:rsid w:val="003D55E1"/>
    <w:rsid w:val="003D5EB1"/>
    <w:rsid w:val="003D6016"/>
    <w:rsid w:val="003D641A"/>
    <w:rsid w:val="003D6EC8"/>
    <w:rsid w:val="003D6F3B"/>
    <w:rsid w:val="003D71EB"/>
    <w:rsid w:val="003E0DE6"/>
    <w:rsid w:val="003E19F5"/>
    <w:rsid w:val="003E1E56"/>
    <w:rsid w:val="003E22CB"/>
    <w:rsid w:val="003E2343"/>
    <w:rsid w:val="003E23D0"/>
    <w:rsid w:val="003E3945"/>
    <w:rsid w:val="003E394E"/>
    <w:rsid w:val="003E3D4D"/>
    <w:rsid w:val="003E406B"/>
    <w:rsid w:val="003E4F96"/>
    <w:rsid w:val="003E5030"/>
    <w:rsid w:val="003E5CCA"/>
    <w:rsid w:val="003E67E3"/>
    <w:rsid w:val="003E741E"/>
    <w:rsid w:val="003E7773"/>
    <w:rsid w:val="003F115E"/>
    <w:rsid w:val="003F14C2"/>
    <w:rsid w:val="003F220B"/>
    <w:rsid w:val="003F2210"/>
    <w:rsid w:val="003F2422"/>
    <w:rsid w:val="003F2708"/>
    <w:rsid w:val="003F278F"/>
    <w:rsid w:val="003F34BB"/>
    <w:rsid w:val="003F40CD"/>
    <w:rsid w:val="003F4A52"/>
    <w:rsid w:val="003F4BB4"/>
    <w:rsid w:val="003F505D"/>
    <w:rsid w:val="003F535C"/>
    <w:rsid w:val="003F6670"/>
    <w:rsid w:val="003F7196"/>
    <w:rsid w:val="003F7644"/>
    <w:rsid w:val="00400392"/>
    <w:rsid w:val="004008AF"/>
    <w:rsid w:val="00400B5F"/>
    <w:rsid w:val="00400CC7"/>
    <w:rsid w:val="00401DBF"/>
    <w:rsid w:val="00401E11"/>
    <w:rsid w:val="004028E1"/>
    <w:rsid w:val="00402F71"/>
    <w:rsid w:val="004033D9"/>
    <w:rsid w:val="0040395A"/>
    <w:rsid w:val="0040471E"/>
    <w:rsid w:val="00404A94"/>
    <w:rsid w:val="0040551F"/>
    <w:rsid w:val="00405651"/>
    <w:rsid w:val="0040760F"/>
    <w:rsid w:val="0040771F"/>
    <w:rsid w:val="004111F7"/>
    <w:rsid w:val="00411951"/>
    <w:rsid w:val="00411D7A"/>
    <w:rsid w:val="0041217D"/>
    <w:rsid w:val="004125C6"/>
    <w:rsid w:val="0041275F"/>
    <w:rsid w:val="00412948"/>
    <w:rsid w:val="00412B81"/>
    <w:rsid w:val="00413211"/>
    <w:rsid w:val="00413800"/>
    <w:rsid w:val="00414418"/>
    <w:rsid w:val="00415CD3"/>
    <w:rsid w:val="00417142"/>
    <w:rsid w:val="0041760D"/>
    <w:rsid w:val="00417EC6"/>
    <w:rsid w:val="00417F51"/>
    <w:rsid w:val="004203CC"/>
    <w:rsid w:val="00421A89"/>
    <w:rsid w:val="00421EBC"/>
    <w:rsid w:val="00421FF1"/>
    <w:rsid w:val="00422474"/>
    <w:rsid w:val="00422904"/>
    <w:rsid w:val="0042304B"/>
    <w:rsid w:val="004231D9"/>
    <w:rsid w:val="00424084"/>
    <w:rsid w:val="004241E8"/>
    <w:rsid w:val="004245DF"/>
    <w:rsid w:val="0042461A"/>
    <w:rsid w:val="00424AA8"/>
    <w:rsid w:val="00425FD2"/>
    <w:rsid w:val="00426F8C"/>
    <w:rsid w:val="00427094"/>
    <w:rsid w:val="004273AD"/>
    <w:rsid w:val="0042755A"/>
    <w:rsid w:val="0042764E"/>
    <w:rsid w:val="004305AE"/>
    <w:rsid w:val="00431800"/>
    <w:rsid w:val="004324E8"/>
    <w:rsid w:val="004326C3"/>
    <w:rsid w:val="00433541"/>
    <w:rsid w:val="00433684"/>
    <w:rsid w:val="00434292"/>
    <w:rsid w:val="00434F65"/>
    <w:rsid w:val="00436486"/>
    <w:rsid w:val="00436514"/>
    <w:rsid w:val="00436549"/>
    <w:rsid w:val="00437D1E"/>
    <w:rsid w:val="00440068"/>
    <w:rsid w:val="00440A1B"/>
    <w:rsid w:val="00441368"/>
    <w:rsid w:val="00441CDB"/>
    <w:rsid w:val="00442033"/>
    <w:rsid w:val="00442326"/>
    <w:rsid w:val="004423F7"/>
    <w:rsid w:val="00442A49"/>
    <w:rsid w:val="0044307A"/>
    <w:rsid w:val="00443577"/>
    <w:rsid w:val="00443C2D"/>
    <w:rsid w:val="004440CE"/>
    <w:rsid w:val="0044442B"/>
    <w:rsid w:val="0044527E"/>
    <w:rsid w:val="004455BB"/>
    <w:rsid w:val="0044597F"/>
    <w:rsid w:val="0044690B"/>
    <w:rsid w:val="00446B0F"/>
    <w:rsid w:val="00446BBE"/>
    <w:rsid w:val="0044782C"/>
    <w:rsid w:val="00447838"/>
    <w:rsid w:val="00447953"/>
    <w:rsid w:val="004504EF"/>
    <w:rsid w:val="0045093D"/>
    <w:rsid w:val="00450ACD"/>
    <w:rsid w:val="00451645"/>
    <w:rsid w:val="004536DE"/>
    <w:rsid w:val="00453C06"/>
    <w:rsid w:val="00453DCA"/>
    <w:rsid w:val="00453E4F"/>
    <w:rsid w:val="004544F8"/>
    <w:rsid w:val="00454F8E"/>
    <w:rsid w:val="0045513F"/>
    <w:rsid w:val="004554A6"/>
    <w:rsid w:val="00456018"/>
    <w:rsid w:val="00456AE4"/>
    <w:rsid w:val="00457AA2"/>
    <w:rsid w:val="00460614"/>
    <w:rsid w:val="00460640"/>
    <w:rsid w:val="00460D2E"/>
    <w:rsid w:val="00460EC0"/>
    <w:rsid w:val="00461389"/>
    <w:rsid w:val="004618FA"/>
    <w:rsid w:val="00461CCC"/>
    <w:rsid w:val="00462778"/>
    <w:rsid w:val="004640C6"/>
    <w:rsid w:val="00464830"/>
    <w:rsid w:val="00464A61"/>
    <w:rsid w:val="00464F6C"/>
    <w:rsid w:val="004661B5"/>
    <w:rsid w:val="00466236"/>
    <w:rsid w:val="004664AA"/>
    <w:rsid w:val="004665CC"/>
    <w:rsid w:val="0046668D"/>
    <w:rsid w:val="00467FAF"/>
    <w:rsid w:val="004717F1"/>
    <w:rsid w:val="00471D0D"/>
    <w:rsid w:val="00471D80"/>
    <w:rsid w:val="00471F18"/>
    <w:rsid w:val="00472EDF"/>
    <w:rsid w:val="00472F5A"/>
    <w:rsid w:val="00474A6A"/>
    <w:rsid w:val="00474DD6"/>
    <w:rsid w:val="00474E01"/>
    <w:rsid w:val="00482804"/>
    <w:rsid w:val="00482B47"/>
    <w:rsid w:val="0048323E"/>
    <w:rsid w:val="004834D8"/>
    <w:rsid w:val="00484DC5"/>
    <w:rsid w:val="00485675"/>
    <w:rsid w:val="00485F2F"/>
    <w:rsid w:val="0048693F"/>
    <w:rsid w:val="00486F2F"/>
    <w:rsid w:val="004876CC"/>
    <w:rsid w:val="00487C85"/>
    <w:rsid w:val="00487F08"/>
    <w:rsid w:val="00490DC4"/>
    <w:rsid w:val="004929E1"/>
    <w:rsid w:val="00492E57"/>
    <w:rsid w:val="00493ABA"/>
    <w:rsid w:val="004942DF"/>
    <w:rsid w:val="0049441D"/>
    <w:rsid w:val="00494F64"/>
    <w:rsid w:val="00495091"/>
    <w:rsid w:val="00496734"/>
    <w:rsid w:val="00497B9F"/>
    <w:rsid w:val="00497D80"/>
    <w:rsid w:val="004A087D"/>
    <w:rsid w:val="004A0FFB"/>
    <w:rsid w:val="004A12CE"/>
    <w:rsid w:val="004A2084"/>
    <w:rsid w:val="004A3646"/>
    <w:rsid w:val="004A3947"/>
    <w:rsid w:val="004A4430"/>
    <w:rsid w:val="004A4507"/>
    <w:rsid w:val="004A4FDF"/>
    <w:rsid w:val="004A5489"/>
    <w:rsid w:val="004A56C9"/>
    <w:rsid w:val="004A5C8E"/>
    <w:rsid w:val="004A5E73"/>
    <w:rsid w:val="004A7558"/>
    <w:rsid w:val="004A7A52"/>
    <w:rsid w:val="004B0930"/>
    <w:rsid w:val="004B0BC1"/>
    <w:rsid w:val="004B19FE"/>
    <w:rsid w:val="004B2A4D"/>
    <w:rsid w:val="004B2A9D"/>
    <w:rsid w:val="004B2F45"/>
    <w:rsid w:val="004B33C2"/>
    <w:rsid w:val="004B3BCB"/>
    <w:rsid w:val="004B4214"/>
    <w:rsid w:val="004B467E"/>
    <w:rsid w:val="004B4B6E"/>
    <w:rsid w:val="004B4B9C"/>
    <w:rsid w:val="004B4CB3"/>
    <w:rsid w:val="004B5061"/>
    <w:rsid w:val="004B689D"/>
    <w:rsid w:val="004B68F3"/>
    <w:rsid w:val="004B7174"/>
    <w:rsid w:val="004B7FD7"/>
    <w:rsid w:val="004C0E97"/>
    <w:rsid w:val="004C2C40"/>
    <w:rsid w:val="004C48C8"/>
    <w:rsid w:val="004C598D"/>
    <w:rsid w:val="004C5B5D"/>
    <w:rsid w:val="004C5BBC"/>
    <w:rsid w:val="004C67C3"/>
    <w:rsid w:val="004C7EC7"/>
    <w:rsid w:val="004D19FB"/>
    <w:rsid w:val="004D1E84"/>
    <w:rsid w:val="004D24F1"/>
    <w:rsid w:val="004D29A4"/>
    <w:rsid w:val="004D32D8"/>
    <w:rsid w:val="004D362A"/>
    <w:rsid w:val="004D3897"/>
    <w:rsid w:val="004D3B50"/>
    <w:rsid w:val="004D43A5"/>
    <w:rsid w:val="004D4425"/>
    <w:rsid w:val="004D5672"/>
    <w:rsid w:val="004D5B0C"/>
    <w:rsid w:val="004D7170"/>
    <w:rsid w:val="004D7AB0"/>
    <w:rsid w:val="004E08BB"/>
    <w:rsid w:val="004E0B8F"/>
    <w:rsid w:val="004E1860"/>
    <w:rsid w:val="004E1D5F"/>
    <w:rsid w:val="004E1F09"/>
    <w:rsid w:val="004E212B"/>
    <w:rsid w:val="004E216F"/>
    <w:rsid w:val="004E2BD6"/>
    <w:rsid w:val="004E3447"/>
    <w:rsid w:val="004E47EC"/>
    <w:rsid w:val="004E5077"/>
    <w:rsid w:val="004E50D3"/>
    <w:rsid w:val="004E51C0"/>
    <w:rsid w:val="004E5EAB"/>
    <w:rsid w:val="004E6186"/>
    <w:rsid w:val="004E6FBA"/>
    <w:rsid w:val="004E701D"/>
    <w:rsid w:val="004E7566"/>
    <w:rsid w:val="004E7BB3"/>
    <w:rsid w:val="004F09CA"/>
    <w:rsid w:val="004F1C06"/>
    <w:rsid w:val="004F1E24"/>
    <w:rsid w:val="004F2521"/>
    <w:rsid w:val="004F305C"/>
    <w:rsid w:val="004F3748"/>
    <w:rsid w:val="004F4226"/>
    <w:rsid w:val="004F4314"/>
    <w:rsid w:val="004F5E6E"/>
    <w:rsid w:val="004F6AD3"/>
    <w:rsid w:val="004F7180"/>
    <w:rsid w:val="004F7D15"/>
    <w:rsid w:val="00500068"/>
    <w:rsid w:val="005012EE"/>
    <w:rsid w:val="00501386"/>
    <w:rsid w:val="00501BD9"/>
    <w:rsid w:val="00501C25"/>
    <w:rsid w:val="00501EA7"/>
    <w:rsid w:val="005027A6"/>
    <w:rsid w:val="00502DAE"/>
    <w:rsid w:val="00502FFB"/>
    <w:rsid w:val="005037FE"/>
    <w:rsid w:val="005038A0"/>
    <w:rsid w:val="005038AE"/>
    <w:rsid w:val="00503F2D"/>
    <w:rsid w:val="00504A82"/>
    <w:rsid w:val="00504EF3"/>
    <w:rsid w:val="00505E19"/>
    <w:rsid w:val="005061E1"/>
    <w:rsid w:val="005076DF"/>
    <w:rsid w:val="00507F2E"/>
    <w:rsid w:val="005103C5"/>
    <w:rsid w:val="00510AEB"/>
    <w:rsid w:val="00510C9C"/>
    <w:rsid w:val="00511ADE"/>
    <w:rsid w:val="005131D3"/>
    <w:rsid w:val="0051352C"/>
    <w:rsid w:val="00513608"/>
    <w:rsid w:val="00513723"/>
    <w:rsid w:val="00513ED1"/>
    <w:rsid w:val="0051415E"/>
    <w:rsid w:val="00514D4A"/>
    <w:rsid w:val="00514FC2"/>
    <w:rsid w:val="00515BFA"/>
    <w:rsid w:val="00515C59"/>
    <w:rsid w:val="005169F2"/>
    <w:rsid w:val="00516D06"/>
    <w:rsid w:val="00516D4E"/>
    <w:rsid w:val="00517686"/>
    <w:rsid w:val="00517A86"/>
    <w:rsid w:val="00521A89"/>
    <w:rsid w:val="00522F89"/>
    <w:rsid w:val="00523154"/>
    <w:rsid w:val="0052349D"/>
    <w:rsid w:val="005237FC"/>
    <w:rsid w:val="00524BE8"/>
    <w:rsid w:val="00525222"/>
    <w:rsid w:val="0052575D"/>
    <w:rsid w:val="005259F2"/>
    <w:rsid w:val="00525DB3"/>
    <w:rsid w:val="00526C92"/>
    <w:rsid w:val="00526F40"/>
    <w:rsid w:val="005275FC"/>
    <w:rsid w:val="0052766D"/>
    <w:rsid w:val="0052768C"/>
    <w:rsid w:val="005276E5"/>
    <w:rsid w:val="00527D61"/>
    <w:rsid w:val="00530655"/>
    <w:rsid w:val="00530896"/>
    <w:rsid w:val="00530952"/>
    <w:rsid w:val="005310AF"/>
    <w:rsid w:val="00531567"/>
    <w:rsid w:val="005342C3"/>
    <w:rsid w:val="00534842"/>
    <w:rsid w:val="00534D1B"/>
    <w:rsid w:val="005358A9"/>
    <w:rsid w:val="005362F5"/>
    <w:rsid w:val="00536AB3"/>
    <w:rsid w:val="0053725B"/>
    <w:rsid w:val="0053774E"/>
    <w:rsid w:val="00540BD1"/>
    <w:rsid w:val="00540C57"/>
    <w:rsid w:val="00542366"/>
    <w:rsid w:val="0054261F"/>
    <w:rsid w:val="00542CDB"/>
    <w:rsid w:val="00542E9E"/>
    <w:rsid w:val="00542F86"/>
    <w:rsid w:val="00544AB7"/>
    <w:rsid w:val="00545EFF"/>
    <w:rsid w:val="00546EBA"/>
    <w:rsid w:val="005471AB"/>
    <w:rsid w:val="005505FA"/>
    <w:rsid w:val="0055146F"/>
    <w:rsid w:val="005520C3"/>
    <w:rsid w:val="00552536"/>
    <w:rsid w:val="005531BD"/>
    <w:rsid w:val="00553592"/>
    <w:rsid w:val="00555176"/>
    <w:rsid w:val="00555E4A"/>
    <w:rsid w:val="00556085"/>
    <w:rsid w:val="005567B2"/>
    <w:rsid w:val="00557870"/>
    <w:rsid w:val="00560185"/>
    <w:rsid w:val="0056024D"/>
    <w:rsid w:val="00560277"/>
    <w:rsid w:val="00560895"/>
    <w:rsid w:val="00560938"/>
    <w:rsid w:val="00560AF1"/>
    <w:rsid w:val="00561562"/>
    <w:rsid w:val="00562458"/>
    <w:rsid w:val="00562C82"/>
    <w:rsid w:val="00563DE6"/>
    <w:rsid w:val="00564B7A"/>
    <w:rsid w:val="0056528D"/>
    <w:rsid w:val="00565E24"/>
    <w:rsid w:val="0056628B"/>
    <w:rsid w:val="00566298"/>
    <w:rsid w:val="0057091E"/>
    <w:rsid w:val="00570C27"/>
    <w:rsid w:val="005714E0"/>
    <w:rsid w:val="005719B6"/>
    <w:rsid w:val="005723D6"/>
    <w:rsid w:val="005725C0"/>
    <w:rsid w:val="00573963"/>
    <w:rsid w:val="00574A6E"/>
    <w:rsid w:val="00575686"/>
    <w:rsid w:val="00576783"/>
    <w:rsid w:val="00576B0B"/>
    <w:rsid w:val="0057701B"/>
    <w:rsid w:val="00577122"/>
    <w:rsid w:val="00577145"/>
    <w:rsid w:val="005771E9"/>
    <w:rsid w:val="005773BE"/>
    <w:rsid w:val="005777B7"/>
    <w:rsid w:val="00577E8C"/>
    <w:rsid w:val="005814B6"/>
    <w:rsid w:val="005816F3"/>
    <w:rsid w:val="00581B63"/>
    <w:rsid w:val="00582365"/>
    <w:rsid w:val="00582D87"/>
    <w:rsid w:val="005836B2"/>
    <w:rsid w:val="005836FF"/>
    <w:rsid w:val="00584358"/>
    <w:rsid w:val="005846F6"/>
    <w:rsid w:val="00584959"/>
    <w:rsid w:val="005857F5"/>
    <w:rsid w:val="00585AEC"/>
    <w:rsid w:val="00585C1B"/>
    <w:rsid w:val="00585E2D"/>
    <w:rsid w:val="005861D7"/>
    <w:rsid w:val="00587083"/>
    <w:rsid w:val="0058708D"/>
    <w:rsid w:val="00587639"/>
    <w:rsid w:val="00587A9B"/>
    <w:rsid w:val="0059010D"/>
    <w:rsid w:val="0059200F"/>
    <w:rsid w:val="00592638"/>
    <w:rsid w:val="00592AFF"/>
    <w:rsid w:val="00593138"/>
    <w:rsid w:val="0059369F"/>
    <w:rsid w:val="00593A33"/>
    <w:rsid w:val="00593E07"/>
    <w:rsid w:val="00593EC0"/>
    <w:rsid w:val="005947B5"/>
    <w:rsid w:val="00594B1B"/>
    <w:rsid w:val="0059562C"/>
    <w:rsid w:val="00595914"/>
    <w:rsid w:val="005960BB"/>
    <w:rsid w:val="00597407"/>
    <w:rsid w:val="00597A13"/>
    <w:rsid w:val="005A0353"/>
    <w:rsid w:val="005A0496"/>
    <w:rsid w:val="005A0BAB"/>
    <w:rsid w:val="005A0D5E"/>
    <w:rsid w:val="005A11AD"/>
    <w:rsid w:val="005A276A"/>
    <w:rsid w:val="005A2D42"/>
    <w:rsid w:val="005A3296"/>
    <w:rsid w:val="005A3563"/>
    <w:rsid w:val="005A4047"/>
    <w:rsid w:val="005A4362"/>
    <w:rsid w:val="005A4384"/>
    <w:rsid w:val="005A4F6E"/>
    <w:rsid w:val="005A53FF"/>
    <w:rsid w:val="005A7012"/>
    <w:rsid w:val="005A7A3A"/>
    <w:rsid w:val="005A7A5E"/>
    <w:rsid w:val="005B04FA"/>
    <w:rsid w:val="005B0909"/>
    <w:rsid w:val="005B11FA"/>
    <w:rsid w:val="005B1C07"/>
    <w:rsid w:val="005B1F23"/>
    <w:rsid w:val="005B286D"/>
    <w:rsid w:val="005B30FC"/>
    <w:rsid w:val="005B3432"/>
    <w:rsid w:val="005B3A44"/>
    <w:rsid w:val="005B3BD6"/>
    <w:rsid w:val="005B3DAC"/>
    <w:rsid w:val="005B4A9C"/>
    <w:rsid w:val="005B5379"/>
    <w:rsid w:val="005B5883"/>
    <w:rsid w:val="005B5FC0"/>
    <w:rsid w:val="005B79E4"/>
    <w:rsid w:val="005B7D63"/>
    <w:rsid w:val="005B7D6C"/>
    <w:rsid w:val="005C14D3"/>
    <w:rsid w:val="005C1B05"/>
    <w:rsid w:val="005C239E"/>
    <w:rsid w:val="005C24E3"/>
    <w:rsid w:val="005C2A76"/>
    <w:rsid w:val="005C33C6"/>
    <w:rsid w:val="005C3870"/>
    <w:rsid w:val="005C38F9"/>
    <w:rsid w:val="005C3DB4"/>
    <w:rsid w:val="005C3F5A"/>
    <w:rsid w:val="005C46F7"/>
    <w:rsid w:val="005C48EB"/>
    <w:rsid w:val="005C4F13"/>
    <w:rsid w:val="005C533F"/>
    <w:rsid w:val="005C5FA4"/>
    <w:rsid w:val="005C64D6"/>
    <w:rsid w:val="005C7215"/>
    <w:rsid w:val="005C72F9"/>
    <w:rsid w:val="005C73C4"/>
    <w:rsid w:val="005C795C"/>
    <w:rsid w:val="005D00EA"/>
    <w:rsid w:val="005D023B"/>
    <w:rsid w:val="005D0D02"/>
    <w:rsid w:val="005D2304"/>
    <w:rsid w:val="005D3A04"/>
    <w:rsid w:val="005D3E6D"/>
    <w:rsid w:val="005D48FE"/>
    <w:rsid w:val="005D5B4C"/>
    <w:rsid w:val="005D5B6B"/>
    <w:rsid w:val="005D5DAD"/>
    <w:rsid w:val="005D7471"/>
    <w:rsid w:val="005D749D"/>
    <w:rsid w:val="005E101B"/>
    <w:rsid w:val="005E1234"/>
    <w:rsid w:val="005E13F1"/>
    <w:rsid w:val="005E20D3"/>
    <w:rsid w:val="005E25A1"/>
    <w:rsid w:val="005E2702"/>
    <w:rsid w:val="005E32DB"/>
    <w:rsid w:val="005E3F02"/>
    <w:rsid w:val="005E3FEA"/>
    <w:rsid w:val="005E477A"/>
    <w:rsid w:val="005E4D88"/>
    <w:rsid w:val="005E4F40"/>
    <w:rsid w:val="005E5874"/>
    <w:rsid w:val="005E6F86"/>
    <w:rsid w:val="005E718A"/>
    <w:rsid w:val="005E7395"/>
    <w:rsid w:val="005E75D5"/>
    <w:rsid w:val="005F0F60"/>
    <w:rsid w:val="005F1555"/>
    <w:rsid w:val="005F2978"/>
    <w:rsid w:val="005F3F43"/>
    <w:rsid w:val="005F4721"/>
    <w:rsid w:val="005F4902"/>
    <w:rsid w:val="005F49F2"/>
    <w:rsid w:val="005F52A9"/>
    <w:rsid w:val="005F6E6E"/>
    <w:rsid w:val="005F720A"/>
    <w:rsid w:val="005F7694"/>
    <w:rsid w:val="00602C84"/>
    <w:rsid w:val="00602D36"/>
    <w:rsid w:val="00602F43"/>
    <w:rsid w:val="00603B08"/>
    <w:rsid w:val="00603D39"/>
    <w:rsid w:val="0060551A"/>
    <w:rsid w:val="00605776"/>
    <w:rsid w:val="00605855"/>
    <w:rsid w:val="006070D4"/>
    <w:rsid w:val="00610162"/>
    <w:rsid w:val="00610570"/>
    <w:rsid w:val="006108FE"/>
    <w:rsid w:val="00610ABA"/>
    <w:rsid w:val="00610C82"/>
    <w:rsid w:val="006115C6"/>
    <w:rsid w:val="0061216E"/>
    <w:rsid w:val="00613037"/>
    <w:rsid w:val="006130AB"/>
    <w:rsid w:val="0061335D"/>
    <w:rsid w:val="006135AB"/>
    <w:rsid w:val="006138E4"/>
    <w:rsid w:val="006144F6"/>
    <w:rsid w:val="0061478F"/>
    <w:rsid w:val="006148A2"/>
    <w:rsid w:val="0061494D"/>
    <w:rsid w:val="00616407"/>
    <w:rsid w:val="00617617"/>
    <w:rsid w:val="00620E5A"/>
    <w:rsid w:val="006224B0"/>
    <w:rsid w:val="00622C6F"/>
    <w:rsid w:val="00622CF2"/>
    <w:rsid w:val="00623EE4"/>
    <w:rsid w:val="006250E9"/>
    <w:rsid w:val="006264EB"/>
    <w:rsid w:val="00627240"/>
    <w:rsid w:val="00627924"/>
    <w:rsid w:val="006319B1"/>
    <w:rsid w:val="00631F68"/>
    <w:rsid w:val="006329F4"/>
    <w:rsid w:val="00633A50"/>
    <w:rsid w:val="00633B2F"/>
    <w:rsid w:val="006340FD"/>
    <w:rsid w:val="006355B7"/>
    <w:rsid w:val="006355D1"/>
    <w:rsid w:val="006365B1"/>
    <w:rsid w:val="00637EDC"/>
    <w:rsid w:val="00640C31"/>
    <w:rsid w:val="006416F7"/>
    <w:rsid w:val="00642262"/>
    <w:rsid w:val="006422C9"/>
    <w:rsid w:val="00643226"/>
    <w:rsid w:val="006448B2"/>
    <w:rsid w:val="00644FCE"/>
    <w:rsid w:val="00645497"/>
    <w:rsid w:val="006459EF"/>
    <w:rsid w:val="006465F3"/>
    <w:rsid w:val="0064690F"/>
    <w:rsid w:val="006471C0"/>
    <w:rsid w:val="00647C9C"/>
    <w:rsid w:val="00650421"/>
    <w:rsid w:val="00650472"/>
    <w:rsid w:val="00650EA4"/>
    <w:rsid w:val="0065161D"/>
    <w:rsid w:val="006534BF"/>
    <w:rsid w:val="006537D7"/>
    <w:rsid w:val="00653909"/>
    <w:rsid w:val="0065444A"/>
    <w:rsid w:val="00654EC0"/>
    <w:rsid w:val="00654F68"/>
    <w:rsid w:val="00655512"/>
    <w:rsid w:val="0065574A"/>
    <w:rsid w:val="006557A6"/>
    <w:rsid w:val="0065592A"/>
    <w:rsid w:val="00655CF9"/>
    <w:rsid w:val="00655D45"/>
    <w:rsid w:val="0065714C"/>
    <w:rsid w:val="006602FC"/>
    <w:rsid w:val="00660A74"/>
    <w:rsid w:val="00661752"/>
    <w:rsid w:val="00662B93"/>
    <w:rsid w:val="00662E5F"/>
    <w:rsid w:val="006632C2"/>
    <w:rsid w:val="00663E29"/>
    <w:rsid w:val="00664434"/>
    <w:rsid w:val="006647D5"/>
    <w:rsid w:val="0066561F"/>
    <w:rsid w:val="00666152"/>
    <w:rsid w:val="00666426"/>
    <w:rsid w:val="00666A58"/>
    <w:rsid w:val="00666ABF"/>
    <w:rsid w:val="00667CB6"/>
    <w:rsid w:val="00667F49"/>
    <w:rsid w:val="0067001A"/>
    <w:rsid w:val="00670483"/>
    <w:rsid w:val="00670650"/>
    <w:rsid w:val="006712C0"/>
    <w:rsid w:val="00673004"/>
    <w:rsid w:val="006744AC"/>
    <w:rsid w:val="00674C7D"/>
    <w:rsid w:val="0067526D"/>
    <w:rsid w:val="0067651B"/>
    <w:rsid w:val="006768DB"/>
    <w:rsid w:val="0067769B"/>
    <w:rsid w:val="0068069C"/>
    <w:rsid w:val="00680B40"/>
    <w:rsid w:val="006814A3"/>
    <w:rsid w:val="00681984"/>
    <w:rsid w:val="00681EC9"/>
    <w:rsid w:val="006822CF"/>
    <w:rsid w:val="006822FA"/>
    <w:rsid w:val="0068288C"/>
    <w:rsid w:val="00682F42"/>
    <w:rsid w:val="00683234"/>
    <w:rsid w:val="00683F36"/>
    <w:rsid w:val="00685589"/>
    <w:rsid w:val="0068584A"/>
    <w:rsid w:val="00685883"/>
    <w:rsid w:val="00685BAA"/>
    <w:rsid w:val="00685EC7"/>
    <w:rsid w:val="00686326"/>
    <w:rsid w:val="0068682C"/>
    <w:rsid w:val="006900C0"/>
    <w:rsid w:val="0069214F"/>
    <w:rsid w:val="0069303A"/>
    <w:rsid w:val="006938AA"/>
    <w:rsid w:val="00693C4F"/>
    <w:rsid w:val="0069474B"/>
    <w:rsid w:val="0069475D"/>
    <w:rsid w:val="0069565B"/>
    <w:rsid w:val="006967B4"/>
    <w:rsid w:val="00697966"/>
    <w:rsid w:val="006A12BE"/>
    <w:rsid w:val="006A22AC"/>
    <w:rsid w:val="006A3A2B"/>
    <w:rsid w:val="006A405B"/>
    <w:rsid w:val="006A4A1B"/>
    <w:rsid w:val="006A5B66"/>
    <w:rsid w:val="006A6413"/>
    <w:rsid w:val="006A6BF1"/>
    <w:rsid w:val="006B1FB5"/>
    <w:rsid w:val="006B2DAF"/>
    <w:rsid w:val="006B2F91"/>
    <w:rsid w:val="006B3032"/>
    <w:rsid w:val="006B3CA0"/>
    <w:rsid w:val="006B4B4A"/>
    <w:rsid w:val="006B4E8E"/>
    <w:rsid w:val="006B4F89"/>
    <w:rsid w:val="006B589A"/>
    <w:rsid w:val="006B594B"/>
    <w:rsid w:val="006B75C6"/>
    <w:rsid w:val="006C148E"/>
    <w:rsid w:val="006C191F"/>
    <w:rsid w:val="006C1A1C"/>
    <w:rsid w:val="006C354C"/>
    <w:rsid w:val="006C3B76"/>
    <w:rsid w:val="006C41FC"/>
    <w:rsid w:val="006C4572"/>
    <w:rsid w:val="006C475C"/>
    <w:rsid w:val="006C4963"/>
    <w:rsid w:val="006C4C2A"/>
    <w:rsid w:val="006C54BE"/>
    <w:rsid w:val="006C66B2"/>
    <w:rsid w:val="006C7B03"/>
    <w:rsid w:val="006D01BE"/>
    <w:rsid w:val="006D0EC2"/>
    <w:rsid w:val="006D0EE9"/>
    <w:rsid w:val="006D1835"/>
    <w:rsid w:val="006D291F"/>
    <w:rsid w:val="006D2B57"/>
    <w:rsid w:val="006D3AD4"/>
    <w:rsid w:val="006D4C72"/>
    <w:rsid w:val="006D4E4C"/>
    <w:rsid w:val="006D5585"/>
    <w:rsid w:val="006D5A98"/>
    <w:rsid w:val="006D5F76"/>
    <w:rsid w:val="006D627F"/>
    <w:rsid w:val="006D69A4"/>
    <w:rsid w:val="006D6D96"/>
    <w:rsid w:val="006D7211"/>
    <w:rsid w:val="006D74B0"/>
    <w:rsid w:val="006D75C8"/>
    <w:rsid w:val="006D7A57"/>
    <w:rsid w:val="006E0D76"/>
    <w:rsid w:val="006E1A1B"/>
    <w:rsid w:val="006E1D46"/>
    <w:rsid w:val="006E1E79"/>
    <w:rsid w:val="006E2188"/>
    <w:rsid w:val="006E21D1"/>
    <w:rsid w:val="006E3249"/>
    <w:rsid w:val="006E3571"/>
    <w:rsid w:val="006E382B"/>
    <w:rsid w:val="006E45D6"/>
    <w:rsid w:val="006E50B0"/>
    <w:rsid w:val="006E588B"/>
    <w:rsid w:val="006E76E7"/>
    <w:rsid w:val="006F0D46"/>
    <w:rsid w:val="006F1EC0"/>
    <w:rsid w:val="006F23DD"/>
    <w:rsid w:val="006F2412"/>
    <w:rsid w:val="006F2708"/>
    <w:rsid w:val="006F3545"/>
    <w:rsid w:val="006F45C0"/>
    <w:rsid w:val="006F4F0D"/>
    <w:rsid w:val="006F5158"/>
    <w:rsid w:val="006F6EF0"/>
    <w:rsid w:val="006F763F"/>
    <w:rsid w:val="007003C8"/>
    <w:rsid w:val="00700950"/>
    <w:rsid w:val="00701136"/>
    <w:rsid w:val="00701154"/>
    <w:rsid w:val="00701B69"/>
    <w:rsid w:val="0070319A"/>
    <w:rsid w:val="00703CB4"/>
    <w:rsid w:val="00704BEF"/>
    <w:rsid w:val="00705A86"/>
    <w:rsid w:val="00706152"/>
    <w:rsid w:val="007066AC"/>
    <w:rsid w:val="00707C18"/>
    <w:rsid w:val="007103A9"/>
    <w:rsid w:val="007108B5"/>
    <w:rsid w:val="00711444"/>
    <w:rsid w:val="0071189F"/>
    <w:rsid w:val="0071356D"/>
    <w:rsid w:val="00713F69"/>
    <w:rsid w:val="00714281"/>
    <w:rsid w:val="0071515F"/>
    <w:rsid w:val="00715B04"/>
    <w:rsid w:val="00715BAB"/>
    <w:rsid w:val="007165F2"/>
    <w:rsid w:val="00716AD2"/>
    <w:rsid w:val="00716D38"/>
    <w:rsid w:val="0071744C"/>
    <w:rsid w:val="00717637"/>
    <w:rsid w:val="007203CA"/>
    <w:rsid w:val="00720D55"/>
    <w:rsid w:val="00721579"/>
    <w:rsid w:val="0072179E"/>
    <w:rsid w:val="007217E7"/>
    <w:rsid w:val="007226F5"/>
    <w:rsid w:val="00722942"/>
    <w:rsid w:val="00723B2C"/>
    <w:rsid w:val="00724ED0"/>
    <w:rsid w:val="00724F92"/>
    <w:rsid w:val="007253D6"/>
    <w:rsid w:val="00725555"/>
    <w:rsid w:val="007255E1"/>
    <w:rsid w:val="0072578A"/>
    <w:rsid w:val="0072597A"/>
    <w:rsid w:val="00725C8B"/>
    <w:rsid w:val="00726213"/>
    <w:rsid w:val="00726890"/>
    <w:rsid w:val="00726D90"/>
    <w:rsid w:val="00730E30"/>
    <w:rsid w:val="00730EC1"/>
    <w:rsid w:val="00730F41"/>
    <w:rsid w:val="007314A7"/>
    <w:rsid w:val="00732645"/>
    <w:rsid w:val="00732ABF"/>
    <w:rsid w:val="007337C1"/>
    <w:rsid w:val="00734632"/>
    <w:rsid w:val="0073502B"/>
    <w:rsid w:val="00737532"/>
    <w:rsid w:val="0073792C"/>
    <w:rsid w:val="00737EF9"/>
    <w:rsid w:val="00737F84"/>
    <w:rsid w:val="00740F73"/>
    <w:rsid w:val="00741FC7"/>
    <w:rsid w:val="0074257A"/>
    <w:rsid w:val="007450D4"/>
    <w:rsid w:val="007451EE"/>
    <w:rsid w:val="00745FA7"/>
    <w:rsid w:val="00746C2C"/>
    <w:rsid w:val="00747434"/>
    <w:rsid w:val="0074788B"/>
    <w:rsid w:val="00750181"/>
    <w:rsid w:val="0075070F"/>
    <w:rsid w:val="0075081D"/>
    <w:rsid w:val="00750A59"/>
    <w:rsid w:val="0075137C"/>
    <w:rsid w:val="007529B1"/>
    <w:rsid w:val="0075418A"/>
    <w:rsid w:val="00755ACB"/>
    <w:rsid w:val="007566C9"/>
    <w:rsid w:val="007566CC"/>
    <w:rsid w:val="00760D7E"/>
    <w:rsid w:val="007617CC"/>
    <w:rsid w:val="0076260D"/>
    <w:rsid w:val="00763B77"/>
    <w:rsid w:val="00763FCF"/>
    <w:rsid w:val="00764158"/>
    <w:rsid w:val="007649E5"/>
    <w:rsid w:val="00765C6F"/>
    <w:rsid w:val="00766242"/>
    <w:rsid w:val="0076702C"/>
    <w:rsid w:val="00767045"/>
    <w:rsid w:val="00767F6C"/>
    <w:rsid w:val="0077142F"/>
    <w:rsid w:val="00771564"/>
    <w:rsid w:val="00771CD3"/>
    <w:rsid w:val="0077213A"/>
    <w:rsid w:val="00772829"/>
    <w:rsid w:val="00772F47"/>
    <w:rsid w:val="0077394E"/>
    <w:rsid w:val="00777124"/>
    <w:rsid w:val="00777848"/>
    <w:rsid w:val="00777893"/>
    <w:rsid w:val="00780442"/>
    <w:rsid w:val="007804A5"/>
    <w:rsid w:val="00782776"/>
    <w:rsid w:val="00783617"/>
    <w:rsid w:val="007852E9"/>
    <w:rsid w:val="007854C4"/>
    <w:rsid w:val="00785510"/>
    <w:rsid w:val="00785842"/>
    <w:rsid w:val="00786942"/>
    <w:rsid w:val="007873B9"/>
    <w:rsid w:val="00787B00"/>
    <w:rsid w:val="00790341"/>
    <w:rsid w:val="00790B15"/>
    <w:rsid w:val="00790F49"/>
    <w:rsid w:val="007910DB"/>
    <w:rsid w:val="00792476"/>
    <w:rsid w:val="007931CB"/>
    <w:rsid w:val="007951D4"/>
    <w:rsid w:val="007952A7"/>
    <w:rsid w:val="00797137"/>
    <w:rsid w:val="00797992"/>
    <w:rsid w:val="00797C46"/>
    <w:rsid w:val="00797EB1"/>
    <w:rsid w:val="007A02EC"/>
    <w:rsid w:val="007A0FE4"/>
    <w:rsid w:val="007A14FA"/>
    <w:rsid w:val="007A19F6"/>
    <w:rsid w:val="007A2B65"/>
    <w:rsid w:val="007A4182"/>
    <w:rsid w:val="007A5617"/>
    <w:rsid w:val="007A5B81"/>
    <w:rsid w:val="007A5C04"/>
    <w:rsid w:val="007A698B"/>
    <w:rsid w:val="007A701E"/>
    <w:rsid w:val="007A7DEA"/>
    <w:rsid w:val="007B0245"/>
    <w:rsid w:val="007B04AF"/>
    <w:rsid w:val="007B0672"/>
    <w:rsid w:val="007B083F"/>
    <w:rsid w:val="007B0880"/>
    <w:rsid w:val="007B0D01"/>
    <w:rsid w:val="007B1FE3"/>
    <w:rsid w:val="007B2085"/>
    <w:rsid w:val="007B22D0"/>
    <w:rsid w:val="007B2E36"/>
    <w:rsid w:val="007B2FDC"/>
    <w:rsid w:val="007B38A0"/>
    <w:rsid w:val="007B38B7"/>
    <w:rsid w:val="007B4397"/>
    <w:rsid w:val="007B4F7B"/>
    <w:rsid w:val="007B55F2"/>
    <w:rsid w:val="007B583D"/>
    <w:rsid w:val="007B6684"/>
    <w:rsid w:val="007B67F0"/>
    <w:rsid w:val="007B6B21"/>
    <w:rsid w:val="007B7024"/>
    <w:rsid w:val="007C0390"/>
    <w:rsid w:val="007C0752"/>
    <w:rsid w:val="007C14A2"/>
    <w:rsid w:val="007C300E"/>
    <w:rsid w:val="007C3187"/>
    <w:rsid w:val="007C328D"/>
    <w:rsid w:val="007C336F"/>
    <w:rsid w:val="007C36C6"/>
    <w:rsid w:val="007C36F7"/>
    <w:rsid w:val="007C3C23"/>
    <w:rsid w:val="007C41B1"/>
    <w:rsid w:val="007C7009"/>
    <w:rsid w:val="007D23D7"/>
    <w:rsid w:val="007D30B7"/>
    <w:rsid w:val="007D727A"/>
    <w:rsid w:val="007D7681"/>
    <w:rsid w:val="007D76F9"/>
    <w:rsid w:val="007E0C7C"/>
    <w:rsid w:val="007E1595"/>
    <w:rsid w:val="007E15AD"/>
    <w:rsid w:val="007E1F52"/>
    <w:rsid w:val="007E25ED"/>
    <w:rsid w:val="007E2BC0"/>
    <w:rsid w:val="007E3BF5"/>
    <w:rsid w:val="007E4447"/>
    <w:rsid w:val="007E60A4"/>
    <w:rsid w:val="007E6389"/>
    <w:rsid w:val="007E63FA"/>
    <w:rsid w:val="007E6A26"/>
    <w:rsid w:val="007E723F"/>
    <w:rsid w:val="007F012A"/>
    <w:rsid w:val="007F296C"/>
    <w:rsid w:val="007F2AF5"/>
    <w:rsid w:val="007F3CFD"/>
    <w:rsid w:val="007F5ACB"/>
    <w:rsid w:val="007F6027"/>
    <w:rsid w:val="007F67E9"/>
    <w:rsid w:val="007F7468"/>
    <w:rsid w:val="007F7C7B"/>
    <w:rsid w:val="008002A8"/>
    <w:rsid w:val="008003A2"/>
    <w:rsid w:val="0080253C"/>
    <w:rsid w:val="00802CA2"/>
    <w:rsid w:val="00802E78"/>
    <w:rsid w:val="00802FE6"/>
    <w:rsid w:val="00803146"/>
    <w:rsid w:val="008033D3"/>
    <w:rsid w:val="008038B7"/>
    <w:rsid w:val="008040A2"/>
    <w:rsid w:val="00804632"/>
    <w:rsid w:val="00805287"/>
    <w:rsid w:val="008054D9"/>
    <w:rsid w:val="008056D3"/>
    <w:rsid w:val="0080667A"/>
    <w:rsid w:val="00806688"/>
    <w:rsid w:val="008069B2"/>
    <w:rsid w:val="00806A6F"/>
    <w:rsid w:val="00807058"/>
    <w:rsid w:val="00807A3E"/>
    <w:rsid w:val="00810338"/>
    <w:rsid w:val="00810821"/>
    <w:rsid w:val="00811A57"/>
    <w:rsid w:val="00812282"/>
    <w:rsid w:val="00812CBF"/>
    <w:rsid w:val="008132CD"/>
    <w:rsid w:val="008134E7"/>
    <w:rsid w:val="00813F58"/>
    <w:rsid w:val="008148E4"/>
    <w:rsid w:val="00814A31"/>
    <w:rsid w:val="00814AB4"/>
    <w:rsid w:val="008157F1"/>
    <w:rsid w:val="008166CC"/>
    <w:rsid w:val="00816EC2"/>
    <w:rsid w:val="00817AAE"/>
    <w:rsid w:val="00817BA3"/>
    <w:rsid w:val="00821257"/>
    <w:rsid w:val="00821A07"/>
    <w:rsid w:val="008236E1"/>
    <w:rsid w:val="00823910"/>
    <w:rsid w:val="00823A6D"/>
    <w:rsid w:val="008243B9"/>
    <w:rsid w:val="00824458"/>
    <w:rsid w:val="008249F7"/>
    <w:rsid w:val="00824B74"/>
    <w:rsid w:val="00825203"/>
    <w:rsid w:val="00826170"/>
    <w:rsid w:val="0082647C"/>
    <w:rsid w:val="00826501"/>
    <w:rsid w:val="00827027"/>
    <w:rsid w:val="00831372"/>
    <w:rsid w:val="00831672"/>
    <w:rsid w:val="0083184F"/>
    <w:rsid w:val="00833E2C"/>
    <w:rsid w:val="008340B8"/>
    <w:rsid w:val="00835B05"/>
    <w:rsid w:val="00835E2E"/>
    <w:rsid w:val="00835EC9"/>
    <w:rsid w:val="00836ACB"/>
    <w:rsid w:val="00840DF0"/>
    <w:rsid w:val="00841388"/>
    <w:rsid w:val="00841672"/>
    <w:rsid w:val="00841938"/>
    <w:rsid w:val="00841B93"/>
    <w:rsid w:val="00841EFB"/>
    <w:rsid w:val="00841F44"/>
    <w:rsid w:val="0084242B"/>
    <w:rsid w:val="00842B19"/>
    <w:rsid w:val="00842C82"/>
    <w:rsid w:val="008436A2"/>
    <w:rsid w:val="008436D7"/>
    <w:rsid w:val="008437E5"/>
    <w:rsid w:val="00843B28"/>
    <w:rsid w:val="008440FE"/>
    <w:rsid w:val="00844BA1"/>
    <w:rsid w:val="008451A3"/>
    <w:rsid w:val="00846119"/>
    <w:rsid w:val="008474E3"/>
    <w:rsid w:val="00851D6C"/>
    <w:rsid w:val="008526C5"/>
    <w:rsid w:val="008527ED"/>
    <w:rsid w:val="00853575"/>
    <w:rsid w:val="008537F7"/>
    <w:rsid w:val="00854403"/>
    <w:rsid w:val="008546BE"/>
    <w:rsid w:val="00854CC9"/>
    <w:rsid w:val="00854EF6"/>
    <w:rsid w:val="00855B52"/>
    <w:rsid w:val="00855E27"/>
    <w:rsid w:val="00856074"/>
    <w:rsid w:val="008563C5"/>
    <w:rsid w:val="00856FD9"/>
    <w:rsid w:val="00857949"/>
    <w:rsid w:val="00857F39"/>
    <w:rsid w:val="008602A1"/>
    <w:rsid w:val="008607B8"/>
    <w:rsid w:val="008621A2"/>
    <w:rsid w:val="0086291C"/>
    <w:rsid w:val="00862950"/>
    <w:rsid w:val="00864874"/>
    <w:rsid w:val="00864AF6"/>
    <w:rsid w:val="008662BE"/>
    <w:rsid w:val="00870C39"/>
    <w:rsid w:val="0087277A"/>
    <w:rsid w:val="008729B9"/>
    <w:rsid w:val="008729C7"/>
    <w:rsid w:val="00872A47"/>
    <w:rsid w:val="0087323F"/>
    <w:rsid w:val="00873488"/>
    <w:rsid w:val="008735A1"/>
    <w:rsid w:val="008736E2"/>
    <w:rsid w:val="00873734"/>
    <w:rsid w:val="00874565"/>
    <w:rsid w:val="00874B0E"/>
    <w:rsid w:val="008755DD"/>
    <w:rsid w:val="008761B2"/>
    <w:rsid w:val="00876995"/>
    <w:rsid w:val="00877247"/>
    <w:rsid w:val="0087739E"/>
    <w:rsid w:val="00877F5F"/>
    <w:rsid w:val="008801AE"/>
    <w:rsid w:val="00880A86"/>
    <w:rsid w:val="00880AA3"/>
    <w:rsid w:val="0088107A"/>
    <w:rsid w:val="0088421C"/>
    <w:rsid w:val="0088445B"/>
    <w:rsid w:val="008858EF"/>
    <w:rsid w:val="00885E32"/>
    <w:rsid w:val="00887201"/>
    <w:rsid w:val="0088779E"/>
    <w:rsid w:val="00887D1F"/>
    <w:rsid w:val="00887DD4"/>
    <w:rsid w:val="00887EFB"/>
    <w:rsid w:val="0089024E"/>
    <w:rsid w:val="008902D9"/>
    <w:rsid w:val="00891915"/>
    <w:rsid w:val="00891A92"/>
    <w:rsid w:val="00891AF6"/>
    <w:rsid w:val="00891BC3"/>
    <w:rsid w:val="00891D11"/>
    <w:rsid w:val="0089258F"/>
    <w:rsid w:val="00893630"/>
    <w:rsid w:val="008937C8"/>
    <w:rsid w:val="00894353"/>
    <w:rsid w:val="008967C4"/>
    <w:rsid w:val="00896E04"/>
    <w:rsid w:val="008977B0"/>
    <w:rsid w:val="008A03D2"/>
    <w:rsid w:val="008A07F9"/>
    <w:rsid w:val="008A0D2A"/>
    <w:rsid w:val="008A0FB3"/>
    <w:rsid w:val="008A1004"/>
    <w:rsid w:val="008A1693"/>
    <w:rsid w:val="008A243E"/>
    <w:rsid w:val="008A254F"/>
    <w:rsid w:val="008A2630"/>
    <w:rsid w:val="008A3995"/>
    <w:rsid w:val="008A430C"/>
    <w:rsid w:val="008A5833"/>
    <w:rsid w:val="008B0B8C"/>
    <w:rsid w:val="008B11EA"/>
    <w:rsid w:val="008B132F"/>
    <w:rsid w:val="008B34D8"/>
    <w:rsid w:val="008B3A88"/>
    <w:rsid w:val="008B4595"/>
    <w:rsid w:val="008B4716"/>
    <w:rsid w:val="008B4BFC"/>
    <w:rsid w:val="008B4D37"/>
    <w:rsid w:val="008B4D96"/>
    <w:rsid w:val="008B51B4"/>
    <w:rsid w:val="008B54D9"/>
    <w:rsid w:val="008B5B06"/>
    <w:rsid w:val="008B5B67"/>
    <w:rsid w:val="008B5D7A"/>
    <w:rsid w:val="008B66E3"/>
    <w:rsid w:val="008B7848"/>
    <w:rsid w:val="008C1E05"/>
    <w:rsid w:val="008C1FF1"/>
    <w:rsid w:val="008C2FE7"/>
    <w:rsid w:val="008C34BB"/>
    <w:rsid w:val="008C45E2"/>
    <w:rsid w:val="008C4A84"/>
    <w:rsid w:val="008C4F3C"/>
    <w:rsid w:val="008C6EC4"/>
    <w:rsid w:val="008C7095"/>
    <w:rsid w:val="008C7BA3"/>
    <w:rsid w:val="008D05CB"/>
    <w:rsid w:val="008D17D8"/>
    <w:rsid w:val="008D2E5B"/>
    <w:rsid w:val="008D3572"/>
    <w:rsid w:val="008D3726"/>
    <w:rsid w:val="008D3829"/>
    <w:rsid w:val="008D4678"/>
    <w:rsid w:val="008D4CB0"/>
    <w:rsid w:val="008D4F6E"/>
    <w:rsid w:val="008D5D07"/>
    <w:rsid w:val="008D5D13"/>
    <w:rsid w:val="008D6397"/>
    <w:rsid w:val="008D6656"/>
    <w:rsid w:val="008D6696"/>
    <w:rsid w:val="008D6A7D"/>
    <w:rsid w:val="008D73C9"/>
    <w:rsid w:val="008E0532"/>
    <w:rsid w:val="008E06AC"/>
    <w:rsid w:val="008E16BF"/>
    <w:rsid w:val="008E1971"/>
    <w:rsid w:val="008E1B27"/>
    <w:rsid w:val="008E3049"/>
    <w:rsid w:val="008E35A3"/>
    <w:rsid w:val="008E47FB"/>
    <w:rsid w:val="008E4BF4"/>
    <w:rsid w:val="008E4DEA"/>
    <w:rsid w:val="008E7274"/>
    <w:rsid w:val="008E7865"/>
    <w:rsid w:val="008E7E67"/>
    <w:rsid w:val="008F0562"/>
    <w:rsid w:val="008F0D53"/>
    <w:rsid w:val="008F14D7"/>
    <w:rsid w:val="008F260B"/>
    <w:rsid w:val="008F2C37"/>
    <w:rsid w:val="008F2D64"/>
    <w:rsid w:val="008F3D1B"/>
    <w:rsid w:val="008F4532"/>
    <w:rsid w:val="008F5504"/>
    <w:rsid w:val="008F57B6"/>
    <w:rsid w:val="008F599D"/>
    <w:rsid w:val="008F60C2"/>
    <w:rsid w:val="008F617F"/>
    <w:rsid w:val="008F63E7"/>
    <w:rsid w:val="008F65FA"/>
    <w:rsid w:val="008F6B7C"/>
    <w:rsid w:val="008F7B91"/>
    <w:rsid w:val="009002B2"/>
    <w:rsid w:val="00900882"/>
    <w:rsid w:val="00900D5B"/>
    <w:rsid w:val="009015D7"/>
    <w:rsid w:val="0090517A"/>
    <w:rsid w:val="00905F41"/>
    <w:rsid w:val="00906E07"/>
    <w:rsid w:val="00906E65"/>
    <w:rsid w:val="00906E9D"/>
    <w:rsid w:val="00907903"/>
    <w:rsid w:val="00911BCC"/>
    <w:rsid w:val="00912524"/>
    <w:rsid w:val="0091376D"/>
    <w:rsid w:val="009144D5"/>
    <w:rsid w:val="00915487"/>
    <w:rsid w:val="00915871"/>
    <w:rsid w:val="00915F98"/>
    <w:rsid w:val="00915FA3"/>
    <w:rsid w:val="00915FEF"/>
    <w:rsid w:val="00916585"/>
    <w:rsid w:val="00917A4D"/>
    <w:rsid w:val="009203ED"/>
    <w:rsid w:val="009214A4"/>
    <w:rsid w:val="009217F8"/>
    <w:rsid w:val="00921E49"/>
    <w:rsid w:val="00922712"/>
    <w:rsid w:val="00923246"/>
    <w:rsid w:val="009246B2"/>
    <w:rsid w:val="0092470E"/>
    <w:rsid w:val="0092481C"/>
    <w:rsid w:val="00925187"/>
    <w:rsid w:val="00925E3B"/>
    <w:rsid w:val="009264A1"/>
    <w:rsid w:val="00926BE5"/>
    <w:rsid w:val="00926ED5"/>
    <w:rsid w:val="0092709C"/>
    <w:rsid w:val="0092717F"/>
    <w:rsid w:val="00927744"/>
    <w:rsid w:val="00927B05"/>
    <w:rsid w:val="00930229"/>
    <w:rsid w:val="0093031D"/>
    <w:rsid w:val="00930F4E"/>
    <w:rsid w:val="00931E3E"/>
    <w:rsid w:val="00932030"/>
    <w:rsid w:val="009332C8"/>
    <w:rsid w:val="0093377B"/>
    <w:rsid w:val="00933A8B"/>
    <w:rsid w:val="00933AE4"/>
    <w:rsid w:val="00935461"/>
    <w:rsid w:val="00936062"/>
    <w:rsid w:val="00937760"/>
    <w:rsid w:val="00937CBE"/>
    <w:rsid w:val="00940263"/>
    <w:rsid w:val="00940B23"/>
    <w:rsid w:val="00940E74"/>
    <w:rsid w:val="009419E4"/>
    <w:rsid w:val="00942648"/>
    <w:rsid w:val="0094402A"/>
    <w:rsid w:val="00944087"/>
    <w:rsid w:val="00944964"/>
    <w:rsid w:val="00944E74"/>
    <w:rsid w:val="00945932"/>
    <w:rsid w:val="00945EB0"/>
    <w:rsid w:val="00945ECC"/>
    <w:rsid w:val="00945FB2"/>
    <w:rsid w:val="009464D0"/>
    <w:rsid w:val="009478BE"/>
    <w:rsid w:val="0095012E"/>
    <w:rsid w:val="00950BE6"/>
    <w:rsid w:val="00951277"/>
    <w:rsid w:val="0095159D"/>
    <w:rsid w:val="00951934"/>
    <w:rsid w:val="0095207B"/>
    <w:rsid w:val="00952109"/>
    <w:rsid w:val="009527D8"/>
    <w:rsid w:val="0095297D"/>
    <w:rsid w:val="00952F48"/>
    <w:rsid w:val="0095379C"/>
    <w:rsid w:val="009538A7"/>
    <w:rsid w:val="00954C8C"/>
    <w:rsid w:val="00954EF2"/>
    <w:rsid w:val="009561DD"/>
    <w:rsid w:val="009568C4"/>
    <w:rsid w:val="00956ACE"/>
    <w:rsid w:val="00956AEA"/>
    <w:rsid w:val="009572A0"/>
    <w:rsid w:val="00957D24"/>
    <w:rsid w:val="00960DCF"/>
    <w:rsid w:val="00960FFF"/>
    <w:rsid w:val="009615CB"/>
    <w:rsid w:val="009619F7"/>
    <w:rsid w:val="00961B53"/>
    <w:rsid w:val="00963264"/>
    <w:rsid w:val="00963420"/>
    <w:rsid w:val="0096389D"/>
    <w:rsid w:val="00964692"/>
    <w:rsid w:val="009646BB"/>
    <w:rsid w:val="00964831"/>
    <w:rsid w:val="0096517E"/>
    <w:rsid w:val="00965346"/>
    <w:rsid w:val="00965DFD"/>
    <w:rsid w:val="00966724"/>
    <w:rsid w:val="00966AC4"/>
    <w:rsid w:val="009674FC"/>
    <w:rsid w:val="00967549"/>
    <w:rsid w:val="009676C0"/>
    <w:rsid w:val="00967805"/>
    <w:rsid w:val="009709E9"/>
    <w:rsid w:val="00971073"/>
    <w:rsid w:val="00972205"/>
    <w:rsid w:val="00972C57"/>
    <w:rsid w:val="00973631"/>
    <w:rsid w:val="00973F33"/>
    <w:rsid w:val="00974563"/>
    <w:rsid w:val="00974776"/>
    <w:rsid w:val="00975B67"/>
    <w:rsid w:val="00977138"/>
    <w:rsid w:val="00977D2A"/>
    <w:rsid w:val="00977D52"/>
    <w:rsid w:val="009802CE"/>
    <w:rsid w:val="009803A9"/>
    <w:rsid w:val="009803CB"/>
    <w:rsid w:val="009803D4"/>
    <w:rsid w:val="009807A2"/>
    <w:rsid w:val="0098199C"/>
    <w:rsid w:val="0098268D"/>
    <w:rsid w:val="009830BD"/>
    <w:rsid w:val="00983822"/>
    <w:rsid w:val="009841BB"/>
    <w:rsid w:val="00985348"/>
    <w:rsid w:val="00985C3A"/>
    <w:rsid w:val="009865BA"/>
    <w:rsid w:val="00986890"/>
    <w:rsid w:val="00986B75"/>
    <w:rsid w:val="00986E3B"/>
    <w:rsid w:val="009873F3"/>
    <w:rsid w:val="00987413"/>
    <w:rsid w:val="00990E24"/>
    <w:rsid w:val="00992A2B"/>
    <w:rsid w:val="00992FC1"/>
    <w:rsid w:val="00993492"/>
    <w:rsid w:val="00993B5F"/>
    <w:rsid w:val="0099528A"/>
    <w:rsid w:val="00995E98"/>
    <w:rsid w:val="00996763"/>
    <w:rsid w:val="00996C73"/>
    <w:rsid w:val="00996F15"/>
    <w:rsid w:val="00997540"/>
    <w:rsid w:val="00997BA8"/>
    <w:rsid w:val="00997C2F"/>
    <w:rsid w:val="00997EE6"/>
    <w:rsid w:val="009A06F4"/>
    <w:rsid w:val="009A0F23"/>
    <w:rsid w:val="009A1AB7"/>
    <w:rsid w:val="009A228B"/>
    <w:rsid w:val="009A3716"/>
    <w:rsid w:val="009A3778"/>
    <w:rsid w:val="009A3E2E"/>
    <w:rsid w:val="009A3F23"/>
    <w:rsid w:val="009A4F1B"/>
    <w:rsid w:val="009A50AA"/>
    <w:rsid w:val="009A5A37"/>
    <w:rsid w:val="009A5B15"/>
    <w:rsid w:val="009A5B89"/>
    <w:rsid w:val="009A5D69"/>
    <w:rsid w:val="009A6778"/>
    <w:rsid w:val="009A6B42"/>
    <w:rsid w:val="009A7213"/>
    <w:rsid w:val="009A761B"/>
    <w:rsid w:val="009A7F34"/>
    <w:rsid w:val="009B1394"/>
    <w:rsid w:val="009B2245"/>
    <w:rsid w:val="009B258E"/>
    <w:rsid w:val="009B3834"/>
    <w:rsid w:val="009B4B1F"/>
    <w:rsid w:val="009B4F54"/>
    <w:rsid w:val="009B5292"/>
    <w:rsid w:val="009B5921"/>
    <w:rsid w:val="009B5997"/>
    <w:rsid w:val="009B6B23"/>
    <w:rsid w:val="009B759E"/>
    <w:rsid w:val="009B7ABD"/>
    <w:rsid w:val="009B7EA4"/>
    <w:rsid w:val="009C0127"/>
    <w:rsid w:val="009C05A0"/>
    <w:rsid w:val="009C0B3D"/>
    <w:rsid w:val="009C0C0E"/>
    <w:rsid w:val="009C1D27"/>
    <w:rsid w:val="009C21E2"/>
    <w:rsid w:val="009C2BDA"/>
    <w:rsid w:val="009C3BD9"/>
    <w:rsid w:val="009C436C"/>
    <w:rsid w:val="009C4EB1"/>
    <w:rsid w:val="009C5B82"/>
    <w:rsid w:val="009C650A"/>
    <w:rsid w:val="009C7130"/>
    <w:rsid w:val="009C756E"/>
    <w:rsid w:val="009D0B3C"/>
    <w:rsid w:val="009D0D7F"/>
    <w:rsid w:val="009D10FF"/>
    <w:rsid w:val="009D141E"/>
    <w:rsid w:val="009D21BE"/>
    <w:rsid w:val="009D2229"/>
    <w:rsid w:val="009D27F2"/>
    <w:rsid w:val="009D3C3D"/>
    <w:rsid w:val="009D5288"/>
    <w:rsid w:val="009D5AFC"/>
    <w:rsid w:val="009D6C2C"/>
    <w:rsid w:val="009D7F0A"/>
    <w:rsid w:val="009E0402"/>
    <w:rsid w:val="009E256F"/>
    <w:rsid w:val="009E2604"/>
    <w:rsid w:val="009E2AD3"/>
    <w:rsid w:val="009E3983"/>
    <w:rsid w:val="009E4291"/>
    <w:rsid w:val="009E47E5"/>
    <w:rsid w:val="009E4D83"/>
    <w:rsid w:val="009E61B4"/>
    <w:rsid w:val="009E6A10"/>
    <w:rsid w:val="009E7767"/>
    <w:rsid w:val="009F098A"/>
    <w:rsid w:val="009F1070"/>
    <w:rsid w:val="009F146F"/>
    <w:rsid w:val="009F3C75"/>
    <w:rsid w:val="009F58F1"/>
    <w:rsid w:val="009F5EE5"/>
    <w:rsid w:val="009F64F8"/>
    <w:rsid w:val="009F6F79"/>
    <w:rsid w:val="009F7129"/>
    <w:rsid w:val="009F78F7"/>
    <w:rsid w:val="00A0037E"/>
    <w:rsid w:val="00A008B8"/>
    <w:rsid w:val="00A01303"/>
    <w:rsid w:val="00A0155E"/>
    <w:rsid w:val="00A02AFC"/>
    <w:rsid w:val="00A02C4F"/>
    <w:rsid w:val="00A02CFE"/>
    <w:rsid w:val="00A0350B"/>
    <w:rsid w:val="00A04A09"/>
    <w:rsid w:val="00A04B55"/>
    <w:rsid w:val="00A05435"/>
    <w:rsid w:val="00A05821"/>
    <w:rsid w:val="00A05D1D"/>
    <w:rsid w:val="00A05EA2"/>
    <w:rsid w:val="00A06490"/>
    <w:rsid w:val="00A06E9F"/>
    <w:rsid w:val="00A076CC"/>
    <w:rsid w:val="00A077E8"/>
    <w:rsid w:val="00A07914"/>
    <w:rsid w:val="00A1016C"/>
    <w:rsid w:val="00A107E8"/>
    <w:rsid w:val="00A10DD9"/>
    <w:rsid w:val="00A10E2F"/>
    <w:rsid w:val="00A1125D"/>
    <w:rsid w:val="00A1165C"/>
    <w:rsid w:val="00A116F6"/>
    <w:rsid w:val="00A1182F"/>
    <w:rsid w:val="00A125D6"/>
    <w:rsid w:val="00A13425"/>
    <w:rsid w:val="00A13A14"/>
    <w:rsid w:val="00A14685"/>
    <w:rsid w:val="00A14E53"/>
    <w:rsid w:val="00A15580"/>
    <w:rsid w:val="00A16449"/>
    <w:rsid w:val="00A16F10"/>
    <w:rsid w:val="00A206E1"/>
    <w:rsid w:val="00A20DD8"/>
    <w:rsid w:val="00A21B87"/>
    <w:rsid w:val="00A2209E"/>
    <w:rsid w:val="00A22EFC"/>
    <w:rsid w:val="00A23B68"/>
    <w:rsid w:val="00A2428A"/>
    <w:rsid w:val="00A24F22"/>
    <w:rsid w:val="00A2560B"/>
    <w:rsid w:val="00A26389"/>
    <w:rsid w:val="00A263C1"/>
    <w:rsid w:val="00A26480"/>
    <w:rsid w:val="00A26770"/>
    <w:rsid w:val="00A26C67"/>
    <w:rsid w:val="00A27C7E"/>
    <w:rsid w:val="00A27CFF"/>
    <w:rsid w:val="00A303B8"/>
    <w:rsid w:val="00A303CB"/>
    <w:rsid w:val="00A30BB0"/>
    <w:rsid w:val="00A318BC"/>
    <w:rsid w:val="00A32496"/>
    <w:rsid w:val="00A33381"/>
    <w:rsid w:val="00A3374E"/>
    <w:rsid w:val="00A33EDE"/>
    <w:rsid w:val="00A34A0F"/>
    <w:rsid w:val="00A35066"/>
    <w:rsid w:val="00A361C3"/>
    <w:rsid w:val="00A3678D"/>
    <w:rsid w:val="00A37D76"/>
    <w:rsid w:val="00A40C52"/>
    <w:rsid w:val="00A41040"/>
    <w:rsid w:val="00A411FA"/>
    <w:rsid w:val="00A42612"/>
    <w:rsid w:val="00A44EC1"/>
    <w:rsid w:val="00A454B3"/>
    <w:rsid w:val="00A45E02"/>
    <w:rsid w:val="00A45E52"/>
    <w:rsid w:val="00A45EB8"/>
    <w:rsid w:val="00A462F3"/>
    <w:rsid w:val="00A46652"/>
    <w:rsid w:val="00A46D15"/>
    <w:rsid w:val="00A46E3A"/>
    <w:rsid w:val="00A4713D"/>
    <w:rsid w:val="00A47921"/>
    <w:rsid w:val="00A50752"/>
    <w:rsid w:val="00A50C00"/>
    <w:rsid w:val="00A50DCB"/>
    <w:rsid w:val="00A51654"/>
    <w:rsid w:val="00A524E1"/>
    <w:rsid w:val="00A5289E"/>
    <w:rsid w:val="00A5323B"/>
    <w:rsid w:val="00A53263"/>
    <w:rsid w:val="00A539AA"/>
    <w:rsid w:val="00A54095"/>
    <w:rsid w:val="00A54FB4"/>
    <w:rsid w:val="00A56DE0"/>
    <w:rsid w:val="00A56EC2"/>
    <w:rsid w:val="00A56FA5"/>
    <w:rsid w:val="00A574AE"/>
    <w:rsid w:val="00A60074"/>
    <w:rsid w:val="00A60322"/>
    <w:rsid w:val="00A60A55"/>
    <w:rsid w:val="00A61273"/>
    <w:rsid w:val="00A61D7B"/>
    <w:rsid w:val="00A61E2E"/>
    <w:rsid w:val="00A624B2"/>
    <w:rsid w:val="00A63C18"/>
    <w:rsid w:val="00A63CAF"/>
    <w:rsid w:val="00A63CB0"/>
    <w:rsid w:val="00A6434A"/>
    <w:rsid w:val="00A64B04"/>
    <w:rsid w:val="00A64B89"/>
    <w:rsid w:val="00A64EE7"/>
    <w:rsid w:val="00A662DC"/>
    <w:rsid w:val="00A6741B"/>
    <w:rsid w:val="00A71322"/>
    <w:rsid w:val="00A71798"/>
    <w:rsid w:val="00A72228"/>
    <w:rsid w:val="00A730D2"/>
    <w:rsid w:val="00A7318F"/>
    <w:rsid w:val="00A74226"/>
    <w:rsid w:val="00A757B0"/>
    <w:rsid w:val="00A75B5F"/>
    <w:rsid w:val="00A75D16"/>
    <w:rsid w:val="00A75DC1"/>
    <w:rsid w:val="00A75DEA"/>
    <w:rsid w:val="00A76948"/>
    <w:rsid w:val="00A776A4"/>
    <w:rsid w:val="00A80251"/>
    <w:rsid w:val="00A8049D"/>
    <w:rsid w:val="00A8114B"/>
    <w:rsid w:val="00A81A57"/>
    <w:rsid w:val="00A81B07"/>
    <w:rsid w:val="00A822C2"/>
    <w:rsid w:val="00A82990"/>
    <w:rsid w:val="00A82CC8"/>
    <w:rsid w:val="00A8358A"/>
    <w:rsid w:val="00A83CC1"/>
    <w:rsid w:val="00A83F71"/>
    <w:rsid w:val="00A84524"/>
    <w:rsid w:val="00A84C14"/>
    <w:rsid w:val="00A85607"/>
    <w:rsid w:val="00A85CA8"/>
    <w:rsid w:val="00A85E81"/>
    <w:rsid w:val="00A86DB9"/>
    <w:rsid w:val="00A872A5"/>
    <w:rsid w:val="00A874BE"/>
    <w:rsid w:val="00A90401"/>
    <w:rsid w:val="00A90851"/>
    <w:rsid w:val="00A9163A"/>
    <w:rsid w:val="00A920B9"/>
    <w:rsid w:val="00A921E3"/>
    <w:rsid w:val="00A93974"/>
    <w:rsid w:val="00A94539"/>
    <w:rsid w:val="00A94D20"/>
    <w:rsid w:val="00A96944"/>
    <w:rsid w:val="00A96B34"/>
    <w:rsid w:val="00A9752B"/>
    <w:rsid w:val="00A97CAC"/>
    <w:rsid w:val="00AA1A94"/>
    <w:rsid w:val="00AA2461"/>
    <w:rsid w:val="00AA27EB"/>
    <w:rsid w:val="00AA2865"/>
    <w:rsid w:val="00AA2AA6"/>
    <w:rsid w:val="00AA2C55"/>
    <w:rsid w:val="00AA3A9B"/>
    <w:rsid w:val="00AA3BF1"/>
    <w:rsid w:val="00AA49BA"/>
    <w:rsid w:val="00AA4F57"/>
    <w:rsid w:val="00AA5410"/>
    <w:rsid w:val="00AA5472"/>
    <w:rsid w:val="00AA7BF0"/>
    <w:rsid w:val="00AB1D93"/>
    <w:rsid w:val="00AB21C6"/>
    <w:rsid w:val="00AB2841"/>
    <w:rsid w:val="00AB33BA"/>
    <w:rsid w:val="00AB37B2"/>
    <w:rsid w:val="00AB3BD8"/>
    <w:rsid w:val="00AB4317"/>
    <w:rsid w:val="00AB47F7"/>
    <w:rsid w:val="00AB4EA5"/>
    <w:rsid w:val="00AB533D"/>
    <w:rsid w:val="00AB6B96"/>
    <w:rsid w:val="00AC00CD"/>
    <w:rsid w:val="00AC04C2"/>
    <w:rsid w:val="00AC0EFF"/>
    <w:rsid w:val="00AC140B"/>
    <w:rsid w:val="00AC151E"/>
    <w:rsid w:val="00AC1526"/>
    <w:rsid w:val="00AC1891"/>
    <w:rsid w:val="00AC195F"/>
    <w:rsid w:val="00AC29A8"/>
    <w:rsid w:val="00AC2D66"/>
    <w:rsid w:val="00AC3458"/>
    <w:rsid w:val="00AC536E"/>
    <w:rsid w:val="00AC5D8F"/>
    <w:rsid w:val="00AC62CD"/>
    <w:rsid w:val="00AC6F7D"/>
    <w:rsid w:val="00AC720A"/>
    <w:rsid w:val="00AC7364"/>
    <w:rsid w:val="00AD0225"/>
    <w:rsid w:val="00AD06BC"/>
    <w:rsid w:val="00AD074B"/>
    <w:rsid w:val="00AD1963"/>
    <w:rsid w:val="00AD1B64"/>
    <w:rsid w:val="00AD1FDB"/>
    <w:rsid w:val="00AD24B5"/>
    <w:rsid w:val="00AD2FEF"/>
    <w:rsid w:val="00AD4831"/>
    <w:rsid w:val="00AD4CC3"/>
    <w:rsid w:val="00AD544C"/>
    <w:rsid w:val="00AD60EA"/>
    <w:rsid w:val="00AD67D4"/>
    <w:rsid w:val="00AD7286"/>
    <w:rsid w:val="00AE1667"/>
    <w:rsid w:val="00AE18CB"/>
    <w:rsid w:val="00AE2764"/>
    <w:rsid w:val="00AE29CA"/>
    <w:rsid w:val="00AE2C3F"/>
    <w:rsid w:val="00AE2D67"/>
    <w:rsid w:val="00AE3130"/>
    <w:rsid w:val="00AE33E4"/>
    <w:rsid w:val="00AE4331"/>
    <w:rsid w:val="00AE59A7"/>
    <w:rsid w:val="00AE614D"/>
    <w:rsid w:val="00AE6892"/>
    <w:rsid w:val="00AE7207"/>
    <w:rsid w:val="00AE7849"/>
    <w:rsid w:val="00AE7977"/>
    <w:rsid w:val="00AE7B0D"/>
    <w:rsid w:val="00AE7FC0"/>
    <w:rsid w:val="00AF0C37"/>
    <w:rsid w:val="00AF1F10"/>
    <w:rsid w:val="00AF2070"/>
    <w:rsid w:val="00AF223B"/>
    <w:rsid w:val="00AF3ABE"/>
    <w:rsid w:val="00AF3D39"/>
    <w:rsid w:val="00AF4262"/>
    <w:rsid w:val="00AF46D8"/>
    <w:rsid w:val="00AF497B"/>
    <w:rsid w:val="00AF4AA2"/>
    <w:rsid w:val="00AF4D68"/>
    <w:rsid w:val="00AF55C8"/>
    <w:rsid w:val="00AF576D"/>
    <w:rsid w:val="00AF67BF"/>
    <w:rsid w:val="00AF681D"/>
    <w:rsid w:val="00AF6A4C"/>
    <w:rsid w:val="00AF743B"/>
    <w:rsid w:val="00AF795E"/>
    <w:rsid w:val="00AF7D78"/>
    <w:rsid w:val="00AF7DC2"/>
    <w:rsid w:val="00B00DAD"/>
    <w:rsid w:val="00B01C22"/>
    <w:rsid w:val="00B01CAC"/>
    <w:rsid w:val="00B02183"/>
    <w:rsid w:val="00B03382"/>
    <w:rsid w:val="00B03DA9"/>
    <w:rsid w:val="00B03EA2"/>
    <w:rsid w:val="00B047C2"/>
    <w:rsid w:val="00B04820"/>
    <w:rsid w:val="00B04CB1"/>
    <w:rsid w:val="00B05635"/>
    <w:rsid w:val="00B05F0F"/>
    <w:rsid w:val="00B060AF"/>
    <w:rsid w:val="00B06FB1"/>
    <w:rsid w:val="00B07620"/>
    <w:rsid w:val="00B07C89"/>
    <w:rsid w:val="00B10260"/>
    <w:rsid w:val="00B106C0"/>
    <w:rsid w:val="00B115BF"/>
    <w:rsid w:val="00B11A7F"/>
    <w:rsid w:val="00B124DF"/>
    <w:rsid w:val="00B1314F"/>
    <w:rsid w:val="00B13803"/>
    <w:rsid w:val="00B13C30"/>
    <w:rsid w:val="00B13E9D"/>
    <w:rsid w:val="00B13FB6"/>
    <w:rsid w:val="00B1449E"/>
    <w:rsid w:val="00B1497B"/>
    <w:rsid w:val="00B1499C"/>
    <w:rsid w:val="00B1516D"/>
    <w:rsid w:val="00B151CF"/>
    <w:rsid w:val="00B151DC"/>
    <w:rsid w:val="00B15681"/>
    <w:rsid w:val="00B160E8"/>
    <w:rsid w:val="00B1783A"/>
    <w:rsid w:val="00B17C5D"/>
    <w:rsid w:val="00B17F05"/>
    <w:rsid w:val="00B20F5E"/>
    <w:rsid w:val="00B219F3"/>
    <w:rsid w:val="00B2259C"/>
    <w:rsid w:val="00B23A72"/>
    <w:rsid w:val="00B246C4"/>
    <w:rsid w:val="00B247AD"/>
    <w:rsid w:val="00B2595A"/>
    <w:rsid w:val="00B25D02"/>
    <w:rsid w:val="00B25D05"/>
    <w:rsid w:val="00B261FF"/>
    <w:rsid w:val="00B26622"/>
    <w:rsid w:val="00B26669"/>
    <w:rsid w:val="00B26868"/>
    <w:rsid w:val="00B276B4"/>
    <w:rsid w:val="00B303F6"/>
    <w:rsid w:val="00B304ED"/>
    <w:rsid w:val="00B30566"/>
    <w:rsid w:val="00B307B7"/>
    <w:rsid w:val="00B30DAF"/>
    <w:rsid w:val="00B31670"/>
    <w:rsid w:val="00B3184F"/>
    <w:rsid w:val="00B31A0D"/>
    <w:rsid w:val="00B32692"/>
    <w:rsid w:val="00B327A9"/>
    <w:rsid w:val="00B331D4"/>
    <w:rsid w:val="00B33AD0"/>
    <w:rsid w:val="00B34104"/>
    <w:rsid w:val="00B3427E"/>
    <w:rsid w:val="00B34EEE"/>
    <w:rsid w:val="00B36028"/>
    <w:rsid w:val="00B37758"/>
    <w:rsid w:val="00B37C1F"/>
    <w:rsid w:val="00B40064"/>
    <w:rsid w:val="00B415D3"/>
    <w:rsid w:val="00B41684"/>
    <w:rsid w:val="00B41794"/>
    <w:rsid w:val="00B41A72"/>
    <w:rsid w:val="00B42475"/>
    <w:rsid w:val="00B43054"/>
    <w:rsid w:val="00B46CBA"/>
    <w:rsid w:val="00B46F59"/>
    <w:rsid w:val="00B50A44"/>
    <w:rsid w:val="00B511DC"/>
    <w:rsid w:val="00B51C63"/>
    <w:rsid w:val="00B531F5"/>
    <w:rsid w:val="00B536FD"/>
    <w:rsid w:val="00B53F8A"/>
    <w:rsid w:val="00B54453"/>
    <w:rsid w:val="00B548F5"/>
    <w:rsid w:val="00B55524"/>
    <w:rsid w:val="00B56259"/>
    <w:rsid w:val="00B56CBD"/>
    <w:rsid w:val="00B575BF"/>
    <w:rsid w:val="00B5780B"/>
    <w:rsid w:val="00B57AF1"/>
    <w:rsid w:val="00B57EB7"/>
    <w:rsid w:val="00B605B4"/>
    <w:rsid w:val="00B612EA"/>
    <w:rsid w:val="00B6191F"/>
    <w:rsid w:val="00B61C66"/>
    <w:rsid w:val="00B6247A"/>
    <w:rsid w:val="00B62604"/>
    <w:rsid w:val="00B62621"/>
    <w:rsid w:val="00B62DF2"/>
    <w:rsid w:val="00B6343A"/>
    <w:rsid w:val="00B63A36"/>
    <w:rsid w:val="00B64EAE"/>
    <w:rsid w:val="00B65D01"/>
    <w:rsid w:val="00B65EA2"/>
    <w:rsid w:val="00B6623C"/>
    <w:rsid w:val="00B66397"/>
    <w:rsid w:val="00B6687A"/>
    <w:rsid w:val="00B66A87"/>
    <w:rsid w:val="00B66B16"/>
    <w:rsid w:val="00B67A76"/>
    <w:rsid w:val="00B67F25"/>
    <w:rsid w:val="00B70F6E"/>
    <w:rsid w:val="00B712D0"/>
    <w:rsid w:val="00B71B2D"/>
    <w:rsid w:val="00B726AF"/>
    <w:rsid w:val="00B72A8F"/>
    <w:rsid w:val="00B744CD"/>
    <w:rsid w:val="00B74710"/>
    <w:rsid w:val="00B748EE"/>
    <w:rsid w:val="00B757E5"/>
    <w:rsid w:val="00B75950"/>
    <w:rsid w:val="00B76D30"/>
    <w:rsid w:val="00B7764D"/>
    <w:rsid w:val="00B80D49"/>
    <w:rsid w:val="00B81F38"/>
    <w:rsid w:val="00B8224B"/>
    <w:rsid w:val="00B83692"/>
    <w:rsid w:val="00B83B62"/>
    <w:rsid w:val="00B84662"/>
    <w:rsid w:val="00B8476E"/>
    <w:rsid w:val="00B8535F"/>
    <w:rsid w:val="00B85D18"/>
    <w:rsid w:val="00B8690F"/>
    <w:rsid w:val="00B87278"/>
    <w:rsid w:val="00B87477"/>
    <w:rsid w:val="00B875C2"/>
    <w:rsid w:val="00B8778A"/>
    <w:rsid w:val="00B878CD"/>
    <w:rsid w:val="00B90992"/>
    <w:rsid w:val="00B9113D"/>
    <w:rsid w:val="00B91B80"/>
    <w:rsid w:val="00B91CB1"/>
    <w:rsid w:val="00B9249B"/>
    <w:rsid w:val="00B93991"/>
    <w:rsid w:val="00B9536C"/>
    <w:rsid w:val="00B96290"/>
    <w:rsid w:val="00B96D86"/>
    <w:rsid w:val="00BA1C89"/>
    <w:rsid w:val="00BA1FCF"/>
    <w:rsid w:val="00BA1FFB"/>
    <w:rsid w:val="00BA20B3"/>
    <w:rsid w:val="00BA20FF"/>
    <w:rsid w:val="00BA2944"/>
    <w:rsid w:val="00BA2A69"/>
    <w:rsid w:val="00BA2B3F"/>
    <w:rsid w:val="00BA3630"/>
    <w:rsid w:val="00BA477F"/>
    <w:rsid w:val="00BA489E"/>
    <w:rsid w:val="00BA4E45"/>
    <w:rsid w:val="00BA59FB"/>
    <w:rsid w:val="00BA6BE4"/>
    <w:rsid w:val="00BB09A6"/>
    <w:rsid w:val="00BB0C32"/>
    <w:rsid w:val="00BB14A3"/>
    <w:rsid w:val="00BB39F8"/>
    <w:rsid w:val="00BB430F"/>
    <w:rsid w:val="00BB43EB"/>
    <w:rsid w:val="00BB45C1"/>
    <w:rsid w:val="00BB4602"/>
    <w:rsid w:val="00BB4841"/>
    <w:rsid w:val="00BB4C0A"/>
    <w:rsid w:val="00BB5564"/>
    <w:rsid w:val="00BB5C59"/>
    <w:rsid w:val="00BB5F8C"/>
    <w:rsid w:val="00BB6A18"/>
    <w:rsid w:val="00BB6EDA"/>
    <w:rsid w:val="00BC0495"/>
    <w:rsid w:val="00BC079D"/>
    <w:rsid w:val="00BC15DE"/>
    <w:rsid w:val="00BC17C8"/>
    <w:rsid w:val="00BC369C"/>
    <w:rsid w:val="00BC40EE"/>
    <w:rsid w:val="00BC41F6"/>
    <w:rsid w:val="00BC4972"/>
    <w:rsid w:val="00BC4D18"/>
    <w:rsid w:val="00BC4D47"/>
    <w:rsid w:val="00BC5361"/>
    <w:rsid w:val="00BC6897"/>
    <w:rsid w:val="00BD0659"/>
    <w:rsid w:val="00BD1C09"/>
    <w:rsid w:val="00BD3135"/>
    <w:rsid w:val="00BD33D4"/>
    <w:rsid w:val="00BD3A98"/>
    <w:rsid w:val="00BD3B18"/>
    <w:rsid w:val="00BD40B1"/>
    <w:rsid w:val="00BD5A14"/>
    <w:rsid w:val="00BD5C6D"/>
    <w:rsid w:val="00BD61A2"/>
    <w:rsid w:val="00BD64AB"/>
    <w:rsid w:val="00BD6FD9"/>
    <w:rsid w:val="00BE1F1F"/>
    <w:rsid w:val="00BE2074"/>
    <w:rsid w:val="00BE23E0"/>
    <w:rsid w:val="00BE2779"/>
    <w:rsid w:val="00BE4184"/>
    <w:rsid w:val="00BE4737"/>
    <w:rsid w:val="00BE47BF"/>
    <w:rsid w:val="00BE5374"/>
    <w:rsid w:val="00BE5759"/>
    <w:rsid w:val="00BE60BD"/>
    <w:rsid w:val="00BE627A"/>
    <w:rsid w:val="00BE656A"/>
    <w:rsid w:val="00BE6CE8"/>
    <w:rsid w:val="00BE6ED0"/>
    <w:rsid w:val="00BE7454"/>
    <w:rsid w:val="00BF0926"/>
    <w:rsid w:val="00BF1C85"/>
    <w:rsid w:val="00BF4E41"/>
    <w:rsid w:val="00BF4EA2"/>
    <w:rsid w:val="00BF4F42"/>
    <w:rsid w:val="00BF51A5"/>
    <w:rsid w:val="00BF5E0C"/>
    <w:rsid w:val="00BF7126"/>
    <w:rsid w:val="00BF7341"/>
    <w:rsid w:val="00BF7C54"/>
    <w:rsid w:val="00C0048E"/>
    <w:rsid w:val="00C013F4"/>
    <w:rsid w:val="00C0176D"/>
    <w:rsid w:val="00C01D5F"/>
    <w:rsid w:val="00C02065"/>
    <w:rsid w:val="00C03019"/>
    <w:rsid w:val="00C0345A"/>
    <w:rsid w:val="00C03511"/>
    <w:rsid w:val="00C04678"/>
    <w:rsid w:val="00C04C3A"/>
    <w:rsid w:val="00C05700"/>
    <w:rsid w:val="00C05DEF"/>
    <w:rsid w:val="00C068FB"/>
    <w:rsid w:val="00C0693C"/>
    <w:rsid w:val="00C06D03"/>
    <w:rsid w:val="00C06EFA"/>
    <w:rsid w:val="00C0708C"/>
    <w:rsid w:val="00C074CD"/>
    <w:rsid w:val="00C107C3"/>
    <w:rsid w:val="00C119F3"/>
    <w:rsid w:val="00C11CDE"/>
    <w:rsid w:val="00C13520"/>
    <w:rsid w:val="00C14C11"/>
    <w:rsid w:val="00C14F9B"/>
    <w:rsid w:val="00C14FAB"/>
    <w:rsid w:val="00C150A5"/>
    <w:rsid w:val="00C15F42"/>
    <w:rsid w:val="00C15FE6"/>
    <w:rsid w:val="00C1610B"/>
    <w:rsid w:val="00C1611D"/>
    <w:rsid w:val="00C1655C"/>
    <w:rsid w:val="00C16B80"/>
    <w:rsid w:val="00C16C9A"/>
    <w:rsid w:val="00C17220"/>
    <w:rsid w:val="00C175E4"/>
    <w:rsid w:val="00C20010"/>
    <w:rsid w:val="00C20F6C"/>
    <w:rsid w:val="00C2164F"/>
    <w:rsid w:val="00C22232"/>
    <w:rsid w:val="00C2279E"/>
    <w:rsid w:val="00C22B43"/>
    <w:rsid w:val="00C22C80"/>
    <w:rsid w:val="00C230D7"/>
    <w:rsid w:val="00C232E0"/>
    <w:rsid w:val="00C24B5E"/>
    <w:rsid w:val="00C2534F"/>
    <w:rsid w:val="00C27759"/>
    <w:rsid w:val="00C30058"/>
    <w:rsid w:val="00C30A3A"/>
    <w:rsid w:val="00C317A2"/>
    <w:rsid w:val="00C31E3B"/>
    <w:rsid w:val="00C335F2"/>
    <w:rsid w:val="00C33A3A"/>
    <w:rsid w:val="00C33EA3"/>
    <w:rsid w:val="00C33F8D"/>
    <w:rsid w:val="00C343FC"/>
    <w:rsid w:val="00C3646E"/>
    <w:rsid w:val="00C364DD"/>
    <w:rsid w:val="00C3651F"/>
    <w:rsid w:val="00C36633"/>
    <w:rsid w:val="00C367C1"/>
    <w:rsid w:val="00C36DAC"/>
    <w:rsid w:val="00C36E9D"/>
    <w:rsid w:val="00C37C86"/>
    <w:rsid w:val="00C412B1"/>
    <w:rsid w:val="00C41D5E"/>
    <w:rsid w:val="00C41E80"/>
    <w:rsid w:val="00C41F88"/>
    <w:rsid w:val="00C42540"/>
    <w:rsid w:val="00C44303"/>
    <w:rsid w:val="00C4436C"/>
    <w:rsid w:val="00C4563D"/>
    <w:rsid w:val="00C461B2"/>
    <w:rsid w:val="00C464EF"/>
    <w:rsid w:val="00C46A09"/>
    <w:rsid w:val="00C46C45"/>
    <w:rsid w:val="00C47012"/>
    <w:rsid w:val="00C47078"/>
    <w:rsid w:val="00C47C8E"/>
    <w:rsid w:val="00C506A0"/>
    <w:rsid w:val="00C51634"/>
    <w:rsid w:val="00C5178F"/>
    <w:rsid w:val="00C52FD1"/>
    <w:rsid w:val="00C530FE"/>
    <w:rsid w:val="00C5359B"/>
    <w:rsid w:val="00C53A21"/>
    <w:rsid w:val="00C53AF7"/>
    <w:rsid w:val="00C550A0"/>
    <w:rsid w:val="00C550A8"/>
    <w:rsid w:val="00C554B5"/>
    <w:rsid w:val="00C558DC"/>
    <w:rsid w:val="00C55CBC"/>
    <w:rsid w:val="00C56EF2"/>
    <w:rsid w:val="00C570A6"/>
    <w:rsid w:val="00C579F3"/>
    <w:rsid w:val="00C600B3"/>
    <w:rsid w:val="00C600F7"/>
    <w:rsid w:val="00C60F8D"/>
    <w:rsid w:val="00C61464"/>
    <w:rsid w:val="00C62A81"/>
    <w:rsid w:val="00C65309"/>
    <w:rsid w:val="00C677A3"/>
    <w:rsid w:val="00C67999"/>
    <w:rsid w:val="00C67E8E"/>
    <w:rsid w:val="00C7110E"/>
    <w:rsid w:val="00C72177"/>
    <w:rsid w:val="00C72F7D"/>
    <w:rsid w:val="00C731F0"/>
    <w:rsid w:val="00C74B8C"/>
    <w:rsid w:val="00C74D9B"/>
    <w:rsid w:val="00C753F3"/>
    <w:rsid w:val="00C75855"/>
    <w:rsid w:val="00C762C8"/>
    <w:rsid w:val="00C769CD"/>
    <w:rsid w:val="00C77582"/>
    <w:rsid w:val="00C801C2"/>
    <w:rsid w:val="00C81A8E"/>
    <w:rsid w:val="00C8268F"/>
    <w:rsid w:val="00C83535"/>
    <w:rsid w:val="00C83D84"/>
    <w:rsid w:val="00C84119"/>
    <w:rsid w:val="00C854BC"/>
    <w:rsid w:val="00C85B92"/>
    <w:rsid w:val="00C85C43"/>
    <w:rsid w:val="00C85F7A"/>
    <w:rsid w:val="00C85FAA"/>
    <w:rsid w:val="00C862C3"/>
    <w:rsid w:val="00C87436"/>
    <w:rsid w:val="00C87878"/>
    <w:rsid w:val="00C87BE3"/>
    <w:rsid w:val="00C87FFD"/>
    <w:rsid w:val="00C905E5"/>
    <w:rsid w:val="00C91651"/>
    <w:rsid w:val="00C917A4"/>
    <w:rsid w:val="00C91E4F"/>
    <w:rsid w:val="00C922A2"/>
    <w:rsid w:val="00C929A1"/>
    <w:rsid w:val="00C92C6F"/>
    <w:rsid w:val="00C92F2A"/>
    <w:rsid w:val="00C93A7A"/>
    <w:rsid w:val="00C93A80"/>
    <w:rsid w:val="00C947A9"/>
    <w:rsid w:val="00C954B0"/>
    <w:rsid w:val="00C959AE"/>
    <w:rsid w:val="00C96FBF"/>
    <w:rsid w:val="00C97CEE"/>
    <w:rsid w:val="00CA0351"/>
    <w:rsid w:val="00CA0832"/>
    <w:rsid w:val="00CA1F94"/>
    <w:rsid w:val="00CA213E"/>
    <w:rsid w:val="00CA237F"/>
    <w:rsid w:val="00CA26EA"/>
    <w:rsid w:val="00CA2FB2"/>
    <w:rsid w:val="00CA33F0"/>
    <w:rsid w:val="00CA3B2C"/>
    <w:rsid w:val="00CA3D3A"/>
    <w:rsid w:val="00CA42D6"/>
    <w:rsid w:val="00CA4B80"/>
    <w:rsid w:val="00CA528A"/>
    <w:rsid w:val="00CA5894"/>
    <w:rsid w:val="00CA60B3"/>
    <w:rsid w:val="00CA64C5"/>
    <w:rsid w:val="00CA6974"/>
    <w:rsid w:val="00CA698C"/>
    <w:rsid w:val="00CB15E9"/>
    <w:rsid w:val="00CB1CBA"/>
    <w:rsid w:val="00CB2282"/>
    <w:rsid w:val="00CB2A40"/>
    <w:rsid w:val="00CB2B85"/>
    <w:rsid w:val="00CB2BD5"/>
    <w:rsid w:val="00CB3410"/>
    <w:rsid w:val="00CB3E20"/>
    <w:rsid w:val="00CB4553"/>
    <w:rsid w:val="00CB466E"/>
    <w:rsid w:val="00CB49A5"/>
    <w:rsid w:val="00CB4F61"/>
    <w:rsid w:val="00CB5473"/>
    <w:rsid w:val="00CB5C55"/>
    <w:rsid w:val="00CB5D81"/>
    <w:rsid w:val="00CB6C0B"/>
    <w:rsid w:val="00CB79B2"/>
    <w:rsid w:val="00CC0201"/>
    <w:rsid w:val="00CC12AF"/>
    <w:rsid w:val="00CC1D1A"/>
    <w:rsid w:val="00CC1D4A"/>
    <w:rsid w:val="00CC2001"/>
    <w:rsid w:val="00CC2D3C"/>
    <w:rsid w:val="00CC2DB0"/>
    <w:rsid w:val="00CC380E"/>
    <w:rsid w:val="00CC4886"/>
    <w:rsid w:val="00CC6260"/>
    <w:rsid w:val="00CC6410"/>
    <w:rsid w:val="00CC6586"/>
    <w:rsid w:val="00CC6700"/>
    <w:rsid w:val="00CC7363"/>
    <w:rsid w:val="00CD06DD"/>
    <w:rsid w:val="00CD07DA"/>
    <w:rsid w:val="00CD0D34"/>
    <w:rsid w:val="00CD1404"/>
    <w:rsid w:val="00CD1E31"/>
    <w:rsid w:val="00CD27F2"/>
    <w:rsid w:val="00CD281F"/>
    <w:rsid w:val="00CD3637"/>
    <w:rsid w:val="00CD4454"/>
    <w:rsid w:val="00CD4923"/>
    <w:rsid w:val="00CD499A"/>
    <w:rsid w:val="00CD5051"/>
    <w:rsid w:val="00CD67BC"/>
    <w:rsid w:val="00CD69FA"/>
    <w:rsid w:val="00CD6DC7"/>
    <w:rsid w:val="00CE0CF6"/>
    <w:rsid w:val="00CE0E6E"/>
    <w:rsid w:val="00CE28E3"/>
    <w:rsid w:val="00CE32EF"/>
    <w:rsid w:val="00CE3CBD"/>
    <w:rsid w:val="00CE4622"/>
    <w:rsid w:val="00CE6DF1"/>
    <w:rsid w:val="00CE70E5"/>
    <w:rsid w:val="00CF1A2D"/>
    <w:rsid w:val="00CF1BB8"/>
    <w:rsid w:val="00CF2913"/>
    <w:rsid w:val="00CF2CE4"/>
    <w:rsid w:val="00CF2D04"/>
    <w:rsid w:val="00CF3F9F"/>
    <w:rsid w:val="00CF439F"/>
    <w:rsid w:val="00CF4518"/>
    <w:rsid w:val="00CF46A5"/>
    <w:rsid w:val="00CF46B0"/>
    <w:rsid w:val="00CF5486"/>
    <w:rsid w:val="00CF5BDA"/>
    <w:rsid w:val="00CF7120"/>
    <w:rsid w:val="00CF724C"/>
    <w:rsid w:val="00CF7896"/>
    <w:rsid w:val="00CF7F29"/>
    <w:rsid w:val="00D001B4"/>
    <w:rsid w:val="00D003B7"/>
    <w:rsid w:val="00D00E36"/>
    <w:rsid w:val="00D011F9"/>
    <w:rsid w:val="00D0136D"/>
    <w:rsid w:val="00D02CA8"/>
    <w:rsid w:val="00D02F4F"/>
    <w:rsid w:val="00D03894"/>
    <w:rsid w:val="00D04367"/>
    <w:rsid w:val="00D0446E"/>
    <w:rsid w:val="00D0481D"/>
    <w:rsid w:val="00D04CB3"/>
    <w:rsid w:val="00D104DE"/>
    <w:rsid w:val="00D1072A"/>
    <w:rsid w:val="00D1089D"/>
    <w:rsid w:val="00D10FED"/>
    <w:rsid w:val="00D11182"/>
    <w:rsid w:val="00D13411"/>
    <w:rsid w:val="00D13865"/>
    <w:rsid w:val="00D13AC7"/>
    <w:rsid w:val="00D147B8"/>
    <w:rsid w:val="00D14E59"/>
    <w:rsid w:val="00D155D2"/>
    <w:rsid w:val="00D15D79"/>
    <w:rsid w:val="00D20031"/>
    <w:rsid w:val="00D208D9"/>
    <w:rsid w:val="00D22A60"/>
    <w:rsid w:val="00D23FE4"/>
    <w:rsid w:val="00D25269"/>
    <w:rsid w:val="00D30DA2"/>
    <w:rsid w:val="00D313B3"/>
    <w:rsid w:val="00D314AF"/>
    <w:rsid w:val="00D322D6"/>
    <w:rsid w:val="00D3281B"/>
    <w:rsid w:val="00D3292B"/>
    <w:rsid w:val="00D32A2D"/>
    <w:rsid w:val="00D3306C"/>
    <w:rsid w:val="00D33471"/>
    <w:rsid w:val="00D33889"/>
    <w:rsid w:val="00D33DFA"/>
    <w:rsid w:val="00D33F02"/>
    <w:rsid w:val="00D356FD"/>
    <w:rsid w:val="00D357FF"/>
    <w:rsid w:val="00D358F7"/>
    <w:rsid w:val="00D3592A"/>
    <w:rsid w:val="00D35B74"/>
    <w:rsid w:val="00D36376"/>
    <w:rsid w:val="00D36449"/>
    <w:rsid w:val="00D36E67"/>
    <w:rsid w:val="00D36F26"/>
    <w:rsid w:val="00D37503"/>
    <w:rsid w:val="00D37CD3"/>
    <w:rsid w:val="00D37EF5"/>
    <w:rsid w:val="00D405FA"/>
    <w:rsid w:val="00D419C9"/>
    <w:rsid w:val="00D41AA4"/>
    <w:rsid w:val="00D41B19"/>
    <w:rsid w:val="00D428B9"/>
    <w:rsid w:val="00D43246"/>
    <w:rsid w:val="00D435A4"/>
    <w:rsid w:val="00D43D0B"/>
    <w:rsid w:val="00D43D16"/>
    <w:rsid w:val="00D45750"/>
    <w:rsid w:val="00D457EA"/>
    <w:rsid w:val="00D45C42"/>
    <w:rsid w:val="00D45C6C"/>
    <w:rsid w:val="00D46063"/>
    <w:rsid w:val="00D462AD"/>
    <w:rsid w:val="00D470F4"/>
    <w:rsid w:val="00D47611"/>
    <w:rsid w:val="00D47ECF"/>
    <w:rsid w:val="00D52017"/>
    <w:rsid w:val="00D5221A"/>
    <w:rsid w:val="00D52304"/>
    <w:rsid w:val="00D52ABD"/>
    <w:rsid w:val="00D52E54"/>
    <w:rsid w:val="00D52FF5"/>
    <w:rsid w:val="00D53890"/>
    <w:rsid w:val="00D55057"/>
    <w:rsid w:val="00D5619B"/>
    <w:rsid w:val="00D56DFA"/>
    <w:rsid w:val="00D56E15"/>
    <w:rsid w:val="00D57F24"/>
    <w:rsid w:val="00D60D2F"/>
    <w:rsid w:val="00D60E22"/>
    <w:rsid w:val="00D611A5"/>
    <w:rsid w:val="00D61302"/>
    <w:rsid w:val="00D62F4D"/>
    <w:rsid w:val="00D633E9"/>
    <w:rsid w:val="00D63B08"/>
    <w:rsid w:val="00D64228"/>
    <w:rsid w:val="00D64F80"/>
    <w:rsid w:val="00D652D9"/>
    <w:rsid w:val="00D65668"/>
    <w:rsid w:val="00D6749E"/>
    <w:rsid w:val="00D70DDA"/>
    <w:rsid w:val="00D711EF"/>
    <w:rsid w:val="00D71436"/>
    <w:rsid w:val="00D71BB4"/>
    <w:rsid w:val="00D72677"/>
    <w:rsid w:val="00D72F8E"/>
    <w:rsid w:val="00D7362E"/>
    <w:rsid w:val="00D73AD9"/>
    <w:rsid w:val="00D752CF"/>
    <w:rsid w:val="00D768B9"/>
    <w:rsid w:val="00D774C1"/>
    <w:rsid w:val="00D774CE"/>
    <w:rsid w:val="00D80C29"/>
    <w:rsid w:val="00D81A81"/>
    <w:rsid w:val="00D82BA3"/>
    <w:rsid w:val="00D8316D"/>
    <w:rsid w:val="00D8397C"/>
    <w:rsid w:val="00D83B51"/>
    <w:rsid w:val="00D841A0"/>
    <w:rsid w:val="00D84ECA"/>
    <w:rsid w:val="00D8525E"/>
    <w:rsid w:val="00D85355"/>
    <w:rsid w:val="00D869C8"/>
    <w:rsid w:val="00D87325"/>
    <w:rsid w:val="00D87CCE"/>
    <w:rsid w:val="00D90305"/>
    <w:rsid w:val="00D9041B"/>
    <w:rsid w:val="00D90DBB"/>
    <w:rsid w:val="00D9141D"/>
    <w:rsid w:val="00D91C1A"/>
    <w:rsid w:val="00D93B55"/>
    <w:rsid w:val="00D93CA9"/>
    <w:rsid w:val="00D946C9"/>
    <w:rsid w:val="00D94CF3"/>
    <w:rsid w:val="00D95A2A"/>
    <w:rsid w:val="00D95E5A"/>
    <w:rsid w:val="00D9640F"/>
    <w:rsid w:val="00D966AF"/>
    <w:rsid w:val="00D967A8"/>
    <w:rsid w:val="00D9683D"/>
    <w:rsid w:val="00D974FD"/>
    <w:rsid w:val="00D97640"/>
    <w:rsid w:val="00DA02EA"/>
    <w:rsid w:val="00DA058E"/>
    <w:rsid w:val="00DA07A3"/>
    <w:rsid w:val="00DA101B"/>
    <w:rsid w:val="00DA2A1E"/>
    <w:rsid w:val="00DA3988"/>
    <w:rsid w:val="00DA3E08"/>
    <w:rsid w:val="00DA512C"/>
    <w:rsid w:val="00DA518E"/>
    <w:rsid w:val="00DA539D"/>
    <w:rsid w:val="00DA57FC"/>
    <w:rsid w:val="00DA58D1"/>
    <w:rsid w:val="00DA5B8E"/>
    <w:rsid w:val="00DA6120"/>
    <w:rsid w:val="00DA65AB"/>
    <w:rsid w:val="00DA6765"/>
    <w:rsid w:val="00DA6B02"/>
    <w:rsid w:val="00DA723C"/>
    <w:rsid w:val="00DA728F"/>
    <w:rsid w:val="00DA7A04"/>
    <w:rsid w:val="00DB003C"/>
    <w:rsid w:val="00DB1E91"/>
    <w:rsid w:val="00DB301F"/>
    <w:rsid w:val="00DB433A"/>
    <w:rsid w:val="00DB4410"/>
    <w:rsid w:val="00DB47E1"/>
    <w:rsid w:val="00DB5117"/>
    <w:rsid w:val="00DB6031"/>
    <w:rsid w:val="00DB664A"/>
    <w:rsid w:val="00DB7463"/>
    <w:rsid w:val="00DB7DF3"/>
    <w:rsid w:val="00DC0741"/>
    <w:rsid w:val="00DC0A94"/>
    <w:rsid w:val="00DC12C2"/>
    <w:rsid w:val="00DC1397"/>
    <w:rsid w:val="00DC1478"/>
    <w:rsid w:val="00DC14AF"/>
    <w:rsid w:val="00DC1720"/>
    <w:rsid w:val="00DC2085"/>
    <w:rsid w:val="00DC3633"/>
    <w:rsid w:val="00DC3A88"/>
    <w:rsid w:val="00DC4020"/>
    <w:rsid w:val="00DC4108"/>
    <w:rsid w:val="00DC44C7"/>
    <w:rsid w:val="00DC4EC7"/>
    <w:rsid w:val="00DC4F64"/>
    <w:rsid w:val="00DC50C5"/>
    <w:rsid w:val="00DC515C"/>
    <w:rsid w:val="00DC584C"/>
    <w:rsid w:val="00DC60E1"/>
    <w:rsid w:val="00DC64A7"/>
    <w:rsid w:val="00DC7FEA"/>
    <w:rsid w:val="00DD067E"/>
    <w:rsid w:val="00DD0953"/>
    <w:rsid w:val="00DD1A95"/>
    <w:rsid w:val="00DD2193"/>
    <w:rsid w:val="00DD28EB"/>
    <w:rsid w:val="00DD2C81"/>
    <w:rsid w:val="00DD32D3"/>
    <w:rsid w:val="00DD3A85"/>
    <w:rsid w:val="00DD3EBC"/>
    <w:rsid w:val="00DD3EE1"/>
    <w:rsid w:val="00DD404B"/>
    <w:rsid w:val="00DD40D8"/>
    <w:rsid w:val="00DD543F"/>
    <w:rsid w:val="00DD55FF"/>
    <w:rsid w:val="00DD5F02"/>
    <w:rsid w:val="00DD69A7"/>
    <w:rsid w:val="00DE00AC"/>
    <w:rsid w:val="00DE023C"/>
    <w:rsid w:val="00DE1985"/>
    <w:rsid w:val="00DE1BA1"/>
    <w:rsid w:val="00DE2496"/>
    <w:rsid w:val="00DE6483"/>
    <w:rsid w:val="00DE64FC"/>
    <w:rsid w:val="00DE6D90"/>
    <w:rsid w:val="00DE7099"/>
    <w:rsid w:val="00DE7A65"/>
    <w:rsid w:val="00DF0FAA"/>
    <w:rsid w:val="00DF1671"/>
    <w:rsid w:val="00DF216D"/>
    <w:rsid w:val="00DF2977"/>
    <w:rsid w:val="00DF2C04"/>
    <w:rsid w:val="00DF2E68"/>
    <w:rsid w:val="00DF3023"/>
    <w:rsid w:val="00DF341B"/>
    <w:rsid w:val="00DF34CA"/>
    <w:rsid w:val="00DF3537"/>
    <w:rsid w:val="00DF39D7"/>
    <w:rsid w:val="00DF39E9"/>
    <w:rsid w:val="00DF431B"/>
    <w:rsid w:val="00DF4FE5"/>
    <w:rsid w:val="00DF54C4"/>
    <w:rsid w:val="00DF59ED"/>
    <w:rsid w:val="00DF6327"/>
    <w:rsid w:val="00DF7491"/>
    <w:rsid w:val="00DF74D9"/>
    <w:rsid w:val="00E00226"/>
    <w:rsid w:val="00E01A15"/>
    <w:rsid w:val="00E01E45"/>
    <w:rsid w:val="00E0272D"/>
    <w:rsid w:val="00E0360B"/>
    <w:rsid w:val="00E03A96"/>
    <w:rsid w:val="00E03F87"/>
    <w:rsid w:val="00E043C9"/>
    <w:rsid w:val="00E04BAF"/>
    <w:rsid w:val="00E04CD5"/>
    <w:rsid w:val="00E05242"/>
    <w:rsid w:val="00E05B58"/>
    <w:rsid w:val="00E05D56"/>
    <w:rsid w:val="00E061DC"/>
    <w:rsid w:val="00E079B8"/>
    <w:rsid w:val="00E07D35"/>
    <w:rsid w:val="00E105A9"/>
    <w:rsid w:val="00E107B3"/>
    <w:rsid w:val="00E11347"/>
    <w:rsid w:val="00E11578"/>
    <w:rsid w:val="00E12F42"/>
    <w:rsid w:val="00E1396D"/>
    <w:rsid w:val="00E14503"/>
    <w:rsid w:val="00E148A9"/>
    <w:rsid w:val="00E15056"/>
    <w:rsid w:val="00E15491"/>
    <w:rsid w:val="00E15CFB"/>
    <w:rsid w:val="00E15DB1"/>
    <w:rsid w:val="00E15F23"/>
    <w:rsid w:val="00E16281"/>
    <w:rsid w:val="00E16457"/>
    <w:rsid w:val="00E16FCF"/>
    <w:rsid w:val="00E17264"/>
    <w:rsid w:val="00E17552"/>
    <w:rsid w:val="00E210BC"/>
    <w:rsid w:val="00E21AA6"/>
    <w:rsid w:val="00E21B03"/>
    <w:rsid w:val="00E21BD4"/>
    <w:rsid w:val="00E22445"/>
    <w:rsid w:val="00E2325D"/>
    <w:rsid w:val="00E235E5"/>
    <w:rsid w:val="00E260A3"/>
    <w:rsid w:val="00E2653A"/>
    <w:rsid w:val="00E26640"/>
    <w:rsid w:val="00E26D15"/>
    <w:rsid w:val="00E2792B"/>
    <w:rsid w:val="00E27DDB"/>
    <w:rsid w:val="00E3009B"/>
    <w:rsid w:val="00E30618"/>
    <w:rsid w:val="00E31702"/>
    <w:rsid w:val="00E31B75"/>
    <w:rsid w:val="00E323A4"/>
    <w:rsid w:val="00E3242E"/>
    <w:rsid w:val="00E32559"/>
    <w:rsid w:val="00E330C9"/>
    <w:rsid w:val="00E3330E"/>
    <w:rsid w:val="00E3351F"/>
    <w:rsid w:val="00E33639"/>
    <w:rsid w:val="00E33992"/>
    <w:rsid w:val="00E36BFE"/>
    <w:rsid w:val="00E40040"/>
    <w:rsid w:val="00E40514"/>
    <w:rsid w:val="00E406FE"/>
    <w:rsid w:val="00E40DAE"/>
    <w:rsid w:val="00E40F62"/>
    <w:rsid w:val="00E43249"/>
    <w:rsid w:val="00E4337C"/>
    <w:rsid w:val="00E43529"/>
    <w:rsid w:val="00E436A2"/>
    <w:rsid w:val="00E458D8"/>
    <w:rsid w:val="00E45AF9"/>
    <w:rsid w:val="00E45BC4"/>
    <w:rsid w:val="00E45D4F"/>
    <w:rsid w:val="00E45D6D"/>
    <w:rsid w:val="00E474A9"/>
    <w:rsid w:val="00E47F4A"/>
    <w:rsid w:val="00E51006"/>
    <w:rsid w:val="00E518A7"/>
    <w:rsid w:val="00E51D26"/>
    <w:rsid w:val="00E529F5"/>
    <w:rsid w:val="00E533AD"/>
    <w:rsid w:val="00E53505"/>
    <w:rsid w:val="00E5356B"/>
    <w:rsid w:val="00E538F1"/>
    <w:rsid w:val="00E53DD3"/>
    <w:rsid w:val="00E53E00"/>
    <w:rsid w:val="00E54221"/>
    <w:rsid w:val="00E55573"/>
    <w:rsid w:val="00E55834"/>
    <w:rsid w:val="00E55A4A"/>
    <w:rsid w:val="00E5650A"/>
    <w:rsid w:val="00E574EC"/>
    <w:rsid w:val="00E57D3B"/>
    <w:rsid w:val="00E57F9C"/>
    <w:rsid w:val="00E60300"/>
    <w:rsid w:val="00E614DE"/>
    <w:rsid w:val="00E61529"/>
    <w:rsid w:val="00E615F9"/>
    <w:rsid w:val="00E6193C"/>
    <w:rsid w:val="00E620E1"/>
    <w:rsid w:val="00E62BC2"/>
    <w:rsid w:val="00E632DC"/>
    <w:rsid w:val="00E63DAA"/>
    <w:rsid w:val="00E63E4B"/>
    <w:rsid w:val="00E6450D"/>
    <w:rsid w:val="00E6722B"/>
    <w:rsid w:val="00E70E1F"/>
    <w:rsid w:val="00E720E3"/>
    <w:rsid w:val="00E7221D"/>
    <w:rsid w:val="00E73519"/>
    <w:rsid w:val="00E73E5C"/>
    <w:rsid w:val="00E759D5"/>
    <w:rsid w:val="00E7615F"/>
    <w:rsid w:val="00E76AE0"/>
    <w:rsid w:val="00E81A87"/>
    <w:rsid w:val="00E81D3D"/>
    <w:rsid w:val="00E82D36"/>
    <w:rsid w:val="00E82F8C"/>
    <w:rsid w:val="00E83948"/>
    <w:rsid w:val="00E83CF9"/>
    <w:rsid w:val="00E876F2"/>
    <w:rsid w:val="00E92974"/>
    <w:rsid w:val="00E92F98"/>
    <w:rsid w:val="00E9331D"/>
    <w:rsid w:val="00E941D2"/>
    <w:rsid w:val="00E94ABD"/>
    <w:rsid w:val="00E95322"/>
    <w:rsid w:val="00E95490"/>
    <w:rsid w:val="00E958B5"/>
    <w:rsid w:val="00E9611A"/>
    <w:rsid w:val="00E9662F"/>
    <w:rsid w:val="00E96694"/>
    <w:rsid w:val="00E968C1"/>
    <w:rsid w:val="00E96CC4"/>
    <w:rsid w:val="00E971F6"/>
    <w:rsid w:val="00E97715"/>
    <w:rsid w:val="00E97F72"/>
    <w:rsid w:val="00EA0E54"/>
    <w:rsid w:val="00EA1769"/>
    <w:rsid w:val="00EA1C14"/>
    <w:rsid w:val="00EA1CBE"/>
    <w:rsid w:val="00EA1DC6"/>
    <w:rsid w:val="00EA2420"/>
    <w:rsid w:val="00EA2A4E"/>
    <w:rsid w:val="00EA31BA"/>
    <w:rsid w:val="00EA361C"/>
    <w:rsid w:val="00EA3671"/>
    <w:rsid w:val="00EA5D34"/>
    <w:rsid w:val="00EA6D1A"/>
    <w:rsid w:val="00EA7E90"/>
    <w:rsid w:val="00EB0DEA"/>
    <w:rsid w:val="00EB10CB"/>
    <w:rsid w:val="00EB1102"/>
    <w:rsid w:val="00EB1F63"/>
    <w:rsid w:val="00EB2514"/>
    <w:rsid w:val="00EB26F5"/>
    <w:rsid w:val="00EB27BC"/>
    <w:rsid w:val="00EB42C3"/>
    <w:rsid w:val="00EB5A27"/>
    <w:rsid w:val="00EB5E9A"/>
    <w:rsid w:val="00EB6A32"/>
    <w:rsid w:val="00EB7069"/>
    <w:rsid w:val="00EC0C06"/>
    <w:rsid w:val="00EC10D1"/>
    <w:rsid w:val="00EC1C0A"/>
    <w:rsid w:val="00EC2316"/>
    <w:rsid w:val="00EC2327"/>
    <w:rsid w:val="00EC2B2B"/>
    <w:rsid w:val="00EC31E0"/>
    <w:rsid w:val="00EC33A0"/>
    <w:rsid w:val="00EC398B"/>
    <w:rsid w:val="00EC3E9B"/>
    <w:rsid w:val="00EC4836"/>
    <w:rsid w:val="00EC5088"/>
    <w:rsid w:val="00EC5B54"/>
    <w:rsid w:val="00EC69E0"/>
    <w:rsid w:val="00EC712E"/>
    <w:rsid w:val="00EC765D"/>
    <w:rsid w:val="00ED0C18"/>
    <w:rsid w:val="00ED1642"/>
    <w:rsid w:val="00ED1F99"/>
    <w:rsid w:val="00ED20EA"/>
    <w:rsid w:val="00ED2C3A"/>
    <w:rsid w:val="00ED40DD"/>
    <w:rsid w:val="00ED4411"/>
    <w:rsid w:val="00ED4C28"/>
    <w:rsid w:val="00ED58ED"/>
    <w:rsid w:val="00ED5D28"/>
    <w:rsid w:val="00ED5E38"/>
    <w:rsid w:val="00ED6A80"/>
    <w:rsid w:val="00ED7201"/>
    <w:rsid w:val="00ED72E6"/>
    <w:rsid w:val="00ED7E3A"/>
    <w:rsid w:val="00EE111A"/>
    <w:rsid w:val="00EE37F9"/>
    <w:rsid w:val="00EE4331"/>
    <w:rsid w:val="00EE442C"/>
    <w:rsid w:val="00EE4490"/>
    <w:rsid w:val="00EE4A05"/>
    <w:rsid w:val="00EE4EEF"/>
    <w:rsid w:val="00EE5643"/>
    <w:rsid w:val="00EE6832"/>
    <w:rsid w:val="00EE72AD"/>
    <w:rsid w:val="00EE7A08"/>
    <w:rsid w:val="00EF06D2"/>
    <w:rsid w:val="00EF13AA"/>
    <w:rsid w:val="00EF1755"/>
    <w:rsid w:val="00EF2DD3"/>
    <w:rsid w:val="00EF3652"/>
    <w:rsid w:val="00EF3D58"/>
    <w:rsid w:val="00EF48E2"/>
    <w:rsid w:val="00EF60E5"/>
    <w:rsid w:val="00EF7063"/>
    <w:rsid w:val="00EF7084"/>
    <w:rsid w:val="00F00456"/>
    <w:rsid w:val="00F007C3"/>
    <w:rsid w:val="00F0151A"/>
    <w:rsid w:val="00F01E65"/>
    <w:rsid w:val="00F03B39"/>
    <w:rsid w:val="00F04052"/>
    <w:rsid w:val="00F04AEB"/>
    <w:rsid w:val="00F04FED"/>
    <w:rsid w:val="00F053E1"/>
    <w:rsid w:val="00F06673"/>
    <w:rsid w:val="00F06961"/>
    <w:rsid w:val="00F07709"/>
    <w:rsid w:val="00F1066F"/>
    <w:rsid w:val="00F1155D"/>
    <w:rsid w:val="00F11793"/>
    <w:rsid w:val="00F118B6"/>
    <w:rsid w:val="00F12D3A"/>
    <w:rsid w:val="00F13071"/>
    <w:rsid w:val="00F13AB8"/>
    <w:rsid w:val="00F1415F"/>
    <w:rsid w:val="00F14201"/>
    <w:rsid w:val="00F1508C"/>
    <w:rsid w:val="00F15308"/>
    <w:rsid w:val="00F1578E"/>
    <w:rsid w:val="00F15A92"/>
    <w:rsid w:val="00F2039D"/>
    <w:rsid w:val="00F20763"/>
    <w:rsid w:val="00F20AF0"/>
    <w:rsid w:val="00F2137A"/>
    <w:rsid w:val="00F227C8"/>
    <w:rsid w:val="00F23476"/>
    <w:rsid w:val="00F23AA5"/>
    <w:rsid w:val="00F23CB7"/>
    <w:rsid w:val="00F24AA6"/>
    <w:rsid w:val="00F25158"/>
    <w:rsid w:val="00F257B5"/>
    <w:rsid w:val="00F25D7B"/>
    <w:rsid w:val="00F2720E"/>
    <w:rsid w:val="00F2776D"/>
    <w:rsid w:val="00F27C64"/>
    <w:rsid w:val="00F309FA"/>
    <w:rsid w:val="00F30FFE"/>
    <w:rsid w:val="00F327C5"/>
    <w:rsid w:val="00F33F72"/>
    <w:rsid w:val="00F346E6"/>
    <w:rsid w:val="00F34828"/>
    <w:rsid w:val="00F36204"/>
    <w:rsid w:val="00F36D48"/>
    <w:rsid w:val="00F36DDD"/>
    <w:rsid w:val="00F40864"/>
    <w:rsid w:val="00F40AD5"/>
    <w:rsid w:val="00F41F54"/>
    <w:rsid w:val="00F431F8"/>
    <w:rsid w:val="00F44268"/>
    <w:rsid w:val="00F44895"/>
    <w:rsid w:val="00F448AE"/>
    <w:rsid w:val="00F45E2A"/>
    <w:rsid w:val="00F4713E"/>
    <w:rsid w:val="00F50585"/>
    <w:rsid w:val="00F516E3"/>
    <w:rsid w:val="00F51EFB"/>
    <w:rsid w:val="00F52D6F"/>
    <w:rsid w:val="00F5365D"/>
    <w:rsid w:val="00F53E55"/>
    <w:rsid w:val="00F54832"/>
    <w:rsid w:val="00F5659C"/>
    <w:rsid w:val="00F57885"/>
    <w:rsid w:val="00F60486"/>
    <w:rsid w:val="00F6055B"/>
    <w:rsid w:val="00F60BC6"/>
    <w:rsid w:val="00F60D77"/>
    <w:rsid w:val="00F62AB0"/>
    <w:rsid w:val="00F63FE4"/>
    <w:rsid w:val="00F6453D"/>
    <w:rsid w:val="00F6589B"/>
    <w:rsid w:val="00F65D5C"/>
    <w:rsid w:val="00F66144"/>
    <w:rsid w:val="00F66213"/>
    <w:rsid w:val="00F664EC"/>
    <w:rsid w:val="00F6713F"/>
    <w:rsid w:val="00F673D9"/>
    <w:rsid w:val="00F67DE4"/>
    <w:rsid w:val="00F715D1"/>
    <w:rsid w:val="00F7233A"/>
    <w:rsid w:val="00F7268D"/>
    <w:rsid w:val="00F73B2D"/>
    <w:rsid w:val="00F74B51"/>
    <w:rsid w:val="00F75311"/>
    <w:rsid w:val="00F75A1C"/>
    <w:rsid w:val="00F75AE1"/>
    <w:rsid w:val="00F765AB"/>
    <w:rsid w:val="00F77D18"/>
    <w:rsid w:val="00F77D80"/>
    <w:rsid w:val="00F81362"/>
    <w:rsid w:val="00F82115"/>
    <w:rsid w:val="00F827E0"/>
    <w:rsid w:val="00F835AB"/>
    <w:rsid w:val="00F835CB"/>
    <w:rsid w:val="00F83854"/>
    <w:rsid w:val="00F841C8"/>
    <w:rsid w:val="00F84C04"/>
    <w:rsid w:val="00F854EE"/>
    <w:rsid w:val="00F86168"/>
    <w:rsid w:val="00F87953"/>
    <w:rsid w:val="00F87AB1"/>
    <w:rsid w:val="00F87BD2"/>
    <w:rsid w:val="00F91039"/>
    <w:rsid w:val="00F912BA"/>
    <w:rsid w:val="00F91353"/>
    <w:rsid w:val="00F91438"/>
    <w:rsid w:val="00F9201C"/>
    <w:rsid w:val="00F92E56"/>
    <w:rsid w:val="00F93337"/>
    <w:rsid w:val="00F9341F"/>
    <w:rsid w:val="00F9597A"/>
    <w:rsid w:val="00F96064"/>
    <w:rsid w:val="00F9684A"/>
    <w:rsid w:val="00F96D0D"/>
    <w:rsid w:val="00F97C4B"/>
    <w:rsid w:val="00FA029F"/>
    <w:rsid w:val="00FA0825"/>
    <w:rsid w:val="00FA08AD"/>
    <w:rsid w:val="00FA0A5B"/>
    <w:rsid w:val="00FA0F11"/>
    <w:rsid w:val="00FA1090"/>
    <w:rsid w:val="00FA14D2"/>
    <w:rsid w:val="00FA2BA3"/>
    <w:rsid w:val="00FA2EEB"/>
    <w:rsid w:val="00FA2F27"/>
    <w:rsid w:val="00FA36D8"/>
    <w:rsid w:val="00FA36F3"/>
    <w:rsid w:val="00FA3BBD"/>
    <w:rsid w:val="00FA3FCD"/>
    <w:rsid w:val="00FA4150"/>
    <w:rsid w:val="00FA457C"/>
    <w:rsid w:val="00FA45B8"/>
    <w:rsid w:val="00FA4844"/>
    <w:rsid w:val="00FA5766"/>
    <w:rsid w:val="00FA78C0"/>
    <w:rsid w:val="00FA7D7D"/>
    <w:rsid w:val="00FB0113"/>
    <w:rsid w:val="00FB049F"/>
    <w:rsid w:val="00FB1278"/>
    <w:rsid w:val="00FB23AE"/>
    <w:rsid w:val="00FB3686"/>
    <w:rsid w:val="00FB5559"/>
    <w:rsid w:val="00FB5C8B"/>
    <w:rsid w:val="00FB620D"/>
    <w:rsid w:val="00FB6462"/>
    <w:rsid w:val="00FB6B25"/>
    <w:rsid w:val="00FB6F67"/>
    <w:rsid w:val="00FB7E07"/>
    <w:rsid w:val="00FC011F"/>
    <w:rsid w:val="00FC0AD7"/>
    <w:rsid w:val="00FC0BD5"/>
    <w:rsid w:val="00FC0EA2"/>
    <w:rsid w:val="00FC10DE"/>
    <w:rsid w:val="00FC2D5F"/>
    <w:rsid w:val="00FC2DFD"/>
    <w:rsid w:val="00FC31AA"/>
    <w:rsid w:val="00FC3F15"/>
    <w:rsid w:val="00FC40B6"/>
    <w:rsid w:val="00FC4648"/>
    <w:rsid w:val="00FC484A"/>
    <w:rsid w:val="00FC5603"/>
    <w:rsid w:val="00FC59A6"/>
    <w:rsid w:val="00FC5C6B"/>
    <w:rsid w:val="00FC62F7"/>
    <w:rsid w:val="00FC6749"/>
    <w:rsid w:val="00FC7948"/>
    <w:rsid w:val="00FC7978"/>
    <w:rsid w:val="00FC7A8A"/>
    <w:rsid w:val="00FC7B48"/>
    <w:rsid w:val="00FC7BDC"/>
    <w:rsid w:val="00FC7C64"/>
    <w:rsid w:val="00FD0B28"/>
    <w:rsid w:val="00FD0BC4"/>
    <w:rsid w:val="00FD17BA"/>
    <w:rsid w:val="00FD2173"/>
    <w:rsid w:val="00FD2A21"/>
    <w:rsid w:val="00FD2C9D"/>
    <w:rsid w:val="00FD2F74"/>
    <w:rsid w:val="00FD3B94"/>
    <w:rsid w:val="00FD3BFC"/>
    <w:rsid w:val="00FD3E83"/>
    <w:rsid w:val="00FD3F9F"/>
    <w:rsid w:val="00FD40DD"/>
    <w:rsid w:val="00FD43B3"/>
    <w:rsid w:val="00FD4E0E"/>
    <w:rsid w:val="00FD55DF"/>
    <w:rsid w:val="00FD5F6F"/>
    <w:rsid w:val="00FD6295"/>
    <w:rsid w:val="00FD6AC9"/>
    <w:rsid w:val="00FD6FC5"/>
    <w:rsid w:val="00FD7F59"/>
    <w:rsid w:val="00FE1118"/>
    <w:rsid w:val="00FE1B65"/>
    <w:rsid w:val="00FE26CB"/>
    <w:rsid w:val="00FE3050"/>
    <w:rsid w:val="00FE40E5"/>
    <w:rsid w:val="00FE420C"/>
    <w:rsid w:val="00FE4739"/>
    <w:rsid w:val="00FE476D"/>
    <w:rsid w:val="00FE4968"/>
    <w:rsid w:val="00FE4DB2"/>
    <w:rsid w:val="00FE564C"/>
    <w:rsid w:val="00FE681D"/>
    <w:rsid w:val="00FE74DF"/>
    <w:rsid w:val="00FE7B97"/>
    <w:rsid w:val="00FF020C"/>
    <w:rsid w:val="00FF057C"/>
    <w:rsid w:val="00FF05B1"/>
    <w:rsid w:val="00FF0DBD"/>
    <w:rsid w:val="00FF0F79"/>
    <w:rsid w:val="00FF12B6"/>
    <w:rsid w:val="00FF1E4C"/>
    <w:rsid w:val="00FF1F69"/>
    <w:rsid w:val="00FF2100"/>
    <w:rsid w:val="00FF3A07"/>
    <w:rsid w:val="00FF3FEA"/>
    <w:rsid w:val="00FF4C68"/>
    <w:rsid w:val="00FF4E6F"/>
    <w:rsid w:val="00FF5084"/>
    <w:rsid w:val="00FF522C"/>
    <w:rsid w:val="00FF5464"/>
    <w:rsid w:val="00FF55C1"/>
    <w:rsid w:val="00FF5BB2"/>
    <w:rsid w:val="00FF699A"/>
    <w:rsid w:val="0208080C"/>
    <w:rsid w:val="0357BFA8"/>
    <w:rsid w:val="09377684"/>
    <w:rsid w:val="0B265D42"/>
    <w:rsid w:val="0B7BBE27"/>
    <w:rsid w:val="10FF2A3E"/>
    <w:rsid w:val="118CF3A6"/>
    <w:rsid w:val="1718D939"/>
    <w:rsid w:val="19BF922A"/>
    <w:rsid w:val="1F3AA03E"/>
    <w:rsid w:val="245B0273"/>
    <w:rsid w:val="247FA69A"/>
    <w:rsid w:val="24914E41"/>
    <w:rsid w:val="31A2581F"/>
    <w:rsid w:val="39D73427"/>
    <w:rsid w:val="462E6B8A"/>
    <w:rsid w:val="46890371"/>
    <w:rsid w:val="47920E9A"/>
    <w:rsid w:val="4BE94F22"/>
    <w:rsid w:val="4CC4E914"/>
    <w:rsid w:val="50AC84CA"/>
    <w:rsid w:val="5C11ECF8"/>
    <w:rsid w:val="5CBDF567"/>
    <w:rsid w:val="5F43FBA4"/>
    <w:rsid w:val="61760724"/>
    <w:rsid w:val="63FE42AA"/>
    <w:rsid w:val="64176CC7"/>
    <w:rsid w:val="692EA5E9"/>
    <w:rsid w:val="73858323"/>
    <w:rsid w:val="79DB9C4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7AB4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D7E"/>
    <w:pPr>
      <w:spacing w:before="120"/>
    </w:pPr>
    <w:rPr>
      <w:rFonts w:ascii="Franklin Gothic Book" w:hAnsi="Franklin Gothic Book" w:cs="Times New Roman"/>
    </w:rPr>
  </w:style>
  <w:style w:type="paragraph" w:styleId="Heading1">
    <w:name w:val="heading 1"/>
    <w:basedOn w:val="Normal"/>
    <w:next w:val="Normal"/>
    <w:link w:val="Heading1Char"/>
    <w:uiPriority w:val="9"/>
    <w:qFormat/>
    <w:rsid w:val="001531D6"/>
    <w:pPr>
      <w:keepNext/>
      <w:keepLines/>
      <w:pBdr>
        <w:bottom w:val="single" w:sz="4" w:space="1" w:color="auto"/>
      </w:pBdr>
      <w:spacing w:before="600" w:after="480" w:line="240" w:lineRule="auto"/>
      <w:ind w:left="786" w:hanging="360"/>
      <w:outlineLvl w:val="0"/>
    </w:pPr>
    <w:rPr>
      <w:rFonts w:ascii="Franklin Gothic Medium" w:eastAsiaTheme="majorEastAsia" w:hAnsi="Franklin Gothic Medium"/>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sz w:val="24"/>
      <w:szCs w:val="24"/>
    </w:rPr>
  </w:style>
  <w:style w:type="paragraph" w:styleId="Heading4">
    <w:name w:val="heading 4"/>
    <w:basedOn w:val="Heading3"/>
    <w:next w:val="Normal"/>
    <w:link w:val="Heading4Char"/>
    <w:uiPriority w:val="9"/>
    <w:unhideWhenUsed/>
    <w:qFormat/>
    <w:rsid w:val="00DE1BA1"/>
    <w:pPr>
      <w:outlineLvl w:val="3"/>
    </w:pPr>
    <w:rPr>
      <w:i/>
      <w:sz w:val="22"/>
    </w:rPr>
  </w:style>
  <w:style w:type="paragraph" w:styleId="Heading5">
    <w:name w:val="heading 5"/>
    <w:basedOn w:val="Normal"/>
    <w:next w:val="Normal"/>
    <w:link w:val="Heading5Char"/>
    <w:uiPriority w:val="9"/>
    <w:unhideWhenUsed/>
    <w:qFormat/>
    <w:rsid w:val="00DE64FC"/>
    <w:pPr>
      <w:keepNext/>
      <w:keepLines/>
      <w:spacing w:before="40" w:after="240"/>
      <w:outlineLvl w:val="4"/>
    </w:pPr>
    <w:rPr>
      <w:rFonts w:asciiTheme="majorHAnsi" w:eastAsiaTheme="majorEastAsia" w:hAnsiTheme="majorHAnsi"/>
      <w:b/>
    </w:rPr>
  </w:style>
  <w:style w:type="paragraph" w:styleId="Heading6">
    <w:name w:val="heading 6"/>
    <w:basedOn w:val="Normal"/>
    <w:next w:val="Normal"/>
    <w:link w:val="Heading6Char"/>
    <w:uiPriority w:val="9"/>
    <w:unhideWhenUsed/>
    <w:qFormat/>
    <w:rsid w:val="00DC4020"/>
    <w:pPr>
      <w:keepNext/>
      <w:keepLines/>
      <w:spacing w:before="40" w:after="0"/>
      <w:outlineLvl w:val="5"/>
    </w:pPr>
    <w:rPr>
      <w:rFonts w:asciiTheme="majorHAnsi" w:eastAsiaTheme="majorEastAsia" w:hAnsiTheme="majorHAnsi"/>
      <w:u w:val="single"/>
    </w:rPr>
  </w:style>
  <w:style w:type="paragraph" w:styleId="Heading7">
    <w:name w:val="heading 7"/>
    <w:basedOn w:val="Normal"/>
    <w:next w:val="Normal"/>
    <w:link w:val="Heading7Char"/>
    <w:uiPriority w:val="9"/>
    <w:unhideWhenUsed/>
    <w:qFormat/>
    <w:rsid w:val="001F647E"/>
    <w:pPr>
      <w:keepNext/>
      <w:keepLines/>
      <w:spacing w:before="40" w:after="0"/>
      <w:outlineLvl w:val="6"/>
    </w:pPr>
    <w:rPr>
      <w:rFonts w:asciiTheme="majorHAnsi" w:eastAsiaTheme="majorEastAsia" w:hAnsiTheme="majorHAnsi"/>
      <w:i/>
      <w:iCs/>
    </w:rPr>
  </w:style>
  <w:style w:type="paragraph" w:styleId="Heading8">
    <w:name w:val="heading 8"/>
    <w:basedOn w:val="Normal"/>
    <w:next w:val="Normal"/>
    <w:link w:val="Heading8Char"/>
    <w:uiPriority w:val="9"/>
    <w:unhideWhenUsed/>
    <w:qFormat/>
    <w:rsid w:val="000F1190"/>
    <w:pPr>
      <w:keepNext/>
      <w:keepLines/>
      <w:spacing w:before="40" w:after="0"/>
      <w:outlineLvl w:val="7"/>
    </w:pPr>
    <w:rPr>
      <w:rFonts w:asciiTheme="majorHAnsi" w:eastAsiaTheme="majorEastAsia" w:hAnsiTheme="majorHAns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531D6"/>
    <w:rPr>
      <w:rFonts w:ascii="Franklin Gothic Medium" w:eastAsiaTheme="majorEastAsia" w:hAnsi="Franklin Gothic Medium" w:cs="Times New Roman"/>
      <w:sz w:val="32"/>
      <w:szCs w:val="32"/>
    </w:rPr>
  </w:style>
  <w:style w:type="character" w:customStyle="1" w:styleId="Heading2Char">
    <w:name w:val="Heading 2 Char"/>
    <w:basedOn w:val="DefaultParagraphFont"/>
    <w:link w:val="Heading2"/>
    <w:uiPriority w:val="9"/>
    <w:locked/>
    <w:rsid w:val="001531D6"/>
    <w:rPr>
      <w:rFonts w:ascii="Franklin Gothic Medium" w:eastAsiaTheme="majorEastAsia" w:hAnsi="Franklin Gothic Medium" w:cs="Times New Roman"/>
      <w:color w:val="000000" w:themeColor="text1"/>
      <w:sz w:val="26"/>
      <w:szCs w:val="26"/>
    </w:rPr>
  </w:style>
  <w:style w:type="character" w:customStyle="1" w:styleId="Heading3Char">
    <w:name w:val="Heading 3 Char"/>
    <w:basedOn w:val="DefaultParagraphFont"/>
    <w:link w:val="Heading3"/>
    <w:uiPriority w:val="9"/>
    <w:locked/>
    <w:rsid w:val="005103C5"/>
    <w:rPr>
      <w:rFonts w:ascii="Franklin Gothic Medium" w:eastAsiaTheme="majorEastAsia" w:hAnsi="Franklin Gothic Medium" w:cs="Times New Roman"/>
      <w:sz w:val="24"/>
      <w:szCs w:val="24"/>
    </w:rPr>
  </w:style>
  <w:style w:type="character" w:customStyle="1" w:styleId="Heading4Char">
    <w:name w:val="Heading 4 Char"/>
    <w:basedOn w:val="DefaultParagraphFont"/>
    <w:link w:val="Heading4"/>
    <w:uiPriority w:val="9"/>
    <w:locked/>
    <w:rsid w:val="00DE1BA1"/>
    <w:rPr>
      <w:rFonts w:ascii="Franklin Gothic Medium" w:eastAsiaTheme="majorEastAsia" w:hAnsi="Franklin Gothic Medium" w:cs="Times New Roman"/>
      <w:i/>
      <w:sz w:val="24"/>
      <w:szCs w:val="24"/>
    </w:rPr>
  </w:style>
  <w:style w:type="character" w:customStyle="1" w:styleId="Heading5Char">
    <w:name w:val="Heading 5 Char"/>
    <w:basedOn w:val="DefaultParagraphFont"/>
    <w:link w:val="Heading5"/>
    <w:uiPriority w:val="9"/>
    <w:locked/>
    <w:rsid w:val="00DE64FC"/>
    <w:rPr>
      <w:rFonts w:asciiTheme="majorHAnsi" w:eastAsiaTheme="majorEastAsia" w:hAnsiTheme="majorHAnsi" w:cs="Times New Roman"/>
      <w:b/>
    </w:rPr>
  </w:style>
  <w:style w:type="character" w:customStyle="1" w:styleId="Heading6Char">
    <w:name w:val="Heading 6 Char"/>
    <w:basedOn w:val="DefaultParagraphFont"/>
    <w:link w:val="Heading6"/>
    <w:uiPriority w:val="9"/>
    <w:locked/>
    <w:rsid w:val="00DC4020"/>
    <w:rPr>
      <w:rFonts w:asciiTheme="majorHAnsi" w:eastAsiaTheme="majorEastAsia" w:hAnsiTheme="majorHAnsi" w:cs="Times New Roman"/>
      <w:u w:val="single"/>
    </w:rPr>
  </w:style>
  <w:style w:type="character" w:customStyle="1" w:styleId="Heading7Char">
    <w:name w:val="Heading 7 Char"/>
    <w:basedOn w:val="DefaultParagraphFont"/>
    <w:link w:val="Heading7"/>
    <w:uiPriority w:val="9"/>
    <w:locked/>
    <w:rsid w:val="001F647E"/>
    <w:rPr>
      <w:rFonts w:asciiTheme="majorHAnsi" w:eastAsiaTheme="majorEastAsia" w:hAnsiTheme="majorHAnsi" w:cs="Times New Roman"/>
      <w:i/>
      <w:iCs/>
    </w:rPr>
  </w:style>
  <w:style w:type="character" w:customStyle="1" w:styleId="Heading8Char">
    <w:name w:val="Heading 8 Char"/>
    <w:basedOn w:val="DefaultParagraphFont"/>
    <w:link w:val="Heading8"/>
    <w:uiPriority w:val="9"/>
    <w:locked/>
    <w:rsid w:val="000F1190"/>
    <w:rPr>
      <w:rFonts w:asciiTheme="majorHAnsi" w:eastAsiaTheme="majorEastAsia" w:hAnsiTheme="majorHAnsi" w:cs="Times New Roman"/>
      <w:color w:val="272727" w:themeColor="text1" w:themeTint="D8"/>
      <w:sz w:val="21"/>
      <w:szCs w:val="21"/>
    </w:rPr>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hAnsi="Calibri"/>
      <w:color w:val="000000"/>
      <w:szCs w:val="24"/>
      <w:lang w:eastAsia="en-AU"/>
    </w:rPr>
  </w:style>
  <w:style w:type="character" w:customStyle="1" w:styleId="CommentTextChar">
    <w:name w:val="Comment Text Char"/>
    <w:basedOn w:val="DefaultParagraphFont"/>
    <w:link w:val="CommentText"/>
    <w:uiPriority w:val="99"/>
    <w:locked/>
    <w:rsid w:val="003E7773"/>
    <w:rPr>
      <w:rFonts w:ascii="Calibri" w:hAnsi="Calibri" w:cs="Times New Roman"/>
      <w:color w:val="000000"/>
      <w:sz w:val="24"/>
      <w:szCs w:val="24"/>
      <w:lang w:val="x-none" w:eastAsia="en-AU"/>
    </w:rPr>
  </w:style>
  <w:style w:type="character" w:styleId="CommentReference">
    <w:name w:val="annotation reference"/>
    <w:aliases w:val="Table Title"/>
    <w:basedOn w:val="DefaultParagraphFont"/>
    <w:uiPriority w:val="99"/>
    <w:unhideWhenUsed/>
    <w:qFormat/>
    <w:rsid w:val="003E7773"/>
    <w:rPr>
      <w:rFonts w:cs="Times New Roman"/>
      <w:sz w:val="16"/>
      <w:szCs w:val="16"/>
    </w:rPr>
  </w:style>
  <w:style w:type="character" w:customStyle="1" w:styleId="TableTextChar">
    <w:name w:val="Table Text Char"/>
    <w:basedOn w:val="DefaultParagraphFont"/>
    <w:link w:val="TableText"/>
    <w:locked/>
    <w:rsid w:val="003E7773"/>
    <w:rPr>
      <w:rFonts w:ascii="Arial Narrow" w:hAnsi="Arial Narrow" w:cs="Times New Roman"/>
      <w:sz w:val="20"/>
    </w:rPr>
  </w:style>
  <w:style w:type="character" w:customStyle="1" w:styleId="TableHeadingChar">
    <w:name w:val="TableHeading Char"/>
    <w:link w:val="TableHeading"/>
    <w:locked/>
    <w:rsid w:val="00B151CF"/>
    <w:rPr>
      <w:rFonts w:ascii="Arial Narrow" w:hAnsi="Arial Narrow"/>
      <w:b/>
      <w:sz w:val="20"/>
    </w:rPr>
  </w:style>
  <w:style w:type="paragraph" w:styleId="BalloonText">
    <w:name w:val="Balloon Text"/>
    <w:basedOn w:val="Normal"/>
    <w:link w:val="BalloonTextChar"/>
    <w:uiPriority w:val="99"/>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hAnsiTheme="minorHAnsi"/>
      <w:b/>
      <w:bCs/>
      <w:color w:val="auto"/>
      <w:sz w:val="20"/>
      <w:szCs w:val="20"/>
      <w:lang w:eastAsia="en-US"/>
    </w:rPr>
  </w:style>
  <w:style w:type="character" w:customStyle="1" w:styleId="CommentSubjectChar">
    <w:name w:val="Comment Subject Char"/>
    <w:basedOn w:val="CommentTextChar"/>
    <w:link w:val="CommentSubject"/>
    <w:uiPriority w:val="99"/>
    <w:semiHidden/>
    <w:locked/>
    <w:rsid w:val="003E7773"/>
    <w:rPr>
      <w:rFonts w:ascii="Calibri" w:hAnsi="Calibri" w:cs="Times New Roman"/>
      <w:b/>
      <w:bCs/>
      <w:color w:val="000000"/>
      <w:sz w:val="20"/>
      <w:szCs w:val="20"/>
      <w:lang w:val="x-none" w:eastAsia="en-AU"/>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qFormat/>
    <w:rsid w:val="009A06F4"/>
    <w:pPr>
      <w:keepNext/>
      <w:spacing w:before="360" w:after="120" w:line="240" w:lineRule="auto"/>
    </w:pPr>
    <w:rPr>
      <w:rFonts w:ascii="Arial Narrow" w:hAnsi="Arial Narrow"/>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Medium" w:hAnsi="Franklin Gothic Medium" w:cs="Times New Roman"/>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locked/>
    <w:rsid w:val="009A06F4"/>
    <w:rPr>
      <w:rFonts w:ascii="Arial Narrow" w:hAnsi="Arial Narrow" w:cs="Times New Roman"/>
      <w:b/>
      <w:bCs/>
      <w:sz w:val="20"/>
      <w:szCs w:val="20"/>
    </w:rPr>
  </w:style>
  <w:style w:type="table" w:styleId="TableGrid">
    <w:name w:val="Table Grid"/>
    <w:aliases w:val="Summary box,Table Gridbeth,RTI AMCP Table,new style,ASD Table,HealthConsult,HTAtableplain"/>
    <w:basedOn w:val="TableNormal"/>
    <w:uiPriority w:val="39"/>
    <w:rsid w:val="00CA52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rFonts w:cs="Times New Roman"/>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rsid w:val="00FD17BA"/>
    <w:pPr>
      <w:ind w:left="142" w:hanging="142"/>
    </w:pPr>
  </w:style>
  <w:style w:type="paragraph" w:customStyle="1" w:styleId="TableTextCA">
    <w:name w:val="Table Text CA"/>
    <w:basedOn w:val="TableText"/>
    <w:rsid w:val="00FD17BA"/>
    <w:pPr>
      <w:jc w:val="center"/>
    </w:pPr>
  </w:style>
  <w:style w:type="paragraph" w:customStyle="1" w:styleId="TableHeadingCA">
    <w:name w:val="Table Heading CA"/>
    <w:basedOn w:val="TableHeading0"/>
    <w:rsid w:val="00FD17BA"/>
    <w:pPr>
      <w:jc w:val="center"/>
    </w:pPr>
  </w:style>
  <w:style w:type="paragraph" w:customStyle="1" w:styleId="TableHeading0">
    <w:name w:val="Table Heading"/>
    <w:basedOn w:val="Normal"/>
    <w:qFormat/>
    <w:rsid w:val="00A60322"/>
    <w:pPr>
      <w:keepNext/>
      <w:tabs>
        <w:tab w:val="left" w:pos="993"/>
      </w:tabs>
      <w:spacing w:after="40" w:line="240" w:lineRule="auto"/>
      <w:ind w:left="993" w:hanging="993"/>
    </w:pPr>
    <w:rPr>
      <w:rFonts w:ascii="Arial Narrow" w:hAnsi="Arial Narrow"/>
      <w:b/>
      <w:sz w:val="20"/>
    </w:rPr>
  </w:style>
  <w:style w:type="paragraph" w:customStyle="1" w:styleId="TableFigNoteLast">
    <w:name w:val="TableFigNote Last"/>
    <w:basedOn w:val="TableFigNote"/>
    <w:rsid w:val="00FD17BA"/>
  </w:style>
  <w:style w:type="paragraph" w:customStyle="1" w:styleId="2ChapterText">
    <w:name w:val="2ChapterText"/>
    <w:basedOn w:val="Normal"/>
    <w:rsid w:val="00004F7F"/>
    <w:rPr>
      <w:shd w:val="clear" w:color="auto" w:fill="BDD6EE" w:themeFill="accent1" w:themeFillTint="66"/>
    </w:rPr>
  </w:style>
  <w:style w:type="paragraph" w:customStyle="1" w:styleId="1ExplanatoryText">
    <w:name w:val="1ExplanatoryText"/>
    <w:basedOn w:val="Normal"/>
    <w:rsid w:val="00225833"/>
    <w:pPr>
      <w:shd w:val="clear" w:color="auto" w:fill="C5E0B3" w:themeFill="accent6" w:themeFillTint="66"/>
    </w:pPr>
  </w:style>
  <w:style w:type="character" w:styleId="Hyperlink">
    <w:name w:val="Hyperlink"/>
    <w:basedOn w:val="DefaultParagraphFont"/>
    <w:uiPriority w:val="99"/>
    <w:unhideWhenUsed/>
    <w:rsid w:val="00997BA8"/>
    <w:rPr>
      <w:rFonts w:cs="Times New Roman"/>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rFonts w:cs="Times New Roman"/>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uiPriority w:val="99"/>
    <w:rsid w:val="000870B6"/>
    <w:pPr>
      <w:spacing w:before="1134" w:after="800"/>
      <w:ind w:left="4536"/>
    </w:pPr>
    <w:rPr>
      <w:rFonts w:ascii="Arial" w:hAnsi="Arial" w:cs="Tahoma"/>
      <w:b/>
      <w:sz w:val="36"/>
      <w:lang w:eastAsia="en-AU"/>
    </w:rPr>
  </w:style>
  <w:style w:type="character" w:customStyle="1" w:styleId="DateChar">
    <w:name w:val="Date Char"/>
    <w:basedOn w:val="DefaultParagraphFont"/>
    <w:link w:val="Date"/>
    <w:uiPriority w:val="99"/>
    <w:locked/>
    <w:rsid w:val="000870B6"/>
    <w:rPr>
      <w:rFonts w:ascii="Arial" w:hAnsi="Arial" w:cs="Tahoma"/>
      <w:b/>
      <w:sz w:val="36"/>
      <w:lang w:val="x-none"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hAnsi="Arial" w:cs="Tahoma"/>
      <w:b/>
      <w:i/>
      <w:sz w:val="44"/>
      <w:lang w:eastAsia="en-AU"/>
    </w:rPr>
  </w:style>
  <w:style w:type="paragraph" w:customStyle="1" w:styleId="Sub-title">
    <w:name w:val="Sub-title"/>
    <w:basedOn w:val="Normal"/>
    <w:locked/>
    <w:rsid w:val="00401DBF"/>
    <w:pPr>
      <w:spacing w:before="1701"/>
      <w:ind w:left="4536"/>
    </w:pPr>
    <w:rPr>
      <w:rFonts w:ascii="Arial" w:hAnsi="Arial" w:cs="Tahoma"/>
      <w:b/>
      <w:sz w:val="32"/>
      <w:lang w:eastAsia="en-AU"/>
    </w:rPr>
  </w:style>
  <w:style w:type="paragraph" w:customStyle="1" w:styleId="Nnumberedlist">
    <w:name w:val="Nnumbered list"/>
    <w:basedOn w:val="Normal"/>
    <w:rsid w:val="00AF3D39"/>
    <w:pPr>
      <w:numPr>
        <w:numId w:val="2"/>
      </w:numPr>
      <w:jc w:val="both"/>
    </w:pPr>
    <w:rPr>
      <w:rFonts w:ascii="Calibri" w:hAnsi="Calibri" w:cs="Tahoma"/>
      <w:lang w:eastAsia="en-AU"/>
    </w:rPr>
  </w:style>
  <w:style w:type="paragraph" w:styleId="TOCHeading">
    <w:name w:val="TOC Heading"/>
    <w:basedOn w:val="Heading1"/>
    <w:next w:val="Normal"/>
    <w:uiPriority w:val="39"/>
    <w:unhideWhenUsed/>
    <w:qFormat/>
    <w:rsid w:val="00DE7099"/>
    <w:pPr>
      <w:pBdr>
        <w:bottom w:val="none" w:sz="0" w:space="0" w:color="auto"/>
      </w:pBdr>
      <w:spacing w:before="240" w:after="0" w:line="259" w:lineRule="auto"/>
      <w:ind w:left="0" w:firstLine="0"/>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DA518E"/>
    <w:pPr>
      <w:tabs>
        <w:tab w:val="left" w:pos="284"/>
      </w:tabs>
      <w:spacing w:before="40" w:after="240" w:line="240" w:lineRule="auto"/>
      <w:contextualSpacing/>
    </w:pPr>
    <w:rPr>
      <w:rFonts w:ascii="Arial Narrow" w:hAnsi="Arial Narrow" w:cs="Arial"/>
      <w:sz w:val="18"/>
      <w:lang w:eastAsia="en-AU"/>
    </w:rPr>
  </w:style>
  <w:style w:type="character" w:customStyle="1" w:styleId="TableFigureFooterChar">
    <w:name w:val="Table/Figure Footer Char"/>
    <w:link w:val="TableFigureFooter"/>
    <w:locked/>
    <w:rsid w:val="00DA518E"/>
    <w:rPr>
      <w:rFonts w:ascii="Arial Narrow" w:hAnsi="Arial Narrow"/>
      <w:sz w:val="18"/>
      <w:lang w:val="x-none" w:eastAsia="en-AU"/>
    </w:rPr>
  </w:style>
  <w:style w:type="character" w:styleId="Emphasis">
    <w:name w:val="Emphasis"/>
    <w:basedOn w:val="DefaultParagraphFont"/>
    <w:uiPriority w:val="20"/>
    <w:qFormat/>
    <w:rsid w:val="00566298"/>
    <w:rPr>
      <w:rFonts w:cs="Times New Roman"/>
      <w:i/>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62DF2"/>
    <w:rPr>
      <w:rFonts w:ascii="Franklin Gothic Book" w:hAnsi="Franklin Gothic Book" w:cs="Times New Roman"/>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62DF2"/>
    <w:rPr>
      <w:rFonts w:ascii="Franklin Gothic Book" w:hAnsi="Franklin Gothic Book" w:cs="Times New Roman"/>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hAnsi="Arial Narrow" w:cs="Arial"/>
      <w:sz w:val="18"/>
      <w:szCs w:val="20"/>
    </w:rPr>
  </w:style>
  <w:style w:type="character" w:customStyle="1" w:styleId="TablenotesChar">
    <w:name w:val="Tablenotes Char"/>
    <w:basedOn w:val="DefaultParagraphFont"/>
    <w:link w:val="Tablenotes"/>
    <w:locked/>
    <w:rsid w:val="00242F4E"/>
    <w:rPr>
      <w:rFonts w:ascii="Arial Narrow" w:hAnsi="Arial Narrow" w:cs="Arial"/>
      <w:sz w:val="20"/>
      <w:szCs w:val="20"/>
    </w:rPr>
  </w:style>
  <w:style w:type="character" w:customStyle="1" w:styleId="ListParagraphChar">
    <w:name w:val="List Paragraph Char"/>
    <w:basedOn w:val="DefaultParagraphFont"/>
    <w:link w:val="ListParagraph"/>
    <w:uiPriority w:val="34"/>
    <w:locked/>
    <w:rsid w:val="00A454B3"/>
    <w:rPr>
      <w:rFonts w:ascii="Franklin Gothic Book" w:hAnsi="Franklin Gothic Book" w:cs="Times New Roman"/>
    </w:rPr>
  </w:style>
  <w:style w:type="table" w:customStyle="1" w:styleId="TableGridLight1">
    <w:name w:val="Table Grid Light1"/>
    <w:basedOn w:val="TableNormal"/>
    <w:uiPriority w:val="40"/>
    <w:rsid w:val="00BA59FB"/>
    <w:pPr>
      <w:spacing w:after="0" w:line="240" w:lineRule="auto"/>
    </w:pPr>
    <w:rPr>
      <w:rFonts w:cs="Times New Roman"/>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rPr>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imes New Roman"/>
      <w:b/>
      <w:bCs/>
      <w:sz w:val="20"/>
      <w:szCs w:val="24"/>
      <w:lang w:eastAsia="en-AU"/>
    </w:rPr>
  </w:style>
  <w:style w:type="character" w:customStyle="1" w:styleId="TableFigureHeadingChar">
    <w:name w:val="Table/Figure Heading Char"/>
    <w:basedOn w:val="DefaultParagraphFont"/>
    <w:link w:val="TableFigureHeading"/>
    <w:locked/>
    <w:rsid w:val="00F257B5"/>
    <w:rPr>
      <w:rFonts w:ascii="Arial Narrow" w:eastAsiaTheme="majorEastAsia" w:hAnsi="Arial Narrow" w:cs="Times New Roman"/>
      <w:b/>
      <w:bCs/>
      <w:sz w:val="24"/>
      <w:szCs w:val="24"/>
      <w:lang w:val="x-none" w:eastAsia="en-AU"/>
    </w:rPr>
  </w:style>
  <w:style w:type="paragraph" w:customStyle="1" w:styleId="Tabletext0">
    <w:name w:val="Table text"/>
    <w:basedOn w:val="Normal"/>
    <w:link w:val="TabletextChar0"/>
    <w:rsid w:val="001B2CD4"/>
    <w:pPr>
      <w:spacing w:before="40" w:after="40" w:line="240" w:lineRule="auto"/>
      <w:jc w:val="both"/>
    </w:pPr>
    <w:rPr>
      <w:rFonts w:ascii="Arial Narrow" w:hAnsi="Arial Narrow" w:cs="Tahoma"/>
      <w:sz w:val="20"/>
      <w:szCs w:val="20"/>
      <w:lang w:eastAsia="en-AU"/>
    </w:rPr>
  </w:style>
  <w:style w:type="character" w:customStyle="1" w:styleId="TabletextChar0">
    <w:name w:val="Table text Char"/>
    <w:link w:val="Tabletext0"/>
    <w:locked/>
    <w:rsid w:val="001B2CD4"/>
    <w:rPr>
      <w:rFonts w:ascii="Arial Narrow" w:hAnsi="Arial Narrow"/>
      <w:sz w:val="20"/>
      <w:lang w:val="x-none"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locked/>
    <w:rsid w:val="001B2CD4"/>
    <w:rPr>
      <w:rFonts w:ascii="Arial Narrow" w:hAnsi="Arial Narrow" w:cs="Arial"/>
      <w:sz w:val="18"/>
    </w:rPr>
  </w:style>
  <w:style w:type="paragraph" w:customStyle="1" w:styleId="2-SectionHeading">
    <w:name w:val="2-Section Heading"/>
    <w:rsid w:val="005131D3"/>
    <w:pPr>
      <w:keepNext/>
      <w:numPr>
        <w:numId w:val="5"/>
      </w:numPr>
      <w:spacing w:before="240" w:after="120" w:line="240" w:lineRule="auto"/>
      <w:outlineLvl w:val="0"/>
    </w:pPr>
    <w:rPr>
      <w:rFonts w:cs="Arial"/>
      <w:b/>
      <w:sz w:val="32"/>
      <w:szCs w:val="32"/>
      <w:lang w:eastAsia="en-AU"/>
    </w:rPr>
  </w:style>
  <w:style w:type="paragraph" w:customStyle="1" w:styleId="3-BodyText">
    <w:name w:val="3-Body Text"/>
    <w:basedOn w:val="ListParagraph"/>
    <w:rsid w:val="005131D3"/>
    <w:pPr>
      <w:numPr>
        <w:ilvl w:val="1"/>
        <w:numId w:val="5"/>
      </w:numPr>
      <w:spacing w:after="120" w:line="240" w:lineRule="auto"/>
      <w:contextualSpacing w:val="0"/>
      <w:jc w:val="both"/>
    </w:pPr>
    <w:rPr>
      <w:rFonts w:asciiTheme="minorHAnsi" w:hAnsiTheme="minorHAnsi" w:cs="Arial"/>
      <w:sz w:val="24"/>
      <w:szCs w:val="24"/>
      <w:lang w:eastAsia="en-AU"/>
    </w:rPr>
  </w:style>
  <w:style w:type="paragraph" w:customStyle="1" w:styleId="BoxName">
    <w:name w:val="Box Name"/>
    <w:basedOn w:val="Normal"/>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DA518E"/>
    <w:rPr>
      <w:rFonts w:ascii="Arial Narrow" w:hAnsi="Arial Narrow"/>
      <w:noProof/>
      <w:sz w:val="20"/>
    </w:rPr>
  </w:style>
  <w:style w:type="paragraph" w:customStyle="1" w:styleId="TableFooter">
    <w:name w:val="Table Footer"/>
    <w:basedOn w:val="Normal"/>
    <w:link w:val="TableFooterChar"/>
    <w:qFormat/>
    <w:rsid w:val="00DA518E"/>
    <w:pPr>
      <w:widowControl w:val="0"/>
      <w:snapToGrid w:val="0"/>
      <w:spacing w:before="40" w:after="240" w:line="240" w:lineRule="auto"/>
      <w:contextualSpacing/>
      <w:jc w:val="both"/>
    </w:pPr>
    <w:rPr>
      <w:rFonts w:ascii="Arial Narrow" w:hAnsi="Arial Narrow" w:cs="Arial"/>
      <w:noProof/>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100" w:beforeAutospacing="1" w:afterLines="0" w:after="100" w:afterAutospacing="1"/>
        <w:ind w:leftChars="0" w:left="0" w:rightChars="0" w:right="0" w:firstLineChars="0" w:firstLine="0"/>
        <w:contextualSpacing/>
        <w:jc w:val="center"/>
      </w:pPr>
      <w:rPr>
        <w:rFonts w:ascii="Constantia" w:hAnsi="Constantia" w:cs="Times New Roman"/>
        <w:b/>
        <w:sz w:val="20"/>
        <w:szCs w:val="20"/>
      </w:rPr>
    </w:tblStylePr>
    <w:tblStylePr w:type="lastRow">
      <w:rPr>
        <w:rFonts w:cs="Times New Roman"/>
        <w:i/>
        <w:iCs/>
      </w:rPr>
      <w:tblPr/>
      <w:tcPr>
        <w:tcBorders>
          <w:tl2br w:val="none" w:sz="6" w:space="0" w:color="auto"/>
          <w:tr2bl w:val="none" w:sz="6" w:space="0" w:color="auto"/>
        </w:tcBorders>
      </w:tcPr>
    </w:tblStylePr>
    <w:tblStylePr w:type="firstCol">
      <w:pPr>
        <w:spacing w:beforeLines="0" w:before="100" w:beforeAutospacing="1" w:afterLines="0" w:after="100" w:afterAutospacing="1"/>
        <w:ind w:leftChars="0" w:left="0" w:rightChars="0" w:right="0"/>
        <w:contextualSpacing/>
        <w:jc w:val="left"/>
      </w:pPr>
      <w:rPr>
        <w:rFonts w:ascii="Constantia" w:hAnsi="Constantia" w:cs="Times New Roman"/>
        <w:sz w:val="20"/>
        <w:szCs w:val="20"/>
      </w:rPr>
    </w:tblStylePr>
    <w:tblStylePr w:type="lastCol">
      <w:pPr>
        <w:spacing w:beforeLines="0" w:before="100" w:beforeAutospacing="1" w:afterLines="0" w:after="100" w:afterAutospacing="1"/>
        <w:ind w:leftChars="0" w:left="0" w:rightChars="0" w:right="0" w:firstLineChars="0" w:firstLine="0"/>
        <w:contextualSpacing/>
      </w:pPr>
      <w:rPr>
        <w:rFonts w:ascii="Constantia" w:hAnsi="Constantia" w:cs="Times New Roman"/>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6" w:space="0" w:color="auto"/>
          <w:tr2bl w:val="none" w:sz="6" w:space="0" w:color="auto"/>
        </w:tcBorders>
      </w:tcPr>
    </w:tblStylePr>
  </w:style>
  <w:style w:type="table" w:styleId="TableGrid10">
    <w:name w:val="Table Grid 1"/>
    <w:basedOn w:val="TableNormal"/>
    <w:uiPriority w:val="99"/>
    <w:semiHidden/>
    <w:unhideWhenUsed/>
    <w:rsid w:val="007B0880"/>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locked/>
    <w:rsid w:val="00804632"/>
    <w:rPr>
      <w:rFonts w:cs="Times New Roman"/>
      <w:sz w:val="20"/>
      <w:szCs w:val="20"/>
    </w:rPr>
  </w:style>
  <w:style w:type="character" w:styleId="FootnoteReference">
    <w:name w:val="footnote reference"/>
    <w:basedOn w:val="DefaultParagraphFont"/>
    <w:uiPriority w:val="99"/>
    <w:unhideWhenUsed/>
    <w:rsid w:val="00804632"/>
    <w:rPr>
      <w:rFonts w:cs="Times New Roman"/>
      <w:vertAlign w:val="superscript"/>
    </w:rPr>
  </w:style>
  <w:style w:type="paragraph" w:customStyle="1" w:styleId="TableFigNoteHanging">
    <w:name w:val="TableFigNoteHanging"/>
    <w:basedOn w:val="TableFigNoteHangingLas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hAnsi="Arial Narrow" w:cs="Tahoma"/>
      <w:sz w:val="18"/>
      <w:lang w:eastAsia="en-AU"/>
    </w:rPr>
  </w:style>
  <w:style w:type="character" w:customStyle="1" w:styleId="TableTextChar1">
    <w:name w:val="TableText Char"/>
    <w:link w:val="TableText1"/>
    <w:locked/>
    <w:rsid w:val="001C2A48"/>
    <w:rPr>
      <w:rFonts w:ascii="Arial Narrow" w:hAnsi="Arial Narrow"/>
      <w:sz w:val="18"/>
      <w:lang w:val="x-none" w:eastAsia="en-AU"/>
    </w:rPr>
  </w:style>
  <w:style w:type="paragraph" w:customStyle="1" w:styleId="References">
    <w:name w:val="References"/>
    <w:basedOn w:val="Normal"/>
    <w:rsid w:val="001C2A48"/>
    <w:pPr>
      <w:keepLines/>
      <w:spacing w:after="240" w:line="312" w:lineRule="auto"/>
      <w:ind w:left="1440" w:hanging="720"/>
    </w:pPr>
    <w:rPr>
      <w:rFonts w:ascii="Calibri" w:hAnsi="Calibri" w:cs="Tahoma"/>
      <w:lang w:eastAsia="en-AU"/>
    </w:rPr>
  </w:style>
  <w:style w:type="paragraph" w:styleId="Title">
    <w:name w:val="Title"/>
    <w:basedOn w:val="Normal"/>
    <w:next w:val="Normal"/>
    <w:link w:val="TitleChar"/>
    <w:uiPriority w:val="10"/>
    <w:qFormat/>
    <w:rsid w:val="00772829"/>
    <w:pPr>
      <w:spacing w:before="480" w:after="240" w:line="240" w:lineRule="auto"/>
      <w:jc w:val="center"/>
    </w:pPr>
    <w:rPr>
      <w:rFonts w:ascii="Arial" w:hAnsi="Arial" w:cs="Arial"/>
      <w:b/>
      <w:bCs/>
      <w:color w:val="000080"/>
      <w:sz w:val="36"/>
      <w:szCs w:val="36"/>
      <w:lang w:eastAsia="en-AU"/>
    </w:rPr>
  </w:style>
  <w:style w:type="character" w:customStyle="1" w:styleId="TitleChar">
    <w:name w:val="Title Char"/>
    <w:basedOn w:val="DefaultParagraphFont"/>
    <w:link w:val="Title"/>
    <w:uiPriority w:val="10"/>
    <w:locked/>
    <w:rsid w:val="00772829"/>
    <w:rPr>
      <w:rFonts w:ascii="Arial" w:hAnsi="Arial" w:cs="Arial"/>
      <w:b/>
      <w:bCs/>
      <w:color w:val="000080"/>
      <w:sz w:val="36"/>
      <w:szCs w:val="36"/>
      <w:lang w:val="x-none" w:eastAsia="en-AU"/>
    </w:rPr>
  </w:style>
  <w:style w:type="paragraph" w:styleId="Subtitle">
    <w:name w:val="Subtitle"/>
    <w:basedOn w:val="Normal"/>
    <w:next w:val="Normal"/>
    <w:link w:val="SubtitleChar"/>
    <w:uiPriority w:val="11"/>
    <w:qFormat/>
    <w:rsid w:val="00772829"/>
    <w:pPr>
      <w:spacing w:after="240" w:line="240" w:lineRule="auto"/>
      <w:jc w:val="center"/>
    </w:pPr>
    <w:rPr>
      <w:rFonts w:ascii="Arial" w:hAnsi="Arial" w:cs="Arial"/>
      <w:b/>
      <w:bCs/>
      <w:i/>
      <w:color w:val="000080"/>
      <w:sz w:val="28"/>
      <w:szCs w:val="28"/>
      <w:lang w:eastAsia="en-AU"/>
    </w:rPr>
  </w:style>
  <w:style w:type="character" w:customStyle="1" w:styleId="SubtitleChar">
    <w:name w:val="Subtitle Char"/>
    <w:basedOn w:val="DefaultParagraphFont"/>
    <w:link w:val="Subtitle"/>
    <w:uiPriority w:val="11"/>
    <w:locked/>
    <w:rsid w:val="00772829"/>
    <w:rPr>
      <w:rFonts w:ascii="Arial" w:hAnsi="Arial" w:cs="Arial"/>
      <w:b/>
      <w:bCs/>
      <w:i/>
      <w:color w:val="000080"/>
      <w:sz w:val="28"/>
      <w:szCs w:val="28"/>
      <w:lang w:val="x-none" w:eastAsia="en-AU"/>
    </w:rPr>
  </w:style>
  <w:style w:type="paragraph" w:customStyle="1" w:styleId="ESHeading1">
    <w:name w:val="ES Heading1"/>
    <w:basedOn w:val="Heading2"/>
    <w:next w:val="Normal"/>
    <w:rsid w:val="002C70CE"/>
    <w:pPr>
      <w:numPr>
        <w:ilvl w:val="0"/>
        <w:numId w:val="7"/>
      </w:numPr>
      <w:spacing w:before="240"/>
      <w:ind w:left="2154" w:hanging="357"/>
    </w:pPr>
  </w:style>
  <w:style w:type="paragraph" w:customStyle="1" w:styleId="NormalBeforeBullet">
    <w:name w:val="Normal Before Bullet"/>
    <w:basedOn w:val="Normal"/>
    <w:rsid w:val="00091C59"/>
    <w:pPr>
      <w:keepNext/>
      <w:spacing w:after="120" w:line="240" w:lineRule="auto"/>
    </w:pPr>
    <w:rPr>
      <w:rFonts w:asciiTheme="minorHAnsi" w:hAnsiTheme="minorHAnsi"/>
    </w:rPr>
  </w:style>
  <w:style w:type="paragraph" w:customStyle="1" w:styleId="Dash">
    <w:name w:val="Dash"/>
    <w:basedOn w:val="Bulle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rFonts w:cs="Times New Roman"/>
      <w:color w:val="605E5C"/>
      <w:shd w:val="clear" w:color="auto" w:fill="E1DFDD"/>
    </w:rPr>
  </w:style>
  <w:style w:type="character" w:customStyle="1" w:styleId="InstructionaltextChar">
    <w:name w:val="Instructional text Char"/>
    <w:basedOn w:val="DefaultParagraphFont"/>
    <w:link w:val="Instructionaltext"/>
    <w:locked/>
    <w:rsid w:val="00DF39E9"/>
    <w:rPr>
      <w:rFonts w:ascii="Franklin Gothic Book" w:hAnsi="Franklin Gothic Book" w:cs="Times New Roman"/>
      <w:color w:val="258221"/>
    </w:rPr>
  </w:style>
  <w:style w:type="paragraph" w:customStyle="1" w:styleId="Instructionaltext-bullet">
    <w:name w:val="Instructional text - bullet"/>
    <w:basedOn w:val="Instructionaltext"/>
    <w:qFormat/>
    <w:rsid w:val="002463A6"/>
    <w:pPr>
      <w:numPr>
        <w:numId w:val="9"/>
      </w:numPr>
      <w:spacing w:before="0" w:after="0"/>
    </w:pPr>
  </w:style>
  <w:style w:type="paragraph" w:customStyle="1" w:styleId="Instructionaltext-afterfiguretable">
    <w:name w:val="Instructional text - after figure/table"/>
    <w:basedOn w:val="Instructionaltext"/>
    <w:rsid w:val="00B151CF"/>
    <w:pPr>
      <w:spacing w:before="360"/>
    </w:pPr>
  </w:style>
  <w:style w:type="paragraph" w:customStyle="1" w:styleId="Guidelinescross-ref">
    <w:name w:val="Guidelines cross-ref"/>
    <w:basedOn w:val="Normal"/>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cs="Times New Roman"/>
    </w:rPr>
  </w:style>
  <w:style w:type="character" w:customStyle="1" w:styleId="UnresolvedMention2">
    <w:name w:val="Unresolved Mention2"/>
    <w:basedOn w:val="DefaultParagraphFont"/>
    <w:uiPriority w:val="99"/>
    <w:semiHidden/>
    <w:unhideWhenUsed/>
    <w:rsid w:val="00223664"/>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D13865"/>
    <w:rPr>
      <w:rFonts w:cs="Times New Roman"/>
      <w:color w:val="605E5C"/>
      <w:shd w:val="clear" w:color="auto" w:fill="E1DFDD"/>
    </w:rPr>
  </w:style>
  <w:style w:type="paragraph" w:styleId="NoSpacing">
    <w:name w:val="No Spacing"/>
    <w:uiPriority w:val="1"/>
    <w:qFormat/>
    <w:rsid w:val="000B6462"/>
    <w:pPr>
      <w:spacing w:after="0" w:line="240" w:lineRule="auto"/>
    </w:pPr>
    <w:rPr>
      <w:rFonts w:ascii="Franklin Gothic Book" w:hAnsi="Franklin Gothic Book" w:cs="Times New Roman"/>
    </w:rPr>
  </w:style>
  <w:style w:type="table" w:customStyle="1" w:styleId="HealthConsult1">
    <w:name w:val="HealthConsult1"/>
    <w:basedOn w:val="TableNormal"/>
    <w:next w:val="TableGrid"/>
    <w:uiPriority w:val="59"/>
    <w:rsid w:val="00A04B5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872A5"/>
    <w:pPr>
      <w:spacing w:after="0"/>
      <w:jc w:val="center"/>
    </w:pPr>
    <w:rPr>
      <w:noProof/>
      <w:lang w:val="en-US"/>
    </w:rPr>
  </w:style>
  <w:style w:type="character" w:customStyle="1" w:styleId="EndNoteBibliographyTitleChar">
    <w:name w:val="EndNote Bibliography Title Char"/>
    <w:basedOn w:val="DefaultParagraphFont"/>
    <w:link w:val="EndNoteBibliographyTitle"/>
    <w:locked/>
    <w:rsid w:val="00A872A5"/>
    <w:rPr>
      <w:rFonts w:ascii="Franklin Gothic Book" w:hAnsi="Franklin Gothic Book" w:cs="Times New Roman"/>
      <w:noProof/>
      <w:lang w:val="en-US"/>
    </w:rPr>
  </w:style>
  <w:style w:type="paragraph" w:customStyle="1" w:styleId="EndNoteBibliography">
    <w:name w:val="EndNote Bibliography"/>
    <w:basedOn w:val="Normal"/>
    <w:link w:val="EndNoteBibliographyChar"/>
    <w:rsid w:val="00A872A5"/>
    <w:pPr>
      <w:spacing w:line="240" w:lineRule="auto"/>
    </w:pPr>
    <w:rPr>
      <w:noProof/>
      <w:lang w:val="en-US"/>
    </w:rPr>
  </w:style>
  <w:style w:type="character" w:customStyle="1" w:styleId="EndNoteBibliographyChar">
    <w:name w:val="EndNote Bibliography Char"/>
    <w:basedOn w:val="DefaultParagraphFont"/>
    <w:link w:val="EndNoteBibliography"/>
    <w:locked/>
    <w:rsid w:val="00A872A5"/>
    <w:rPr>
      <w:rFonts w:ascii="Franklin Gothic Book" w:hAnsi="Franklin Gothic Book" w:cs="Times New Roman"/>
      <w:noProof/>
      <w:lang w:val="en-US"/>
    </w:rPr>
  </w:style>
  <w:style w:type="table" w:customStyle="1" w:styleId="HealthConsult2">
    <w:name w:val="HealthConsult2"/>
    <w:basedOn w:val="TableNormal"/>
    <w:next w:val="TableGrid"/>
    <w:uiPriority w:val="59"/>
    <w:rsid w:val="00DC0741"/>
    <w:pPr>
      <w:spacing w:after="0" w:line="240" w:lineRule="auto"/>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3">
    <w:name w:val="HealthConsult3"/>
    <w:basedOn w:val="TableNormal"/>
    <w:next w:val="TableGrid"/>
    <w:uiPriority w:val="59"/>
    <w:rsid w:val="00CD07DA"/>
    <w:pPr>
      <w:spacing w:after="0" w:line="240" w:lineRule="auto"/>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72D09"/>
    <w:pPr>
      <w:spacing w:after="0" w:line="240" w:lineRule="auto"/>
    </w:pPr>
    <w:rPr>
      <w:rFonts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72D09"/>
    <w:pPr>
      <w:spacing w:after="0" w:line="240" w:lineRule="auto"/>
    </w:pPr>
    <w:rPr>
      <w:rFonts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72D09"/>
    <w:pPr>
      <w:spacing w:after="0" w:line="240" w:lineRule="auto"/>
    </w:pPr>
    <w:rPr>
      <w:rFonts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52304"/>
    <w:pPr>
      <w:spacing w:after="0" w:line="240" w:lineRule="auto"/>
    </w:pPr>
    <w:rPr>
      <w:rFonts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5A276A"/>
    <w:pPr>
      <w:spacing w:after="0" w:line="240" w:lineRule="auto"/>
    </w:pPr>
    <w:rPr>
      <w:rFonts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7E1F52"/>
    <w:pPr>
      <w:spacing w:after="0" w:line="240" w:lineRule="auto"/>
    </w:pPr>
    <w:rPr>
      <w:rFonts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5816F3"/>
    <w:pPr>
      <w:spacing w:after="0" w:line="240" w:lineRule="auto"/>
    </w:pPr>
    <w:rPr>
      <w:rFonts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rsid w:val="00C03019"/>
    <w:pPr>
      <w:spacing w:after="0" w:line="240" w:lineRule="auto"/>
    </w:pPr>
    <w:rPr>
      <w:rFonts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021813"/>
    <w:pPr>
      <w:spacing w:after="0" w:line="240" w:lineRule="auto"/>
    </w:pPr>
    <w:rPr>
      <w:rFonts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2D2AE5"/>
    <w:pPr>
      <w:spacing w:after="0" w:line="240" w:lineRule="auto"/>
    </w:pPr>
    <w:rPr>
      <w:rFonts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371D83"/>
    <w:pPr>
      <w:spacing w:after="0" w:line="240" w:lineRule="auto"/>
    </w:pPr>
    <w:rPr>
      <w:rFonts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371D83"/>
    <w:pPr>
      <w:spacing w:after="0" w:line="240" w:lineRule="auto"/>
    </w:pPr>
    <w:rPr>
      <w:rFonts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F9201C"/>
    <w:pPr>
      <w:spacing w:after="0" w:line="240" w:lineRule="auto"/>
    </w:pPr>
    <w:rPr>
      <w:rFonts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F9201C"/>
    <w:pPr>
      <w:spacing w:after="0" w:line="240" w:lineRule="auto"/>
    </w:pPr>
    <w:rPr>
      <w:rFonts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F9201C"/>
    <w:pPr>
      <w:spacing w:after="0" w:line="240" w:lineRule="auto"/>
    </w:pPr>
    <w:rPr>
      <w:rFonts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E50D3"/>
    <w:rPr>
      <w:rFonts w:cs="Times New Roman"/>
      <w:color w:val="605E5C"/>
      <w:shd w:val="clear" w:color="auto" w:fill="E1DFDD"/>
    </w:rPr>
  </w:style>
  <w:style w:type="table" w:customStyle="1" w:styleId="TableGrid18">
    <w:name w:val="Table Grid18"/>
    <w:basedOn w:val="TableNormal"/>
    <w:next w:val="TableGrid"/>
    <w:rsid w:val="003D5EB1"/>
    <w:pPr>
      <w:spacing w:after="0" w:line="240" w:lineRule="auto"/>
    </w:pPr>
    <w:rPr>
      <w:rFonts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alComposeStyle">
    <w:name w:val="Personal Compose Style"/>
    <w:basedOn w:val="DefaultParagraphFont"/>
    <w:rsid w:val="003D5EB1"/>
    <w:rPr>
      <w:rFonts w:ascii="Arial" w:hAnsi="Arial" w:cs="Arial"/>
      <w:color w:val="auto"/>
      <w:sz w:val="20"/>
    </w:rPr>
  </w:style>
  <w:style w:type="character" w:customStyle="1" w:styleId="PersonalReplyStyle">
    <w:name w:val="Personal Reply Style"/>
    <w:basedOn w:val="DefaultParagraphFont"/>
    <w:rsid w:val="003D5EB1"/>
    <w:rPr>
      <w:rFonts w:ascii="Arial" w:hAnsi="Arial" w:cs="Arial"/>
      <w:color w:val="auto"/>
      <w:sz w:val="20"/>
    </w:rPr>
  </w:style>
  <w:style w:type="table" w:customStyle="1" w:styleId="TableGrid19">
    <w:name w:val="Table Grid19"/>
    <w:basedOn w:val="TableNormal"/>
    <w:next w:val="TableGrid"/>
    <w:rsid w:val="003D5EB1"/>
    <w:pPr>
      <w:spacing w:after="0" w:line="240" w:lineRule="auto"/>
    </w:pPr>
    <w:rPr>
      <w:rFonts w:cs="Calibr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750A5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0006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34E5"/>
    <w:pPr>
      <w:spacing w:before="100" w:beforeAutospacing="1" w:after="100" w:afterAutospacing="1" w:line="240" w:lineRule="auto"/>
    </w:pPr>
    <w:rPr>
      <w:rFonts w:ascii="Times New Roman" w:hAnsi="Times New Roman"/>
      <w:sz w:val="24"/>
      <w:szCs w:val="24"/>
      <w:lang w:eastAsia="en-AU"/>
    </w:rPr>
  </w:style>
  <w:style w:type="table" w:customStyle="1" w:styleId="TableGrid110">
    <w:name w:val="Table Grid110"/>
    <w:basedOn w:val="TableNormal"/>
    <w:uiPriority w:val="39"/>
    <w:rsid w:val="00855E27"/>
    <w:pPr>
      <w:spacing w:after="0" w:line="240" w:lineRule="auto"/>
    </w:pPr>
    <w:rPr>
      <w:rFonts w:ascii="Calibri" w:eastAsia="Malgun Gothic" w:hAnsi="Calibri"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75311"/>
    <w:pPr>
      <w:spacing w:after="0" w:line="240" w:lineRule="auto"/>
    </w:pPr>
    <w:rPr>
      <w:rFonts w:ascii="Calibri" w:eastAsia="Malgun Gothic" w:hAnsi="Calibri"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4">
    <w:name w:val="HealthConsult4"/>
    <w:basedOn w:val="TableNormal"/>
    <w:next w:val="TableGrid"/>
    <w:rsid w:val="005A2D4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5">
    <w:name w:val="HealthConsult5"/>
    <w:basedOn w:val="TableNormal"/>
    <w:next w:val="TableGrid"/>
    <w:rsid w:val="005A2D4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6">
    <w:name w:val="HealthConsult6"/>
    <w:basedOn w:val="TableNormal"/>
    <w:next w:val="TableGrid"/>
    <w:rsid w:val="005A2D4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BACTableStyle1">
    <w:name w:val="PBAC Table Style1"/>
    <w:basedOn w:val="TableGrid10"/>
    <w:uiPriority w:val="99"/>
    <w:rsid w:val="005A2D42"/>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100" w:beforeAutospacing="1" w:afterLines="0" w:after="100" w:afterAutospacing="1"/>
        <w:ind w:leftChars="0" w:left="0" w:rightChars="0" w:right="0" w:firstLineChars="0" w:firstLine="0"/>
        <w:contextualSpacing/>
        <w:jc w:val="center"/>
      </w:pPr>
      <w:rPr>
        <w:rFonts w:ascii="@SimSun-ExtB" w:hAnsi="@SimSun-ExtB" w:cs="Times New Roman"/>
        <w:b/>
        <w:sz w:val="20"/>
        <w:szCs w:val="20"/>
      </w:rPr>
    </w:tblStylePr>
    <w:tblStylePr w:type="lastRow">
      <w:rPr>
        <w:rFonts w:cs="Times New Roman"/>
        <w:i/>
        <w:iCs/>
      </w:rPr>
      <w:tblPr/>
      <w:tcPr>
        <w:tcBorders>
          <w:tl2br w:val="none" w:sz="6" w:space="0" w:color="auto"/>
          <w:tr2bl w:val="none" w:sz="6" w:space="0" w:color="auto"/>
        </w:tcBorders>
      </w:tcPr>
    </w:tblStylePr>
    <w:tblStylePr w:type="firstCol">
      <w:pPr>
        <w:spacing w:beforeLines="0" w:before="100" w:beforeAutospacing="1" w:afterLines="0" w:after="100" w:afterAutospacing="1"/>
        <w:ind w:leftChars="0" w:left="0" w:rightChars="0" w:right="0"/>
        <w:contextualSpacing/>
        <w:jc w:val="left"/>
      </w:pPr>
      <w:rPr>
        <w:rFonts w:ascii="@SimSun-ExtB" w:hAnsi="@SimSun-ExtB" w:cs="Times New Roman"/>
        <w:sz w:val="20"/>
        <w:szCs w:val="20"/>
      </w:rPr>
    </w:tblStylePr>
    <w:tblStylePr w:type="lastCol">
      <w:pPr>
        <w:spacing w:beforeLines="0" w:before="100" w:beforeAutospacing="1" w:afterLines="0" w:after="100" w:afterAutospacing="1"/>
        <w:ind w:leftChars="0" w:left="0" w:rightChars="0" w:right="0" w:firstLineChars="0" w:firstLine="0"/>
        <w:contextualSpacing/>
      </w:pPr>
      <w:rPr>
        <w:rFonts w:ascii="@SimSun-ExtB" w:hAnsi="@SimSun-ExtB" w:cs="Times New Roman"/>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6" w:space="0" w:color="auto"/>
          <w:tr2bl w:val="none" w:sz="6" w:space="0" w:color="auto"/>
        </w:tcBorders>
      </w:tcPr>
    </w:tblStylePr>
  </w:style>
  <w:style w:type="character" w:customStyle="1" w:styleId="hgkelc">
    <w:name w:val="hgkelc"/>
    <w:basedOn w:val="DefaultParagraphFont"/>
    <w:rsid w:val="005A2D42"/>
    <w:rPr>
      <w:rFonts w:cs="Times New Roman"/>
    </w:rPr>
  </w:style>
  <w:style w:type="paragraph" w:customStyle="1" w:styleId="Default">
    <w:name w:val="Default"/>
    <w:rsid w:val="005A2D42"/>
    <w:pPr>
      <w:autoSpaceDE w:val="0"/>
      <w:autoSpaceDN w:val="0"/>
      <w:adjustRightInd w:val="0"/>
      <w:spacing w:after="0" w:line="240" w:lineRule="auto"/>
    </w:pPr>
    <w:rPr>
      <w:rFonts w:ascii="Arial" w:hAnsi="Arial" w:cs="Arial"/>
      <w:color w:val="000000"/>
      <w:sz w:val="24"/>
      <w:szCs w:val="24"/>
    </w:rPr>
  </w:style>
  <w:style w:type="table" w:styleId="ListTable1Light">
    <w:name w:val="List Table 1 Light"/>
    <w:basedOn w:val="TableNormal"/>
    <w:uiPriority w:val="46"/>
    <w:rsid w:val="005A2D42"/>
    <w:pPr>
      <w:spacing w:after="0" w:line="240" w:lineRule="auto"/>
    </w:pPr>
    <w:rPr>
      <w:rFonts w:cs="Times New Roman"/>
    </w:rPr>
    <w:tblPr>
      <w:tblStyleRowBandSize w:val="1"/>
      <w:tblStyleColBandSize w:val="1"/>
    </w:tblPr>
    <w:tblStylePr w:type="firstRow">
      <w:rPr>
        <w:rFonts w:cs="Times New Roman"/>
        <w:b/>
        <w:bCs/>
      </w:rPr>
      <w:tblPr/>
      <w:tcPr>
        <w:tcBorders>
          <w:bottom w:val="single" w:sz="4" w:space="0" w:color="666666" w:themeColor="text1" w:themeTint="99"/>
        </w:tcBorders>
      </w:tcPr>
    </w:tblStylePr>
    <w:tblStylePr w:type="lastRow">
      <w:rPr>
        <w:rFonts w:cs="Times New Roman"/>
        <w:b/>
        <w:bCs/>
      </w:rPr>
      <w:tblPr/>
      <w:tcPr>
        <w:tcBorders>
          <w:top w:val="single" w:sz="4" w:space="0" w:color="666666" w:themeColor="tex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styleId="PlainTable2">
    <w:name w:val="Plain Table 2"/>
    <w:basedOn w:val="TableNormal"/>
    <w:uiPriority w:val="42"/>
    <w:rsid w:val="005A2D42"/>
    <w:pPr>
      <w:spacing w:after="0" w:line="240" w:lineRule="auto"/>
    </w:pPr>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customStyle="1" w:styleId="HealthConsult7">
    <w:name w:val="HealthConsult7"/>
    <w:basedOn w:val="TableNormal"/>
    <w:next w:val="TableGrid"/>
    <w:uiPriority w:val="39"/>
    <w:rsid w:val="005A2D4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8">
    <w:name w:val="HealthConsult8"/>
    <w:basedOn w:val="TableNormal"/>
    <w:next w:val="TableGrid"/>
    <w:uiPriority w:val="39"/>
    <w:rsid w:val="005A2D4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9">
    <w:name w:val="HealthConsult9"/>
    <w:basedOn w:val="TableNormal"/>
    <w:next w:val="TableGrid"/>
    <w:uiPriority w:val="39"/>
    <w:rsid w:val="005A2D4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xgbd">
    <w:name w:val="muxgbd"/>
    <w:basedOn w:val="DefaultParagraphFont"/>
    <w:rsid w:val="005A2D42"/>
    <w:rPr>
      <w:rFonts w:cs="Times New Roman"/>
    </w:rPr>
  </w:style>
  <w:style w:type="paragraph" w:customStyle="1" w:styleId="paragraph">
    <w:name w:val="paragraph"/>
    <w:basedOn w:val="Normal"/>
    <w:rsid w:val="005A2D42"/>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5A2D42"/>
    <w:rPr>
      <w:rFonts w:cs="Times New Roman"/>
    </w:rPr>
  </w:style>
  <w:style w:type="character" w:customStyle="1" w:styleId="eop">
    <w:name w:val="eop"/>
    <w:basedOn w:val="DefaultParagraphFont"/>
    <w:rsid w:val="005A2D42"/>
    <w:rPr>
      <w:rFonts w:cs="Times New Roman"/>
    </w:rPr>
  </w:style>
  <w:style w:type="character" w:customStyle="1" w:styleId="tabchar">
    <w:name w:val="tabchar"/>
    <w:basedOn w:val="DefaultParagraphFont"/>
    <w:rsid w:val="005A2D42"/>
    <w:rPr>
      <w:rFonts w:cs="Times New Roman"/>
    </w:rPr>
  </w:style>
  <w:style w:type="character" w:customStyle="1" w:styleId="spellingerrorsuperscript">
    <w:name w:val="spellingerrorsuperscript"/>
    <w:basedOn w:val="DefaultParagraphFont"/>
    <w:rsid w:val="005A2D42"/>
    <w:rPr>
      <w:rFonts w:cs="Times New Roman"/>
    </w:rPr>
  </w:style>
  <w:style w:type="paragraph" w:customStyle="1" w:styleId="msonormal0">
    <w:name w:val="msonormal"/>
    <w:basedOn w:val="Normal"/>
    <w:rsid w:val="005A2D42"/>
    <w:pPr>
      <w:spacing w:before="100" w:beforeAutospacing="1" w:after="100" w:afterAutospacing="1" w:line="240" w:lineRule="auto"/>
    </w:pPr>
    <w:rPr>
      <w:rFonts w:ascii="Times New Roman" w:hAnsi="Times New Roman"/>
      <w:sz w:val="24"/>
      <w:szCs w:val="24"/>
      <w:lang w:eastAsia="en-AU"/>
    </w:rPr>
  </w:style>
  <w:style w:type="character" w:customStyle="1" w:styleId="textrun">
    <w:name w:val="textrun"/>
    <w:basedOn w:val="DefaultParagraphFont"/>
    <w:rsid w:val="005A2D42"/>
    <w:rPr>
      <w:rFonts w:cs="Times New Roman"/>
    </w:rPr>
  </w:style>
  <w:style w:type="character" w:customStyle="1" w:styleId="UnresolvedMention4">
    <w:name w:val="Unresolved Mention4"/>
    <w:basedOn w:val="DefaultParagraphFont"/>
    <w:uiPriority w:val="99"/>
    <w:semiHidden/>
    <w:unhideWhenUsed/>
    <w:rsid w:val="005A2D42"/>
    <w:rPr>
      <w:rFonts w:cs="Times New Roman"/>
      <w:color w:val="605E5C"/>
      <w:shd w:val="clear" w:color="auto" w:fill="E1DFDD"/>
    </w:rPr>
  </w:style>
  <w:style w:type="character" w:customStyle="1" w:styleId="A5">
    <w:name w:val="A5"/>
    <w:uiPriority w:val="99"/>
    <w:rsid w:val="005A2D42"/>
    <w:rPr>
      <w:color w:val="000000"/>
      <w:sz w:val="11"/>
    </w:rPr>
  </w:style>
  <w:style w:type="table" w:customStyle="1" w:styleId="TableGrid23">
    <w:name w:val="Table Grid23"/>
    <w:basedOn w:val="TableNormal"/>
    <w:next w:val="TableGrid"/>
    <w:uiPriority w:val="39"/>
    <w:rsid w:val="0056245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Bullet">
    <w:name w:val="BoxBullet"/>
    <w:basedOn w:val="Normal"/>
    <w:rsid w:val="001B1FEB"/>
    <w:pPr>
      <w:numPr>
        <w:numId w:val="23"/>
      </w:numPr>
      <w:pBdr>
        <w:top w:val="single" w:sz="4" w:space="4" w:color="000000"/>
        <w:left w:val="single" w:sz="4" w:space="4" w:color="000000"/>
        <w:bottom w:val="single" w:sz="4" w:space="4" w:color="000000"/>
        <w:right w:val="single" w:sz="4" w:space="4" w:color="000000"/>
      </w:pBdr>
      <w:spacing w:before="0" w:after="120" w:line="240" w:lineRule="auto"/>
    </w:pPr>
    <w:rPr>
      <w:color w:val="000000"/>
      <w:szCs w:val="20"/>
      <w:lang w:eastAsia="en-AU"/>
    </w:rPr>
  </w:style>
  <w:style w:type="paragraph" w:customStyle="1" w:styleId="BulletBeforeDash">
    <w:name w:val="BulletBeforeDash"/>
    <w:basedOn w:val="Normal"/>
    <w:rsid w:val="001B1FEB"/>
    <w:pPr>
      <w:numPr>
        <w:numId w:val="24"/>
      </w:numPr>
      <w:spacing w:before="0" w:after="0" w:line="240" w:lineRule="auto"/>
    </w:pPr>
    <w:rPr>
      <w:color w:val="000000"/>
      <w:szCs w:val="20"/>
      <w:lang w:eastAsia="en-AU"/>
    </w:rPr>
  </w:style>
  <w:style w:type="paragraph" w:customStyle="1" w:styleId="BulletLast">
    <w:name w:val="BulletLast"/>
    <w:basedOn w:val="Bullet"/>
    <w:qFormat/>
    <w:rsid w:val="001B1FEB"/>
    <w:pPr>
      <w:numPr>
        <w:numId w:val="1"/>
      </w:numPr>
      <w:spacing w:before="0" w:after="240"/>
    </w:pPr>
    <w:rPr>
      <w:rFonts w:ascii="Franklin Gothic Book" w:hAnsi="Franklin Gothic Book"/>
      <w:color w:val="000000"/>
      <w:szCs w:val="20"/>
      <w:lang w:eastAsia="en-AU"/>
    </w:rPr>
  </w:style>
  <w:style w:type="paragraph" w:customStyle="1" w:styleId="NormalBeforeBullet0">
    <w:name w:val="NormalBeforeBullet"/>
    <w:basedOn w:val="Normal"/>
    <w:qFormat/>
    <w:rsid w:val="001B1FEB"/>
    <w:pPr>
      <w:keepNext/>
      <w:spacing w:before="0" w:after="120" w:line="240" w:lineRule="auto"/>
    </w:pPr>
    <w:rPr>
      <w:color w:val="000000"/>
      <w:szCs w:val="20"/>
      <w:lang w:eastAsia="en-AU"/>
    </w:rPr>
  </w:style>
  <w:style w:type="paragraph" w:styleId="BodyText">
    <w:name w:val="Body Text"/>
    <w:basedOn w:val="Normal"/>
    <w:link w:val="BodyTextChar"/>
    <w:uiPriority w:val="99"/>
    <w:rsid w:val="00C47012"/>
    <w:pPr>
      <w:spacing w:before="0" w:after="0" w:line="312" w:lineRule="auto"/>
    </w:pPr>
    <w:rPr>
      <w:rFonts w:ascii="Helv" w:hAnsi="Helv" w:cs="Tahoma"/>
      <w:b/>
      <w:i/>
      <w:color w:val="000000"/>
      <w:sz w:val="28"/>
    </w:rPr>
  </w:style>
  <w:style w:type="character" w:customStyle="1" w:styleId="BodyTextChar">
    <w:name w:val="Body Text Char"/>
    <w:basedOn w:val="DefaultParagraphFont"/>
    <w:link w:val="BodyText"/>
    <w:uiPriority w:val="99"/>
    <w:locked/>
    <w:rsid w:val="00C47012"/>
    <w:rPr>
      <w:rFonts w:ascii="Helv" w:hAnsi="Helv" w:cs="Tahoma"/>
      <w:b/>
      <w:i/>
      <w:color w:val="000000"/>
      <w:sz w:val="28"/>
    </w:rPr>
  </w:style>
  <w:style w:type="paragraph" w:styleId="PlainText">
    <w:name w:val="Plain Text"/>
    <w:basedOn w:val="Normal"/>
    <w:link w:val="PlainTextChar"/>
    <w:uiPriority w:val="99"/>
    <w:semiHidden/>
    <w:unhideWhenUsed/>
    <w:rsid w:val="0038442F"/>
    <w:pPr>
      <w:spacing w:before="0" w:after="0" w:line="240" w:lineRule="auto"/>
    </w:pPr>
    <w:rPr>
      <w:rFonts w:ascii="Calibri" w:hAnsi="Calibri"/>
      <w:szCs w:val="21"/>
    </w:rPr>
  </w:style>
  <w:style w:type="character" w:customStyle="1" w:styleId="PlainTextChar">
    <w:name w:val="Plain Text Char"/>
    <w:basedOn w:val="DefaultParagraphFont"/>
    <w:link w:val="PlainText"/>
    <w:uiPriority w:val="99"/>
    <w:semiHidden/>
    <w:locked/>
    <w:rsid w:val="0038442F"/>
    <w:rPr>
      <w:rFonts w:ascii="Calibri" w:hAnsi="Calibri" w:cs="Times New Roman"/>
      <w:sz w:val="21"/>
      <w:szCs w:val="21"/>
    </w:rPr>
  </w:style>
  <w:style w:type="numbering" w:customStyle="1" w:styleId="ESSectionheading-numbered">
    <w:name w:val="ES. Section heading - numbered"/>
    <w:pPr>
      <w:numPr>
        <w:numId w:val="4"/>
      </w:numPr>
    </w:pPr>
  </w:style>
  <w:style w:type="character" w:styleId="Mention">
    <w:name w:val="Mention"/>
    <w:basedOn w:val="DefaultParagraphFont"/>
    <w:uiPriority w:val="99"/>
    <w:unhideWhenUsed/>
    <w:rsid w:val="00DF29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03144">
      <w:marLeft w:val="0"/>
      <w:marRight w:val="0"/>
      <w:marTop w:val="0"/>
      <w:marBottom w:val="0"/>
      <w:divBdr>
        <w:top w:val="none" w:sz="0" w:space="0" w:color="auto"/>
        <w:left w:val="none" w:sz="0" w:space="0" w:color="auto"/>
        <w:bottom w:val="none" w:sz="0" w:space="0" w:color="auto"/>
        <w:right w:val="none" w:sz="0" w:space="0" w:color="auto"/>
      </w:divBdr>
    </w:div>
    <w:div w:id="548803145">
      <w:marLeft w:val="0"/>
      <w:marRight w:val="0"/>
      <w:marTop w:val="0"/>
      <w:marBottom w:val="0"/>
      <w:divBdr>
        <w:top w:val="none" w:sz="0" w:space="0" w:color="auto"/>
        <w:left w:val="none" w:sz="0" w:space="0" w:color="auto"/>
        <w:bottom w:val="none" w:sz="0" w:space="0" w:color="auto"/>
        <w:right w:val="none" w:sz="0" w:space="0" w:color="auto"/>
      </w:divBdr>
    </w:div>
    <w:div w:id="548803146">
      <w:marLeft w:val="0"/>
      <w:marRight w:val="0"/>
      <w:marTop w:val="0"/>
      <w:marBottom w:val="0"/>
      <w:divBdr>
        <w:top w:val="none" w:sz="0" w:space="0" w:color="auto"/>
        <w:left w:val="none" w:sz="0" w:space="0" w:color="auto"/>
        <w:bottom w:val="none" w:sz="0" w:space="0" w:color="auto"/>
        <w:right w:val="none" w:sz="0" w:space="0" w:color="auto"/>
      </w:divBdr>
    </w:div>
    <w:div w:id="548803150">
      <w:marLeft w:val="0"/>
      <w:marRight w:val="0"/>
      <w:marTop w:val="0"/>
      <w:marBottom w:val="0"/>
      <w:divBdr>
        <w:top w:val="none" w:sz="0" w:space="0" w:color="auto"/>
        <w:left w:val="none" w:sz="0" w:space="0" w:color="auto"/>
        <w:bottom w:val="none" w:sz="0" w:space="0" w:color="auto"/>
        <w:right w:val="none" w:sz="0" w:space="0" w:color="auto"/>
      </w:divBdr>
    </w:div>
    <w:div w:id="548803151">
      <w:marLeft w:val="0"/>
      <w:marRight w:val="0"/>
      <w:marTop w:val="0"/>
      <w:marBottom w:val="0"/>
      <w:divBdr>
        <w:top w:val="none" w:sz="0" w:space="0" w:color="auto"/>
        <w:left w:val="none" w:sz="0" w:space="0" w:color="auto"/>
        <w:bottom w:val="none" w:sz="0" w:space="0" w:color="auto"/>
        <w:right w:val="none" w:sz="0" w:space="0" w:color="auto"/>
      </w:divBdr>
    </w:div>
    <w:div w:id="548803152">
      <w:marLeft w:val="0"/>
      <w:marRight w:val="0"/>
      <w:marTop w:val="0"/>
      <w:marBottom w:val="0"/>
      <w:divBdr>
        <w:top w:val="none" w:sz="0" w:space="0" w:color="auto"/>
        <w:left w:val="none" w:sz="0" w:space="0" w:color="auto"/>
        <w:bottom w:val="none" w:sz="0" w:space="0" w:color="auto"/>
        <w:right w:val="none" w:sz="0" w:space="0" w:color="auto"/>
      </w:divBdr>
    </w:div>
    <w:div w:id="548803153">
      <w:marLeft w:val="0"/>
      <w:marRight w:val="0"/>
      <w:marTop w:val="0"/>
      <w:marBottom w:val="0"/>
      <w:divBdr>
        <w:top w:val="none" w:sz="0" w:space="0" w:color="auto"/>
        <w:left w:val="none" w:sz="0" w:space="0" w:color="auto"/>
        <w:bottom w:val="none" w:sz="0" w:space="0" w:color="auto"/>
        <w:right w:val="none" w:sz="0" w:space="0" w:color="auto"/>
      </w:divBdr>
    </w:div>
    <w:div w:id="548803154">
      <w:marLeft w:val="0"/>
      <w:marRight w:val="0"/>
      <w:marTop w:val="0"/>
      <w:marBottom w:val="0"/>
      <w:divBdr>
        <w:top w:val="none" w:sz="0" w:space="0" w:color="auto"/>
        <w:left w:val="none" w:sz="0" w:space="0" w:color="auto"/>
        <w:bottom w:val="none" w:sz="0" w:space="0" w:color="auto"/>
        <w:right w:val="none" w:sz="0" w:space="0" w:color="auto"/>
      </w:divBdr>
    </w:div>
    <w:div w:id="548803155">
      <w:marLeft w:val="0"/>
      <w:marRight w:val="0"/>
      <w:marTop w:val="0"/>
      <w:marBottom w:val="0"/>
      <w:divBdr>
        <w:top w:val="none" w:sz="0" w:space="0" w:color="auto"/>
        <w:left w:val="none" w:sz="0" w:space="0" w:color="auto"/>
        <w:bottom w:val="none" w:sz="0" w:space="0" w:color="auto"/>
        <w:right w:val="none" w:sz="0" w:space="0" w:color="auto"/>
      </w:divBdr>
    </w:div>
    <w:div w:id="548803156">
      <w:marLeft w:val="0"/>
      <w:marRight w:val="0"/>
      <w:marTop w:val="0"/>
      <w:marBottom w:val="0"/>
      <w:divBdr>
        <w:top w:val="none" w:sz="0" w:space="0" w:color="auto"/>
        <w:left w:val="none" w:sz="0" w:space="0" w:color="auto"/>
        <w:bottom w:val="none" w:sz="0" w:space="0" w:color="auto"/>
        <w:right w:val="none" w:sz="0" w:space="0" w:color="auto"/>
      </w:divBdr>
    </w:div>
    <w:div w:id="548803157">
      <w:marLeft w:val="0"/>
      <w:marRight w:val="0"/>
      <w:marTop w:val="0"/>
      <w:marBottom w:val="0"/>
      <w:divBdr>
        <w:top w:val="none" w:sz="0" w:space="0" w:color="auto"/>
        <w:left w:val="none" w:sz="0" w:space="0" w:color="auto"/>
        <w:bottom w:val="none" w:sz="0" w:space="0" w:color="auto"/>
        <w:right w:val="none" w:sz="0" w:space="0" w:color="auto"/>
      </w:divBdr>
    </w:div>
    <w:div w:id="548803158">
      <w:marLeft w:val="0"/>
      <w:marRight w:val="0"/>
      <w:marTop w:val="0"/>
      <w:marBottom w:val="0"/>
      <w:divBdr>
        <w:top w:val="none" w:sz="0" w:space="0" w:color="auto"/>
        <w:left w:val="none" w:sz="0" w:space="0" w:color="auto"/>
        <w:bottom w:val="none" w:sz="0" w:space="0" w:color="auto"/>
        <w:right w:val="none" w:sz="0" w:space="0" w:color="auto"/>
      </w:divBdr>
    </w:div>
    <w:div w:id="548803159">
      <w:marLeft w:val="0"/>
      <w:marRight w:val="0"/>
      <w:marTop w:val="0"/>
      <w:marBottom w:val="0"/>
      <w:divBdr>
        <w:top w:val="none" w:sz="0" w:space="0" w:color="auto"/>
        <w:left w:val="none" w:sz="0" w:space="0" w:color="auto"/>
        <w:bottom w:val="none" w:sz="0" w:space="0" w:color="auto"/>
        <w:right w:val="none" w:sz="0" w:space="0" w:color="auto"/>
      </w:divBdr>
    </w:div>
    <w:div w:id="548803160">
      <w:marLeft w:val="0"/>
      <w:marRight w:val="0"/>
      <w:marTop w:val="0"/>
      <w:marBottom w:val="0"/>
      <w:divBdr>
        <w:top w:val="none" w:sz="0" w:space="0" w:color="auto"/>
        <w:left w:val="none" w:sz="0" w:space="0" w:color="auto"/>
        <w:bottom w:val="none" w:sz="0" w:space="0" w:color="auto"/>
        <w:right w:val="none" w:sz="0" w:space="0" w:color="auto"/>
      </w:divBdr>
    </w:div>
    <w:div w:id="548803161">
      <w:marLeft w:val="0"/>
      <w:marRight w:val="0"/>
      <w:marTop w:val="0"/>
      <w:marBottom w:val="0"/>
      <w:divBdr>
        <w:top w:val="none" w:sz="0" w:space="0" w:color="auto"/>
        <w:left w:val="none" w:sz="0" w:space="0" w:color="auto"/>
        <w:bottom w:val="none" w:sz="0" w:space="0" w:color="auto"/>
        <w:right w:val="none" w:sz="0" w:space="0" w:color="auto"/>
      </w:divBdr>
    </w:div>
    <w:div w:id="548803162">
      <w:marLeft w:val="0"/>
      <w:marRight w:val="0"/>
      <w:marTop w:val="0"/>
      <w:marBottom w:val="0"/>
      <w:divBdr>
        <w:top w:val="none" w:sz="0" w:space="0" w:color="auto"/>
        <w:left w:val="none" w:sz="0" w:space="0" w:color="auto"/>
        <w:bottom w:val="none" w:sz="0" w:space="0" w:color="auto"/>
        <w:right w:val="none" w:sz="0" w:space="0" w:color="auto"/>
      </w:divBdr>
    </w:div>
    <w:div w:id="548803163">
      <w:marLeft w:val="0"/>
      <w:marRight w:val="0"/>
      <w:marTop w:val="0"/>
      <w:marBottom w:val="0"/>
      <w:divBdr>
        <w:top w:val="none" w:sz="0" w:space="0" w:color="auto"/>
        <w:left w:val="none" w:sz="0" w:space="0" w:color="auto"/>
        <w:bottom w:val="none" w:sz="0" w:space="0" w:color="auto"/>
        <w:right w:val="none" w:sz="0" w:space="0" w:color="auto"/>
      </w:divBdr>
    </w:div>
    <w:div w:id="548803164">
      <w:marLeft w:val="0"/>
      <w:marRight w:val="0"/>
      <w:marTop w:val="0"/>
      <w:marBottom w:val="0"/>
      <w:divBdr>
        <w:top w:val="none" w:sz="0" w:space="0" w:color="auto"/>
        <w:left w:val="none" w:sz="0" w:space="0" w:color="auto"/>
        <w:bottom w:val="none" w:sz="0" w:space="0" w:color="auto"/>
        <w:right w:val="none" w:sz="0" w:space="0" w:color="auto"/>
      </w:divBdr>
    </w:div>
    <w:div w:id="548803165">
      <w:marLeft w:val="0"/>
      <w:marRight w:val="0"/>
      <w:marTop w:val="0"/>
      <w:marBottom w:val="0"/>
      <w:divBdr>
        <w:top w:val="none" w:sz="0" w:space="0" w:color="auto"/>
        <w:left w:val="none" w:sz="0" w:space="0" w:color="auto"/>
        <w:bottom w:val="none" w:sz="0" w:space="0" w:color="auto"/>
        <w:right w:val="none" w:sz="0" w:space="0" w:color="auto"/>
      </w:divBdr>
    </w:div>
    <w:div w:id="548803166">
      <w:marLeft w:val="0"/>
      <w:marRight w:val="0"/>
      <w:marTop w:val="0"/>
      <w:marBottom w:val="0"/>
      <w:divBdr>
        <w:top w:val="none" w:sz="0" w:space="0" w:color="auto"/>
        <w:left w:val="none" w:sz="0" w:space="0" w:color="auto"/>
        <w:bottom w:val="none" w:sz="0" w:space="0" w:color="auto"/>
        <w:right w:val="none" w:sz="0" w:space="0" w:color="auto"/>
      </w:divBdr>
    </w:div>
    <w:div w:id="548803167">
      <w:marLeft w:val="0"/>
      <w:marRight w:val="0"/>
      <w:marTop w:val="0"/>
      <w:marBottom w:val="0"/>
      <w:divBdr>
        <w:top w:val="none" w:sz="0" w:space="0" w:color="auto"/>
        <w:left w:val="none" w:sz="0" w:space="0" w:color="auto"/>
        <w:bottom w:val="none" w:sz="0" w:space="0" w:color="auto"/>
        <w:right w:val="none" w:sz="0" w:space="0" w:color="auto"/>
      </w:divBdr>
    </w:div>
    <w:div w:id="548803168">
      <w:marLeft w:val="0"/>
      <w:marRight w:val="0"/>
      <w:marTop w:val="0"/>
      <w:marBottom w:val="0"/>
      <w:divBdr>
        <w:top w:val="none" w:sz="0" w:space="0" w:color="auto"/>
        <w:left w:val="none" w:sz="0" w:space="0" w:color="auto"/>
        <w:bottom w:val="none" w:sz="0" w:space="0" w:color="auto"/>
        <w:right w:val="none" w:sz="0" w:space="0" w:color="auto"/>
      </w:divBdr>
    </w:div>
    <w:div w:id="548803169">
      <w:marLeft w:val="0"/>
      <w:marRight w:val="0"/>
      <w:marTop w:val="0"/>
      <w:marBottom w:val="0"/>
      <w:divBdr>
        <w:top w:val="none" w:sz="0" w:space="0" w:color="auto"/>
        <w:left w:val="none" w:sz="0" w:space="0" w:color="auto"/>
        <w:bottom w:val="none" w:sz="0" w:space="0" w:color="auto"/>
        <w:right w:val="none" w:sz="0" w:space="0" w:color="auto"/>
      </w:divBdr>
    </w:div>
    <w:div w:id="548803170">
      <w:marLeft w:val="0"/>
      <w:marRight w:val="0"/>
      <w:marTop w:val="0"/>
      <w:marBottom w:val="0"/>
      <w:divBdr>
        <w:top w:val="none" w:sz="0" w:space="0" w:color="auto"/>
        <w:left w:val="none" w:sz="0" w:space="0" w:color="auto"/>
        <w:bottom w:val="none" w:sz="0" w:space="0" w:color="auto"/>
        <w:right w:val="none" w:sz="0" w:space="0" w:color="auto"/>
      </w:divBdr>
      <w:divsChild>
        <w:div w:id="548803214">
          <w:marLeft w:val="288"/>
          <w:marRight w:val="0"/>
          <w:marTop w:val="86"/>
          <w:marBottom w:val="0"/>
          <w:divBdr>
            <w:top w:val="none" w:sz="0" w:space="0" w:color="auto"/>
            <w:left w:val="none" w:sz="0" w:space="0" w:color="auto"/>
            <w:bottom w:val="none" w:sz="0" w:space="0" w:color="auto"/>
            <w:right w:val="none" w:sz="0" w:space="0" w:color="auto"/>
          </w:divBdr>
        </w:div>
      </w:divsChild>
    </w:div>
    <w:div w:id="548803171">
      <w:marLeft w:val="0"/>
      <w:marRight w:val="0"/>
      <w:marTop w:val="0"/>
      <w:marBottom w:val="0"/>
      <w:divBdr>
        <w:top w:val="none" w:sz="0" w:space="0" w:color="auto"/>
        <w:left w:val="none" w:sz="0" w:space="0" w:color="auto"/>
        <w:bottom w:val="none" w:sz="0" w:space="0" w:color="auto"/>
        <w:right w:val="none" w:sz="0" w:space="0" w:color="auto"/>
      </w:divBdr>
    </w:div>
    <w:div w:id="548803172">
      <w:marLeft w:val="0"/>
      <w:marRight w:val="0"/>
      <w:marTop w:val="0"/>
      <w:marBottom w:val="0"/>
      <w:divBdr>
        <w:top w:val="none" w:sz="0" w:space="0" w:color="auto"/>
        <w:left w:val="none" w:sz="0" w:space="0" w:color="auto"/>
        <w:bottom w:val="none" w:sz="0" w:space="0" w:color="auto"/>
        <w:right w:val="none" w:sz="0" w:space="0" w:color="auto"/>
      </w:divBdr>
    </w:div>
    <w:div w:id="548803174">
      <w:marLeft w:val="0"/>
      <w:marRight w:val="0"/>
      <w:marTop w:val="0"/>
      <w:marBottom w:val="0"/>
      <w:divBdr>
        <w:top w:val="none" w:sz="0" w:space="0" w:color="auto"/>
        <w:left w:val="none" w:sz="0" w:space="0" w:color="auto"/>
        <w:bottom w:val="none" w:sz="0" w:space="0" w:color="auto"/>
        <w:right w:val="none" w:sz="0" w:space="0" w:color="auto"/>
      </w:divBdr>
    </w:div>
    <w:div w:id="548803176">
      <w:marLeft w:val="0"/>
      <w:marRight w:val="0"/>
      <w:marTop w:val="0"/>
      <w:marBottom w:val="0"/>
      <w:divBdr>
        <w:top w:val="none" w:sz="0" w:space="0" w:color="auto"/>
        <w:left w:val="none" w:sz="0" w:space="0" w:color="auto"/>
        <w:bottom w:val="none" w:sz="0" w:space="0" w:color="auto"/>
        <w:right w:val="none" w:sz="0" w:space="0" w:color="auto"/>
      </w:divBdr>
    </w:div>
    <w:div w:id="548803177">
      <w:marLeft w:val="0"/>
      <w:marRight w:val="0"/>
      <w:marTop w:val="0"/>
      <w:marBottom w:val="0"/>
      <w:divBdr>
        <w:top w:val="none" w:sz="0" w:space="0" w:color="auto"/>
        <w:left w:val="none" w:sz="0" w:space="0" w:color="auto"/>
        <w:bottom w:val="none" w:sz="0" w:space="0" w:color="auto"/>
        <w:right w:val="none" w:sz="0" w:space="0" w:color="auto"/>
      </w:divBdr>
    </w:div>
    <w:div w:id="548803178">
      <w:marLeft w:val="0"/>
      <w:marRight w:val="0"/>
      <w:marTop w:val="0"/>
      <w:marBottom w:val="0"/>
      <w:divBdr>
        <w:top w:val="none" w:sz="0" w:space="0" w:color="auto"/>
        <w:left w:val="none" w:sz="0" w:space="0" w:color="auto"/>
        <w:bottom w:val="none" w:sz="0" w:space="0" w:color="auto"/>
        <w:right w:val="none" w:sz="0" w:space="0" w:color="auto"/>
      </w:divBdr>
    </w:div>
    <w:div w:id="548803180">
      <w:marLeft w:val="0"/>
      <w:marRight w:val="0"/>
      <w:marTop w:val="0"/>
      <w:marBottom w:val="0"/>
      <w:divBdr>
        <w:top w:val="none" w:sz="0" w:space="0" w:color="auto"/>
        <w:left w:val="none" w:sz="0" w:space="0" w:color="auto"/>
        <w:bottom w:val="none" w:sz="0" w:space="0" w:color="auto"/>
        <w:right w:val="none" w:sz="0" w:space="0" w:color="auto"/>
      </w:divBdr>
    </w:div>
    <w:div w:id="548803181">
      <w:marLeft w:val="0"/>
      <w:marRight w:val="0"/>
      <w:marTop w:val="0"/>
      <w:marBottom w:val="0"/>
      <w:divBdr>
        <w:top w:val="none" w:sz="0" w:space="0" w:color="auto"/>
        <w:left w:val="none" w:sz="0" w:space="0" w:color="auto"/>
        <w:bottom w:val="none" w:sz="0" w:space="0" w:color="auto"/>
        <w:right w:val="none" w:sz="0" w:space="0" w:color="auto"/>
      </w:divBdr>
    </w:div>
    <w:div w:id="548803183">
      <w:marLeft w:val="0"/>
      <w:marRight w:val="0"/>
      <w:marTop w:val="0"/>
      <w:marBottom w:val="0"/>
      <w:divBdr>
        <w:top w:val="none" w:sz="0" w:space="0" w:color="auto"/>
        <w:left w:val="none" w:sz="0" w:space="0" w:color="auto"/>
        <w:bottom w:val="none" w:sz="0" w:space="0" w:color="auto"/>
        <w:right w:val="none" w:sz="0" w:space="0" w:color="auto"/>
      </w:divBdr>
    </w:div>
    <w:div w:id="548803185">
      <w:marLeft w:val="0"/>
      <w:marRight w:val="0"/>
      <w:marTop w:val="0"/>
      <w:marBottom w:val="0"/>
      <w:divBdr>
        <w:top w:val="none" w:sz="0" w:space="0" w:color="auto"/>
        <w:left w:val="none" w:sz="0" w:space="0" w:color="auto"/>
        <w:bottom w:val="none" w:sz="0" w:space="0" w:color="auto"/>
        <w:right w:val="none" w:sz="0" w:space="0" w:color="auto"/>
      </w:divBdr>
    </w:div>
    <w:div w:id="548803186">
      <w:marLeft w:val="0"/>
      <w:marRight w:val="0"/>
      <w:marTop w:val="0"/>
      <w:marBottom w:val="0"/>
      <w:divBdr>
        <w:top w:val="none" w:sz="0" w:space="0" w:color="auto"/>
        <w:left w:val="none" w:sz="0" w:space="0" w:color="auto"/>
        <w:bottom w:val="none" w:sz="0" w:space="0" w:color="auto"/>
        <w:right w:val="none" w:sz="0" w:space="0" w:color="auto"/>
      </w:divBdr>
    </w:div>
    <w:div w:id="548803187">
      <w:marLeft w:val="0"/>
      <w:marRight w:val="0"/>
      <w:marTop w:val="0"/>
      <w:marBottom w:val="0"/>
      <w:divBdr>
        <w:top w:val="none" w:sz="0" w:space="0" w:color="auto"/>
        <w:left w:val="none" w:sz="0" w:space="0" w:color="auto"/>
        <w:bottom w:val="none" w:sz="0" w:space="0" w:color="auto"/>
        <w:right w:val="none" w:sz="0" w:space="0" w:color="auto"/>
      </w:divBdr>
    </w:div>
    <w:div w:id="548803188">
      <w:marLeft w:val="0"/>
      <w:marRight w:val="0"/>
      <w:marTop w:val="0"/>
      <w:marBottom w:val="0"/>
      <w:divBdr>
        <w:top w:val="none" w:sz="0" w:space="0" w:color="auto"/>
        <w:left w:val="none" w:sz="0" w:space="0" w:color="auto"/>
        <w:bottom w:val="none" w:sz="0" w:space="0" w:color="auto"/>
        <w:right w:val="none" w:sz="0" w:space="0" w:color="auto"/>
      </w:divBdr>
    </w:div>
    <w:div w:id="548803189">
      <w:marLeft w:val="0"/>
      <w:marRight w:val="0"/>
      <w:marTop w:val="0"/>
      <w:marBottom w:val="0"/>
      <w:divBdr>
        <w:top w:val="none" w:sz="0" w:space="0" w:color="auto"/>
        <w:left w:val="none" w:sz="0" w:space="0" w:color="auto"/>
        <w:bottom w:val="none" w:sz="0" w:space="0" w:color="auto"/>
        <w:right w:val="none" w:sz="0" w:space="0" w:color="auto"/>
      </w:divBdr>
    </w:div>
    <w:div w:id="548803191">
      <w:marLeft w:val="0"/>
      <w:marRight w:val="0"/>
      <w:marTop w:val="0"/>
      <w:marBottom w:val="0"/>
      <w:divBdr>
        <w:top w:val="none" w:sz="0" w:space="0" w:color="auto"/>
        <w:left w:val="none" w:sz="0" w:space="0" w:color="auto"/>
        <w:bottom w:val="none" w:sz="0" w:space="0" w:color="auto"/>
        <w:right w:val="none" w:sz="0" w:space="0" w:color="auto"/>
      </w:divBdr>
    </w:div>
    <w:div w:id="548803192">
      <w:marLeft w:val="0"/>
      <w:marRight w:val="0"/>
      <w:marTop w:val="0"/>
      <w:marBottom w:val="0"/>
      <w:divBdr>
        <w:top w:val="none" w:sz="0" w:space="0" w:color="auto"/>
        <w:left w:val="none" w:sz="0" w:space="0" w:color="auto"/>
        <w:bottom w:val="none" w:sz="0" w:space="0" w:color="auto"/>
        <w:right w:val="none" w:sz="0" w:space="0" w:color="auto"/>
      </w:divBdr>
    </w:div>
    <w:div w:id="548803193">
      <w:marLeft w:val="0"/>
      <w:marRight w:val="0"/>
      <w:marTop w:val="0"/>
      <w:marBottom w:val="0"/>
      <w:divBdr>
        <w:top w:val="none" w:sz="0" w:space="0" w:color="auto"/>
        <w:left w:val="none" w:sz="0" w:space="0" w:color="auto"/>
        <w:bottom w:val="none" w:sz="0" w:space="0" w:color="auto"/>
        <w:right w:val="none" w:sz="0" w:space="0" w:color="auto"/>
      </w:divBdr>
    </w:div>
    <w:div w:id="548803194">
      <w:marLeft w:val="0"/>
      <w:marRight w:val="0"/>
      <w:marTop w:val="0"/>
      <w:marBottom w:val="0"/>
      <w:divBdr>
        <w:top w:val="none" w:sz="0" w:space="0" w:color="auto"/>
        <w:left w:val="none" w:sz="0" w:space="0" w:color="auto"/>
        <w:bottom w:val="none" w:sz="0" w:space="0" w:color="auto"/>
        <w:right w:val="none" w:sz="0" w:space="0" w:color="auto"/>
      </w:divBdr>
    </w:div>
    <w:div w:id="548803195">
      <w:marLeft w:val="0"/>
      <w:marRight w:val="0"/>
      <w:marTop w:val="0"/>
      <w:marBottom w:val="0"/>
      <w:divBdr>
        <w:top w:val="none" w:sz="0" w:space="0" w:color="auto"/>
        <w:left w:val="none" w:sz="0" w:space="0" w:color="auto"/>
        <w:bottom w:val="none" w:sz="0" w:space="0" w:color="auto"/>
        <w:right w:val="none" w:sz="0" w:space="0" w:color="auto"/>
      </w:divBdr>
    </w:div>
    <w:div w:id="548803196">
      <w:marLeft w:val="0"/>
      <w:marRight w:val="0"/>
      <w:marTop w:val="0"/>
      <w:marBottom w:val="0"/>
      <w:divBdr>
        <w:top w:val="none" w:sz="0" w:space="0" w:color="auto"/>
        <w:left w:val="none" w:sz="0" w:space="0" w:color="auto"/>
        <w:bottom w:val="none" w:sz="0" w:space="0" w:color="auto"/>
        <w:right w:val="none" w:sz="0" w:space="0" w:color="auto"/>
      </w:divBdr>
    </w:div>
    <w:div w:id="548803197">
      <w:marLeft w:val="0"/>
      <w:marRight w:val="0"/>
      <w:marTop w:val="0"/>
      <w:marBottom w:val="0"/>
      <w:divBdr>
        <w:top w:val="none" w:sz="0" w:space="0" w:color="auto"/>
        <w:left w:val="none" w:sz="0" w:space="0" w:color="auto"/>
        <w:bottom w:val="none" w:sz="0" w:space="0" w:color="auto"/>
        <w:right w:val="none" w:sz="0" w:space="0" w:color="auto"/>
      </w:divBdr>
    </w:div>
    <w:div w:id="548803198">
      <w:marLeft w:val="0"/>
      <w:marRight w:val="0"/>
      <w:marTop w:val="0"/>
      <w:marBottom w:val="0"/>
      <w:divBdr>
        <w:top w:val="none" w:sz="0" w:space="0" w:color="auto"/>
        <w:left w:val="none" w:sz="0" w:space="0" w:color="auto"/>
        <w:bottom w:val="none" w:sz="0" w:space="0" w:color="auto"/>
        <w:right w:val="none" w:sz="0" w:space="0" w:color="auto"/>
      </w:divBdr>
    </w:div>
    <w:div w:id="548803199">
      <w:marLeft w:val="0"/>
      <w:marRight w:val="0"/>
      <w:marTop w:val="0"/>
      <w:marBottom w:val="0"/>
      <w:divBdr>
        <w:top w:val="none" w:sz="0" w:space="0" w:color="auto"/>
        <w:left w:val="none" w:sz="0" w:space="0" w:color="auto"/>
        <w:bottom w:val="none" w:sz="0" w:space="0" w:color="auto"/>
        <w:right w:val="none" w:sz="0" w:space="0" w:color="auto"/>
      </w:divBdr>
    </w:div>
    <w:div w:id="548803200">
      <w:marLeft w:val="0"/>
      <w:marRight w:val="0"/>
      <w:marTop w:val="0"/>
      <w:marBottom w:val="0"/>
      <w:divBdr>
        <w:top w:val="none" w:sz="0" w:space="0" w:color="auto"/>
        <w:left w:val="none" w:sz="0" w:space="0" w:color="auto"/>
        <w:bottom w:val="none" w:sz="0" w:space="0" w:color="auto"/>
        <w:right w:val="none" w:sz="0" w:space="0" w:color="auto"/>
      </w:divBdr>
    </w:div>
    <w:div w:id="548803201">
      <w:marLeft w:val="0"/>
      <w:marRight w:val="0"/>
      <w:marTop w:val="0"/>
      <w:marBottom w:val="0"/>
      <w:divBdr>
        <w:top w:val="none" w:sz="0" w:space="0" w:color="auto"/>
        <w:left w:val="none" w:sz="0" w:space="0" w:color="auto"/>
        <w:bottom w:val="none" w:sz="0" w:space="0" w:color="auto"/>
        <w:right w:val="none" w:sz="0" w:space="0" w:color="auto"/>
      </w:divBdr>
    </w:div>
    <w:div w:id="548803202">
      <w:marLeft w:val="0"/>
      <w:marRight w:val="0"/>
      <w:marTop w:val="0"/>
      <w:marBottom w:val="0"/>
      <w:divBdr>
        <w:top w:val="none" w:sz="0" w:space="0" w:color="auto"/>
        <w:left w:val="none" w:sz="0" w:space="0" w:color="auto"/>
        <w:bottom w:val="none" w:sz="0" w:space="0" w:color="auto"/>
        <w:right w:val="none" w:sz="0" w:space="0" w:color="auto"/>
      </w:divBdr>
    </w:div>
    <w:div w:id="548803203">
      <w:marLeft w:val="0"/>
      <w:marRight w:val="0"/>
      <w:marTop w:val="0"/>
      <w:marBottom w:val="0"/>
      <w:divBdr>
        <w:top w:val="none" w:sz="0" w:space="0" w:color="auto"/>
        <w:left w:val="none" w:sz="0" w:space="0" w:color="auto"/>
        <w:bottom w:val="none" w:sz="0" w:space="0" w:color="auto"/>
        <w:right w:val="none" w:sz="0" w:space="0" w:color="auto"/>
      </w:divBdr>
    </w:div>
    <w:div w:id="548803204">
      <w:marLeft w:val="0"/>
      <w:marRight w:val="0"/>
      <w:marTop w:val="0"/>
      <w:marBottom w:val="0"/>
      <w:divBdr>
        <w:top w:val="none" w:sz="0" w:space="0" w:color="auto"/>
        <w:left w:val="none" w:sz="0" w:space="0" w:color="auto"/>
        <w:bottom w:val="none" w:sz="0" w:space="0" w:color="auto"/>
        <w:right w:val="none" w:sz="0" w:space="0" w:color="auto"/>
      </w:divBdr>
    </w:div>
    <w:div w:id="548803205">
      <w:marLeft w:val="0"/>
      <w:marRight w:val="0"/>
      <w:marTop w:val="0"/>
      <w:marBottom w:val="0"/>
      <w:divBdr>
        <w:top w:val="none" w:sz="0" w:space="0" w:color="auto"/>
        <w:left w:val="none" w:sz="0" w:space="0" w:color="auto"/>
        <w:bottom w:val="none" w:sz="0" w:space="0" w:color="auto"/>
        <w:right w:val="none" w:sz="0" w:space="0" w:color="auto"/>
      </w:divBdr>
      <w:divsChild>
        <w:div w:id="548803148">
          <w:marLeft w:val="0"/>
          <w:marRight w:val="0"/>
          <w:marTop w:val="0"/>
          <w:marBottom w:val="0"/>
          <w:divBdr>
            <w:top w:val="none" w:sz="0" w:space="0" w:color="auto"/>
            <w:left w:val="none" w:sz="0" w:space="0" w:color="auto"/>
            <w:bottom w:val="none" w:sz="0" w:space="0" w:color="auto"/>
            <w:right w:val="none" w:sz="0" w:space="0" w:color="auto"/>
          </w:divBdr>
          <w:divsChild>
            <w:div w:id="548803206">
              <w:marLeft w:val="0"/>
              <w:marRight w:val="0"/>
              <w:marTop w:val="0"/>
              <w:marBottom w:val="0"/>
              <w:divBdr>
                <w:top w:val="none" w:sz="0" w:space="0" w:color="auto"/>
                <w:left w:val="none" w:sz="0" w:space="0" w:color="auto"/>
                <w:bottom w:val="none" w:sz="0" w:space="0" w:color="auto"/>
                <w:right w:val="none" w:sz="0" w:space="0" w:color="auto"/>
              </w:divBdr>
              <w:divsChild>
                <w:div w:id="548803147">
                  <w:marLeft w:val="0"/>
                  <w:marRight w:val="0"/>
                  <w:marTop w:val="0"/>
                  <w:marBottom w:val="0"/>
                  <w:divBdr>
                    <w:top w:val="none" w:sz="0" w:space="0" w:color="auto"/>
                    <w:left w:val="none" w:sz="0" w:space="0" w:color="auto"/>
                    <w:bottom w:val="none" w:sz="0" w:space="0" w:color="auto"/>
                    <w:right w:val="none" w:sz="0" w:space="0" w:color="auto"/>
                  </w:divBdr>
                  <w:divsChild>
                    <w:div w:id="548803175">
                      <w:marLeft w:val="0"/>
                      <w:marRight w:val="0"/>
                      <w:marTop w:val="0"/>
                      <w:marBottom w:val="0"/>
                      <w:divBdr>
                        <w:top w:val="none" w:sz="0" w:space="0" w:color="auto"/>
                        <w:left w:val="none" w:sz="0" w:space="0" w:color="auto"/>
                        <w:bottom w:val="none" w:sz="0" w:space="0" w:color="auto"/>
                        <w:right w:val="none" w:sz="0" w:space="0" w:color="auto"/>
                      </w:divBdr>
                    </w:div>
                    <w:div w:id="548803182">
                      <w:marLeft w:val="0"/>
                      <w:marRight w:val="0"/>
                      <w:marTop w:val="0"/>
                      <w:marBottom w:val="0"/>
                      <w:divBdr>
                        <w:top w:val="none" w:sz="0" w:space="0" w:color="auto"/>
                        <w:left w:val="none" w:sz="0" w:space="0" w:color="auto"/>
                        <w:bottom w:val="none" w:sz="0" w:space="0" w:color="auto"/>
                        <w:right w:val="none" w:sz="0" w:space="0" w:color="auto"/>
                      </w:divBdr>
                    </w:div>
                  </w:divsChild>
                </w:div>
                <w:div w:id="548803235">
                  <w:marLeft w:val="0"/>
                  <w:marRight w:val="0"/>
                  <w:marTop w:val="0"/>
                  <w:marBottom w:val="0"/>
                  <w:divBdr>
                    <w:top w:val="none" w:sz="0" w:space="0" w:color="auto"/>
                    <w:left w:val="none" w:sz="0" w:space="0" w:color="auto"/>
                    <w:bottom w:val="none" w:sz="0" w:space="0" w:color="auto"/>
                    <w:right w:val="none" w:sz="0" w:space="0" w:color="auto"/>
                  </w:divBdr>
                  <w:divsChild>
                    <w:div w:id="548803173">
                      <w:marLeft w:val="0"/>
                      <w:marRight w:val="0"/>
                      <w:marTop w:val="0"/>
                      <w:marBottom w:val="0"/>
                      <w:divBdr>
                        <w:top w:val="none" w:sz="0" w:space="0" w:color="auto"/>
                        <w:left w:val="none" w:sz="0" w:space="0" w:color="auto"/>
                        <w:bottom w:val="none" w:sz="0" w:space="0" w:color="auto"/>
                        <w:right w:val="none" w:sz="0" w:space="0" w:color="auto"/>
                      </w:divBdr>
                    </w:div>
                    <w:div w:id="5488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3216">
              <w:marLeft w:val="0"/>
              <w:marRight w:val="0"/>
              <w:marTop w:val="0"/>
              <w:marBottom w:val="0"/>
              <w:divBdr>
                <w:top w:val="none" w:sz="0" w:space="0" w:color="auto"/>
                <w:left w:val="none" w:sz="0" w:space="0" w:color="auto"/>
                <w:bottom w:val="none" w:sz="0" w:space="0" w:color="auto"/>
                <w:right w:val="none" w:sz="0" w:space="0" w:color="auto"/>
              </w:divBdr>
            </w:div>
          </w:divsChild>
        </w:div>
        <w:div w:id="548803190">
          <w:marLeft w:val="0"/>
          <w:marRight w:val="0"/>
          <w:marTop w:val="0"/>
          <w:marBottom w:val="0"/>
          <w:divBdr>
            <w:top w:val="none" w:sz="0" w:space="0" w:color="auto"/>
            <w:left w:val="none" w:sz="0" w:space="0" w:color="auto"/>
            <w:bottom w:val="none" w:sz="0" w:space="0" w:color="auto"/>
            <w:right w:val="none" w:sz="0" w:space="0" w:color="auto"/>
          </w:divBdr>
        </w:div>
      </w:divsChild>
    </w:div>
    <w:div w:id="548803207">
      <w:marLeft w:val="0"/>
      <w:marRight w:val="0"/>
      <w:marTop w:val="0"/>
      <w:marBottom w:val="0"/>
      <w:divBdr>
        <w:top w:val="none" w:sz="0" w:space="0" w:color="auto"/>
        <w:left w:val="none" w:sz="0" w:space="0" w:color="auto"/>
        <w:bottom w:val="none" w:sz="0" w:space="0" w:color="auto"/>
        <w:right w:val="none" w:sz="0" w:space="0" w:color="auto"/>
      </w:divBdr>
    </w:div>
    <w:div w:id="548803208">
      <w:marLeft w:val="0"/>
      <w:marRight w:val="0"/>
      <w:marTop w:val="0"/>
      <w:marBottom w:val="0"/>
      <w:divBdr>
        <w:top w:val="none" w:sz="0" w:space="0" w:color="auto"/>
        <w:left w:val="none" w:sz="0" w:space="0" w:color="auto"/>
        <w:bottom w:val="none" w:sz="0" w:space="0" w:color="auto"/>
        <w:right w:val="none" w:sz="0" w:space="0" w:color="auto"/>
      </w:divBdr>
    </w:div>
    <w:div w:id="548803209">
      <w:marLeft w:val="0"/>
      <w:marRight w:val="0"/>
      <w:marTop w:val="0"/>
      <w:marBottom w:val="0"/>
      <w:divBdr>
        <w:top w:val="none" w:sz="0" w:space="0" w:color="auto"/>
        <w:left w:val="none" w:sz="0" w:space="0" w:color="auto"/>
        <w:bottom w:val="none" w:sz="0" w:space="0" w:color="auto"/>
        <w:right w:val="none" w:sz="0" w:space="0" w:color="auto"/>
      </w:divBdr>
    </w:div>
    <w:div w:id="548803211">
      <w:marLeft w:val="0"/>
      <w:marRight w:val="0"/>
      <w:marTop w:val="0"/>
      <w:marBottom w:val="0"/>
      <w:divBdr>
        <w:top w:val="none" w:sz="0" w:space="0" w:color="auto"/>
        <w:left w:val="none" w:sz="0" w:space="0" w:color="auto"/>
        <w:bottom w:val="none" w:sz="0" w:space="0" w:color="auto"/>
        <w:right w:val="none" w:sz="0" w:space="0" w:color="auto"/>
      </w:divBdr>
    </w:div>
    <w:div w:id="548803212">
      <w:marLeft w:val="0"/>
      <w:marRight w:val="0"/>
      <w:marTop w:val="0"/>
      <w:marBottom w:val="0"/>
      <w:divBdr>
        <w:top w:val="none" w:sz="0" w:space="0" w:color="auto"/>
        <w:left w:val="none" w:sz="0" w:space="0" w:color="auto"/>
        <w:bottom w:val="none" w:sz="0" w:space="0" w:color="auto"/>
        <w:right w:val="none" w:sz="0" w:space="0" w:color="auto"/>
      </w:divBdr>
    </w:div>
    <w:div w:id="548803213">
      <w:marLeft w:val="0"/>
      <w:marRight w:val="0"/>
      <w:marTop w:val="0"/>
      <w:marBottom w:val="0"/>
      <w:divBdr>
        <w:top w:val="none" w:sz="0" w:space="0" w:color="auto"/>
        <w:left w:val="none" w:sz="0" w:space="0" w:color="auto"/>
        <w:bottom w:val="none" w:sz="0" w:space="0" w:color="auto"/>
        <w:right w:val="none" w:sz="0" w:space="0" w:color="auto"/>
      </w:divBdr>
      <w:divsChild>
        <w:div w:id="548803179">
          <w:marLeft w:val="547"/>
          <w:marRight w:val="0"/>
          <w:marTop w:val="134"/>
          <w:marBottom w:val="0"/>
          <w:divBdr>
            <w:top w:val="none" w:sz="0" w:space="0" w:color="auto"/>
            <w:left w:val="none" w:sz="0" w:space="0" w:color="auto"/>
            <w:bottom w:val="none" w:sz="0" w:space="0" w:color="auto"/>
            <w:right w:val="none" w:sz="0" w:space="0" w:color="auto"/>
          </w:divBdr>
        </w:div>
        <w:div w:id="548803184">
          <w:marLeft w:val="547"/>
          <w:marRight w:val="0"/>
          <w:marTop w:val="134"/>
          <w:marBottom w:val="0"/>
          <w:divBdr>
            <w:top w:val="none" w:sz="0" w:space="0" w:color="auto"/>
            <w:left w:val="none" w:sz="0" w:space="0" w:color="auto"/>
            <w:bottom w:val="none" w:sz="0" w:space="0" w:color="auto"/>
            <w:right w:val="none" w:sz="0" w:space="0" w:color="auto"/>
          </w:divBdr>
        </w:div>
        <w:div w:id="548803221">
          <w:marLeft w:val="547"/>
          <w:marRight w:val="0"/>
          <w:marTop w:val="134"/>
          <w:marBottom w:val="0"/>
          <w:divBdr>
            <w:top w:val="none" w:sz="0" w:space="0" w:color="auto"/>
            <w:left w:val="none" w:sz="0" w:space="0" w:color="auto"/>
            <w:bottom w:val="none" w:sz="0" w:space="0" w:color="auto"/>
            <w:right w:val="none" w:sz="0" w:space="0" w:color="auto"/>
          </w:divBdr>
        </w:div>
      </w:divsChild>
    </w:div>
    <w:div w:id="548803215">
      <w:marLeft w:val="0"/>
      <w:marRight w:val="0"/>
      <w:marTop w:val="0"/>
      <w:marBottom w:val="0"/>
      <w:divBdr>
        <w:top w:val="none" w:sz="0" w:space="0" w:color="auto"/>
        <w:left w:val="none" w:sz="0" w:space="0" w:color="auto"/>
        <w:bottom w:val="none" w:sz="0" w:space="0" w:color="auto"/>
        <w:right w:val="none" w:sz="0" w:space="0" w:color="auto"/>
      </w:divBdr>
    </w:div>
    <w:div w:id="548803217">
      <w:marLeft w:val="0"/>
      <w:marRight w:val="0"/>
      <w:marTop w:val="0"/>
      <w:marBottom w:val="0"/>
      <w:divBdr>
        <w:top w:val="none" w:sz="0" w:space="0" w:color="auto"/>
        <w:left w:val="none" w:sz="0" w:space="0" w:color="auto"/>
        <w:bottom w:val="none" w:sz="0" w:space="0" w:color="auto"/>
        <w:right w:val="none" w:sz="0" w:space="0" w:color="auto"/>
      </w:divBdr>
    </w:div>
    <w:div w:id="548803218">
      <w:marLeft w:val="0"/>
      <w:marRight w:val="0"/>
      <w:marTop w:val="0"/>
      <w:marBottom w:val="0"/>
      <w:divBdr>
        <w:top w:val="none" w:sz="0" w:space="0" w:color="auto"/>
        <w:left w:val="none" w:sz="0" w:space="0" w:color="auto"/>
        <w:bottom w:val="none" w:sz="0" w:space="0" w:color="auto"/>
        <w:right w:val="none" w:sz="0" w:space="0" w:color="auto"/>
      </w:divBdr>
    </w:div>
    <w:div w:id="548803219">
      <w:marLeft w:val="0"/>
      <w:marRight w:val="0"/>
      <w:marTop w:val="0"/>
      <w:marBottom w:val="0"/>
      <w:divBdr>
        <w:top w:val="none" w:sz="0" w:space="0" w:color="auto"/>
        <w:left w:val="none" w:sz="0" w:space="0" w:color="auto"/>
        <w:bottom w:val="none" w:sz="0" w:space="0" w:color="auto"/>
        <w:right w:val="none" w:sz="0" w:space="0" w:color="auto"/>
      </w:divBdr>
    </w:div>
    <w:div w:id="548803220">
      <w:marLeft w:val="0"/>
      <w:marRight w:val="0"/>
      <w:marTop w:val="0"/>
      <w:marBottom w:val="0"/>
      <w:divBdr>
        <w:top w:val="none" w:sz="0" w:space="0" w:color="auto"/>
        <w:left w:val="none" w:sz="0" w:space="0" w:color="auto"/>
        <w:bottom w:val="none" w:sz="0" w:space="0" w:color="auto"/>
        <w:right w:val="none" w:sz="0" w:space="0" w:color="auto"/>
      </w:divBdr>
    </w:div>
    <w:div w:id="548803222">
      <w:marLeft w:val="0"/>
      <w:marRight w:val="0"/>
      <w:marTop w:val="0"/>
      <w:marBottom w:val="0"/>
      <w:divBdr>
        <w:top w:val="none" w:sz="0" w:space="0" w:color="auto"/>
        <w:left w:val="none" w:sz="0" w:space="0" w:color="auto"/>
        <w:bottom w:val="none" w:sz="0" w:space="0" w:color="auto"/>
        <w:right w:val="none" w:sz="0" w:space="0" w:color="auto"/>
      </w:divBdr>
    </w:div>
    <w:div w:id="548803223">
      <w:marLeft w:val="0"/>
      <w:marRight w:val="0"/>
      <w:marTop w:val="0"/>
      <w:marBottom w:val="0"/>
      <w:divBdr>
        <w:top w:val="none" w:sz="0" w:space="0" w:color="auto"/>
        <w:left w:val="none" w:sz="0" w:space="0" w:color="auto"/>
        <w:bottom w:val="none" w:sz="0" w:space="0" w:color="auto"/>
        <w:right w:val="none" w:sz="0" w:space="0" w:color="auto"/>
      </w:divBdr>
    </w:div>
    <w:div w:id="548803224">
      <w:marLeft w:val="0"/>
      <w:marRight w:val="0"/>
      <w:marTop w:val="0"/>
      <w:marBottom w:val="0"/>
      <w:divBdr>
        <w:top w:val="none" w:sz="0" w:space="0" w:color="auto"/>
        <w:left w:val="none" w:sz="0" w:space="0" w:color="auto"/>
        <w:bottom w:val="none" w:sz="0" w:space="0" w:color="auto"/>
        <w:right w:val="none" w:sz="0" w:space="0" w:color="auto"/>
      </w:divBdr>
    </w:div>
    <w:div w:id="548803225">
      <w:marLeft w:val="0"/>
      <w:marRight w:val="0"/>
      <w:marTop w:val="0"/>
      <w:marBottom w:val="0"/>
      <w:divBdr>
        <w:top w:val="none" w:sz="0" w:space="0" w:color="auto"/>
        <w:left w:val="none" w:sz="0" w:space="0" w:color="auto"/>
        <w:bottom w:val="none" w:sz="0" w:space="0" w:color="auto"/>
        <w:right w:val="none" w:sz="0" w:space="0" w:color="auto"/>
      </w:divBdr>
    </w:div>
    <w:div w:id="548803226">
      <w:marLeft w:val="0"/>
      <w:marRight w:val="0"/>
      <w:marTop w:val="0"/>
      <w:marBottom w:val="0"/>
      <w:divBdr>
        <w:top w:val="none" w:sz="0" w:space="0" w:color="auto"/>
        <w:left w:val="none" w:sz="0" w:space="0" w:color="auto"/>
        <w:bottom w:val="none" w:sz="0" w:space="0" w:color="auto"/>
        <w:right w:val="none" w:sz="0" w:space="0" w:color="auto"/>
      </w:divBdr>
    </w:div>
    <w:div w:id="548803227">
      <w:marLeft w:val="0"/>
      <w:marRight w:val="0"/>
      <w:marTop w:val="0"/>
      <w:marBottom w:val="0"/>
      <w:divBdr>
        <w:top w:val="none" w:sz="0" w:space="0" w:color="auto"/>
        <w:left w:val="none" w:sz="0" w:space="0" w:color="auto"/>
        <w:bottom w:val="none" w:sz="0" w:space="0" w:color="auto"/>
        <w:right w:val="none" w:sz="0" w:space="0" w:color="auto"/>
      </w:divBdr>
    </w:div>
    <w:div w:id="548803228">
      <w:marLeft w:val="0"/>
      <w:marRight w:val="0"/>
      <w:marTop w:val="0"/>
      <w:marBottom w:val="0"/>
      <w:divBdr>
        <w:top w:val="none" w:sz="0" w:space="0" w:color="auto"/>
        <w:left w:val="none" w:sz="0" w:space="0" w:color="auto"/>
        <w:bottom w:val="none" w:sz="0" w:space="0" w:color="auto"/>
        <w:right w:val="none" w:sz="0" w:space="0" w:color="auto"/>
      </w:divBdr>
    </w:div>
    <w:div w:id="548803229">
      <w:marLeft w:val="0"/>
      <w:marRight w:val="0"/>
      <w:marTop w:val="0"/>
      <w:marBottom w:val="0"/>
      <w:divBdr>
        <w:top w:val="none" w:sz="0" w:space="0" w:color="auto"/>
        <w:left w:val="none" w:sz="0" w:space="0" w:color="auto"/>
        <w:bottom w:val="none" w:sz="0" w:space="0" w:color="auto"/>
        <w:right w:val="none" w:sz="0" w:space="0" w:color="auto"/>
      </w:divBdr>
    </w:div>
    <w:div w:id="548803230">
      <w:marLeft w:val="0"/>
      <w:marRight w:val="0"/>
      <w:marTop w:val="0"/>
      <w:marBottom w:val="0"/>
      <w:divBdr>
        <w:top w:val="none" w:sz="0" w:space="0" w:color="auto"/>
        <w:left w:val="none" w:sz="0" w:space="0" w:color="auto"/>
        <w:bottom w:val="none" w:sz="0" w:space="0" w:color="auto"/>
        <w:right w:val="none" w:sz="0" w:space="0" w:color="auto"/>
      </w:divBdr>
      <w:divsChild>
        <w:div w:id="548803149">
          <w:marLeft w:val="720"/>
          <w:marRight w:val="0"/>
          <w:marTop w:val="67"/>
          <w:marBottom w:val="0"/>
          <w:divBdr>
            <w:top w:val="none" w:sz="0" w:space="0" w:color="auto"/>
            <w:left w:val="none" w:sz="0" w:space="0" w:color="auto"/>
            <w:bottom w:val="none" w:sz="0" w:space="0" w:color="auto"/>
            <w:right w:val="none" w:sz="0" w:space="0" w:color="auto"/>
          </w:divBdr>
        </w:div>
      </w:divsChild>
    </w:div>
    <w:div w:id="548803231">
      <w:marLeft w:val="0"/>
      <w:marRight w:val="0"/>
      <w:marTop w:val="0"/>
      <w:marBottom w:val="0"/>
      <w:divBdr>
        <w:top w:val="none" w:sz="0" w:space="0" w:color="auto"/>
        <w:left w:val="none" w:sz="0" w:space="0" w:color="auto"/>
        <w:bottom w:val="none" w:sz="0" w:space="0" w:color="auto"/>
        <w:right w:val="none" w:sz="0" w:space="0" w:color="auto"/>
      </w:divBdr>
    </w:div>
    <w:div w:id="548803232">
      <w:marLeft w:val="0"/>
      <w:marRight w:val="0"/>
      <w:marTop w:val="0"/>
      <w:marBottom w:val="0"/>
      <w:divBdr>
        <w:top w:val="none" w:sz="0" w:space="0" w:color="auto"/>
        <w:left w:val="none" w:sz="0" w:space="0" w:color="auto"/>
        <w:bottom w:val="none" w:sz="0" w:space="0" w:color="auto"/>
        <w:right w:val="none" w:sz="0" w:space="0" w:color="auto"/>
      </w:divBdr>
    </w:div>
    <w:div w:id="548803233">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548803236">
      <w:marLeft w:val="0"/>
      <w:marRight w:val="0"/>
      <w:marTop w:val="0"/>
      <w:marBottom w:val="0"/>
      <w:divBdr>
        <w:top w:val="none" w:sz="0" w:space="0" w:color="auto"/>
        <w:left w:val="none" w:sz="0" w:space="0" w:color="auto"/>
        <w:bottom w:val="none" w:sz="0" w:space="0" w:color="auto"/>
        <w:right w:val="none" w:sz="0" w:space="0" w:color="auto"/>
      </w:divBdr>
    </w:div>
    <w:div w:id="5488032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msac.gov.au/internet/msac/publishing.nsf/Content/Hom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ac.gov.au/internet/msac/publishing.nsf/Content/CDD47E7E0B1B703FCA2586CB002038AC/$File/1668%20Final%20PSD_Jul2022-CLEA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iq.org.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9.health.gov.au/mbs/fullDisplay.cfm?type=note&amp;q=IN.0.19&amp;qt=noteID&amp;criteria=IN%2E0%2E19" TargetMode="External"/><Relationship Id="rId4" Type="http://schemas.openxmlformats.org/officeDocument/2006/relationships/settings" Target="settings.xml"/><Relationship Id="rId9" Type="http://schemas.openxmlformats.org/officeDocument/2006/relationships/hyperlink" Target="http://www9.health.gov.au/mbs/fullDisplay.cfm?type=note&amp;q=IN.0.19&amp;qt=noteID&amp;criteria=IN%2E0%2E19"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ubmed.ncbi.nlm.nih.gov/31412037/" TargetMode="External"/><Relationship Id="rId2" Type="http://schemas.openxmlformats.org/officeDocument/2006/relationships/hyperlink" Target="https://pubmed.ncbi.nlm.nih.gov/34399110/" TargetMode="External"/><Relationship Id="rId1" Type="http://schemas.openxmlformats.org/officeDocument/2006/relationships/hyperlink" Target="https://www.eviq.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F9794-F180-4187-AD01-396311B9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19754</Words>
  <Characters>109128</Characters>
  <Application>Microsoft Office Word</Application>
  <DocSecurity>0</DocSecurity>
  <Lines>909</Lines>
  <Paragraphs>257</Paragraphs>
  <ScaleCrop>false</ScaleCrop>
  <Company/>
  <LinksUpToDate>false</LinksUpToDate>
  <CharactersWithSpaces>128625</CharactersWithSpaces>
  <SharedDoc>false</SharedDoc>
  <HLinks>
    <vt:vector size="60" baseType="variant">
      <vt:variant>
        <vt:i4>6684716</vt:i4>
      </vt:variant>
      <vt:variant>
        <vt:i4>87</vt:i4>
      </vt:variant>
      <vt:variant>
        <vt:i4>0</vt:i4>
      </vt:variant>
      <vt:variant>
        <vt:i4>5</vt:i4>
      </vt:variant>
      <vt:variant>
        <vt:lpwstr>http://msac.gov.au/internet/msac/publishing.nsf/Content/Home-1</vt:lpwstr>
      </vt:variant>
      <vt:variant>
        <vt:lpwstr/>
      </vt:variant>
      <vt:variant>
        <vt:i4>1310829</vt:i4>
      </vt:variant>
      <vt:variant>
        <vt:i4>84</vt:i4>
      </vt:variant>
      <vt:variant>
        <vt:i4>0</vt:i4>
      </vt:variant>
      <vt:variant>
        <vt:i4>5</vt:i4>
      </vt:variant>
      <vt:variant>
        <vt:lpwstr>http://www.msac.gov.au/internet/msac/publishing.nsf/Content/CDD47E7E0B1B703FCA2586CB002038AC/$File/1668 Final PSD_Jul2022-CLEAN.pdf</vt:lpwstr>
      </vt:variant>
      <vt:variant>
        <vt:lpwstr/>
      </vt:variant>
      <vt:variant>
        <vt:i4>589899</vt:i4>
      </vt:variant>
      <vt:variant>
        <vt:i4>81</vt:i4>
      </vt:variant>
      <vt:variant>
        <vt:i4>0</vt:i4>
      </vt:variant>
      <vt:variant>
        <vt:i4>5</vt:i4>
      </vt:variant>
      <vt:variant>
        <vt:lpwstr>https://www.eviq.org.au/</vt:lpwstr>
      </vt:variant>
      <vt:variant>
        <vt:lpwstr/>
      </vt:variant>
      <vt:variant>
        <vt:i4>2097268</vt:i4>
      </vt:variant>
      <vt:variant>
        <vt:i4>68</vt:i4>
      </vt:variant>
      <vt:variant>
        <vt:i4>0</vt:i4>
      </vt:variant>
      <vt:variant>
        <vt:i4>5</vt:i4>
      </vt:variant>
      <vt:variant>
        <vt:lpwstr>http://www.msac.gov.au/internet/msac/publishing.nsf/Content/22B517A787EE9E35CA25879D000F2778/$File/1702 Ratified PICO.docx</vt:lpwstr>
      </vt:variant>
      <vt:variant>
        <vt:lpwstr/>
      </vt:variant>
      <vt:variant>
        <vt:i4>5242972</vt:i4>
      </vt:variant>
      <vt:variant>
        <vt:i4>21</vt:i4>
      </vt:variant>
      <vt:variant>
        <vt:i4>0</vt:i4>
      </vt:variant>
      <vt:variant>
        <vt:i4>5</vt:i4>
      </vt:variant>
      <vt:variant>
        <vt:lpwstr>http://www9.health.gov.au/mbs/fullDisplay.cfm?type=note&amp;q=IN.0.19&amp;qt=noteID&amp;criteria=IN%2E0%2E19</vt:lpwstr>
      </vt:variant>
      <vt:variant>
        <vt:lpwstr/>
      </vt:variant>
      <vt:variant>
        <vt:i4>5242972</vt:i4>
      </vt:variant>
      <vt:variant>
        <vt:i4>12</vt:i4>
      </vt:variant>
      <vt:variant>
        <vt:i4>0</vt:i4>
      </vt:variant>
      <vt:variant>
        <vt:i4>5</vt:i4>
      </vt:variant>
      <vt:variant>
        <vt:lpwstr>http://www9.health.gov.au/mbs/fullDisplay.cfm?type=note&amp;q=IN.0.19&amp;qt=noteID&amp;criteria=IN%2E0%2E19</vt:lpwstr>
      </vt:variant>
      <vt:variant>
        <vt:lpwstr/>
      </vt:variant>
      <vt:variant>
        <vt:i4>3997744</vt:i4>
      </vt:variant>
      <vt:variant>
        <vt:i4>0</vt:i4>
      </vt:variant>
      <vt:variant>
        <vt:i4>0</vt:i4>
      </vt:variant>
      <vt:variant>
        <vt:i4>5</vt:i4>
      </vt:variant>
      <vt:variant>
        <vt:lpwstr>http://www.msac.gov.au/</vt:lpwstr>
      </vt:variant>
      <vt:variant>
        <vt:lpwstr/>
      </vt:variant>
      <vt:variant>
        <vt:i4>851969</vt:i4>
      </vt:variant>
      <vt:variant>
        <vt:i4>6</vt:i4>
      </vt:variant>
      <vt:variant>
        <vt:i4>0</vt:i4>
      </vt:variant>
      <vt:variant>
        <vt:i4>5</vt:i4>
      </vt:variant>
      <vt:variant>
        <vt:lpwstr>https://pubmed.ncbi.nlm.nih.gov/31412037/</vt:lpwstr>
      </vt:variant>
      <vt:variant>
        <vt:lpwstr/>
      </vt:variant>
      <vt:variant>
        <vt:i4>393231</vt:i4>
      </vt:variant>
      <vt:variant>
        <vt:i4>3</vt:i4>
      </vt:variant>
      <vt:variant>
        <vt:i4>0</vt:i4>
      </vt:variant>
      <vt:variant>
        <vt:i4>5</vt:i4>
      </vt:variant>
      <vt:variant>
        <vt:lpwstr>https://pubmed.ncbi.nlm.nih.gov/34399110/</vt:lpwstr>
      </vt:variant>
      <vt:variant>
        <vt:lpwstr/>
      </vt:variant>
      <vt:variant>
        <vt:i4>589899</vt:i4>
      </vt:variant>
      <vt:variant>
        <vt:i4>0</vt:i4>
      </vt:variant>
      <vt:variant>
        <vt:i4>0</vt:i4>
      </vt:variant>
      <vt:variant>
        <vt:i4>5</vt:i4>
      </vt:variant>
      <vt:variant>
        <vt:lpwstr>https://www.eviq.org.au/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2023-07-10T04:26:00Z</dcterms:created>
  <dcterms:modified xsi:type="dcterms:W3CDTF">2023-07-10T04:26:00Z</dcterms:modified>
</cp:coreProperties>
</file>